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r>
        <w:rPr>
          <w:rFonts w:hint="eastAsia"/>
          <w:highlight w:val="none"/>
          <w:lang w:val="en-US" w:eastAsia="zh-CN"/>
        </w:rPr>
        <w:t>响应文件格式</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（寻源响应文件由制造商提供，制造商</w:t>
      </w:r>
      <w:r>
        <w:rPr>
          <w:rFonts w:hint="eastAsia" w:ascii="仿宋" w:hAnsi="仿宋" w:eastAsia="仿宋" w:cs="仿宋"/>
          <w:b/>
          <w:bCs/>
          <w:color w:val="FF0000"/>
          <w:sz w:val="24"/>
          <w:szCs w:val="24"/>
          <w:highlight w:val="none"/>
          <w:lang w:val="en-US" w:eastAsia="zh-CN"/>
        </w:rPr>
        <w:t>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none"/>
          <w:lang w:eastAsia="zh-CN"/>
        </w:rPr>
        <w:t>）</w:t>
      </w: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2026年南方电网数据平台与安全（广东）有限公司备份软硬件投标寻源项目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color w:val="0000EE"/>
          <w:sz w:val="24"/>
          <w:szCs w:val="24"/>
          <w:highlight w:val="none"/>
          <w:u w:val="single"/>
          <w:lang w:val="en-US" w:eastAsia="zh-CN"/>
        </w:rPr>
        <w:t xml:space="preserve"> </w:t>
      </w:r>
      <w:r>
        <w:rPr>
          <w:rFonts w:hint="eastAsia" w:ascii="仿宋" w:hAnsi="仿宋" w:eastAsia="仿宋" w:cs="仿宋"/>
          <w:b w:val="0"/>
          <w:bCs w:val="0"/>
          <w:i/>
          <w:iCs/>
          <w:color w:val="0000EE"/>
          <w:sz w:val="24"/>
          <w:szCs w:val="24"/>
          <w:highlight w:val="none"/>
          <w:u w:val="single"/>
          <w:lang w:val="en-US" w:eastAsia="zh-CN"/>
        </w:rPr>
        <w:t>数据备份恢复设备、管理容量授权</w:t>
      </w:r>
      <w:r>
        <w:rPr>
          <w:rFonts w:hint="eastAsia" w:ascii="仿宋" w:hAnsi="仿宋" w:eastAsia="仿宋" w:cs="仿宋"/>
          <w:b w:val="0"/>
          <w:bCs w:val="0"/>
          <w:color w:val="auto"/>
          <w:sz w:val="24"/>
          <w:szCs w:val="24"/>
          <w:highlight w:val="none"/>
          <w:u w:val="none"/>
          <w:lang w:val="en-US" w:eastAsia="zh-CN"/>
        </w:rPr>
        <w:t>产</w:t>
      </w:r>
      <w:r>
        <w:rPr>
          <w:rFonts w:hint="eastAsia" w:ascii="仿宋" w:hAnsi="仿宋" w:eastAsia="仿宋" w:cs="仿宋"/>
          <w:color w:val="auto"/>
          <w:sz w:val="24"/>
          <w:szCs w:val="24"/>
          <w:highlight w:val="none"/>
          <w:u w:val="none"/>
          <w:lang w:val="en-US" w:eastAsia="zh-CN"/>
        </w:rPr>
        <w:t>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（请填写拟投标项目名称）</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2"/>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2"/>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2026年南方电网数据平台与安全（广东）有限公司备份软硬件投标寻源项目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color w:val="0000EE"/>
          <w:sz w:val="24"/>
          <w:szCs w:val="24"/>
          <w:highlight w:val="none"/>
          <w:u w:val="single"/>
          <w:lang w:val="en-US" w:eastAsia="zh-CN"/>
        </w:rPr>
        <w:t xml:space="preserve">  </w:t>
      </w:r>
      <w:r>
        <w:rPr>
          <w:rFonts w:hint="eastAsia" w:ascii="仿宋" w:hAnsi="仿宋" w:eastAsia="仿宋" w:cs="仿宋"/>
          <w:b w:val="0"/>
          <w:bCs w:val="0"/>
          <w:i/>
          <w:iCs/>
          <w:color w:val="0000EE"/>
          <w:sz w:val="24"/>
          <w:szCs w:val="24"/>
          <w:highlight w:val="none"/>
          <w:u w:val="single"/>
          <w:lang w:val="en-US" w:eastAsia="zh-CN"/>
        </w:rPr>
        <w:t xml:space="preserve">数据备份恢复设备、管理容量授权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1.1.6产品不侵权承诺函（格式四）</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产 品 不 侵 权 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格式八</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2"/>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2026年南方电网数据平台与安全（广东）有限公司备份软硬件投标寻源项目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color w:val="0000EE"/>
          <w:sz w:val="24"/>
          <w:szCs w:val="24"/>
          <w:highlight w:val="none"/>
          <w:u w:val="single"/>
          <w:lang w:val="en-US" w:eastAsia="zh-CN"/>
        </w:rPr>
        <w:t xml:space="preserve">  </w:t>
      </w:r>
      <w:r>
        <w:rPr>
          <w:rFonts w:hint="eastAsia" w:ascii="仿宋" w:hAnsi="仿宋" w:eastAsia="仿宋" w:cs="仿宋"/>
          <w:b w:val="0"/>
          <w:bCs w:val="0"/>
          <w:i/>
          <w:iCs/>
          <w:color w:val="0000EE"/>
          <w:sz w:val="24"/>
          <w:szCs w:val="24"/>
          <w:highlight w:val="none"/>
          <w:u w:val="single"/>
          <w:lang w:val="en-US" w:eastAsia="zh-CN"/>
        </w:rPr>
        <w:t xml:space="preserve">数据备份恢复设备、管理容量授权 </w:t>
      </w:r>
      <w:r>
        <w:rPr>
          <w:rFonts w:hint="eastAsia" w:ascii="仿宋" w:hAnsi="仿宋" w:eastAsia="仿宋" w:cs="仿宋"/>
          <w:color w:val="auto"/>
          <w:sz w:val="24"/>
          <w:szCs w:val="24"/>
          <w:highlight w:val="none"/>
          <w:u w:val="none"/>
          <w:lang w:val="en-US" w:eastAsia="zh-CN"/>
        </w:rPr>
        <w:t>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2"/>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8"/>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1.1.7.1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2"/>
        <w:spacing w:line="360" w:lineRule="auto"/>
        <w:rPr>
          <w:rFonts w:hint="eastAsia"/>
          <w:highlight w:val="none"/>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1.1.8法定代表人授权书（格式九）</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w:t>
      </w:r>
      <w:r>
        <w:rPr>
          <w:rFonts w:hint="eastAsia" w:ascii="仿宋" w:hAnsi="仿宋" w:eastAsia="仿宋" w:cs="仿宋"/>
          <w:b/>
          <w:bCs/>
          <w:i w:val="0"/>
          <w:iCs w:val="0"/>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2026年南方电网数据平台与安全（广东）有限公司备份软硬件投标寻源项目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color w:val="0000EE"/>
          <w:sz w:val="24"/>
          <w:szCs w:val="24"/>
          <w:highlight w:val="none"/>
          <w:u w:val="single"/>
          <w:lang w:val="en-US" w:eastAsia="zh-CN"/>
        </w:rPr>
        <w:t xml:space="preserve">  </w:t>
      </w:r>
      <w:r>
        <w:rPr>
          <w:rFonts w:hint="eastAsia" w:ascii="仿宋" w:hAnsi="仿宋" w:eastAsia="仿宋" w:cs="仿宋"/>
          <w:b w:val="0"/>
          <w:bCs w:val="0"/>
          <w:i/>
          <w:iCs/>
          <w:color w:val="0000EE"/>
          <w:sz w:val="24"/>
          <w:szCs w:val="24"/>
          <w:highlight w:val="none"/>
          <w:u w:val="single"/>
          <w:lang w:val="en-US" w:eastAsia="zh-CN"/>
        </w:rPr>
        <w:t>数据备份恢复设备、管理容量授权</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1.1.9被授权人身份证明（格式十）</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2026年南方电网数据平台与安全（广东）有限公司备份软硬件投标寻源项目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color w:val="0000EE"/>
          <w:sz w:val="24"/>
          <w:szCs w:val="24"/>
          <w:highlight w:val="none"/>
          <w:u w:val="single"/>
          <w:lang w:val="en-US" w:eastAsia="zh-CN"/>
        </w:rPr>
        <w:t xml:space="preserve">  </w:t>
      </w:r>
      <w:r>
        <w:rPr>
          <w:rFonts w:hint="eastAsia" w:ascii="仿宋" w:hAnsi="仿宋" w:eastAsia="仿宋" w:cs="仿宋"/>
          <w:b w:val="0"/>
          <w:bCs w:val="0"/>
          <w:i/>
          <w:iCs/>
          <w:color w:val="0000EE"/>
          <w:sz w:val="24"/>
          <w:szCs w:val="24"/>
          <w:highlight w:val="none"/>
          <w:u w:val="single"/>
          <w:lang w:val="en-US" w:eastAsia="zh-CN"/>
        </w:rPr>
        <w:t>数据备份恢复设备、管理容量授权</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1.1.10法定代表人身份证明（格式十一）</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2"/>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1.1.11自主可控承诺函（格式十二）</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2026年南方电网数据平台与安全（广东）有限公司备份软硬件投标寻源项目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color w:val="0000EE"/>
          <w:sz w:val="24"/>
          <w:szCs w:val="24"/>
          <w:highlight w:val="none"/>
          <w:u w:val="single"/>
          <w:lang w:val="en-US" w:eastAsia="zh-CN"/>
        </w:rPr>
        <w:t xml:space="preserve">  </w:t>
      </w:r>
      <w:r>
        <w:rPr>
          <w:rFonts w:hint="eastAsia" w:ascii="仿宋" w:hAnsi="仿宋" w:eastAsia="仿宋" w:cs="仿宋"/>
          <w:b w:val="0"/>
          <w:bCs w:val="0"/>
          <w:i/>
          <w:iCs/>
          <w:color w:val="0000EE"/>
          <w:sz w:val="24"/>
          <w:szCs w:val="24"/>
          <w:highlight w:val="none"/>
          <w:u w:val="single"/>
          <w:lang w:val="en-US" w:eastAsia="zh-CN"/>
        </w:rPr>
        <w:t>数据备份恢复设备、管理容量授权</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2026年南方电网数据平台与安全（广东）有限公司备份软硬件投标寻源项目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color w:val="0000EE"/>
          <w:sz w:val="24"/>
          <w:szCs w:val="24"/>
          <w:highlight w:val="none"/>
          <w:u w:val="single"/>
          <w:lang w:val="en-US" w:eastAsia="zh-CN"/>
        </w:rPr>
        <w:t xml:space="preserve"> </w:t>
      </w:r>
      <w:r>
        <w:rPr>
          <w:rFonts w:hint="eastAsia" w:ascii="仿宋" w:hAnsi="仿宋" w:eastAsia="仿宋" w:cs="仿宋"/>
          <w:b w:val="0"/>
          <w:bCs w:val="0"/>
          <w:i/>
          <w:iCs/>
          <w:color w:val="0000EE"/>
          <w:sz w:val="24"/>
          <w:szCs w:val="24"/>
          <w:highlight w:val="none"/>
          <w:u w:val="single"/>
          <w:lang w:val="en-US" w:eastAsia="zh-CN"/>
        </w:rPr>
        <w:t>数据备份恢复设备、管理容量授权</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3"/>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1.1.12其他（如有）</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bidi w:val="0"/>
        <w:jc w:val="left"/>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widowControl/>
        <w:suppressLineNumbers w:val="0"/>
        <w:spacing w:line="360" w:lineRule="auto"/>
        <w:jc w:val="left"/>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2"/>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2"/>
        <w:rPr>
          <w:rFonts w:hint="eastAsia"/>
          <w:highlight w:val="none"/>
          <w:lang w:eastAsia="zh-CN"/>
        </w:rPr>
      </w:pP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numPr>
          <w:ilvl w:val="0"/>
          <w:numId w:val="0"/>
        </w:numPr>
        <w:spacing w:line="360" w:lineRule="auto"/>
        <w:ind w:leftChars="0"/>
        <w:outlineLvl w:val="1"/>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p>
      <w:pPr>
        <w:spacing w:line="360" w:lineRule="auto"/>
        <w:rPr>
          <w:rFonts w:hint="eastAsia"/>
          <w:highlight w:val="none"/>
          <w:lang w:val="en-US" w:eastAsia="zh-CN"/>
        </w:rPr>
      </w:pPr>
    </w:p>
    <w:tbl>
      <w:tblPr>
        <w:tblStyle w:val="22"/>
        <w:tblpPr w:leftFromText="180" w:rightFromText="180" w:vertAnchor="text" w:horzAnchor="page" w:tblpX="1144" w:tblpY="119"/>
        <w:tblOverlap w:val="never"/>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046"/>
        <w:gridCol w:w="1024"/>
        <w:gridCol w:w="885"/>
        <w:gridCol w:w="885"/>
        <w:gridCol w:w="1094"/>
        <w:gridCol w:w="1069"/>
        <w:gridCol w:w="1380"/>
        <w:gridCol w:w="1009"/>
        <w:gridCol w:w="10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441" w:type="pc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bookmarkStart w:id="1" w:name="_Toc242770779"/>
            <w:r>
              <w:rPr>
                <w:rFonts w:hint="eastAsia" w:ascii="宋体" w:hAnsi="宋体" w:eastAsia="宋体" w:cs="宋体"/>
                <w:b/>
                <w:bCs/>
                <w:kern w:val="2"/>
                <w:sz w:val="21"/>
                <w:szCs w:val="21"/>
                <w:highlight w:val="none"/>
                <w:lang w:val="en-US" w:eastAsia="zh-CN" w:bidi="ar"/>
              </w:rPr>
              <w:t>年份</w:t>
            </w:r>
            <w:bookmarkEnd w:id="1"/>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bookmarkStart w:id="2" w:name="_Toc242770780"/>
            <w:r>
              <w:rPr>
                <w:rFonts w:hint="eastAsia" w:ascii="宋体" w:hAnsi="宋体" w:eastAsia="宋体" w:cs="宋体"/>
                <w:b/>
                <w:bCs/>
                <w:kern w:val="2"/>
                <w:sz w:val="21"/>
                <w:szCs w:val="21"/>
                <w:highlight w:val="none"/>
                <w:lang w:val="en-US" w:eastAsia="zh-CN" w:bidi="ar"/>
              </w:rPr>
              <w:t>资产</w:t>
            </w:r>
            <w:bookmarkEnd w:id="2"/>
            <w:r>
              <w:rPr>
                <w:rFonts w:hint="eastAsia" w:ascii="宋体" w:hAnsi="宋体" w:eastAsia="宋体" w:cs="宋体"/>
                <w:b/>
                <w:bCs/>
                <w:kern w:val="2"/>
                <w:sz w:val="21"/>
                <w:szCs w:val="21"/>
                <w:highlight w:val="none"/>
                <w:lang w:val="en-US" w:eastAsia="zh-CN" w:bidi="ar"/>
              </w:rPr>
              <w:t>总额（元）</w:t>
            </w:r>
          </w:p>
        </w:tc>
        <w:tc>
          <w:tcPr>
            <w:tcW w:w="494"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bookmarkStart w:id="3" w:name="_Toc242770781"/>
            <w:r>
              <w:rPr>
                <w:rFonts w:hint="eastAsia" w:ascii="宋体" w:hAnsi="宋体" w:eastAsia="宋体" w:cs="宋体"/>
                <w:b/>
                <w:bCs/>
                <w:kern w:val="2"/>
                <w:sz w:val="21"/>
                <w:szCs w:val="21"/>
                <w:highlight w:val="none"/>
                <w:lang w:val="en-US" w:eastAsia="zh-CN" w:bidi="ar"/>
              </w:rPr>
              <w:t>负债</w:t>
            </w:r>
            <w:bookmarkEnd w:id="3"/>
            <w:r>
              <w:rPr>
                <w:rFonts w:hint="eastAsia" w:ascii="宋体" w:hAnsi="宋体" w:eastAsia="宋体" w:cs="宋体"/>
                <w:b/>
                <w:bCs/>
                <w:kern w:val="2"/>
                <w:sz w:val="21"/>
                <w:szCs w:val="21"/>
                <w:highlight w:val="none"/>
                <w:lang w:val="en-US" w:eastAsia="zh-CN" w:bidi="ar"/>
              </w:rPr>
              <w:t>总额（元）</w:t>
            </w: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净资产（元）</w:t>
            </w: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净利润（元）</w:t>
            </w:r>
          </w:p>
        </w:tc>
        <w:tc>
          <w:tcPr>
            <w:tcW w:w="528"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营业收入（元）</w:t>
            </w:r>
          </w:p>
        </w:tc>
        <w:tc>
          <w:tcPr>
            <w:tcW w:w="51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营业净利率（%）</w:t>
            </w:r>
          </w:p>
        </w:tc>
        <w:tc>
          <w:tcPr>
            <w:tcW w:w="66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现金及现金等价物净增加额（元）</w:t>
            </w:r>
          </w:p>
        </w:tc>
        <w:tc>
          <w:tcPr>
            <w:tcW w:w="48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流动负债（元）</w:t>
            </w: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净现金流动比率（%)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441" w:type="pc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bookmarkStart w:id="4" w:name="_Toc242770787"/>
            <w:r>
              <w:rPr>
                <w:rFonts w:hint="eastAsia" w:ascii="宋体" w:hAnsi="宋体" w:eastAsia="宋体" w:cs="宋体"/>
                <w:b w:val="0"/>
                <w:bCs w:val="0"/>
                <w:kern w:val="2"/>
                <w:sz w:val="21"/>
                <w:szCs w:val="21"/>
                <w:highlight w:val="none"/>
                <w:lang w:val="en-US" w:eastAsia="zh-CN" w:bidi="ar"/>
              </w:rPr>
              <w:t>2025年</w:t>
            </w:r>
            <w:bookmarkEnd w:id="4"/>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94"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28"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16"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666"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87"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441" w:type="pc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bookmarkStart w:id="5" w:name="_Toc242770788"/>
            <w:r>
              <w:rPr>
                <w:rFonts w:hint="eastAsia" w:ascii="宋体" w:hAnsi="宋体" w:eastAsia="宋体" w:cs="宋体"/>
                <w:b w:val="0"/>
                <w:bCs w:val="0"/>
                <w:kern w:val="2"/>
                <w:sz w:val="21"/>
                <w:szCs w:val="21"/>
                <w:highlight w:val="none"/>
                <w:lang w:val="en-US" w:eastAsia="zh-CN" w:bidi="ar"/>
              </w:rPr>
              <w:t>2024年</w:t>
            </w:r>
            <w:bookmarkEnd w:id="5"/>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94"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28"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1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66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8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441" w:type="pc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2023年</w:t>
            </w: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94"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28"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1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66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8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441" w:type="pc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平均值</w:t>
            </w: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94"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28"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1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66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8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r>
    </w:tbl>
    <w:p>
      <w:pPr>
        <w:spacing w:line="360" w:lineRule="auto"/>
        <w:rPr>
          <w:rFonts w:hint="eastAsia"/>
          <w:highlight w:val="none"/>
          <w:lang w:val="en-US" w:eastAsia="zh-CN"/>
        </w:rPr>
      </w:pPr>
    </w:p>
    <w:p>
      <w:pPr>
        <w:keepNext w:val="0"/>
        <w:keepLines w:val="0"/>
        <w:widowControl w:val="0"/>
        <w:suppressLineNumbers w:val="0"/>
        <w:autoSpaceDE w:val="0"/>
        <w:autoSpaceDN/>
        <w:spacing w:before="0" w:beforeAutospacing="0" w:after="0" w:afterAutospacing="0" w:line="440" w:lineRule="exact"/>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注：1.财务会计报表（包括资产负债表、现金流量表、利润表和财务情况说明书以及审计报告），根据财务会计报表数据填写上表（保留两位小数），并对上表数据的真实性、准确性负责，填报内容与审计报告佐证材料不一致时以佐证材料为准。</w:t>
      </w:r>
    </w:p>
    <w:p>
      <w:pPr>
        <w:keepNext w:val="0"/>
        <w:keepLines w:val="0"/>
        <w:widowControl w:val="0"/>
        <w:suppressLineNumbers w:val="0"/>
        <w:autoSpaceDE w:val="0"/>
        <w:autoSpaceDN/>
        <w:spacing w:before="0" w:beforeAutospacing="0" w:after="0" w:afterAutospacing="0" w:line="440" w:lineRule="exact"/>
        <w:ind w:left="0" w:right="0"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2.相关数据应在寻源需求文件中用下划线或方框作标记，以方便查阅。</w:t>
      </w:r>
    </w:p>
    <w:p>
      <w:pPr>
        <w:keepNext w:val="0"/>
        <w:keepLines w:val="0"/>
        <w:widowControl w:val="0"/>
        <w:suppressLineNumbers w:val="0"/>
        <w:autoSpaceDE w:val="0"/>
        <w:autoSpaceDN/>
        <w:spacing w:before="0" w:beforeAutospacing="0" w:after="0" w:afterAutospacing="0" w:line="440" w:lineRule="exact"/>
        <w:ind w:left="0" w:right="0" w:firstLine="420" w:firstLineChars="200"/>
        <w:jc w:val="left"/>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3.净资产=总资产-总负债。营业净利率=净利润/营业收入；“营业收入”在利润（分配）表中体现为“主营业务收入”或“营业收入”。净现金流动比率=现金净流量/流动负债；现金净流量，在财务报表中，反映企业本期内净增加或净减少的指标是“现金及现金等价物净增加额”。</w:t>
      </w:r>
    </w:p>
    <w:p>
      <w:pPr>
        <w:keepNext w:val="0"/>
        <w:keepLines w:val="0"/>
        <w:widowControl w:val="0"/>
        <w:suppressLineNumbers w:val="0"/>
        <w:autoSpaceDE w:val="0"/>
        <w:autoSpaceDN/>
        <w:spacing w:before="0" w:beforeAutospacing="0" w:after="0" w:afterAutospacing="0" w:line="440" w:lineRule="exact"/>
        <w:ind w:left="0" w:right="0" w:firstLine="420" w:firstLineChars="200"/>
        <w:jc w:val="left"/>
        <w:rPr>
          <w:rFonts w:hint="eastAsia"/>
          <w:highlight w:val="none"/>
          <w:lang w:val="en-US" w:eastAsia="zh-CN"/>
        </w:rPr>
      </w:pPr>
      <w:r>
        <w:rPr>
          <w:rFonts w:hint="eastAsia" w:ascii="宋体" w:hAnsi="宋体" w:eastAsia="宋体" w:cs="宋体"/>
          <w:kern w:val="2"/>
          <w:sz w:val="21"/>
          <w:szCs w:val="21"/>
          <w:highlight w:val="none"/>
          <w:lang w:val="en-US" w:eastAsia="zh-CN" w:bidi="ar"/>
        </w:rPr>
        <w:t>4.新成立的公司按公司成立时间提供。</w:t>
      </w:r>
    </w:p>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2.1.1 2025年财务报告（如2025年报表未发布，则提供相关原因声明及2022-2024年报表）</w:t>
      </w:r>
    </w:p>
    <w:p>
      <w:pPr>
        <w:pStyle w:val="2"/>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2.1.3 2023年财务报告</w:t>
      </w: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numPr>
          <w:ilvl w:val="0"/>
          <w:numId w:val="0"/>
        </w:numPr>
        <w:spacing w:line="360" w:lineRule="auto"/>
        <w:ind w:leftChars="0"/>
        <w:outlineLvl w:val="2"/>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2.2近三年纳税等级证明材料</w:t>
      </w:r>
    </w:p>
    <w:p>
      <w:pPr>
        <w:spacing w:line="360" w:lineRule="auto"/>
        <w:rPr>
          <w:rFonts w:hint="eastAsia" w:ascii="仿宋" w:hAnsi="仿宋" w:eastAsia="仿宋" w:cs="仿宋"/>
          <w:i/>
          <w:iCs/>
          <w:color w:val="0000FF"/>
          <w:sz w:val="24"/>
          <w:highlight w:val="none"/>
          <w:u w:val="single"/>
        </w:rPr>
      </w:pPr>
      <w:r>
        <w:rPr>
          <w:rFonts w:hint="eastAsia" w:ascii="仿宋" w:hAnsi="仿宋" w:eastAsia="仿宋" w:cs="仿宋"/>
          <w:i/>
          <w:iCs/>
          <w:color w:val="0000FF"/>
          <w:sz w:val="24"/>
          <w:highlight w:val="none"/>
          <w:u w:val="single"/>
        </w:rPr>
        <w:t>（说明：</w:t>
      </w:r>
      <w:r>
        <w:rPr>
          <w:rFonts w:hint="eastAsia" w:ascii="仿宋" w:hAnsi="仿宋" w:eastAsia="仿宋" w:cs="仿宋"/>
          <w:i/>
          <w:iCs/>
          <w:color w:val="0000FF"/>
          <w:sz w:val="24"/>
          <w:highlight w:val="none"/>
          <w:u w:val="single"/>
          <w:lang w:val="en-US" w:eastAsia="zh-CN"/>
        </w:rPr>
        <w:t>提供税务机关出具的近三年纳税等级证明材料。税务总局每年 4 月确定上一年度纳税评价结果（www.chinatax.gov.cn），若在投标前仍未公布上一年的评价结果，则将前一年度结果作为最近一年度的查询结果，以此类推。</w:t>
      </w:r>
      <w:r>
        <w:rPr>
          <w:rFonts w:hint="eastAsia" w:ascii="仿宋" w:hAnsi="仿宋" w:eastAsia="仿宋" w:cs="仿宋"/>
          <w:i/>
          <w:iCs/>
          <w:color w:val="0000FF"/>
          <w:sz w:val="24"/>
          <w:highlight w:val="none"/>
          <w:u w:val="single"/>
        </w:rPr>
        <w:t>）</w:t>
      </w:r>
    </w:p>
    <w:p>
      <w:pPr>
        <w:spacing w:line="360" w:lineRule="auto"/>
        <w:rPr>
          <w:rFonts w:hint="eastAsia"/>
          <w:highlight w:val="none"/>
          <w:lang w:val="en-US" w:eastAsia="zh-CN"/>
        </w:rPr>
      </w:pPr>
    </w:p>
    <w:p>
      <w:pPr>
        <w:pStyle w:val="2"/>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3.1.2环境管理体系认证等有效证明文件</w:t>
      </w:r>
    </w:p>
    <w:p>
      <w:pPr>
        <w:spacing w:beforeLines="0" w:afterLines="0" w:line="360" w:lineRule="auto"/>
        <w:rPr>
          <w:rFonts w:hint="eastAsia" w:ascii="仿宋" w:hAnsi="仿宋" w:eastAsia="仿宋" w:cs="仿宋"/>
          <w:i/>
          <w:color w:val="0000FF"/>
          <w:kern w:val="0"/>
          <w:sz w:val="24"/>
          <w:szCs w:val="24"/>
          <w:u w:val="single"/>
          <w:lang w:bidi="ar"/>
        </w:rPr>
      </w:pPr>
      <w:r>
        <w:rPr>
          <w:rFonts w:hint="eastAsia" w:ascii="仿宋" w:hAnsi="仿宋" w:eastAsia="仿宋" w:cs="仿宋"/>
          <w:i/>
          <w:color w:val="0000FF"/>
          <w:kern w:val="0"/>
          <w:sz w:val="24"/>
          <w:szCs w:val="24"/>
          <w:u w:val="single"/>
          <w:lang w:bidi="ar"/>
        </w:rPr>
        <w:t>（说明：根据询价内容及要求，提供被授权经销商环境管理体系认证及其他相关资质等</w:t>
      </w:r>
      <w:r>
        <w:rPr>
          <w:rFonts w:hint="eastAsia" w:ascii="仿宋" w:hAnsi="仿宋" w:eastAsia="仿宋" w:cs="仿宋"/>
          <w:i/>
          <w:color w:val="0000FF"/>
          <w:kern w:val="0"/>
          <w:sz w:val="24"/>
          <w:szCs w:val="24"/>
          <w:u w:val="single"/>
          <w:lang w:eastAsia="zh-CN" w:bidi="ar"/>
        </w:rPr>
        <w:t>。</w:t>
      </w:r>
      <w:r>
        <w:rPr>
          <w:rFonts w:hint="eastAsia" w:ascii="仿宋" w:hAnsi="仿宋" w:eastAsia="仿宋" w:cs="仿宋"/>
          <w:i/>
          <w:color w:val="0000FF"/>
          <w:kern w:val="0"/>
          <w:sz w:val="24"/>
          <w:szCs w:val="24"/>
          <w:u w:val="single"/>
          <w:lang w:bidi="ar"/>
        </w:rPr>
        <w:t>）</w:t>
      </w:r>
    </w:p>
    <w:p>
      <w:pPr>
        <w:spacing w:beforeLines="0" w:afterLines="0" w:line="360" w:lineRule="auto"/>
        <w:rPr>
          <w:rFonts w:hint="eastAsia" w:ascii="仿宋" w:hAnsi="仿宋" w:eastAsia="仿宋" w:cs="仿宋"/>
          <w:i/>
          <w:color w:val="0000FF"/>
          <w:kern w:val="0"/>
          <w:sz w:val="24"/>
          <w:szCs w:val="24"/>
          <w:u w:val="single"/>
          <w:lang w:bidi="ar"/>
        </w:rPr>
      </w:pPr>
    </w:p>
    <w:p>
      <w:pPr>
        <w:spacing w:beforeLines="0" w:afterLines="0" w:line="360" w:lineRule="auto"/>
        <w:outlineLvl w:val="3"/>
        <w:rPr>
          <w:rFonts w:hint="eastAsia" w:ascii="仿宋" w:hAnsi="仿宋" w:eastAsia="仿宋" w:cs="仿宋"/>
          <w:b/>
          <w:sz w:val="24"/>
          <w:szCs w:val="24"/>
        </w:rPr>
      </w:pPr>
      <w:r>
        <w:rPr>
          <w:rFonts w:hint="eastAsia" w:ascii="仿宋" w:hAnsi="仿宋" w:eastAsia="仿宋" w:cs="仿宋"/>
          <w:b/>
          <w:bCs/>
          <w:sz w:val="24"/>
          <w:szCs w:val="24"/>
          <w:highlight w:val="none"/>
          <w:lang w:val="en-US" w:eastAsia="zh-CN"/>
        </w:rPr>
        <w:t>3.1.3</w:t>
      </w:r>
      <w:r>
        <w:rPr>
          <w:rFonts w:hint="eastAsia" w:ascii="仿宋" w:hAnsi="仿宋" w:eastAsia="仿宋" w:cs="仿宋"/>
          <w:b/>
          <w:sz w:val="24"/>
          <w:szCs w:val="24"/>
        </w:rPr>
        <w:t>职业健康安全管理体系认证等有效证明文件</w:t>
      </w:r>
    </w:p>
    <w:p>
      <w:pPr>
        <w:spacing w:beforeLines="0" w:afterLines="0" w:line="360" w:lineRule="auto"/>
        <w:rPr>
          <w:rFonts w:hint="eastAsia" w:ascii="仿宋" w:hAnsi="仿宋" w:eastAsia="仿宋" w:cs="仿宋"/>
          <w:i/>
          <w:color w:val="0000FF"/>
          <w:kern w:val="0"/>
          <w:sz w:val="24"/>
          <w:szCs w:val="24"/>
          <w:u w:val="single"/>
          <w:lang w:bidi="ar"/>
        </w:rPr>
      </w:pPr>
      <w:r>
        <w:rPr>
          <w:rFonts w:hint="eastAsia" w:ascii="仿宋" w:hAnsi="仿宋" w:eastAsia="仿宋" w:cs="仿宋"/>
          <w:i/>
          <w:color w:val="0000FF"/>
          <w:kern w:val="0"/>
          <w:sz w:val="24"/>
          <w:szCs w:val="24"/>
          <w:u w:val="single"/>
          <w:lang w:bidi="ar"/>
        </w:rPr>
        <w:t>（说明：根据询价内容及要求，提供被授权经销商职业健康安全管理体系认证及其他相关资质等</w:t>
      </w:r>
      <w:r>
        <w:rPr>
          <w:rFonts w:hint="eastAsia" w:ascii="仿宋" w:hAnsi="仿宋" w:eastAsia="仿宋" w:cs="仿宋"/>
          <w:i/>
          <w:color w:val="0000FF"/>
          <w:kern w:val="0"/>
          <w:sz w:val="24"/>
          <w:szCs w:val="24"/>
          <w:u w:val="single"/>
          <w:lang w:eastAsia="zh-CN" w:bidi="ar"/>
        </w:rPr>
        <w:t>。</w:t>
      </w:r>
      <w:r>
        <w:rPr>
          <w:rFonts w:hint="eastAsia" w:ascii="仿宋" w:hAnsi="仿宋" w:eastAsia="仿宋" w:cs="仿宋"/>
          <w:i/>
          <w:color w:val="0000FF"/>
          <w:kern w:val="0"/>
          <w:sz w:val="24"/>
          <w:szCs w:val="24"/>
          <w:u w:val="single"/>
          <w:lang w:bidi="ar"/>
        </w:rPr>
        <w:t>）</w:t>
      </w:r>
    </w:p>
    <w:p>
      <w:pPr>
        <w:spacing w:beforeLines="0" w:afterLines="0" w:line="360" w:lineRule="auto"/>
        <w:rPr>
          <w:rFonts w:hint="eastAsia" w:ascii="仿宋" w:hAnsi="仿宋" w:eastAsia="仿宋" w:cs="仿宋"/>
          <w:i/>
          <w:color w:val="0000FF"/>
          <w:kern w:val="0"/>
          <w:sz w:val="24"/>
          <w:szCs w:val="24"/>
          <w:u w:val="single"/>
          <w:lang w:bidi="ar"/>
        </w:rPr>
      </w:pPr>
    </w:p>
    <w:p>
      <w:pPr>
        <w:spacing w:beforeLines="0" w:afterLines="0" w:line="360" w:lineRule="auto"/>
        <w:outlineLvl w:val="3"/>
        <w:rPr>
          <w:rFonts w:hint="eastAsia" w:ascii="仿宋" w:hAnsi="仿宋" w:eastAsia="仿宋" w:cs="仿宋"/>
          <w:b/>
          <w:sz w:val="24"/>
          <w:szCs w:val="24"/>
        </w:rPr>
      </w:pPr>
      <w:r>
        <w:rPr>
          <w:rFonts w:hint="eastAsia" w:ascii="仿宋" w:hAnsi="仿宋" w:eastAsia="仿宋" w:cs="仿宋"/>
          <w:b/>
          <w:bCs/>
          <w:sz w:val="24"/>
          <w:szCs w:val="24"/>
          <w:highlight w:val="none"/>
          <w:lang w:val="en-US" w:eastAsia="zh-CN"/>
        </w:rPr>
        <w:t>3.1.4</w:t>
      </w:r>
      <w:r>
        <w:rPr>
          <w:rFonts w:hint="eastAsia" w:ascii="仿宋" w:hAnsi="仿宋" w:eastAsia="仿宋" w:cs="仿宋"/>
          <w:b/>
          <w:sz w:val="24"/>
          <w:szCs w:val="24"/>
        </w:rPr>
        <w:t>信息安全管理体系认证等有效证明文件</w:t>
      </w:r>
    </w:p>
    <w:p>
      <w:pPr>
        <w:spacing w:beforeLines="0" w:afterLines="0" w:line="360" w:lineRule="auto"/>
        <w:rPr>
          <w:rFonts w:hint="eastAsia" w:ascii="仿宋" w:hAnsi="仿宋" w:eastAsia="仿宋" w:cs="仿宋"/>
          <w:i/>
          <w:color w:val="0000FF"/>
          <w:kern w:val="0"/>
          <w:sz w:val="24"/>
          <w:szCs w:val="24"/>
          <w:u w:val="single"/>
          <w:lang w:bidi="ar"/>
        </w:rPr>
      </w:pPr>
      <w:r>
        <w:rPr>
          <w:rFonts w:hint="eastAsia" w:ascii="仿宋" w:hAnsi="仿宋" w:eastAsia="仿宋" w:cs="仿宋"/>
          <w:i/>
          <w:color w:val="0000FF"/>
          <w:kern w:val="0"/>
          <w:sz w:val="24"/>
          <w:szCs w:val="24"/>
          <w:u w:val="single"/>
          <w:lang w:bidi="ar"/>
        </w:rPr>
        <w:t>（说明：根据询价内容及要求，提供被授权经销商信息安全管理体系认证及其他相关资质等</w:t>
      </w:r>
      <w:r>
        <w:rPr>
          <w:rFonts w:hint="eastAsia" w:ascii="仿宋" w:hAnsi="仿宋" w:eastAsia="仿宋" w:cs="仿宋"/>
          <w:i/>
          <w:color w:val="0000FF"/>
          <w:kern w:val="0"/>
          <w:sz w:val="24"/>
          <w:szCs w:val="24"/>
          <w:u w:val="single"/>
          <w:lang w:eastAsia="zh-CN" w:bidi="ar"/>
        </w:rPr>
        <w:t>。</w:t>
      </w:r>
      <w:r>
        <w:rPr>
          <w:rFonts w:hint="eastAsia" w:ascii="仿宋" w:hAnsi="仿宋" w:eastAsia="仿宋" w:cs="仿宋"/>
          <w:i/>
          <w:color w:val="0000FF"/>
          <w:kern w:val="0"/>
          <w:sz w:val="24"/>
          <w:szCs w:val="24"/>
          <w:u w:val="single"/>
          <w:lang w:bidi="ar"/>
        </w:rPr>
        <w:t>）</w:t>
      </w:r>
    </w:p>
    <w:p>
      <w:pPr>
        <w:spacing w:line="360" w:lineRule="auto"/>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FF0000"/>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color w:val="FF0000"/>
          <w:sz w:val="24"/>
          <w:szCs w:val="24"/>
          <w:highlight w:val="none"/>
        </w:rPr>
      </w:pPr>
      <w:r>
        <w:rPr>
          <w:rFonts w:hint="eastAsia" w:ascii="仿宋" w:hAnsi="仿宋" w:eastAsia="仿宋" w:cs="仿宋"/>
          <w:b/>
          <w:bCs/>
          <w:color w:val="FF0000"/>
          <w:sz w:val="24"/>
          <w:szCs w:val="24"/>
          <w:highlight w:val="none"/>
          <w:lang w:val="en-US" w:eastAsia="zh-CN"/>
        </w:rPr>
        <w:t>3.1.7其他</w:t>
      </w:r>
      <w:r>
        <w:rPr>
          <w:rFonts w:hint="eastAsia" w:ascii="仿宋" w:hAnsi="仿宋" w:eastAsia="仿宋" w:cs="仿宋"/>
          <w:b/>
          <w:bCs/>
          <w:color w:val="FF0000"/>
          <w:sz w:val="24"/>
          <w:szCs w:val="24"/>
          <w:highlight w:val="none"/>
        </w:rPr>
        <w:t>相关</w:t>
      </w:r>
      <w:r>
        <w:rPr>
          <w:rFonts w:hint="eastAsia" w:ascii="仿宋" w:hAnsi="仿宋" w:eastAsia="仿宋" w:cs="仿宋"/>
          <w:b/>
          <w:bCs/>
          <w:color w:val="FF0000"/>
          <w:sz w:val="24"/>
          <w:szCs w:val="24"/>
          <w:highlight w:val="none"/>
          <w:lang w:val="en-US" w:eastAsia="zh-CN"/>
        </w:rPr>
        <w:t>资质等（如有）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，根据询价内容及要求，提供被授权经销商质量管理体系认证及其他相关资质等，</w:t>
      </w:r>
      <w:r>
        <w:rPr>
          <w:rFonts w:ascii="仿宋" w:hAnsi="仿宋" w:eastAsia="仿宋" w:cs="仿宋"/>
          <w:i/>
          <w:iCs/>
          <w:color w:val="0000FF"/>
          <w:kern w:val="0"/>
          <w:sz w:val="24"/>
          <w:szCs w:val="24"/>
          <w:highlight w:val="none"/>
          <w:u w:val="single"/>
          <w:lang w:val="en-US" w:eastAsia="zh-CN" w:bidi="ar"/>
        </w:rPr>
        <w:t>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rPr>
      </w:pPr>
      <w:r>
        <w:rPr>
          <w:rFonts w:hint="eastAsia" w:ascii="仿宋" w:hAnsi="仿宋" w:eastAsia="仿宋" w:cs="仿宋"/>
          <w:b/>
          <w:bCs/>
          <w:sz w:val="24"/>
          <w:szCs w:val="24"/>
          <w:highlight w:val="none"/>
          <w:lang w:val="en-US" w:eastAsia="zh-CN"/>
        </w:rPr>
        <w:t>3.2.2</w:t>
      </w:r>
      <w:r>
        <w:rPr>
          <w:rFonts w:hint="eastAsia" w:ascii="仿宋" w:hAnsi="仿宋" w:eastAsia="仿宋" w:cs="仿宋"/>
          <w:b/>
          <w:sz w:val="24"/>
          <w:szCs w:val="24"/>
        </w:rPr>
        <w:t>环境管理体系认证等有效证明文件</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，根据询价内容及要求，提供被授权经销商质环境管理体系认证及其他相关资质等，</w:t>
      </w:r>
      <w:r>
        <w:rPr>
          <w:rFonts w:ascii="仿宋" w:hAnsi="仿宋" w:eastAsia="仿宋" w:cs="仿宋"/>
          <w:i/>
          <w:iCs/>
          <w:color w:val="0000FF"/>
          <w:kern w:val="0"/>
          <w:sz w:val="24"/>
          <w:szCs w:val="24"/>
          <w:highlight w:val="none"/>
          <w:u w:val="single"/>
          <w:lang w:val="en-US" w:eastAsia="zh-CN" w:bidi="ar"/>
        </w:rPr>
        <w:t>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rPr>
      </w:pPr>
      <w:r>
        <w:rPr>
          <w:rFonts w:hint="eastAsia" w:ascii="仿宋" w:hAnsi="仿宋" w:eastAsia="仿宋" w:cs="仿宋"/>
          <w:b/>
          <w:bCs/>
          <w:sz w:val="24"/>
          <w:szCs w:val="24"/>
          <w:highlight w:val="none"/>
          <w:lang w:val="en-US" w:eastAsia="zh-CN"/>
        </w:rPr>
        <w:t>3.2.3</w:t>
      </w:r>
      <w:r>
        <w:rPr>
          <w:rFonts w:hint="eastAsia" w:ascii="仿宋" w:hAnsi="仿宋" w:eastAsia="仿宋" w:cs="仿宋"/>
          <w:b/>
          <w:sz w:val="24"/>
          <w:szCs w:val="24"/>
        </w:rPr>
        <w:t>职业健康安全管理体系认证等有效证明文件</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，根据询价内容及要求，提供被授权经销商质职业健康安全管理体系认证及其他相关资质等，</w:t>
      </w:r>
      <w:r>
        <w:rPr>
          <w:rFonts w:ascii="仿宋" w:hAnsi="仿宋" w:eastAsia="仿宋" w:cs="仿宋"/>
          <w:i/>
          <w:iCs/>
          <w:color w:val="0000FF"/>
          <w:kern w:val="0"/>
          <w:sz w:val="24"/>
          <w:szCs w:val="24"/>
          <w:highlight w:val="none"/>
          <w:u w:val="single"/>
          <w:lang w:val="en-US" w:eastAsia="zh-CN" w:bidi="ar"/>
        </w:rPr>
        <w:t>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rPr>
      </w:pPr>
      <w:r>
        <w:rPr>
          <w:rFonts w:hint="eastAsia" w:ascii="仿宋" w:hAnsi="仿宋" w:eastAsia="仿宋" w:cs="仿宋"/>
          <w:b/>
          <w:bCs/>
          <w:sz w:val="24"/>
          <w:szCs w:val="24"/>
          <w:highlight w:val="none"/>
          <w:lang w:val="en-US" w:eastAsia="zh-CN"/>
        </w:rPr>
        <w:t>3.2.4</w:t>
      </w:r>
      <w:r>
        <w:rPr>
          <w:rFonts w:hint="eastAsia" w:ascii="仿宋" w:hAnsi="仿宋" w:eastAsia="仿宋" w:cs="仿宋"/>
          <w:b/>
          <w:sz w:val="24"/>
          <w:szCs w:val="24"/>
        </w:rPr>
        <w:t>信息安全管理体系认证等有效证明文件</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，根据询价内容及要求，提供被授权经销商质职业健康安全管理体系认证及其他相关资质等，</w:t>
      </w:r>
      <w:r>
        <w:rPr>
          <w:rFonts w:ascii="仿宋" w:hAnsi="仿宋" w:eastAsia="仿宋" w:cs="仿宋"/>
          <w:i/>
          <w:iCs/>
          <w:color w:val="0000FF"/>
          <w:kern w:val="0"/>
          <w:sz w:val="24"/>
          <w:szCs w:val="24"/>
          <w:highlight w:val="none"/>
          <w:u w:val="single"/>
          <w:lang w:val="en-US" w:eastAsia="zh-CN" w:bidi="ar"/>
        </w:rPr>
        <w:t>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产品商务资料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，根据询价内容及要求，提供寻源产品商务资料）</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4.1财务状况</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spacing w:line="360" w:lineRule="auto"/>
        <w:jc w:val="center"/>
        <w:rPr>
          <w:rFonts w:hint="eastAsia" w:ascii="宋体" w:hAnsi="宋体" w:eastAsia="宋体" w:cs="宋体"/>
          <w:b/>
          <w:bCs/>
          <w:sz w:val="24"/>
          <w:szCs w:val="24"/>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4.2诚信经营</w:t>
      </w:r>
      <w:bookmarkStart w:id="6" w:name="_GoBack"/>
      <w:bookmarkEnd w:id="6"/>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pStyle w:val="6"/>
        <w:numPr>
          <w:ilvl w:val="1"/>
          <w:numId w:val="0"/>
        </w:numPr>
        <w:bidi w:val="0"/>
        <w:spacing w:line="360" w:lineRule="auto"/>
        <w:ind w:leftChars="0"/>
        <w:rPr>
          <w:rFonts w:hint="default"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4.3供应稳定</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4.4其他（如有）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5.1技术条款响应性</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，请根据技术评审要素要求及技术偏差表要求提供相关内容/证明材料，格式自定义。）</w:t>
      </w:r>
    </w:p>
    <w:p>
      <w:pPr>
        <w:rPr>
          <w:rFonts w:hint="eastAsia"/>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5.2项目理解程度</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，请根据技术评审要素要求及技术偏差表要求提供相关内容/证明材料，格式自定义。）</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5.3技术方案</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，请根据技术评审要素要求及技术偏差表要求提供相关内容/证明材料（包括技术实现方案、技术方案完整合理性、技术要求满足情况等内容），格式自定义。）</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5.4功能完备性</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，请根据技术评审要素要求及技术偏差表要求提供相关内容/证明材料，格式自定义。）</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5.5实施计划及保障措施</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，请根据技术评审要素要求及技术偏差表要求提供相关内容/证明材料（包括实施进度及保障措施完善、进度计划及服务承诺、技术服务机制等内容）</w:t>
      </w:r>
    </w:p>
    <w:p>
      <w:pPr>
        <w:spacing w:line="360" w:lineRule="auto"/>
        <w:rPr>
          <w:rFonts w:hint="eastAsia" w:ascii="仿宋" w:hAnsi="仿宋" w:eastAsia="仿宋" w:cs="仿宋"/>
          <w:i/>
          <w:iCs/>
          <w:color w:val="0000FF"/>
          <w:kern w:val="0"/>
          <w:sz w:val="24"/>
          <w:szCs w:val="24"/>
          <w:highlight w:val="none"/>
          <w:u w:val="single"/>
          <w:lang w:val="en-US" w:eastAsia="zh-CN" w:bidi="ar"/>
        </w:rPr>
        <w:sectPr>
          <w:footerReference r:id="rId3" w:type="default"/>
          <w:pgSz w:w="11906" w:h="16839"/>
          <w:pgMar w:top="400" w:right="800" w:bottom="726" w:left="800" w:header="0" w:footer="358" w:gutter="0"/>
          <w:cols w:space="720" w:num="1"/>
        </w:sectPr>
      </w:pPr>
      <w:r>
        <w:rPr>
          <w:rFonts w:hint="eastAsia" w:ascii="仿宋" w:hAnsi="仿宋" w:eastAsia="仿宋" w:cs="仿宋"/>
          <w:i/>
          <w:iCs/>
          <w:color w:val="0000FF"/>
          <w:kern w:val="0"/>
          <w:sz w:val="24"/>
          <w:szCs w:val="24"/>
          <w:highlight w:val="none"/>
          <w:u w:val="single"/>
          <w:lang w:val="en-US" w:eastAsia="zh-CN" w:bidi="ar"/>
        </w:rPr>
        <w:t>），格式自定义。</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5.6产品相关资质证书</w:t>
      </w:r>
    </w:p>
    <w:p>
      <w:pPr>
        <w:keepNext w:val="0"/>
        <w:keepLines w:val="0"/>
        <w:widowControl/>
        <w:suppressLineNumbers w:val="0"/>
        <w:spacing w:line="360" w:lineRule="auto"/>
        <w:jc w:val="left"/>
        <w:rPr>
          <w:rFonts w:hint="default"/>
          <w:highlight w:val="none"/>
          <w:lang w:val="en-US" w:eastAsia="zh-CN"/>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w:t>
      </w:r>
      <w:r>
        <w:rPr>
          <w:rFonts w:hint="eastAsia" w:ascii="仿宋" w:hAnsi="仿宋" w:eastAsia="仿宋" w:cs="仿宋"/>
          <w:b/>
          <w:bCs/>
          <w:i/>
          <w:iCs/>
          <w:color w:val="0000FF"/>
          <w:kern w:val="0"/>
          <w:sz w:val="24"/>
          <w:szCs w:val="24"/>
          <w:highlight w:val="red"/>
          <w:u w:val="single"/>
          <w:lang w:val="en-US" w:eastAsia="zh-CN" w:bidi="ar"/>
        </w:rPr>
        <w:t>如中国强制性产品认证证书、销售许可证、第三方测试报告、专利或软著等。</w:t>
      </w:r>
      <w:r>
        <w:rPr>
          <w:rFonts w:ascii="仿宋" w:hAnsi="仿宋" w:eastAsia="仿宋" w:cs="仿宋"/>
          <w:i/>
          <w:iCs/>
          <w:color w:val="0000FF"/>
          <w:kern w:val="0"/>
          <w:sz w:val="24"/>
          <w:szCs w:val="24"/>
          <w:highlight w:val="none"/>
          <w:u w:val="single"/>
          <w:lang w:val="en-US" w:eastAsia="zh-CN" w:bidi="ar"/>
        </w:rPr>
        <w:t>）</w:t>
      </w: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5.7技术偏离表</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（制造商提供，</w:t>
      </w:r>
      <w:r>
        <w:rPr>
          <w:rFonts w:hint="eastAsia" w:ascii="仿宋" w:hAnsi="仿宋" w:eastAsia="仿宋" w:cs="仿宋"/>
          <w:i/>
          <w:iCs/>
          <w:color w:val="0000FF"/>
          <w:kern w:val="0"/>
          <w:sz w:val="24"/>
          <w:szCs w:val="24"/>
          <w:highlight w:val="none"/>
          <w:u w:val="single"/>
          <w:lang w:val="en-US" w:eastAsia="zh-CN" w:bidi="ar"/>
        </w:rPr>
        <w:t>并加盖公章，按照技术偏离表提供相应的证明材料）</w:t>
      </w:r>
    </w:p>
    <w:p>
      <w:pPr>
        <w:pStyle w:val="2"/>
        <w:rPr>
          <w:rFonts w:hint="default"/>
          <w:lang w:val="en-US"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5.8其他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包含合同、金额、发票等有效证明材料，合同须包含封面、合同金额页、合同签字盖章页）</w:t>
      </w: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both"/>
              <w:textAlignment w:val="center"/>
              <w:rPr>
                <w:rFonts w:hint="default" w:ascii="仿宋" w:hAnsi="仿宋" w:eastAsia="仿宋" w:cs="仿宋"/>
                <w:bCs/>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数据备份恢复设备</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i w:val="0"/>
                <w:iCs w:val="0"/>
                <w:color w:val="FF0000"/>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i w:val="0"/>
                <w:iCs w:val="0"/>
                <w:color w:val="auto"/>
                <w:kern w:val="2"/>
                <w:sz w:val="24"/>
                <w:szCs w:val="24"/>
                <w:highlight w:val="none"/>
                <w:lang w:val="en-US" w:eastAsia="zh-CN" w:bidi="ar-SA"/>
              </w:rPr>
            </w:pPr>
            <w:r>
              <w:rPr>
                <w:rFonts w:hint="eastAsia" w:ascii="仿宋" w:hAnsi="仿宋" w:eastAsia="仿宋" w:cs="仿宋"/>
                <w:i w:val="0"/>
                <w:iCs w:val="0"/>
                <w:color w:val="auto"/>
                <w:kern w:val="2"/>
                <w:sz w:val="24"/>
                <w:szCs w:val="24"/>
                <w:highlight w:val="none"/>
                <w:lang w:val="en-US" w:eastAsia="zh-CN" w:bidi="ar-SA"/>
              </w:rPr>
              <w:t>台</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both"/>
              <w:textAlignment w:val="center"/>
              <w:rPr>
                <w:rFonts w:hint="default" w:ascii="仿宋" w:hAnsi="仿宋" w:eastAsia="仿宋" w:cs="仿宋"/>
                <w:i w:val="0"/>
                <w:iCs w:val="0"/>
                <w:color w:val="auto"/>
                <w:kern w:val="2"/>
                <w:sz w:val="24"/>
                <w:szCs w:val="24"/>
                <w:highlight w:val="none"/>
                <w:lang w:val="en-US" w:eastAsia="zh-CN" w:bidi="ar-SA"/>
              </w:rPr>
            </w:pPr>
            <w:r>
              <w:rPr>
                <w:rFonts w:hint="eastAsia" w:ascii="仿宋" w:hAnsi="仿宋" w:eastAsia="仿宋" w:cs="仿宋"/>
                <w:i w:val="0"/>
                <w:iCs w:val="0"/>
                <w:color w:val="auto"/>
                <w:kern w:val="2"/>
                <w:sz w:val="24"/>
                <w:szCs w:val="24"/>
                <w:highlight w:val="none"/>
                <w:lang w:val="en-US" w:eastAsia="zh-CN" w:bidi="ar-SA"/>
              </w:rPr>
              <w:t>39</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both"/>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管理容量授权</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i w:val="0"/>
                <w:iCs w:val="0"/>
                <w:color w:val="FF0000"/>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i w:val="0"/>
                <w:iCs w:val="0"/>
                <w:color w:val="auto"/>
                <w:kern w:val="2"/>
                <w:sz w:val="24"/>
                <w:szCs w:val="24"/>
                <w:highlight w:val="none"/>
                <w:lang w:val="en-US" w:eastAsia="zh-CN" w:bidi="ar-SA"/>
              </w:rPr>
            </w:pPr>
            <w:r>
              <w:rPr>
                <w:rFonts w:hint="eastAsia" w:ascii="仿宋" w:hAnsi="仿宋" w:eastAsia="仿宋" w:cs="仿宋"/>
                <w:i w:val="0"/>
                <w:iCs w:val="0"/>
                <w:color w:val="auto"/>
                <w:kern w:val="2"/>
                <w:sz w:val="24"/>
                <w:szCs w:val="24"/>
                <w:highlight w:val="none"/>
                <w:lang w:val="en-US" w:eastAsia="zh-CN" w:bidi="ar-SA"/>
              </w:rPr>
              <w:t>个</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both"/>
              <w:textAlignment w:val="center"/>
              <w:rPr>
                <w:rFonts w:hint="default" w:ascii="仿宋" w:hAnsi="仿宋" w:eastAsia="仿宋" w:cs="仿宋"/>
                <w:i w:val="0"/>
                <w:iCs w:val="0"/>
                <w:color w:val="auto"/>
                <w:kern w:val="2"/>
                <w:sz w:val="24"/>
                <w:szCs w:val="24"/>
                <w:highlight w:val="none"/>
                <w:lang w:val="en-US" w:eastAsia="zh-CN" w:bidi="ar-SA"/>
              </w:rPr>
            </w:pPr>
            <w:r>
              <w:rPr>
                <w:rFonts w:hint="eastAsia" w:ascii="仿宋" w:hAnsi="仿宋" w:eastAsia="仿宋" w:cs="仿宋"/>
                <w:i w:val="0"/>
                <w:iCs w:val="0"/>
                <w:color w:val="auto"/>
                <w:kern w:val="2"/>
                <w:sz w:val="24"/>
                <w:szCs w:val="24"/>
                <w:highlight w:val="none"/>
                <w:lang w:val="en-US" w:eastAsia="zh-CN" w:bidi="ar-SA"/>
              </w:rPr>
              <w:t>20</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both"/>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本寻源项目包含2项物资，需全部响应，部分响应则视为无效响应。</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FE"/>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5" w:line="200" w:lineRule="auto"/>
      <w:jc w:val="right"/>
      <w:rPr>
        <w:rFonts w:ascii="宋体" w:hAnsi="宋体" w:eastAsia="宋体" w:cs="宋体"/>
        <w:sz w:val="28"/>
        <w:szCs w:val="28"/>
      </w:rPr>
    </w:pPr>
    <w:r>
      <mc:AlternateContent>
        <mc:Choice Requires="wps">
          <w:drawing>
            <wp:anchor distT="0" distB="0" distL="114300" distR="114300" simplePos="0" relativeHeight="251659264"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57216;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C+/5JN2QAAAA0BAAAPAAAA&#10;AAAAAAEAIAAAACIAAABkcnMvZG93bnJldi54bWxQSwECFAAUAAAACACHTuJAPT3uKk0CAADHBAAA&#10;DgAAAAAAAAABACAAAAAoAQAAZHJzL2Uyb0RvYy54bWxQSwUGAAAAAAYABgBZAQAA5w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第310页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0000000F"/>
    <w:multiLevelType w:val="multilevel"/>
    <w:tmpl w:val="0000000F"/>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8"/>
        <w:szCs w:val="28"/>
      </w:rPr>
    </w:lvl>
    <w:lvl w:ilvl="2" w:tentative="0">
      <w:start w:val="1"/>
      <w:numFmt w:val="decimal"/>
      <w:pStyle w:val="37"/>
      <w:suff w:val="space"/>
      <w:lvlText w:val="%1%2.%3　"/>
      <w:lvlJc w:val="left"/>
      <w:pPr>
        <w:ind w:left="1702" w:firstLine="0"/>
      </w:pPr>
      <w:rPr>
        <w:rFonts w:hint="eastAsia" w:hAnsi="Times New Roman" w:cs="Times New Roman"/>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3" w:tentative="0">
      <w:start w:val="1"/>
      <w:numFmt w:val="decimal"/>
      <w:pStyle w:val="36"/>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604FA9"/>
    <w:rsid w:val="0B8F6344"/>
    <w:rsid w:val="0BF20216"/>
    <w:rsid w:val="0CA2430D"/>
    <w:rsid w:val="0D1F336B"/>
    <w:rsid w:val="0D904269"/>
    <w:rsid w:val="0DBA12E6"/>
    <w:rsid w:val="0E3A1661"/>
    <w:rsid w:val="0E6F20D1"/>
    <w:rsid w:val="0E896B03"/>
    <w:rsid w:val="0F672F6E"/>
    <w:rsid w:val="0FA364D6"/>
    <w:rsid w:val="0FC70711"/>
    <w:rsid w:val="0FEA5585"/>
    <w:rsid w:val="0FFA1B40"/>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51BFF"/>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B2DD0"/>
    <w:rsid w:val="40CE371E"/>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4F94FE2"/>
    <w:rsid w:val="552705DC"/>
    <w:rsid w:val="5577641C"/>
    <w:rsid w:val="55A63A05"/>
    <w:rsid w:val="55CA76DF"/>
    <w:rsid w:val="566F1681"/>
    <w:rsid w:val="56B57E6A"/>
    <w:rsid w:val="56EF6DF2"/>
    <w:rsid w:val="575E6C7E"/>
    <w:rsid w:val="580531F2"/>
    <w:rsid w:val="584D3E3E"/>
    <w:rsid w:val="58CB44FD"/>
    <w:rsid w:val="59060509"/>
    <w:rsid w:val="59092CF6"/>
    <w:rsid w:val="590D456E"/>
    <w:rsid w:val="5911563C"/>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077A6A"/>
    <w:rsid w:val="6B18238A"/>
    <w:rsid w:val="6B182A49"/>
    <w:rsid w:val="6BD34BC2"/>
    <w:rsid w:val="6BDF747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BB33EC"/>
    <w:rsid w:val="73CB49E0"/>
    <w:rsid w:val="73CF5B6F"/>
    <w:rsid w:val="73DFD9F1"/>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834CF4"/>
    <w:rsid w:val="7CB50EE6"/>
    <w:rsid w:val="7CFC55FB"/>
    <w:rsid w:val="7D2B1642"/>
    <w:rsid w:val="7D4603FA"/>
    <w:rsid w:val="7D586CD5"/>
    <w:rsid w:val="7D7F5C64"/>
    <w:rsid w:val="7DB84B82"/>
    <w:rsid w:val="7DEFADAD"/>
    <w:rsid w:val="7E9B797F"/>
    <w:rsid w:val="7F030EC3"/>
    <w:rsid w:val="7F3E2425"/>
    <w:rsid w:val="7F4A64A2"/>
    <w:rsid w:val="7F4C0ABC"/>
    <w:rsid w:val="7F74591C"/>
    <w:rsid w:val="7F7BA961"/>
    <w:rsid w:val="7F9B327E"/>
    <w:rsid w:val="7FD7F50C"/>
    <w:rsid w:val="7FFF53E7"/>
    <w:rsid w:val="87ED1821"/>
    <w:rsid w:val="9DFAAFE1"/>
    <w:rsid w:val="ADF70467"/>
    <w:rsid w:val="AF3BEC18"/>
    <w:rsid w:val="BBDE7587"/>
    <w:rsid w:val="BDBF5BB2"/>
    <w:rsid w:val="BF5FB20E"/>
    <w:rsid w:val="CE551834"/>
    <w:rsid w:val="CFFF5DBD"/>
    <w:rsid w:val="DB7BFC70"/>
    <w:rsid w:val="DDFA6A2F"/>
    <w:rsid w:val="DFD399BA"/>
    <w:rsid w:val="E1EDADC9"/>
    <w:rsid w:val="E4FFA52F"/>
    <w:rsid w:val="E67B1C68"/>
    <w:rsid w:val="E72C4016"/>
    <w:rsid w:val="EF7F6724"/>
    <w:rsid w:val="F1D7DC87"/>
    <w:rsid w:val="F2FD2F25"/>
    <w:rsid w:val="F38DB4A0"/>
    <w:rsid w:val="F3FE2B88"/>
    <w:rsid w:val="F4EF21E7"/>
    <w:rsid w:val="F4F7BB4F"/>
    <w:rsid w:val="F57432E4"/>
    <w:rsid w:val="F6BE9371"/>
    <w:rsid w:val="F785AA70"/>
    <w:rsid w:val="F7EFAA55"/>
    <w:rsid w:val="FBFD98BC"/>
    <w:rsid w:val="FCDF56EF"/>
    <w:rsid w:val="FEB56E3D"/>
    <w:rsid w:val="FEFEEB2E"/>
    <w:rsid w:val="FF75DB38"/>
    <w:rsid w:val="FF7F8FE1"/>
    <w:rsid w:val="FFBB6320"/>
    <w:rsid w:val="FFBED02E"/>
    <w:rsid w:val="FFFE5BD1"/>
    <w:rsid w:val="FFFED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 w:type="paragraph" w:customStyle="1" w:styleId="36">
    <w:name w:val="二级条标题"/>
    <w:basedOn w:val="37"/>
    <w:next w:val="38"/>
    <w:qFormat/>
    <w:uiPriority w:val="0"/>
    <w:pPr>
      <w:numPr>
        <w:ilvl w:val="3"/>
      </w:numPr>
      <w:outlineLvl w:val="3"/>
    </w:pPr>
    <w:rPr>
      <w:sz w:val="21"/>
      <w:szCs w:val="21"/>
    </w:rPr>
  </w:style>
  <w:style w:type="paragraph" w:customStyle="1" w:styleId="37">
    <w:name w:val="一级条标题"/>
    <w:next w:val="38"/>
    <w:qFormat/>
    <w:uiPriority w:val="0"/>
    <w:pPr>
      <w:numPr>
        <w:ilvl w:val="2"/>
        <w:numId w:val="2"/>
      </w:numPr>
      <w:snapToGrid w:val="0"/>
      <w:spacing w:line="360" w:lineRule="auto"/>
      <w:outlineLvl w:val="2"/>
    </w:pPr>
    <w:rPr>
      <w:rFonts w:ascii="宋体" w:hAnsi="宋体" w:eastAsia="宋体" w:cs="Times New Roman"/>
      <w:sz w:val="24"/>
      <w:szCs w:val="24"/>
      <w:lang w:val="en-US" w:eastAsia="zh-CN" w:bidi="ar-SA"/>
    </w:rPr>
  </w:style>
  <w:style w:type="paragraph" w:customStyle="1" w:styleId="3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7097</Words>
  <Characters>7498</Characters>
  <Lines>0</Lines>
  <Paragraphs>0</Paragraphs>
  <TotalTime>2</TotalTime>
  <ScaleCrop>false</ScaleCrop>
  <LinksUpToDate>false</LinksUpToDate>
  <CharactersWithSpaces>8331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2023-10-28T17:32:00Z</dcterms:created>
  <dc:creator>风影</dc:creator>
  <cp:lastModifiedBy>fufh</cp:lastModifiedBy>
  <dcterms:modified xsi:type="dcterms:W3CDTF">2026-05-28T12:32:18Z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A1C44C87C84848AEB961BB469E4ED72F_13</vt:lpwstr>
  </property>
  <property fmtid="{D5CDD505-2E9C-101B-9397-08002B2CF9AE}" pid="4" name="KSOTemplateDocerSaveRecord">
    <vt:lpwstr>eyJoZGlkIjoiNjEwMzcxNTZkNmQ5YjE1MDkwODdlY2ZjY2I1OWYwOTQiLCJ1c2VySWQiOiIyNzU0MzYwNjMifQ==</vt:lpwstr>
  </property>
</Properties>
</file>