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CA3D81">
      <w:pPr>
        <w:pStyle w:val="4"/>
        <w:numPr>
          <w:ilvl w:val="0"/>
          <w:numId w:val="0"/>
        </w:numPr>
        <w:bidi w:val="0"/>
        <w:ind w:leftChars="0"/>
        <w:jc w:val="center"/>
        <w:rPr>
          <w:rFonts w:hint="eastAsia"/>
          <w:color w:val="auto"/>
        </w:rPr>
      </w:pPr>
      <w:r>
        <w:rPr>
          <w:rFonts w:hint="eastAsia"/>
          <w:color w:val="auto"/>
          <w:lang w:val="en-US" w:eastAsia="zh-CN"/>
        </w:rPr>
        <w:t>2026年南网数字运营软件科技（广东）有限公司创新成果平面、孪生可视化编辑引擎采购寻源项目</w:t>
      </w:r>
      <w:r>
        <w:rPr>
          <w:rFonts w:hint="eastAsia"/>
          <w:color w:val="auto"/>
        </w:rPr>
        <w:t>寻源公告</w:t>
      </w:r>
    </w:p>
    <w:p w14:paraId="62F21ADC">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各</w:t>
      </w:r>
      <w:r>
        <w:rPr>
          <w:rFonts w:hint="eastAsia" w:ascii="仿宋" w:hAnsi="仿宋" w:eastAsia="仿宋" w:cs="仿宋"/>
          <w:b/>
          <w:bCs/>
          <w:color w:val="auto"/>
          <w:sz w:val="24"/>
          <w:szCs w:val="24"/>
        </w:rPr>
        <w:t>供应商：</w:t>
      </w:r>
    </w:p>
    <w:p w14:paraId="1743762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rPr>
        <w:t>您好！</w:t>
      </w:r>
      <w:r>
        <w:rPr>
          <w:rFonts w:hint="eastAsia" w:ascii="仿宋" w:hAnsi="仿宋" w:eastAsia="仿宋" w:cs="仿宋"/>
          <w:color w:val="auto"/>
          <w:sz w:val="24"/>
          <w:szCs w:val="24"/>
          <w:lang w:eastAsia="zh-CN"/>
        </w:rPr>
        <w:t>南网数字运营软件科技（广东）有限公司</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以下</w:t>
      </w:r>
      <w:r>
        <w:rPr>
          <w:rFonts w:hint="eastAsia" w:ascii="仿宋" w:hAnsi="仿宋" w:eastAsia="仿宋" w:cs="仿宋"/>
          <w:color w:val="auto"/>
          <w:sz w:val="24"/>
          <w:szCs w:val="24"/>
        </w:rPr>
        <w:t>简称我公司）拟参</w:t>
      </w:r>
      <w:r>
        <w:rPr>
          <w:rFonts w:hint="eastAsia" w:ascii="仿宋" w:hAnsi="仿宋" w:eastAsia="仿宋" w:cs="仿宋"/>
          <w:color w:val="auto"/>
          <w:sz w:val="24"/>
          <w:szCs w:val="24"/>
          <w:u w:val="none"/>
        </w:rPr>
        <w:t>与</w:t>
      </w:r>
      <w:r>
        <w:rPr>
          <w:rFonts w:hint="eastAsia" w:ascii="仿宋" w:hAnsi="仿宋" w:eastAsia="仿宋" w:cs="仿宋"/>
          <w:b/>
          <w:bCs/>
          <w:color w:val="0000EE"/>
          <w:sz w:val="24"/>
          <w:szCs w:val="24"/>
          <w:highlight w:val="none"/>
          <w:u w:val="single"/>
          <w:lang w:val="en-US" w:eastAsia="zh-CN"/>
        </w:rPr>
        <w:t>某招标项目</w:t>
      </w:r>
      <w:r>
        <w:rPr>
          <w:rFonts w:hint="eastAsia" w:ascii="仿宋" w:hAnsi="仿宋" w:eastAsia="仿宋" w:cs="仿宋"/>
          <w:color w:val="auto"/>
          <w:sz w:val="24"/>
          <w:szCs w:val="24"/>
        </w:rPr>
        <w:t>投</w:t>
      </w:r>
      <w:r>
        <w:rPr>
          <w:rFonts w:hint="eastAsia" w:ascii="仿宋" w:hAnsi="仿宋" w:eastAsia="仿宋" w:cs="仿宋"/>
          <w:sz w:val="24"/>
          <w:szCs w:val="24"/>
        </w:rPr>
        <w:t>标，</w:t>
      </w:r>
      <w:r>
        <w:rPr>
          <w:rFonts w:hint="eastAsia" w:ascii="仿宋" w:hAnsi="仿宋" w:eastAsia="仿宋" w:cs="仿宋"/>
          <w:sz w:val="24"/>
          <w:szCs w:val="24"/>
          <w:lang w:val="en-US" w:eastAsia="zh-CN"/>
        </w:rPr>
        <w:t>现公开邀请有意向的合作单位</w:t>
      </w:r>
      <w:r>
        <w:rPr>
          <w:rFonts w:hint="eastAsia" w:ascii="仿宋" w:hAnsi="仿宋" w:eastAsia="仿宋" w:cs="仿宋"/>
          <w:sz w:val="24"/>
          <w:szCs w:val="24"/>
        </w:rPr>
        <w:t>参与我公司</w:t>
      </w:r>
      <w:r>
        <w:rPr>
          <w:rFonts w:hint="eastAsia" w:ascii="仿宋" w:hAnsi="仿宋" w:eastAsia="仿宋" w:cs="仿宋"/>
          <w:sz w:val="24"/>
          <w:szCs w:val="24"/>
          <w:lang w:val="en-US" w:eastAsia="zh-CN"/>
        </w:rPr>
        <w:t>投标寻源</w:t>
      </w:r>
      <w:r>
        <w:rPr>
          <w:rFonts w:hint="eastAsia" w:ascii="仿宋" w:hAnsi="仿宋" w:eastAsia="仿宋" w:cs="仿宋"/>
          <w:sz w:val="24"/>
          <w:szCs w:val="24"/>
        </w:rPr>
        <w:t>，相关内容如下：</w:t>
      </w:r>
    </w:p>
    <w:p w14:paraId="05865452">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0" w:name="_Toc24330"/>
      <w:r>
        <w:rPr>
          <w:rFonts w:hint="eastAsia" w:ascii="仿宋" w:hAnsi="仿宋" w:eastAsia="仿宋" w:cs="仿宋"/>
          <w:b/>
          <w:bCs/>
          <w:sz w:val="24"/>
          <w:szCs w:val="24"/>
          <w:lang w:val="en-US" w:eastAsia="zh-CN"/>
        </w:rPr>
        <w:t>项目概况</w:t>
      </w:r>
      <w:bookmarkEnd w:id="0"/>
      <w:r>
        <w:rPr>
          <w:rFonts w:hint="eastAsia" w:ascii="仿宋" w:hAnsi="仿宋" w:eastAsia="仿宋" w:cs="仿宋"/>
          <w:b/>
          <w:bCs/>
          <w:sz w:val="24"/>
          <w:szCs w:val="24"/>
          <w:lang w:val="en-US" w:eastAsia="zh-CN"/>
        </w:rPr>
        <w:t>：</w:t>
      </w:r>
    </w:p>
    <w:p w14:paraId="4271E0BC">
      <w:pPr>
        <w:tabs>
          <w:tab w:val="left" w:pos="5880"/>
        </w:tabs>
        <w:snapToGrid w:val="0"/>
        <w:spacing w:line="360" w:lineRule="auto"/>
        <w:ind w:firstLine="480" w:firstLineChars="200"/>
        <w:outlineLvl w:val="9"/>
        <w:rPr>
          <w:rFonts w:hint="eastAsia" w:ascii="仿宋" w:hAnsi="仿宋" w:eastAsia="仿宋" w:cs="仿宋"/>
          <w:color w:val="auto"/>
          <w:sz w:val="24"/>
          <w:szCs w:val="24"/>
          <w:highlight w:val="none"/>
          <w:lang w:eastAsia="zh-CN"/>
        </w:rPr>
      </w:pPr>
      <w:bookmarkStart w:id="1" w:name="_Toc2664"/>
      <w:r>
        <w:rPr>
          <w:rFonts w:hint="eastAsia" w:ascii="仿宋" w:hAnsi="仿宋" w:eastAsia="仿宋" w:cs="仿宋"/>
          <w:sz w:val="24"/>
          <w:szCs w:val="24"/>
          <w:highlight w:val="none"/>
        </w:rPr>
        <w:t>根据项目需要，我公司拟对下表所列产品进行投标寻源，根据上游招标文件的中标推荐原则，本标的</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个标包，</w:t>
      </w:r>
      <w:r>
        <w:rPr>
          <w:rFonts w:hint="eastAsia" w:ascii="仿宋" w:hAnsi="仿宋" w:eastAsia="仿宋" w:cs="仿宋"/>
          <w:sz w:val="24"/>
          <w:szCs w:val="24"/>
          <w:highlight w:val="none"/>
          <w:lang w:val="en-US" w:eastAsia="zh-CN"/>
        </w:rPr>
        <w:t>标包1中标比例为100%</w:t>
      </w:r>
      <w:r>
        <w:rPr>
          <w:rFonts w:hint="eastAsia" w:ascii="仿宋" w:hAnsi="仿宋" w:eastAsia="仿宋" w:cs="仿宋"/>
          <w:sz w:val="24"/>
          <w:szCs w:val="24"/>
          <w:highlight w:val="none"/>
        </w:rPr>
        <w:t>。本项目为单价限价，评审价为响应单价报价乘以数量之和，标包预估规模如下:</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1056"/>
        <w:gridCol w:w="2237"/>
        <w:gridCol w:w="1445"/>
        <w:gridCol w:w="615"/>
        <w:gridCol w:w="1328"/>
        <w:gridCol w:w="576"/>
        <w:gridCol w:w="690"/>
      </w:tblGrid>
      <w:tr w14:paraId="77E1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vAlign w:val="center"/>
          </w:tcPr>
          <w:p w14:paraId="418E8A7D">
            <w:pPr>
              <w:tabs>
                <w:tab w:val="left" w:pos="1131"/>
              </w:tabs>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序号</w:t>
            </w:r>
          </w:p>
        </w:tc>
        <w:tc>
          <w:tcPr>
            <w:tcW w:w="1056" w:type="dxa"/>
            <w:vAlign w:val="center"/>
          </w:tcPr>
          <w:p w14:paraId="75940455">
            <w:pPr>
              <w:tabs>
                <w:tab w:val="left" w:pos="1131"/>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品类编码</w:t>
            </w:r>
          </w:p>
        </w:tc>
        <w:tc>
          <w:tcPr>
            <w:tcW w:w="2237" w:type="dxa"/>
            <w:vAlign w:val="center"/>
          </w:tcPr>
          <w:p w14:paraId="7F6FEB32">
            <w:pPr>
              <w:tabs>
                <w:tab w:val="left" w:pos="1131"/>
              </w:tabs>
              <w:spacing w:line="480" w:lineRule="auto"/>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产品名称</w:t>
            </w:r>
          </w:p>
        </w:tc>
        <w:tc>
          <w:tcPr>
            <w:tcW w:w="1445" w:type="dxa"/>
            <w:vAlign w:val="center"/>
          </w:tcPr>
          <w:p w14:paraId="038465BC">
            <w:pPr>
              <w:tabs>
                <w:tab w:val="left" w:pos="202"/>
              </w:tabs>
              <w:spacing w:line="360" w:lineRule="auto"/>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主要技术参数</w:t>
            </w:r>
          </w:p>
        </w:tc>
        <w:tc>
          <w:tcPr>
            <w:tcW w:w="615" w:type="dxa"/>
            <w:vAlign w:val="center"/>
          </w:tcPr>
          <w:p w14:paraId="4A76774E">
            <w:pPr>
              <w:spacing w:line="480" w:lineRule="auto"/>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单位</w:t>
            </w:r>
          </w:p>
        </w:tc>
        <w:tc>
          <w:tcPr>
            <w:tcW w:w="1328" w:type="dxa"/>
            <w:vAlign w:val="center"/>
          </w:tcPr>
          <w:p w14:paraId="732F95B1">
            <w:pPr>
              <w:tabs>
                <w:tab w:val="left" w:pos="1131"/>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单价限价</w:t>
            </w:r>
          </w:p>
        </w:tc>
        <w:tc>
          <w:tcPr>
            <w:tcW w:w="576" w:type="dxa"/>
            <w:vAlign w:val="center"/>
          </w:tcPr>
          <w:p w14:paraId="153E953E">
            <w:pPr>
              <w:tabs>
                <w:tab w:val="left" w:pos="1131"/>
              </w:tabs>
              <w:spacing w:line="480" w:lineRule="auto"/>
              <w:jc w:val="left"/>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数量</w:t>
            </w:r>
          </w:p>
        </w:tc>
        <w:tc>
          <w:tcPr>
            <w:tcW w:w="690" w:type="dxa"/>
            <w:vAlign w:val="center"/>
          </w:tcPr>
          <w:p w14:paraId="039EE51F">
            <w:pPr>
              <w:tabs>
                <w:tab w:val="left" w:pos="1131"/>
              </w:tabs>
              <w:spacing w:line="480" w:lineRule="auto"/>
              <w:jc w:val="lef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备注</w:t>
            </w:r>
          </w:p>
        </w:tc>
      </w:tr>
      <w:tr w14:paraId="6D51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5" w:type="dxa"/>
            <w:vAlign w:val="center"/>
          </w:tcPr>
          <w:p w14:paraId="776D3E52">
            <w:pPr>
              <w:tabs>
                <w:tab w:val="left" w:pos="5880"/>
              </w:tabs>
              <w:snapToGrid w:val="0"/>
              <w:spacing w:line="360" w:lineRule="auto"/>
              <w:jc w:val="left"/>
              <w:outlineLvl w:val="0"/>
              <w:rPr>
                <w:rFonts w:hint="default" w:ascii="仿宋" w:hAnsi="仿宋" w:eastAsia="仿宋" w:cs="仿宋"/>
                <w:iCs/>
                <w:color w:val="auto"/>
                <w:sz w:val="24"/>
                <w:szCs w:val="24"/>
                <w:vertAlign w:val="baseline"/>
                <w:lang w:val="en-US" w:eastAsia="zh-CN" w:bidi="ar"/>
              </w:rPr>
            </w:pPr>
            <w:r>
              <w:rPr>
                <w:rFonts w:hint="eastAsia" w:ascii="仿宋" w:hAnsi="仿宋" w:eastAsia="仿宋" w:cs="仿宋"/>
                <w:iCs/>
                <w:color w:val="auto"/>
                <w:sz w:val="24"/>
                <w:szCs w:val="24"/>
                <w:vertAlign w:val="baseline"/>
                <w:lang w:val="en-US" w:eastAsia="zh-CN" w:bidi="ar"/>
              </w:rPr>
              <w:t>1</w:t>
            </w:r>
          </w:p>
        </w:tc>
        <w:tc>
          <w:tcPr>
            <w:tcW w:w="1056" w:type="dxa"/>
            <w:vAlign w:val="center"/>
          </w:tcPr>
          <w:p w14:paraId="2151ADE3">
            <w:pPr>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bCs/>
                <w:i w:val="0"/>
                <w:iCs w:val="0"/>
                <w:color w:val="auto"/>
                <w:kern w:val="0"/>
                <w:sz w:val="24"/>
                <w:szCs w:val="24"/>
                <w:highlight w:val="none"/>
                <w:lang w:val="en-US" w:eastAsia="zh-CN" w:bidi="ar"/>
              </w:rPr>
              <w:t>1006063平面可视化编辑引擎</w:t>
            </w:r>
          </w:p>
        </w:tc>
        <w:tc>
          <w:tcPr>
            <w:tcW w:w="2237" w:type="dxa"/>
            <w:vAlign w:val="center"/>
          </w:tcPr>
          <w:p w14:paraId="0CFBE357">
            <w:pPr>
              <w:tabs>
                <w:tab w:val="left" w:pos="202"/>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创新成果</w:t>
            </w:r>
            <w:r>
              <w:rPr>
                <w:rFonts w:hint="eastAsia" w:ascii="仿宋_GB2312" w:hAnsi="仿宋_GB2312" w:eastAsia="仿宋_GB2312" w:cs="仿宋_GB2312"/>
                <w:bCs/>
                <w:i w:val="0"/>
                <w:iCs w:val="0"/>
                <w:color w:val="auto"/>
                <w:kern w:val="0"/>
                <w:sz w:val="24"/>
                <w:szCs w:val="24"/>
                <w:highlight w:val="none"/>
                <w:lang w:val="en-US" w:eastAsia="zh-CN" w:bidi="ar"/>
              </w:rPr>
              <w:t>平面</w:t>
            </w:r>
            <w:r>
              <w:rPr>
                <w:rFonts w:hint="eastAsia" w:ascii="仿宋_GB2312" w:hAnsi="仿宋_GB2312" w:eastAsia="仿宋_GB2312" w:cs="仿宋_GB2312"/>
                <w:color w:val="auto"/>
                <w:sz w:val="24"/>
                <w:lang w:val="en-US" w:eastAsia="zh-CN"/>
              </w:rPr>
              <w:t>可视化编辑引擎</w:t>
            </w:r>
          </w:p>
        </w:tc>
        <w:tc>
          <w:tcPr>
            <w:tcW w:w="1445" w:type="dxa"/>
            <w:vAlign w:val="center"/>
          </w:tcPr>
          <w:p w14:paraId="7E602631">
            <w:pPr>
              <w:tabs>
                <w:tab w:val="left" w:pos="202"/>
              </w:tabs>
              <w:spacing w:line="480" w:lineRule="auto"/>
              <w:jc w:val="left"/>
              <w:rPr>
                <w:rFonts w:hint="default"/>
                <w:lang w:val="en-US" w:eastAsia="zh-CN"/>
              </w:rPr>
            </w:pPr>
            <w:r>
              <w:rPr>
                <w:rFonts w:hint="eastAsia" w:ascii="仿宋_GB2312" w:hAnsi="仿宋_GB2312" w:eastAsia="仿宋_GB2312" w:cs="仿宋_GB2312"/>
                <w:color w:val="auto"/>
                <w:sz w:val="24"/>
                <w:lang w:val="en-US" w:eastAsia="zh-CN"/>
              </w:rPr>
              <w:t>详见附件1：技术参数偏离表</w:t>
            </w:r>
          </w:p>
        </w:tc>
        <w:tc>
          <w:tcPr>
            <w:tcW w:w="615" w:type="dxa"/>
            <w:vAlign w:val="center"/>
          </w:tcPr>
          <w:p w14:paraId="1214E578">
            <w:pPr>
              <w:tabs>
                <w:tab w:val="left" w:pos="202"/>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1328" w:type="dxa"/>
            <w:vAlign w:val="center"/>
          </w:tcPr>
          <w:p w14:paraId="2A9CAD4E">
            <w:pPr>
              <w:tabs>
                <w:tab w:val="left" w:pos="202"/>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本项目设置单价限价</w:t>
            </w:r>
          </w:p>
        </w:tc>
        <w:tc>
          <w:tcPr>
            <w:tcW w:w="576" w:type="dxa"/>
            <w:vAlign w:val="center"/>
          </w:tcPr>
          <w:p w14:paraId="3F40DAD7">
            <w:pPr>
              <w:tabs>
                <w:tab w:val="left" w:pos="202"/>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690" w:type="dxa"/>
            <w:vAlign w:val="center"/>
          </w:tcPr>
          <w:p w14:paraId="6CFD204A">
            <w:pPr>
              <w:tabs>
                <w:tab w:val="left" w:pos="202"/>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标包1</w:t>
            </w:r>
          </w:p>
        </w:tc>
      </w:tr>
      <w:tr w14:paraId="7C76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2" w:hRule="atLeast"/>
        </w:trPr>
        <w:tc>
          <w:tcPr>
            <w:tcW w:w="575" w:type="dxa"/>
            <w:vAlign w:val="center"/>
          </w:tcPr>
          <w:p w14:paraId="615A62F3">
            <w:pPr>
              <w:tabs>
                <w:tab w:val="left" w:pos="5880"/>
              </w:tabs>
              <w:snapToGrid w:val="0"/>
              <w:spacing w:line="360" w:lineRule="auto"/>
              <w:jc w:val="left"/>
              <w:outlineLvl w:val="0"/>
              <w:rPr>
                <w:rFonts w:hint="default" w:ascii="仿宋" w:hAnsi="仿宋" w:eastAsia="仿宋" w:cs="仿宋"/>
                <w:iCs/>
                <w:color w:val="auto"/>
                <w:kern w:val="2"/>
                <w:sz w:val="24"/>
                <w:szCs w:val="24"/>
                <w:vertAlign w:val="baseline"/>
                <w:lang w:val="en-US" w:eastAsia="zh-CN" w:bidi="ar"/>
              </w:rPr>
            </w:pPr>
            <w:r>
              <w:rPr>
                <w:rFonts w:hint="eastAsia" w:ascii="仿宋" w:hAnsi="仿宋" w:eastAsia="仿宋" w:cs="仿宋"/>
                <w:iCs/>
                <w:color w:val="auto"/>
                <w:sz w:val="24"/>
                <w:szCs w:val="24"/>
                <w:vertAlign w:val="baseline"/>
                <w:lang w:val="en-US" w:eastAsia="zh-CN" w:bidi="ar"/>
              </w:rPr>
              <w:t>2</w:t>
            </w:r>
          </w:p>
        </w:tc>
        <w:tc>
          <w:tcPr>
            <w:tcW w:w="1056" w:type="dxa"/>
            <w:vAlign w:val="center"/>
          </w:tcPr>
          <w:p w14:paraId="6DDE329A">
            <w:pPr>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bCs/>
                <w:i w:val="0"/>
                <w:iCs w:val="0"/>
                <w:color w:val="auto"/>
                <w:kern w:val="0"/>
                <w:sz w:val="24"/>
                <w:szCs w:val="24"/>
                <w:highlight w:val="none"/>
                <w:lang w:val="en-US" w:eastAsia="zh-CN" w:bidi="ar"/>
              </w:rPr>
              <w:t>1006064数字孪生可视化编辑引擎</w:t>
            </w:r>
          </w:p>
        </w:tc>
        <w:tc>
          <w:tcPr>
            <w:tcW w:w="2237" w:type="dxa"/>
            <w:vAlign w:val="center"/>
          </w:tcPr>
          <w:p w14:paraId="4A2756C4">
            <w:pPr>
              <w:tabs>
                <w:tab w:val="left" w:pos="202"/>
              </w:tabs>
              <w:spacing w:line="480" w:lineRule="auto"/>
              <w:jc w:val="lef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创新成果</w:t>
            </w:r>
            <w:r>
              <w:rPr>
                <w:rFonts w:hint="eastAsia" w:ascii="仿宋_GB2312" w:hAnsi="仿宋_GB2312" w:eastAsia="仿宋_GB2312" w:cs="仿宋_GB2312"/>
                <w:bCs/>
                <w:i w:val="0"/>
                <w:iCs w:val="0"/>
                <w:color w:val="auto"/>
                <w:kern w:val="0"/>
                <w:sz w:val="24"/>
                <w:szCs w:val="24"/>
                <w:highlight w:val="none"/>
                <w:lang w:val="en-US" w:eastAsia="zh-CN" w:bidi="ar"/>
              </w:rPr>
              <w:t>孪生</w:t>
            </w:r>
            <w:r>
              <w:rPr>
                <w:rFonts w:hint="eastAsia" w:ascii="仿宋_GB2312" w:hAnsi="仿宋_GB2312" w:eastAsia="仿宋_GB2312" w:cs="仿宋_GB2312"/>
                <w:color w:val="auto"/>
                <w:sz w:val="24"/>
                <w:lang w:val="en-US" w:eastAsia="zh-CN"/>
              </w:rPr>
              <w:t>可视化编辑引擎</w:t>
            </w:r>
          </w:p>
        </w:tc>
        <w:tc>
          <w:tcPr>
            <w:tcW w:w="1445" w:type="dxa"/>
            <w:vAlign w:val="center"/>
          </w:tcPr>
          <w:p w14:paraId="0258A113">
            <w:pPr>
              <w:tabs>
                <w:tab w:val="left" w:pos="202"/>
              </w:tabs>
              <w:spacing w:line="480" w:lineRule="auto"/>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详见附件1：技术参数偏离表</w:t>
            </w:r>
          </w:p>
        </w:tc>
        <w:tc>
          <w:tcPr>
            <w:tcW w:w="615" w:type="dxa"/>
            <w:vAlign w:val="center"/>
          </w:tcPr>
          <w:p w14:paraId="72A61440">
            <w:pPr>
              <w:tabs>
                <w:tab w:val="left" w:pos="202"/>
              </w:tabs>
              <w:spacing w:line="480" w:lineRule="auto"/>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套</w:t>
            </w:r>
          </w:p>
        </w:tc>
        <w:tc>
          <w:tcPr>
            <w:tcW w:w="1328" w:type="dxa"/>
            <w:vAlign w:val="center"/>
          </w:tcPr>
          <w:p w14:paraId="310CCBF4">
            <w:pPr>
              <w:tabs>
                <w:tab w:val="left" w:pos="202"/>
              </w:tabs>
              <w:spacing w:line="480" w:lineRule="auto"/>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本项目设置单价限价</w:t>
            </w:r>
          </w:p>
        </w:tc>
        <w:tc>
          <w:tcPr>
            <w:tcW w:w="576" w:type="dxa"/>
            <w:vAlign w:val="center"/>
          </w:tcPr>
          <w:p w14:paraId="6DCADE9C">
            <w:pPr>
              <w:tabs>
                <w:tab w:val="left" w:pos="202"/>
              </w:tabs>
              <w:spacing w:line="480" w:lineRule="auto"/>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690" w:type="dxa"/>
            <w:vAlign w:val="center"/>
          </w:tcPr>
          <w:p w14:paraId="40D24C4E">
            <w:pPr>
              <w:tabs>
                <w:tab w:val="left" w:pos="202"/>
              </w:tabs>
              <w:spacing w:line="480" w:lineRule="auto"/>
              <w:jc w:val="lef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标包1</w:t>
            </w:r>
          </w:p>
        </w:tc>
      </w:tr>
    </w:tbl>
    <w:p w14:paraId="3E221950">
      <w:pPr>
        <w:tabs>
          <w:tab w:val="left" w:pos="5880"/>
        </w:tabs>
        <w:snapToGrid w:val="0"/>
        <w:spacing w:line="360" w:lineRule="auto"/>
        <w:ind w:firstLine="480" w:firstLineChars="200"/>
        <w:rPr>
          <w:rFonts w:hint="eastAsia" w:ascii="仿宋" w:hAnsi="仿宋" w:eastAsia="仿宋" w:cs="仿宋"/>
          <w:sz w:val="24"/>
          <w:szCs w:val="24"/>
          <w:highlight w:val="none"/>
        </w:rPr>
      </w:pPr>
    </w:p>
    <w:p w14:paraId="70DCA620">
      <w:pPr>
        <w:tabs>
          <w:tab w:val="left" w:pos="5880"/>
        </w:tabs>
        <w:snapToGrid w:val="0"/>
        <w:spacing w:line="360" w:lineRule="auto"/>
        <w:ind w:firstLine="480" w:firstLineChars="200"/>
        <w:rPr>
          <w:rFonts w:hint="default"/>
          <w:lang w:val="en-US" w:eastAsia="zh-CN"/>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寻源为</w:t>
      </w:r>
      <w:r>
        <w:rPr>
          <w:rFonts w:hint="eastAsia" w:ascii="仿宋" w:hAnsi="仿宋" w:eastAsia="仿宋" w:cs="仿宋"/>
          <w:b/>
          <w:bCs/>
          <w:color w:val="0000EE"/>
          <w:sz w:val="24"/>
          <w:szCs w:val="24"/>
          <w:highlight w:val="none"/>
        </w:rPr>
        <w:t>意向寻源</w:t>
      </w:r>
      <w:r>
        <w:rPr>
          <w:rFonts w:hint="eastAsia" w:ascii="仿宋" w:hAnsi="仿宋" w:eastAsia="仿宋" w:cs="仿宋"/>
          <w:sz w:val="24"/>
          <w:szCs w:val="24"/>
          <w:highlight w:val="none"/>
        </w:rPr>
        <w:t>，我公司不承诺必然发生实质性采购需求。</w:t>
      </w:r>
      <w:bookmarkEnd w:id="1"/>
      <w:r>
        <w:rPr>
          <w:rFonts w:hint="eastAsia" w:ascii="仿宋" w:hAnsi="仿宋" w:eastAsia="仿宋" w:cs="仿宋"/>
          <w:sz w:val="24"/>
          <w:szCs w:val="24"/>
          <w:highlight w:val="none"/>
          <w:lang w:val="en-US" w:eastAsia="zh-CN"/>
        </w:rPr>
        <w:t>最终是否中标存在不确定性，如未能中标则双方不再履行相应合同义务且互不追究违约责任。本次投标寻源因涉及商业敏感信息，如有意向，可通过邮件</w:t>
      </w:r>
      <w:r>
        <w:rPr>
          <w:rFonts w:hint="eastAsia" w:ascii="仿宋" w:hAnsi="仿宋" w:eastAsia="仿宋" w:cs="仿宋"/>
          <w:b/>
          <w:bCs/>
          <w:color w:val="0000EE"/>
          <w:sz w:val="24"/>
          <w:szCs w:val="24"/>
          <w:highlight w:val="none"/>
          <w:lang w:eastAsia="zh-CN"/>
        </w:rPr>
        <w:t>cgzx</w:t>
      </w:r>
      <w:r>
        <w:rPr>
          <w:rFonts w:hint="eastAsia" w:ascii="仿宋" w:hAnsi="仿宋" w:eastAsia="仿宋" w:cs="仿宋"/>
          <w:b/>
          <w:bCs/>
          <w:color w:val="0000EE"/>
          <w:sz w:val="24"/>
          <w:szCs w:val="24"/>
          <w:highlight w:val="none"/>
        </w:rPr>
        <w:t>@dptc.csg.cn</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联系获取拟投标项目名称及限价后响应本次投标寻源。</w:t>
      </w:r>
    </w:p>
    <w:p w14:paraId="14382436">
      <w:pPr>
        <w:tabs>
          <w:tab w:val="left" w:pos="5880"/>
        </w:tabs>
        <w:snapToGrid w:val="0"/>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交货期：</w:t>
      </w:r>
      <w:r>
        <w:rPr>
          <w:rFonts w:hint="eastAsia" w:ascii="仿宋" w:hAnsi="仿宋" w:eastAsia="仿宋" w:cs="仿宋"/>
          <w:b/>
          <w:bCs/>
          <w:color w:val="0000EE"/>
          <w:sz w:val="24"/>
          <w:szCs w:val="24"/>
          <w:highlight w:val="none"/>
          <w:u w:val="single"/>
          <w:lang w:val="en-US" w:eastAsia="zh-CN"/>
        </w:rPr>
        <w:t>合同签订后20个工作日内安排供货，并完成安装和调试，初验后提供3个月试运行期</w:t>
      </w:r>
      <w:r>
        <w:rPr>
          <w:rFonts w:hint="eastAsia" w:ascii="仿宋" w:hAnsi="仿宋" w:eastAsia="仿宋" w:cs="仿宋"/>
          <w:sz w:val="24"/>
          <w:szCs w:val="24"/>
          <w:lang w:val="en-US" w:eastAsia="zh-CN"/>
        </w:rPr>
        <w:t>，</w:t>
      </w:r>
      <w:r>
        <w:rPr>
          <w:rFonts w:hint="eastAsia" w:ascii="仿宋" w:hAnsi="仿宋" w:eastAsia="仿宋" w:cs="仿宋"/>
          <w:sz w:val="24"/>
          <w:szCs w:val="24"/>
        </w:rPr>
        <w:t>具体以双方签订的合同要求为准。</w:t>
      </w:r>
    </w:p>
    <w:p w14:paraId="35C985D3">
      <w:pPr>
        <w:tabs>
          <w:tab w:val="left" w:pos="5880"/>
        </w:tabs>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质保期</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免费</w:t>
      </w:r>
      <w:r>
        <w:rPr>
          <w:rFonts w:hint="eastAsia" w:ascii="仿宋" w:hAnsi="仿宋" w:eastAsia="仿宋" w:cs="仿宋"/>
          <w:sz w:val="24"/>
          <w:szCs w:val="24"/>
          <w:highlight w:val="none"/>
        </w:rPr>
        <w:t>质保期</w:t>
      </w:r>
      <w:r>
        <w:rPr>
          <w:rFonts w:hint="eastAsia" w:ascii="仿宋" w:hAnsi="仿宋" w:eastAsia="仿宋" w:cs="仿宋"/>
          <w:b/>
          <w:bCs/>
          <w:color w:val="0000EE"/>
          <w:sz w:val="24"/>
          <w:szCs w:val="24"/>
          <w:highlight w:val="none"/>
          <w:u w:val="single"/>
          <w:lang w:val="en-US" w:eastAsia="zh-CN"/>
        </w:rPr>
        <w:t>2</w:t>
      </w:r>
      <w:r>
        <w:rPr>
          <w:rFonts w:hint="eastAsia" w:ascii="仿宋" w:hAnsi="仿宋" w:eastAsia="仿宋" w:cs="仿宋"/>
          <w:b w:val="0"/>
          <w:bCs w:val="0"/>
          <w:sz w:val="24"/>
          <w:szCs w:val="24"/>
          <w:highlight w:val="none"/>
        </w:rPr>
        <w:t>年</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rPr>
        <w:t>具体以双方签订的合同要求为准。</w:t>
      </w:r>
    </w:p>
    <w:p w14:paraId="1FE28DBF">
      <w:pPr>
        <w:tabs>
          <w:tab w:val="left" w:pos="5880"/>
        </w:tabs>
        <w:snapToGrid w:val="0"/>
        <w:spacing w:line="360" w:lineRule="auto"/>
        <w:ind w:firstLine="482" w:firstLineChars="200"/>
        <w:rPr>
          <w:rFonts w:hint="default"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其他：</w:t>
      </w:r>
      <w:r>
        <w:rPr>
          <w:rFonts w:hint="eastAsia" w:ascii="仿宋" w:hAnsi="仿宋" w:eastAsia="仿宋" w:cs="仿宋"/>
          <w:sz w:val="24"/>
          <w:szCs w:val="24"/>
          <w:highlight w:val="none"/>
          <w:lang w:val="en-US" w:eastAsia="zh-CN"/>
        </w:rPr>
        <w:t>乙方须</w:t>
      </w:r>
      <w:r>
        <w:rPr>
          <w:rFonts w:hint="eastAsia" w:ascii="仿宋" w:hAnsi="仿宋" w:eastAsia="仿宋" w:cs="仿宋"/>
          <w:b/>
          <w:bCs/>
          <w:color w:val="0000EE"/>
          <w:sz w:val="24"/>
          <w:szCs w:val="24"/>
          <w:highlight w:val="none"/>
          <w:u w:val="single"/>
          <w:lang w:val="en-US" w:eastAsia="zh-CN"/>
        </w:rPr>
        <w:t>20</w:t>
      </w:r>
      <w:r>
        <w:rPr>
          <w:rFonts w:hint="eastAsia" w:ascii="仿宋" w:hAnsi="仿宋" w:eastAsia="仿宋" w:cs="仿宋"/>
          <w:sz w:val="24"/>
          <w:szCs w:val="24"/>
          <w:highlight w:val="none"/>
          <w:lang w:val="en-US" w:eastAsia="zh-CN"/>
        </w:rPr>
        <w:t>个工作日内完成产品到货。</w:t>
      </w:r>
    </w:p>
    <w:p w14:paraId="30A626F4">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2" w:name="_Toc7071"/>
      <w:r>
        <w:rPr>
          <w:rFonts w:hint="eastAsia" w:ascii="仿宋" w:hAnsi="仿宋" w:eastAsia="仿宋" w:cs="仿宋"/>
          <w:b/>
          <w:bCs/>
          <w:sz w:val="24"/>
          <w:szCs w:val="24"/>
          <w:lang w:val="en-US" w:eastAsia="zh-CN"/>
        </w:rPr>
        <w:t>询价响应文件要求</w:t>
      </w:r>
      <w:bookmarkEnd w:id="2"/>
      <w:r>
        <w:rPr>
          <w:rFonts w:hint="eastAsia" w:ascii="仿宋" w:hAnsi="仿宋" w:eastAsia="仿宋" w:cs="仿宋"/>
          <w:b/>
          <w:bCs/>
          <w:sz w:val="24"/>
          <w:szCs w:val="24"/>
          <w:lang w:val="en-US" w:eastAsia="zh-CN"/>
        </w:rPr>
        <w:t>：</w:t>
      </w:r>
    </w:p>
    <w:p w14:paraId="499C2410">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0000FF"/>
          <w:sz w:val="24"/>
          <w:szCs w:val="24"/>
          <w:highlight w:val="none"/>
          <w:u w:val="single"/>
          <w:lang w:val="en-US" w:eastAsia="zh-CN"/>
        </w:rPr>
        <w:t>企业</w:t>
      </w:r>
      <w:r>
        <w:rPr>
          <w:rFonts w:hint="eastAsia" w:ascii="仿宋" w:hAnsi="仿宋" w:eastAsia="仿宋" w:cs="仿宋"/>
          <w:b/>
          <w:bCs/>
          <w:color w:val="0000FF"/>
          <w:sz w:val="24"/>
          <w:szCs w:val="24"/>
          <w:highlight w:val="none"/>
          <w:u w:val="single"/>
        </w:rPr>
        <w:t>简介</w:t>
      </w:r>
      <w:r>
        <w:rPr>
          <w:rFonts w:hint="eastAsia" w:ascii="仿宋" w:hAnsi="仿宋" w:eastAsia="仿宋" w:cs="仿宋"/>
          <w:b/>
          <w:bCs/>
          <w:color w:val="0000FF"/>
          <w:sz w:val="24"/>
          <w:szCs w:val="24"/>
          <w:highlight w:val="none"/>
          <w:u w:val="single"/>
          <w:lang w:val="en-US" w:eastAsia="zh-CN"/>
        </w:rPr>
        <w:t>和基本情况</w:t>
      </w:r>
      <w:r>
        <w:rPr>
          <w:rFonts w:hint="eastAsia" w:ascii="仿宋" w:hAnsi="仿宋" w:eastAsia="仿宋" w:cs="仿宋"/>
          <w:b/>
          <w:bCs/>
          <w:color w:val="0000FF"/>
          <w:sz w:val="24"/>
          <w:szCs w:val="24"/>
          <w:highlight w:val="none"/>
          <w:u w:val="single"/>
        </w:rPr>
        <w:t>、营业执照、近三年经审计的财务报告</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rPr>
        <w:t>企业资质（质量管理体系认证</w:t>
      </w:r>
      <w:r>
        <w:rPr>
          <w:rFonts w:hint="eastAsia" w:ascii="仿宋" w:hAnsi="仿宋" w:eastAsia="仿宋" w:cs="仿宋"/>
          <w:b/>
          <w:bCs/>
          <w:color w:val="0000FF"/>
          <w:sz w:val="24"/>
          <w:szCs w:val="24"/>
          <w:highlight w:val="none"/>
          <w:u w:val="single"/>
          <w:lang w:val="en-US" w:eastAsia="zh-CN"/>
        </w:rPr>
        <w:t>等</w:t>
      </w:r>
      <w:r>
        <w:rPr>
          <w:rFonts w:hint="eastAsia" w:ascii="仿宋" w:hAnsi="仿宋" w:eastAsia="仿宋" w:cs="仿宋"/>
          <w:b/>
          <w:bCs/>
          <w:color w:val="0000FF"/>
          <w:sz w:val="24"/>
          <w:szCs w:val="24"/>
          <w:highlight w:val="none"/>
          <w:u w:val="single"/>
        </w:rPr>
        <w:t>）、产品技术资料（</w:t>
      </w:r>
      <w:r>
        <w:rPr>
          <w:rFonts w:hint="eastAsia" w:ascii="仿宋" w:hAnsi="仿宋" w:eastAsia="仿宋" w:cs="仿宋"/>
          <w:b/>
          <w:bCs/>
          <w:color w:val="0000FF"/>
          <w:sz w:val="24"/>
          <w:szCs w:val="24"/>
          <w:u w:val="single"/>
          <w:lang w:val="en-US" w:eastAsia="zh-CN"/>
        </w:rPr>
        <w:t>包括但不限于产品规格型号、产品相关资质证书</w:t>
      </w:r>
      <w:r>
        <w:rPr>
          <w:rFonts w:hint="eastAsia" w:ascii="仿宋" w:hAnsi="仿宋" w:eastAsia="仿宋" w:cs="仿宋"/>
          <w:b/>
          <w:bCs/>
          <w:color w:val="0000FF"/>
          <w:sz w:val="24"/>
          <w:szCs w:val="24"/>
          <w:highlight w:val="none"/>
          <w:u w:val="single"/>
          <w:lang w:val="en-US" w:eastAsia="zh-CN"/>
        </w:rPr>
        <w:t>）</w:t>
      </w:r>
      <w:r>
        <w:rPr>
          <w:rFonts w:hint="eastAsia" w:ascii="仿宋" w:hAnsi="仿宋" w:eastAsia="仿宋" w:cs="仿宋"/>
          <w:b/>
          <w:bCs/>
          <w:color w:val="0000FF"/>
          <w:sz w:val="24"/>
          <w:szCs w:val="24"/>
          <w:u w:val="single"/>
          <w:lang w:val="en-US" w:eastAsia="zh-CN"/>
        </w:rPr>
        <w:t>、</w:t>
      </w:r>
      <w:r>
        <w:rPr>
          <w:rFonts w:hint="eastAsia" w:ascii="仿宋" w:hAnsi="仿宋" w:eastAsia="仿宋" w:cs="仿宋"/>
          <w:b/>
          <w:bCs/>
          <w:strike w:val="0"/>
          <w:dstrike w:val="0"/>
          <w:color w:val="0000FF"/>
          <w:sz w:val="24"/>
          <w:szCs w:val="24"/>
          <w:highlight w:val="none"/>
          <w:u w:val="single"/>
        </w:rPr>
        <w:t>同</w:t>
      </w:r>
      <w:r>
        <w:rPr>
          <w:rFonts w:hint="eastAsia" w:ascii="仿宋" w:hAnsi="仿宋" w:eastAsia="仿宋" w:cs="仿宋"/>
          <w:b/>
          <w:bCs/>
          <w:strike w:val="0"/>
          <w:dstrike w:val="0"/>
          <w:color w:val="0000FF"/>
          <w:sz w:val="24"/>
          <w:szCs w:val="24"/>
          <w:highlight w:val="none"/>
          <w:u w:val="single"/>
          <w:lang w:val="en-US" w:eastAsia="zh-CN"/>
        </w:rPr>
        <w:t>类型</w:t>
      </w:r>
      <w:r>
        <w:rPr>
          <w:rFonts w:hint="eastAsia" w:ascii="仿宋" w:hAnsi="仿宋" w:eastAsia="仿宋" w:cs="仿宋"/>
          <w:b/>
          <w:bCs/>
          <w:strike w:val="0"/>
          <w:dstrike w:val="0"/>
          <w:color w:val="0000FF"/>
          <w:sz w:val="24"/>
          <w:szCs w:val="24"/>
          <w:highlight w:val="none"/>
          <w:u w:val="single"/>
        </w:rPr>
        <w:t>项目</w:t>
      </w:r>
      <w:r>
        <w:rPr>
          <w:rFonts w:hint="eastAsia" w:ascii="仿宋" w:hAnsi="仿宋" w:eastAsia="仿宋" w:cs="仿宋"/>
          <w:b/>
          <w:bCs/>
          <w:color w:val="0000FF"/>
          <w:sz w:val="24"/>
          <w:szCs w:val="24"/>
          <w:highlight w:val="none"/>
          <w:u w:val="single"/>
        </w:rPr>
        <w:t>业绩、报价文件</w:t>
      </w:r>
      <w:r>
        <w:rPr>
          <w:rFonts w:hint="eastAsia" w:ascii="仿宋" w:hAnsi="仿宋" w:eastAsia="仿宋" w:cs="仿宋"/>
          <w:color w:val="auto"/>
          <w:sz w:val="24"/>
          <w:szCs w:val="24"/>
          <w:highlight w:val="none"/>
        </w:rPr>
        <w:t>等，</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14:paraId="082DF2D0">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120</w:t>
      </w:r>
      <w:r>
        <w:rPr>
          <w:rFonts w:hint="eastAsia" w:ascii="仿宋" w:hAnsi="仿宋" w:eastAsia="仿宋" w:cs="仿宋"/>
          <w:color w:val="auto"/>
          <w:sz w:val="24"/>
          <w:szCs w:val="24"/>
        </w:rPr>
        <w:t>个日历天。</w:t>
      </w:r>
    </w:p>
    <w:p w14:paraId="352F0B24">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lang w:val="en-US" w:eastAsia="zh-CN"/>
        </w:rPr>
        <w:t>单价</w:t>
      </w:r>
      <w:r>
        <w:rPr>
          <w:rFonts w:hint="eastAsia" w:ascii="仿宋" w:hAnsi="仿宋" w:eastAsia="仿宋" w:cs="仿宋"/>
          <w:b/>
          <w:bCs/>
          <w:color w:val="auto"/>
          <w:sz w:val="24"/>
          <w:szCs w:val="24"/>
          <w:u w:val="single"/>
        </w:rPr>
        <w:t>报价</w:t>
      </w:r>
      <w:r>
        <w:rPr>
          <w:rFonts w:hint="eastAsia" w:ascii="仿宋" w:hAnsi="仿宋" w:eastAsia="仿宋" w:cs="仿宋"/>
          <w:b w:val="0"/>
          <w:bCs w:val="0"/>
          <w:color w:val="auto"/>
          <w:sz w:val="24"/>
          <w:szCs w:val="24"/>
          <w:u w:val="none"/>
          <w:lang w:val="en-US" w:eastAsia="zh-CN"/>
        </w:rPr>
        <w:t>和</w:t>
      </w:r>
      <w:r>
        <w:rPr>
          <w:rFonts w:hint="eastAsia" w:ascii="仿宋" w:hAnsi="仿宋" w:eastAsia="仿宋" w:cs="仿宋"/>
          <w:b/>
          <w:bCs/>
          <w:color w:val="auto"/>
          <w:sz w:val="24"/>
          <w:szCs w:val="24"/>
          <w:u w:val="single"/>
          <w:lang w:val="en-US" w:eastAsia="zh-CN"/>
        </w:rPr>
        <w:t>总价报价</w:t>
      </w:r>
      <w:r>
        <w:rPr>
          <w:rFonts w:hint="eastAsia" w:ascii="仿宋" w:hAnsi="仿宋" w:eastAsia="仿宋" w:cs="仿宋"/>
          <w:color w:val="auto"/>
          <w:sz w:val="24"/>
          <w:szCs w:val="24"/>
        </w:rPr>
        <w:t>。</w:t>
      </w:r>
    </w:p>
    <w:p w14:paraId="71DB864E">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14:paraId="5D9D9967">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报价应为准确、可参考的有效报价，如经评审确认为投标合作供应商，此报价作为后续合同签订依据。</w:t>
      </w:r>
    </w:p>
    <w:p w14:paraId="4CCDFC64">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付款约定条款：</w:t>
      </w:r>
      <w:r>
        <w:rPr>
          <w:rFonts w:hint="eastAsia" w:ascii="仿宋" w:hAnsi="仿宋" w:eastAsia="仿宋" w:cs="仿宋"/>
          <w:color w:val="auto"/>
          <w:sz w:val="24"/>
          <w:szCs w:val="24"/>
          <w:highlight w:val="none"/>
        </w:rPr>
        <w:t>具体付款条款以双方签订的合同要求为准。</w:t>
      </w:r>
    </w:p>
    <w:p w14:paraId="3777293C">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要求或优于</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详见《</w:t>
      </w:r>
      <w:r>
        <w:rPr>
          <w:rFonts w:hint="eastAsia" w:ascii="仿宋" w:hAnsi="仿宋" w:eastAsia="仿宋" w:cs="仿宋"/>
          <w:color w:val="000000"/>
          <w:sz w:val="24"/>
          <w:szCs w:val="24"/>
          <w:highlight w:val="none"/>
          <w:lang w:val="en-US" w:eastAsia="zh-CN"/>
        </w:rPr>
        <w:t>附件1：技术参数偏离表</w:t>
      </w:r>
      <w:r>
        <w:rPr>
          <w:rFonts w:hint="eastAsia" w:ascii="仿宋" w:hAnsi="仿宋" w:eastAsia="仿宋" w:cs="仿宋"/>
          <w:sz w:val="24"/>
          <w:szCs w:val="24"/>
          <w:highlight w:val="none"/>
        </w:rPr>
        <w:t>》，</w:t>
      </w:r>
      <w:r>
        <w:rPr>
          <w:rFonts w:hint="eastAsia" w:ascii="仿宋" w:hAnsi="仿宋" w:eastAsia="仿宋" w:cs="仿宋"/>
          <w:b/>
          <w:bCs/>
          <w:color w:val="0000FF"/>
          <w:sz w:val="24"/>
          <w:szCs w:val="24"/>
          <w:highlight w:val="none"/>
          <w:u w:val="single"/>
          <w:lang w:val="en-US" w:eastAsia="zh-CN"/>
        </w:rPr>
        <w:t>并在报价文件中列明每项偏差情况。</w:t>
      </w:r>
    </w:p>
    <w:p w14:paraId="6A5881FF">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贵司提交询价响应文件视同</w:t>
      </w:r>
      <w:r>
        <w:rPr>
          <w:rFonts w:hint="eastAsia" w:ascii="仿宋" w:hAnsi="仿宋" w:eastAsia="仿宋" w:cs="仿宋"/>
          <w:b/>
          <w:bCs/>
          <w:color w:val="0000FF"/>
          <w:sz w:val="24"/>
          <w:szCs w:val="24"/>
          <w:highlight w:val="none"/>
          <w:u w:val="single"/>
          <w:lang w:val="en-US" w:eastAsia="zh-CN"/>
        </w:rPr>
        <w:t>接受本项目交货期、质保期以及技术参数偏离表中的所有技术要求和本项目的付款约定条款。</w:t>
      </w:r>
    </w:p>
    <w:p w14:paraId="6FDA5BE3">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贵司应对收到的询价函及相关一切询价资料进行保密，不得向任何第三方透露与本询价有关的任何信息。</w:t>
      </w:r>
    </w:p>
    <w:p w14:paraId="0B0F3DC7">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14:paraId="174D274D">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3" w:name="_Toc20153"/>
      <w:r>
        <w:rPr>
          <w:rFonts w:hint="eastAsia" w:ascii="仿宋" w:hAnsi="仿宋" w:eastAsia="仿宋" w:cs="仿宋"/>
          <w:b/>
          <w:bCs/>
          <w:sz w:val="24"/>
          <w:szCs w:val="24"/>
          <w:lang w:val="en-US" w:eastAsia="zh-CN"/>
        </w:rPr>
        <w:t>特别说明</w:t>
      </w:r>
      <w:bookmarkEnd w:id="3"/>
      <w:r>
        <w:rPr>
          <w:rFonts w:hint="eastAsia" w:ascii="仿宋" w:hAnsi="仿宋" w:eastAsia="仿宋" w:cs="仿宋"/>
          <w:b/>
          <w:bCs/>
          <w:sz w:val="24"/>
          <w:szCs w:val="24"/>
          <w:lang w:val="en-US" w:eastAsia="zh-CN"/>
        </w:rPr>
        <w:t>：</w:t>
      </w:r>
    </w:p>
    <w:p w14:paraId="316E8FF8">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w:t>
      </w:r>
      <w:r>
        <w:rPr>
          <w:rFonts w:hint="eastAsia" w:ascii="仿宋" w:hAnsi="仿宋" w:eastAsia="仿宋" w:cs="仿宋"/>
          <w:color w:val="auto"/>
          <w:sz w:val="24"/>
          <w:szCs w:val="24"/>
          <w:lang w:eastAsia="zh-CN"/>
        </w:rPr>
        <w:t>投标</w:t>
      </w:r>
      <w:r>
        <w:rPr>
          <w:rFonts w:hint="eastAsia" w:ascii="仿宋" w:hAnsi="仿宋" w:eastAsia="仿宋" w:cs="仿宋"/>
          <w:color w:val="auto"/>
          <w:sz w:val="24"/>
          <w:szCs w:val="24"/>
        </w:rPr>
        <w:t>寻源主要为了寻源产品设备制造商授权我公司进行项目投标，</w:t>
      </w:r>
      <w:r>
        <w:rPr>
          <w:rFonts w:hint="eastAsia" w:ascii="仿宋" w:hAnsi="仿宋" w:eastAsia="仿宋" w:cs="仿宋"/>
          <w:b/>
          <w:bCs/>
          <w:color w:val="0000FF"/>
          <w:sz w:val="24"/>
          <w:szCs w:val="24"/>
          <w:u w:val="single"/>
          <w:lang w:val="en-US" w:eastAsia="zh-CN"/>
        </w:rPr>
        <w:t>2026年6月8日</w:t>
      </w:r>
      <w:r>
        <w:rPr>
          <w:rFonts w:hint="eastAsia" w:ascii="仿宋" w:hAnsi="仿宋" w:eastAsia="仿宋" w:cs="仿宋"/>
          <w:color w:val="auto"/>
          <w:sz w:val="24"/>
          <w:szCs w:val="24"/>
        </w:rPr>
        <w:t>前，</w:t>
      </w: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将通知贵司是否为合作意向公司。若贵司为</w:t>
      </w: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合作意向公司，贵司需全力配合</w:t>
      </w: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开展投标准备工作。我公司不承诺必然发生实质性采购需求。</w:t>
      </w:r>
    </w:p>
    <w:p w14:paraId="00B229DB">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当我公司发生实质性需求时，如中选方需在本项目后续的签约和履行阶段需委托其经销商实施的，必须在寻源响应阶段提供相关经销商授权文件</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u w:val="none"/>
          <w:lang w:val="en-US" w:eastAsia="zh-CN"/>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b/>
          <w:bCs/>
          <w:color w:val="auto"/>
          <w:sz w:val="24"/>
          <w:szCs w:val="24"/>
          <w:lang w:eastAsia="zh-CN"/>
        </w:rPr>
        <w:t>）</w:t>
      </w:r>
      <w:r>
        <w:rPr>
          <w:rFonts w:hint="eastAsia" w:ascii="仿宋" w:hAnsi="仿宋" w:eastAsia="仿宋" w:cs="仿宋"/>
          <w:color w:val="auto"/>
          <w:sz w:val="24"/>
          <w:szCs w:val="24"/>
          <w:lang w:val="en-US" w:eastAsia="zh-CN"/>
        </w:rPr>
        <w:t>，说明授权事项。</w:t>
      </w:r>
      <w:r>
        <w:rPr>
          <w:rFonts w:hint="eastAsia" w:ascii="仿宋" w:hAnsi="仿宋" w:eastAsia="仿宋" w:cs="仿宋"/>
          <w:color w:val="auto"/>
          <w:sz w:val="24"/>
          <w:szCs w:val="24"/>
        </w:rPr>
        <w:t>当我公司发生实质性需求时，如出现中选方未能履行寻源响应的相关承诺，影响我公司项目开展的，</w:t>
      </w: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有权对该中选单位进行违约追责。</w:t>
      </w:r>
    </w:p>
    <w:p w14:paraId="48521C44">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14:paraId="39C2829B">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color w:val="auto"/>
          <w:sz w:val="24"/>
          <w:szCs w:val="24"/>
          <w:lang w:val="en-US" w:eastAsia="zh-CN"/>
        </w:rPr>
        <w:t>拟投标项目招标方对招标内容进行</w:t>
      </w:r>
      <w:r>
        <w:rPr>
          <w:rFonts w:hint="eastAsia" w:ascii="仿宋" w:hAnsi="仿宋" w:eastAsia="仿宋" w:cs="仿宋"/>
          <w:color w:val="auto"/>
          <w:sz w:val="24"/>
          <w:szCs w:val="24"/>
        </w:rPr>
        <w:t>正式变更澄清外，不允许修改技术文件，仅需确认二次报价。</w:t>
      </w:r>
    </w:p>
    <w:p w14:paraId="71F1E8B6">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有权根据投标策略调整</w:t>
      </w:r>
      <w:r>
        <w:rPr>
          <w:rFonts w:hint="eastAsia" w:ascii="仿宋" w:hAnsi="仿宋" w:eastAsia="仿宋" w:cs="仿宋"/>
          <w:color w:val="auto"/>
          <w:sz w:val="24"/>
          <w:szCs w:val="24"/>
          <w:lang w:eastAsia="zh-CN"/>
        </w:rPr>
        <w:t>响应价格</w:t>
      </w:r>
      <w:r>
        <w:rPr>
          <w:rFonts w:hint="eastAsia" w:ascii="仿宋" w:hAnsi="仿宋" w:eastAsia="仿宋" w:cs="仿宋"/>
          <w:color w:val="auto"/>
          <w:sz w:val="24"/>
          <w:szCs w:val="24"/>
        </w:rPr>
        <w:t>。因此双方确定合作意向后，在投标前，</w:t>
      </w: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有权与贵司再次开展价格谈判，确定贵司的最终成交价格。最终成交价应以双方确定合作意向时的价格为基础，予以下浮，并由贵司书面确认该下浮率(即:最终成交价格=双方确定合作意向时的价格*(1-下浮率))。若</w:t>
      </w: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未投标或未中标，本次询价的采购工作自然终止，不再单独声明。当我公司发生实质性需求时，如出现中选方未能履行寻源响应的相关承诺，影响我公司项目开展的，</w:t>
      </w:r>
      <w:r>
        <w:rPr>
          <w:rFonts w:hint="eastAsia" w:ascii="仿宋" w:hAnsi="仿宋" w:eastAsia="仿宋" w:cs="仿宋"/>
          <w:color w:val="auto"/>
          <w:sz w:val="24"/>
          <w:szCs w:val="24"/>
          <w:lang w:eastAsia="zh-CN"/>
        </w:rPr>
        <w:t>我公司</w:t>
      </w:r>
      <w:r>
        <w:rPr>
          <w:rFonts w:hint="eastAsia" w:ascii="仿宋" w:hAnsi="仿宋" w:eastAsia="仿宋" w:cs="仿宋"/>
          <w:color w:val="auto"/>
          <w:sz w:val="24"/>
          <w:szCs w:val="24"/>
        </w:rPr>
        <w:t>有权对该中选单位进行违约追责。</w:t>
      </w:r>
    </w:p>
    <w:p w14:paraId="56B34CB3">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4" w:name="_Toc24350"/>
      <w:r>
        <w:rPr>
          <w:rFonts w:hint="eastAsia" w:ascii="仿宋" w:hAnsi="仿宋" w:eastAsia="仿宋" w:cs="仿宋"/>
          <w:b/>
          <w:bCs/>
          <w:sz w:val="24"/>
          <w:szCs w:val="24"/>
          <w:lang w:val="en-US" w:eastAsia="zh-CN"/>
        </w:rPr>
        <w:t>询价响应文件提交</w:t>
      </w:r>
      <w:bookmarkEnd w:id="4"/>
      <w:r>
        <w:rPr>
          <w:rFonts w:hint="eastAsia" w:ascii="仿宋" w:hAnsi="仿宋" w:eastAsia="仿宋" w:cs="仿宋"/>
          <w:b/>
          <w:bCs/>
          <w:sz w:val="24"/>
          <w:szCs w:val="24"/>
          <w:lang w:val="en-US" w:eastAsia="zh-CN"/>
        </w:rPr>
        <w:t>：</w:t>
      </w:r>
    </w:p>
    <w:p w14:paraId="0EC40069">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highlight w:val="none"/>
        </w:rPr>
        <w:t>请于</w:t>
      </w:r>
      <w:r>
        <w:rPr>
          <w:rFonts w:hint="eastAsia" w:ascii="仿宋" w:hAnsi="仿宋" w:eastAsia="仿宋" w:cs="仿宋"/>
          <w:b/>
          <w:bCs/>
          <w:color w:val="0000FF"/>
          <w:sz w:val="24"/>
          <w:szCs w:val="24"/>
          <w:highlight w:val="none"/>
          <w:u w:val="single"/>
          <w:lang w:val="en-US" w:eastAsia="zh-CN"/>
        </w:rPr>
        <w:t xml:space="preserve"> 2026年6月3日 9:00</w:t>
      </w:r>
      <w:r>
        <w:rPr>
          <w:rFonts w:hint="eastAsia" w:ascii="仿宋" w:hAnsi="仿宋" w:eastAsia="仿宋" w:cs="仿宋"/>
          <w:b w:val="0"/>
          <w:bCs w:val="0"/>
          <w:sz w:val="24"/>
          <w:szCs w:val="24"/>
          <w:highlight w:val="none"/>
        </w:rPr>
        <w:t>前将电子版询价响应文件</w:t>
      </w:r>
      <w:r>
        <w:rPr>
          <w:rFonts w:hint="eastAsia" w:ascii="仿宋" w:hAnsi="仿宋" w:eastAsia="仿宋" w:cs="仿宋"/>
          <w:b w:val="0"/>
          <w:bCs w:val="0"/>
          <w:sz w:val="24"/>
          <w:szCs w:val="24"/>
          <w:highlight w:val="none"/>
          <w:lang w:eastAsia="zh-CN"/>
        </w:rPr>
        <w:t>（附件</w:t>
      </w:r>
      <w:r>
        <w:rPr>
          <w:rFonts w:hint="eastAsia" w:ascii="仿宋" w:hAnsi="仿宋" w:eastAsia="仿宋" w:cs="仿宋"/>
          <w:b w:val="0"/>
          <w:bCs w:val="0"/>
          <w:sz w:val="24"/>
          <w:szCs w:val="24"/>
          <w:highlight w:val="none"/>
          <w:lang w:val="en-US" w:eastAsia="zh-CN"/>
        </w:rPr>
        <w:t>1、附件2</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发送至</w:t>
      </w:r>
      <w:r>
        <w:rPr>
          <w:rFonts w:hint="eastAsia" w:ascii="仿宋" w:hAnsi="仿宋" w:eastAsia="仿宋" w:cs="仿宋"/>
          <w:b w:val="0"/>
          <w:bCs w:val="0"/>
          <w:sz w:val="24"/>
          <w:szCs w:val="24"/>
          <w:highlight w:val="none"/>
          <w:lang w:eastAsia="zh-CN"/>
        </w:rPr>
        <w:t>指定邮箱</w:t>
      </w:r>
      <w:r>
        <w:rPr>
          <w:rFonts w:hint="eastAsia" w:ascii="仿宋" w:hAnsi="仿宋" w:eastAsia="仿宋" w:cs="仿宋"/>
          <w:b w:val="0"/>
          <w:bCs w:val="0"/>
          <w:color w:val="auto"/>
          <w:sz w:val="24"/>
          <w:szCs w:val="24"/>
          <w:highlight w:val="none"/>
          <w:u w:val="single"/>
          <w:lang w:eastAsia="zh-CN"/>
        </w:rPr>
        <w:t>：</w:t>
      </w:r>
      <w:r>
        <w:rPr>
          <w:rFonts w:hint="eastAsia" w:ascii="仿宋" w:hAnsi="仿宋" w:eastAsia="仿宋" w:cs="仿宋"/>
          <w:b/>
          <w:bCs/>
          <w:color w:val="0000FF"/>
          <w:sz w:val="24"/>
          <w:szCs w:val="24"/>
          <w:highlight w:val="none"/>
          <w:u w:val="single"/>
          <w:lang w:eastAsia="zh-CN"/>
        </w:rPr>
        <w:t>cgzx@dptc.csg.cn。</w:t>
      </w:r>
    </w:p>
    <w:p w14:paraId="2621FA9E">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仿宋" w:hAnsi="仿宋" w:eastAsia="仿宋" w:cs="仿宋"/>
          <w:b w:val="0"/>
          <w:bCs w:val="0"/>
          <w:sz w:val="24"/>
          <w:szCs w:val="24"/>
        </w:rPr>
      </w:pPr>
      <w:r>
        <w:rPr>
          <w:rFonts w:hint="eastAsia" w:ascii="仿宋" w:hAnsi="仿宋" w:eastAsia="仿宋" w:cs="仿宋"/>
          <w:b/>
          <w:bCs/>
          <w:color w:val="0000FF"/>
          <w:sz w:val="24"/>
          <w:szCs w:val="24"/>
          <w:highlight w:val="none"/>
          <w:u w:val="single"/>
          <w:lang w:val="en-US" w:eastAsia="zh-CN"/>
        </w:rPr>
        <w:t>电子版询价响应文件（附件1、附件2）需每页加盖公司公章（或电子章）的PDF版本文件，同时另附Excel版本报价表，以盖章文件为准（Excel版文件无需加盖公章）。</w:t>
      </w:r>
    </w:p>
    <w:p w14:paraId="6DA420FA">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14:paraId="2A0382C8">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 系 人：</w:t>
      </w:r>
      <w:r>
        <w:rPr>
          <w:rFonts w:hint="eastAsia" w:ascii="仿宋" w:hAnsi="仿宋" w:eastAsia="仿宋" w:cs="仿宋"/>
          <w:sz w:val="24"/>
          <w:szCs w:val="24"/>
          <w:lang w:eastAsia="zh-CN"/>
        </w:rPr>
        <w:t>南网数字运营软件科技（广东）有限公司</w:t>
      </w:r>
      <w:r>
        <w:rPr>
          <w:rFonts w:hint="eastAsia" w:ascii="仿宋" w:hAnsi="仿宋" w:eastAsia="仿宋" w:cs="仿宋"/>
          <w:sz w:val="24"/>
          <w:szCs w:val="24"/>
          <w:highlight w:val="none"/>
          <w:lang w:val="en-US" w:eastAsia="zh-CN"/>
        </w:rPr>
        <w:t>采购中心</w:t>
      </w:r>
    </w:p>
    <w:p w14:paraId="2E8DDFC3">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电子邮箱：</w:t>
      </w:r>
      <w:r>
        <w:rPr>
          <w:rFonts w:hint="eastAsia" w:ascii="仿宋" w:hAnsi="仿宋" w:eastAsia="仿宋" w:cs="仿宋"/>
          <w:sz w:val="24"/>
          <w:szCs w:val="24"/>
          <w:highlight w:val="none"/>
          <w:lang w:eastAsia="zh-CN"/>
        </w:rPr>
        <w:t>cgzx</w:t>
      </w:r>
      <w:r>
        <w:rPr>
          <w:rFonts w:hint="eastAsia" w:ascii="仿宋" w:hAnsi="仿宋" w:eastAsia="仿宋" w:cs="仿宋"/>
          <w:sz w:val="24"/>
          <w:szCs w:val="24"/>
          <w:highlight w:val="none"/>
        </w:rPr>
        <w:t xml:space="preserve">@dptc.csg.cn </w:t>
      </w:r>
    </w:p>
    <w:p w14:paraId="30C42B24">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联系电话：0755-82939406/13242938237（非工作日联系）</w:t>
      </w:r>
      <w:r>
        <w:rPr>
          <w:rFonts w:hint="eastAsia" w:ascii="仿宋" w:hAnsi="仿宋" w:eastAsia="仿宋" w:cs="仿宋"/>
          <w:sz w:val="24"/>
          <w:szCs w:val="24"/>
          <w:highlight w:val="none"/>
          <w:lang w:val="en-US" w:eastAsia="zh-CN"/>
        </w:rPr>
        <w:t xml:space="preserve"> </w:t>
      </w:r>
    </w:p>
    <w:p w14:paraId="08F9A334">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监督电话：0755-82937155      </w:t>
      </w:r>
    </w:p>
    <w:p w14:paraId="0DD3D141">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监督邮箱：cwjyjd@dptc.csg.cn</w:t>
      </w:r>
    </w:p>
    <w:p w14:paraId="1882901E">
      <w:pPr>
        <w:pStyle w:val="17"/>
        <w:spacing w:line="360" w:lineRule="auto"/>
        <w:rPr>
          <w:rFonts w:hint="eastAsia" w:ascii="仿宋" w:hAnsi="仿宋" w:eastAsia="仿宋" w:cs="仿宋"/>
          <w:sz w:val="24"/>
          <w:szCs w:val="24"/>
        </w:rPr>
      </w:pPr>
    </w:p>
    <w:p w14:paraId="06B80002">
      <w:pPr>
        <w:pStyle w:val="17"/>
        <w:spacing w:line="360" w:lineRule="auto"/>
        <w:rPr>
          <w:rFonts w:hint="eastAsia" w:ascii="仿宋" w:hAnsi="仿宋" w:eastAsia="仿宋" w:cs="仿宋"/>
          <w:sz w:val="24"/>
          <w:szCs w:val="24"/>
        </w:rPr>
      </w:pPr>
    </w:p>
    <w:p w14:paraId="3E8873C0">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14:paraId="1AFA1702">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14:paraId="79EDE9E1">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南网数字运营软件科技（广东）有限公司</w:t>
      </w:r>
    </w:p>
    <w:p w14:paraId="10FCDEED">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b/>
          <w:bCs/>
          <w:color w:val="0000FF"/>
          <w:sz w:val="24"/>
          <w:szCs w:val="24"/>
          <w:highlight w:val="none"/>
          <w:u w:val="single"/>
          <w:lang w:val="en-US" w:eastAsia="zh-CN"/>
        </w:rPr>
        <w:t xml:space="preserve"> 2026年05月29日</w:t>
      </w:r>
      <w:bookmarkStart w:id="8" w:name="_GoBack"/>
      <w:bookmarkEnd w:id="8"/>
    </w:p>
    <w:p w14:paraId="7405BF9C">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7EDBA548">
      <w:pPr>
        <w:pStyle w:val="4"/>
        <w:numPr>
          <w:ilvl w:val="0"/>
          <w:numId w:val="0"/>
        </w:numPr>
        <w:bidi w:val="0"/>
        <w:ind w:leftChars="0"/>
        <w:jc w:val="center"/>
        <w:rPr>
          <w:rFonts w:hint="eastAsia"/>
          <w:lang w:eastAsia="zh-CN"/>
        </w:rPr>
      </w:pPr>
      <w:r>
        <w:rPr>
          <w:rFonts w:hint="eastAsia"/>
          <w:lang w:val="en-US" w:eastAsia="zh-CN"/>
        </w:rPr>
        <w:t>资格要求及评审办法</w:t>
      </w:r>
    </w:p>
    <w:p w14:paraId="071C922D">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一、资格要求</w:t>
      </w:r>
    </w:p>
    <w:tbl>
      <w:tblPr>
        <w:tblStyle w:val="23"/>
        <w:tblW w:w="9254" w:type="dxa"/>
        <w:jc w:val="center"/>
        <w:tblLayout w:type="fixed"/>
        <w:tblCellMar>
          <w:top w:w="0" w:type="dxa"/>
          <w:left w:w="0" w:type="dxa"/>
          <w:bottom w:w="0" w:type="dxa"/>
          <w:right w:w="0" w:type="dxa"/>
        </w:tblCellMar>
      </w:tblPr>
      <w:tblGrid>
        <w:gridCol w:w="838"/>
        <w:gridCol w:w="8416"/>
      </w:tblGrid>
      <w:tr w14:paraId="43ECA49F">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noWrap w:val="0"/>
            <w:vAlign w:val="center"/>
          </w:tcPr>
          <w:p w14:paraId="7A1E1B4E">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通用资格：</w:t>
            </w:r>
          </w:p>
        </w:tc>
      </w:tr>
      <w:tr w14:paraId="5D2EBF48">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4FECB4D4">
            <w:pPr>
              <w:spacing w:line="360" w:lineRule="auto"/>
              <w:jc w:val="center"/>
              <w:rPr>
                <w:rFonts w:hint="eastAsia" w:ascii="仿宋" w:hAnsi="仿宋" w:eastAsia="仿宋" w:cs="仿宋"/>
                <w:sz w:val="24"/>
                <w:szCs w:val="24"/>
              </w:rPr>
            </w:pPr>
            <w:r>
              <w:rPr>
                <w:rFonts w:hint="eastAsia" w:ascii="仿宋" w:hAnsi="仿宋" w:eastAsia="仿宋" w:cs="仿宋"/>
                <w:b/>
                <w:sz w:val="24"/>
                <w:szCs w:val="24"/>
                <w:highlight w:val="none"/>
              </w:rPr>
              <w:t>通用资格要求</w:t>
            </w:r>
          </w:p>
        </w:tc>
      </w:tr>
      <w:tr w14:paraId="6582EBCC">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FB15C89">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62E10499">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内容</w:t>
            </w:r>
          </w:p>
        </w:tc>
      </w:tr>
      <w:tr w14:paraId="41276969">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A78CED0">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5FFA37EB">
            <w:pPr>
              <w:spacing w:beforeLines="0" w:afterLines="0" w:line="360" w:lineRule="auto"/>
              <w:ind w:left="113" w:leftChars="0"/>
              <w:rPr>
                <w:rFonts w:hint="eastAsia" w:ascii="仿宋" w:hAnsi="仿宋" w:eastAsia="仿宋" w:cs="仿宋"/>
                <w:sz w:val="24"/>
                <w:szCs w:val="24"/>
              </w:rPr>
            </w:pP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14:paraId="360C52B7">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3A0C57B">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1A9E87F">
            <w:pPr>
              <w:spacing w:beforeLines="0" w:afterLines="0" w:line="360" w:lineRule="auto"/>
              <w:ind w:left="113"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tc>
      </w:tr>
      <w:tr w14:paraId="03946864">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11DDECA">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6733BF0C">
            <w:pPr>
              <w:spacing w:beforeLines="0" w:afterLines="0" w:line="360" w:lineRule="auto"/>
              <w:ind w:left="113" w:leftChars="0"/>
              <w:rPr>
                <w:rFonts w:hint="eastAsia" w:ascii="仿宋" w:hAnsi="仿宋" w:eastAsia="仿宋" w:cs="仿宋"/>
                <w:sz w:val="24"/>
                <w:szCs w:val="24"/>
              </w:rPr>
            </w:pPr>
            <w:r>
              <w:rPr>
                <w:rFonts w:hint="eastAsia" w:ascii="仿宋" w:hAnsi="仿宋" w:eastAsia="仿宋" w:cs="仿宋"/>
                <w:sz w:val="24"/>
                <w:szCs w:val="24"/>
                <w:lang w:eastAsia="zh-CN"/>
              </w:rPr>
              <w:t>具备近三年（202</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年至今）对应本项目</w:t>
            </w:r>
            <w:r>
              <w:rPr>
                <w:rFonts w:hint="eastAsia" w:ascii="仿宋" w:hAnsi="仿宋" w:eastAsia="仿宋" w:cs="仿宋"/>
                <w:sz w:val="24"/>
                <w:szCs w:val="24"/>
                <w:lang w:val="en-US" w:eastAsia="zh-CN"/>
              </w:rPr>
              <w:t>寻源</w:t>
            </w:r>
            <w:r>
              <w:rPr>
                <w:rFonts w:hint="eastAsia" w:ascii="仿宋" w:hAnsi="仿宋" w:eastAsia="仿宋" w:cs="仿宋"/>
                <w:sz w:val="24"/>
                <w:szCs w:val="24"/>
                <w:lang w:eastAsia="zh-CN"/>
              </w:rPr>
              <w:t>物资</w:t>
            </w:r>
            <w:r>
              <w:rPr>
                <w:rFonts w:hint="eastAsia" w:ascii="仿宋" w:hAnsi="仿宋" w:eastAsia="仿宋" w:cs="仿宋"/>
                <w:sz w:val="24"/>
                <w:szCs w:val="24"/>
                <w:lang w:val="en-US" w:eastAsia="zh-CN"/>
              </w:rPr>
              <w:t>同</w:t>
            </w:r>
            <w:r>
              <w:rPr>
                <w:rFonts w:hint="eastAsia" w:ascii="仿宋" w:hAnsi="仿宋" w:eastAsia="仿宋" w:cs="仿宋"/>
                <w:sz w:val="24"/>
                <w:szCs w:val="24"/>
                <w:lang w:eastAsia="zh-CN"/>
              </w:rPr>
              <w:t>类型</w:t>
            </w:r>
            <w:r>
              <w:rPr>
                <w:rFonts w:hint="eastAsia" w:ascii="仿宋" w:hAnsi="仿宋" w:eastAsia="仿宋" w:cs="仿宋"/>
                <w:sz w:val="24"/>
                <w:szCs w:val="24"/>
                <w:lang w:val="en-US" w:eastAsia="zh-CN"/>
              </w:rPr>
              <w:t>产品</w:t>
            </w:r>
            <w:r>
              <w:rPr>
                <w:rFonts w:hint="eastAsia" w:ascii="仿宋" w:hAnsi="仿宋" w:eastAsia="仿宋" w:cs="仿宋"/>
                <w:sz w:val="24"/>
                <w:szCs w:val="24"/>
                <w:lang w:eastAsia="zh-CN"/>
              </w:rPr>
              <w:t>的</w:t>
            </w:r>
            <w:r>
              <w:rPr>
                <w:rFonts w:hint="eastAsia" w:ascii="仿宋" w:hAnsi="仿宋" w:eastAsia="仿宋" w:cs="仿宋"/>
                <w:sz w:val="24"/>
                <w:szCs w:val="24"/>
                <w:lang w:val="en-US" w:eastAsia="zh-CN"/>
              </w:rPr>
              <w:t>业绩合同不少于3个，且合同客户为不同法人主体。</w:t>
            </w:r>
            <w:r>
              <w:rPr>
                <w:rFonts w:hint="eastAsia" w:ascii="仿宋" w:hAnsi="仿宋" w:eastAsia="仿宋" w:cs="仿宋"/>
                <w:sz w:val="24"/>
                <w:szCs w:val="24"/>
                <w:lang w:eastAsia="zh-CN"/>
              </w:rPr>
              <w:t>并提供</w:t>
            </w:r>
            <w:r>
              <w:rPr>
                <w:rFonts w:hint="eastAsia" w:ascii="仿宋" w:hAnsi="仿宋" w:eastAsia="仿宋" w:cs="仿宋"/>
                <w:sz w:val="24"/>
                <w:szCs w:val="24"/>
                <w:lang w:val="en-US" w:eastAsia="zh-CN"/>
              </w:rPr>
              <w:t>业绩</w:t>
            </w:r>
            <w:r>
              <w:rPr>
                <w:rFonts w:hint="eastAsia" w:ascii="仿宋" w:hAnsi="仿宋" w:eastAsia="仿宋" w:cs="仿宋"/>
                <w:sz w:val="24"/>
                <w:szCs w:val="24"/>
                <w:lang w:eastAsia="zh-CN"/>
              </w:rPr>
              <w:t>佐证（</w:t>
            </w:r>
            <w:r>
              <w:rPr>
                <w:rFonts w:hint="eastAsia" w:ascii="仿宋" w:hAnsi="仿宋" w:eastAsia="仿宋" w:cs="仿宋"/>
                <w:sz w:val="24"/>
                <w:szCs w:val="24"/>
                <w:lang w:val="en-US" w:eastAsia="zh-CN"/>
              </w:rPr>
              <w:t>如</w:t>
            </w:r>
            <w:r>
              <w:rPr>
                <w:rFonts w:hint="eastAsia" w:ascii="仿宋" w:hAnsi="仿宋" w:eastAsia="仿宋" w:cs="仿宋"/>
                <w:sz w:val="24"/>
                <w:szCs w:val="24"/>
                <w:lang w:eastAsia="zh-CN"/>
              </w:rPr>
              <w:t>采购协议</w:t>
            </w:r>
            <w:r>
              <w:rPr>
                <w:rFonts w:hint="eastAsia" w:ascii="仿宋" w:hAnsi="仿宋" w:eastAsia="仿宋" w:cs="仿宋"/>
                <w:sz w:val="24"/>
                <w:szCs w:val="24"/>
                <w:lang w:val="en-US" w:eastAsia="zh-CN"/>
              </w:rPr>
              <w:t>/合同</w:t>
            </w:r>
            <w:r>
              <w:rPr>
                <w:rFonts w:hint="eastAsia" w:ascii="仿宋" w:hAnsi="仿宋" w:eastAsia="仿宋" w:cs="仿宋"/>
                <w:sz w:val="24"/>
                <w:szCs w:val="24"/>
                <w:lang w:eastAsia="zh-CN"/>
              </w:rPr>
              <w:t>等证明材料）</w:t>
            </w:r>
          </w:p>
        </w:tc>
      </w:tr>
      <w:tr w14:paraId="64D41873">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4522E2DB">
            <w:pPr>
              <w:spacing w:beforeLines="0" w:afterLines="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highlight w:val="none"/>
                <w:lang w:val="en-US" w:eastAsia="zh-CN"/>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31293BB">
            <w:pPr>
              <w:spacing w:beforeLines="0" w:afterLines="0" w:line="360" w:lineRule="auto"/>
              <w:ind w:left="113" w:leftChars="0"/>
              <w:rPr>
                <w:rFonts w:hint="eastAsia" w:ascii="仿宋" w:hAnsi="仿宋" w:eastAsia="仿宋" w:cs="仿宋"/>
                <w:kern w:val="2"/>
                <w:sz w:val="24"/>
                <w:szCs w:val="24"/>
                <w:lang w:val="en-US" w:eastAsia="zh-CN" w:bidi="ar-SA"/>
              </w:rPr>
            </w:pPr>
            <w:r>
              <w:rPr>
                <w:rFonts w:hint="eastAsia" w:ascii="仿宋" w:hAnsi="仿宋" w:eastAsia="仿宋" w:cs="仿宋"/>
                <w:sz w:val="24"/>
                <w:szCs w:val="24"/>
                <w:highlight w:val="none"/>
                <w:lang w:val="en-US" w:eastAsia="zh-CN"/>
              </w:rPr>
              <w:t>具备基本的生产设备，满足基本生产条件</w:t>
            </w:r>
          </w:p>
        </w:tc>
      </w:tr>
      <w:tr w14:paraId="47DF1857">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DA8328B">
            <w:pPr>
              <w:spacing w:beforeLines="0" w:afterLines="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highlight w:val="none"/>
                <w:lang w:val="en-US" w:eastAsia="zh-CN"/>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B3DE562">
            <w:pPr>
              <w:spacing w:beforeLines="0" w:afterLines="0" w:line="360" w:lineRule="auto"/>
              <w:ind w:left="113" w:leftChars="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具备本项目响应产品的知识产权（专利或软著等）</w:t>
            </w:r>
          </w:p>
        </w:tc>
      </w:tr>
      <w:tr w14:paraId="187D6FDE">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63167F2">
            <w:pPr>
              <w:spacing w:beforeLines="0" w:afterLines="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582AA443">
            <w:pPr>
              <w:spacing w:beforeLines="0" w:afterLines="0" w:line="360" w:lineRule="auto"/>
              <w:ind w:left="113" w:leftChars="0"/>
              <w:rPr>
                <w:rFonts w:hint="eastAsia" w:ascii="仿宋" w:hAnsi="仿宋" w:eastAsia="仿宋" w:cs="仿宋"/>
                <w:sz w:val="24"/>
                <w:szCs w:val="24"/>
                <w:highlight w:val="none"/>
                <w:lang w:val="en-US" w:eastAsia="zh-CN"/>
              </w:rPr>
            </w:pPr>
            <w:r>
              <w:rPr>
                <w:rFonts w:hint="eastAsia" w:ascii="仿宋" w:hAnsi="仿宋" w:eastAsia="仿宋" w:cs="仿宋"/>
                <w:sz w:val="24"/>
                <w:highlight w:val="none"/>
              </w:rPr>
              <w:t>本项目涉及的所有应用和软硬件产品需要提供自主可控证明文件（国家信息安全权威测评机构出具的测评文件）。</w:t>
            </w:r>
          </w:p>
        </w:tc>
      </w:tr>
      <w:tr w14:paraId="5DF3DB92">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E804D04">
            <w:pPr>
              <w:spacing w:beforeLines="0" w:afterLines="0"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462DC0B">
            <w:pPr>
              <w:spacing w:beforeLines="0" w:afterLines="0" w:line="360" w:lineRule="auto"/>
              <w:ind w:left="113" w:leftChars="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具备本项目响应产品的资质证书，如第三方测试报告等（至少一项）</w:t>
            </w:r>
          </w:p>
        </w:tc>
      </w:tr>
    </w:tbl>
    <w:p w14:paraId="1B841CBD">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二、评审办法</w:t>
      </w:r>
    </w:p>
    <w:p w14:paraId="3BCDDAFE">
      <w:pPr>
        <w:pStyle w:val="21"/>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14:paraId="64CAB5BB">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寻源评审组对参与供应商提交的响应文件的有效性、完整性等进行确认。</w:t>
      </w:r>
    </w:p>
    <w:p w14:paraId="570DC697">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寻源评审组对供应商的商务条件、技术条件和报价进行确认。</w:t>
      </w:r>
    </w:p>
    <w:p w14:paraId="36599EF3">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寻源评审组应对报价进行详细复核，包括检查是否有计算上的错误或报价范围上的错误。如发现有错误的，将进行修正。</w:t>
      </w:r>
    </w:p>
    <w:p w14:paraId="256ED69A">
      <w:pPr>
        <w:pStyle w:val="21"/>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14:paraId="503741ED">
      <w:pPr>
        <w:keepNext w:val="0"/>
        <w:keepLines w:val="0"/>
        <w:pageBreakBefore w:val="0"/>
        <w:widowControl w:val="0"/>
        <w:numPr>
          <w:ilvl w:val="0"/>
          <w:numId w:val="7"/>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14:paraId="3CEC7C94">
      <w:pPr>
        <w:keepNext w:val="0"/>
        <w:keepLines w:val="0"/>
        <w:pageBreakBefore w:val="0"/>
        <w:widowControl w:val="0"/>
        <w:numPr>
          <w:ilvl w:val="0"/>
          <w:numId w:val="7"/>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14:paraId="435E8593">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过程中，寻源评审组可以书面形式要求参与供应商对所提交响应文件中不明确的内容进行书面澄清或说明，或者对细微偏差进行补正。寻源评审组要求参与供应商提供的澄清文件作为响应文件的组成部分。</w:t>
      </w:r>
    </w:p>
    <w:p w14:paraId="699AD15B">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bookmarkEnd w:id="6"/>
    <w:tbl>
      <w:tblPr>
        <w:tblStyle w:val="23"/>
        <w:tblW w:w="9175" w:type="dxa"/>
        <w:jc w:val="center"/>
        <w:tblLayout w:type="fixed"/>
        <w:tblCellMar>
          <w:top w:w="0" w:type="dxa"/>
          <w:left w:w="0" w:type="dxa"/>
          <w:bottom w:w="0" w:type="dxa"/>
          <w:right w:w="0" w:type="dxa"/>
        </w:tblCellMar>
      </w:tblPr>
      <w:tblGrid>
        <w:gridCol w:w="687"/>
        <w:gridCol w:w="1445"/>
        <w:gridCol w:w="7043"/>
      </w:tblGrid>
      <w:tr w14:paraId="6B899D61">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3B345B1">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6EF290B7">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4E684BE">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14:paraId="2F228286">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DA76F8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32AEFF1">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0467C59">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1.1报价文件格式是否满足寻源文件要求（主要审查：报价文件的签署以及法人代表授权书等）</w:t>
            </w:r>
          </w:p>
        </w:tc>
      </w:tr>
      <w:tr w14:paraId="0B3EC825">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62DB383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6D1E2C7D">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837C7DC">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2.1质量</w:t>
            </w:r>
            <w:r>
              <w:rPr>
                <w:rFonts w:hint="eastAsia" w:ascii="仿宋" w:hAnsi="仿宋" w:eastAsia="仿宋" w:cs="仿宋"/>
                <w:sz w:val="24"/>
                <w:szCs w:val="24"/>
                <w:lang w:eastAsia="zh-CN"/>
              </w:rPr>
              <w:t>、</w:t>
            </w:r>
            <w:r>
              <w:rPr>
                <w:rFonts w:hint="eastAsia" w:ascii="仿宋" w:hAnsi="仿宋" w:eastAsia="仿宋" w:cs="仿宋"/>
                <w:sz w:val="24"/>
                <w:szCs w:val="24"/>
              </w:rPr>
              <w:t>服务</w:t>
            </w:r>
            <w:r>
              <w:rPr>
                <w:rFonts w:hint="eastAsia" w:ascii="仿宋" w:hAnsi="仿宋" w:eastAsia="仿宋" w:cs="仿宋"/>
                <w:sz w:val="24"/>
                <w:szCs w:val="24"/>
                <w:lang w:val="en-US" w:eastAsia="zh-CN"/>
              </w:rPr>
              <w:t>和工期</w:t>
            </w:r>
            <w:r>
              <w:rPr>
                <w:rFonts w:hint="eastAsia" w:ascii="仿宋" w:hAnsi="仿宋" w:eastAsia="仿宋" w:cs="仿宋"/>
                <w:sz w:val="24"/>
                <w:szCs w:val="24"/>
              </w:rPr>
              <w:t>是否满足要求</w:t>
            </w:r>
          </w:p>
        </w:tc>
      </w:tr>
      <w:tr w14:paraId="78809AFE">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961FAC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CD62445">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3F2BA1A6">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3.1是否存在“无效报价”的情形</w:t>
            </w:r>
          </w:p>
        </w:tc>
      </w:tr>
      <w:tr w14:paraId="51586605">
        <w:tblPrEx>
          <w:tblCellMar>
            <w:top w:w="0" w:type="dxa"/>
            <w:left w:w="0" w:type="dxa"/>
            <w:bottom w:w="0" w:type="dxa"/>
            <w:right w:w="0" w:type="dxa"/>
          </w:tblCellMar>
        </w:tblPrEx>
        <w:trPr>
          <w:trHeight w:val="48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1892826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A67EC54">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910EFA2">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4.1报价是否合理且在最高限价范围内</w:t>
            </w:r>
          </w:p>
        </w:tc>
      </w:tr>
      <w:tr w14:paraId="50F6135E">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56A05A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692AC743">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0E3D165">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rPr>
              <w:t>5.1具有独立承担民事责任的能力</w:t>
            </w:r>
          </w:p>
        </w:tc>
      </w:tr>
      <w:tr w14:paraId="17BBB6F5">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5F30A68">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2E4E3507">
            <w:pPr>
              <w:spacing w:line="360" w:lineRule="auto"/>
              <w:ind w:left="170" w:leftChars="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4D4EF57B">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.1按报价文件要求提供有效的营业执照（组织机构代码证、税务登记证）等相关证书的复印件</w:t>
            </w:r>
          </w:p>
        </w:tc>
      </w:tr>
      <w:tr w14:paraId="71570000">
        <w:tblPrEx>
          <w:tblCellMar>
            <w:top w:w="0" w:type="dxa"/>
            <w:left w:w="0" w:type="dxa"/>
            <w:bottom w:w="0" w:type="dxa"/>
            <w:right w:w="0" w:type="dxa"/>
          </w:tblCellMar>
        </w:tblPrEx>
        <w:trPr>
          <w:trHeight w:val="541"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7AD9423">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06B9B1F3">
            <w:pPr>
              <w:spacing w:line="360" w:lineRule="auto"/>
              <w:ind w:left="170" w:leftChars="0"/>
              <w:rPr>
                <w:rFonts w:hint="default" w:ascii="仿宋" w:hAnsi="仿宋" w:eastAsia="仿宋" w:cs="仿宋"/>
                <w:sz w:val="24"/>
                <w:szCs w:val="24"/>
                <w:lang w:val="en-US"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14:paraId="732F7B1D">
            <w:pPr>
              <w:spacing w:line="360" w:lineRule="auto"/>
              <w:ind w:left="170" w:left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7.1标星项★必须满足，并提供证明材料。</w:t>
            </w:r>
          </w:p>
        </w:tc>
      </w:tr>
    </w:tbl>
    <w:p w14:paraId="11D724AE">
      <w:pPr>
        <w:pStyle w:val="21"/>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14:paraId="0A6DC7C9">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14:paraId="6CAED824">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价格评分前应对各</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14:paraId="365C8B83">
      <w:pPr>
        <w:pStyle w:val="21"/>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14:paraId="4D82D2DD">
      <w:pPr>
        <w:keepNext w:val="0"/>
        <w:keepLines w:val="0"/>
        <w:pageBreakBefore w:val="0"/>
        <w:widowControl w:val="0"/>
        <w:numPr>
          <w:ilvl w:val="0"/>
          <w:numId w:val="9"/>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14:paraId="75907FD6">
      <w:pPr>
        <w:keepNext w:val="0"/>
        <w:keepLines w:val="0"/>
        <w:pageBreakBefore w:val="0"/>
        <w:widowControl w:val="0"/>
        <w:numPr>
          <w:ilvl w:val="0"/>
          <w:numId w:val="9"/>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color w:val="000000"/>
          <w:sz w:val="24"/>
          <w:szCs w:val="24"/>
        </w:rPr>
      </w:pPr>
      <w:r>
        <w:rPr>
          <w:rFonts w:hint="eastAsia" w:ascii="仿宋" w:hAnsi="仿宋" w:eastAsia="仿宋" w:cs="仿宋"/>
          <w:sz w:val="24"/>
          <w:szCs w:val="24"/>
        </w:rPr>
        <w:t>如果用数字表示的金额与用文字表示的金额不一致，应以文字表示的金额为准。</w:t>
      </w:r>
    </w:p>
    <w:p w14:paraId="5DEAD1A2">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rPr>
      </w:pPr>
      <w:r>
        <w:rPr>
          <w:rFonts w:hint="eastAsia" w:ascii="仿宋" w:hAnsi="仿宋" w:eastAsia="仿宋" w:cs="仿宋"/>
          <w:sz w:val="24"/>
          <w:szCs w:val="24"/>
          <w:highlight w:val="none"/>
        </w:rPr>
        <w:t>技术、商务、价格评审要素</w:t>
      </w:r>
    </w:p>
    <w:tbl>
      <w:tblPr>
        <w:tblStyle w:val="2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2"/>
        <w:gridCol w:w="1128"/>
        <w:gridCol w:w="1765"/>
        <w:gridCol w:w="3811"/>
        <w:gridCol w:w="766"/>
      </w:tblGrid>
      <w:tr w14:paraId="2B2D4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5A642">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（一）、商务评审（100分，占比总分数10%）</w:t>
            </w:r>
          </w:p>
        </w:tc>
      </w:tr>
      <w:tr w14:paraId="333A0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464D2">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0C809">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评分因素</w:t>
            </w: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53114">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详细评审项</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B8940">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详细评审分项要素</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9E440">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分值</w:t>
            </w:r>
          </w:p>
        </w:tc>
      </w:tr>
      <w:tr w14:paraId="238C2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D7D3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D1E4">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响应文件质量</w:t>
            </w: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1F5AE">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响应文件质量</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91AF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寻源响应文件有序、规范、完整、详实、检索便利，得7-10分；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寻源响应有序、规范、完整、检索便利，得4-6分；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寻源响应一般，得0-3分。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寻源响应质量包括但不限于投标文件章节安排合理、层级分明；能提供评分项对应章节页码的索引表、标签等，检索准确；涉及数量、指标、证件编号/编码的能提供明晰的表格列示、汇总；支持关键词搜索。</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E7DA8">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10</w:t>
            </w:r>
          </w:p>
        </w:tc>
      </w:tr>
      <w:tr w14:paraId="4B30E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447D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0C17B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产品厂商企业资质证书情况</w:t>
            </w: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D13F9">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认证证书</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B0CD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具有信息技术认证证书（ISO20000）</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具有信息安全认证证书（ISO27001）</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具有职业健康管理体系认证证书（ISO45001）</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具有质量管理体系认证证书（ISO9001）</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具有环境管理体系认证证书（ISO14001）</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具备以上一项认证证书得5分，本项最高分值为25分。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1、本项须提供相关认证证书的原件扫描件和对应认证证书的年审合格证明文件，或“全国认证认可信息公共服务平台（http://cx.cnca.cn）”查询结果的有效截图作为证明材料。</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2、如处于证书换证/年审期间的，除提供相关认证证书的原件扫描件外，还应提供证书评审或颁发机构出具的加盖机构公章的证书换证/年审说明。</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3、不能提供完整的证明材料或相关认证证书不在有效期内，本项不得分。</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0186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w:t>
            </w:r>
          </w:p>
        </w:tc>
      </w:tr>
      <w:tr w14:paraId="5BE94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43C1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7234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F071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服务支持（服务支持体系及机制）</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31FB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根据各寻源响应方提供的服务支持体系及机制证明材料，横向比较所有有效寻源响应方情况：</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1、具备完善的客户服务及售后响应体系与机制，实现标准化管理，客户满意度优秀，得16-20分；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2、具备客户服务及售后响应体系与机制，执行情况良好，客户满意度良好，得11-15分；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3、具备服务及售后响应体系与机制，但执行效果一般，客户满意度一般，得0-10分；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4、未建立服务及售后响应体系与机制，客户满意度差，不得分。</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5F9CB">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w:t>
            </w:r>
          </w:p>
        </w:tc>
      </w:tr>
      <w:tr w14:paraId="1A1B5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44DF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E815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D0E7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企业综合实力</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DB2A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按照近年(2023年5月至今)同类项目获奖情况进行计分：获得省部级或省级行业协会科技进步类奖项的每项得5分，获得地市级科技进步类奖项的每项得2分。本项最高得10分。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注：提供获奖证书等证明材料，未提供佐证材料相关获奖不得分。</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6FC40">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14:paraId="0D8BA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7"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23858">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C6E8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厂家经营情况</w:t>
            </w: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86D5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诚信经营</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3E2A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1、近三年均获得国家税务机关“A级纳税人”评价得25分；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2、近三年内有两年获得过国家税务机关“A级纳税人”评价得15分；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3、近三年内有1年获得过国家税务机关“A级纳税人”评价得5分；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4、无或未提供相关证明材料，得0分。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注：国家税务总局每年4月确定上一年度纳税信用评价结果（www.chinatax.gov.cn），若在寻源前仍未公布上一年的评价结果，则将前一年度结果作为最近一年度的查询结果，以此类推。未提供相关佐证材料得0分。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佐证材料说明：提供税务机关出具的近三年纳税等级证明材料。</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E956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w:t>
            </w:r>
          </w:p>
        </w:tc>
      </w:tr>
      <w:tr w14:paraId="50541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E1A9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DD6F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产品厂商财务状况</w:t>
            </w: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8DDC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近三年平均营业净利率</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AFC8C">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先计算近三年的每一年的营业净利率，再取平均值作为响应数值。按照响应数值由大到小横向排名，第一名得满分，每下降一名扣相应比例分数（总分/通过初评的寻源响应方数量）。相同数值排名一致，之后排名依次增加（如排名第一者有2家，则之后一家按排名第二处理），最后得分四舍五入保留2位小数。</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1、投标截止时间在当年6月30日及以前，未出具上年度财务报表时可上传前一年度财务报表；6月30日以后，应上传上年度财务报表。未按年份和时间要求提供财务报表的本项得0分，新成立单位按成立时间提供。</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2、营业净利率=净利润/营业收入；公式中“营业收入”在利润（分配）表中体现为“主营业务收入”，或“营业收入”。</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3、执行政府会计准则的事业单位：营业收入=《收入费用表》本期收入；净利润=《收入费用表》本期盈余。</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F9909">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r>
      <w:tr w14:paraId="3781D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C88E2">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CE49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A04C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近三年平均净现金流动比率</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7C7D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先计算近三年每一年的净现金流动比率，再取平均值作为响应数值。按照响应数值由大到小横向排名，第一名得满分，每下降一名扣相应比例分数（总分/通过初评的寻源响应方数量）。相同数值排名一致，之后排名依次增加（如排名第一者有2家，则之后一家按排名第二处理），最后得分四舍五入保留2位小数。</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1、投标截止时间在当年6月30日及以前，未出具上年度财务报表时可上传前一年度财务报表；6月30日以后，应上传上年度财务报表。未按年份和时间要求提供财务报表的本项得0分，新成立单位按成立时间提供。</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2、净现金流动比率=现金净流量/流动负债；现金净流量，在财务报表中，反映本期内净增加或净减少的指标是“现金及现金等价物净增加额”。</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3、执行政府会计准则的事业单位：现金净流量（现金及现金等价物净增加额）=《资产负债表》货币。</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D3A01">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r>
      <w:tr w14:paraId="66A70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276FA">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（二）技术评分标准（100分，占比总分数40%）</w:t>
            </w:r>
          </w:p>
        </w:tc>
      </w:tr>
      <w:tr w14:paraId="2C8F9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08580">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04BB2">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评分因素</w:t>
            </w:r>
          </w:p>
        </w:tc>
        <w:tc>
          <w:tcPr>
            <w:tcW w:w="10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D7525">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详细评审项</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7D997">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详细评审分项要素</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65EB1">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分值</w:t>
            </w:r>
          </w:p>
        </w:tc>
      </w:tr>
      <w:tr w14:paraId="5754F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7298F">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1658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技术条款响应性</w:t>
            </w: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1885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产品参数优异性</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EB654">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对产品参数进行横向对比，其中未标★的为基础指标；标★条款需为优异指标（需按要求提供证明材料，不提供视为不满足）。</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1、产品未标★的基础指标全部满足得基准分10分，存在非关键参数负偏差，每一项另扣3分，本项最低0分，最高10分；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2、产品标★的指标每有一项优于规范书要求的，需提供证明材料，每满足1项在基准分上加3分，本项最高得20分。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合计最高30分。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需提供证明材料（包括但不限于系统截图、第三方测评报告、产品性能承诺书等类似材料予以佐证）。</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E674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w:t>
            </w:r>
          </w:p>
        </w:tc>
      </w:tr>
      <w:tr w14:paraId="4BB3D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E22D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49DB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189F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响应与偏差情况</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394C4">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对所有寻源响应方的技术规范书响应情况进行完整横向对比：</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1.响应情况优秀，所有条款均满足要求，有优于技术规范书要求的，得8-10分；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2.响应情况良好，在允许偏离的技术条件中，有少量非实质性条款出现负偏差，得4-7分；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3.响应情况一般，部分条款出现负偏差，得0-3分。</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6158">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14:paraId="692F3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B312F">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6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32A4D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产品的先进性</w:t>
            </w: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0A7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技术能力证明</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408B9">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根据寻源响应方的发明专利获取情况及软著提供情况，具有2项本项目相关专业方向发明专利或软著的得3分；此基础上，每增加1项发明专利加1分，每增加1个软著加0.5分；本项最高得5分。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注：相关专业是指平面可视化或数字孪生类软件。</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286F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r>
      <w:tr w14:paraId="10801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8"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3605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D0AE0">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A5C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项目业绩</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02C4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根据寻源响应方近三年（2023年以来）所具有的与本产品同类项目业绩进行评判：</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 xml:space="preserve">1、项目金额320万及以上每个案例得8分； </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2、项目金额180万及以上至320万(不含)每个案例得4分；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3、项目金额100万及以上至180万(不含)每个案例得1分；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其他案例不得分。本项满分15分。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1、同类项目是指平面可视化或数字孪生类软件。</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2、须提供合同关键页（首页、服务内容页、盖章 签字页扫描件）、发票(每份合同上传金额最大的 1-3 张发票)等证明材料。未按要求提供或发票与合同对应关系明显不合理的，相关业绩不得分。</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12C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w:t>
            </w:r>
          </w:p>
        </w:tc>
      </w:tr>
      <w:tr w14:paraId="7E84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4DA82">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6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EF51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F2F0">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软件成熟度认证</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8556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具有软件能力成熟度CMMI5认证，得10分；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具有软件能力成熟度CMMI4认证，得7分；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具有软件能力成熟度CMMI3认证，得5分；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具有软件能力成熟度CMMI2认证，得3分；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具有软件能力成熟度CMMI1认证，得1分；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无或未提供相关证明材料，不得分。</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760DE">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14:paraId="0E6F3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6"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CF7C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90FA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项目团队人员</w:t>
            </w: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2DF0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团队人员经验</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7234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项目负责人具备 PMP 或信息系统项目管理(高级)或高级职称证书。具备以上任意一项得2分，本项最高得4分。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注：须提供简历、投标截止前半年连续6个月在本单位的社保缴纳证明。</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 对寻源响应方拟派出的项目团队技术服务与管理能力进行评审：</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项目团队成员每具备1个同类型项目实施经验得1分，最高得1分。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注：</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（1）同类项目是指平面可视化或数字孪生类软件。</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需提供能证明该人员作为项目服务团队成员参与过同类项目的合同（合同形式包含但不限于订单、单项合同、框架合同、框架合同+订单）关键页（关键页内容包括但不限于合同名称、合同双方、合同金额、服务内容、签字盖章）复印件、发票(每份合同上传金额最大的 1-3 张发票)。若合同中不能体现该人员曾参与项目服务，则另需提供由甲方出具的证明材料（加盖甲方公司章或公司合同章或甲方项目使用部门章）为准。</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8C98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r>
      <w:tr w14:paraId="4D599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8"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D94A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C02C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技术培训方案</w:t>
            </w: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F6B6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培训服务方案满足度</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B9AF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根据寻源响应方提供的针对该项目的培训方案进行横向对比评审：</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1、培训方案是否详细，培训内容与本项目内容是否贴合，得8-10分；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2、培训时间计划是否合理，是否有明确的培训时长，得4-7分；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3、培训人员经验是否丰富，有多个项目培训经验，得0-3分。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须提供培训方案、培训课件、培训人员履历或简历等作为证明材料。</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B592A">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14:paraId="4F260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D6539">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8D31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项目实施计划</w:t>
            </w: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EC3A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实施进度及保障措施完善</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B342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针对项目有详细的实施计划，实施进度合理可行，描述详细，可操作性强；保障措施科学有效，与项目要求匹配度高、具有较强的沟通机制、可执行性，得8-10分；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针对项目有具体实施计划，实施进度描述较详细，保障措施合理，沟通机制及技术服务针对性一般，可行性一般，得4-7分；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针对项目有具体实施计划，实施进度描述一般，进度保障措施较弱、沟通机制不完善，得0-3分；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其他情况或没有内容不得分。</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AE4D9">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14:paraId="4B8D1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6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2445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FC26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产品交付能力</w:t>
            </w:r>
          </w:p>
        </w:tc>
        <w:tc>
          <w:tcPr>
            <w:tcW w:w="10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F8649">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寻源响应方产品交付能力</w:t>
            </w:r>
          </w:p>
        </w:tc>
        <w:tc>
          <w:tcPr>
            <w:tcW w:w="22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9EF0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对寻源响应方的交付能力进行评审，要求寻源响应方对到货周期进行承诺并提供送货计划。承诺到货期满足投标寻源方要求得3分，到货周期每提前一天加0.1分，本小项累计最多得5分。</w:t>
            </w:r>
          </w:p>
        </w:tc>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F4ECF">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r>
      <w:tr w14:paraId="5EF26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127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1A7BC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宋体" w:hAnsi="宋体" w:eastAsia="宋体" w:cs="宋体"/>
                <w:b/>
                <w:color w:val="000000"/>
                <w:sz w:val="21"/>
                <w:szCs w:val="21"/>
              </w:rPr>
              <w:t>技术、商务分计算方法</w:t>
            </w:r>
          </w:p>
        </w:tc>
        <w:tc>
          <w:tcPr>
            <w:tcW w:w="372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C748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寻源评审专家打分完毕后，计算各标的应邀供应商的技术和商务分时，所有专家打分的平均分作为该供应商的技术和商务得分。</w:t>
            </w:r>
          </w:p>
        </w:tc>
      </w:tr>
      <w:tr w14:paraId="785B2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1FA2ED">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（三）、价格评审（100分，占比总分数50%）</w:t>
            </w:r>
          </w:p>
        </w:tc>
      </w:tr>
      <w:tr w14:paraId="18C6D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8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9E80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rPr>
              <w:t>价格分计算方法名称</w:t>
            </w:r>
          </w:p>
        </w:tc>
        <w:tc>
          <w:tcPr>
            <w:tcW w:w="372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CFBE0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单边法</w:t>
            </w:r>
          </w:p>
        </w:tc>
      </w:tr>
      <w:tr w14:paraId="3C95B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3" w:hRule="atLeast"/>
        </w:trPr>
        <w:tc>
          <w:tcPr>
            <w:tcW w:w="218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4C2F">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rPr>
              <w:t>评标基准价计算方法</w:t>
            </w:r>
          </w:p>
        </w:tc>
        <w:tc>
          <w:tcPr>
            <w:tcW w:w="372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052F20">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1、进入价格分计算的投标人取技术商务加权总分排名前BP%的投标人，按比例HP%、LP%分别去掉最高、最低价格后（当排名前BP%的投标人个数少于等于L个时，不去最高最低价），计算平均价作为Y平均</w:t>
            </w:r>
          </w:p>
          <w:p w14:paraId="013FD24C">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2、计算评标基准价，Y基准＝Y平均×（1－X），X为下浮率，Y基准按四舍五入法保留两位小数</w:t>
            </w:r>
          </w:p>
        </w:tc>
      </w:tr>
      <w:tr w14:paraId="7EB1E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218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6C7C">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rPr>
              <w:t>价格分计算公式</w:t>
            </w:r>
          </w:p>
        </w:tc>
        <w:tc>
          <w:tcPr>
            <w:tcW w:w="372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F7068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1、Yi为某投标人的投标价格；Qi为计算得分，按四舍五入法保留两位小数</w:t>
            </w:r>
          </w:p>
          <w:p w14:paraId="769E12F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2、当Yi＞Y基准，Qi＝报价满分－（Yi－Y基准）/Y基准×报价满分×RH</w:t>
            </w:r>
          </w:p>
          <w:p w14:paraId="0D35F3AE">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3、当Yi=Y基准，Qi=报价满分</w:t>
            </w:r>
          </w:p>
          <w:p w14:paraId="37ADB8A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4、当Yi＜Y基准，Qi＝报价满分－（Y基准－Yi）/Y基准×报价满分×RL</w:t>
            </w:r>
          </w:p>
          <w:p w14:paraId="1341FD15">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5、当Qi＜0，按Qi=0分计</w:t>
            </w:r>
          </w:p>
        </w:tc>
      </w:tr>
      <w:tr w14:paraId="2A824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7" w:hRule="atLeast"/>
        </w:trPr>
        <w:tc>
          <w:tcPr>
            <w:tcW w:w="2180" w:type="dxa"/>
            <w:gridSpan w:val="2"/>
            <w:tcBorders>
              <w:top w:val="single" w:color="000000" w:sz="4" w:space="0"/>
              <w:left w:val="single" w:color="000000" w:sz="4" w:space="0"/>
              <w:bottom w:val="single" w:color="auto" w:sz="4" w:space="0"/>
              <w:right w:val="single" w:color="000000" w:sz="4" w:space="0"/>
            </w:tcBorders>
            <w:shd w:val="clear" w:color="auto" w:fill="auto"/>
            <w:noWrap/>
            <w:vAlign w:val="center"/>
          </w:tcPr>
          <w:p w14:paraId="554ADA89">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rPr>
              <w:t>进入价格评分厂家数量</w:t>
            </w:r>
          </w:p>
        </w:tc>
        <w:tc>
          <w:tcPr>
            <w:tcW w:w="372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4A173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本次评审不设置技术商务末位淘汰。进入技术商务评分范围的投标人全部进入价格评分。</w:t>
            </w:r>
          </w:p>
        </w:tc>
      </w:tr>
      <w:tr w14:paraId="3A7EC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7" w:hRule="atLeast"/>
        </w:trPr>
        <w:tc>
          <w:tcPr>
            <w:tcW w:w="2180" w:type="dxa"/>
            <w:gridSpan w:val="2"/>
            <w:tcBorders>
              <w:top w:val="single" w:color="000000" w:sz="4" w:space="0"/>
              <w:left w:val="single" w:color="000000" w:sz="4" w:space="0"/>
              <w:bottom w:val="single" w:color="auto" w:sz="4" w:space="0"/>
              <w:right w:val="single" w:color="000000" w:sz="4" w:space="0"/>
            </w:tcBorders>
            <w:shd w:val="clear" w:color="auto" w:fill="auto"/>
            <w:noWrap/>
            <w:vAlign w:val="center"/>
          </w:tcPr>
          <w:p w14:paraId="5C61E7CE">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参数设置</w:t>
            </w:r>
          </w:p>
        </w:tc>
        <w:tc>
          <w:tcPr>
            <w:tcW w:w="63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949ACC">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1、0%≤X＜100%，X缺省值为2%。</w:t>
            </w:r>
          </w:p>
          <w:p w14:paraId="6D5479D3">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2、RL=0。</w:t>
            </w:r>
          </w:p>
          <w:p w14:paraId="3D73E00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3、0.00≤RH≤100，RH缺省值为1。</w:t>
            </w:r>
          </w:p>
          <w:p w14:paraId="31BD99B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4、RL＜RH。</w:t>
            </w:r>
          </w:p>
          <w:p w14:paraId="1798A460">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5、BP%为技术商务分排名靠前的比例，BP%缺省值为80%，进入价格分技术的投标人数量向上取整</w:t>
            </w:r>
          </w:p>
          <w:p w14:paraId="7674968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6、HP%去掉最高价的比例，HP%缺省值为10%，计算结果按四舍五入方法取整。</w:t>
            </w:r>
          </w:p>
          <w:p w14:paraId="575C4DD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7、LP%为去掉最低价的比例，LP%缺省值为10%，计算结果按四舍五入方法取整。</w:t>
            </w:r>
          </w:p>
          <w:p w14:paraId="6C266F8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8、L为自定义的供应商数量临界值，L缺省值为6。</w:t>
            </w:r>
          </w:p>
        </w:tc>
      </w:tr>
      <w:tr w14:paraId="3877B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1279"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BB12B39">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rPr>
              <w:t>下浮率</w:t>
            </w:r>
          </w:p>
        </w:tc>
        <w:tc>
          <w:tcPr>
            <w:tcW w:w="3720" w:type="pct"/>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14:paraId="5C96DED1">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r>
      <w:tr w14:paraId="22F8F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79"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29B51C5">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b/>
                <w:color w:val="000000"/>
                <w:sz w:val="21"/>
                <w:szCs w:val="21"/>
                <w:lang w:val="en-US" w:eastAsia="zh-CN"/>
              </w:rPr>
            </w:pPr>
            <w:r>
              <w:rPr>
                <w:rFonts w:hint="eastAsia" w:ascii="宋体" w:hAnsi="宋体" w:eastAsia="宋体" w:cs="宋体"/>
                <w:b/>
                <w:color w:val="000000"/>
                <w:sz w:val="21"/>
                <w:szCs w:val="21"/>
              </w:rPr>
              <w:t>BP%</w:t>
            </w:r>
          </w:p>
        </w:tc>
        <w:tc>
          <w:tcPr>
            <w:tcW w:w="3720" w:type="pct"/>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14:paraId="3C6536A5">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80%</w:t>
            </w:r>
          </w:p>
        </w:tc>
      </w:tr>
      <w:tr w14:paraId="3CDFB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79"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C38755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b/>
                <w:color w:val="000000"/>
                <w:sz w:val="21"/>
                <w:szCs w:val="21"/>
                <w:lang w:val="en-US" w:eastAsia="zh-CN"/>
              </w:rPr>
            </w:pPr>
            <w:r>
              <w:rPr>
                <w:rFonts w:hint="eastAsia" w:ascii="宋体" w:hAnsi="宋体" w:eastAsia="宋体" w:cs="宋体"/>
                <w:b/>
                <w:color w:val="000000"/>
                <w:sz w:val="21"/>
                <w:szCs w:val="21"/>
              </w:rPr>
              <w:t>HP%</w:t>
            </w:r>
          </w:p>
        </w:tc>
        <w:tc>
          <w:tcPr>
            <w:tcW w:w="3720" w:type="pct"/>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14:paraId="0CE25AF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14:paraId="49994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79"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0A31015">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b/>
                <w:color w:val="000000"/>
                <w:sz w:val="21"/>
                <w:szCs w:val="21"/>
                <w:lang w:val="en-US" w:eastAsia="zh-CN"/>
              </w:rPr>
            </w:pPr>
            <w:r>
              <w:rPr>
                <w:rFonts w:hint="eastAsia" w:ascii="宋体" w:hAnsi="宋体" w:eastAsia="宋体" w:cs="宋体"/>
                <w:b/>
                <w:color w:val="000000"/>
                <w:sz w:val="21"/>
                <w:szCs w:val="21"/>
              </w:rPr>
              <w:t>LP%</w:t>
            </w:r>
          </w:p>
        </w:tc>
        <w:tc>
          <w:tcPr>
            <w:tcW w:w="3720" w:type="pct"/>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14:paraId="022FBE0F">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14:paraId="27E14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79"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47D7F9B">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b/>
                <w:color w:val="000000"/>
                <w:sz w:val="21"/>
                <w:szCs w:val="21"/>
                <w:lang w:val="en-US" w:eastAsia="zh-CN"/>
              </w:rPr>
            </w:pPr>
            <w:r>
              <w:rPr>
                <w:rFonts w:hint="eastAsia" w:ascii="宋体" w:hAnsi="宋体" w:eastAsia="宋体" w:cs="宋体"/>
                <w:b/>
                <w:color w:val="000000"/>
                <w:sz w:val="21"/>
                <w:szCs w:val="21"/>
              </w:rPr>
              <w:t>L值</w:t>
            </w:r>
          </w:p>
        </w:tc>
        <w:tc>
          <w:tcPr>
            <w:tcW w:w="3720" w:type="pct"/>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14:paraId="680680CB">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r>
      <w:tr w14:paraId="3E965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79"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7C837F1">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b/>
                <w:color w:val="000000"/>
                <w:sz w:val="21"/>
                <w:szCs w:val="21"/>
                <w:lang w:val="en-US" w:eastAsia="zh-CN"/>
              </w:rPr>
            </w:pPr>
            <w:r>
              <w:rPr>
                <w:rFonts w:hint="eastAsia" w:ascii="宋体" w:hAnsi="宋体" w:eastAsia="宋体" w:cs="宋体"/>
                <w:b/>
                <w:color w:val="000000"/>
                <w:sz w:val="21"/>
                <w:szCs w:val="21"/>
              </w:rPr>
              <w:t>RH</w:t>
            </w:r>
          </w:p>
        </w:tc>
        <w:tc>
          <w:tcPr>
            <w:tcW w:w="3720" w:type="pct"/>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14:paraId="6AE58A08">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p>
        </w:tc>
      </w:tr>
      <w:tr w14:paraId="210DA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279" w:type="pct"/>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AD4EA14">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宋体" w:hAnsi="宋体" w:eastAsia="宋体" w:cs="宋体"/>
                <w:b/>
                <w:color w:val="000000"/>
                <w:sz w:val="21"/>
                <w:szCs w:val="21"/>
              </w:rPr>
              <w:t>RL</w:t>
            </w:r>
          </w:p>
        </w:tc>
        <w:tc>
          <w:tcPr>
            <w:tcW w:w="3720" w:type="pct"/>
            <w:gridSpan w:val="3"/>
            <w:tcBorders>
              <w:top w:val="single" w:color="000000" w:sz="4" w:space="0"/>
              <w:left w:val="single" w:color="auto" w:sz="4" w:space="0"/>
              <w:bottom w:val="single" w:color="000000" w:sz="4" w:space="0"/>
              <w:right w:val="single" w:color="000000" w:sz="4" w:space="0"/>
            </w:tcBorders>
            <w:shd w:val="clear" w:color="auto" w:fill="auto"/>
            <w:noWrap/>
            <w:vAlign w:val="center"/>
          </w:tcPr>
          <w:p w14:paraId="3E8D49FB">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w:t>
            </w:r>
          </w:p>
        </w:tc>
      </w:tr>
    </w:tbl>
    <w:p w14:paraId="6A91E6F1">
      <w:pPr>
        <w:bidi w:val="0"/>
        <w:rPr>
          <w:rFonts w:hint="eastAsia"/>
        </w:rPr>
      </w:pPr>
    </w:p>
    <w:p w14:paraId="777154CB">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7" w:name="TXT_B9F534E1F856422F991CA0A75D8231F6_2"/>
      <w:r>
        <w:rPr>
          <w:rFonts w:hint="eastAsia" w:ascii="仿宋" w:hAnsi="仿宋" w:eastAsia="仿宋" w:cs="仿宋"/>
          <w:sz w:val="24"/>
          <w:szCs w:val="24"/>
          <w:highlight w:val="none"/>
          <w:lang w:val="en-US" w:eastAsia="zh-CN"/>
        </w:rPr>
        <w:t>中标推荐原则：</w:t>
      </w:r>
    </w:p>
    <w:p w14:paraId="5C3CF72D">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a.</w:t>
      </w:r>
      <w:r>
        <w:rPr>
          <w:rFonts w:hint="eastAsia" w:ascii="仿宋" w:hAnsi="仿宋" w:eastAsia="仿宋" w:cs="仿宋"/>
          <w:sz w:val="24"/>
          <w:szCs w:val="24"/>
          <w:highlight w:val="none"/>
          <w:lang w:eastAsia="zh-CN"/>
        </w:rPr>
        <w:t>评审委员会提出评审报告，本项目按综合得分由高到低进行排序，向投标寻源方推荐1名暂定合作供应商，综合得分最高者为暂定合作供应商。</w:t>
      </w:r>
    </w:p>
    <w:p w14:paraId="2AA709D7">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b.</w:t>
      </w:r>
      <w:r>
        <w:rPr>
          <w:rFonts w:hint="eastAsia" w:ascii="仿宋" w:hAnsi="仿宋" w:eastAsia="仿宋" w:cs="仿宋"/>
          <w:sz w:val="24"/>
          <w:szCs w:val="24"/>
          <w:highlight w:val="none"/>
          <w:lang w:eastAsia="zh-CN"/>
        </w:rPr>
        <w:t>当出现综合得分相同的存在两个或以上寻源响应方的，以报价低者优先，如果报价也相同，以技术得分高者优先，如果仍然相同，则由评审委员会投票，票数多者优先。</w:t>
      </w:r>
      <w:bookmarkEnd w:id="7"/>
    </w:p>
    <w:p w14:paraId="477D5D7B">
      <w:pPr>
        <w:pStyle w:val="21"/>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评分办法名称：综合评审法</w:t>
      </w:r>
    </w:p>
    <w:p w14:paraId="1EF57940">
      <w:pPr>
        <w:numPr>
          <w:ilvl w:val="0"/>
          <w:numId w:val="1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技术参数偏离表（见附件）</w:t>
      </w:r>
    </w:p>
    <w:p w14:paraId="2BD73BFD">
      <w:pPr>
        <w:spacing w:line="360" w:lineRule="auto"/>
        <w:rPr>
          <w:rFonts w:hint="eastAsia"/>
          <w:lang w:val="en-US" w:eastAsia="zh-CN"/>
        </w:rPr>
      </w:pPr>
      <w:r>
        <w:rPr>
          <w:rFonts w:hint="eastAsia" w:ascii="仿宋" w:hAnsi="仿宋" w:eastAsia="仿宋" w:cs="仿宋"/>
          <w:i/>
          <w:iCs/>
          <w:color w:val="0000FF"/>
          <w:kern w:val="0"/>
          <w:sz w:val="24"/>
          <w:szCs w:val="24"/>
          <w:u w:val="single"/>
          <w:lang w:val="en-US" w:eastAsia="zh-CN" w:bidi="ar"/>
        </w:rPr>
        <w:t>（说明：需提供盖章版技术参数偏离响应表。）</w:t>
      </w:r>
    </w:p>
    <w:p w14:paraId="0DDB1E3D">
      <w:pPr>
        <w:pStyle w:val="22"/>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2AB999F0-1E68-4C9E-A3AC-BC78AC9D7930}"/>
  </w:font>
  <w:font w:name="仿宋_GB2312">
    <w:panose1 w:val="02010609030101010101"/>
    <w:charset w:val="86"/>
    <w:family w:val="auto"/>
    <w:pitch w:val="default"/>
    <w:sig w:usb0="00000001" w:usb1="080E0000" w:usb2="00000000" w:usb3="00000000" w:csb0="00040000" w:csb1="00000000"/>
    <w:embedRegular r:id="rId2" w:fontKey="{2AF4E43C-5B90-4438-8CAD-D8CEF701858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15F1D197"/>
    <w:multiLevelType w:val="singleLevel"/>
    <w:tmpl w:val="15F1D197"/>
    <w:lvl w:ilvl="0" w:tentative="0">
      <w:start w:val="1"/>
      <w:numFmt w:val="decimal"/>
      <w:suff w:val="nothing"/>
      <w:lvlText w:val="%1、"/>
      <w:lvlJc w:val="left"/>
      <w:pPr>
        <w:ind w:left="1350" w:hanging="450"/>
      </w:pPr>
      <w:rPr>
        <w:rFonts w:hint="default"/>
        <w:sz w:val="22"/>
        <w:szCs w:val="22"/>
      </w:rPr>
    </w:lvl>
  </w:abstractNum>
  <w:abstractNum w:abstractNumId="8">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9">
    <w:nsid w:val="74C5B661"/>
    <w:multiLevelType w:val="singleLevel"/>
    <w:tmpl w:val="74C5B661"/>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num w:numId="1">
    <w:abstractNumId w:val="1"/>
  </w:num>
  <w:num w:numId="2">
    <w:abstractNumId w:val="8"/>
  </w:num>
  <w:num w:numId="3">
    <w:abstractNumId w:val="0"/>
  </w:num>
  <w:num w:numId="4">
    <w:abstractNumId w:val="9"/>
  </w:num>
  <w:num w:numId="5">
    <w:abstractNumId w:val="7"/>
  </w:num>
  <w:num w:numId="6">
    <w:abstractNumId w:val="2"/>
  </w:num>
  <w:num w:numId="7">
    <w:abstractNumId w:val="3"/>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23B31B5"/>
    <w:rsid w:val="024910FD"/>
    <w:rsid w:val="03245696"/>
    <w:rsid w:val="032706C8"/>
    <w:rsid w:val="03853EF6"/>
    <w:rsid w:val="039C1FCF"/>
    <w:rsid w:val="03D030F0"/>
    <w:rsid w:val="040A1147"/>
    <w:rsid w:val="04303CA7"/>
    <w:rsid w:val="04581AC3"/>
    <w:rsid w:val="04651CD8"/>
    <w:rsid w:val="04863DF8"/>
    <w:rsid w:val="049532F8"/>
    <w:rsid w:val="04A15406"/>
    <w:rsid w:val="04D73D92"/>
    <w:rsid w:val="05012BA9"/>
    <w:rsid w:val="05086F0B"/>
    <w:rsid w:val="052B53BF"/>
    <w:rsid w:val="054E5CE8"/>
    <w:rsid w:val="05B1344A"/>
    <w:rsid w:val="05CD222A"/>
    <w:rsid w:val="05D754E1"/>
    <w:rsid w:val="06280796"/>
    <w:rsid w:val="066B6A19"/>
    <w:rsid w:val="06B855CD"/>
    <w:rsid w:val="06E4782C"/>
    <w:rsid w:val="07300CC3"/>
    <w:rsid w:val="073112D1"/>
    <w:rsid w:val="07EA0E72"/>
    <w:rsid w:val="083F1C71"/>
    <w:rsid w:val="087234E3"/>
    <w:rsid w:val="08760957"/>
    <w:rsid w:val="08831F19"/>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319C2"/>
    <w:rsid w:val="0B5C2086"/>
    <w:rsid w:val="0B8F6344"/>
    <w:rsid w:val="0BF20216"/>
    <w:rsid w:val="0CA2430D"/>
    <w:rsid w:val="0D084665"/>
    <w:rsid w:val="0D1F336B"/>
    <w:rsid w:val="0D904269"/>
    <w:rsid w:val="0DBA12E6"/>
    <w:rsid w:val="0E135E91"/>
    <w:rsid w:val="0E6F20D1"/>
    <w:rsid w:val="0E896B03"/>
    <w:rsid w:val="0FA364D6"/>
    <w:rsid w:val="0FC70711"/>
    <w:rsid w:val="0FEA5585"/>
    <w:rsid w:val="115F642C"/>
    <w:rsid w:val="11872D38"/>
    <w:rsid w:val="11A27BE6"/>
    <w:rsid w:val="11E179DF"/>
    <w:rsid w:val="120A209E"/>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8842F6"/>
    <w:rsid w:val="17BE19D3"/>
    <w:rsid w:val="17CD1C16"/>
    <w:rsid w:val="18041ADC"/>
    <w:rsid w:val="181276B9"/>
    <w:rsid w:val="182A13C4"/>
    <w:rsid w:val="18743FAF"/>
    <w:rsid w:val="18860743"/>
    <w:rsid w:val="18973D8A"/>
    <w:rsid w:val="18C82B09"/>
    <w:rsid w:val="18E37943"/>
    <w:rsid w:val="18FF4051"/>
    <w:rsid w:val="193A152D"/>
    <w:rsid w:val="1A375D90"/>
    <w:rsid w:val="1A46462D"/>
    <w:rsid w:val="1A504ADA"/>
    <w:rsid w:val="1AAA1F45"/>
    <w:rsid w:val="1AAB7EC8"/>
    <w:rsid w:val="1ABC61D4"/>
    <w:rsid w:val="1AC27A2C"/>
    <w:rsid w:val="1AE856E5"/>
    <w:rsid w:val="1B1E0E9E"/>
    <w:rsid w:val="1B276664"/>
    <w:rsid w:val="1B2D0F23"/>
    <w:rsid w:val="1C406E5A"/>
    <w:rsid w:val="1C632B49"/>
    <w:rsid w:val="1C6F14EE"/>
    <w:rsid w:val="1CEF0DD8"/>
    <w:rsid w:val="1D110939"/>
    <w:rsid w:val="1D13456F"/>
    <w:rsid w:val="1D24052A"/>
    <w:rsid w:val="1D29242A"/>
    <w:rsid w:val="1D440485"/>
    <w:rsid w:val="1D6B1B0B"/>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2D06D9A"/>
    <w:rsid w:val="23910BF3"/>
    <w:rsid w:val="23A07B3C"/>
    <w:rsid w:val="23AF3653"/>
    <w:rsid w:val="23BB54C2"/>
    <w:rsid w:val="23C20FAF"/>
    <w:rsid w:val="23C245F9"/>
    <w:rsid w:val="23C465C3"/>
    <w:rsid w:val="23C91E2B"/>
    <w:rsid w:val="240A0463"/>
    <w:rsid w:val="2446522A"/>
    <w:rsid w:val="244A6AC8"/>
    <w:rsid w:val="2454396E"/>
    <w:rsid w:val="24E46F1D"/>
    <w:rsid w:val="24E94533"/>
    <w:rsid w:val="25A42208"/>
    <w:rsid w:val="25D56865"/>
    <w:rsid w:val="25DC4098"/>
    <w:rsid w:val="268312DA"/>
    <w:rsid w:val="26A149EF"/>
    <w:rsid w:val="26AB4CBF"/>
    <w:rsid w:val="26EC6D72"/>
    <w:rsid w:val="271449AD"/>
    <w:rsid w:val="273A46E1"/>
    <w:rsid w:val="274176DD"/>
    <w:rsid w:val="274D3E81"/>
    <w:rsid w:val="27874807"/>
    <w:rsid w:val="27DF725D"/>
    <w:rsid w:val="27FA6F96"/>
    <w:rsid w:val="28145902"/>
    <w:rsid w:val="282E58E6"/>
    <w:rsid w:val="283513CF"/>
    <w:rsid w:val="28456112"/>
    <w:rsid w:val="28D0250C"/>
    <w:rsid w:val="292F0661"/>
    <w:rsid w:val="293C5506"/>
    <w:rsid w:val="294A08D7"/>
    <w:rsid w:val="2A314286"/>
    <w:rsid w:val="2B3A34A2"/>
    <w:rsid w:val="2B4D3342"/>
    <w:rsid w:val="2B65794F"/>
    <w:rsid w:val="2C1B766F"/>
    <w:rsid w:val="2C320FD7"/>
    <w:rsid w:val="2CBE7887"/>
    <w:rsid w:val="2CBF201D"/>
    <w:rsid w:val="2CF134CA"/>
    <w:rsid w:val="2D2C76B3"/>
    <w:rsid w:val="2D480265"/>
    <w:rsid w:val="2DA44F15"/>
    <w:rsid w:val="2DB256DE"/>
    <w:rsid w:val="2DE53FC1"/>
    <w:rsid w:val="2DF61A6F"/>
    <w:rsid w:val="2E29665D"/>
    <w:rsid w:val="2E3E6240"/>
    <w:rsid w:val="2E4A3E2D"/>
    <w:rsid w:val="2E9F644F"/>
    <w:rsid w:val="2EE2477F"/>
    <w:rsid w:val="2F1D06C4"/>
    <w:rsid w:val="2F7C41F6"/>
    <w:rsid w:val="300F6354"/>
    <w:rsid w:val="30896BCA"/>
    <w:rsid w:val="30C97C19"/>
    <w:rsid w:val="312B1A2F"/>
    <w:rsid w:val="31B34ADE"/>
    <w:rsid w:val="32456B21"/>
    <w:rsid w:val="324A05DB"/>
    <w:rsid w:val="328E3BC4"/>
    <w:rsid w:val="32917FB8"/>
    <w:rsid w:val="32DB75FB"/>
    <w:rsid w:val="33400778"/>
    <w:rsid w:val="335039CF"/>
    <w:rsid w:val="33CF7CBE"/>
    <w:rsid w:val="33FE78CF"/>
    <w:rsid w:val="34B561E0"/>
    <w:rsid w:val="34FD1C7B"/>
    <w:rsid w:val="354B3A06"/>
    <w:rsid w:val="35A61FCC"/>
    <w:rsid w:val="35D70AF0"/>
    <w:rsid w:val="36405F7D"/>
    <w:rsid w:val="3660664C"/>
    <w:rsid w:val="36643468"/>
    <w:rsid w:val="3699661F"/>
    <w:rsid w:val="36D52B69"/>
    <w:rsid w:val="36DB793C"/>
    <w:rsid w:val="37476E97"/>
    <w:rsid w:val="379540A7"/>
    <w:rsid w:val="37D87A19"/>
    <w:rsid w:val="3833764B"/>
    <w:rsid w:val="38533EFA"/>
    <w:rsid w:val="38631426"/>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C53AFD"/>
    <w:rsid w:val="3BE13381"/>
    <w:rsid w:val="3C055CF8"/>
    <w:rsid w:val="3C0C519E"/>
    <w:rsid w:val="3C750F2E"/>
    <w:rsid w:val="3C9D5708"/>
    <w:rsid w:val="3CDF336B"/>
    <w:rsid w:val="3D3D6D72"/>
    <w:rsid w:val="3D820C29"/>
    <w:rsid w:val="3E0419F9"/>
    <w:rsid w:val="3E2B152F"/>
    <w:rsid w:val="3E9C21BE"/>
    <w:rsid w:val="3EAA48DB"/>
    <w:rsid w:val="3F020E1D"/>
    <w:rsid w:val="3F3E7817"/>
    <w:rsid w:val="3F6A324D"/>
    <w:rsid w:val="3F784273"/>
    <w:rsid w:val="3F7D40ED"/>
    <w:rsid w:val="3FAE412E"/>
    <w:rsid w:val="40095632"/>
    <w:rsid w:val="40BB2DD0"/>
    <w:rsid w:val="40DF6356"/>
    <w:rsid w:val="40F87666"/>
    <w:rsid w:val="41975EC1"/>
    <w:rsid w:val="41A74AD1"/>
    <w:rsid w:val="41BF069E"/>
    <w:rsid w:val="41C04416"/>
    <w:rsid w:val="421923C8"/>
    <w:rsid w:val="422704F3"/>
    <w:rsid w:val="422F6EA6"/>
    <w:rsid w:val="426E4AEA"/>
    <w:rsid w:val="42A62E30"/>
    <w:rsid w:val="42C11714"/>
    <w:rsid w:val="42C84DBE"/>
    <w:rsid w:val="42EB0859"/>
    <w:rsid w:val="42F6512B"/>
    <w:rsid w:val="42F83EEA"/>
    <w:rsid w:val="43086E28"/>
    <w:rsid w:val="43255201"/>
    <w:rsid w:val="432F53AF"/>
    <w:rsid w:val="43BC29BB"/>
    <w:rsid w:val="43E06D85"/>
    <w:rsid w:val="43EF4B3E"/>
    <w:rsid w:val="43F8578A"/>
    <w:rsid w:val="44336579"/>
    <w:rsid w:val="445942EA"/>
    <w:rsid w:val="445C6678"/>
    <w:rsid w:val="446A2417"/>
    <w:rsid w:val="44781CBC"/>
    <w:rsid w:val="44C62FEB"/>
    <w:rsid w:val="44DC50C3"/>
    <w:rsid w:val="44F80C4B"/>
    <w:rsid w:val="450D7972"/>
    <w:rsid w:val="45563563"/>
    <w:rsid w:val="45B54E7A"/>
    <w:rsid w:val="45E11139"/>
    <w:rsid w:val="462008E0"/>
    <w:rsid w:val="463F7FFF"/>
    <w:rsid w:val="4668391F"/>
    <w:rsid w:val="467D7AD1"/>
    <w:rsid w:val="469C2E0B"/>
    <w:rsid w:val="46BA2CDD"/>
    <w:rsid w:val="475950F1"/>
    <w:rsid w:val="47841A42"/>
    <w:rsid w:val="47AB7859"/>
    <w:rsid w:val="481F60CE"/>
    <w:rsid w:val="48223734"/>
    <w:rsid w:val="48624C7F"/>
    <w:rsid w:val="487A531F"/>
    <w:rsid w:val="48E362E2"/>
    <w:rsid w:val="48EA2F86"/>
    <w:rsid w:val="48F475D7"/>
    <w:rsid w:val="496E6505"/>
    <w:rsid w:val="49901536"/>
    <w:rsid w:val="49BD30FA"/>
    <w:rsid w:val="49F53858"/>
    <w:rsid w:val="4A071323"/>
    <w:rsid w:val="4A140F17"/>
    <w:rsid w:val="4A236ED5"/>
    <w:rsid w:val="4AB4556F"/>
    <w:rsid w:val="4AD45CF1"/>
    <w:rsid w:val="4C251AF9"/>
    <w:rsid w:val="4C4D68A6"/>
    <w:rsid w:val="4C8C526A"/>
    <w:rsid w:val="4C9C6DE9"/>
    <w:rsid w:val="4D09474F"/>
    <w:rsid w:val="4D2B07D6"/>
    <w:rsid w:val="4D552378"/>
    <w:rsid w:val="4D5C3245"/>
    <w:rsid w:val="4D6D5452"/>
    <w:rsid w:val="4E47547C"/>
    <w:rsid w:val="4E4F4B57"/>
    <w:rsid w:val="4E7E1C6F"/>
    <w:rsid w:val="4EB956A7"/>
    <w:rsid w:val="4EE130C3"/>
    <w:rsid w:val="4EE15203"/>
    <w:rsid w:val="4EF92D15"/>
    <w:rsid w:val="4F2064F4"/>
    <w:rsid w:val="4F46432B"/>
    <w:rsid w:val="4F6748F3"/>
    <w:rsid w:val="4F6B434D"/>
    <w:rsid w:val="4F8E7901"/>
    <w:rsid w:val="50197233"/>
    <w:rsid w:val="504C354E"/>
    <w:rsid w:val="505C00C8"/>
    <w:rsid w:val="50A458F7"/>
    <w:rsid w:val="51385D77"/>
    <w:rsid w:val="51511CBE"/>
    <w:rsid w:val="517B5C63"/>
    <w:rsid w:val="51AB479B"/>
    <w:rsid w:val="51E333FD"/>
    <w:rsid w:val="522A122F"/>
    <w:rsid w:val="527D69BB"/>
    <w:rsid w:val="52BF281F"/>
    <w:rsid w:val="537B1F4B"/>
    <w:rsid w:val="539D6365"/>
    <w:rsid w:val="53A00470"/>
    <w:rsid w:val="53A21BCD"/>
    <w:rsid w:val="53AF7E46"/>
    <w:rsid w:val="54353EFA"/>
    <w:rsid w:val="54653396"/>
    <w:rsid w:val="546E1982"/>
    <w:rsid w:val="548A17D5"/>
    <w:rsid w:val="54953922"/>
    <w:rsid w:val="54A651D7"/>
    <w:rsid w:val="552705DC"/>
    <w:rsid w:val="555B1556"/>
    <w:rsid w:val="55A63A05"/>
    <w:rsid w:val="55CA76DF"/>
    <w:rsid w:val="55F2496C"/>
    <w:rsid w:val="55FF1F64"/>
    <w:rsid w:val="566F1681"/>
    <w:rsid w:val="5691214E"/>
    <w:rsid w:val="56B57E6A"/>
    <w:rsid w:val="56E03803"/>
    <w:rsid w:val="56ED5952"/>
    <w:rsid w:val="56EF6DF2"/>
    <w:rsid w:val="572B7505"/>
    <w:rsid w:val="575E6C7E"/>
    <w:rsid w:val="57827F40"/>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AA12D07"/>
    <w:rsid w:val="5AC85F03"/>
    <w:rsid w:val="5B4E6197"/>
    <w:rsid w:val="5B527A35"/>
    <w:rsid w:val="5BA3470D"/>
    <w:rsid w:val="5C1B42CB"/>
    <w:rsid w:val="5C3942F1"/>
    <w:rsid w:val="5C81334F"/>
    <w:rsid w:val="5C826E66"/>
    <w:rsid w:val="5C8A31FF"/>
    <w:rsid w:val="5C8C51C9"/>
    <w:rsid w:val="5CF26F12"/>
    <w:rsid w:val="5D0905C7"/>
    <w:rsid w:val="5D5932D1"/>
    <w:rsid w:val="5D7868E2"/>
    <w:rsid w:val="5D845EA0"/>
    <w:rsid w:val="5DA07D5A"/>
    <w:rsid w:val="5DB1394D"/>
    <w:rsid w:val="5E826883"/>
    <w:rsid w:val="5EAF73F9"/>
    <w:rsid w:val="5EB809CA"/>
    <w:rsid w:val="5EC450EE"/>
    <w:rsid w:val="5F9C1BC7"/>
    <w:rsid w:val="5FC33DAA"/>
    <w:rsid w:val="603911C4"/>
    <w:rsid w:val="608F405C"/>
    <w:rsid w:val="60C97425"/>
    <w:rsid w:val="6108329D"/>
    <w:rsid w:val="611556AE"/>
    <w:rsid w:val="61331F98"/>
    <w:rsid w:val="614624FC"/>
    <w:rsid w:val="61985A8C"/>
    <w:rsid w:val="619967BD"/>
    <w:rsid w:val="61BB59C1"/>
    <w:rsid w:val="61D75138"/>
    <w:rsid w:val="61E15FB7"/>
    <w:rsid w:val="62340FAB"/>
    <w:rsid w:val="62E278F0"/>
    <w:rsid w:val="63777811"/>
    <w:rsid w:val="63867E92"/>
    <w:rsid w:val="63B27C28"/>
    <w:rsid w:val="653E102A"/>
    <w:rsid w:val="655B398A"/>
    <w:rsid w:val="656266F1"/>
    <w:rsid w:val="656947A4"/>
    <w:rsid w:val="657F3D1A"/>
    <w:rsid w:val="65921346"/>
    <w:rsid w:val="65931376"/>
    <w:rsid w:val="66173356"/>
    <w:rsid w:val="6673430D"/>
    <w:rsid w:val="667A5E00"/>
    <w:rsid w:val="66AA700F"/>
    <w:rsid w:val="67254405"/>
    <w:rsid w:val="67717495"/>
    <w:rsid w:val="677D5E3A"/>
    <w:rsid w:val="67BA0E3C"/>
    <w:rsid w:val="68003FED"/>
    <w:rsid w:val="681625A3"/>
    <w:rsid w:val="68182B58"/>
    <w:rsid w:val="689773CF"/>
    <w:rsid w:val="689A7E71"/>
    <w:rsid w:val="68D20407"/>
    <w:rsid w:val="69277CD4"/>
    <w:rsid w:val="693F23B7"/>
    <w:rsid w:val="694D0F2B"/>
    <w:rsid w:val="69FF7450"/>
    <w:rsid w:val="6A0F7894"/>
    <w:rsid w:val="6A141115"/>
    <w:rsid w:val="6A310DC4"/>
    <w:rsid w:val="6A6C0D55"/>
    <w:rsid w:val="6A9857D5"/>
    <w:rsid w:val="6AA10091"/>
    <w:rsid w:val="6AAA6557"/>
    <w:rsid w:val="6AD12253"/>
    <w:rsid w:val="6AE301E8"/>
    <w:rsid w:val="6AEE3C01"/>
    <w:rsid w:val="6B0D6064"/>
    <w:rsid w:val="6B12521B"/>
    <w:rsid w:val="6B18238A"/>
    <w:rsid w:val="6B182A49"/>
    <w:rsid w:val="6B74638F"/>
    <w:rsid w:val="6B922E60"/>
    <w:rsid w:val="6BD34BC2"/>
    <w:rsid w:val="6CAE2F39"/>
    <w:rsid w:val="6CDF3F86"/>
    <w:rsid w:val="6CF8654C"/>
    <w:rsid w:val="6D351F98"/>
    <w:rsid w:val="6D814F58"/>
    <w:rsid w:val="6D9E3567"/>
    <w:rsid w:val="6DF1416E"/>
    <w:rsid w:val="6DFD7C82"/>
    <w:rsid w:val="6E26547D"/>
    <w:rsid w:val="6EAA25F1"/>
    <w:rsid w:val="6EAC5256"/>
    <w:rsid w:val="6EE83DD3"/>
    <w:rsid w:val="6EF908E0"/>
    <w:rsid w:val="6F1B2E85"/>
    <w:rsid w:val="6F2F600D"/>
    <w:rsid w:val="6F360CBA"/>
    <w:rsid w:val="6F59081C"/>
    <w:rsid w:val="6F9369E0"/>
    <w:rsid w:val="6FB35F6F"/>
    <w:rsid w:val="6FCC03A0"/>
    <w:rsid w:val="6FD827A7"/>
    <w:rsid w:val="6FDC1B6B"/>
    <w:rsid w:val="6FEE4ABE"/>
    <w:rsid w:val="703D45C4"/>
    <w:rsid w:val="707A3A78"/>
    <w:rsid w:val="70A97AE6"/>
    <w:rsid w:val="70C268FE"/>
    <w:rsid w:val="70CF08F5"/>
    <w:rsid w:val="71341AC3"/>
    <w:rsid w:val="713F6856"/>
    <w:rsid w:val="71476A4D"/>
    <w:rsid w:val="71EB0B34"/>
    <w:rsid w:val="72882FCA"/>
    <w:rsid w:val="72A64C28"/>
    <w:rsid w:val="72B93B68"/>
    <w:rsid w:val="73036137"/>
    <w:rsid w:val="73623B25"/>
    <w:rsid w:val="736519BD"/>
    <w:rsid w:val="736D1458"/>
    <w:rsid w:val="73905147"/>
    <w:rsid w:val="73A45BAA"/>
    <w:rsid w:val="73CB49E0"/>
    <w:rsid w:val="73CF5B6F"/>
    <w:rsid w:val="73FE37F1"/>
    <w:rsid w:val="743D52CE"/>
    <w:rsid w:val="746745E8"/>
    <w:rsid w:val="74822CE1"/>
    <w:rsid w:val="74AE7F7A"/>
    <w:rsid w:val="74BD640F"/>
    <w:rsid w:val="74EE1F79"/>
    <w:rsid w:val="74FF4332"/>
    <w:rsid w:val="75347C79"/>
    <w:rsid w:val="757108D4"/>
    <w:rsid w:val="75816130"/>
    <w:rsid w:val="75D25235"/>
    <w:rsid w:val="75F60207"/>
    <w:rsid w:val="76391AC6"/>
    <w:rsid w:val="76AD7DBE"/>
    <w:rsid w:val="76C656BB"/>
    <w:rsid w:val="76EC2FDC"/>
    <w:rsid w:val="777927CB"/>
    <w:rsid w:val="77C32A1C"/>
    <w:rsid w:val="78A376CA"/>
    <w:rsid w:val="78BD69DE"/>
    <w:rsid w:val="78C31B1A"/>
    <w:rsid w:val="78CC777C"/>
    <w:rsid w:val="78D94CCE"/>
    <w:rsid w:val="78EE34E5"/>
    <w:rsid w:val="79556C16"/>
    <w:rsid w:val="797572B9"/>
    <w:rsid w:val="79817E76"/>
    <w:rsid w:val="79847A03"/>
    <w:rsid w:val="79A1597F"/>
    <w:rsid w:val="79CB512B"/>
    <w:rsid w:val="7A2F391C"/>
    <w:rsid w:val="7AFD7566"/>
    <w:rsid w:val="7B3B62E0"/>
    <w:rsid w:val="7B544624"/>
    <w:rsid w:val="7B63439E"/>
    <w:rsid w:val="7B9D2AF7"/>
    <w:rsid w:val="7BE91898"/>
    <w:rsid w:val="7C1868E6"/>
    <w:rsid w:val="7CB50EE6"/>
    <w:rsid w:val="7CFC55FB"/>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3"/>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rPr>
      <w:rFonts w:ascii="Times New Roman" w:hAnsi="Times New Roman" w:eastAsia="宋体"/>
      <w:sz w:val="18"/>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7"/>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标题 1 Char"/>
    <w:link w:val="4"/>
    <w:qFormat/>
    <w:uiPriority w:val="0"/>
    <w:rPr>
      <w:b/>
      <w:kern w:val="44"/>
      <w:sz w:val="44"/>
    </w:rPr>
  </w:style>
  <w:style w:type="character" w:customStyle="1" w:styleId="34">
    <w:name w:val="font21"/>
    <w:basedOn w:val="25"/>
    <w:qFormat/>
    <w:uiPriority w:val="0"/>
    <w:rPr>
      <w:rFonts w:hint="eastAsia" w:ascii="宋体" w:hAnsi="宋体" w:eastAsia="宋体" w:cs="宋体"/>
      <w:color w:val="000000"/>
      <w:sz w:val="21"/>
      <w:szCs w:val="21"/>
      <w:u w:val="none"/>
    </w:rPr>
  </w:style>
  <w:style w:type="character" w:customStyle="1" w:styleId="35">
    <w:name w:val="font31"/>
    <w:basedOn w:val="25"/>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7898</Words>
  <Characters>8379</Characters>
  <Lines>0</Lines>
  <Paragraphs>0</Paragraphs>
  <TotalTime>10</TotalTime>
  <ScaleCrop>false</ScaleCrop>
  <LinksUpToDate>false</LinksUpToDate>
  <CharactersWithSpaces>8480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小芄</cp:lastModifiedBy>
  <dcterms:modified xsi:type="dcterms:W3CDTF">2026-05-29T09:17:20Z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AA0D9BFF82084DC5A86AB90E1514483F_13</vt:lpwstr>
  </property>
  <property fmtid="{D5CDD505-2E9C-101B-9397-08002B2CF9AE}" pid="4" name="WondersoftTag">
    <vt:lpwstr>653A3212-A3C8-47AF-9AA3-59E112C77916#2#BF0040E4-119C49DB-945320B6-445516F7##0</vt:lpwstr>
  </property>
  <property fmtid="{D5CDD505-2E9C-101B-9397-08002B2CF9AE}" pid="5" name="KSOTemplateDocerSaveRecord">
    <vt:lpwstr>eyJoZGlkIjoiMmU4N2JhZmIyN2YxODQwZjhiMTMwNjc3MzM1OTY0OWEiLCJ1c2VySWQiOiIzMTI2Mzk0NjUifQ==</vt:lpwstr>
  </property>
</Properties>
</file>