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Toc246216323"/>
      <w: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0" y="0"/>
                <wp:lineTo x="0" y="21500"/>
                <wp:lineTo x="21554" y="21500"/>
                <wp:lineTo x="21554"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a:ln>
                      <a:noFill/>
                    </a:ln>
                  </pic:spPr>
                </pic:pic>
              </a:graphicData>
            </a:graphic>
          </wp:anchor>
        </w:drawing>
      </w:r>
    </w:p>
    <w:p>
      <w:pPr>
        <w:spacing w:before="624" w:beforeLines="200"/>
        <w:jc w:val="center"/>
        <w:rPr>
          <w:rFonts w:hint="eastAsia" w:ascii="宋体" w:hAnsi="宋体" w:eastAsia="宋体" w:cs="宋体"/>
          <w:b/>
          <w:sz w:val="52"/>
        </w:rPr>
      </w:pPr>
      <w:r>
        <w:rPr>
          <w:rFonts w:hint="eastAsia" w:ascii="宋体" w:hAnsi="宋体" w:eastAsia="宋体" w:cs="宋体"/>
          <w:b/>
          <w:sz w:val="52"/>
          <w:lang w:val="en-US" w:eastAsia="zh-CN"/>
        </w:rPr>
        <w:t>CT分析</w:t>
      </w:r>
      <w:r>
        <w:rPr>
          <w:rFonts w:hint="eastAsia" w:ascii="宋体" w:hAnsi="宋体" w:eastAsia="宋体" w:cs="宋体"/>
          <w:b/>
          <w:sz w:val="52"/>
        </w:rPr>
        <w:t>仪</w:t>
      </w:r>
    </w:p>
    <w:p>
      <w:pPr>
        <w:spacing w:before="624" w:beforeLines="200"/>
        <w:jc w:val="center"/>
        <w:rPr>
          <w:rFonts w:hint="eastAsia" w:ascii="宋体" w:hAnsi="宋体" w:eastAsia="宋体" w:cs="宋体"/>
          <w:b/>
          <w:sz w:val="52"/>
          <w:lang w:eastAsia="zh-CN"/>
        </w:rPr>
      </w:pPr>
      <w:r>
        <w:rPr>
          <w:rFonts w:hint="eastAsia" w:ascii="宋体" w:hAnsi="宋体" w:eastAsia="宋体" w:cs="宋体"/>
          <w:b/>
          <w:sz w:val="52"/>
        </w:rPr>
        <w:t>标准技术</w:t>
      </w:r>
      <w:r>
        <w:rPr>
          <w:rFonts w:hint="eastAsia" w:ascii="宋体" w:hAnsi="宋体" w:cs="宋体"/>
          <w:b/>
          <w:sz w:val="52"/>
          <w:lang w:val="en-US" w:eastAsia="zh-CN"/>
        </w:rPr>
        <w:t>标书</w:t>
      </w:r>
      <w:bookmarkStart w:id="75" w:name="_GoBack"/>
      <w:bookmarkEnd w:id="75"/>
    </w:p>
    <w:p>
      <w:pPr>
        <w:spacing w:before="624" w:beforeLines="200"/>
        <w:ind w:firstLine="2873" w:firstLineChars="795"/>
        <w:jc w:val="left"/>
        <w:rPr>
          <w:rFonts w:hint="eastAsia" w:ascii="宋体" w:hAnsi="宋体" w:eastAsia="宋体" w:cs="宋体"/>
          <w:b/>
          <w:sz w:val="36"/>
          <w:szCs w:val="36"/>
        </w:rPr>
      </w:pPr>
    </w:p>
    <w:p>
      <w:pPr>
        <w:spacing w:before="624" w:beforeLines="200"/>
        <w:jc w:val="center"/>
        <w:rPr>
          <w:rFonts w:hint="eastAsia" w:ascii="宋体" w:hAnsi="宋体" w:eastAsia="宋体" w:cs="宋体"/>
          <w:b/>
          <w:sz w:val="30"/>
          <w:szCs w:val="30"/>
          <w:u w:val="single"/>
          <w:lang w:val="en-US" w:eastAsia="zh-CN"/>
        </w:rPr>
      </w:pPr>
    </w:p>
    <w:p>
      <w:pPr>
        <w:spacing w:before="624" w:beforeLines="200"/>
        <w:jc w:val="center"/>
        <w:rPr>
          <w:rFonts w:hint="eastAsia" w:ascii="宋体" w:hAnsi="宋体" w:eastAsia="宋体" w:cs="宋体"/>
          <w:b/>
          <w:sz w:val="36"/>
        </w:rPr>
      </w:pPr>
    </w:p>
    <w:p>
      <w:pPr>
        <w:spacing w:before="624" w:beforeLines="200"/>
        <w:jc w:val="center"/>
        <w:rPr>
          <w:rFonts w:hint="eastAsia" w:ascii="宋体" w:hAnsi="宋体" w:eastAsia="宋体" w:cs="宋体"/>
          <w:b/>
          <w:sz w:val="36"/>
        </w:rPr>
      </w:pPr>
    </w:p>
    <w:p>
      <w:pPr>
        <w:spacing w:before="312" w:beforeLines="100"/>
        <w:jc w:val="center"/>
        <w:rPr>
          <w:rFonts w:hint="eastAsia" w:ascii="宋体" w:hAnsi="宋体" w:eastAsia="宋体" w:cs="宋体"/>
          <w:b/>
          <w:spacing w:val="20"/>
          <w:w w:val="135"/>
          <w:sz w:val="32"/>
          <w:szCs w:val="32"/>
        </w:rPr>
      </w:pPr>
      <w:r>
        <w:rPr>
          <w:rFonts w:hint="eastAsia" w:ascii="宋体" w:hAnsi="宋体" w:eastAsia="宋体" w:cs="宋体"/>
          <w:b/>
          <w:spacing w:val="20"/>
          <w:w w:val="135"/>
          <w:sz w:val="32"/>
          <w:szCs w:val="32"/>
        </w:rPr>
        <w:t>深圳供电局有限公司</w:t>
      </w:r>
    </w:p>
    <w:p>
      <w:pPr>
        <w:spacing w:before="312" w:beforeLines="100"/>
        <w:jc w:val="center"/>
        <w:rPr>
          <w:rFonts w:hint="eastAsia" w:ascii="宋体" w:hAnsi="宋体" w:eastAsia="宋体" w:cs="宋体"/>
          <w:b/>
          <w:spacing w:val="20"/>
          <w:w w:val="135"/>
          <w:sz w:val="32"/>
          <w:szCs w:val="32"/>
        </w:rPr>
      </w:pPr>
      <w:r>
        <w:rPr>
          <w:rFonts w:hint="eastAsia" w:ascii="宋体" w:hAnsi="宋体" w:eastAsia="宋体" w:cs="宋体"/>
          <w:b/>
          <w:spacing w:val="20"/>
          <w:w w:val="135"/>
          <w:sz w:val="32"/>
          <w:szCs w:val="32"/>
        </w:rPr>
        <w:t>20</w:t>
      </w:r>
      <w:r>
        <w:rPr>
          <w:rFonts w:hint="eastAsia" w:ascii="宋体" w:hAnsi="宋体" w:eastAsia="宋体" w:cs="宋体"/>
          <w:b/>
          <w:spacing w:val="20"/>
          <w:w w:val="135"/>
          <w:sz w:val="32"/>
          <w:szCs w:val="32"/>
          <w:lang w:val="en-US" w:eastAsia="zh-CN"/>
        </w:rPr>
        <w:t>26</w:t>
      </w:r>
      <w:r>
        <w:rPr>
          <w:rFonts w:hint="eastAsia" w:ascii="宋体" w:hAnsi="宋体" w:eastAsia="宋体" w:cs="宋体"/>
          <w:b/>
          <w:spacing w:val="20"/>
          <w:w w:val="135"/>
          <w:sz w:val="32"/>
          <w:szCs w:val="32"/>
        </w:rPr>
        <w:t>年0</w:t>
      </w:r>
      <w:r>
        <w:rPr>
          <w:rFonts w:hint="eastAsia" w:ascii="宋体" w:hAnsi="宋体" w:eastAsia="宋体" w:cs="宋体"/>
          <w:b/>
          <w:spacing w:val="20"/>
          <w:w w:val="135"/>
          <w:sz w:val="32"/>
          <w:szCs w:val="32"/>
          <w:lang w:val="en-US" w:eastAsia="zh-CN"/>
        </w:rPr>
        <w:t>5</w:t>
      </w:r>
      <w:r>
        <w:rPr>
          <w:rFonts w:hint="eastAsia" w:ascii="宋体" w:hAnsi="宋体" w:eastAsia="宋体" w:cs="宋体"/>
          <w:b/>
          <w:spacing w:val="20"/>
          <w:w w:val="135"/>
          <w:sz w:val="32"/>
          <w:szCs w:val="32"/>
        </w:rPr>
        <w:t>月</w:t>
      </w:r>
    </w:p>
    <w:p>
      <w:pPr>
        <w:spacing w:before="312" w:beforeLines="100"/>
        <w:jc w:val="center"/>
        <w:rPr>
          <w:rFonts w:hint="eastAsia" w:ascii="黑体" w:eastAsia="黑体"/>
          <w:b/>
          <w:spacing w:val="20"/>
          <w:w w:val="135"/>
          <w:sz w:val="30"/>
        </w:rPr>
      </w:pPr>
    </w:p>
    <w:p>
      <w:pPr>
        <w:spacing w:before="312" w:beforeLines="100"/>
        <w:rPr>
          <w:rFonts w:ascii="黑体" w:eastAsia="黑体"/>
          <w:b/>
          <w:spacing w:val="20"/>
          <w:w w:val="135"/>
          <w:sz w:val="30"/>
        </w:rPr>
        <w:sectPr>
          <w:footerReference r:id="rId3" w:type="default"/>
          <w:pgSz w:w="11906" w:h="16838"/>
          <w:pgMar w:top="1440" w:right="1800" w:bottom="1440" w:left="1800" w:header="851" w:footer="992" w:gutter="0"/>
          <w:pgNumType w:fmt="upperRoman" w:start="1"/>
          <w:cols w:space="425" w:num="1"/>
          <w:docGrid w:type="lines" w:linePitch="312" w:charSpace="0"/>
        </w:sectPr>
      </w:pPr>
    </w:p>
    <w:p>
      <w:pPr>
        <w:pStyle w:val="48"/>
        <w:adjustRightInd w:val="0"/>
        <w:snapToGrid w:val="0"/>
        <w:spacing w:line="360" w:lineRule="auto"/>
        <w:ind w:firstLine="0" w:firstLineChars="0"/>
        <w:jc w:val="center"/>
        <w:rPr>
          <w:rFonts w:hint="eastAsia" w:ascii="黑体" w:hAnsi="黑体" w:eastAsia="黑体" w:cs="Times New Roman"/>
          <w:sz w:val="36"/>
          <w:szCs w:val="36"/>
        </w:rPr>
      </w:pPr>
      <w:r>
        <w:rPr>
          <w:rFonts w:hint="eastAsia" w:ascii="黑体" w:hAnsi="黑体" w:eastAsia="黑体" w:cs="Times New Roman"/>
          <w:sz w:val="36"/>
          <w:szCs w:val="36"/>
        </w:rPr>
        <w:t>目  录</w:t>
      </w:r>
    </w:p>
    <w:p>
      <w:pPr>
        <w:pStyle w:val="22"/>
        <w:tabs>
          <w:tab w:val="right" w:leader="dot" w:pos="8296"/>
        </w:tabs>
        <w:rPr>
          <w:b w:val="0"/>
          <w:bCs w:val="0"/>
          <w:caps w:val="0"/>
          <w:sz w:val="21"/>
          <w:szCs w:val="24"/>
        </w:rPr>
      </w:pPr>
      <w:r>
        <w:rPr>
          <w:rFonts w:ascii="宋体" w:hAnsi="宋体"/>
          <w:b w:val="0"/>
          <w:i/>
          <w:sz w:val="21"/>
          <w:szCs w:val="21"/>
        </w:rPr>
        <w:fldChar w:fldCharType="begin"/>
      </w:r>
      <w:r>
        <w:rPr>
          <w:rFonts w:ascii="宋体" w:hAnsi="宋体"/>
          <w:b w:val="0"/>
          <w:i/>
          <w:sz w:val="21"/>
          <w:szCs w:val="21"/>
        </w:rPr>
        <w:instrText xml:space="preserve"> </w:instrText>
      </w:r>
      <w:r>
        <w:rPr>
          <w:rFonts w:hint="eastAsia" w:ascii="宋体" w:hAnsi="宋体"/>
          <w:b w:val="0"/>
          <w:i/>
          <w:sz w:val="21"/>
          <w:szCs w:val="21"/>
        </w:rPr>
        <w:instrText xml:space="preserve">TOC \o "1-2" \h \z \u</w:instrText>
      </w:r>
      <w:r>
        <w:rPr>
          <w:rFonts w:ascii="宋体" w:hAnsi="宋体"/>
          <w:b w:val="0"/>
          <w:i/>
          <w:sz w:val="21"/>
          <w:szCs w:val="21"/>
        </w:rPr>
        <w:instrText xml:space="preserve"> </w:instrText>
      </w:r>
      <w:r>
        <w:rPr>
          <w:rFonts w:ascii="宋体" w:hAnsi="宋体"/>
          <w:b w:val="0"/>
          <w:i/>
          <w:sz w:val="21"/>
          <w:szCs w:val="21"/>
        </w:rPr>
        <w:fldChar w:fldCharType="separate"/>
      </w:r>
      <w:r>
        <w:fldChar w:fldCharType="begin"/>
      </w:r>
      <w:r>
        <w:instrText xml:space="preserve"> HYPERLINK \l "_Toc399627534" </w:instrText>
      </w:r>
      <w:r>
        <w:fldChar w:fldCharType="separate"/>
      </w:r>
      <w:r>
        <w:rPr>
          <w:rStyle w:val="34"/>
          <w:rFonts w:hAnsi="宋体"/>
        </w:rPr>
        <w:t xml:space="preserve">1 </w:t>
      </w:r>
      <w:r>
        <w:rPr>
          <w:rStyle w:val="34"/>
          <w:rFonts w:hint="eastAsia" w:hAnsi="宋体"/>
        </w:rPr>
        <w:t>总则</w:t>
      </w:r>
      <w:r>
        <w:tab/>
      </w:r>
      <w:r>
        <w:fldChar w:fldCharType="begin"/>
      </w:r>
      <w:r>
        <w:instrText xml:space="preserve"> PAGEREF _Toc399627534 \h </w:instrText>
      </w:r>
      <w:r>
        <w:fldChar w:fldCharType="separate"/>
      </w:r>
      <w:r>
        <w:t>1</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"_Toc399627535" </w:instrText>
      </w:r>
      <w:r>
        <w:fldChar w:fldCharType="separate"/>
      </w:r>
      <w:r>
        <w:rPr>
          <w:rStyle w:val="34"/>
          <w:rFonts w:hAnsi="宋体"/>
        </w:rPr>
        <w:t xml:space="preserve">2 </w:t>
      </w:r>
      <w:r>
        <w:rPr>
          <w:rStyle w:val="34"/>
          <w:rFonts w:hint="eastAsia" w:hAnsi="宋体"/>
        </w:rPr>
        <w:t>工作范围</w:t>
      </w:r>
      <w:r>
        <w:tab/>
      </w:r>
      <w:r>
        <w:fldChar w:fldCharType="begin"/>
      </w:r>
      <w:r>
        <w:instrText xml:space="preserve"> PAGEREF _Toc399627535 \h </w:instrText>
      </w:r>
      <w:r>
        <w:fldChar w:fldCharType="separate"/>
      </w:r>
      <w:r>
        <w:t>2</w:t>
      </w:r>
      <w:r>
        <w:fldChar w:fldCharType="end"/>
      </w:r>
      <w:r>
        <w:fldChar w:fldCharType="end"/>
      </w:r>
    </w:p>
    <w:p>
      <w:pPr>
        <w:pStyle w:val="24"/>
      </w:pPr>
      <w:r>
        <w:fldChar w:fldCharType="begin"/>
      </w:r>
      <w:r>
        <w:instrText xml:space="preserve"> HYPERLINK \l "_Toc399627536" </w:instrText>
      </w:r>
      <w:r>
        <w:fldChar w:fldCharType="separate"/>
      </w:r>
      <w:r>
        <w:rPr>
          <w:rStyle w:val="34"/>
          <w:rFonts w:hAnsi="宋体"/>
        </w:rPr>
        <w:t xml:space="preserve">2.1 </w:t>
      </w:r>
      <w:r>
        <w:rPr>
          <w:rStyle w:val="34"/>
          <w:rFonts w:hint="eastAsia" w:hAnsi="宋体"/>
        </w:rPr>
        <w:t>项目概况</w:t>
      </w:r>
      <w:r>
        <w:tab/>
      </w:r>
      <w:r>
        <w:fldChar w:fldCharType="begin"/>
      </w:r>
      <w:r>
        <w:instrText xml:space="preserve"> PAGEREF _Toc399627536 \h </w:instrText>
      </w:r>
      <w:r>
        <w:fldChar w:fldCharType="separate"/>
      </w:r>
      <w:r>
        <w:t>2</w:t>
      </w:r>
      <w:r>
        <w:fldChar w:fldCharType="end"/>
      </w:r>
      <w:r>
        <w:fldChar w:fldCharType="end"/>
      </w:r>
    </w:p>
    <w:p>
      <w:pPr>
        <w:pStyle w:val="24"/>
      </w:pPr>
      <w:r>
        <w:fldChar w:fldCharType="begin"/>
      </w:r>
      <w:r>
        <w:instrText xml:space="preserve"> HYPERLINK \l "_Toc399627537" </w:instrText>
      </w:r>
      <w:r>
        <w:fldChar w:fldCharType="separate"/>
      </w:r>
      <w:r>
        <w:rPr>
          <w:rStyle w:val="34"/>
          <w:rFonts w:hAnsi="宋体"/>
        </w:rPr>
        <w:t xml:space="preserve">2.2 </w:t>
      </w:r>
      <w:r>
        <w:rPr>
          <w:rStyle w:val="34"/>
          <w:rFonts w:hint="eastAsia" w:hAnsi="宋体"/>
        </w:rPr>
        <w:t>范围和界限</w:t>
      </w:r>
      <w:r>
        <w:tab/>
      </w:r>
      <w:r>
        <w:fldChar w:fldCharType="begin"/>
      </w:r>
      <w:r>
        <w:instrText xml:space="preserve"> PAGEREF _Toc399627537 \h </w:instrText>
      </w:r>
      <w:r>
        <w:fldChar w:fldCharType="separate"/>
      </w:r>
      <w:r>
        <w:t>2</w:t>
      </w:r>
      <w:r>
        <w:fldChar w:fldCharType="end"/>
      </w:r>
      <w:r>
        <w:fldChar w:fldCharType="end"/>
      </w:r>
    </w:p>
    <w:p>
      <w:pPr>
        <w:pStyle w:val="24"/>
      </w:pPr>
      <w:r>
        <w:fldChar w:fldCharType="begin"/>
      </w:r>
      <w:r>
        <w:instrText xml:space="preserve"> HYPERLINK \l "_Toc399627538" </w:instrText>
      </w:r>
      <w:r>
        <w:fldChar w:fldCharType="separate"/>
      </w:r>
      <w:r>
        <w:rPr>
          <w:rStyle w:val="34"/>
          <w:rFonts w:hAnsi="宋体"/>
        </w:rPr>
        <w:t xml:space="preserve">2.3 </w:t>
      </w:r>
      <w:r>
        <w:rPr>
          <w:rStyle w:val="34"/>
          <w:rFonts w:hint="eastAsia" w:hAnsi="宋体"/>
        </w:rPr>
        <w:t>服务范围</w:t>
      </w:r>
      <w:r>
        <w:tab/>
      </w:r>
      <w:r>
        <w:fldChar w:fldCharType="begin"/>
      </w:r>
      <w:r>
        <w:instrText xml:space="preserve"> PAGEREF _Toc399627538 \h </w:instrText>
      </w:r>
      <w:r>
        <w:fldChar w:fldCharType="separate"/>
      </w:r>
      <w:r>
        <w:t>2</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"_Toc399627539" </w:instrText>
      </w:r>
      <w:r>
        <w:fldChar w:fldCharType="separate"/>
      </w:r>
      <w:r>
        <w:rPr>
          <w:rStyle w:val="34"/>
          <w:rFonts w:hAnsi="宋体"/>
        </w:rPr>
        <w:t xml:space="preserve">3 </w:t>
      </w:r>
      <w:r>
        <w:rPr>
          <w:rStyle w:val="34"/>
          <w:rFonts w:hint="eastAsia" w:hAnsi="宋体"/>
        </w:rPr>
        <w:t>应遵循的主要标准</w:t>
      </w:r>
      <w:r>
        <w:tab/>
      </w:r>
      <w:r>
        <w:fldChar w:fldCharType="begin"/>
      </w:r>
      <w:r>
        <w:instrText xml:space="preserve"> PAGEREF _Toc399627539 \h </w:instrText>
      </w:r>
      <w:r>
        <w:fldChar w:fldCharType="separate"/>
      </w:r>
      <w:r>
        <w:t>3</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"_Toc399627540" </w:instrText>
      </w:r>
      <w:r>
        <w:fldChar w:fldCharType="separate"/>
      </w:r>
      <w:r>
        <w:rPr>
          <w:rStyle w:val="34"/>
          <w:rFonts w:hAnsi="宋体"/>
        </w:rPr>
        <w:t xml:space="preserve">4 </w:t>
      </w:r>
      <w:r>
        <w:rPr>
          <w:rStyle w:val="34"/>
          <w:rFonts w:hint="eastAsia" w:hAnsi="宋体"/>
        </w:rPr>
        <w:t>使用环境要求</w:t>
      </w:r>
      <w:r>
        <w:tab/>
      </w:r>
      <w:r>
        <w:fldChar w:fldCharType="begin"/>
      </w:r>
      <w:r>
        <w:instrText xml:space="preserve"> PAGEREF _Toc399627540 \h </w:instrText>
      </w:r>
      <w:r>
        <w:fldChar w:fldCharType="separate"/>
      </w:r>
      <w:r>
        <w:t>4</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"_Toc399627541" </w:instrText>
      </w:r>
      <w:r>
        <w:fldChar w:fldCharType="separate"/>
      </w:r>
      <w:r>
        <w:rPr>
          <w:rStyle w:val="34"/>
          <w:rFonts w:hAnsi="宋体"/>
        </w:rPr>
        <w:t xml:space="preserve">5 </w:t>
      </w:r>
      <w:r>
        <w:rPr>
          <w:rStyle w:val="34"/>
          <w:rFonts w:hint="eastAsia" w:hAnsi="宋体"/>
        </w:rPr>
        <w:t>技术要求</w:t>
      </w:r>
      <w:r>
        <w:tab/>
      </w:r>
      <w:r>
        <w:fldChar w:fldCharType="begin"/>
      </w:r>
      <w:r>
        <w:instrText xml:space="preserve"> PAGEREF _Toc399627541 \h </w:instrText>
      </w:r>
      <w:r>
        <w:fldChar w:fldCharType="separate"/>
      </w:r>
      <w:r>
        <w:t>4</w:t>
      </w:r>
      <w:r>
        <w:fldChar w:fldCharType="end"/>
      </w:r>
      <w:r>
        <w:fldChar w:fldCharType="end"/>
      </w:r>
    </w:p>
    <w:p>
      <w:pPr>
        <w:pStyle w:val="24"/>
      </w:pPr>
      <w:r>
        <w:fldChar w:fldCharType="begin"/>
      </w:r>
      <w:r>
        <w:instrText xml:space="preserve"> HYPERLINK \l "_Toc399627542" </w:instrText>
      </w:r>
      <w:r>
        <w:fldChar w:fldCharType="separate"/>
      </w:r>
      <w:r>
        <w:rPr>
          <w:rStyle w:val="34"/>
          <w:rFonts w:hAnsi="宋体"/>
        </w:rPr>
        <w:t xml:space="preserve">5.1 </w:t>
      </w:r>
      <w:r>
        <w:rPr>
          <w:rStyle w:val="34"/>
          <w:rFonts w:hint="eastAsia" w:hAnsi="宋体"/>
        </w:rPr>
        <w:t>设备结构功能接口要求</w:t>
      </w:r>
      <w:r>
        <w:tab/>
      </w:r>
      <w:r>
        <w:fldChar w:fldCharType="begin"/>
      </w:r>
      <w:r>
        <w:instrText xml:space="preserve"> PAGEREF _Toc399627542 \h </w:instrText>
      </w:r>
      <w:r>
        <w:fldChar w:fldCharType="separate"/>
      </w:r>
      <w:r>
        <w:t>4</w:t>
      </w:r>
      <w:r>
        <w:fldChar w:fldCharType="end"/>
      </w:r>
      <w:r>
        <w:fldChar w:fldCharType="end"/>
      </w:r>
    </w:p>
    <w:p>
      <w:pPr>
        <w:pStyle w:val="24"/>
      </w:pPr>
      <w:r>
        <w:fldChar w:fldCharType="begin"/>
      </w:r>
      <w:r>
        <w:instrText xml:space="preserve"> HYPERLINK \l "_Toc399627543" </w:instrText>
      </w:r>
      <w:r>
        <w:fldChar w:fldCharType="separate"/>
      </w:r>
      <w:r>
        <w:rPr>
          <w:rStyle w:val="34"/>
          <w:rFonts w:hAnsi="宋体"/>
        </w:rPr>
        <w:t>5.2</w:t>
      </w:r>
      <w:r>
        <w:rPr>
          <w:rStyle w:val="34"/>
          <w:rFonts w:hint="eastAsia" w:hAnsi="宋体"/>
        </w:rPr>
        <w:t>设备技术参数和性能要求响应表</w:t>
      </w:r>
      <w:r>
        <w:tab/>
      </w:r>
      <w:r>
        <w:fldChar w:fldCharType="begin"/>
      </w:r>
      <w:r>
        <w:instrText xml:space="preserve"> PAGEREF _Toc399627543 \h </w:instrText>
      </w:r>
      <w:r>
        <w:fldChar w:fldCharType="separate"/>
      </w:r>
      <w:r>
        <w:t>5</w:t>
      </w:r>
      <w:r>
        <w:fldChar w:fldCharType="end"/>
      </w:r>
      <w:r>
        <w:fldChar w:fldCharType="end"/>
      </w:r>
    </w:p>
    <w:p>
      <w:pPr>
        <w:pStyle w:val="24"/>
      </w:pPr>
      <w:r>
        <w:fldChar w:fldCharType="begin"/>
      </w:r>
      <w:r>
        <w:instrText xml:space="preserve"> HYPERLINK \l "_Toc399627544" </w:instrText>
      </w:r>
      <w:r>
        <w:fldChar w:fldCharType="separate"/>
      </w:r>
      <w:r>
        <w:rPr>
          <w:rStyle w:val="34"/>
          <w:rFonts w:hAnsi="宋体"/>
        </w:rPr>
        <w:t>5.3</w:t>
      </w:r>
      <w:r>
        <w:rPr>
          <w:rStyle w:val="34"/>
          <w:rFonts w:hint="eastAsia" w:hAnsi="宋体"/>
        </w:rPr>
        <w:t>设备及其附件主要元器件来源</w:t>
      </w:r>
      <w:r>
        <w:tab/>
      </w:r>
      <w:r>
        <w:fldChar w:fldCharType="begin"/>
      </w:r>
      <w:r>
        <w:instrText xml:space="preserve"> PAGEREF _Toc399627544 \h </w:instrText>
      </w:r>
      <w:r>
        <w:fldChar w:fldCharType="separate"/>
      </w:r>
      <w:r>
        <w:t>6</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"_Toc399627545" </w:instrText>
      </w:r>
      <w:r>
        <w:fldChar w:fldCharType="separate"/>
      </w:r>
      <w:r>
        <w:rPr>
          <w:rStyle w:val="34"/>
          <w:rFonts w:hAnsi="宋体"/>
        </w:rPr>
        <w:t xml:space="preserve">6 </w:t>
      </w:r>
      <w:r>
        <w:rPr>
          <w:rStyle w:val="34"/>
          <w:rFonts w:hint="eastAsia" w:hAnsi="宋体"/>
        </w:rPr>
        <w:t>试验</w:t>
      </w:r>
      <w:r>
        <w:tab/>
      </w:r>
      <w:r>
        <w:fldChar w:fldCharType="begin"/>
      </w:r>
      <w:r>
        <w:instrText xml:space="preserve"> PAGEREF _Toc399627545 \h </w:instrText>
      </w:r>
      <w:r>
        <w:fldChar w:fldCharType="separate"/>
      </w:r>
      <w:r>
        <w:t>7</w:t>
      </w:r>
      <w:r>
        <w:fldChar w:fldCharType="end"/>
      </w:r>
      <w:r>
        <w:fldChar w:fldCharType="end"/>
      </w:r>
    </w:p>
    <w:p>
      <w:pPr>
        <w:pStyle w:val="24"/>
      </w:pPr>
      <w:r>
        <w:fldChar w:fldCharType="begin"/>
      </w:r>
      <w:r>
        <w:instrText xml:space="preserve"> HYPERLINK \l "_Toc399627546" </w:instrText>
      </w:r>
      <w:r>
        <w:fldChar w:fldCharType="separate"/>
      </w:r>
      <w:r>
        <w:rPr>
          <w:rStyle w:val="34"/>
          <w:rFonts w:hAnsi="宋体"/>
        </w:rPr>
        <w:t xml:space="preserve">6.1 </w:t>
      </w:r>
      <w:r>
        <w:rPr>
          <w:rStyle w:val="34"/>
          <w:rFonts w:hint="eastAsia" w:hAnsi="宋体"/>
        </w:rPr>
        <w:t>型式试验</w:t>
      </w:r>
      <w:r>
        <w:tab/>
      </w:r>
      <w:r>
        <w:fldChar w:fldCharType="begin"/>
      </w:r>
      <w:r>
        <w:instrText xml:space="preserve"> PAGEREF _Toc399627546 \h </w:instrText>
      </w:r>
      <w:r>
        <w:fldChar w:fldCharType="separate"/>
      </w:r>
      <w:r>
        <w:t>7</w:t>
      </w:r>
      <w:r>
        <w:fldChar w:fldCharType="end"/>
      </w:r>
      <w:r>
        <w:fldChar w:fldCharType="end"/>
      </w:r>
    </w:p>
    <w:p>
      <w:pPr>
        <w:pStyle w:val="24"/>
      </w:pPr>
      <w:r>
        <w:fldChar w:fldCharType="begin"/>
      </w:r>
      <w:r>
        <w:instrText xml:space="preserve"> HYPERLINK \l "_Toc399627547" </w:instrText>
      </w:r>
      <w:r>
        <w:fldChar w:fldCharType="separate"/>
      </w:r>
      <w:r>
        <w:rPr>
          <w:rStyle w:val="34"/>
          <w:rFonts w:hAnsi="宋体"/>
        </w:rPr>
        <w:t xml:space="preserve">6.2 </w:t>
      </w:r>
      <w:r>
        <w:rPr>
          <w:rStyle w:val="34"/>
          <w:rFonts w:hint="eastAsia" w:hAnsi="宋体"/>
        </w:rPr>
        <w:t>出厂试验</w:t>
      </w:r>
      <w:r>
        <w:tab/>
      </w:r>
      <w:r>
        <w:fldChar w:fldCharType="begin"/>
      </w:r>
      <w:r>
        <w:instrText xml:space="preserve"> PAGEREF _Toc399627547 \h </w:instrText>
      </w:r>
      <w:r>
        <w:fldChar w:fldCharType="separate"/>
      </w:r>
      <w:r>
        <w:t>7</w:t>
      </w:r>
      <w:r>
        <w:fldChar w:fldCharType="end"/>
      </w:r>
      <w:r>
        <w:fldChar w:fldCharType="end"/>
      </w:r>
    </w:p>
    <w:p>
      <w:pPr>
        <w:pStyle w:val="24"/>
      </w:pPr>
      <w:r>
        <w:fldChar w:fldCharType="begin"/>
      </w:r>
      <w:r>
        <w:instrText xml:space="preserve"> HYPERLINK \l "_Toc399627548" </w:instrText>
      </w:r>
      <w:r>
        <w:fldChar w:fldCharType="separate"/>
      </w:r>
      <w:r>
        <w:rPr>
          <w:rStyle w:val="34"/>
          <w:rFonts w:hAnsi="宋体"/>
        </w:rPr>
        <w:t xml:space="preserve">6.3 </w:t>
      </w:r>
      <w:r>
        <w:rPr>
          <w:rStyle w:val="34"/>
          <w:rFonts w:hint="eastAsia" w:hAnsi="宋体"/>
        </w:rPr>
        <w:t>现场交接试验和功能验收</w:t>
      </w:r>
      <w:r>
        <w:tab/>
      </w:r>
      <w:r>
        <w:fldChar w:fldCharType="begin"/>
      </w:r>
      <w:r>
        <w:instrText xml:space="preserve"> PAGEREF _Toc399627548 \h </w:instrText>
      </w:r>
      <w:r>
        <w:fldChar w:fldCharType="separate"/>
      </w:r>
      <w:r>
        <w:t>7</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"_Toc399627549" </w:instrText>
      </w:r>
      <w:r>
        <w:fldChar w:fldCharType="separate"/>
      </w:r>
      <w:r>
        <w:rPr>
          <w:rStyle w:val="34"/>
          <w:rFonts w:hAnsi="宋体"/>
        </w:rPr>
        <w:t xml:space="preserve">7 </w:t>
      </w:r>
      <w:r>
        <w:rPr>
          <w:rStyle w:val="34"/>
          <w:rFonts w:hint="eastAsia" w:hAnsi="宋体"/>
        </w:rPr>
        <w:t>产品对环境的影响</w:t>
      </w:r>
      <w:r>
        <w:tab/>
      </w:r>
      <w:r>
        <w:fldChar w:fldCharType="begin"/>
      </w:r>
      <w:r>
        <w:instrText xml:space="preserve"> PAGEREF _Toc399627549 \h </w:instrText>
      </w:r>
      <w:r>
        <w:fldChar w:fldCharType="separate"/>
      </w:r>
      <w:r>
        <w:t>8</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"_Toc399627550" </w:instrText>
      </w:r>
      <w:r>
        <w:fldChar w:fldCharType="separate"/>
      </w:r>
      <w:r>
        <w:rPr>
          <w:rStyle w:val="34"/>
          <w:rFonts w:hAnsi="宋体"/>
        </w:rPr>
        <w:t>8</w:t>
      </w:r>
      <w:r>
        <w:rPr>
          <w:rStyle w:val="34"/>
          <w:rFonts w:hint="eastAsia" w:hAnsi="宋体"/>
        </w:rPr>
        <w:t>技术文件要求</w:t>
      </w:r>
      <w:r>
        <w:tab/>
      </w:r>
      <w:r>
        <w:fldChar w:fldCharType="begin"/>
      </w:r>
      <w:r>
        <w:instrText xml:space="preserve"> PAGEREF _Toc399627550 \h </w:instrText>
      </w:r>
      <w:r>
        <w:fldChar w:fldCharType="separate"/>
      </w:r>
      <w:r>
        <w:t>8</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"_Toc399627551" </w:instrText>
      </w:r>
      <w:r>
        <w:fldChar w:fldCharType="separate"/>
      </w:r>
      <w:r>
        <w:rPr>
          <w:rStyle w:val="34"/>
          <w:rFonts w:hAnsi="宋体"/>
        </w:rPr>
        <w:t xml:space="preserve">9 </w:t>
      </w:r>
      <w:r>
        <w:rPr>
          <w:rStyle w:val="34"/>
          <w:rFonts w:hint="eastAsia" w:hAnsi="宋体"/>
        </w:rPr>
        <w:t>监造、包装、运输、安装及质量保证</w:t>
      </w:r>
      <w:r>
        <w:tab/>
      </w:r>
      <w:r>
        <w:fldChar w:fldCharType="begin"/>
      </w:r>
      <w:r>
        <w:instrText xml:space="preserve"> PAGEREF _Toc399627551 \h </w:instrText>
      </w:r>
      <w:r>
        <w:fldChar w:fldCharType="separate"/>
      </w:r>
      <w:r>
        <w:t>8</w:t>
      </w:r>
      <w:r>
        <w:fldChar w:fldCharType="end"/>
      </w:r>
      <w:r>
        <w:fldChar w:fldCharType="end"/>
      </w:r>
    </w:p>
    <w:p>
      <w:pPr>
        <w:pStyle w:val="24"/>
      </w:pPr>
      <w:r>
        <w:fldChar w:fldCharType="begin"/>
      </w:r>
      <w:r>
        <w:instrText xml:space="preserve"> HYPERLINK \l "_Toc399627552" </w:instrText>
      </w:r>
      <w:r>
        <w:fldChar w:fldCharType="separate"/>
      </w:r>
      <w:r>
        <w:rPr>
          <w:rStyle w:val="34"/>
          <w:rFonts w:hAnsi="宋体"/>
        </w:rPr>
        <w:t>9.1</w:t>
      </w:r>
      <w:r>
        <w:rPr>
          <w:rStyle w:val="34"/>
          <w:rFonts w:hint="eastAsia" w:hAnsi="宋体"/>
        </w:rPr>
        <w:t>监造</w:t>
      </w:r>
      <w:r>
        <w:tab/>
      </w:r>
      <w:r>
        <w:fldChar w:fldCharType="begin"/>
      </w:r>
      <w:r>
        <w:instrText xml:space="preserve"> PAGEREF _Toc399627552 \h </w:instrText>
      </w:r>
      <w:r>
        <w:fldChar w:fldCharType="separate"/>
      </w:r>
      <w:r>
        <w:t>8</w:t>
      </w:r>
      <w:r>
        <w:fldChar w:fldCharType="end"/>
      </w:r>
      <w:r>
        <w:fldChar w:fldCharType="end"/>
      </w:r>
    </w:p>
    <w:p>
      <w:pPr>
        <w:pStyle w:val="24"/>
      </w:pPr>
      <w:r>
        <w:fldChar w:fldCharType="begin"/>
      </w:r>
      <w:r>
        <w:instrText xml:space="preserve"> HYPERLINK \l "_Toc399627553" </w:instrText>
      </w:r>
      <w:r>
        <w:fldChar w:fldCharType="separate"/>
      </w:r>
      <w:r>
        <w:rPr>
          <w:rStyle w:val="34"/>
          <w:rFonts w:hAnsi="宋体"/>
        </w:rPr>
        <w:t>9.2</w:t>
      </w:r>
      <w:r>
        <w:rPr>
          <w:rStyle w:val="34"/>
          <w:rFonts w:hint="eastAsia" w:hAnsi="宋体"/>
        </w:rPr>
        <w:t>包装</w:t>
      </w:r>
      <w:r>
        <w:tab/>
      </w:r>
      <w:r>
        <w:fldChar w:fldCharType="begin"/>
      </w:r>
      <w:r>
        <w:instrText xml:space="preserve"> PAGEREF _Toc399627553 \h </w:instrText>
      </w:r>
      <w:r>
        <w:fldChar w:fldCharType="separate"/>
      </w:r>
      <w:r>
        <w:t>8</w:t>
      </w:r>
      <w:r>
        <w:fldChar w:fldCharType="end"/>
      </w:r>
      <w:r>
        <w:fldChar w:fldCharType="end"/>
      </w:r>
    </w:p>
    <w:p>
      <w:pPr>
        <w:pStyle w:val="24"/>
      </w:pPr>
      <w:r>
        <w:fldChar w:fldCharType="begin"/>
      </w:r>
      <w:r>
        <w:instrText xml:space="preserve"> HYPERLINK \l "_Toc399627554" </w:instrText>
      </w:r>
      <w:r>
        <w:fldChar w:fldCharType="separate"/>
      </w:r>
      <w:r>
        <w:rPr>
          <w:rStyle w:val="34"/>
          <w:rFonts w:hAnsi="宋体"/>
        </w:rPr>
        <w:t>9.3</w:t>
      </w:r>
      <w:r>
        <w:rPr>
          <w:rStyle w:val="34"/>
          <w:rFonts w:hint="eastAsia" w:hAnsi="宋体"/>
        </w:rPr>
        <w:t>运输</w:t>
      </w:r>
      <w:r>
        <w:tab/>
      </w:r>
      <w:r>
        <w:fldChar w:fldCharType="begin"/>
      </w:r>
      <w:r>
        <w:instrText xml:space="preserve"> PAGEREF _Toc399627554 \h </w:instrText>
      </w:r>
      <w:r>
        <w:fldChar w:fldCharType="separate"/>
      </w:r>
      <w:r>
        <w:t>8</w:t>
      </w:r>
      <w:r>
        <w:fldChar w:fldCharType="end"/>
      </w:r>
      <w:r>
        <w:fldChar w:fldCharType="end"/>
      </w:r>
    </w:p>
    <w:p>
      <w:pPr>
        <w:pStyle w:val="24"/>
      </w:pPr>
      <w:r>
        <w:fldChar w:fldCharType="begin"/>
      </w:r>
      <w:r>
        <w:instrText xml:space="preserve"> HYPERLINK \l "_Toc399627555" </w:instrText>
      </w:r>
      <w:r>
        <w:fldChar w:fldCharType="separate"/>
      </w:r>
      <w:r>
        <w:rPr>
          <w:rStyle w:val="34"/>
          <w:rFonts w:hAnsi="宋体"/>
        </w:rPr>
        <w:t>9.4</w:t>
      </w:r>
      <w:r>
        <w:rPr>
          <w:rStyle w:val="34"/>
          <w:rFonts w:hint="eastAsia" w:hAnsi="宋体"/>
        </w:rPr>
        <w:t>安装使用指导</w:t>
      </w:r>
      <w:r>
        <w:tab/>
      </w:r>
      <w:r>
        <w:fldChar w:fldCharType="begin"/>
      </w:r>
      <w:r>
        <w:instrText xml:space="preserve"> PAGEREF _Toc399627555 \h </w:instrText>
      </w:r>
      <w:r>
        <w:fldChar w:fldCharType="separate"/>
      </w:r>
      <w:r>
        <w:t>9</w:t>
      </w:r>
      <w:r>
        <w:fldChar w:fldCharType="end"/>
      </w:r>
      <w:r>
        <w:fldChar w:fldCharType="end"/>
      </w:r>
    </w:p>
    <w:p>
      <w:pPr>
        <w:pStyle w:val="24"/>
      </w:pPr>
      <w:r>
        <w:fldChar w:fldCharType="begin"/>
      </w:r>
      <w:r>
        <w:instrText xml:space="preserve"> HYPERLINK \l "_Toc399627556" </w:instrText>
      </w:r>
      <w:r>
        <w:fldChar w:fldCharType="separate"/>
      </w:r>
      <w:r>
        <w:rPr>
          <w:rStyle w:val="34"/>
          <w:rFonts w:hAnsi="宋体"/>
        </w:rPr>
        <w:t>9.5</w:t>
      </w:r>
      <w:r>
        <w:rPr>
          <w:rStyle w:val="34"/>
          <w:rFonts w:hint="eastAsia" w:hAnsi="宋体"/>
        </w:rPr>
        <w:t>质量保证</w:t>
      </w:r>
      <w:r>
        <w:tab/>
      </w:r>
      <w:r>
        <w:fldChar w:fldCharType="begin"/>
      </w:r>
      <w:r>
        <w:instrText xml:space="preserve"> PAGEREF _Toc399627556 \h </w:instrText>
      </w:r>
      <w:r>
        <w:fldChar w:fldCharType="separate"/>
      </w:r>
      <w:r>
        <w:t>9</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"_Toc399627557" </w:instrText>
      </w:r>
      <w:r>
        <w:fldChar w:fldCharType="separate"/>
      </w:r>
      <w:r>
        <w:rPr>
          <w:rStyle w:val="34"/>
          <w:rFonts w:hAnsi="宋体"/>
        </w:rPr>
        <w:t xml:space="preserve">10 </w:t>
      </w:r>
      <w:r>
        <w:rPr>
          <w:rStyle w:val="34"/>
          <w:rFonts w:hint="eastAsia" w:hAnsi="宋体"/>
        </w:rPr>
        <w:t>技术差异表</w:t>
      </w:r>
      <w:r>
        <w:tab/>
      </w:r>
      <w:r>
        <w:fldChar w:fldCharType="begin"/>
      </w:r>
      <w:r>
        <w:instrText xml:space="preserve"> PAGEREF _Toc399627557 \h </w:instrText>
      </w:r>
      <w:r>
        <w:fldChar w:fldCharType="separate"/>
      </w:r>
      <w:r>
        <w:t>10</w:t>
      </w:r>
      <w:r>
        <w:fldChar w:fldCharType="end"/>
      </w:r>
      <w:r>
        <w:fldChar w:fldCharType="end"/>
      </w:r>
    </w:p>
    <w:p>
      <w:pPr>
        <w:pStyle w:val="22"/>
        <w:tabs>
          <w:tab w:val="right" w:leader="dot" w:pos="8296"/>
        </w:tabs>
        <w:rPr>
          <w:b w:val="0"/>
          <w:bCs w:val="0"/>
          <w:caps w:val="0"/>
          <w:sz w:val="21"/>
          <w:szCs w:val="24"/>
        </w:rPr>
      </w:pPr>
      <w:r>
        <w:fldChar w:fldCharType="begin"/>
      </w:r>
      <w:r>
        <w:instrText xml:space="preserve"> HYPERLINK \l "_Toc399627558" </w:instrText>
      </w:r>
      <w:r>
        <w:fldChar w:fldCharType="separate"/>
      </w:r>
      <w:r>
        <w:rPr>
          <w:rStyle w:val="34"/>
          <w:rFonts w:hAnsi="宋体"/>
        </w:rPr>
        <w:t>11</w:t>
      </w:r>
      <w:r>
        <w:rPr>
          <w:rStyle w:val="34"/>
          <w:rFonts w:hint="eastAsia" w:hAnsi="宋体"/>
        </w:rPr>
        <w:t>投标方需说明的其他问题</w:t>
      </w:r>
      <w:r>
        <w:tab/>
      </w:r>
      <w:r>
        <w:fldChar w:fldCharType="begin"/>
      </w:r>
      <w:r>
        <w:instrText xml:space="preserve"> PAGEREF _Toc399627558 \h </w:instrText>
      </w:r>
      <w:r>
        <w:fldChar w:fldCharType="separate"/>
      </w:r>
      <w:r>
        <w:t>10</w:t>
      </w:r>
      <w:r>
        <w:fldChar w:fldCharType="end"/>
      </w:r>
      <w:r>
        <w:fldChar w:fldCharType="end"/>
      </w:r>
    </w:p>
    <w:p>
      <w:pPr>
        <w:adjustRightInd w:val="0"/>
        <w:snapToGrid w:val="0"/>
        <w:rPr>
          <w:rFonts w:hint="eastAsia" w:ascii="宋体" w:hAnsi="宋体"/>
          <w:szCs w:val="21"/>
        </w:rPr>
        <w:sectPr>
          <w:pgSz w:w="11906" w:h="16838"/>
          <w:pgMar w:top="1440" w:right="1800" w:bottom="1440" w:left="1800" w:header="851" w:footer="992" w:gutter="0"/>
          <w:pgNumType w:fmt="upperRoman" w:start="1"/>
          <w:cols w:space="425" w:num="1"/>
          <w:docGrid w:type="lines" w:linePitch="312" w:charSpace="0"/>
        </w:sectPr>
      </w:pPr>
      <w:r>
        <w:rPr>
          <w:rFonts w:ascii="宋体" w:hAnsi="宋体"/>
          <w:szCs w:val="21"/>
        </w:rPr>
        <w:fldChar w:fldCharType="end"/>
      </w:r>
    </w:p>
    <w:p>
      <w:pPr>
        <w:pStyle w:val="3"/>
        <w:snapToGrid/>
        <w:spacing w:before="0" w:beforeLines="0" w:line="480" w:lineRule="auto"/>
        <w:rPr>
          <w:rFonts w:hAnsi="宋体" w:cs="宋体"/>
        </w:rPr>
      </w:pPr>
      <w:bookmarkStart w:id="1" w:name="_Toc229476473"/>
      <w:bookmarkEnd w:id="1"/>
      <w:bookmarkStart w:id="2" w:name="_Toc229476588"/>
      <w:bookmarkEnd w:id="2"/>
      <w:bookmarkStart w:id="3" w:name="_Toc229476378"/>
      <w:bookmarkEnd w:id="3"/>
      <w:bookmarkStart w:id="4" w:name="_Toc229476507"/>
      <w:bookmarkEnd w:id="4"/>
      <w:bookmarkStart w:id="5" w:name="_Toc112756677"/>
      <w:bookmarkStart w:id="6" w:name="_Toc8549"/>
      <w:bookmarkStart w:id="7" w:name="_Toc399627535"/>
      <w:bookmarkStart w:id="8" w:name="_Toc112756678"/>
      <w:r>
        <w:rPr>
          <w:rFonts w:hint="eastAsia" w:hAnsi="宋体" w:cs="宋体"/>
        </w:rPr>
        <w:t xml:space="preserve">1 </w:t>
      </w:r>
      <w:bookmarkEnd w:id="5"/>
      <w:r>
        <w:rPr>
          <w:rFonts w:hint="eastAsia" w:hAnsi="宋体" w:cs="宋体"/>
        </w:rPr>
        <w:t>总则</w:t>
      </w:r>
      <w:bookmarkEnd w:id="6"/>
    </w:p>
    <w:p>
      <w:pPr>
        <w:spacing w:line="360" w:lineRule="auto"/>
        <w:rPr>
          <w:rFonts w:ascii="宋体" w:hAnsi="宋体" w:cs="宋体"/>
          <w:szCs w:val="21"/>
        </w:rPr>
      </w:pPr>
      <w:r>
        <w:rPr>
          <w:rFonts w:hint="eastAsia" w:ascii="宋体" w:hAnsi="宋体" w:cs="宋体"/>
          <w:szCs w:val="21"/>
        </w:rPr>
        <w:t>1.1 本技术规范书适用于</w:t>
      </w:r>
      <w:r>
        <w:rPr>
          <w:rFonts w:hint="eastAsia" w:ascii="宋体" w:hAnsi="宋体" w:cs="宋体"/>
          <w:szCs w:val="21"/>
          <w:u w:val="single"/>
        </w:rPr>
        <w:t>（项目单位填写）</w:t>
      </w:r>
      <w:r>
        <w:rPr>
          <w:rFonts w:hint="eastAsia" w:ascii="宋体" w:hAnsi="宋体" w:cs="宋体"/>
          <w:szCs w:val="21"/>
        </w:rPr>
        <w:t>工程项目</w:t>
      </w:r>
      <w:r>
        <w:rPr>
          <w:rFonts w:hint="eastAsia" w:ascii="宋体" w:hAnsi="宋体" w:cs="宋体"/>
          <w:szCs w:val="21"/>
          <w:u w:val="single"/>
        </w:rPr>
        <w:t xml:space="preserve"> CT分析仪 </w:t>
      </w:r>
      <w:r>
        <w:rPr>
          <w:rFonts w:hint="eastAsia" w:ascii="宋体" w:hAnsi="宋体" w:cs="宋体"/>
          <w:szCs w:val="21"/>
        </w:rPr>
        <w:t>采购，它提出了该设备的功能设计、结构、性能、安装和试验等方面的技术要求。</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1.2 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1.3 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1.4 本招标技术文件所使用的标准如遇与投标方所执行的标准不一致时，按较高标准执行。</w:t>
      </w:r>
    </w:p>
    <w:p>
      <w:pPr>
        <w:pStyle w:val="48"/>
        <w:adjustRightInd w:val="0"/>
        <w:snapToGrid w:val="0"/>
        <w:spacing w:line="360" w:lineRule="auto"/>
        <w:ind w:firstLine="0" w:firstLineChars="0"/>
        <w:rPr>
          <w:rFonts w:ascii="宋体" w:hAnsi="宋体" w:eastAsia="宋体"/>
          <w:sz w:val="24"/>
          <w:szCs w:val="24"/>
        </w:rPr>
      </w:pPr>
      <w:r>
        <w:rPr>
          <w:rFonts w:hint="eastAsia" w:ascii="宋体" w:hAnsi="宋体" w:eastAsia="宋体"/>
          <w:szCs w:val="21"/>
        </w:rPr>
        <w:t>1.5 本招标技术文件经招标、投标双方确认后作为订货合同的技术附件，与合同正文具有同等的法律效力。若本</w:t>
      </w:r>
      <w:r>
        <w:rPr>
          <w:rFonts w:hint="eastAsia" w:ascii="宋体" w:hAnsi="宋体" w:eastAsia="宋体"/>
          <w:szCs w:val="21"/>
          <w:lang w:eastAsia="zh-CN"/>
        </w:rPr>
        <w:t>标书</w:t>
      </w:r>
      <w:r>
        <w:rPr>
          <w:rFonts w:hint="eastAsia" w:ascii="宋体" w:hAnsi="宋体" w:eastAsia="宋体"/>
          <w:szCs w:val="21"/>
        </w:rPr>
        <w:t>涉及有关商务方面内容，如与招标文件的商务部分矛盾时，以商务部分为准。</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1.6 本招标技术文件未尽事宜，由招标、投标双方协商确定。</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1.8  投标方应在应标技术部分按本招标技术文件的要求如实详细的填写应标设备的标准配置表，并在应标商务部分按此标准配置进行报价，如发现二者有矛盾之处，将对评标工作有不同程度的影响。</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8"/>
        <w:adjustRightInd w:val="0"/>
        <w:snapToGrid w:val="0"/>
        <w:spacing w:line="360" w:lineRule="auto"/>
        <w:ind w:firstLine="0" w:firstLineChars="0"/>
        <w:rPr>
          <w:rFonts w:ascii="宋体" w:hAnsi="宋体" w:eastAsia="宋体"/>
          <w:szCs w:val="21"/>
        </w:rPr>
      </w:pPr>
      <w:r>
        <w:rPr>
          <w:rFonts w:hint="eastAsia" w:ascii="宋体" w:hAnsi="宋体" w:eastAsia="宋体"/>
          <w:szCs w:val="21"/>
        </w:rPr>
        <w:t>1.10  标注“</w:t>
      </w:r>
      <w:r>
        <w:rPr>
          <w:rFonts w:hint="eastAsia" w:ascii="宋体" w:hAnsi="宋体" w:eastAsia="宋体"/>
          <w:szCs w:val="21"/>
          <w:lang w:val="en-US" w:eastAsia="zh-CN"/>
        </w:rPr>
        <w:t>*</w:t>
      </w:r>
      <w:r>
        <w:rPr>
          <w:rFonts w:hint="eastAsia" w:ascii="宋体" w:hAnsi="宋体" w:eastAsia="宋体"/>
          <w:szCs w:val="21"/>
        </w:rPr>
        <w:t>”的条款为关键条款，作为评标时打分的重点参考。</w:t>
      </w:r>
    </w:p>
    <w:p>
      <w:pPr>
        <w:pStyle w:val="3"/>
        <w:numPr>
          <w:ilvl w:val="0"/>
          <w:numId w:val="0"/>
        </w:numPr>
        <w:snapToGrid/>
        <w:spacing w:before="0" w:beforeLines="0" w:line="480" w:lineRule="auto"/>
        <w:rPr>
          <w:rFonts w:hint="eastAsia" w:hAnsi="宋体"/>
          <w:sz w:val="24"/>
          <w:szCs w:val="24"/>
        </w:rPr>
      </w:pPr>
      <w:r>
        <w:rPr>
          <w:rFonts w:hint="eastAsia" w:hAnsi="宋体"/>
          <w:sz w:val="24"/>
          <w:szCs w:val="24"/>
        </w:rPr>
        <w:t>2 工作范围</w:t>
      </w:r>
      <w:bookmarkEnd w:id="7"/>
    </w:p>
    <w:p>
      <w:pPr>
        <w:pStyle w:val="4"/>
        <w:numPr>
          <w:ilvl w:val="0"/>
          <w:numId w:val="0"/>
        </w:numPr>
        <w:rPr>
          <w:rFonts w:hint="eastAsia" w:hAnsi="宋体"/>
          <w:sz w:val="24"/>
          <w:szCs w:val="24"/>
        </w:rPr>
      </w:pPr>
      <w:bookmarkStart w:id="9" w:name="_Toc399627536"/>
      <w:bookmarkStart w:id="10" w:name="_Toc290652071"/>
      <w:r>
        <w:rPr>
          <w:rFonts w:hint="eastAsia" w:hAnsi="宋体"/>
          <w:sz w:val="24"/>
          <w:szCs w:val="24"/>
        </w:rPr>
        <w:t>2</w:t>
      </w:r>
      <w:r>
        <w:rPr>
          <w:rFonts w:hAnsi="宋体"/>
          <w:sz w:val="24"/>
          <w:szCs w:val="24"/>
        </w:rPr>
        <w:t>.1</w:t>
      </w:r>
      <w:r>
        <w:rPr>
          <w:rFonts w:hint="eastAsia" w:hAnsi="宋体"/>
          <w:sz w:val="24"/>
          <w:szCs w:val="24"/>
        </w:rPr>
        <w:t xml:space="preserve"> 项目概况</w:t>
      </w:r>
      <w:bookmarkEnd w:id="9"/>
      <w:bookmarkEnd w:id="10"/>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采购的设备适用的工程概况见表2.1：工程概况一览表。</w:t>
      </w:r>
    </w:p>
    <w:p>
      <w:pPr>
        <w:pStyle w:val="61"/>
        <w:adjustRightInd w:val="0"/>
        <w:snapToGrid w:val="0"/>
        <w:spacing w:line="360" w:lineRule="auto"/>
        <w:ind w:firstLine="0" w:firstLineChars="0"/>
        <w:jc w:val="center"/>
        <w:rPr>
          <w:rFonts w:hint="eastAsia" w:hAnsi="宋体"/>
          <w:sz w:val="24"/>
          <w:szCs w:val="24"/>
        </w:rPr>
      </w:pPr>
      <w:r>
        <w:rPr>
          <w:rFonts w:hint="eastAsia" w:hAnsi="宋体"/>
          <w:sz w:val="24"/>
          <w:szCs w:val="24"/>
        </w:rPr>
        <w:t xml:space="preserve">表2.1 </w:t>
      </w:r>
      <w:r>
        <w:rPr>
          <w:rFonts w:hAnsi="宋体"/>
          <w:sz w:val="24"/>
          <w:szCs w:val="24"/>
        </w:rPr>
        <w:t xml:space="preserve"> </w:t>
      </w:r>
      <w:r>
        <w:rPr>
          <w:rFonts w:hint="eastAsia" w:hAnsi="宋体"/>
          <w:sz w:val="24"/>
          <w:szCs w:val="24"/>
        </w:rPr>
        <w:t>工程概况一览表 （项目单位填写）</w:t>
      </w:r>
    </w:p>
    <w:tbl>
      <w:tblPr>
        <w:tblStyle w:val="28"/>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vAlign w:val="center"/>
          </w:tcPr>
          <w:p>
            <w:pPr>
              <w:jc w:val="center"/>
              <w:rPr>
                <w:rFonts w:hint="eastAsia" w:ascii="宋体" w:hAnsi="宋体"/>
                <w:sz w:val="24"/>
              </w:rPr>
            </w:pPr>
            <w:r>
              <w:rPr>
                <w:rFonts w:hint="eastAsia" w:ascii="宋体" w:hAnsi="宋体"/>
                <w:sz w:val="24"/>
              </w:rPr>
              <w:t>序号</w:t>
            </w:r>
          </w:p>
        </w:tc>
        <w:tc>
          <w:tcPr>
            <w:tcW w:w="2509" w:type="dxa"/>
            <w:vAlign w:val="center"/>
          </w:tcPr>
          <w:p>
            <w:pPr>
              <w:jc w:val="center"/>
              <w:rPr>
                <w:rFonts w:hint="eastAsia" w:ascii="宋体" w:hAnsi="宋体"/>
                <w:sz w:val="24"/>
              </w:rPr>
            </w:pPr>
            <w:r>
              <w:rPr>
                <w:rFonts w:hint="eastAsia" w:ascii="宋体" w:hAnsi="宋体"/>
                <w:sz w:val="24"/>
              </w:rPr>
              <w:t>名 称</w:t>
            </w:r>
          </w:p>
        </w:tc>
        <w:tc>
          <w:tcPr>
            <w:tcW w:w="5111" w:type="dxa"/>
            <w:vAlign w:val="center"/>
          </w:tcPr>
          <w:p>
            <w:pPr>
              <w:jc w:val="center"/>
              <w:rPr>
                <w:rFonts w:hint="eastAsia" w:ascii="宋体" w:hAnsi="宋体"/>
                <w:sz w:val="24"/>
              </w:rPr>
            </w:pPr>
            <w:r>
              <w:rPr>
                <w:rFonts w:hint="eastAsia" w:ascii="宋体" w:hAnsi="宋体"/>
                <w:sz w:val="24"/>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vAlign w:val="center"/>
          </w:tcPr>
          <w:p>
            <w:pPr>
              <w:jc w:val="center"/>
              <w:rPr>
                <w:rFonts w:hint="eastAsia" w:ascii="宋体" w:hAnsi="宋体"/>
                <w:sz w:val="24"/>
              </w:rPr>
            </w:pPr>
            <w:r>
              <w:rPr>
                <w:rFonts w:hint="eastAsia" w:ascii="宋体" w:hAnsi="宋体"/>
                <w:sz w:val="24"/>
              </w:rPr>
              <w:t>1</w:t>
            </w:r>
          </w:p>
        </w:tc>
        <w:tc>
          <w:tcPr>
            <w:tcW w:w="2509" w:type="dxa"/>
            <w:vAlign w:val="center"/>
          </w:tcPr>
          <w:p>
            <w:pPr>
              <w:rPr>
                <w:rFonts w:hint="eastAsia" w:ascii="宋体" w:hAnsi="宋体" w:eastAsia="宋体" w:cs="宋体"/>
                <w:sz w:val="24"/>
              </w:rPr>
            </w:pPr>
            <w:r>
              <w:rPr>
                <w:rFonts w:hint="eastAsia" w:ascii="宋体" w:hAnsi="宋体" w:eastAsia="宋体" w:cs="宋体"/>
                <w:sz w:val="24"/>
              </w:rPr>
              <w:t>采购设备或项目名称</w:t>
            </w:r>
          </w:p>
        </w:tc>
        <w:tc>
          <w:tcPr>
            <w:tcW w:w="5111" w:type="dxa"/>
            <w:vAlign w:val="center"/>
          </w:tcPr>
          <w:p>
            <w:pPr>
              <w:rPr>
                <w:rFonts w:hint="eastAsia" w:ascii="宋体" w:hAnsi="宋体" w:eastAsia="宋体" w:cs="宋体"/>
                <w:szCs w:val="21"/>
              </w:rPr>
            </w:pPr>
            <w:r>
              <w:rPr>
                <w:rFonts w:hint="eastAsia" w:ascii="宋体" w:hAnsi="宋体" w:eastAsia="宋体" w:cs="宋体"/>
                <w:sz w:val="24"/>
              </w:rPr>
              <w:t>CT</w:t>
            </w:r>
            <w:r>
              <w:rPr>
                <w:rFonts w:hint="eastAsia" w:ascii="宋体" w:hAnsi="宋体" w:eastAsia="宋体" w:cs="宋体"/>
                <w:sz w:val="24"/>
                <w:lang w:val="en-US" w:eastAsia="zh-CN"/>
              </w:rPr>
              <w:t>分析</w:t>
            </w:r>
            <w:r>
              <w:rPr>
                <w:rFonts w:hint="eastAsia" w:ascii="宋体" w:hAnsi="宋体" w:eastAsia="宋体" w:cs="宋体"/>
                <w:sz w:val="24"/>
              </w:rPr>
              <w:t>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vAlign w:val="center"/>
          </w:tcPr>
          <w:p>
            <w:pPr>
              <w:jc w:val="center"/>
              <w:rPr>
                <w:rFonts w:hint="eastAsia" w:ascii="宋体" w:hAnsi="宋体"/>
                <w:sz w:val="24"/>
              </w:rPr>
            </w:pPr>
            <w:r>
              <w:rPr>
                <w:rFonts w:hint="eastAsia" w:ascii="宋体" w:hAnsi="宋体"/>
                <w:sz w:val="24"/>
              </w:rPr>
              <w:t>2</w:t>
            </w:r>
          </w:p>
        </w:tc>
        <w:tc>
          <w:tcPr>
            <w:tcW w:w="2509" w:type="dxa"/>
            <w:vAlign w:val="center"/>
          </w:tcPr>
          <w:p>
            <w:pPr>
              <w:rPr>
                <w:rFonts w:hint="eastAsia" w:ascii="宋体" w:hAnsi="宋体" w:eastAsia="宋体" w:cs="宋体"/>
                <w:sz w:val="24"/>
              </w:rPr>
            </w:pPr>
            <w:r>
              <w:rPr>
                <w:rFonts w:hint="eastAsia" w:ascii="宋体" w:hAnsi="宋体" w:eastAsia="宋体" w:cs="宋体"/>
                <w:sz w:val="24"/>
              </w:rPr>
              <w:t>项目单位</w:t>
            </w:r>
          </w:p>
        </w:tc>
        <w:tc>
          <w:tcPr>
            <w:tcW w:w="5111" w:type="dxa"/>
            <w:vAlign w:val="center"/>
          </w:tcPr>
          <w:p>
            <w:pPr>
              <w:rPr>
                <w:rFonts w:hint="eastAsia" w:ascii="宋体" w:hAnsi="宋体" w:eastAsia="宋体" w:cs="宋体"/>
                <w:kern w:val="2"/>
                <w:sz w:val="21"/>
                <w:szCs w:val="24"/>
                <w:lang w:val="en-US" w:eastAsia="zh-CN" w:bidi="ar-SA"/>
              </w:rPr>
            </w:pPr>
            <w:r>
              <w:rPr>
                <w:rFonts w:hint="eastAsia" w:ascii="宋体" w:hAnsi="宋体" w:eastAsia="宋体" w:cs="宋体"/>
              </w:rPr>
              <w:t>深圳供电局有限公司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vAlign w:val="center"/>
          </w:tcPr>
          <w:p>
            <w:pPr>
              <w:jc w:val="center"/>
              <w:rPr>
                <w:rFonts w:hint="eastAsia" w:ascii="宋体" w:hAnsi="宋体"/>
                <w:sz w:val="24"/>
              </w:rPr>
            </w:pPr>
            <w:r>
              <w:rPr>
                <w:rFonts w:hint="eastAsia" w:ascii="宋体" w:hAnsi="宋体"/>
                <w:sz w:val="24"/>
              </w:rPr>
              <w:t>3</w:t>
            </w:r>
          </w:p>
        </w:tc>
        <w:tc>
          <w:tcPr>
            <w:tcW w:w="2509" w:type="dxa"/>
            <w:vAlign w:val="center"/>
          </w:tcPr>
          <w:p>
            <w:pPr>
              <w:rPr>
                <w:rFonts w:hint="eastAsia" w:ascii="宋体" w:hAnsi="宋体" w:eastAsia="宋体" w:cs="宋体"/>
                <w:sz w:val="24"/>
              </w:rPr>
            </w:pPr>
            <w:r>
              <w:rPr>
                <w:rFonts w:hint="eastAsia" w:ascii="宋体" w:hAnsi="宋体" w:eastAsia="宋体" w:cs="宋体"/>
                <w:sz w:val="24"/>
              </w:rPr>
              <w:t>项目单位地址</w:t>
            </w:r>
          </w:p>
        </w:tc>
        <w:tc>
          <w:tcPr>
            <w:tcW w:w="5111" w:type="dxa"/>
            <w:vAlign w:val="center"/>
          </w:tcPr>
          <w:p>
            <w:pPr>
              <w:rPr>
                <w:rFonts w:hint="eastAsia" w:ascii="宋体" w:hAnsi="宋体" w:eastAsia="宋体" w:cs="宋体"/>
                <w:kern w:val="2"/>
                <w:sz w:val="21"/>
                <w:szCs w:val="24"/>
                <w:lang w:val="en-US" w:eastAsia="zh-CN" w:bidi="ar-SA"/>
              </w:rPr>
            </w:pPr>
            <w:r>
              <w:rPr>
                <w:rFonts w:hint="eastAsia" w:ascii="楷体" w:hAnsi="楷体" w:eastAsia="楷体" w:cs="楷体"/>
                <w:szCs w:val="21"/>
              </w:rPr>
              <w:t>（项目单位填写）</w:t>
            </w:r>
          </w:p>
        </w:tc>
      </w:tr>
    </w:tbl>
    <w:p>
      <w:pPr>
        <w:pStyle w:val="4"/>
        <w:numPr>
          <w:ilvl w:val="0"/>
          <w:numId w:val="0"/>
        </w:numPr>
        <w:spacing w:before="156" w:beforeLines="50"/>
        <w:rPr>
          <w:rFonts w:hAnsi="宋体"/>
          <w:sz w:val="24"/>
          <w:szCs w:val="24"/>
        </w:rPr>
      </w:pPr>
      <w:bookmarkStart w:id="11" w:name="_Toc290652072"/>
      <w:bookmarkStart w:id="12" w:name="_Toc399627537"/>
      <w:r>
        <w:rPr>
          <w:rFonts w:hAnsi="宋体"/>
          <w:sz w:val="24"/>
          <w:szCs w:val="24"/>
        </w:rPr>
        <w:t>2.</w:t>
      </w:r>
      <w:r>
        <w:rPr>
          <w:rFonts w:hint="eastAsia" w:hAnsi="宋体"/>
          <w:sz w:val="24"/>
          <w:szCs w:val="24"/>
        </w:rPr>
        <w:t>2</w:t>
      </w:r>
      <w:r>
        <w:rPr>
          <w:rFonts w:hAnsi="宋体"/>
          <w:sz w:val="24"/>
          <w:szCs w:val="24"/>
        </w:rPr>
        <w:t xml:space="preserve"> 范围和界限</w:t>
      </w:r>
      <w:bookmarkEnd w:id="11"/>
      <w:bookmarkEnd w:id="12"/>
    </w:p>
    <w:p>
      <w:pPr>
        <w:pStyle w:val="48"/>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1）本</w:t>
      </w:r>
      <w:r>
        <w:rPr>
          <w:rFonts w:hint="eastAsia" w:ascii="宋体" w:hAnsi="宋体" w:eastAsia="宋体" w:cs="Times New Roman"/>
          <w:sz w:val="24"/>
          <w:szCs w:val="24"/>
          <w:lang w:eastAsia="zh-CN"/>
        </w:rPr>
        <w:t>标书</w:t>
      </w:r>
      <w:r>
        <w:rPr>
          <w:rFonts w:ascii="宋体" w:hAnsi="宋体" w:eastAsia="宋体" w:cs="Times New Roman"/>
          <w:sz w:val="24"/>
          <w:szCs w:val="24"/>
        </w:rPr>
        <w:t>适应于</w:t>
      </w:r>
      <w:r>
        <w:rPr>
          <w:rFonts w:hint="eastAsia" w:ascii="宋体" w:hAnsi="宋体" w:eastAsia="宋体" w:cs="Times New Roman"/>
          <w:sz w:val="24"/>
          <w:szCs w:val="24"/>
        </w:rPr>
        <w:t>所供</w:t>
      </w:r>
      <w:r>
        <w:rPr>
          <w:rFonts w:ascii="宋体" w:hAnsi="宋体" w:eastAsia="宋体" w:cs="Times New Roman"/>
          <w:sz w:val="24"/>
          <w:szCs w:val="24"/>
        </w:rPr>
        <w:t>设备的设计</w:t>
      </w:r>
      <w:r>
        <w:rPr>
          <w:rFonts w:hint="eastAsia" w:ascii="宋体" w:hAnsi="宋体" w:eastAsia="宋体" w:cs="Times New Roman"/>
          <w:sz w:val="24"/>
          <w:szCs w:val="24"/>
        </w:rPr>
        <w:t>、</w:t>
      </w:r>
      <w:r>
        <w:rPr>
          <w:rFonts w:ascii="宋体" w:hAnsi="宋体" w:eastAsia="宋体" w:cs="Times New Roman"/>
          <w:sz w:val="24"/>
          <w:szCs w:val="24"/>
        </w:rPr>
        <w:t>制造</w:t>
      </w:r>
      <w:r>
        <w:rPr>
          <w:rFonts w:hint="eastAsia" w:ascii="宋体" w:hAnsi="宋体" w:eastAsia="宋体" w:cs="Times New Roman"/>
          <w:sz w:val="24"/>
          <w:szCs w:val="24"/>
        </w:rPr>
        <w:t>、</w:t>
      </w:r>
      <w:r>
        <w:rPr>
          <w:rFonts w:ascii="宋体" w:hAnsi="宋体" w:eastAsia="宋体" w:cs="Times New Roman"/>
          <w:sz w:val="24"/>
          <w:szCs w:val="24"/>
        </w:rPr>
        <w:t>装配</w:t>
      </w:r>
      <w:r>
        <w:rPr>
          <w:rFonts w:hint="eastAsia" w:ascii="宋体" w:hAnsi="宋体" w:eastAsia="宋体" w:cs="Times New Roman"/>
          <w:sz w:val="24"/>
          <w:szCs w:val="24"/>
        </w:rPr>
        <w:t>、</w:t>
      </w:r>
      <w:r>
        <w:rPr>
          <w:rFonts w:ascii="宋体" w:hAnsi="宋体" w:eastAsia="宋体" w:cs="Times New Roman"/>
          <w:sz w:val="24"/>
          <w:szCs w:val="24"/>
        </w:rPr>
        <w:t>工厂试验</w:t>
      </w:r>
      <w:r>
        <w:rPr>
          <w:rFonts w:hint="eastAsia" w:ascii="宋体" w:hAnsi="宋体" w:eastAsia="宋体" w:cs="Times New Roman"/>
          <w:sz w:val="24"/>
          <w:szCs w:val="24"/>
        </w:rPr>
        <w:t>、</w:t>
      </w:r>
      <w:r>
        <w:rPr>
          <w:rFonts w:ascii="宋体" w:hAnsi="宋体" w:eastAsia="宋体" w:cs="Times New Roman"/>
          <w:sz w:val="24"/>
          <w:szCs w:val="24"/>
        </w:rPr>
        <w:t>交付</w:t>
      </w:r>
      <w:r>
        <w:rPr>
          <w:rFonts w:hint="eastAsia" w:ascii="宋体" w:hAnsi="宋体" w:eastAsia="宋体" w:cs="Times New Roman"/>
          <w:sz w:val="24"/>
          <w:szCs w:val="24"/>
        </w:rPr>
        <w:t>、</w:t>
      </w:r>
      <w:r>
        <w:rPr>
          <w:rFonts w:ascii="宋体" w:hAnsi="宋体" w:eastAsia="宋体" w:cs="Times New Roman"/>
          <w:sz w:val="24"/>
          <w:szCs w:val="24"/>
        </w:rPr>
        <w:t>现场安装和试验的指导、监督以及试运行工作。</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）现场安装和试验在投标方的技术指导和监督下由招标方完成。</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本</w:t>
      </w:r>
      <w:r>
        <w:rPr>
          <w:rFonts w:hint="eastAsia" w:ascii="宋体" w:hAnsi="宋体" w:eastAsia="宋体" w:cs="Times New Roman"/>
          <w:sz w:val="24"/>
          <w:szCs w:val="24"/>
          <w:lang w:eastAsia="zh-CN"/>
        </w:rPr>
        <w:t>标书</w:t>
      </w:r>
      <w:r>
        <w:rPr>
          <w:rFonts w:ascii="宋体" w:hAnsi="宋体" w:eastAsia="宋体" w:cs="Times New Roman"/>
          <w:sz w:val="24"/>
          <w:szCs w:val="24"/>
        </w:rPr>
        <w:t>未说明</w:t>
      </w:r>
      <w:r>
        <w:rPr>
          <w:rFonts w:hint="eastAsia" w:ascii="宋体" w:hAnsi="宋体" w:eastAsia="宋体" w:cs="Times New Roman"/>
          <w:sz w:val="24"/>
          <w:szCs w:val="24"/>
        </w:rPr>
        <w:t>，</w:t>
      </w:r>
      <w:r>
        <w:rPr>
          <w:rFonts w:ascii="宋体" w:hAnsi="宋体" w:eastAsia="宋体" w:cs="Times New Roman"/>
          <w:sz w:val="24"/>
          <w:szCs w:val="24"/>
        </w:rPr>
        <w:t>但又与设计、制造、装配、试验、运输、包装、保管、安装和运行维护有关的技术要求</w:t>
      </w:r>
      <w:r>
        <w:rPr>
          <w:rFonts w:hint="eastAsia" w:ascii="宋体" w:hAnsi="宋体" w:eastAsia="宋体" w:cs="Times New Roman"/>
          <w:sz w:val="24"/>
          <w:szCs w:val="24"/>
        </w:rPr>
        <w:t>，</w:t>
      </w:r>
      <w:r>
        <w:rPr>
          <w:rFonts w:ascii="宋体" w:hAnsi="宋体" w:eastAsia="宋体" w:cs="Times New Roman"/>
          <w:sz w:val="24"/>
          <w:szCs w:val="24"/>
        </w:rPr>
        <w:t>按条款</w:t>
      </w:r>
      <w:r>
        <w:rPr>
          <w:rFonts w:hint="eastAsia" w:ascii="宋体" w:hAnsi="宋体" w:eastAsia="宋体" w:cs="Times New Roman"/>
          <w:sz w:val="24"/>
          <w:szCs w:val="24"/>
        </w:rPr>
        <w:t>3</w:t>
      </w:r>
      <w:r>
        <w:rPr>
          <w:rFonts w:ascii="宋体" w:hAnsi="宋体" w:eastAsia="宋体" w:cs="Times New Roman"/>
          <w:sz w:val="24"/>
          <w:szCs w:val="24"/>
        </w:rPr>
        <w:t>所规定的有关标准执行。</w:t>
      </w:r>
    </w:p>
    <w:p>
      <w:pPr>
        <w:pStyle w:val="48"/>
        <w:adjustRightInd w:val="0"/>
        <w:snapToGrid w:val="0"/>
        <w:spacing w:line="360" w:lineRule="auto"/>
        <w:ind w:firstLine="480"/>
        <w:rPr>
          <w:rFonts w:hint="eastAsia" w:ascii="宋体" w:hAnsi="宋体" w:eastAsia="宋体" w:cs="Times New Roman"/>
          <w:sz w:val="24"/>
          <w:szCs w:val="24"/>
        </w:rPr>
      </w:pPr>
    </w:p>
    <w:p>
      <w:pPr>
        <w:pStyle w:val="4"/>
        <w:numPr>
          <w:ilvl w:val="0"/>
          <w:numId w:val="0"/>
        </w:numPr>
        <w:rPr>
          <w:rFonts w:hAnsi="宋体"/>
          <w:sz w:val="24"/>
          <w:szCs w:val="24"/>
        </w:rPr>
      </w:pPr>
      <w:bookmarkStart w:id="13" w:name="_Toc399627538"/>
      <w:bookmarkStart w:id="14" w:name="_Toc290652073"/>
      <w:r>
        <w:rPr>
          <w:rFonts w:hAnsi="宋体"/>
          <w:sz w:val="24"/>
          <w:szCs w:val="24"/>
        </w:rPr>
        <w:t>2.</w:t>
      </w:r>
      <w:r>
        <w:rPr>
          <w:rFonts w:hint="eastAsia" w:hAnsi="宋体"/>
          <w:sz w:val="24"/>
          <w:szCs w:val="24"/>
        </w:rPr>
        <w:t>3</w:t>
      </w:r>
      <w:r>
        <w:rPr>
          <w:rFonts w:hAnsi="宋体"/>
          <w:sz w:val="24"/>
          <w:szCs w:val="24"/>
        </w:rPr>
        <w:t xml:space="preserve"> </w:t>
      </w:r>
      <w:r>
        <w:rPr>
          <w:rFonts w:hint="eastAsia" w:hAnsi="宋体"/>
          <w:sz w:val="24"/>
          <w:szCs w:val="24"/>
        </w:rPr>
        <w:t>服务</w:t>
      </w:r>
      <w:r>
        <w:rPr>
          <w:rFonts w:hAnsi="宋体"/>
          <w:sz w:val="24"/>
          <w:szCs w:val="24"/>
        </w:rPr>
        <w:t>范围</w:t>
      </w:r>
      <w:bookmarkEnd w:id="13"/>
      <w:bookmarkEnd w:id="14"/>
    </w:p>
    <w:p>
      <w:pPr>
        <w:pStyle w:val="48"/>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供货范围一览表</w:t>
      </w:r>
    </w:p>
    <w:p>
      <w:pPr>
        <w:pStyle w:val="48"/>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投标方</w:t>
      </w:r>
      <w:r>
        <w:rPr>
          <w:rFonts w:hint="eastAsia" w:ascii="宋体" w:hAnsi="宋体" w:eastAsia="宋体" w:cs="Times New Roman"/>
          <w:sz w:val="24"/>
          <w:szCs w:val="24"/>
        </w:rPr>
        <w:t>提供的设备及其附件的具体规格、数量见表2.2：供货范围及设备技术规格一览表。投标方应如实填写“投标方保证”栏。</w:t>
      </w:r>
    </w:p>
    <w:p>
      <w:pPr>
        <w:pStyle w:val="61"/>
        <w:adjustRightInd w:val="0"/>
        <w:snapToGrid w:val="0"/>
        <w:spacing w:line="360" w:lineRule="auto"/>
        <w:ind w:firstLineChars="0"/>
        <w:jc w:val="center"/>
        <w:rPr>
          <w:rFonts w:hint="eastAsia" w:hAnsi="宋体"/>
          <w:sz w:val="24"/>
          <w:szCs w:val="24"/>
        </w:rPr>
      </w:pPr>
      <w:r>
        <w:rPr>
          <w:rFonts w:hint="eastAsia" w:hAnsi="宋体"/>
          <w:sz w:val="24"/>
          <w:szCs w:val="24"/>
        </w:rPr>
        <w:t>表2.2   设备供货范围响应表（项目单位填写）</w:t>
      </w:r>
    </w:p>
    <w:tbl>
      <w:tblPr>
        <w:tblStyle w:val="28"/>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2210"/>
        <w:gridCol w:w="576"/>
        <w:gridCol w:w="2112"/>
        <w:gridCol w:w="492"/>
        <w:gridCol w:w="2035"/>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pPr>
              <w:jc w:val="center"/>
              <w:rPr>
                <w:rFonts w:ascii="宋体" w:hAnsi="宋体"/>
                <w:szCs w:val="21"/>
              </w:rPr>
            </w:pPr>
            <w:r>
              <w:rPr>
                <w:rFonts w:hint="eastAsia" w:ascii="宋体" w:hAnsi="宋体"/>
                <w:szCs w:val="21"/>
              </w:rPr>
              <w:t>序号</w:t>
            </w:r>
          </w:p>
        </w:tc>
        <w:tc>
          <w:tcPr>
            <w:tcW w:w="2210" w:type="dxa"/>
            <w:vMerge w:val="restart"/>
            <w:vAlign w:val="center"/>
          </w:tcPr>
          <w:p>
            <w:pPr>
              <w:jc w:val="center"/>
              <w:rPr>
                <w:rFonts w:ascii="宋体" w:hAnsi="宋体"/>
                <w:szCs w:val="21"/>
              </w:rPr>
            </w:pP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576" w:type="dxa"/>
            <w:vMerge w:val="restart"/>
            <w:tcBorders>
              <w:right w:val="single" w:color="auto" w:sz="4" w:space="0"/>
            </w:tcBorders>
            <w:vAlign w:val="center"/>
          </w:tcPr>
          <w:p>
            <w:pPr>
              <w:jc w:val="center"/>
              <w:rPr>
                <w:rFonts w:ascii="宋体" w:hAnsi="宋体"/>
                <w:szCs w:val="21"/>
              </w:rPr>
            </w:pPr>
            <w:r>
              <w:rPr>
                <w:rFonts w:hint="eastAsia" w:ascii="宋体" w:hAnsi="宋体"/>
                <w:szCs w:val="21"/>
              </w:rPr>
              <w:t>单位</w:t>
            </w:r>
          </w:p>
        </w:tc>
        <w:tc>
          <w:tcPr>
            <w:tcW w:w="2604" w:type="dxa"/>
            <w:gridSpan w:val="2"/>
            <w:tcBorders>
              <w:left w:val="single" w:color="auto" w:sz="4" w:space="0"/>
              <w:bottom w:val="single" w:color="auto" w:sz="4" w:space="0"/>
            </w:tcBorders>
            <w:vAlign w:val="center"/>
          </w:tcPr>
          <w:p>
            <w:pPr>
              <w:jc w:val="center"/>
              <w:rPr>
                <w:rFonts w:ascii="宋体" w:hAnsi="宋体"/>
                <w:szCs w:val="21"/>
              </w:rPr>
            </w:pPr>
            <w:r>
              <w:rPr>
                <w:rFonts w:hint="eastAsia" w:ascii="宋体" w:hAnsi="宋体"/>
                <w:szCs w:val="21"/>
              </w:rPr>
              <w:t>项目要求</w:t>
            </w:r>
          </w:p>
        </w:tc>
        <w:tc>
          <w:tcPr>
            <w:tcW w:w="2575" w:type="dxa"/>
            <w:gridSpan w:val="2"/>
            <w:tcBorders>
              <w:bottom w:val="single" w:color="auto" w:sz="4" w:space="0"/>
            </w:tcBorders>
            <w:vAlign w:val="center"/>
          </w:tcPr>
          <w:p>
            <w:pPr>
              <w:jc w:val="center"/>
              <w:rPr>
                <w:rFonts w:hint="eastAsia" w:ascii="宋体" w:hAnsi="宋体"/>
                <w:szCs w:val="21"/>
              </w:rPr>
            </w:pPr>
            <w:r>
              <w:rPr>
                <w:rFonts w:hint="eastAsia" w:ascii="宋体" w:hAnsi="宋体"/>
                <w:szCs w:val="21"/>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pPr>
              <w:jc w:val="center"/>
              <w:rPr>
                <w:rFonts w:hint="eastAsia" w:ascii="宋体" w:hAnsi="宋体"/>
                <w:szCs w:val="21"/>
              </w:rPr>
            </w:pPr>
          </w:p>
        </w:tc>
        <w:tc>
          <w:tcPr>
            <w:tcW w:w="2210" w:type="dxa"/>
            <w:vMerge w:val="continue"/>
            <w:vAlign w:val="center"/>
          </w:tcPr>
          <w:p>
            <w:pPr>
              <w:jc w:val="center"/>
              <w:rPr>
                <w:rFonts w:hint="eastAsia" w:ascii="宋体" w:hAnsi="宋体"/>
                <w:szCs w:val="21"/>
              </w:rPr>
            </w:pPr>
          </w:p>
        </w:tc>
        <w:tc>
          <w:tcPr>
            <w:tcW w:w="576" w:type="dxa"/>
            <w:vMerge w:val="continue"/>
            <w:tcBorders>
              <w:right w:val="single" w:color="auto" w:sz="4" w:space="0"/>
            </w:tcBorders>
            <w:vAlign w:val="center"/>
          </w:tcPr>
          <w:p>
            <w:pPr>
              <w:jc w:val="center"/>
              <w:rPr>
                <w:rFonts w:hint="eastAsia" w:ascii="宋体" w:hAnsi="宋体"/>
                <w:szCs w:val="21"/>
              </w:rPr>
            </w:pPr>
          </w:p>
        </w:tc>
        <w:tc>
          <w:tcPr>
            <w:tcW w:w="2112" w:type="dxa"/>
            <w:tcBorders>
              <w:top w:val="single" w:color="auto" w:sz="4" w:space="0"/>
              <w:left w:val="single" w:color="auto" w:sz="4" w:space="0"/>
              <w:right w:val="single" w:color="auto" w:sz="4" w:space="0"/>
            </w:tcBorders>
            <w:vAlign w:val="center"/>
          </w:tcPr>
          <w:p>
            <w:pPr>
              <w:jc w:val="center"/>
              <w:rPr>
                <w:rFonts w:hint="eastAsia" w:ascii="宋体" w:hAnsi="宋体"/>
                <w:szCs w:val="21"/>
              </w:rPr>
            </w:pPr>
            <w:r>
              <w:rPr>
                <w:rFonts w:hint="eastAsia" w:ascii="宋体" w:hAnsi="宋体"/>
                <w:szCs w:val="21"/>
              </w:rPr>
              <w:t>型式、规格</w:t>
            </w:r>
          </w:p>
        </w:tc>
        <w:tc>
          <w:tcPr>
            <w:tcW w:w="492" w:type="dxa"/>
            <w:tcBorders>
              <w:top w:val="single" w:color="auto" w:sz="4" w:space="0"/>
              <w:left w:val="single" w:color="auto" w:sz="4" w:space="0"/>
            </w:tcBorders>
            <w:vAlign w:val="center"/>
          </w:tcPr>
          <w:p>
            <w:pPr>
              <w:jc w:val="center"/>
              <w:rPr>
                <w:rFonts w:hint="eastAsia" w:ascii="宋体" w:hAnsi="宋体"/>
                <w:szCs w:val="21"/>
              </w:rPr>
            </w:pPr>
            <w:r>
              <w:rPr>
                <w:rFonts w:hint="eastAsia" w:ascii="宋体" w:hAnsi="宋体"/>
                <w:szCs w:val="21"/>
              </w:rPr>
              <w:t>数量</w:t>
            </w:r>
          </w:p>
        </w:tc>
        <w:tc>
          <w:tcPr>
            <w:tcW w:w="2035" w:type="dxa"/>
            <w:tcBorders>
              <w:top w:val="single" w:color="auto" w:sz="4" w:space="0"/>
              <w:right w:val="single" w:color="auto" w:sz="4" w:space="0"/>
            </w:tcBorders>
            <w:vAlign w:val="center"/>
          </w:tcPr>
          <w:p>
            <w:pPr>
              <w:jc w:val="center"/>
              <w:rPr>
                <w:rFonts w:hint="eastAsia" w:ascii="宋体" w:hAnsi="宋体"/>
                <w:szCs w:val="21"/>
              </w:rPr>
            </w:pPr>
            <w:r>
              <w:rPr>
                <w:rFonts w:hint="eastAsia" w:ascii="宋体" w:hAnsi="宋体"/>
                <w:szCs w:val="21"/>
              </w:rPr>
              <w:t>型式、规格</w:t>
            </w:r>
          </w:p>
        </w:tc>
        <w:tc>
          <w:tcPr>
            <w:tcW w:w="540" w:type="dxa"/>
            <w:tcBorders>
              <w:top w:val="single" w:color="auto" w:sz="4" w:space="0"/>
              <w:left w:val="single" w:color="auto" w:sz="4" w:space="0"/>
            </w:tcBorders>
            <w:vAlign w:val="center"/>
          </w:tcPr>
          <w:p>
            <w:pPr>
              <w:jc w:val="center"/>
              <w:rPr>
                <w:rFonts w:hint="eastAsia" w:ascii="宋体" w:hAnsi="宋体"/>
                <w:szCs w:val="21"/>
              </w:rPr>
            </w:pPr>
            <w:r>
              <w:rPr>
                <w:rFonts w:hint="eastAsia" w:ascii="宋体" w:hAnsi="宋体"/>
                <w:szCs w:val="21"/>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r>
              <w:rPr>
                <w:rFonts w:hint="eastAsia" w:ascii="宋体" w:hAnsi="宋体"/>
                <w:szCs w:val="21"/>
              </w:rPr>
              <w:t>1</w:t>
            </w:r>
          </w:p>
        </w:tc>
        <w:tc>
          <w:tcPr>
            <w:tcW w:w="2210" w:type="dxa"/>
            <w:vAlign w:val="top"/>
          </w:tcPr>
          <w:p>
            <w:pPr>
              <w:rPr>
                <w:rFonts w:hint="eastAsia" w:ascii="宋体" w:hAnsi="宋体" w:eastAsia="宋体" w:cs="Times New Roman"/>
                <w:kern w:val="2"/>
                <w:sz w:val="21"/>
                <w:szCs w:val="24"/>
                <w:lang w:val="en-US" w:eastAsia="zh-CN" w:bidi="ar-SA"/>
              </w:rPr>
            </w:pPr>
            <w:r>
              <w:rPr>
                <w:rFonts w:hint="eastAsia" w:ascii="宋体" w:hAnsi="宋体"/>
                <w:szCs w:val="21"/>
                <w:lang w:val="en-US" w:eastAsia="zh-CN"/>
              </w:rPr>
              <w:t>CT分析仪及测试线</w:t>
            </w:r>
          </w:p>
        </w:tc>
        <w:tc>
          <w:tcPr>
            <w:tcW w:w="576" w:type="dxa"/>
            <w:tcBorders>
              <w:right w:val="single" w:color="auto" w:sz="4" w:space="0"/>
            </w:tcBorders>
            <w:vAlign w:val="top"/>
          </w:tcPr>
          <w:p>
            <w:pPr>
              <w:jc w:val="center"/>
              <w:rPr>
                <w:rFonts w:hint="eastAsia" w:ascii="宋体" w:hAnsi="宋体" w:eastAsia="宋体" w:cs="Times New Roman"/>
                <w:kern w:val="2"/>
                <w:sz w:val="21"/>
                <w:szCs w:val="24"/>
                <w:lang w:val="en-US" w:eastAsia="zh-CN" w:bidi="ar-SA"/>
              </w:rPr>
            </w:pPr>
            <w:r>
              <w:rPr>
                <w:rFonts w:hint="eastAsia" w:ascii="宋体" w:hAnsi="宋体"/>
              </w:rPr>
              <w:t>套</w:t>
            </w:r>
          </w:p>
        </w:tc>
        <w:tc>
          <w:tcPr>
            <w:tcW w:w="2112" w:type="dxa"/>
            <w:tcBorders>
              <w:left w:val="single" w:color="auto" w:sz="4" w:space="0"/>
              <w:right w:val="single" w:color="auto" w:sz="4" w:space="0"/>
            </w:tcBorders>
            <w:vAlign w:val="top"/>
          </w:tcPr>
          <w:p>
            <w:pPr>
              <w:jc w:val="center"/>
              <w:rPr>
                <w:rFonts w:hint="eastAsia" w:ascii="宋体" w:hAnsi="宋体" w:eastAsia="宋体" w:cs="Times New Roman"/>
                <w:kern w:val="2"/>
                <w:sz w:val="21"/>
                <w:szCs w:val="24"/>
                <w:lang w:val="en-US" w:eastAsia="zh-CN" w:bidi="ar-SA"/>
              </w:rPr>
            </w:pPr>
          </w:p>
        </w:tc>
        <w:tc>
          <w:tcPr>
            <w:tcW w:w="492" w:type="dxa"/>
            <w:tcBorders>
              <w:left w:val="single" w:color="auto" w:sz="4" w:space="0"/>
            </w:tcBorders>
            <w:vAlign w:val="top"/>
          </w:tcPr>
          <w:p>
            <w:pPr>
              <w:jc w:val="center"/>
              <w:rPr>
                <w:rFonts w:hint="default" w:ascii="宋体" w:hAnsi="宋体" w:eastAsia="宋体" w:cs="Times New Roman"/>
                <w:kern w:val="2"/>
                <w:sz w:val="21"/>
                <w:szCs w:val="24"/>
                <w:lang w:val="en-US" w:eastAsia="zh-CN" w:bidi="ar-SA"/>
              </w:rPr>
            </w:pPr>
            <w:r>
              <w:rPr>
                <w:rFonts w:hint="eastAsia" w:ascii="宋体" w:hAnsi="宋体"/>
              </w:rPr>
              <w:t>1</w:t>
            </w:r>
          </w:p>
        </w:tc>
        <w:tc>
          <w:tcPr>
            <w:tcW w:w="2035" w:type="dxa"/>
            <w:tcBorders>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hint="eastAsia" w:ascii="宋体" w:hAnsi="宋体" w:eastAsia="宋体" w:cs="Times New Roman"/>
                <w:kern w:val="2"/>
                <w:sz w:val="21"/>
                <w:szCs w:val="21"/>
                <w:lang w:val="en-US" w:eastAsia="zh-CN" w:bidi="ar-SA"/>
              </w:rPr>
            </w:pPr>
            <w:r>
              <w:rPr>
                <w:rFonts w:hint="eastAsia" w:ascii="宋体" w:hAnsi="宋体"/>
                <w:szCs w:val="21"/>
              </w:rPr>
              <w:t>2</w:t>
            </w:r>
          </w:p>
        </w:tc>
        <w:tc>
          <w:tcPr>
            <w:tcW w:w="2210" w:type="dxa"/>
            <w:vAlign w:val="top"/>
          </w:tcPr>
          <w:p>
            <w:pPr>
              <w:rPr>
                <w:rFonts w:hint="eastAsia" w:ascii="宋体" w:hAnsi="宋体" w:eastAsia="宋体" w:cs="Times New Roman"/>
                <w:kern w:val="2"/>
                <w:sz w:val="21"/>
                <w:szCs w:val="24"/>
                <w:lang w:val="en-US" w:eastAsia="zh-CN" w:bidi="ar-SA"/>
              </w:rPr>
            </w:pPr>
            <w:r>
              <w:rPr>
                <w:rFonts w:hint="eastAsia" w:ascii="宋体" w:hAnsi="宋体"/>
                <w:lang w:eastAsia="zh-CN"/>
              </w:rPr>
              <w:t>备用测试线</w:t>
            </w:r>
          </w:p>
        </w:tc>
        <w:tc>
          <w:tcPr>
            <w:tcW w:w="576" w:type="dxa"/>
            <w:tcBorders>
              <w:right w:val="single" w:color="auto" w:sz="4" w:space="0"/>
            </w:tcBorders>
            <w:vAlign w:val="top"/>
          </w:tcPr>
          <w:p>
            <w:pPr>
              <w:jc w:val="center"/>
              <w:rPr>
                <w:rFonts w:hint="eastAsia" w:ascii="宋体" w:hAnsi="宋体" w:eastAsia="宋体" w:cs="Times New Roman"/>
                <w:kern w:val="2"/>
                <w:sz w:val="21"/>
                <w:szCs w:val="24"/>
                <w:lang w:val="en-US" w:eastAsia="zh-CN" w:bidi="ar-SA"/>
              </w:rPr>
            </w:pPr>
            <w:r>
              <w:rPr>
                <w:rFonts w:hint="eastAsia" w:ascii="宋体" w:hAnsi="宋体"/>
              </w:rPr>
              <w:t>套</w:t>
            </w:r>
          </w:p>
        </w:tc>
        <w:tc>
          <w:tcPr>
            <w:tcW w:w="2112" w:type="dxa"/>
            <w:tcBorders>
              <w:left w:val="single" w:color="auto" w:sz="4" w:space="0"/>
              <w:right w:val="single" w:color="auto" w:sz="4" w:space="0"/>
            </w:tcBorders>
            <w:vAlign w:val="top"/>
          </w:tcPr>
          <w:p>
            <w:pPr>
              <w:jc w:val="center"/>
              <w:rPr>
                <w:rFonts w:hint="eastAsia" w:ascii="宋体" w:hAnsi="宋体" w:eastAsia="宋体" w:cs="Times New Roman"/>
                <w:kern w:val="2"/>
                <w:sz w:val="21"/>
                <w:szCs w:val="24"/>
                <w:lang w:val="en-US" w:eastAsia="zh-CN" w:bidi="ar-SA"/>
              </w:rPr>
            </w:pPr>
          </w:p>
        </w:tc>
        <w:tc>
          <w:tcPr>
            <w:tcW w:w="492" w:type="dxa"/>
            <w:tcBorders>
              <w:left w:val="single" w:color="auto" w:sz="4" w:space="0"/>
            </w:tcBorders>
            <w:vAlign w:val="top"/>
          </w:tcPr>
          <w:p>
            <w:pPr>
              <w:jc w:val="center"/>
              <w:rPr>
                <w:rFonts w:hint="eastAsia" w:ascii="宋体" w:hAnsi="宋体" w:eastAsia="宋体" w:cs="Times New Roman"/>
                <w:kern w:val="2"/>
                <w:sz w:val="21"/>
                <w:szCs w:val="24"/>
                <w:lang w:val="en-US" w:eastAsia="zh-CN" w:bidi="ar-SA"/>
              </w:rPr>
            </w:pPr>
            <w:r>
              <w:rPr>
                <w:rFonts w:hint="eastAsia" w:ascii="宋体" w:hAnsi="宋体"/>
                <w:lang w:val="en-US" w:eastAsia="zh-CN"/>
              </w:rPr>
              <w:t>1</w:t>
            </w:r>
          </w:p>
        </w:tc>
        <w:tc>
          <w:tcPr>
            <w:tcW w:w="2035" w:type="dxa"/>
            <w:tcBorders>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2210" w:type="dxa"/>
            <w:vAlign w:val="top"/>
          </w:tcPr>
          <w:p>
            <w:pPr>
              <w:rPr>
                <w:rFonts w:hint="eastAsia" w:ascii="宋体" w:hAnsi="宋体" w:eastAsia="宋体" w:cs="Times New Roman"/>
                <w:kern w:val="2"/>
                <w:sz w:val="21"/>
                <w:szCs w:val="24"/>
                <w:lang w:val="en-US" w:eastAsia="zh-CN" w:bidi="ar-SA"/>
              </w:rPr>
            </w:pPr>
          </w:p>
        </w:tc>
        <w:tc>
          <w:tcPr>
            <w:tcW w:w="576" w:type="dxa"/>
            <w:tcBorders>
              <w:right w:val="single" w:color="auto" w:sz="4" w:space="0"/>
            </w:tcBorders>
            <w:vAlign w:val="top"/>
          </w:tcPr>
          <w:p>
            <w:pPr>
              <w:jc w:val="center"/>
              <w:rPr>
                <w:rFonts w:hint="eastAsia" w:ascii="宋体" w:hAnsi="宋体" w:eastAsia="宋体" w:cs="Times New Roman"/>
                <w:kern w:val="2"/>
                <w:sz w:val="21"/>
                <w:szCs w:val="24"/>
                <w:lang w:val="en-US" w:eastAsia="zh-CN" w:bidi="ar-SA"/>
              </w:rPr>
            </w:pPr>
          </w:p>
        </w:tc>
        <w:tc>
          <w:tcPr>
            <w:tcW w:w="2112" w:type="dxa"/>
            <w:tcBorders>
              <w:left w:val="single" w:color="auto" w:sz="4" w:space="0"/>
              <w:right w:val="single" w:color="auto" w:sz="4" w:space="0"/>
            </w:tcBorders>
            <w:vAlign w:val="top"/>
          </w:tcPr>
          <w:p>
            <w:pPr>
              <w:jc w:val="center"/>
              <w:rPr>
                <w:rFonts w:hint="eastAsia" w:ascii="宋体" w:hAnsi="宋体" w:eastAsia="宋体" w:cs="Times New Roman"/>
                <w:kern w:val="2"/>
                <w:sz w:val="21"/>
                <w:szCs w:val="24"/>
                <w:lang w:val="en-US" w:eastAsia="zh-CN" w:bidi="ar-SA"/>
              </w:rPr>
            </w:pPr>
          </w:p>
        </w:tc>
        <w:tc>
          <w:tcPr>
            <w:tcW w:w="492" w:type="dxa"/>
            <w:tcBorders>
              <w:left w:val="single" w:color="auto" w:sz="4" w:space="0"/>
            </w:tcBorders>
            <w:vAlign w:val="top"/>
          </w:tcPr>
          <w:p>
            <w:pPr>
              <w:jc w:val="center"/>
              <w:rPr>
                <w:rFonts w:hint="eastAsia" w:ascii="宋体" w:hAnsi="宋体" w:eastAsia="宋体" w:cs="Times New Roman"/>
                <w:kern w:val="2"/>
                <w:sz w:val="21"/>
                <w:szCs w:val="24"/>
                <w:lang w:val="en-US" w:eastAsia="zh-CN" w:bidi="ar-SA"/>
              </w:rPr>
            </w:pPr>
          </w:p>
        </w:tc>
        <w:tc>
          <w:tcPr>
            <w:tcW w:w="2035" w:type="dxa"/>
            <w:tcBorders>
              <w:righ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Cs w:val="21"/>
              </w:rPr>
            </w:pPr>
          </w:p>
        </w:tc>
        <w:tc>
          <w:tcPr>
            <w:tcW w:w="540" w:type="dxa"/>
            <w:tcBorders>
              <w:left w:val="single" w:color="auto" w:sz="4" w:space="0"/>
            </w:tcBorders>
            <w:vAlign w:val="center"/>
          </w:tcPr>
          <w:p>
            <w:pPr>
              <w:keepNext w:val="0"/>
              <w:keepLines w:val="0"/>
              <w:pageBreakBefore w:val="0"/>
              <w:widowControl w:val="0"/>
              <w:kinsoku/>
              <w:wordWrap/>
              <w:overflowPunct/>
              <w:topLinePunct w:val="0"/>
              <w:autoSpaceDE/>
              <w:autoSpaceDN/>
              <w:bidi w:val="0"/>
              <w:ind w:firstLine="0" w:firstLineChars="0"/>
              <w:jc w:val="center"/>
              <w:textAlignment w:val="auto"/>
              <w:rPr>
                <w:rFonts w:ascii="宋体" w:hAnsi="宋体"/>
                <w:sz w:val="24"/>
              </w:rPr>
            </w:pPr>
          </w:p>
        </w:tc>
      </w:tr>
    </w:tbl>
    <w:p>
      <w:pPr>
        <w:pStyle w:val="48"/>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Times New Roman"/>
          <w:sz w:val="24"/>
          <w:szCs w:val="24"/>
        </w:rPr>
      </w:pP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）投标方应按本</w:t>
      </w:r>
      <w:r>
        <w:rPr>
          <w:rFonts w:hint="eastAsia" w:ascii="宋体" w:hAnsi="宋体" w:eastAsia="宋体" w:cs="Times New Roman"/>
          <w:sz w:val="24"/>
          <w:szCs w:val="24"/>
          <w:lang w:eastAsia="zh-CN"/>
        </w:rPr>
        <w:t>标书</w:t>
      </w:r>
      <w:r>
        <w:rPr>
          <w:rFonts w:ascii="宋体" w:hAnsi="宋体" w:eastAsia="宋体" w:cs="Times New Roman"/>
          <w:sz w:val="24"/>
          <w:szCs w:val="24"/>
        </w:rPr>
        <w:t>的要求提供全新的、合格</w:t>
      </w:r>
      <w:r>
        <w:rPr>
          <w:rFonts w:hint="eastAsia" w:ascii="宋体" w:hAnsi="宋体" w:eastAsia="宋体" w:cs="Times New Roman"/>
          <w:sz w:val="24"/>
          <w:szCs w:val="24"/>
        </w:rPr>
        <w:t>可用的仪器及配件。投标方应向招标方提供必备的备品备件、专用工具和仪器仪表清单见表2.2， 要求提供的备品备件、专用工具和仪器仪表应是新品，并符合相关技术要求。</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投标方所提供的组件或附件如需向第三方外购时</w:t>
      </w:r>
      <w:r>
        <w:rPr>
          <w:rFonts w:hint="eastAsia" w:ascii="宋体" w:hAnsi="宋体" w:eastAsia="宋体" w:cs="Times New Roman"/>
          <w:sz w:val="24"/>
          <w:szCs w:val="24"/>
        </w:rPr>
        <w:t>，投标方</w:t>
      </w:r>
      <w:r>
        <w:rPr>
          <w:rFonts w:ascii="宋体" w:hAnsi="宋体" w:eastAsia="宋体" w:cs="Times New Roman"/>
          <w:sz w:val="24"/>
          <w:szCs w:val="24"/>
        </w:rPr>
        <w:t>应对</w:t>
      </w:r>
      <w:r>
        <w:rPr>
          <w:rFonts w:hint="eastAsia" w:ascii="宋体" w:hAnsi="宋体" w:eastAsia="宋体" w:cs="Times New Roman"/>
          <w:sz w:val="24"/>
          <w:szCs w:val="24"/>
        </w:rPr>
        <w:t>其</w:t>
      </w:r>
      <w:r>
        <w:rPr>
          <w:rFonts w:ascii="宋体" w:hAnsi="宋体" w:eastAsia="宋体" w:cs="Times New Roman"/>
          <w:sz w:val="24"/>
          <w:szCs w:val="24"/>
        </w:rPr>
        <w:t>质量向招标方负责</w:t>
      </w:r>
      <w:r>
        <w:rPr>
          <w:rFonts w:hint="eastAsia" w:ascii="宋体" w:hAnsi="宋体" w:eastAsia="宋体" w:cs="Times New Roman"/>
          <w:sz w:val="24"/>
          <w:szCs w:val="24"/>
        </w:rPr>
        <w:t>，</w:t>
      </w:r>
      <w:r>
        <w:rPr>
          <w:rFonts w:ascii="宋体" w:hAnsi="宋体" w:eastAsia="宋体" w:cs="Times New Roman"/>
          <w:sz w:val="24"/>
          <w:szCs w:val="24"/>
        </w:rPr>
        <w:t>并提供相应出厂和验收</w:t>
      </w:r>
      <w:r>
        <w:rPr>
          <w:rFonts w:hint="eastAsia" w:ascii="宋体" w:hAnsi="宋体" w:eastAsia="宋体" w:cs="Times New Roman"/>
          <w:sz w:val="24"/>
          <w:szCs w:val="24"/>
        </w:rPr>
        <w:t>报告</w:t>
      </w:r>
      <w:r>
        <w:rPr>
          <w:rFonts w:ascii="宋体" w:hAnsi="宋体" w:eastAsia="宋体" w:cs="Times New Roman"/>
          <w:sz w:val="24"/>
          <w:szCs w:val="24"/>
        </w:rPr>
        <w:t>。</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4）工厂试验由投标方在生产厂家内完成，但应有招标方代表参加，参加工厂验收的人数及天数等规定详见</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商务部分。</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5）投标方应协助招标方解决设备运行中出现的问题。</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6）如果安装、调试、性能试验、试运行及质保期内技术指标一项或多项不能满足合同技术部分要求，买卖双方共同分析原因，分清责任，如属制造方面的原因，或涉及索赔部分，按商务部分有关条款执行。</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8）本</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采购设备安装、调试和现场交接验收和试验合格后方可使用。设备正常使用后，投标方和招标方（业主）双方应根据相关法律、法规和公司管理制度签署合同设备的验收证明书。该证明书共两份，双方各执一份。</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9）投标方应按招标方要求免费提供必须的人员培训和技术指导，确保招标方正常使用和维护设备； </w:t>
      </w:r>
    </w:p>
    <w:bookmarkEnd w:id="8"/>
    <w:p>
      <w:pPr>
        <w:pStyle w:val="3"/>
        <w:numPr>
          <w:ilvl w:val="0"/>
          <w:numId w:val="0"/>
        </w:numPr>
        <w:snapToGrid/>
        <w:spacing w:before="0" w:beforeLines="0" w:line="480" w:lineRule="auto"/>
        <w:rPr>
          <w:rFonts w:hint="eastAsia" w:hAnsi="宋体"/>
          <w:sz w:val="24"/>
          <w:szCs w:val="24"/>
        </w:rPr>
      </w:pPr>
      <w:bookmarkStart w:id="15" w:name="_Toc399627539"/>
      <w:r>
        <w:rPr>
          <w:rFonts w:hint="eastAsia" w:hAnsi="宋体"/>
          <w:sz w:val="24"/>
          <w:szCs w:val="24"/>
        </w:rPr>
        <w:t>3 应遵循的主要标准</w:t>
      </w:r>
      <w:bookmarkEnd w:id="15"/>
    </w:p>
    <w:p>
      <w:pPr>
        <w:pStyle w:val="48"/>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除本</w:t>
      </w:r>
      <w:r>
        <w:rPr>
          <w:rFonts w:hint="eastAsia" w:ascii="宋体" w:hAnsi="宋体" w:eastAsia="宋体" w:cs="Times New Roman"/>
          <w:sz w:val="24"/>
          <w:szCs w:val="24"/>
          <w:lang w:eastAsia="zh-CN"/>
        </w:rPr>
        <w:t>标书</w:t>
      </w:r>
      <w:r>
        <w:rPr>
          <w:rFonts w:ascii="宋体" w:hAnsi="宋体" w:eastAsia="宋体" w:cs="Times New Roman"/>
          <w:sz w:val="24"/>
          <w:szCs w:val="24"/>
        </w:rPr>
        <w:t>特殊规定外，投标方所提供的设备均按规定的标准和规程的最新版本进行设计、制造、试验和安装。如果这些标准内容有矛盾时，应按最高标准的条款执行或按双方商定的标准执行。如果投标方选用本</w:t>
      </w:r>
      <w:r>
        <w:rPr>
          <w:rFonts w:hint="eastAsia" w:ascii="宋体" w:hAnsi="宋体" w:eastAsia="宋体" w:cs="Times New Roman"/>
          <w:sz w:val="24"/>
          <w:szCs w:val="24"/>
          <w:lang w:eastAsia="zh-CN"/>
        </w:rPr>
        <w:t>标书</w:t>
      </w:r>
      <w:r>
        <w:rPr>
          <w:rFonts w:ascii="宋体" w:hAnsi="宋体" w:eastAsia="宋体" w:cs="Times New Roman"/>
          <w:sz w:val="24"/>
          <w:szCs w:val="24"/>
        </w:rPr>
        <w:t>规定以外的标准时，则需提交这种替换标准供审查和分析。仅在投标方已证明替换标准相当或优于</w:t>
      </w:r>
      <w:r>
        <w:rPr>
          <w:rFonts w:hint="eastAsia" w:ascii="宋体" w:hAnsi="宋体" w:eastAsia="宋体" w:cs="Times New Roman"/>
          <w:sz w:val="24"/>
          <w:szCs w:val="24"/>
          <w:lang w:eastAsia="zh-CN"/>
        </w:rPr>
        <w:t>标书</w:t>
      </w:r>
      <w:r>
        <w:rPr>
          <w:rFonts w:ascii="宋体" w:hAnsi="宋体" w:eastAsia="宋体" w:cs="Times New Roman"/>
          <w:sz w:val="24"/>
          <w:szCs w:val="24"/>
        </w:rPr>
        <w:t>规定的标准，并从招标方处获得书面的认可才能使用。提交供审查的标准应为中文或英文版本。</w:t>
      </w:r>
    </w:p>
    <w:p>
      <w:pPr>
        <w:spacing w:line="360" w:lineRule="auto"/>
        <w:ind w:firstLine="480" w:firstLineChars="200"/>
        <w:rPr>
          <w:rFonts w:hint="eastAsia" w:ascii="宋体" w:hAnsi="宋体"/>
          <w:sz w:val="24"/>
        </w:rPr>
      </w:pPr>
      <w:r>
        <w:rPr>
          <w:rFonts w:hint="eastAsia" w:ascii="宋体" w:hAnsi="宋体"/>
          <w:sz w:val="24"/>
        </w:rPr>
        <w:t>下列文件对于本技术规范书的应用是必不可少。凡是注日期的引用文件，仅注日期的版本适用于本技术规范书。凡是不注日期的引用文件，其最新版本（包括所有的修改单）适用于本技术规范书：</w:t>
      </w:r>
    </w:p>
    <w:p>
      <w:pPr>
        <w:spacing w:line="360" w:lineRule="auto"/>
        <w:ind w:firstLine="480" w:firstLineChars="200"/>
        <w:rPr>
          <w:rFonts w:ascii="宋体" w:hAnsi="宋体"/>
          <w:sz w:val="24"/>
        </w:rPr>
      </w:pPr>
      <w:r>
        <w:rPr>
          <w:rFonts w:ascii="宋体" w:hAnsi="宋体"/>
          <w:sz w:val="24"/>
        </w:rPr>
        <w:t>GB</w:t>
      </w:r>
      <w:r>
        <w:rPr>
          <w:rFonts w:hint="eastAsia" w:ascii="宋体" w:hAnsi="宋体"/>
          <w:sz w:val="24"/>
        </w:rPr>
        <w:t xml:space="preserve"> </w:t>
      </w:r>
      <w:r>
        <w:rPr>
          <w:rFonts w:ascii="宋体" w:hAnsi="宋体"/>
          <w:sz w:val="24"/>
        </w:rPr>
        <w:t xml:space="preserve">191                 </w:t>
      </w:r>
      <w:r>
        <w:rPr>
          <w:rFonts w:hint="eastAsia" w:ascii="宋体" w:hAnsi="宋体"/>
          <w:sz w:val="24"/>
        </w:rPr>
        <w:t>包装贮运标志</w:t>
      </w:r>
    </w:p>
    <w:p>
      <w:pPr>
        <w:spacing w:line="360" w:lineRule="auto"/>
        <w:ind w:firstLine="480" w:firstLineChars="200"/>
        <w:rPr>
          <w:rFonts w:hint="eastAsia" w:ascii="宋体" w:hAnsi="宋体"/>
          <w:sz w:val="24"/>
        </w:rPr>
      </w:pPr>
      <w:r>
        <w:rPr>
          <w:rFonts w:ascii="宋体" w:hAnsi="宋体"/>
          <w:sz w:val="24"/>
        </w:rPr>
        <w:t>GB</w:t>
      </w:r>
      <w:r>
        <w:rPr>
          <w:rFonts w:hint="eastAsia" w:ascii="宋体" w:hAnsi="宋体"/>
          <w:sz w:val="24"/>
        </w:rPr>
        <w:t xml:space="preserve"> 4793.1</w:t>
      </w:r>
      <w:r>
        <w:rPr>
          <w:rFonts w:ascii="宋体" w:hAnsi="宋体"/>
          <w:sz w:val="24"/>
        </w:rPr>
        <w:t xml:space="preserve">              </w:t>
      </w:r>
      <w:r>
        <w:rPr>
          <w:rFonts w:hint="eastAsia" w:ascii="宋体" w:hAnsi="宋体"/>
          <w:sz w:val="24"/>
        </w:rPr>
        <w:t>测量控制和试验室用电气设备的安全要求</w:t>
      </w:r>
    </w:p>
    <w:p>
      <w:pPr>
        <w:spacing w:line="360" w:lineRule="auto"/>
        <w:ind w:firstLine="3240" w:firstLineChars="1350"/>
        <w:rPr>
          <w:rFonts w:ascii="宋体" w:hAnsi="宋体"/>
          <w:sz w:val="24"/>
        </w:rPr>
      </w:pPr>
      <w:r>
        <w:rPr>
          <w:rFonts w:hint="eastAsia" w:ascii="宋体" w:hAnsi="宋体"/>
          <w:sz w:val="24"/>
        </w:rPr>
        <w:t>第一部分：通用要求</w:t>
      </w:r>
    </w:p>
    <w:p>
      <w:pPr>
        <w:spacing w:line="360" w:lineRule="auto"/>
        <w:ind w:firstLine="480" w:firstLineChars="200"/>
        <w:rPr>
          <w:rFonts w:hint="eastAsia" w:ascii="宋体" w:hAnsi="宋体"/>
          <w:sz w:val="24"/>
        </w:rPr>
      </w:pPr>
      <w:r>
        <w:rPr>
          <w:rFonts w:hint="eastAsia" w:ascii="宋体" w:hAnsi="宋体"/>
          <w:sz w:val="24"/>
        </w:rPr>
        <w:t xml:space="preserve">GB 6578.1              </w:t>
      </w:r>
      <w:r>
        <w:rPr>
          <w:rFonts w:hAnsi="宋体"/>
          <w:kern w:val="0"/>
          <w:sz w:val="24"/>
        </w:rPr>
        <w:t>电子测量仪器环境试验总纲</w:t>
      </w:r>
    </w:p>
    <w:p>
      <w:pPr>
        <w:spacing w:line="360" w:lineRule="auto"/>
        <w:ind w:firstLine="480" w:firstLineChars="200"/>
        <w:rPr>
          <w:rFonts w:hint="eastAsia" w:ascii="宋体" w:hAnsi="宋体"/>
          <w:sz w:val="24"/>
        </w:rPr>
      </w:pPr>
      <w:r>
        <w:rPr>
          <w:rFonts w:hint="eastAsia" w:ascii="宋体" w:hAnsi="宋体"/>
          <w:sz w:val="24"/>
        </w:rPr>
        <w:t xml:space="preserve">GB 6578.1              </w:t>
      </w:r>
      <w:r>
        <w:rPr>
          <w:rFonts w:hAnsi="宋体"/>
          <w:kern w:val="0"/>
          <w:sz w:val="24"/>
        </w:rPr>
        <w:t>电子测量仪器湿度试验</w:t>
      </w:r>
    </w:p>
    <w:p>
      <w:pPr>
        <w:spacing w:line="360" w:lineRule="auto"/>
        <w:ind w:firstLine="480" w:firstLineChars="200"/>
        <w:rPr>
          <w:rFonts w:hint="eastAsia" w:ascii="宋体" w:hAnsi="宋体"/>
          <w:sz w:val="24"/>
        </w:rPr>
      </w:pPr>
      <w:r>
        <w:rPr>
          <w:rFonts w:ascii="宋体" w:hAnsi="宋体"/>
          <w:sz w:val="24"/>
        </w:rPr>
        <w:t xml:space="preserve">GB/T </w:t>
      </w:r>
      <w:r>
        <w:rPr>
          <w:rFonts w:hint="eastAsia" w:ascii="宋体" w:hAnsi="宋体"/>
          <w:sz w:val="24"/>
        </w:rPr>
        <w:t xml:space="preserve">7261—2008    </w:t>
      </w:r>
      <w:r>
        <w:rPr>
          <w:rFonts w:ascii="宋体" w:hAnsi="宋体"/>
          <w:sz w:val="24"/>
        </w:rPr>
        <w:t xml:space="preserve">    </w:t>
      </w:r>
      <w:r>
        <w:rPr>
          <w:rFonts w:hAnsi="宋体"/>
          <w:kern w:val="0"/>
          <w:sz w:val="24"/>
        </w:rPr>
        <w:t>继电保护和安全自动装置基本试验方法</w:t>
      </w:r>
    </w:p>
    <w:p>
      <w:pPr>
        <w:spacing w:line="360" w:lineRule="auto"/>
        <w:ind w:firstLine="480" w:firstLineChars="200"/>
        <w:rPr>
          <w:rFonts w:hint="eastAsia" w:ascii="宋体" w:hAnsi="宋体"/>
          <w:sz w:val="24"/>
        </w:rPr>
      </w:pPr>
      <w:r>
        <w:rPr>
          <w:rFonts w:ascii="宋体" w:hAnsi="宋体"/>
          <w:sz w:val="24"/>
        </w:rPr>
        <w:t xml:space="preserve">GB/T </w:t>
      </w:r>
      <w:r>
        <w:rPr>
          <w:rFonts w:hint="eastAsia" w:ascii="宋体" w:hAnsi="宋体"/>
          <w:sz w:val="24"/>
        </w:rPr>
        <w:t>20840.7</w:t>
      </w:r>
      <w:r>
        <w:rPr>
          <w:rFonts w:ascii="宋体" w:hAnsi="宋体"/>
          <w:sz w:val="24"/>
        </w:rPr>
        <w:t>-</w:t>
      </w:r>
      <w:r>
        <w:rPr>
          <w:rFonts w:hint="eastAsia" w:ascii="宋体" w:hAnsi="宋体"/>
          <w:sz w:val="24"/>
        </w:rPr>
        <w:t>2007</w:t>
      </w:r>
      <w:r>
        <w:rPr>
          <w:rFonts w:ascii="宋体" w:hAnsi="宋体"/>
          <w:sz w:val="24"/>
        </w:rPr>
        <w:t xml:space="preserve">      </w:t>
      </w:r>
      <w:r>
        <w:rPr>
          <w:rFonts w:hAnsi="宋体"/>
          <w:kern w:val="0"/>
          <w:sz w:val="24"/>
        </w:rPr>
        <w:t>互感器 第7部分：电子式电压互感器</w:t>
      </w:r>
      <w:r>
        <w:rPr>
          <w:rFonts w:ascii="宋体" w:hAnsi="宋体"/>
          <w:sz w:val="24"/>
        </w:rPr>
        <w:t xml:space="preserve">  </w:t>
      </w:r>
    </w:p>
    <w:p>
      <w:pPr>
        <w:spacing w:line="360" w:lineRule="auto"/>
        <w:ind w:firstLine="480" w:firstLineChars="200"/>
        <w:rPr>
          <w:rFonts w:hint="eastAsia" w:hAnsi="宋体"/>
          <w:kern w:val="0"/>
          <w:sz w:val="24"/>
        </w:rPr>
      </w:pPr>
      <w:r>
        <w:rPr>
          <w:rFonts w:ascii="宋体" w:hAnsi="宋体"/>
          <w:sz w:val="24"/>
        </w:rPr>
        <w:t xml:space="preserve">GB/T </w:t>
      </w:r>
      <w:r>
        <w:rPr>
          <w:rFonts w:hint="eastAsia" w:ascii="宋体" w:hAnsi="宋体"/>
          <w:sz w:val="24"/>
        </w:rPr>
        <w:t>20840.8</w:t>
      </w:r>
      <w:r>
        <w:rPr>
          <w:rFonts w:ascii="宋体" w:hAnsi="宋体"/>
          <w:sz w:val="24"/>
        </w:rPr>
        <w:t>-</w:t>
      </w:r>
      <w:r>
        <w:rPr>
          <w:rFonts w:hint="eastAsia" w:ascii="宋体" w:hAnsi="宋体"/>
          <w:sz w:val="24"/>
        </w:rPr>
        <w:t>2007</w:t>
      </w:r>
      <w:r>
        <w:rPr>
          <w:rFonts w:ascii="宋体" w:hAnsi="宋体"/>
          <w:sz w:val="24"/>
        </w:rPr>
        <w:t xml:space="preserve">      </w:t>
      </w:r>
      <w:r>
        <w:rPr>
          <w:rFonts w:hAnsi="宋体"/>
          <w:kern w:val="0"/>
          <w:sz w:val="24"/>
        </w:rPr>
        <w:t>互感器 第8部分：电子式电流互感器</w:t>
      </w:r>
    </w:p>
    <w:p>
      <w:pPr>
        <w:spacing w:line="360" w:lineRule="auto"/>
        <w:ind w:firstLine="480" w:firstLineChars="200"/>
        <w:rPr>
          <w:rFonts w:hint="eastAsia" w:ascii="宋体" w:hAnsi="宋体"/>
          <w:sz w:val="24"/>
        </w:rPr>
      </w:pPr>
      <w:r>
        <w:rPr>
          <w:rFonts w:hint="eastAsia" w:ascii="宋体" w:hAnsi="宋体"/>
          <w:sz w:val="24"/>
        </w:rPr>
        <w:t xml:space="preserve">DL/Z860.1              </w:t>
      </w:r>
      <w:r>
        <w:rPr>
          <w:rFonts w:hAnsi="宋体"/>
          <w:kern w:val="0"/>
          <w:sz w:val="24"/>
        </w:rPr>
        <w:t>变电站通信网络和系统  第1部分：概论</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DL/Z860.6              </w:t>
      </w:r>
      <w:r>
        <w:rPr>
          <w:rFonts w:hAnsi="宋体"/>
          <w:kern w:val="0"/>
          <w:sz w:val="24"/>
        </w:rPr>
        <w:t>变电站通信网络和系统  第6部分：与变电站有关的IED的通信配置描述语言</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DL/Z860.72             </w:t>
      </w:r>
      <w:r>
        <w:rPr>
          <w:rFonts w:hAnsi="宋体"/>
          <w:sz w:val="24"/>
        </w:rPr>
        <w:t>变电站通信网络及系统 第7-2部分：变电站和馈线设备的基本通信结构抽象通信服务接口(ACSI）</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DL/Z860.91             </w:t>
      </w:r>
      <w:r>
        <w:rPr>
          <w:rFonts w:hAnsi="宋体"/>
          <w:sz w:val="24"/>
        </w:rPr>
        <w:t>变电站通信网络及系统 第9-1部分：特定通信服务影射(SCSM）单向多路点对点串行通信链路上的采样值</w:t>
      </w:r>
    </w:p>
    <w:p>
      <w:pPr>
        <w:spacing w:line="360" w:lineRule="auto"/>
        <w:ind w:left="3239" w:leftChars="228" w:hanging="2760" w:hangingChars="1150"/>
        <w:rPr>
          <w:rFonts w:hint="eastAsia" w:ascii="宋体" w:hAnsi="宋体"/>
          <w:sz w:val="24"/>
        </w:rPr>
      </w:pPr>
      <w:r>
        <w:rPr>
          <w:rFonts w:hint="eastAsia" w:ascii="宋体" w:hAnsi="宋体"/>
          <w:sz w:val="24"/>
        </w:rPr>
        <w:t xml:space="preserve">DL/Z860.92             </w:t>
      </w:r>
      <w:r>
        <w:rPr>
          <w:rFonts w:hAnsi="宋体"/>
          <w:sz w:val="24"/>
        </w:rPr>
        <w:t>变电站通信网络及系统 第9-2部分：特定通信服务影射(SCSM）映射到ISO/IEC8802-3的采样值</w:t>
      </w:r>
    </w:p>
    <w:p>
      <w:pPr>
        <w:spacing w:line="360" w:lineRule="auto"/>
        <w:ind w:firstLine="480" w:firstLineChars="200"/>
        <w:rPr>
          <w:rFonts w:hint="eastAsia" w:hAnsi="宋体"/>
          <w:sz w:val="18"/>
          <w:szCs w:val="18"/>
        </w:rPr>
      </w:pPr>
      <w:r>
        <w:rPr>
          <w:rFonts w:hint="eastAsia" w:ascii="宋体" w:hAnsi="宋体"/>
          <w:sz w:val="24"/>
        </w:rPr>
        <w:t xml:space="preserve">IEC61588-2009  </w:t>
      </w:r>
      <w:r>
        <w:rPr>
          <w:rFonts w:ascii="宋体" w:hAnsi="宋体"/>
          <w:sz w:val="24"/>
        </w:rPr>
        <w:t xml:space="preserve">        </w:t>
      </w:r>
      <w:r>
        <w:rPr>
          <w:rFonts w:hint="eastAsia" w:hAnsi="宋体"/>
          <w:sz w:val="24"/>
        </w:rPr>
        <w:t>网络化测量和控制系统精密时钟同步协议</w:t>
      </w:r>
    </w:p>
    <w:p>
      <w:pPr>
        <w:spacing w:line="360" w:lineRule="auto"/>
        <w:ind w:firstLine="480" w:firstLineChars="200"/>
        <w:rPr>
          <w:rFonts w:hint="eastAsia" w:hAnsi="宋体"/>
          <w:sz w:val="24"/>
        </w:rPr>
      </w:pPr>
      <w:r>
        <w:rPr>
          <w:rFonts w:ascii="宋体" w:hAnsi="宋体"/>
          <w:sz w:val="24"/>
        </w:rPr>
        <w:t>GB/T</w:t>
      </w:r>
      <w:r>
        <w:rPr>
          <w:rFonts w:hint="eastAsia" w:ascii="宋体" w:hAnsi="宋体"/>
          <w:sz w:val="24"/>
        </w:rPr>
        <w:t>17626.2</w:t>
      </w:r>
      <w:r>
        <w:rPr>
          <w:rFonts w:ascii="宋体" w:hAnsi="宋体"/>
          <w:sz w:val="24"/>
        </w:rPr>
        <w:t>-</w:t>
      </w:r>
      <w:r>
        <w:rPr>
          <w:rFonts w:hint="eastAsia" w:ascii="宋体" w:hAnsi="宋体"/>
          <w:sz w:val="24"/>
        </w:rPr>
        <w:t>2006</w:t>
      </w:r>
      <w:r>
        <w:rPr>
          <w:rFonts w:ascii="宋体" w:hAnsi="宋体"/>
          <w:sz w:val="24"/>
        </w:rPr>
        <w:t xml:space="preserve">       </w:t>
      </w:r>
      <w:r>
        <w:rPr>
          <w:rFonts w:hAnsi="宋体"/>
          <w:sz w:val="24"/>
        </w:rPr>
        <w:t>电磁兼容性</w:t>
      </w:r>
      <w:r>
        <w:rPr>
          <w:rFonts w:hint="eastAsia" w:hAnsi="宋体"/>
          <w:sz w:val="24"/>
        </w:rPr>
        <w:t xml:space="preserve"> </w:t>
      </w:r>
      <w:r>
        <w:rPr>
          <w:rFonts w:hAnsi="宋体"/>
          <w:sz w:val="24"/>
        </w:rPr>
        <w:t>试验和测量技术</w:t>
      </w:r>
      <w:r>
        <w:rPr>
          <w:rFonts w:hint="eastAsia" w:hAnsi="宋体"/>
          <w:sz w:val="24"/>
        </w:rPr>
        <w:t>　</w:t>
      </w:r>
      <w:r>
        <w:rPr>
          <w:rFonts w:hAnsi="宋体"/>
          <w:sz w:val="24"/>
        </w:rPr>
        <w:t>静电放电抗扰</w:t>
      </w:r>
      <w:r>
        <w:rPr>
          <w:rFonts w:hint="eastAsia" w:hAnsi="宋体"/>
          <w:sz w:val="24"/>
        </w:rPr>
        <w:t>度</w:t>
      </w:r>
      <w:r>
        <w:rPr>
          <w:rFonts w:hAnsi="宋体"/>
          <w:sz w:val="24"/>
        </w:rPr>
        <w:t>试验</w:t>
      </w:r>
    </w:p>
    <w:p>
      <w:pPr>
        <w:spacing w:line="360" w:lineRule="auto"/>
        <w:ind w:left="3239" w:leftChars="228" w:hanging="2760" w:hangingChars="1150"/>
        <w:rPr>
          <w:rFonts w:hint="eastAsia" w:ascii="宋体" w:hAnsi="宋体"/>
          <w:sz w:val="24"/>
        </w:rPr>
      </w:pPr>
      <w:r>
        <w:rPr>
          <w:rFonts w:ascii="宋体" w:hAnsi="宋体"/>
          <w:sz w:val="24"/>
        </w:rPr>
        <w:t>GB/T</w:t>
      </w:r>
      <w:r>
        <w:rPr>
          <w:rFonts w:hint="eastAsia" w:ascii="宋体" w:hAnsi="宋体"/>
          <w:sz w:val="24"/>
        </w:rPr>
        <w:t>17626.3</w:t>
      </w:r>
      <w:r>
        <w:rPr>
          <w:rFonts w:ascii="宋体" w:hAnsi="宋体"/>
          <w:sz w:val="24"/>
        </w:rPr>
        <w:t>-</w:t>
      </w:r>
      <w:r>
        <w:rPr>
          <w:rFonts w:hint="eastAsia" w:ascii="宋体" w:hAnsi="宋体"/>
          <w:sz w:val="24"/>
        </w:rPr>
        <w:t xml:space="preserve">2006       </w:t>
      </w:r>
      <w:r>
        <w:rPr>
          <w:rFonts w:hAnsi="宋体"/>
          <w:sz w:val="24"/>
        </w:rPr>
        <w:t>电磁兼容性</w:t>
      </w:r>
      <w:r>
        <w:rPr>
          <w:rFonts w:hint="eastAsia" w:hAnsi="宋体"/>
          <w:sz w:val="24"/>
        </w:rPr>
        <w:t xml:space="preserve"> </w:t>
      </w:r>
      <w:r>
        <w:rPr>
          <w:rFonts w:hAnsi="宋体"/>
          <w:sz w:val="24"/>
        </w:rPr>
        <w:t>试验和测量技术</w:t>
      </w:r>
      <w:r>
        <w:rPr>
          <w:rFonts w:hint="eastAsia" w:hAnsi="宋体"/>
          <w:sz w:val="24"/>
        </w:rPr>
        <w:t>　</w:t>
      </w:r>
      <w:r>
        <w:rPr>
          <w:rFonts w:hAnsi="宋体"/>
          <w:sz w:val="24"/>
        </w:rPr>
        <w:t>射频电磁场辐射抗扰</w:t>
      </w:r>
      <w:r>
        <w:rPr>
          <w:rFonts w:hint="eastAsia" w:hAnsi="宋体"/>
          <w:sz w:val="24"/>
        </w:rPr>
        <w:t>度</w:t>
      </w:r>
      <w:r>
        <w:rPr>
          <w:rFonts w:hAnsi="宋体"/>
          <w:sz w:val="24"/>
        </w:rPr>
        <w:t>试验</w:t>
      </w:r>
    </w:p>
    <w:p>
      <w:pPr>
        <w:pStyle w:val="3"/>
        <w:numPr>
          <w:ilvl w:val="0"/>
          <w:numId w:val="0"/>
        </w:numPr>
        <w:snapToGrid/>
        <w:spacing w:before="0" w:beforeLines="0" w:line="480" w:lineRule="auto"/>
        <w:rPr>
          <w:rFonts w:hint="eastAsia" w:hAnsi="宋体"/>
          <w:sz w:val="24"/>
          <w:szCs w:val="24"/>
        </w:rPr>
      </w:pPr>
      <w:bookmarkStart w:id="16" w:name="_Toc279769035"/>
      <w:bookmarkStart w:id="17" w:name="_Toc399627540"/>
      <w:r>
        <w:rPr>
          <w:rFonts w:hint="eastAsia" w:hAnsi="宋体"/>
          <w:sz w:val="24"/>
          <w:szCs w:val="24"/>
        </w:rPr>
        <w:t>4 使用</w:t>
      </w:r>
      <w:bookmarkEnd w:id="16"/>
      <w:r>
        <w:rPr>
          <w:rFonts w:hint="eastAsia" w:hAnsi="宋体"/>
          <w:sz w:val="24"/>
          <w:szCs w:val="24"/>
        </w:rPr>
        <w:t>环境要求</w:t>
      </w:r>
      <w:bookmarkEnd w:id="17"/>
    </w:p>
    <w:p>
      <w:pPr>
        <w:pStyle w:val="48"/>
        <w:adjustRightInd w:val="0"/>
        <w:snapToGrid w:val="0"/>
        <w:spacing w:line="360" w:lineRule="auto"/>
        <w:ind w:firstLine="480"/>
        <w:rPr>
          <w:rFonts w:hint="eastAsia" w:ascii="宋体" w:hAnsi="宋体" w:eastAsia="宋体" w:cs="Times New Roman"/>
          <w:sz w:val="24"/>
          <w:szCs w:val="24"/>
        </w:rPr>
      </w:pPr>
      <w:bookmarkStart w:id="18" w:name="_Toc279769036"/>
      <w:r>
        <w:rPr>
          <w:rFonts w:hint="eastAsia" w:ascii="宋体" w:hAnsi="宋体" w:eastAsia="宋体" w:cs="Times New Roman"/>
          <w:sz w:val="24"/>
          <w:szCs w:val="24"/>
        </w:rPr>
        <w:t>本设备招</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技术文件需要采购的设备，其外部使用条件见表4.1。投标方应对所提供的设备性能参数在外部条件下进行校验、核对，使所供设备满足实际外部条件要求及全工况运行要求。</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4.1 设备</w:t>
      </w:r>
      <w:r>
        <w:rPr>
          <w:rFonts w:hint="eastAsia" w:ascii="宋体" w:hAnsi="宋体" w:eastAsia="宋体"/>
          <w:sz w:val="24"/>
          <w:szCs w:val="24"/>
        </w:rPr>
        <w:t>使用环境要求相应表（项目单位填写）</w:t>
      </w:r>
    </w:p>
    <w:tbl>
      <w:tblPr>
        <w:tblStyle w:val="28"/>
        <w:tblW w:w="878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
        <w:gridCol w:w="1964"/>
        <w:gridCol w:w="2376"/>
        <w:gridCol w:w="2127"/>
        <w:gridCol w:w="18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jc w:val="center"/>
              <w:rPr>
                <w:rFonts w:ascii="宋体" w:hAnsi="宋体"/>
                <w:szCs w:val="21"/>
              </w:rPr>
            </w:pPr>
            <w:r>
              <w:rPr>
                <w:rFonts w:hint="eastAsia" w:ascii="宋体" w:hAnsi="宋体"/>
                <w:szCs w:val="21"/>
              </w:rPr>
              <w:t>序号</w:t>
            </w:r>
          </w:p>
        </w:tc>
        <w:tc>
          <w:tcPr>
            <w:tcW w:w="1964" w:type="dxa"/>
            <w:vAlign w:val="center"/>
          </w:tcPr>
          <w:p>
            <w:pPr>
              <w:jc w:val="center"/>
              <w:rPr>
                <w:rFonts w:hint="eastAsia" w:ascii="宋体" w:hAnsi="宋体"/>
                <w:szCs w:val="21"/>
              </w:rPr>
            </w:pPr>
            <w:r>
              <w:rPr>
                <w:rFonts w:ascii="宋体" w:hAnsi="宋体"/>
                <w:szCs w:val="21"/>
              </w:rPr>
              <w:t>名  称</w:t>
            </w:r>
          </w:p>
        </w:tc>
        <w:tc>
          <w:tcPr>
            <w:tcW w:w="2376" w:type="dxa"/>
            <w:vAlign w:val="center"/>
          </w:tcPr>
          <w:p>
            <w:pPr>
              <w:jc w:val="center"/>
              <w:rPr>
                <w:rFonts w:ascii="宋体" w:hAnsi="宋体"/>
                <w:szCs w:val="21"/>
              </w:rPr>
            </w:pPr>
            <w:r>
              <w:rPr>
                <w:rFonts w:hint="eastAsia" w:ascii="宋体" w:hAnsi="宋体"/>
                <w:szCs w:val="21"/>
              </w:rPr>
              <w:t>项目要求值</w:t>
            </w:r>
          </w:p>
        </w:tc>
        <w:tc>
          <w:tcPr>
            <w:tcW w:w="2127" w:type="dxa"/>
            <w:vAlign w:val="center"/>
          </w:tcPr>
          <w:p>
            <w:pPr>
              <w:jc w:val="center"/>
              <w:rPr>
                <w:rFonts w:ascii="宋体" w:hAnsi="宋体"/>
                <w:szCs w:val="21"/>
              </w:rPr>
            </w:pPr>
            <w:r>
              <w:rPr>
                <w:rFonts w:hint="eastAsia" w:ascii="宋体" w:hAnsi="宋体"/>
                <w:szCs w:val="21"/>
              </w:rPr>
              <w:t>投标方</w:t>
            </w:r>
            <w:r>
              <w:rPr>
                <w:rFonts w:ascii="宋体" w:hAnsi="宋体"/>
                <w:szCs w:val="21"/>
              </w:rPr>
              <w:t>保证值</w:t>
            </w:r>
          </w:p>
        </w:tc>
        <w:tc>
          <w:tcPr>
            <w:tcW w:w="1885" w:type="dxa"/>
            <w:vAlign w:val="center"/>
          </w:tcPr>
          <w:p>
            <w:pPr>
              <w:jc w:val="center"/>
              <w:rPr>
                <w:rFonts w:hint="eastAsia" w:ascii="宋体" w:hAnsi="宋体"/>
                <w:szCs w:val="21"/>
              </w:rPr>
            </w:pPr>
            <w:r>
              <w:rPr>
                <w:rFonts w:hint="eastAsia" w:ascii="宋体" w:hAnsi="宋体"/>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1</w:t>
            </w:r>
          </w:p>
        </w:tc>
        <w:tc>
          <w:tcPr>
            <w:tcW w:w="1964" w:type="dxa"/>
            <w:vAlign w:val="top"/>
          </w:tcPr>
          <w:p>
            <w:pPr>
              <w:spacing w:line="360" w:lineRule="auto"/>
              <w:rPr>
                <w:rFonts w:hint="eastAsia" w:ascii="宋体" w:hAnsi="宋体"/>
                <w:szCs w:val="21"/>
              </w:rPr>
            </w:pPr>
            <w:r>
              <w:rPr>
                <w:rFonts w:hint="eastAsia" w:hAnsi="宋体"/>
                <w:sz w:val="24"/>
              </w:rPr>
              <w:t>工作</w:t>
            </w:r>
            <w:r>
              <w:rPr>
                <w:rFonts w:hAnsi="宋体"/>
                <w:sz w:val="24"/>
              </w:rPr>
              <w:t>温度</w:t>
            </w:r>
            <w:r>
              <w:rPr>
                <w:sz w:val="24"/>
              </w:rPr>
              <w:t>(</w:t>
            </w:r>
            <w:r>
              <w:rPr>
                <w:rFonts w:hAnsi="宋体"/>
                <w:sz w:val="24"/>
              </w:rPr>
              <w:t>℃</w:t>
            </w:r>
            <w:r>
              <w:rPr>
                <w:sz w:val="24"/>
              </w:rPr>
              <w:t>)</w:t>
            </w:r>
          </w:p>
        </w:tc>
        <w:tc>
          <w:tcPr>
            <w:tcW w:w="2376" w:type="dxa"/>
            <w:vAlign w:val="top"/>
          </w:tcPr>
          <w:p>
            <w:pPr>
              <w:spacing w:line="360" w:lineRule="auto"/>
              <w:rPr>
                <w:rFonts w:hint="eastAsia" w:ascii="宋体" w:hAnsi="宋体"/>
                <w:szCs w:val="21"/>
              </w:rPr>
            </w:pPr>
            <w:r>
              <w:rPr>
                <w:sz w:val="24"/>
              </w:rPr>
              <w:t xml:space="preserve">-10 </w:t>
            </w:r>
            <w:r>
              <w:rPr>
                <w:rFonts w:hint="eastAsia"/>
                <w:sz w:val="24"/>
              </w:rPr>
              <w:t>~</w:t>
            </w:r>
            <w:r>
              <w:rPr>
                <w:sz w:val="24"/>
              </w:rPr>
              <w:t xml:space="preserve"> + 50</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2</w:t>
            </w:r>
          </w:p>
        </w:tc>
        <w:tc>
          <w:tcPr>
            <w:tcW w:w="1964" w:type="dxa"/>
            <w:vAlign w:val="top"/>
          </w:tcPr>
          <w:p>
            <w:pPr>
              <w:spacing w:line="360" w:lineRule="auto"/>
              <w:rPr>
                <w:rFonts w:hint="eastAsia" w:ascii="宋体" w:hAnsi="宋体"/>
                <w:szCs w:val="21"/>
              </w:rPr>
            </w:pPr>
            <w:r>
              <w:rPr>
                <w:rFonts w:hAnsi="宋体"/>
                <w:sz w:val="24"/>
              </w:rPr>
              <w:t>环境温度</w:t>
            </w:r>
            <w:r>
              <w:rPr>
                <w:sz w:val="24"/>
              </w:rPr>
              <w:t>(</w:t>
            </w:r>
            <w:r>
              <w:rPr>
                <w:rFonts w:hAnsi="宋体"/>
                <w:sz w:val="24"/>
              </w:rPr>
              <w:t>℃</w:t>
            </w:r>
            <w:r>
              <w:rPr>
                <w:sz w:val="24"/>
              </w:rPr>
              <w:t>)</w:t>
            </w:r>
          </w:p>
        </w:tc>
        <w:tc>
          <w:tcPr>
            <w:tcW w:w="2376" w:type="dxa"/>
            <w:vAlign w:val="top"/>
          </w:tcPr>
          <w:p>
            <w:pPr>
              <w:spacing w:line="360" w:lineRule="auto"/>
              <w:rPr>
                <w:rFonts w:hint="eastAsia" w:ascii="宋体" w:hAnsi="宋体"/>
                <w:szCs w:val="21"/>
              </w:rPr>
            </w:pPr>
            <w:r>
              <w:rPr>
                <w:sz w:val="24"/>
              </w:rPr>
              <w:t xml:space="preserve">-10 </w:t>
            </w:r>
            <w:r>
              <w:rPr>
                <w:rFonts w:hint="eastAsia" w:hAnsi="宋体"/>
                <w:sz w:val="24"/>
              </w:rPr>
              <w:t>~</w:t>
            </w:r>
            <w:r>
              <w:rPr>
                <w:sz w:val="24"/>
              </w:rPr>
              <w:t xml:space="preserve"> +50</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32" w:type="dxa"/>
          </w:tcPr>
          <w:p>
            <w:pPr>
              <w:rPr>
                <w:rFonts w:hint="eastAsia" w:ascii="宋体" w:hAnsi="宋体"/>
                <w:szCs w:val="21"/>
              </w:rPr>
            </w:pPr>
            <w:r>
              <w:rPr>
                <w:rFonts w:hint="eastAsia" w:ascii="宋体" w:hAnsi="宋体"/>
                <w:szCs w:val="21"/>
              </w:rPr>
              <w:t>3</w:t>
            </w:r>
          </w:p>
        </w:tc>
        <w:tc>
          <w:tcPr>
            <w:tcW w:w="1964" w:type="dxa"/>
            <w:vAlign w:val="top"/>
          </w:tcPr>
          <w:p>
            <w:pPr>
              <w:spacing w:line="360" w:lineRule="auto"/>
              <w:rPr>
                <w:rFonts w:hint="eastAsia" w:ascii="宋体" w:hAnsi="宋体"/>
                <w:szCs w:val="21"/>
              </w:rPr>
            </w:pPr>
            <w:r>
              <w:rPr>
                <w:rFonts w:hAnsi="宋体"/>
                <w:sz w:val="24"/>
              </w:rPr>
              <w:t>环境湿度</w:t>
            </w:r>
          </w:p>
        </w:tc>
        <w:tc>
          <w:tcPr>
            <w:tcW w:w="2376" w:type="dxa"/>
            <w:vAlign w:val="top"/>
          </w:tcPr>
          <w:p>
            <w:pPr>
              <w:spacing w:line="360" w:lineRule="auto"/>
              <w:rPr>
                <w:rFonts w:hint="eastAsia" w:ascii="宋体" w:hAnsi="宋体"/>
                <w:szCs w:val="21"/>
              </w:rPr>
            </w:pPr>
            <w:r>
              <w:rPr>
                <w:rFonts w:hint="eastAsia"/>
                <w:sz w:val="24"/>
              </w:rPr>
              <w:t>相对湿度5％</w:t>
            </w:r>
            <w:r>
              <w:rPr>
                <w:sz w:val="24"/>
              </w:rPr>
              <w:t>~</w:t>
            </w:r>
            <w:r>
              <w:rPr>
                <w:rFonts w:hint="eastAsia"/>
                <w:sz w:val="24"/>
              </w:rPr>
              <w:t>95％不凝结</w:t>
            </w:r>
          </w:p>
        </w:tc>
        <w:tc>
          <w:tcPr>
            <w:tcW w:w="2127" w:type="dxa"/>
            <w:vAlign w:val="center"/>
          </w:tcPr>
          <w:p>
            <w:pPr>
              <w:spacing w:line="360" w:lineRule="auto"/>
              <w:jc w:val="center"/>
              <w:rPr>
                <w:rFonts w:hint="eastAsia" w:ascii="宋体" w:hAnsi="宋体"/>
                <w:sz w:val="24"/>
              </w:rPr>
            </w:pPr>
          </w:p>
        </w:tc>
        <w:tc>
          <w:tcPr>
            <w:tcW w:w="1885" w:type="dxa"/>
            <w:vAlign w:val="center"/>
          </w:tcPr>
          <w:p>
            <w:pPr>
              <w:spacing w:line="360" w:lineRule="auto"/>
              <w:jc w:val="center"/>
              <w:rPr>
                <w:rFonts w:hint="eastAsia" w:ascii="宋体" w:hAnsi="宋体"/>
                <w:sz w:val="24"/>
              </w:rPr>
            </w:pPr>
          </w:p>
        </w:tc>
      </w:tr>
      <w:bookmarkEnd w:id="18"/>
    </w:tbl>
    <w:p>
      <w:pPr>
        <w:pStyle w:val="3"/>
        <w:numPr>
          <w:ilvl w:val="0"/>
          <w:numId w:val="0"/>
        </w:numPr>
        <w:snapToGrid/>
        <w:spacing w:before="0" w:beforeLines="0" w:line="480" w:lineRule="auto"/>
        <w:rPr>
          <w:rFonts w:hint="eastAsia" w:hAnsi="宋体"/>
          <w:sz w:val="24"/>
          <w:szCs w:val="24"/>
        </w:rPr>
      </w:pPr>
      <w:bookmarkStart w:id="19" w:name="_Toc276492375"/>
      <w:bookmarkStart w:id="20" w:name="_Toc276490903"/>
      <w:bookmarkStart w:id="21" w:name="_Toc399627541"/>
      <w:r>
        <w:rPr>
          <w:rFonts w:hint="eastAsia" w:hAnsi="宋体"/>
          <w:sz w:val="24"/>
          <w:szCs w:val="24"/>
        </w:rPr>
        <w:t>5 技术</w:t>
      </w:r>
      <w:bookmarkEnd w:id="19"/>
      <w:bookmarkEnd w:id="20"/>
      <w:r>
        <w:rPr>
          <w:rFonts w:hint="eastAsia" w:hAnsi="宋体"/>
          <w:sz w:val="24"/>
          <w:szCs w:val="24"/>
        </w:rPr>
        <w:t>要求</w:t>
      </w:r>
      <w:bookmarkEnd w:id="21"/>
    </w:p>
    <w:bookmarkEnd w:id="0"/>
    <w:p>
      <w:pPr>
        <w:pStyle w:val="3"/>
        <w:numPr>
          <w:ilvl w:val="0"/>
          <w:numId w:val="0"/>
        </w:numPr>
        <w:snapToGrid/>
        <w:spacing w:before="0" w:beforeLines="0" w:line="480" w:lineRule="auto"/>
        <w:rPr>
          <w:rFonts w:hint="eastAsia"/>
          <w:sz w:val="24"/>
        </w:rPr>
      </w:pPr>
      <w:bookmarkStart w:id="22" w:name="_Toc399627545"/>
      <w:r>
        <w:rPr>
          <w:rFonts w:hint="eastAsia" w:hAnsi="宋体"/>
          <w:sz w:val="24"/>
          <w:szCs w:val="24"/>
          <w:lang w:val="en-US" w:eastAsia="zh-CN"/>
        </w:rPr>
        <w:t>5</w:t>
      </w:r>
      <w:r>
        <w:rPr>
          <w:rFonts w:hint="eastAsia" w:hAnsi="宋体"/>
          <w:sz w:val="24"/>
          <w:szCs w:val="24"/>
        </w:rPr>
        <w:t>.</w:t>
      </w:r>
      <w:r>
        <w:rPr>
          <w:rFonts w:hint="eastAsia" w:hAnsi="宋体"/>
          <w:sz w:val="24"/>
          <w:szCs w:val="24"/>
          <w:lang w:val="en-US" w:eastAsia="zh-CN"/>
        </w:rPr>
        <w:t>1</w:t>
      </w:r>
      <w:r>
        <w:rPr>
          <w:rFonts w:hint="eastAsia" w:hAnsi="宋体"/>
          <w:sz w:val="24"/>
          <w:szCs w:val="24"/>
        </w:rPr>
        <w:t xml:space="preserve"> 主要技术参数：</w:t>
      </w:r>
    </w:p>
    <w:p>
      <w:pPr>
        <w:spacing w:line="360" w:lineRule="auto"/>
        <w:rPr>
          <w:sz w:val="24"/>
        </w:rPr>
      </w:pPr>
      <w:r>
        <w:rPr>
          <w:rFonts w:hint="eastAsia"/>
          <w:sz w:val="24"/>
          <w:lang w:val="en-US" w:eastAsia="zh-CN"/>
        </w:rPr>
        <w:t>5</w:t>
      </w:r>
      <w:r>
        <w:rPr>
          <w:sz w:val="24"/>
        </w:rPr>
        <w:t>.</w:t>
      </w:r>
      <w:r>
        <w:rPr>
          <w:rFonts w:hint="eastAsia"/>
          <w:sz w:val="24"/>
          <w:lang w:val="en-US" w:eastAsia="zh-CN"/>
        </w:rPr>
        <w:t>1</w:t>
      </w:r>
      <w:r>
        <w:rPr>
          <w:sz w:val="24"/>
        </w:rPr>
        <w:t>.1</w:t>
      </w:r>
      <w:r>
        <w:rPr>
          <w:rFonts w:hAnsi="宋体"/>
          <w:sz w:val="24"/>
        </w:rPr>
        <w:t>准确等级：</w:t>
      </w:r>
      <w:r>
        <w:rPr>
          <w:sz w:val="24"/>
        </w:rPr>
        <w:t xml:space="preserve"> </w:t>
      </w:r>
    </w:p>
    <w:tbl>
      <w:tblPr>
        <w:tblStyle w:val="28"/>
        <w:tblW w:w="0" w:type="auto"/>
        <w:tblInd w:w="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3"/>
        <w:gridCol w:w="3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3" w:type="dxa"/>
            <w:tcBorders>
              <w:top w:val="single" w:color="auto" w:sz="8" w:space="0"/>
              <w:left w:val="single" w:color="auto" w:sz="8" w:space="0"/>
              <w:bottom w:val="single" w:color="auto" w:sz="8" w:space="0"/>
              <w:right w:val="single" w:color="auto" w:sz="8" w:space="0"/>
            </w:tcBorders>
            <w:noWrap w:val="0"/>
            <w:vAlign w:val="top"/>
          </w:tcPr>
          <w:p>
            <w:pPr>
              <w:spacing w:line="360" w:lineRule="auto"/>
              <w:jc w:val="center"/>
              <w:rPr>
                <w:sz w:val="24"/>
              </w:rPr>
            </w:pPr>
            <w:r>
              <w:rPr>
                <w:rFonts w:hAnsi="宋体"/>
                <w:sz w:val="24"/>
              </w:rPr>
              <w:t>变比范围</w:t>
            </w:r>
          </w:p>
        </w:tc>
        <w:tc>
          <w:tcPr>
            <w:tcW w:w="3885" w:type="dxa"/>
            <w:tcBorders>
              <w:top w:val="single" w:color="auto" w:sz="8" w:space="0"/>
              <w:left w:val="nil"/>
              <w:bottom w:val="single" w:color="auto" w:sz="8" w:space="0"/>
              <w:right w:val="single" w:color="auto" w:sz="8" w:space="0"/>
            </w:tcBorders>
            <w:noWrap w:val="0"/>
            <w:vAlign w:val="top"/>
          </w:tcPr>
          <w:p>
            <w:pPr>
              <w:spacing w:line="360" w:lineRule="auto"/>
              <w:jc w:val="center"/>
              <w:rPr>
                <w:sz w:val="24"/>
              </w:rPr>
            </w:pPr>
            <w:r>
              <w:rPr>
                <w:rFonts w:hAnsi="宋体"/>
                <w:sz w:val="24"/>
              </w:rPr>
              <w:t>准确度等级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3963" w:type="dxa"/>
            <w:tcBorders>
              <w:left w:val="single" w:color="auto" w:sz="8" w:space="0"/>
              <w:right w:val="single" w:color="auto" w:sz="8" w:space="0"/>
            </w:tcBorders>
            <w:noWrap w:val="0"/>
            <w:vAlign w:val="top"/>
          </w:tcPr>
          <w:p>
            <w:pPr>
              <w:spacing w:line="360" w:lineRule="auto"/>
              <w:rPr>
                <w:sz w:val="24"/>
              </w:rPr>
            </w:pPr>
            <w:r>
              <w:rPr>
                <w:sz w:val="24"/>
              </w:rPr>
              <w:t>1～2000</w:t>
            </w:r>
          </w:p>
        </w:tc>
        <w:tc>
          <w:tcPr>
            <w:tcW w:w="3885" w:type="dxa"/>
            <w:tcBorders>
              <w:left w:val="nil"/>
              <w:right w:val="single" w:color="auto" w:sz="8" w:space="0"/>
            </w:tcBorders>
            <w:noWrap w:val="0"/>
            <w:vAlign w:val="top"/>
          </w:tcPr>
          <w:p>
            <w:pPr>
              <w:spacing w:line="360" w:lineRule="auto"/>
              <w:rPr>
                <w:sz w:val="24"/>
              </w:rPr>
            </w:pPr>
            <w:r>
              <w:rPr>
                <w:sz w:val="24"/>
              </w:rPr>
              <w:t>≤ 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963" w:type="dxa"/>
            <w:tcBorders>
              <w:left w:val="single" w:color="auto" w:sz="8" w:space="0"/>
              <w:right w:val="single" w:color="auto" w:sz="8" w:space="0"/>
            </w:tcBorders>
            <w:noWrap w:val="0"/>
            <w:vAlign w:val="top"/>
          </w:tcPr>
          <w:p>
            <w:pPr>
              <w:spacing w:line="360" w:lineRule="auto"/>
              <w:rPr>
                <w:sz w:val="24"/>
              </w:rPr>
            </w:pPr>
            <w:r>
              <w:rPr>
                <w:sz w:val="24"/>
              </w:rPr>
              <w:t>2000～5000</w:t>
            </w:r>
          </w:p>
        </w:tc>
        <w:tc>
          <w:tcPr>
            <w:tcW w:w="3885" w:type="dxa"/>
            <w:tcBorders>
              <w:left w:val="nil"/>
              <w:right w:val="single" w:color="auto" w:sz="8" w:space="0"/>
            </w:tcBorders>
            <w:noWrap w:val="0"/>
            <w:vAlign w:val="top"/>
          </w:tcPr>
          <w:p>
            <w:pPr>
              <w:spacing w:line="360" w:lineRule="auto"/>
              <w:rPr>
                <w:sz w:val="24"/>
              </w:rPr>
            </w:pPr>
            <w:r>
              <w:rPr>
                <w:sz w:val="24"/>
              </w:rPr>
              <w:t>≤ 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top"/>
          </w:tcPr>
          <w:p>
            <w:pPr>
              <w:spacing w:line="360" w:lineRule="auto"/>
              <w:rPr>
                <w:sz w:val="24"/>
              </w:rPr>
            </w:pPr>
            <w:r>
              <w:rPr>
                <w:sz w:val="24"/>
              </w:rPr>
              <w:t>5000～10000</w:t>
            </w:r>
          </w:p>
        </w:tc>
        <w:tc>
          <w:tcPr>
            <w:tcW w:w="3885" w:type="dxa"/>
            <w:tcBorders>
              <w:left w:val="nil"/>
              <w:right w:val="single" w:color="auto" w:sz="8" w:space="0"/>
            </w:tcBorders>
            <w:noWrap w:val="0"/>
            <w:vAlign w:val="top"/>
          </w:tcPr>
          <w:p>
            <w:pPr>
              <w:spacing w:line="360" w:lineRule="auto"/>
              <w:rPr>
                <w:sz w:val="24"/>
              </w:rPr>
            </w:pPr>
            <w:r>
              <w:rPr>
                <w:sz w:val="24"/>
              </w:rPr>
              <w:t>≤ 0.05%</w:t>
            </w:r>
          </w:p>
        </w:tc>
      </w:tr>
    </w:tbl>
    <w:p>
      <w:pPr>
        <w:spacing w:line="360" w:lineRule="auto"/>
        <w:ind w:firstLine="480" w:firstLineChars="200"/>
        <w:rPr>
          <w:sz w:val="24"/>
        </w:rPr>
      </w:pPr>
      <w:r>
        <w:rPr>
          <w:sz w:val="24"/>
        </w:rPr>
        <w:t>检定实际误差值应不大于JJG313-1994《测量用电流互感器》中规定的误差限值的70％。</w:t>
      </w:r>
    </w:p>
    <w:p>
      <w:pPr>
        <w:spacing w:line="360" w:lineRule="auto"/>
        <w:rPr>
          <w:rFonts w:hint="eastAsia"/>
          <w:sz w:val="24"/>
        </w:rPr>
      </w:pPr>
      <w:r>
        <w:rPr>
          <w:rFonts w:hint="eastAsia"/>
          <w:sz w:val="24"/>
          <w:lang w:val="en-US" w:eastAsia="zh-CN"/>
        </w:rPr>
        <w:t>5</w:t>
      </w:r>
      <w:r>
        <w:rPr>
          <w:sz w:val="24"/>
        </w:rPr>
        <w:t>.</w:t>
      </w:r>
      <w:r>
        <w:rPr>
          <w:rFonts w:hint="eastAsia"/>
          <w:sz w:val="24"/>
          <w:lang w:val="en-US" w:eastAsia="zh-CN"/>
        </w:rPr>
        <w:t>1</w:t>
      </w:r>
      <w:r>
        <w:rPr>
          <w:sz w:val="24"/>
        </w:rPr>
        <w:t>.2</w:t>
      </w:r>
      <w:r>
        <w:rPr>
          <w:rFonts w:hAnsi="宋体"/>
          <w:sz w:val="24"/>
        </w:rPr>
        <w:t>测量范围：</w:t>
      </w:r>
    </w:p>
    <w:tbl>
      <w:tblPr>
        <w:tblStyle w:val="28"/>
        <w:tblW w:w="0" w:type="auto"/>
        <w:tblInd w:w="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3"/>
        <w:gridCol w:w="3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输出电压</w:t>
            </w:r>
          </w:p>
        </w:tc>
        <w:tc>
          <w:tcPr>
            <w:tcW w:w="3885" w:type="dxa"/>
            <w:tcBorders>
              <w:left w:val="nil"/>
              <w:right w:val="single" w:color="auto" w:sz="8" w:space="0"/>
            </w:tcBorders>
            <w:noWrap w:val="0"/>
            <w:vAlign w:val="top"/>
          </w:tcPr>
          <w:p>
            <w:pPr>
              <w:spacing w:line="360" w:lineRule="auto"/>
              <w:rPr>
                <w:sz w:val="24"/>
              </w:rPr>
            </w:pPr>
            <w:r>
              <w:rPr>
                <w:rFonts w:hint="eastAsia"/>
                <w:sz w:val="24"/>
              </w:rPr>
              <w:t>0</w:t>
            </w:r>
            <w:r>
              <w:rPr>
                <w:sz w:val="24"/>
              </w:rPr>
              <w:t xml:space="preserve"> ~ 120V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输出电流</w:t>
            </w:r>
          </w:p>
        </w:tc>
        <w:tc>
          <w:tcPr>
            <w:tcW w:w="3885" w:type="dxa"/>
            <w:tcBorders>
              <w:left w:val="nil"/>
              <w:right w:val="single" w:color="auto" w:sz="8" w:space="0"/>
            </w:tcBorders>
            <w:noWrap w:val="0"/>
            <w:vAlign w:val="top"/>
          </w:tcPr>
          <w:p>
            <w:pPr>
              <w:spacing w:line="360" w:lineRule="auto"/>
              <w:rPr>
                <w:sz w:val="24"/>
              </w:rPr>
            </w:pPr>
            <w:r>
              <w:rPr>
                <w:sz w:val="24"/>
              </w:rPr>
              <w:t>0 ~ 15A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输出功率</w:t>
            </w:r>
          </w:p>
        </w:tc>
        <w:tc>
          <w:tcPr>
            <w:tcW w:w="3885" w:type="dxa"/>
            <w:tcBorders>
              <w:left w:val="nil"/>
              <w:right w:val="single" w:color="auto" w:sz="8" w:space="0"/>
            </w:tcBorders>
            <w:noWrap w:val="0"/>
            <w:vAlign w:val="top"/>
          </w:tcPr>
          <w:p>
            <w:pPr>
              <w:spacing w:line="360" w:lineRule="auto"/>
              <w:rPr>
                <w:rFonts w:hint="eastAsia"/>
                <w:sz w:val="24"/>
              </w:rPr>
            </w:pPr>
            <w:r>
              <w:rPr>
                <w:rFonts w:hint="eastAsia"/>
                <w:sz w:val="24"/>
              </w:rPr>
              <w:t>0</w:t>
            </w:r>
            <w:r>
              <w:rPr>
                <w:sz w:val="24"/>
              </w:rPr>
              <w:t xml:space="preserve"> ~ 1500VA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center"/>
          </w:tcPr>
          <w:p>
            <w:pPr>
              <w:spacing w:line="360" w:lineRule="auto"/>
              <w:rPr>
                <w:rFonts w:hint="eastAsia"/>
                <w:sz w:val="24"/>
              </w:rPr>
            </w:pPr>
            <w:r>
              <w:rPr>
                <w:rFonts w:hAnsi="宋体"/>
                <w:sz w:val="24"/>
              </w:rPr>
              <w:t>一次电流</w:t>
            </w:r>
          </w:p>
        </w:tc>
        <w:tc>
          <w:tcPr>
            <w:tcW w:w="3885" w:type="dxa"/>
            <w:tcBorders>
              <w:left w:val="nil"/>
              <w:right w:val="single" w:color="auto" w:sz="8" w:space="0"/>
            </w:tcBorders>
            <w:noWrap w:val="0"/>
            <w:vAlign w:val="top"/>
          </w:tcPr>
          <w:p>
            <w:pPr>
              <w:spacing w:line="360" w:lineRule="auto"/>
              <w:rPr>
                <w:rFonts w:hint="eastAsia"/>
                <w:sz w:val="24"/>
              </w:rPr>
            </w:pPr>
            <w:r>
              <w:rPr>
                <w:sz w:val="24"/>
              </w:rPr>
              <w:t xml:space="preserve">5 </w:t>
            </w:r>
            <w:r>
              <w:rPr>
                <w:rFonts w:hint="eastAsia" w:hAnsi="宋体"/>
                <w:sz w:val="24"/>
              </w:rPr>
              <w:t>~</w:t>
            </w:r>
            <w:r>
              <w:rPr>
                <w:rFonts w:hAnsi="宋体"/>
                <w:sz w:val="24"/>
              </w:rPr>
              <w:t xml:space="preserve"> </w:t>
            </w:r>
            <w:r>
              <w:rPr>
                <w:rFonts w:hint="eastAsia"/>
                <w:sz w:val="24"/>
              </w:rPr>
              <w:t>5</w:t>
            </w:r>
            <w:r>
              <w:rPr>
                <w:sz w:val="24"/>
              </w:rPr>
              <w:t>0000A</w:t>
            </w:r>
            <w:r>
              <w:rPr>
                <w:rFonts w:hint="eastAsia"/>
                <w:sz w:val="24"/>
              </w:rPr>
              <w:t>，</w:t>
            </w:r>
            <w:r>
              <w:rPr>
                <w:rFonts w:hAnsi="宋体"/>
                <w:sz w:val="24"/>
              </w:rPr>
              <w:t>可在量程范围内设置任意值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center"/>
          </w:tcPr>
          <w:p>
            <w:pPr>
              <w:spacing w:line="360" w:lineRule="auto"/>
              <w:rPr>
                <w:rFonts w:hAnsi="宋体"/>
                <w:sz w:val="24"/>
              </w:rPr>
            </w:pPr>
            <w:r>
              <w:rPr>
                <w:rFonts w:hint="eastAsia" w:hAnsi="宋体"/>
                <w:sz w:val="24"/>
              </w:rPr>
              <w:t>功率因数</w:t>
            </w:r>
          </w:p>
        </w:tc>
        <w:tc>
          <w:tcPr>
            <w:tcW w:w="3885" w:type="dxa"/>
            <w:tcBorders>
              <w:left w:val="nil"/>
              <w:right w:val="single" w:color="auto" w:sz="8" w:space="0"/>
            </w:tcBorders>
            <w:noWrap w:val="0"/>
            <w:vAlign w:val="top"/>
          </w:tcPr>
          <w:p>
            <w:pPr>
              <w:spacing w:line="360" w:lineRule="auto"/>
              <w:rPr>
                <w:sz w:val="24"/>
              </w:rPr>
            </w:pPr>
            <w:r>
              <w:rPr>
                <w:sz w:val="24"/>
              </w:rPr>
              <w:t xml:space="preserve">0.8 </w:t>
            </w:r>
            <w:r>
              <w:rPr>
                <w:rFonts w:hint="eastAsia" w:hAnsi="宋体"/>
                <w:sz w:val="24"/>
              </w:rPr>
              <w:t>~</w:t>
            </w:r>
            <w:r>
              <w:rPr>
                <w:rFonts w:hAnsi="宋体"/>
                <w:sz w:val="24"/>
              </w:rPr>
              <w:t xml:space="preserve"> </w:t>
            </w:r>
            <w:r>
              <w:rPr>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center"/>
          </w:tcPr>
          <w:p>
            <w:pPr>
              <w:spacing w:line="360" w:lineRule="auto"/>
              <w:rPr>
                <w:rFonts w:hint="eastAsia" w:hAnsi="宋体"/>
                <w:sz w:val="24"/>
              </w:rPr>
            </w:pPr>
            <w:r>
              <w:rPr>
                <w:rFonts w:hint="eastAsia" w:hAnsi="宋体"/>
                <w:sz w:val="24"/>
              </w:rPr>
              <w:t>相位测量最小步长</w:t>
            </w:r>
          </w:p>
        </w:tc>
        <w:tc>
          <w:tcPr>
            <w:tcW w:w="3885" w:type="dxa"/>
            <w:tcBorders>
              <w:left w:val="nil"/>
              <w:right w:val="single" w:color="auto" w:sz="8" w:space="0"/>
            </w:tcBorders>
            <w:noWrap w:val="0"/>
            <w:vAlign w:val="top"/>
          </w:tcPr>
          <w:p>
            <w:pPr>
              <w:spacing w:line="360" w:lineRule="auto"/>
              <w:rPr>
                <w:sz w:val="24"/>
              </w:rPr>
            </w:pPr>
            <w:r>
              <w:rPr>
                <w:rFonts w:hint="eastAsia"/>
                <w:sz w:val="24"/>
              </w:rPr>
              <w:t>0</w:t>
            </w:r>
            <w:r>
              <w:rPr>
                <w:sz w:val="24"/>
              </w:rPr>
              <w:t>.01</w:t>
            </w:r>
            <w:r>
              <w:rPr>
                <w:rFonts w:hint="eastAsia"/>
                <w:sz w:val="24"/>
              </w:rPr>
              <w:t>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center"/>
          </w:tcPr>
          <w:p>
            <w:pPr>
              <w:spacing w:line="360" w:lineRule="auto"/>
              <w:rPr>
                <w:rFonts w:hint="eastAsia" w:hAnsi="宋体"/>
                <w:sz w:val="24"/>
              </w:rPr>
            </w:pPr>
            <w:r>
              <w:rPr>
                <w:rFonts w:hint="eastAsia" w:hAnsi="宋体"/>
                <w:sz w:val="24"/>
              </w:rPr>
              <w:t>相位测量准确度</w:t>
            </w:r>
          </w:p>
        </w:tc>
        <w:tc>
          <w:tcPr>
            <w:tcW w:w="3885" w:type="dxa"/>
            <w:tcBorders>
              <w:left w:val="nil"/>
              <w:right w:val="single" w:color="auto" w:sz="8" w:space="0"/>
            </w:tcBorders>
            <w:noWrap w:val="0"/>
            <w:vAlign w:val="top"/>
          </w:tcPr>
          <w:p>
            <w:pPr>
              <w:spacing w:line="360" w:lineRule="auto"/>
              <w:rPr>
                <w:rFonts w:hint="eastAsia"/>
                <w:sz w:val="24"/>
              </w:rPr>
            </w:pPr>
            <w:r>
              <w:rPr>
                <w:rFonts w:hint="eastAsia"/>
                <w:sz w:val="24"/>
              </w:rPr>
              <w:t>1min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center"/>
          </w:tcPr>
          <w:p>
            <w:pPr>
              <w:spacing w:line="360" w:lineRule="auto"/>
              <w:rPr>
                <w:rFonts w:hint="eastAsia" w:hAnsi="宋体"/>
                <w:sz w:val="24"/>
              </w:rPr>
            </w:pPr>
            <w:r>
              <w:rPr>
                <w:rFonts w:hint="eastAsia" w:hAnsi="宋体"/>
                <w:sz w:val="24"/>
              </w:rPr>
              <w:t>绕组测量最小步长</w:t>
            </w:r>
          </w:p>
        </w:tc>
        <w:tc>
          <w:tcPr>
            <w:tcW w:w="3885" w:type="dxa"/>
            <w:tcBorders>
              <w:left w:val="nil"/>
              <w:right w:val="single" w:color="auto" w:sz="8" w:space="0"/>
            </w:tcBorders>
            <w:noWrap w:val="0"/>
            <w:vAlign w:val="top"/>
          </w:tcPr>
          <w:p>
            <w:pPr>
              <w:spacing w:line="360" w:lineRule="auto"/>
              <w:rPr>
                <w:rFonts w:hint="eastAsia"/>
                <w:sz w:val="24"/>
              </w:rPr>
            </w:pPr>
            <w:r>
              <w:rPr>
                <w:sz w:val="24"/>
              </w:rPr>
              <w:t>1 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963" w:type="dxa"/>
            <w:tcBorders>
              <w:left w:val="single" w:color="auto" w:sz="8" w:space="0"/>
              <w:right w:val="single" w:color="auto" w:sz="8" w:space="0"/>
            </w:tcBorders>
            <w:noWrap w:val="0"/>
            <w:vAlign w:val="center"/>
          </w:tcPr>
          <w:p>
            <w:pPr>
              <w:spacing w:line="360" w:lineRule="auto"/>
              <w:rPr>
                <w:rFonts w:hint="eastAsia" w:hAnsi="宋体"/>
                <w:sz w:val="24"/>
              </w:rPr>
            </w:pPr>
            <w:r>
              <w:rPr>
                <w:rFonts w:hint="eastAsia" w:hAnsi="宋体"/>
                <w:sz w:val="24"/>
              </w:rPr>
              <w:t>绕组测量准确度</w:t>
            </w:r>
          </w:p>
        </w:tc>
        <w:tc>
          <w:tcPr>
            <w:tcW w:w="3885" w:type="dxa"/>
            <w:tcBorders>
              <w:left w:val="nil"/>
              <w:right w:val="single" w:color="auto" w:sz="8" w:space="0"/>
            </w:tcBorders>
            <w:noWrap w:val="0"/>
            <w:vAlign w:val="top"/>
          </w:tcPr>
          <w:p>
            <w:pPr>
              <w:spacing w:line="360" w:lineRule="auto"/>
              <w:rPr>
                <w:sz w:val="24"/>
              </w:rPr>
            </w:pPr>
            <w:r>
              <w:rPr>
                <w:sz w:val="24"/>
              </w:rPr>
              <w:t>≤ 0.05</w:t>
            </w:r>
          </w:p>
        </w:tc>
      </w:tr>
    </w:tbl>
    <w:p>
      <w:pPr>
        <w:spacing w:line="360" w:lineRule="auto"/>
        <w:rPr>
          <w:rFonts w:hint="eastAsia"/>
          <w:sz w:val="24"/>
        </w:rPr>
      </w:pPr>
    </w:p>
    <w:p>
      <w:pPr>
        <w:spacing w:line="360" w:lineRule="auto"/>
        <w:rPr>
          <w:rFonts w:hint="eastAsia" w:hAnsi="宋体"/>
          <w:sz w:val="24"/>
        </w:rPr>
      </w:pPr>
      <w:r>
        <w:rPr>
          <w:rFonts w:hint="eastAsia"/>
          <w:sz w:val="24"/>
          <w:lang w:val="en-US" w:eastAsia="zh-CN"/>
        </w:rPr>
        <w:t>5</w:t>
      </w:r>
      <w:r>
        <w:rPr>
          <w:sz w:val="24"/>
        </w:rPr>
        <w:t>.</w:t>
      </w:r>
      <w:r>
        <w:rPr>
          <w:rFonts w:hint="eastAsia"/>
          <w:sz w:val="24"/>
          <w:lang w:val="en-US" w:eastAsia="zh-CN"/>
        </w:rPr>
        <w:t>1</w:t>
      </w:r>
      <w:r>
        <w:rPr>
          <w:sz w:val="24"/>
        </w:rPr>
        <w:t>.3</w:t>
      </w:r>
      <w:r>
        <w:rPr>
          <w:rFonts w:hAnsi="宋体"/>
          <w:sz w:val="24"/>
        </w:rPr>
        <w:t>外形尺寸：</w:t>
      </w:r>
    </w:p>
    <w:tbl>
      <w:tblPr>
        <w:tblStyle w:val="28"/>
        <w:tblW w:w="0" w:type="auto"/>
        <w:tblInd w:w="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3"/>
        <w:gridCol w:w="3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外观尺寸</w:t>
            </w:r>
          </w:p>
        </w:tc>
        <w:tc>
          <w:tcPr>
            <w:tcW w:w="3885" w:type="dxa"/>
            <w:tcBorders>
              <w:left w:val="nil"/>
              <w:right w:val="single" w:color="auto" w:sz="8" w:space="0"/>
            </w:tcBorders>
            <w:noWrap w:val="0"/>
            <w:vAlign w:val="top"/>
          </w:tcPr>
          <w:p>
            <w:pPr>
              <w:spacing w:line="360" w:lineRule="auto"/>
              <w:rPr>
                <w:rFonts w:hint="eastAsia"/>
                <w:sz w:val="24"/>
              </w:rPr>
            </w:pPr>
            <w:r>
              <w:rPr>
                <w:sz w:val="24"/>
              </w:rPr>
              <w:t>≤ 400mm × 300mm × 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主机重量</w:t>
            </w:r>
          </w:p>
        </w:tc>
        <w:tc>
          <w:tcPr>
            <w:tcW w:w="3885" w:type="dxa"/>
            <w:tcBorders>
              <w:left w:val="nil"/>
              <w:right w:val="single" w:color="auto" w:sz="8" w:space="0"/>
            </w:tcBorders>
            <w:noWrap w:val="0"/>
            <w:vAlign w:val="top"/>
          </w:tcPr>
          <w:p>
            <w:pPr>
              <w:spacing w:line="360" w:lineRule="auto"/>
              <w:rPr>
                <w:sz w:val="24"/>
              </w:rPr>
            </w:pPr>
            <w:r>
              <w:rPr>
                <w:sz w:val="24"/>
              </w:rPr>
              <w:t xml:space="preserve">≤ 10kg </w:t>
            </w:r>
          </w:p>
        </w:tc>
      </w:tr>
    </w:tbl>
    <w:p>
      <w:pPr>
        <w:spacing w:line="360" w:lineRule="auto"/>
        <w:rPr>
          <w:sz w:val="24"/>
        </w:rPr>
      </w:pPr>
    </w:p>
    <w:p>
      <w:pPr>
        <w:spacing w:line="360" w:lineRule="auto"/>
        <w:rPr>
          <w:rFonts w:hAnsi="宋体"/>
          <w:sz w:val="24"/>
        </w:rPr>
      </w:pPr>
      <w:r>
        <w:rPr>
          <w:rFonts w:hint="eastAsia"/>
          <w:sz w:val="24"/>
          <w:lang w:val="en-US" w:eastAsia="zh-CN"/>
        </w:rPr>
        <w:t>5</w:t>
      </w:r>
      <w:r>
        <w:rPr>
          <w:sz w:val="24"/>
        </w:rPr>
        <w:t>.</w:t>
      </w:r>
      <w:r>
        <w:rPr>
          <w:rFonts w:hint="eastAsia"/>
          <w:sz w:val="24"/>
          <w:lang w:val="en-US" w:eastAsia="zh-CN"/>
        </w:rPr>
        <w:t>1</w:t>
      </w:r>
      <w:r>
        <w:rPr>
          <w:sz w:val="24"/>
        </w:rPr>
        <w:t>.4</w:t>
      </w:r>
      <w:r>
        <w:rPr>
          <w:rFonts w:hint="eastAsia" w:hAnsi="宋体"/>
          <w:sz w:val="24"/>
        </w:rPr>
        <w:t>主机电源：</w:t>
      </w:r>
      <w:r>
        <w:rPr>
          <w:rFonts w:hAnsi="宋体"/>
          <w:sz w:val="24"/>
        </w:rPr>
        <w:t xml:space="preserve"> </w:t>
      </w:r>
    </w:p>
    <w:tbl>
      <w:tblPr>
        <w:tblStyle w:val="28"/>
        <w:tblW w:w="0" w:type="auto"/>
        <w:tblInd w:w="6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3"/>
        <w:gridCol w:w="3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电源额定电压输入</w:t>
            </w:r>
          </w:p>
        </w:tc>
        <w:tc>
          <w:tcPr>
            <w:tcW w:w="3885" w:type="dxa"/>
            <w:tcBorders>
              <w:left w:val="nil"/>
              <w:right w:val="single" w:color="auto" w:sz="8" w:space="0"/>
            </w:tcBorders>
            <w:noWrap w:val="0"/>
            <w:vAlign w:val="top"/>
          </w:tcPr>
          <w:p>
            <w:pPr>
              <w:spacing w:line="360" w:lineRule="auto"/>
              <w:rPr>
                <w:rFonts w:hint="eastAsia"/>
                <w:sz w:val="24"/>
              </w:rPr>
            </w:pPr>
            <w:r>
              <w:rPr>
                <w:sz w:val="24"/>
              </w:rPr>
              <w:t>AC/100 V ~ AC/240 V</w:t>
            </w:r>
            <w:r>
              <w:rPr>
                <w:rFonts w:hint="eastAsia"/>
                <w:sz w:val="24"/>
              </w:rPr>
              <w:t>，</w:t>
            </w:r>
            <w:r>
              <w:rPr>
                <w:sz w:val="24"/>
              </w:rPr>
              <w:t xml:space="preserve">±10%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963" w:type="dxa"/>
            <w:tcBorders>
              <w:left w:val="single" w:color="auto" w:sz="8" w:space="0"/>
              <w:right w:val="single" w:color="auto" w:sz="8" w:space="0"/>
            </w:tcBorders>
            <w:noWrap w:val="0"/>
            <w:vAlign w:val="top"/>
          </w:tcPr>
          <w:p>
            <w:pPr>
              <w:spacing w:line="360" w:lineRule="auto"/>
              <w:rPr>
                <w:sz w:val="24"/>
              </w:rPr>
            </w:pPr>
            <w:r>
              <w:rPr>
                <w:rFonts w:hint="eastAsia"/>
                <w:sz w:val="24"/>
              </w:rPr>
              <w:t>频率</w:t>
            </w:r>
          </w:p>
        </w:tc>
        <w:tc>
          <w:tcPr>
            <w:tcW w:w="3885" w:type="dxa"/>
            <w:tcBorders>
              <w:left w:val="nil"/>
              <w:right w:val="single" w:color="auto" w:sz="8" w:space="0"/>
            </w:tcBorders>
            <w:noWrap w:val="0"/>
            <w:vAlign w:val="top"/>
          </w:tcPr>
          <w:p>
            <w:pPr>
              <w:spacing w:line="360" w:lineRule="auto"/>
              <w:rPr>
                <w:sz w:val="24"/>
              </w:rPr>
            </w:pPr>
            <w:r>
              <w:rPr>
                <w:sz w:val="24"/>
              </w:rPr>
              <w:t>50/60Hz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963" w:type="dxa"/>
            <w:tcBorders>
              <w:left w:val="single" w:color="auto" w:sz="8" w:space="0"/>
              <w:right w:val="single" w:color="auto" w:sz="8" w:space="0"/>
            </w:tcBorders>
            <w:noWrap w:val="0"/>
            <w:vAlign w:val="top"/>
          </w:tcPr>
          <w:p>
            <w:pPr>
              <w:spacing w:line="360" w:lineRule="auto"/>
              <w:rPr>
                <w:rFonts w:hint="eastAsia"/>
                <w:sz w:val="24"/>
              </w:rPr>
            </w:pPr>
            <w:r>
              <w:rPr>
                <w:rFonts w:hint="eastAsia"/>
                <w:sz w:val="24"/>
              </w:rPr>
              <w:t>电源功率输入</w:t>
            </w:r>
          </w:p>
        </w:tc>
        <w:tc>
          <w:tcPr>
            <w:tcW w:w="3885" w:type="dxa"/>
            <w:tcBorders>
              <w:left w:val="nil"/>
              <w:right w:val="single" w:color="auto" w:sz="8" w:space="0"/>
            </w:tcBorders>
            <w:noWrap w:val="0"/>
            <w:vAlign w:val="top"/>
          </w:tcPr>
          <w:p>
            <w:pPr>
              <w:spacing w:line="360" w:lineRule="auto"/>
              <w:rPr>
                <w:rFonts w:hint="eastAsia"/>
                <w:sz w:val="24"/>
              </w:rPr>
            </w:pPr>
            <w:r>
              <w:rPr>
                <w:rFonts w:hint="eastAsia"/>
                <w:sz w:val="24"/>
              </w:rPr>
              <w:t>4</w:t>
            </w:r>
            <w:r>
              <w:rPr>
                <w:sz w:val="24"/>
              </w:rPr>
              <w:t>50</w:t>
            </w:r>
            <w:r>
              <w:rPr>
                <w:rFonts w:hint="eastAsia"/>
                <w:sz w:val="24"/>
              </w:rPr>
              <w:t xml:space="preserve"> </w:t>
            </w:r>
            <w:r>
              <w:rPr>
                <w:sz w:val="24"/>
              </w:rPr>
              <w:t>~ 550VA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3963" w:type="dxa"/>
            <w:tcBorders>
              <w:left w:val="single" w:color="auto" w:sz="8" w:space="0"/>
              <w:right w:val="single" w:color="auto" w:sz="8" w:space="0"/>
            </w:tcBorders>
            <w:noWrap w:val="0"/>
            <w:vAlign w:val="top"/>
          </w:tcPr>
          <w:p>
            <w:pPr>
              <w:spacing w:line="360" w:lineRule="auto"/>
              <w:rPr>
                <w:rFonts w:hint="eastAsia"/>
                <w:sz w:val="24"/>
              </w:rPr>
            </w:pPr>
            <w:r>
              <w:rPr>
                <w:rFonts w:hint="eastAsia"/>
                <w:sz w:val="24"/>
              </w:rPr>
              <w:t>符合标准</w:t>
            </w:r>
          </w:p>
        </w:tc>
        <w:tc>
          <w:tcPr>
            <w:tcW w:w="3885" w:type="dxa"/>
            <w:tcBorders>
              <w:left w:val="nil"/>
              <w:right w:val="single" w:color="auto" w:sz="8" w:space="0"/>
            </w:tcBorders>
            <w:noWrap w:val="0"/>
            <w:vAlign w:val="top"/>
          </w:tcPr>
          <w:p>
            <w:pPr>
              <w:spacing w:line="360" w:lineRule="auto"/>
              <w:rPr>
                <w:rFonts w:hint="eastAsia"/>
                <w:sz w:val="24"/>
              </w:rPr>
            </w:pPr>
            <w:r>
              <w:rPr>
                <w:rFonts w:hint="eastAsia"/>
                <w:sz w:val="24"/>
              </w:rPr>
              <w:t>标准</w:t>
            </w:r>
            <w:r>
              <w:rPr>
                <w:sz w:val="24"/>
              </w:rPr>
              <w:t>AC Socket IEC 6</w:t>
            </w:r>
          </w:p>
        </w:tc>
      </w:tr>
    </w:tbl>
    <w:p>
      <w:pPr>
        <w:spacing w:line="360" w:lineRule="auto"/>
        <w:rPr>
          <w:sz w:val="24"/>
        </w:rPr>
      </w:pPr>
    </w:p>
    <w:p>
      <w:pPr>
        <w:spacing w:line="360" w:lineRule="auto"/>
        <w:rPr>
          <w:rFonts w:hAnsi="宋体"/>
          <w:sz w:val="24"/>
        </w:rPr>
      </w:pPr>
      <w:r>
        <w:rPr>
          <w:rFonts w:hint="eastAsia"/>
          <w:sz w:val="24"/>
          <w:lang w:val="en-US" w:eastAsia="zh-CN"/>
        </w:rPr>
        <w:t>5</w:t>
      </w:r>
      <w:r>
        <w:rPr>
          <w:sz w:val="24"/>
        </w:rPr>
        <w:t>.</w:t>
      </w:r>
      <w:r>
        <w:rPr>
          <w:rFonts w:hint="eastAsia"/>
          <w:sz w:val="24"/>
          <w:lang w:val="en-US" w:eastAsia="zh-CN"/>
        </w:rPr>
        <w:t>1</w:t>
      </w:r>
      <w:r>
        <w:rPr>
          <w:sz w:val="24"/>
        </w:rPr>
        <w:t>.5</w:t>
      </w:r>
      <w:r>
        <w:rPr>
          <w:rFonts w:hAnsi="宋体"/>
          <w:sz w:val="24"/>
        </w:rPr>
        <w:t>整机满足</w:t>
      </w:r>
      <w:r>
        <w:rPr>
          <w:sz w:val="24"/>
        </w:rPr>
        <w:t>IEC</w:t>
      </w:r>
      <w:r>
        <w:rPr>
          <w:rFonts w:hAnsi="宋体"/>
          <w:sz w:val="24"/>
        </w:rPr>
        <w:t>关于</w:t>
      </w:r>
      <w:r>
        <w:rPr>
          <w:sz w:val="24"/>
        </w:rPr>
        <w:t>EMC</w:t>
      </w:r>
      <w:r>
        <w:rPr>
          <w:rFonts w:hAnsi="宋体"/>
          <w:sz w:val="24"/>
        </w:rPr>
        <w:t>的要求。</w:t>
      </w:r>
    </w:p>
    <w:p>
      <w:pPr>
        <w:spacing w:line="360" w:lineRule="auto"/>
        <w:rPr>
          <w:rFonts w:hint="eastAsia"/>
          <w:sz w:val="24"/>
        </w:rPr>
      </w:pPr>
    </w:p>
    <w:p>
      <w:pPr>
        <w:rPr>
          <w:b/>
          <w:bCs/>
          <w:sz w:val="28"/>
          <w:szCs w:val="28"/>
        </w:rPr>
      </w:pPr>
      <w:r>
        <w:rPr>
          <w:rFonts w:hint="eastAsia"/>
          <w:b/>
          <w:bCs/>
          <w:sz w:val="28"/>
          <w:szCs w:val="28"/>
          <w:lang w:val="en-US" w:eastAsia="zh-CN"/>
        </w:rPr>
        <w:t>5.2</w:t>
      </w:r>
      <w:r>
        <w:rPr>
          <w:b/>
          <w:bCs/>
          <w:sz w:val="28"/>
          <w:szCs w:val="28"/>
        </w:rPr>
        <w:t xml:space="preserve"> 主要</w:t>
      </w:r>
      <w:r>
        <w:rPr>
          <w:rFonts w:hAnsi="宋体"/>
          <w:b/>
          <w:bCs/>
          <w:sz w:val="28"/>
          <w:szCs w:val="28"/>
        </w:rPr>
        <w:t>功能：</w:t>
      </w:r>
    </w:p>
    <w:p>
      <w:pPr>
        <w:widowControl/>
        <w:spacing w:line="460" w:lineRule="exact"/>
        <w:ind w:left="720" w:right="1287" w:hanging="720" w:hangingChars="300"/>
        <w:rPr>
          <w:rFonts w:hint="eastAsia" w:eastAsia="宋体"/>
          <w:sz w:val="24"/>
          <w:lang w:val="en-US" w:eastAsia="zh-CN"/>
        </w:rPr>
      </w:pPr>
      <w:r>
        <w:rPr>
          <w:rFonts w:hint="eastAsia"/>
          <w:sz w:val="24"/>
          <w:lang w:val="en-US" w:eastAsia="zh-CN"/>
        </w:rPr>
        <w:t>5</w:t>
      </w:r>
      <w:r>
        <w:rPr>
          <w:sz w:val="24"/>
        </w:rPr>
        <w:t>.</w:t>
      </w:r>
      <w:r>
        <w:rPr>
          <w:rFonts w:hint="eastAsia"/>
          <w:sz w:val="24"/>
          <w:lang w:val="en-US" w:eastAsia="zh-CN"/>
        </w:rPr>
        <w:t>2</w:t>
      </w:r>
      <w:r>
        <w:rPr>
          <w:sz w:val="24"/>
        </w:rPr>
        <w:t>.1</w:t>
      </w:r>
      <w:r>
        <w:rPr>
          <w:sz w:val="24"/>
          <w:lang w:val="de-DE"/>
        </w:rPr>
        <w:t>电流互感器励磁特性</w:t>
      </w:r>
      <w:r>
        <w:rPr>
          <w:rFonts w:hint="eastAsia"/>
          <w:sz w:val="24"/>
          <w:lang w:val="de-DE"/>
        </w:rPr>
        <w:t>（拐点电动势）</w:t>
      </w:r>
      <w:r>
        <w:rPr>
          <w:sz w:val="24"/>
          <w:lang w:val="de-DE"/>
        </w:rPr>
        <w:t>、比角差</w:t>
      </w:r>
      <w:r>
        <w:rPr>
          <w:rFonts w:hint="eastAsia"/>
          <w:sz w:val="24"/>
          <w:lang w:val="de-DE" w:eastAsia="zh-CN"/>
        </w:rPr>
        <w:t>（</w:t>
      </w:r>
      <w:r>
        <w:rPr>
          <w:rFonts w:hint="eastAsia"/>
          <w:sz w:val="24"/>
          <w:lang w:val="en-US" w:eastAsia="zh-CN"/>
        </w:rPr>
        <w:t>能够</w:t>
      </w:r>
      <w:r>
        <w:rPr>
          <w:rFonts w:hint="eastAsia"/>
          <w:sz w:val="24"/>
          <w:lang w:val="de-DE" w:eastAsia="zh-CN"/>
        </w:rPr>
        <w:t>对应上升到</w:t>
      </w:r>
      <w:r>
        <w:rPr>
          <w:rFonts w:hint="eastAsia"/>
          <w:sz w:val="24"/>
          <w:lang w:val="en-US" w:eastAsia="zh-CN"/>
        </w:rPr>
        <w:t>任意倍数</w:t>
      </w:r>
      <w:r>
        <w:rPr>
          <w:rFonts w:hint="eastAsia"/>
          <w:sz w:val="24"/>
          <w:lang w:val="de-DE" w:eastAsia="zh-CN"/>
        </w:rPr>
        <w:t>的额定电流和所有的负载值</w:t>
      </w:r>
      <w:r>
        <w:rPr>
          <w:rFonts w:hint="eastAsia"/>
          <w:sz w:val="24"/>
          <w:lang w:val="en-US" w:eastAsia="zh-CN"/>
        </w:rPr>
        <w:t>而</w:t>
      </w:r>
      <w:r>
        <w:rPr>
          <w:rFonts w:hint="eastAsia"/>
          <w:sz w:val="24"/>
          <w:lang w:val="de-DE" w:eastAsia="zh-CN"/>
        </w:rPr>
        <w:t>不需要连接到实际的负载）</w:t>
      </w:r>
      <w:r>
        <w:rPr>
          <w:sz w:val="24"/>
          <w:lang w:val="de-DE"/>
        </w:rPr>
        <w:t>、</w:t>
      </w:r>
      <w:r>
        <w:rPr>
          <w:rFonts w:hint="eastAsia"/>
          <w:sz w:val="24"/>
          <w:lang w:val="de-DE"/>
        </w:rPr>
        <w:t>Rct</w:t>
      </w:r>
      <w:r>
        <w:rPr>
          <w:sz w:val="24"/>
          <w:lang w:val="de-DE"/>
        </w:rPr>
        <w:t>线圈直</w:t>
      </w:r>
      <w:r>
        <w:rPr>
          <w:rFonts w:hint="eastAsia"/>
          <w:sz w:val="24"/>
          <w:lang w:val="en-US" w:eastAsia="zh-CN"/>
        </w:rPr>
        <w:t>阻、二</w:t>
      </w:r>
      <w:r>
        <w:rPr>
          <w:sz w:val="24"/>
          <w:lang w:val="de-DE"/>
        </w:rPr>
        <w:t>次负载测试</w:t>
      </w:r>
      <w:r>
        <w:rPr>
          <w:rFonts w:hint="eastAsia"/>
          <w:sz w:val="24"/>
          <w:lang w:val="de-DE" w:eastAsia="zh-CN"/>
        </w:rPr>
        <w:t>；</w:t>
      </w:r>
    </w:p>
    <w:p>
      <w:pPr>
        <w:widowControl/>
        <w:spacing w:line="460" w:lineRule="exact"/>
        <w:ind w:left="720" w:right="-154" w:hanging="720" w:hangingChars="300"/>
        <w:rPr>
          <w:sz w:val="24"/>
          <w:lang w:val="de-DE"/>
        </w:rPr>
      </w:pPr>
      <w:r>
        <w:rPr>
          <w:rFonts w:hint="eastAsia"/>
          <w:sz w:val="24"/>
          <w:lang w:val="en-US" w:eastAsia="zh-CN"/>
        </w:rPr>
        <w:t>5</w:t>
      </w:r>
      <w:r>
        <w:rPr>
          <w:sz w:val="24"/>
        </w:rPr>
        <w:t>.</w:t>
      </w:r>
      <w:r>
        <w:rPr>
          <w:rFonts w:hint="eastAsia"/>
          <w:sz w:val="24"/>
          <w:lang w:val="en-US" w:eastAsia="zh-CN"/>
        </w:rPr>
        <w:t>2</w:t>
      </w:r>
      <w:r>
        <w:rPr>
          <w:sz w:val="24"/>
        </w:rPr>
        <w:t>.2</w:t>
      </w:r>
      <w:r>
        <w:rPr>
          <w:sz w:val="24"/>
          <w:lang w:val="de-DE"/>
        </w:rPr>
        <w:t>测试并提供：准确限值系数ALF、仪表保安系数FS、二次时间常数Ts、</w:t>
      </w:r>
      <w:r>
        <w:rPr>
          <w:rFonts w:hint="eastAsia"/>
          <w:sz w:val="24"/>
          <w:lang w:val="de-DE"/>
        </w:rPr>
        <w:t>一次时间常数Tp</w:t>
      </w:r>
      <w:r>
        <w:rPr>
          <w:rFonts w:hint="eastAsia"/>
          <w:sz w:val="24"/>
          <w:lang w:val="de-DE" w:eastAsia="zh-CN"/>
        </w:rPr>
        <w:t>、</w:t>
      </w:r>
      <w:r>
        <w:rPr>
          <w:sz w:val="24"/>
          <w:lang w:val="de-DE"/>
        </w:rPr>
        <w:t>剩磁系数Kr、不饱和电感Lu、饱和电感Ls</w:t>
      </w:r>
      <w:r>
        <w:rPr>
          <w:rFonts w:hint="eastAsia"/>
          <w:sz w:val="24"/>
          <w:lang w:val="de-DE" w:eastAsia="zh-CN"/>
        </w:rPr>
        <w:t>、Kssc额定对称短路电流倍数、Vkn按照IEC 60044-6的拐点电压、Ikn按照IEC 60044-6的拐点电流、Ek/Ual、Ie、Ial（准确限值电压和电流）、Kx（按照PX等级的面积系数）、N（按照PX等级的匝比）、</w:t>
      </w:r>
      <w:r>
        <w:rPr>
          <w:rFonts w:hint="eastAsia"/>
          <w:position w:val="-14"/>
          <w:sz w:val="24"/>
          <w:lang w:val="de-DE" w:eastAsia="zh-CN"/>
        </w:rPr>
        <w:object>
          <v:shape id="_x0000_i1025" o:spt="75" type="#_x0000_t75" style="height:20pt;width:13.95pt;" o:ole="t" filled="f" o:preferrelative="t" stroked="f" coordsize="21600,21600">
            <v:path/>
            <v:fill on="f" focussize="0,0"/>
            <v:stroke on="f"/>
            <v:imagedata r:id="rId9" o:title=""/>
            <o:lock v:ext="edit" aspectratio="t"/>
            <w10:wrap type="none"/>
            <w10:anchorlock/>
          </v:shape>
          <o:OLEObject Type="Embed" ProgID="Equation.KSEE3" ShapeID="_x0000_i1025" DrawAspect="Content" ObjectID="_1468075725" r:id="rId8">
            <o:LockedField>false</o:LockedField>
          </o:OLEObject>
        </w:object>
      </w:r>
      <w:r>
        <w:rPr>
          <w:rFonts w:hint="eastAsia"/>
          <w:sz w:val="24"/>
          <w:lang w:val="de-DE" w:eastAsia="zh-CN"/>
        </w:rPr>
        <w:t>、</w:t>
      </w:r>
      <w:r>
        <w:rPr>
          <w:rFonts w:hint="eastAsia"/>
          <w:position w:val="-14"/>
          <w:sz w:val="24"/>
          <w:lang w:val="de-DE" w:eastAsia="zh-CN"/>
        </w:rPr>
        <w:object>
          <v:shape id="_x0000_i1026" o:spt="75" type="#_x0000_t75" style="height:20pt;width:15pt;" o:ole="t" filled="f" o:preferrelative="t" stroked="f" coordsize="21600,21600">
            <v:path/>
            <v:fill on="f" focussize="0,0"/>
            <v:stroke on="f"/>
            <v:imagedata r:id="rId11" o:title=""/>
            <o:lock v:ext="edit" aspectratio="t"/>
            <w10:wrap type="none"/>
            <w10:anchorlock/>
          </v:shape>
          <o:OLEObject Type="Embed" ProgID="Equation.KSEE3" ShapeID="_x0000_i1026" DrawAspect="Content" ObjectID="_1468075726" r:id="rId10">
            <o:LockedField>false</o:LockedField>
          </o:OLEObject>
        </w:object>
      </w:r>
      <w:r>
        <w:rPr>
          <w:rFonts w:hint="eastAsia"/>
          <w:sz w:val="24"/>
          <w:lang w:val="de-DE" w:eastAsia="zh-CN"/>
        </w:rPr>
        <w:t>（匝比和复合误差）、 Emax（包含暂态分量的最大emf 电压）、</w:t>
      </w:r>
      <w:r>
        <w:rPr>
          <w:rFonts w:hint="eastAsia"/>
          <w:position w:val="-6"/>
          <w:sz w:val="24"/>
          <w:lang w:val="de-DE" w:eastAsia="zh-CN"/>
        </w:rPr>
        <w:object>
          <v:shape id="_x0000_i1027" o:spt="75" type="#_x0000_t75" style="height:16pt;width:15pt;" o:ole="t" filled="f" o:preferrelative="t" stroked="f" coordsize="21600,21600">
            <v:path/>
            <v:fill on="f" focussize="0,0"/>
            <v:stroke on="f"/>
            <v:imagedata r:id="rId13" o:title=""/>
            <o:lock v:ext="edit" aspectratio="t"/>
            <w10:wrap type="none"/>
            <w10:anchorlock/>
          </v:shape>
          <o:OLEObject Type="Embed" ProgID="Equation.KSEE3" ShapeID="_x0000_i1027" DrawAspect="Content" ObjectID="_1468075727" r:id="rId12">
            <o:LockedField>false</o:LockedField>
          </o:OLEObject>
        </w:object>
      </w:r>
      <w:r>
        <w:rPr>
          <w:rFonts w:hint="eastAsia"/>
          <w:sz w:val="24"/>
          <w:lang w:val="de-DE" w:eastAsia="zh-CN"/>
        </w:rPr>
        <w:t>（峰值瞬时误差</w:t>
      </w:r>
      <w:r>
        <w:rPr>
          <w:sz w:val="24"/>
          <w:lang w:val="de-DE"/>
        </w:rPr>
        <w:t>等重要参数供应用分析；</w:t>
      </w:r>
    </w:p>
    <w:p>
      <w:pPr>
        <w:widowControl/>
        <w:tabs>
          <w:tab w:val="left" w:pos="8460"/>
        </w:tabs>
        <w:spacing w:line="460" w:lineRule="exact"/>
        <w:ind w:left="720" w:right="-154" w:hanging="720" w:hangingChars="300"/>
        <w:rPr>
          <w:sz w:val="24"/>
          <w:lang w:val="de-DE"/>
        </w:rPr>
      </w:pPr>
      <w:r>
        <w:rPr>
          <w:rFonts w:hint="eastAsia"/>
          <w:sz w:val="24"/>
          <w:lang w:val="en-US" w:eastAsia="zh-CN"/>
        </w:rPr>
        <w:t>5</w:t>
      </w:r>
      <w:r>
        <w:rPr>
          <w:sz w:val="24"/>
        </w:rPr>
        <w:t>.</w:t>
      </w:r>
      <w:r>
        <w:rPr>
          <w:rFonts w:hint="eastAsia"/>
          <w:sz w:val="24"/>
          <w:lang w:val="en-US" w:eastAsia="zh-CN"/>
        </w:rPr>
        <w:t>2</w:t>
      </w:r>
      <w:r>
        <w:rPr>
          <w:sz w:val="24"/>
        </w:rPr>
        <w:t>.3</w:t>
      </w:r>
      <w:r>
        <w:rPr>
          <w:sz w:val="24"/>
          <w:lang w:val="de-DE"/>
        </w:rPr>
        <w:t>完成500</w:t>
      </w:r>
      <w:r>
        <w:rPr>
          <w:rFonts w:hint="eastAsia"/>
          <w:sz w:val="24"/>
          <w:lang w:val="en-US" w:eastAsia="zh-CN"/>
        </w:rPr>
        <w:t>k</w:t>
      </w:r>
      <w:r>
        <w:rPr>
          <w:sz w:val="24"/>
          <w:lang w:val="de-DE"/>
        </w:rPr>
        <w:t>V及以下</w:t>
      </w:r>
      <w:r>
        <w:rPr>
          <w:rFonts w:hint="eastAsia"/>
          <w:sz w:val="24"/>
          <w:lang w:val="de-DE" w:eastAsia="zh-CN"/>
        </w:rPr>
        <w:t>、按照IEC60044-6标准所定义</w:t>
      </w:r>
      <w:r>
        <w:rPr>
          <w:sz w:val="24"/>
          <w:lang w:val="de-DE"/>
        </w:rPr>
        <w:t>的暂态电流互感器（TPS、TPX、TPY、TPZ）的励磁特性与暂态参数</w:t>
      </w:r>
      <w:r>
        <w:rPr>
          <w:rFonts w:hint="eastAsia"/>
          <w:sz w:val="24"/>
          <w:lang w:val="de-DE"/>
        </w:rPr>
        <w:t>（暂态系数</w:t>
      </w:r>
      <w:r>
        <w:rPr>
          <w:sz w:val="24"/>
          <w:lang w:val="de-DE"/>
        </w:rPr>
        <w:t>K</w:t>
      </w:r>
      <w:r>
        <w:rPr>
          <w:rFonts w:hint="eastAsia"/>
          <w:sz w:val="24"/>
          <w:lang w:val="de-DE"/>
        </w:rPr>
        <w:t>td）</w:t>
      </w:r>
      <w:r>
        <w:rPr>
          <w:sz w:val="24"/>
          <w:lang w:val="de-DE"/>
        </w:rPr>
        <w:t>测试；</w:t>
      </w:r>
    </w:p>
    <w:p>
      <w:pPr>
        <w:widowControl/>
        <w:spacing w:line="460" w:lineRule="exact"/>
        <w:ind w:right="1287"/>
        <w:rPr>
          <w:sz w:val="24"/>
          <w:lang w:val="de-DE"/>
        </w:rPr>
      </w:pPr>
      <w:r>
        <w:rPr>
          <w:rFonts w:hint="eastAsia"/>
          <w:sz w:val="24"/>
          <w:lang w:val="en-US" w:eastAsia="zh-CN"/>
        </w:rPr>
        <w:t>5</w:t>
      </w:r>
      <w:r>
        <w:rPr>
          <w:sz w:val="24"/>
        </w:rPr>
        <w:t>.</w:t>
      </w:r>
      <w:r>
        <w:rPr>
          <w:rFonts w:hint="eastAsia"/>
          <w:sz w:val="24"/>
          <w:lang w:val="en-US" w:eastAsia="zh-CN"/>
        </w:rPr>
        <w:t>2</w:t>
      </w:r>
      <w:r>
        <w:rPr>
          <w:sz w:val="24"/>
        </w:rPr>
        <w:t>.4</w:t>
      </w:r>
      <w:r>
        <w:rPr>
          <w:sz w:val="24"/>
          <w:lang w:val="de-DE"/>
        </w:rPr>
        <w:t>完成</w:t>
      </w:r>
      <w:r>
        <w:rPr>
          <w:rFonts w:hint="eastAsia"/>
          <w:sz w:val="24"/>
          <w:lang w:val="de-DE"/>
        </w:rPr>
        <w:t>拐点电压超过15kV的CT</w:t>
      </w:r>
      <w:r>
        <w:rPr>
          <w:sz w:val="24"/>
          <w:lang w:val="de-DE"/>
        </w:rPr>
        <w:t>测试；</w:t>
      </w:r>
    </w:p>
    <w:p>
      <w:pPr>
        <w:widowControl/>
        <w:spacing w:line="460" w:lineRule="exact"/>
        <w:ind w:left="720" w:right="-154" w:hanging="720" w:hangingChars="300"/>
        <w:rPr>
          <w:sz w:val="24"/>
          <w:lang w:val="de-DE"/>
        </w:rPr>
      </w:pPr>
      <w:r>
        <w:rPr>
          <w:rFonts w:hint="eastAsia"/>
          <w:sz w:val="24"/>
          <w:lang w:val="en-US" w:eastAsia="zh-CN"/>
        </w:rPr>
        <w:t>5</w:t>
      </w:r>
      <w:r>
        <w:rPr>
          <w:sz w:val="24"/>
        </w:rPr>
        <w:t>.</w:t>
      </w:r>
      <w:r>
        <w:rPr>
          <w:rFonts w:hint="eastAsia"/>
          <w:sz w:val="24"/>
          <w:lang w:val="en-US" w:eastAsia="zh-CN"/>
        </w:rPr>
        <w:t>2</w:t>
      </w:r>
      <w:r>
        <w:rPr>
          <w:sz w:val="24"/>
        </w:rPr>
        <w:t>.5</w:t>
      </w:r>
      <w:r>
        <w:rPr>
          <w:sz w:val="24"/>
          <w:lang w:val="de-DE"/>
        </w:rPr>
        <w:t>完成500</w:t>
      </w:r>
      <w:r>
        <w:rPr>
          <w:rFonts w:hint="eastAsia"/>
          <w:sz w:val="24"/>
          <w:lang w:val="en-US" w:eastAsia="zh-CN"/>
        </w:rPr>
        <w:t>k</w:t>
      </w:r>
      <w:r>
        <w:rPr>
          <w:sz w:val="24"/>
          <w:lang w:val="de-DE"/>
        </w:rPr>
        <w:t>V及以下已安装的变压器套管CT、GIS CT的励磁特性与比角差等现场测试；</w:t>
      </w:r>
    </w:p>
    <w:p>
      <w:pPr>
        <w:widowControl/>
        <w:spacing w:line="460" w:lineRule="exact"/>
        <w:ind w:right="1287"/>
        <w:rPr>
          <w:sz w:val="24"/>
          <w:lang w:val="de-DE"/>
        </w:rPr>
      </w:pPr>
      <w:r>
        <w:rPr>
          <w:rFonts w:hint="eastAsia"/>
          <w:sz w:val="24"/>
          <w:lang w:val="en-US" w:eastAsia="zh-CN"/>
        </w:rPr>
        <w:t>5</w:t>
      </w:r>
      <w:r>
        <w:rPr>
          <w:sz w:val="24"/>
        </w:rPr>
        <w:t>.</w:t>
      </w:r>
      <w:r>
        <w:rPr>
          <w:rFonts w:hint="eastAsia"/>
          <w:sz w:val="24"/>
          <w:lang w:val="en-US" w:eastAsia="zh-CN"/>
        </w:rPr>
        <w:t>2</w:t>
      </w:r>
      <w:r>
        <w:rPr>
          <w:sz w:val="24"/>
        </w:rPr>
        <w:t>.6</w:t>
      </w:r>
      <w:r>
        <w:rPr>
          <w:sz w:val="24"/>
          <w:lang w:val="de-DE"/>
        </w:rPr>
        <w:t>完成差动用电流互感器励磁曲线比较；</w:t>
      </w:r>
    </w:p>
    <w:p>
      <w:pPr>
        <w:widowControl/>
        <w:spacing w:line="460" w:lineRule="exact"/>
        <w:ind w:right="1287"/>
        <w:rPr>
          <w:sz w:val="24"/>
          <w:lang w:val="de-DE"/>
        </w:rPr>
      </w:pPr>
      <w:r>
        <w:rPr>
          <w:rFonts w:hint="eastAsia"/>
          <w:sz w:val="24"/>
          <w:lang w:val="en-US" w:eastAsia="zh-CN"/>
        </w:rPr>
        <w:t>5</w:t>
      </w:r>
      <w:r>
        <w:rPr>
          <w:sz w:val="24"/>
        </w:rPr>
        <w:t>.</w:t>
      </w:r>
      <w:r>
        <w:rPr>
          <w:rFonts w:hint="eastAsia"/>
          <w:sz w:val="24"/>
          <w:lang w:val="en-US" w:eastAsia="zh-CN"/>
        </w:rPr>
        <w:t>2</w:t>
      </w:r>
      <w:r>
        <w:rPr>
          <w:sz w:val="24"/>
        </w:rPr>
        <w:t>.7</w:t>
      </w:r>
      <w:r>
        <w:rPr>
          <w:sz w:val="24"/>
          <w:lang w:val="de-DE"/>
        </w:rPr>
        <w:t>根据IEC标准自动评估电流互感器是否满足铭牌要求；</w:t>
      </w:r>
    </w:p>
    <w:p>
      <w:pPr>
        <w:widowControl/>
        <w:spacing w:line="460" w:lineRule="exact"/>
        <w:ind w:left="720" w:right="1287" w:hanging="720" w:hangingChars="300"/>
        <w:rPr>
          <w:rFonts w:hint="eastAsia" w:eastAsia="宋体"/>
          <w:sz w:val="24"/>
          <w:lang w:val="de-DE" w:eastAsia="zh-CN"/>
        </w:rPr>
      </w:pPr>
      <w:r>
        <w:rPr>
          <w:rFonts w:hint="eastAsia"/>
          <w:sz w:val="24"/>
          <w:lang w:val="en-US" w:eastAsia="zh-CN"/>
        </w:rPr>
        <w:t>5</w:t>
      </w:r>
      <w:r>
        <w:rPr>
          <w:sz w:val="24"/>
        </w:rPr>
        <w:t>.</w:t>
      </w:r>
      <w:r>
        <w:rPr>
          <w:rFonts w:hint="eastAsia"/>
          <w:sz w:val="24"/>
          <w:lang w:val="en-US" w:eastAsia="zh-CN"/>
        </w:rPr>
        <w:t>2</w:t>
      </w:r>
      <w:r>
        <w:rPr>
          <w:sz w:val="24"/>
        </w:rPr>
        <w:t>.8</w:t>
      </w:r>
      <w:r>
        <w:rPr>
          <w:sz w:val="24"/>
          <w:lang w:val="de-DE"/>
        </w:rPr>
        <w:t>根据IEC标准自动推断电流互感器的铭牌参数</w:t>
      </w:r>
      <w:r>
        <w:rPr>
          <w:rFonts w:hint="eastAsia"/>
          <w:sz w:val="24"/>
          <w:lang w:val="de-DE" w:eastAsia="zh-CN"/>
        </w:rPr>
        <w:t>；</w:t>
      </w:r>
    </w:p>
    <w:p>
      <w:pPr>
        <w:pStyle w:val="25"/>
        <w:spacing w:before="0" w:beforeAutospacing="0" w:after="0" w:afterAutospacing="0" w:line="360" w:lineRule="auto"/>
        <w:ind w:left="240" w:hanging="240" w:hangingChars="100"/>
        <w:rPr>
          <w:rFonts w:hint="eastAsia"/>
          <w:color w:val="000000"/>
          <w:kern w:val="2"/>
        </w:rPr>
      </w:pPr>
      <w:r>
        <w:rPr>
          <w:rFonts w:hint="eastAsia" w:ascii="Times New Roman" w:hAnsi="Times New Roman"/>
          <w:color w:val="000000"/>
          <w:kern w:val="2"/>
        </w:rPr>
        <w:t>5.2.</w:t>
      </w:r>
      <w:r>
        <w:rPr>
          <w:rFonts w:ascii="Times New Roman" w:hAnsi="Times New Roman"/>
          <w:color w:val="000000"/>
          <w:kern w:val="2"/>
        </w:rPr>
        <w:t xml:space="preserve">9 </w:t>
      </w:r>
      <w:r>
        <w:rPr>
          <w:rFonts w:hint="eastAsia"/>
          <w:color w:val="000000"/>
          <w:kern w:val="2"/>
        </w:rPr>
        <w:t>现场测量0</w:t>
      </w:r>
      <w:r>
        <w:rPr>
          <w:color w:val="000000"/>
          <w:kern w:val="2"/>
        </w:rPr>
        <w:t>.5S/</w:t>
      </w:r>
      <w:r>
        <w:rPr>
          <w:rFonts w:hint="eastAsia"/>
          <w:color w:val="000000"/>
          <w:kern w:val="2"/>
        </w:rPr>
        <w:t>0.2S</w:t>
      </w:r>
      <w:r>
        <w:rPr>
          <w:rFonts w:hint="eastAsia"/>
          <w:color w:val="000000"/>
          <w:kern w:val="2"/>
          <w:lang w:val="en-US" w:eastAsia="zh-CN"/>
        </w:rPr>
        <w:t>/0.1</w:t>
      </w:r>
      <w:r>
        <w:rPr>
          <w:rFonts w:hint="eastAsia"/>
          <w:color w:val="000000"/>
          <w:kern w:val="2"/>
        </w:rPr>
        <w:t>级测量用CT；</w:t>
      </w:r>
    </w:p>
    <w:p>
      <w:pPr>
        <w:pStyle w:val="25"/>
        <w:spacing w:before="0" w:beforeAutospacing="0" w:after="0" w:afterAutospacing="0" w:line="360" w:lineRule="auto"/>
        <w:rPr>
          <w:rFonts w:hint="eastAsia"/>
          <w:color w:val="000000"/>
          <w:kern w:val="2"/>
        </w:rPr>
      </w:pPr>
      <w:r>
        <w:rPr>
          <w:rFonts w:hint="eastAsia" w:ascii="Times New Roman" w:hAnsi="Times New Roman"/>
          <w:color w:val="000000"/>
          <w:kern w:val="2"/>
        </w:rPr>
        <w:t>5.2.</w:t>
      </w:r>
      <w:r>
        <w:rPr>
          <w:rFonts w:ascii="Times New Roman" w:hAnsi="Times New Roman"/>
          <w:color w:val="000000"/>
          <w:kern w:val="2"/>
        </w:rPr>
        <w:t>10</w:t>
      </w:r>
      <w:r>
        <w:rPr>
          <w:rFonts w:hint="eastAsia"/>
          <w:color w:val="000000"/>
          <w:kern w:val="2"/>
        </w:rPr>
        <w:t>测试发电厂大机组出口</w:t>
      </w:r>
      <w:r>
        <w:rPr>
          <w:color w:val="000000"/>
          <w:kern w:val="2"/>
        </w:rPr>
        <w:t>CT,</w:t>
      </w:r>
      <w:r>
        <w:rPr>
          <w:rFonts w:hint="eastAsia"/>
          <w:color w:val="000000"/>
          <w:kern w:val="2"/>
        </w:rPr>
        <w:t>测试不受额定变比的限制；</w:t>
      </w:r>
    </w:p>
    <w:p>
      <w:pPr>
        <w:pStyle w:val="25"/>
        <w:spacing w:before="0" w:beforeAutospacing="0" w:after="0" w:afterAutospacing="0" w:line="360" w:lineRule="auto"/>
        <w:ind w:left="720" w:hanging="720" w:hangingChars="300"/>
        <w:rPr>
          <w:rFonts w:hint="eastAsia" w:ascii="Times New Roman" w:hAnsi="Times New Roman"/>
          <w:color w:val="000000"/>
          <w:kern w:val="2"/>
          <w:lang w:eastAsia="zh-CN"/>
        </w:rPr>
      </w:pPr>
      <w:r>
        <w:rPr>
          <w:rFonts w:hint="eastAsia" w:ascii="Times New Roman" w:hAnsi="Times New Roman"/>
          <w:color w:val="000000"/>
          <w:kern w:val="2"/>
        </w:rPr>
        <w:t>5.2.</w:t>
      </w:r>
      <w:r>
        <w:rPr>
          <w:rFonts w:ascii="Times New Roman" w:hAnsi="Times New Roman"/>
          <w:color w:val="000000"/>
          <w:kern w:val="2"/>
        </w:rPr>
        <w:t>11</w:t>
      </w:r>
      <w:r>
        <w:rPr>
          <w:rFonts w:hint="eastAsia" w:ascii="Times New Roman" w:hAnsi="Times New Roman"/>
          <w:color w:val="000000"/>
          <w:kern w:val="2"/>
          <w:lang w:val="en-US" w:eastAsia="zh-CN"/>
        </w:rPr>
        <w:t>测试界面需</w:t>
      </w:r>
      <w:r>
        <w:rPr>
          <w:rFonts w:hint="eastAsia" w:ascii="Times New Roman" w:hAnsi="Times New Roman"/>
          <w:color w:val="000000"/>
          <w:kern w:val="2"/>
        </w:rPr>
        <w:t>显示极性、匝比误差、复合误差、依据一次电流和实际负载确定的变比误差和相位偏移</w:t>
      </w:r>
      <w:r>
        <w:rPr>
          <w:rFonts w:hint="eastAsia" w:ascii="Times New Roman" w:hAnsi="Times New Roman"/>
          <w:color w:val="000000"/>
          <w:kern w:val="2"/>
          <w:lang w:eastAsia="zh-CN"/>
        </w:rPr>
        <w:t>；</w:t>
      </w:r>
    </w:p>
    <w:p>
      <w:pPr>
        <w:pStyle w:val="25"/>
        <w:spacing w:before="0" w:beforeAutospacing="0" w:after="0" w:afterAutospacing="0" w:line="360" w:lineRule="auto"/>
        <w:ind w:left="720" w:hanging="720" w:hangingChars="300"/>
        <w:rPr>
          <w:rFonts w:hint="default" w:ascii="Times New Roman" w:hAnsi="Times New Roman" w:eastAsia="宋体"/>
          <w:color w:val="000000"/>
          <w:kern w:val="2"/>
          <w:lang w:val="en-US" w:eastAsia="zh-CN"/>
        </w:rPr>
      </w:pPr>
      <w:r>
        <w:rPr>
          <w:rFonts w:hint="eastAsia" w:ascii="Times New Roman" w:hAnsi="Times New Roman"/>
          <w:color w:val="000000"/>
          <w:kern w:val="2"/>
        </w:rPr>
        <w:t>5.2.</w:t>
      </w:r>
      <w:r>
        <w:rPr>
          <w:rFonts w:ascii="Times New Roman" w:hAnsi="Times New Roman"/>
          <w:color w:val="000000"/>
          <w:kern w:val="2"/>
        </w:rPr>
        <w:t>12</w:t>
      </w:r>
      <w:r>
        <w:rPr>
          <w:rFonts w:hint="eastAsia" w:ascii="Times New Roman" w:hAnsi="Times New Roman"/>
          <w:color w:val="000000"/>
          <w:kern w:val="2"/>
          <w:lang w:val="en-US" w:eastAsia="zh-CN"/>
        </w:rPr>
        <w:t>测试完成后能自动对CT退磁；</w:t>
      </w:r>
    </w:p>
    <w:p>
      <w:pPr>
        <w:pStyle w:val="25"/>
        <w:spacing w:before="0" w:beforeAutospacing="0" w:after="0" w:afterAutospacing="0" w:line="360" w:lineRule="auto"/>
        <w:rPr>
          <w:rFonts w:hint="eastAsia"/>
          <w:color w:val="000000"/>
          <w:kern w:val="2"/>
        </w:rPr>
      </w:pPr>
      <w:r>
        <w:rPr>
          <w:rFonts w:hint="eastAsia" w:ascii="Times New Roman" w:hAnsi="Times New Roman"/>
          <w:color w:val="000000"/>
          <w:kern w:val="2"/>
        </w:rPr>
        <w:t>5.2.</w:t>
      </w:r>
      <w:r>
        <w:rPr>
          <w:rFonts w:ascii="Times New Roman" w:hAnsi="Times New Roman"/>
          <w:color w:val="000000"/>
          <w:kern w:val="2"/>
        </w:rPr>
        <w:t>11</w:t>
      </w:r>
      <w:r>
        <w:rPr>
          <w:rFonts w:hint="eastAsia"/>
          <w:color w:val="000000"/>
          <w:kern w:val="2"/>
        </w:rPr>
        <w:t>具有测试数据存储（至少保存1000组数据）和浏览功能；</w:t>
      </w:r>
    </w:p>
    <w:p>
      <w:pPr>
        <w:pStyle w:val="25"/>
        <w:spacing w:before="0" w:beforeAutospacing="0" w:after="0" w:afterAutospacing="0" w:line="360" w:lineRule="auto"/>
        <w:rPr>
          <w:rFonts w:hint="eastAsia"/>
          <w:color w:val="000000"/>
          <w:kern w:val="2"/>
        </w:rPr>
      </w:pPr>
      <w:r>
        <w:rPr>
          <w:rFonts w:hint="eastAsia" w:ascii="Times New Roman" w:hAnsi="Times New Roman"/>
          <w:color w:val="000000"/>
          <w:kern w:val="2"/>
        </w:rPr>
        <w:t>5.2.</w:t>
      </w:r>
      <w:r>
        <w:rPr>
          <w:rFonts w:ascii="Times New Roman" w:hAnsi="Times New Roman"/>
          <w:color w:val="000000"/>
          <w:kern w:val="2"/>
        </w:rPr>
        <w:t>12</w:t>
      </w:r>
      <w:r>
        <w:rPr>
          <w:rFonts w:hint="eastAsia"/>
          <w:color w:val="000000"/>
          <w:kern w:val="2"/>
        </w:rPr>
        <w:t>测试响应速度快，重复性好，稳定性好并能给出电流互感器测评报告；</w:t>
      </w:r>
    </w:p>
    <w:p>
      <w:pPr>
        <w:pStyle w:val="25"/>
        <w:spacing w:before="0" w:beforeAutospacing="0" w:after="0" w:afterAutospacing="0" w:line="360" w:lineRule="auto"/>
        <w:rPr>
          <w:rFonts w:hint="eastAsia"/>
          <w:kern w:val="2"/>
        </w:rPr>
      </w:pPr>
      <w:r>
        <w:rPr>
          <w:rFonts w:hint="eastAsia" w:ascii="Times New Roman" w:hAnsi="Times New Roman"/>
          <w:color w:val="000000"/>
          <w:kern w:val="2"/>
        </w:rPr>
        <w:t>5.2.</w:t>
      </w:r>
      <w:r>
        <w:rPr>
          <w:rFonts w:ascii="Times New Roman" w:hAnsi="Times New Roman"/>
          <w:kern w:val="2"/>
        </w:rPr>
        <w:t>13</w:t>
      </w:r>
      <w:r>
        <w:rPr>
          <w:rFonts w:hint="eastAsia"/>
          <w:kern w:val="2"/>
        </w:rPr>
        <w:t>机箱的设计与配置能确保测试人员及系统的安全。</w:t>
      </w:r>
    </w:p>
    <w:p>
      <w:pPr>
        <w:pStyle w:val="25"/>
        <w:spacing w:before="0" w:beforeAutospacing="0" w:after="0" w:afterAutospacing="0" w:line="360" w:lineRule="auto"/>
        <w:rPr>
          <w:rFonts w:hint="eastAsia"/>
          <w:kern w:val="2"/>
        </w:rPr>
      </w:pPr>
      <w:r>
        <w:rPr>
          <w:rFonts w:hint="eastAsia" w:ascii="Times New Roman" w:hAnsi="Times New Roman"/>
          <w:color w:val="000000"/>
          <w:kern w:val="2"/>
        </w:rPr>
        <w:t>5.2.</w:t>
      </w:r>
      <w:r>
        <w:rPr>
          <w:rFonts w:ascii="Times New Roman" w:hAnsi="Times New Roman"/>
          <w:kern w:val="2"/>
        </w:rPr>
        <w:t>1</w:t>
      </w:r>
      <w:r>
        <w:rPr>
          <w:rFonts w:hint="eastAsia" w:ascii="Times New Roman" w:hAnsi="Times New Roman"/>
          <w:kern w:val="2"/>
          <w:lang w:val="en-US" w:eastAsia="zh-CN"/>
        </w:rPr>
        <w:t>4</w:t>
      </w:r>
      <w:r>
        <w:rPr>
          <w:rFonts w:hint="eastAsia"/>
          <w:kern w:val="2"/>
          <w:lang w:eastAsia="zh-CN"/>
        </w:rPr>
        <w:t>具备友好的人机交互界面，便于通过</w:t>
      </w:r>
      <w:r>
        <w:rPr>
          <w:rFonts w:hint="eastAsia"/>
          <w:kern w:val="2"/>
          <w:lang w:val="en-US" w:eastAsia="zh-CN"/>
        </w:rPr>
        <w:t>usb口将数据导入导出</w:t>
      </w:r>
      <w:r>
        <w:rPr>
          <w:rFonts w:hint="eastAsia"/>
          <w:kern w:val="2"/>
        </w:rPr>
        <w:t>。</w:t>
      </w:r>
    </w:p>
    <w:p>
      <w:pPr>
        <w:pStyle w:val="25"/>
        <w:spacing w:before="0" w:beforeAutospacing="0" w:after="0" w:afterAutospacing="0" w:line="360" w:lineRule="auto"/>
        <w:rPr>
          <w:rFonts w:hint="eastAsia"/>
          <w:kern w:val="2"/>
        </w:rPr>
      </w:pPr>
    </w:p>
    <w:p>
      <w:pPr>
        <w:pStyle w:val="3"/>
        <w:numPr>
          <w:ilvl w:val="0"/>
          <w:numId w:val="0"/>
        </w:numPr>
        <w:snapToGrid/>
        <w:spacing w:before="0" w:beforeLines="0" w:line="480" w:lineRule="auto"/>
        <w:rPr>
          <w:rFonts w:hint="eastAsia" w:hAnsi="宋体"/>
          <w:sz w:val="24"/>
          <w:szCs w:val="24"/>
        </w:rPr>
      </w:pPr>
      <w:r>
        <w:rPr>
          <w:rFonts w:hint="eastAsia" w:hAnsi="宋体"/>
          <w:sz w:val="24"/>
          <w:szCs w:val="24"/>
        </w:rPr>
        <w:t xml:space="preserve">6 </w:t>
      </w:r>
      <w:bookmarkStart w:id="23" w:name="_Toc276490905"/>
      <w:bookmarkStart w:id="24" w:name="_Toc387858465"/>
      <w:bookmarkStart w:id="25" w:name="_Toc276492417"/>
      <w:bookmarkStart w:id="26" w:name="_Toc271281212"/>
      <w:r>
        <w:rPr>
          <w:rFonts w:hint="eastAsia" w:hAnsi="宋体"/>
          <w:sz w:val="24"/>
          <w:szCs w:val="24"/>
        </w:rPr>
        <w:t>试验</w:t>
      </w:r>
      <w:bookmarkEnd w:id="22"/>
      <w:bookmarkEnd w:id="23"/>
      <w:bookmarkEnd w:id="24"/>
      <w:bookmarkEnd w:id="25"/>
      <w:bookmarkEnd w:id="26"/>
    </w:p>
    <w:p>
      <w:pPr>
        <w:pStyle w:val="48"/>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根据相关国标和行标等有关标准及其补充说明进行各项试验，有关条款的特殊要求和补充应在试验期间遵守并执行。</w:t>
      </w:r>
    </w:p>
    <w:p>
      <w:pPr>
        <w:pStyle w:val="4"/>
        <w:numPr>
          <w:ilvl w:val="0"/>
          <w:numId w:val="0"/>
        </w:numPr>
        <w:rPr>
          <w:rFonts w:hAnsi="宋体"/>
          <w:sz w:val="24"/>
          <w:szCs w:val="24"/>
        </w:rPr>
      </w:pPr>
      <w:bookmarkStart w:id="27" w:name="_Toc283566856"/>
      <w:bookmarkStart w:id="28" w:name="_Toc399627546"/>
      <w:r>
        <w:rPr>
          <w:rFonts w:hAnsi="宋体"/>
          <w:sz w:val="24"/>
          <w:szCs w:val="24"/>
        </w:rPr>
        <w:t>6.1 型式试验</w:t>
      </w:r>
      <w:bookmarkEnd w:id="27"/>
      <w:bookmarkEnd w:id="28"/>
    </w:p>
    <w:p>
      <w:pPr>
        <w:pStyle w:val="48"/>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 型式试验是为了验证所设计和制造的设备的性能是否能够达到相应产品标准的要求</w:t>
      </w:r>
      <w:r>
        <w:rPr>
          <w:rFonts w:hint="eastAsia" w:ascii="宋体" w:hAnsi="宋体" w:eastAsia="宋体" w:cs="Times New Roman"/>
          <w:sz w:val="24"/>
          <w:szCs w:val="24"/>
        </w:rPr>
        <w:t>，投标方应提供有相应资质的第三方检测机构出具的产品型式试验报告，型式试验的项目内容如下：</w:t>
      </w:r>
    </w:p>
    <w:p>
      <w:pPr>
        <w:pStyle w:val="48"/>
        <w:adjustRightInd w:val="0"/>
        <w:snapToGrid w:val="0"/>
        <w:spacing w:line="360" w:lineRule="auto"/>
        <w:rPr>
          <w:rFonts w:hint="eastAsia" w:eastAsia="宋体" w:cs="Times New Roman"/>
          <w:szCs w:val="21"/>
        </w:rPr>
      </w:pPr>
      <w:r>
        <w:rPr>
          <w:rFonts w:eastAsia="宋体" w:cs="Times New Roman"/>
          <w:szCs w:val="21"/>
        </w:rPr>
        <w:t>a</w:t>
      </w:r>
      <w:r>
        <w:rPr>
          <w:rFonts w:hint="eastAsia" w:eastAsia="宋体" w:cs="Times New Roman"/>
          <w:szCs w:val="21"/>
        </w:rPr>
        <w:t>.</w:t>
      </w:r>
      <w:r>
        <w:rPr>
          <w:rFonts w:hint="eastAsia" w:ascii="宋体" w:hAnsi="宋体"/>
          <w:szCs w:val="21"/>
        </w:rPr>
        <w:t xml:space="preserve"> 测量范围</w:t>
      </w:r>
    </w:p>
    <w:p>
      <w:pPr>
        <w:pStyle w:val="48"/>
        <w:adjustRightInd w:val="0"/>
        <w:snapToGrid w:val="0"/>
        <w:spacing w:line="360" w:lineRule="auto"/>
        <w:rPr>
          <w:rFonts w:hint="eastAsia" w:eastAsia="宋体" w:cs="Times New Roman"/>
          <w:szCs w:val="21"/>
        </w:rPr>
      </w:pPr>
      <w:r>
        <w:rPr>
          <w:rFonts w:hint="eastAsia" w:eastAsia="宋体" w:cs="Times New Roman"/>
          <w:szCs w:val="21"/>
        </w:rPr>
        <w:t>b.</w:t>
      </w:r>
      <w:r>
        <w:rPr>
          <w:rFonts w:hint="eastAsia" w:ascii="宋体" w:hAnsi="宋体"/>
          <w:szCs w:val="21"/>
        </w:rPr>
        <w:t xml:space="preserve"> 测量精度</w:t>
      </w:r>
    </w:p>
    <w:p>
      <w:pPr>
        <w:pStyle w:val="48"/>
        <w:adjustRightInd w:val="0"/>
        <w:snapToGrid w:val="0"/>
        <w:spacing w:line="360" w:lineRule="auto"/>
        <w:rPr>
          <w:rFonts w:hint="eastAsia" w:eastAsia="宋体" w:cs="Times New Roman"/>
          <w:szCs w:val="21"/>
        </w:rPr>
      </w:pPr>
      <w:r>
        <w:rPr>
          <w:rFonts w:hint="eastAsia" w:eastAsia="宋体" w:cs="Times New Roman"/>
          <w:szCs w:val="21"/>
        </w:rPr>
        <w:t>c.分辨率</w:t>
      </w:r>
    </w:p>
    <w:p>
      <w:pPr>
        <w:pStyle w:val="48"/>
        <w:adjustRightInd w:val="0"/>
        <w:snapToGrid w:val="0"/>
        <w:spacing w:line="360" w:lineRule="auto"/>
        <w:rPr>
          <w:rFonts w:hint="eastAsia" w:eastAsia="宋体" w:cs="Times New Roman"/>
          <w:szCs w:val="21"/>
        </w:rPr>
      </w:pPr>
      <w:r>
        <w:rPr>
          <w:rFonts w:hint="eastAsia" w:eastAsia="宋体" w:cs="Times New Roman"/>
          <w:szCs w:val="21"/>
        </w:rPr>
        <w:t>d. 灵敏度</w:t>
      </w:r>
    </w:p>
    <w:p>
      <w:pPr>
        <w:pStyle w:val="48"/>
        <w:adjustRightInd w:val="0"/>
        <w:snapToGrid w:val="0"/>
        <w:spacing w:line="360" w:lineRule="auto"/>
        <w:rPr>
          <w:rFonts w:hint="eastAsia" w:eastAsia="宋体" w:cs="Times New Roman"/>
          <w:szCs w:val="21"/>
        </w:rPr>
      </w:pPr>
      <w:r>
        <w:rPr>
          <w:rFonts w:hint="eastAsia" w:eastAsia="宋体" w:cs="Times New Roman"/>
          <w:szCs w:val="21"/>
        </w:rPr>
        <w:t>e. 帧频</w:t>
      </w:r>
    </w:p>
    <w:p>
      <w:pPr>
        <w:pStyle w:val="4"/>
        <w:numPr>
          <w:ilvl w:val="0"/>
          <w:numId w:val="0"/>
        </w:numPr>
        <w:rPr>
          <w:rFonts w:hAnsi="宋体"/>
          <w:sz w:val="24"/>
          <w:szCs w:val="24"/>
        </w:rPr>
      </w:pPr>
      <w:bookmarkStart w:id="29" w:name="_Toc283566857"/>
      <w:bookmarkStart w:id="30" w:name="_Toc399627547"/>
      <w:r>
        <w:rPr>
          <w:rFonts w:hAnsi="宋体"/>
          <w:sz w:val="24"/>
          <w:szCs w:val="24"/>
        </w:rPr>
        <w:t>6.2 出厂试验</w:t>
      </w:r>
      <w:bookmarkEnd w:id="29"/>
      <w:bookmarkEnd w:id="30"/>
    </w:p>
    <w:p>
      <w:pPr>
        <w:pStyle w:val="48"/>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出厂试验是为了发现产品所用材料和制造中的缺陷，它不应损伤产品的性能和可靠性。出厂试验应在整体组装后进行，应该对每台成品进行检验，以确保每台产品与已经通过型式试验的产品相一致。</w:t>
      </w:r>
      <w:r>
        <w:rPr>
          <w:rFonts w:hint="eastAsia" w:ascii="宋体" w:hAnsi="宋体" w:eastAsia="宋体" w:cs="Times New Roman"/>
          <w:sz w:val="24"/>
          <w:szCs w:val="24"/>
        </w:rPr>
        <w:t>出厂试验的项目内容如下:</w:t>
      </w:r>
    </w:p>
    <w:p>
      <w:pPr>
        <w:pStyle w:val="48"/>
        <w:adjustRightInd w:val="0"/>
        <w:snapToGrid w:val="0"/>
        <w:spacing w:line="360" w:lineRule="auto"/>
        <w:rPr>
          <w:rFonts w:hint="eastAsia" w:eastAsia="宋体" w:cs="Times New Roman"/>
          <w:szCs w:val="21"/>
        </w:rPr>
      </w:pPr>
      <w:r>
        <w:rPr>
          <w:rFonts w:hint="eastAsia" w:eastAsia="宋体" w:cs="Times New Roman"/>
          <w:szCs w:val="21"/>
        </w:rPr>
        <w:t>见表5.1</w:t>
      </w:r>
    </w:p>
    <w:p>
      <w:pPr>
        <w:pStyle w:val="4"/>
        <w:numPr>
          <w:ilvl w:val="0"/>
          <w:numId w:val="0"/>
        </w:numPr>
        <w:rPr>
          <w:rFonts w:hint="eastAsia" w:hAnsi="宋体"/>
          <w:sz w:val="24"/>
          <w:szCs w:val="24"/>
        </w:rPr>
      </w:pPr>
      <w:bookmarkStart w:id="31" w:name="_Toc283566858"/>
      <w:bookmarkStart w:id="32" w:name="_Toc399627548"/>
      <w:r>
        <w:rPr>
          <w:rFonts w:hAnsi="宋体"/>
          <w:sz w:val="24"/>
          <w:szCs w:val="24"/>
        </w:rPr>
        <w:t>6.3 现场交接试验</w:t>
      </w:r>
      <w:bookmarkEnd w:id="31"/>
      <w:r>
        <w:rPr>
          <w:rFonts w:hint="eastAsia" w:hAnsi="宋体"/>
          <w:sz w:val="24"/>
          <w:szCs w:val="24"/>
        </w:rPr>
        <w:t>和功能验收</w:t>
      </w:r>
      <w:bookmarkEnd w:id="32"/>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采购设备</w:t>
      </w:r>
      <w:r>
        <w:rPr>
          <w:rFonts w:ascii="宋体" w:hAnsi="宋体" w:eastAsia="宋体" w:cs="Times New Roman"/>
          <w:sz w:val="24"/>
          <w:szCs w:val="24"/>
        </w:rPr>
        <w:t>应进行现场交接试验</w:t>
      </w:r>
      <w:r>
        <w:rPr>
          <w:rFonts w:hint="eastAsia" w:ascii="宋体" w:hAnsi="宋体" w:eastAsia="宋体" w:cs="Times New Roman"/>
          <w:sz w:val="24"/>
          <w:szCs w:val="24"/>
        </w:rPr>
        <w:t>和功能验收</w:t>
      </w:r>
      <w:r>
        <w:rPr>
          <w:rFonts w:ascii="宋体" w:hAnsi="宋体" w:eastAsia="宋体" w:cs="Times New Roman"/>
          <w:sz w:val="24"/>
          <w:szCs w:val="24"/>
        </w:rPr>
        <w:t>。交接试验</w:t>
      </w:r>
      <w:r>
        <w:rPr>
          <w:rFonts w:hint="eastAsia" w:ascii="宋体" w:hAnsi="宋体" w:eastAsia="宋体" w:cs="Times New Roman"/>
          <w:sz w:val="24"/>
          <w:szCs w:val="24"/>
        </w:rPr>
        <w:t>和功能验收</w:t>
      </w:r>
      <w:r>
        <w:rPr>
          <w:rFonts w:ascii="宋体" w:hAnsi="宋体" w:eastAsia="宋体" w:cs="Times New Roman"/>
          <w:sz w:val="24"/>
          <w:szCs w:val="24"/>
        </w:rPr>
        <w:t>是为了确认</w:t>
      </w:r>
      <w:r>
        <w:rPr>
          <w:rFonts w:hint="eastAsia" w:ascii="宋体" w:hAnsi="宋体" w:eastAsia="宋体" w:cs="Times New Roman"/>
          <w:sz w:val="24"/>
          <w:szCs w:val="24"/>
        </w:rPr>
        <w:t>设备</w:t>
      </w:r>
      <w:r>
        <w:rPr>
          <w:rFonts w:ascii="宋体" w:hAnsi="宋体" w:eastAsia="宋体" w:cs="Times New Roman"/>
          <w:sz w:val="24"/>
          <w:szCs w:val="24"/>
        </w:rPr>
        <w:t>经过运输、储存、现场安装和/或调整等过程后是否存在损坏、各个单元的兼容性、装配是否正确。</w:t>
      </w:r>
      <w:r>
        <w:rPr>
          <w:rFonts w:hint="eastAsia" w:ascii="宋体" w:hAnsi="宋体" w:eastAsia="宋体" w:cs="Times New Roman"/>
          <w:sz w:val="24"/>
          <w:szCs w:val="24"/>
        </w:rPr>
        <w:t>本</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采购现场交接试验和设备功能验收应按表5.1要求执行。</w:t>
      </w:r>
    </w:p>
    <w:p>
      <w:pPr>
        <w:pStyle w:val="3"/>
        <w:numPr>
          <w:ilvl w:val="0"/>
          <w:numId w:val="0"/>
        </w:numPr>
        <w:snapToGrid/>
        <w:spacing w:before="0" w:beforeLines="0" w:line="480" w:lineRule="auto"/>
        <w:rPr>
          <w:rFonts w:hint="eastAsia" w:hAnsi="宋体"/>
          <w:sz w:val="24"/>
          <w:szCs w:val="24"/>
        </w:rPr>
      </w:pPr>
      <w:bookmarkStart w:id="33" w:name="_Toc276490910"/>
      <w:bookmarkStart w:id="34" w:name="_Toc276492422"/>
      <w:bookmarkStart w:id="35" w:name="_Toc399627549"/>
      <w:r>
        <w:rPr>
          <w:rFonts w:hint="eastAsia" w:hAnsi="宋体"/>
          <w:sz w:val="24"/>
          <w:szCs w:val="24"/>
        </w:rPr>
        <w:t>7 产品对环境的影响</w:t>
      </w:r>
      <w:bookmarkEnd w:id="33"/>
      <w:bookmarkEnd w:id="34"/>
      <w:bookmarkEnd w:id="35"/>
    </w:p>
    <w:p>
      <w:pPr>
        <w:pStyle w:val="48"/>
        <w:adjustRightInd w:val="0"/>
        <w:snapToGrid w:val="0"/>
        <w:spacing w:line="360" w:lineRule="auto"/>
        <w:ind w:firstLine="480"/>
        <w:rPr>
          <w:rFonts w:hint="eastAsia" w:ascii="宋体" w:hAnsi="宋体" w:eastAsia="宋体" w:cs="Times New Roman"/>
          <w:sz w:val="24"/>
          <w:szCs w:val="24"/>
        </w:rPr>
      </w:pPr>
      <w:bookmarkStart w:id="36" w:name="_Toc276490915"/>
      <w:bookmarkStart w:id="37" w:name="_Toc276492433"/>
      <w:r>
        <w:rPr>
          <w:rFonts w:ascii="宋体" w:hAnsi="宋体" w:eastAsia="宋体" w:cs="Times New Roman"/>
          <w:sz w:val="24"/>
          <w:szCs w:val="24"/>
        </w:rPr>
        <w:t>制造厂应该提供有关设备对环境影响所需要的材料。任何已知的化学危险和环境危害应在手册或使用说明中明确。</w:t>
      </w:r>
    </w:p>
    <w:p>
      <w:pPr>
        <w:pStyle w:val="48"/>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制造厂应该对有关设备的不同材料的使用寿命和拆除的程序给予必要的指导，对再循环使用的可能性给予简要说明。</w:t>
      </w:r>
    </w:p>
    <w:p>
      <w:pPr>
        <w:pStyle w:val="3"/>
        <w:numPr>
          <w:ilvl w:val="0"/>
          <w:numId w:val="0"/>
        </w:numPr>
        <w:snapToGrid/>
        <w:spacing w:before="0" w:beforeLines="0" w:line="480" w:lineRule="auto"/>
        <w:rPr>
          <w:rFonts w:hint="eastAsia" w:hAnsi="宋体"/>
          <w:sz w:val="24"/>
          <w:szCs w:val="24"/>
        </w:rPr>
      </w:pPr>
      <w:bookmarkStart w:id="38" w:name="_Toc399627550"/>
      <w:bookmarkStart w:id="39" w:name="_Toc399493399"/>
      <w:r>
        <w:rPr>
          <w:rFonts w:hint="eastAsia" w:hAnsi="宋体"/>
          <w:sz w:val="24"/>
          <w:szCs w:val="24"/>
        </w:rPr>
        <w:t>8技术文件要求</w:t>
      </w:r>
      <w:bookmarkEnd w:id="38"/>
      <w:bookmarkEnd w:id="39"/>
    </w:p>
    <w:p>
      <w:pPr>
        <w:adjustRightInd w:val="0"/>
        <w:snapToGrid w:val="0"/>
        <w:spacing w:line="360" w:lineRule="auto"/>
        <w:ind w:firstLine="420" w:firstLineChars="200"/>
        <w:rPr>
          <w:rFonts w:hint="eastAsia"/>
          <w:szCs w:val="21"/>
        </w:rPr>
      </w:pPr>
      <w:r>
        <w:rPr>
          <w:rFonts w:hint="eastAsia"/>
        </w:rPr>
        <w:t>在设备到货时，</w:t>
      </w:r>
      <w:r>
        <w:rPr>
          <w:rFonts w:hint="eastAsia"/>
          <w:szCs w:val="21"/>
        </w:rPr>
        <w:t>投标方应按招标方要求提供满足本次采购设备安装、调试、使用、维护所需要的相关技术文件纸质版至少3套，电子版资料2套。投标方提供的所有资料均应为中文版或中英文对照版。投标方提供本次采购设备所需的软件应为原装正版软件。具体要求提供资料如下：</w:t>
      </w:r>
    </w:p>
    <w:p>
      <w:pPr>
        <w:pStyle w:val="48"/>
        <w:adjustRightInd w:val="0"/>
        <w:snapToGrid w:val="0"/>
        <w:spacing w:line="360" w:lineRule="auto"/>
        <w:rPr>
          <w:rFonts w:hint="eastAsia" w:eastAsia="宋体" w:cs="Times New Roman"/>
          <w:szCs w:val="21"/>
        </w:rPr>
      </w:pPr>
      <w:r>
        <w:rPr>
          <w:rFonts w:eastAsia="宋体" w:cs="Times New Roman"/>
          <w:szCs w:val="21"/>
        </w:rPr>
        <w:t>a</w:t>
      </w:r>
      <w:r>
        <w:rPr>
          <w:rFonts w:hint="eastAsia" w:eastAsia="宋体" w:cs="Times New Roman"/>
          <w:szCs w:val="21"/>
        </w:rPr>
        <w:t>.</w:t>
      </w:r>
      <w:r>
        <w:rPr>
          <w:rFonts w:hint="eastAsia" w:ascii="宋体" w:hAnsi="宋体"/>
          <w:szCs w:val="21"/>
        </w:rPr>
        <w:t xml:space="preserve"> </w:t>
      </w:r>
      <w:r>
        <w:rPr>
          <w:rFonts w:hint="eastAsia" w:eastAsia="宋体" w:cs="Times New Roman"/>
          <w:szCs w:val="21"/>
        </w:rPr>
        <w:t xml:space="preserve">出厂试验报告； </w:t>
      </w:r>
    </w:p>
    <w:p>
      <w:pPr>
        <w:pStyle w:val="48"/>
        <w:adjustRightInd w:val="0"/>
        <w:snapToGrid w:val="0"/>
        <w:spacing w:line="360" w:lineRule="auto"/>
        <w:rPr>
          <w:rFonts w:hint="eastAsia" w:eastAsia="宋体" w:cs="Times New Roman"/>
          <w:szCs w:val="21"/>
        </w:rPr>
      </w:pPr>
      <w:r>
        <w:rPr>
          <w:rFonts w:hint="eastAsia" w:eastAsia="宋体" w:cs="Times New Roman"/>
          <w:szCs w:val="21"/>
        </w:rPr>
        <w:t>b.</w:t>
      </w:r>
      <w:r>
        <w:rPr>
          <w:rFonts w:hint="eastAsia" w:ascii="宋体" w:hAnsi="宋体"/>
          <w:szCs w:val="21"/>
        </w:rPr>
        <w:t xml:space="preserve"> </w:t>
      </w:r>
      <w:r>
        <w:rPr>
          <w:rFonts w:hint="eastAsia" w:eastAsia="宋体" w:cs="Times New Roman"/>
          <w:szCs w:val="21"/>
        </w:rPr>
        <w:t xml:space="preserve">产品合格证； </w:t>
      </w:r>
    </w:p>
    <w:p>
      <w:pPr>
        <w:pStyle w:val="48"/>
        <w:adjustRightInd w:val="0"/>
        <w:snapToGrid w:val="0"/>
        <w:spacing w:line="360" w:lineRule="auto"/>
        <w:rPr>
          <w:rFonts w:hint="eastAsia" w:eastAsia="宋体" w:cs="Times New Roman"/>
          <w:szCs w:val="21"/>
        </w:rPr>
      </w:pPr>
      <w:r>
        <w:rPr>
          <w:rFonts w:hint="eastAsia" w:eastAsia="宋体" w:cs="Times New Roman"/>
          <w:szCs w:val="21"/>
        </w:rPr>
        <w:t>c. 产品安装说明书和产品使用手册（包括：软件和硬件安装使用说明、系统功能说明、调试方法、维护项目、培训教程等等）。</w:t>
      </w:r>
    </w:p>
    <w:p>
      <w:pPr>
        <w:pStyle w:val="48"/>
        <w:adjustRightInd w:val="0"/>
        <w:snapToGrid w:val="0"/>
        <w:spacing w:line="360" w:lineRule="auto"/>
        <w:rPr>
          <w:rFonts w:hint="eastAsia" w:eastAsia="宋体" w:cs="Times New Roman"/>
          <w:szCs w:val="21"/>
        </w:rPr>
      </w:pPr>
      <w:r>
        <w:rPr>
          <w:rFonts w:hint="eastAsia" w:eastAsia="宋体" w:cs="Times New Roman"/>
          <w:szCs w:val="21"/>
        </w:rPr>
        <w:t xml:space="preserve">d. 其它相关图纸资料、测试数据、软件密匙等等； </w:t>
      </w:r>
    </w:p>
    <w:bookmarkEnd w:id="36"/>
    <w:bookmarkEnd w:id="37"/>
    <w:p>
      <w:pPr>
        <w:pStyle w:val="3"/>
        <w:numPr>
          <w:ilvl w:val="0"/>
          <w:numId w:val="0"/>
        </w:numPr>
        <w:snapToGrid/>
        <w:spacing w:before="0" w:beforeLines="0" w:line="480" w:lineRule="auto"/>
        <w:rPr>
          <w:rFonts w:hint="eastAsia" w:hAnsi="宋体"/>
          <w:sz w:val="24"/>
          <w:szCs w:val="24"/>
        </w:rPr>
      </w:pPr>
      <w:bookmarkStart w:id="40" w:name="_Toc279695207"/>
      <w:bookmarkStart w:id="41" w:name="_Toc276492435"/>
      <w:bookmarkStart w:id="42" w:name="_Toc276490917"/>
      <w:bookmarkStart w:id="43" w:name="_Toc399627551"/>
      <w:r>
        <w:rPr>
          <w:rFonts w:hint="eastAsia" w:hAnsi="宋体"/>
          <w:sz w:val="24"/>
          <w:szCs w:val="24"/>
        </w:rPr>
        <w:t>9 监造、包装、运输、安装</w:t>
      </w:r>
      <w:bookmarkEnd w:id="40"/>
      <w:bookmarkEnd w:id="41"/>
      <w:bookmarkEnd w:id="42"/>
      <w:r>
        <w:rPr>
          <w:rFonts w:hint="eastAsia" w:hAnsi="宋体"/>
          <w:sz w:val="24"/>
          <w:szCs w:val="24"/>
        </w:rPr>
        <w:t>及质量保证</w:t>
      </w:r>
      <w:bookmarkEnd w:id="43"/>
    </w:p>
    <w:p>
      <w:pPr>
        <w:pStyle w:val="4"/>
        <w:numPr>
          <w:ilvl w:val="0"/>
          <w:numId w:val="0"/>
        </w:numPr>
        <w:rPr>
          <w:rFonts w:hint="eastAsia" w:hAnsi="宋体"/>
          <w:sz w:val="24"/>
          <w:szCs w:val="24"/>
        </w:rPr>
      </w:pPr>
      <w:bookmarkStart w:id="44" w:name="_Toc276490898"/>
      <w:bookmarkStart w:id="45" w:name="_Toc276492370"/>
      <w:bookmarkStart w:id="46" w:name="_Toc279695208"/>
      <w:bookmarkStart w:id="47" w:name="_Toc399627552"/>
      <w:bookmarkStart w:id="48" w:name="_Toc53672785"/>
      <w:bookmarkStart w:id="49" w:name="_Toc200531202"/>
      <w:bookmarkStart w:id="50" w:name="_Toc472997247"/>
      <w:bookmarkStart w:id="51" w:name="_Toc471528253"/>
      <w:r>
        <w:rPr>
          <w:rFonts w:hint="eastAsia" w:hAnsi="宋体"/>
          <w:sz w:val="24"/>
          <w:szCs w:val="24"/>
        </w:rPr>
        <w:t>9.1监造</w:t>
      </w:r>
      <w:bookmarkEnd w:id="44"/>
      <w:bookmarkEnd w:id="45"/>
      <w:bookmarkEnd w:id="46"/>
      <w:bookmarkEnd w:id="47"/>
    </w:p>
    <w:p>
      <w:pPr>
        <w:ind w:firstLine="480" w:firstLineChars="200"/>
        <w:rPr>
          <w:rFonts w:hint="eastAsia" w:ascii="宋体" w:hAnsi="宋体"/>
          <w:sz w:val="24"/>
        </w:rPr>
      </w:pPr>
      <w:r>
        <w:rPr>
          <w:rFonts w:hint="eastAsia" w:ascii="宋体" w:hAnsi="宋体"/>
          <w:sz w:val="24"/>
        </w:rPr>
        <w:t>本</w:t>
      </w:r>
      <w:r>
        <w:rPr>
          <w:rFonts w:hint="eastAsia" w:ascii="宋体" w:hAnsi="宋体"/>
          <w:sz w:val="24"/>
          <w:lang w:eastAsia="zh-CN"/>
        </w:rPr>
        <w:t>标书</w:t>
      </w:r>
      <w:r>
        <w:rPr>
          <w:rFonts w:hint="eastAsia" w:ascii="宋体" w:hAnsi="宋体"/>
          <w:sz w:val="24"/>
        </w:rPr>
        <w:t>采购设备无监造要求。</w:t>
      </w:r>
    </w:p>
    <w:p>
      <w:pPr>
        <w:ind w:firstLine="480" w:firstLineChars="200"/>
        <w:rPr>
          <w:rFonts w:hint="eastAsia" w:ascii="宋体" w:hAnsi="宋体"/>
          <w:sz w:val="24"/>
        </w:rPr>
      </w:pPr>
    </w:p>
    <w:p>
      <w:pPr>
        <w:pStyle w:val="4"/>
        <w:numPr>
          <w:ilvl w:val="0"/>
          <w:numId w:val="0"/>
        </w:numPr>
        <w:rPr>
          <w:rFonts w:hint="eastAsia" w:hAnsi="宋体"/>
          <w:sz w:val="24"/>
          <w:szCs w:val="24"/>
        </w:rPr>
      </w:pPr>
      <w:bookmarkStart w:id="52" w:name="_Toc276301528"/>
      <w:bookmarkStart w:id="53" w:name="_Toc399627553"/>
      <w:bookmarkStart w:id="54" w:name="_Toc279695209"/>
      <w:bookmarkStart w:id="55" w:name="_Toc276490918"/>
      <w:bookmarkStart w:id="56" w:name="_Toc276492436"/>
      <w:r>
        <w:rPr>
          <w:rFonts w:hint="eastAsia" w:hAnsi="宋体"/>
          <w:sz w:val="24"/>
          <w:szCs w:val="24"/>
        </w:rPr>
        <w:t>9.2包装</w:t>
      </w:r>
      <w:bookmarkEnd w:id="48"/>
      <w:bookmarkEnd w:id="49"/>
      <w:bookmarkEnd w:id="50"/>
      <w:bookmarkEnd w:id="51"/>
      <w:bookmarkEnd w:id="52"/>
      <w:bookmarkEnd w:id="53"/>
      <w:bookmarkEnd w:id="54"/>
      <w:bookmarkEnd w:id="55"/>
      <w:bookmarkEnd w:id="56"/>
    </w:p>
    <w:p>
      <w:pPr>
        <w:pStyle w:val="48"/>
        <w:adjustRightInd w:val="0"/>
        <w:snapToGrid w:val="0"/>
        <w:spacing w:line="360" w:lineRule="auto"/>
        <w:ind w:firstLine="480"/>
        <w:rPr>
          <w:rFonts w:ascii="宋体" w:hAnsi="宋体" w:eastAsia="宋体" w:cs="Times New Roman"/>
          <w:sz w:val="24"/>
          <w:szCs w:val="24"/>
        </w:rPr>
      </w:pPr>
      <w:bookmarkStart w:id="57" w:name="_Toc276301529"/>
      <w:bookmarkStart w:id="58" w:name="_Toc276492437"/>
      <w:bookmarkStart w:id="59" w:name="_Toc276490919"/>
      <w:r>
        <w:rPr>
          <w:rFonts w:hint="eastAsia" w:ascii="宋体" w:hAnsi="宋体" w:eastAsia="宋体" w:cs="Times New Roman"/>
          <w:sz w:val="24"/>
          <w:szCs w:val="24"/>
        </w:rPr>
        <w:t>1）</w:t>
      </w:r>
      <w:r>
        <w:rPr>
          <w:rFonts w:ascii="宋体" w:hAnsi="宋体" w:eastAsia="宋体" w:cs="Times New Roman"/>
          <w:sz w:val="24"/>
          <w:szCs w:val="24"/>
        </w:rPr>
        <w:t>要严格按照制造厂给出的说明书对设备进行包装、运输和储存。制造厂应在交货前的适当时间提供设备的运输和储存说明书。</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2）设备</w:t>
      </w:r>
      <w:r>
        <w:rPr>
          <w:rFonts w:ascii="宋体" w:hAnsi="宋体" w:eastAsia="宋体" w:cs="Times New Roman"/>
          <w:sz w:val="24"/>
          <w:szCs w:val="24"/>
        </w:rPr>
        <w:t>制造完成并通过试验后应及时包装， 否则应得到切实的保护。其包装也应符合铁路、公路和海运部门的有关规定。</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包装箱上应有明显的包装储运图示标志， 并应标明招标方的订货号和发货号。</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4）设备</w:t>
      </w:r>
      <w:r>
        <w:rPr>
          <w:rFonts w:ascii="宋体" w:hAnsi="宋体" w:eastAsia="宋体" w:cs="Times New Roman"/>
          <w:sz w:val="24"/>
          <w:szCs w:val="24"/>
        </w:rPr>
        <w:t>的包装应能保证</w:t>
      </w:r>
      <w:r>
        <w:rPr>
          <w:rFonts w:hint="eastAsia" w:ascii="宋体" w:hAnsi="宋体" w:eastAsia="宋体" w:cs="Times New Roman"/>
          <w:sz w:val="24"/>
          <w:szCs w:val="24"/>
        </w:rPr>
        <w:t>设备</w:t>
      </w:r>
      <w:r>
        <w:rPr>
          <w:rFonts w:ascii="宋体" w:hAnsi="宋体" w:eastAsia="宋体" w:cs="Times New Roman"/>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4"/>
        <w:numPr>
          <w:ilvl w:val="0"/>
          <w:numId w:val="0"/>
        </w:numPr>
        <w:rPr>
          <w:rFonts w:hint="eastAsia" w:hAnsi="宋体"/>
          <w:sz w:val="24"/>
          <w:szCs w:val="24"/>
        </w:rPr>
      </w:pPr>
      <w:bookmarkStart w:id="60" w:name="_Toc279695210"/>
      <w:bookmarkStart w:id="61" w:name="_Toc399627554"/>
      <w:r>
        <w:rPr>
          <w:rFonts w:hint="eastAsia" w:hAnsi="宋体"/>
          <w:sz w:val="24"/>
          <w:szCs w:val="24"/>
        </w:rPr>
        <w:t>9.3运输</w:t>
      </w:r>
      <w:bookmarkEnd w:id="57"/>
      <w:bookmarkEnd w:id="58"/>
      <w:bookmarkEnd w:id="59"/>
      <w:bookmarkEnd w:id="60"/>
      <w:bookmarkEnd w:id="61"/>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1）设备</w:t>
      </w:r>
      <w:r>
        <w:rPr>
          <w:rFonts w:ascii="宋体" w:hAnsi="宋体" w:eastAsia="宋体" w:cs="Times New Roman"/>
          <w:sz w:val="24"/>
          <w:szCs w:val="24"/>
        </w:rPr>
        <w:t>单独运输的零部件应有标志，便于用户安装装配。</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整体产品或分别运输的部件，都要适合于运输及装卸的要求。</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制造厂应提供按全部解体检修用的备品备件和装用机具，随同产品发运。</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随同运输的产品应附有装箱清单，产品所需提供的技术资料应完整无缺。</w:t>
      </w:r>
    </w:p>
    <w:p>
      <w:pPr>
        <w:pStyle w:val="4"/>
        <w:numPr>
          <w:ilvl w:val="0"/>
          <w:numId w:val="0"/>
        </w:numPr>
        <w:rPr>
          <w:rFonts w:hint="eastAsia" w:hAnsi="宋体"/>
          <w:sz w:val="24"/>
          <w:szCs w:val="24"/>
        </w:rPr>
      </w:pPr>
      <w:bookmarkStart w:id="62" w:name="_Toc276492438"/>
      <w:bookmarkStart w:id="63" w:name="_Toc276490920"/>
      <w:bookmarkStart w:id="64" w:name="_Toc276301530"/>
      <w:bookmarkStart w:id="65" w:name="_Toc279695211"/>
      <w:bookmarkStart w:id="66" w:name="_Toc399627555"/>
      <w:r>
        <w:rPr>
          <w:rFonts w:hint="eastAsia" w:hAnsi="宋体"/>
          <w:sz w:val="24"/>
          <w:szCs w:val="24"/>
        </w:rPr>
        <w:t>9.4安装</w:t>
      </w:r>
      <w:bookmarkEnd w:id="62"/>
      <w:bookmarkEnd w:id="63"/>
      <w:bookmarkEnd w:id="64"/>
      <w:r>
        <w:rPr>
          <w:rFonts w:hint="eastAsia" w:hAnsi="宋体"/>
          <w:sz w:val="24"/>
          <w:szCs w:val="24"/>
        </w:rPr>
        <w:t>使用指导</w:t>
      </w:r>
      <w:bookmarkEnd w:id="65"/>
      <w:bookmarkEnd w:id="66"/>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投标方应在本</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采购设备首次使用时或必要时，安排技术人员提供现场安装和技术指导服务，并确保招标方现场技术人员熟练掌握设备功能和使用。设备在现场搬运、吊装就位和安装、测试、试验时，应按照GB 26164.1《电业安全工作规程 第1部分：热力和机械》的要求进行。</w:t>
      </w:r>
    </w:p>
    <w:p>
      <w:pPr>
        <w:pStyle w:val="4"/>
        <w:numPr>
          <w:ilvl w:val="0"/>
          <w:numId w:val="0"/>
        </w:numPr>
        <w:rPr>
          <w:rFonts w:hint="eastAsia" w:hAnsi="宋体"/>
          <w:sz w:val="24"/>
          <w:szCs w:val="24"/>
        </w:rPr>
      </w:pPr>
      <w:bookmarkStart w:id="67" w:name="_Toc399627556"/>
      <w:r>
        <w:rPr>
          <w:rFonts w:hint="eastAsia" w:hAnsi="宋体"/>
          <w:sz w:val="24"/>
          <w:szCs w:val="24"/>
        </w:rPr>
        <w:t>9.5质量保证</w:t>
      </w:r>
      <w:bookmarkEnd w:id="67"/>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1）全部设备必须是全新的， 持久耐用的，应满足作为一个完整产品所能满足的全部要求。投标方应保证设备在规定的使用条件下运行、并按使用说明书进行安装和维护、预期使用寿命应不少于12年</w:t>
      </w:r>
      <w:r>
        <w:rPr>
          <w:rFonts w:ascii="宋体" w:hAnsi="宋体" w:eastAsia="宋体" w:cs="Times New Roman"/>
          <w:sz w:val="24"/>
          <w:szCs w:val="24"/>
        </w:rPr>
        <w:t>。</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2）投标方应对其整组设备在到货后提供不少于3年的“三包”质量保证。之后如发生产品损坏，投标方应及时为本组装置提供维修部件，并按最近的投标价提供。</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3）订购的新型产品除应满足本标准外</w:t>
      </w:r>
      <w:r>
        <w:rPr>
          <w:rFonts w:ascii="宋体" w:hAnsi="宋体" w:eastAsia="宋体" w:cs="Times New Roman"/>
          <w:sz w:val="24"/>
          <w:szCs w:val="24"/>
        </w:rPr>
        <w:t xml:space="preserve">， </w:t>
      </w:r>
      <w:r>
        <w:rPr>
          <w:rFonts w:hint="eastAsia" w:ascii="宋体" w:hAnsi="宋体" w:eastAsia="宋体" w:cs="Times New Roman"/>
          <w:sz w:val="24"/>
          <w:szCs w:val="24"/>
        </w:rPr>
        <w:t>投标方还应提供该产品的鉴定证书。</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4）投标方应保证制造过程中的所有工艺、材料试验等</w:t>
      </w:r>
      <w:r>
        <w:rPr>
          <w:rFonts w:ascii="宋体" w:hAnsi="宋体" w:eastAsia="宋体" w:cs="Times New Roman"/>
          <w:sz w:val="24"/>
          <w:szCs w:val="24"/>
        </w:rPr>
        <w:t>（</w:t>
      </w:r>
      <w:r>
        <w:rPr>
          <w:rFonts w:hint="eastAsia" w:ascii="宋体" w:hAnsi="宋体" w:eastAsia="宋体" w:cs="Times New Roman"/>
          <w:sz w:val="24"/>
          <w:szCs w:val="24"/>
        </w:rPr>
        <w:t>包括投标方的外购件在内</w:t>
      </w:r>
      <w:r>
        <w:rPr>
          <w:rFonts w:ascii="宋体" w:hAnsi="宋体" w:eastAsia="宋体" w:cs="Times New Roman"/>
          <w:sz w:val="24"/>
          <w:szCs w:val="24"/>
        </w:rPr>
        <w:t>）</w:t>
      </w:r>
      <w:r>
        <w:rPr>
          <w:rFonts w:hint="eastAsia" w:ascii="宋体" w:hAnsi="宋体" w:eastAsia="宋体" w:cs="Times New Roman"/>
          <w:sz w:val="24"/>
          <w:szCs w:val="24"/>
        </w:rPr>
        <w:t>均应符合本标准的规定。若招标方根据运行经验指定投标方提供某种外购零部件</w:t>
      </w:r>
      <w:r>
        <w:rPr>
          <w:rFonts w:ascii="宋体" w:hAnsi="宋体" w:eastAsia="宋体" w:cs="Times New Roman"/>
          <w:sz w:val="24"/>
          <w:szCs w:val="24"/>
        </w:rPr>
        <w:t xml:space="preserve">， </w:t>
      </w:r>
      <w:r>
        <w:rPr>
          <w:rFonts w:hint="eastAsia" w:ascii="宋体" w:hAnsi="宋体" w:eastAsia="宋体" w:cs="Times New Roman"/>
          <w:sz w:val="24"/>
          <w:szCs w:val="24"/>
        </w:rPr>
        <w:t>投标方应积极配合。</w:t>
      </w:r>
    </w:p>
    <w:p>
      <w:pPr>
        <w:pStyle w:val="48"/>
        <w:adjustRightInd w:val="0"/>
        <w:snapToGrid w:val="0"/>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5）附属及配套设备必须满足有关行业标准的要求</w:t>
      </w:r>
      <w:r>
        <w:rPr>
          <w:rFonts w:ascii="宋体" w:hAnsi="宋体" w:eastAsia="宋体" w:cs="Times New Roman"/>
          <w:sz w:val="24"/>
          <w:szCs w:val="24"/>
        </w:rPr>
        <w:t xml:space="preserve">， </w:t>
      </w:r>
      <w:r>
        <w:rPr>
          <w:rFonts w:hint="eastAsia" w:ascii="宋体" w:hAnsi="宋体" w:eastAsia="宋体" w:cs="Times New Roman"/>
          <w:sz w:val="24"/>
          <w:szCs w:val="24"/>
        </w:rPr>
        <w:t>并提供试验报告和产品合格证。</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6）投标方应有遵守本标准中各条款和工作项目的</w:t>
      </w:r>
      <w:r>
        <w:rPr>
          <w:rFonts w:ascii="宋体" w:hAnsi="宋体" w:eastAsia="宋体" w:cs="Times New Roman"/>
          <w:sz w:val="24"/>
          <w:szCs w:val="24"/>
        </w:rPr>
        <w:t>ISO900</w:t>
      </w:r>
      <w:r>
        <w:rPr>
          <w:rFonts w:hint="eastAsia" w:ascii="宋体" w:hAnsi="宋体" w:eastAsia="宋体" w:cs="Times New Roman"/>
          <w:sz w:val="24"/>
          <w:szCs w:val="24"/>
        </w:rPr>
        <w:t>0-</w:t>
      </w:r>
      <w:r>
        <w:rPr>
          <w:rFonts w:ascii="宋体" w:hAnsi="宋体" w:eastAsia="宋体" w:cs="Times New Roman"/>
          <w:sz w:val="24"/>
          <w:szCs w:val="24"/>
        </w:rPr>
        <w:t>GB/T1900</w:t>
      </w:r>
      <w:r>
        <w:rPr>
          <w:rFonts w:hint="eastAsia" w:ascii="宋体" w:hAnsi="宋体" w:eastAsia="宋体" w:cs="Times New Roman"/>
          <w:sz w:val="24"/>
          <w:szCs w:val="24"/>
        </w:rPr>
        <w:t>0质量保证体系</w:t>
      </w:r>
      <w:r>
        <w:rPr>
          <w:rFonts w:ascii="宋体" w:hAnsi="宋体" w:eastAsia="宋体" w:cs="Times New Roman"/>
          <w:sz w:val="24"/>
          <w:szCs w:val="24"/>
        </w:rPr>
        <w:t xml:space="preserve">， </w:t>
      </w:r>
      <w:r>
        <w:rPr>
          <w:rFonts w:hint="eastAsia" w:ascii="宋体" w:hAnsi="宋体" w:eastAsia="宋体" w:cs="Times New Roman"/>
          <w:sz w:val="24"/>
          <w:szCs w:val="24"/>
        </w:rPr>
        <w:t>该质量保证体系已经通过国家认证并在正常运转。</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7）仪器设备到达用户所在地后,由投标方的技术人员前往现场进行仪器的安装、测试, 并免费对招标方技术人员进行软硬件操作、仪器的保养、日常维护等方面的培训。</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8）对仪器设备在质保期内出现的故障, 投标方人员在接到通知后应在2工作日内派技术人员到现场检查处理, 并立刻提出处理意见, 免费进行维修。</w:t>
      </w:r>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9）对于质保期已过的仪器设备, 厂家将负责终身维修。对于一般的故障, 处理时间15工作日内。对于严重的故障，将根据情况安排维修时间的长短。</w:t>
      </w:r>
    </w:p>
    <w:p>
      <w:pPr>
        <w:pStyle w:val="3"/>
        <w:numPr>
          <w:ilvl w:val="0"/>
          <w:numId w:val="0"/>
        </w:numPr>
        <w:snapToGrid/>
        <w:spacing w:before="0" w:beforeLines="0" w:line="480" w:lineRule="auto"/>
        <w:rPr>
          <w:rFonts w:hint="eastAsia" w:hAnsi="宋体"/>
          <w:sz w:val="24"/>
          <w:szCs w:val="24"/>
        </w:rPr>
      </w:pPr>
      <w:bookmarkStart w:id="68" w:name="_Toc287602849"/>
      <w:bookmarkStart w:id="69" w:name="_Toc399627557"/>
      <w:r>
        <w:rPr>
          <w:rFonts w:hint="eastAsia" w:hAnsi="宋体"/>
          <w:sz w:val="24"/>
          <w:szCs w:val="24"/>
        </w:rPr>
        <w:t>10 技术差异表</w:t>
      </w:r>
      <w:bookmarkEnd w:id="68"/>
      <w:bookmarkEnd w:id="69"/>
    </w:p>
    <w:p>
      <w:pPr>
        <w:pStyle w:val="48"/>
        <w:adjustRightInd w:val="0"/>
        <w:snapToGrid w:val="0"/>
        <w:spacing w:line="360" w:lineRule="auto"/>
        <w:ind w:firstLine="480"/>
        <w:rPr>
          <w:rFonts w:hint="eastAsia" w:ascii="宋体" w:hAnsi="宋体" w:eastAsia="宋体" w:cs="Times New Roman"/>
          <w:sz w:val="24"/>
          <w:szCs w:val="24"/>
        </w:rPr>
      </w:pPr>
      <w:bookmarkStart w:id="70" w:name="_Toc226362579"/>
      <w:r>
        <w:rPr>
          <w:rFonts w:hint="eastAsia" w:ascii="宋体" w:hAnsi="宋体" w:eastAsia="宋体" w:cs="Times New Roman"/>
          <w:sz w:val="24"/>
          <w:szCs w:val="24"/>
        </w:rPr>
        <w:t>投标方应将所供设备与本招</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技术文件有差异之处，无论优于或劣于本招</w:t>
      </w:r>
      <w:r>
        <w:rPr>
          <w:rFonts w:hint="eastAsia" w:ascii="宋体" w:hAnsi="宋体" w:eastAsia="宋体" w:cs="Times New Roman"/>
          <w:sz w:val="24"/>
          <w:szCs w:val="24"/>
          <w:lang w:eastAsia="zh-CN"/>
        </w:rPr>
        <w:t>标书</w:t>
      </w:r>
      <w:r>
        <w:rPr>
          <w:rFonts w:hint="eastAsia" w:ascii="宋体" w:hAnsi="宋体" w:eastAsia="宋体" w:cs="Times New Roman"/>
          <w:sz w:val="24"/>
          <w:szCs w:val="24"/>
        </w:rPr>
        <w:t>技术文件要求，均汇集至表10.1。</w:t>
      </w:r>
    </w:p>
    <w:p>
      <w:pPr>
        <w:adjustRightInd w:val="0"/>
        <w:snapToGrid w:val="0"/>
        <w:spacing w:line="360" w:lineRule="auto"/>
        <w:ind w:firstLine="199"/>
        <w:jc w:val="center"/>
        <w:rPr>
          <w:rFonts w:ascii="宋体" w:hAnsi="宋体"/>
          <w:sz w:val="24"/>
        </w:rPr>
      </w:pPr>
      <w:r>
        <w:rPr>
          <w:rFonts w:hint="eastAsia" w:ascii="宋体" w:hAnsi="宋体"/>
          <w:sz w:val="24"/>
        </w:rPr>
        <w:t>表10.1   技术差异表</w:t>
      </w:r>
      <w:bookmarkEnd w:id="70"/>
      <w:r>
        <w:rPr>
          <w:rFonts w:hint="eastAsia" w:ascii="宋体" w:hAnsi="宋体"/>
          <w:sz w:val="24"/>
        </w:rPr>
        <w:t xml:space="preserve">  （投标方填写）</w:t>
      </w:r>
    </w:p>
    <w:tbl>
      <w:tblPr>
        <w:tblStyle w:val="28"/>
        <w:tblW w:w="9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4"/>
        <w:gridCol w:w="1256"/>
        <w:gridCol w:w="2932"/>
        <w:gridCol w:w="1360"/>
        <w:gridCol w:w="27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restart"/>
            <w:vAlign w:val="center"/>
          </w:tcPr>
          <w:p>
            <w:pPr>
              <w:jc w:val="center"/>
              <w:rPr>
                <w:rFonts w:ascii="宋体" w:hAnsi="宋体"/>
                <w:szCs w:val="21"/>
              </w:rPr>
            </w:pPr>
            <w:r>
              <w:rPr>
                <w:rFonts w:hint="eastAsia" w:ascii="宋体" w:hAnsi="宋体"/>
                <w:szCs w:val="21"/>
              </w:rPr>
              <w:t>序</w:t>
            </w:r>
          </w:p>
          <w:p>
            <w:pPr>
              <w:jc w:val="center"/>
              <w:rPr>
                <w:rFonts w:ascii="宋体" w:hAnsi="宋体"/>
                <w:szCs w:val="21"/>
              </w:rPr>
            </w:pPr>
            <w:r>
              <w:rPr>
                <w:rFonts w:hint="eastAsia" w:ascii="宋体" w:hAnsi="宋体"/>
                <w:szCs w:val="21"/>
              </w:rPr>
              <w:t>号</w:t>
            </w:r>
          </w:p>
        </w:tc>
        <w:tc>
          <w:tcPr>
            <w:tcW w:w="4188" w:type="dxa"/>
            <w:gridSpan w:val="2"/>
            <w:vAlign w:val="center"/>
          </w:tcPr>
          <w:p>
            <w:pPr>
              <w:jc w:val="center"/>
              <w:rPr>
                <w:rFonts w:ascii="宋体" w:hAnsi="宋体"/>
                <w:szCs w:val="21"/>
              </w:rPr>
            </w:pPr>
            <w:r>
              <w:rPr>
                <w:rFonts w:hint="eastAsia" w:ascii="宋体" w:hAnsi="宋体"/>
                <w:szCs w:val="21"/>
              </w:rPr>
              <w:t>招 标 文 件</w:t>
            </w:r>
          </w:p>
        </w:tc>
        <w:tc>
          <w:tcPr>
            <w:tcW w:w="4143" w:type="dxa"/>
            <w:gridSpan w:val="2"/>
            <w:vAlign w:val="center"/>
          </w:tcPr>
          <w:p>
            <w:pPr>
              <w:jc w:val="center"/>
              <w:rPr>
                <w:rFonts w:ascii="宋体" w:hAnsi="宋体"/>
                <w:szCs w:val="21"/>
              </w:rPr>
            </w:pPr>
            <w:r>
              <w:rPr>
                <w:rFonts w:hint="eastAsia" w:ascii="宋体" w:hAnsi="宋体"/>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continue"/>
            <w:vAlign w:val="center"/>
          </w:tcPr>
          <w:p>
            <w:pPr>
              <w:jc w:val="center"/>
              <w:rPr>
                <w:rFonts w:ascii="宋体" w:hAnsi="宋体"/>
                <w:szCs w:val="21"/>
              </w:rPr>
            </w:pPr>
          </w:p>
        </w:tc>
        <w:tc>
          <w:tcPr>
            <w:tcW w:w="1256" w:type="dxa"/>
            <w:vAlign w:val="center"/>
          </w:tcPr>
          <w:p>
            <w:pPr>
              <w:jc w:val="center"/>
              <w:rPr>
                <w:rFonts w:ascii="宋体" w:hAnsi="宋体"/>
                <w:szCs w:val="21"/>
              </w:rPr>
            </w:pPr>
            <w:r>
              <w:rPr>
                <w:rFonts w:hint="eastAsia" w:ascii="宋体" w:hAnsi="宋体"/>
                <w:szCs w:val="21"/>
              </w:rPr>
              <w:t>条  目</w:t>
            </w:r>
          </w:p>
        </w:tc>
        <w:tc>
          <w:tcPr>
            <w:tcW w:w="2932" w:type="dxa"/>
            <w:vAlign w:val="center"/>
          </w:tcPr>
          <w:p>
            <w:pPr>
              <w:jc w:val="center"/>
              <w:rPr>
                <w:rFonts w:ascii="宋体" w:hAnsi="宋体"/>
                <w:szCs w:val="21"/>
              </w:rPr>
            </w:pPr>
            <w:r>
              <w:rPr>
                <w:rFonts w:hint="eastAsia" w:ascii="宋体" w:hAnsi="宋体"/>
                <w:szCs w:val="21"/>
              </w:rPr>
              <w:t>简  要  内  容</w:t>
            </w:r>
          </w:p>
        </w:tc>
        <w:tc>
          <w:tcPr>
            <w:tcW w:w="1360" w:type="dxa"/>
            <w:vAlign w:val="center"/>
          </w:tcPr>
          <w:p>
            <w:pPr>
              <w:jc w:val="center"/>
              <w:rPr>
                <w:rFonts w:ascii="宋体" w:hAnsi="宋体"/>
                <w:szCs w:val="21"/>
              </w:rPr>
            </w:pPr>
            <w:r>
              <w:rPr>
                <w:rFonts w:hint="eastAsia" w:ascii="宋体" w:hAnsi="宋体"/>
                <w:szCs w:val="21"/>
              </w:rPr>
              <w:t>条  目</w:t>
            </w:r>
          </w:p>
        </w:tc>
        <w:tc>
          <w:tcPr>
            <w:tcW w:w="2783" w:type="dxa"/>
            <w:vAlign w:val="center"/>
          </w:tcPr>
          <w:p>
            <w:pPr>
              <w:jc w:val="center"/>
              <w:rPr>
                <w:rFonts w:ascii="宋体" w:hAnsi="宋体"/>
                <w:szCs w:val="21"/>
              </w:rPr>
            </w:pPr>
            <w:r>
              <w:rPr>
                <w:rFonts w:hint="eastAsia" w:ascii="宋体" w:hAnsi="宋体"/>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ascii="宋体" w:hAnsi="宋体"/>
                <w:szCs w:val="21"/>
              </w:rPr>
            </w:pPr>
          </w:p>
        </w:tc>
        <w:tc>
          <w:tcPr>
            <w:tcW w:w="1256" w:type="dxa"/>
            <w:vAlign w:val="center"/>
          </w:tcPr>
          <w:p>
            <w:pPr>
              <w:widowControl/>
              <w:autoSpaceDE w:val="0"/>
              <w:autoSpaceDN w:val="0"/>
              <w:textAlignment w:val="bottom"/>
              <w:rPr>
                <w:rFonts w:ascii="宋体" w:hAnsi="宋体"/>
                <w:szCs w:val="21"/>
              </w:rPr>
            </w:pPr>
          </w:p>
        </w:tc>
        <w:tc>
          <w:tcPr>
            <w:tcW w:w="2932" w:type="dxa"/>
            <w:vAlign w:val="center"/>
          </w:tcPr>
          <w:p>
            <w:pPr>
              <w:widowControl/>
              <w:autoSpaceDE w:val="0"/>
              <w:autoSpaceDN w:val="0"/>
              <w:textAlignment w:val="bottom"/>
              <w:rPr>
                <w:rFonts w:ascii="宋体" w:hAnsi="宋体"/>
                <w:szCs w:val="21"/>
              </w:rPr>
            </w:pPr>
          </w:p>
        </w:tc>
        <w:tc>
          <w:tcPr>
            <w:tcW w:w="1360" w:type="dxa"/>
            <w:vAlign w:val="center"/>
          </w:tcPr>
          <w:p>
            <w:pPr>
              <w:widowControl/>
              <w:autoSpaceDE w:val="0"/>
              <w:autoSpaceDN w:val="0"/>
              <w:textAlignment w:val="bottom"/>
              <w:rPr>
                <w:rFonts w:ascii="宋体" w:hAnsi="宋体"/>
                <w:szCs w:val="21"/>
              </w:rPr>
            </w:pPr>
          </w:p>
        </w:tc>
        <w:tc>
          <w:tcPr>
            <w:tcW w:w="2783" w:type="dxa"/>
            <w:vAlign w:val="center"/>
          </w:tcPr>
          <w:p>
            <w:pPr>
              <w:widowControl/>
              <w:autoSpaceDE w:val="0"/>
              <w:autoSpaceDN w:val="0"/>
              <w:textAlignment w:val="bottom"/>
              <w:rPr>
                <w:rFonts w:ascii="宋体" w:hAnsi="宋体"/>
                <w:szCs w:val="21"/>
              </w:rPr>
            </w:pPr>
          </w:p>
        </w:tc>
      </w:tr>
    </w:tbl>
    <w:p>
      <w:pPr>
        <w:pStyle w:val="16"/>
        <w:adjustRightInd w:val="0"/>
        <w:snapToGrid w:val="0"/>
        <w:spacing w:before="156" w:beforeLines="50" w:line="360" w:lineRule="auto"/>
        <w:rPr>
          <w:rFonts w:hAnsi="宋体"/>
          <w:sz w:val="24"/>
        </w:rPr>
      </w:pPr>
      <w:r>
        <w:rPr>
          <w:rFonts w:hAnsi="宋体"/>
          <w:sz w:val="24"/>
        </w:rPr>
        <w:t>投标</w:t>
      </w:r>
      <w:r>
        <w:rPr>
          <w:rFonts w:hint="eastAsia" w:hAnsi="宋体"/>
          <w:sz w:val="24"/>
        </w:rPr>
        <w:t>方</w:t>
      </w:r>
      <w:r>
        <w:rPr>
          <w:rFonts w:hAnsi="宋体"/>
          <w:sz w:val="24"/>
        </w:rPr>
        <w:t>：</w:t>
      </w:r>
      <w:r>
        <w:rPr>
          <w:rFonts w:hAnsi="宋体"/>
          <w:sz w:val="24"/>
          <w:u w:val="single"/>
        </w:rPr>
        <w:t xml:space="preserve">             </w:t>
      </w:r>
      <w:r>
        <w:rPr>
          <w:rFonts w:hAnsi="宋体"/>
          <w:sz w:val="24"/>
        </w:rPr>
        <w:t xml:space="preserve">   盖章：</w:t>
      </w:r>
    </w:p>
    <w:p>
      <w:pPr>
        <w:pStyle w:val="3"/>
        <w:numPr>
          <w:ilvl w:val="0"/>
          <w:numId w:val="0"/>
        </w:numPr>
        <w:snapToGrid/>
        <w:spacing w:before="0" w:beforeLines="0" w:line="480" w:lineRule="auto"/>
        <w:rPr>
          <w:rFonts w:hint="eastAsia" w:hAnsi="宋体"/>
          <w:sz w:val="24"/>
          <w:szCs w:val="24"/>
        </w:rPr>
      </w:pPr>
      <w:bookmarkStart w:id="71" w:name="_Toc282420857"/>
      <w:bookmarkStart w:id="72" w:name="_Toc282421446"/>
      <w:bookmarkStart w:id="73" w:name="_Toc399627558"/>
      <w:bookmarkStart w:id="74" w:name="_Toc287602850"/>
      <w:r>
        <w:rPr>
          <w:rFonts w:hint="eastAsia" w:hAnsi="宋体"/>
          <w:sz w:val="24"/>
          <w:szCs w:val="24"/>
        </w:rPr>
        <w:t>11投标方需说明的其他问题</w:t>
      </w:r>
      <w:bookmarkEnd w:id="71"/>
      <w:bookmarkEnd w:id="72"/>
      <w:bookmarkEnd w:id="73"/>
      <w:bookmarkEnd w:id="74"/>
    </w:p>
    <w:p>
      <w:pPr>
        <w:pStyle w:val="48"/>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如有需说明的其他问题，投标方应通过书面形式提交，并加盖公章。</w:t>
      </w:r>
    </w:p>
    <w:p/>
    <w:sectPr>
      <w:headerReference r:id="rId4" w:type="default"/>
      <w:footerReference r:id="rId5" w:type="default"/>
      <w:pgSz w:w="11906" w:h="16838"/>
      <w:pgMar w:top="1440" w:right="1466" w:bottom="144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Fonts w:hint="eastAsia"/>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right"/>
    </w:pPr>
    <w:r>
      <w:fldChar w:fldCharType="begin"/>
    </w:r>
    <w:r>
      <w:instrText xml:space="preserve"> PAGE   \* MERGEFORMAT </w:instrText>
    </w:r>
    <w:r>
      <w:fldChar w:fldCharType="separate"/>
    </w:r>
    <w:r>
      <w:rPr>
        <w:lang w:val="zh-CN"/>
      </w:rPr>
      <w:t>12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A132E"/>
    <w:multiLevelType w:val="multilevel"/>
    <w:tmpl w:val="046A132E"/>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4"/>
      <w:suff w:val="space"/>
      <w:lvlText w:val="%1.%2"/>
      <w:lvlJc w:val="left"/>
      <w:pPr>
        <w:ind w:left="0" w:firstLine="0"/>
      </w:pPr>
      <w:rPr>
        <w:rFonts w:hint="default" w:ascii="Times New Roman" w:hAnsi="Times New Roman" w:eastAsia="宋体"/>
        <w:b w:val="0"/>
        <w:i w:val="0"/>
        <w:sz w:val="21"/>
      </w:rPr>
    </w:lvl>
    <w:lvl w:ilvl="2" w:tentative="0">
      <w:start w:val="12"/>
      <w:numFmt w:val="decimal"/>
      <w:pStyle w:val="5"/>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snapToGrid w:val="0"/>
        <w:vanish w:val="0"/>
        <w:color w:val="auto"/>
        <w:spacing w:val="0"/>
        <w:w w:val="100"/>
        <w:kern w:val="2"/>
        <w:position w:val="0"/>
        <w:sz w:val="21"/>
        <w:szCs w:val="0"/>
        <w:u w:val="none" w:color="000000"/>
        <w:shd w:val="clear" w:color="auto" w:fill="auto"/>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snapToGrid w:val="0"/>
        <w:vanish w:val="0"/>
        <w:color w:val="auto"/>
        <w:spacing w:val="0"/>
        <w:w w:val="100"/>
        <w:kern w:val="2"/>
        <w:position w:val="0"/>
        <w:sz w:val="21"/>
        <w:szCs w:val="21"/>
        <w:u w:val="none" w:color="000000"/>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7"/>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F4D"/>
    <w:rsid w:val="004850E0"/>
    <w:rsid w:val="00507F4D"/>
    <w:rsid w:val="005616EA"/>
    <w:rsid w:val="005E2EC3"/>
    <w:rsid w:val="00633C1A"/>
    <w:rsid w:val="006D256D"/>
    <w:rsid w:val="00743D4A"/>
    <w:rsid w:val="0076242B"/>
    <w:rsid w:val="008931EA"/>
    <w:rsid w:val="008963ED"/>
    <w:rsid w:val="00A963E0"/>
    <w:rsid w:val="00B20613"/>
    <w:rsid w:val="00C4463A"/>
    <w:rsid w:val="00D634A8"/>
    <w:rsid w:val="00D678E8"/>
    <w:rsid w:val="00D740ED"/>
    <w:rsid w:val="00F056F5"/>
    <w:rsid w:val="00F25D29"/>
    <w:rsid w:val="070D5463"/>
    <w:rsid w:val="084723B5"/>
    <w:rsid w:val="15C86424"/>
    <w:rsid w:val="2BEE66F4"/>
    <w:rsid w:val="36F0709B"/>
    <w:rsid w:val="4E4867EF"/>
    <w:rsid w:val="5220559B"/>
    <w:rsid w:val="52E41220"/>
    <w:rsid w:val="59464E47"/>
    <w:rsid w:val="67601F79"/>
    <w:rsid w:val="6AF77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qFormat="1" w:unhideWhenUsed="0" w:uiPriority="0"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1"/>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4">
    <w:name w:val="heading 2"/>
    <w:basedOn w:val="1"/>
    <w:next w:val="1"/>
    <w:link w:val="42"/>
    <w:qFormat/>
    <w:uiPriority w:val="0"/>
    <w:pPr>
      <w:keepLines/>
      <w:numPr>
        <w:ilvl w:val="1"/>
        <w:numId w:val="1"/>
      </w:numPr>
      <w:adjustRightInd w:val="0"/>
      <w:snapToGrid w:val="0"/>
      <w:spacing w:line="360" w:lineRule="auto"/>
      <w:outlineLvl w:val="1"/>
    </w:pPr>
    <w:rPr>
      <w:rFonts w:ascii="宋体"/>
      <w:bCs/>
      <w:szCs w:val="21"/>
    </w:rPr>
  </w:style>
  <w:style w:type="paragraph" w:styleId="5">
    <w:name w:val="heading 3"/>
    <w:basedOn w:val="1"/>
    <w:next w:val="1"/>
    <w:link w:val="37"/>
    <w:qFormat/>
    <w:uiPriority w:val="0"/>
    <w:pPr>
      <w:numPr>
        <w:ilvl w:val="2"/>
        <w:numId w:val="1"/>
      </w:numPr>
      <w:tabs>
        <w:tab w:val="left" w:pos="1560"/>
      </w:tabs>
      <w:snapToGrid w:val="0"/>
      <w:spacing w:line="360" w:lineRule="auto"/>
      <w:outlineLvl w:val="2"/>
    </w:pPr>
    <w:rPr>
      <w:rFonts w:ascii="宋体"/>
      <w:bCs/>
      <w:szCs w:val="21"/>
    </w:rPr>
  </w:style>
  <w:style w:type="paragraph" w:styleId="6">
    <w:name w:val="heading 4"/>
    <w:basedOn w:val="1"/>
    <w:next w:val="1"/>
    <w:link w:val="36"/>
    <w:qFormat/>
    <w:uiPriority w:val="0"/>
    <w:pPr>
      <w:spacing w:line="360" w:lineRule="auto"/>
      <w:outlineLvl w:val="3"/>
    </w:pPr>
    <w:rPr>
      <w:rFonts w:ascii="宋体"/>
      <w:bCs/>
      <w:szCs w:val="21"/>
    </w:rPr>
  </w:style>
  <w:style w:type="paragraph" w:styleId="7">
    <w:name w:val="heading 5"/>
    <w:basedOn w:val="1"/>
    <w:next w:val="1"/>
    <w:link w:val="38"/>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8">
    <w:name w:val="heading 6"/>
    <w:basedOn w:val="1"/>
    <w:next w:val="1"/>
    <w:link w:val="43"/>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44"/>
    <w:qFormat/>
    <w:uiPriority w:val="0"/>
    <w:pPr>
      <w:keepNext/>
      <w:keepLines/>
      <w:spacing w:before="240" w:after="64" w:line="320" w:lineRule="auto"/>
      <w:outlineLvl w:val="6"/>
    </w:pPr>
    <w:rPr>
      <w:b/>
      <w:bCs/>
      <w:sz w:val="24"/>
    </w:rPr>
  </w:style>
  <w:style w:type="paragraph" w:styleId="10">
    <w:name w:val="heading 8"/>
    <w:basedOn w:val="1"/>
    <w:next w:val="1"/>
    <w:link w:val="45"/>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46"/>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2">
    <w:name w:val="Body Text"/>
    <w:basedOn w:val="1"/>
    <w:link w:val="104"/>
    <w:qFormat/>
    <w:uiPriority w:val="0"/>
    <w:pPr>
      <w:spacing w:after="120"/>
    </w:pPr>
  </w:style>
  <w:style w:type="paragraph" w:styleId="12">
    <w:name w:val="Normal Indent"/>
    <w:basedOn w:val="1"/>
    <w:link w:val="53"/>
    <w:qFormat/>
    <w:uiPriority w:val="0"/>
    <w:pPr>
      <w:spacing w:line="360" w:lineRule="auto"/>
      <w:ind w:firstLine="420" w:firstLineChars="200"/>
    </w:pPr>
  </w:style>
  <w:style w:type="paragraph" w:styleId="13">
    <w:name w:val="Document Map"/>
    <w:basedOn w:val="1"/>
    <w:link w:val="102"/>
    <w:qFormat/>
    <w:uiPriority w:val="0"/>
    <w:rPr>
      <w:rFonts w:ascii="宋体"/>
      <w:sz w:val="18"/>
      <w:szCs w:val="18"/>
    </w:rPr>
  </w:style>
  <w:style w:type="paragraph" w:styleId="14">
    <w:name w:val="annotation text"/>
    <w:basedOn w:val="1"/>
    <w:link w:val="59"/>
    <w:semiHidden/>
    <w:qFormat/>
    <w:uiPriority w:val="0"/>
    <w:pPr>
      <w:jc w:val="left"/>
    </w:pPr>
  </w:style>
  <w:style w:type="paragraph" w:styleId="15">
    <w:name w:val="toc 3"/>
    <w:basedOn w:val="1"/>
    <w:next w:val="1"/>
    <w:semiHidden/>
    <w:qFormat/>
    <w:uiPriority w:val="0"/>
    <w:pPr>
      <w:tabs>
        <w:tab w:val="left" w:pos="1620"/>
        <w:tab w:val="right" w:leader="dot" w:pos="8296"/>
      </w:tabs>
    </w:pPr>
  </w:style>
  <w:style w:type="paragraph" w:styleId="16">
    <w:name w:val="Plain Text"/>
    <w:basedOn w:val="1"/>
    <w:link w:val="76"/>
    <w:qFormat/>
    <w:uiPriority w:val="0"/>
    <w:rPr>
      <w:rFonts w:ascii="宋体" w:hAnsi="Courier New"/>
    </w:rPr>
  </w:style>
  <w:style w:type="paragraph" w:styleId="17">
    <w:name w:val="Date"/>
    <w:basedOn w:val="1"/>
    <w:next w:val="1"/>
    <w:link w:val="101"/>
    <w:qFormat/>
    <w:uiPriority w:val="0"/>
    <w:pPr>
      <w:ind w:left="100" w:leftChars="2500"/>
    </w:pPr>
  </w:style>
  <w:style w:type="paragraph" w:styleId="18">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szCs w:val="20"/>
    </w:rPr>
  </w:style>
  <w:style w:type="paragraph" w:styleId="19">
    <w:name w:val="Balloon Text"/>
    <w:basedOn w:val="1"/>
    <w:link w:val="60"/>
    <w:semiHidden/>
    <w:qFormat/>
    <w:uiPriority w:val="0"/>
    <w:rPr>
      <w:sz w:val="18"/>
      <w:szCs w:val="18"/>
    </w:rPr>
  </w:style>
  <w:style w:type="paragraph" w:styleId="20">
    <w:name w:val="footer"/>
    <w:basedOn w:val="1"/>
    <w:link w:val="40"/>
    <w:unhideWhenUsed/>
    <w:qFormat/>
    <w:uiPriority w:val="99"/>
    <w:pPr>
      <w:tabs>
        <w:tab w:val="center" w:pos="4153"/>
        <w:tab w:val="right" w:pos="8306"/>
      </w:tabs>
      <w:snapToGrid w:val="0"/>
      <w:jc w:val="left"/>
    </w:pPr>
    <w:rPr>
      <w:sz w:val="18"/>
      <w:szCs w:val="18"/>
    </w:rPr>
  </w:style>
  <w:style w:type="paragraph" w:styleId="21">
    <w:name w:val="header"/>
    <w:basedOn w:val="1"/>
    <w:link w:val="39"/>
    <w:unhideWhenUsed/>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jc w:val="left"/>
    </w:pPr>
    <w:rPr>
      <w:b/>
      <w:bCs/>
      <w:caps/>
      <w:sz w:val="20"/>
      <w:szCs w:val="20"/>
    </w:rPr>
  </w:style>
  <w:style w:type="paragraph" w:styleId="23">
    <w:name w:val="toc 4"/>
    <w:basedOn w:val="1"/>
    <w:next w:val="1"/>
    <w:semiHidden/>
    <w:qFormat/>
    <w:uiPriority w:val="0"/>
    <w:pPr>
      <w:ind w:left="1260" w:leftChars="600"/>
    </w:pPr>
  </w:style>
  <w:style w:type="paragraph" w:styleId="24">
    <w:name w:val="toc 2"/>
    <w:basedOn w:val="1"/>
    <w:next w:val="1"/>
    <w:qFormat/>
    <w:uiPriority w:val="39"/>
    <w:pPr>
      <w:tabs>
        <w:tab w:val="left" w:pos="900"/>
        <w:tab w:val="right" w:leader="dot" w:pos="8296"/>
      </w:tabs>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kern w:val="0"/>
      <w:sz w:val="24"/>
    </w:rPr>
  </w:style>
  <w:style w:type="paragraph" w:styleId="26">
    <w:name w:val="Title"/>
    <w:basedOn w:val="1"/>
    <w:link w:val="87"/>
    <w:qFormat/>
    <w:uiPriority w:val="0"/>
    <w:pPr>
      <w:spacing w:before="240" w:after="60"/>
      <w:jc w:val="center"/>
      <w:outlineLvl w:val="0"/>
    </w:pPr>
    <w:rPr>
      <w:rFonts w:ascii="Arial" w:hAnsi="Arial" w:cs="Arial"/>
      <w:b/>
      <w:bCs/>
      <w:sz w:val="32"/>
      <w:szCs w:val="32"/>
    </w:rPr>
  </w:style>
  <w:style w:type="paragraph" w:styleId="27">
    <w:name w:val="annotation subject"/>
    <w:basedOn w:val="14"/>
    <w:next w:val="14"/>
    <w:link w:val="78"/>
    <w:semiHidden/>
    <w:qFormat/>
    <w:uiPriority w:val="0"/>
    <w:rPr>
      <w:b/>
      <w:bCs/>
    </w:rPr>
  </w:style>
  <w:style w:type="table" w:styleId="29">
    <w:name w:val="Table Grid"/>
    <w:basedOn w:val="2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Emphasis"/>
    <w:qFormat/>
    <w:uiPriority w:val="0"/>
    <w:rPr>
      <w:color w:val="CC0000"/>
    </w:rPr>
  </w:style>
  <w:style w:type="character" w:styleId="33">
    <w:name w:val="HTML Definition"/>
    <w:semiHidden/>
    <w:qFormat/>
    <w:uiPriority w:val="0"/>
    <w:rPr>
      <w:i/>
      <w:iCs/>
    </w:rPr>
  </w:style>
  <w:style w:type="character" w:styleId="34">
    <w:name w:val="Hyperlink"/>
    <w:qFormat/>
    <w:uiPriority w:val="99"/>
    <w:rPr>
      <w:color w:val="0000FF"/>
      <w:u w:val="single"/>
    </w:rPr>
  </w:style>
  <w:style w:type="character" w:styleId="35">
    <w:name w:val="annotation reference"/>
    <w:semiHidden/>
    <w:qFormat/>
    <w:uiPriority w:val="0"/>
    <w:rPr>
      <w:sz w:val="21"/>
      <w:szCs w:val="21"/>
    </w:rPr>
  </w:style>
  <w:style w:type="character" w:customStyle="1" w:styleId="36">
    <w:name w:val="标题 4 Char"/>
    <w:basedOn w:val="30"/>
    <w:link w:val="6"/>
    <w:qFormat/>
    <w:uiPriority w:val="0"/>
    <w:rPr>
      <w:rFonts w:ascii="宋体" w:hAnsi="Times New Roman" w:eastAsia="宋体" w:cs="Times New Roman"/>
      <w:bCs/>
      <w:szCs w:val="21"/>
    </w:rPr>
  </w:style>
  <w:style w:type="character" w:customStyle="1" w:styleId="37">
    <w:name w:val="标题 3 Char"/>
    <w:basedOn w:val="30"/>
    <w:link w:val="5"/>
    <w:qFormat/>
    <w:uiPriority w:val="0"/>
    <w:rPr>
      <w:rFonts w:ascii="宋体" w:hAnsi="Times New Roman" w:eastAsia="宋体" w:cs="Times New Roman"/>
      <w:bCs/>
      <w:szCs w:val="21"/>
    </w:rPr>
  </w:style>
  <w:style w:type="character" w:customStyle="1" w:styleId="38">
    <w:name w:val="标题 5 Char"/>
    <w:basedOn w:val="30"/>
    <w:link w:val="7"/>
    <w:qFormat/>
    <w:uiPriority w:val="0"/>
    <w:rPr>
      <w:rFonts w:ascii="Times New Roman" w:hAnsi="Times New Roman" w:eastAsia="宋体" w:cs="宋体"/>
      <w:bCs/>
      <w:kern w:val="0"/>
      <w:szCs w:val="21"/>
    </w:rPr>
  </w:style>
  <w:style w:type="character" w:customStyle="1" w:styleId="39">
    <w:name w:val="页眉 Char"/>
    <w:basedOn w:val="30"/>
    <w:link w:val="21"/>
    <w:qFormat/>
    <w:uiPriority w:val="99"/>
    <w:rPr>
      <w:sz w:val="18"/>
      <w:szCs w:val="18"/>
    </w:rPr>
  </w:style>
  <w:style w:type="character" w:customStyle="1" w:styleId="40">
    <w:name w:val="页脚 Char"/>
    <w:basedOn w:val="30"/>
    <w:link w:val="20"/>
    <w:qFormat/>
    <w:uiPriority w:val="99"/>
    <w:rPr>
      <w:sz w:val="18"/>
      <w:szCs w:val="18"/>
    </w:rPr>
  </w:style>
  <w:style w:type="character" w:customStyle="1" w:styleId="41">
    <w:name w:val="标题 1 Char"/>
    <w:basedOn w:val="30"/>
    <w:link w:val="3"/>
    <w:qFormat/>
    <w:uiPriority w:val="0"/>
    <w:rPr>
      <w:rFonts w:ascii="宋体" w:hAnsi="Times New Roman" w:eastAsia="宋体" w:cs="Times New Roman"/>
      <w:b/>
      <w:bCs/>
      <w:kern w:val="44"/>
      <w:szCs w:val="21"/>
    </w:rPr>
  </w:style>
  <w:style w:type="character" w:customStyle="1" w:styleId="42">
    <w:name w:val="标题 2 Char"/>
    <w:basedOn w:val="30"/>
    <w:link w:val="4"/>
    <w:qFormat/>
    <w:uiPriority w:val="0"/>
    <w:rPr>
      <w:rFonts w:ascii="宋体" w:hAnsi="Times New Roman" w:eastAsia="宋体" w:cs="Times New Roman"/>
      <w:bCs/>
      <w:szCs w:val="21"/>
    </w:rPr>
  </w:style>
  <w:style w:type="character" w:customStyle="1" w:styleId="43">
    <w:name w:val="标题 6 Char"/>
    <w:basedOn w:val="30"/>
    <w:link w:val="8"/>
    <w:qFormat/>
    <w:uiPriority w:val="0"/>
    <w:rPr>
      <w:rFonts w:ascii="Arial" w:hAnsi="Arial" w:eastAsia="黑体" w:cs="Times New Roman"/>
      <w:b/>
      <w:bCs/>
      <w:sz w:val="24"/>
      <w:szCs w:val="24"/>
    </w:rPr>
  </w:style>
  <w:style w:type="character" w:customStyle="1" w:styleId="44">
    <w:name w:val="标题 7 Char"/>
    <w:basedOn w:val="30"/>
    <w:link w:val="9"/>
    <w:qFormat/>
    <w:uiPriority w:val="0"/>
    <w:rPr>
      <w:rFonts w:ascii="Times New Roman" w:hAnsi="Times New Roman" w:eastAsia="宋体" w:cs="Times New Roman"/>
      <w:b/>
      <w:bCs/>
      <w:sz w:val="24"/>
      <w:szCs w:val="24"/>
    </w:rPr>
  </w:style>
  <w:style w:type="character" w:customStyle="1" w:styleId="45">
    <w:name w:val="标题 8 Char"/>
    <w:basedOn w:val="30"/>
    <w:link w:val="10"/>
    <w:qFormat/>
    <w:uiPriority w:val="0"/>
    <w:rPr>
      <w:rFonts w:ascii="Arial" w:hAnsi="Arial" w:eastAsia="黑体" w:cs="Times New Roman"/>
      <w:sz w:val="24"/>
      <w:szCs w:val="24"/>
    </w:rPr>
  </w:style>
  <w:style w:type="character" w:customStyle="1" w:styleId="46">
    <w:name w:val="标题 9 Char"/>
    <w:basedOn w:val="30"/>
    <w:link w:val="11"/>
    <w:qFormat/>
    <w:uiPriority w:val="0"/>
    <w:rPr>
      <w:rFonts w:ascii="Arial" w:hAnsi="Arial" w:eastAsia="黑体" w:cs="Times New Roman"/>
      <w:szCs w:val="21"/>
    </w:rPr>
  </w:style>
  <w:style w:type="character" w:customStyle="1" w:styleId="47">
    <w:name w:val="首行缩进 Char"/>
    <w:link w:val="48"/>
    <w:qFormat/>
    <w:uiPriority w:val="0"/>
    <w:rPr>
      <w:rFonts w:eastAsia="方正书宋简体" w:cs="宋体"/>
    </w:rPr>
  </w:style>
  <w:style w:type="paragraph" w:customStyle="1" w:styleId="48">
    <w:name w:val="首行缩进"/>
    <w:basedOn w:val="1"/>
    <w:link w:val="47"/>
    <w:qFormat/>
    <w:uiPriority w:val="0"/>
    <w:pPr>
      <w:spacing w:line="300" w:lineRule="auto"/>
      <w:ind w:firstLine="420" w:firstLineChars="200"/>
    </w:pPr>
    <w:rPr>
      <w:rFonts w:eastAsia="方正书宋简体" w:cs="宋体" w:asciiTheme="minorHAnsi" w:hAnsiTheme="minorHAnsi"/>
      <w:szCs w:val="22"/>
    </w:rPr>
  </w:style>
  <w:style w:type="character" w:customStyle="1" w:styleId="49">
    <w:name w:val="表内居中小五 Char"/>
    <w:link w:val="50"/>
    <w:qFormat/>
    <w:uiPriority w:val="0"/>
    <w:rPr>
      <w:rFonts w:eastAsia="宋体" w:cs="宋体"/>
      <w:sz w:val="18"/>
      <w:szCs w:val="18"/>
    </w:rPr>
  </w:style>
  <w:style w:type="paragraph" w:customStyle="1" w:styleId="50">
    <w:name w:val="表内居中小五"/>
    <w:basedOn w:val="1"/>
    <w:link w:val="49"/>
    <w:qFormat/>
    <w:uiPriority w:val="0"/>
    <w:pPr>
      <w:jc w:val="center"/>
    </w:pPr>
    <w:rPr>
      <w:rFonts w:cs="宋体" w:asciiTheme="minorHAnsi" w:hAnsiTheme="minorHAnsi"/>
      <w:sz w:val="18"/>
      <w:szCs w:val="18"/>
    </w:rPr>
  </w:style>
  <w:style w:type="character" w:customStyle="1" w:styleId="51">
    <w:name w:val="表内居两端对齐 Char"/>
    <w:basedOn w:val="49"/>
    <w:link w:val="52"/>
    <w:qFormat/>
    <w:uiPriority w:val="0"/>
    <w:rPr>
      <w:rFonts w:eastAsia="宋体" w:cs="宋体"/>
      <w:sz w:val="18"/>
      <w:szCs w:val="18"/>
    </w:rPr>
  </w:style>
  <w:style w:type="paragraph" w:customStyle="1" w:styleId="52">
    <w:name w:val="表内居两端对齐"/>
    <w:basedOn w:val="50"/>
    <w:link w:val="51"/>
    <w:qFormat/>
    <w:uiPriority w:val="0"/>
    <w:pPr>
      <w:jc w:val="both"/>
    </w:pPr>
  </w:style>
  <w:style w:type="character" w:customStyle="1" w:styleId="53">
    <w:name w:val="正文缩进 Char"/>
    <w:link w:val="12"/>
    <w:qFormat/>
    <w:uiPriority w:val="0"/>
    <w:rPr>
      <w:rFonts w:ascii="Times New Roman" w:hAnsi="Times New Roman" w:eastAsia="宋体" w:cs="Times New Roman"/>
      <w:szCs w:val="24"/>
    </w:rPr>
  </w:style>
  <w:style w:type="paragraph" w:customStyle="1" w:styleId="54">
    <w:name w:val="样式 标题 3 + 宋体"/>
    <w:basedOn w:val="5"/>
    <w:link w:val="55"/>
    <w:qFormat/>
    <w:uiPriority w:val="0"/>
    <w:rPr>
      <w:rFonts w:hAnsi="宋体"/>
      <w:bCs w:val="0"/>
    </w:rPr>
  </w:style>
  <w:style w:type="character" w:customStyle="1" w:styleId="55">
    <w:name w:val="样式 标题 3 + 宋体 Char"/>
    <w:link w:val="54"/>
    <w:qFormat/>
    <w:uiPriority w:val="0"/>
    <w:rPr>
      <w:rFonts w:ascii="宋体" w:hAnsi="宋体" w:eastAsia="宋体" w:cs="Times New Roman"/>
      <w:szCs w:val="21"/>
    </w:rPr>
  </w:style>
  <w:style w:type="paragraph" w:customStyle="1" w:styleId="56">
    <w:name w:val="样式 标题 4 + (符号) 宋体"/>
    <w:basedOn w:val="6"/>
    <w:link w:val="57"/>
    <w:qFormat/>
    <w:uiPriority w:val="0"/>
    <w:pPr>
      <w:adjustRightInd w:val="0"/>
      <w:snapToGrid w:val="0"/>
    </w:pPr>
    <w:rPr>
      <w:bCs w:val="0"/>
    </w:rPr>
  </w:style>
  <w:style w:type="character" w:customStyle="1" w:styleId="57">
    <w:name w:val="样式 标题 4 + (符号) 宋体 Char"/>
    <w:basedOn w:val="36"/>
    <w:link w:val="56"/>
    <w:qFormat/>
    <w:uiPriority w:val="0"/>
    <w:rPr>
      <w:rFonts w:ascii="宋体" w:hAnsi="Times New Roman" w:eastAsia="宋体" w:cs="Times New Roman"/>
      <w:bCs w:val="0"/>
      <w:szCs w:val="21"/>
    </w:rPr>
  </w:style>
  <w:style w:type="paragraph" w:customStyle="1" w:styleId="58">
    <w:name w:val="前言首行"/>
    <w:basedOn w:val="1"/>
    <w:qFormat/>
    <w:uiPriority w:val="0"/>
    <w:pPr>
      <w:spacing w:after="120"/>
      <w:jc w:val="center"/>
    </w:pPr>
    <w:rPr>
      <w:rFonts w:eastAsia="黑体" w:cs="宋体"/>
      <w:b/>
      <w:bCs/>
      <w:sz w:val="32"/>
      <w:szCs w:val="20"/>
    </w:rPr>
  </w:style>
  <w:style w:type="character" w:customStyle="1" w:styleId="59">
    <w:name w:val="批注文字 Char"/>
    <w:basedOn w:val="30"/>
    <w:link w:val="14"/>
    <w:semiHidden/>
    <w:qFormat/>
    <w:uiPriority w:val="0"/>
    <w:rPr>
      <w:rFonts w:ascii="Times New Roman" w:hAnsi="Times New Roman" w:eastAsia="宋体" w:cs="Times New Roman"/>
      <w:szCs w:val="24"/>
    </w:rPr>
  </w:style>
  <w:style w:type="character" w:customStyle="1" w:styleId="60">
    <w:name w:val="批注框文本 Char"/>
    <w:basedOn w:val="30"/>
    <w:link w:val="19"/>
    <w:semiHidden/>
    <w:qFormat/>
    <w:uiPriority w:val="0"/>
    <w:rPr>
      <w:rFonts w:ascii="Times New Roman" w:hAnsi="Times New Roman" w:eastAsia="宋体" w:cs="Times New Roman"/>
      <w:sz w:val="18"/>
      <w:szCs w:val="18"/>
    </w:rPr>
  </w:style>
  <w:style w:type="paragraph" w:customStyle="1" w:styleId="61">
    <w:name w:val="段"/>
    <w:qFormat/>
    <w:uiPriority w:val="0"/>
    <w:pPr>
      <w:ind w:firstLine="200" w:firstLineChars="200"/>
      <w:jc w:val="both"/>
    </w:pPr>
    <w:rPr>
      <w:rFonts w:ascii="宋体" w:hAnsi="Times New Roman" w:eastAsia="宋体" w:cs="Times New Roman"/>
      <w:kern w:val="0"/>
      <w:sz w:val="21"/>
      <w:szCs w:val="20"/>
      <w:lang w:val="en-US" w:eastAsia="zh-CN" w:bidi="ar-SA"/>
    </w:rPr>
  </w:style>
  <w:style w:type="paragraph" w:customStyle="1" w:styleId="62">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character" w:customStyle="1" w:styleId="63">
    <w:name w:val="正文文本缩进 2 Char"/>
    <w:basedOn w:val="30"/>
    <w:link w:val="18"/>
    <w:qFormat/>
    <w:uiPriority w:val="0"/>
    <w:rPr>
      <w:rFonts w:ascii="Times New Roman" w:hAnsi="Times New Roman" w:eastAsia="仿宋_GB2312" w:cs="Times New Roman"/>
      <w:kern w:val="0"/>
      <w:sz w:val="28"/>
      <w:szCs w:val="20"/>
    </w:rPr>
  </w:style>
  <w:style w:type="paragraph" w:customStyle="1" w:styleId="64">
    <w:name w:val="样式1"/>
    <w:basedOn w:val="6"/>
    <w:qFormat/>
    <w:uiPriority w:val="0"/>
    <w:pPr>
      <w:tabs>
        <w:tab w:val="left" w:pos="360"/>
      </w:tabs>
    </w:pPr>
    <w:rPr>
      <w:rFonts w:hAnsi="宋体"/>
      <w:bCs w:val="0"/>
    </w:rPr>
  </w:style>
  <w:style w:type="paragraph" w:customStyle="1" w:styleId="65">
    <w:name w:val="样式 标题 5 + 右侧:  1 字符"/>
    <w:basedOn w:val="7"/>
    <w:qFormat/>
    <w:uiPriority w:val="0"/>
    <w:pPr>
      <w:ind w:right="210"/>
    </w:pPr>
    <w:rPr>
      <w:bCs w:val="0"/>
      <w:szCs w:val="20"/>
    </w:rPr>
  </w:style>
  <w:style w:type="paragraph" w:customStyle="1" w:styleId="66">
    <w:name w:val=" Char"/>
    <w:basedOn w:val="1"/>
    <w:qFormat/>
    <w:uiPriority w:val="0"/>
    <w:pPr>
      <w:spacing w:line="360" w:lineRule="auto"/>
    </w:pPr>
    <w:rPr>
      <w:rFonts w:ascii="Tahoma" w:hAnsi="Tahoma"/>
      <w:sz w:val="24"/>
      <w:szCs w:val="20"/>
    </w:rPr>
  </w:style>
  <w:style w:type="paragraph" w:customStyle="1" w:styleId="67">
    <w:name w:val=" Char Char Char Char Char Char Char Char Char Char Char Char"/>
    <w:basedOn w:val="1"/>
    <w:qFormat/>
    <w:uiPriority w:val="0"/>
    <w:pPr>
      <w:spacing w:line="360" w:lineRule="auto"/>
    </w:pPr>
    <w:rPr>
      <w:rFonts w:ascii="Tahoma" w:hAnsi="Tahoma"/>
      <w:sz w:val="24"/>
      <w:szCs w:val="20"/>
    </w:rPr>
  </w:style>
  <w:style w:type="paragraph" w:customStyle="1" w:styleId="68">
    <w:name w:val="章标题"/>
    <w:next w:val="61"/>
    <w:qFormat/>
    <w:uiPriority w:val="0"/>
    <w:pPr>
      <w:spacing w:before="50" w:beforeLines="50" w:after="50" w:afterLines="50"/>
      <w:jc w:val="both"/>
      <w:outlineLvl w:val="1"/>
    </w:pPr>
    <w:rPr>
      <w:rFonts w:ascii="黑体" w:hAnsi="Times New Roman" w:eastAsia="黑体" w:cs="Times New Roman"/>
      <w:kern w:val="0"/>
      <w:sz w:val="21"/>
      <w:szCs w:val="20"/>
      <w:lang w:val="en-US" w:eastAsia="zh-CN" w:bidi="ar-SA"/>
    </w:rPr>
  </w:style>
  <w:style w:type="paragraph" w:customStyle="1" w:styleId="69">
    <w:name w:val="标准书眉_奇数页"/>
    <w:next w:val="1"/>
    <w:qFormat/>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70">
    <w:name w:val="二级条标题"/>
    <w:basedOn w:val="1"/>
    <w:next w:val="61"/>
    <w:link w:val="71"/>
    <w:qFormat/>
    <w:uiPriority w:val="0"/>
    <w:pPr>
      <w:widowControl/>
      <w:outlineLvl w:val="3"/>
    </w:pPr>
    <w:rPr>
      <w:rFonts w:ascii="黑体" w:eastAsia="黑体"/>
      <w:kern w:val="0"/>
      <w:szCs w:val="20"/>
    </w:rPr>
  </w:style>
  <w:style w:type="character" w:customStyle="1" w:styleId="71">
    <w:name w:val="二级条标题 Char"/>
    <w:link w:val="70"/>
    <w:qFormat/>
    <w:uiPriority w:val="0"/>
    <w:rPr>
      <w:rFonts w:ascii="黑体" w:hAnsi="Times New Roman" w:eastAsia="黑体" w:cs="Times New Roman"/>
      <w:kern w:val="0"/>
      <w:szCs w:val="20"/>
    </w:rPr>
  </w:style>
  <w:style w:type="paragraph" w:customStyle="1" w:styleId="72">
    <w:name w:val="正文表标题"/>
    <w:next w:val="61"/>
    <w:qFormat/>
    <w:uiPriority w:val="0"/>
    <w:pPr>
      <w:tabs>
        <w:tab w:val="left" w:pos="360"/>
        <w:tab w:val="left" w:pos="678"/>
      </w:tabs>
      <w:ind w:left="678" w:hanging="468"/>
      <w:jc w:val="center"/>
    </w:pPr>
    <w:rPr>
      <w:rFonts w:ascii="黑体" w:hAnsi="Times New Roman" w:eastAsia="黑体" w:cs="Times New Roman"/>
      <w:kern w:val="0"/>
      <w:sz w:val="21"/>
      <w:szCs w:val="20"/>
      <w:lang w:val="en-US" w:eastAsia="zh-CN" w:bidi="ar-SA"/>
    </w:rPr>
  </w:style>
  <w:style w:type="paragraph" w:customStyle="1" w:styleId="73">
    <w:name w:val="一级条标题"/>
    <w:basedOn w:val="68"/>
    <w:next w:val="61"/>
    <w:link w:val="74"/>
    <w:qFormat/>
    <w:uiPriority w:val="0"/>
    <w:pPr>
      <w:spacing w:before="0" w:beforeLines="0" w:after="0" w:afterLines="0"/>
      <w:outlineLvl w:val="2"/>
    </w:pPr>
  </w:style>
  <w:style w:type="character" w:customStyle="1" w:styleId="74">
    <w:name w:val="一级条标题 Char"/>
    <w:link w:val="73"/>
    <w:qFormat/>
    <w:uiPriority w:val="0"/>
    <w:rPr>
      <w:rFonts w:ascii="黑体" w:hAnsi="Times New Roman" w:eastAsia="黑体" w:cs="Times New Roman"/>
      <w:kern w:val="0"/>
      <w:szCs w:val="20"/>
    </w:rPr>
  </w:style>
  <w:style w:type="paragraph" w:customStyle="1" w:styleId="75">
    <w:name w:val="三级条标题"/>
    <w:basedOn w:val="70"/>
    <w:next w:val="61"/>
    <w:qFormat/>
    <w:uiPriority w:val="0"/>
    <w:pPr>
      <w:tabs>
        <w:tab w:val="left" w:pos="360"/>
      </w:tabs>
      <w:ind w:left="-180"/>
      <w:outlineLvl w:val="4"/>
    </w:pPr>
  </w:style>
  <w:style w:type="character" w:customStyle="1" w:styleId="76">
    <w:name w:val="纯文本 Char"/>
    <w:basedOn w:val="30"/>
    <w:link w:val="16"/>
    <w:qFormat/>
    <w:uiPriority w:val="0"/>
    <w:rPr>
      <w:rFonts w:ascii="宋体" w:hAnsi="Courier New" w:eastAsia="宋体" w:cs="Times New Roman"/>
      <w:szCs w:val="24"/>
    </w:rPr>
  </w:style>
  <w:style w:type="paragraph" w:customStyle="1" w:styleId="77">
    <w:name w:val="五级条标题"/>
    <w:basedOn w:val="1"/>
    <w:next w:val="61"/>
    <w:qFormat/>
    <w:uiPriority w:val="0"/>
    <w:pPr>
      <w:widowControl/>
      <w:outlineLvl w:val="6"/>
    </w:pPr>
    <w:rPr>
      <w:rFonts w:ascii="黑体" w:eastAsia="黑体"/>
      <w:kern w:val="0"/>
      <w:szCs w:val="20"/>
    </w:rPr>
  </w:style>
  <w:style w:type="character" w:customStyle="1" w:styleId="78">
    <w:name w:val="批注主题 Char"/>
    <w:basedOn w:val="59"/>
    <w:link w:val="27"/>
    <w:semiHidden/>
    <w:qFormat/>
    <w:uiPriority w:val="0"/>
    <w:rPr>
      <w:rFonts w:ascii="Times New Roman" w:hAnsi="Times New Roman" w:eastAsia="宋体" w:cs="Times New Roman"/>
      <w:b/>
      <w:bCs/>
      <w:szCs w:val="24"/>
    </w:rPr>
  </w:style>
  <w:style w:type="paragraph" w:customStyle="1" w:styleId="79">
    <w:name w:val="CM5"/>
    <w:basedOn w:val="62"/>
    <w:next w:val="62"/>
    <w:qFormat/>
    <w:uiPriority w:val="0"/>
    <w:pPr>
      <w:spacing w:line="471" w:lineRule="atLeast"/>
    </w:pPr>
    <w:rPr>
      <w:rFonts w:ascii="黑体" w:eastAsia="黑体" w:cs="Times New Roman"/>
      <w:color w:val="auto"/>
    </w:rPr>
  </w:style>
  <w:style w:type="paragraph" w:customStyle="1" w:styleId="80">
    <w:name w:val="CM3"/>
    <w:basedOn w:val="62"/>
    <w:next w:val="62"/>
    <w:qFormat/>
    <w:uiPriority w:val="0"/>
    <w:pPr>
      <w:spacing w:line="468" w:lineRule="atLeast"/>
    </w:pPr>
    <w:rPr>
      <w:rFonts w:ascii="黑体" w:eastAsia="黑体" w:cs="Times New Roman"/>
      <w:color w:val="auto"/>
    </w:rPr>
  </w:style>
  <w:style w:type="paragraph" w:customStyle="1" w:styleId="81">
    <w:name w:val="CM33"/>
    <w:basedOn w:val="62"/>
    <w:next w:val="62"/>
    <w:qFormat/>
    <w:uiPriority w:val="0"/>
    <w:pPr>
      <w:spacing w:after="205"/>
    </w:pPr>
    <w:rPr>
      <w:rFonts w:ascii="黑体" w:eastAsia="黑体" w:cs="Times New Roman"/>
      <w:color w:val="auto"/>
    </w:rPr>
  </w:style>
  <w:style w:type="paragraph" w:customStyle="1" w:styleId="82">
    <w:name w:val="CM9"/>
    <w:basedOn w:val="62"/>
    <w:next w:val="62"/>
    <w:qFormat/>
    <w:uiPriority w:val="0"/>
    <w:pPr>
      <w:spacing w:line="468" w:lineRule="atLeast"/>
    </w:pPr>
    <w:rPr>
      <w:rFonts w:ascii="黑体" w:eastAsia="黑体" w:cs="Times New Roman"/>
      <w:color w:val="auto"/>
    </w:rPr>
  </w:style>
  <w:style w:type="paragraph" w:customStyle="1" w:styleId="83">
    <w:name w:val="CM10"/>
    <w:basedOn w:val="62"/>
    <w:next w:val="62"/>
    <w:qFormat/>
    <w:uiPriority w:val="0"/>
    <w:pPr>
      <w:spacing w:line="468" w:lineRule="atLeast"/>
    </w:pPr>
    <w:rPr>
      <w:rFonts w:ascii="黑体" w:eastAsia="黑体" w:cs="Times New Roman"/>
      <w:color w:val="auto"/>
    </w:rPr>
  </w:style>
  <w:style w:type="paragraph" w:customStyle="1" w:styleId="84">
    <w:name w:val="CM22"/>
    <w:basedOn w:val="62"/>
    <w:next w:val="62"/>
    <w:qFormat/>
    <w:uiPriority w:val="0"/>
    <w:pPr>
      <w:spacing w:line="468" w:lineRule="atLeast"/>
    </w:pPr>
    <w:rPr>
      <w:rFonts w:ascii="黑体" w:eastAsia="黑体" w:cs="Times New Roman"/>
      <w:color w:val="auto"/>
    </w:rPr>
  </w:style>
  <w:style w:type="paragraph" w:customStyle="1" w:styleId="85">
    <w:name w:val="CM23"/>
    <w:basedOn w:val="62"/>
    <w:next w:val="62"/>
    <w:qFormat/>
    <w:uiPriority w:val="0"/>
    <w:pPr>
      <w:spacing w:line="468" w:lineRule="atLeast"/>
    </w:pPr>
    <w:rPr>
      <w:rFonts w:ascii="黑体" w:eastAsia="黑体" w:cs="Times New Roman"/>
      <w:color w:val="auto"/>
    </w:rPr>
  </w:style>
  <w:style w:type="paragraph" w:customStyle="1" w:styleId="86">
    <w:name w:val="CM17"/>
    <w:basedOn w:val="62"/>
    <w:next w:val="62"/>
    <w:qFormat/>
    <w:uiPriority w:val="0"/>
    <w:pPr>
      <w:spacing w:line="468" w:lineRule="atLeast"/>
    </w:pPr>
    <w:rPr>
      <w:rFonts w:ascii="黑体" w:eastAsia="黑体" w:cs="Times New Roman"/>
      <w:color w:val="auto"/>
    </w:rPr>
  </w:style>
  <w:style w:type="character" w:customStyle="1" w:styleId="87">
    <w:name w:val="标题 Char"/>
    <w:basedOn w:val="30"/>
    <w:link w:val="26"/>
    <w:qFormat/>
    <w:uiPriority w:val="0"/>
    <w:rPr>
      <w:rFonts w:ascii="Arial" w:hAnsi="Arial" w:eastAsia="宋体" w:cs="Arial"/>
      <w:b/>
      <w:bCs/>
      <w:sz w:val="32"/>
      <w:szCs w:val="32"/>
    </w:rPr>
  </w:style>
  <w:style w:type="paragraph" w:customStyle="1" w:styleId="88">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89">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kern w:val="0"/>
      <w:sz w:val="32"/>
      <w:szCs w:val="20"/>
      <w:lang w:val="en-US" w:eastAsia="zh-CN" w:bidi="ar-SA"/>
    </w:rPr>
  </w:style>
  <w:style w:type="paragraph" w:customStyle="1" w:styleId="90">
    <w:name w:val="四级条标题"/>
    <w:basedOn w:val="75"/>
    <w:next w:val="61"/>
    <w:qFormat/>
    <w:uiPriority w:val="0"/>
    <w:pPr>
      <w:tabs>
        <w:tab w:val="clear" w:pos="360"/>
      </w:tabs>
      <w:ind w:left="0"/>
      <w:outlineLvl w:val="5"/>
    </w:pPr>
  </w:style>
  <w:style w:type="paragraph" w:customStyle="1" w:styleId="91">
    <w:name w:val="标准书眉一"/>
    <w:qFormat/>
    <w:uiPriority w:val="0"/>
    <w:pPr>
      <w:jc w:val="both"/>
    </w:pPr>
    <w:rPr>
      <w:rFonts w:ascii="Times New Roman" w:hAnsi="Times New Roman" w:eastAsia="宋体" w:cs="Times New Roman"/>
      <w:kern w:val="0"/>
      <w:sz w:val="20"/>
      <w:szCs w:val="20"/>
      <w:lang w:val="en-US" w:eastAsia="zh-CN" w:bidi="ar-SA"/>
    </w:rPr>
  </w:style>
  <w:style w:type="paragraph" w:customStyle="1" w:styleId="92">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93">
    <w:name w:val="数字编号列项（二级）"/>
    <w:qFormat/>
    <w:uiPriority w:val="0"/>
    <w:pPr>
      <w:jc w:val="both"/>
    </w:pPr>
    <w:rPr>
      <w:rFonts w:ascii="宋体" w:hAnsi="Times New Roman" w:eastAsia="宋体" w:cs="Times New Roman"/>
      <w:kern w:val="0"/>
      <w:sz w:val="21"/>
      <w:szCs w:val="20"/>
      <w:lang w:val="en-US" w:eastAsia="zh-CN" w:bidi="ar-SA"/>
    </w:rPr>
  </w:style>
  <w:style w:type="paragraph" w:customStyle="1" w:styleId="94">
    <w:name w:val="无标题条"/>
    <w:next w:val="61"/>
    <w:qFormat/>
    <w:uiPriority w:val="0"/>
    <w:pPr>
      <w:jc w:val="both"/>
    </w:pPr>
    <w:rPr>
      <w:rFonts w:ascii="Times New Roman" w:hAnsi="Times New Roman" w:eastAsia="宋体" w:cs="Times New Roman"/>
      <w:kern w:val="0"/>
      <w:sz w:val="21"/>
      <w:szCs w:val="20"/>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96">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97">
    <w:name w:val="标准书脚_偶数页"/>
    <w:qFormat/>
    <w:uiPriority w:val="0"/>
    <w:pPr>
      <w:spacing w:before="120"/>
    </w:pPr>
    <w:rPr>
      <w:rFonts w:ascii="Times New Roman" w:hAnsi="Times New Roman" w:eastAsia="宋体" w:cs="Times New Roman"/>
      <w:kern w:val="0"/>
      <w:sz w:val="18"/>
      <w:szCs w:val="20"/>
      <w:lang w:val="en-US" w:eastAsia="zh-CN" w:bidi="ar-SA"/>
    </w:rPr>
  </w:style>
  <w:style w:type="paragraph" w:customStyle="1" w:styleId="98">
    <w:name w:val="标准书脚_奇数页"/>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99">
    <w:name w:val="目次、标准名称标题"/>
    <w:basedOn w:val="89"/>
    <w:next w:val="61"/>
    <w:qFormat/>
    <w:uiPriority w:val="0"/>
    <w:pPr>
      <w:tabs>
        <w:tab w:val="left" w:pos="1140"/>
      </w:tabs>
      <w:spacing w:line="460" w:lineRule="exact"/>
      <w:ind w:left="0" w:firstLine="0"/>
    </w:pPr>
  </w:style>
  <w:style w:type="paragraph" w:customStyle="1" w:styleId="100">
    <w:name w:val=" 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character" w:customStyle="1" w:styleId="101">
    <w:name w:val="日期 Char"/>
    <w:basedOn w:val="30"/>
    <w:link w:val="17"/>
    <w:qFormat/>
    <w:uiPriority w:val="0"/>
    <w:rPr>
      <w:rFonts w:ascii="Times New Roman" w:hAnsi="Times New Roman" w:eastAsia="宋体" w:cs="Times New Roman"/>
      <w:szCs w:val="24"/>
    </w:rPr>
  </w:style>
  <w:style w:type="character" w:customStyle="1" w:styleId="102">
    <w:name w:val="文档结构图 Char"/>
    <w:basedOn w:val="30"/>
    <w:link w:val="13"/>
    <w:qFormat/>
    <w:uiPriority w:val="0"/>
    <w:rPr>
      <w:rFonts w:ascii="宋体" w:hAnsi="Times New Roman" w:eastAsia="宋体" w:cs="Times New Roman"/>
      <w:sz w:val="18"/>
      <w:szCs w:val="18"/>
    </w:rPr>
  </w:style>
  <w:style w:type="paragraph" w:customStyle="1" w:styleId="103">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104">
    <w:name w:val="正文文本 Char"/>
    <w:basedOn w:val="30"/>
    <w:link w:val="2"/>
    <w:qFormat/>
    <w:uiPriority w:val="0"/>
    <w:rPr>
      <w:rFonts w:ascii="Times New Roman" w:hAnsi="Times New Roman" w:eastAsia="宋体" w:cs="Times New Roman"/>
      <w:szCs w:val="24"/>
    </w:rPr>
  </w:style>
  <w:style w:type="paragraph" w:customStyle="1" w:styleId="105">
    <w:name w:val="List Paragraph"/>
    <w:basedOn w:val="1"/>
    <w:qFormat/>
    <w:uiPriority w:val="0"/>
    <w:pPr>
      <w:ind w:firstLine="420" w:firstLineChars="200"/>
    </w:pPr>
    <w:rPr>
      <w:rFonts w:ascii="Calibri" w:hAnsi="Calibri"/>
      <w:szCs w:val="22"/>
    </w:rPr>
  </w:style>
  <w:style w:type="character" w:customStyle="1" w:styleId="106">
    <w:name w:val="zt Char Char"/>
    <w:link w:val="107"/>
    <w:qFormat/>
    <w:uiPriority w:val="0"/>
    <w:rPr>
      <w:rFonts w:ascii="EU-F1" w:eastAsia="EU-F1"/>
      <w:bCs/>
      <w:szCs w:val="21"/>
    </w:rPr>
  </w:style>
  <w:style w:type="paragraph" w:customStyle="1" w:styleId="107">
    <w:name w:val="zt"/>
    <w:basedOn w:val="1"/>
    <w:link w:val="106"/>
    <w:qFormat/>
    <w:uiPriority w:val="0"/>
    <w:pPr>
      <w:overflowPunct w:val="0"/>
      <w:topLinePunct/>
      <w:snapToGrid w:val="0"/>
      <w:spacing w:line="312" w:lineRule="exact"/>
    </w:pPr>
    <w:rPr>
      <w:rFonts w:ascii="EU-F1" w:eastAsia="EU-F1" w:hAnsiTheme="minorHAnsi" w:cstheme="minorBidi"/>
      <w:bCs/>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1.bin"/><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4.wmf"/><Relationship Id="rId12" Type="http://schemas.openxmlformats.org/officeDocument/2006/relationships/oleObject" Target="embeddings/oleObject3.bin"/><Relationship Id="rId11" Type="http://schemas.openxmlformats.org/officeDocument/2006/relationships/image" Target="media/image3.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1580</Words>
  <Characters>9012</Characters>
  <Lines>75</Lines>
  <Paragraphs>21</Paragraphs>
  <TotalTime>1</TotalTime>
  <ScaleCrop>false</ScaleCrop>
  <LinksUpToDate>false</LinksUpToDate>
  <CharactersWithSpaces>10571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2015-04-15T02:59:00Z</dcterms:created>
  <dc:creator>胡园</dc:creator>
  <cp:lastModifiedBy>李钰瑜</cp:lastModifiedBy>
  <dcterms:modified xsi:type="dcterms:W3CDTF">2026-05-26T09:09:28Z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4F895D434C3E423FB33DD93761CC394D</vt:lpwstr>
  </property>
</Properties>
</file>