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bookmarkStart w:id="0" w:name="_Toc246216323"/>
      <w:r>
        <w:drawing>
          <wp:anchor distT="0" distB="0" distL="114300" distR="114300" simplePos="0" relativeHeight="251659264" behindDoc="1" locked="0" layoutInCell="1" allowOverlap="1">
            <wp:simplePos x="0" y="0"/>
            <wp:positionH relativeFrom="column">
              <wp:posOffset>-1257300</wp:posOffset>
            </wp:positionH>
            <wp:positionV relativeFrom="paragraph">
              <wp:posOffset>-990600</wp:posOffset>
            </wp:positionV>
            <wp:extent cx="8915400" cy="2736850"/>
            <wp:effectExtent l="0" t="0" r="0" b="6350"/>
            <wp:wrapTight wrapText="bothSides">
              <wp:wrapPolygon>
                <wp:start x="0" y="0"/>
                <wp:lineTo x="0" y="21500"/>
                <wp:lineTo x="21554" y="21500"/>
                <wp:lineTo x="21554" y="0"/>
                <wp:lineTo x="0" y="0"/>
              </wp:wrapPolygon>
            </wp:wrapTight>
            <wp:docPr id="1" name="图片 1"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模板-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8915400" cy="2736850"/>
                    </a:xfrm>
                    <a:prstGeom prst="rect">
                      <a:avLst/>
                    </a:prstGeom>
                    <a:noFill/>
                    <a:ln>
                      <a:noFill/>
                    </a:ln>
                  </pic:spPr>
                </pic:pic>
              </a:graphicData>
            </a:graphic>
          </wp:anchor>
        </w:drawing>
      </w:r>
    </w:p>
    <w:p>
      <w:pPr>
        <w:spacing w:before="624" w:beforeLines="200"/>
        <w:jc w:val="center"/>
        <w:rPr>
          <w:rFonts w:hint="eastAsia" w:ascii="黑体" w:hAnsi="宋体" w:eastAsia="黑体"/>
          <w:b/>
          <w:sz w:val="52"/>
          <w:szCs w:val="48"/>
        </w:rPr>
      </w:pPr>
      <w:r>
        <w:rPr>
          <w:rFonts w:hint="eastAsia" w:ascii="黑体" w:hAnsi="宋体" w:eastAsia="黑体"/>
          <w:b/>
          <w:sz w:val="52"/>
          <w:szCs w:val="48"/>
        </w:rPr>
        <w:t>手持光数字测试仪</w:t>
      </w:r>
    </w:p>
    <w:p>
      <w:pPr>
        <w:spacing w:before="624" w:beforeLines="200"/>
        <w:jc w:val="center"/>
        <w:rPr>
          <w:rFonts w:hint="eastAsia" w:eastAsia="黑体"/>
          <w:b/>
          <w:sz w:val="36"/>
        </w:rPr>
      </w:pPr>
      <w:r>
        <w:rPr>
          <w:rFonts w:hint="eastAsia" w:eastAsia="黑体"/>
          <w:b/>
          <w:sz w:val="52"/>
        </w:rPr>
        <w:t>标准技术</w:t>
      </w:r>
      <w:r>
        <w:rPr>
          <w:rFonts w:hint="eastAsia" w:eastAsia="黑体"/>
          <w:b/>
          <w:sz w:val="52"/>
          <w:lang w:val="en-US" w:eastAsia="zh-CN"/>
        </w:rPr>
        <w:t>标</w:t>
      </w:r>
      <w:r>
        <w:rPr>
          <w:rFonts w:hint="eastAsia" w:eastAsia="黑体"/>
          <w:b/>
          <w:sz w:val="52"/>
        </w:rPr>
        <w:t>书</w:t>
      </w:r>
    </w:p>
    <w:p>
      <w:pPr>
        <w:spacing w:before="624" w:beforeLines="200"/>
        <w:ind w:firstLine="2873" w:firstLineChars="795"/>
        <w:jc w:val="left"/>
        <w:rPr>
          <w:rFonts w:hint="eastAsia" w:eastAsia="黑体"/>
          <w:b/>
          <w:sz w:val="36"/>
          <w:szCs w:val="36"/>
        </w:rPr>
      </w:pPr>
    </w:p>
    <w:p>
      <w:pPr>
        <w:spacing w:before="624" w:beforeLines="200"/>
        <w:jc w:val="center"/>
        <w:rPr>
          <w:rFonts w:hint="default" w:eastAsia="黑体"/>
          <w:b/>
          <w:sz w:val="30"/>
          <w:szCs w:val="30"/>
          <w:u w:val="single"/>
          <w:lang w:val="en-US" w:eastAsia="zh-CN"/>
        </w:rPr>
      </w:pPr>
    </w:p>
    <w:p>
      <w:pPr>
        <w:spacing w:before="624" w:beforeLines="200"/>
        <w:jc w:val="center"/>
        <w:rPr>
          <w:rFonts w:hint="eastAsia" w:eastAsia="黑体"/>
          <w:b/>
          <w:sz w:val="36"/>
        </w:rPr>
      </w:pPr>
    </w:p>
    <w:p>
      <w:pPr>
        <w:spacing w:before="624" w:beforeLines="200"/>
        <w:jc w:val="center"/>
        <w:rPr>
          <w:rFonts w:hint="eastAsia" w:eastAsia="黑体"/>
          <w:b/>
          <w:sz w:val="36"/>
        </w:rPr>
      </w:pPr>
    </w:p>
    <w:p>
      <w:pPr>
        <w:spacing w:before="312" w:beforeLines="100"/>
        <w:jc w:val="center"/>
        <w:rPr>
          <w:rFonts w:hint="eastAsia" w:ascii="黑体" w:eastAsia="黑体"/>
          <w:b/>
          <w:spacing w:val="20"/>
          <w:w w:val="135"/>
          <w:sz w:val="32"/>
          <w:szCs w:val="32"/>
        </w:rPr>
      </w:pPr>
      <w:r>
        <w:rPr>
          <w:rFonts w:hint="eastAsia" w:ascii="黑体" w:eastAsia="黑体"/>
          <w:b/>
          <w:spacing w:val="20"/>
          <w:w w:val="135"/>
          <w:sz w:val="32"/>
          <w:szCs w:val="32"/>
        </w:rPr>
        <w:t>深圳供电局有限公司</w:t>
      </w:r>
    </w:p>
    <w:p>
      <w:pPr>
        <w:spacing w:before="312" w:beforeLines="100"/>
        <w:jc w:val="center"/>
        <w:rPr>
          <w:rFonts w:hint="eastAsia" w:ascii="黑体" w:eastAsia="黑体"/>
          <w:b/>
          <w:spacing w:val="20"/>
          <w:w w:val="135"/>
          <w:sz w:val="32"/>
          <w:szCs w:val="32"/>
        </w:rPr>
      </w:pPr>
      <w:r>
        <w:rPr>
          <w:rFonts w:hint="eastAsia" w:ascii="黑体" w:eastAsia="黑体"/>
          <w:b/>
          <w:spacing w:val="20"/>
          <w:w w:val="135"/>
          <w:sz w:val="32"/>
          <w:szCs w:val="32"/>
        </w:rPr>
        <w:t>20</w:t>
      </w:r>
      <w:r>
        <w:rPr>
          <w:rFonts w:hint="eastAsia" w:ascii="黑体" w:eastAsia="黑体"/>
          <w:b/>
          <w:spacing w:val="20"/>
          <w:w w:val="135"/>
          <w:sz w:val="32"/>
          <w:szCs w:val="32"/>
          <w:lang w:val="en-US" w:eastAsia="zh-CN"/>
        </w:rPr>
        <w:t>26</w:t>
      </w:r>
      <w:r>
        <w:rPr>
          <w:rFonts w:hint="eastAsia" w:ascii="黑体" w:eastAsia="黑体"/>
          <w:b/>
          <w:spacing w:val="20"/>
          <w:w w:val="135"/>
          <w:sz w:val="32"/>
          <w:szCs w:val="32"/>
        </w:rPr>
        <w:t>年0</w:t>
      </w:r>
      <w:r>
        <w:rPr>
          <w:rFonts w:hint="eastAsia" w:ascii="黑体" w:eastAsia="黑体"/>
          <w:b/>
          <w:spacing w:val="20"/>
          <w:w w:val="135"/>
          <w:sz w:val="32"/>
          <w:szCs w:val="32"/>
          <w:lang w:val="en-US" w:eastAsia="zh-CN"/>
        </w:rPr>
        <w:t>5</w:t>
      </w:r>
      <w:r>
        <w:rPr>
          <w:rFonts w:hint="eastAsia" w:ascii="黑体" w:eastAsia="黑体"/>
          <w:b/>
          <w:spacing w:val="20"/>
          <w:w w:val="135"/>
          <w:sz w:val="32"/>
          <w:szCs w:val="32"/>
        </w:rPr>
        <w:t>月</w:t>
      </w:r>
    </w:p>
    <w:p>
      <w:pPr>
        <w:spacing w:before="312" w:beforeLines="100"/>
        <w:jc w:val="center"/>
        <w:rPr>
          <w:rFonts w:hint="eastAsia" w:ascii="黑体" w:eastAsia="黑体"/>
          <w:b/>
          <w:spacing w:val="20"/>
          <w:w w:val="135"/>
          <w:sz w:val="30"/>
        </w:rPr>
      </w:pPr>
    </w:p>
    <w:p>
      <w:pPr>
        <w:spacing w:before="312" w:beforeLines="100"/>
        <w:rPr>
          <w:rFonts w:ascii="黑体" w:eastAsia="黑体"/>
          <w:b/>
          <w:spacing w:val="20"/>
          <w:w w:val="135"/>
          <w:sz w:val="30"/>
        </w:rPr>
        <w:sectPr>
          <w:footerReference r:id="rId3" w:type="default"/>
          <w:pgSz w:w="11906" w:h="16838"/>
          <w:pgMar w:top="1440" w:right="1800" w:bottom="1440" w:left="1800" w:header="851" w:footer="992" w:gutter="0"/>
          <w:pgNumType w:fmt="upperRoman" w:start="1"/>
          <w:cols w:space="425" w:num="1"/>
          <w:docGrid w:type="lines" w:linePitch="312" w:charSpace="0"/>
        </w:sectPr>
      </w:pPr>
    </w:p>
    <w:p>
      <w:pPr>
        <w:pStyle w:val="47"/>
        <w:adjustRightInd w:val="0"/>
        <w:snapToGrid w:val="0"/>
        <w:spacing w:line="360" w:lineRule="auto"/>
        <w:ind w:firstLine="0" w:firstLineChars="0"/>
        <w:jc w:val="center"/>
        <w:rPr>
          <w:rFonts w:hint="eastAsia" w:ascii="黑体" w:hAnsi="黑体" w:eastAsia="黑体" w:cs="Times New Roman"/>
          <w:sz w:val="36"/>
          <w:szCs w:val="36"/>
        </w:rPr>
      </w:pPr>
      <w:r>
        <w:rPr>
          <w:rFonts w:hint="eastAsia" w:ascii="黑体" w:hAnsi="黑体" w:eastAsia="黑体" w:cs="Times New Roman"/>
          <w:sz w:val="36"/>
          <w:szCs w:val="36"/>
        </w:rPr>
        <w:t>目  录</w:t>
      </w:r>
    </w:p>
    <w:p>
      <w:pPr>
        <w:pStyle w:val="23"/>
        <w:tabs>
          <w:tab w:val="right" w:leader="dot" w:pos="8296"/>
        </w:tabs>
        <w:rPr>
          <w:b w:val="0"/>
          <w:bCs w:val="0"/>
          <w:caps w:val="0"/>
          <w:sz w:val="21"/>
          <w:szCs w:val="24"/>
        </w:rPr>
      </w:pPr>
      <w:r>
        <w:rPr>
          <w:rFonts w:ascii="宋体" w:hAnsi="宋体"/>
          <w:b w:val="0"/>
          <w:i/>
          <w:sz w:val="21"/>
          <w:szCs w:val="21"/>
        </w:rPr>
        <w:fldChar w:fldCharType="begin"/>
      </w:r>
      <w:r>
        <w:rPr>
          <w:rFonts w:ascii="宋体" w:hAnsi="宋体"/>
          <w:b w:val="0"/>
          <w:i/>
          <w:sz w:val="21"/>
          <w:szCs w:val="21"/>
        </w:rPr>
        <w:instrText xml:space="preserve"> </w:instrText>
      </w:r>
      <w:r>
        <w:rPr>
          <w:rFonts w:hint="eastAsia" w:ascii="宋体" w:hAnsi="宋体"/>
          <w:b w:val="0"/>
          <w:i/>
          <w:sz w:val="21"/>
          <w:szCs w:val="21"/>
        </w:rPr>
        <w:instrText xml:space="preserve">TOC \o "1-2" \h \z \u</w:instrText>
      </w:r>
      <w:r>
        <w:rPr>
          <w:rFonts w:ascii="宋体" w:hAnsi="宋体"/>
          <w:b w:val="0"/>
          <w:i/>
          <w:sz w:val="21"/>
          <w:szCs w:val="21"/>
        </w:rPr>
        <w:instrText xml:space="preserve"> </w:instrText>
      </w:r>
      <w:r>
        <w:rPr>
          <w:rFonts w:ascii="宋体" w:hAnsi="宋体"/>
          <w:b w:val="0"/>
          <w:i/>
          <w:sz w:val="21"/>
          <w:szCs w:val="21"/>
        </w:rPr>
        <w:fldChar w:fldCharType="separate"/>
      </w:r>
      <w:r>
        <w:fldChar w:fldCharType="begin"/>
      </w:r>
      <w:r>
        <w:instrText xml:space="preserve"> HYPERLINK \l "_Toc399627534" </w:instrText>
      </w:r>
      <w:r>
        <w:fldChar w:fldCharType="separate"/>
      </w:r>
      <w:r>
        <w:rPr>
          <w:rStyle w:val="33"/>
          <w:rFonts w:hAnsi="宋体"/>
        </w:rPr>
        <w:t xml:space="preserve">1 </w:t>
      </w:r>
      <w:r>
        <w:rPr>
          <w:rStyle w:val="33"/>
          <w:rFonts w:hint="eastAsia" w:hAnsi="宋体"/>
        </w:rPr>
        <w:t>总则</w:t>
      </w:r>
      <w:r>
        <w:tab/>
      </w:r>
      <w:r>
        <w:fldChar w:fldCharType="begin"/>
      </w:r>
      <w:r>
        <w:instrText xml:space="preserve"> PAGEREF _Toc399627534 \h </w:instrText>
      </w:r>
      <w:r>
        <w:fldChar w:fldCharType="separate"/>
      </w:r>
      <w:r>
        <w:t>1</w:t>
      </w:r>
      <w:r>
        <w:fldChar w:fldCharType="end"/>
      </w:r>
      <w:r>
        <w:fldChar w:fldCharType="end"/>
      </w:r>
    </w:p>
    <w:p>
      <w:pPr>
        <w:pStyle w:val="23"/>
        <w:tabs>
          <w:tab w:val="right" w:leader="dot" w:pos="8296"/>
        </w:tabs>
        <w:rPr>
          <w:b w:val="0"/>
          <w:bCs w:val="0"/>
          <w:caps w:val="0"/>
          <w:sz w:val="21"/>
          <w:szCs w:val="24"/>
        </w:rPr>
      </w:pPr>
      <w:r>
        <w:fldChar w:fldCharType="begin"/>
      </w:r>
      <w:r>
        <w:instrText xml:space="preserve"> HYPERLINK \l "_Toc399627535" </w:instrText>
      </w:r>
      <w:r>
        <w:fldChar w:fldCharType="separate"/>
      </w:r>
      <w:r>
        <w:rPr>
          <w:rStyle w:val="33"/>
          <w:rFonts w:hAnsi="宋体"/>
        </w:rPr>
        <w:t xml:space="preserve">2 </w:t>
      </w:r>
      <w:r>
        <w:rPr>
          <w:rStyle w:val="33"/>
          <w:rFonts w:hint="eastAsia" w:hAnsi="宋体"/>
        </w:rPr>
        <w:t>工作范围</w:t>
      </w:r>
      <w:r>
        <w:tab/>
      </w:r>
      <w:r>
        <w:fldChar w:fldCharType="begin"/>
      </w:r>
      <w:r>
        <w:instrText xml:space="preserve"> PAGEREF _Toc399627535 \h </w:instrText>
      </w:r>
      <w:r>
        <w:fldChar w:fldCharType="separate"/>
      </w:r>
      <w:r>
        <w:t>2</w:t>
      </w:r>
      <w:r>
        <w:fldChar w:fldCharType="end"/>
      </w:r>
      <w:r>
        <w:fldChar w:fldCharType="end"/>
      </w:r>
    </w:p>
    <w:p>
      <w:pPr>
        <w:pStyle w:val="25"/>
      </w:pPr>
      <w:r>
        <w:fldChar w:fldCharType="begin"/>
      </w:r>
      <w:r>
        <w:instrText xml:space="preserve"> HYPERLINK \l "_Toc399627536" </w:instrText>
      </w:r>
      <w:r>
        <w:fldChar w:fldCharType="separate"/>
      </w:r>
      <w:r>
        <w:rPr>
          <w:rStyle w:val="33"/>
          <w:rFonts w:hAnsi="宋体"/>
        </w:rPr>
        <w:t xml:space="preserve">2.1 </w:t>
      </w:r>
      <w:r>
        <w:rPr>
          <w:rStyle w:val="33"/>
          <w:rFonts w:hint="eastAsia" w:hAnsi="宋体"/>
        </w:rPr>
        <w:t>项目概况</w:t>
      </w:r>
      <w:r>
        <w:tab/>
      </w:r>
      <w:r>
        <w:fldChar w:fldCharType="begin"/>
      </w:r>
      <w:r>
        <w:instrText xml:space="preserve"> PAGEREF _Toc399627536 \h </w:instrText>
      </w:r>
      <w:r>
        <w:fldChar w:fldCharType="separate"/>
      </w:r>
      <w:r>
        <w:t>2</w:t>
      </w:r>
      <w:r>
        <w:fldChar w:fldCharType="end"/>
      </w:r>
      <w:r>
        <w:fldChar w:fldCharType="end"/>
      </w:r>
    </w:p>
    <w:p>
      <w:pPr>
        <w:pStyle w:val="25"/>
      </w:pPr>
      <w:r>
        <w:fldChar w:fldCharType="begin"/>
      </w:r>
      <w:r>
        <w:instrText xml:space="preserve"> HYPERLINK \l "_Toc399627537" </w:instrText>
      </w:r>
      <w:r>
        <w:fldChar w:fldCharType="separate"/>
      </w:r>
      <w:r>
        <w:rPr>
          <w:rStyle w:val="33"/>
          <w:rFonts w:hAnsi="宋体"/>
        </w:rPr>
        <w:t xml:space="preserve">2.2 </w:t>
      </w:r>
      <w:r>
        <w:rPr>
          <w:rStyle w:val="33"/>
          <w:rFonts w:hint="eastAsia" w:hAnsi="宋体"/>
        </w:rPr>
        <w:t>范围和界限</w:t>
      </w:r>
      <w:r>
        <w:tab/>
      </w:r>
      <w:r>
        <w:fldChar w:fldCharType="begin"/>
      </w:r>
      <w:r>
        <w:instrText xml:space="preserve"> PAGEREF _Toc399627537 \h </w:instrText>
      </w:r>
      <w:r>
        <w:fldChar w:fldCharType="separate"/>
      </w:r>
      <w:r>
        <w:t>2</w:t>
      </w:r>
      <w:r>
        <w:fldChar w:fldCharType="end"/>
      </w:r>
      <w:r>
        <w:fldChar w:fldCharType="end"/>
      </w:r>
    </w:p>
    <w:p>
      <w:pPr>
        <w:pStyle w:val="25"/>
      </w:pPr>
      <w:r>
        <w:fldChar w:fldCharType="begin"/>
      </w:r>
      <w:r>
        <w:instrText xml:space="preserve"> HYPERLINK \l "_Toc399627538" </w:instrText>
      </w:r>
      <w:r>
        <w:fldChar w:fldCharType="separate"/>
      </w:r>
      <w:r>
        <w:rPr>
          <w:rStyle w:val="33"/>
          <w:rFonts w:hAnsi="宋体"/>
        </w:rPr>
        <w:t xml:space="preserve">2.3 </w:t>
      </w:r>
      <w:r>
        <w:rPr>
          <w:rStyle w:val="33"/>
          <w:rFonts w:hint="eastAsia" w:hAnsi="宋体"/>
        </w:rPr>
        <w:t>服务范围</w:t>
      </w:r>
      <w:r>
        <w:tab/>
      </w:r>
      <w:r>
        <w:fldChar w:fldCharType="begin"/>
      </w:r>
      <w:r>
        <w:instrText xml:space="preserve"> PAGEREF _Toc399627538 \h </w:instrText>
      </w:r>
      <w:r>
        <w:fldChar w:fldCharType="separate"/>
      </w:r>
      <w:r>
        <w:t>2</w:t>
      </w:r>
      <w:r>
        <w:fldChar w:fldCharType="end"/>
      </w:r>
      <w:r>
        <w:fldChar w:fldCharType="end"/>
      </w:r>
    </w:p>
    <w:p>
      <w:pPr>
        <w:pStyle w:val="23"/>
        <w:tabs>
          <w:tab w:val="right" w:leader="dot" w:pos="8296"/>
        </w:tabs>
        <w:rPr>
          <w:b w:val="0"/>
          <w:bCs w:val="0"/>
          <w:caps w:val="0"/>
          <w:sz w:val="21"/>
          <w:szCs w:val="24"/>
        </w:rPr>
      </w:pPr>
      <w:r>
        <w:fldChar w:fldCharType="begin"/>
      </w:r>
      <w:r>
        <w:instrText xml:space="preserve"> HYPERLINK \l "_Toc399627539" </w:instrText>
      </w:r>
      <w:r>
        <w:fldChar w:fldCharType="separate"/>
      </w:r>
      <w:r>
        <w:rPr>
          <w:rStyle w:val="33"/>
          <w:rFonts w:hAnsi="宋体"/>
        </w:rPr>
        <w:t xml:space="preserve">3 </w:t>
      </w:r>
      <w:r>
        <w:rPr>
          <w:rStyle w:val="33"/>
          <w:rFonts w:hint="eastAsia" w:hAnsi="宋体"/>
        </w:rPr>
        <w:t>应遵循的主要标准</w:t>
      </w:r>
      <w:r>
        <w:tab/>
      </w:r>
      <w:r>
        <w:fldChar w:fldCharType="begin"/>
      </w:r>
      <w:r>
        <w:instrText xml:space="preserve"> PAGEREF _Toc399627539 \h </w:instrText>
      </w:r>
      <w:r>
        <w:fldChar w:fldCharType="separate"/>
      </w:r>
      <w:r>
        <w:t>3</w:t>
      </w:r>
      <w:r>
        <w:fldChar w:fldCharType="end"/>
      </w:r>
      <w:r>
        <w:fldChar w:fldCharType="end"/>
      </w:r>
    </w:p>
    <w:p>
      <w:pPr>
        <w:pStyle w:val="23"/>
        <w:tabs>
          <w:tab w:val="right" w:leader="dot" w:pos="8296"/>
        </w:tabs>
        <w:rPr>
          <w:b w:val="0"/>
          <w:bCs w:val="0"/>
          <w:caps w:val="0"/>
          <w:sz w:val="21"/>
          <w:szCs w:val="24"/>
        </w:rPr>
      </w:pPr>
      <w:r>
        <w:fldChar w:fldCharType="begin"/>
      </w:r>
      <w:r>
        <w:instrText xml:space="preserve"> HYPERLINK \l "_Toc399627540" </w:instrText>
      </w:r>
      <w:r>
        <w:fldChar w:fldCharType="separate"/>
      </w:r>
      <w:r>
        <w:rPr>
          <w:rStyle w:val="33"/>
          <w:rFonts w:hAnsi="宋体"/>
        </w:rPr>
        <w:t xml:space="preserve">4 </w:t>
      </w:r>
      <w:r>
        <w:rPr>
          <w:rStyle w:val="33"/>
          <w:rFonts w:hint="eastAsia" w:hAnsi="宋体"/>
        </w:rPr>
        <w:t>使用环境要求</w:t>
      </w:r>
      <w:r>
        <w:tab/>
      </w:r>
      <w:r>
        <w:fldChar w:fldCharType="begin"/>
      </w:r>
      <w:r>
        <w:instrText xml:space="preserve"> PAGEREF _Toc399627540 \h </w:instrText>
      </w:r>
      <w:r>
        <w:fldChar w:fldCharType="separate"/>
      </w:r>
      <w:r>
        <w:t>4</w:t>
      </w:r>
      <w:r>
        <w:fldChar w:fldCharType="end"/>
      </w:r>
      <w:r>
        <w:fldChar w:fldCharType="end"/>
      </w:r>
    </w:p>
    <w:p>
      <w:pPr>
        <w:pStyle w:val="23"/>
        <w:tabs>
          <w:tab w:val="right" w:leader="dot" w:pos="8296"/>
        </w:tabs>
        <w:rPr>
          <w:b w:val="0"/>
          <w:bCs w:val="0"/>
          <w:caps w:val="0"/>
          <w:sz w:val="21"/>
          <w:szCs w:val="24"/>
        </w:rPr>
      </w:pPr>
      <w:r>
        <w:fldChar w:fldCharType="begin"/>
      </w:r>
      <w:r>
        <w:instrText xml:space="preserve"> HYPERLINK \l "_Toc399627541" </w:instrText>
      </w:r>
      <w:r>
        <w:fldChar w:fldCharType="separate"/>
      </w:r>
      <w:r>
        <w:rPr>
          <w:rStyle w:val="33"/>
          <w:rFonts w:hAnsi="宋体"/>
        </w:rPr>
        <w:t xml:space="preserve">5 </w:t>
      </w:r>
      <w:r>
        <w:rPr>
          <w:rStyle w:val="33"/>
          <w:rFonts w:hint="eastAsia" w:hAnsi="宋体"/>
        </w:rPr>
        <w:t>技术要求</w:t>
      </w:r>
      <w:r>
        <w:tab/>
      </w:r>
      <w:r>
        <w:fldChar w:fldCharType="begin"/>
      </w:r>
      <w:r>
        <w:instrText xml:space="preserve"> PAGEREF _Toc399627541 \h </w:instrText>
      </w:r>
      <w:r>
        <w:fldChar w:fldCharType="separate"/>
      </w:r>
      <w:r>
        <w:t>4</w:t>
      </w:r>
      <w:r>
        <w:fldChar w:fldCharType="end"/>
      </w:r>
      <w:r>
        <w:fldChar w:fldCharType="end"/>
      </w:r>
    </w:p>
    <w:p>
      <w:pPr>
        <w:pStyle w:val="25"/>
      </w:pPr>
      <w:r>
        <w:fldChar w:fldCharType="begin"/>
      </w:r>
      <w:r>
        <w:instrText xml:space="preserve"> HYPERLINK \l "_Toc399627542" </w:instrText>
      </w:r>
      <w:r>
        <w:fldChar w:fldCharType="separate"/>
      </w:r>
      <w:r>
        <w:rPr>
          <w:rStyle w:val="33"/>
          <w:rFonts w:hAnsi="宋体"/>
        </w:rPr>
        <w:t xml:space="preserve">5.1 </w:t>
      </w:r>
      <w:r>
        <w:rPr>
          <w:rStyle w:val="33"/>
          <w:rFonts w:hint="eastAsia" w:hAnsi="宋体"/>
        </w:rPr>
        <w:t>设备结构功能接口要求</w:t>
      </w:r>
      <w:r>
        <w:tab/>
      </w:r>
      <w:r>
        <w:fldChar w:fldCharType="begin"/>
      </w:r>
      <w:r>
        <w:instrText xml:space="preserve"> PAGEREF _Toc399627542 \h </w:instrText>
      </w:r>
      <w:r>
        <w:fldChar w:fldCharType="separate"/>
      </w:r>
      <w:r>
        <w:t>4</w:t>
      </w:r>
      <w:r>
        <w:fldChar w:fldCharType="end"/>
      </w:r>
      <w:r>
        <w:fldChar w:fldCharType="end"/>
      </w:r>
    </w:p>
    <w:p>
      <w:pPr>
        <w:pStyle w:val="25"/>
      </w:pPr>
      <w:r>
        <w:fldChar w:fldCharType="begin"/>
      </w:r>
      <w:r>
        <w:instrText xml:space="preserve"> HYPERLINK \l "_Toc399627543" </w:instrText>
      </w:r>
      <w:r>
        <w:fldChar w:fldCharType="separate"/>
      </w:r>
      <w:r>
        <w:rPr>
          <w:rStyle w:val="33"/>
          <w:rFonts w:hAnsi="宋体"/>
        </w:rPr>
        <w:t>5.2</w:t>
      </w:r>
      <w:r>
        <w:rPr>
          <w:rStyle w:val="33"/>
          <w:rFonts w:hint="eastAsia" w:hAnsi="宋体"/>
        </w:rPr>
        <w:t>设备技术参数和性能要求响应表</w:t>
      </w:r>
      <w:r>
        <w:tab/>
      </w:r>
      <w:r>
        <w:fldChar w:fldCharType="begin"/>
      </w:r>
      <w:r>
        <w:instrText xml:space="preserve"> PAGEREF _Toc399627543 \h </w:instrText>
      </w:r>
      <w:r>
        <w:fldChar w:fldCharType="separate"/>
      </w:r>
      <w:r>
        <w:t>5</w:t>
      </w:r>
      <w:r>
        <w:fldChar w:fldCharType="end"/>
      </w:r>
      <w:r>
        <w:fldChar w:fldCharType="end"/>
      </w:r>
    </w:p>
    <w:p>
      <w:pPr>
        <w:pStyle w:val="25"/>
      </w:pPr>
      <w:r>
        <w:fldChar w:fldCharType="begin"/>
      </w:r>
      <w:r>
        <w:instrText xml:space="preserve"> HYPERLINK \l "_Toc399627544" </w:instrText>
      </w:r>
      <w:r>
        <w:fldChar w:fldCharType="separate"/>
      </w:r>
      <w:r>
        <w:rPr>
          <w:rStyle w:val="33"/>
          <w:rFonts w:hAnsi="宋体"/>
        </w:rPr>
        <w:t>5.3</w:t>
      </w:r>
      <w:r>
        <w:rPr>
          <w:rStyle w:val="33"/>
          <w:rFonts w:hint="eastAsia" w:hAnsi="宋体"/>
        </w:rPr>
        <w:t>设备及其附件主要元器件来源</w:t>
      </w:r>
      <w:r>
        <w:tab/>
      </w:r>
      <w:r>
        <w:fldChar w:fldCharType="begin"/>
      </w:r>
      <w:r>
        <w:instrText xml:space="preserve"> PAGEREF _Toc399627544 \h </w:instrText>
      </w:r>
      <w:r>
        <w:fldChar w:fldCharType="separate"/>
      </w:r>
      <w:r>
        <w:t>6</w:t>
      </w:r>
      <w:r>
        <w:fldChar w:fldCharType="end"/>
      </w:r>
      <w:r>
        <w:fldChar w:fldCharType="end"/>
      </w:r>
    </w:p>
    <w:p>
      <w:pPr>
        <w:pStyle w:val="23"/>
        <w:tabs>
          <w:tab w:val="right" w:leader="dot" w:pos="8296"/>
        </w:tabs>
        <w:rPr>
          <w:b w:val="0"/>
          <w:bCs w:val="0"/>
          <w:caps w:val="0"/>
          <w:sz w:val="21"/>
          <w:szCs w:val="24"/>
        </w:rPr>
      </w:pPr>
      <w:r>
        <w:fldChar w:fldCharType="begin"/>
      </w:r>
      <w:r>
        <w:instrText xml:space="preserve"> HYPERLINK \l "_Toc399627545" </w:instrText>
      </w:r>
      <w:r>
        <w:fldChar w:fldCharType="separate"/>
      </w:r>
      <w:r>
        <w:rPr>
          <w:rStyle w:val="33"/>
          <w:rFonts w:hAnsi="宋体"/>
        </w:rPr>
        <w:t xml:space="preserve">6 </w:t>
      </w:r>
      <w:r>
        <w:rPr>
          <w:rStyle w:val="33"/>
          <w:rFonts w:hint="eastAsia" w:hAnsi="宋体"/>
        </w:rPr>
        <w:t>试验</w:t>
      </w:r>
      <w:r>
        <w:tab/>
      </w:r>
      <w:r>
        <w:fldChar w:fldCharType="begin"/>
      </w:r>
      <w:r>
        <w:instrText xml:space="preserve"> PAGEREF _Toc399627545 \h </w:instrText>
      </w:r>
      <w:r>
        <w:fldChar w:fldCharType="separate"/>
      </w:r>
      <w:r>
        <w:t>7</w:t>
      </w:r>
      <w:r>
        <w:fldChar w:fldCharType="end"/>
      </w:r>
      <w:r>
        <w:fldChar w:fldCharType="end"/>
      </w:r>
    </w:p>
    <w:p>
      <w:pPr>
        <w:pStyle w:val="25"/>
      </w:pPr>
      <w:r>
        <w:fldChar w:fldCharType="begin"/>
      </w:r>
      <w:r>
        <w:instrText xml:space="preserve"> HYPERLINK \l "_Toc399627546" </w:instrText>
      </w:r>
      <w:r>
        <w:fldChar w:fldCharType="separate"/>
      </w:r>
      <w:r>
        <w:rPr>
          <w:rStyle w:val="33"/>
          <w:rFonts w:hAnsi="宋体"/>
        </w:rPr>
        <w:t xml:space="preserve">6.1 </w:t>
      </w:r>
      <w:r>
        <w:rPr>
          <w:rStyle w:val="33"/>
          <w:rFonts w:hint="eastAsia" w:hAnsi="宋体"/>
        </w:rPr>
        <w:t>型式试验</w:t>
      </w:r>
      <w:r>
        <w:tab/>
      </w:r>
      <w:r>
        <w:fldChar w:fldCharType="begin"/>
      </w:r>
      <w:r>
        <w:instrText xml:space="preserve"> PAGEREF _Toc399627546 \h </w:instrText>
      </w:r>
      <w:r>
        <w:fldChar w:fldCharType="separate"/>
      </w:r>
      <w:r>
        <w:t>7</w:t>
      </w:r>
      <w:r>
        <w:fldChar w:fldCharType="end"/>
      </w:r>
      <w:r>
        <w:fldChar w:fldCharType="end"/>
      </w:r>
    </w:p>
    <w:p>
      <w:pPr>
        <w:pStyle w:val="25"/>
      </w:pPr>
      <w:r>
        <w:fldChar w:fldCharType="begin"/>
      </w:r>
      <w:r>
        <w:instrText xml:space="preserve"> HYPERLINK \l "_Toc399627547" </w:instrText>
      </w:r>
      <w:r>
        <w:fldChar w:fldCharType="separate"/>
      </w:r>
      <w:r>
        <w:rPr>
          <w:rStyle w:val="33"/>
          <w:rFonts w:hAnsi="宋体"/>
        </w:rPr>
        <w:t xml:space="preserve">6.2 </w:t>
      </w:r>
      <w:r>
        <w:rPr>
          <w:rStyle w:val="33"/>
          <w:rFonts w:hint="eastAsia" w:hAnsi="宋体"/>
        </w:rPr>
        <w:t>出厂试验</w:t>
      </w:r>
      <w:r>
        <w:tab/>
      </w:r>
      <w:r>
        <w:fldChar w:fldCharType="begin"/>
      </w:r>
      <w:r>
        <w:instrText xml:space="preserve"> PAGEREF _Toc399627547 \h </w:instrText>
      </w:r>
      <w:r>
        <w:fldChar w:fldCharType="separate"/>
      </w:r>
      <w:r>
        <w:t>7</w:t>
      </w:r>
      <w:r>
        <w:fldChar w:fldCharType="end"/>
      </w:r>
      <w:r>
        <w:fldChar w:fldCharType="end"/>
      </w:r>
    </w:p>
    <w:p>
      <w:pPr>
        <w:pStyle w:val="25"/>
      </w:pPr>
      <w:r>
        <w:fldChar w:fldCharType="begin"/>
      </w:r>
      <w:r>
        <w:instrText xml:space="preserve"> HYPERLINK \l "_Toc399627548" </w:instrText>
      </w:r>
      <w:r>
        <w:fldChar w:fldCharType="separate"/>
      </w:r>
      <w:r>
        <w:rPr>
          <w:rStyle w:val="33"/>
          <w:rFonts w:hAnsi="宋体"/>
        </w:rPr>
        <w:t xml:space="preserve">6.3 </w:t>
      </w:r>
      <w:r>
        <w:rPr>
          <w:rStyle w:val="33"/>
          <w:rFonts w:hint="eastAsia" w:hAnsi="宋体"/>
        </w:rPr>
        <w:t>现场交接试验和功能验收</w:t>
      </w:r>
      <w:r>
        <w:tab/>
      </w:r>
      <w:r>
        <w:fldChar w:fldCharType="begin"/>
      </w:r>
      <w:r>
        <w:instrText xml:space="preserve"> PAGEREF _Toc399627548 \h </w:instrText>
      </w:r>
      <w:r>
        <w:fldChar w:fldCharType="separate"/>
      </w:r>
      <w:r>
        <w:t>7</w:t>
      </w:r>
      <w:r>
        <w:fldChar w:fldCharType="end"/>
      </w:r>
      <w:r>
        <w:fldChar w:fldCharType="end"/>
      </w:r>
    </w:p>
    <w:p>
      <w:pPr>
        <w:pStyle w:val="23"/>
        <w:tabs>
          <w:tab w:val="right" w:leader="dot" w:pos="8296"/>
        </w:tabs>
        <w:rPr>
          <w:b w:val="0"/>
          <w:bCs w:val="0"/>
          <w:caps w:val="0"/>
          <w:sz w:val="21"/>
          <w:szCs w:val="24"/>
        </w:rPr>
      </w:pPr>
      <w:r>
        <w:fldChar w:fldCharType="begin"/>
      </w:r>
      <w:r>
        <w:instrText xml:space="preserve"> HYPERLINK \l "_Toc399627549" </w:instrText>
      </w:r>
      <w:r>
        <w:fldChar w:fldCharType="separate"/>
      </w:r>
      <w:r>
        <w:rPr>
          <w:rStyle w:val="33"/>
          <w:rFonts w:hAnsi="宋体"/>
        </w:rPr>
        <w:t xml:space="preserve">7 </w:t>
      </w:r>
      <w:r>
        <w:rPr>
          <w:rStyle w:val="33"/>
          <w:rFonts w:hint="eastAsia" w:hAnsi="宋体"/>
        </w:rPr>
        <w:t>产品对环境的影响</w:t>
      </w:r>
      <w:r>
        <w:tab/>
      </w:r>
      <w:r>
        <w:fldChar w:fldCharType="begin"/>
      </w:r>
      <w:r>
        <w:instrText xml:space="preserve"> PAGEREF _Toc399627549 \h </w:instrText>
      </w:r>
      <w:r>
        <w:fldChar w:fldCharType="separate"/>
      </w:r>
      <w:r>
        <w:t>8</w:t>
      </w:r>
      <w:r>
        <w:fldChar w:fldCharType="end"/>
      </w:r>
      <w:r>
        <w:fldChar w:fldCharType="end"/>
      </w:r>
    </w:p>
    <w:p>
      <w:pPr>
        <w:pStyle w:val="23"/>
        <w:tabs>
          <w:tab w:val="right" w:leader="dot" w:pos="8296"/>
        </w:tabs>
        <w:rPr>
          <w:b w:val="0"/>
          <w:bCs w:val="0"/>
          <w:caps w:val="0"/>
          <w:sz w:val="21"/>
          <w:szCs w:val="24"/>
        </w:rPr>
      </w:pPr>
      <w:r>
        <w:fldChar w:fldCharType="begin"/>
      </w:r>
      <w:r>
        <w:instrText xml:space="preserve"> HYPERLINK \l "_Toc399627550" </w:instrText>
      </w:r>
      <w:r>
        <w:fldChar w:fldCharType="separate"/>
      </w:r>
      <w:r>
        <w:rPr>
          <w:rStyle w:val="33"/>
          <w:rFonts w:hAnsi="宋体"/>
        </w:rPr>
        <w:t>8</w:t>
      </w:r>
      <w:r>
        <w:rPr>
          <w:rStyle w:val="33"/>
          <w:rFonts w:hint="eastAsia" w:hAnsi="宋体"/>
        </w:rPr>
        <w:t>技术文件要求</w:t>
      </w:r>
      <w:r>
        <w:tab/>
      </w:r>
      <w:r>
        <w:fldChar w:fldCharType="begin"/>
      </w:r>
      <w:r>
        <w:instrText xml:space="preserve"> PAGEREF _Toc399627550 \h </w:instrText>
      </w:r>
      <w:r>
        <w:fldChar w:fldCharType="separate"/>
      </w:r>
      <w:r>
        <w:t>8</w:t>
      </w:r>
      <w:r>
        <w:fldChar w:fldCharType="end"/>
      </w:r>
      <w:r>
        <w:fldChar w:fldCharType="end"/>
      </w:r>
    </w:p>
    <w:p>
      <w:pPr>
        <w:pStyle w:val="23"/>
        <w:tabs>
          <w:tab w:val="right" w:leader="dot" w:pos="8296"/>
        </w:tabs>
        <w:rPr>
          <w:b w:val="0"/>
          <w:bCs w:val="0"/>
          <w:caps w:val="0"/>
          <w:sz w:val="21"/>
          <w:szCs w:val="24"/>
        </w:rPr>
      </w:pPr>
      <w:r>
        <w:fldChar w:fldCharType="begin"/>
      </w:r>
      <w:r>
        <w:instrText xml:space="preserve"> HYPERLINK \l "_Toc399627551" </w:instrText>
      </w:r>
      <w:r>
        <w:fldChar w:fldCharType="separate"/>
      </w:r>
      <w:r>
        <w:rPr>
          <w:rStyle w:val="33"/>
          <w:rFonts w:hAnsi="宋体"/>
        </w:rPr>
        <w:t xml:space="preserve">9 </w:t>
      </w:r>
      <w:r>
        <w:rPr>
          <w:rStyle w:val="33"/>
          <w:rFonts w:hint="eastAsia" w:hAnsi="宋体"/>
        </w:rPr>
        <w:t>监造、包装、运输、安装及质量保证</w:t>
      </w:r>
      <w:r>
        <w:tab/>
      </w:r>
      <w:r>
        <w:fldChar w:fldCharType="begin"/>
      </w:r>
      <w:r>
        <w:instrText xml:space="preserve"> PAGEREF _Toc399627551 \h </w:instrText>
      </w:r>
      <w:r>
        <w:fldChar w:fldCharType="separate"/>
      </w:r>
      <w:r>
        <w:t>8</w:t>
      </w:r>
      <w:r>
        <w:fldChar w:fldCharType="end"/>
      </w:r>
      <w:r>
        <w:fldChar w:fldCharType="end"/>
      </w:r>
    </w:p>
    <w:p>
      <w:pPr>
        <w:pStyle w:val="25"/>
      </w:pPr>
      <w:r>
        <w:fldChar w:fldCharType="begin"/>
      </w:r>
      <w:r>
        <w:instrText xml:space="preserve"> HYPERLINK \l "_Toc399627552" </w:instrText>
      </w:r>
      <w:r>
        <w:fldChar w:fldCharType="separate"/>
      </w:r>
      <w:r>
        <w:rPr>
          <w:rStyle w:val="33"/>
          <w:rFonts w:hAnsi="宋体"/>
        </w:rPr>
        <w:t>9.1</w:t>
      </w:r>
      <w:r>
        <w:rPr>
          <w:rStyle w:val="33"/>
          <w:rFonts w:hint="eastAsia" w:hAnsi="宋体"/>
        </w:rPr>
        <w:t>监造</w:t>
      </w:r>
      <w:r>
        <w:tab/>
      </w:r>
      <w:r>
        <w:fldChar w:fldCharType="begin"/>
      </w:r>
      <w:r>
        <w:instrText xml:space="preserve"> PAGEREF _Toc399627552 \h </w:instrText>
      </w:r>
      <w:r>
        <w:fldChar w:fldCharType="separate"/>
      </w:r>
      <w:r>
        <w:t>8</w:t>
      </w:r>
      <w:r>
        <w:fldChar w:fldCharType="end"/>
      </w:r>
      <w:r>
        <w:fldChar w:fldCharType="end"/>
      </w:r>
    </w:p>
    <w:p>
      <w:pPr>
        <w:pStyle w:val="25"/>
      </w:pPr>
      <w:r>
        <w:fldChar w:fldCharType="begin"/>
      </w:r>
      <w:r>
        <w:instrText xml:space="preserve"> HYPERLINK \l "_Toc399627553" </w:instrText>
      </w:r>
      <w:r>
        <w:fldChar w:fldCharType="separate"/>
      </w:r>
      <w:r>
        <w:rPr>
          <w:rStyle w:val="33"/>
          <w:rFonts w:hAnsi="宋体"/>
        </w:rPr>
        <w:t>9.2</w:t>
      </w:r>
      <w:r>
        <w:rPr>
          <w:rStyle w:val="33"/>
          <w:rFonts w:hint="eastAsia" w:hAnsi="宋体"/>
        </w:rPr>
        <w:t>包装</w:t>
      </w:r>
      <w:r>
        <w:tab/>
      </w:r>
      <w:r>
        <w:fldChar w:fldCharType="begin"/>
      </w:r>
      <w:r>
        <w:instrText xml:space="preserve"> PAGEREF _Toc399627553 \h </w:instrText>
      </w:r>
      <w:r>
        <w:fldChar w:fldCharType="separate"/>
      </w:r>
      <w:r>
        <w:t>8</w:t>
      </w:r>
      <w:r>
        <w:fldChar w:fldCharType="end"/>
      </w:r>
      <w:r>
        <w:fldChar w:fldCharType="end"/>
      </w:r>
    </w:p>
    <w:p>
      <w:pPr>
        <w:pStyle w:val="25"/>
      </w:pPr>
      <w:r>
        <w:fldChar w:fldCharType="begin"/>
      </w:r>
      <w:r>
        <w:instrText xml:space="preserve"> HYPERLINK \l "_Toc399627554" </w:instrText>
      </w:r>
      <w:r>
        <w:fldChar w:fldCharType="separate"/>
      </w:r>
      <w:r>
        <w:rPr>
          <w:rStyle w:val="33"/>
          <w:rFonts w:hAnsi="宋体"/>
        </w:rPr>
        <w:t>9.3</w:t>
      </w:r>
      <w:r>
        <w:rPr>
          <w:rStyle w:val="33"/>
          <w:rFonts w:hint="eastAsia" w:hAnsi="宋体"/>
        </w:rPr>
        <w:t>运输</w:t>
      </w:r>
      <w:r>
        <w:tab/>
      </w:r>
      <w:r>
        <w:fldChar w:fldCharType="begin"/>
      </w:r>
      <w:r>
        <w:instrText xml:space="preserve"> PAGEREF _Toc399627554 \h </w:instrText>
      </w:r>
      <w:r>
        <w:fldChar w:fldCharType="separate"/>
      </w:r>
      <w:r>
        <w:t>8</w:t>
      </w:r>
      <w:r>
        <w:fldChar w:fldCharType="end"/>
      </w:r>
      <w:r>
        <w:fldChar w:fldCharType="end"/>
      </w:r>
    </w:p>
    <w:p>
      <w:pPr>
        <w:pStyle w:val="25"/>
      </w:pPr>
      <w:r>
        <w:fldChar w:fldCharType="begin"/>
      </w:r>
      <w:r>
        <w:instrText xml:space="preserve"> HYPERLINK \l "_Toc399627555" </w:instrText>
      </w:r>
      <w:r>
        <w:fldChar w:fldCharType="separate"/>
      </w:r>
      <w:r>
        <w:rPr>
          <w:rStyle w:val="33"/>
          <w:rFonts w:hAnsi="宋体"/>
        </w:rPr>
        <w:t>9.4</w:t>
      </w:r>
      <w:r>
        <w:rPr>
          <w:rStyle w:val="33"/>
          <w:rFonts w:hint="eastAsia" w:hAnsi="宋体"/>
        </w:rPr>
        <w:t>安装使用指导</w:t>
      </w:r>
      <w:r>
        <w:tab/>
      </w:r>
      <w:r>
        <w:fldChar w:fldCharType="begin"/>
      </w:r>
      <w:r>
        <w:instrText xml:space="preserve"> PAGEREF _Toc399627555 \h </w:instrText>
      </w:r>
      <w:r>
        <w:fldChar w:fldCharType="separate"/>
      </w:r>
      <w:r>
        <w:t>9</w:t>
      </w:r>
      <w:r>
        <w:fldChar w:fldCharType="end"/>
      </w:r>
      <w:r>
        <w:fldChar w:fldCharType="end"/>
      </w:r>
    </w:p>
    <w:p>
      <w:pPr>
        <w:pStyle w:val="25"/>
      </w:pPr>
      <w:r>
        <w:fldChar w:fldCharType="begin"/>
      </w:r>
      <w:r>
        <w:instrText xml:space="preserve"> HYPERLINK \l "_Toc399627556" </w:instrText>
      </w:r>
      <w:r>
        <w:fldChar w:fldCharType="separate"/>
      </w:r>
      <w:r>
        <w:rPr>
          <w:rStyle w:val="33"/>
          <w:rFonts w:hAnsi="宋体"/>
        </w:rPr>
        <w:t>9.5</w:t>
      </w:r>
      <w:r>
        <w:rPr>
          <w:rStyle w:val="33"/>
          <w:rFonts w:hint="eastAsia" w:hAnsi="宋体"/>
        </w:rPr>
        <w:t>质量保证</w:t>
      </w:r>
      <w:r>
        <w:tab/>
      </w:r>
      <w:r>
        <w:fldChar w:fldCharType="begin"/>
      </w:r>
      <w:r>
        <w:instrText xml:space="preserve"> PAGEREF _Toc399627556 \h </w:instrText>
      </w:r>
      <w:r>
        <w:fldChar w:fldCharType="separate"/>
      </w:r>
      <w:r>
        <w:t>9</w:t>
      </w:r>
      <w:r>
        <w:fldChar w:fldCharType="end"/>
      </w:r>
      <w:r>
        <w:fldChar w:fldCharType="end"/>
      </w:r>
    </w:p>
    <w:p>
      <w:pPr>
        <w:pStyle w:val="23"/>
        <w:tabs>
          <w:tab w:val="right" w:leader="dot" w:pos="8296"/>
        </w:tabs>
        <w:rPr>
          <w:b w:val="0"/>
          <w:bCs w:val="0"/>
          <w:caps w:val="0"/>
          <w:sz w:val="21"/>
          <w:szCs w:val="24"/>
        </w:rPr>
      </w:pPr>
      <w:r>
        <w:fldChar w:fldCharType="begin"/>
      </w:r>
      <w:r>
        <w:instrText xml:space="preserve"> HYPERLINK \l "_Toc399627557" </w:instrText>
      </w:r>
      <w:r>
        <w:fldChar w:fldCharType="separate"/>
      </w:r>
      <w:r>
        <w:rPr>
          <w:rStyle w:val="33"/>
          <w:rFonts w:hAnsi="宋体"/>
        </w:rPr>
        <w:t xml:space="preserve">10 </w:t>
      </w:r>
      <w:r>
        <w:rPr>
          <w:rStyle w:val="33"/>
          <w:rFonts w:hint="eastAsia" w:hAnsi="宋体"/>
        </w:rPr>
        <w:t>技术差异表</w:t>
      </w:r>
      <w:r>
        <w:tab/>
      </w:r>
      <w:r>
        <w:fldChar w:fldCharType="begin"/>
      </w:r>
      <w:r>
        <w:instrText xml:space="preserve"> PAGEREF _Toc399627557 \h </w:instrText>
      </w:r>
      <w:r>
        <w:fldChar w:fldCharType="separate"/>
      </w:r>
      <w:r>
        <w:t>10</w:t>
      </w:r>
      <w:r>
        <w:fldChar w:fldCharType="end"/>
      </w:r>
      <w:r>
        <w:fldChar w:fldCharType="end"/>
      </w:r>
    </w:p>
    <w:p>
      <w:pPr>
        <w:pStyle w:val="23"/>
        <w:tabs>
          <w:tab w:val="right" w:leader="dot" w:pos="8296"/>
        </w:tabs>
        <w:rPr>
          <w:b w:val="0"/>
          <w:bCs w:val="0"/>
          <w:caps w:val="0"/>
          <w:sz w:val="21"/>
          <w:szCs w:val="24"/>
        </w:rPr>
      </w:pPr>
      <w:r>
        <w:fldChar w:fldCharType="begin"/>
      </w:r>
      <w:r>
        <w:instrText xml:space="preserve"> HYPERLINK \l "_Toc399627558" </w:instrText>
      </w:r>
      <w:r>
        <w:fldChar w:fldCharType="separate"/>
      </w:r>
      <w:r>
        <w:rPr>
          <w:rStyle w:val="33"/>
          <w:rFonts w:hAnsi="宋体"/>
        </w:rPr>
        <w:t>11</w:t>
      </w:r>
      <w:r>
        <w:rPr>
          <w:rStyle w:val="33"/>
          <w:rFonts w:hint="eastAsia" w:hAnsi="宋体"/>
        </w:rPr>
        <w:t>投标方需说明的其他问题</w:t>
      </w:r>
      <w:r>
        <w:tab/>
      </w:r>
      <w:r>
        <w:fldChar w:fldCharType="begin"/>
      </w:r>
      <w:r>
        <w:instrText xml:space="preserve"> PAGEREF _Toc399627558 \h </w:instrText>
      </w:r>
      <w:r>
        <w:fldChar w:fldCharType="separate"/>
      </w:r>
      <w:r>
        <w:t>10</w:t>
      </w:r>
      <w:r>
        <w:fldChar w:fldCharType="end"/>
      </w:r>
      <w:r>
        <w:fldChar w:fldCharType="end"/>
      </w:r>
    </w:p>
    <w:p>
      <w:pPr>
        <w:adjustRightInd w:val="0"/>
        <w:snapToGrid w:val="0"/>
        <w:rPr>
          <w:rFonts w:hint="eastAsia" w:ascii="宋体" w:hAnsi="宋体"/>
          <w:szCs w:val="21"/>
        </w:rPr>
        <w:sectPr>
          <w:pgSz w:w="11906" w:h="16838"/>
          <w:pgMar w:top="1440" w:right="1800" w:bottom="1440" w:left="1800" w:header="851" w:footer="992" w:gutter="0"/>
          <w:pgNumType w:fmt="upperRoman" w:start="1"/>
          <w:cols w:space="425" w:num="1"/>
          <w:docGrid w:type="lines" w:linePitch="312" w:charSpace="0"/>
        </w:sectPr>
      </w:pPr>
      <w:r>
        <w:rPr>
          <w:rFonts w:ascii="宋体" w:hAnsi="宋体"/>
          <w:szCs w:val="21"/>
        </w:rPr>
        <w:fldChar w:fldCharType="end"/>
      </w:r>
    </w:p>
    <w:p>
      <w:pPr>
        <w:pStyle w:val="4"/>
        <w:numPr>
          <w:ilvl w:val="0"/>
          <w:numId w:val="0"/>
        </w:numPr>
        <w:snapToGrid/>
        <w:spacing w:before="0" w:beforeLines="0" w:line="480" w:lineRule="auto"/>
        <w:rPr>
          <w:rFonts w:hint="eastAsia" w:ascii="宋体" w:hAnsi="宋体" w:eastAsia="宋体" w:cs="宋体"/>
          <w:sz w:val="24"/>
          <w:szCs w:val="24"/>
        </w:rPr>
      </w:pPr>
      <w:bookmarkStart w:id="1" w:name="_Toc229476588"/>
      <w:bookmarkEnd w:id="1"/>
      <w:bookmarkStart w:id="2" w:name="_Toc229476378"/>
      <w:bookmarkEnd w:id="2"/>
      <w:bookmarkStart w:id="3" w:name="_Toc229476473"/>
      <w:bookmarkEnd w:id="3"/>
      <w:bookmarkStart w:id="4" w:name="_Toc229476507"/>
      <w:bookmarkEnd w:id="4"/>
      <w:bookmarkStart w:id="5" w:name="_Toc112756677"/>
      <w:bookmarkStart w:id="6" w:name="_Toc399627534"/>
      <w:r>
        <w:rPr>
          <w:rFonts w:hint="eastAsia" w:ascii="宋体" w:hAnsi="宋体" w:eastAsia="宋体" w:cs="宋体"/>
          <w:sz w:val="24"/>
          <w:szCs w:val="24"/>
        </w:rPr>
        <w:t xml:space="preserve">1 </w:t>
      </w:r>
      <w:bookmarkEnd w:id="5"/>
      <w:r>
        <w:rPr>
          <w:rFonts w:hint="eastAsia" w:ascii="宋体" w:hAnsi="宋体" w:eastAsia="宋体" w:cs="宋体"/>
          <w:sz w:val="24"/>
          <w:szCs w:val="24"/>
        </w:rPr>
        <w:t>总则</w:t>
      </w:r>
      <w:bookmarkEnd w:id="6"/>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right="0" w:rightChars="0" w:firstLine="400" w:firstLineChars="0"/>
        <w:jc w:val="both"/>
        <w:textAlignment w:val="auto"/>
        <w:outlineLvl w:val="9"/>
        <w:rPr>
          <w:rFonts w:hint="eastAsia" w:ascii="宋体" w:hAnsi="宋体" w:eastAsia="宋体" w:cs="宋体"/>
          <w:color w:val="auto"/>
          <w:sz w:val="21"/>
          <w:szCs w:val="21"/>
          <w:highlight w:val="none"/>
          <w:lang w:val="en-US" w:eastAsia="zh-CN"/>
        </w:rPr>
      </w:pPr>
      <w:bookmarkStart w:id="7" w:name="_Toc399627535"/>
      <w:bookmarkStart w:id="8" w:name="_Toc112756678"/>
      <w:r>
        <w:rPr>
          <w:rFonts w:hint="eastAsia" w:ascii="宋体" w:hAnsi="宋体" w:eastAsia="宋体" w:cs="宋体"/>
          <w:color w:val="auto"/>
          <w:sz w:val="21"/>
          <w:szCs w:val="21"/>
          <w:highlight w:val="none"/>
          <w:lang w:val="en-US" w:eastAsia="zh-CN"/>
        </w:rPr>
        <w:t>本技术规范书适用于</w:t>
      </w:r>
      <w:r>
        <w:rPr>
          <w:rFonts w:hint="eastAsia" w:ascii="宋体" w:hAnsi="宋体" w:eastAsia="宋体" w:cs="宋体"/>
          <w:color w:val="auto"/>
          <w:sz w:val="21"/>
          <w:szCs w:val="21"/>
          <w:highlight w:val="none"/>
          <w:u w:val="single"/>
          <w:lang w:val="en-US" w:eastAsia="zh-CN"/>
        </w:rPr>
        <w:t xml:space="preserve">  （项目单位填写）   </w:t>
      </w:r>
      <w:r>
        <w:rPr>
          <w:rFonts w:hint="eastAsia" w:ascii="宋体" w:hAnsi="宋体" w:eastAsia="宋体" w:cs="宋体"/>
          <w:color w:val="auto"/>
          <w:sz w:val="21"/>
          <w:szCs w:val="21"/>
          <w:highlight w:val="none"/>
          <w:lang w:val="en-US" w:eastAsia="zh-CN"/>
        </w:rPr>
        <w:t>工程项目</w:t>
      </w:r>
      <w:r>
        <w:rPr>
          <w:rFonts w:hint="eastAsia" w:ascii="宋体" w:hAnsi="宋体" w:eastAsia="宋体" w:cs="宋体"/>
          <w:color w:val="auto"/>
          <w:sz w:val="21"/>
          <w:szCs w:val="21"/>
          <w:highlight w:val="none"/>
          <w:u w:val="single"/>
          <w:lang w:val="en-US" w:eastAsia="zh-CN"/>
        </w:rPr>
        <w:t xml:space="preserve"> 手持光数字测试仪 </w:t>
      </w:r>
      <w:r>
        <w:rPr>
          <w:rFonts w:hint="eastAsia" w:ascii="宋体" w:hAnsi="宋体" w:eastAsia="宋体" w:cs="宋体"/>
          <w:color w:val="auto"/>
          <w:sz w:val="21"/>
          <w:szCs w:val="21"/>
          <w:highlight w:val="none"/>
          <w:lang w:val="en-US" w:eastAsia="zh-CN"/>
        </w:rPr>
        <w:t>采购，包括物资供应、现场服务等方面的技术要求。</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right="0" w:rightChars="0" w:firstLine="400" w:firstLineChars="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本技术规范书提出的是最低限度的技术要求。凡本技术规范书中未规定，但在相关设备的行业标准、国家标准或IEC标准中有规定的规范条文，投标方应按相应标准的条文进行设备设计、制造、试验和安装。对国家有关安全、环保等强制性标准，必须满足其要求（如压力容器、高电压设备、低压电器元件等）。</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right="0" w:rightChars="0" w:firstLine="400" w:firstLineChars="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如果投标方没有以书面形式对本技术规范书的条文提出异议，则意味着投标方提供的设备完全符合本技术规范书的要求。如有异议，不管是多么微小，都应在报价书中以“对技术规范书的意见和同技术规范书的差异”为标题的专门章节中加以详细描述。</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right="0" w:rightChars="0" w:firstLine="400" w:firstLineChars="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本技术规范书所使用的标准如遇与投标方所执行的标准不一致时，按较高标准执行。</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right="0" w:rightChars="0" w:firstLine="400" w:firstLineChars="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本技术规范书经买、卖双方确认后作为订货合同的技术附件，与合同正文具有同等的法律效力。本技术规范书未尽事宜，由买、卖双方协商确定。</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right="0" w:rightChars="0" w:firstLine="400" w:firstLineChars="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投标方应在应标技术部分按本技术规范书的要求如实详细的填写应标设备的标准配置表，并在应标商务部分按此标准配置进行报价，如发现二者有矛盾之处，将对评标工作有不同程度的影响。</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right="0" w:rightChars="0" w:firstLine="400" w:firstLineChars="0"/>
        <w:jc w:val="both"/>
        <w:textAlignment w:val="auto"/>
        <w:outlineLvl w:val="9"/>
        <w:rPr>
          <w:rFonts w:hint="eastAsia" w:ascii="宋体" w:hAnsi="宋体" w:eastAsia="宋体" w:cs="宋体"/>
          <w:color w:val="auto"/>
          <w:highlight w:val="none"/>
          <w:lang w:val="en-US" w:eastAsia="zh-CN"/>
        </w:rPr>
      </w:pPr>
      <w:r>
        <w:rPr>
          <w:rFonts w:hint="eastAsia" w:ascii="宋体" w:hAnsi="宋体" w:eastAsia="宋体" w:cs="宋体"/>
          <w:color w:val="auto"/>
          <w:sz w:val="21"/>
          <w:szCs w:val="21"/>
          <w:highlight w:val="none"/>
          <w:lang w:val="en-US" w:eastAsia="zh-CN"/>
        </w:rPr>
        <w:t>投标方应充分理解本技术规范书并按本技术规范书的具体条款、格式要求填写应标的技术文件，如发现应标的技术文件条款、格式不符合本技术规范书的要求，则认为应标不严肃，在评标时将有不同程度的扣分。</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right="0" w:rightChars="0" w:firstLine="400" w:firstLineChars="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Cs w:val="21"/>
          <w:highlight w:val="none"/>
          <w:lang w:val="en-US" w:eastAsia="zh-CN"/>
        </w:rPr>
        <w:t>带*标识的条款为本次采购重点考虑的条款。</w:t>
      </w:r>
    </w:p>
    <w:bookmarkEnd w:id="7"/>
    <w:p>
      <w:pPr>
        <w:pStyle w:val="4"/>
        <w:rPr>
          <w:rFonts w:hint="eastAsia" w:ascii="宋体" w:hAnsi="宋体" w:eastAsia="宋体" w:cs="宋体"/>
          <w:color w:val="auto"/>
          <w:sz w:val="21"/>
          <w:szCs w:val="21"/>
          <w:highlight w:val="none"/>
          <w:lang w:val="en-US" w:eastAsia="zh-CN"/>
        </w:rPr>
      </w:pPr>
      <w:bookmarkStart w:id="9" w:name="_Toc8507081"/>
      <w:bookmarkStart w:id="10" w:name="_Toc5656"/>
      <w:r>
        <w:rPr>
          <w:rFonts w:hint="eastAsia" w:ascii="宋体" w:hAnsi="宋体" w:eastAsia="宋体" w:cs="宋体"/>
          <w:color w:val="auto"/>
          <w:sz w:val="21"/>
          <w:szCs w:val="21"/>
          <w:highlight w:val="none"/>
          <w:lang w:val="en-US" w:eastAsia="zh-CN"/>
        </w:rPr>
        <w:t>工作范围</w:t>
      </w:r>
      <w:bookmarkEnd w:id="9"/>
      <w:bookmarkEnd w:id="10"/>
    </w:p>
    <w:p>
      <w:pPr>
        <w:pStyle w:val="5"/>
        <w:numPr>
          <w:ilvl w:val="1"/>
          <w:numId w:val="0"/>
        </w:numPr>
        <w:rPr>
          <w:rFonts w:hint="eastAsia" w:ascii="宋体" w:hAnsi="宋体" w:eastAsia="宋体" w:cs="宋体"/>
          <w:color w:val="auto"/>
          <w:sz w:val="21"/>
          <w:szCs w:val="21"/>
          <w:highlight w:val="none"/>
        </w:rPr>
      </w:pPr>
      <w:bookmarkStart w:id="11" w:name="_Toc290652071"/>
      <w:bookmarkStart w:id="12" w:name="_Toc8507082"/>
      <w:bookmarkStart w:id="13" w:name="_Toc26156"/>
      <w:r>
        <w:rPr>
          <w:rFonts w:hint="eastAsia" w:ascii="宋体" w:hAnsi="宋体" w:eastAsia="宋体" w:cs="宋体"/>
          <w:color w:val="auto"/>
          <w:sz w:val="21"/>
          <w:szCs w:val="21"/>
          <w:highlight w:val="none"/>
        </w:rPr>
        <w:t>2.1 项目概况</w:t>
      </w:r>
      <w:bookmarkEnd w:id="11"/>
      <w:bookmarkEnd w:id="12"/>
      <w:bookmarkEnd w:id="13"/>
    </w:p>
    <w:p>
      <w:pPr>
        <w:pStyle w:val="47"/>
        <w:adjustRightInd w:val="0"/>
        <w:snapToGrid w:val="0"/>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本标书采购的设备适用的工程概况见表2.1：工程概况一览表。</w:t>
      </w:r>
    </w:p>
    <w:p>
      <w:pPr>
        <w:pStyle w:val="60"/>
        <w:adjustRightInd w:val="0"/>
        <w:snapToGrid w:val="0"/>
        <w:spacing w:line="36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表2.1  工程概况一览表 （项目单位填写）</w:t>
      </w:r>
    </w:p>
    <w:tbl>
      <w:tblPr>
        <w:tblStyle w:val="2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48"/>
        <w:gridCol w:w="2509"/>
        <w:gridCol w:w="5111"/>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9" w:hRule="atLeast"/>
          <w:jc w:val="center"/>
        </w:trPr>
        <w:tc>
          <w:tcPr>
            <w:tcW w:w="748" w:type="dxa"/>
            <w:noWrap w:val="0"/>
            <w:vAlign w:val="center"/>
          </w:tcPr>
          <w:p>
            <w:pPr>
              <w:jc w:val="center"/>
              <w:rPr>
                <w:rFonts w:hint="eastAsia" w:ascii="宋体" w:hAnsi="宋体"/>
                <w:szCs w:val="21"/>
              </w:rPr>
            </w:pPr>
            <w:bookmarkStart w:id="14" w:name="_Toc8507083"/>
            <w:bookmarkStart w:id="15" w:name="_Toc290652072"/>
            <w:bookmarkStart w:id="16" w:name="_Toc29597"/>
            <w:r>
              <w:rPr>
                <w:rFonts w:hint="eastAsia" w:ascii="宋体" w:hAnsi="宋体"/>
                <w:szCs w:val="21"/>
              </w:rPr>
              <w:t>序号</w:t>
            </w:r>
          </w:p>
        </w:tc>
        <w:tc>
          <w:tcPr>
            <w:tcW w:w="2509" w:type="dxa"/>
            <w:noWrap w:val="0"/>
            <w:vAlign w:val="center"/>
          </w:tcPr>
          <w:p>
            <w:pPr>
              <w:jc w:val="center"/>
              <w:rPr>
                <w:rFonts w:hint="eastAsia" w:ascii="宋体" w:hAnsi="宋体"/>
                <w:szCs w:val="21"/>
              </w:rPr>
            </w:pPr>
            <w:r>
              <w:rPr>
                <w:rFonts w:hint="eastAsia" w:ascii="宋体" w:hAnsi="宋体"/>
                <w:szCs w:val="21"/>
              </w:rPr>
              <w:t>名 称</w:t>
            </w:r>
          </w:p>
        </w:tc>
        <w:tc>
          <w:tcPr>
            <w:tcW w:w="5111" w:type="dxa"/>
            <w:noWrap w:val="0"/>
            <w:vAlign w:val="center"/>
          </w:tcPr>
          <w:p>
            <w:pPr>
              <w:jc w:val="center"/>
              <w:rPr>
                <w:rFonts w:hint="eastAsia" w:ascii="宋体" w:hAnsi="宋体"/>
                <w:szCs w:val="21"/>
              </w:rPr>
            </w:pPr>
            <w:r>
              <w:rPr>
                <w:rFonts w:hint="eastAsia" w:ascii="宋体" w:hAnsi="宋体"/>
                <w:szCs w:val="21"/>
              </w:rPr>
              <w:t>内  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6" w:hRule="atLeast"/>
          <w:jc w:val="center"/>
        </w:trPr>
        <w:tc>
          <w:tcPr>
            <w:tcW w:w="748" w:type="dxa"/>
            <w:noWrap w:val="0"/>
            <w:vAlign w:val="center"/>
          </w:tcPr>
          <w:p>
            <w:pPr>
              <w:jc w:val="center"/>
              <w:rPr>
                <w:rFonts w:hint="eastAsia" w:ascii="宋体" w:hAnsi="宋体"/>
                <w:szCs w:val="21"/>
              </w:rPr>
            </w:pPr>
            <w:r>
              <w:rPr>
                <w:rFonts w:hint="eastAsia" w:ascii="宋体" w:hAnsi="宋体"/>
                <w:szCs w:val="21"/>
              </w:rPr>
              <w:t>1</w:t>
            </w:r>
          </w:p>
        </w:tc>
        <w:tc>
          <w:tcPr>
            <w:tcW w:w="2509" w:type="dxa"/>
            <w:noWrap w:val="0"/>
            <w:vAlign w:val="center"/>
          </w:tcPr>
          <w:p>
            <w:pPr>
              <w:rPr>
                <w:rFonts w:hint="eastAsia" w:ascii="宋体" w:hAnsi="宋体"/>
                <w:szCs w:val="21"/>
              </w:rPr>
            </w:pPr>
            <w:r>
              <w:rPr>
                <w:rFonts w:hint="eastAsia" w:ascii="楷体" w:hAnsi="楷体" w:eastAsia="楷体" w:cs="楷体"/>
                <w:color w:val="auto"/>
                <w:sz w:val="21"/>
                <w:szCs w:val="21"/>
                <w:highlight w:val="none"/>
              </w:rPr>
              <w:t>采购设备或项目名称</w:t>
            </w:r>
          </w:p>
        </w:tc>
        <w:tc>
          <w:tcPr>
            <w:tcW w:w="5111" w:type="dxa"/>
            <w:noWrap w:val="0"/>
            <w:vAlign w:val="center"/>
          </w:tcPr>
          <w:p>
            <w:pPr>
              <w:rPr>
                <w:rFonts w:hint="eastAsia" w:ascii="宋体" w:hAnsi="宋体"/>
                <w:szCs w:val="21"/>
              </w:rPr>
            </w:pPr>
            <w:r>
              <w:rPr>
                <w:rFonts w:hint="eastAsia" w:ascii="楷体" w:hAnsi="楷体" w:eastAsia="楷体" w:cs="楷体"/>
                <w:color w:val="auto"/>
                <w:sz w:val="21"/>
                <w:szCs w:val="21"/>
                <w:highlight w:val="none"/>
                <w:lang w:eastAsia="zh-CN"/>
              </w:rPr>
              <w:t>手持光数字测试仪</w:t>
            </w:r>
            <w:bookmarkStart w:id="81" w:name="_GoBack"/>
            <w:bookmarkEnd w:id="81"/>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0" w:hRule="atLeast"/>
          <w:jc w:val="center"/>
        </w:trPr>
        <w:tc>
          <w:tcPr>
            <w:tcW w:w="748" w:type="dxa"/>
            <w:noWrap w:val="0"/>
            <w:vAlign w:val="center"/>
          </w:tcPr>
          <w:p>
            <w:pPr>
              <w:jc w:val="center"/>
              <w:rPr>
                <w:rFonts w:hint="eastAsia" w:ascii="宋体" w:hAnsi="宋体"/>
                <w:szCs w:val="21"/>
              </w:rPr>
            </w:pPr>
            <w:r>
              <w:rPr>
                <w:rFonts w:hint="eastAsia" w:ascii="宋体" w:hAnsi="宋体"/>
                <w:szCs w:val="21"/>
              </w:rPr>
              <w:t>2</w:t>
            </w:r>
          </w:p>
        </w:tc>
        <w:tc>
          <w:tcPr>
            <w:tcW w:w="2509" w:type="dxa"/>
            <w:noWrap w:val="0"/>
            <w:vAlign w:val="center"/>
          </w:tcPr>
          <w:p>
            <w:pPr>
              <w:rPr>
                <w:rFonts w:hint="eastAsia" w:ascii="宋体" w:hAnsi="宋体"/>
                <w:szCs w:val="21"/>
              </w:rPr>
            </w:pPr>
            <w:r>
              <w:rPr>
                <w:rFonts w:hint="eastAsia" w:ascii="楷体" w:hAnsi="楷体" w:eastAsia="楷体" w:cs="楷体"/>
                <w:color w:val="auto"/>
                <w:sz w:val="21"/>
                <w:szCs w:val="21"/>
                <w:highlight w:val="none"/>
              </w:rPr>
              <w:t>项目单位</w:t>
            </w:r>
          </w:p>
        </w:tc>
        <w:tc>
          <w:tcPr>
            <w:tcW w:w="5111" w:type="dxa"/>
            <w:noWrap w:val="0"/>
            <w:vAlign w:val="center"/>
          </w:tcPr>
          <w:p>
            <w:pPr>
              <w:rPr>
                <w:rFonts w:hint="eastAsia" w:ascii="宋体" w:hAnsi="宋体"/>
                <w:szCs w:val="21"/>
              </w:rPr>
            </w:pPr>
            <w:r>
              <w:rPr>
                <w:rFonts w:hint="eastAsia" w:ascii="楷体" w:hAnsi="楷体" w:eastAsia="楷体" w:cs="楷体"/>
                <w:color w:val="auto"/>
                <w:sz w:val="21"/>
                <w:szCs w:val="21"/>
                <w:highlight w:val="none"/>
                <w:lang w:eastAsia="zh-CN"/>
              </w:rPr>
              <w:t>（项目单位填写）</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7" w:hRule="atLeast"/>
          <w:jc w:val="center"/>
        </w:trPr>
        <w:tc>
          <w:tcPr>
            <w:tcW w:w="748" w:type="dxa"/>
            <w:noWrap w:val="0"/>
            <w:vAlign w:val="center"/>
          </w:tcPr>
          <w:p>
            <w:pPr>
              <w:jc w:val="center"/>
              <w:rPr>
                <w:rFonts w:hint="eastAsia" w:ascii="宋体" w:hAnsi="宋体"/>
                <w:szCs w:val="21"/>
              </w:rPr>
            </w:pPr>
            <w:r>
              <w:rPr>
                <w:rFonts w:hint="eastAsia" w:ascii="宋体" w:hAnsi="宋体"/>
                <w:szCs w:val="21"/>
              </w:rPr>
              <w:t>3</w:t>
            </w:r>
          </w:p>
        </w:tc>
        <w:tc>
          <w:tcPr>
            <w:tcW w:w="2509" w:type="dxa"/>
            <w:noWrap w:val="0"/>
            <w:vAlign w:val="center"/>
          </w:tcPr>
          <w:p>
            <w:pPr>
              <w:rPr>
                <w:rFonts w:hint="eastAsia" w:ascii="宋体" w:hAnsi="宋体"/>
                <w:szCs w:val="21"/>
              </w:rPr>
            </w:pPr>
            <w:r>
              <w:rPr>
                <w:rFonts w:hint="eastAsia" w:ascii="楷体" w:hAnsi="楷体" w:eastAsia="楷体" w:cs="楷体"/>
                <w:color w:val="auto"/>
                <w:sz w:val="21"/>
                <w:szCs w:val="21"/>
                <w:highlight w:val="none"/>
              </w:rPr>
              <w:t>项目单位地址</w:t>
            </w:r>
          </w:p>
        </w:tc>
        <w:tc>
          <w:tcPr>
            <w:tcW w:w="5111" w:type="dxa"/>
            <w:noWrap w:val="0"/>
            <w:vAlign w:val="center"/>
          </w:tcPr>
          <w:p>
            <w:pPr>
              <w:rPr>
                <w:rFonts w:hint="eastAsia" w:ascii="宋体" w:hAnsi="宋体"/>
                <w:szCs w:val="21"/>
              </w:rPr>
            </w:pPr>
            <w:r>
              <w:rPr>
                <w:rFonts w:hint="eastAsia" w:ascii="楷体" w:hAnsi="楷体" w:eastAsia="楷体" w:cs="楷体"/>
                <w:color w:val="auto"/>
                <w:sz w:val="21"/>
                <w:szCs w:val="21"/>
                <w:highlight w:val="none"/>
                <w:lang w:eastAsia="zh-CN"/>
              </w:rPr>
              <w:t>（项目单位填写）</w:t>
            </w:r>
          </w:p>
        </w:tc>
      </w:tr>
    </w:tbl>
    <w:p>
      <w:pPr>
        <w:pStyle w:val="5"/>
        <w:numPr>
          <w:ilvl w:val="1"/>
          <w:numId w:val="0"/>
        </w:numPr>
        <w:spacing w:before="156" w:beforeLines="50"/>
        <w:rPr>
          <w:rFonts w:hint="eastAsia" w:ascii="宋体" w:hAnsi="宋体" w:eastAsia="宋体" w:cs="宋体"/>
          <w:color w:val="auto"/>
          <w:sz w:val="21"/>
          <w:szCs w:val="21"/>
          <w:highlight w:val="none"/>
        </w:rPr>
      </w:pPr>
    </w:p>
    <w:p>
      <w:pPr>
        <w:pStyle w:val="5"/>
        <w:numPr>
          <w:ilvl w:val="1"/>
          <w:numId w:val="0"/>
        </w:numPr>
        <w:spacing w:before="156" w:beforeLines="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 范围和界限</w:t>
      </w:r>
      <w:bookmarkEnd w:id="14"/>
      <w:bookmarkEnd w:id="15"/>
      <w:bookmarkEnd w:id="16"/>
    </w:p>
    <w:p>
      <w:pPr>
        <w:pStyle w:val="47"/>
        <w:adjustRightInd w:val="0"/>
        <w:snapToGrid w:val="0"/>
        <w:spacing w:line="360" w:lineRule="auto"/>
        <w:ind w:firstLine="480"/>
        <w:rPr>
          <w:rFonts w:ascii="宋体" w:hAnsi="宋体" w:eastAsia="宋体" w:cs="Times New Roman"/>
          <w:sz w:val="24"/>
          <w:szCs w:val="24"/>
        </w:rPr>
      </w:pPr>
      <w:r>
        <w:rPr>
          <w:rFonts w:ascii="宋体" w:hAnsi="宋体" w:eastAsia="宋体" w:cs="Times New Roman"/>
          <w:sz w:val="24"/>
          <w:szCs w:val="24"/>
        </w:rPr>
        <w:t>1）本标书适应于</w:t>
      </w:r>
      <w:r>
        <w:rPr>
          <w:rFonts w:hint="eastAsia" w:ascii="宋体" w:hAnsi="宋体" w:eastAsia="宋体" w:cs="Times New Roman"/>
          <w:sz w:val="24"/>
          <w:szCs w:val="24"/>
        </w:rPr>
        <w:t>所供</w:t>
      </w:r>
      <w:r>
        <w:rPr>
          <w:rFonts w:ascii="宋体" w:hAnsi="宋体" w:eastAsia="宋体" w:cs="Times New Roman"/>
          <w:sz w:val="24"/>
          <w:szCs w:val="24"/>
        </w:rPr>
        <w:t>设备的设计</w:t>
      </w:r>
      <w:r>
        <w:rPr>
          <w:rFonts w:hint="eastAsia" w:ascii="宋体" w:hAnsi="宋体" w:eastAsia="宋体" w:cs="Times New Roman"/>
          <w:sz w:val="24"/>
          <w:szCs w:val="24"/>
        </w:rPr>
        <w:t>、</w:t>
      </w:r>
      <w:r>
        <w:rPr>
          <w:rFonts w:ascii="宋体" w:hAnsi="宋体" w:eastAsia="宋体" w:cs="Times New Roman"/>
          <w:sz w:val="24"/>
          <w:szCs w:val="24"/>
        </w:rPr>
        <w:t>制造</w:t>
      </w:r>
      <w:r>
        <w:rPr>
          <w:rFonts w:hint="eastAsia" w:ascii="宋体" w:hAnsi="宋体" w:eastAsia="宋体" w:cs="Times New Roman"/>
          <w:sz w:val="24"/>
          <w:szCs w:val="24"/>
        </w:rPr>
        <w:t>、</w:t>
      </w:r>
      <w:r>
        <w:rPr>
          <w:rFonts w:ascii="宋体" w:hAnsi="宋体" w:eastAsia="宋体" w:cs="Times New Roman"/>
          <w:sz w:val="24"/>
          <w:szCs w:val="24"/>
        </w:rPr>
        <w:t>装配</w:t>
      </w:r>
      <w:r>
        <w:rPr>
          <w:rFonts w:hint="eastAsia" w:ascii="宋体" w:hAnsi="宋体" w:eastAsia="宋体" w:cs="Times New Roman"/>
          <w:sz w:val="24"/>
          <w:szCs w:val="24"/>
        </w:rPr>
        <w:t>、</w:t>
      </w:r>
      <w:r>
        <w:rPr>
          <w:rFonts w:ascii="宋体" w:hAnsi="宋体" w:eastAsia="宋体" w:cs="Times New Roman"/>
          <w:sz w:val="24"/>
          <w:szCs w:val="24"/>
        </w:rPr>
        <w:t>工厂试验</w:t>
      </w:r>
      <w:r>
        <w:rPr>
          <w:rFonts w:hint="eastAsia" w:ascii="宋体" w:hAnsi="宋体" w:eastAsia="宋体" w:cs="Times New Roman"/>
          <w:sz w:val="24"/>
          <w:szCs w:val="24"/>
        </w:rPr>
        <w:t>、</w:t>
      </w:r>
      <w:r>
        <w:rPr>
          <w:rFonts w:ascii="宋体" w:hAnsi="宋体" w:eastAsia="宋体" w:cs="Times New Roman"/>
          <w:sz w:val="24"/>
          <w:szCs w:val="24"/>
        </w:rPr>
        <w:t>交付</w:t>
      </w:r>
      <w:r>
        <w:rPr>
          <w:rFonts w:hint="eastAsia" w:ascii="宋体" w:hAnsi="宋体" w:eastAsia="宋体" w:cs="Times New Roman"/>
          <w:sz w:val="24"/>
          <w:szCs w:val="24"/>
        </w:rPr>
        <w:t>、</w:t>
      </w:r>
      <w:r>
        <w:rPr>
          <w:rFonts w:ascii="宋体" w:hAnsi="宋体" w:eastAsia="宋体" w:cs="Times New Roman"/>
          <w:sz w:val="24"/>
          <w:szCs w:val="24"/>
        </w:rPr>
        <w:t>现场安装和试验的指导、监督以及试运行工作。</w:t>
      </w:r>
    </w:p>
    <w:p>
      <w:pPr>
        <w:pStyle w:val="47"/>
        <w:adjustRightInd w:val="0"/>
        <w:snapToGrid w:val="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2</w:t>
      </w:r>
      <w:r>
        <w:rPr>
          <w:rFonts w:ascii="宋体" w:hAnsi="宋体" w:eastAsia="宋体" w:cs="Times New Roman"/>
          <w:sz w:val="24"/>
          <w:szCs w:val="24"/>
        </w:rPr>
        <w:t>）现场安装和试验在投标方的技术指导和监督下由招标方完成。</w:t>
      </w:r>
    </w:p>
    <w:p>
      <w:pPr>
        <w:pStyle w:val="47"/>
        <w:adjustRightInd w:val="0"/>
        <w:snapToGrid w:val="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3）</w:t>
      </w:r>
      <w:r>
        <w:rPr>
          <w:rFonts w:ascii="宋体" w:hAnsi="宋体" w:eastAsia="宋体" w:cs="Times New Roman"/>
          <w:sz w:val="24"/>
          <w:szCs w:val="24"/>
        </w:rPr>
        <w:t>本标书未说明</w:t>
      </w:r>
      <w:r>
        <w:rPr>
          <w:rFonts w:hint="eastAsia" w:ascii="宋体" w:hAnsi="宋体" w:eastAsia="宋体" w:cs="Times New Roman"/>
          <w:sz w:val="24"/>
          <w:szCs w:val="24"/>
        </w:rPr>
        <w:t>，</w:t>
      </w:r>
      <w:r>
        <w:rPr>
          <w:rFonts w:ascii="宋体" w:hAnsi="宋体" w:eastAsia="宋体" w:cs="Times New Roman"/>
          <w:sz w:val="24"/>
          <w:szCs w:val="24"/>
        </w:rPr>
        <w:t>但又与设计、制造、装配、试验、运输、包装、保管、安装和运行维护有关的技术要求</w:t>
      </w:r>
      <w:r>
        <w:rPr>
          <w:rFonts w:hint="eastAsia" w:ascii="宋体" w:hAnsi="宋体" w:eastAsia="宋体" w:cs="Times New Roman"/>
          <w:sz w:val="24"/>
          <w:szCs w:val="24"/>
        </w:rPr>
        <w:t>，</w:t>
      </w:r>
      <w:r>
        <w:rPr>
          <w:rFonts w:ascii="宋体" w:hAnsi="宋体" w:eastAsia="宋体" w:cs="Times New Roman"/>
          <w:sz w:val="24"/>
          <w:szCs w:val="24"/>
        </w:rPr>
        <w:t>按条款</w:t>
      </w:r>
      <w:r>
        <w:rPr>
          <w:rFonts w:hint="eastAsia" w:ascii="宋体" w:hAnsi="宋体" w:eastAsia="宋体" w:cs="Times New Roman"/>
          <w:sz w:val="24"/>
          <w:szCs w:val="24"/>
        </w:rPr>
        <w:t>3</w:t>
      </w:r>
      <w:r>
        <w:rPr>
          <w:rFonts w:ascii="宋体" w:hAnsi="宋体" w:eastAsia="宋体" w:cs="Times New Roman"/>
          <w:sz w:val="24"/>
          <w:szCs w:val="24"/>
        </w:rPr>
        <w:t>所规定的有关标准执行。</w:t>
      </w:r>
    </w:p>
    <w:p>
      <w:pPr>
        <w:pStyle w:val="47"/>
        <w:adjustRightInd w:val="0"/>
        <w:snapToGrid w:val="0"/>
        <w:spacing w:line="360" w:lineRule="auto"/>
        <w:ind w:firstLine="480"/>
        <w:rPr>
          <w:rFonts w:hint="eastAsia" w:ascii="宋体" w:hAnsi="宋体" w:eastAsia="宋体" w:cs="Times New Roman"/>
          <w:sz w:val="24"/>
          <w:szCs w:val="24"/>
        </w:rPr>
      </w:pPr>
    </w:p>
    <w:p>
      <w:pPr>
        <w:pStyle w:val="5"/>
        <w:numPr>
          <w:ilvl w:val="0"/>
          <w:numId w:val="0"/>
        </w:numPr>
        <w:rPr>
          <w:rFonts w:hAnsi="宋体"/>
          <w:sz w:val="24"/>
          <w:szCs w:val="24"/>
        </w:rPr>
      </w:pPr>
      <w:bookmarkStart w:id="17" w:name="_Toc290652073"/>
      <w:bookmarkStart w:id="18" w:name="_Toc399627538"/>
      <w:r>
        <w:rPr>
          <w:rFonts w:hAnsi="宋体"/>
          <w:sz w:val="24"/>
          <w:szCs w:val="24"/>
        </w:rPr>
        <w:t>2.</w:t>
      </w:r>
      <w:r>
        <w:rPr>
          <w:rFonts w:hint="eastAsia" w:hAnsi="宋体"/>
          <w:sz w:val="24"/>
          <w:szCs w:val="24"/>
        </w:rPr>
        <w:t>3</w:t>
      </w:r>
      <w:r>
        <w:rPr>
          <w:rFonts w:hAnsi="宋体"/>
          <w:sz w:val="24"/>
          <w:szCs w:val="24"/>
        </w:rPr>
        <w:t xml:space="preserve"> </w:t>
      </w:r>
      <w:r>
        <w:rPr>
          <w:rFonts w:hint="eastAsia" w:hAnsi="宋体"/>
          <w:sz w:val="24"/>
          <w:szCs w:val="24"/>
        </w:rPr>
        <w:t>服务</w:t>
      </w:r>
      <w:r>
        <w:rPr>
          <w:rFonts w:hAnsi="宋体"/>
          <w:sz w:val="24"/>
          <w:szCs w:val="24"/>
        </w:rPr>
        <w:t>范围</w:t>
      </w:r>
      <w:bookmarkEnd w:id="17"/>
      <w:bookmarkEnd w:id="18"/>
    </w:p>
    <w:p>
      <w:pPr>
        <w:pStyle w:val="47"/>
        <w:adjustRightInd w:val="0"/>
        <w:snapToGrid w:val="0"/>
        <w:spacing w:line="360" w:lineRule="auto"/>
        <w:ind w:firstLine="480"/>
        <w:rPr>
          <w:rFonts w:hint="eastAsia" w:ascii="宋体" w:hAnsi="宋体" w:eastAsia="宋体" w:cs="Times New Roman"/>
          <w:sz w:val="24"/>
          <w:szCs w:val="24"/>
        </w:rPr>
      </w:pPr>
      <w:r>
        <w:rPr>
          <w:rFonts w:ascii="宋体" w:hAnsi="宋体" w:eastAsia="宋体" w:cs="Times New Roman"/>
          <w:sz w:val="24"/>
          <w:szCs w:val="24"/>
        </w:rPr>
        <w:t>1）</w:t>
      </w:r>
      <w:r>
        <w:rPr>
          <w:rFonts w:hint="eastAsia" w:ascii="宋体" w:hAnsi="宋体" w:eastAsia="宋体" w:cs="Times New Roman"/>
          <w:sz w:val="24"/>
          <w:szCs w:val="24"/>
        </w:rPr>
        <w:t>供货范围一览表</w:t>
      </w:r>
    </w:p>
    <w:p>
      <w:pPr>
        <w:pStyle w:val="47"/>
        <w:adjustRightInd w:val="0"/>
        <w:snapToGrid w:val="0"/>
        <w:spacing w:line="360" w:lineRule="auto"/>
        <w:ind w:firstLine="480"/>
        <w:rPr>
          <w:rFonts w:hint="eastAsia" w:ascii="宋体" w:hAnsi="宋体" w:eastAsia="宋体" w:cs="Times New Roman"/>
          <w:sz w:val="24"/>
          <w:szCs w:val="24"/>
        </w:rPr>
      </w:pPr>
      <w:r>
        <w:rPr>
          <w:rFonts w:ascii="宋体" w:hAnsi="宋体" w:eastAsia="宋体" w:cs="Times New Roman"/>
          <w:sz w:val="24"/>
          <w:szCs w:val="24"/>
        </w:rPr>
        <w:t>投标方</w:t>
      </w:r>
      <w:r>
        <w:rPr>
          <w:rFonts w:hint="eastAsia" w:ascii="宋体" w:hAnsi="宋体" w:eastAsia="宋体" w:cs="Times New Roman"/>
          <w:sz w:val="24"/>
          <w:szCs w:val="24"/>
        </w:rPr>
        <w:t>提供的设备及其附件的具体规格、数量见表2.2：供货范围及设备技术规格一览表。投标方应如实填写“投标方保证”栏。</w:t>
      </w:r>
    </w:p>
    <w:p>
      <w:pPr>
        <w:pStyle w:val="60"/>
        <w:adjustRightInd w:val="0"/>
        <w:snapToGrid w:val="0"/>
        <w:spacing w:line="360" w:lineRule="auto"/>
        <w:ind w:firstLineChars="0"/>
        <w:jc w:val="center"/>
        <w:rPr>
          <w:rFonts w:hint="eastAsia" w:hAnsi="宋体"/>
          <w:sz w:val="24"/>
          <w:szCs w:val="24"/>
        </w:rPr>
      </w:pPr>
      <w:r>
        <w:rPr>
          <w:rFonts w:hint="eastAsia" w:hAnsi="宋体"/>
          <w:sz w:val="24"/>
          <w:szCs w:val="24"/>
        </w:rPr>
        <w:t>表2.2   设备供货范围响应表（项目单位填写）</w:t>
      </w:r>
    </w:p>
    <w:tbl>
      <w:tblPr>
        <w:tblStyle w:val="27"/>
        <w:tblW w:w="830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343"/>
        <w:gridCol w:w="1365"/>
        <w:gridCol w:w="810"/>
        <w:gridCol w:w="2536"/>
        <w:gridCol w:w="374"/>
        <w:gridCol w:w="2340"/>
        <w:gridCol w:w="54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93" w:hRule="atLeast"/>
          <w:tblHeader/>
          <w:jc w:val="center"/>
        </w:trPr>
        <w:tc>
          <w:tcPr>
            <w:tcW w:w="343" w:type="dxa"/>
            <w:vMerge w:val="restart"/>
            <w:vAlign w:val="center"/>
          </w:tcPr>
          <w:p>
            <w:pPr>
              <w:jc w:val="center"/>
              <w:rPr>
                <w:rFonts w:ascii="宋体" w:hAnsi="宋体"/>
                <w:szCs w:val="21"/>
              </w:rPr>
            </w:pPr>
            <w:r>
              <w:rPr>
                <w:rFonts w:hint="eastAsia" w:ascii="宋体" w:hAnsi="宋体"/>
                <w:szCs w:val="21"/>
              </w:rPr>
              <w:t>序号</w:t>
            </w:r>
          </w:p>
        </w:tc>
        <w:tc>
          <w:tcPr>
            <w:tcW w:w="1365" w:type="dxa"/>
            <w:vMerge w:val="restart"/>
            <w:vAlign w:val="center"/>
          </w:tcPr>
          <w:p>
            <w:pPr>
              <w:jc w:val="center"/>
              <w:rPr>
                <w:rFonts w:ascii="宋体" w:hAnsi="宋体"/>
                <w:szCs w:val="21"/>
              </w:rPr>
            </w:pPr>
            <w:r>
              <w:rPr>
                <w:rFonts w:hint="eastAsia" w:ascii="宋体" w:hAnsi="宋体"/>
                <w:szCs w:val="21"/>
              </w:rPr>
              <w:t>名</w:t>
            </w:r>
            <w:r>
              <w:rPr>
                <w:rFonts w:ascii="宋体" w:hAnsi="宋体"/>
                <w:szCs w:val="21"/>
              </w:rPr>
              <w:t xml:space="preserve">  </w:t>
            </w:r>
            <w:r>
              <w:rPr>
                <w:rFonts w:hint="eastAsia" w:ascii="宋体" w:hAnsi="宋体"/>
                <w:szCs w:val="21"/>
              </w:rPr>
              <w:t>称</w:t>
            </w:r>
          </w:p>
        </w:tc>
        <w:tc>
          <w:tcPr>
            <w:tcW w:w="810" w:type="dxa"/>
            <w:vMerge w:val="restart"/>
            <w:tcBorders>
              <w:right w:val="single" w:color="auto" w:sz="4" w:space="0"/>
            </w:tcBorders>
            <w:vAlign w:val="center"/>
          </w:tcPr>
          <w:p>
            <w:pPr>
              <w:jc w:val="center"/>
              <w:rPr>
                <w:rFonts w:ascii="宋体" w:hAnsi="宋体"/>
                <w:szCs w:val="21"/>
              </w:rPr>
            </w:pPr>
            <w:r>
              <w:rPr>
                <w:rFonts w:hint="eastAsia" w:ascii="宋体" w:hAnsi="宋体"/>
                <w:szCs w:val="21"/>
              </w:rPr>
              <w:t>单位</w:t>
            </w:r>
          </w:p>
        </w:tc>
        <w:tc>
          <w:tcPr>
            <w:tcW w:w="2910" w:type="dxa"/>
            <w:gridSpan w:val="2"/>
            <w:tcBorders>
              <w:left w:val="single" w:color="auto" w:sz="4" w:space="0"/>
              <w:bottom w:val="single" w:color="auto" w:sz="4" w:space="0"/>
            </w:tcBorders>
            <w:vAlign w:val="center"/>
          </w:tcPr>
          <w:p>
            <w:pPr>
              <w:jc w:val="center"/>
              <w:rPr>
                <w:rFonts w:ascii="宋体" w:hAnsi="宋体"/>
                <w:szCs w:val="21"/>
              </w:rPr>
            </w:pPr>
            <w:r>
              <w:rPr>
                <w:rFonts w:hint="eastAsia" w:ascii="宋体" w:hAnsi="宋体"/>
                <w:szCs w:val="21"/>
              </w:rPr>
              <w:t>项目要求</w:t>
            </w:r>
          </w:p>
        </w:tc>
        <w:tc>
          <w:tcPr>
            <w:tcW w:w="2880" w:type="dxa"/>
            <w:gridSpan w:val="2"/>
            <w:tcBorders>
              <w:bottom w:val="single" w:color="auto" w:sz="4" w:space="0"/>
            </w:tcBorders>
            <w:vAlign w:val="center"/>
          </w:tcPr>
          <w:p>
            <w:pPr>
              <w:jc w:val="center"/>
              <w:rPr>
                <w:rFonts w:hint="eastAsia" w:ascii="宋体" w:hAnsi="宋体"/>
                <w:szCs w:val="21"/>
              </w:rPr>
            </w:pPr>
            <w:r>
              <w:rPr>
                <w:rFonts w:hint="eastAsia" w:ascii="宋体" w:hAnsi="宋体"/>
                <w:szCs w:val="21"/>
              </w:rPr>
              <w:t>投标方保证</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5" w:hRule="atLeast"/>
          <w:tblHeader/>
          <w:jc w:val="center"/>
        </w:trPr>
        <w:tc>
          <w:tcPr>
            <w:tcW w:w="343" w:type="dxa"/>
            <w:vMerge w:val="continue"/>
            <w:vAlign w:val="center"/>
          </w:tcPr>
          <w:p>
            <w:pPr>
              <w:jc w:val="center"/>
              <w:rPr>
                <w:rFonts w:hint="eastAsia" w:ascii="宋体" w:hAnsi="宋体"/>
                <w:szCs w:val="21"/>
              </w:rPr>
            </w:pPr>
          </w:p>
        </w:tc>
        <w:tc>
          <w:tcPr>
            <w:tcW w:w="1365" w:type="dxa"/>
            <w:vMerge w:val="continue"/>
            <w:vAlign w:val="center"/>
          </w:tcPr>
          <w:p>
            <w:pPr>
              <w:jc w:val="center"/>
              <w:rPr>
                <w:rFonts w:hint="eastAsia" w:ascii="宋体" w:hAnsi="宋体"/>
                <w:szCs w:val="21"/>
              </w:rPr>
            </w:pPr>
          </w:p>
        </w:tc>
        <w:tc>
          <w:tcPr>
            <w:tcW w:w="810" w:type="dxa"/>
            <w:vMerge w:val="continue"/>
            <w:tcBorders>
              <w:right w:val="single" w:color="auto" w:sz="4" w:space="0"/>
            </w:tcBorders>
            <w:vAlign w:val="center"/>
          </w:tcPr>
          <w:p>
            <w:pPr>
              <w:jc w:val="center"/>
              <w:rPr>
                <w:rFonts w:hint="eastAsia" w:ascii="宋体" w:hAnsi="宋体"/>
                <w:szCs w:val="21"/>
              </w:rPr>
            </w:pPr>
          </w:p>
        </w:tc>
        <w:tc>
          <w:tcPr>
            <w:tcW w:w="2536" w:type="dxa"/>
            <w:tcBorders>
              <w:top w:val="single" w:color="auto" w:sz="4" w:space="0"/>
              <w:left w:val="single" w:color="auto" w:sz="4" w:space="0"/>
              <w:right w:val="single" w:color="auto" w:sz="4" w:space="0"/>
            </w:tcBorders>
            <w:vAlign w:val="center"/>
          </w:tcPr>
          <w:p>
            <w:pPr>
              <w:jc w:val="center"/>
              <w:rPr>
                <w:rFonts w:hint="eastAsia" w:ascii="宋体" w:hAnsi="宋体"/>
                <w:szCs w:val="21"/>
              </w:rPr>
            </w:pPr>
            <w:r>
              <w:rPr>
                <w:rFonts w:hint="eastAsia" w:ascii="宋体" w:hAnsi="宋体"/>
                <w:szCs w:val="21"/>
              </w:rPr>
              <w:t>型式、规格</w:t>
            </w:r>
          </w:p>
        </w:tc>
        <w:tc>
          <w:tcPr>
            <w:tcW w:w="374" w:type="dxa"/>
            <w:tcBorders>
              <w:top w:val="single" w:color="auto" w:sz="4" w:space="0"/>
              <w:left w:val="single" w:color="auto" w:sz="4" w:space="0"/>
            </w:tcBorders>
            <w:vAlign w:val="center"/>
          </w:tcPr>
          <w:p>
            <w:pPr>
              <w:jc w:val="center"/>
              <w:rPr>
                <w:rFonts w:hint="eastAsia" w:ascii="宋体" w:hAnsi="宋体"/>
                <w:szCs w:val="21"/>
              </w:rPr>
            </w:pPr>
            <w:r>
              <w:rPr>
                <w:rFonts w:hint="eastAsia" w:ascii="宋体" w:hAnsi="宋体"/>
                <w:szCs w:val="21"/>
              </w:rPr>
              <w:t>数量</w:t>
            </w:r>
          </w:p>
        </w:tc>
        <w:tc>
          <w:tcPr>
            <w:tcW w:w="2340" w:type="dxa"/>
            <w:tcBorders>
              <w:top w:val="single" w:color="auto" w:sz="4" w:space="0"/>
              <w:right w:val="single" w:color="auto" w:sz="4" w:space="0"/>
            </w:tcBorders>
            <w:vAlign w:val="center"/>
          </w:tcPr>
          <w:p>
            <w:pPr>
              <w:jc w:val="center"/>
              <w:rPr>
                <w:rFonts w:hint="eastAsia" w:ascii="宋体" w:hAnsi="宋体"/>
                <w:szCs w:val="21"/>
              </w:rPr>
            </w:pPr>
            <w:r>
              <w:rPr>
                <w:rFonts w:hint="eastAsia" w:ascii="宋体" w:hAnsi="宋体"/>
                <w:szCs w:val="21"/>
              </w:rPr>
              <w:t>型式、规格</w:t>
            </w:r>
          </w:p>
        </w:tc>
        <w:tc>
          <w:tcPr>
            <w:tcW w:w="540" w:type="dxa"/>
            <w:tcBorders>
              <w:top w:val="single" w:color="auto" w:sz="4" w:space="0"/>
              <w:left w:val="single" w:color="auto" w:sz="4" w:space="0"/>
            </w:tcBorders>
            <w:vAlign w:val="center"/>
          </w:tcPr>
          <w:p>
            <w:pPr>
              <w:jc w:val="center"/>
              <w:rPr>
                <w:rFonts w:hint="eastAsia" w:ascii="宋体" w:hAnsi="宋体"/>
                <w:szCs w:val="21"/>
              </w:rPr>
            </w:pPr>
            <w:r>
              <w:rPr>
                <w:rFonts w:hint="eastAsia" w:ascii="宋体" w:hAnsi="宋体"/>
                <w:szCs w:val="21"/>
              </w:rPr>
              <w:t>数量</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jc w:val="center"/>
        </w:trPr>
        <w:tc>
          <w:tcPr>
            <w:tcW w:w="343" w:type="dxa"/>
            <w:vAlign w:val="center"/>
          </w:tcPr>
          <w:p>
            <w:pPr>
              <w:keepNext w:val="0"/>
              <w:keepLines w:val="0"/>
              <w:pageBreakBefore w:val="0"/>
              <w:widowControl w:val="0"/>
              <w:kinsoku/>
              <w:wordWrap/>
              <w:overflowPunct/>
              <w:topLinePunct w:val="0"/>
              <w:autoSpaceDE/>
              <w:autoSpaceDN/>
              <w:bidi w:val="0"/>
              <w:ind w:firstLine="0" w:firstLineChars="0"/>
              <w:jc w:val="center"/>
              <w:textAlignment w:val="auto"/>
              <w:rPr>
                <w:rFonts w:ascii="宋体" w:hAnsi="宋体"/>
                <w:szCs w:val="21"/>
              </w:rPr>
            </w:pPr>
            <w:r>
              <w:rPr>
                <w:rFonts w:hint="eastAsia" w:ascii="宋体" w:hAnsi="宋体"/>
                <w:szCs w:val="21"/>
              </w:rPr>
              <w:t>1</w:t>
            </w:r>
          </w:p>
        </w:tc>
        <w:tc>
          <w:tcPr>
            <w:tcW w:w="1365" w:type="dxa"/>
            <w:vAlign w:val="center"/>
          </w:tcPr>
          <w:p>
            <w:pPr>
              <w:pStyle w:val="13"/>
              <w:keepNext w:val="0"/>
              <w:keepLines w:val="0"/>
              <w:pageBreakBefore w:val="0"/>
              <w:widowControl w:val="0"/>
              <w:kinsoku/>
              <w:wordWrap/>
              <w:overflowPunct/>
              <w:topLinePunct w:val="0"/>
              <w:autoSpaceDE/>
              <w:autoSpaceDN/>
              <w:bidi w:val="0"/>
              <w:ind w:firstLine="0" w:firstLineChars="0"/>
              <w:jc w:val="center"/>
              <w:textAlignment w:val="auto"/>
              <w:rPr>
                <w:rFonts w:ascii="Times New Roman" w:hAnsi="Times New Roman" w:eastAsia="宋体" w:cs="Times New Roman"/>
                <w:kern w:val="2"/>
                <w:sz w:val="18"/>
                <w:szCs w:val="18"/>
                <w:lang w:val="en-US" w:eastAsia="zh-CN" w:bidi="ar-SA"/>
              </w:rPr>
            </w:pPr>
            <w:r>
              <w:rPr>
                <w:sz w:val="18"/>
                <w:szCs w:val="18"/>
              </w:rPr>
              <w:t>手持光数字测试仪</w:t>
            </w:r>
          </w:p>
        </w:tc>
        <w:tc>
          <w:tcPr>
            <w:tcW w:w="810" w:type="dxa"/>
            <w:tcBorders>
              <w:right w:val="single" w:color="auto" w:sz="4" w:space="0"/>
            </w:tcBorders>
            <w:vAlign w:val="center"/>
          </w:tcPr>
          <w:p>
            <w:pPr>
              <w:pStyle w:val="13"/>
              <w:keepNext w:val="0"/>
              <w:keepLines w:val="0"/>
              <w:pageBreakBefore w:val="0"/>
              <w:widowControl w:val="0"/>
              <w:kinsoku/>
              <w:wordWrap/>
              <w:overflowPunct/>
              <w:topLinePunct w:val="0"/>
              <w:autoSpaceDE/>
              <w:autoSpaceDN/>
              <w:bidi w:val="0"/>
              <w:ind w:firstLine="0" w:firstLineChars="0"/>
              <w:jc w:val="center"/>
              <w:textAlignment w:val="auto"/>
              <w:rPr>
                <w:rFonts w:hint="eastAsia" w:ascii="Times New Roman" w:hAnsi="Times New Roman" w:eastAsia="宋体" w:cs="Times New Roman"/>
                <w:kern w:val="2"/>
                <w:sz w:val="18"/>
                <w:szCs w:val="18"/>
                <w:lang w:val="en-US" w:eastAsia="zh-CN" w:bidi="ar-SA"/>
              </w:rPr>
            </w:pPr>
            <w:r>
              <w:rPr>
                <w:sz w:val="18"/>
                <w:szCs w:val="18"/>
              </w:rPr>
              <w:t>台</w:t>
            </w:r>
          </w:p>
        </w:tc>
        <w:tc>
          <w:tcPr>
            <w:tcW w:w="2536" w:type="dxa"/>
            <w:tcBorders>
              <w:left w:val="single" w:color="auto" w:sz="4" w:space="0"/>
              <w:right w:val="single" w:color="auto" w:sz="4" w:space="0"/>
            </w:tcBorders>
            <w:vAlign w:val="center"/>
          </w:tcPr>
          <w:p>
            <w:pPr>
              <w:pStyle w:val="13"/>
              <w:ind w:firstLine="0"/>
              <w:jc w:val="center"/>
              <w:rPr>
                <w:sz w:val="18"/>
                <w:szCs w:val="18"/>
              </w:rPr>
            </w:pPr>
            <w:r>
              <w:rPr>
                <w:sz w:val="18"/>
                <w:szCs w:val="18"/>
              </w:rPr>
              <w:t>280×105×245</w:t>
            </w:r>
          </w:p>
          <w:p>
            <w:pPr>
              <w:pStyle w:val="13"/>
              <w:ind w:firstLine="360" w:firstLineChars="200"/>
              <w:jc w:val="center"/>
              <w:rPr>
                <w:rFonts w:hint="eastAsia" w:ascii="Times New Roman" w:hAnsi="Times New Roman" w:eastAsia="宋体" w:cs="Times New Roman"/>
                <w:kern w:val="2"/>
                <w:sz w:val="18"/>
                <w:szCs w:val="18"/>
                <w:lang w:val="en-US" w:eastAsia="zh-CN" w:bidi="ar-SA"/>
              </w:rPr>
            </w:pPr>
            <w:r>
              <w:rPr>
                <w:sz w:val="18"/>
                <w:szCs w:val="18"/>
              </w:rPr>
              <w:t>单位mm</w:t>
            </w:r>
          </w:p>
        </w:tc>
        <w:tc>
          <w:tcPr>
            <w:tcW w:w="374" w:type="dxa"/>
            <w:tcBorders>
              <w:left w:val="single" w:color="auto" w:sz="4" w:space="0"/>
            </w:tcBorders>
            <w:vAlign w:val="center"/>
          </w:tcPr>
          <w:p>
            <w:pPr>
              <w:keepNext w:val="0"/>
              <w:keepLines w:val="0"/>
              <w:pageBreakBefore w:val="0"/>
              <w:widowControl w:val="0"/>
              <w:kinsoku/>
              <w:wordWrap/>
              <w:overflowPunct/>
              <w:topLinePunct w:val="0"/>
              <w:autoSpaceDE/>
              <w:autoSpaceDN/>
              <w:bidi w:val="0"/>
              <w:ind w:firstLine="0" w:firstLineChars="0"/>
              <w:jc w:val="center"/>
              <w:textAlignment w:val="auto"/>
              <w:rPr>
                <w:rFonts w:hint="default" w:ascii="宋体" w:hAnsi="宋体" w:eastAsia="宋体"/>
                <w:szCs w:val="21"/>
                <w:lang w:val="en-US" w:eastAsia="zh-CN"/>
              </w:rPr>
            </w:pPr>
            <w:r>
              <w:rPr>
                <w:rFonts w:hint="eastAsia" w:ascii="宋体" w:hAnsi="宋体"/>
                <w:szCs w:val="21"/>
                <w:lang w:val="en-US" w:eastAsia="zh-CN"/>
              </w:rPr>
              <w:t>1</w:t>
            </w:r>
          </w:p>
        </w:tc>
        <w:tc>
          <w:tcPr>
            <w:tcW w:w="2340" w:type="dxa"/>
            <w:tcBorders>
              <w:right w:val="single" w:color="auto" w:sz="4" w:space="0"/>
            </w:tcBorders>
            <w:vAlign w:val="center"/>
          </w:tcPr>
          <w:p>
            <w:pPr>
              <w:keepNext w:val="0"/>
              <w:keepLines w:val="0"/>
              <w:pageBreakBefore w:val="0"/>
              <w:widowControl w:val="0"/>
              <w:kinsoku/>
              <w:wordWrap/>
              <w:overflowPunct/>
              <w:topLinePunct w:val="0"/>
              <w:autoSpaceDE/>
              <w:autoSpaceDN/>
              <w:bidi w:val="0"/>
              <w:ind w:firstLine="0" w:firstLineChars="0"/>
              <w:jc w:val="center"/>
              <w:textAlignment w:val="auto"/>
              <w:rPr>
                <w:rFonts w:ascii="宋体" w:hAnsi="宋体"/>
                <w:szCs w:val="21"/>
              </w:rPr>
            </w:pPr>
          </w:p>
        </w:tc>
        <w:tc>
          <w:tcPr>
            <w:tcW w:w="540" w:type="dxa"/>
            <w:tcBorders>
              <w:left w:val="single" w:color="auto" w:sz="4" w:space="0"/>
            </w:tcBorders>
            <w:vAlign w:val="center"/>
          </w:tcPr>
          <w:p>
            <w:pPr>
              <w:keepNext w:val="0"/>
              <w:keepLines w:val="0"/>
              <w:pageBreakBefore w:val="0"/>
              <w:widowControl w:val="0"/>
              <w:kinsoku/>
              <w:wordWrap/>
              <w:overflowPunct/>
              <w:topLinePunct w:val="0"/>
              <w:autoSpaceDE/>
              <w:autoSpaceDN/>
              <w:bidi w:val="0"/>
              <w:ind w:firstLine="0" w:firstLineChars="0"/>
              <w:jc w:val="center"/>
              <w:textAlignment w:val="auto"/>
              <w:rPr>
                <w:rFonts w:ascii="宋体" w:hAnsi="宋体"/>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jc w:val="center"/>
        </w:trPr>
        <w:tc>
          <w:tcPr>
            <w:tcW w:w="343" w:type="dxa"/>
            <w:vAlign w:val="center"/>
          </w:tcPr>
          <w:p>
            <w:pPr>
              <w:keepNext w:val="0"/>
              <w:keepLines w:val="0"/>
              <w:pageBreakBefore w:val="0"/>
              <w:widowControl w:val="0"/>
              <w:kinsoku/>
              <w:wordWrap/>
              <w:overflowPunct/>
              <w:topLinePunct w:val="0"/>
              <w:autoSpaceDE/>
              <w:autoSpaceDN/>
              <w:bidi w:val="0"/>
              <w:ind w:firstLine="0" w:firstLineChars="0"/>
              <w:jc w:val="center"/>
              <w:textAlignment w:val="auto"/>
              <w:rPr>
                <w:rFonts w:ascii="宋体" w:hAnsi="宋体"/>
                <w:szCs w:val="21"/>
              </w:rPr>
            </w:pPr>
            <w:r>
              <w:rPr>
                <w:rFonts w:hint="eastAsia" w:ascii="宋体" w:hAnsi="宋体"/>
                <w:szCs w:val="21"/>
              </w:rPr>
              <w:t>2</w:t>
            </w:r>
          </w:p>
        </w:tc>
        <w:tc>
          <w:tcPr>
            <w:tcW w:w="1365" w:type="dxa"/>
            <w:vAlign w:val="center"/>
          </w:tcPr>
          <w:p>
            <w:pPr>
              <w:pStyle w:val="13"/>
              <w:keepNext w:val="0"/>
              <w:keepLines w:val="0"/>
              <w:pageBreakBefore w:val="0"/>
              <w:widowControl w:val="0"/>
              <w:kinsoku/>
              <w:wordWrap/>
              <w:overflowPunct/>
              <w:topLinePunct w:val="0"/>
              <w:autoSpaceDE/>
              <w:autoSpaceDN/>
              <w:bidi w:val="0"/>
              <w:ind w:firstLine="0" w:firstLineChars="0"/>
              <w:jc w:val="center"/>
              <w:textAlignment w:val="auto"/>
              <w:rPr>
                <w:rFonts w:ascii="Times New Roman" w:hAnsi="Times New Roman" w:eastAsia="宋体" w:cs="Times New Roman"/>
                <w:kern w:val="2"/>
                <w:sz w:val="18"/>
                <w:szCs w:val="18"/>
                <w:lang w:val="en-US" w:eastAsia="zh-CN" w:bidi="ar-SA"/>
              </w:rPr>
            </w:pPr>
            <w:r>
              <w:rPr>
                <w:sz w:val="18"/>
                <w:szCs w:val="18"/>
              </w:rPr>
              <w:t>便携包</w:t>
            </w:r>
          </w:p>
        </w:tc>
        <w:tc>
          <w:tcPr>
            <w:tcW w:w="810" w:type="dxa"/>
            <w:tcBorders>
              <w:right w:val="single" w:color="auto" w:sz="4" w:space="0"/>
            </w:tcBorders>
            <w:vAlign w:val="center"/>
          </w:tcPr>
          <w:p>
            <w:pPr>
              <w:pStyle w:val="13"/>
              <w:keepNext w:val="0"/>
              <w:keepLines w:val="0"/>
              <w:pageBreakBefore w:val="0"/>
              <w:widowControl w:val="0"/>
              <w:kinsoku/>
              <w:wordWrap/>
              <w:overflowPunct/>
              <w:topLinePunct w:val="0"/>
              <w:autoSpaceDE/>
              <w:autoSpaceDN/>
              <w:bidi w:val="0"/>
              <w:ind w:firstLine="0" w:firstLineChars="0"/>
              <w:jc w:val="center"/>
              <w:textAlignment w:val="auto"/>
              <w:rPr>
                <w:rFonts w:hint="eastAsia" w:ascii="Times New Roman" w:hAnsi="Times New Roman" w:eastAsia="宋体" w:cs="Times New Roman"/>
                <w:kern w:val="2"/>
                <w:sz w:val="18"/>
                <w:szCs w:val="18"/>
                <w:lang w:val="en-US" w:eastAsia="zh-CN" w:bidi="ar-SA"/>
              </w:rPr>
            </w:pPr>
            <w:r>
              <w:rPr>
                <w:sz w:val="18"/>
                <w:szCs w:val="18"/>
              </w:rPr>
              <w:t>个</w:t>
            </w:r>
          </w:p>
        </w:tc>
        <w:tc>
          <w:tcPr>
            <w:tcW w:w="2536" w:type="dxa"/>
            <w:tcBorders>
              <w:left w:val="single" w:color="auto" w:sz="4" w:space="0"/>
              <w:right w:val="single" w:color="auto" w:sz="4" w:space="0"/>
            </w:tcBorders>
            <w:vAlign w:val="center"/>
          </w:tcPr>
          <w:p>
            <w:pPr>
              <w:pStyle w:val="13"/>
              <w:ind w:firstLine="360" w:firstLineChars="200"/>
              <w:jc w:val="center"/>
              <w:rPr>
                <w:rFonts w:hint="eastAsia" w:ascii="Times New Roman" w:hAnsi="Times New Roman" w:eastAsia="宋体" w:cs="Times New Roman"/>
                <w:kern w:val="2"/>
                <w:sz w:val="18"/>
                <w:szCs w:val="18"/>
                <w:lang w:val="en-US" w:eastAsia="zh-CN" w:bidi="ar-SA"/>
              </w:rPr>
            </w:pPr>
          </w:p>
        </w:tc>
        <w:tc>
          <w:tcPr>
            <w:tcW w:w="374" w:type="dxa"/>
            <w:tcBorders>
              <w:left w:val="single" w:color="auto" w:sz="4" w:space="0"/>
            </w:tcBorders>
            <w:vAlign w:val="center"/>
          </w:tcPr>
          <w:p>
            <w:pPr>
              <w:keepNext w:val="0"/>
              <w:keepLines w:val="0"/>
              <w:pageBreakBefore w:val="0"/>
              <w:widowControl w:val="0"/>
              <w:kinsoku/>
              <w:wordWrap/>
              <w:overflowPunct/>
              <w:topLinePunct w:val="0"/>
              <w:autoSpaceDE/>
              <w:autoSpaceDN/>
              <w:bidi w:val="0"/>
              <w:ind w:firstLine="0" w:firstLineChars="0"/>
              <w:jc w:val="center"/>
              <w:textAlignment w:val="auto"/>
              <w:rPr>
                <w:rFonts w:hint="eastAsia" w:ascii="宋体" w:hAnsi="宋体" w:eastAsia="宋体"/>
                <w:szCs w:val="21"/>
                <w:lang w:val="en-US" w:eastAsia="zh-CN"/>
              </w:rPr>
            </w:pPr>
            <w:r>
              <w:rPr>
                <w:rFonts w:hint="eastAsia" w:ascii="宋体" w:hAnsi="宋体"/>
                <w:szCs w:val="21"/>
                <w:lang w:val="en-US" w:eastAsia="zh-CN"/>
              </w:rPr>
              <w:t>1</w:t>
            </w:r>
          </w:p>
        </w:tc>
        <w:tc>
          <w:tcPr>
            <w:tcW w:w="2340" w:type="dxa"/>
            <w:tcBorders>
              <w:right w:val="single" w:color="auto" w:sz="4" w:space="0"/>
            </w:tcBorders>
            <w:vAlign w:val="center"/>
          </w:tcPr>
          <w:p>
            <w:pPr>
              <w:keepNext w:val="0"/>
              <w:keepLines w:val="0"/>
              <w:pageBreakBefore w:val="0"/>
              <w:widowControl w:val="0"/>
              <w:kinsoku/>
              <w:wordWrap/>
              <w:overflowPunct/>
              <w:topLinePunct w:val="0"/>
              <w:autoSpaceDE/>
              <w:autoSpaceDN/>
              <w:bidi w:val="0"/>
              <w:ind w:firstLine="0" w:firstLineChars="0"/>
              <w:jc w:val="center"/>
              <w:textAlignment w:val="auto"/>
              <w:rPr>
                <w:rFonts w:ascii="宋体" w:hAnsi="宋体"/>
                <w:szCs w:val="21"/>
              </w:rPr>
            </w:pPr>
          </w:p>
        </w:tc>
        <w:tc>
          <w:tcPr>
            <w:tcW w:w="540" w:type="dxa"/>
            <w:tcBorders>
              <w:left w:val="single" w:color="auto" w:sz="4" w:space="0"/>
            </w:tcBorders>
            <w:vAlign w:val="center"/>
          </w:tcPr>
          <w:p>
            <w:pPr>
              <w:keepNext w:val="0"/>
              <w:keepLines w:val="0"/>
              <w:pageBreakBefore w:val="0"/>
              <w:widowControl w:val="0"/>
              <w:kinsoku/>
              <w:wordWrap/>
              <w:overflowPunct/>
              <w:topLinePunct w:val="0"/>
              <w:autoSpaceDE/>
              <w:autoSpaceDN/>
              <w:bidi w:val="0"/>
              <w:ind w:firstLine="0" w:firstLineChars="0"/>
              <w:jc w:val="center"/>
              <w:textAlignment w:val="auto"/>
              <w:rPr>
                <w:rFonts w:ascii="宋体" w:hAnsi="宋体"/>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jc w:val="center"/>
        </w:trPr>
        <w:tc>
          <w:tcPr>
            <w:tcW w:w="343" w:type="dxa"/>
            <w:vAlign w:val="center"/>
          </w:tcPr>
          <w:p>
            <w:pPr>
              <w:keepNext w:val="0"/>
              <w:keepLines w:val="0"/>
              <w:pageBreakBefore w:val="0"/>
              <w:widowControl w:val="0"/>
              <w:kinsoku/>
              <w:wordWrap/>
              <w:overflowPunct/>
              <w:topLinePunct w:val="0"/>
              <w:autoSpaceDE/>
              <w:autoSpaceDN/>
              <w:bidi w:val="0"/>
              <w:ind w:firstLine="0" w:firstLineChars="0"/>
              <w:jc w:val="center"/>
              <w:textAlignment w:val="auto"/>
              <w:rPr>
                <w:rFonts w:hint="eastAsia" w:ascii="宋体" w:hAnsi="宋体"/>
                <w:szCs w:val="21"/>
              </w:rPr>
            </w:pPr>
            <w:r>
              <w:rPr>
                <w:rFonts w:hint="eastAsia" w:ascii="宋体" w:hAnsi="宋体"/>
                <w:szCs w:val="21"/>
              </w:rPr>
              <w:t>3</w:t>
            </w:r>
          </w:p>
        </w:tc>
        <w:tc>
          <w:tcPr>
            <w:tcW w:w="1365" w:type="dxa"/>
            <w:vAlign w:val="center"/>
          </w:tcPr>
          <w:p>
            <w:pPr>
              <w:pStyle w:val="13"/>
              <w:keepNext w:val="0"/>
              <w:keepLines w:val="0"/>
              <w:pageBreakBefore w:val="0"/>
              <w:widowControl w:val="0"/>
              <w:kinsoku/>
              <w:wordWrap/>
              <w:overflowPunct/>
              <w:topLinePunct w:val="0"/>
              <w:autoSpaceDE/>
              <w:autoSpaceDN/>
              <w:bidi w:val="0"/>
              <w:ind w:firstLine="0" w:firstLineChars="0"/>
              <w:jc w:val="center"/>
              <w:textAlignment w:val="auto"/>
              <w:rPr>
                <w:rFonts w:ascii="Times New Roman" w:hAnsi="Times New Roman" w:eastAsia="宋体" w:cs="Times New Roman"/>
                <w:kern w:val="2"/>
                <w:sz w:val="18"/>
                <w:szCs w:val="18"/>
                <w:lang w:val="en-US" w:eastAsia="zh-CN" w:bidi="ar-SA"/>
              </w:rPr>
            </w:pPr>
            <w:r>
              <w:rPr>
                <w:sz w:val="18"/>
                <w:szCs w:val="18"/>
              </w:rPr>
              <w:t>专用电源适配器</w:t>
            </w:r>
          </w:p>
        </w:tc>
        <w:tc>
          <w:tcPr>
            <w:tcW w:w="810" w:type="dxa"/>
            <w:tcBorders>
              <w:right w:val="single" w:color="auto" w:sz="4" w:space="0"/>
            </w:tcBorders>
            <w:vAlign w:val="center"/>
          </w:tcPr>
          <w:p>
            <w:pPr>
              <w:pStyle w:val="13"/>
              <w:keepNext w:val="0"/>
              <w:keepLines w:val="0"/>
              <w:pageBreakBefore w:val="0"/>
              <w:widowControl w:val="0"/>
              <w:kinsoku/>
              <w:wordWrap/>
              <w:overflowPunct/>
              <w:topLinePunct w:val="0"/>
              <w:autoSpaceDE/>
              <w:autoSpaceDN/>
              <w:bidi w:val="0"/>
              <w:ind w:firstLine="0" w:firstLineChars="0"/>
              <w:jc w:val="center"/>
              <w:textAlignment w:val="auto"/>
              <w:rPr>
                <w:rFonts w:hint="eastAsia" w:ascii="Times New Roman" w:hAnsi="Times New Roman" w:eastAsia="宋体" w:cs="Times New Roman"/>
                <w:kern w:val="2"/>
                <w:sz w:val="18"/>
                <w:szCs w:val="18"/>
                <w:lang w:val="en-US" w:eastAsia="zh-CN" w:bidi="ar-SA"/>
              </w:rPr>
            </w:pPr>
            <w:r>
              <w:rPr>
                <w:sz w:val="18"/>
                <w:szCs w:val="18"/>
              </w:rPr>
              <w:t>个</w:t>
            </w:r>
          </w:p>
        </w:tc>
        <w:tc>
          <w:tcPr>
            <w:tcW w:w="2536" w:type="dxa"/>
            <w:tcBorders>
              <w:left w:val="single" w:color="auto" w:sz="4" w:space="0"/>
              <w:right w:val="single" w:color="auto" w:sz="4" w:space="0"/>
            </w:tcBorders>
            <w:vAlign w:val="center"/>
          </w:tcPr>
          <w:p>
            <w:pPr>
              <w:pStyle w:val="13"/>
              <w:ind w:firstLine="360" w:firstLineChars="200"/>
              <w:jc w:val="center"/>
              <w:rPr>
                <w:rFonts w:hint="eastAsia" w:ascii="Times New Roman" w:hAnsi="Times New Roman" w:eastAsia="宋体" w:cs="Times New Roman"/>
                <w:kern w:val="2"/>
                <w:sz w:val="18"/>
                <w:szCs w:val="18"/>
                <w:lang w:val="en-US" w:eastAsia="zh-CN" w:bidi="ar-SA"/>
              </w:rPr>
            </w:pPr>
            <w:r>
              <w:rPr>
                <w:sz w:val="18"/>
                <w:szCs w:val="18"/>
              </w:rPr>
              <w:t>光纤3对，长度3m， LC-</w:t>
            </w:r>
            <w:r>
              <w:rPr>
                <w:rFonts w:hint="eastAsia"/>
                <w:sz w:val="18"/>
                <w:szCs w:val="18"/>
              </w:rPr>
              <w:t>LC</w:t>
            </w:r>
            <w:r>
              <w:rPr>
                <w:sz w:val="18"/>
                <w:szCs w:val="18"/>
              </w:rPr>
              <w:t>接头，多模。</w:t>
            </w:r>
          </w:p>
        </w:tc>
        <w:tc>
          <w:tcPr>
            <w:tcW w:w="374" w:type="dxa"/>
            <w:tcBorders>
              <w:left w:val="single" w:color="auto" w:sz="4" w:space="0"/>
            </w:tcBorders>
            <w:vAlign w:val="center"/>
          </w:tcPr>
          <w:p>
            <w:pPr>
              <w:keepNext w:val="0"/>
              <w:keepLines w:val="0"/>
              <w:pageBreakBefore w:val="0"/>
              <w:widowControl w:val="0"/>
              <w:kinsoku/>
              <w:wordWrap/>
              <w:overflowPunct/>
              <w:topLinePunct w:val="0"/>
              <w:autoSpaceDE/>
              <w:autoSpaceDN/>
              <w:bidi w:val="0"/>
              <w:ind w:firstLine="0" w:firstLineChars="0"/>
              <w:jc w:val="center"/>
              <w:textAlignment w:val="auto"/>
              <w:rPr>
                <w:rFonts w:hint="eastAsia" w:ascii="宋体" w:hAnsi="宋体" w:eastAsia="宋体"/>
                <w:szCs w:val="21"/>
                <w:lang w:val="en-US" w:eastAsia="zh-CN"/>
              </w:rPr>
            </w:pPr>
            <w:r>
              <w:rPr>
                <w:rFonts w:hint="eastAsia" w:ascii="宋体" w:hAnsi="宋体"/>
                <w:szCs w:val="21"/>
                <w:lang w:val="en-US" w:eastAsia="zh-CN"/>
              </w:rPr>
              <w:t>1</w:t>
            </w:r>
          </w:p>
        </w:tc>
        <w:tc>
          <w:tcPr>
            <w:tcW w:w="2340" w:type="dxa"/>
            <w:tcBorders>
              <w:right w:val="single" w:color="auto" w:sz="2" w:space="0"/>
            </w:tcBorders>
            <w:vAlign w:val="center"/>
          </w:tcPr>
          <w:p>
            <w:pPr>
              <w:keepNext w:val="0"/>
              <w:keepLines w:val="0"/>
              <w:pageBreakBefore w:val="0"/>
              <w:widowControl w:val="0"/>
              <w:kinsoku/>
              <w:wordWrap/>
              <w:overflowPunct/>
              <w:topLinePunct w:val="0"/>
              <w:autoSpaceDE/>
              <w:autoSpaceDN/>
              <w:bidi w:val="0"/>
              <w:ind w:firstLine="0" w:firstLineChars="0"/>
              <w:jc w:val="center"/>
              <w:textAlignment w:val="auto"/>
              <w:rPr>
                <w:rFonts w:ascii="宋体" w:hAnsi="宋体"/>
                <w:szCs w:val="21"/>
              </w:rPr>
            </w:pPr>
          </w:p>
        </w:tc>
        <w:tc>
          <w:tcPr>
            <w:tcW w:w="540" w:type="dxa"/>
            <w:tcBorders>
              <w:left w:val="single" w:color="auto" w:sz="2" w:space="0"/>
            </w:tcBorders>
            <w:vAlign w:val="center"/>
          </w:tcPr>
          <w:p>
            <w:pPr>
              <w:keepNext w:val="0"/>
              <w:keepLines w:val="0"/>
              <w:pageBreakBefore w:val="0"/>
              <w:widowControl w:val="0"/>
              <w:kinsoku/>
              <w:wordWrap/>
              <w:overflowPunct/>
              <w:topLinePunct w:val="0"/>
              <w:autoSpaceDE/>
              <w:autoSpaceDN/>
              <w:bidi w:val="0"/>
              <w:ind w:firstLine="0" w:firstLineChars="0"/>
              <w:jc w:val="center"/>
              <w:textAlignment w:val="auto"/>
              <w:rPr>
                <w:rFonts w:ascii="宋体" w:hAnsi="宋体"/>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jc w:val="center"/>
        </w:trPr>
        <w:tc>
          <w:tcPr>
            <w:tcW w:w="343" w:type="dxa"/>
            <w:vAlign w:val="center"/>
          </w:tcPr>
          <w:p>
            <w:pPr>
              <w:keepNext w:val="0"/>
              <w:keepLines w:val="0"/>
              <w:pageBreakBefore w:val="0"/>
              <w:widowControl w:val="0"/>
              <w:kinsoku/>
              <w:wordWrap/>
              <w:overflowPunct/>
              <w:topLinePunct w:val="0"/>
              <w:autoSpaceDE/>
              <w:autoSpaceDN/>
              <w:bidi w:val="0"/>
              <w:ind w:firstLine="0" w:firstLineChars="0"/>
              <w:jc w:val="center"/>
              <w:textAlignment w:val="auto"/>
              <w:rPr>
                <w:rFonts w:hint="eastAsia" w:ascii="宋体" w:hAnsi="宋体"/>
                <w:szCs w:val="21"/>
              </w:rPr>
            </w:pPr>
            <w:r>
              <w:rPr>
                <w:rFonts w:hint="eastAsia" w:ascii="宋体" w:hAnsi="宋体"/>
                <w:szCs w:val="21"/>
              </w:rPr>
              <w:t>4</w:t>
            </w:r>
          </w:p>
        </w:tc>
        <w:tc>
          <w:tcPr>
            <w:tcW w:w="1365" w:type="dxa"/>
            <w:vAlign w:val="center"/>
          </w:tcPr>
          <w:p>
            <w:pPr>
              <w:pStyle w:val="13"/>
              <w:keepNext w:val="0"/>
              <w:keepLines w:val="0"/>
              <w:pageBreakBefore w:val="0"/>
              <w:widowControl w:val="0"/>
              <w:kinsoku/>
              <w:wordWrap/>
              <w:overflowPunct/>
              <w:topLinePunct w:val="0"/>
              <w:autoSpaceDE/>
              <w:autoSpaceDN/>
              <w:bidi w:val="0"/>
              <w:ind w:firstLine="0" w:firstLineChars="0"/>
              <w:jc w:val="center"/>
              <w:textAlignment w:val="auto"/>
              <w:rPr>
                <w:rFonts w:hint="eastAsia" w:ascii="Times New Roman" w:hAnsi="Times New Roman" w:eastAsia="宋体" w:cs="Times New Roman"/>
                <w:kern w:val="2"/>
                <w:sz w:val="18"/>
                <w:szCs w:val="18"/>
                <w:lang w:val="en-US" w:eastAsia="zh-CN" w:bidi="ar-SA"/>
              </w:rPr>
            </w:pPr>
            <w:r>
              <w:rPr>
                <w:sz w:val="18"/>
                <w:szCs w:val="18"/>
              </w:rPr>
              <w:t>光纤套件</w:t>
            </w:r>
          </w:p>
        </w:tc>
        <w:tc>
          <w:tcPr>
            <w:tcW w:w="810" w:type="dxa"/>
            <w:tcBorders>
              <w:right w:val="single" w:color="auto" w:sz="4" w:space="0"/>
            </w:tcBorders>
            <w:vAlign w:val="center"/>
          </w:tcPr>
          <w:p>
            <w:pPr>
              <w:pStyle w:val="13"/>
              <w:keepNext w:val="0"/>
              <w:keepLines w:val="0"/>
              <w:pageBreakBefore w:val="0"/>
              <w:widowControl w:val="0"/>
              <w:kinsoku/>
              <w:wordWrap/>
              <w:overflowPunct/>
              <w:topLinePunct w:val="0"/>
              <w:autoSpaceDE/>
              <w:autoSpaceDN/>
              <w:bidi w:val="0"/>
              <w:ind w:firstLine="0" w:firstLineChars="0"/>
              <w:jc w:val="center"/>
              <w:textAlignment w:val="auto"/>
              <w:rPr>
                <w:rFonts w:hint="eastAsia" w:ascii="Times New Roman" w:hAnsi="Times New Roman" w:eastAsia="宋体" w:cs="Times New Roman"/>
                <w:kern w:val="2"/>
                <w:sz w:val="18"/>
                <w:szCs w:val="18"/>
                <w:lang w:val="en-US" w:eastAsia="zh-CN" w:bidi="ar-SA"/>
              </w:rPr>
            </w:pPr>
            <w:r>
              <w:rPr>
                <w:sz w:val="18"/>
                <w:szCs w:val="18"/>
              </w:rPr>
              <w:t>组</w:t>
            </w:r>
          </w:p>
        </w:tc>
        <w:tc>
          <w:tcPr>
            <w:tcW w:w="2536" w:type="dxa"/>
            <w:tcBorders>
              <w:left w:val="single" w:color="auto" w:sz="4" w:space="0"/>
              <w:right w:val="single" w:color="auto" w:sz="4" w:space="0"/>
            </w:tcBorders>
            <w:vAlign w:val="center"/>
          </w:tcPr>
          <w:p>
            <w:pPr>
              <w:pStyle w:val="13"/>
              <w:ind w:firstLine="360" w:firstLineChars="200"/>
              <w:jc w:val="center"/>
              <w:rPr>
                <w:rFonts w:hint="eastAsia" w:ascii="Times New Roman" w:hAnsi="Times New Roman" w:eastAsia="宋体" w:cs="Times New Roman"/>
                <w:kern w:val="2"/>
                <w:sz w:val="18"/>
                <w:szCs w:val="18"/>
                <w:lang w:val="en-US" w:eastAsia="zh-CN" w:bidi="ar-SA"/>
              </w:rPr>
            </w:pPr>
            <w:r>
              <w:rPr>
                <w:sz w:val="18"/>
                <w:szCs w:val="18"/>
              </w:rPr>
              <w:t xml:space="preserve">光纤3对，长度3m， </w:t>
            </w:r>
            <w:r>
              <w:rPr>
                <w:rFonts w:hint="eastAsia"/>
                <w:sz w:val="18"/>
                <w:szCs w:val="18"/>
              </w:rPr>
              <w:t>ST</w:t>
            </w:r>
            <w:r>
              <w:rPr>
                <w:sz w:val="18"/>
                <w:szCs w:val="18"/>
              </w:rPr>
              <w:t>-</w:t>
            </w:r>
            <w:r>
              <w:rPr>
                <w:rFonts w:hint="eastAsia"/>
                <w:sz w:val="18"/>
                <w:szCs w:val="18"/>
              </w:rPr>
              <w:t>ST</w:t>
            </w:r>
            <w:r>
              <w:rPr>
                <w:sz w:val="18"/>
                <w:szCs w:val="18"/>
              </w:rPr>
              <w:t>接头，多模。</w:t>
            </w:r>
          </w:p>
        </w:tc>
        <w:tc>
          <w:tcPr>
            <w:tcW w:w="374" w:type="dxa"/>
            <w:tcBorders>
              <w:left w:val="single" w:color="auto" w:sz="4" w:space="0"/>
            </w:tcBorders>
            <w:vAlign w:val="center"/>
          </w:tcPr>
          <w:p>
            <w:pPr>
              <w:keepNext w:val="0"/>
              <w:keepLines w:val="0"/>
              <w:pageBreakBefore w:val="0"/>
              <w:widowControl w:val="0"/>
              <w:kinsoku/>
              <w:wordWrap/>
              <w:overflowPunct/>
              <w:topLinePunct w:val="0"/>
              <w:autoSpaceDE/>
              <w:autoSpaceDN/>
              <w:bidi w:val="0"/>
              <w:ind w:firstLine="0" w:firstLineChars="0"/>
              <w:jc w:val="center"/>
              <w:textAlignment w:val="auto"/>
              <w:rPr>
                <w:rFonts w:hint="eastAsia" w:ascii="宋体" w:hAnsi="宋体" w:eastAsia="宋体"/>
                <w:szCs w:val="21"/>
                <w:lang w:val="en-US" w:eastAsia="zh-CN"/>
              </w:rPr>
            </w:pPr>
            <w:r>
              <w:rPr>
                <w:rFonts w:hint="eastAsia" w:ascii="宋体" w:hAnsi="宋体"/>
                <w:szCs w:val="21"/>
                <w:lang w:val="en-US" w:eastAsia="zh-CN"/>
              </w:rPr>
              <w:t>1</w:t>
            </w:r>
          </w:p>
        </w:tc>
        <w:tc>
          <w:tcPr>
            <w:tcW w:w="2340" w:type="dxa"/>
            <w:tcBorders>
              <w:right w:val="single" w:color="auto" w:sz="2" w:space="0"/>
            </w:tcBorders>
            <w:vAlign w:val="center"/>
          </w:tcPr>
          <w:p>
            <w:pPr>
              <w:keepNext w:val="0"/>
              <w:keepLines w:val="0"/>
              <w:pageBreakBefore w:val="0"/>
              <w:widowControl w:val="0"/>
              <w:kinsoku/>
              <w:wordWrap/>
              <w:overflowPunct/>
              <w:topLinePunct w:val="0"/>
              <w:autoSpaceDE/>
              <w:autoSpaceDN/>
              <w:bidi w:val="0"/>
              <w:ind w:firstLine="0" w:firstLineChars="0"/>
              <w:jc w:val="center"/>
              <w:textAlignment w:val="auto"/>
              <w:rPr>
                <w:rFonts w:ascii="宋体" w:hAnsi="宋体"/>
                <w:szCs w:val="21"/>
              </w:rPr>
            </w:pPr>
          </w:p>
        </w:tc>
        <w:tc>
          <w:tcPr>
            <w:tcW w:w="540" w:type="dxa"/>
            <w:tcBorders>
              <w:left w:val="single" w:color="auto" w:sz="2" w:space="0"/>
            </w:tcBorders>
            <w:vAlign w:val="center"/>
          </w:tcPr>
          <w:p>
            <w:pPr>
              <w:keepNext w:val="0"/>
              <w:keepLines w:val="0"/>
              <w:pageBreakBefore w:val="0"/>
              <w:widowControl w:val="0"/>
              <w:kinsoku/>
              <w:wordWrap/>
              <w:overflowPunct/>
              <w:topLinePunct w:val="0"/>
              <w:autoSpaceDE/>
              <w:autoSpaceDN/>
              <w:bidi w:val="0"/>
              <w:ind w:firstLine="0" w:firstLineChars="0"/>
              <w:jc w:val="center"/>
              <w:textAlignment w:val="auto"/>
              <w:rPr>
                <w:rFonts w:ascii="宋体" w:hAnsi="宋体"/>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jc w:val="center"/>
        </w:trPr>
        <w:tc>
          <w:tcPr>
            <w:tcW w:w="343" w:type="dxa"/>
            <w:vAlign w:val="center"/>
          </w:tcPr>
          <w:p>
            <w:pPr>
              <w:keepNext w:val="0"/>
              <w:keepLines w:val="0"/>
              <w:pageBreakBefore w:val="0"/>
              <w:widowControl w:val="0"/>
              <w:kinsoku/>
              <w:wordWrap/>
              <w:overflowPunct/>
              <w:topLinePunct w:val="0"/>
              <w:autoSpaceDE/>
              <w:autoSpaceDN/>
              <w:bidi w:val="0"/>
              <w:ind w:firstLine="0" w:firstLineChars="0"/>
              <w:jc w:val="center"/>
              <w:textAlignment w:val="auto"/>
              <w:rPr>
                <w:rFonts w:hint="eastAsia" w:ascii="宋体" w:hAnsi="宋体"/>
                <w:szCs w:val="21"/>
              </w:rPr>
            </w:pPr>
            <w:r>
              <w:rPr>
                <w:rFonts w:hint="eastAsia" w:ascii="宋体" w:hAnsi="宋体"/>
                <w:szCs w:val="21"/>
              </w:rPr>
              <w:t>5</w:t>
            </w:r>
          </w:p>
        </w:tc>
        <w:tc>
          <w:tcPr>
            <w:tcW w:w="1365" w:type="dxa"/>
            <w:vAlign w:val="center"/>
          </w:tcPr>
          <w:p>
            <w:pPr>
              <w:keepNext w:val="0"/>
              <w:keepLines w:val="0"/>
              <w:pageBreakBefore w:val="0"/>
              <w:widowControl w:val="0"/>
              <w:kinsoku/>
              <w:wordWrap/>
              <w:overflowPunct/>
              <w:topLinePunct w:val="0"/>
              <w:autoSpaceDE/>
              <w:autoSpaceDN/>
              <w:bidi w:val="0"/>
              <w:ind w:firstLine="0" w:firstLineChars="0"/>
              <w:textAlignment w:val="auto"/>
              <w:rPr>
                <w:rFonts w:hint="eastAsia" w:ascii="宋体" w:hAnsi="宋体"/>
                <w:szCs w:val="21"/>
              </w:rPr>
            </w:pPr>
          </w:p>
        </w:tc>
        <w:tc>
          <w:tcPr>
            <w:tcW w:w="810" w:type="dxa"/>
            <w:tcBorders>
              <w:right w:val="single" w:color="auto" w:sz="4" w:space="0"/>
            </w:tcBorders>
            <w:vAlign w:val="center"/>
          </w:tcPr>
          <w:p>
            <w:pPr>
              <w:pStyle w:val="13"/>
              <w:keepNext w:val="0"/>
              <w:keepLines w:val="0"/>
              <w:pageBreakBefore w:val="0"/>
              <w:widowControl w:val="0"/>
              <w:kinsoku/>
              <w:wordWrap/>
              <w:overflowPunct/>
              <w:topLinePunct w:val="0"/>
              <w:autoSpaceDE/>
              <w:autoSpaceDN/>
              <w:bidi w:val="0"/>
              <w:ind w:firstLine="0" w:firstLineChars="0"/>
              <w:jc w:val="center"/>
              <w:textAlignment w:val="auto"/>
              <w:rPr>
                <w:rFonts w:hint="eastAsia" w:ascii="Times New Roman" w:hAnsi="Times New Roman" w:eastAsia="宋体" w:cs="Times New Roman"/>
                <w:kern w:val="2"/>
                <w:sz w:val="18"/>
                <w:szCs w:val="18"/>
                <w:lang w:val="en-US" w:eastAsia="zh-CN" w:bidi="ar-SA"/>
              </w:rPr>
            </w:pPr>
            <w:r>
              <w:rPr>
                <w:sz w:val="18"/>
                <w:szCs w:val="18"/>
              </w:rPr>
              <w:t>组</w:t>
            </w:r>
          </w:p>
        </w:tc>
        <w:tc>
          <w:tcPr>
            <w:tcW w:w="2536" w:type="dxa"/>
            <w:tcBorders>
              <w:left w:val="single" w:color="auto" w:sz="4" w:space="0"/>
              <w:right w:val="single" w:color="auto" w:sz="4" w:space="0"/>
            </w:tcBorders>
            <w:vAlign w:val="center"/>
          </w:tcPr>
          <w:p>
            <w:pPr>
              <w:pStyle w:val="13"/>
              <w:ind w:firstLine="360" w:firstLineChars="200"/>
              <w:jc w:val="center"/>
              <w:rPr>
                <w:rFonts w:hint="eastAsia" w:ascii="Times New Roman" w:hAnsi="Times New Roman" w:eastAsia="宋体" w:cs="Times New Roman"/>
                <w:kern w:val="2"/>
                <w:sz w:val="18"/>
                <w:szCs w:val="18"/>
                <w:lang w:val="en-US" w:eastAsia="zh-CN" w:bidi="ar-SA"/>
              </w:rPr>
            </w:pPr>
            <w:r>
              <w:rPr>
                <w:sz w:val="18"/>
                <w:szCs w:val="18"/>
              </w:rPr>
              <w:t>标配4G</w:t>
            </w:r>
          </w:p>
        </w:tc>
        <w:tc>
          <w:tcPr>
            <w:tcW w:w="374" w:type="dxa"/>
            <w:tcBorders>
              <w:left w:val="single" w:color="auto" w:sz="4" w:space="0"/>
            </w:tcBorders>
            <w:vAlign w:val="center"/>
          </w:tcPr>
          <w:p>
            <w:pPr>
              <w:keepNext w:val="0"/>
              <w:keepLines w:val="0"/>
              <w:pageBreakBefore w:val="0"/>
              <w:widowControl w:val="0"/>
              <w:kinsoku/>
              <w:wordWrap/>
              <w:overflowPunct/>
              <w:topLinePunct w:val="0"/>
              <w:autoSpaceDE/>
              <w:autoSpaceDN/>
              <w:bidi w:val="0"/>
              <w:ind w:firstLine="0" w:firstLineChars="0"/>
              <w:jc w:val="center"/>
              <w:textAlignment w:val="auto"/>
              <w:rPr>
                <w:rFonts w:hint="eastAsia" w:ascii="宋体" w:hAnsi="宋体" w:eastAsia="宋体"/>
                <w:szCs w:val="21"/>
                <w:lang w:val="en-US" w:eastAsia="zh-CN"/>
              </w:rPr>
            </w:pPr>
            <w:r>
              <w:rPr>
                <w:rFonts w:hint="eastAsia" w:ascii="宋体" w:hAnsi="宋体"/>
                <w:szCs w:val="21"/>
                <w:lang w:val="en-US" w:eastAsia="zh-CN"/>
              </w:rPr>
              <w:t>1</w:t>
            </w:r>
          </w:p>
        </w:tc>
        <w:tc>
          <w:tcPr>
            <w:tcW w:w="2340" w:type="dxa"/>
            <w:tcBorders>
              <w:right w:val="single" w:color="auto" w:sz="2" w:space="0"/>
            </w:tcBorders>
            <w:vAlign w:val="center"/>
          </w:tcPr>
          <w:p>
            <w:pPr>
              <w:keepNext w:val="0"/>
              <w:keepLines w:val="0"/>
              <w:pageBreakBefore w:val="0"/>
              <w:widowControl w:val="0"/>
              <w:kinsoku/>
              <w:wordWrap/>
              <w:overflowPunct/>
              <w:topLinePunct w:val="0"/>
              <w:autoSpaceDE/>
              <w:autoSpaceDN/>
              <w:bidi w:val="0"/>
              <w:ind w:firstLine="0" w:firstLineChars="0"/>
              <w:jc w:val="center"/>
              <w:textAlignment w:val="auto"/>
              <w:rPr>
                <w:rFonts w:ascii="宋体" w:hAnsi="宋体"/>
                <w:szCs w:val="21"/>
              </w:rPr>
            </w:pPr>
          </w:p>
        </w:tc>
        <w:tc>
          <w:tcPr>
            <w:tcW w:w="540" w:type="dxa"/>
            <w:tcBorders>
              <w:left w:val="single" w:color="auto" w:sz="2" w:space="0"/>
            </w:tcBorders>
            <w:vAlign w:val="center"/>
          </w:tcPr>
          <w:p>
            <w:pPr>
              <w:keepNext w:val="0"/>
              <w:keepLines w:val="0"/>
              <w:pageBreakBefore w:val="0"/>
              <w:widowControl w:val="0"/>
              <w:kinsoku/>
              <w:wordWrap/>
              <w:overflowPunct/>
              <w:topLinePunct w:val="0"/>
              <w:autoSpaceDE/>
              <w:autoSpaceDN/>
              <w:bidi w:val="0"/>
              <w:ind w:firstLine="0" w:firstLineChars="0"/>
              <w:jc w:val="center"/>
              <w:textAlignment w:val="auto"/>
              <w:rPr>
                <w:rFonts w:ascii="宋体" w:hAnsi="宋体"/>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jc w:val="center"/>
        </w:trPr>
        <w:tc>
          <w:tcPr>
            <w:tcW w:w="343" w:type="dxa"/>
            <w:vAlign w:val="center"/>
          </w:tcPr>
          <w:p>
            <w:pPr>
              <w:keepNext w:val="0"/>
              <w:keepLines w:val="0"/>
              <w:pageBreakBefore w:val="0"/>
              <w:widowControl w:val="0"/>
              <w:kinsoku/>
              <w:wordWrap/>
              <w:overflowPunct/>
              <w:topLinePunct w:val="0"/>
              <w:autoSpaceDE/>
              <w:autoSpaceDN/>
              <w:bidi w:val="0"/>
              <w:ind w:firstLine="0" w:firstLineChars="0"/>
              <w:jc w:val="center"/>
              <w:textAlignment w:val="auto"/>
              <w:rPr>
                <w:rFonts w:hint="eastAsia" w:ascii="宋体" w:hAnsi="宋体"/>
                <w:szCs w:val="21"/>
              </w:rPr>
            </w:pPr>
            <w:r>
              <w:rPr>
                <w:rFonts w:hint="eastAsia" w:ascii="宋体" w:hAnsi="宋体"/>
                <w:szCs w:val="21"/>
              </w:rPr>
              <w:t>6</w:t>
            </w:r>
          </w:p>
        </w:tc>
        <w:tc>
          <w:tcPr>
            <w:tcW w:w="1365" w:type="dxa"/>
            <w:vAlign w:val="center"/>
          </w:tcPr>
          <w:p>
            <w:pPr>
              <w:pStyle w:val="13"/>
              <w:keepNext w:val="0"/>
              <w:keepLines w:val="0"/>
              <w:pageBreakBefore w:val="0"/>
              <w:widowControl w:val="0"/>
              <w:kinsoku/>
              <w:wordWrap/>
              <w:overflowPunct/>
              <w:topLinePunct w:val="0"/>
              <w:autoSpaceDE/>
              <w:autoSpaceDN/>
              <w:bidi w:val="0"/>
              <w:ind w:firstLine="0" w:firstLineChars="0"/>
              <w:jc w:val="center"/>
              <w:textAlignment w:val="auto"/>
              <w:rPr>
                <w:rFonts w:hint="eastAsia" w:ascii="Times New Roman" w:hAnsi="Times New Roman" w:eastAsia="宋体" w:cs="Times New Roman"/>
                <w:kern w:val="2"/>
                <w:sz w:val="18"/>
                <w:szCs w:val="18"/>
                <w:lang w:val="en-US" w:eastAsia="zh-CN" w:bidi="ar-SA"/>
              </w:rPr>
            </w:pPr>
            <w:r>
              <w:rPr>
                <w:sz w:val="18"/>
                <w:szCs w:val="18"/>
              </w:rPr>
              <w:t>SD卡</w:t>
            </w:r>
          </w:p>
        </w:tc>
        <w:tc>
          <w:tcPr>
            <w:tcW w:w="810" w:type="dxa"/>
            <w:tcBorders>
              <w:right w:val="single" w:color="auto" w:sz="4" w:space="0"/>
            </w:tcBorders>
            <w:vAlign w:val="center"/>
          </w:tcPr>
          <w:p>
            <w:pPr>
              <w:pStyle w:val="13"/>
              <w:keepNext w:val="0"/>
              <w:keepLines w:val="0"/>
              <w:pageBreakBefore w:val="0"/>
              <w:widowControl w:val="0"/>
              <w:kinsoku/>
              <w:wordWrap/>
              <w:overflowPunct/>
              <w:topLinePunct w:val="0"/>
              <w:autoSpaceDE/>
              <w:autoSpaceDN/>
              <w:bidi w:val="0"/>
              <w:ind w:firstLine="0" w:firstLineChars="0"/>
              <w:jc w:val="center"/>
              <w:textAlignment w:val="auto"/>
              <w:rPr>
                <w:rFonts w:hint="eastAsia" w:ascii="Times New Roman" w:hAnsi="Times New Roman" w:eastAsia="宋体" w:cs="Times New Roman"/>
                <w:kern w:val="2"/>
                <w:sz w:val="18"/>
                <w:szCs w:val="18"/>
                <w:lang w:val="en-US" w:eastAsia="zh-CN" w:bidi="ar-SA"/>
              </w:rPr>
            </w:pPr>
            <w:r>
              <w:rPr>
                <w:sz w:val="18"/>
                <w:szCs w:val="18"/>
              </w:rPr>
              <w:t>个</w:t>
            </w:r>
          </w:p>
        </w:tc>
        <w:tc>
          <w:tcPr>
            <w:tcW w:w="2536" w:type="dxa"/>
            <w:tcBorders>
              <w:left w:val="single" w:color="auto" w:sz="4" w:space="0"/>
              <w:right w:val="single" w:color="auto" w:sz="4" w:space="0"/>
            </w:tcBorders>
            <w:vAlign w:val="center"/>
          </w:tcPr>
          <w:p>
            <w:pPr>
              <w:pStyle w:val="13"/>
              <w:ind w:firstLine="360" w:firstLineChars="200"/>
              <w:jc w:val="center"/>
              <w:rPr>
                <w:rFonts w:hint="eastAsia" w:ascii="Times New Roman" w:hAnsi="Times New Roman" w:eastAsia="宋体" w:cs="Times New Roman"/>
                <w:kern w:val="2"/>
                <w:sz w:val="18"/>
                <w:szCs w:val="18"/>
                <w:lang w:val="en-US" w:eastAsia="zh-CN" w:bidi="ar-SA"/>
              </w:rPr>
            </w:pPr>
            <w:r>
              <w:rPr>
                <w:sz w:val="18"/>
                <w:szCs w:val="18"/>
              </w:rPr>
              <w:t>与SD卡配合使用</w:t>
            </w:r>
          </w:p>
        </w:tc>
        <w:tc>
          <w:tcPr>
            <w:tcW w:w="374" w:type="dxa"/>
            <w:tcBorders>
              <w:left w:val="single" w:color="auto" w:sz="4" w:space="0"/>
            </w:tcBorders>
            <w:vAlign w:val="center"/>
          </w:tcPr>
          <w:p>
            <w:pPr>
              <w:keepNext w:val="0"/>
              <w:keepLines w:val="0"/>
              <w:pageBreakBefore w:val="0"/>
              <w:widowControl w:val="0"/>
              <w:kinsoku/>
              <w:wordWrap/>
              <w:overflowPunct/>
              <w:topLinePunct w:val="0"/>
              <w:autoSpaceDE/>
              <w:autoSpaceDN/>
              <w:bidi w:val="0"/>
              <w:ind w:firstLine="0" w:firstLineChars="0"/>
              <w:jc w:val="center"/>
              <w:textAlignment w:val="auto"/>
              <w:rPr>
                <w:rFonts w:hint="eastAsia" w:ascii="宋体" w:hAnsi="宋体" w:eastAsia="宋体"/>
                <w:szCs w:val="21"/>
                <w:lang w:val="en-US" w:eastAsia="zh-CN"/>
              </w:rPr>
            </w:pPr>
            <w:r>
              <w:rPr>
                <w:rFonts w:hint="eastAsia" w:ascii="宋体" w:hAnsi="宋体"/>
                <w:szCs w:val="21"/>
                <w:lang w:val="en-US" w:eastAsia="zh-CN"/>
              </w:rPr>
              <w:t>1</w:t>
            </w:r>
          </w:p>
        </w:tc>
        <w:tc>
          <w:tcPr>
            <w:tcW w:w="2340" w:type="dxa"/>
            <w:tcBorders>
              <w:right w:val="single" w:color="auto" w:sz="2" w:space="0"/>
            </w:tcBorders>
            <w:vAlign w:val="center"/>
          </w:tcPr>
          <w:p>
            <w:pPr>
              <w:keepNext w:val="0"/>
              <w:keepLines w:val="0"/>
              <w:pageBreakBefore w:val="0"/>
              <w:widowControl w:val="0"/>
              <w:kinsoku/>
              <w:wordWrap/>
              <w:overflowPunct/>
              <w:topLinePunct w:val="0"/>
              <w:autoSpaceDE/>
              <w:autoSpaceDN/>
              <w:bidi w:val="0"/>
              <w:ind w:firstLine="0" w:firstLineChars="0"/>
              <w:jc w:val="center"/>
              <w:textAlignment w:val="auto"/>
              <w:rPr>
                <w:rFonts w:ascii="宋体" w:hAnsi="宋体"/>
                <w:szCs w:val="21"/>
              </w:rPr>
            </w:pPr>
          </w:p>
        </w:tc>
        <w:tc>
          <w:tcPr>
            <w:tcW w:w="540" w:type="dxa"/>
            <w:tcBorders>
              <w:left w:val="single" w:color="auto" w:sz="2" w:space="0"/>
            </w:tcBorders>
            <w:vAlign w:val="center"/>
          </w:tcPr>
          <w:p>
            <w:pPr>
              <w:keepNext w:val="0"/>
              <w:keepLines w:val="0"/>
              <w:pageBreakBefore w:val="0"/>
              <w:widowControl w:val="0"/>
              <w:kinsoku/>
              <w:wordWrap/>
              <w:overflowPunct/>
              <w:topLinePunct w:val="0"/>
              <w:autoSpaceDE/>
              <w:autoSpaceDN/>
              <w:bidi w:val="0"/>
              <w:ind w:firstLine="0" w:firstLineChars="0"/>
              <w:jc w:val="center"/>
              <w:textAlignment w:val="auto"/>
              <w:rPr>
                <w:rFonts w:ascii="宋体" w:hAnsi="宋体"/>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jc w:val="center"/>
        </w:trPr>
        <w:tc>
          <w:tcPr>
            <w:tcW w:w="343" w:type="dxa"/>
            <w:vAlign w:val="center"/>
          </w:tcPr>
          <w:p>
            <w:pPr>
              <w:keepNext w:val="0"/>
              <w:keepLines w:val="0"/>
              <w:pageBreakBefore w:val="0"/>
              <w:widowControl w:val="0"/>
              <w:kinsoku/>
              <w:wordWrap/>
              <w:overflowPunct/>
              <w:topLinePunct w:val="0"/>
              <w:autoSpaceDE/>
              <w:autoSpaceDN/>
              <w:bidi w:val="0"/>
              <w:ind w:firstLine="0" w:firstLineChars="0"/>
              <w:jc w:val="center"/>
              <w:textAlignment w:val="auto"/>
              <w:rPr>
                <w:rFonts w:hint="eastAsia" w:ascii="宋体" w:hAnsi="宋体"/>
                <w:szCs w:val="21"/>
              </w:rPr>
            </w:pPr>
            <w:r>
              <w:rPr>
                <w:rFonts w:hint="eastAsia" w:ascii="宋体" w:hAnsi="宋体"/>
                <w:szCs w:val="21"/>
              </w:rPr>
              <w:t>7</w:t>
            </w:r>
          </w:p>
        </w:tc>
        <w:tc>
          <w:tcPr>
            <w:tcW w:w="1365" w:type="dxa"/>
            <w:vAlign w:val="center"/>
          </w:tcPr>
          <w:p>
            <w:pPr>
              <w:pStyle w:val="13"/>
              <w:keepNext w:val="0"/>
              <w:keepLines w:val="0"/>
              <w:pageBreakBefore w:val="0"/>
              <w:widowControl w:val="0"/>
              <w:kinsoku/>
              <w:wordWrap/>
              <w:overflowPunct/>
              <w:topLinePunct w:val="0"/>
              <w:autoSpaceDE/>
              <w:autoSpaceDN/>
              <w:bidi w:val="0"/>
              <w:ind w:firstLine="0" w:firstLineChars="0"/>
              <w:jc w:val="center"/>
              <w:textAlignment w:val="auto"/>
              <w:rPr>
                <w:rFonts w:hint="eastAsia" w:ascii="Times New Roman" w:hAnsi="Times New Roman" w:eastAsia="宋体" w:cs="Times New Roman"/>
                <w:kern w:val="2"/>
                <w:sz w:val="18"/>
                <w:szCs w:val="18"/>
                <w:lang w:val="en-US" w:eastAsia="zh-CN" w:bidi="ar-SA"/>
              </w:rPr>
            </w:pPr>
            <w:r>
              <w:rPr>
                <w:sz w:val="18"/>
                <w:szCs w:val="18"/>
              </w:rPr>
              <w:t>读卡器</w:t>
            </w:r>
          </w:p>
        </w:tc>
        <w:tc>
          <w:tcPr>
            <w:tcW w:w="810" w:type="dxa"/>
            <w:tcBorders>
              <w:right w:val="single" w:color="auto" w:sz="4" w:space="0"/>
            </w:tcBorders>
            <w:vAlign w:val="center"/>
          </w:tcPr>
          <w:p>
            <w:pPr>
              <w:pStyle w:val="13"/>
              <w:keepNext w:val="0"/>
              <w:keepLines w:val="0"/>
              <w:pageBreakBefore w:val="0"/>
              <w:widowControl w:val="0"/>
              <w:kinsoku/>
              <w:wordWrap/>
              <w:overflowPunct/>
              <w:topLinePunct w:val="0"/>
              <w:autoSpaceDE/>
              <w:autoSpaceDN/>
              <w:bidi w:val="0"/>
              <w:ind w:firstLine="0" w:firstLineChars="0"/>
              <w:jc w:val="center"/>
              <w:textAlignment w:val="auto"/>
              <w:rPr>
                <w:rFonts w:hint="eastAsia" w:ascii="Times New Roman" w:hAnsi="Times New Roman" w:eastAsia="宋体" w:cs="Times New Roman"/>
                <w:kern w:val="2"/>
                <w:sz w:val="18"/>
                <w:szCs w:val="18"/>
                <w:lang w:val="en-US" w:eastAsia="zh-CN" w:bidi="ar-SA"/>
              </w:rPr>
            </w:pPr>
            <w:r>
              <w:rPr>
                <w:sz w:val="18"/>
                <w:szCs w:val="18"/>
              </w:rPr>
              <w:t>个</w:t>
            </w:r>
          </w:p>
        </w:tc>
        <w:tc>
          <w:tcPr>
            <w:tcW w:w="2536" w:type="dxa"/>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ind w:firstLine="0" w:firstLineChars="0"/>
              <w:jc w:val="center"/>
              <w:textAlignment w:val="auto"/>
              <w:rPr>
                <w:rFonts w:hint="eastAsia" w:ascii="宋体" w:hAnsi="宋体"/>
                <w:szCs w:val="21"/>
              </w:rPr>
            </w:pPr>
          </w:p>
        </w:tc>
        <w:tc>
          <w:tcPr>
            <w:tcW w:w="374" w:type="dxa"/>
            <w:tcBorders>
              <w:left w:val="single" w:color="auto" w:sz="4" w:space="0"/>
            </w:tcBorders>
            <w:vAlign w:val="center"/>
          </w:tcPr>
          <w:p>
            <w:pPr>
              <w:keepNext w:val="0"/>
              <w:keepLines w:val="0"/>
              <w:pageBreakBefore w:val="0"/>
              <w:widowControl w:val="0"/>
              <w:kinsoku/>
              <w:wordWrap/>
              <w:overflowPunct/>
              <w:topLinePunct w:val="0"/>
              <w:autoSpaceDE/>
              <w:autoSpaceDN/>
              <w:bidi w:val="0"/>
              <w:ind w:firstLine="0" w:firstLineChars="0"/>
              <w:jc w:val="center"/>
              <w:textAlignment w:val="auto"/>
              <w:rPr>
                <w:rFonts w:hint="eastAsia" w:ascii="宋体" w:hAnsi="宋体" w:eastAsia="宋体"/>
                <w:szCs w:val="21"/>
                <w:lang w:val="en-US" w:eastAsia="zh-CN"/>
              </w:rPr>
            </w:pPr>
            <w:r>
              <w:rPr>
                <w:rFonts w:hint="eastAsia" w:ascii="宋体" w:hAnsi="宋体"/>
                <w:szCs w:val="21"/>
                <w:lang w:val="en-US" w:eastAsia="zh-CN"/>
              </w:rPr>
              <w:t>1</w:t>
            </w:r>
          </w:p>
        </w:tc>
        <w:tc>
          <w:tcPr>
            <w:tcW w:w="2340" w:type="dxa"/>
            <w:tcBorders>
              <w:right w:val="single" w:color="auto" w:sz="2" w:space="0"/>
            </w:tcBorders>
            <w:vAlign w:val="center"/>
          </w:tcPr>
          <w:p>
            <w:pPr>
              <w:keepNext w:val="0"/>
              <w:keepLines w:val="0"/>
              <w:pageBreakBefore w:val="0"/>
              <w:widowControl w:val="0"/>
              <w:kinsoku/>
              <w:wordWrap/>
              <w:overflowPunct/>
              <w:topLinePunct w:val="0"/>
              <w:autoSpaceDE/>
              <w:autoSpaceDN/>
              <w:bidi w:val="0"/>
              <w:ind w:firstLine="0" w:firstLineChars="0"/>
              <w:jc w:val="center"/>
              <w:textAlignment w:val="auto"/>
              <w:rPr>
                <w:rFonts w:ascii="宋体" w:hAnsi="宋体"/>
                <w:szCs w:val="21"/>
              </w:rPr>
            </w:pPr>
          </w:p>
        </w:tc>
        <w:tc>
          <w:tcPr>
            <w:tcW w:w="540" w:type="dxa"/>
            <w:tcBorders>
              <w:left w:val="single" w:color="auto" w:sz="2" w:space="0"/>
            </w:tcBorders>
            <w:vAlign w:val="center"/>
          </w:tcPr>
          <w:p>
            <w:pPr>
              <w:keepNext w:val="0"/>
              <w:keepLines w:val="0"/>
              <w:pageBreakBefore w:val="0"/>
              <w:widowControl w:val="0"/>
              <w:kinsoku/>
              <w:wordWrap/>
              <w:overflowPunct/>
              <w:topLinePunct w:val="0"/>
              <w:autoSpaceDE/>
              <w:autoSpaceDN/>
              <w:bidi w:val="0"/>
              <w:ind w:firstLine="0" w:firstLineChars="0"/>
              <w:jc w:val="center"/>
              <w:textAlignment w:val="auto"/>
              <w:rPr>
                <w:rFonts w:ascii="宋体" w:hAnsi="宋体"/>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jc w:val="center"/>
        </w:trPr>
        <w:tc>
          <w:tcPr>
            <w:tcW w:w="343" w:type="dxa"/>
            <w:vAlign w:val="center"/>
          </w:tcPr>
          <w:p>
            <w:pPr>
              <w:keepNext w:val="0"/>
              <w:keepLines w:val="0"/>
              <w:pageBreakBefore w:val="0"/>
              <w:widowControl w:val="0"/>
              <w:kinsoku/>
              <w:wordWrap/>
              <w:overflowPunct/>
              <w:topLinePunct w:val="0"/>
              <w:autoSpaceDE/>
              <w:autoSpaceDN/>
              <w:bidi w:val="0"/>
              <w:ind w:firstLine="0" w:firstLineChars="0"/>
              <w:jc w:val="center"/>
              <w:textAlignment w:val="auto"/>
              <w:rPr>
                <w:rFonts w:hint="eastAsia" w:ascii="宋体" w:hAnsi="宋体"/>
                <w:szCs w:val="21"/>
              </w:rPr>
            </w:pPr>
            <w:r>
              <w:rPr>
                <w:rFonts w:hint="eastAsia" w:ascii="宋体" w:hAnsi="宋体"/>
                <w:szCs w:val="21"/>
              </w:rPr>
              <w:t>8</w:t>
            </w:r>
          </w:p>
        </w:tc>
        <w:tc>
          <w:tcPr>
            <w:tcW w:w="1365" w:type="dxa"/>
            <w:vAlign w:val="center"/>
          </w:tcPr>
          <w:p>
            <w:pPr>
              <w:pStyle w:val="13"/>
              <w:keepNext w:val="0"/>
              <w:keepLines w:val="0"/>
              <w:pageBreakBefore w:val="0"/>
              <w:widowControl w:val="0"/>
              <w:kinsoku/>
              <w:wordWrap/>
              <w:overflowPunct/>
              <w:topLinePunct w:val="0"/>
              <w:autoSpaceDE/>
              <w:autoSpaceDN/>
              <w:bidi w:val="0"/>
              <w:ind w:firstLine="0" w:firstLineChars="0"/>
              <w:jc w:val="center"/>
              <w:textAlignment w:val="auto"/>
              <w:rPr>
                <w:rFonts w:hint="eastAsia" w:ascii="Times New Roman" w:hAnsi="Times New Roman" w:eastAsia="宋体" w:cs="Times New Roman"/>
                <w:kern w:val="2"/>
                <w:sz w:val="18"/>
                <w:szCs w:val="18"/>
                <w:lang w:val="en-US" w:eastAsia="zh-CN" w:bidi="ar-SA"/>
              </w:rPr>
            </w:pPr>
            <w:r>
              <w:rPr>
                <w:sz w:val="18"/>
                <w:szCs w:val="18"/>
              </w:rPr>
              <w:t>使用说明书</w:t>
            </w:r>
          </w:p>
        </w:tc>
        <w:tc>
          <w:tcPr>
            <w:tcW w:w="810" w:type="dxa"/>
            <w:tcBorders>
              <w:right w:val="single" w:color="auto" w:sz="4" w:space="0"/>
            </w:tcBorders>
            <w:vAlign w:val="center"/>
          </w:tcPr>
          <w:p>
            <w:pPr>
              <w:pStyle w:val="13"/>
              <w:keepNext w:val="0"/>
              <w:keepLines w:val="0"/>
              <w:pageBreakBefore w:val="0"/>
              <w:widowControl w:val="0"/>
              <w:kinsoku/>
              <w:wordWrap/>
              <w:overflowPunct/>
              <w:topLinePunct w:val="0"/>
              <w:autoSpaceDE/>
              <w:autoSpaceDN/>
              <w:bidi w:val="0"/>
              <w:ind w:firstLine="0" w:firstLineChars="0"/>
              <w:jc w:val="center"/>
              <w:textAlignment w:val="auto"/>
              <w:rPr>
                <w:rFonts w:hint="eastAsia" w:ascii="Times New Roman" w:hAnsi="Times New Roman" w:eastAsia="宋体" w:cs="Times New Roman"/>
                <w:kern w:val="2"/>
                <w:sz w:val="18"/>
                <w:szCs w:val="18"/>
                <w:lang w:val="en-US" w:eastAsia="zh-CN" w:bidi="ar-SA"/>
              </w:rPr>
            </w:pPr>
            <w:r>
              <w:rPr>
                <w:sz w:val="18"/>
                <w:szCs w:val="18"/>
              </w:rPr>
              <w:t>本</w:t>
            </w:r>
          </w:p>
        </w:tc>
        <w:tc>
          <w:tcPr>
            <w:tcW w:w="2536" w:type="dxa"/>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ind w:firstLine="0" w:firstLineChars="0"/>
              <w:jc w:val="center"/>
              <w:textAlignment w:val="auto"/>
              <w:rPr>
                <w:rFonts w:hint="eastAsia" w:ascii="宋体" w:hAnsi="宋体"/>
                <w:szCs w:val="21"/>
              </w:rPr>
            </w:pPr>
          </w:p>
        </w:tc>
        <w:tc>
          <w:tcPr>
            <w:tcW w:w="374" w:type="dxa"/>
            <w:tcBorders>
              <w:left w:val="single" w:color="auto" w:sz="4" w:space="0"/>
            </w:tcBorders>
            <w:vAlign w:val="center"/>
          </w:tcPr>
          <w:p>
            <w:pPr>
              <w:keepNext w:val="0"/>
              <w:keepLines w:val="0"/>
              <w:pageBreakBefore w:val="0"/>
              <w:widowControl w:val="0"/>
              <w:kinsoku/>
              <w:wordWrap/>
              <w:overflowPunct/>
              <w:topLinePunct w:val="0"/>
              <w:autoSpaceDE/>
              <w:autoSpaceDN/>
              <w:bidi w:val="0"/>
              <w:ind w:firstLine="0" w:firstLineChars="0"/>
              <w:jc w:val="center"/>
              <w:textAlignment w:val="auto"/>
              <w:rPr>
                <w:rFonts w:hint="eastAsia" w:ascii="宋体" w:hAnsi="宋体" w:eastAsia="宋体"/>
                <w:szCs w:val="21"/>
                <w:lang w:val="en-US" w:eastAsia="zh-CN"/>
              </w:rPr>
            </w:pPr>
            <w:r>
              <w:rPr>
                <w:rFonts w:hint="eastAsia" w:ascii="宋体" w:hAnsi="宋体"/>
                <w:szCs w:val="21"/>
                <w:lang w:val="en-US" w:eastAsia="zh-CN"/>
              </w:rPr>
              <w:t>1</w:t>
            </w:r>
          </w:p>
        </w:tc>
        <w:tc>
          <w:tcPr>
            <w:tcW w:w="2340" w:type="dxa"/>
            <w:tcBorders>
              <w:right w:val="single" w:color="auto" w:sz="2" w:space="0"/>
            </w:tcBorders>
            <w:vAlign w:val="center"/>
          </w:tcPr>
          <w:p>
            <w:pPr>
              <w:keepNext w:val="0"/>
              <w:keepLines w:val="0"/>
              <w:pageBreakBefore w:val="0"/>
              <w:widowControl w:val="0"/>
              <w:kinsoku/>
              <w:wordWrap/>
              <w:overflowPunct/>
              <w:topLinePunct w:val="0"/>
              <w:autoSpaceDE/>
              <w:autoSpaceDN/>
              <w:bidi w:val="0"/>
              <w:ind w:firstLine="0" w:firstLineChars="0"/>
              <w:jc w:val="center"/>
              <w:textAlignment w:val="auto"/>
              <w:rPr>
                <w:rFonts w:ascii="宋体" w:hAnsi="宋体"/>
                <w:szCs w:val="21"/>
              </w:rPr>
            </w:pPr>
          </w:p>
        </w:tc>
        <w:tc>
          <w:tcPr>
            <w:tcW w:w="540" w:type="dxa"/>
            <w:tcBorders>
              <w:left w:val="single" w:color="auto" w:sz="2" w:space="0"/>
            </w:tcBorders>
            <w:vAlign w:val="center"/>
          </w:tcPr>
          <w:p>
            <w:pPr>
              <w:keepNext w:val="0"/>
              <w:keepLines w:val="0"/>
              <w:pageBreakBefore w:val="0"/>
              <w:widowControl w:val="0"/>
              <w:kinsoku/>
              <w:wordWrap/>
              <w:overflowPunct/>
              <w:topLinePunct w:val="0"/>
              <w:autoSpaceDE/>
              <w:autoSpaceDN/>
              <w:bidi w:val="0"/>
              <w:ind w:firstLine="0" w:firstLineChars="0"/>
              <w:jc w:val="center"/>
              <w:textAlignment w:val="auto"/>
              <w:rPr>
                <w:rFonts w:ascii="宋体" w:hAnsi="宋体"/>
                <w:sz w:val="24"/>
              </w:rPr>
            </w:pPr>
          </w:p>
        </w:tc>
      </w:tr>
    </w:tbl>
    <w:p>
      <w:pPr>
        <w:pStyle w:val="47"/>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Times New Roman"/>
          <w:sz w:val="24"/>
          <w:szCs w:val="24"/>
        </w:rPr>
      </w:pPr>
    </w:p>
    <w:p>
      <w:pPr>
        <w:pStyle w:val="47"/>
        <w:adjustRightInd w:val="0"/>
        <w:snapToGrid w:val="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2</w:t>
      </w:r>
      <w:r>
        <w:rPr>
          <w:rFonts w:ascii="宋体" w:hAnsi="宋体" w:eastAsia="宋体" w:cs="Times New Roman"/>
          <w:sz w:val="24"/>
          <w:szCs w:val="24"/>
        </w:rPr>
        <w:t>）投标方应按本标书的要求提供全新的、合格</w:t>
      </w:r>
      <w:r>
        <w:rPr>
          <w:rFonts w:hint="eastAsia" w:ascii="宋体" w:hAnsi="宋体" w:eastAsia="宋体" w:cs="Times New Roman"/>
          <w:sz w:val="24"/>
          <w:szCs w:val="24"/>
        </w:rPr>
        <w:t>可用的仪器及配件。投标方应向招标方提供必备的备品备件、专用工具和仪器仪表清单见表2.2， 要求提供的备品备件、专用工具和仪器仪表应是新品，并符合相关技术要求。</w:t>
      </w:r>
    </w:p>
    <w:p>
      <w:pPr>
        <w:pStyle w:val="47"/>
        <w:adjustRightInd w:val="0"/>
        <w:snapToGrid w:val="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3）</w:t>
      </w:r>
      <w:r>
        <w:rPr>
          <w:rFonts w:ascii="宋体" w:hAnsi="宋体" w:eastAsia="宋体" w:cs="Times New Roman"/>
          <w:sz w:val="24"/>
          <w:szCs w:val="24"/>
        </w:rPr>
        <w:t>投标方所提供的组件或附件如需向第三方外购时</w:t>
      </w:r>
      <w:r>
        <w:rPr>
          <w:rFonts w:hint="eastAsia" w:ascii="宋体" w:hAnsi="宋体" w:eastAsia="宋体" w:cs="Times New Roman"/>
          <w:sz w:val="24"/>
          <w:szCs w:val="24"/>
        </w:rPr>
        <w:t>，投标方</w:t>
      </w:r>
      <w:r>
        <w:rPr>
          <w:rFonts w:ascii="宋体" w:hAnsi="宋体" w:eastAsia="宋体" w:cs="Times New Roman"/>
          <w:sz w:val="24"/>
          <w:szCs w:val="24"/>
        </w:rPr>
        <w:t>应对</w:t>
      </w:r>
      <w:r>
        <w:rPr>
          <w:rFonts w:hint="eastAsia" w:ascii="宋体" w:hAnsi="宋体" w:eastAsia="宋体" w:cs="Times New Roman"/>
          <w:sz w:val="24"/>
          <w:szCs w:val="24"/>
        </w:rPr>
        <w:t>其</w:t>
      </w:r>
      <w:r>
        <w:rPr>
          <w:rFonts w:ascii="宋体" w:hAnsi="宋体" w:eastAsia="宋体" w:cs="Times New Roman"/>
          <w:sz w:val="24"/>
          <w:szCs w:val="24"/>
        </w:rPr>
        <w:t>质量向招标方负责</w:t>
      </w:r>
      <w:r>
        <w:rPr>
          <w:rFonts w:hint="eastAsia" w:ascii="宋体" w:hAnsi="宋体" w:eastAsia="宋体" w:cs="Times New Roman"/>
          <w:sz w:val="24"/>
          <w:szCs w:val="24"/>
        </w:rPr>
        <w:t>，</w:t>
      </w:r>
      <w:r>
        <w:rPr>
          <w:rFonts w:ascii="宋体" w:hAnsi="宋体" w:eastAsia="宋体" w:cs="Times New Roman"/>
          <w:sz w:val="24"/>
          <w:szCs w:val="24"/>
        </w:rPr>
        <w:t>并提供相应出厂和验收</w:t>
      </w:r>
      <w:r>
        <w:rPr>
          <w:rFonts w:hint="eastAsia" w:ascii="宋体" w:hAnsi="宋体" w:eastAsia="宋体" w:cs="Times New Roman"/>
          <w:sz w:val="24"/>
          <w:szCs w:val="24"/>
        </w:rPr>
        <w:t>报告</w:t>
      </w:r>
      <w:r>
        <w:rPr>
          <w:rFonts w:ascii="宋体" w:hAnsi="宋体" w:eastAsia="宋体" w:cs="Times New Roman"/>
          <w:sz w:val="24"/>
          <w:szCs w:val="24"/>
        </w:rPr>
        <w:t>。</w:t>
      </w:r>
    </w:p>
    <w:p>
      <w:pPr>
        <w:pStyle w:val="47"/>
        <w:adjustRightInd w:val="0"/>
        <w:snapToGrid w:val="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4）工厂试验由投标方在生产厂家内完成，但应有招标方代表参加，参加工厂验收的人数及天数等规定详见标书商务部分。</w:t>
      </w:r>
    </w:p>
    <w:p>
      <w:pPr>
        <w:pStyle w:val="47"/>
        <w:adjustRightInd w:val="0"/>
        <w:snapToGrid w:val="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5）投标方应协助招标方解决设备运行中出现的问题。</w:t>
      </w:r>
    </w:p>
    <w:p>
      <w:pPr>
        <w:pStyle w:val="47"/>
        <w:adjustRightInd w:val="0"/>
        <w:snapToGrid w:val="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6）如果安装、调试、性能试验、试运行及质保期内技术指标一项或多项不能满足合同技术部分要求，买卖双方共同分析原因，分清责任，如属制造方面的原因，或涉及索赔部分，按商务部分有关条款执行。</w:t>
      </w:r>
    </w:p>
    <w:p>
      <w:pPr>
        <w:pStyle w:val="47"/>
        <w:adjustRightInd w:val="0"/>
        <w:snapToGrid w:val="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8）本标书采购设备安装、调试和现场交接验收和试验合格后方可使用。设备正常使用后，投标方和招标方（业主）双方应根据相关法律、法规和公司管理制度签署合同设备的验收证明书。该证明书共两份，双方各执一份。</w:t>
      </w:r>
    </w:p>
    <w:p>
      <w:pPr>
        <w:pStyle w:val="47"/>
        <w:adjustRightInd w:val="0"/>
        <w:snapToGrid w:val="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9）投标方应按招标方要求免费提供必须的人员培训和技术指导，确保招标方正常使用和维护设备； </w:t>
      </w:r>
    </w:p>
    <w:bookmarkEnd w:id="8"/>
    <w:p>
      <w:pPr>
        <w:pStyle w:val="4"/>
        <w:numPr>
          <w:ilvl w:val="0"/>
          <w:numId w:val="0"/>
        </w:numPr>
        <w:snapToGrid/>
        <w:spacing w:before="0" w:beforeLines="0" w:line="480" w:lineRule="auto"/>
        <w:rPr>
          <w:rFonts w:hint="eastAsia" w:hAnsi="宋体"/>
          <w:sz w:val="24"/>
          <w:szCs w:val="24"/>
        </w:rPr>
      </w:pPr>
      <w:bookmarkStart w:id="19" w:name="_Toc399627539"/>
      <w:r>
        <w:rPr>
          <w:rFonts w:hint="eastAsia" w:hAnsi="宋体"/>
          <w:sz w:val="24"/>
          <w:szCs w:val="24"/>
        </w:rPr>
        <w:t>3 应遵循的主要标准</w:t>
      </w:r>
      <w:bookmarkEnd w:id="19"/>
    </w:p>
    <w:p>
      <w:pPr>
        <w:pStyle w:val="47"/>
        <w:adjustRightInd w:val="0"/>
        <w:snapToGrid w:val="0"/>
        <w:spacing w:line="360" w:lineRule="auto"/>
        <w:ind w:firstLine="480"/>
        <w:rPr>
          <w:rFonts w:hint="eastAsia" w:ascii="宋体" w:hAnsi="宋体" w:eastAsia="宋体" w:cs="Times New Roman"/>
          <w:sz w:val="24"/>
          <w:szCs w:val="24"/>
        </w:rPr>
      </w:pPr>
      <w:r>
        <w:rPr>
          <w:rFonts w:ascii="宋体" w:hAnsi="宋体" w:eastAsia="宋体" w:cs="Times New Roman"/>
          <w:sz w:val="24"/>
          <w:szCs w:val="24"/>
        </w:rPr>
        <w:t>除本标书特殊规定外，投标方所提供的设备均按规定的标准和规程的最新版本进行设计、制造、试验和安装。如果这些标准内容有矛盾时，应按最高标准的条款执行或按双方商定的标准执行。如果投标方选用本标书规定以外的标准时，则需提交这种替换标准供审查和分析。仅在投标方已证明替换标准相当或优于标书规定的标准，并从招标方处获得书面的认可才能使用。提交供审查的标准应为中文或英文版本。</w:t>
      </w:r>
    </w:p>
    <w:p>
      <w:pPr>
        <w:spacing w:line="360" w:lineRule="auto"/>
        <w:ind w:firstLine="480" w:firstLineChars="200"/>
        <w:rPr>
          <w:rFonts w:hint="eastAsia" w:ascii="宋体" w:hAnsi="宋体"/>
          <w:sz w:val="24"/>
        </w:rPr>
      </w:pPr>
      <w:r>
        <w:rPr>
          <w:rFonts w:hint="eastAsia" w:ascii="宋体" w:hAnsi="宋体"/>
          <w:sz w:val="24"/>
        </w:rPr>
        <w:t>下列文件对于本技术规范书的应用是必不可少。凡是注日期的引用文件，仅注日期的版本适用于本技术规范书。凡是不注日期的引用文件，其最新版本（包括所有的修改单）适用于本技术规范书：</w:t>
      </w:r>
    </w:p>
    <w:p>
      <w:pPr>
        <w:spacing w:line="360" w:lineRule="auto"/>
        <w:ind w:firstLine="480" w:firstLineChars="200"/>
        <w:rPr>
          <w:rFonts w:ascii="宋体" w:hAnsi="宋体"/>
          <w:sz w:val="24"/>
        </w:rPr>
      </w:pPr>
      <w:r>
        <w:rPr>
          <w:rFonts w:ascii="宋体" w:hAnsi="宋体"/>
          <w:sz w:val="24"/>
        </w:rPr>
        <w:t>GB</w:t>
      </w:r>
      <w:r>
        <w:rPr>
          <w:rFonts w:hint="eastAsia" w:ascii="宋体" w:hAnsi="宋体"/>
          <w:sz w:val="24"/>
        </w:rPr>
        <w:t xml:space="preserve"> </w:t>
      </w:r>
      <w:r>
        <w:rPr>
          <w:rFonts w:ascii="宋体" w:hAnsi="宋体"/>
          <w:sz w:val="24"/>
        </w:rPr>
        <w:t xml:space="preserve">191                 </w:t>
      </w:r>
      <w:r>
        <w:rPr>
          <w:rFonts w:hint="eastAsia" w:ascii="宋体" w:hAnsi="宋体"/>
          <w:sz w:val="24"/>
        </w:rPr>
        <w:t>包装贮运标志</w:t>
      </w:r>
    </w:p>
    <w:p>
      <w:pPr>
        <w:spacing w:line="360" w:lineRule="auto"/>
        <w:ind w:firstLine="480" w:firstLineChars="200"/>
        <w:rPr>
          <w:rFonts w:hint="eastAsia" w:ascii="宋体" w:hAnsi="宋体"/>
          <w:sz w:val="24"/>
        </w:rPr>
      </w:pPr>
      <w:r>
        <w:rPr>
          <w:rFonts w:ascii="宋体" w:hAnsi="宋体"/>
          <w:sz w:val="24"/>
        </w:rPr>
        <w:t>GB</w:t>
      </w:r>
      <w:r>
        <w:rPr>
          <w:rFonts w:hint="eastAsia" w:ascii="宋体" w:hAnsi="宋体"/>
          <w:sz w:val="24"/>
        </w:rPr>
        <w:t xml:space="preserve"> 4793.1</w:t>
      </w:r>
      <w:r>
        <w:rPr>
          <w:rFonts w:ascii="宋体" w:hAnsi="宋体"/>
          <w:sz w:val="24"/>
        </w:rPr>
        <w:t xml:space="preserve">              </w:t>
      </w:r>
      <w:r>
        <w:rPr>
          <w:rFonts w:hint="eastAsia" w:ascii="宋体" w:hAnsi="宋体"/>
          <w:sz w:val="24"/>
        </w:rPr>
        <w:t>测量控制和试验室用电气设备的安全要求</w:t>
      </w:r>
    </w:p>
    <w:p>
      <w:pPr>
        <w:spacing w:line="360" w:lineRule="auto"/>
        <w:ind w:firstLine="3240" w:firstLineChars="1350"/>
        <w:rPr>
          <w:rFonts w:ascii="宋体" w:hAnsi="宋体"/>
          <w:sz w:val="24"/>
        </w:rPr>
      </w:pPr>
      <w:r>
        <w:rPr>
          <w:rFonts w:hint="eastAsia" w:ascii="宋体" w:hAnsi="宋体"/>
          <w:sz w:val="24"/>
        </w:rPr>
        <w:t>第一部分：通用要求</w:t>
      </w:r>
    </w:p>
    <w:p>
      <w:pPr>
        <w:spacing w:line="360" w:lineRule="auto"/>
        <w:ind w:firstLine="480" w:firstLineChars="200"/>
        <w:rPr>
          <w:rFonts w:hint="eastAsia" w:ascii="宋体" w:hAnsi="宋体"/>
          <w:sz w:val="24"/>
        </w:rPr>
      </w:pPr>
      <w:r>
        <w:rPr>
          <w:rFonts w:hint="eastAsia" w:ascii="宋体" w:hAnsi="宋体"/>
          <w:sz w:val="24"/>
        </w:rPr>
        <w:t xml:space="preserve">GB 6578.1              </w:t>
      </w:r>
      <w:r>
        <w:rPr>
          <w:rFonts w:hAnsi="宋体"/>
          <w:kern w:val="0"/>
          <w:sz w:val="24"/>
        </w:rPr>
        <w:t>电子测量仪器环境试验总纲</w:t>
      </w:r>
    </w:p>
    <w:p>
      <w:pPr>
        <w:spacing w:line="360" w:lineRule="auto"/>
        <w:ind w:firstLine="480" w:firstLineChars="200"/>
        <w:rPr>
          <w:rFonts w:hint="eastAsia" w:ascii="宋体" w:hAnsi="宋体"/>
          <w:sz w:val="24"/>
        </w:rPr>
      </w:pPr>
      <w:r>
        <w:rPr>
          <w:rFonts w:hint="eastAsia" w:ascii="宋体" w:hAnsi="宋体"/>
          <w:sz w:val="24"/>
        </w:rPr>
        <w:t xml:space="preserve">GB 6578.1              </w:t>
      </w:r>
      <w:r>
        <w:rPr>
          <w:rFonts w:hAnsi="宋体"/>
          <w:kern w:val="0"/>
          <w:sz w:val="24"/>
        </w:rPr>
        <w:t>电子测量仪器湿度试验</w:t>
      </w:r>
    </w:p>
    <w:p>
      <w:pPr>
        <w:spacing w:line="360" w:lineRule="auto"/>
        <w:ind w:firstLine="480" w:firstLineChars="200"/>
        <w:rPr>
          <w:rFonts w:hint="eastAsia" w:ascii="宋体" w:hAnsi="宋体"/>
          <w:sz w:val="24"/>
        </w:rPr>
      </w:pPr>
      <w:r>
        <w:rPr>
          <w:rFonts w:ascii="宋体" w:hAnsi="宋体"/>
          <w:sz w:val="24"/>
        </w:rPr>
        <w:t xml:space="preserve">GB/T </w:t>
      </w:r>
      <w:r>
        <w:rPr>
          <w:rFonts w:hint="eastAsia" w:ascii="宋体" w:hAnsi="宋体"/>
          <w:sz w:val="24"/>
        </w:rPr>
        <w:t xml:space="preserve">7261—2008    </w:t>
      </w:r>
      <w:r>
        <w:rPr>
          <w:rFonts w:ascii="宋体" w:hAnsi="宋体"/>
          <w:sz w:val="24"/>
        </w:rPr>
        <w:t xml:space="preserve">    </w:t>
      </w:r>
      <w:r>
        <w:rPr>
          <w:rFonts w:hAnsi="宋体"/>
          <w:kern w:val="0"/>
          <w:sz w:val="24"/>
        </w:rPr>
        <w:t>继电保护和安全自动装置基本试验方法</w:t>
      </w:r>
    </w:p>
    <w:p>
      <w:pPr>
        <w:spacing w:line="360" w:lineRule="auto"/>
        <w:ind w:firstLine="480" w:firstLineChars="200"/>
        <w:rPr>
          <w:rFonts w:hint="eastAsia" w:ascii="宋体" w:hAnsi="宋体"/>
          <w:sz w:val="24"/>
        </w:rPr>
      </w:pPr>
      <w:r>
        <w:rPr>
          <w:rFonts w:ascii="宋体" w:hAnsi="宋体"/>
          <w:sz w:val="24"/>
        </w:rPr>
        <w:t xml:space="preserve">GB/T </w:t>
      </w:r>
      <w:r>
        <w:rPr>
          <w:rFonts w:hint="eastAsia" w:ascii="宋体" w:hAnsi="宋体"/>
          <w:sz w:val="24"/>
        </w:rPr>
        <w:t>20840.7</w:t>
      </w:r>
      <w:r>
        <w:rPr>
          <w:rFonts w:ascii="宋体" w:hAnsi="宋体"/>
          <w:sz w:val="24"/>
        </w:rPr>
        <w:t>-</w:t>
      </w:r>
      <w:r>
        <w:rPr>
          <w:rFonts w:hint="eastAsia" w:ascii="宋体" w:hAnsi="宋体"/>
          <w:sz w:val="24"/>
        </w:rPr>
        <w:t>2007</w:t>
      </w:r>
      <w:r>
        <w:rPr>
          <w:rFonts w:ascii="宋体" w:hAnsi="宋体"/>
          <w:sz w:val="24"/>
        </w:rPr>
        <w:t xml:space="preserve">      </w:t>
      </w:r>
      <w:r>
        <w:rPr>
          <w:rFonts w:hAnsi="宋体"/>
          <w:kern w:val="0"/>
          <w:sz w:val="24"/>
        </w:rPr>
        <w:t>互感器 第7部分：电子式电压互感器</w:t>
      </w:r>
      <w:r>
        <w:rPr>
          <w:rFonts w:ascii="宋体" w:hAnsi="宋体"/>
          <w:sz w:val="24"/>
        </w:rPr>
        <w:t xml:space="preserve">  </w:t>
      </w:r>
    </w:p>
    <w:p>
      <w:pPr>
        <w:spacing w:line="360" w:lineRule="auto"/>
        <w:ind w:firstLine="480" w:firstLineChars="200"/>
        <w:rPr>
          <w:rFonts w:hint="eastAsia" w:hAnsi="宋体"/>
          <w:kern w:val="0"/>
          <w:sz w:val="24"/>
        </w:rPr>
      </w:pPr>
      <w:r>
        <w:rPr>
          <w:rFonts w:ascii="宋体" w:hAnsi="宋体"/>
          <w:sz w:val="24"/>
        </w:rPr>
        <w:t xml:space="preserve">GB/T </w:t>
      </w:r>
      <w:r>
        <w:rPr>
          <w:rFonts w:hint="eastAsia" w:ascii="宋体" w:hAnsi="宋体"/>
          <w:sz w:val="24"/>
        </w:rPr>
        <w:t>20840.8</w:t>
      </w:r>
      <w:r>
        <w:rPr>
          <w:rFonts w:ascii="宋体" w:hAnsi="宋体"/>
          <w:sz w:val="24"/>
        </w:rPr>
        <w:t>-</w:t>
      </w:r>
      <w:r>
        <w:rPr>
          <w:rFonts w:hint="eastAsia" w:ascii="宋体" w:hAnsi="宋体"/>
          <w:sz w:val="24"/>
        </w:rPr>
        <w:t>2007</w:t>
      </w:r>
      <w:r>
        <w:rPr>
          <w:rFonts w:ascii="宋体" w:hAnsi="宋体"/>
          <w:sz w:val="24"/>
        </w:rPr>
        <w:t xml:space="preserve">      </w:t>
      </w:r>
      <w:r>
        <w:rPr>
          <w:rFonts w:hAnsi="宋体"/>
          <w:kern w:val="0"/>
          <w:sz w:val="24"/>
        </w:rPr>
        <w:t>互感器 第8部分：电子式电流互感器</w:t>
      </w:r>
    </w:p>
    <w:p>
      <w:pPr>
        <w:spacing w:line="360" w:lineRule="auto"/>
        <w:ind w:firstLine="480" w:firstLineChars="200"/>
        <w:rPr>
          <w:rFonts w:hint="eastAsia" w:ascii="宋体" w:hAnsi="宋体"/>
          <w:sz w:val="24"/>
        </w:rPr>
      </w:pPr>
      <w:r>
        <w:rPr>
          <w:rFonts w:hint="eastAsia" w:ascii="宋体" w:hAnsi="宋体"/>
          <w:sz w:val="24"/>
        </w:rPr>
        <w:t xml:space="preserve">DL/Z860.1              </w:t>
      </w:r>
      <w:r>
        <w:rPr>
          <w:rFonts w:hAnsi="宋体"/>
          <w:kern w:val="0"/>
          <w:sz w:val="24"/>
        </w:rPr>
        <w:t>变电站通信网络和系统  第1部分：概论</w:t>
      </w:r>
    </w:p>
    <w:p>
      <w:pPr>
        <w:spacing w:line="360" w:lineRule="auto"/>
        <w:ind w:left="3239" w:leftChars="228" w:hanging="2760" w:hangingChars="1150"/>
        <w:rPr>
          <w:rFonts w:hint="eastAsia" w:ascii="宋体" w:hAnsi="宋体"/>
          <w:sz w:val="24"/>
        </w:rPr>
      </w:pPr>
      <w:r>
        <w:rPr>
          <w:rFonts w:hint="eastAsia" w:ascii="宋体" w:hAnsi="宋体"/>
          <w:sz w:val="24"/>
        </w:rPr>
        <w:t xml:space="preserve">DL/Z860.6              </w:t>
      </w:r>
      <w:r>
        <w:rPr>
          <w:rFonts w:hAnsi="宋体"/>
          <w:kern w:val="0"/>
          <w:sz w:val="24"/>
        </w:rPr>
        <w:t>变电站通信网络和系统  第6部分：与变电站有关的IED的通信配置描述语言</w:t>
      </w:r>
    </w:p>
    <w:p>
      <w:pPr>
        <w:spacing w:line="360" w:lineRule="auto"/>
        <w:ind w:left="3239" w:leftChars="228" w:hanging="2760" w:hangingChars="1150"/>
        <w:rPr>
          <w:rFonts w:hint="eastAsia" w:ascii="宋体" w:hAnsi="宋体"/>
          <w:sz w:val="24"/>
        </w:rPr>
      </w:pPr>
      <w:r>
        <w:rPr>
          <w:rFonts w:hint="eastAsia" w:ascii="宋体" w:hAnsi="宋体"/>
          <w:sz w:val="24"/>
        </w:rPr>
        <w:t xml:space="preserve">DL/Z860.72             </w:t>
      </w:r>
      <w:r>
        <w:rPr>
          <w:rFonts w:hAnsi="宋体"/>
          <w:sz w:val="24"/>
        </w:rPr>
        <w:t>变电站通信网络及系统 第7-2部分：变电站和馈线设备的基本通信结构抽象通信服务接口(ACSI）</w:t>
      </w:r>
    </w:p>
    <w:p>
      <w:pPr>
        <w:spacing w:line="360" w:lineRule="auto"/>
        <w:ind w:left="3239" w:leftChars="228" w:hanging="2760" w:hangingChars="1150"/>
        <w:rPr>
          <w:rFonts w:hint="eastAsia" w:ascii="宋体" w:hAnsi="宋体"/>
          <w:sz w:val="24"/>
        </w:rPr>
      </w:pPr>
      <w:r>
        <w:rPr>
          <w:rFonts w:hint="eastAsia" w:ascii="宋体" w:hAnsi="宋体"/>
          <w:sz w:val="24"/>
        </w:rPr>
        <w:t xml:space="preserve">DL/Z860.91             </w:t>
      </w:r>
      <w:r>
        <w:rPr>
          <w:rFonts w:hAnsi="宋体"/>
          <w:sz w:val="24"/>
        </w:rPr>
        <w:t>变电站通信网络及系统 第9-1部分：特定通信服务影射(SCSM）单向多路点对点串行通信链路上的采样值</w:t>
      </w:r>
    </w:p>
    <w:p>
      <w:pPr>
        <w:spacing w:line="360" w:lineRule="auto"/>
        <w:ind w:left="3239" w:leftChars="228" w:hanging="2760" w:hangingChars="1150"/>
        <w:rPr>
          <w:rFonts w:hint="eastAsia" w:ascii="宋体" w:hAnsi="宋体"/>
          <w:sz w:val="24"/>
        </w:rPr>
      </w:pPr>
      <w:r>
        <w:rPr>
          <w:rFonts w:hint="eastAsia" w:ascii="宋体" w:hAnsi="宋体"/>
          <w:sz w:val="24"/>
        </w:rPr>
        <w:t xml:space="preserve">DL/Z860.92             </w:t>
      </w:r>
      <w:r>
        <w:rPr>
          <w:rFonts w:hAnsi="宋体"/>
          <w:sz w:val="24"/>
        </w:rPr>
        <w:t>变电站通信网络及系统 第9-2部分：特定通信服务影射(SCSM）映射到ISO/IEC8802-3的采样值</w:t>
      </w:r>
    </w:p>
    <w:p>
      <w:pPr>
        <w:spacing w:line="360" w:lineRule="auto"/>
        <w:ind w:firstLine="480" w:firstLineChars="200"/>
        <w:rPr>
          <w:rFonts w:hint="eastAsia" w:hAnsi="宋体"/>
          <w:sz w:val="18"/>
          <w:szCs w:val="18"/>
        </w:rPr>
      </w:pPr>
      <w:r>
        <w:rPr>
          <w:rFonts w:hint="eastAsia" w:ascii="宋体" w:hAnsi="宋体"/>
          <w:sz w:val="24"/>
        </w:rPr>
        <w:t xml:space="preserve">IEC61588-2009  </w:t>
      </w:r>
      <w:r>
        <w:rPr>
          <w:rFonts w:ascii="宋体" w:hAnsi="宋体"/>
          <w:sz w:val="24"/>
        </w:rPr>
        <w:t xml:space="preserve">        </w:t>
      </w:r>
      <w:r>
        <w:rPr>
          <w:rFonts w:hint="eastAsia" w:hAnsi="宋体"/>
          <w:sz w:val="24"/>
        </w:rPr>
        <w:t>网络化测量和控制系统精密时钟同步协议</w:t>
      </w:r>
    </w:p>
    <w:p>
      <w:pPr>
        <w:spacing w:line="360" w:lineRule="auto"/>
        <w:ind w:firstLine="480" w:firstLineChars="200"/>
        <w:rPr>
          <w:rFonts w:hint="eastAsia" w:hAnsi="宋体"/>
          <w:sz w:val="24"/>
        </w:rPr>
      </w:pPr>
      <w:r>
        <w:rPr>
          <w:rFonts w:ascii="宋体" w:hAnsi="宋体"/>
          <w:sz w:val="24"/>
        </w:rPr>
        <w:t>GB/T</w:t>
      </w:r>
      <w:r>
        <w:rPr>
          <w:rFonts w:hint="eastAsia" w:ascii="宋体" w:hAnsi="宋体"/>
          <w:sz w:val="24"/>
        </w:rPr>
        <w:t>17626.2</w:t>
      </w:r>
      <w:r>
        <w:rPr>
          <w:rFonts w:ascii="宋体" w:hAnsi="宋体"/>
          <w:sz w:val="24"/>
        </w:rPr>
        <w:t>-</w:t>
      </w:r>
      <w:r>
        <w:rPr>
          <w:rFonts w:hint="eastAsia" w:ascii="宋体" w:hAnsi="宋体"/>
          <w:sz w:val="24"/>
        </w:rPr>
        <w:t>2006</w:t>
      </w:r>
      <w:r>
        <w:rPr>
          <w:rFonts w:ascii="宋体" w:hAnsi="宋体"/>
          <w:sz w:val="24"/>
        </w:rPr>
        <w:t xml:space="preserve">       </w:t>
      </w:r>
      <w:r>
        <w:rPr>
          <w:rFonts w:hAnsi="宋体"/>
          <w:sz w:val="24"/>
        </w:rPr>
        <w:t>电磁兼容性</w:t>
      </w:r>
      <w:r>
        <w:rPr>
          <w:rFonts w:hint="eastAsia" w:hAnsi="宋体"/>
          <w:sz w:val="24"/>
        </w:rPr>
        <w:t xml:space="preserve"> </w:t>
      </w:r>
      <w:r>
        <w:rPr>
          <w:rFonts w:hAnsi="宋体"/>
          <w:sz w:val="24"/>
        </w:rPr>
        <w:t>试验和测量技术</w:t>
      </w:r>
      <w:r>
        <w:rPr>
          <w:rFonts w:hint="eastAsia" w:hAnsi="宋体"/>
          <w:sz w:val="24"/>
        </w:rPr>
        <w:t>　</w:t>
      </w:r>
      <w:r>
        <w:rPr>
          <w:rFonts w:hAnsi="宋体"/>
          <w:sz w:val="24"/>
        </w:rPr>
        <w:t>静电放电抗扰</w:t>
      </w:r>
      <w:r>
        <w:rPr>
          <w:rFonts w:hint="eastAsia" w:hAnsi="宋体"/>
          <w:sz w:val="24"/>
        </w:rPr>
        <w:t>度</w:t>
      </w:r>
      <w:r>
        <w:rPr>
          <w:rFonts w:hAnsi="宋体"/>
          <w:sz w:val="24"/>
        </w:rPr>
        <w:t>试验</w:t>
      </w:r>
    </w:p>
    <w:p>
      <w:pPr>
        <w:spacing w:line="360" w:lineRule="auto"/>
        <w:ind w:left="3239" w:leftChars="228" w:hanging="2760" w:hangingChars="1150"/>
        <w:rPr>
          <w:rFonts w:hint="eastAsia" w:ascii="宋体" w:hAnsi="宋体"/>
          <w:sz w:val="24"/>
        </w:rPr>
      </w:pPr>
      <w:r>
        <w:rPr>
          <w:rFonts w:ascii="宋体" w:hAnsi="宋体"/>
          <w:sz w:val="24"/>
        </w:rPr>
        <w:t>GB/T</w:t>
      </w:r>
      <w:r>
        <w:rPr>
          <w:rFonts w:hint="eastAsia" w:ascii="宋体" w:hAnsi="宋体"/>
          <w:sz w:val="24"/>
        </w:rPr>
        <w:t>17626.3</w:t>
      </w:r>
      <w:r>
        <w:rPr>
          <w:rFonts w:ascii="宋体" w:hAnsi="宋体"/>
          <w:sz w:val="24"/>
        </w:rPr>
        <w:t>-</w:t>
      </w:r>
      <w:r>
        <w:rPr>
          <w:rFonts w:hint="eastAsia" w:ascii="宋体" w:hAnsi="宋体"/>
          <w:sz w:val="24"/>
        </w:rPr>
        <w:t xml:space="preserve">2006       </w:t>
      </w:r>
      <w:r>
        <w:rPr>
          <w:rFonts w:hAnsi="宋体"/>
          <w:sz w:val="24"/>
        </w:rPr>
        <w:t>电磁兼容性</w:t>
      </w:r>
      <w:r>
        <w:rPr>
          <w:rFonts w:hint="eastAsia" w:hAnsi="宋体"/>
          <w:sz w:val="24"/>
        </w:rPr>
        <w:t xml:space="preserve"> </w:t>
      </w:r>
      <w:r>
        <w:rPr>
          <w:rFonts w:hAnsi="宋体"/>
          <w:sz w:val="24"/>
        </w:rPr>
        <w:t>试验和测量技术</w:t>
      </w:r>
      <w:r>
        <w:rPr>
          <w:rFonts w:hint="eastAsia" w:hAnsi="宋体"/>
          <w:sz w:val="24"/>
        </w:rPr>
        <w:t>　</w:t>
      </w:r>
      <w:r>
        <w:rPr>
          <w:rFonts w:hAnsi="宋体"/>
          <w:sz w:val="24"/>
        </w:rPr>
        <w:t>射频电磁场辐射抗扰</w:t>
      </w:r>
      <w:r>
        <w:rPr>
          <w:rFonts w:hint="eastAsia" w:hAnsi="宋体"/>
          <w:sz w:val="24"/>
        </w:rPr>
        <w:t>度</w:t>
      </w:r>
      <w:r>
        <w:rPr>
          <w:rFonts w:hAnsi="宋体"/>
          <w:sz w:val="24"/>
        </w:rPr>
        <w:t>试验</w:t>
      </w:r>
    </w:p>
    <w:p>
      <w:pPr>
        <w:pStyle w:val="4"/>
        <w:numPr>
          <w:ilvl w:val="0"/>
          <w:numId w:val="0"/>
        </w:numPr>
        <w:snapToGrid/>
        <w:spacing w:before="0" w:beforeLines="0" w:line="480" w:lineRule="auto"/>
        <w:rPr>
          <w:rFonts w:hint="eastAsia" w:hAnsi="宋体"/>
          <w:sz w:val="24"/>
          <w:szCs w:val="24"/>
        </w:rPr>
      </w:pPr>
      <w:bookmarkStart w:id="20" w:name="_Toc279769035"/>
      <w:bookmarkStart w:id="21" w:name="_Toc399627540"/>
      <w:r>
        <w:rPr>
          <w:rFonts w:hint="eastAsia" w:hAnsi="宋体"/>
          <w:sz w:val="24"/>
          <w:szCs w:val="24"/>
        </w:rPr>
        <w:t>4 使用</w:t>
      </w:r>
      <w:bookmarkEnd w:id="20"/>
      <w:r>
        <w:rPr>
          <w:rFonts w:hint="eastAsia" w:hAnsi="宋体"/>
          <w:sz w:val="24"/>
          <w:szCs w:val="24"/>
        </w:rPr>
        <w:t>环境要求</w:t>
      </w:r>
      <w:bookmarkEnd w:id="21"/>
    </w:p>
    <w:p>
      <w:pPr>
        <w:pStyle w:val="47"/>
        <w:adjustRightInd w:val="0"/>
        <w:snapToGrid w:val="0"/>
        <w:spacing w:line="360" w:lineRule="auto"/>
        <w:ind w:firstLine="480"/>
        <w:rPr>
          <w:rFonts w:hint="eastAsia" w:ascii="宋体" w:hAnsi="宋体" w:eastAsia="宋体" w:cs="Times New Roman"/>
          <w:sz w:val="24"/>
          <w:szCs w:val="24"/>
        </w:rPr>
      </w:pPr>
      <w:bookmarkStart w:id="22" w:name="_Toc279769036"/>
      <w:r>
        <w:rPr>
          <w:rFonts w:hint="eastAsia" w:ascii="宋体" w:hAnsi="宋体" w:eastAsia="宋体" w:cs="Times New Roman"/>
          <w:sz w:val="24"/>
          <w:szCs w:val="24"/>
        </w:rPr>
        <w:t>本设备招标书技术文件需要采购的设备，其外部使用条件见表4.1。投标方应对所提供的设备性能参数在外部条件下进行校验、核对，使所供设备满足实际外部条件要求及全工况运行要求。</w:t>
      </w:r>
    </w:p>
    <w:p>
      <w:pPr>
        <w:pStyle w:val="47"/>
        <w:adjustRightInd w:val="0"/>
        <w:snapToGrid w:val="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4.1 设备</w:t>
      </w:r>
      <w:r>
        <w:rPr>
          <w:rFonts w:hint="eastAsia" w:ascii="宋体" w:hAnsi="宋体" w:eastAsia="宋体"/>
          <w:sz w:val="24"/>
          <w:szCs w:val="24"/>
        </w:rPr>
        <w:t>使用环境要求相应表（项目单位填写）</w:t>
      </w:r>
    </w:p>
    <w:tbl>
      <w:tblPr>
        <w:tblStyle w:val="27"/>
        <w:tblW w:w="8784"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432"/>
        <w:gridCol w:w="1964"/>
        <w:gridCol w:w="2376"/>
        <w:gridCol w:w="2127"/>
        <w:gridCol w:w="1885"/>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432" w:type="dxa"/>
          </w:tcPr>
          <w:p>
            <w:pPr>
              <w:jc w:val="center"/>
              <w:rPr>
                <w:rFonts w:ascii="宋体" w:hAnsi="宋体"/>
                <w:szCs w:val="21"/>
              </w:rPr>
            </w:pPr>
            <w:r>
              <w:rPr>
                <w:rFonts w:hint="eastAsia" w:ascii="宋体" w:hAnsi="宋体"/>
                <w:szCs w:val="21"/>
              </w:rPr>
              <w:t>序号</w:t>
            </w:r>
          </w:p>
        </w:tc>
        <w:tc>
          <w:tcPr>
            <w:tcW w:w="1964" w:type="dxa"/>
            <w:vAlign w:val="center"/>
          </w:tcPr>
          <w:p>
            <w:pPr>
              <w:jc w:val="center"/>
              <w:rPr>
                <w:rFonts w:hint="eastAsia" w:ascii="宋体" w:hAnsi="宋体"/>
                <w:szCs w:val="21"/>
              </w:rPr>
            </w:pPr>
            <w:r>
              <w:rPr>
                <w:rFonts w:ascii="宋体" w:hAnsi="宋体"/>
                <w:szCs w:val="21"/>
              </w:rPr>
              <w:t>名  称</w:t>
            </w:r>
          </w:p>
        </w:tc>
        <w:tc>
          <w:tcPr>
            <w:tcW w:w="2376" w:type="dxa"/>
            <w:vAlign w:val="center"/>
          </w:tcPr>
          <w:p>
            <w:pPr>
              <w:jc w:val="center"/>
              <w:rPr>
                <w:rFonts w:ascii="宋体" w:hAnsi="宋体"/>
                <w:szCs w:val="21"/>
              </w:rPr>
            </w:pPr>
            <w:r>
              <w:rPr>
                <w:rFonts w:hint="eastAsia" w:ascii="宋体" w:hAnsi="宋体"/>
                <w:szCs w:val="21"/>
              </w:rPr>
              <w:t>项目要求值</w:t>
            </w:r>
          </w:p>
        </w:tc>
        <w:tc>
          <w:tcPr>
            <w:tcW w:w="2127" w:type="dxa"/>
            <w:vAlign w:val="center"/>
          </w:tcPr>
          <w:p>
            <w:pPr>
              <w:jc w:val="center"/>
              <w:rPr>
                <w:rFonts w:ascii="宋体" w:hAnsi="宋体"/>
                <w:szCs w:val="21"/>
              </w:rPr>
            </w:pPr>
            <w:r>
              <w:rPr>
                <w:rFonts w:hint="eastAsia" w:ascii="宋体" w:hAnsi="宋体"/>
                <w:szCs w:val="21"/>
              </w:rPr>
              <w:t>投标方</w:t>
            </w:r>
            <w:r>
              <w:rPr>
                <w:rFonts w:ascii="宋体" w:hAnsi="宋体"/>
                <w:szCs w:val="21"/>
              </w:rPr>
              <w:t>保证值</w:t>
            </w:r>
          </w:p>
        </w:tc>
        <w:tc>
          <w:tcPr>
            <w:tcW w:w="1885" w:type="dxa"/>
            <w:vAlign w:val="center"/>
          </w:tcPr>
          <w:p>
            <w:pPr>
              <w:jc w:val="center"/>
              <w:rPr>
                <w:rFonts w:hint="eastAsia" w:ascii="宋体" w:hAnsi="宋体"/>
                <w:szCs w:val="21"/>
              </w:rPr>
            </w:pPr>
            <w:r>
              <w:rPr>
                <w:rFonts w:hint="eastAsia" w:ascii="宋体" w:hAnsi="宋体"/>
                <w:szCs w:val="21"/>
              </w:rPr>
              <w:t>备注</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432" w:type="dxa"/>
          </w:tcPr>
          <w:p>
            <w:pPr>
              <w:rPr>
                <w:rFonts w:hint="eastAsia" w:ascii="宋体" w:hAnsi="宋体"/>
                <w:szCs w:val="21"/>
              </w:rPr>
            </w:pPr>
            <w:r>
              <w:rPr>
                <w:rFonts w:hint="eastAsia" w:ascii="宋体" w:hAnsi="宋体"/>
                <w:szCs w:val="21"/>
              </w:rPr>
              <w:t>1</w:t>
            </w:r>
          </w:p>
        </w:tc>
        <w:tc>
          <w:tcPr>
            <w:tcW w:w="1964" w:type="dxa"/>
            <w:vAlign w:val="center"/>
          </w:tcPr>
          <w:p>
            <w:pPr>
              <w:jc w:val="center"/>
              <w:rPr>
                <w:rFonts w:hint="eastAsia" w:ascii="宋体" w:hAnsi="宋体"/>
                <w:szCs w:val="21"/>
              </w:rPr>
            </w:pPr>
            <w:r>
              <w:rPr>
                <w:rFonts w:hint="eastAsia" w:ascii="宋体" w:hAnsi="宋体"/>
                <w:szCs w:val="21"/>
              </w:rPr>
              <w:t>工作温度</w:t>
            </w:r>
          </w:p>
        </w:tc>
        <w:tc>
          <w:tcPr>
            <w:tcW w:w="2376" w:type="dxa"/>
            <w:vAlign w:val="center"/>
          </w:tcPr>
          <w:p>
            <w:pPr>
              <w:jc w:val="center"/>
              <w:rPr>
                <w:rFonts w:hint="eastAsia" w:ascii="宋体" w:hAnsi="宋体"/>
                <w:szCs w:val="21"/>
              </w:rPr>
            </w:pPr>
            <w:r>
              <w:rPr>
                <w:rFonts w:ascii="宋体" w:hAnsi="宋体"/>
                <w:szCs w:val="21"/>
              </w:rPr>
              <w:t>-</w:t>
            </w:r>
            <w:r>
              <w:rPr>
                <w:rFonts w:hint="eastAsia" w:ascii="宋体" w:hAnsi="宋体"/>
                <w:szCs w:val="21"/>
              </w:rPr>
              <w:t>5℃～</w:t>
            </w:r>
            <w:r>
              <w:rPr>
                <w:rFonts w:ascii="宋体" w:hAnsi="宋体"/>
                <w:szCs w:val="21"/>
              </w:rPr>
              <w:t>+</w:t>
            </w:r>
            <w:r>
              <w:rPr>
                <w:rFonts w:hint="eastAsia" w:ascii="宋体" w:hAnsi="宋体"/>
                <w:szCs w:val="21"/>
              </w:rPr>
              <w:t>4</w:t>
            </w:r>
            <w:r>
              <w:rPr>
                <w:rFonts w:ascii="宋体" w:hAnsi="宋体"/>
                <w:szCs w:val="21"/>
              </w:rPr>
              <w:t>0</w:t>
            </w:r>
            <w:r>
              <w:rPr>
                <w:rFonts w:hint="eastAsia" w:ascii="宋体" w:hAnsi="宋体"/>
                <w:szCs w:val="21"/>
              </w:rPr>
              <w:t>℃</w:t>
            </w:r>
          </w:p>
        </w:tc>
        <w:tc>
          <w:tcPr>
            <w:tcW w:w="2127" w:type="dxa"/>
            <w:vAlign w:val="center"/>
          </w:tcPr>
          <w:p>
            <w:pPr>
              <w:spacing w:line="360" w:lineRule="auto"/>
              <w:jc w:val="center"/>
              <w:rPr>
                <w:rFonts w:hint="eastAsia" w:ascii="宋体" w:hAnsi="宋体"/>
                <w:sz w:val="24"/>
              </w:rPr>
            </w:pPr>
          </w:p>
        </w:tc>
        <w:tc>
          <w:tcPr>
            <w:tcW w:w="1885" w:type="dxa"/>
            <w:vAlign w:val="center"/>
          </w:tcPr>
          <w:p>
            <w:pPr>
              <w:spacing w:line="360" w:lineRule="auto"/>
              <w:jc w:val="center"/>
              <w:rPr>
                <w:rFonts w:hint="eastAsia" w:ascii="宋体" w:hAnsi="宋体"/>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432" w:type="dxa"/>
          </w:tcPr>
          <w:p>
            <w:pPr>
              <w:rPr>
                <w:rFonts w:hint="eastAsia" w:ascii="宋体" w:hAnsi="宋体"/>
                <w:szCs w:val="21"/>
              </w:rPr>
            </w:pPr>
            <w:r>
              <w:rPr>
                <w:rFonts w:hint="eastAsia" w:ascii="宋体" w:hAnsi="宋体"/>
                <w:szCs w:val="21"/>
              </w:rPr>
              <w:t>2</w:t>
            </w:r>
          </w:p>
        </w:tc>
        <w:tc>
          <w:tcPr>
            <w:tcW w:w="1964" w:type="dxa"/>
            <w:vAlign w:val="center"/>
          </w:tcPr>
          <w:p>
            <w:pPr>
              <w:jc w:val="center"/>
              <w:rPr>
                <w:rFonts w:hint="eastAsia" w:ascii="宋体" w:hAnsi="宋体"/>
                <w:szCs w:val="21"/>
              </w:rPr>
            </w:pPr>
            <w:r>
              <w:rPr>
                <w:rFonts w:hint="eastAsia" w:ascii="宋体" w:hAnsi="宋体"/>
                <w:szCs w:val="21"/>
              </w:rPr>
              <w:t>存储温度</w:t>
            </w:r>
          </w:p>
        </w:tc>
        <w:tc>
          <w:tcPr>
            <w:tcW w:w="2376" w:type="dxa"/>
            <w:vAlign w:val="center"/>
          </w:tcPr>
          <w:p>
            <w:pPr>
              <w:jc w:val="center"/>
              <w:rPr>
                <w:rFonts w:hint="eastAsia" w:ascii="宋体" w:hAnsi="宋体"/>
                <w:szCs w:val="21"/>
              </w:rPr>
            </w:pPr>
            <w:r>
              <w:rPr>
                <w:rFonts w:ascii="宋体" w:hAnsi="宋体"/>
                <w:szCs w:val="21"/>
              </w:rPr>
              <w:t>-</w:t>
            </w:r>
            <w:r>
              <w:rPr>
                <w:rFonts w:hint="eastAsia" w:ascii="宋体" w:hAnsi="宋体"/>
                <w:szCs w:val="21"/>
              </w:rPr>
              <w:t>20℃～</w:t>
            </w:r>
            <w:r>
              <w:rPr>
                <w:rFonts w:ascii="宋体" w:hAnsi="宋体"/>
                <w:szCs w:val="21"/>
              </w:rPr>
              <w:t>+</w:t>
            </w:r>
            <w:r>
              <w:rPr>
                <w:rFonts w:hint="eastAsia" w:ascii="宋体" w:hAnsi="宋体"/>
                <w:szCs w:val="21"/>
              </w:rPr>
              <w:t>5</w:t>
            </w:r>
            <w:r>
              <w:rPr>
                <w:rFonts w:ascii="宋体" w:hAnsi="宋体"/>
                <w:szCs w:val="21"/>
              </w:rPr>
              <w:t>0</w:t>
            </w:r>
            <w:r>
              <w:rPr>
                <w:rFonts w:hint="eastAsia" w:ascii="宋体" w:hAnsi="宋体"/>
                <w:szCs w:val="21"/>
              </w:rPr>
              <w:t>℃</w:t>
            </w:r>
          </w:p>
        </w:tc>
        <w:tc>
          <w:tcPr>
            <w:tcW w:w="2127" w:type="dxa"/>
            <w:vAlign w:val="center"/>
          </w:tcPr>
          <w:p>
            <w:pPr>
              <w:spacing w:line="360" w:lineRule="auto"/>
              <w:jc w:val="center"/>
              <w:rPr>
                <w:rFonts w:hint="eastAsia" w:ascii="宋体" w:hAnsi="宋体"/>
                <w:sz w:val="24"/>
              </w:rPr>
            </w:pPr>
          </w:p>
        </w:tc>
        <w:tc>
          <w:tcPr>
            <w:tcW w:w="1885" w:type="dxa"/>
            <w:vAlign w:val="center"/>
          </w:tcPr>
          <w:p>
            <w:pPr>
              <w:spacing w:line="360" w:lineRule="auto"/>
              <w:jc w:val="center"/>
              <w:rPr>
                <w:rFonts w:hint="eastAsia" w:ascii="宋体" w:hAnsi="宋体"/>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432" w:type="dxa"/>
          </w:tcPr>
          <w:p>
            <w:pPr>
              <w:rPr>
                <w:rFonts w:hint="eastAsia" w:ascii="宋体" w:hAnsi="宋体"/>
                <w:szCs w:val="21"/>
              </w:rPr>
            </w:pPr>
            <w:r>
              <w:rPr>
                <w:rFonts w:hint="eastAsia" w:ascii="宋体" w:hAnsi="宋体"/>
                <w:szCs w:val="21"/>
              </w:rPr>
              <w:t>3</w:t>
            </w:r>
          </w:p>
        </w:tc>
        <w:tc>
          <w:tcPr>
            <w:tcW w:w="1964" w:type="dxa"/>
            <w:vAlign w:val="center"/>
          </w:tcPr>
          <w:p>
            <w:pPr>
              <w:jc w:val="center"/>
              <w:rPr>
                <w:rFonts w:hint="eastAsia" w:ascii="宋体" w:hAnsi="宋体"/>
                <w:szCs w:val="21"/>
              </w:rPr>
            </w:pPr>
            <w:r>
              <w:rPr>
                <w:rFonts w:hint="eastAsia" w:ascii="宋体" w:hAnsi="宋体"/>
                <w:szCs w:val="21"/>
              </w:rPr>
              <w:t>相对湿度</w:t>
            </w:r>
          </w:p>
        </w:tc>
        <w:tc>
          <w:tcPr>
            <w:tcW w:w="2376" w:type="dxa"/>
            <w:vAlign w:val="center"/>
          </w:tcPr>
          <w:p>
            <w:pPr>
              <w:jc w:val="center"/>
              <w:rPr>
                <w:rFonts w:hint="eastAsia" w:ascii="宋体" w:hAnsi="宋体"/>
                <w:szCs w:val="21"/>
              </w:rPr>
            </w:pPr>
            <w:r>
              <w:rPr>
                <w:rFonts w:hint="eastAsia" w:ascii="宋体" w:hAnsi="宋体"/>
                <w:szCs w:val="21"/>
              </w:rPr>
              <w:t>2</w:t>
            </w:r>
            <w:r>
              <w:rPr>
                <w:rFonts w:ascii="宋体" w:hAnsi="宋体"/>
                <w:szCs w:val="21"/>
              </w:rPr>
              <w:t>0%-95%</w:t>
            </w:r>
            <w:r>
              <w:rPr>
                <w:rFonts w:hint="eastAsia" w:ascii="宋体" w:hAnsi="宋体"/>
                <w:szCs w:val="21"/>
              </w:rPr>
              <w:t>RH（无凝露）</w:t>
            </w:r>
          </w:p>
        </w:tc>
        <w:tc>
          <w:tcPr>
            <w:tcW w:w="2127" w:type="dxa"/>
            <w:vAlign w:val="center"/>
          </w:tcPr>
          <w:p>
            <w:pPr>
              <w:spacing w:line="360" w:lineRule="auto"/>
              <w:jc w:val="center"/>
              <w:rPr>
                <w:rFonts w:hint="eastAsia" w:ascii="宋体" w:hAnsi="宋体"/>
                <w:sz w:val="24"/>
              </w:rPr>
            </w:pPr>
          </w:p>
        </w:tc>
        <w:tc>
          <w:tcPr>
            <w:tcW w:w="1885" w:type="dxa"/>
            <w:vAlign w:val="center"/>
          </w:tcPr>
          <w:p>
            <w:pPr>
              <w:spacing w:line="360" w:lineRule="auto"/>
              <w:jc w:val="center"/>
              <w:rPr>
                <w:rFonts w:hint="eastAsia" w:ascii="宋体" w:hAnsi="宋体"/>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432" w:type="dxa"/>
          </w:tcPr>
          <w:p>
            <w:pPr>
              <w:rPr>
                <w:rFonts w:hint="eastAsia" w:ascii="宋体" w:hAnsi="宋体"/>
                <w:szCs w:val="21"/>
              </w:rPr>
            </w:pPr>
            <w:r>
              <w:rPr>
                <w:rFonts w:hint="eastAsia" w:ascii="宋体" w:hAnsi="宋体"/>
                <w:szCs w:val="21"/>
              </w:rPr>
              <w:t>4</w:t>
            </w:r>
          </w:p>
        </w:tc>
        <w:tc>
          <w:tcPr>
            <w:tcW w:w="1964" w:type="dxa"/>
            <w:vAlign w:val="center"/>
          </w:tcPr>
          <w:p>
            <w:pPr>
              <w:jc w:val="center"/>
              <w:rPr>
                <w:rFonts w:hint="eastAsia" w:ascii="宋体" w:hAnsi="宋体"/>
                <w:szCs w:val="21"/>
              </w:rPr>
            </w:pPr>
            <w:r>
              <w:rPr>
                <w:rFonts w:hint="eastAsia" w:ascii="宋体" w:hAnsi="宋体"/>
                <w:szCs w:val="21"/>
              </w:rPr>
              <w:t>大气压力</w:t>
            </w:r>
          </w:p>
        </w:tc>
        <w:tc>
          <w:tcPr>
            <w:tcW w:w="2376" w:type="dxa"/>
            <w:vAlign w:val="center"/>
          </w:tcPr>
          <w:p>
            <w:pPr>
              <w:jc w:val="center"/>
              <w:rPr>
                <w:rFonts w:hint="eastAsia" w:ascii="宋体" w:hAnsi="宋体"/>
                <w:szCs w:val="21"/>
              </w:rPr>
            </w:pPr>
            <w:r>
              <w:rPr>
                <w:rFonts w:hAnsi="宋体"/>
                <w:kern w:val="0"/>
                <w:szCs w:val="21"/>
              </w:rPr>
              <w:t>80 kPa～110 kPa</w:t>
            </w:r>
          </w:p>
        </w:tc>
        <w:tc>
          <w:tcPr>
            <w:tcW w:w="2127" w:type="dxa"/>
            <w:vAlign w:val="center"/>
          </w:tcPr>
          <w:p>
            <w:pPr>
              <w:spacing w:line="360" w:lineRule="auto"/>
              <w:jc w:val="center"/>
              <w:rPr>
                <w:rFonts w:hint="eastAsia" w:ascii="宋体" w:hAnsi="宋体"/>
                <w:sz w:val="24"/>
              </w:rPr>
            </w:pPr>
          </w:p>
        </w:tc>
        <w:tc>
          <w:tcPr>
            <w:tcW w:w="1885" w:type="dxa"/>
            <w:vAlign w:val="center"/>
          </w:tcPr>
          <w:p>
            <w:pPr>
              <w:spacing w:line="360" w:lineRule="auto"/>
              <w:jc w:val="center"/>
              <w:rPr>
                <w:rFonts w:hint="eastAsia" w:ascii="宋体" w:hAnsi="宋体"/>
                <w:sz w:val="24"/>
              </w:rPr>
            </w:pPr>
          </w:p>
        </w:tc>
      </w:tr>
      <w:bookmarkEnd w:id="22"/>
    </w:tbl>
    <w:p>
      <w:pPr>
        <w:pStyle w:val="4"/>
        <w:numPr>
          <w:ilvl w:val="0"/>
          <w:numId w:val="0"/>
        </w:numPr>
        <w:snapToGrid/>
        <w:spacing w:before="0" w:beforeLines="0" w:line="480" w:lineRule="auto"/>
        <w:rPr>
          <w:rFonts w:hint="eastAsia" w:hAnsi="宋体"/>
          <w:sz w:val="24"/>
          <w:szCs w:val="24"/>
        </w:rPr>
      </w:pPr>
      <w:bookmarkStart w:id="23" w:name="_Toc276490903"/>
      <w:bookmarkStart w:id="24" w:name="_Toc276492375"/>
      <w:bookmarkStart w:id="25" w:name="_Toc399627541"/>
      <w:r>
        <w:rPr>
          <w:rFonts w:hint="eastAsia" w:hAnsi="宋体"/>
          <w:sz w:val="24"/>
          <w:szCs w:val="24"/>
        </w:rPr>
        <w:t>5 技术</w:t>
      </w:r>
      <w:bookmarkEnd w:id="23"/>
      <w:bookmarkEnd w:id="24"/>
      <w:r>
        <w:rPr>
          <w:rFonts w:hint="eastAsia" w:hAnsi="宋体"/>
          <w:sz w:val="24"/>
          <w:szCs w:val="24"/>
        </w:rPr>
        <w:t>要求</w:t>
      </w:r>
      <w:bookmarkEnd w:id="25"/>
    </w:p>
    <w:bookmarkEnd w:id="0"/>
    <w:p>
      <w:pPr>
        <w:pStyle w:val="13"/>
        <w:spacing w:line="720" w:lineRule="auto"/>
        <w:ind w:firstLine="0"/>
        <w:rPr>
          <w:rFonts w:hint="eastAsia" w:ascii="黑体" w:eastAsia="黑体"/>
          <w:b/>
          <w:sz w:val="21"/>
          <w:szCs w:val="21"/>
        </w:rPr>
      </w:pPr>
      <w:bookmarkStart w:id="26" w:name="_Toc305938385"/>
      <w:bookmarkStart w:id="27" w:name="_Toc399627545"/>
      <w:r>
        <w:rPr>
          <w:rFonts w:hint="eastAsia" w:ascii="黑体" w:eastAsia="黑体"/>
          <w:b/>
          <w:sz w:val="21"/>
          <w:szCs w:val="21"/>
          <w:lang w:val="en-US" w:eastAsia="zh-CN"/>
        </w:rPr>
        <w:t>5.</w:t>
      </w:r>
      <w:r>
        <w:rPr>
          <w:rFonts w:hint="eastAsia" w:ascii="黑体" w:eastAsia="黑体"/>
          <w:b/>
          <w:sz w:val="21"/>
          <w:szCs w:val="21"/>
        </w:rPr>
        <w:t xml:space="preserve">1 </w:t>
      </w:r>
      <w:r>
        <w:rPr>
          <w:rFonts w:hint="eastAsia" w:ascii="黑体" w:eastAsia="黑体"/>
          <w:b/>
          <w:sz w:val="21"/>
          <w:szCs w:val="21"/>
          <w:lang w:val="en-US" w:eastAsia="zh-CN"/>
        </w:rPr>
        <w:t>一般要求</w:t>
      </w:r>
      <w:bookmarkEnd w:id="26"/>
    </w:p>
    <w:p>
      <w:pPr>
        <w:numPr>
          <w:ilvl w:val="0"/>
          <w:numId w:val="4"/>
        </w:numPr>
        <w:spacing w:line="360" w:lineRule="auto"/>
        <w:ind w:left="425" w:leftChars="0" w:hanging="425" w:firstLineChars="0"/>
        <w:rPr>
          <w:rFonts w:hint="eastAsia" w:ascii="宋体" w:hAnsi="宋体"/>
          <w:sz w:val="24"/>
        </w:rPr>
      </w:pPr>
      <w:r>
        <w:rPr>
          <w:rFonts w:hint="eastAsia" w:ascii="宋体" w:hAnsi="宋体"/>
          <w:sz w:val="24"/>
        </w:rPr>
        <w:t>设备外观要求：测试仪及其各种配件不应出现明显的划伤、凹陷、变形、脱漆，壳体应清洁无污迹。测试仪外壳应具有足够的机械强度，不得有缺损和开裂，不允许有明显的变形；</w:t>
      </w:r>
    </w:p>
    <w:p>
      <w:pPr>
        <w:numPr>
          <w:ilvl w:val="0"/>
          <w:numId w:val="4"/>
        </w:numPr>
        <w:spacing w:line="360" w:lineRule="auto"/>
        <w:ind w:left="425" w:leftChars="0" w:hanging="425" w:firstLineChars="0"/>
        <w:rPr>
          <w:rFonts w:hint="eastAsia" w:ascii="宋体" w:hAnsi="宋体"/>
          <w:sz w:val="24"/>
        </w:rPr>
      </w:pPr>
      <w:r>
        <w:rPr>
          <w:rFonts w:hint="eastAsia" w:ascii="宋体" w:hAnsi="宋体"/>
          <w:sz w:val="24"/>
        </w:rPr>
        <w:t>测试仪铭牌应完整清晰，装饰件文字、数字、符号标志应正确、易辨、清晰，颜色应无异常色斑、色晕、色点，图案文字丝印精细。测试仪壳体外贴装饰件不应缺少、错装、倒装，应与主体平贴粘紧；</w:t>
      </w:r>
    </w:p>
    <w:p>
      <w:pPr>
        <w:numPr>
          <w:ilvl w:val="0"/>
          <w:numId w:val="4"/>
        </w:numPr>
        <w:spacing w:line="360" w:lineRule="auto"/>
        <w:ind w:left="425" w:leftChars="0" w:hanging="425" w:firstLineChars="0"/>
        <w:rPr>
          <w:rFonts w:hint="eastAsia" w:ascii="宋体" w:hAnsi="宋体"/>
          <w:sz w:val="24"/>
        </w:rPr>
      </w:pPr>
      <w:r>
        <w:rPr>
          <w:rFonts w:hint="eastAsia" w:ascii="宋体" w:hAnsi="宋体"/>
          <w:sz w:val="24"/>
        </w:rPr>
        <w:t>测试仪便携外包装箱应干净整洁，无划痕；</w:t>
      </w:r>
    </w:p>
    <w:p>
      <w:pPr>
        <w:numPr>
          <w:ilvl w:val="0"/>
          <w:numId w:val="4"/>
        </w:numPr>
        <w:spacing w:line="360" w:lineRule="auto"/>
        <w:ind w:left="425" w:leftChars="0" w:hanging="425" w:firstLineChars="0"/>
        <w:rPr>
          <w:rFonts w:hint="eastAsia" w:ascii="宋体" w:hAnsi="宋体"/>
          <w:sz w:val="24"/>
        </w:rPr>
      </w:pPr>
      <w:r>
        <w:rPr>
          <w:rFonts w:hint="eastAsia" w:ascii="宋体" w:hAnsi="宋体"/>
          <w:sz w:val="24"/>
        </w:rPr>
        <w:t>测试仪按键应灵活可靠，无卡死或接触不良的现象；</w:t>
      </w:r>
    </w:p>
    <w:p>
      <w:pPr>
        <w:numPr>
          <w:ilvl w:val="0"/>
          <w:numId w:val="4"/>
        </w:numPr>
        <w:spacing w:line="360" w:lineRule="auto"/>
        <w:ind w:left="425" w:leftChars="0" w:hanging="425" w:firstLineChars="0"/>
        <w:rPr>
          <w:rFonts w:hint="eastAsia" w:ascii="宋体" w:hAnsi="宋体"/>
          <w:sz w:val="24"/>
        </w:rPr>
      </w:pPr>
      <w:r>
        <w:rPr>
          <w:rFonts w:hint="eastAsia" w:ascii="宋体" w:hAnsi="宋体"/>
          <w:sz w:val="24"/>
        </w:rPr>
        <w:t>测试仪零部件、元器件应安装正确、牢固，并实现可靠的机械和电气连接，晃动应无异常响动。</w:t>
      </w:r>
    </w:p>
    <w:p>
      <w:pPr>
        <w:numPr>
          <w:ilvl w:val="0"/>
          <w:numId w:val="4"/>
        </w:numPr>
        <w:spacing w:line="360" w:lineRule="auto"/>
        <w:ind w:left="425" w:leftChars="0" w:hanging="425" w:firstLineChars="0"/>
        <w:rPr>
          <w:rFonts w:hint="eastAsia" w:ascii="宋体" w:hAnsi="宋体"/>
          <w:sz w:val="24"/>
        </w:rPr>
      </w:pPr>
      <w:r>
        <w:rPr>
          <w:rFonts w:hint="eastAsia" w:ascii="宋体" w:hAnsi="宋体"/>
          <w:sz w:val="24"/>
        </w:rPr>
        <w:t>设备必须满足电池充电和轻巧便携的特点。</w:t>
      </w:r>
    </w:p>
    <w:p>
      <w:pPr>
        <w:numPr>
          <w:ilvl w:val="0"/>
          <w:numId w:val="4"/>
        </w:numPr>
        <w:spacing w:line="360" w:lineRule="auto"/>
        <w:ind w:left="425" w:leftChars="0" w:hanging="425" w:firstLineChars="0"/>
        <w:rPr>
          <w:rFonts w:hint="eastAsia" w:ascii="宋体" w:hAnsi="宋体"/>
          <w:sz w:val="24"/>
        </w:rPr>
      </w:pPr>
      <w:r>
        <w:rPr>
          <w:rFonts w:hint="eastAsia" w:ascii="宋体" w:hAnsi="宋体"/>
          <w:sz w:val="24"/>
        </w:rPr>
        <w:t>设备所有电子元器件、组件和整机应符合国家标准和部颁标准，使之具有高度的可靠性。</w:t>
      </w:r>
    </w:p>
    <w:p>
      <w:pPr>
        <w:numPr>
          <w:ilvl w:val="0"/>
          <w:numId w:val="0"/>
        </w:numPr>
        <w:spacing w:line="360" w:lineRule="auto"/>
        <w:ind w:leftChars="0"/>
        <w:rPr>
          <w:rFonts w:hint="eastAsia" w:ascii="黑体" w:eastAsia="黑体"/>
          <w:b/>
          <w:sz w:val="21"/>
          <w:szCs w:val="21"/>
        </w:rPr>
      </w:pPr>
      <w:r>
        <w:rPr>
          <w:rFonts w:hint="eastAsia" w:ascii="宋体" w:hAnsi="宋体"/>
          <w:sz w:val="24"/>
          <w:lang w:val="en-US" w:eastAsia="zh-CN"/>
        </w:rPr>
        <w:t>8）</w:t>
      </w:r>
      <w:r>
        <w:rPr>
          <w:rFonts w:hint="eastAsia" w:ascii="宋体" w:hAnsi="宋体"/>
          <w:sz w:val="24"/>
        </w:rPr>
        <w:t>应提供测试仪售后承诺函。</w:t>
      </w:r>
    </w:p>
    <w:p>
      <w:pPr>
        <w:pStyle w:val="13"/>
        <w:spacing w:line="720" w:lineRule="auto"/>
        <w:ind w:firstLine="0"/>
        <w:rPr>
          <w:rFonts w:ascii="黑体" w:eastAsia="黑体"/>
          <w:b/>
          <w:sz w:val="21"/>
          <w:szCs w:val="21"/>
        </w:rPr>
      </w:pPr>
      <w:bookmarkStart w:id="28" w:name="_Toc305938386"/>
      <w:r>
        <w:rPr>
          <w:rFonts w:hint="eastAsia" w:ascii="黑体" w:eastAsia="黑体"/>
          <w:b/>
          <w:sz w:val="21"/>
          <w:szCs w:val="21"/>
          <w:lang w:val="en-US" w:eastAsia="zh-CN"/>
        </w:rPr>
        <w:t>5.</w:t>
      </w:r>
      <w:r>
        <w:rPr>
          <w:rFonts w:hint="eastAsia" w:ascii="黑体" w:eastAsia="黑体"/>
          <w:b/>
          <w:sz w:val="21"/>
          <w:szCs w:val="21"/>
        </w:rPr>
        <w:t xml:space="preserve">2 </w:t>
      </w:r>
      <w:r>
        <w:rPr>
          <w:rFonts w:ascii="黑体" w:eastAsia="黑体"/>
          <w:b/>
          <w:sz w:val="21"/>
          <w:szCs w:val="21"/>
        </w:rPr>
        <w:t>性能特征</w:t>
      </w:r>
      <w:bookmarkEnd w:id="28"/>
    </w:p>
    <w:p>
      <w:pPr>
        <w:numPr>
          <w:ilvl w:val="0"/>
          <w:numId w:val="5"/>
        </w:numPr>
        <w:tabs>
          <w:tab w:val="left" w:pos="424"/>
          <w:tab w:val="clear" w:pos="780"/>
        </w:tabs>
        <w:spacing w:line="360" w:lineRule="auto"/>
        <w:ind w:left="4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采用手持式结构设计，锂电池供电，携带操作方便，测试快捷；</w:t>
      </w:r>
    </w:p>
    <w:p>
      <w:pPr>
        <w:numPr>
          <w:ilvl w:val="0"/>
          <w:numId w:val="5"/>
        </w:numPr>
        <w:tabs>
          <w:tab w:val="left" w:pos="424"/>
          <w:tab w:val="clear" w:pos="780"/>
        </w:tabs>
        <w:spacing w:line="360" w:lineRule="auto"/>
        <w:ind w:left="4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具有4对光以太网口，4路发送光串口，</w:t>
      </w: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rPr>
        <w:t>路接收光串口，满足“直采直跳”模式下复杂保护功能测试需要；</w:t>
      </w:r>
    </w:p>
    <w:p>
      <w:pPr>
        <w:numPr>
          <w:ilvl w:val="0"/>
          <w:numId w:val="5"/>
        </w:numPr>
        <w:tabs>
          <w:tab w:val="left" w:pos="424"/>
          <w:tab w:val="clear" w:pos="780"/>
        </w:tabs>
        <w:spacing w:line="360" w:lineRule="auto"/>
        <w:ind w:left="4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lang w:eastAsia="zh-CN"/>
        </w:rPr>
        <w:t>具有</w:t>
      </w:r>
      <w:r>
        <w:rPr>
          <w:rFonts w:hint="eastAsia" w:asciiTheme="minorEastAsia" w:hAnsiTheme="minorEastAsia" w:eastAsiaTheme="minorEastAsia" w:cstheme="minorEastAsia"/>
          <w:sz w:val="24"/>
          <w:szCs w:val="24"/>
          <w:lang w:val="en-US" w:eastAsia="zh-CN"/>
        </w:rPr>
        <w:t>1路1000M/100M自适应光网口，满足特殊情况下测试环境；</w:t>
      </w:r>
      <w:r>
        <w:rPr>
          <w:rFonts w:hint="eastAsia" w:asciiTheme="minorEastAsia" w:hAnsiTheme="minorEastAsia" w:eastAsiaTheme="minorEastAsia" w:cstheme="minorEastAsia"/>
          <w:color w:val="000000"/>
          <w:sz w:val="24"/>
          <w:szCs w:val="24"/>
          <w:highlight w:val="none"/>
        </w:rPr>
        <w:t>千兆光网口接收报文过滤，自动过滤SV、GOOSE报文以外的数据，可接收超过800Mbps流量，显示所有SV、GOOSE报文列表，可查看报文详细信息，并支持报文录波。</w:t>
      </w:r>
    </w:p>
    <w:p>
      <w:pPr>
        <w:numPr>
          <w:ilvl w:val="0"/>
          <w:numId w:val="5"/>
        </w:numPr>
        <w:tabs>
          <w:tab w:val="left" w:pos="424"/>
          <w:tab w:val="clear" w:pos="780"/>
        </w:tabs>
        <w:spacing w:line="360" w:lineRule="auto"/>
        <w:ind w:left="4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支持单装置操作，同时内置无线发送模块，可通过wifi与笔记本电脑或pad相联，实现远方操作；</w:t>
      </w:r>
    </w:p>
    <w:p>
      <w:pPr>
        <w:numPr>
          <w:ilvl w:val="0"/>
          <w:numId w:val="5"/>
        </w:numPr>
        <w:tabs>
          <w:tab w:val="left" w:pos="424"/>
          <w:tab w:val="clear" w:pos="780"/>
        </w:tabs>
        <w:spacing w:line="360" w:lineRule="auto"/>
        <w:ind w:left="4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具有</w:t>
      </w:r>
      <w:r>
        <w:rPr>
          <w:rFonts w:hint="eastAsia" w:asciiTheme="minorEastAsia" w:hAnsiTheme="minorEastAsia" w:eastAsiaTheme="minorEastAsia" w:cstheme="minorEastAsia"/>
          <w:sz w:val="24"/>
          <w:szCs w:val="24"/>
          <w:lang w:val="en-US" w:eastAsia="zh-CN"/>
        </w:rPr>
        <w:t>HDMI视频接口，方便培训和演示操作；</w:t>
      </w:r>
    </w:p>
    <w:p>
      <w:pPr>
        <w:numPr>
          <w:ilvl w:val="0"/>
          <w:numId w:val="5"/>
        </w:numPr>
        <w:tabs>
          <w:tab w:val="left" w:pos="424"/>
          <w:tab w:val="clear" w:pos="780"/>
        </w:tabs>
        <w:spacing w:line="360" w:lineRule="auto"/>
        <w:ind w:left="4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直接导入</w:t>
      </w:r>
      <w:r>
        <w:rPr>
          <w:rFonts w:hint="eastAsia" w:asciiTheme="minorEastAsia" w:hAnsiTheme="minorEastAsia" w:eastAsiaTheme="minorEastAsia" w:cstheme="minorEastAsia"/>
          <w:sz w:val="24"/>
          <w:szCs w:val="24"/>
          <w:lang w:val="en-US" w:eastAsia="zh-CN"/>
        </w:rPr>
        <w:t>SCD文件，不需转换，解析速度快；</w:t>
      </w:r>
      <w:r>
        <w:rPr>
          <w:rFonts w:hint="eastAsia" w:asciiTheme="minorEastAsia" w:hAnsiTheme="minorEastAsia" w:eastAsiaTheme="minorEastAsia" w:cstheme="minorEastAsia"/>
          <w:sz w:val="24"/>
          <w:szCs w:val="24"/>
        </w:rPr>
        <w:t>图形化SCD文件，支持变电站全站系统配置文件（SCL）导入以提取需要的装置实例配置信息，同时可按IED设备自动导入SV、GOOSE信息进行测试配置测试；</w:t>
      </w:r>
    </w:p>
    <w:p>
      <w:pPr>
        <w:numPr>
          <w:ilvl w:val="0"/>
          <w:numId w:val="5"/>
        </w:numPr>
        <w:tabs>
          <w:tab w:val="left" w:pos="424"/>
          <w:tab w:val="clear" w:pos="780"/>
        </w:tabs>
        <w:spacing w:line="360" w:lineRule="auto"/>
        <w:ind w:left="4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支持电压电流输出测试，3组电压(12路)及3组电流(12路)可映射至多个采样值控制块输出，支持双AD配置，输出采样值采样率4kHz/12.8kHz可设；</w:t>
      </w:r>
    </w:p>
    <w:p>
      <w:pPr>
        <w:numPr>
          <w:ilvl w:val="0"/>
          <w:numId w:val="5"/>
        </w:numPr>
        <w:tabs>
          <w:tab w:val="left" w:pos="424"/>
          <w:tab w:val="clear" w:pos="780"/>
        </w:tabs>
        <w:spacing w:line="360" w:lineRule="auto"/>
        <w:ind w:left="4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支持SMV多个状态按预先设定序列输出测试，最大状态数可达10个，各状态品质位可设，并具有短路模拟和故障计算功能。测试结果明了清晰，GOOSE动作以列表方式给出；</w:t>
      </w:r>
    </w:p>
    <w:p>
      <w:pPr>
        <w:numPr>
          <w:ilvl w:val="0"/>
          <w:numId w:val="5"/>
        </w:numPr>
        <w:tabs>
          <w:tab w:val="left" w:pos="424"/>
          <w:tab w:val="clear" w:pos="780"/>
        </w:tabs>
        <w:spacing w:line="360" w:lineRule="auto"/>
        <w:ind w:left="4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支持保护功能测试：具有距离保护定值校核、零序保护定值校核、变压器差动特性测试等功能；</w:t>
      </w:r>
    </w:p>
    <w:p>
      <w:pPr>
        <w:numPr>
          <w:ilvl w:val="0"/>
          <w:numId w:val="5"/>
        </w:numPr>
        <w:tabs>
          <w:tab w:val="left" w:pos="424"/>
          <w:tab w:val="clear" w:pos="780"/>
        </w:tabs>
        <w:spacing w:line="360" w:lineRule="auto"/>
        <w:ind w:left="4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采用光串口接收复用技术，光串口既可接收IEC60044-7/8光数字报文，又可接收光IRIG-B码对时信号，接收IEC60044-7/8(FT3) 光数字报文时，传输速率2.5Mbps/5Mbps/10Mbps可选； </w:t>
      </w:r>
    </w:p>
    <w:p>
      <w:pPr>
        <w:numPr>
          <w:ilvl w:val="0"/>
          <w:numId w:val="5"/>
        </w:numPr>
        <w:tabs>
          <w:tab w:val="left" w:pos="424"/>
          <w:tab w:val="clear" w:pos="780"/>
        </w:tabs>
        <w:spacing w:line="360" w:lineRule="auto"/>
        <w:ind w:left="4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可模拟电子互感器输出同步及异步光串行信号，支持多种厂家帧格式，实现MU前端加量测试；</w:t>
      </w:r>
    </w:p>
    <w:p>
      <w:pPr>
        <w:numPr>
          <w:ilvl w:val="0"/>
          <w:numId w:val="5"/>
        </w:numPr>
        <w:tabs>
          <w:tab w:val="left" w:pos="424"/>
          <w:tab w:val="clear" w:pos="780"/>
        </w:tabs>
        <w:spacing w:line="360" w:lineRule="auto"/>
        <w:ind w:left="4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支持SMV、GOOSE及IEEE1588报文监测，可对报文进行丢帧统计、报文抖动分析。具有遥信、遥测量监测功能，遥测量可采用表格、波形、矢量图、序量等方式进行监测；</w:t>
      </w:r>
    </w:p>
    <w:p>
      <w:pPr>
        <w:numPr>
          <w:ilvl w:val="0"/>
          <w:numId w:val="5"/>
        </w:numPr>
        <w:tabs>
          <w:tab w:val="left" w:pos="424"/>
          <w:tab w:val="clear" w:pos="780"/>
        </w:tabs>
        <w:spacing w:line="360" w:lineRule="auto"/>
        <w:ind w:left="4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支持GMRP组播报文的发送及监测；</w:t>
      </w:r>
    </w:p>
    <w:p>
      <w:pPr>
        <w:numPr>
          <w:ilvl w:val="0"/>
          <w:numId w:val="5"/>
        </w:numPr>
        <w:tabs>
          <w:tab w:val="left" w:pos="424"/>
          <w:tab w:val="clear" w:pos="780"/>
        </w:tabs>
        <w:spacing w:line="360" w:lineRule="auto"/>
        <w:ind w:left="4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具有MU传输延时及GOOSE发送机制测试功能，可校核SMV报文中互感器至MU输出的延时参数，并可测量GOOSE的T0、T1、T2时间；</w:t>
      </w:r>
    </w:p>
    <w:p>
      <w:pPr>
        <w:numPr>
          <w:ilvl w:val="0"/>
          <w:numId w:val="5"/>
        </w:numPr>
        <w:tabs>
          <w:tab w:val="left" w:pos="424"/>
          <w:tab w:val="clear" w:pos="780"/>
        </w:tabs>
        <w:spacing w:line="360" w:lineRule="auto"/>
        <w:ind w:left="4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具有报文异常暂态记录功能。当接收报文发生丢帧、错序、断链等异常时，自动记录异常报文，并可进行报文及波形分析，报文记录格式为通用的PCAP格式；</w:t>
      </w:r>
    </w:p>
    <w:p>
      <w:pPr>
        <w:numPr>
          <w:ilvl w:val="0"/>
          <w:numId w:val="5"/>
        </w:numPr>
        <w:tabs>
          <w:tab w:val="left" w:pos="424"/>
          <w:tab w:val="clear" w:pos="780"/>
        </w:tabs>
        <w:spacing w:line="360" w:lineRule="auto"/>
        <w:ind w:left="4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具有MU输出光数字SV控制块的极性校核功能，支持直流电源法下的常规互感器及光电互感器保护与测量线圈的极性校核；</w:t>
      </w:r>
    </w:p>
    <w:p>
      <w:pPr>
        <w:numPr>
          <w:ilvl w:val="0"/>
          <w:numId w:val="5"/>
        </w:numPr>
        <w:tabs>
          <w:tab w:val="left" w:pos="424"/>
          <w:tab w:val="clear" w:pos="780"/>
        </w:tabs>
        <w:spacing w:line="360" w:lineRule="auto"/>
        <w:ind w:left="4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具有核相功能，支持两个MU光纤直接接入装置进行相别校核，同时具有非同时接入光纤的两个MU异地核相功能；</w:t>
      </w:r>
    </w:p>
    <w:p>
      <w:pPr>
        <w:numPr>
          <w:ilvl w:val="0"/>
          <w:numId w:val="5"/>
        </w:numPr>
        <w:tabs>
          <w:tab w:val="left" w:pos="424"/>
          <w:tab w:val="clear" w:pos="780"/>
        </w:tabs>
        <w:spacing w:line="360" w:lineRule="auto"/>
        <w:ind w:left="4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具有串接侦听功能，可将装置串接在两个IED之间对SV、GOOSE报文进行实时侦听，串接附加传输延时小；</w:t>
      </w:r>
    </w:p>
    <w:p>
      <w:pPr>
        <w:numPr>
          <w:ilvl w:val="0"/>
          <w:numId w:val="5"/>
        </w:numPr>
        <w:tabs>
          <w:tab w:val="left" w:pos="424"/>
          <w:tab w:val="clear" w:pos="780"/>
        </w:tabs>
        <w:spacing w:line="360" w:lineRule="auto"/>
        <w:ind w:left="4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具有智能终端动作延时测试功能，配有2对快速开入/开出硬接点，可测量智能终端的GOOSE</w:t>
      </w:r>
      <w:r>
        <w:rPr>
          <w:rFonts w:hint="eastAsia" w:asciiTheme="minorEastAsia" w:hAnsiTheme="minorEastAsia" w:eastAsiaTheme="minorEastAsia" w:cstheme="minorEastAsia"/>
          <w:sz w:val="24"/>
          <w:szCs w:val="24"/>
        </w:rPr>
        <w:sym w:font="Wingdings" w:char="F0E0"/>
      </w:r>
      <w:r>
        <w:rPr>
          <w:rFonts w:hint="eastAsia" w:asciiTheme="minorEastAsia" w:hAnsiTheme="minorEastAsia" w:eastAsiaTheme="minorEastAsia" w:cstheme="minorEastAsia"/>
          <w:sz w:val="24"/>
          <w:szCs w:val="24"/>
        </w:rPr>
        <w:t>硬接点、硬接点</w:t>
      </w:r>
      <w:r>
        <w:rPr>
          <w:rFonts w:hint="eastAsia" w:asciiTheme="minorEastAsia" w:hAnsiTheme="minorEastAsia" w:eastAsiaTheme="minorEastAsia" w:cstheme="minorEastAsia"/>
          <w:sz w:val="24"/>
          <w:szCs w:val="24"/>
        </w:rPr>
        <w:sym w:font="Wingdings" w:char="F0E0"/>
      </w:r>
      <w:r>
        <w:rPr>
          <w:rFonts w:hint="eastAsia" w:asciiTheme="minorEastAsia" w:hAnsiTheme="minorEastAsia" w:eastAsiaTheme="minorEastAsia" w:cstheme="minorEastAsia"/>
          <w:sz w:val="24"/>
          <w:szCs w:val="24"/>
        </w:rPr>
        <w:t>GOOSE动作延时；</w:t>
      </w:r>
    </w:p>
    <w:p>
      <w:pPr>
        <w:numPr>
          <w:ilvl w:val="0"/>
          <w:numId w:val="5"/>
        </w:numPr>
        <w:tabs>
          <w:tab w:val="left" w:pos="424"/>
          <w:tab w:val="clear" w:pos="780"/>
        </w:tabs>
        <w:spacing w:line="360" w:lineRule="auto"/>
        <w:ind w:left="4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具有光功率测试功能，可实时在线测量4对光以太网口接收和发送IEC61850-9-1/2 SV、GOOSE报文的光功率；</w:t>
      </w:r>
    </w:p>
    <w:p>
      <w:pPr>
        <w:numPr>
          <w:ilvl w:val="0"/>
          <w:numId w:val="5"/>
        </w:numPr>
        <w:tabs>
          <w:tab w:val="left" w:pos="424"/>
          <w:tab w:val="clear" w:pos="780"/>
        </w:tabs>
        <w:spacing w:line="360" w:lineRule="auto"/>
        <w:ind w:left="4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可接收光IRIG-B码、光PPS、电IRIG-B码、IEEE1588作为同步或对时信号，可输出光IRIG-B码、光PPS、IEEE1588对其它IED设备信号进行对时；</w:t>
      </w:r>
    </w:p>
    <w:p>
      <w:pPr>
        <w:numPr>
          <w:ilvl w:val="0"/>
          <w:numId w:val="5"/>
        </w:numPr>
        <w:tabs>
          <w:tab w:val="left" w:pos="360"/>
          <w:tab w:val="clear" w:pos="780"/>
        </w:tabs>
        <w:spacing w:line="360" w:lineRule="auto"/>
        <w:ind w:left="357" w:hanging="357"/>
        <w:rPr>
          <w:rFonts w:hint="eastAsia"/>
          <w:sz w:val="24"/>
          <w:lang w:eastAsia="zh-CN"/>
        </w:rPr>
      </w:pPr>
      <w:r>
        <w:rPr>
          <w:rFonts w:hint="eastAsia"/>
          <w:sz w:val="24"/>
          <w:lang w:eastAsia="zh-CN"/>
        </w:rPr>
        <w:t>依据点表测试模板，可按点号顺序地进行遥信、遥测、遥控传动，测试过程中不再需要进行数据模型及通信参数配置，测试结果可在测试仪中直接进行标注；可导出测试结果生成测试报告；</w:t>
      </w:r>
    </w:p>
    <w:p>
      <w:pPr>
        <w:numPr>
          <w:ilvl w:val="0"/>
          <w:numId w:val="5"/>
        </w:numPr>
        <w:tabs>
          <w:tab w:val="left" w:pos="360"/>
          <w:tab w:val="clear" w:pos="780"/>
        </w:tabs>
        <w:spacing w:line="360" w:lineRule="auto"/>
        <w:ind w:left="357" w:hanging="357"/>
        <w:rPr>
          <w:rFonts w:hint="eastAsia" w:asciiTheme="minorEastAsia" w:hAnsiTheme="minorEastAsia" w:eastAsiaTheme="minorEastAsia" w:cstheme="minorEastAsia"/>
          <w:sz w:val="24"/>
          <w:szCs w:val="24"/>
        </w:rPr>
      </w:pPr>
      <w:r>
        <w:rPr>
          <w:rFonts w:hint="eastAsia"/>
          <w:sz w:val="24"/>
          <w:lang w:eastAsia="zh-CN"/>
        </w:rPr>
        <w:t>遥测传动可按内置的电压、电流、功率因数等典型试点值进行测试，CT、PT变比自动与点表进行匹配；</w:t>
      </w:r>
    </w:p>
    <w:p>
      <w:pPr>
        <w:numPr>
          <w:ilvl w:val="0"/>
          <w:numId w:val="5"/>
        </w:numPr>
        <w:tabs>
          <w:tab w:val="left" w:pos="424"/>
          <w:tab w:val="clear" w:pos="780"/>
        </w:tabs>
        <w:spacing w:line="360" w:lineRule="auto"/>
        <w:ind w:left="43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针对智能变电站秒同步采样和秒间等间隔采样特点，采用了优异的频率补偿和相量补偿算法，有效地消除了传统傅氏算法中的栅栏效应和频率泄漏，很好地保证了各电气量的计算精度；</w:t>
      </w:r>
    </w:p>
    <w:p>
      <w:pPr>
        <w:numPr>
          <w:ilvl w:val="0"/>
          <w:numId w:val="5"/>
        </w:numPr>
        <w:tabs>
          <w:tab w:val="left" w:pos="424"/>
          <w:tab w:val="clear" w:pos="780"/>
        </w:tabs>
        <w:spacing w:line="360" w:lineRule="auto"/>
        <w:ind w:left="43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具有一路模拟电压输入，一路模拟电流输入，采样精度高，具备单相合并单元测试功能；</w:t>
      </w:r>
    </w:p>
    <w:p>
      <w:pPr>
        <w:numPr>
          <w:ilvl w:val="0"/>
          <w:numId w:val="5"/>
        </w:numPr>
        <w:tabs>
          <w:tab w:val="left" w:pos="424"/>
          <w:tab w:val="clear" w:pos="780"/>
        </w:tabs>
        <w:spacing w:line="360" w:lineRule="auto"/>
        <w:ind w:left="43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具有语音控制功能，通过关键字控制各功能模块应用；</w:t>
      </w:r>
    </w:p>
    <w:p>
      <w:pPr>
        <w:numPr>
          <w:ilvl w:val="0"/>
          <w:numId w:val="5"/>
        </w:numPr>
        <w:tabs>
          <w:tab w:val="left" w:pos="424"/>
          <w:tab w:val="clear" w:pos="780"/>
        </w:tabs>
        <w:spacing w:line="360" w:lineRule="auto"/>
        <w:ind w:left="43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具有GOOSE故障排查功能，方便快捷查找GOOSE引起的故障；</w:t>
      </w:r>
    </w:p>
    <w:p>
      <w:pPr>
        <w:numPr>
          <w:ilvl w:val="0"/>
          <w:numId w:val="5"/>
        </w:numPr>
        <w:tabs>
          <w:tab w:val="left" w:pos="424"/>
          <w:tab w:val="clear" w:pos="780"/>
        </w:tabs>
        <w:spacing w:line="360" w:lineRule="auto"/>
        <w:ind w:left="43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采用嵌入式实时操作系统（RTOS），系统内核小，大大地提高了装置的可靠性和稳定性；</w:t>
      </w:r>
    </w:p>
    <w:p>
      <w:pPr>
        <w:numPr>
          <w:ilvl w:val="0"/>
          <w:numId w:val="5"/>
        </w:numPr>
        <w:tabs>
          <w:tab w:val="left" w:pos="424"/>
          <w:tab w:val="clear" w:pos="780"/>
        </w:tabs>
        <w:spacing w:line="360" w:lineRule="auto"/>
        <w:ind w:left="43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具有</w:t>
      </w:r>
      <w:r>
        <w:rPr>
          <w:rFonts w:hint="eastAsia" w:asciiTheme="minorEastAsia" w:hAnsiTheme="minorEastAsia" w:eastAsiaTheme="minorEastAsia" w:cstheme="minorEastAsia"/>
          <w:sz w:val="24"/>
          <w:szCs w:val="24"/>
          <w:lang w:val="en-US" w:eastAsia="zh-CN"/>
        </w:rPr>
        <w:t>USB和SD卡双重物理接口，多种数据导入导出方式，满足现场需求；</w:t>
      </w:r>
    </w:p>
    <w:p>
      <w:pPr>
        <w:numPr>
          <w:ilvl w:val="0"/>
          <w:numId w:val="5"/>
        </w:numPr>
        <w:tabs>
          <w:tab w:val="left" w:pos="424"/>
          <w:tab w:val="clear" w:pos="780"/>
        </w:tabs>
        <w:spacing w:line="360" w:lineRule="auto"/>
        <w:ind w:left="43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整机功耗小。采用内核电压1.2V的超低功耗CPU，并采用光口复用技术及单光纤收发技术，在满足使用要求前提下，减少了光口数量和系统热量散发；</w:t>
      </w:r>
    </w:p>
    <w:p>
      <w:pPr>
        <w:pStyle w:val="13"/>
        <w:numPr>
          <w:ilvl w:val="0"/>
          <w:numId w:val="5"/>
        </w:numPr>
        <w:tabs>
          <w:tab w:val="left" w:pos="424"/>
          <w:tab w:val="clear" w:pos="780"/>
        </w:tabs>
        <w:spacing w:line="360" w:lineRule="auto"/>
        <w:ind w:left="4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7寸</w:t>
      </w:r>
      <w:r>
        <w:rPr>
          <w:rFonts w:hint="eastAsia" w:asciiTheme="minorEastAsia" w:hAnsiTheme="minorEastAsia" w:eastAsiaTheme="minorEastAsia" w:cstheme="minorEastAsia"/>
          <w:sz w:val="24"/>
          <w:szCs w:val="24"/>
        </w:rPr>
        <w:t>大屏幕图形彩色液晶显示</w:t>
      </w:r>
      <w:r>
        <w:rPr>
          <w:rFonts w:hint="eastAsia" w:asciiTheme="minorEastAsia" w:hAnsiTheme="minorEastAsia" w:eastAsiaTheme="minorEastAsia" w:cstheme="minorEastAsia"/>
          <w:sz w:val="24"/>
          <w:szCs w:val="24"/>
          <w:lang w:eastAsia="zh-CN"/>
        </w:rPr>
        <w:t>，并自带触摸屏，手感好，具有物理键盘和数字键盘双重输入；</w:t>
      </w:r>
      <w:r>
        <w:rPr>
          <w:rFonts w:hint="eastAsia" w:asciiTheme="minorEastAsia" w:hAnsiTheme="minorEastAsia" w:eastAsiaTheme="minorEastAsia" w:cstheme="minorEastAsia"/>
          <w:sz w:val="24"/>
          <w:szCs w:val="24"/>
        </w:rPr>
        <w:t>界面菜单直观友好、完备的过程记录，信息详细直观，操作方便；</w:t>
      </w:r>
    </w:p>
    <w:p>
      <w:pPr>
        <w:pStyle w:val="13"/>
        <w:numPr>
          <w:ilvl w:val="0"/>
          <w:numId w:val="5"/>
        </w:numPr>
        <w:tabs>
          <w:tab w:val="left" w:pos="424"/>
          <w:tab w:val="clear" w:pos="780"/>
        </w:tabs>
        <w:spacing w:line="360" w:lineRule="auto"/>
        <w:ind w:left="4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具有开关机保护功能，防止装置在携带及运输过程中误开机。</w:t>
      </w:r>
    </w:p>
    <w:p>
      <w:pPr>
        <w:spacing w:beforeLines="50" w:afterLines="50"/>
        <w:rPr>
          <w:rFonts w:ascii="黑体" w:eastAsia="黑体"/>
          <w:b/>
          <w:szCs w:val="21"/>
        </w:rPr>
      </w:pPr>
      <w:r>
        <w:rPr>
          <w:rFonts w:hint="eastAsia" w:ascii="黑体" w:eastAsia="黑体"/>
          <w:b/>
          <w:sz w:val="21"/>
          <w:szCs w:val="21"/>
          <w:lang w:val="en-US" w:eastAsia="zh-CN"/>
        </w:rPr>
        <w:t>5.</w:t>
      </w:r>
      <w:r>
        <w:rPr>
          <w:rFonts w:hint="eastAsia" w:ascii="黑体" w:eastAsia="黑体"/>
          <w:b/>
          <w:szCs w:val="21"/>
          <w:lang w:val="en-US" w:eastAsia="zh-CN"/>
        </w:rPr>
        <w:t>3</w:t>
      </w:r>
      <w:r>
        <w:rPr>
          <w:rFonts w:hint="eastAsia" w:ascii="黑体" w:eastAsia="黑体"/>
          <w:b/>
          <w:szCs w:val="21"/>
        </w:rPr>
        <w:t xml:space="preserve"> 技术参数</w:t>
      </w:r>
    </w:p>
    <w:p>
      <w:pPr>
        <w:numPr>
          <w:ilvl w:val="0"/>
          <w:numId w:val="0"/>
        </w:numPr>
        <w:tabs>
          <w:tab w:val="left" w:pos="382"/>
        </w:tabs>
        <w:spacing w:line="380" w:lineRule="exact"/>
        <w:ind w:left="-8" w:leftChars="0"/>
        <w:rPr>
          <w:szCs w:val="21"/>
        </w:rPr>
      </w:pPr>
      <w:r>
        <w:rPr>
          <w:rFonts w:hint="eastAsia"/>
          <w:szCs w:val="21"/>
          <w:lang w:val="en-US" w:eastAsia="zh-CN"/>
        </w:rPr>
        <w:t>5.3.1</w:t>
      </w:r>
      <w:r>
        <w:rPr>
          <w:szCs w:val="21"/>
        </w:rPr>
        <w:t>电源</w:t>
      </w:r>
    </w:p>
    <w:p>
      <w:pPr>
        <w:spacing w:line="380" w:lineRule="exact"/>
        <w:ind w:firstLine="435"/>
        <w:rPr>
          <w:szCs w:val="21"/>
        </w:rPr>
      </w:pPr>
      <w:r>
        <w:rPr>
          <w:rFonts w:hint="eastAsia"/>
          <w:szCs w:val="21"/>
        </w:rPr>
        <w:t>内置电池供电；</w:t>
      </w:r>
    </w:p>
    <w:p>
      <w:pPr>
        <w:spacing w:line="380" w:lineRule="exact"/>
        <w:ind w:firstLine="435"/>
        <w:rPr>
          <w:szCs w:val="21"/>
        </w:rPr>
      </w:pPr>
      <w:r>
        <w:rPr>
          <w:rFonts w:hint="eastAsia"/>
          <w:szCs w:val="21"/>
        </w:rPr>
        <w:t>电源适配器</w:t>
      </w:r>
      <w:r>
        <w:rPr>
          <w:szCs w:val="21"/>
        </w:rPr>
        <w:t>交流电压</w:t>
      </w:r>
      <w:r>
        <w:rPr>
          <w:rFonts w:hint="eastAsia"/>
          <w:szCs w:val="21"/>
        </w:rPr>
        <w:t>：</w:t>
      </w:r>
      <w:r>
        <w:rPr>
          <w:szCs w:val="21"/>
        </w:rPr>
        <w:t>220V，-20%~＋15%；</w:t>
      </w:r>
    </w:p>
    <w:p>
      <w:pPr>
        <w:spacing w:line="380" w:lineRule="exact"/>
        <w:ind w:firstLine="435"/>
        <w:rPr>
          <w:szCs w:val="21"/>
        </w:rPr>
      </w:pPr>
      <w:r>
        <w:rPr>
          <w:szCs w:val="21"/>
        </w:rPr>
        <w:t>频率：50Hz，允许偏差-2%~</w:t>
      </w:r>
      <w:r>
        <w:rPr>
          <w:rFonts w:hint="eastAsia"/>
          <w:szCs w:val="21"/>
        </w:rPr>
        <w:t>+</w:t>
      </w:r>
      <w:r>
        <w:rPr>
          <w:szCs w:val="21"/>
        </w:rPr>
        <w:t>2%；</w:t>
      </w:r>
    </w:p>
    <w:p>
      <w:pPr>
        <w:numPr>
          <w:ilvl w:val="0"/>
          <w:numId w:val="0"/>
        </w:numPr>
        <w:tabs>
          <w:tab w:val="left" w:pos="382"/>
        </w:tabs>
        <w:spacing w:line="380" w:lineRule="exact"/>
        <w:ind w:left="-8" w:leftChars="0"/>
        <w:rPr>
          <w:szCs w:val="21"/>
        </w:rPr>
      </w:pPr>
      <w:r>
        <w:rPr>
          <w:rFonts w:hint="eastAsia"/>
          <w:szCs w:val="21"/>
          <w:lang w:val="en-US" w:eastAsia="zh-CN"/>
        </w:rPr>
        <w:t>5.3.2</w:t>
      </w:r>
      <w:r>
        <w:rPr>
          <w:szCs w:val="21"/>
        </w:rPr>
        <w:t>主要</w:t>
      </w:r>
      <w:r>
        <w:rPr>
          <w:rFonts w:hint="eastAsia"/>
          <w:szCs w:val="21"/>
        </w:rPr>
        <w:t>技术</w:t>
      </w:r>
      <w:r>
        <w:rPr>
          <w:szCs w:val="21"/>
        </w:rPr>
        <w:t>指标</w:t>
      </w:r>
    </w:p>
    <w:p>
      <w:pPr>
        <w:numPr>
          <w:ilvl w:val="0"/>
          <w:numId w:val="6"/>
        </w:numPr>
        <w:tabs>
          <w:tab w:val="left" w:pos="780"/>
        </w:tabs>
        <w:spacing w:line="380" w:lineRule="exact"/>
        <w:ind w:left="425" w:leftChars="0" w:hanging="425" w:firstLineChars="0"/>
        <w:rPr>
          <w:szCs w:val="21"/>
        </w:rPr>
      </w:pPr>
      <w:r>
        <w:rPr>
          <w:rFonts w:hint="eastAsia"/>
          <w:szCs w:val="21"/>
        </w:rPr>
        <w:t>具有4对光以太网口，其中</w:t>
      </w:r>
      <w:r>
        <w:rPr>
          <w:rFonts w:hint="eastAsia"/>
          <w:szCs w:val="21"/>
          <w:lang w:val="en-US" w:eastAsia="zh-CN"/>
        </w:rPr>
        <w:t>1</w:t>
      </w:r>
      <w:r>
        <w:rPr>
          <w:rFonts w:hint="eastAsia"/>
          <w:szCs w:val="21"/>
        </w:rPr>
        <w:t>对</w:t>
      </w:r>
      <w:r>
        <w:rPr>
          <w:rFonts w:hint="eastAsia"/>
          <w:szCs w:val="21"/>
          <w:lang w:val="en-US" w:eastAsia="zh-CN"/>
        </w:rPr>
        <w:t>100M/1000M自适应</w:t>
      </w:r>
      <w:r>
        <w:rPr>
          <w:rFonts w:hint="eastAsia"/>
          <w:szCs w:val="21"/>
        </w:rPr>
        <w:t>；</w:t>
      </w:r>
    </w:p>
    <w:p>
      <w:pPr>
        <w:numPr>
          <w:ilvl w:val="0"/>
          <w:numId w:val="6"/>
        </w:numPr>
        <w:tabs>
          <w:tab w:val="left" w:pos="780"/>
        </w:tabs>
        <w:spacing w:line="380" w:lineRule="exact"/>
        <w:ind w:left="425" w:leftChars="0" w:hanging="425" w:firstLineChars="0"/>
        <w:rPr>
          <w:szCs w:val="21"/>
        </w:rPr>
      </w:pPr>
      <w:r>
        <w:rPr>
          <w:rFonts w:hint="eastAsia"/>
          <w:szCs w:val="21"/>
        </w:rPr>
        <w:t>具有</w:t>
      </w:r>
      <w:r>
        <w:rPr>
          <w:rFonts w:hint="eastAsia"/>
          <w:szCs w:val="21"/>
          <w:lang w:val="en-US" w:eastAsia="zh-CN"/>
        </w:rPr>
        <w:t>1</w:t>
      </w:r>
      <w:r>
        <w:rPr>
          <w:rFonts w:hint="eastAsia"/>
          <w:szCs w:val="21"/>
        </w:rPr>
        <w:t>路发送光串行接口，</w:t>
      </w:r>
      <w:r>
        <w:rPr>
          <w:rFonts w:hint="eastAsia"/>
          <w:szCs w:val="21"/>
          <w:lang w:val="en-US" w:eastAsia="zh-CN"/>
        </w:rPr>
        <w:t>1</w:t>
      </w:r>
      <w:r>
        <w:rPr>
          <w:rFonts w:hint="eastAsia"/>
          <w:szCs w:val="21"/>
        </w:rPr>
        <w:t>路光串行接收接口；</w:t>
      </w:r>
    </w:p>
    <w:p>
      <w:pPr>
        <w:numPr>
          <w:ilvl w:val="0"/>
          <w:numId w:val="6"/>
        </w:numPr>
        <w:tabs>
          <w:tab w:val="left" w:pos="780"/>
        </w:tabs>
        <w:spacing w:line="380" w:lineRule="exact"/>
        <w:ind w:left="425" w:leftChars="0" w:hanging="425" w:firstLineChars="0"/>
        <w:rPr>
          <w:szCs w:val="21"/>
        </w:rPr>
      </w:pPr>
      <w:r>
        <w:rPr>
          <w:rFonts w:hint="eastAsia"/>
          <w:szCs w:val="21"/>
        </w:rPr>
        <w:t>光IRIG-B码输入接口，</w:t>
      </w:r>
      <w:r>
        <w:rPr>
          <w:rFonts w:hint="eastAsia"/>
          <w:szCs w:val="21"/>
          <w:lang w:val="en-US" w:eastAsia="zh-CN"/>
        </w:rPr>
        <w:t>1</w:t>
      </w:r>
      <w:r>
        <w:rPr>
          <w:rFonts w:hint="eastAsia"/>
          <w:szCs w:val="21"/>
        </w:rPr>
        <w:t>路（复用接口）；</w:t>
      </w:r>
    </w:p>
    <w:p>
      <w:pPr>
        <w:numPr>
          <w:ilvl w:val="0"/>
          <w:numId w:val="6"/>
        </w:numPr>
        <w:tabs>
          <w:tab w:val="left" w:pos="780"/>
        </w:tabs>
        <w:spacing w:line="380" w:lineRule="exact"/>
        <w:ind w:left="425" w:leftChars="0" w:hanging="425" w:firstLineChars="0"/>
        <w:rPr>
          <w:szCs w:val="21"/>
        </w:rPr>
      </w:pPr>
      <w:r>
        <w:rPr>
          <w:rFonts w:hint="eastAsia"/>
          <w:szCs w:val="21"/>
        </w:rPr>
        <w:t>光IRIG-B码输出接口，</w:t>
      </w:r>
      <w:r>
        <w:rPr>
          <w:rFonts w:hint="eastAsia"/>
          <w:szCs w:val="21"/>
          <w:lang w:val="en-US" w:eastAsia="zh-CN"/>
        </w:rPr>
        <w:t>1</w:t>
      </w:r>
      <w:r>
        <w:rPr>
          <w:rFonts w:hint="eastAsia"/>
          <w:szCs w:val="21"/>
        </w:rPr>
        <w:t>路；</w:t>
      </w:r>
    </w:p>
    <w:p>
      <w:pPr>
        <w:numPr>
          <w:ilvl w:val="0"/>
          <w:numId w:val="6"/>
        </w:numPr>
        <w:tabs>
          <w:tab w:val="left" w:pos="780"/>
        </w:tabs>
        <w:spacing w:line="380" w:lineRule="exact"/>
        <w:ind w:left="425" w:leftChars="0" w:hanging="425" w:firstLineChars="0"/>
        <w:rPr>
          <w:szCs w:val="21"/>
        </w:rPr>
      </w:pPr>
      <w:r>
        <w:rPr>
          <w:rFonts w:hint="eastAsia"/>
          <w:szCs w:val="21"/>
        </w:rPr>
        <w:t>电B码输入接口，1路；</w:t>
      </w:r>
    </w:p>
    <w:p>
      <w:pPr>
        <w:numPr>
          <w:ilvl w:val="0"/>
          <w:numId w:val="6"/>
        </w:numPr>
        <w:tabs>
          <w:tab w:val="left" w:pos="780"/>
        </w:tabs>
        <w:spacing w:line="380" w:lineRule="exact"/>
        <w:ind w:left="425" w:leftChars="0" w:hanging="425" w:firstLineChars="0"/>
        <w:rPr>
          <w:szCs w:val="21"/>
        </w:rPr>
      </w:pPr>
      <w:r>
        <w:rPr>
          <w:rFonts w:hint="eastAsia"/>
          <w:szCs w:val="21"/>
        </w:rPr>
        <w:t>具有</w:t>
      </w:r>
      <w:r>
        <w:rPr>
          <w:rFonts w:hint="eastAsia"/>
          <w:szCs w:val="21"/>
          <w:lang w:val="en-US" w:eastAsia="zh-CN"/>
        </w:rPr>
        <w:t>1</w:t>
      </w:r>
      <w:r>
        <w:rPr>
          <w:rFonts w:hint="eastAsia"/>
          <w:szCs w:val="21"/>
        </w:rPr>
        <w:t>对开入硬接点、</w:t>
      </w:r>
      <w:r>
        <w:rPr>
          <w:rFonts w:hint="eastAsia"/>
          <w:szCs w:val="21"/>
          <w:lang w:val="en-US" w:eastAsia="zh-CN"/>
        </w:rPr>
        <w:t>1</w:t>
      </w:r>
      <w:r>
        <w:rPr>
          <w:rFonts w:hint="eastAsia"/>
          <w:szCs w:val="21"/>
        </w:rPr>
        <w:t>对快速开出硬接点；</w:t>
      </w:r>
    </w:p>
    <w:p>
      <w:pPr>
        <w:numPr>
          <w:ilvl w:val="0"/>
          <w:numId w:val="6"/>
        </w:numPr>
        <w:tabs>
          <w:tab w:val="left" w:pos="780"/>
        </w:tabs>
        <w:spacing w:line="380" w:lineRule="exact"/>
        <w:ind w:left="425" w:leftChars="0" w:hanging="425" w:firstLineChars="0"/>
        <w:rPr>
          <w:szCs w:val="21"/>
        </w:rPr>
      </w:pPr>
      <w:r>
        <w:rPr>
          <w:rFonts w:hint="eastAsia"/>
          <w:szCs w:val="21"/>
          <w:lang w:val="en-US" w:eastAsia="zh-CN"/>
        </w:rPr>
        <w:t>1路电压模拟输入，1路模拟电流输入；</w:t>
      </w:r>
    </w:p>
    <w:p>
      <w:pPr>
        <w:numPr>
          <w:ilvl w:val="0"/>
          <w:numId w:val="6"/>
        </w:numPr>
        <w:tabs>
          <w:tab w:val="left" w:pos="780"/>
        </w:tabs>
        <w:spacing w:line="380" w:lineRule="exact"/>
        <w:ind w:left="425" w:leftChars="0" w:hanging="425" w:firstLineChars="0"/>
        <w:rPr>
          <w:szCs w:val="21"/>
        </w:rPr>
      </w:pPr>
      <w:r>
        <w:rPr>
          <w:rFonts w:hint="eastAsia"/>
          <w:szCs w:val="21"/>
          <w:lang w:val="en-US" w:eastAsia="zh-CN"/>
        </w:rPr>
        <w:t>1路HDMI视频接口；</w:t>
      </w:r>
    </w:p>
    <w:p>
      <w:pPr>
        <w:numPr>
          <w:ilvl w:val="0"/>
          <w:numId w:val="6"/>
        </w:numPr>
        <w:tabs>
          <w:tab w:val="left" w:pos="780"/>
        </w:tabs>
        <w:spacing w:line="380" w:lineRule="exact"/>
        <w:ind w:left="425" w:leftChars="0" w:hanging="425" w:firstLineChars="0"/>
        <w:rPr>
          <w:szCs w:val="21"/>
        </w:rPr>
      </w:pPr>
      <w:r>
        <w:rPr>
          <w:rFonts w:hint="eastAsia"/>
          <w:szCs w:val="21"/>
          <w:lang w:val="en-US" w:eastAsia="zh-CN"/>
        </w:rPr>
        <w:t>1个SD卡槽，配备大容量存储卡；1路USB接口；</w:t>
      </w:r>
    </w:p>
    <w:p>
      <w:pPr>
        <w:numPr>
          <w:ilvl w:val="0"/>
          <w:numId w:val="6"/>
        </w:numPr>
        <w:tabs>
          <w:tab w:val="left" w:pos="780"/>
        </w:tabs>
        <w:spacing w:line="380" w:lineRule="exact"/>
        <w:ind w:left="425" w:leftChars="0" w:hanging="425" w:firstLineChars="0"/>
        <w:rPr>
          <w:szCs w:val="21"/>
        </w:rPr>
      </w:pPr>
      <w:r>
        <w:rPr>
          <w:rFonts w:hint="eastAsia"/>
          <w:szCs w:val="21"/>
        </w:rPr>
        <w:t>内置WIFI模块，无遮挡条件下传输距离不小于50M；</w:t>
      </w:r>
    </w:p>
    <w:p>
      <w:pPr>
        <w:numPr>
          <w:ilvl w:val="0"/>
          <w:numId w:val="6"/>
        </w:numPr>
        <w:tabs>
          <w:tab w:val="left" w:pos="780"/>
        </w:tabs>
        <w:spacing w:line="380" w:lineRule="exact"/>
        <w:ind w:left="425" w:leftChars="0" w:hanging="425" w:firstLineChars="0"/>
        <w:rPr>
          <w:szCs w:val="21"/>
        </w:rPr>
      </w:pPr>
      <w:r>
        <w:rPr>
          <w:szCs w:val="21"/>
        </w:rPr>
        <w:t>IEC61850-9-</w:t>
      </w:r>
      <w:r>
        <w:rPr>
          <w:rFonts w:hint="eastAsia"/>
          <w:szCs w:val="21"/>
        </w:rPr>
        <w:t>1/</w:t>
      </w:r>
      <w:r>
        <w:rPr>
          <w:szCs w:val="21"/>
        </w:rPr>
        <w:t>2 SMV报文发送时间均匀性最大偏差≤</w:t>
      </w:r>
      <w:r>
        <w:rPr>
          <w:rFonts w:hint="eastAsia"/>
          <w:szCs w:val="21"/>
        </w:rPr>
        <w:t>1</w:t>
      </w:r>
      <w:r>
        <w:t>μ</w:t>
      </w:r>
      <w:r>
        <w:rPr>
          <w:szCs w:val="21"/>
        </w:rPr>
        <w:t>s；</w:t>
      </w:r>
    </w:p>
    <w:p>
      <w:pPr>
        <w:numPr>
          <w:ilvl w:val="0"/>
          <w:numId w:val="6"/>
        </w:numPr>
        <w:tabs>
          <w:tab w:val="left" w:pos="780"/>
        </w:tabs>
        <w:spacing w:line="380" w:lineRule="exact"/>
        <w:ind w:left="425" w:leftChars="0" w:hanging="425" w:firstLineChars="0"/>
        <w:rPr>
          <w:szCs w:val="21"/>
        </w:rPr>
      </w:pPr>
      <w:r>
        <w:rPr>
          <w:szCs w:val="21"/>
        </w:rPr>
        <w:t>GOOSE</w:t>
      </w:r>
      <w:r>
        <w:rPr>
          <w:rFonts w:hint="eastAsia"/>
          <w:szCs w:val="21"/>
        </w:rPr>
        <w:t>事件</w:t>
      </w:r>
      <w:r>
        <w:rPr>
          <w:szCs w:val="21"/>
        </w:rPr>
        <w:t>分辨率</w:t>
      </w:r>
      <w:r>
        <w:rPr>
          <w:rFonts w:hint="eastAsia"/>
          <w:szCs w:val="21"/>
        </w:rPr>
        <w:t>&lt;</w:t>
      </w:r>
      <w:r>
        <w:rPr>
          <w:szCs w:val="21"/>
        </w:rPr>
        <w:t>1ms</w:t>
      </w:r>
      <w:r>
        <w:rPr>
          <w:rFonts w:hint="eastAsia"/>
          <w:szCs w:val="21"/>
        </w:rPr>
        <w:t>；</w:t>
      </w:r>
    </w:p>
    <w:p>
      <w:pPr>
        <w:numPr>
          <w:ilvl w:val="0"/>
          <w:numId w:val="6"/>
        </w:numPr>
        <w:tabs>
          <w:tab w:val="left" w:pos="780"/>
        </w:tabs>
        <w:spacing w:line="380" w:lineRule="exact"/>
        <w:ind w:left="425" w:leftChars="0" w:hanging="425" w:firstLineChars="0"/>
        <w:rPr>
          <w:szCs w:val="21"/>
        </w:rPr>
      </w:pPr>
      <w:r>
        <w:rPr>
          <w:rFonts w:hint="eastAsia"/>
        </w:rPr>
        <w:t>在30.0Hz~70.0Hz范围内，采样值SV电压在0.01Ue~2Ue范围内测量精度优于0.05%，相位精度优于0.01</w:t>
      </w:r>
      <w:r>
        <w:rPr>
          <w:rFonts w:hint="eastAsia"/>
          <w:vertAlign w:val="superscript"/>
        </w:rPr>
        <w:t>o</w:t>
      </w:r>
      <w:r>
        <w:rPr>
          <w:rFonts w:hint="eastAsia"/>
        </w:rPr>
        <w:t>；采样值SV电流在0.01Ie~40Ie范围内测量精度优于0.05%，相位精度优于0.01</w:t>
      </w:r>
      <w:r>
        <w:rPr>
          <w:rFonts w:hint="eastAsia"/>
          <w:vertAlign w:val="superscript"/>
        </w:rPr>
        <w:t>o</w:t>
      </w:r>
      <w:r>
        <w:rPr>
          <w:rFonts w:hint="eastAsia"/>
        </w:rPr>
        <w:t>；频率测量精度内优于0.002Hz</w:t>
      </w:r>
      <w:r>
        <w:rPr>
          <w:rFonts w:hint="eastAsia"/>
          <w:szCs w:val="21"/>
        </w:rPr>
        <w:t>；</w:t>
      </w:r>
    </w:p>
    <w:p>
      <w:pPr>
        <w:numPr>
          <w:ilvl w:val="0"/>
          <w:numId w:val="6"/>
        </w:numPr>
        <w:tabs>
          <w:tab w:val="left" w:pos="780"/>
        </w:tabs>
        <w:spacing w:line="380" w:lineRule="exact"/>
        <w:ind w:left="425" w:leftChars="0" w:hanging="425" w:firstLineChars="0"/>
        <w:rPr>
          <w:szCs w:val="21"/>
        </w:rPr>
      </w:pPr>
      <w:r>
        <w:rPr>
          <w:rFonts w:hint="eastAsia"/>
          <w:szCs w:val="21"/>
        </w:rPr>
        <w:t>光功率测量范围：+10dBm—-60dBm，最大输入光功率：+13dBm；</w:t>
      </w:r>
    </w:p>
    <w:p>
      <w:pPr>
        <w:numPr>
          <w:ilvl w:val="0"/>
          <w:numId w:val="6"/>
        </w:numPr>
        <w:tabs>
          <w:tab w:val="left" w:pos="780"/>
        </w:tabs>
        <w:spacing w:line="380" w:lineRule="exact"/>
        <w:ind w:left="425" w:leftChars="0" w:hanging="425" w:firstLineChars="0"/>
        <w:rPr>
          <w:szCs w:val="21"/>
        </w:rPr>
      </w:pPr>
      <w:r>
        <w:rPr>
          <w:szCs w:val="21"/>
        </w:rPr>
        <w:t>遥测信息响应时间 ≤ 2s；</w:t>
      </w:r>
    </w:p>
    <w:p>
      <w:pPr>
        <w:numPr>
          <w:ilvl w:val="0"/>
          <w:numId w:val="6"/>
        </w:numPr>
        <w:tabs>
          <w:tab w:val="left" w:pos="780"/>
        </w:tabs>
        <w:spacing w:line="380" w:lineRule="exact"/>
        <w:ind w:left="425" w:leftChars="0" w:hanging="425" w:firstLineChars="0"/>
        <w:rPr>
          <w:szCs w:val="21"/>
        </w:rPr>
      </w:pPr>
      <w:r>
        <w:rPr>
          <w:szCs w:val="21"/>
        </w:rPr>
        <w:t xml:space="preserve">遥信变化响应时间 &lt; </w:t>
      </w:r>
      <w:r>
        <w:rPr>
          <w:rFonts w:hint="eastAsia"/>
          <w:szCs w:val="21"/>
        </w:rPr>
        <w:t>1</w:t>
      </w:r>
      <w:r>
        <w:rPr>
          <w:szCs w:val="21"/>
        </w:rPr>
        <w:t>s</w:t>
      </w:r>
      <w:r>
        <w:rPr>
          <w:rFonts w:hint="eastAsia"/>
          <w:szCs w:val="21"/>
        </w:rPr>
        <w:t>；</w:t>
      </w:r>
    </w:p>
    <w:p>
      <w:pPr>
        <w:numPr>
          <w:ilvl w:val="0"/>
          <w:numId w:val="6"/>
        </w:numPr>
        <w:tabs>
          <w:tab w:val="left" w:pos="780"/>
        </w:tabs>
        <w:spacing w:line="380" w:lineRule="exact"/>
        <w:ind w:left="425" w:leftChars="0" w:hanging="425" w:firstLineChars="0"/>
        <w:rPr>
          <w:szCs w:val="21"/>
        </w:rPr>
      </w:pPr>
      <w:r>
        <w:rPr>
          <w:szCs w:val="21"/>
        </w:rPr>
        <w:t>正常情况下，</w:t>
      </w:r>
      <w:r>
        <w:rPr>
          <w:rFonts w:hint="eastAsia"/>
          <w:szCs w:val="21"/>
        </w:rPr>
        <w:t>一次充满电后正常</w:t>
      </w:r>
      <w:r>
        <w:rPr>
          <w:szCs w:val="21"/>
        </w:rPr>
        <w:t>使</w:t>
      </w:r>
      <w:r>
        <w:rPr>
          <w:rFonts w:hint="eastAsia"/>
          <w:szCs w:val="21"/>
        </w:rPr>
        <w:t>时间不小于8小时；</w:t>
      </w:r>
    </w:p>
    <w:p>
      <w:pPr>
        <w:numPr>
          <w:ilvl w:val="0"/>
          <w:numId w:val="6"/>
        </w:numPr>
        <w:tabs>
          <w:tab w:val="left" w:pos="780"/>
        </w:tabs>
        <w:spacing w:line="380" w:lineRule="exact"/>
        <w:ind w:left="425" w:leftChars="0" w:hanging="425" w:firstLineChars="0"/>
        <w:rPr>
          <w:szCs w:val="21"/>
        </w:rPr>
      </w:pPr>
      <w:r>
        <w:rPr>
          <w:rFonts w:hint="eastAsia"/>
          <w:szCs w:val="21"/>
        </w:rPr>
        <w:t>液晶屏规格：16:9真彩色，</w:t>
      </w:r>
      <w:r>
        <w:rPr>
          <w:rFonts w:hint="eastAsia"/>
          <w:szCs w:val="21"/>
          <w:lang w:val="en-US" w:eastAsia="zh-CN"/>
        </w:rPr>
        <w:t>7</w:t>
      </w:r>
      <w:r>
        <w:rPr>
          <w:rFonts w:hint="eastAsia"/>
          <w:szCs w:val="21"/>
        </w:rPr>
        <w:t>英寸。</w:t>
      </w:r>
    </w:p>
    <w:p>
      <w:pPr>
        <w:numPr>
          <w:ilvl w:val="0"/>
          <w:numId w:val="0"/>
        </w:numPr>
        <w:tabs>
          <w:tab w:val="left" w:pos="382"/>
        </w:tabs>
        <w:spacing w:line="400" w:lineRule="exact"/>
        <w:ind w:left="-8" w:leftChars="0"/>
        <w:rPr>
          <w:szCs w:val="21"/>
        </w:rPr>
      </w:pPr>
      <w:r>
        <w:rPr>
          <w:rFonts w:hint="eastAsia"/>
          <w:szCs w:val="21"/>
          <w:lang w:val="en-US" w:eastAsia="zh-CN"/>
        </w:rPr>
        <w:t>5.3.3</w:t>
      </w:r>
      <w:r>
        <w:rPr>
          <w:szCs w:val="21"/>
        </w:rPr>
        <w:t>环境参数</w:t>
      </w:r>
    </w:p>
    <w:p>
      <w:pPr>
        <w:spacing w:line="380" w:lineRule="exact"/>
        <w:ind w:firstLine="525" w:firstLineChars="250"/>
        <w:rPr>
          <w:szCs w:val="21"/>
        </w:rPr>
      </w:pPr>
      <w:r>
        <w:rPr>
          <w:szCs w:val="21"/>
        </w:rPr>
        <w:t>正常工作温度：-5～45℃；</w:t>
      </w:r>
    </w:p>
    <w:p>
      <w:pPr>
        <w:spacing w:line="380" w:lineRule="exact"/>
        <w:ind w:firstLine="525" w:firstLineChars="250"/>
        <w:rPr>
          <w:szCs w:val="21"/>
        </w:rPr>
      </w:pPr>
      <w:r>
        <w:rPr>
          <w:szCs w:val="21"/>
        </w:rPr>
        <w:t>极限工作温度：-10～50℃；</w:t>
      </w:r>
    </w:p>
    <w:p>
      <w:pPr>
        <w:spacing w:line="380" w:lineRule="exact"/>
        <w:ind w:firstLine="525" w:firstLineChars="250"/>
        <w:rPr>
          <w:szCs w:val="21"/>
        </w:rPr>
      </w:pPr>
      <w:r>
        <w:rPr>
          <w:szCs w:val="21"/>
        </w:rPr>
        <w:t>贮存及运输：  -25～70℃；</w:t>
      </w:r>
    </w:p>
    <w:p>
      <w:pPr>
        <w:pStyle w:val="13"/>
        <w:spacing w:line="380" w:lineRule="exact"/>
        <w:ind w:firstLine="525" w:firstLineChars="250"/>
        <w:rPr>
          <w:rFonts w:eastAsia="新宋体"/>
          <w:sz w:val="21"/>
          <w:szCs w:val="21"/>
        </w:rPr>
      </w:pPr>
      <w:r>
        <w:rPr>
          <w:rFonts w:eastAsia="新宋体"/>
          <w:sz w:val="21"/>
          <w:szCs w:val="21"/>
        </w:rPr>
        <w:t>相对湿度：</w:t>
      </w:r>
      <w:r>
        <w:rPr>
          <w:rFonts w:eastAsia="新宋体"/>
          <w:sz w:val="21"/>
          <w:szCs w:val="21"/>
        </w:rPr>
        <w:tab/>
      </w:r>
      <w:r>
        <w:rPr>
          <w:rFonts w:eastAsia="新宋体"/>
          <w:sz w:val="21"/>
          <w:szCs w:val="21"/>
        </w:rPr>
        <w:tab/>
      </w:r>
      <w:r>
        <w:rPr>
          <w:rFonts w:eastAsia="新宋体"/>
          <w:sz w:val="21"/>
          <w:szCs w:val="21"/>
        </w:rPr>
        <w:t>5% ～ 95%</w:t>
      </w:r>
      <w:r>
        <w:rPr>
          <w:rFonts w:hint="eastAsia" w:eastAsia="新宋体"/>
          <w:sz w:val="21"/>
          <w:szCs w:val="21"/>
        </w:rPr>
        <w:t>；</w:t>
      </w:r>
    </w:p>
    <w:p>
      <w:pPr>
        <w:pStyle w:val="13"/>
        <w:spacing w:line="380" w:lineRule="exact"/>
        <w:ind w:firstLine="525" w:firstLineChars="250"/>
        <w:rPr>
          <w:rFonts w:eastAsia="新宋体"/>
          <w:sz w:val="21"/>
          <w:szCs w:val="21"/>
        </w:rPr>
      </w:pPr>
      <w:r>
        <w:rPr>
          <w:rFonts w:eastAsia="新宋体"/>
          <w:sz w:val="21"/>
          <w:szCs w:val="21"/>
        </w:rPr>
        <w:t>大气压力：</w:t>
      </w:r>
      <w:r>
        <w:rPr>
          <w:rFonts w:eastAsia="新宋体"/>
          <w:sz w:val="21"/>
          <w:szCs w:val="21"/>
        </w:rPr>
        <w:tab/>
      </w:r>
      <w:r>
        <w:rPr>
          <w:rFonts w:eastAsia="新宋体"/>
          <w:sz w:val="21"/>
          <w:szCs w:val="21"/>
        </w:rPr>
        <w:tab/>
      </w:r>
      <w:r>
        <w:rPr>
          <w:rFonts w:eastAsia="新宋体"/>
          <w:sz w:val="21"/>
          <w:szCs w:val="21"/>
        </w:rPr>
        <w:t>86 ～ 106KPa</w:t>
      </w:r>
      <w:r>
        <w:rPr>
          <w:rFonts w:hint="eastAsia" w:eastAsia="新宋体"/>
          <w:sz w:val="21"/>
          <w:szCs w:val="21"/>
        </w:rPr>
        <w:t>；</w:t>
      </w:r>
    </w:p>
    <w:p>
      <w:pPr>
        <w:numPr>
          <w:ilvl w:val="0"/>
          <w:numId w:val="0"/>
        </w:numPr>
        <w:tabs>
          <w:tab w:val="left" w:pos="382"/>
        </w:tabs>
        <w:spacing w:line="400" w:lineRule="exact"/>
        <w:ind w:left="-8" w:leftChars="0"/>
        <w:rPr>
          <w:szCs w:val="21"/>
        </w:rPr>
      </w:pPr>
      <w:r>
        <w:rPr>
          <w:rFonts w:hint="eastAsia"/>
          <w:szCs w:val="21"/>
          <w:lang w:val="en-US" w:eastAsia="zh-CN"/>
        </w:rPr>
        <w:t>5.3.4</w:t>
      </w:r>
      <w:r>
        <w:rPr>
          <w:szCs w:val="21"/>
        </w:rPr>
        <w:t>光纤接口特性</w:t>
      </w:r>
    </w:p>
    <w:tbl>
      <w:tblPr>
        <w:tblStyle w:val="27"/>
        <w:tblW w:w="83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99"/>
        <w:gridCol w:w="56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699" w:type="dxa"/>
            <w:vAlign w:val="center"/>
          </w:tcPr>
          <w:p>
            <w:pPr>
              <w:adjustRightInd w:val="0"/>
              <w:snapToGrid w:val="0"/>
              <w:rPr>
                <w:szCs w:val="21"/>
              </w:rPr>
            </w:pPr>
            <w:r>
              <w:rPr>
                <w:rFonts w:eastAsia="新宋体"/>
                <w:szCs w:val="21"/>
              </w:rPr>
              <w:t>光纤参数：</w:t>
            </w:r>
          </w:p>
        </w:tc>
        <w:tc>
          <w:tcPr>
            <w:tcW w:w="5606" w:type="dxa"/>
            <w:vAlign w:val="center"/>
          </w:tcPr>
          <w:p>
            <w:pPr>
              <w:adjustRightInd w:val="0"/>
              <w:snapToGrid w:val="0"/>
              <w:rPr>
                <w:szCs w:val="21"/>
              </w:rPr>
            </w:pPr>
            <w:r>
              <w:rPr>
                <w:rFonts w:eastAsia="新宋体"/>
                <w:szCs w:val="21"/>
              </w:rPr>
              <w:t>多模光纤，</w:t>
            </w:r>
            <w:r>
              <w:rPr>
                <w:rFonts w:hint="eastAsia" w:eastAsia="新宋体"/>
                <w:szCs w:val="21"/>
              </w:rPr>
              <w:t>LC/ST</w:t>
            </w:r>
            <w:r>
              <w:rPr>
                <w:rFonts w:eastAsia="新宋体"/>
                <w:szCs w:val="21"/>
              </w:rPr>
              <w:t>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699" w:type="dxa"/>
            <w:vAlign w:val="center"/>
          </w:tcPr>
          <w:p>
            <w:pPr>
              <w:adjustRightInd w:val="0"/>
              <w:snapToGrid w:val="0"/>
              <w:rPr>
                <w:szCs w:val="21"/>
              </w:rPr>
            </w:pPr>
            <w:r>
              <w:rPr>
                <w:rFonts w:eastAsia="新宋体"/>
                <w:szCs w:val="21"/>
              </w:rPr>
              <w:t>发送功率：</w:t>
            </w:r>
          </w:p>
        </w:tc>
        <w:tc>
          <w:tcPr>
            <w:tcW w:w="5606" w:type="dxa"/>
            <w:vAlign w:val="center"/>
          </w:tcPr>
          <w:p>
            <w:pPr>
              <w:adjustRightInd w:val="0"/>
              <w:snapToGrid w:val="0"/>
              <w:rPr>
                <w:szCs w:val="21"/>
              </w:rPr>
            </w:pPr>
            <w:r>
              <w:rPr>
                <w:rFonts w:eastAsia="新宋体"/>
                <w:szCs w:val="21"/>
              </w:rPr>
              <w:t>大于等于-15dbm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699" w:type="dxa"/>
            <w:vAlign w:val="center"/>
          </w:tcPr>
          <w:p>
            <w:pPr>
              <w:adjustRightInd w:val="0"/>
              <w:snapToGrid w:val="0"/>
              <w:rPr>
                <w:szCs w:val="21"/>
              </w:rPr>
            </w:pPr>
            <w:r>
              <w:rPr>
                <w:rFonts w:eastAsia="新宋体"/>
                <w:szCs w:val="21"/>
              </w:rPr>
              <w:t>接收灵敏度</w:t>
            </w:r>
            <w:r>
              <w:rPr>
                <w:szCs w:val="21"/>
              </w:rPr>
              <w:t>：</w:t>
            </w:r>
          </w:p>
        </w:tc>
        <w:tc>
          <w:tcPr>
            <w:tcW w:w="5606" w:type="dxa"/>
            <w:vAlign w:val="center"/>
          </w:tcPr>
          <w:p>
            <w:pPr>
              <w:adjustRightInd w:val="0"/>
              <w:snapToGrid w:val="0"/>
              <w:rPr>
                <w:szCs w:val="21"/>
              </w:rPr>
            </w:pPr>
            <w:r>
              <w:rPr>
                <w:rFonts w:eastAsia="新宋体"/>
                <w:szCs w:val="21"/>
              </w:rPr>
              <w:t>小于等于-30dbm</w:t>
            </w:r>
          </w:p>
        </w:tc>
      </w:tr>
    </w:tbl>
    <w:p>
      <w:pPr>
        <w:numPr>
          <w:ilvl w:val="0"/>
          <w:numId w:val="7"/>
        </w:numPr>
        <w:tabs>
          <w:tab w:val="left" w:pos="382"/>
          <w:tab w:val="clear" w:pos="780"/>
        </w:tabs>
        <w:spacing w:line="400" w:lineRule="exact"/>
        <w:ind w:left="412"/>
        <w:rPr>
          <w:szCs w:val="21"/>
        </w:rPr>
      </w:pPr>
      <w:r>
        <w:rPr>
          <w:szCs w:val="21"/>
        </w:rPr>
        <w:t>电磁兼容</w:t>
      </w:r>
    </w:p>
    <w:tbl>
      <w:tblPr>
        <w:tblStyle w:val="27"/>
        <w:tblW w:w="83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52"/>
        <w:gridCol w:w="2888"/>
        <w:gridCol w:w="27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52" w:type="dxa"/>
          </w:tcPr>
          <w:p>
            <w:pPr>
              <w:rPr>
                <w:szCs w:val="21"/>
              </w:rPr>
            </w:pPr>
            <w:r>
              <w:rPr>
                <w:szCs w:val="21"/>
              </w:rPr>
              <w:t>试验项目</w:t>
            </w:r>
          </w:p>
        </w:tc>
        <w:tc>
          <w:tcPr>
            <w:tcW w:w="2888" w:type="dxa"/>
          </w:tcPr>
          <w:p>
            <w:pPr>
              <w:rPr>
                <w:szCs w:val="21"/>
              </w:rPr>
            </w:pPr>
            <w:r>
              <w:rPr>
                <w:szCs w:val="21"/>
              </w:rPr>
              <w:t>试验值</w:t>
            </w:r>
          </w:p>
        </w:tc>
        <w:tc>
          <w:tcPr>
            <w:tcW w:w="2707" w:type="dxa"/>
          </w:tcPr>
          <w:p>
            <w:pPr>
              <w:rPr>
                <w:szCs w:val="21"/>
              </w:rPr>
            </w:pPr>
            <w:r>
              <w:rPr>
                <w:szCs w:val="21"/>
              </w:rPr>
              <w:t>参照标准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52" w:type="dxa"/>
          </w:tcPr>
          <w:p>
            <w:pPr>
              <w:rPr>
                <w:szCs w:val="21"/>
              </w:rPr>
            </w:pPr>
            <w:r>
              <w:rPr>
                <w:szCs w:val="21"/>
              </w:rPr>
              <w:t>静电放电</w:t>
            </w:r>
          </w:p>
        </w:tc>
        <w:tc>
          <w:tcPr>
            <w:tcW w:w="2888" w:type="dxa"/>
          </w:tcPr>
          <w:p>
            <w:pPr>
              <w:rPr>
                <w:szCs w:val="21"/>
              </w:rPr>
            </w:pPr>
            <w:r>
              <w:rPr>
                <w:szCs w:val="21"/>
              </w:rPr>
              <w:t>±</w:t>
            </w:r>
            <w:r>
              <w:rPr>
                <w:rFonts w:hint="eastAsia"/>
                <w:szCs w:val="21"/>
              </w:rPr>
              <w:t>15</w:t>
            </w:r>
            <w:r>
              <w:rPr>
                <w:szCs w:val="21"/>
              </w:rPr>
              <w:t>kV</w:t>
            </w:r>
          </w:p>
        </w:tc>
        <w:tc>
          <w:tcPr>
            <w:tcW w:w="2707" w:type="dxa"/>
          </w:tcPr>
          <w:p>
            <w:pPr>
              <w:rPr>
                <w:szCs w:val="21"/>
              </w:rPr>
            </w:pPr>
            <w:r>
              <w:rPr>
                <w:szCs w:val="21"/>
              </w:rPr>
              <w:t>GB</w:t>
            </w:r>
            <w:r>
              <w:rPr>
                <w:rFonts w:hint="eastAsia"/>
                <w:szCs w:val="21"/>
              </w:rPr>
              <w:t>/T 17626.2</w:t>
            </w:r>
            <w:r>
              <w:rPr>
                <w:szCs w:val="21"/>
              </w:rPr>
              <w:t>-</w:t>
            </w:r>
            <w:r>
              <w:rPr>
                <w:rFonts w:hint="eastAsia"/>
                <w:szCs w:val="21"/>
              </w:rPr>
              <w:t>2006</w:t>
            </w:r>
            <w:r>
              <w:rPr>
                <w:szCs w:val="21"/>
              </w:rPr>
              <w:t>，</w:t>
            </w:r>
            <w:r>
              <w:rPr>
                <w:rFonts w:hint="eastAsia"/>
                <w:szCs w:val="21"/>
              </w:rPr>
              <w:t>IV</w:t>
            </w:r>
            <w:r>
              <w:rPr>
                <w:szCs w:val="21"/>
              </w:rPr>
              <w:t>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52" w:type="dxa"/>
          </w:tcPr>
          <w:p>
            <w:pPr>
              <w:rPr>
                <w:szCs w:val="21"/>
              </w:rPr>
            </w:pPr>
            <w:r>
              <w:rPr>
                <w:rFonts w:hint="eastAsia"/>
                <w:szCs w:val="21"/>
              </w:rPr>
              <w:t>射频电磁场辐射抗扰度</w:t>
            </w:r>
          </w:p>
        </w:tc>
        <w:tc>
          <w:tcPr>
            <w:tcW w:w="2888" w:type="dxa"/>
          </w:tcPr>
          <w:p>
            <w:pPr>
              <w:rPr>
                <w:szCs w:val="21"/>
              </w:rPr>
            </w:pPr>
            <w:r>
              <w:rPr>
                <w:rFonts w:hint="eastAsia"/>
                <w:szCs w:val="21"/>
              </w:rPr>
              <w:t>10</w:t>
            </w:r>
            <w:r>
              <w:rPr>
                <w:szCs w:val="21"/>
              </w:rPr>
              <w:t>V</w:t>
            </w:r>
            <w:r>
              <w:rPr>
                <w:rFonts w:hint="eastAsia"/>
                <w:szCs w:val="21"/>
              </w:rPr>
              <w:t>/m</w:t>
            </w:r>
          </w:p>
        </w:tc>
        <w:tc>
          <w:tcPr>
            <w:tcW w:w="2707" w:type="dxa"/>
          </w:tcPr>
          <w:p>
            <w:pPr>
              <w:rPr>
                <w:szCs w:val="21"/>
              </w:rPr>
            </w:pPr>
            <w:r>
              <w:rPr>
                <w:szCs w:val="21"/>
              </w:rPr>
              <w:t>GB</w:t>
            </w:r>
            <w:r>
              <w:rPr>
                <w:rFonts w:hint="eastAsia"/>
                <w:szCs w:val="21"/>
              </w:rPr>
              <w:t>/T 17626.3</w:t>
            </w:r>
            <w:r>
              <w:rPr>
                <w:szCs w:val="21"/>
              </w:rPr>
              <w:t>-</w:t>
            </w:r>
            <w:r>
              <w:rPr>
                <w:rFonts w:hint="eastAsia"/>
                <w:szCs w:val="21"/>
              </w:rPr>
              <w:t>2006</w:t>
            </w:r>
            <w:r>
              <w:rPr>
                <w:szCs w:val="21"/>
              </w:rPr>
              <w:t>，</w:t>
            </w:r>
            <w:r>
              <w:rPr>
                <w:rFonts w:hint="eastAsia"/>
                <w:szCs w:val="21"/>
              </w:rPr>
              <w:t>III</w:t>
            </w:r>
            <w:r>
              <w:rPr>
                <w:szCs w:val="21"/>
              </w:rPr>
              <w:t>级</w:t>
            </w:r>
          </w:p>
        </w:tc>
      </w:tr>
    </w:tbl>
    <w:p>
      <w:pPr>
        <w:numPr>
          <w:ilvl w:val="0"/>
          <w:numId w:val="0"/>
        </w:numPr>
        <w:tabs>
          <w:tab w:val="left" w:pos="382"/>
        </w:tabs>
        <w:spacing w:line="400" w:lineRule="exact"/>
        <w:ind w:left="-8" w:leftChars="0"/>
        <w:rPr>
          <w:szCs w:val="21"/>
        </w:rPr>
      </w:pPr>
      <w:r>
        <w:rPr>
          <w:rFonts w:hint="eastAsia"/>
          <w:szCs w:val="21"/>
          <w:lang w:val="en-US" w:eastAsia="zh-CN"/>
        </w:rPr>
        <w:t>5.3.5</w:t>
      </w:r>
      <w:r>
        <w:rPr>
          <w:rFonts w:hint="eastAsia"/>
          <w:szCs w:val="21"/>
        </w:rPr>
        <w:t>机械</w:t>
      </w:r>
      <w:r>
        <w:rPr>
          <w:szCs w:val="21"/>
        </w:rPr>
        <w:t>尺寸</w:t>
      </w:r>
      <w:r>
        <w:rPr>
          <w:rFonts w:hint="eastAsia"/>
          <w:szCs w:val="21"/>
        </w:rPr>
        <w:t>及重量</w:t>
      </w:r>
    </w:p>
    <w:p>
      <w:pPr>
        <w:spacing w:line="400" w:lineRule="exact"/>
        <w:ind w:firstLine="420" w:firstLineChars="200"/>
      </w:pPr>
      <w:r>
        <w:rPr>
          <w:rFonts w:hint="eastAsia"/>
        </w:rPr>
        <w:t>外观尺寸：</w:t>
      </w:r>
      <w:r>
        <w:t>225mm*170mm*55mm</w:t>
      </w:r>
      <w:r>
        <w:rPr>
          <w:rFonts w:hint="eastAsia"/>
        </w:rPr>
        <w:t>；</w:t>
      </w:r>
    </w:p>
    <w:p>
      <w:pPr>
        <w:spacing w:line="380" w:lineRule="exact"/>
        <w:ind w:firstLine="420" w:firstLineChars="200"/>
      </w:pPr>
      <w:r>
        <w:rPr>
          <w:rFonts w:hint="eastAsia"/>
        </w:rPr>
        <w:t>重量：不大于</w:t>
      </w:r>
      <w:r>
        <w:t>1.5 kg</w:t>
      </w:r>
      <w:r>
        <w:rPr>
          <w:rFonts w:hint="eastAsia"/>
        </w:rPr>
        <w:t>。</w:t>
      </w:r>
    </w:p>
    <w:p>
      <w:pPr>
        <w:pStyle w:val="4"/>
        <w:numPr>
          <w:ilvl w:val="0"/>
          <w:numId w:val="0"/>
        </w:numPr>
        <w:snapToGrid/>
        <w:spacing w:before="0" w:beforeLines="0" w:line="480" w:lineRule="auto"/>
        <w:rPr>
          <w:rFonts w:hint="eastAsia" w:hAnsi="宋体"/>
          <w:sz w:val="24"/>
          <w:szCs w:val="24"/>
        </w:rPr>
      </w:pPr>
      <w:r>
        <w:rPr>
          <w:rFonts w:hint="eastAsia" w:hAnsi="宋体"/>
          <w:sz w:val="24"/>
          <w:szCs w:val="24"/>
        </w:rPr>
        <w:t xml:space="preserve">6 </w:t>
      </w:r>
      <w:bookmarkStart w:id="29" w:name="_Toc271281212"/>
      <w:bookmarkStart w:id="30" w:name="_Toc387858465"/>
      <w:bookmarkStart w:id="31" w:name="_Toc276490905"/>
      <w:bookmarkStart w:id="32" w:name="_Toc276492417"/>
      <w:r>
        <w:rPr>
          <w:rFonts w:hint="eastAsia" w:hAnsi="宋体"/>
          <w:sz w:val="24"/>
          <w:szCs w:val="24"/>
        </w:rPr>
        <w:t>试验</w:t>
      </w:r>
      <w:bookmarkEnd w:id="27"/>
      <w:bookmarkEnd w:id="29"/>
      <w:bookmarkEnd w:id="30"/>
      <w:bookmarkEnd w:id="31"/>
      <w:bookmarkEnd w:id="32"/>
    </w:p>
    <w:p>
      <w:pPr>
        <w:pStyle w:val="47"/>
        <w:adjustRightInd w:val="0"/>
        <w:snapToGrid w:val="0"/>
        <w:spacing w:line="360" w:lineRule="auto"/>
        <w:ind w:firstLine="480"/>
        <w:rPr>
          <w:rFonts w:ascii="宋体" w:hAnsi="宋体" w:eastAsia="宋体" w:cs="Times New Roman"/>
          <w:sz w:val="24"/>
          <w:szCs w:val="24"/>
        </w:rPr>
      </w:pPr>
      <w:r>
        <w:rPr>
          <w:rFonts w:ascii="宋体" w:hAnsi="宋体" w:eastAsia="宋体" w:cs="Times New Roman"/>
          <w:sz w:val="24"/>
          <w:szCs w:val="24"/>
        </w:rPr>
        <w:t>根据相关国标和行标等有关标准及其补充说明进行各项试验，有关条款的特殊要求和补充应在试验期间遵守并执行。</w:t>
      </w:r>
    </w:p>
    <w:p>
      <w:pPr>
        <w:pStyle w:val="5"/>
        <w:numPr>
          <w:ilvl w:val="0"/>
          <w:numId w:val="0"/>
        </w:numPr>
        <w:rPr>
          <w:rFonts w:hAnsi="宋体"/>
          <w:sz w:val="24"/>
          <w:szCs w:val="24"/>
        </w:rPr>
      </w:pPr>
      <w:bookmarkStart w:id="33" w:name="_Toc283566856"/>
      <w:bookmarkStart w:id="34" w:name="_Toc399627546"/>
      <w:r>
        <w:rPr>
          <w:rFonts w:hAnsi="宋体"/>
          <w:sz w:val="24"/>
          <w:szCs w:val="24"/>
        </w:rPr>
        <w:t>6.1 型式试验</w:t>
      </w:r>
      <w:bookmarkEnd w:id="33"/>
      <w:bookmarkEnd w:id="34"/>
    </w:p>
    <w:p>
      <w:pPr>
        <w:pStyle w:val="47"/>
        <w:adjustRightInd w:val="0"/>
        <w:snapToGrid w:val="0"/>
        <w:spacing w:line="360" w:lineRule="auto"/>
        <w:ind w:firstLine="480"/>
        <w:rPr>
          <w:rFonts w:hint="eastAsia" w:ascii="宋体" w:hAnsi="宋体" w:eastAsia="宋体" w:cs="Times New Roman"/>
          <w:sz w:val="24"/>
          <w:szCs w:val="24"/>
        </w:rPr>
      </w:pPr>
      <w:r>
        <w:rPr>
          <w:rFonts w:ascii="宋体" w:hAnsi="宋体" w:eastAsia="宋体" w:cs="Times New Roman"/>
          <w:sz w:val="24"/>
          <w:szCs w:val="24"/>
        </w:rPr>
        <w:t> 型式试验是为了验证所设计和制造的设备的性能是否能够达到相应产品标准的要求</w:t>
      </w:r>
      <w:r>
        <w:rPr>
          <w:rFonts w:hint="eastAsia" w:ascii="宋体" w:hAnsi="宋体" w:eastAsia="宋体" w:cs="Times New Roman"/>
          <w:sz w:val="24"/>
          <w:szCs w:val="24"/>
        </w:rPr>
        <w:t>，投标方应提供有相应资质的第三方检测机构出具的产品型式试验报告，型式试验的项目内容如下：</w:t>
      </w:r>
    </w:p>
    <w:p>
      <w:pPr>
        <w:pStyle w:val="47"/>
        <w:adjustRightInd w:val="0"/>
        <w:snapToGrid w:val="0"/>
        <w:spacing w:line="360" w:lineRule="auto"/>
        <w:rPr>
          <w:rFonts w:hint="eastAsia" w:eastAsia="宋体" w:cs="Times New Roman"/>
          <w:szCs w:val="21"/>
        </w:rPr>
      </w:pPr>
      <w:r>
        <w:rPr>
          <w:rFonts w:eastAsia="宋体" w:cs="Times New Roman"/>
          <w:szCs w:val="21"/>
        </w:rPr>
        <w:t>a</w:t>
      </w:r>
      <w:r>
        <w:rPr>
          <w:rFonts w:hint="eastAsia" w:eastAsia="宋体" w:cs="Times New Roman"/>
          <w:szCs w:val="21"/>
        </w:rPr>
        <w:t>.</w:t>
      </w:r>
      <w:r>
        <w:rPr>
          <w:rFonts w:hint="eastAsia" w:ascii="宋体" w:hAnsi="宋体"/>
          <w:szCs w:val="21"/>
        </w:rPr>
        <w:t xml:space="preserve"> 测量范围</w:t>
      </w:r>
    </w:p>
    <w:p>
      <w:pPr>
        <w:pStyle w:val="47"/>
        <w:adjustRightInd w:val="0"/>
        <w:snapToGrid w:val="0"/>
        <w:spacing w:line="360" w:lineRule="auto"/>
        <w:rPr>
          <w:rFonts w:hint="eastAsia" w:eastAsia="宋体" w:cs="Times New Roman"/>
          <w:szCs w:val="21"/>
        </w:rPr>
      </w:pPr>
      <w:r>
        <w:rPr>
          <w:rFonts w:hint="eastAsia" w:eastAsia="宋体" w:cs="Times New Roman"/>
          <w:szCs w:val="21"/>
        </w:rPr>
        <w:t>b.</w:t>
      </w:r>
      <w:r>
        <w:rPr>
          <w:rFonts w:hint="eastAsia" w:ascii="宋体" w:hAnsi="宋体"/>
          <w:szCs w:val="21"/>
        </w:rPr>
        <w:t xml:space="preserve"> 测量精度</w:t>
      </w:r>
    </w:p>
    <w:p>
      <w:pPr>
        <w:pStyle w:val="47"/>
        <w:adjustRightInd w:val="0"/>
        <w:snapToGrid w:val="0"/>
        <w:spacing w:line="360" w:lineRule="auto"/>
        <w:rPr>
          <w:rFonts w:hint="eastAsia" w:eastAsia="宋体" w:cs="Times New Roman"/>
          <w:szCs w:val="21"/>
        </w:rPr>
      </w:pPr>
      <w:r>
        <w:rPr>
          <w:rFonts w:hint="eastAsia" w:eastAsia="宋体" w:cs="Times New Roman"/>
          <w:szCs w:val="21"/>
        </w:rPr>
        <w:t>c.分辨率</w:t>
      </w:r>
    </w:p>
    <w:p>
      <w:pPr>
        <w:pStyle w:val="47"/>
        <w:adjustRightInd w:val="0"/>
        <w:snapToGrid w:val="0"/>
        <w:spacing w:line="360" w:lineRule="auto"/>
        <w:rPr>
          <w:rFonts w:hint="eastAsia" w:eastAsia="宋体" w:cs="Times New Roman"/>
          <w:szCs w:val="21"/>
        </w:rPr>
      </w:pPr>
      <w:r>
        <w:rPr>
          <w:rFonts w:hint="eastAsia" w:eastAsia="宋体" w:cs="Times New Roman"/>
          <w:szCs w:val="21"/>
        </w:rPr>
        <w:t>d. 灵敏度</w:t>
      </w:r>
    </w:p>
    <w:p>
      <w:pPr>
        <w:pStyle w:val="47"/>
        <w:adjustRightInd w:val="0"/>
        <w:snapToGrid w:val="0"/>
        <w:spacing w:line="360" w:lineRule="auto"/>
        <w:rPr>
          <w:rFonts w:hint="eastAsia" w:eastAsia="宋体" w:cs="Times New Roman"/>
          <w:szCs w:val="21"/>
        </w:rPr>
      </w:pPr>
      <w:r>
        <w:rPr>
          <w:rFonts w:hint="eastAsia" w:eastAsia="宋体" w:cs="Times New Roman"/>
          <w:szCs w:val="21"/>
        </w:rPr>
        <w:t>e. 帧频</w:t>
      </w:r>
    </w:p>
    <w:p>
      <w:pPr>
        <w:pStyle w:val="5"/>
        <w:numPr>
          <w:ilvl w:val="0"/>
          <w:numId w:val="0"/>
        </w:numPr>
        <w:rPr>
          <w:rFonts w:hAnsi="宋体"/>
          <w:sz w:val="24"/>
          <w:szCs w:val="24"/>
        </w:rPr>
      </w:pPr>
      <w:bookmarkStart w:id="35" w:name="_Toc399627547"/>
      <w:bookmarkStart w:id="36" w:name="_Toc283566857"/>
      <w:r>
        <w:rPr>
          <w:rFonts w:hAnsi="宋体"/>
          <w:sz w:val="24"/>
          <w:szCs w:val="24"/>
        </w:rPr>
        <w:t>6.2 出厂试验</w:t>
      </w:r>
      <w:bookmarkEnd w:id="35"/>
      <w:bookmarkEnd w:id="36"/>
    </w:p>
    <w:p>
      <w:pPr>
        <w:pStyle w:val="47"/>
        <w:adjustRightInd w:val="0"/>
        <w:snapToGrid w:val="0"/>
        <w:spacing w:line="360" w:lineRule="auto"/>
        <w:ind w:firstLine="480"/>
        <w:rPr>
          <w:rFonts w:hint="eastAsia" w:ascii="宋体" w:hAnsi="宋体" w:eastAsia="宋体" w:cs="Times New Roman"/>
          <w:sz w:val="24"/>
          <w:szCs w:val="24"/>
        </w:rPr>
      </w:pPr>
      <w:r>
        <w:rPr>
          <w:rFonts w:ascii="宋体" w:hAnsi="宋体" w:eastAsia="宋体" w:cs="Times New Roman"/>
          <w:sz w:val="24"/>
          <w:szCs w:val="24"/>
        </w:rPr>
        <w:t>出厂试验是为了发现产品所用材料和制造中的缺陷，它不应损伤产品的性能和可靠性。出厂试验应在整体组装后进行，应该对每台成品进行检验，以确保每台产品与已经通过型式试验的产品相一致。</w:t>
      </w:r>
      <w:r>
        <w:rPr>
          <w:rFonts w:hint="eastAsia" w:ascii="宋体" w:hAnsi="宋体" w:eastAsia="宋体" w:cs="Times New Roman"/>
          <w:sz w:val="24"/>
          <w:szCs w:val="24"/>
        </w:rPr>
        <w:t>出厂试验的项目内容如下:</w:t>
      </w:r>
    </w:p>
    <w:p>
      <w:pPr>
        <w:pStyle w:val="47"/>
        <w:adjustRightInd w:val="0"/>
        <w:snapToGrid w:val="0"/>
        <w:spacing w:line="360" w:lineRule="auto"/>
        <w:rPr>
          <w:rFonts w:hint="eastAsia" w:eastAsia="宋体" w:cs="Times New Roman"/>
          <w:szCs w:val="21"/>
        </w:rPr>
      </w:pPr>
      <w:r>
        <w:rPr>
          <w:rFonts w:hint="eastAsia" w:eastAsia="宋体" w:cs="Times New Roman"/>
          <w:szCs w:val="21"/>
        </w:rPr>
        <w:t>见表5.1</w:t>
      </w:r>
    </w:p>
    <w:p>
      <w:pPr>
        <w:pStyle w:val="5"/>
        <w:numPr>
          <w:ilvl w:val="0"/>
          <w:numId w:val="0"/>
        </w:numPr>
        <w:rPr>
          <w:rFonts w:hint="eastAsia" w:hAnsi="宋体"/>
          <w:sz w:val="24"/>
          <w:szCs w:val="24"/>
        </w:rPr>
      </w:pPr>
      <w:bookmarkStart w:id="37" w:name="_Toc283566858"/>
      <w:bookmarkStart w:id="38" w:name="_Toc399627548"/>
      <w:r>
        <w:rPr>
          <w:rFonts w:hAnsi="宋体"/>
          <w:sz w:val="24"/>
          <w:szCs w:val="24"/>
        </w:rPr>
        <w:t>6.3 现场交接试验</w:t>
      </w:r>
      <w:bookmarkEnd w:id="37"/>
      <w:r>
        <w:rPr>
          <w:rFonts w:hint="eastAsia" w:hAnsi="宋体"/>
          <w:sz w:val="24"/>
          <w:szCs w:val="24"/>
        </w:rPr>
        <w:t>和功能验收</w:t>
      </w:r>
      <w:bookmarkEnd w:id="38"/>
    </w:p>
    <w:p>
      <w:pPr>
        <w:pStyle w:val="47"/>
        <w:adjustRightInd w:val="0"/>
        <w:snapToGrid w:val="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本标书采购设备</w:t>
      </w:r>
      <w:r>
        <w:rPr>
          <w:rFonts w:ascii="宋体" w:hAnsi="宋体" w:eastAsia="宋体" w:cs="Times New Roman"/>
          <w:sz w:val="24"/>
          <w:szCs w:val="24"/>
        </w:rPr>
        <w:t>应进行现场交接试验</w:t>
      </w:r>
      <w:r>
        <w:rPr>
          <w:rFonts w:hint="eastAsia" w:ascii="宋体" w:hAnsi="宋体" w:eastAsia="宋体" w:cs="Times New Roman"/>
          <w:sz w:val="24"/>
          <w:szCs w:val="24"/>
        </w:rPr>
        <w:t>和功能验收</w:t>
      </w:r>
      <w:r>
        <w:rPr>
          <w:rFonts w:ascii="宋体" w:hAnsi="宋体" w:eastAsia="宋体" w:cs="Times New Roman"/>
          <w:sz w:val="24"/>
          <w:szCs w:val="24"/>
        </w:rPr>
        <w:t>。交接试验</w:t>
      </w:r>
      <w:r>
        <w:rPr>
          <w:rFonts w:hint="eastAsia" w:ascii="宋体" w:hAnsi="宋体" w:eastAsia="宋体" w:cs="Times New Roman"/>
          <w:sz w:val="24"/>
          <w:szCs w:val="24"/>
        </w:rPr>
        <w:t>和功能验收</w:t>
      </w:r>
      <w:r>
        <w:rPr>
          <w:rFonts w:ascii="宋体" w:hAnsi="宋体" w:eastAsia="宋体" w:cs="Times New Roman"/>
          <w:sz w:val="24"/>
          <w:szCs w:val="24"/>
        </w:rPr>
        <w:t>是为了确认</w:t>
      </w:r>
      <w:r>
        <w:rPr>
          <w:rFonts w:hint="eastAsia" w:ascii="宋体" w:hAnsi="宋体" w:eastAsia="宋体" w:cs="Times New Roman"/>
          <w:sz w:val="24"/>
          <w:szCs w:val="24"/>
        </w:rPr>
        <w:t>设备</w:t>
      </w:r>
      <w:r>
        <w:rPr>
          <w:rFonts w:ascii="宋体" w:hAnsi="宋体" w:eastAsia="宋体" w:cs="Times New Roman"/>
          <w:sz w:val="24"/>
          <w:szCs w:val="24"/>
        </w:rPr>
        <w:t>经过运输、储存、现场安装和/或调整等过程后是否存在损坏、各个单元的兼容性、装配是否正确。</w:t>
      </w:r>
      <w:r>
        <w:rPr>
          <w:rFonts w:hint="eastAsia" w:ascii="宋体" w:hAnsi="宋体" w:eastAsia="宋体" w:cs="Times New Roman"/>
          <w:sz w:val="24"/>
          <w:szCs w:val="24"/>
        </w:rPr>
        <w:t>本标书采购现场交接试验和设备功能验收应按表5.1要求执行。</w:t>
      </w:r>
    </w:p>
    <w:p>
      <w:pPr>
        <w:pStyle w:val="4"/>
        <w:numPr>
          <w:ilvl w:val="0"/>
          <w:numId w:val="0"/>
        </w:numPr>
        <w:snapToGrid/>
        <w:spacing w:before="0" w:beforeLines="0" w:line="480" w:lineRule="auto"/>
        <w:rPr>
          <w:rFonts w:hint="eastAsia" w:hAnsi="宋体"/>
          <w:sz w:val="24"/>
          <w:szCs w:val="24"/>
        </w:rPr>
      </w:pPr>
      <w:bookmarkStart w:id="39" w:name="_Toc399627549"/>
      <w:bookmarkStart w:id="40" w:name="_Toc276492422"/>
      <w:bookmarkStart w:id="41" w:name="_Toc276490910"/>
      <w:r>
        <w:rPr>
          <w:rFonts w:hint="eastAsia" w:hAnsi="宋体"/>
          <w:sz w:val="24"/>
          <w:szCs w:val="24"/>
        </w:rPr>
        <w:t>7 产品对环境的影响</w:t>
      </w:r>
      <w:bookmarkEnd w:id="39"/>
      <w:bookmarkEnd w:id="40"/>
      <w:bookmarkEnd w:id="41"/>
    </w:p>
    <w:p>
      <w:pPr>
        <w:pStyle w:val="47"/>
        <w:adjustRightInd w:val="0"/>
        <w:snapToGrid w:val="0"/>
        <w:spacing w:line="360" w:lineRule="auto"/>
        <w:ind w:firstLine="480"/>
        <w:rPr>
          <w:rFonts w:hint="eastAsia" w:ascii="宋体" w:hAnsi="宋体" w:eastAsia="宋体" w:cs="Times New Roman"/>
          <w:sz w:val="24"/>
          <w:szCs w:val="24"/>
        </w:rPr>
      </w:pPr>
      <w:bookmarkStart w:id="42" w:name="_Toc276490915"/>
      <w:bookmarkStart w:id="43" w:name="_Toc276492433"/>
      <w:r>
        <w:rPr>
          <w:rFonts w:ascii="宋体" w:hAnsi="宋体" w:eastAsia="宋体" w:cs="Times New Roman"/>
          <w:sz w:val="24"/>
          <w:szCs w:val="24"/>
        </w:rPr>
        <w:t>制造厂应该提供有关设备对环境影响所需要的材料。任何已知的化学危险和环境危害应在手册或使用说明中明确。</w:t>
      </w:r>
    </w:p>
    <w:p>
      <w:pPr>
        <w:pStyle w:val="47"/>
        <w:adjustRightInd w:val="0"/>
        <w:snapToGrid w:val="0"/>
        <w:spacing w:line="360" w:lineRule="auto"/>
        <w:ind w:firstLine="480"/>
        <w:rPr>
          <w:rFonts w:hint="eastAsia" w:ascii="宋体" w:hAnsi="宋体" w:eastAsia="宋体" w:cs="Times New Roman"/>
          <w:sz w:val="24"/>
          <w:szCs w:val="24"/>
        </w:rPr>
      </w:pPr>
      <w:r>
        <w:rPr>
          <w:rFonts w:ascii="宋体" w:hAnsi="宋体" w:eastAsia="宋体" w:cs="Times New Roman"/>
          <w:sz w:val="24"/>
          <w:szCs w:val="24"/>
        </w:rPr>
        <w:t>制造厂应该对有关设备的不同材料的使用寿命和拆除的程序给予必要的指导，对再循环使用的可能性给予简要说明。</w:t>
      </w:r>
    </w:p>
    <w:p>
      <w:pPr>
        <w:pStyle w:val="4"/>
        <w:numPr>
          <w:ilvl w:val="0"/>
          <w:numId w:val="0"/>
        </w:numPr>
        <w:snapToGrid/>
        <w:spacing w:before="0" w:beforeLines="0" w:line="480" w:lineRule="auto"/>
        <w:rPr>
          <w:rFonts w:hint="eastAsia" w:hAnsi="宋体"/>
          <w:sz w:val="24"/>
          <w:szCs w:val="24"/>
        </w:rPr>
      </w:pPr>
      <w:bookmarkStart w:id="44" w:name="_Toc399627550"/>
      <w:bookmarkStart w:id="45" w:name="_Toc399493399"/>
      <w:r>
        <w:rPr>
          <w:rFonts w:hint="eastAsia" w:hAnsi="宋体"/>
          <w:sz w:val="24"/>
          <w:szCs w:val="24"/>
        </w:rPr>
        <w:t>8技术文件要求</w:t>
      </w:r>
      <w:bookmarkEnd w:id="44"/>
      <w:bookmarkEnd w:id="45"/>
    </w:p>
    <w:p>
      <w:pPr>
        <w:adjustRightInd w:val="0"/>
        <w:snapToGrid w:val="0"/>
        <w:spacing w:line="360" w:lineRule="auto"/>
        <w:ind w:firstLine="420" w:firstLineChars="200"/>
        <w:rPr>
          <w:rFonts w:hint="eastAsia"/>
          <w:szCs w:val="21"/>
        </w:rPr>
      </w:pPr>
      <w:r>
        <w:rPr>
          <w:rFonts w:hint="eastAsia"/>
        </w:rPr>
        <w:t>在设备到货时，</w:t>
      </w:r>
      <w:r>
        <w:rPr>
          <w:rFonts w:hint="eastAsia"/>
          <w:szCs w:val="21"/>
        </w:rPr>
        <w:t>投标方应按招标方要求提供满足本次采购设备安装、调试、使用、维护所需要的相关技术文件纸质版至少3套，电子版资料2套。投标方提供的所有资料均应为中文版或中英文对照版。投标方提供本次采购设备所需的软件应为原装正版软件。具体要求提供资料如下：</w:t>
      </w:r>
    </w:p>
    <w:p>
      <w:pPr>
        <w:pStyle w:val="47"/>
        <w:adjustRightInd w:val="0"/>
        <w:snapToGrid w:val="0"/>
        <w:spacing w:line="360" w:lineRule="auto"/>
        <w:rPr>
          <w:rFonts w:hint="eastAsia" w:eastAsia="宋体" w:cs="Times New Roman"/>
          <w:szCs w:val="21"/>
        </w:rPr>
      </w:pPr>
      <w:r>
        <w:rPr>
          <w:rFonts w:eastAsia="宋体" w:cs="Times New Roman"/>
          <w:szCs w:val="21"/>
        </w:rPr>
        <w:t>a</w:t>
      </w:r>
      <w:r>
        <w:rPr>
          <w:rFonts w:hint="eastAsia" w:eastAsia="宋体" w:cs="Times New Roman"/>
          <w:szCs w:val="21"/>
        </w:rPr>
        <w:t>.</w:t>
      </w:r>
      <w:r>
        <w:rPr>
          <w:rFonts w:hint="eastAsia" w:ascii="宋体" w:hAnsi="宋体"/>
          <w:szCs w:val="21"/>
        </w:rPr>
        <w:t xml:space="preserve"> </w:t>
      </w:r>
      <w:r>
        <w:rPr>
          <w:rFonts w:hint="eastAsia" w:eastAsia="宋体" w:cs="Times New Roman"/>
          <w:szCs w:val="21"/>
        </w:rPr>
        <w:t xml:space="preserve">出厂试验报告； </w:t>
      </w:r>
    </w:p>
    <w:p>
      <w:pPr>
        <w:pStyle w:val="47"/>
        <w:adjustRightInd w:val="0"/>
        <w:snapToGrid w:val="0"/>
        <w:spacing w:line="360" w:lineRule="auto"/>
        <w:rPr>
          <w:rFonts w:hint="eastAsia" w:eastAsia="宋体" w:cs="Times New Roman"/>
          <w:szCs w:val="21"/>
        </w:rPr>
      </w:pPr>
      <w:r>
        <w:rPr>
          <w:rFonts w:hint="eastAsia" w:eastAsia="宋体" w:cs="Times New Roman"/>
          <w:szCs w:val="21"/>
        </w:rPr>
        <w:t>b.</w:t>
      </w:r>
      <w:r>
        <w:rPr>
          <w:rFonts w:hint="eastAsia" w:ascii="宋体" w:hAnsi="宋体"/>
          <w:szCs w:val="21"/>
        </w:rPr>
        <w:t xml:space="preserve"> </w:t>
      </w:r>
      <w:r>
        <w:rPr>
          <w:rFonts w:hint="eastAsia" w:eastAsia="宋体" w:cs="Times New Roman"/>
          <w:szCs w:val="21"/>
        </w:rPr>
        <w:t xml:space="preserve">产品合格证； </w:t>
      </w:r>
    </w:p>
    <w:p>
      <w:pPr>
        <w:pStyle w:val="47"/>
        <w:adjustRightInd w:val="0"/>
        <w:snapToGrid w:val="0"/>
        <w:spacing w:line="360" w:lineRule="auto"/>
        <w:rPr>
          <w:rFonts w:hint="eastAsia" w:eastAsia="宋体" w:cs="Times New Roman"/>
          <w:szCs w:val="21"/>
        </w:rPr>
      </w:pPr>
      <w:r>
        <w:rPr>
          <w:rFonts w:hint="eastAsia" w:eastAsia="宋体" w:cs="Times New Roman"/>
          <w:szCs w:val="21"/>
        </w:rPr>
        <w:t>c. 产品安装说明书和产品使用手册（包括：软件和硬件安装使用说明、系统功能说明、调试方法、维护项目、培训教程等等）。</w:t>
      </w:r>
    </w:p>
    <w:p>
      <w:pPr>
        <w:pStyle w:val="47"/>
        <w:adjustRightInd w:val="0"/>
        <w:snapToGrid w:val="0"/>
        <w:spacing w:line="360" w:lineRule="auto"/>
        <w:rPr>
          <w:rFonts w:hint="eastAsia" w:eastAsia="宋体" w:cs="Times New Roman"/>
          <w:szCs w:val="21"/>
        </w:rPr>
      </w:pPr>
      <w:r>
        <w:rPr>
          <w:rFonts w:hint="eastAsia" w:eastAsia="宋体" w:cs="Times New Roman"/>
          <w:szCs w:val="21"/>
        </w:rPr>
        <w:t xml:space="preserve">d. 其它相关图纸资料、测试数据、软件密匙等等； </w:t>
      </w:r>
    </w:p>
    <w:bookmarkEnd w:id="42"/>
    <w:bookmarkEnd w:id="43"/>
    <w:p>
      <w:pPr>
        <w:pStyle w:val="4"/>
        <w:numPr>
          <w:ilvl w:val="0"/>
          <w:numId w:val="0"/>
        </w:numPr>
        <w:snapToGrid/>
        <w:spacing w:before="0" w:beforeLines="0" w:line="480" w:lineRule="auto"/>
        <w:rPr>
          <w:rFonts w:hint="eastAsia" w:hAnsi="宋体"/>
          <w:sz w:val="24"/>
          <w:szCs w:val="24"/>
        </w:rPr>
      </w:pPr>
      <w:bookmarkStart w:id="46" w:name="_Toc279695207"/>
      <w:bookmarkStart w:id="47" w:name="_Toc276492435"/>
      <w:bookmarkStart w:id="48" w:name="_Toc276490917"/>
      <w:bookmarkStart w:id="49" w:name="_Toc399627551"/>
      <w:r>
        <w:rPr>
          <w:rFonts w:hint="eastAsia" w:hAnsi="宋体"/>
          <w:sz w:val="24"/>
          <w:szCs w:val="24"/>
        </w:rPr>
        <w:t>9 监造、包装、运输、安装</w:t>
      </w:r>
      <w:bookmarkEnd w:id="46"/>
      <w:bookmarkEnd w:id="47"/>
      <w:bookmarkEnd w:id="48"/>
      <w:r>
        <w:rPr>
          <w:rFonts w:hint="eastAsia" w:hAnsi="宋体"/>
          <w:sz w:val="24"/>
          <w:szCs w:val="24"/>
        </w:rPr>
        <w:t>及质量保证</w:t>
      </w:r>
      <w:bookmarkEnd w:id="49"/>
    </w:p>
    <w:p>
      <w:pPr>
        <w:pStyle w:val="5"/>
        <w:numPr>
          <w:ilvl w:val="0"/>
          <w:numId w:val="0"/>
        </w:numPr>
        <w:rPr>
          <w:rFonts w:hint="eastAsia" w:hAnsi="宋体"/>
          <w:sz w:val="24"/>
          <w:szCs w:val="24"/>
        </w:rPr>
      </w:pPr>
      <w:bookmarkStart w:id="50" w:name="_Toc276492370"/>
      <w:bookmarkStart w:id="51" w:name="_Toc399627552"/>
      <w:bookmarkStart w:id="52" w:name="_Toc279695208"/>
      <w:bookmarkStart w:id="53" w:name="_Toc276490898"/>
      <w:bookmarkStart w:id="54" w:name="_Toc53672785"/>
      <w:bookmarkStart w:id="55" w:name="_Toc200531202"/>
      <w:bookmarkStart w:id="56" w:name="_Toc472997247"/>
      <w:bookmarkStart w:id="57" w:name="_Toc471528253"/>
      <w:r>
        <w:rPr>
          <w:rFonts w:hint="eastAsia" w:hAnsi="宋体"/>
          <w:sz w:val="24"/>
          <w:szCs w:val="24"/>
        </w:rPr>
        <w:t>9.1监造</w:t>
      </w:r>
      <w:bookmarkEnd w:id="50"/>
      <w:bookmarkEnd w:id="51"/>
      <w:bookmarkEnd w:id="52"/>
      <w:bookmarkEnd w:id="53"/>
    </w:p>
    <w:p>
      <w:pPr>
        <w:ind w:firstLine="480" w:firstLineChars="200"/>
        <w:rPr>
          <w:rFonts w:hint="eastAsia" w:ascii="宋体" w:hAnsi="宋体"/>
          <w:sz w:val="24"/>
        </w:rPr>
      </w:pPr>
      <w:r>
        <w:rPr>
          <w:rFonts w:hint="eastAsia" w:ascii="宋体" w:hAnsi="宋体"/>
          <w:sz w:val="24"/>
        </w:rPr>
        <w:t>本标书采购设备无监造要求。</w:t>
      </w:r>
    </w:p>
    <w:p>
      <w:pPr>
        <w:ind w:firstLine="480" w:firstLineChars="200"/>
        <w:rPr>
          <w:rFonts w:hint="eastAsia" w:ascii="宋体" w:hAnsi="宋体"/>
          <w:sz w:val="24"/>
        </w:rPr>
      </w:pPr>
    </w:p>
    <w:p>
      <w:pPr>
        <w:pStyle w:val="5"/>
        <w:numPr>
          <w:ilvl w:val="0"/>
          <w:numId w:val="0"/>
        </w:numPr>
        <w:rPr>
          <w:rFonts w:hint="eastAsia" w:hAnsi="宋体"/>
          <w:sz w:val="24"/>
          <w:szCs w:val="24"/>
        </w:rPr>
      </w:pPr>
      <w:bookmarkStart w:id="58" w:name="_Toc279695209"/>
      <w:bookmarkStart w:id="59" w:name="_Toc276492436"/>
      <w:bookmarkStart w:id="60" w:name="_Toc399627553"/>
      <w:bookmarkStart w:id="61" w:name="_Toc276301528"/>
      <w:bookmarkStart w:id="62" w:name="_Toc276490918"/>
      <w:r>
        <w:rPr>
          <w:rFonts w:hint="eastAsia" w:hAnsi="宋体"/>
          <w:sz w:val="24"/>
          <w:szCs w:val="24"/>
        </w:rPr>
        <w:t>9.2包装</w:t>
      </w:r>
      <w:bookmarkEnd w:id="54"/>
      <w:bookmarkEnd w:id="55"/>
      <w:bookmarkEnd w:id="56"/>
      <w:bookmarkEnd w:id="57"/>
      <w:bookmarkEnd w:id="58"/>
      <w:bookmarkEnd w:id="59"/>
      <w:bookmarkEnd w:id="60"/>
      <w:bookmarkEnd w:id="61"/>
      <w:bookmarkEnd w:id="62"/>
    </w:p>
    <w:p>
      <w:pPr>
        <w:pStyle w:val="47"/>
        <w:adjustRightInd w:val="0"/>
        <w:snapToGrid w:val="0"/>
        <w:spacing w:line="360" w:lineRule="auto"/>
        <w:ind w:firstLine="480"/>
        <w:rPr>
          <w:rFonts w:ascii="宋体" w:hAnsi="宋体" w:eastAsia="宋体" w:cs="Times New Roman"/>
          <w:sz w:val="24"/>
          <w:szCs w:val="24"/>
        </w:rPr>
      </w:pPr>
      <w:bookmarkStart w:id="63" w:name="_Toc276301529"/>
      <w:bookmarkStart w:id="64" w:name="_Toc276490919"/>
      <w:bookmarkStart w:id="65" w:name="_Toc276492437"/>
      <w:r>
        <w:rPr>
          <w:rFonts w:hint="eastAsia" w:ascii="宋体" w:hAnsi="宋体" w:eastAsia="宋体" w:cs="Times New Roman"/>
          <w:sz w:val="24"/>
          <w:szCs w:val="24"/>
        </w:rPr>
        <w:t>1）</w:t>
      </w:r>
      <w:r>
        <w:rPr>
          <w:rFonts w:ascii="宋体" w:hAnsi="宋体" w:eastAsia="宋体" w:cs="Times New Roman"/>
          <w:sz w:val="24"/>
          <w:szCs w:val="24"/>
        </w:rPr>
        <w:t>要严格按照制造厂给出的说明书对设备进行包装、运输和储存。制造厂应在交货前的适当时间提供设备的运输和储存说明书。</w:t>
      </w:r>
    </w:p>
    <w:p>
      <w:pPr>
        <w:pStyle w:val="47"/>
        <w:adjustRightInd w:val="0"/>
        <w:snapToGrid w:val="0"/>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2）设备</w:t>
      </w:r>
      <w:r>
        <w:rPr>
          <w:rFonts w:ascii="宋体" w:hAnsi="宋体" w:eastAsia="宋体" w:cs="Times New Roman"/>
          <w:sz w:val="24"/>
          <w:szCs w:val="24"/>
        </w:rPr>
        <w:t>制造完成并通过试验后应及时包装， 否则应得到切实的保护。其包装也应符合铁路、公路和海运部门的有关规定。</w:t>
      </w:r>
    </w:p>
    <w:p>
      <w:pPr>
        <w:pStyle w:val="47"/>
        <w:adjustRightInd w:val="0"/>
        <w:snapToGrid w:val="0"/>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3）</w:t>
      </w:r>
      <w:r>
        <w:rPr>
          <w:rFonts w:ascii="宋体" w:hAnsi="宋体" w:eastAsia="宋体" w:cs="Times New Roman"/>
          <w:sz w:val="24"/>
          <w:szCs w:val="24"/>
        </w:rPr>
        <w:t>包装箱上应有明显的包装储运图示标志， 并应标明招标方的订货号和发货号。</w:t>
      </w:r>
    </w:p>
    <w:p>
      <w:pPr>
        <w:pStyle w:val="47"/>
        <w:adjustRightInd w:val="0"/>
        <w:snapToGrid w:val="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4）设备</w:t>
      </w:r>
      <w:r>
        <w:rPr>
          <w:rFonts w:ascii="宋体" w:hAnsi="宋体" w:eastAsia="宋体" w:cs="Times New Roman"/>
          <w:sz w:val="24"/>
          <w:szCs w:val="24"/>
        </w:rPr>
        <w:t>的包装应能保证</w:t>
      </w:r>
      <w:r>
        <w:rPr>
          <w:rFonts w:hint="eastAsia" w:ascii="宋体" w:hAnsi="宋体" w:eastAsia="宋体" w:cs="Times New Roman"/>
          <w:sz w:val="24"/>
          <w:szCs w:val="24"/>
        </w:rPr>
        <w:t>设备</w:t>
      </w:r>
      <w:r>
        <w:rPr>
          <w:rFonts w:ascii="宋体" w:hAnsi="宋体" w:eastAsia="宋体" w:cs="Times New Roman"/>
          <w:sz w:val="24"/>
          <w:szCs w:val="24"/>
        </w:rPr>
        <w:t>各零部件在运输过程中不致遭到脏污、损坏、变形、丢失及受潮。对于其中的绝缘部件及由有机绝缘材料制成的绝缘件应特别加以保护，以免损坏和受潮。对于外露的接触表面，应有预防腐蚀的措施。所有运输措施均应经过验证。凡有运输损坏，应由制造厂负责赔偿。</w:t>
      </w:r>
    </w:p>
    <w:p>
      <w:pPr>
        <w:pStyle w:val="5"/>
        <w:numPr>
          <w:ilvl w:val="0"/>
          <w:numId w:val="0"/>
        </w:numPr>
        <w:rPr>
          <w:rFonts w:hint="eastAsia" w:hAnsi="宋体"/>
          <w:sz w:val="24"/>
          <w:szCs w:val="24"/>
        </w:rPr>
      </w:pPr>
      <w:bookmarkStart w:id="66" w:name="_Toc279695210"/>
      <w:bookmarkStart w:id="67" w:name="_Toc399627554"/>
      <w:r>
        <w:rPr>
          <w:rFonts w:hint="eastAsia" w:hAnsi="宋体"/>
          <w:sz w:val="24"/>
          <w:szCs w:val="24"/>
        </w:rPr>
        <w:t>9.3运输</w:t>
      </w:r>
      <w:bookmarkEnd w:id="63"/>
      <w:bookmarkEnd w:id="64"/>
      <w:bookmarkEnd w:id="65"/>
      <w:bookmarkEnd w:id="66"/>
      <w:bookmarkEnd w:id="67"/>
    </w:p>
    <w:p>
      <w:pPr>
        <w:pStyle w:val="47"/>
        <w:adjustRightInd w:val="0"/>
        <w:snapToGrid w:val="0"/>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1）设备</w:t>
      </w:r>
      <w:r>
        <w:rPr>
          <w:rFonts w:ascii="宋体" w:hAnsi="宋体" w:eastAsia="宋体" w:cs="Times New Roman"/>
          <w:sz w:val="24"/>
          <w:szCs w:val="24"/>
        </w:rPr>
        <w:t>单独运输的零部件应有标志，便于用户安装装配。</w:t>
      </w:r>
    </w:p>
    <w:p>
      <w:pPr>
        <w:pStyle w:val="47"/>
        <w:adjustRightInd w:val="0"/>
        <w:snapToGrid w:val="0"/>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2）</w:t>
      </w:r>
      <w:r>
        <w:rPr>
          <w:rFonts w:ascii="宋体" w:hAnsi="宋体" w:eastAsia="宋体" w:cs="Times New Roman"/>
          <w:sz w:val="24"/>
          <w:szCs w:val="24"/>
        </w:rPr>
        <w:t>整体产品或分别运输的部件，都要适合于运输及装卸的要求。</w:t>
      </w:r>
    </w:p>
    <w:p>
      <w:pPr>
        <w:pStyle w:val="47"/>
        <w:adjustRightInd w:val="0"/>
        <w:snapToGrid w:val="0"/>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3）</w:t>
      </w:r>
      <w:r>
        <w:rPr>
          <w:rFonts w:ascii="宋体" w:hAnsi="宋体" w:eastAsia="宋体" w:cs="Times New Roman"/>
          <w:sz w:val="24"/>
          <w:szCs w:val="24"/>
        </w:rPr>
        <w:t>制造厂应提供按全部解体检修用的备品备件和装用机具，随同产品发运。</w:t>
      </w:r>
    </w:p>
    <w:p>
      <w:pPr>
        <w:pStyle w:val="47"/>
        <w:adjustRightInd w:val="0"/>
        <w:snapToGrid w:val="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4）</w:t>
      </w:r>
      <w:r>
        <w:rPr>
          <w:rFonts w:ascii="宋体" w:hAnsi="宋体" w:eastAsia="宋体" w:cs="Times New Roman"/>
          <w:sz w:val="24"/>
          <w:szCs w:val="24"/>
        </w:rPr>
        <w:t>随同运输的产品应附有装箱清单，产品所需提供的技术资料应完整无缺。</w:t>
      </w:r>
    </w:p>
    <w:p>
      <w:pPr>
        <w:pStyle w:val="5"/>
        <w:numPr>
          <w:ilvl w:val="0"/>
          <w:numId w:val="0"/>
        </w:numPr>
        <w:rPr>
          <w:rFonts w:hint="eastAsia" w:hAnsi="宋体"/>
          <w:sz w:val="24"/>
          <w:szCs w:val="24"/>
        </w:rPr>
      </w:pPr>
      <w:bookmarkStart w:id="68" w:name="_Toc276301530"/>
      <w:bookmarkStart w:id="69" w:name="_Toc276490920"/>
      <w:bookmarkStart w:id="70" w:name="_Toc276492438"/>
      <w:bookmarkStart w:id="71" w:name="_Toc279695211"/>
      <w:bookmarkStart w:id="72" w:name="_Toc399627555"/>
      <w:r>
        <w:rPr>
          <w:rFonts w:hint="eastAsia" w:hAnsi="宋体"/>
          <w:sz w:val="24"/>
          <w:szCs w:val="24"/>
        </w:rPr>
        <w:t>9.4安装</w:t>
      </w:r>
      <w:bookmarkEnd w:id="68"/>
      <w:bookmarkEnd w:id="69"/>
      <w:bookmarkEnd w:id="70"/>
      <w:r>
        <w:rPr>
          <w:rFonts w:hint="eastAsia" w:hAnsi="宋体"/>
          <w:sz w:val="24"/>
          <w:szCs w:val="24"/>
        </w:rPr>
        <w:t>使用指导</w:t>
      </w:r>
      <w:bookmarkEnd w:id="71"/>
      <w:bookmarkEnd w:id="72"/>
    </w:p>
    <w:p>
      <w:pPr>
        <w:pStyle w:val="47"/>
        <w:adjustRightInd w:val="0"/>
        <w:snapToGrid w:val="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投标方应在本标书采购设备首次使用时或必要时，安排技术人员提供现场安装和技术指导服务，并确保招标方现场技术人员熟练掌握设备功能和使用。设备在现场搬运、吊装就位和安装、测试、试验时，应按照GB 26164.1《电业安全工作规程 第1部分：热力和机械》的要求进行。</w:t>
      </w:r>
    </w:p>
    <w:p>
      <w:pPr>
        <w:pStyle w:val="5"/>
        <w:numPr>
          <w:ilvl w:val="0"/>
          <w:numId w:val="0"/>
        </w:numPr>
        <w:rPr>
          <w:rFonts w:hint="eastAsia" w:hAnsi="宋体"/>
          <w:sz w:val="24"/>
          <w:szCs w:val="24"/>
        </w:rPr>
      </w:pPr>
      <w:bookmarkStart w:id="73" w:name="_Toc399627556"/>
      <w:r>
        <w:rPr>
          <w:rFonts w:hint="eastAsia" w:hAnsi="宋体"/>
          <w:sz w:val="24"/>
          <w:szCs w:val="24"/>
        </w:rPr>
        <w:t>9.5质量保证</w:t>
      </w:r>
      <w:bookmarkEnd w:id="73"/>
    </w:p>
    <w:p>
      <w:pPr>
        <w:pStyle w:val="47"/>
        <w:adjustRightInd w:val="0"/>
        <w:snapToGrid w:val="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1）全部设备必须是全新的， 持久耐用的，应满足作为一个完整产品所能满足的全部要求。投标方应保证设备在规定的使用条件下运行、并按使用说明书进行安装和维护、预期使用寿命应不少于12年</w:t>
      </w:r>
      <w:r>
        <w:rPr>
          <w:rFonts w:ascii="宋体" w:hAnsi="宋体" w:eastAsia="宋体" w:cs="Times New Roman"/>
          <w:sz w:val="24"/>
          <w:szCs w:val="24"/>
        </w:rPr>
        <w:t>。</w:t>
      </w:r>
    </w:p>
    <w:p>
      <w:pPr>
        <w:pStyle w:val="47"/>
        <w:adjustRightInd w:val="0"/>
        <w:snapToGrid w:val="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2）投标方应对其整组设备在到货后提供不少于3年的“三包”质量保证。之后如发生产品损坏，投标方应及时为本组装置提供维修部件，并按最近的投标价提供。</w:t>
      </w:r>
    </w:p>
    <w:p>
      <w:pPr>
        <w:pStyle w:val="47"/>
        <w:adjustRightInd w:val="0"/>
        <w:snapToGrid w:val="0"/>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3）订购的新型产品除应满足本标准外</w:t>
      </w:r>
      <w:r>
        <w:rPr>
          <w:rFonts w:ascii="宋体" w:hAnsi="宋体" w:eastAsia="宋体" w:cs="Times New Roman"/>
          <w:sz w:val="24"/>
          <w:szCs w:val="24"/>
        </w:rPr>
        <w:t xml:space="preserve">， </w:t>
      </w:r>
      <w:r>
        <w:rPr>
          <w:rFonts w:hint="eastAsia" w:ascii="宋体" w:hAnsi="宋体" w:eastAsia="宋体" w:cs="Times New Roman"/>
          <w:sz w:val="24"/>
          <w:szCs w:val="24"/>
        </w:rPr>
        <w:t>投标方还应提供该产品的鉴定证书。</w:t>
      </w:r>
    </w:p>
    <w:p>
      <w:pPr>
        <w:pStyle w:val="47"/>
        <w:adjustRightInd w:val="0"/>
        <w:snapToGrid w:val="0"/>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4）投标方应保证制造过程中的所有工艺、材料试验等</w:t>
      </w:r>
      <w:r>
        <w:rPr>
          <w:rFonts w:ascii="宋体" w:hAnsi="宋体" w:eastAsia="宋体" w:cs="Times New Roman"/>
          <w:sz w:val="24"/>
          <w:szCs w:val="24"/>
        </w:rPr>
        <w:t>（</w:t>
      </w:r>
      <w:r>
        <w:rPr>
          <w:rFonts w:hint="eastAsia" w:ascii="宋体" w:hAnsi="宋体" w:eastAsia="宋体" w:cs="Times New Roman"/>
          <w:sz w:val="24"/>
          <w:szCs w:val="24"/>
        </w:rPr>
        <w:t>包括投标方的外购件在内</w:t>
      </w:r>
      <w:r>
        <w:rPr>
          <w:rFonts w:ascii="宋体" w:hAnsi="宋体" w:eastAsia="宋体" w:cs="Times New Roman"/>
          <w:sz w:val="24"/>
          <w:szCs w:val="24"/>
        </w:rPr>
        <w:t>）</w:t>
      </w:r>
      <w:r>
        <w:rPr>
          <w:rFonts w:hint="eastAsia" w:ascii="宋体" w:hAnsi="宋体" w:eastAsia="宋体" w:cs="Times New Roman"/>
          <w:sz w:val="24"/>
          <w:szCs w:val="24"/>
        </w:rPr>
        <w:t>均应符合本标准的规定。若招标方根据运行经验指定投标方提供某种外购零部件</w:t>
      </w:r>
      <w:r>
        <w:rPr>
          <w:rFonts w:ascii="宋体" w:hAnsi="宋体" w:eastAsia="宋体" w:cs="Times New Roman"/>
          <w:sz w:val="24"/>
          <w:szCs w:val="24"/>
        </w:rPr>
        <w:t xml:space="preserve">， </w:t>
      </w:r>
      <w:r>
        <w:rPr>
          <w:rFonts w:hint="eastAsia" w:ascii="宋体" w:hAnsi="宋体" w:eastAsia="宋体" w:cs="Times New Roman"/>
          <w:sz w:val="24"/>
          <w:szCs w:val="24"/>
        </w:rPr>
        <w:t>投标方应积极配合。</w:t>
      </w:r>
    </w:p>
    <w:p>
      <w:pPr>
        <w:pStyle w:val="47"/>
        <w:adjustRightInd w:val="0"/>
        <w:snapToGrid w:val="0"/>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5）附属及配套设备必须满足有关行业标准的要求</w:t>
      </w:r>
      <w:r>
        <w:rPr>
          <w:rFonts w:ascii="宋体" w:hAnsi="宋体" w:eastAsia="宋体" w:cs="Times New Roman"/>
          <w:sz w:val="24"/>
          <w:szCs w:val="24"/>
        </w:rPr>
        <w:t xml:space="preserve">， </w:t>
      </w:r>
      <w:r>
        <w:rPr>
          <w:rFonts w:hint="eastAsia" w:ascii="宋体" w:hAnsi="宋体" w:eastAsia="宋体" w:cs="Times New Roman"/>
          <w:sz w:val="24"/>
          <w:szCs w:val="24"/>
        </w:rPr>
        <w:t>并提供试验报告和产品合格证。</w:t>
      </w:r>
    </w:p>
    <w:p>
      <w:pPr>
        <w:pStyle w:val="47"/>
        <w:adjustRightInd w:val="0"/>
        <w:snapToGrid w:val="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6）投标方应有遵守本标准中各条款和工作项目的</w:t>
      </w:r>
      <w:r>
        <w:rPr>
          <w:rFonts w:ascii="宋体" w:hAnsi="宋体" w:eastAsia="宋体" w:cs="Times New Roman"/>
          <w:sz w:val="24"/>
          <w:szCs w:val="24"/>
        </w:rPr>
        <w:t>ISO900</w:t>
      </w:r>
      <w:r>
        <w:rPr>
          <w:rFonts w:hint="eastAsia" w:ascii="宋体" w:hAnsi="宋体" w:eastAsia="宋体" w:cs="Times New Roman"/>
          <w:sz w:val="24"/>
          <w:szCs w:val="24"/>
        </w:rPr>
        <w:t>0-</w:t>
      </w:r>
      <w:r>
        <w:rPr>
          <w:rFonts w:ascii="宋体" w:hAnsi="宋体" w:eastAsia="宋体" w:cs="Times New Roman"/>
          <w:sz w:val="24"/>
          <w:szCs w:val="24"/>
        </w:rPr>
        <w:t>GB/T1900</w:t>
      </w:r>
      <w:r>
        <w:rPr>
          <w:rFonts w:hint="eastAsia" w:ascii="宋体" w:hAnsi="宋体" w:eastAsia="宋体" w:cs="Times New Roman"/>
          <w:sz w:val="24"/>
          <w:szCs w:val="24"/>
        </w:rPr>
        <w:t>0质量保证体系</w:t>
      </w:r>
      <w:r>
        <w:rPr>
          <w:rFonts w:ascii="宋体" w:hAnsi="宋体" w:eastAsia="宋体" w:cs="Times New Roman"/>
          <w:sz w:val="24"/>
          <w:szCs w:val="24"/>
        </w:rPr>
        <w:t xml:space="preserve">， </w:t>
      </w:r>
      <w:r>
        <w:rPr>
          <w:rFonts w:hint="eastAsia" w:ascii="宋体" w:hAnsi="宋体" w:eastAsia="宋体" w:cs="Times New Roman"/>
          <w:sz w:val="24"/>
          <w:szCs w:val="24"/>
        </w:rPr>
        <w:t>该质量保证体系已经通过国家认证并在正常运转。</w:t>
      </w:r>
    </w:p>
    <w:p>
      <w:pPr>
        <w:pStyle w:val="47"/>
        <w:adjustRightInd w:val="0"/>
        <w:snapToGrid w:val="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7）仪器设备到达用户所在地后,由投标方的技术人员前往现场进行仪器的安装、测试, 并免费对招标方技术人员进行软硬件操作、仪器的保养、日常维护等方面的培训。</w:t>
      </w:r>
    </w:p>
    <w:p>
      <w:pPr>
        <w:pStyle w:val="47"/>
        <w:adjustRightInd w:val="0"/>
        <w:snapToGrid w:val="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8）对仪器设备在质保期内出现的故障, 投标方人员在接到通知后应在2工作日内派技术人员到现场检查处理, 并立刻提出处理意见, 免费进行维修。</w:t>
      </w:r>
    </w:p>
    <w:p>
      <w:pPr>
        <w:pStyle w:val="47"/>
        <w:adjustRightInd w:val="0"/>
        <w:snapToGrid w:val="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9）对于质保期已过的仪器设备, 厂家将负责终身维修。对于一般的故障, 处理时间15工作日内。对于严重的故障，将根据情况安排维修时间的长短。</w:t>
      </w:r>
    </w:p>
    <w:p>
      <w:pPr>
        <w:pStyle w:val="4"/>
        <w:numPr>
          <w:ilvl w:val="0"/>
          <w:numId w:val="0"/>
        </w:numPr>
        <w:snapToGrid/>
        <w:spacing w:before="0" w:beforeLines="0" w:line="480" w:lineRule="auto"/>
        <w:rPr>
          <w:rFonts w:hint="eastAsia" w:hAnsi="宋体"/>
          <w:sz w:val="24"/>
          <w:szCs w:val="24"/>
        </w:rPr>
      </w:pPr>
      <w:bookmarkStart w:id="74" w:name="_Toc287602849"/>
      <w:bookmarkStart w:id="75" w:name="_Toc399627557"/>
      <w:r>
        <w:rPr>
          <w:rFonts w:hint="eastAsia" w:hAnsi="宋体"/>
          <w:sz w:val="24"/>
          <w:szCs w:val="24"/>
        </w:rPr>
        <w:t>10 技术差异表</w:t>
      </w:r>
      <w:bookmarkEnd w:id="74"/>
      <w:bookmarkEnd w:id="75"/>
    </w:p>
    <w:p>
      <w:pPr>
        <w:pStyle w:val="47"/>
        <w:adjustRightInd w:val="0"/>
        <w:snapToGrid w:val="0"/>
        <w:spacing w:line="360" w:lineRule="auto"/>
        <w:ind w:firstLine="480"/>
        <w:rPr>
          <w:rFonts w:hint="eastAsia" w:ascii="宋体" w:hAnsi="宋体" w:eastAsia="宋体" w:cs="Times New Roman"/>
          <w:sz w:val="24"/>
          <w:szCs w:val="24"/>
        </w:rPr>
      </w:pPr>
      <w:bookmarkStart w:id="76" w:name="_Toc226362579"/>
      <w:r>
        <w:rPr>
          <w:rFonts w:hint="eastAsia" w:ascii="宋体" w:hAnsi="宋体" w:eastAsia="宋体" w:cs="Times New Roman"/>
          <w:sz w:val="24"/>
          <w:szCs w:val="24"/>
        </w:rPr>
        <w:t>投标方应将所供设备与本招标书技术文件有差异之处，无论优于或劣于本招标书技术文件要求，均汇集至表10.1。</w:t>
      </w:r>
    </w:p>
    <w:p>
      <w:pPr>
        <w:adjustRightInd w:val="0"/>
        <w:snapToGrid w:val="0"/>
        <w:spacing w:line="360" w:lineRule="auto"/>
        <w:ind w:firstLine="199"/>
        <w:jc w:val="center"/>
        <w:rPr>
          <w:rFonts w:ascii="宋体" w:hAnsi="宋体"/>
          <w:sz w:val="24"/>
        </w:rPr>
      </w:pPr>
      <w:r>
        <w:rPr>
          <w:rFonts w:hint="eastAsia" w:ascii="宋体" w:hAnsi="宋体"/>
          <w:sz w:val="24"/>
        </w:rPr>
        <w:t>表10.1   技术差异表</w:t>
      </w:r>
      <w:bookmarkEnd w:id="76"/>
      <w:r>
        <w:rPr>
          <w:rFonts w:hint="eastAsia" w:ascii="宋体" w:hAnsi="宋体"/>
          <w:sz w:val="24"/>
        </w:rPr>
        <w:t xml:space="preserve">  （投标方填写）</w:t>
      </w:r>
    </w:p>
    <w:tbl>
      <w:tblPr>
        <w:tblStyle w:val="27"/>
        <w:tblW w:w="906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34"/>
        <w:gridCol w:w="1256"/>
        <w:gridCol w:w="2932"/>
        <w:gridCol w:w="1360"/>
        <w:gridCol w:w="2783"/>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734" w:type="dxa"/>
            <w:vMerge w:val="restart"/>
            <w:vAlign w:val="center"/>
          </w:tcPr>
          <w:p>
            <w:pPr>
              <w:jc w:val="center"/>
              <w:rPr>
                <w:rFonts w:ascii="宋体" w:hAnsi="宋体"/>
                <w:szCs w:val="21"/>
              </w:rPr>
            </w:pPr>
            <w:r>
              <w:rPr>
                <w:rFonts w:hint="eastAsia" w:ascii="宋体" w:hAnsi="宋体"/>
                <w:szCs w:val="21"/>
              </w:rPr>
              <w:t>序</w:t>
            </w:r>
          </w:p>
          <w:p>
            <w:pPr>
              <w:jc w:val="center"/>
              <w:rPr>
                <w:rFonts w:ascii="宋体" w:hAnsi="宋体"/>
                <w:szCs w:val="21"/>
              </w:rPr>
            </w:pPr>
            <w:r>
              <w:rPr>
                <w:rFonts w:hint="eastAsia" w:ascii="宋体" w:hAnsi="宋体"/>
                <w:szCs w:val="21"/>
              </w:rPr>
              <w:t>号</w:t>
            </w:r>
          </w:p>
        </w:tc>
        <w:tc>
          <w:tcPr>
            <w:tcW w:w="4188" w:type="dxa"/>
            <w:gridSpan w:val="2"/>
            <w:vAlign w:val="center"/>
          </w:tcPr>
          <w:p>
            <w:pPr>
              <w:jc w:val="center"/>
              <w:rPr>
                <w:rFonts w:ascii="宋体" w:hAnsi="宋体"/>
                <w:szCs w:val="21"/>
              </w:rPr>
            </w:pPr>
            <w:r>
              <w:rPr>
                <w:rFonts w:hint="eastAsia" w:ascii="宋体" w:hAnsi="宋体"/>
                <w:szCs w:val="21"/>
              </w:rPr>
              <w:t>招 标 文 件</w:t>
            </w:r>
          </w:p>
        </w:tc>
        <w:tc>
          <w:tcPr>
            <w:tcW w:w="4143" w:type="dxa"/>
            <w:gridSpan w:val="2"/>
            <w:vAlign w:val="center"/>
          </w:tcPr>
          <w:p>
            <w:pPr>
              <w:jc w:val="center"/>
              <w:rPr>
                <w:rFonts w:ascii="宋体" w:hAnsi="宋体"/>
                <w:szCs w:val="21"/>
              </w:rPr>
            </w:pPr>
            <w:r>
              <w:rPr>
                <w:rFonts w:hint="eastAsia" w:ascii="宋体" w:hAnsi="宋体"/>
                <w:szCs w:val="21"/>
              </w:rPr>
              <w:t>投  标  文  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734" w:type="dxa"/>
            <w:vMerge w:val="continue"/>
            <w:vAlign w:val="center"/>
          </w:tcPr>
          <w:p>
            <w:pPr>
              <w:jc w:val="center"/>
              <w:rPr>
                <w:rFonts w:ascii="宋体" w:hAnsi="宋体"/>
                <w:szCs w:val="21"/>
              </w:rPr>
            </w:pPr>
          </w:p>
        </w:tc>
        <w:tc>
          <w:tcPr>
            <w:tcW w:w="1256" w:type="dxa"/>
            <w:vAlign w:val="center"/>
          </w:tcPr>
          <w:p>
            <w:pPr>
              <w:jc w:val="center"/>
              <w:rPr>
                <w:rFonts w:ascii="宋体" w:hAnsi="宋体"/>
                <w:szCs w:val="21"/>
              </w:rPr>
            </w:pPr>
            <w:r>
              <w:rPr>
                <w:rFonts w:hint="eastAsia" w:ascii="宋体" w:hAnsi="宋体"/>
                <w:szCs w:val="21"/>
              </w:rPr>
              <w:t>条  目</w:t>
            </w:r>
          </w:p>
        </w:tc>
        <w:tc>
          <w:tcPr>
            <w:tcW w:w="2932" w:type="dxa"/>
            <w:vAlign w:val="center"/>
          </w:tcPr>
          <w:p>
            <w:pPr>
              <w:jc w:val="center"/>
              <w:rPr>
                <w:rFonts w:ascii="宋体" w:hAnsi="宋体"/>
                <w:szCs w:val="21"/>
              </w:rPr>
            </w:pPr>
            <w:r>
              <w:rPr>
                <w:rFonts w:hint="eastAsia" w:ascii="宋体" w:hAnsi="宋体"/>
                <w:szCs w:val="21"/>
              </w:rPr>
              <w:t>简  要  内  容</w:t>
            </w:r>
          </w:p>
        </w:tc>
        <w:tc>
          <w:tcPr>
            <w:tcW w:w="1360" w:type="dxa"/>
            <w:vAlign w:val="center"/>
          </w:tcPr>
          <w:p>
            <w:pPr>
              <w:jc w:val="center"/>
              <w:rPr>
                <w:rFonts w:ascii="宋体" w:hAnsi="宋体"/>
                <w:szCs w:val="21"/>
              </w:rPr>
            </w:pPr>
            <w:r>
              <w:rPr>
                <w:rFonts w:hint="eastAsia" w:ascii="宋体" w:hAnsi="宋体"/>
                <w:szCs w:val="21"/>
              </w:rPr>
              <w:t>条  目</w:t>
            </w:r>
          </w:p>
        </w:tc>
        <w:tc>
          <w:tcPr>
            <w:tcW w:w="2783" w:type="dxa"/>
            <w:vAlign w:val="center"/>
          </w:tcPr>
          <w:p>
            <w:pPr>
              <w:jc w:val="center"/>
              <w:rPr>
                <w:rFonts w:ascii="宋体" w:hAnsi="宋体"/>
                <w:szCs w:val="21"/>
              </w:rPr>
            </w:pPr>
            <w:r>
              <w:rPr>
                <w:rFonts w:hint="eastAsia" w:ascii="宋体" w:hAnsi="宋体"/>
                <w:szCs w:val="21"/>
              </w:rPr>
              <w:t>简  要  内  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5" w:hRule="atLeast"/>
          <w:jc w:val="center"/>
        </w:trPr>
        <w:tc>
          <w:tcPr>
            <w:tcW w:w="734" w:type="dxa"/>
            <w:vAlign w:val="center"/>
          </w:tcPr>
          <w:p>
            <w:pPr>
              <w:widowControl/>
              <w:autoSpaceDE w:val="0"/>
              <w:autoSpaceDN w:val="0"/>
              <w:textAlignment w:val="bottom"/>
              <w:rPr>
                <w:rFonts w:ascii="宋体" w:hAnsi="宋体"/>
                <w:szCs w:val="21"/>
              </w:rPr>
            </w:pPr>
          </w:p>
        </w:tc>
        <w:tc>
          <w:tcPr>
            <w:tcW w:w="1256" w:type="dxa"/>
            <w:vAlign w:val="center"/>
          </w:tcPr>
          <w:p>
            <w:pPr>
              <w:widowControl/>
              <w:autoSpaceDE w:val="0"/>
              <w:autoSpaceDN w:val="0"/>
              <w:textAlignment w:val="bottom"/>
              <w:rPr>
                <w:rFonts w:ascii="宋体" w:hAnsi="宋体"/>
                <w:szCs w:val="21"/>
              </w:rPr>
            </w:pPr>
          </w:p>
        </w:tc>
        <w:tc>
          <w:tcPr>
            <w:tcW w:w="2932" w:type="dxa"/>
            <w:vAlign w:val="center"/>
          </w:tcPr>
          <w:p>
            <w:pPr>
              <w:widowControl/>
              <w:autoSpaceDE w:val="0"/>
              <w:autoSpaceDN w:val="0"/>
              <w:textAlignment w:val="bottom"/>
              <w:rPr>
                <w:rFonts w:ascii="宋体" w:hAnsi="宋体"/>
                <w:szCs w:val="21"/>
              </w:rPr>
            </w:pPr>
          </w:p>
        </w:tc>
        <w:tc>
          <w:tcPr>
            <w:tcW w:w="1360" w:type="dxa"/>
            <w:vAlign w:val="center"/>
          </w:tcPr>
          <w:p>
            <w:pPr>
              <w:widowControl/>
              <w:autoSpaceDE w:val="0"/>
              <w:autoSpaceDN w:val="0"/>
              <w:textAlignment w:val="bottom"/>
              <w:rPr>
                <w:rFonts w:ascii="宋体" w:hAnsi="宋体"/>
                <w:szCs w:val="21"/>
              </w:rPr>
            </w:pPr>
          </w:p>
        </w:tc>
        <w:tc>
          <w:tcPr>
            <w:tcW w:w="2783" w:type="dxa"/>
            <w:vAlign w:val="center"/>
          </w:tcPr>
          <w:p>
            <w:pPr>
              <w:widowControl/>
              <w:autoSpaceDE w:val="0"/>
              <w:autoSpaceDN w:val="0"/>
              <w:textAlignment w:val="bottom"/>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5" w:hRule="atLeast"/>
          <w:jc w:val="center"/>
        </w:trPr>
        <w:tc>
          <w:tcPr>
            <w:tcW w:w="734" w:type="dxa"/>
            <w:vAlign w:val="center"/>
          </w:tcPr>
          <w:p>
            <w:pPr>
              <w:widowControl/>
              <w:autoSpaceDE w:val="0"/>
              <w:autoSpaceDN w:val="0"/>
              <w:textAlignment w:val="bottom"/>
              <w:rPr>
                <w:rFonts w:ascii="宋体" w:hAnsi="宋体"/>
                <w:szCs w:val="21"/>
              </w:rPr>
            </w:pPr>
          </w:p>
        </w:tc>
        <w:tc>
          <w:tcPr>
            <w:tcW w:w="1256" w:type="dxa"/>
            <w:vAlign w:val="center"/>
          </w:tcPr>
          <w:p>
            <w:pPr>
              <w:widowControl/>
              <w:autoSpaceDE w:val="0"/>
              <w:autoSpaceDN w:val="0"/>
              <w:textAlignment w:val="bottom"/>
              <w:rPr>
                <w:rFonts w:ascii="宋体" w:hAnsi="宋体"/>
                <w:szCs w:val="21"/>
              </w:rPr>
            </w:pPr>
          </w:p>
        </w:tc>
        <w:tc>
          <w:tcPr>
            <w:tcW w:w="2932" w:type="dxa"/>
            <w:vAlign w:val="center"/>
          </w:tcPr>
          <w:p>
            <w:pPr>
              <w:widowControl/>
              <w:autoSpaceDE w:val="0"/>
              <w:autoSpaceDN w:val="0"/>
              <w:textAlignment w:val="bottom"/>
              <w:rPr>
                <w:rFonts w:ascii="宋体" w:hAnsi="宋体"/>
                <w:szCs w:val="21"/>
              </w:rPr>
            </w:pPr>
          </w:p>
        </w:tc>
        <w:tc>
          <w:tcPr>
            <w:tcW w:w="1360" w:type="dxa"/>
            <w:vAlign w:val="center"/>
          </w:tcPr>
          <w:p>
            <w:pPr>
              <w:widowControl/>
              <w:autoSpaceDE w:val="0"/>
              <w:autoSpaceDN w:val="0"/>
              <w:textAlignment w:val="bottom"/>
              <w:rPr>
                <w:rFonts w:ascii="宋体" w:hAnsi="宋体"/>
                <w:szCs w:val="21"/>
              </w:rPr>
            </w:pPr>
          </w:p>
        </w:tc>
        <w:tc>
          <w:tcPr>
            <w:tcW w:w="2783" w:type="dxa"/>
            <w:vAlign w:val="center"/>
          </w:tcPr>
          <w:p>
            <w:pPr>
              <w:widowControl/>
              <w:autoSpaceDE w:val="0"/>
              <w:autoSpaceDN w:val="0"/>
              <w:textAlignment w:val="bottom"/>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5" w:hRule="atLeast"/>
          <w:jc w:val="center"/>
        </w:trPr>
        <w:tc>
          <w:tcPr>
            <w:tcW w:w="734" w:type="dxa"/>
            <w:vAlign w:val="center"/>
          </w:tcPr>
          <w:p>
            <w:pPr>
              <w:widowControl/>
              <w:autoSpaceDE w:val="0"/>
              <w:autoSpaceDN w:val="0"/>
              <w:textAlignment w:val="bottom"/>
              <w:rPr>
                <w:rFonts w:ascii="宋体" w:hAnsi="宋体"/>
                <w:szCs w:val="21"/>
              </w:rPr>
            </w:pPr>
          </w:p>
        </w:tc>
        <w:tc>
          <w:tcPr>
            <w:tcW w:w="1256" w:type="dxa"/>
            <w:vAlign w:val="center"/>
          </w:tcPr>
          <w:p>
            <w:pPr>
              <w:widowControl/>
              <w:autoSpaceDE w:val="0"/>
              <w:autoSpaceDN w:val="0"/>
              <w:textAlignment w:val="bottom"/>
              <w:rPr>
                <w:rFonts w:ascii="宋体" w:hAnsi="宋体"/>
                <w:szCs w:val="21"/>
              </w:rPr>
            </w:pPr>
          </w:p>
        </w:tc>
        <w:tc>
          <w:tcPr>
            <w:tcW w:w="2932" w:type="dxa"/>
            <w:vAlign w:val="center"/>
          </w:tcPr>
          <w:p>
            <w:pPr>
              <w:widowControl/>
              <w:autoSpaceDE w:val="0"/>
              <w:autoSpaceDN w:val="0"/>
              <w:textAlignment w:val="bottom"/>
              <w:rPr>
                <w:rFonts w:ascii="宋体" w:hAnsi="宋体"/>
                <w:szCs w:val="21"/>
              </w:rPr>
            </w:pPr>
          </w:p>
        </w:tc>
        <w:tc>
          <w:tcPr>
            <w:tcW w:w="1360" w:type="dxa"/>
            <w:vAlign w:val="center"/>
          </w:tcPr>
          <w:p>
            <w:pPr>
              <w:widowControl/>
              <w:autoSpaceDE w:val="0"/>
              <w:autoSpaceDN w:val="0"/>
              <w:textAlignment w:val="bottom"/>
              <w:rPr>
                <w:rFonts w:ascii="宋体" w:hAnsi="宋体"/>
                <w:szCs w:val="21"/>
              </w:rPr>
            </w:pPr>
          </w:p>
        </w:tc>
        <w:tc>
          <w:tcPr>
            <w:tcW w:w="2783" w:type="dxa"/>
            <w:vAlign w:val="center"/>
          </w:tcPr>
          <w:p>
            <w:pPr>
              <w:widowControl/>
              <w:autoSpaceDE w:val="0"/>
              <w:autoSpaceDN w:val="0"/>
              <w:textAlignment w:val="bottom"/>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5" w:hRule="atLeast"/>
          <w:jc w:val="center"/>
        </w:trPr>
        <w:tc>
          <w:tcPr>
            <w:tcW w:w="734" w:type="dxa"/>
            <w:vAlign w:val="center"/>
          </w:tcPr>
          <w:p>
            <w:pPr>
              <w:widowControl/>
              <w:autoSpaceDE w:val="0"/>
              <w:autoSpaceDN w:val="0"/>
              <w:textAlignment w:val="bottom"/>
              <w:rPr>
                <w:rFonts w:ascii="宋体" w:hAnsi="宋体"/>
                <w:szCs w:val="21"/>
              </w:rPr>
            </w:pPr>
          </w:p>
        </w:tc>
        <w:tc>
          <w:tcPr>
            <w:tcW w:w="1256" w:type="dxa"/>
            <w:vAlign w:val="center"/>
          </w:tcPr>
          <w:p>
            <w:pPr>
              <w:widowControl/>
              <w:autoSpaceDE w:val="0"/>
              <w:autoSpaceDN w:val="0"/>
              <w:textAlignment w:val="bottom"/>
              <w:rPr>
                <w:rFonts w:ascii="宋体" w:hAnsi="宋体"/>
                <w:szCs w:val="21"/>
              </w:rPr>
            </w:pPr>
          </w:p>
        </w:tc>
        <w:tc>
          <w:tcPr>
            <w:tcW w:w="2932" w:type="dxa"/>
            <w:vAlign w:val="center"/>
          </w:tcPr>
          <w:p>
            <w:pPr>
              <w:widowControl/>
              <w:autoSpaceDE w:val="0"/>
              <w:autoSpaceDN w:val="0"/>
              <w:textAlignment w:val="bottom"/>
              <w:rPr>
                <w:rFonts w:ascii="宋体" w:hAnsi="宋体"/>
                <w:szCs w:val="21"/>
              </w:rPr>
            </w:pPr>
          </w:p>
        </w:tc>
        <w:tc>
          <w:tcPr>
            <w:tcW w:w="1360" w:type="dxa"/>
            <w:vAlign w:val="center"/>
          </w:tcPr>
          <w:p>
            <w:pPr>
              <w:widowControl/>
              <w:autoSpaceDE w:val="0"/>
              <w:autoSpaceDN w:val="0"/>
              <w:textAlignment w:val="bottom"/>
              <w:rPr>
                <w:rFonts w:ascii="宋体" w:hAnsi="宋体"/>
                <w:szCs w:val="21"/>
              </w:rPr>
            </w:pPr>
          </w:p>
        </w:tc>
        <w:tc>
          <w:tcPr>
            <w:tcW w:w="2783" w:type="dxa"/>
            <w:vAlign w:val="center"/>
          </w:tcPr>
          <w:p>
            <w:pPr>
              <w:widowControl/>
              <w:autoSpaceDE w:val="0"/>
              <w:autoSpaceDN w:val="0"/>
              <w:textAlignment w:val="bottom"/>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5" w:hRule="atLeast"/>
          <w:jc w:val="center"/>
        </w:trPr>
        <w:tc>
          <w:tcPr>
            <w:tcW w:w="734" w:type="dxa"/>
            <w:vAlign w:val="center"/>
          </w:tcPr>
          <w:p>
            <w:pPr>
              <w:widowControl/>
              <w:autoSpaceDE w:val="0"/>
              <w:autoSpaceDN w:val="0"/>
              <w:textAlignment w:val="bottom"/>
              <w:rPr>
                <w:rFonts w:ascii="宋体" w:hAnsi="宋体"/>
                <w:szCs w:val="21"/>
              </w:rPr>
            </w:pPr>
          </w:p>
        </w:tc>
        <w:tc>
          <w:tcPr>
            <w:tcW w:w="1256" w:type="dxa"/>
            <w:vAlign w:val="center"/>
          </w:tcPr>
          <w:p>
            <w:pPr>
              <w:widowControl/>
              <w:autoSpaceDE w:val="0"/>
              <w:autoSpaceDN w:val="0"/>
              <w:textAlignment w:val="bottom"/>
              <w:rPr>
                <w:rFonts w:ascii="宋体" w:hAnsi="宋体"/>
                <w:szCs w:val="21"/>
              </w:rPr>
            </w:pPr>
          </w:p>
        </w:tc>
        <w:tc>
          <w:tcPr>
            <w:tcW w:w="2932" w:type="dxa"/>
            <w:vAlign w:val="center"/>
          </w:tcPr>
          <w:p>
            <w:pPr>
              <w:widowControl/>
              <w:autoSpaceDE w:val="0"/>
              <w:autoSpaceDN w:val="0"/>
              <w:textAlignment w:val="bottom"/>
              <w:rPr>
                <w:rFonts w:ascii="宋体" w:hAnsi="宋体"/>
                <w:szCs w:val="21"/>
              </w:rPr>
            </w:pPr>
          </w:p>
        </w:tc>
        <w:tc>
          <w:tcPr>
            <w:tcW w:w="1360" w:type="dxa"/>
            <w:vAlign w:val="center"/>
          </w:tcPr>
          <w:p>
            <w:pPr>
              <w:widowControl/>
              <w:autoSpaceDE w:val="0"/>
              <w:autoSpaceDN w:val="0"/>
              <w:textAlignment w:val="bottom"/>
              <w:rPr>
                <w:rFonts w:ascii="宋体" w:hAnsi="宋体"/>
                <w:szCs w:val="21"/>
              </w:rPr>
            </w:pPr>
          </w:p>
        </w:tc>
        <w:tc>
          <w:tcPr>
            <w:tcW w:w="2783" w:type="dxa"/>
            <w:vAlign w:val="center"/>
          </w:tcPr>
          <w:p>
            <w:pPr>
              <w:widowControl/>
              <w:autoSpaceDE w:val="0"/>
              <w:autoSpaceDN w:val="0"/>
              <w:textAlignment w:val="bottom"/>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5" w:hRule="atLeast"/>
          <w:jc w:val="center"/>
        </w:trPr>
        <w:tc>
          <w:tcPr>
            <w:tcW w:w="734" w:type="dxa"/>
            <w:vAlign w:val="center"/>
          </w:tcPr>
          <w:p>
            <w:pPr>
              <w:widowControl/>
              <w:autoSpaceDE w:val="0"/>
              <w:autoSpaceDN w:val="0"/>
              <w:textAlignment w:val="bottom"/>
              <w:rPr>
                <w:rFonts w:ascii="宋体" w:hAnsi="宋体"/>
                <w:szCs w:val="21"/>
              </w:rPr>
            </w:pPr>
          </w:p>
        </w:tc>
        <w:tc>
          <w:tcPr>
            <w:tcW w:w="1256" w:type="dxa"/>
            <w:vAlign w:val="center"/>
          </w:tcPr>
          <w:p>
            <w:pPr>
              <w:widowControl/>
              <w:autoSpaceDE w:val="0"/>
              <w:autoSpaceDN w:val="0"/>
              <w:textAlignment w:val="bottom"/>
              <w:rPr>
                <w:rFonts w:ascii="宋体" w:hAnsi="宋体"/>
                <w:szCs w:val="21"/>
              </w:rPr>
            </w:pPr>
          </w:p>
        </w:tc>
        <w:tc>
          <w:tcPr>
            <w:tcW w:w="2932" w:type="dxa"/>
            <w:vAlign w:val="center"/>
          </w:tcPr>
          <w:p>
            <w:pPr>
              <w:widowControl/>
              <w:autoSpaceDE w:val="0"/>
              <w:autoSpaceDN w:val="0"/>
              <w:textAlignment w:val="bottom"/>
              <w:rPr>
                <w:rFonts w:ascii="宋体" w:hAnsi="宋体"/>
                <w:szCs w:val="21"/>
              </w:rPr>
            </w:pPr>
          </w:p>
        </w:tc>
        <w:tc>
          <w:tcPr>
            <w:tcW w:w="1360" w:type="dxa"/>
            <w:vAlign w:val="center"/>
          </w:tcPr>
          <w:p>
            <w:pPr>
              <w:widowControl/>
              <w:autoSpaceDE w:val="0"/>
              <w:autoSpaceDN w:val="0"/>
              <w:textAlignment w:val="bottom"/>
              <w:rPr>
                <w:rFonts w:ascii="宋体" w:hAnsi="宋体"/>
                <w:szCs w:val="21"/>
              </w:rPr>
            </w:pPr>
          </w:p>
        </w:tc>
        <w:tc>
          <w:tcPr>
            <w:tcW w:w="2783" w:type="dxa"/>
            <w:vAlign w:val="center"/>
          </w:tcPr>
          <w:p>
            <w:pPr>
              <w:widowControl/>
              <w:autoSpaceDE w:val="0"/>
              <w:autoSpaceDN w:val="0"/>
              <w:textAlignment w:val="bottom"/>
              <w:rPr>
                <w:rFonts w:ascii="宋体" w:hAnsi="宋体"/>
                <w:szCs w:val="21"/>
              </w:rPr>
            </w:pPr>
          </w:p>
        </w:tc>
      </w:tr>
    </w:tbl>
    <w:p>
      <w:pPr>
        <w:pStyle w:val="17"/>
        <w:adjustRightInd w:val="0"/>
        <w:snapToGrid w:val="0"/>
        <w:spacing w:before="156" w:beforeLines="50" w:line="360" w:lineRule="auto"/>
        <w:rPr>
          <w:rFonts w:hAnsi="宋体"/>
          <w:sz w:val="24"/>
        </w:rPr>
      </w:pPr>
      <w:r>
        <w:rPr>
          <w:rFonts w:hAnsi="宋体"/>
          <w:sz w:val="24"/>
        </w:rPr>
        <w:t>投标</w:t>
      </w:r>
      <w:r>
        <w:rPr>
          <w:rFonts w:hint="eastAsia" w:hAnsi="宋体"/>
          <w:sz w:val="24"/>
        </w:rPr>
        <w:t>方</w:t>
      </w:r>
      <w:r>
        <w:rPr>
          <w:rFonts w:hAnsi="宋体"/>
          <w:sz w:val="24"/>
        </w:rPr>
        <w:t>：</w:t>
      </w:r>
      <w:r>
        <w:rPr>
          <w:rFonts w:hAnsi="宋体"/>
          <w:sz w:val="24"/>
          <w:u w:val="single"/>
        </w:rPr>
        <w:t xml:space="preserve">             </w:t>
      </w:r>
      <w:r>
        <w:rPr>
          <w:rFonts w:hAnsi="宋体"/>
          <w:sz w:val="24"/>
        </w:rPr>
        <w:t xml:space="preserve">   盖章：</w:t>
      </w:r>
    </w:p>
    <w:p>
      <w:pPr>
        <w:pStyle w:val="4"/>
        <w:numPr>
          <w:ilvl w:val="0"/>
          <w:numId w:val="0"/>
        </w:numPr>
        <w:snapToGrid/>
        <w:spacing w:before="0" w:beforeLines="0" w:line="480" w:lineRule="auto"/>
        <w:rPr>
          <w:rFonts w:hint="eastAsia" w:hAnsi="宋体"/>
          <w:sz w:val="24"/>
          <w:szCs w:val="24"/>
        </w:rPr>
      </w:pPr>
      <w:bookmarkStart w:id="77" w:name="_Toc282420857"/>
      <w:bookmarkStart w:id="78" w:name="_Toc282421446"/>
      <w:bookmarkStart w:id="79" w:name="_Toc399627558"/>
      <w:bookmarkStart w:id="80" w:name="_Toc287602850"/>
      <w:r>
        <w:rPr>
          <w:rFonts w:hint="eastAsia" w:hAnsi="宋体"/>
          <w:sz w:val="24"/>
          <w:szCs w:val="24"/>
        </w:rPr>
        <w:t>11投标方需说明的其他问题</w:t>
      </w:r>
      <w:bookmarkEnd w:id="77"/>
      <w:bookmarkEnd w:id="78"/>
      <w:bookmarkEnd w:id="79"/>
      <w:bookmarkEnd w:id="80"/>
    </w:p>
    <w:p>
      <w:pPr>
        <w:pStyle w:val="47"/>
        <w:adjustRightInd w:val="0"/>
        <w:snapToGrid w:val="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如有需说明的其他问题，投标方应通过书面形式提交，并加盖公章。</w:t>
      </w:r>
    </w:p>
    <w:p/>
    <w:sectPr>
      <w:headerReference r:id="rId4" w:type="default"/>
      <w:footerReference r:id="rId5" w:type="default"/>
      <w:pgSz w:w="11906" w:h="16838"/>
      <w:pgMar w:top="1440" w:right="1466" w:bottom="1440" w:left="144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方正书宋简体">
    <w:altName w:val="宋体"/>
    <w:panose1 w:val="00000000000000000000"/>
    <w:charset w:val="86"/>
    <w:family w:val="auto"/>
    <w:pitch w:val="default"/>
    <w:sig w:usb0="00000000" w:usb1="00000000" w:usb2="00000010" w:usb3="00000000" w:csb0="00040000" w:csb1="00000000"/>
  </w:font>
  <w:font w:name="Tahoma">
    <w:panose1 w:val="020B0604030504040204"/>
    <w:charset w:val="00"/>
    <w:family w:val="auto"/>
    <w:pitch w:val="default"/>
    <w:sig w:usb0="E1002EFF" w:usb1="C000605B" w:usb2="00000029" w:usb3="00000000" w:csb0="200101FF" w:csb1="20280000"/>
  </w:font>
  <w:font w:name="ˎ̥">
    <w:altName w:val="Times New Roman"/>
    <w:panose1 w:val="00000000000000000000"/>
    <w:charset w:val="00"/>
    <w:family w:val="roman"/>
    <w:pitch w:val="default"/>
    <w:sig w:usb0="00000000" w:usb1="00000000" w:usb2="00000000" w:usb3="00000000" w:csb0="00000000" w:csb1="00000000"/>
  </w:font>
  <w:font w:name="EU-F1">
    <w:altName w:val="宋体"/>
    <w:panose1 w:val="00000000000000000000"/>
    <w:charset w:val="86"/>
    <w:family w:val="script"/>
    <w:pitch w:val="default"/>
    <w:sig w:usb0="00000000" w:usb1="00000000" w:usb2="00000010" w:usb3="00000000" w:csb0="00040000" w:csb1="00000000"/>
  </w:font>
  <w:font w:name="新宋体">
    <w:panose1 w:val="02010609030101010101"/>
    <w:charset w:val="86"/>
    <w:family w:val="modern"/>
    <w:pitch w:val="default"/>
    <w:sig w:usb0="00000203" w:usb1="288F0000" w:usb2="00000006" w:usb3="00000000" w:csb0="00040001"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rPr>
        <w:rFonts w:hint="eastAsia"/>
      </w:rPr>
    </w:pP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jc w:val="right"/>
    </w:pPr>
    <w:r>
      <w:fldChar w:fldCharType="begin"/>
    </w:r>
    <w:r>
      <w:instrText xml:space="preserve"> PAGE   \* MERGEFORMAT </w:instrText>
    </w:r>
    <w:r>
      <w:fldChar w:fldCharType="separate"/>
    </w:r>
    <w:r>
      <w:rPr>
        <w:lang w:val="zh-CN"/>
      </w:rPr>
      <w:t>12</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820EE4"/>
    <w:multiLevelType w:val="singleLevel"/>
    <w:tmpl w:val="D7820EE4"/>
    <w:lvl w:ilvl="0" w:tentative="0">
      <w:start w:val="1"/>
      <w:numFmt w:val="decimal"/>
      <w:lvlText w:val="%1)"/>
      <w:lvlJc w:val="left"/>
      <w:pPr>
        <w:ind w:left="425" w:hanging="425"/>
      </w:pPr>
      <w:rPr>
        <w:rFonts w:hint="default"/>
      </w:rPr>
    </w:lvl>
  </w:abstractNum>
  <w:abstractNum w:abstractNumId="1">
    <w:nsid w:val="046A132E"/>
    <w:multiLevelType w:val="multilevel"/>
    <w:tmpl w:val="046A132E"/>
    <w:lvl w:ilvl="0" w:tentative="0">
      <w:start w:val="1"/>
      <w:numFmt w:val="decimal"/>
      <w:pStyle w:val="4"/>
      <w:suff w:val="space"/>
      <w:lvlText w:val="%1"/>
      <w:lvlJc w:val="left"/>
      <w:pPr>
        <w:ind w:left="0" w:firstLine="0"/>
      </w:pPr>
      <w:rPr>
        <w:rFonts w:hint="default" w:ascii="Times New Roman" w:hAnsi="Times New Roman" w:eastAsia="宋体"/>
        <w:b/>
        <w:i w:val="0"/>
        <w:color w:val="auto"/>
        <w:sz w:val="21"/>
      </w:rPr>
    </w:lvl>
    <w:lvl w:ilvl="1" w:tentative="0">
      <w:start w:val="2"/>
      <w:numFmt w:val="decimal"/>
      <w:pStyle w:val="5"/>
      <w:suff w:val="space"/>
      <w:lvlText w:val="%1.%2"/>
      <w:lvlJc w:val="left"/>
      <w:pPr>
        <w:ind w:left="0" w:firstLine="0"/>
      </w:pPr>
      <w:rPr>
        <w:rFonts w:hint="default" w:ascii="Times New Roman" w:hAnsi="Times New Roman" w:eastAsia="宋体"/>
        <w:b w:val="0"/>
        <w:i w:val="0"/>
        <w:sz w:val="21"/>
      </w:rPr>
    </w:lvl>
    <w:lvl w:ilvl="2" w:tentative="0">
      <w:start w:val="12"/>
      <w:numFmt w:val="decimal"/>
      <w:pStyle w:val="6"/>
      <w:suff w:val="space"/>
      <w:lvlText w:val="%1.%2.%3 "/>
      <w:lvlJc w:val="left"/>
      <w:pPr>
        <w:ind w:left="360" w:firstLine="0"/>
      </w:pPr>
      <w:rPr>
        <w:rFonts w:hint="eastAsia" w:ascii="黑体" w:hAnsi="黑体" w:eastAsia="黑体" w:cs="Times New Roman"/>
        <w:b w:val="0"/>
        <w:bCs w:val="0"/>
        <w:i w:val="0"/>
        <w:iCs w:val="0"/>
        <w:caps w:val="0"/>
        <w:smallCaps w:val="0"/>
        <w:strike w:val="0"/>
        <w:dstrike w:val="0"/>
        <w:outline w:val="0"/>
        <w:shadow w:val="0"/>
        <w:emboss w:val="0"/>
        <w:imprint w:val="0"/>
        <w:snapToGrid w:val="0"/>
        <w:vanish w:val="0"/>
        <w:color w:val="auto"/>
        <w:spacing w:val="0"/>
        <w:w w:val="100"/>
        <w:kern w:val="2"/>
        <w:position w:val="0"/>
        <w:sz w:val="21"/>
        <w:szCs w:val="0"/>
        <w:u w:val="none" w:color="000000"/>
        <w:shd w:val="clear" w:color="auto" w:fill="auto"/>
        <w:vertAlign w:val="baseline"/>
        <w:lang w:val="zh-CN" w:eastAsia="zh-CN" w:bidi="zh-CN"/>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14:cntxtalts w14:val="0"/>
      </w:rPr>
    </w:lvl>
    <w:lvl w:ilvl="3" w:tentative="0">
      <w:start w:val="1"/>
      <w:numFmt w:val="decimal"/>
      <w:suff w:val="space"/>
      <w:lvlText w:val="%1.%2.%3.%4 "/>
      <w:lvlJc w:val="left"/>
      <w:pPr>
        <w:ind w:left="0" w:firstLine="0"/>
      </w:pPr>
      <w:rPr>
        <w:rFonts w:hint="eastAsia" w:ascii="宋体" w:hAnsi="宋体" w:eastAsia="宋体" w:cs="Times New Roman"/>
        <w:b w:val="0"/>
        <w:bCs w:val="0"/>
        <w:i w:val="0"/>
        <w:iCs w:val="0"/>
        <w:caps w:val="0"/>
        <w:smallCaps w:val="0"/>
        <w:strike w:val="0"/>
        <w:dstrike w:val="0"/>
        <w:outline w:val="0"/>
        <w:shadow w:val="0"/>
        <w:emboss w:val="0"/>
        <w:imprint w:val="0"/>
        <w:snapToGrid w:val="0"/>
        <w:vanish w:val="0"/>
        <w:color w:val="auto"/>
        <w:spacing w:val="0"/>
        <w:w w:val="100"/>
        <w:kern w:val="2"/>
        <w:position w:val="0"/>
        <w:sz w:val="21"/>
        <w:szCs w:val="21"/>
        <w:u w:val="none" w:color="000000"/>
        <w:shd w:val="clear" w:color="auto" w:fill="auto"/>
        <w:vertAlign w:val="baseline"/>
        <w:lang w:val="en-US" w:eastAsia="zh-CN" w:bidi="ar-SA"/>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14:cntxtalts w14:val="0"/>
      </w:rPr>
    </w:lvl>
    <w:lvl w:ilvl="4" w:tentative="0">
      <w:start w:val="1"/>
      <w:numFmt w:val="decimal"/>
      <w:lvlRestart w:val="0"/>
      <w:suff w:val="space"/>
      <w:lvlText w:val="%1.%2.%3.%4.%5"/>
      <w:lvlJc w:val="left"/>
      <w:pPr>
        <w:ind w:left="-180" w:firstLine="0"/>
      </w:pPr>
      <w:rPr>
        <w:rFonts w:hint="eastAsia"/>
      </w:rPr>
    </w:lvl>
    <w:lvl w:ilvl="5" w:tentative="0">
      <w:start w:val="1"/>
      <w:numFmt w:val="decimal"/>
      <w:lvlText w:val="%1.%2.%3.%4.%5.%6"/>
      <w:lvlJc w:val="left"/>
      <w:pPr>
        <w:tabs>
          <w:tab w:val="left" w:pos="3746"/>
        </w:tabs>
        <w:ind w:left="3080" w:hanging="1134"/>
      </w:pPr>
      <w:rPr>
        <w:rFonts w:hint="eastAsia"/>
      </w:rPr>
    </w:lvl>
    <w:lvl w:ilvl="6" w:tentative="0">
      <w:start w:val="1"/>
      <w:numFmt w:val="decimal"/>
      <w:lvlText w:val="%1.%2.%3.%4.%5.%6.%7"/>
      <w:lvlJc w:val="left"/>
      <w:pPr>
        <w:tabs>
          <w:tab w:val="left" w:pos="4531"/>
        </w:tabs>
        <w:ind w:left="3647" w:hanging="1276"/>
      </w:pPr>
      <w:rPr>
        <w:rFonts w:hint="eastAsia"/>
      </w:rPr>
    </w:lvl>
    <w:lvl w:ilvl="7" w:tentative="0">
      <w:start w:val="1"/>
      <w:numFmt w:val="decimal"/>
      <w:lvlText w:val="%1.%2.%3.%4.%5.%6.%7.%8"/>
      <w:lvlJc w:val="left"/>
      <w:pPr>
        <w:tabs>
          <w:tab w:val="left" w:pos="5316"/>
        </w:tabs>
        <w:ind w:left="4214" w:hanging="1418"/>
      </w:pPr>
      <w:rPr>
        <w:rFonts w:hint="eastAsia"/>
      </w:rPr>
    </w:lvl>
    <w:lvl w:ilvl="8" w:tentative="0">
      <w:start w:val="1"/>
      <w:numFmt w:val="decimal"/>
      <w:lvlText w:val="%1.%2.%3.%4.%5.%6.%7.%8.%9"/>
      <w:lvlJc w:val="left"/>
      <w:pPr>
        <w:tabs>
          <w:tab w:val="left" w:pos="6102"/>
        </w:tabs>
        <w:ind w:left="4922" w:hanging="1700"/>
      </w:pPr>
      <w:rPr>
        <w:rFonts w:hint="eastAsia"/>
      </w:rPr>
    </w:lvl>
  </w:abstractNum>
  <w:abstractNum w:abstractNumId="2">
    <w:nsid w:val="20546F10"/>
    <w:multiLevelType w:val="multilevel"/>
    <w:tmpl w:val="20546F10"/>
    <w:lvl w:ilvl="0" w:tentative="0">
      <w:start w:val="1"/>
      <w:numFmt w:val="decimal"/>
      <w:lvlText w:val="%1)"/>
      <w:lvlJc w:val="left"/>
      <w:pPr>
        <w:tabs>
          <w:tab w:val="left" w:pos="780"/>
        </w:tabs>
        <w:ind w:left="780" w:hanging="420"/>
      </w:pPr>
    </w:lvl>
    <w:lvl w:ilvl="1" w:tentative="0">
      <w:start w:val="1"/>
      <w:numFmt w:val="lowerLetter"/>
      <w:lvlText w:val="%2)"/>
      <w:lvlJc w:val="left"/>
      <w:pPr>
        <w:tabs>
          <w:tab w:val="left" w:pos="1200"/>
        </w:tabs>
        <w:ind w:left="1200" w:hanging="420"/>
      </w:pPr>
    </w:lvl>
    <w:lvl w:ilvl="2" w:tentative="0">
      <w:start w:val="1"/>
      <w:numFmt w:val="lowerRoman"/>
      <w:lvlText w:val="%3."/>
      <w:lvlJc w:val="right"/>
      <w:pPr>
        <w:tabs>
          <w:tab w:val="left" w:pos="1620"/>
        </w:tabs>
        <w:ind w:left="1620" w:hanging="420"/>
      </w:pPr>
    </w:lvl>
    <w:lvl w:ilvl="3" w:tentative="0">
      <w:start w:val="1"/>
      <w:numFmt w:val="decimal"/>
      <w:lvlText w:val="%4."/>
      <w:lvlJc w:val="left"/>
      <w:pPr>
        <w:tabs>
          <w:tab w:val="left" w:pos="2040"/>
        </w:tabs>
        <w:ind w:left="2040" w:hanging="420"/>
      </w:pPr>
    </w:lvl>
    <w:lvl w:ilvl="4" w:tentative="0">
      <w:start w:val="1"/>
      <w:numFmt w:val="lowerLetter"/>
      <w:lvlText w:val="%5)"/>
      <w:lvlJc w:val="left"/>
      <w:pPr>
        <w:tabs>
          <w:tab w:val="left" w:pos="2460"/>
        </w:tabs>
        <w:ind w:left="2460" w:hanging="420"/>
      </w:pPr>
    </w:lvl>
    <w:lvl w:ilvl="5" w:tentative="0">
      <w:start w:val="1"/>
      <w:numFmt w:val="lowerRoman"/>
      <w:lvlText w:val="%6."/>
      <w:lvlJc w:val="right"/>
      <w:pPr>
        <w:tabs>
          <w:tab w:val="left" w:pos="2880"/>
        </w:tabs>
        <w:ind w:left="2880" w:hanging="420"/>
      </w:pPr>
    </w:lvl>
    <w:lvl w:ilvl="6" w:tentative="0">
      <w:start w:val="1"/>
      <w:numFmt w:val="decimal"/>
      <w:lvlText w:val="%7."/>
      <w:lvlJc w:val="left"/>
      <w:pPr>
        <w:tabs>
          <w:tab w:val="left" w:pos="3300"/>
        </w:tabs>
        <w:ind w:left="3300" w:hanging="420"/>
      </w:pPr>
    </w:lvl>
    <w:lvl w:ilvl="7" w:tentative="0">
      <w:start w:val="1"/>
      <w:numFmt w:val="lowerLetter"/>
      <w:lvlText w:val="%8)"/>
      <w:lvlJc w:val="left"/>
      <w:pPr>
        <w:tabs>
          <w:tab w:val="left" w:pos="3720"/>
        </w:tabs>
        <w:ind w:left="3720" w:hanging="420"/>
      </w:pPr>
    </w:lvl>
    <w:lvl w:ilvl="8" w:tentative="0">
      <w:start w:val="1"/>
      <w:numFmt w:val="lowerRoman"/>
      <w:lvlText w:val="%9."/>
      <w:lvlJc w:val="right"/>
      <w:pPr>
        <w:tabs>
          <w:tab w:val="left" w:pos="4140"/>
        </w:tabs>
        <w:ind w:left="4140" w:hanging="420"/>
      </w:pPr>
    </w:lvl>
  </w:abstractNum>
  <w:abstractNum w:abstractNumId="3">
    <w:nsid w:val="38DF7314"/>
    <w:multiLevelType w:val="multilevel"/>
    <w:tmpl w:val="38DF7314"/>
    <w:lvl w:ilvl="0" w:tentative="0">
      <w:start w:val="1"/>
      <w:numFmt w:val="decimal"/>
      <w:suff w:val="space"/>
      <w:lvlText w:val="%1."/>
      <w:lvlJc w:val="left"/>
      <w:pPr>
        <w:ind w:left="525" w:hanging="525"/>
      </w:pPr>
      <w:rPr>
        <w:rFonts w:hint="default"/>
      </w:rPr>
    </w:lvl>
    <w:lvl w:ilvl="1" w:tentative="0">
      <w:start w:val="1"/>
      <w:numFmt w:val="decimal"/>
      <w:lvlText w:val="%1.%2."/>
      <w:lvlJc w:val="left"/>
      <w:pPr>
        <w:tabs>
          <w:tab w:val="left" w:pos="525"/>
        </w:tabs>
        <w:ind w:left="525" w:hanging="525"/>
      </w:pPr>
      <w:rPr>
        <w:rFonts w:hint="default" w:ascii="Times New Roman" w:hAnsi="Times New Roman" w:eastAsia="宋体"/>
      </w:rPr>
    </w:lvl>
    <w:lvl w:ilvl="2" w:tentative="0">
      <w:start w:val="1"/>
      <w:numFmt w:val="decimal"/>
      <w:lvlText w:val="%1.%2.%3."/>
      <w:lvlJc w:val="left"/>
      <w:pPr>
        <w:tabs>
          <w:tab w:val="left" w:pos="0"/>
        </w:tabs>
        <w:ind w:left="0" w:firstLine="0"/>
      </w:pPr>
      <w:rPr>
        <w:rFonts w:hint="default" w:ascii="Times New Roman" w:hAnsi="Times New Roman" w:eastAsia="宋体"/>
      </w:rPr>
    </w:lvl>
    <w:lvl w:ilvl="3" w:tentative="0">
      <w:start w:val="1"/>
      <w:numFmt w:val="lowerLetter"/>
      <w:lvlText w:val="%1.%2.%3.%4."/>
      <w:lvlJc w:val="left"/>
      <w:pPr>
        <w:tabs>
          <w:tab w:val="left" w:pos="1080"/>
        </w:tabs>
        <w:ind w:left="1080" w:hanging="1080"/>
      </w:pPr>
      <w:rPr>
        <w:rFonts w:hint="default"/>
      </w:rPr>
    </w:lvl>
    <w:lvl w:ilvl="4" w:tentative="0">
      <w:start w:val="1"/>
      <w:numFmt w:val="lowerLetter"/>
      <w:pStyle w:val="8"/>
      <w:suff w:val="nothing"/>
      <w:lvlText w:val="%5."/>
      <w:lvlJc w:val="left"/>
      <w:pPr>
        <w:ind w:left="0" w:firstLine="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4">
    <w:nsid w:val="43A129BF"/>
    <w:multiLevelType w:val="singleLevel"/>
    <w:tmpl w:val="43A129BF"/>
    <w:lvl w:ilvl="0" w:tentative="0">
      <w:start w:val="1"/>
      <w:numFmt w:val="decimal"/>
      <w:lvlText w:val="%1)"/>
      <w:lvlJc w:val="left"/>
      <w:pPr>
        <w:ind w:left="425" w:hanging="425"/>
      </w:pPr>
      <w:rPr>
        <w:rFonts w:hint="default"/>
      </w:rPr>
    </w:lvl>
  </w:abstractNum>
  <w:abstractNum w:abstractNumId="5">
    <w:nsid w:val="5F33AEA9"/>
    <w:multiLevelType w:val="singleLevel"/>
    <w:tmpl w:val="5F33AEA9"/>
    <w:lvl w:ilvl="0" w:tentative="0">
      <w:start w:val="1"/>
      <w:numFmt w:val="decimal"/>
      <w:suff w:val="nothing"/>
      <w:lvlText w:val="%1．"/>
      <w:lvlJc w:val="left"/>
      <w:pPr>
        <w:ind w:left="0" w:firstLine="400"/>
      </w:pPr>
      <w:rPr>
        <w:rFonts w:hint="default"/>
      </w:rPr>
    </w:lvl>
  </w:abstractNum>
  <w:abstractNum w:abstractNumId="6">
    <w:nsid w:val="74EF580D"/>
    <w:multiLevelType w:val="multilevel"/>
    <w:tmpl w:val="74EF580D"/>
    <w:lvl w:ilvl="0" w:tentative="0">
      <w:start w:val="1"/>
      <w:numFmt w:val="decimal"/>
      <w:lvlText w:val="%1)"/>
      <w:lvlJc w:val="left"/>
      <w:pPr>
        <w:tabs>
          <w:tab w:val="left" w:pos="780"/>
        </w:tabs>
        <w:ind w:left="780" w:hanging="420"/>
      </w:pPr>
    </w:lvl>
    <w:lvl w:ilvl="1" w:tentative="0">
      <w:start w:val="1"/>
      <w:numFmt w:val="lowerLetter"/>
      <w:lvlText w:val="%2)"/>
      <w:lvlJc w:val="left"/>
      <w:pPr>
        <w:tabs>
          <w:tab w:val="left" w:pos="1200"/>
        </w:tabs>
        <w:ind w:left="1200" w:hanging="420"/>
      </w:pPr>
    </w:lvl>
    <w:lvl w:ilvl="2" w:tentative="0">
      <w:start w:val="1"/>
      <w:numFmt w:val="lowerRoman"/>
      <w:lvlText w:val="%3."/>
      <w:lvlJc w:val="right"/>
      <w:pPr>
        <w:tabs>
          <w:tab w:val="left" w:pos="1620"/>
        </w:tabs>
        <w:ind w:left="1620" w:hanging="420"/>
      </w:pPr>
    </w:lvl>
    <w:lvl w:ilvl="3" w:tentative="0">
      <w:start w:val="1"/>
      <w:numFmt w:val="decimal"/>
      <w:lvlText w:val="%4."/>
      <w:lvlJc w:val="left"/>
      <w:pPr>
        <w:tabs>
          <w:tab w:val="left" w:pos="2040"/>
        </w:tabs>
        <w:ind w:left="2040" w:hanging="420"/>
      </w:pPr>
    </w:lvl>
    <w:lvl w:ilvl="4" w:tentative="0">
      <w:start w:val="1"/>
      <w:numFmt w:val="lowerLetter"/>
      <w:lvlText w:val="%5)"/>
      <w:lvlJc w:val="left"/>
      <w:pPr>
        <w:tabs>
          <w:tab w:val="left" w:pos="2460"/>
        </w:tabs>
        <w:ind w:left="2460" w:hanging="420"/>
      </w:pPr>
    </w:lvl>
    <w:lvl w:ilvl="5" w:tentative="0">
      <w:start w:val="1"/>
      <w:numFmt w:val="lowerRoman"/>
      <w:lvlText w:val="%6."/>
      <w:lvlJc w:val="right"/>
      <w:pPr>
        <w:tabs>
          <w:tab w:val="left" w:pos="2880"/>
        </w:tabs>
        <w:ind w:left="2880" w:hanging="420"/>
      </w:pPr>
    </w:lvl>
    <w:lvl w:ilvl="6" w:tentative="0">
      <w:start w:val="1"/>
      <w:numFmt w:val="decimal"/>
      <w:lvlText w:val="%7."/>
      <w:lvlJc w:val="left"/>
      <w:pPr>
        <w:tabs>
          <w:tab w:val="left" w:pos="3300"/>
        </w:tabs>
        <w:ind w:left="3300" w:hanging="420"/>
      </w:pPr>
    </w:lvl>
    <w:lvl w:ilvl="7" w:tentative="0">
      <w:start w:val="1"/>
      <w:numFmt w:val="lowerLetter"/>
      <w:lvlText w:val="%8)"/>
      <w:lvlJc w:val="left"/>
      <w:pPr>
        <w:tabs>
          <w:tab w:val="left" w:pos="3720"/>
        </w:tabs>
        <w:ind w:left="3720" w:hanging="420"/>
      </w:pPr>
    </w:lvl>
    <w:lvl w:ilvl="8" w:tentative="0">
      <w:start w:val="1"/>
      <w:numFmt w:val="lowerRoman"/>
      <w:lvlText w:val="%9."/>
      <w:lvlJc w:val="right"/>
      <w:pPr>
        <w:tabs>
          <w:tab w:val="left" w:pos="4140"/>
        </w:tabs>
        <w:ind w:left="4140" w:hanging="420"/>
      </w:pPr>
    </w:lvl>
  </w:abstractNum>
  <w:num w:numId="1">
    <w:abstractNumId w:val="1"/>
  </w:num>
  <w:num w:numId="2">
    <w:abstractNumId w:val="3"/>
  </w:num>
  <w:num w:numId="3">
    <w:abstractNumId w:val="5"/>
  </w:num>
  <w:num w:numId="4">
    <w:abstractNumId w:val="4"/>
  </w:num>
  <w:num w:numId="5">
    <w:abstractNumId w:val="2"/>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7F4D"/>
    <w:rsid w:val="004850E0"/>
    <w:rsid w:val="00507F4D"/>
    <w:rsid w:val="005616EA"/>
    <w:rsid w:val="005E2EC3"/>
    <w:rsid w:val="00633C1A"/>
    <w:rsid w:val="006D256D"/>
    <w:rsid w:val="00743D4A"/>
    <w:rsid w:val="0076242B"/>
    <w:rsid w:val="008931EA"/>
    <w:rsid w:val="008963ED"/>
    <w:rsid w:val="00A963E0"/>
    <w:rsid w:val="00B20613"/>
    <w:rsid w:val="00C4463A"/>
    <w:rsid w:val="00D634A8"/>
    <w:rsid w:val="00D678E8"/>
    <w:rsid w:val="00D740ED"/>
    <w:rsid w:val="00F056F5"/>
    <w:rsid w:val="00F25D29"/>
    <w:rsid w:val="040D60A0"/>
    <w:rsid w:val="070D5463"/>
    <w:rsid w:val="15C86424"/>
    <w:rsid w:val="26337E89"/>
    <w:rsid w:val="2BEE66F4"/>
    <w:rsid w:val="31A221A0"/>
    <w:rsid w:val="4E857940"/>
    <w:rsid w:val="52E41220"/>
    <w:rsid w:val="5A6D674B"/>
    <w:rsid w:val="67601F79"/>
    <w:rsid w:val="6B5072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0" w:name="toc 3"/>
    <w:lsdException w:qFormat="1" w:unhideWhenUsed="0" w:uiPriority="0"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qFormat="1" w:unhideWhenUsed="0" w:uiPriority="0"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40"/>
    <w:qFormat/>
    <w:uiPriority w:val="0"/>
    <w:pPr>
      <w:keepNext/>
      <w:keepLines/>
      <w:numPr>
        <w:ilvl w:val="0"/>
        <w:numId w:val="1"/>
      </w:numPr>
      <w:snapToGrid w:val="0"/>
      <w:spacing w:before="312" w:beforeLines="100" w:line="360" w:lineRule="auto"/>
      <w:outlineLvl w:val="0"/>
    </w:pPr>
    <w:rPr>
      <w:rFonts w:ascii="宋体"/>
      <w:b/>
      <w:bCs/>
      <w:kern w:val="44"/>
      <w:szCs w:val="21"/>
    </w:rPr>
  </w:style>
  <w:style w:type="paragraph" w:styleId="5">
    <w:name w:val="heading 2"/>
    <w:basedOn w:val="1"/>
    <w:next w:val="1"/>
    <w:link w:val="41"/>
    <w:qFormat/>
    <w:uiPriority w:val="0"/>
    <w:pPr>
      <w:keepLines/>
      <w:numPr>
        <w:ilvl w:val="1"/>
        <w:numId w:val="1"/>
      </w:numPr>
      <w:adjustRightInd w:val="0"/>
      <w:snapToGrid w:val="0"/>
      <w:spacing w:line="360" w:lineRule="auto"/>
      <w:outlineLvl w:val="1"/>
    </w:pPr>
    <w:rPr>
      <w:rFonts w:ascii="宋体"/>
      <w:bCs/>
      <w:szCs w:val="21"/>
    </w:rPr>
  </w:style>
  <w:style w:type="paragraph" w:styleId="6">
    <w:name w:val="heading 3"/>
    <w:basedOn w:val="1"/>
    <w:next w:val="1"/>
    <w:link w:val="36"/>
    <w:qFormat/>
    <w:uiPriority w:val="0"/>
    <w:pPr>
      <w:numPr>
        <w:ilvl w:val="2"/>
        <w:numId w:val="1"/>
      </w:numPr>
      <w:tabs>
        <w:tab w:val="left" w:pos="1560"/>
      </w:tabs>
      <w:snapToGrid w:val="0"/>
      <w:spacing w:line="360" w:lineRule="auto"/>
      <w:outlineLvl w:val="2"/>
    </w:pPr>
    <w:rPr>
      <w:rFonts w:ascii="宋体"/>
      <w:bCs/>
      <w:szCs w:val="21"/>
    </w:rPr>
  </w:style>
  <w:style w:type="paragraph" w:styleId="7">
    <w:name w:val="heading 4"/>
    <w:basedOn w:val="1"/>
    <w:next w:val="1"/>
    <w:link w:val="35"/>
    <w:qFormat/>
    <w:uiPriority w:val="0"/>
    <w:pPr>
      <w:spacing w:line="360" w:lineRule="auto"/>
      <w:outlineLvl w:val="3"/>
    </w:pPr>
    <w:rPr>
      <w:rFonts w:ascii="宋体"/>
      <w:bCs/>
      <w:szCs w:val="21"/>
    </w:rPr>
  </w:style>
  <w:style w:type="paragraph" w:styleId="8">
    <w:name w:val="heading 5"/>
    <w:basedOn w:val="1"/>
    <w:next w:val="1"/>
    <w:link w:val="37"/>
    <w:qFormat/>
    <w:uiPriority w:val="0"/>
    <w:pPr>
      <w:keepNext/>
      <w:keepLines/>
      <w:numPr>
        <w:ilvl w:val="4"/>
        <w:numId w:val="2"/>
      </w:numPr>
      <w:adjustRightInd w:val="0"/>
      <w:spacing w:line="360" w:lineRule="auto"/>
      <w:ind w:right="100" w:rightChars="100"/>
      <w:textAlignment w:val="baseline"/>
      <w:outlineLvl w:val="4"/>
    </w:pPr>
    <w:rPr>
      <w:rFonts w:cs="宋体"/>
      <w:bCs/>
      <w:kern w:val="0"/>
      <w:szCs w:val="21"/>
    </w:rPr>
  </w:style>
  <w:style w:type="paragraph" w:styleId="9">
    <w:name w:val="heading 6"/>
    <w:basedOn w:val="1"/>
    <w:next w:val="1"/>
    <w:link w:val="42"/>
    <w:qFormat/>
    <w:uiPriority w:val="0"/>
    <w:pPr>
      <w:keepNext/>
      <w:keepLines/>
      <w:spacing w:before="240" w:after="64" w:line="320" w:lineRule="auto"/>
      <w:outlineLvl w:val="5"/>
    </w:pPr>
    <w:rPr>
      <w:rFonts w:ascii="Arial" w:hAnsi="Arial" w:eastAsia="黑体"/>
      <w:b/>
      <w:bCs/>
      <w:sz w:val="24"/>
    </w:rPr>
  </w:style>
  <w:style w:type="paragraph" w:styleId="10">
    <w:name w:val="heading 7"/>
    <w:basedOn w:val="1"/>
    <w:next w:val="1"/>
    <w:link w:val="43"/>
    <w:qFormat/>
    <w:uiPriority w:val="0"/>
    <w:pPr>
      <w:keepNext/>
      <w:keepLines/>
      <w:spacing w:before="240" w:after="64" w:line="320" w:lineRule="auto"/>
      <w:outlineLvl w:val="6"/>
    </w:pPr>
    <w:rPr>
      <w:b/>
      <w:bCs/>
      <w:sz w:val="24"/>
    </w:rPr>
  </w:style>
  <w:style w:type="paragraph" w:styleId="11">
    <w:name w:val="heading 8"/>
    <w:basedOn w:val="1"/>
    <w:next w:val="1"/>
    <w:link w:val="44"/>
    <w:qFormat/>
    <w:uiPriority w:val="0"/>
    <w:pPr>
      <w:keepNext/>
      <w:keepLines/>
      <w:spacing w:before="240" w:after="64" w:line="320" w:lineRule="auto"/>
      <w:outlineLvl w:val="7"/>
    </w:pPr>
    <w:rPr>
      <w:rFonts w:ascii="Arial" w:hAnsi="Arial" w:eastAsia="黑体"/>
      <w:sz w:val="24"/>
    </w:rPr>
  </w:style>
  <w:style w:type="paragraph" w:styleId="12">
    <w:name w:val="heading 9"/>
    <w:basedOn w:val="1"/>
    <w:next w:val="1"/>
    <w:link w:val="45"/>
    <w:qFormat/>
    <w:uiPriority w:val="0"/>
    <w:pPr>
      <w:keepNext/>
      <w:keepLines/>
      <w:spacing w:before="240" w:after="64" w:line="320" w:lineRule="auto"/>
      <w:outlineLvl w:val="8"/>
    </w:pPr>
    <w:rPr>
      <w:rFonts w:ascii="Arial" w:hAnsi="Arial" w:eastAsia="黑体"/>
      <w:szCs w:val="21"/>
    </w:rPr>
  </w:style>
  <w:style w:type="character" w:default="1" w:styleId="29">
    <w:name w:val="Default Paragraph Font"/>
    <w:unhideWhenUsed/>
    <w:qFormat/>
    <w:uiPriority w:val="1"/>
  </w:style>
  <w:style w:type="table" w:default="1" w:styleId="27">
    <w:name w:val="Normal Table"/>
    <w:unhideWhenUsed/>
    <w:qFormat/>
    <w:uiPriority w:val="99"/>
    <w:tblPr>
      <w:tblCellMar>
        <w:top w:w="0" w:type="dxa"/>
        <w:left w:w="108" w:type="dxa"/>
        <w:bottom w:w="0" w:type="dxa"/>
        <w:right w:w="108" w:type="dxa"/>
      </w:tblCellMar>
    </w:tblPr>
  </w:style>
  <w:style w:type="paragraph" w:styleId="2">
    <w:name w:val="Body Text"/>
    <w:basedOn w:val="1"/>
    <w:next w:val="3"/>
    <w:link w:val="103"/>
    <w:qFormat/>
    <w:uiPriority w:val="0"/>
    <w:pPr>
      <w:spacing w:after="120"/>
    </w:pPr>
  </w:style>
  <w:style w:type="paragraph" w:styleId="3">
    <w:name w:val="Title"/>
    <w:basedOn w:val="1"/>
    <w:next w:val="1"/>
    <w:link w:val="86"/>
    <w:qFormat/>
    <w:uiPriority w:val="0"/>
    <w:pPr>
      <w:spacing w:before="240" w:after="60"/>
      <w:jc w:val="center"/>
      <w:outlineLvl w:val="0"/>
    </w:pPr>
    <w:rPr>
      <w:rFonts w:ascii="Arial" w:hAnsi="Arial" w:cs="Arial"/>
      <w:b/>
      <w:bCs/>
      <w:sz w:val="32"/>
      <w:szCs w:val="32"/>
    </w:rPr>
  </w:style>
  <w:style w:type="paragraph" w:styleId="13">
    <w:name w:val="Normal Indent"/>
    <w:basedOn w:val="1"/>
    <w:link w:val="52"/>
    <w:qFormat/>
    <w:uiPriority w:val="0"/>
    <w:pPr>
      <w:spacing w:line="360" w:lineRule="auto"/>
      <w:ind w:firstLine="420" w:firstLineChars="200"/>
    </w:pPr>
  </w:style>
  <w:style w:type="paragraph" w:styleId="14">
    <w:name w:val="Document Map"/>
    <w:basedOn w:val="1"/>
    <w:link w:val="101"/>
    <w:qFormat/>
    <w:uiPriority w:val="0"/>
    <w:rPr>
      <w:rFonts w:ascii="宋体"/>
      <w:sz w:val="18"/>
      <w:szCs w:val="18"/>
    </w:rPr>
  </w:style>
  <w:style w:type="paragraph" w:styleId="15">
    <w:name w:val="annotation text"/>
    <w:basedOn w:val="1"/>
    <w:link w:val="58"/>
    <w:semiHidden/>
    <w:qFormat/>
    <w:uiPriority w:val="0"/>
    <w:pPr>
      <w:jc w:val="left"/>
    </w:pPr>
  </w:style>
  <w:style w:type="paragraph" w:styleId="16">
    <w:name w:val="toc 3"/>
    <w:basedOn w:val="1"/>
    <w:next w:val="1"/>
    <w:semiHidden/>
    <w:qFormat/>
    <w:uiPriority w:val="0"/>
    <w:pPr>
      <w:tabs>
        <w:tab w:val="left" w:pos="1620"/>
        <w:tab w:val="right" w:leader="dot" w:pos="8296"/>
      </w:tabs>
    </w:pPr>
  </w:style>
  <w:style w:type="paragraph" w:styleId="17">
    <w:name w:val="Plain Text"/>
    <w:basedOn w:val="1"/>
    <w:link w:val="75"/>
    <w:qFormat/>
    <w:uiPriority w:val="0"/>
    <w:rPr>
      <w:rFonts w:ascii="宋体" w:hAnsi="Courier New"/>
    </w:rPr>
  </w:style>
  <w:style w:type="paragraph" w:styleId="18">
    <w:name w:val="Date"/>
    <w:basedOn w:val="1"/>
    <w:next w:val="1"/>
    <w:link w:val="100"/>
    <w:qFormat/>
    <w:uiPriority w:val="0"/>
    <w:pPr>
      <w:ind w:left="100" w:leftChars="2500"/>
    </w:pPr>
  </w:style>
  <w:style w:type="paragraph" w:styleId="19">
    <w:name w:val="Body Text Indent 2"/>
    <w:basedOn w:val="1"/>
    <w:link w:val="62"/>
    <w:qFormat/>
    <w:uiPriority w:val="0"/>
    <w:pPr>
      <w:adjustRightInd w:val="0"/>
      <w:spacing w:before="120" w:line="300" w:lineRule="auto"/>
      <w:ind w:firstLine="480"/>
      <w:jc w:val="left"/>
      <w:textAlignment w:val="baseline"/>
    </w:pPr>
    <w:rPr>
      <w:rFonts w:eastAsia="仿宋_GB2312"/>
      <w:kern w:val="0"/>
      <w:sz w:val="28"/>
      <w:szCs w:val="20"/>
    </w:rPr>
  </w:style>
  <w:style w:type="paragraph" w:styleId="20">
    <w:name w:val="Balloon Text"/>
    <w:basedOn w:val="1"/>
    <w:link w:val="59"/>
    <w:semiHidden/>
    <w:qFormat/>
    <w:uiPriority w:val="0"/>
    <w:rPr>
      <w:sz w:val="18"/>
      <w:szCs w:val="18"/>
    </w:rPr>
  </w:style>
  <w:style w:type="paragraph" w:styleId="21">
    <w:name w:val="footer"/>
    <w:basedOn w:val="1"/>
    <w:link w:val="39"/>
    <w:unhideWhenUsed/>
    <w:qFormat/>
    <w:uiPriority w:val="99"/>
    <w:pPr>
      <w:tabs>
        <w:tab w:val="center" w:pos="4153"/>
        <w:tab w:val="right" w:pos="8306"/>
      </w:tabs>
      <w:snapToGrid w:val="0"/>
      <w:jc w:val="left"/>
    </w:pPr>
    <w:rPr>
      <w:sz w:val="18"/>
      <w:szCs w:val="18"/>
    </w:rPr>
  </w:style>
  <w:style w:type="paragraph" w:styleId="22">
    <w:name w:val="header"/>
    <w:basedOn w:val="1"/>
    <w:link w:val="38"/>
    <w:unhideWhenUsed/>
    <w:qFormat/>
    <w:uiPriority w:val="0"/>
    <w:pPr>
      <w:pBdr>
        <w:bottom w:val="single" w:color="auto" w:sz="6" w:space="1"/>
      </w:pBdr>
      <w:tabs>
        <w:tab w:val="center" w:pos="4153"/>
        <w:tab w:val="right" w:pos="8306"/>
      </w:tabs>
      <w:snapToGrid w:val="0"/>
      <w:jc w:val="center"/>
    </w:pPr>
    <w:rPr>
      <w:sz w:val="18"/>
      <w:szCs w:val="18"/>
    </w:rPr>
  </w:style>
  <w:style w:type="paragraph" w:styleId="23">
    <w:name w:val="toc 1"/>
    <w:basedOn w:val="1"/>
    <w:next w:val="1"/>
    <w:qFormat/>
    <w:uiPriority w:val="39"/>
    <w:pPr>
      <w:spacing w:before="120" w:after="120"/>
      <w:jc w:val="left"/>
    </w:pPr>
    <w:rPr>
      <w:b/>
      <w:bCs/>
      <w:caps/>
      <w:sz w:val="20"/>
      <w:szCs w:val="20"/>
    </w:rPr>
  </w:style>
  <w:style w:type="paragraph" w:styleId="24">
    <w:name w:val="toc 4"/>
    <w:basedOn w:val="1"/>
    <w:next w:val="1"/>
    <w:semiHidden/>
    <w:qFormat/>
    <w:uiPriority w:val="0"/>
    <w:pPr>
      <w:ind w:left="1260" w:leftChars="600"/>
    </w:pPr>
  </w:style>
  <w:style w:type="paragraph" w:styleId="25">
    <w:name w:val="toc 2"/>
    <w:basedOn w:val="1"/>
    <w:next w:val="1"/>
    <w:qFormat/>
    <w:uiPriority w:val="39"/>
    <w:pPr>
      <w:tabs>
        <w:tab w:val="left" w:pos="900"/>
        <w:tab w:val="right" w:leader="dot" w:pos="8296"/>
      </w:tabs>
      <w:ind w:left="420" w:leftChars="200"/>
    </w:pPr>
  </w:style>
  <w:style w:type="paragraph" w:styleId="26">
    <w:name w:val="annotation subject"/>
    <w:basedOn w:val="15"/>
    <w:next w:val="15"/>
    <w:link w:val="77"/>
    <w:semiHidden/>
    <w:qFormat/>
    <w:uiPriority w:val="0"/>
    <w:rPr>
      <w:b/>
      <w:bCs/>
    </w:rPr>
  </w:style>
  <w:style w:type="table" w:styleId="28">
    <w:name w:val="Table Grid"/>
    <w:basedOn w:val="27"/>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page number"/>
    <w:basedOn w:val="29"/>
    <w:qFormat/>
    <w:uiPriority w:val="0"/>
  </w:style>
  <w:style w:type="character" w:styleId="31">
    <w:name w:val="Emphasis"/>
    <w:qFormat/>
    <w:uiPriority w:val="0"/>
    <w:rPr>
      <w:color w:val="CC0000"/>
    </w:rPr>
  </w:style>
  <w:style w:type="character" w:styleId="32">
    <w:name w:val="HTML Definition"/>
    <w:semiHidden/>
    <w:qFormat/>
    <w:uiPriority w:val="0"/>
    <w:rPr>
      <w:i/>
      <w:iCs/>
    </w:rPr>
  </w:style>
  <w:style w:type="character" w:styleId="33">
    <w:name w:val="Hyperlink"/>
    <w:qFormat/>
    <w:uiPriority w:val="99"/>
    <w:rPr>
      <w:color w:val="0000FF"/>
      <w:u w:val="single"/>
    </w:rPr>
  </w:style>
  <w:style w:type="character" w:styleId="34">
    <w:name w:val="annotation reference"/>
    <w:semiHidden/>
    <w:qFormat/>
    <w:uiPriority w:val="0"/>
    <w:rPr>
      <w:sz w:val="21"/>
      <w:szCs w:val="21"/>
    </w:rPr>
  </w:style>
  <w:style w:type="character" w:customStyle="1" w:styleId="35">
    <w:name w:val="标题 4 Char"/>
    <w:basedOn w:val="29"/>
    <w:link w:val="7"/>
    <w:qFormat/>
    <w:uiPriority w:val="0"/>
    <w:rPr>
      <w:rFonts w:ascii="宋体" w:hAnsi="Times New Roman" w:eastAsia="宋体" w:cs="Times New Roman"/>
      <w:bCs/>
      <w:szCs w:val="21"/>
    </w:rPr>
  </w:style>
  <w:style w:type="character" w:customStyle="1" w:styleId="36">
    <w:name w:val="标题 3 Char"/>
    <w:basedOn w:val="29"/>
    <w:link w:val="6"/>
    <w:qFormat/>
    <w:uiPriority w:val="0"/>
    <w:rPr>
      <w:rFonts w:ascii="宋体" w:hAnsi="Times New Roman" w:eastAsia="宋体" w:cs="Times New Roman"/>
      <w:bCs/>
      <w:szCs w:val="21"/>
    </w:rPr>
  </w:style>
  <w:style w:type="character" w:customStyle="1" w:styleId="37">
    <w:name w:val="标题 5 Char"/>
    <w:basedOn w:val="29"/>
    <w:link w:val="8"/>
    <w:qFormat/>
    <w:uiPriority w:val="0"/>
    <w:rPr>
      <w:rFonts w:ascii="Times New Roman" w:hAnsi="Times New Roman" w:eastAsia="宋体" w:cs="宋体"/>
      <w:bCs/>
      <w:kern w:val="0"/>
      <w:szCs w:val="21"/>
    </w:rPr>
  </w:style>
  <w:style w:type="character" w:customStyle="1" w:styleId="38">
    <w:name w:val="页眉 Char"/>
    <w:basedOn w:val="29"/>
    <w:link w:val="22"/>
    <w:qFormat/>
    <w:uiPriority w:val="99"/>
    <w:rPr>
      <w:sz w:val="18"/>
      <w:szCs w:val="18"/>
    </w:rPr>
  </w:style>
  <w:style w:type="character" w:customStyle="1" w:styleId="39">
    <w:name w:val="页脚 Char"/>
    <w:basedOn w:val="29"/>
    <w:link w:val="21"/>
    <w:qFormat/>
    <w:uiPriority w:val="99"/>
    <w:rPr>
      <w:sz w:val="18"/>
      <w:szCs w:val="18"/>
    </w:rPr>
  </w:style>
  <w:style w:type="character" w:customStyle="1" w:styleId="40">
    <w:name w:val="标题 1 Char"/>
    <w:basedOn w:val="29"/>
    <w:link w:val="4"/>
    <w:qFormat/>
    <w:uiPriority w:val="0"/>
    <w:rPr>
      <w:rFonts w:ascii="宋体" w:hAnsi="Times New Roman" w:eastAsia="宋体" w:cs="Times New Roman"/>
      <w:b/>
      <w:bCs/>
      <w:kern w:val="44"/>
      <w:szCs w:val="21"/>
    </w:rPr>
  </w:style>
  <w:style w:type="character" w:customStyle="1" w:styleId="41">
    <w:name w:val="标题 2 Char"/>
    <w:basedOn w:val="29"/>
    <w:link w:val="5"/>
    <w:qFormat/>
    <w:uiPriority w:val="0"/>
    <w:rPr>
      <w:rFonts w:ascii="宋体" w:hAnsi="Times New Roman" w:eastAsia="宋体" w:cs="Times New Roman"/>
      <w:bCs/>
      <w:szCs w:val="21"/>
    </w:rPr>
  </w:style>
  <w:style w:type="character" w:customStyle="1" w:styleId="42">
    <w:name w:val="标题 6 Char"/>
    <w:basedOn w:val="29"/>
    <w:link w:val="9"/>
    <w:qFormat/>
    <w:uiPriority w:val="0"/>
    <w:rPr>
      <w:rFonts w:ascii="Arial" w:hAnsi="Arial" w:eastAsia="黑体" w:cs="Times New Roman"/>
      <w:b/>
      <w:bCs/>
      <w:sz w:val="24"/>
      <w:szCs w:val="24"/>
    </w:rPr>
  </w:style>
  <w:style w:type="character" w:customStyle="1" w:styleId="43">
    <w:name w:val="标题 7 Char"/>
    <w:basedOn w:val="29"/>
    <w:link w:val="10"/>
    <w:qFormat/>
    <w:uiPriority w:val="0"/>
    <w:rPr>
      <w:rFonts w:ascii="Times New Roman" w:hAnsi="Times New Roman" w:eastAsia="宋体" w:cs="Times New Roman"/>
      <w:b/>
      <w:bCs/>
      <w:sz w:val="24"/>
      <w:szCs w:val="24"/>
    </w:rPr>
  </w:style>
  <w:style w:type="character" w:customStyle="1" w:styleId="44">
    <w:name w:val="标题 8 Char"/>
    <w:basedOn w:val="29"/>
    <w:link w:val="11"/>
    <w:qFormat/>
    <w:uiPriority w:val="0"/>
    <w:rPr>
      <w:rFonts w:ascii="Arial" w:hAnsi="Arial" w:eastAsia="黑体" w:cs="Times New Roman"/>
      <w:sz w:val="24"/>
      <w:szCs w:val="24"/>
    </w:rPr>
  </w:style>
  <w:style w:type="character" w:customStyle="1" w:styleId="45">
    <w:name w:val="标题 9 Char"/>
    <w:basedOn w:val="29"/>
    <w:link w:val="12"/>
    <w:qFormat/>
    <w:uiPriority w:val="0"/>
    <w:rPr>
      <w:rFonts w:ascii="Arial" w:hAnsi="Arial" w:eastAsia="黑体" w:cs="Times New Roman"/>
      <w:szCs w:val="21"/>
    </w:rPr>
  </w:style>
  <w:style w:type="character" w:customStyle="1" w:styleId="46">
    <w:name w:val="首行缩进 Char"/>
    <w:link w:val="47"/>
    <w:qFormat/>
    <w:uiPriority w:val="0"/>
    <w:rPr>
      <w:rFonts w:eastAsia="方正书宋简体" w:cs="宋体"/>
    </w:rPr>
  </w:style>
  <w:style w:type="paragraph" w:customStyle="1" w:styleId="47">
    <w:name w:val="首行缩进"/>
    <w:basedOn w:val="1"/>
    <w:link w:val="46"/>
    <w:qFormat/>
    <w:uiPriority w:val="0"/>
    <w:pPr>
      <w:spacing w:line="300" w:lineRule="auto"/>
      <w:ind w:firstLine="420" w:firstLineChars="200"/>
    </w:pPr>
    <w:rPr>
      <w:rFonts w:eastAsia="方正书宋简体" w:cs="宋体" w:asciiTheme="minorHAnsi" w:hAnsiTheme="minorHAnsi"/>
      <w:szCs w:val="22"/>
    </w:rPr>
  </w:style>
  <w:style w:type="character" w:customStyle="1" w:styleId="48">
    <w:name w:val="表内居中小五 Char"/>
    <w:link w:val="49"/>
    <w:qFormat/>
    <w:uiPriority w:val="0"/>
    <w:rPr>
      <w:rFonts w:eastAsia="宋体" w:cs="宋体"/>
      <w:sz w:val="18"/>
      <w:szCs w:val="18"/>
    </w:rPr>
  </w:style>
  <w:style w:type="paragraph" w:customStyle="1" w:styleId="49">
    <w:name w:val="表内居中小五"/>
    <w:basedOn w:val="1"/>
    <w:link w:val="48"/>
    <w:qFormat/>
    <w:uiPriority w:val="0"/>
    <w:pPr>
      <w:jc w:val="center"/>
    </w:pPr>
    <w:rPr>
      <w:rFonts w:cs="宋体" w:asciiTheme="minorHAnsi" w:hAnsiTheme="minorHAnsi"/>
      <w:sz w:val="18"/>
      <w:szCs w:val="18"/>
    </w:rPr>
  </w:style>
  <w:style w:type="character" w:customStyle="1" w:styleId="50">
    <w:name w:val="表内居两端对齐 Char"/>
    <w:basedOn w:val="48"/>
    <w:link w:val="51"/>
    <w:qFormat/>
    <w:uiPriority w:val="0"/>
    <w:rPr>
      <w:rFonts w:eastAsia="宋体" w:cs="宋体"/>
      <w:sz w:val="18"/>
      <w:szCs w:val="18"/>
    </w:rPr>
  </w:style>
  <w:style w:type="paragraph" w:customStyle="1" w:styleId="51">
    <w:name w:val="表内居两端对齐"/>
    <w:basedOn w:val="49"/>
    <w:link w:val="50"/>
    <w:qFormat/>
    <w:uiPriority w:val="0"/>
    <w:pPr>
      <w:jc w:val="both"/>
    </w:pPr>
  </w:style>
  <w:style w:type="character" w:customStyle="1" w:styleId="52">
    <w:name w:val="正文缩进 Char"/>
    <w:link w:val="13"/>
    <w:qFormat/>
    <w:uiPriority w:val="0"/>
    <w:rPr>
      <w:rFonts w:ascii="Times New Roman" w:hAnsi="Times New Roman" w:eastAsia="宋体" w:cs="Times New Roman"/>
      <w:szCs w:val="24"/>
    </w:rPr>
  </w:style>
  <w:style w:type="paragraph" w:customStyle="1" w:styleId="53">
    <w:name w:val="样式 标题 3 + 宋体"/>
    <w:basedOn w:val="6"/>
    <w:link w:val="54"/>
    <w:qFormat/>
    <w:uiPriority w:val="0"/>
    <w:rPr>
      <w:rFonts w:hAnsi="宋体"/>
      <w:bCs w:val="0"/>
    </w:rPr>
  </w:style>
  <w:style w:type="character" w:customStyle="1" w:styleId="54">
    <w:name w:val="样式 标题 3 + 宋体 Char"/>
    <w:link w:val="53"/>
    <w:qFormat/>
    <w:uiPriority w:val="0"/>
    <w:rPr>
      <w:rFonts w:ascii="宋体" w:hAnsi="宋体" w:eastAsia="宋体" w:cs="Times New Roman"/>
      <w:szCs w:val="21"/>
    </w:rPr>
  </w:style>
  <w:style w:type="paragraph" w:customStyle="1" w:styleId="55">
    <w:name w:val="样式 标题 4 + (符号) 宋体"/>
    <w:basedOn w:val="7"/>
    <w:link w:val="56"/>
    <w:qFormat/>
    <w:uiPriority w:val="0"/>
    <w:pPr>
      <w:adjustRightInd w:val="0"/>
      <w:snapToGrid w:val="0"/>
    </w:pPr>
    <w:rPr>
      <w:bCs w:val="0"/>
    </w:rPr>
  </w:style>
  <w:style w:type="character" w:customStyle="1" w:styleId="56">
    <w:name w:val="样式 标题 4 + (符号) 宋体 Char"/>
    <w:basedOn w:val="35"/>
    <w:link w:val="55"/>
    <w:qFormat/>
    <w:uiPriority w:val="0"/>
    <w:rPr>
      <w:rFonts w:ascii="宋体" w:hAnsi="Times New Roman" w:eastAsia="宋体" w:cs="Times New Roman"/>
      <w:bCs w:val="0"/>
      <w:szCs w:val="21"/>
    </w:rPr>
  </w:style>
  <w:style w:type="paragraph" w:customStyle="1" w:styleId="57">
    <w:name w:val="前言首行"/>
    <w:basedOn w:val="1"/>
    <w:qFormat/>
    <w:uiPriority w:val="0"/>
    <w:pPr>
      <w:spacing w:after="120"/>
      <w:jc w:val="center"/>
    </w:pPr>
    <w:rPr>
      <w:rFonts w:eastAsia="黑体" w:cs="宋体"/>
      <w:b/>
      <w:bCs/>
      <w:sz w:val="32"/>
      <w:szCs w:val="20"/>
    </w:rPr>
  </w:style>
  <w:style w:type="character" w:customStyle="1" w:styleId="58">
    <w:name w:val="批注文字 Char"/>
    <w:basedOn w:val="29"/>
    <w:link w:val="15"/>
    <w:semiHidden/>
    <w:qFormat/>
    <w:uiPriority w:val="0"/>
    <w:rPr>
      <w:rFonts w:ascii="Times New Roman" w:hAnsi="Times New Roman" w:eastAsia="宋体" w:cs="Times New Roman"/>
      <w:szCs w:val="24"/>
    </w:rPr>
  </w:style>
  <w:style w:type="character" w:customStyle="1" w:styleId="59">
    <w:name w:val="批注框文本 Char"/>
    <w:basedOn w:val="29"/>
    <w:link w:val="20"/>
    <w:semiHidden/>
    <w:qFormat/>
    <w:uiPriority w:val="0"/>
    <w:rPr>
      <w:rFonts w:ascii="Times New Roman" w:hAnsi="Times New Roman" w:eastAsia="宋体" w:cs="Times New Roman"/>
      <w:sz w:val="18"/>
      <w:szCs w:val="18"/>
    </w:rPr>
  </w:style>
  <w:style w:type="paragraph" w:customStyle="1" w:styleId="60">
    <w:name w:val="段"/>
    <w:qFormat/>
    <w:uiPriority w:val="0"/>
    <w:pPr>
      <w:ind w:firstLine="200" w:firstLineChars="200"/>
      <w:jc w:val="both"/>
    </w:pPr>
    <w:rPr>
      <w:rFonts w:ascii="宋体" w:hAnsi="Times New Roman" w:eastAsia="宋体" w:cs="Times New Roman"/>
      <w:kern w:val="0"/>
      <w:sz w:val="21"/>
      <w:szCs w:val="20"/>
      <w:lang w:val="en-US" w:eastAsia="zh-CN" w:bidi="ar-SA"/>
    </w:rPr>
  </w:style>
  <w:style w:type="paragraph" w:customStyle="1" w:styleId="61">
    <w:name w:val="Default"/>
    <w:qFormat/>
    <w:uiPriority w:val="0"/>
    <w:pPr>
      <w:widowControl w:val="0"/>
      <w:autoSpaceDE w:val="0"/>
      <w:autoSpaceDN w:val="0"/>
      <w:adjustRightInd w:val="0"/>
    </w:pPr>
    <w:rPr>
      <w:rFonts w:ascii="宋体" w:hAnsi="Times New Roman" w:eastAsia="宋体" w:cs="宋体"/>
      <w:color w:val="000000"/>
      <w:kern w:val="0"/>
      <w:sz w:val="24"/>
      <w:szCs w:val="24"/>
      <w:lang w:val="en-US" w:eastAsia="zh-CN" w:bidi="ar-SA"/>
    </w:rPr>
  </w:style>
  <w:style w:type="character" w:customStyle="1" w:styleId="62">
    <w:name w:val="正文文本缩进 2 Char"/>
    <w:basedOn w:val="29"/>
    <w:link w:val="19"/>
    <w:qFormat/>
    <w:uiPriority w:val="0"/>
    <w:rPr>
      <w:rFonts w:ascii="Times New Roman" w:hAnsi="Times New Roman" w:eastAsia="仿宋_GB2312" w:cs="Times New Roman"/>
      <w:kern w:val="0"/>
      <w:sz w:val="28"/>
      <w:szCs w:val="20"/>
    </w:rPr>
  </w:style>
  <w:style w:type="paragraph" w:customStyle="1" w:styleId="63">
    <w:name w:val="样式1"/>
    <w:basedOn w:val="7"/>
    <w:qFormat/>
    <w:uiPriority w:val="0"/>
    <w:pPr>
      <w:tabs>
        <w:tab w:val="left" w:pos="360"/>
      </w:tabs>
    </w:pPr>
    <w:rPr>
      <w:rFonts w:hAnsi="宋体"/>
      <w:bCs w:val="0"/>
    </w:rPr>
  </w:style>
  <w:style w:type="paragraph" w:customStyle="1" w:styleId="64">
    <w:name w:val="样式 标题 5 + 右侧:  1 字符"/>
    <w:basedOn w:val="8"/>
    <w:qFormat/>
    <w:uiPriority w:val="0"/>
    <w:pPr>
      <w:ind w:right="210"/>
    </w:pPr>
    <w:rPr>
      <w:bCs w:val="0"/>
      <w:szCs w:val="20"/>
    </w:rPr>
  </w:style>
  <w:style w:type="paragraph" w:customStyle="1" w:styleId="65">
    <w:name w:val=" Char"/>
    <w:basedOn w:val="1"/>
    <w:qFormat/>
    <w:uiPriority w:val="0"/>
    <w:pPr>
      <w:spacing w:line="360" w:lineRule="auto"/>
    </w:pPr>
    <w:rPr>
      <w:rFonts w:ascii="Tahoma" w:hAnsi="Tahoma"/>
      <w:sz w:val="24"/>
      <w:szCs w:val="20"/>
    </w:rPr>
  </w:style>
  <w:style w:type="paragraph" w:customStyle="1" w:styleId="66">
    <w:name w:val=" Char Char Char Char Char Char Char Char Char Char Char Char"/>
    <w:basedOn w:val="1"/>
    <w:qFormat/>
    <w:uiPriority w:val="0"/>
    <w:pPr>
      <w:spacing w:line="360" w:lineRule="auto"/>
    </w:pPr>
    <w:rPr>
      <w:rFonts w:ascii="Tahoma" w:hAnsi="Tahoma"/>
      <w:sz w:val="24"/>
      <w:szCs w:val="20"/>
    </w:rPr>
  </w:style>
  <w:style w:type="paragraph" w:customStyle="1" w:styleId="67">
    <w:name w:val="章标题"/>
    <w:next w:val="60"/>
    <w:qFormat/>
    <w:uiPriority w:val="0"/>
    <w:pPr>
      <w:spacing w:before="50" w:beforeLines="50" w:after="50" w:afterLines="50"/>
      <w:jc w:val="both"/>
      <w:outlineLvl w:val="1"/>
    </w:pPr>
    <w:rPr>
      <w:rFonts w:ascii="黑体" w:hAnsi="Times New Roman" w:eastAsia="黑体" w:cs="Times New Roman"/>
      <w:kern w:val="0"/>
      <w:sz w:val="21"/>
      <w:szCs w:val="20"/>
      <w:lang w:val="en-US" w:eastAsia="zh-CN" w:bidi="ar-SA"/>
    </w:rPr>
  </w:style>
  <w:style w:type="paragraph" w:customStyle="1" w:styleId="68">
    <w:name w:val="标准书眉_奇数页"/>
    <w:next w:val="1"/>
    <w:qFormat/>
    <w:uiPriority w:val="0"/>
    <w:pPr>
      <w:tabs>
        <w:tab w:val="center" w:pos="4154"/>
        <w:tab w:val="right" w:pos="8306"/>
      </w:tabs>
      <w:spacing w:after="120"/>
      <w:jc w:val="right"/>
    </w:pPr>
    <w:rPr>
      <w:rFonts w:ascii="Times New Roman" w:hAnsi="Times New Roman" w:eastAsia="宋体" w:cs="Times New Roman"/>
      <w:kern w:val="0"/>
      <w:sz w:val="21"/>
      <w:szCs w:val="20"/>
      <w:lang w:val="en-US" w:eastAsia="zh-CN" w:bidi="ar-SA"/>
    </w:rPr>
  </w:style>
  <w:style w:type="paragraph" w:customStyle="1" w:styleId="69">
    <w:name w:val="二级条标题"/>
    <w:basedOn w:val="1"/>
    <w:next w:val="60"/>
    <w:link w:val="70"/>
    <w:qFormat/>
    <w:uiPriority w:val="0"/>
    <w:pPr>
      <w:widowControl/>
      <w:outlineLvl w:val="3"/>
    </w:pPr>
    <w:rPr>
      <w:rFonts w:ascii="黑体" w:eastAsia="黑体"/>
      <w:kern w:val="0"/>
      <w:szCs w:val="20"/>
    </w:rPr>
  </w:style>
  <w:style w:type="character" w:customStyle="1" w:styleId="70">
    <w:name w:val="二级条标题 Char"/>
    <w:link w:val="69"/>
    <w:qFormat/>
    <w:uiPriority w:val="0"/>
    <w:rPr>
      <w:rFonts w:ascii="黑体" w:hAnsi="Times New Roman" w:eastAsia="黑体" w:cs="Times New Roman"/>
      <w:kern w:val="0"/>
      <w:szCs w:val="20"/>
    </w:rPr>
  </w:style>
  <w:style w:type="paragraph" w:customStyle="1" w:styleId="71">
    <w:name w:val="正文表标题"/>
    <w:next w:val="60"/>
    <w:qFormat/>
    <w:uiPriority w:val="0"/>
    <w:pPr>
      <w:tabs>
        <w:tab w:val="left" w:pos="360"/>
        <w:tab w:val="left" w:pos="678"/>
      </w:tabs>
      <w:ind w:left="678" w:hanging="468"/>
      <w:jc w:val="center"/>
    </w:pPr>
    <w:rPr>
      <w:rFonts w:ascii="黑体" w:hAnsi="Times New Roman" w:eastAsia="黑体" w:cs="Times New Roman"/>
      <w:kern w:val="0"/>
      <w:sz w:val="21"/>
      <w:szCs w:val="20"/>
      <w:lang w:val="en-US" w:eastAsia="zh-CN" w:bidi="ar-SA"/>
    </w:rPr>
  </w:style>
  <w:style w:type="paragraph" w:customStyle="1" w:styleId="72">
    <w:name w:val="一级条标题"/>
    <w:basedOn w:val="67"/>
    <w:next w:val="60"/>
    <w:link w:val="73"/>
    <w:qFormat/>
    <w:uiPriority w:val="0"/>
    <w:pPr>
      <w:spacing w:before="0" w:beforeLines="0" w:after="0" w:afterLines="0"/>
      <w:outlineLvl w:val="2"/>
    </w:pPr>
  </w:style>
  <w:style w:type="character" w:customStyle="1" w:styleId="73">
    <w:name w:val="一级条标题 Char"/>
    <w:link w:val="72"/>
    <w:qFormat/>
    <w:uiPriority w:val="0"/>
    <w:rPr>
      <w:rFonts w:ascii="黑体" w:hAnsi="Times New Roman" w:eastAsia="黑体" w:cs="Times New Roman"/>
      <w:kern w:val="0"/>
      <w:szCs w:val="20"/>
    </w:rPr>
  </w:style>
  <w:style w:type="paragraph" w:customStyle="1" w:styleId="74">
    <w:name w:val="三级条标题"/>
    <w:basedOn w:val="69"/>
    <w:next w:val="60"/>
    <w:qFormat/>
    <w:uiPriority w:val="0"/>
    <w:pPr>
      <w:tabs>
        <w:tab w:val="left" w:pos="360"/>
      </w:tabs>
      <w:ind w:left="-180"/>
      <w:outlineLvl w:val="4"/>
    </w:pPr>
  </w:style>
  <w:style w:type="character" w:customStyle="1" w:styleId="75">
    <w:name w:val="纯文本 Char"/>
    <w:basedOn w:val="29"/>
    <w:link w:val="17"/>
    <w:qFormat/>
    <w:uiPriority w:val="0"/>
    <w:rPr>
      <w:rFonts w:ascii="宋体" w:hAnsi="Courier New" w:eastAsia="宋体" w:cs="Times New Roman"/>
      <w:szCs w:val="24"/>
    </w:rPr>
  </w:style>
  <w:style w:type="paragraph" w:customStyle="1" w:styleId="76">
    <w:name w:val="五级条标题"/>
    <w:basedOn w:val="1"/>
    <w:next w:val="60"/>
    <w:qFormat/>
    <w:uiPriority w:val="0"/>
    <w:pPr>
      <w:widowControl/>
      <w:outlineLvl w:val="6"/>
    </w:pPr>
    <w:rPr>
      <w:rFonts w:ascii="黑体" w:eastAsia="黑体"/>
      <w:kern w:val="0"/>
      <w:szCs w:val="20"/>
    </w:rPr>
  </w:style>
  <w:style w:type="character" w:customStyle="1" w:styleId="77">
    <w:name w:val="批注主题 Char"/>
    <w:basedOn w:val="58"/>
    <w:link w:val="26"/>
    <w:semiHidden/>
    <w:qFormat/>
    <w:uiPriority w:val="0"/>
    <w:rPr>
      <w:rFonts w:ascii="Times New Roman" w:hAnsi="Times New Roman" w:eastAsia="宋体" w:cs="Times New Roman"/>
      <w:b/>
      <w:bCs/>
      <w:szCs w:val="24"/>
    </w:rPr>
  </w:style>
  <w:style w:type="paragraph" w:customStyle="1" w:styleId="78">
    <w:name w:val="CM5"/>
    <w:basedOn w:val="61"/>
    <w:next w:val="61"/>
    <w:qFormat/>
    <w:uiPriority w:val="0"/>
    <w:pPr>
      <w:spacing w:line="471" w:lineRule="atLeast"/>
    </w:pPr>
    <w:rPr>
      <w:rFonts w:ascii="黑体" w:eastAsia="黑体" w:cs="Times New Roman"/>
      <w:color w:val="auto"/>
    </w:rPr>
  </w:style>
  <w:style w:type="paragraph" w:customStyle="1" w:styleId="79">
    <w:name w:val="CM3"/>
    <w:basedOn w:val="61"/>
    <w:next w:val="61"/>
    <w:qFormat/>
    <w:uiPriority w:val="0"/>
    <w:pPr>
      <w:spacing w:line="468" w:lineRule="atLeast"/>
    </w:pPr>
    <w:rPr>
      <w:rFonts w:ascii="黑体" w:eastAsia="黑体" w:cs="Times New Roman"/>
      <w:color w:val="auto"/>
    </w:rPr>
  </w:style>
  <w:style w:type="paragraph" w:customStyle="1" w:styleId="80">
    <w:name w:val="CM33"/>
    <w:basedOn w:val="61"/>
    <w:next w:val="61"/>
    <w:qFormat/>
    <w:uiPriority w:val="0"/>
    <w:pPr>
      <w:spacing w:after="205"/>
    </w:pPr>
    <w:rPr>
      <w:rFonts w:ascii="黑体" w:eastAsia="黑体" w:cs="Times New Roman"/>
      <w:color w:val="auto"/>
    </w:rPr>
  </w:style>
  <w:style w:type="paragraph" w:customStyle="1" w:styleId="81">
    <w:name w:val="CM9"/>
    <w:basedOn w:val="61"/>
    <w:next w:val="61"/>
    <w:qFormat/>
    <w:uiPriority w:val="0"/>
    <w:pPr>
      <w:spacing w:line="468" w:lineRule="atLeast"/>
    </w:pPr>
    <w:rPr>
      <w:rFonts w:ascii="黑体" w:eastAsia="黑体" w:cs="Times New Roman"/>
      <w:color w:val="auto"/>
    </w:rPr>
  </w:style>
  <w:style w:type="paragraph" w:customStyle="1" w:styleId="82">
    <w:name w:val="CM10"/>
    <w:basedOn w:val="61"/>
    <w:next w:val="61"/>
    <w:qFormat/>
    <w:uiPriority w:val="0"/>
    <w:pPr>
      <w:spacing w:line="468" w:lineRule="atLeast"/>
    </w:pPr>
    <w:rPr>
      <w:rFonts w:ascii="黑体" w:eastAsia="黑体" w:cs="Times New Roman"/>
      <w:color w:val="auto"/>
    </w:rPr>
  </w:style>
  <w:style w:type="paragraph" w:customStyle="1" w:styleId="83">
    <w:name w:val="CM22"/>
    <w:basedOn w:val="61"/>
    <w:next w:val="61"/>
    <w:qFormat/>
    <w:uiPriority w:val="0"/>
    <w:pPr>
      <w:spacing w:line="468" w:lineRule="atLeast"/>
    </w:pPr>
    <w:rPr>
      <w:rFonts w:ascii="黑体" w:eastAsia="黑体" w:cs="Times New Roman"/>
      <w:color w:val="auto"/>
    </w:rPr>
  </w:style>
  <w:style w:type="paragraph" w:customStyle="1" w:styleId="84">
    <w:name w:val="CM23"/>
    <w:basedOn w:val="61"/>
    <w:next w:val="61"/>
    <w:qFormat/>
    <w:uiPriority w:val="0"/>
    <w:pPr>
      <w:spacing w:line="468" w:lineRule="atLeast"/>
    </w:pPr>
    <w:rPr>
      <w:rFonts w:ascii="黑体" w:eastAsia="黑体" w:cs="Times New Roman"/>
      <w:color w:val="auto"/>
    </w:rPr>
  </w:style>
  <w:style w:type="paragraph" w:customStyle="1" w:styleId="85">
    <w:name w:val="CM17"/>
    <w:basedOn w:val="61"/>
    <w:next w:val="61"/>
    <w:qFormat/>
    <w:uiPriority w:val="0"/>
    <w:pPr>
      <w:spacing w:line="468" w:lineRule="atLeast"/>
    </w:pPr>
    <w:rPr>
      <w:rFonts w:ascii="黑体" w:eastAsia="黑体" w:cs="Times New Roman"/>
      <w:color w:val="auto"/>
    </w:rPr>
  </w:style>
  <w:style w:type="character" w:customStyle="1" w:styleId="86">
    <w:name w:val="标题 Char"/>
    <w:basedOn w:val="29"/>
    <w:link w:val="3"/>
    <w:qFormat/>
    <w:uiPriority w:val="0"/>
    <w:rPr>
      <w:rFonts w:ascii="Arial" w:hAnsi="Arial" w:eastAsia="宋体" w:cs="Arial"/>
      <w:b/>
      <w:bCs/>
      <w:sz w:val="32"/>
      <w:szCs w:val="32"/>
    </w:rPr>
  </w:style>
  <w:style w:type="paragraph" w:customStyle="1" w:styleId="87">
    <w:name w:val="参考文献、索引标题"/>
    <w:basedOn w:val="1"/>
    <w:next w:val="1"/>
    <w:qFormat/>
    <w:uiPriority w:val="0"/>
    <w:pPr>
      <w:widowControl/>
      <w:shd w:val="clear" w:color="FFFFFF" w:fill="FFFFFF"/>
      <w:spacing w:before="640" w:after="200"/>
      <w:jc w:val="center"/>
      <w:outlineLvl w:val="0"/>
    </w:pPr>
    <w:rPr>
      <w:rFonts w:ascii="黑体" w:eastAsia="黑体"/>
      <w:kern w:val="0"/>
      <w:szCs w:val="20"/>
    </w:rPr>
  </w:style>
  <w:style w:type="paragraph" w:customStyle="1" w:styleId="88">
    <w:name w:val="前言、引言标题"/>
    <w:next w:val="1"/>
    <w:qFormat/>
    <w:uiPriority w:val="0"/>
    <w:pPr>
      <w:shd w:val="clear" w:color="FFFFFF" w:fill="FFFFFF"/>
      <w:spacing w:before="640" w:after="560"/>
      <w:ind w:left="720" w:hanging="720"/>
      <w:jc w:val="center"/>
      <w:outlineLvl w:val="0"/>
    </w:pPr>
    <w:rPr>
      <w:rFonts w:ascii="黑体" w:hAnsi="Times New Roman" w:eastAsia="黑体" w:cs="Times New Roman"/>
      <w:kern w:val="0"/>
      <w:sz w:val="32"/>
      <w:szCs w:val="20"/>
      <w:lang w:val="en-US" w:eastAsia="zh-CN" w:bidi="ar-SA"/>
    </w:rPr>
  </w:style>
  <w:style w:type="paragraph" w:customStyle="1" w:styleId="89">
    <w:name w:val="四级条标题"/>
    <w:basedOn w:val="74"/>
    <w:next w:val="60"/>
    <w:qFormat/>
    <w:uiPriority w:val="0"/>
    <w:pPr>
      <w:tabs>
        <w:tab w:val="clear" w:pos="360"/>
      </w:tabs>
      <w:ind w:left="0"/>
      <w:outlineLvl w:val="5"/>
    </w:pPr>
  </w:style>
  <w:style w:type="paragraph" w:customStyle="1" w:styleId="90">
    <w:name w:val="标准书眉一"/>
    <w:qFormat/>
    <w:uiPriority w:val="0"/>
    <w:pPr>
      <w:jc w:val="both"/>
    </w:pPr>
    <w:rPr>
      <w:rFonts w:ascii="Times New Roman" w:hAnsi="Times New Roman" w:eastAsia="宋体" w:cs="Times New Roman"/>
      <w:kern w:val="0"/>
      <w:sz w:val="20"/>
      <w:szCs w:val="20"/>
      <w:lang w:val="en-US" w:eastAsia="zh-CN" w:bidi="ar-SA"/>
    </w:rPr>
  </w:style>
  <w:style w:type="paragraph" w:customStyle="1" w:styleId="91">
    <w:name w:val="其他发布部门"/>
    <w:basedOn w:val="1"/>
    <w:qFormat/>
    <w:uiPriority w:val="0"/>
    <w:pPr>
      <w:framePr w:w="7433" w:h="585" w:hRule="exact" w:hSpace="180" w:vSpace="180" w:wrap="around" w:vAnchor="margin" w:hAnchor="margin" w:xAlign="center" w:y="14401" w:anchorLock="1"/>
      <w:widowControl/>
      <w:spacing w:line="0" w:lineRule="atLeast"/>
      <w:jc w:val="center"/>
    </w:pPr>
    <w:rPr>
      <w:rFonts w:ascii="黑体" w:eastAsia="黑体"/>
      <w:spacing w:val="20"/>
      <w:w w:val="135"/>
      <w:kern w:val="0"/>
      <w:sz w:val="36"/>
      <w:szCs w:val="20"/>
    </w:rPr>
  </w:style>
  <w:style w:type="paragraph" w:customStyle="1" w:styleId="92">
    <w:name w:val="数字编号列项（二级）"/>
    <w:qFormat/>
    <w:uiPriority w:val="0"/>
    <w:pPr>
      <w:jc w:val="both"/>
    </w:pPr>
    <w:rPr>
      <w:rFonts w:ascii="宋体" w:hAnsi="Times New Roman" w:eastAsia="宋体" w:cs="Times New Roman"/>
      <w:kern w:val="0"/>
      <w:sz w:val="21"/>
      <w:szCs w:val="20"/>
      <w:lang w:val="en-US" w:eastAsia="zh-CN" w:bidi="ar-SA"/>
    </w:rPr>
  </w:style>
  <w:style w:type="paragraph" w:customStyle="1" w:styleId="93">
    <w:name w:val="无标题条"/>
    <w:next w:val="60"/>
    <w:qFormat/>
    <w:uiPriority w:val="0"/>
    <w:pPr>
      <w:jc w:val="both"/>
    </w:pPr>
    <w:rPr>
      <w:rFonts w:ascii="Times New Roman" w:hAnsi="Times New Roman" w:eastAsia="宋体" w:cs="Times New Roman"/>
      <w:kern w:val="0"/>
      <w:sz w:val="21"/>
      <w:szCs w:val="20"/>
      <w:lang w:val="en-US" w:eastAsia="zh-CN" w:bidi="ar-SA"/>
    </w:rPr>
  </w:style>
  <w:style w:type="paragraph" w:customStyle="1" w:styleId="94">
    <w:name w:val="封面标准文稿编辑信息"/>
    <w:qFormat/>
    <w:uiPriority w:val="0"/>
    <w:pPr>
      <w:spacing w:before="180" w:line="180" w:lineRule="exact"/>
      <w:jc w:val="center"/>
    </w:pPr>
    <w:rPr>
      <w:rFonts w:ascii="宋体" w:hAnsi="Times New Roman" w:eastAsia="宋体" w:cs="Times New Roman"/>
      <w:kern w:val="0"/>
      <w:sz w:val="21"/>
      <w:szCs w:val="20"/>
      <w:lang w:val="en-US" w:eastAsia="zh-CN" w:bidi="ar-SA"/>
    </w:rPr>
  </w:style>
  <w:style w:type="paragraph" w:customStyle="1" w:styleId="95">
    <w:name w:val="标准称谓"/>
    <w:next w:val="1"/>
    <w:qFormat/>
    <w:uiPriority w:val="0"/>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hAnsi="Times New Roman" w:eastAsia="宋体" w:cs="Times New Roman"/>
      <w:b/>
      <w:bCs/>
      <w:spacing w:val="20"/>
      <w:w w:val="148"/>
      <w:kern w:val="0"/>
      <w:sz w:val="52"/>
      <w:szCs w:val="20"/>
      <w:lang w:val="en-US" w:eastAsia="zh-CN" w:bidi="ar-SA"/>
    </w:rPr>
  </w:style>
  <w:style w:type="paragraph" w:customStyle="1" w:styleId="96">
    <w:name w:val="标准书脚_偶数页"/>
    <w:qFormat/>
    <w:uiPriority w:val="0"/>
    <w:pPr>
      <w:spacing w:before="120"/>
    </w:pPr>
    <w:rPr>
      <w:rFonts w:ascii="Times New Roman" w:hAnsi="Times New Roman" w:eastAsia="宋体" w:cs="Times New Roman"/>
      <w:kern w:val="0"/>
      <w:sz w:val="18"/>
      <w:szCs w:val="20"/>
      <w:lang w:val="en-US" w:eastAsia="zh-CN" w:bidi="ar-SA"/>
    </w:rPr>
  </w:style>
  <w:style w:type="paragraph" w:customStyle="1" w:styleId="97">
    <w:name w:val="标准书脚_奇数页"/>
    <w:qFormat/>
    <w:uiPriority w:val="0"/>
    <w:pPr>
      <w:spacing w:before="120"/>
      <w:jc w:val="right"/>
    </w:pPr>
    <w:rPr>
      <w:rFonts w:ascii="Times New Roman" w:hAnsi="Times New Roman" w:eastAsia="宋体" w:cs="Times New Roman"/>
      <w:kern w:val="0"/>
      <w:sz w:val="18"/>
      <w:szCs w:val="20"/>
      <w:lang w:val="en-US" w:eastAsia="zh-CN" w:bidi="ar-SA"/>
    </w:rPr>
  </w:style>
  <w:style w:type="paragraph" w:customStyle="1" w:styleId="98">
    <w:name w:val="目次、标准名称标题"/>
    <w:basedOn w:val="88"/>
    <w:next w:val="60"/>
    <w:qFormat/>
    <w:uiPriority w:val="0"/>
    <w:pPr>
      <w:tabs>
        <w:tab w:val="left" w:pos="1140"/>
      </w:tabs>
      <w:spacing w:line="460" w:lineRule="exact"/>
      <w:ind w:left="0" w:firstLine="0"/>
    </w:pPr>
  </w:style>
  <w:style w:type="paragraph" w:customStyle="1" w:styleId="99">
    <w:name w:val=" Char Char1 Char"/>
    <w:basedOn w:val="1"/>
    <w:qFormat/>
    <w:uiPriority w:val="0"/>
    <w:pPr>
      <w:widowControl/>
      <w:spacing w:before="100" w:beforeAutospacing="1" w:after="100" w:afterAutospacing="1" w:line="330" w:lineRule="atLeast"/>
      <w:ind w:left="360"/>
      <w:jc w:val="left"/>
    </w:pPr>
    <w:rPr>
      <w:rFonts w:ascii="ˎ̥" w:hAnsi="ˎ̥" w:cs="宋体"/>
      <w:color w:val="51585D"/>
      <w:kern w:val="0"/>
      <w:sz w:val="24"/>
      <w:szCs w:val="18"/>
    </w:rPr>
  </w:style>
  <w:style w:type="character" w:customStyle="1" w:styleId="100">
    <w:name w:val="日期 Char"/>
    <w:basedOn w:val="29"/>
    <w:link w:val="18"/>
    <w:qFormat/>
    <w:uiPriority w:val="0"/>
    <w:rPr>
      <w:rFonts w:ascii="Times New Roman" w:hAnsi="Times New Roman" w:eastAsia="宋体" w:cs="Times New Roman"/>
      <w:szCs w:val="24"/>
    </w:rPr>
  </w:style>
  <w:style w:type="character" w:customStyle="1" w:styleId="101">
    <w:name w:val="文档结构图 Char"/>
    <w:basedOn w:val="29"/>
    <w:link w:val="14"/>
    <w:qFormat/>
    <w:uiPriority w:val="0"/>
    <w:rPr>
      <w:rFonts w:ascii="宋体" w:hAnsi="Times New Roman" w:eastAsia="宋体" w:cs="Times New Roman"/>
      <w:sz w:val="18"/>
      <w:szCs w:val="18"/>
    </w:rPr>
  </w:style>
  <w:style w:type="paragraph" w:customStyle="1" w:styleId="102">
    <w:name w:val="Revision"/>
    <w:hidden/>
    <w:semiHidden/>
    <w:qFormat/>
    <w:uiPriority w:val="99"/>
    <w:rPr>
      <w:rFonts w:ascii="Times New Roman" w:hAnsi="Times New Roman" w:eastAsia="宋体" w:cs="Times New Roman"/>
      <w:kern w:val="2"/>
      <w:sz w:val="21"/>
      <w:szCs w:val="24"/>
      <w:lang w:val="en-US" w:eastAsia="zh-CN" w:bidi="ar-SA"/>
    </w:rPr>
  </w:style>
  <w:style w:type="character" w:customStyle="1" w:styleId="103">
    <w:name w:val="正文文本 Char"/>
    <w:basedOn w:val="29"/>
    <w:link w:val="2"/>
    <w:qFormat/>
    <w:uiPriority w:val="0"/>
    <w:rPr>
      <w:rFonts w:ascii="Times New Roman" w:hAnsi="Times New Roman" w:eastAsia="宋体" w:cs="Times New Roman"/>
      <w:szCs w:val="24"/>
    </w:rPr>
  </w:style>
  <w:style w:type="paragraph" w:customStyle="1" w:styleId="104">
    <w:name w:val="List Paragraph"/>
    <w:basedOn w:val="1"/>
    <w:qFormat/>
    <w:uiPriority w:val="0"/>
    <w:pPr>
      <w:ind w:firstLine="420" w:firstLineChars="200"/>
    </w:pPr>
    <w:rPr>
      <w:rFonts w:ascii="Calibri" w:hAnsi="Calibri"/>
      <w:szCs w:val="22"/>
    </w:rPr>
  </w:style>
  <w:style w:type="character" w:customStyle="1" w:styleId="105">
    <w:name w:val="zt Char Char"/>
    <w:link w:val="106"/>
    <w:qFormat/>
    <w:uiPriority w:val="0"/>
    <w:rPr>
      <w:rFonts w:ascii="EU-F1" w:eastAsia="EU-F1"/>
      <w:bCs/>
      <w:szCs w:val="21"/>
    </w:rPr>
  </w:style>
  <w:style w:type="paragraph" w:customStyle="1" w:styleId="106">
    <w:name w:val="zt"/>
    <w:basedOn w:val="1"/>
    <w:link w:val="105"/>
    <w:qFormat/>
    <w:uiPriority w:val="0"/>
    <w:pPr>
      <w:overflowPunct w:val="0"/>
      <w:topLinePunct/>
      <w:snapToGrid w:val="0"/>
      <w:spacing w:line="312" w:lineRule="exact"/>
    </w:pPr>
    <w:rPr>
      <w:rFonts w:ascii="EU-F1" w:eastAsia="EU-F1" w:hAnsiTheme="minorHAnsi" w:cstheme="minorBidi"/>
      <w:bCs/>
      <w:szCs w:val="21"/>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15</Pages>
  <Words>1580</Words>
  <Characters>9012</Characters>
  <Lines>75</Lines>
  <Paragraphs>21</Paragraphs>
  <TotalTime>1</TotalTime>
  <ScaleCrop>false</ScaleCrop>
  <LinksUpToDate>false</LinksUpToDate>
  <CharactersWithSpaces>10571</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2015-04-15T02:59:00Z</dcterms:created>
  <dc:creator>胡园</dc:creator>
  <cp:lastModifiedBy>李钰瑜</cp:lastModifiedBy>
  <dcterms:modified xsi:type="dcterms:W3CDTF">2026-05-26T09:08:02Z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86DD7F43DB46429FB311A2E3D0DFA450</vt:lpwstr>
  </property>
</Properties>
</file>