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spacing w:line="360" w:lineRule="auto"/>
        <w:rPr>
          <w:rFonts w:ascii="宋体" w:hAnsi="宋体" w:hint="eastAsia"/>
          <w:b/>
          <w:bCs/>
          <w:sz w:val="32"/>
          <w:szCs w:val="32"/>
        </w:rPr>
      </w:pPr>
      <w:r>
        <w:rPr>
          <w:rFonts w:ascii="宋体" w:hAnsi="宋体" w:hint="eastAsia"/>
          <w:b/>
          <w:bCs/>
          <w:sz w:val="32"/>
          <w:szCs w:val="32"/>
        </w:rPr>
        <w:t xml:space="preserve">附件3《运行维护</w:t>
      </w:r>
      <w:r>
        <w:rPr>
          <w:rFonts w:ascii="宋体" w:hAnsi="宋体" w:hint="eastAsia"/>
          <w:b/>
          <w:bCs/>
          <w:sz w:val="32"/>
          <w:szCs w:val="32"/>
          <w:lang w:eastAsia="zh-CN"/>
        </w:rPr>
        <w:t xml:space="preserve">要求</w:t>
      </w:r>
      <w:r>
        <w:rPr>
          <w:rFonts w:ascii="宋体" w:hAnsi="宋体" w:hint="eastAsia"/>
          <w:b/>
          <w:bCs/>
          <w:sz w:val="32"/>
          <w:szCs w:val="32"/>
        </w:rPr>
        <w:t xml:space="preserve">》</w:t>
      </w:r>
    </w:p>
    <w:p>
      <w:pPr>
        <w:spacing w:line="400" w:lineRule="exact"/>
        <w:ind w:firstLine="680" w:firstLineChars="200"/>
        <w:rPr>
          <w:rFonts w:ascii="宋体" w:eastAsia="仿宋_GB2312" w:hAnsi="宋体" w:hint="eastAsia"/>
          <w:sz w:val="32"/>
          <w:szCs w:val="32"/>
          <w:lang w:eastAsia="zh-CN"/>
        </w:rPr>
      </w:pPr>
      <w:r>
        <w:rPr>
          <w:rFonts w:ascii="宋体" w:hAnsi="宋体" w:hint="eastAsia"/>
          <w:sz w:val="32"/>
          <w:szCs w:val="32"/>
        </w:rPr>
        <w:t xml:space="preserve">一、</w:t>
      </w:r>
      <w:r>
        <w:rPr>
          <w:rFonts w:ascii="宋体" w:hAnsi="宋体" w:hint="eastAsia"/>
          <w:sz w:val="32"/>
          <w:szCs w:val="32"/>
          <w:lang w:eastAsia="zh-CN"/>
        </w:rPr>
        <w:t xml:space="preserve">运行维护内容标准</w:t>
      </w:r>
    </w:p>
    <w:p>
      <w:pPr>
        <w:spacing w:line="400" w:lineRule="exact"/>
        <w:ind w:firstLine="680" w:firstLineChars="200"/>
        <w:rPr>
          <w:rFonts w:ascii="宋体" w:hAnsi="宋体" w:hint="eastAsia"/>
          <w:sz w:val="32"/>
          <w:szCs w:val="32"/>
        </w:rPr>
      </w:pPr>
      <w:r>
        <w:rPr>
          <w:rFonts w:ascii="宋体" w:hAnsi="宋体" w:hint="eastAsia"/>
          <w:sz w:val="32"/>
          <w:szCs w:val="32"/>
        </w:rPr>
        <w:t xml:space="preserve">1、设备巡检,负责运维区域内设备的巡视和检查。</w:t>
      </w:r>
    </w:p>
    <w:p>
      <w:pPr>
        <w:spacing w:line="400" w:lineRule="exact"/>
        <w:ind w:firstLine="680" w:firstLineChars="200"/>
        <w:rPr>
          <w:rFonts w:ascii="宋体" w:hAnsi="宋体" w:hint="eastAsia"/>
          <w:sz w:val="32"/>
          <w:szCs w:val="32"/>
        </w:rPr>
      </w:pPr>
      <w:r>
        <w:rPr>
          <w:rFonts w:ascii="宋体" w:hAnsi="宋体" w:hint="eastAsia"/>
          <w:sz w:val="32"/>
          <w:szCs w:val="32"/>
        </w:rPr>
        <w:t xml:space="preserve">配电房内、外电源电缆、电缆沟（井）的巡视，在挖掘暴露及附近有施工存在电缆破坏风险时，包括迎峰度夏期间开展特训；</w:t>
      </w:r>
    </w:p>
    <w:p>
      <w:pPr>
        <w:spacing w:line="400" w:lineRule="exact"/>
        <w:ind w:firstLine="680" w:firstLineChars="200"/>
        <w:rPr>
          <w:rFonts w:ascii="宋体" w:hAnsi="宋体" w:hint="eastAsia"/>
          <w:sz w:val="32"/>
          <w:szCs w:val="32"/>
        </w:rPr>
      </w:pPr>
      <w:r>
        <w:rPr>
          <w:rFonts w:ascii="宋体" w:hAnsi="宋体" w:hint="eastAsia"/>
          <w:sz w:val="32"/>
          <w:szCs w:val="32"/>
        </w:rPr>
        <w:t xml:space="preserve">配电房内变电设备每月的巡检，在迎峰度夏期间及其他必要情况下，根据委托方要求增加巡视频次。</w:t>
      </w:r>
    </w:p>
    <w:p>
      <w:pPr>
        <w:spacing w:line="400" w:lineRule="exact"/>
        <w:ind w:firstLine="680" w:firstLineChars="200"/>
        <w:rPr>
          <w:rFonts w:ascii="宋体" w:hAnsi="宋体" w:hint="eastAsia"/>
          <w:sz w:val="32"/>
          <w:szCs w:val="32"/>
        </w:rPr>
      </w:pPr>
      <w:r>
        <w:rPr>
          <w:rFonts w:ascii="宋体" w:hAnsi="宋体" w:hint="eastAsia"/>
          <w:sz w:val="32"/>
          <w:szCs w:val="32"/>
        </w:rPr>
        <w:t xml:space="preserve">2、设备维护，负责运维区域内设备的维护、消缺。</w:t>
      </w:r>
    </w:p>
    <w:p>
      <w:pPr>
        <w:spacing w:line="400" w:lineRule="exact"/>
        <w:ind w:firstLine="680" w:firstLineChars="200"/>
        <w:rPr>
          <w:rFonts w:ascii="宋体" w:hAnsi="宋体" w:hint="eastAsia"/>
          <w:sz w:val="32"/>
          <w:szCs w:val="32"/>
        </w:rPr>
      </w:pPr>
      <w:r>
        <w:rPr>
          <w:rFonts w:ascii="宋体" w:hAnsi="宋体" w:hint="eastAsia"/>
          <w:sz w:val="32"/>
          <w:szCs w:val="32"/>
        </w:rPr>
        <w:t xml:space="preserve">依据配电设备及电缆运行规程、技术标准及设备厂家技术要求，开展设备的检查、维修、消缺等工作。重点做好电缆通道修理、开关触头、机构、二次回路检查和本体除尘、变压器本体检查和清扫及其他辅助设施（消防、防护、防小动物、标示等）的检查补充。</w:t>
      </w:r>
    </w:p>
    <w:p>
      <w:pPr>
        <w:spacing w:line="400" w:lineRule="exact"/>
        <w:ind w:firstLine="680" w:firstLineChars="200"/>
        <w:rPr>
          <w:rFonts w:ascii="宋体" w:hAnsi="宋体" w:hint="eastAsia"/>
          <w:sz w:val="32"/>
          <w:szCs w:val="32"/>
        </w:rPr>
      </w:pPr>
      <w:r>
        <w:rPr>
          <w:rFonts w:ascii="宋体" w:hAnsi="宋体" w:hint="eastAsia"/>
          <w:sz w:val="32"/>
          <w:szCs w:val="32"/>
        </w:rPr>
        <w:t xml:space="preserve">3、负责</w:t>
      </w:r>
      <w:r>
        <w:rPr>
          <w:rFonts w:ascii="宋体" w:hAnsi="宋体"/>
          <w:sz w:val="32"/>
          <w:szCs w:val="32"/>
        </w:rPr>
        <w:t xml:space="preserve">运维区域内设备</w:t>
      </w:r>
      <w:r>
        <w:rPr>
          <w:rFonts w:ascii="宋体" w:hAnsi="宋体" w:hint="eastAsia"/>
          <w:sz w:val="32"/>
          <w:szCs w:val="32"/>
        </w:rPr>
        <w:t xml:space="preserve">故障</w:t>
      </w:r>
      <w:r>
        <w:rPr>
          <w:rFonts w:ascii="宋体" w:hAnsi="宋体"/>
          <w:sz w:val="32"/>
          <w:szCs w:val="32"/>
        </w:rPr>
        <w:t xml:space="preserve">的应急处理和抢修</w:t>
      </w:r>
    </w:p>
    <w:p>
      <w:pPr>
        <w:spacing w:line="400" w:lineRule="exact"/>
        <w:ind w:firstLine="680" w:firstLineChars="200"/>
        <w:rPr>
          <w:rFonts w:ascii="宋体" w:hAnsi="宋体" w:hint="eastAsia"/>
          <w:sz w:val="32"/>
          <w:szCs w:val="32"/>
        </w:rPr>
      </w:pPr>
      <w:r>
        <w:rPr>
          <w:rFonts w:ascii="宋体" w:hAnsi="宋体" w:hint="eastAsia"/>
          <w:sz w:val="32"/>
          <w:szCs w:val="32"/>
        </w:rPr>
        <w:t xml:space="preserve">（1）在收到甲方通知后抢修人员必须在</w:t>
      </w:r>
      <w:r>
        <w:rPr>
          <w:rFonts w:ascii="宋体" w:hAnsi="宋体" w:hint="eastAsia"/>
          <w:sz w:val="32"/>
          <w:szCs w:val="32"/>
          <w:lang w:val="en-US" w:eastAsia="zh-CN"/>
        </w:rPr>
        <w:t xml:space="preserve">30分钟</w:t>
      </w:r>
      <w:r>
        <w:rPr>
          <w:rFonts w:ascii="宋体" w:hAnsi="宋体" w:hint="eastAsia"/>
          <w:sz w:val="32"/>
          <w:szCs w:val="32"/>
        </w:rPr>
        <w:t xml:space="preserve">内到现场开展工作，原则上设备到货后在24小时内恢复送电。负责进线电缆抢修与对侧变电站、市政机构及其他外单位的联系和协调。开关跳闸或配电设备异常乙方人员应半小时内到场，其他故障应</w:t>
      </w:r>
      <w:r>
        <w:rPr>
          <w:rFonts w:ascii="宋体" w:hAnsi="宋体" w:hint="eastAsia"/>
          <w:sz w:val="32"/>
          <w:szCs w:val="32"/>
          <w:lang w:val="en-US" w:eastAsia="zh-CN"/>
        </w:rPr>
        <w:t xml:space="preserve">30分钟</w:t>
      </w:r>
      <w:r>
        <w:rPr>
          <w:rFonts w:ascii="宋体" w:hAnsi="宋体" w:hint="eastAsia"/>
          <w:sz w:val="32"/>
          <w:szCs w:val="32"/>
        </w:rPr>
        <w:t xml:space="preserve">内到场，因乙方未及时开展应急抢修造成事故事件，相应责任由乙方负责。</w:t>
      </w:r>
    </w:p>
    <w:p>
      <w:pPr>
        <w:spacing w:line="400" w:lineRule="exact"/>
        <w:ind w:firstLine="680" w:firstLineChars="200"/>
        <w:rPr>
          <w:rFonts w:ascii="宋体" w:hAnsi="宋体" w:hint="eastAsia"/>
          <w:sz w:val="32"/>
          <w:szCs w:val="32"/>
        </w:rPr>
      </w:pPr>
      <w:r>
        <w:rPr>
          <w:rFonts w:ascii="宋体" w:hAnsi="宋体" w:hint="eastAsia"/>
          <w:sz w:val="32"/>
          <w:szCs w:val="32"/>
        </w:rPr>
        <w:t xml:space="preserve">（2）应急抢修所需人工和机具的费用由乙方承担，所需的材料和备品备件原则上由甲方提供。如甲方无法提供的情况下，经甲方同意，乙方可使用本单位的备品备件，在抢修结束后根据使用数量提交甲方支付相关费用。</w:t>
      </w:r>
    </w:p>
    <w:p>
      <w:pPr>
        <w:spacing w:line="400" w:lineRule="exact"/>
        <w:ind w:firstLine="680" w:firstLineChars="200"/>
        <w:rPr>
          <w:rFonts w:ascii="宋体" w:hAnsi="宋体" w:hint="eastAsia"/>
          <w:sz w:val="32"/>
          <w:szCs w:val="32"/>
        </w:rPr>
      </w:pPr>
      <w:r>
        <w:rPr>
          <w:rFonts w:ascii="宋体" w:hAnsi="宋体" w:hint="eastAsia"/>
          <w:sz w:val="32"/>
          <w:szCs w:val="32"/>
        </w:rPr>
        <w:t xml:space="preserve">（3）乙方有义务提出并配合甲方完成运维所需备品备件的配置和管理。</w:t>
      </w:r>
    </w:p>
    <w:p>
      <w:pPr>
        <w:spacing w:line="400" w:lineRule="exact"/>
        <w:ind w:firstLine="680" w:firstLineChars="200"/>
        <w:rPr>
          <w:rFonts w:ascii="宋体" w:hAnsi="宋体" w:hint="eastAsia"/>
          <w:sz w:val="32"/>
          <w:szCs w:val="32"/>
        </w:rPr>
      </w:pPr>
      <w:r>
        <w:rPr>
          <w:rFonts w:ascii="宋体" w:hAnsi="宋体" w:hint="eastAsia"/>
          <w:sz w:val="32"/>
          <w:szCs w:val="32"/>
        </w:rPr>
        <w:t xml:space="preserve">（4）提交项：工作票、工作方案、备品备件清单等。</w:t>
      </w:r>
    </w:p>
    <w:p>
      <w:pPr>
        <w:spacing w:line="400" w:lineRule="exact"/>
        <w:ind w:firstLine="680" w:firstLineChars="200"/>
        <w:rPr>
          <w:rFonts w:ascii="宋体" w:hAnsi="宋体" w:hint="eastAsia"/>
          <w:sz w:val="32"/>
          <w:szCs w:val="32"/>
        </w:rPr>
      </w:pPr>
      <w:r>
        <w:rPr>
          <w:rFonts w:ascii="宋体" w:hAnsi="宋体" w:hint="eastAsia"/>
          <w:sz w:val="32"/>
          <w:szCs w:val="32"/>
        </w:rPr>
        <w:t xml:space="preserve">4、负责运维区域内一次设备的预试、保护定检。</w:t>
      </w:r>
    </w:p>
    <w:p>
      <w:pPr>
        <w:spacing w:line="400" w:lineRule="exact"/>
        <w:ind w:firstLine="680" w:firstLineChars="200"/>
        <w:rPr>
          <w:rFonts w:ascii="宋体" w:hAnsi="宋体" w:hint="eastAsia"/>
          <w:sz w:val="32"/>
          <w:szCs w:val="32"/>
        </w:rPr>
      </w:pPr>
      <w:r>
        <w:rPr>
          <w:rFonts w:ascii="宋体" w:hAnsi="宋体" w:hint="eastAsia"/>
          <w:sz w:val="32"/>
          <w:szCs w:val="32"/>
        </w:rPr>
        <w:t xml:space="preserve">（1）根据预试定检的相关规程要求，制定预试、定检计划，根据计划完成变电设备和电缆的预试及保护的定检工作。</w:t>
      </w:r>
    </w:p>
    <w:p>
      <w:pPr>
        <w:spacing w:line="400" w:lineRule="exact"/>
        <w:ind w:firstLine="680" w:firstLineChars="200"/>
        <w:rPr>
          <w:rFonts w:ascii="宋体" w:hAnsi="宋体" w:hint="eastAsia"/>
          <w:sz w:val="32"/>
          <w:szCs w:val="32"/>
        </w:rPr>
      </w:pPr>
      <w:r>
        <w:rPr>
          <w:rFonts w:ascii="宋体" w:hAnsi="宋体" w:hint="eastAsia"/>
          <w:sz w:val="32"/>
          <w:szCs w:val="32"/>
        </w:rPr>
        <w:t xml:space="preserve">（2）提交项：预试定检计划、试验报告、定检报告等。</w:t>
      </w:r>
    </w:p>
    <w:p>
      <w:pPr>
        <w:spacing w:line="400" w:lineRule="exact"/>
        <w:ind w:firstLine="680" w:firstLineChars="200"/>
        <w:rPr>
          <w:rFonts w:ascii="宋体" w:hAnsi="宋体" w:hint="eastAsia"/>
          <w:sz w:val="32"/>
          <w:szCs w:val="32"/>
          <w:lang w:eastAsia="zh-CN"/>
        </w:rPr>
      </w:pPr>
    </w:p>
    <w:p>
      <w:pPr>
        <w:numPr>
          <w:ilvl w:val="0"/>
          <w:numId w:val="3"/>
        </w:numPr>
        <w:spacing w:line="400" w:lineRule="exact"/>
        <w:ind w:firstLine="680" w:firstLineChars="200"/>
        <w:rPr>
          <w:rFonts w:ascii="宋体" w:hAnsi="宋体" w:hint="eastAsia"/>
          <w:sz w:val="32"/>
          <w:szCs w:val="32"/>
        </w:rPr>
      </w:pPr>
      <w:r>
        <w:rPr>
          <w:rFonts w:ascii="宋体" w:hAnsi="宋体" w:hint="eastAsia"/>
          <w:sz w:val="32"/>
          <w:szCs w:val="32"/>
        </w:rPr>
        <w:t xml:space="preserve">运行维护</w:t>
      </w:r>
      <w:r>
        <w:rPr>
          <w:rFonts w:ascii="宋体" w:hAnsi="宋体" w:hint="eastAsia"/>
          <w:sz w:val="32"/>
          <w:szCs w:val="32"/>
          <w:lang w:val="en-US" w:eastAsia="zh-CN"/>
        </w:rPr>
        <w:t xml:space="preserve">验收标准</w:t>
      </w:r>
    </w:p>
    <w:p>
      <w:pPr>
        <w:numPr>
          <w:ilvl w:val="0"/>
          <w:numId w:val="0"/>
        </w:numPr>
        <w:spacing w:line="400" w:lineRule="exact"/>
        <w:ind w:firstLine="1020" w:firstLineChars="300"/>
        <w:rPr>
          <w:rFonts w:ascii="宋体" w:hAnsi="宋体" w:hint="eastAsia"/>
          <w:sz w:val="32"/>
          <w:szCs w:val="32"/>
          <w:lang w:val="en-US" w:eastAsia="zh-CN"/>
        </w:rPr>
      </w:pPr>
    </w:p>
    <w:p>
      <w:pPr>
        <w:numPr>
          <w:ilvl w:val="0"/>
          <w:numId w:val="0"/>
        </w:numPr>
        <w:spacing w:line="400" w:lineRule="exact"/>
        <w:ind w:firstLine="1020" w:firstLineChars="300"/>
        <w:rPr>
          <w:rFonts w:ascii="宋体" w:hAnsi="宋体" w:hint="eastAsia"/>
          <w:sz w:val="32"/>
          <w:szCs w:val="32"/>
          <w:lang w:val="en-US" w:eastAsia="zh-CN"/>
        </w:rPr>
      </w:pPr>
      <w:r>
        <w:rPr>
          <w:rFonts w:ascii="宋体" w:hAnsi="宋体" w:hint="eastAsia"/>
          <w:sz w:val="32"/>
          <w:szCs w:val="32"/>
          <w:lang w:val="en-US" w:eastAsia="zh-CN"/>
        </w:rPr>
        <w:t xml:space="preserve">运维维护质量验收</w:t>
      </w:r>
      <w:bookmarkStart w:id="0" w:name="_GoBack"/>
      <w:bookmarkEnd w:id="0"/>
      <w:r>
        <w:rPr>
          <w:rFonts w:ascii="宋体" w:hAnsi="宋体" w:hint="eastAsia"/>
          <w:sz w:val="32"/>
          <w:szCs w:val="32"/>
          <w:lang w:val="en-US" w:eastAsia="zh-CN"/>
        </w:rPr>
        <w:t xml:space="preserve">标准（合格标准）</w:t>
      </w:r>
    </w:p>
    <w:tbl>
      <w:tblPr>
        <w:tblStyle w:val="TableGrid"/>
        <w:tblW w:w="928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firstRow="0" w:lastRow="0" w:firstColumn="0" w:lastColumn="0" w:noHBand="1" w:noVBand="1"/>
      </w:tblPr>
      <w:tblGrid>
        <w:gridCol w:w="6811"/>
        <w:gridCol w:w="2476"/>
      </w:tblGrid>
      <w:tr>
        <w:tblPrEx>
          <w:tblW w:w="928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c>
          <w:tcPr>
            <w:tcW w:w="6811" w:type="dxa"/>
          </w:tcPr>
          <w:p>
            <w:pPr>
              <w:numPr>
                <w:ilvl w:val="0"/>
                <w:numId w:val="0"/>
              </w:numPr>
              <w:spacing w:line="400" w:lineRule="exact"/>
              <w:jc w:val="center"/>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设备名称</w:t>
            </w:r>
          </w:p>
        </w:tc>
        <w:tc>
          <w:tcPr>
            <w:tcW w:w="2476" w:type="dxa"/>
          </w:tcPr>
          <w:p>
            <w:pPr>
              <w:numPr>
                <w:ilvl w:val="0"/>
                <w:numId w:val="0"/>
              </w:numPr>
              <w:spacing w:line="400" w:lineRule="exact"/>
              <w:jc w:val="center"/>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设备状态</w:t>
            </w:r>
          </w:p>
        </w:tc>
      </w:tr>
      <w:tr>
        <w:tblPrEx>
          <w:tblW w:w="928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c>
          <w:tcPr>
            <w:tcW w:w="6811" w:type="dxa"/>
          </w:tcPr>
          <w:p>
            <w:pPr>
              <w:numPr>
                <w:ilvl w:val="0"/>
                <w:numId w:val="0"/>
              </w:numPr>
              <w:spacing w:line="400" w:lineRule="exact"/>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检验中心高压室P1进线柜</w:t>
            </w:r>
          </w:p>
        </w:tc>
        <w:tc>
          <w:tcPr>
            <w:tcW w:w="2476" w:type="dxa"/>
          </w:tcPr>
          <w:p>
            <w:pPr>
              <w:numPr>
                <w:ilvl w:val="0"/>
                <w:numId w:val="0"/>
              </w:numPr>
              <w:spacing w:line="400" w:lineRule="exact"/>
              <w:jc w:val="center"/>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运行正常</w:t>
            </w:r>
          </w:p>
        </w:tc>
      </w:tr>
      <w:tr>
        <w:tblPrEx>
          <w:tblW w:w="928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60"/>
        </w:trPr>
        <w:tc>
          <w:tcPr>
            <w:tcW w:w="6811" w:type="dxa"/>
          </w:tcPr>
          <w:p>
            <w:pPr>
              <w:numPr>
                <w:ilvl w:val="0"/>
                <w:numId w:val="0"/>
              </w:numPr>
              <w:spacing w:line="400" w:lineRule="exact"/>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检验中心高压室P2计量联络PT柜</w:t>
            </w:r>
          </w:p>
        </w:tc>
        <w:tc>
          <w:tcPr>
            <w:tcW w:w="2476" w:type="dxa"/>
          </w:tcPr>
          <w:p>
            <w:pPr>
              <w:numPr>
                <w:ilvl w:val="0"/>
                <w:numId w:val="0"/>
              </w:numPr>
              <w:spacing w:line="400" w:lineRule="exact"/>
              <w:jc w:val="center"/>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运行正常</w:t>
            </w:r>
          </w:p>
        </w:tc>
      </w:tr>
      <w:tr>
        <w:tblPrEx>
          <w:tblW w:w="928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c>
          <w:tcPr>
            <w:tcW w:w="6811" w:type="dxa"/>
          </w:tcPr>
          <w:p>
            <w:pPr>
              <w:numPr>
                <w:ilvl w:val="0"/>
                <w:numId w:val="0"/>
              </w:numPr>
              <w:spacing w:line="400" w:lineRule="exact"/>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检验中心高压室新建试验楼T1变压器</w:t>
            </w:r>
          </w:p>
        </w:tc>
        <w:tc>
          <w:tcPr>
            <w:tcW w:w="2476" w:type="dxa"/>
          </w:tcPr>
          <w:p>
            <w:pPr>
              <w:numPr>
                <w:ilvl w:val="0"/>
                <w:numId w:val="0"/>
              </w:numPr>
              <w:spacing w:line="400" w:lineRule="exact"/>
              <w:jc w:val="center"/>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运行正常</w:t>
            </w:r>
          </w:p>
        </w:tc>
      </w:tr>
      <w:tr>
        <w:tblPrEx>
          <w:tblW w:w="928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c>
          <w:tcPr>
            <w:tcW w:w="6811" w:type="dxa"/>
          </w:tcPr>
          <w:p>
            <w:pPr>
              <w:numPr>
                <w:ilvl w:val="0"/>
                <w:numId w:val="0"/>
              </w:numPr>
              <w:spacing w:line="400" w:lineRule="exact"/>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检验中心高压室新建试验楼T2变压器</w:t>
            </w:r>
          </w:p>
        </w:tc>
        <w:tc>
          <w:tcPr>
            <w:tcW w:w="2476" w:type="dxa"/>
          </w:tcPr>
          <w:p>
            <w:pPr>
              <w:numPr>
                <w:ilvl w:val="0"/>
                <w:numId w:val="0"/>
              </w:numPr>
              <w:spacing w:line="400" w:lineRule="exact"/>
              <w:jc w:val="center"/>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运行正常</w:t>
            </w:r>
          </w:p>
        </w:tc>
      </w:tr>
      <w:tr>
        <w:tblPrEx>
          <w:tblW w:w="928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c>
          <w:tcPr>
            <w:tcW w:w="6811" w:type="dxa"/>
          </w:tcPr>
          <w:p>
            <w:pPr>
              <w:numPr>
                <w:ilvl w:val="0"/>
                <w:numId w:val="0"/>
              </w:numPr>
              <w:spacing w:line="400" w:lineRule="exact"/>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检验中心高压室新建试验楼T3变压器</w:t>
            </w:r>
          </w:p>
        </w:tc>
        <w:tc>
          <w:tcPr>
            <w:tcW w:w="2476" w:type="dxa"/>
          </w:tcPr>
          <w:p>
            <w:pPr>
              <w:numPr>
                <w:ilvl w:val="0"/>
                <w:numId w:val="0"/>
              </w:numPr>
              <w:spacing w:line="400" w:lineRule="exact"/>
              <w:jc w:val="center"/>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运行正常</w:t>
            </w:r>
          </w:p>
        </w:tc>
      </w:tr>
      <w:tr>
        <w:tblPrEx>
          <w:tblW w:w="928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c>
          <w:tcPr>
            <w:tcW w:w="6811" w:type="dxa"/>
          </w:tcPr>
          <w:p>
            <w:pPr>
              <w:numPr>
                <w:ilvl w:val="0"/>
                <w:numId w:val="0"/>
              </w:numPr>
              <w:spacing w:line="400" w:lineRule="exact"/>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检验中心变电所综合房P6 T1进线柜</w:t>
            </w:r>
          </w:p>
        </w:tc>
        <w:tc>
          <w:tcPr>
            <w:tcW w:w="2476" w:type="dxa"/>
          </w:tcPr>
          <w:p>
            <w:pPr>
              <w:numPr>
                <w:ilvl w:val="0"/>
                <w:numId w:val="0"/>
              </w:numPr>
              <w:spacing w:line="400" w:lineRule="exact"/>
              <w:jc w:val="center"/>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运行正常</w:t>
            </w:r>
          </w:p>
        </w:tc>
      </w:tr>
      <w:tr>
        <w:tblPrEx>
          <w:tblW w:w="928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c>
          <w:tcPr>
            <w:tcW w:w="6811" w:type="dxa"/>
          </w:tcPr>
          <w:p>
            <w:pPr>
              <w:numPr>
                <w:ilvl w:val="0"/>
                <w:numId w:val="0"/>
              </w:numPr>
              <w:spacing w:line="400" w:lineRule="exact"/>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检验中心变电所综合房P7 T2进线柜</w:t>
            </w:r>
          </w:p>
        </w:tc>
        <w:tc>
          <w:tcPr>
            <w:tcW w:w="2476" w:type="dxa"/>
          </w:tcPr>
          <w:p>
            <w:pPr>
              <w:numPr>
                <w:ilvl w:val="0"/>
                <w:numId w:val="0"/>
              </w:numPr>
              <w:spacing w:line="400" w:lineRule="exact"/>
              <w:jc w:val="center"/>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运行正常</w:t>
            </w:r>
          </w:p>
        </w:tc>
      </w:tr>
      <w:tr>
        <w:tblPrEx>
          <w:tblW w:w="928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c>
          <w:tcPr>
            <w:tcW w:w="6811" w:type="dxa"/>
          </w:tcPr>
          <w:p>
            <w:pPr>
              <w:numPr>
                <w:ilvl w:val="0"/>
                <w:numId w:val="0"/>
              </w:numPr>
              <w:spacing w:line="400" w:lineRule="exact"/>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检验中心变电所综合房P8 T3进线柜</w:t>
            </w:r>
          </w:p>
        </w:tc>
        <w:tc>
          <w:tcPr>
            <w:tcW w:w="2476" w:type="dxa"/>
          </w:tcPr>
          <w:p>
            <w:pPr>
              <w:numPr>
                <w:ilvl w:val="0"/>
                <w:numId w:val="0"/>
              </w:numPr>
              <w:spacing w:line="400" w:lineRule="exact"/>
              <w:jc w:val="center"/>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运行正常</w:t>
            </w:r>
          </w:p>
        </w:tc>
      </w:tr>
      <w:tr>
        <w:tblPrEx>
          <w:tblW w:w="928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c>
          <w:tcPr>
            <w:tcW w:w="6811" w:type="dxa"/>
          </w:tcPr>
          <w:p>
            <w:pPr>
              <w:numPr>
                <w:ilvl w:val="0"/>
                <w:numId w:val="0"/>
              </w:numPr>
              <w:spacing w:line="400" w:lineRule="exact"/>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检验中心变电所综合房P01柜</w:t>
            </w:r>
          </w:p>
        </w:tc>
        <w:tc>
          <w:tcPr>
            <w:tcW w:w="2476" w:type="dxa"/>
          </w:tcPr>
          <w:p>
            <w:pPr>
              <w:numPr>
                <w:ilvl w:val="0"/>
                <w:numId w:val="0"/>
              </w:numPr>
              <w:spacing w:line="400" w:lineRule="exact"/>
              <w:jc w:val="center"/>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运行正常</w:t>
            </w:r>
          </w:p>
        </w:tc>
      </w:tr>
      <w:tr>
        <w:tblPrEx>
          <w:tblW w:w="928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c>
          <w:tcPr>
            <w:tcW w:w="6811" w:type="dxa"/>
          </w:tcPr>
          <w:p>
            <w:pPr>
              <w:numPr>
                <w:ilvl w:val="0"/>
                <w:numId w:val="0"/>
              </w:numPr>
              <w:spacing w:line="400" w:lineRule="exact"/>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检验中心变电所综合房P02柜</w:t>
            </w:r>
          </w:p>
        </w:tc>
        <w:tc>
          <w:tcPr>
            <w:tcW w:w="2476" w:type="dxa"/>
          </w:tcPr>
          <w:p>
            <w:pPr>
              <w:numPr>
                <w:ilvl w:val="0"/>
                <w:numId w:val="0"/>
              </w:numPr>
              <w:spacing w:line="400" w:lineRule="exact"/>
              <w:jc w:val="center"/>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运行正常</w:t>
            </w:r>
          </w:p>
        </w:tc>
      </w:tr>
      <w:tr>
        <w:tblPrEx>
          <w:tblW w:w="928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c>
          <w:tcPr>
            <w:tcW w:w="6811" w:type="dxa"/>
          </w:tcPr>
          <w:p>
            <w:pPr>
              <w:numPr>
                <w:ilvl w:val="0"/>
                <w:numId w:val="0"/>
              </w:numPr>
              <w:spacing w:line="400" w:lineRule="exact"/>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检验中心变电所综合房1变SCB10-1600KVA</w:t>
            </w:r>
          </w:p>
        </w:tc>
        <w:tc>
          <w:tcPr>
            <w:tcW w:w="2476" w:type="dxa"/>
          </w:tcPr>
          <w:p>
            <w:pPr>
              <w:numPr>
                <w:ilvl w:val="0"/>
                <w:numId w:val="0"/>
              </w:numPr>
              <w:spacing w:line="400" w:lineRule="exact"/>
              <w:jc w:val="center"/>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运行正常</w:t>
            </w:r>
          </w:p>
        </w:tc>
      </w:tr>
      <w:tr>
        <w:tblPrEx>
          <w:tblW w:w="928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c>
          <w:tcPr>
            <w:tcW w:w="6811" w:type="dxa"/>
          </w:tcPr>
          <w:p>
            <w:pPr>
              <w:numPr>
                <w:ilvl w:val="0"/>
                <w:numId w:val="0"/>
              </w:numPr>
              <w:spacing w:line="400" w:lineRule="exact"/>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检验中心变电所综合房P03柜</w:t>
            </w:r>
          </w:p>
        </w:tc>
        <w:tc>
          <w:tcPr>
            <w:tcW w:w="2476" w:type="dxa"/>
          </w:tcPr>
          <w:p>
            <w:pPr>
              <w:numPr>
                <w:ilvl w:val="0"/>
                <w:numId w:val="0"/>
              </w:numPr>
              <w:spacing w:line="400" w:lineRule="exact"/>
              <w:jc w:val="center"/>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运行正常</w:t>
            </w:r>
          </w:p>
        </w:tc>
      </w:tr>
      <w:tr>
        <w:tblPrEx>
          <w:tblW w:w="928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c>
          <w:tcPr>
            <w:tcW w:w="6811" w:type="dxa"/>
          </w:tcPr>
          <w:p>
            <w:pPr>
              <w:numPr>
                <w:ilvl w:val="0"/>
                <w:numId w:val="0"/>
              </w:numPr>
              <w:spacing w:line="400" w:lineRule="exact"/>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检验中心变电所综合房P04柜</w:t>
            </w:r>
          </w:p>
        </w:tc>
        <w:tc>
          <w:tcPr>
            <w:tcW w:w="2476" w:type="dxa"/>
          </w:tcPr>
          <w:p>
            <w:pPr>
              <w:numPr>
                <w:ilvl w:val="0"/>
                <w:numId w:val="0"/>
              </w:numPr>
              <w:spacing w:line="400" w:lineRule="exact"/>
              <w:jc w:val="center"/>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运行正常</w:t>
            </w:r>
          </w:p>
        </w:tc>
      </w:tr>
      <w:tr>
        <w:tblPrEx>
          <w:tblW w:w="928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c>
          <w:tcPr>
            <w:tcW w:w="6811" w:type="dxa"/>
          </w:tcPr>
          <w:p>
            <w:pPr>
              <w:numPr>
                <w:ilvl w:val="0"/>
                <w:numId w:val="0"/>
              </w:numPr>
              <w:spacing w:line="400" w:lineRule="exact"/>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检验中心变电所综合房2变SCB10-1600KVA</w:t>
            </w:r>
          </w:p>
        </w:tc>
        <w:tc>
          <w:tcPr>
            <w:tcW w:w="2476" w:type="dxa"/>
          </w:tcPr>
          <w:p>
            <w:pPr>
              <w:numPr>
                <w:ilvl w:val="0"/>
                <w:numId w:val="0"/>
              </w:numPr>
              <w:spacing w:line="400" w:lineRule="exact"/>
              <w:jc w:val="center"/>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运行正常</w:t>
            </w:r>
          </w:p>
        </w:tc>
      </w:tr>
      <w:tr>
        <w:tblPrEx>
          <w:tblW w:w="928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c>
          <w:tcPr>
            <w:tcW w:w="6811" w:type="dxa"/>
          </w:tcPr>
          <w:p>
            <w:pPr>
              <w:numPr>
                <w:ilvl w:val="0"/>
                <w:numId w:val="0"/>
              </w:numPr>
              <w:spacing w:line="400" w:lineRule="exact"/>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检验中心变电所综合房P05柜</w:t>
            </w:r>
          </w:p>
        </w:tc>
        <w:tc>
          <w:tcPr>
            <w:tcW w:w="2476" w:type="dxa"/>
          </w:tcPr>
          <w:p>
            <w:pPr>
              <w:numPr>
                <w:ilvl w:val="0"/>
                <w:numId w:val="0"/>
              </w:numPr>
              <w:spacing w:line="400" w:lineRule="exact"/>
              <w:jc w:val="center"/>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运行正常</w:t>
            </w:r>
          </w:p>
        </w:tc>
      </w:tr>
      <w:tr>
        <w:tblPrEx>
          <w:tblW w:w="928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c>
          <w:tcPr>
            <w:tcW w:w="6811" w:type="dxa"/>
          </w:tcPr>
          <w:p>
            <w:pPr>
              <w:numPr>
                <w:ilvl w:val="0"/>
                <w:numId w:val="0"/>
              </w:numPr>
              <w:spacing w:line="400" w:lineRule="exact"/>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检验中心变电所综合房P06柜</w:t>
            </w:r>
          </w:p>
        </w:tc>
        <w:tc>
          <w:tcPr>
            <w:tcW w:w="2476" w:type="dxa"/>
          </w:tcPr>
          <w:p>
            <w:pPr>
              <w:numPr>
                <w:ilvl w:val="0"/>
                <w:numId w:val="0"/>
              </w:numPr>
              <w:spacing w:line="400" w:lineRule="exact"/>
              <w:jc w:val="center"/>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运行正常</w:t>
            </w:r>
          </w:p>
        </w:tc>
      </w:tr>
      <w:tr>
        <w:tblPrEx>
          <w:tblW w:w="928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c>
          <w:tcPr>
            <w:tcW w:w="6811" w:type="dxa"/>
          </w:tcPr>
          <w:p>
            <w:pPr>
              <w:numPr>
                <w:ilvl w:val="0"/>
                <w:numId w:val="0"/>
              </w:numPr>
              <w:spacing w:line="400" w:lineRule="exact"/>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检验中心变电所综合房3变SCB10-1600KVA</w:t>
            </w:r>
          </w:p>
        </w:tc>
        <w:tc>
          <w:tcPr>
            <w:tcW w:w="2476" w:type="dxa"/>
          </w:tcPr>
          <w:p>
            <w:pPr>
              <w:numPr>
                <w:ilvl w:val="0"/>
                <w:numId w:val="0"/>
              </w:numPr>
              <w:spacing w:line="400" w:lineRule="exact"/>
              <w:jc w:val="center"/>
              <w:rPr>
                <w:rFonts w:ascii="宋体" w:hAnsi="宋体" w:hint="eastAsia"/>
                <w:sz w:val="32"/>
                <w:szCs w:val="32"/>
                <w:vertAlign w:val="baseline"/>
                <w:lang w:val="en-US" w:eastAsia="zh-CN"/>
              </w:rPr>
            </w:pPr>
            <w:r>
              <w:rPr>
                <w:rFonts w:ascii="宋体" w:hAnsi="宋体" w:hint="eastAsia"/>
                <w:sz w:val="32"/>
                <w:szCs w:val="32"/>
                <w:vertAlign w:val="baseline"/>
                <w:lang w:val="en-US" w:eastAsia="zh-CN"/>
              </w:rPr>
              <w:t xml:space="preserve">运行正常</w:t>
            </w:r>
          </w:p>
        </w:tc>
      </w:tr>
    </w:tbl>
    <w:p>
      <w:pPr>
        <w:numPr>
          <w:ilvl w:val="0"/>
          <w:numId w:val="0"/>
        </w:numPr>
        <w:spacing w:line="400" w:lineRule="exact"/>
        <w:ind w:firstLine="680"/>
        <w:rPr>
          <w:rFonts w:ascii="宋体" w:hAnsi="宋体" w:hint="eastAsia"/>
          <w:sz w:val="32"/>
          <w:szCs w:val="32"/>
          <w:lang w:val="en-US" w:eastAsia="zh-CN"/>
        </w:rPr>
      </w:pPr>
    </w:p>
    <w:p>
      <w:pPr>
        <w:numPr>
          <w:ilvl w:val="0"/>
          <w:numId w:val="0"/>
        </w:numPr>
        <w:spacing w:line="400" w:lineRule="exact"/>
        <w:rPr>
          <w:rFonts w:ascii="宋体" w:hAnsi="宋体" w:hint="eastAsia"/>
          <w:sz w:val="32"/>
          <w:szCs w:val="32"/>
          <w:lang w:val="en-US" w:eastAsia="zh-CN"/>
        </w:rPr>
      </w:pPr>
    </w:p>
    <w:p>
      <w:pPr>
        <w:spacing w:line="400" w:lineRule="exact"/>
        <w:ind w:firstLine="680" w:firstLineChars="200"/>
        <w:rPr>
          <w:rFonts w:ascii="宋体" w:hAnsi="宋体" w:hint="eastAsia"/>
          <w:sz w:val="32"/>
          <w:szCs w:val="32"/>
        </w:rPr>
      </w:pPr>
      <w:r>
        <w:rPr>
          <w:rFonts w:ascii="宋体" w:hAnsi="宋体"/>
          <w:sz w:val="32"/>
          <w:szCs w:val="32"/>
        </w:rPr>
        <w:t xml:space="preserve">乙方在完成本合同约定的技术服务内容后</w:t>
      </w:r>
      <w:r>
        <w:rPr>
          <w:rFonts w:ascii="宋体" w:hAnsi="宋体"/>
          <w:sz w:val="32"/>
          <w:szCs w:val="32"/>
          <w:u w:val="single"/>
        </w:rPr>
        <w:t xml:space="preserve"> </w:t>
      </w:r>
      <w:r>
        <w:rPr>
          <w:rFonts w:ascii="宋体" w:hAnsi="宋体" w:hint="eastAsia"/>
          <w:sz w:val="32"/>
          <w:szCs w:val="32"/>
          <w:u w:val="single"/>
        </w:rPr>
        <w:t xml:space="preserve">3</w:t>
      </w:r>
      <w:r>
        <w:rPr>
          <w:rFonts w:ascii="宋体" w:hAnsi="宋体"/>
          <w:sz w:val="32"/>
          <w:szCs w:val="32"/>
          <w:u w:val="single"/>
        </w:rPr>
        <w:t xml:space="preserve"> </w:t>
      </w:r>
      <w:r>
        <w:rPr>
          <w:rFonts w:ascii="宋体" w:hAnsi="宋体"/>
          <w:sz w:val="32"/>
          <w:szCs w:val="32"/>
        </w:rPr>
        <w:t xml:space="preserve">日内向</w:t>
      </w:r>
      <w:r>
        <w:rPr>
          <w:rFonts w:ascii="宋体" w:hAnsi="宋体" w:hint="eastAsia"/>
          <w:sz w:val="32"/>
          <w:szCs w:val="32"/>
        </w:rPr>
        <w:t xml:space="preserve">甲方</w:t>
      </w:r>
      <w:r>
        <w:rPr>
          <w:rFonts w:ascii="宋体" w:hAnsi="宋体"/>
          <w:sz w:val="32"/>
          <w:szCs w:val="32"/>
        </w:rPr>
        <w:t xml:space="preserve">提出书面的验收申请，甲方应按照本条的约定进行验收。</w:t>
      </w:r>
    </w:p>
    <w:p>
      <w:pPr>
        <w:spacing w:line="400" w:lineRule="exact"/>
        <w:ind w:firstLine="680" w:firstLineChars="200"/>
        <w:rPr>
          <w:rFonts w:ascii="宋体" w:hAnsi="宋体"/>
          <w:sz w:val="32"/>
          <w:szCs w:val="32"/>
        </w:rPr>
      </w:pPr>
      <w:r>
        <w:rPr>
          <w:rFonts w:ascii="宋体" w:hAnsi="宋体" w:hint="eastAsia"/>
          <w:sz w:val="32"/>
          <w:szCs w:val="32"/>
          <w:lang w:val="en-US" w:eastAsia="zh-CN"/>
        </w:rPr>
        <w:t xml:space="preserve">1</w:t>
      </w:r>
      <w:r>
        <w:rPr>
          <w:rFonts w:ascii="宋体" w:hAnsi="宋体" w:hint="eastAsia"/>
          <w:sz w:val="32"/>
          <w:szCs w:val="32"/>
        </w:rPr>
        <w:t xml:space="preserve">、</w:t>
      </w:r>
      <w:r>
        <w:rPr>
          <w:rFonts w:ascii="宋体" w:hAnsi="宋体"/>
          <w:sz w:val="32"/>
          <w:szCs w:val="32"/>
        </w:rPr>
        <w:t xml:space="preserve">甲方应当在接到乙方书面验收申请后</w:t>
      </w:r>
      <w:r>
        <w:rPr>
          <w:rFonts w:ascii="宋体" w:hAnsi="宋体" w:hint="eastAsia"/>
          <w:sz w:val="32"/>
          <w:szCs w:val="32"/>
          <w:u w:val="single"/>
        </w:rPr>
        <w:t xml:space="preserve">15</w:t>
      </w:r>
      <w:r>
        <w:rPr>
          <w:rFonts w:ascii="宋体" w:hAnsi="宋体" w:hint="eastAsia"/>
          <w:sz w:val="32"/>
          <w:szCs w:val="32"/>
        </w:rPr>
        <w:t xml:space="preserve">日</w:t>
      </w:r>
      <w:r>
        <w:rPr>
          <w:rFonts w:ascii="宋体" w:hAnsi="宋体"/>
          <w:sz w:val="32"/>
          <w:szCs w:val="32"/>
        </w:rPr>
        <w:t xml:space="preserve">内组织</w:t>
      </w:r>
      <w:r>
        <w:rPr>
          <w:rFonts w:ascii="宋体" w:hAnsi="宋体" w:hint="eastAsia"/>
          <w:sz w:val="32"/>
          <w:szCs w:val="32"/>
        </w:rPr>
        <w:t xml:space="preserve">验收</w:t>
      </w:r>
      <w:r>
        <w:rPr>
          <w:rFonts w:ascii="宋体" w:hAnsi="宋体"/>
          <w:sz w:val="32"/>
          <w:szCs w:val="32"/>
        </w:rPr>
        <w:t xml:space="preserve">。</w:t>
      </w:r>
    </w:p>
    <w:p>
      <w:pPr>
        <w:spacing w:line="400" w:lineRule="exact"/>
        <w:ind w:firstLine="680" w:firstLineChars="200"/>
        <w:rPr>
          <w:rFonts w:ascii="宋体" w:hAnsi="宋体" w:hint="eastAsia"/>
          <w:sz w:val="32"/>
          <w:szCs w:val="32"/>
        </w:rPr>
      </w:pPr>
      <w:r>
        <w:rPr>
          <w:rFonts w:ascii="宋体" w:hAnsi="宋体" w:hint="eastAsia"/>
          <w:sz w:val="32"/>
          <w:szCs w:val="32"/>
          <w:lang w:val="en-US" w:eastAsia="zh-CN"/>
        </w:rPr>
        <w:t xml:space="preserve">2</w:t>
      </w:r>
      <w:r>
        <w:rPr>
          <w:rFonts w:ascii="宋体" w:hAnsi="宋体" w:hint="eastAsia"/>
          <w:sz w:val="32"/>
          <w:szCs w:val="32"/>
        </w:rPr>
        <w:t xml:space="preserve">、</w:t>
      </w:r>
      <w:r>
        <w:rPr>
          <w:rFonts w:ascii="宋体" w:hAnsi="宋体"/>
          <w:sz w:val="32"/>
          <w:szCs w:val="32"/>
        </w:rPr>
        <w:t xml:space="preserve">验收标准：</w:t>
      </w:r>
    </w:p>
    <w:p>
      <w:pPr>
        <w:spacing w:line="400" w:lineRule="exact"/>
        <w:ind w:firstLine="680" w:firstLineChars="200"/>
        <w:rPr>
          <w:rFonts w:ascii="宋体" w:hAnsi="宋体" w:hint="eastAsia"/>
          <w:sz w:val="32"/>
          <w:szCs w:val="32"/>
        </w:rPr>
      </w:pPr>
      <w:r>
        <w:rPr>
          <w:rFonts w:ascii="宋体" w:hAnsi="宋体" w:hint="eastAsia"/>
          <w:sz w:val="32"/>
          <w:szCs w:val="32"/>
        </w:rPr>
        <w:t xml:space="preserve">（</w:t>
      </w:r>
      <w:r>
        <w:rPr>
          <w:rFonts w:ascii="宋体" w:hAnsi="宋体" w:hint="eastAsia"/>
          <w:sz w:val="32"/>
          <w:szCs w:val="32"/>
          <w:lang w:val="en-US" w:eastAsia="zh-CN"/>
        </w:rPr>
        <w:t xml:space="preserve">1</w:t>
      </w:r>
      <w:r>
        <w:rPr>
          <w:rFonts w:ascii="宋体" w:hAnsi="宋体" w:hint="eastAsia"/>
          <w:sz w:val="32"/>
          <w:szCs w:val="32"/>
        </w:rPr>
        <w:t xml:space="preserve">）按照本合同约定的要求。</w:t>
      </w:r>
    </w:p>
    <w:p>
      <w:pPr>
        <w:spacing w:line="400" w:lineRule="exact"/>
        <w:ind w:firstLine="680" w:firstLineChars="200"/>
        <w:rPr>
          <w:rFonts w:ascii="宋体" w:hAnsi="宋体" w:hint="eastAsia"/>
          <w:sz w:val="32"/>
          <w:szCs w:val="32"/>
        </w:rPr>
      </w:pPr>
      <w:r>
        <w:rPr>
          <w:rFonts w:ascii="宋体" w:hAnsi="宋体" w:hint="eastAsia"/>
          <w:sz w:val="32"/>
          <w:szCs w:val="32"/>
        </w:rPr>
        <w:t xml:space="preserve">（</w:t>
      </w:r>
      <w:r>
        <w:rPr>
          <w:rFonts w:ascii="宋体" w:hAnsi="宋体" w:hint="eastAsia"/>
          <w:sz w:val="32"/>
          <w:szCs w:val="32"/>
          <w:lang w:val="en-US" w:eastAsia="zh-CN"/>
        </w:rPr>
        <w:t xml:space="preserve">2</w:t>
      </w:r>
      <w:r>
        <w:rPr>
          <w:rFonts w:ascii="宋体" w:hAnsi="宋体" w:hint="eastAsia"/>
          <w:sz w:val="32"/>
          <w:szCs w:val="32"/>
        </w:rPr>
        <w:t xml:space="preserve">）其他：</w:t>
      </w:r>
      <w:r>
        <w:rPr>
          <w:rFonts w:ascii="宋体" w:hAnsi="宋体" w:hint="eastAsia"/>
          <w:sz w:val="32"/>
          <w:szCs w:val="32"/>
          <w:u w:val="single"/>
        </w:rPr>
        <w:t xml:space="preserve">           /                          </w:t>
      </w:r>
      <w:r>
        <w:rPr>
          <w:rFonts w:ascii="宋体" w:hAnsi="宋体" w:hint="eastAsia"/>
          <w:sz w:val="32"/>
          <w:szCs w:val="32"/>
        </w:rPr>
        <w:t xml:space="preserve">。</w:t>
      </w:r>
    </w:p>
    <w:p>
      <w:pPr>
        <w:spacing w:line="400" w:lineRule="exact"/>
        <w:ind w:firstLine="680" w:firstLineChars="200"/>
        <w:rPr>
          <w:rFonts w:ascii="宋体" w:hAnsi="宋体" w:hint="eastAsia"/>
          <w:sz w:val="32"/>
          <w:szCs w:val="32"/>
        </w:rPr>
      </w:pPr>
      <w:r>
        <w:rPr>
          <w:rFonts w:ascii="宋体" w:hAnsi="宋体" w:hint="eastAsia"/>
          <w:sz w:val="32"/>
          <w:szCs w:val="32"/>
          <w:lang w:val="en-US" w:eastAsia="zh-CN"/>
        </w:rPr>
        <w:t xml:space="preserve">3</w:t>
      </w:r>
      <w:r>
        <w:rPr>
          <w:rFonts w:ascii="宋体" w:hAnsi="宋体" w:hint="eastAsia"/>
          <w:sz w:val="32"/>
          <w:szCs w:val="32"/>
        </w:rPr>
        <w:t xml:space="preserve">、</w:t>
      </w:r>
      <w:r>
        <w:rPr>
          <w:rFonts w:ascii="宋体" w:hAnsi="宋体"/>
          <w:sz w:val="32"/>
          <w:szCs w:val="32"/>
        </w:rPr>
        <w:t xml:space="preserve">验收后的处理</w:t>
      </w:r>
      <w:r>
        <w:rPr>
          <w:rFonts w:ascii="宋体" w:hAnsi="宋体" w:hint="eastAsia"/>
          <w:sz w:val="32"/>
          <w:szCs w:val="32"/>
        </w:rPr>
        <w:t xml:space="preserve">：</w:t>
      </w:r>
    </w:p>
    <w:p>
      <w:pPr>
        <w:spacing w:line="400" w:lineRule="exact"/>
        <w:ind w:firstLine="680" w:firstLineChars="200"/>
        <w:rPr>
          <w:rFonts w:ascii="宋体" w:hAnsi="宋体"/>
          <w:sz w:val="32"/>
          <w:szCs w:val="32"/>
        </w:rPr>
      </w:pPr>
      <w:r>
        <w:rPr>
          <w:rFonts w:ascii="宋体" w:hAnsi="宋体" w:hint="eastAsia"/>
          <w:sz w:val="32"/>
          <w:szCs w:val="32"/>
        </w:rPr>
        <w:t xml:space="preserve">（</w:t>
      </w:r>
      <w:r>
        <w:rPr>
          <w:rFonts w:ascii="宋体" w:hAnsi="宋体" w:hint="eastAsia"/>
          <w:sz w:val="32"/>
          <w:szCs w:val="32"/>
          <w:lang w:val="en-US" w:eastAsia="zh-CN"/>
        </w:rPr>
        <w:t xml:space="preserve">1</w:t>
      </w:r>
      <w:r>
        <w:rPr>
          <w:rFonts w:ascii="宋体" w:hAnsi="宋体" w:hint="eastAsia"/>
          <w:sz w:val="32"/>
          <w:szCs w:val="32"/>
        </w:rPr>
        <w:t xml:space="preserve">）</w:t>
      </w:r>
      <w:r>
        <w:rPr>
          <w:rFonts w:ascii="宋体" w:hAnsi="宋体"/>
          <w:sz w:val="32"/>
          <w:szCs w:val="32"/>
        </w:rPr>
        <w:t xml:space="preserve">验收通过：甲方应出具验收合格的书面意见给乙方。</w:t>
      </w:r>
    </w:p>
    <w:p>
      <w:pPr>
        <w:spacing w:line="400" w:lineRule="exact"/>
        <w:ind w:firstLine="680" w:firstLineChars="200"/>
        <w:rPr>
          <w:rFonts w:ascii="宋体" w:hAnsi="宋体" w:hint="eastAsia"/>
          <w:sz w:val="32"/>
          <w:szCs w:val="32"/>
        </w:rPr>
      </w:pPr>
      <w:r>
        <w:rPr>
          <w:rFonts w:ascii="宋体" w:hAnsi="宋体" w:hint="eastAsia"/>
          <w:sz w:val="32"/>
          <w:szCs w:val="32"/>
        </w:rPr>
        <w:t xml:space="preserve">（</w:t>
      </w:r>
      <w:r>
        <w:rPr>
          <w:rFonts w:ascii="宋体" w:hAnsi="宋体" w:hint="eastAsia"/>
          <w:sz w:val="32"/>
          <w:szCs w:val="32"/>
          <w:lang w:val="en-US" w:eastAsia="zh-CN"/>
        </w:rPr>
        <w:t xml:space="preserve">2</w:t>
      </w:r>
      <w:r>
        <w:rPr>
          <w:rFonts w:ascii="宋体" w:hAnsi="宋体" w:hint="eastAsia"/>
          <w:sz w:val="32"/>
          <w:szCs w:val="32"/>
        </w:rPr>
        <w:t xml:space="preserve">）</w:t>
      </w:r>
      <w:r>
        <w:rPr>
          <w:rFonts w:ascii="宋体" w:hAnsi="宋体"/>
          <w:sz w:val="32"/>
          <w:szCs w:val="32"/>
        </w:rPr>
        <w:t xml:space="preserve">验收未通过：如果乙方提供的技术服务未能为甲方解决本合同约定的全部技术问题的，验收未通过，甲方应出具验收不合格的书面意见给乙方。乙方应当在</w:t>
      </w:r>
      <w:r>
        <w:rPr>
          <w:rFonts w:ascii="宋体" w:hAnsi="宋体"/>
          <w:sz w:val="32"/>
          <w:szCs w:val="32"/>
          <w:u w:val="single"/>
        </w:rPr>
        <w:t xml:space="preserve"> </w:t>
      </w:r>
      <w:r>
        <w:rPr>
          <w:rFonts w:ascii="宋体" w:hAnsi="宋体" w:hint="eastAsia"/>
          <w:sz w:val="32"/>
          <w:szCs w:val="32"/>
          <w:u w:val="single"/>
        </w:rPr>
        <w:t xml:space="preserve">7</w:t>
      </w:r>
      <w:r>
        <w:rPr>
          <w:rFonts w:ascii="宋体" w:hAnsi="宋体"/>
          <w:sz w:val="32"/>
          <w:szCs w:val="32"/>
          <w:u w:val="single"/>
        </w:rPr>
        <w:t xml:space="preserve"> </w:t>
      </w:r>
      <w:r>
        <w:rPr>
          <w:rFonts w:ascii="宋体" w:hAnsi="宋体"/>
          <w:sz w:val="32"/>
          <w:szCs w:val="32"/>
        </w:rPr>
        <w:t xml:space="preserve">天内根据甲方的验收意见继续提供技术服务直至为甲方解决全部的技术问题。若第二次验收仍未通过的，甲方有权解除本合同，乙方应当按照本合同的约定承担违约责任。  </w:t>
      </w:r>
    </w:p>
    <w:p>
      <w:pPr>
        <w:spacing w:line="400" w:lineRule="exact"/>
        <w:ind w:firstLine="680" w:firstLineChars="200"/>
        <w:rPr>
          <w:rFonts w:ascii="宋体" w:hAnsi="宋体" w:hint="eastAsia"/>
          <w:sz w:val="32"/>
          <w:szCs w:val="32"/>
        </w:rPr>
      </w:pPr>
      <w:r>
        <w:rPr>
          <w:rFonts w:ascii="宋体" w:hAnsi="宋体" w:hint="eastAsia"/>
          <w:sz w:val="32"/>
          <w:szCs w:val="32"/>
          <w:lang w:val="en-US" w:eastAsia="zh-CN"/>
        </w:rPr>
        <w:t xml:space="preserve">4</w:t>
      </w:r>
      <w:r>
        <w:rPr>
          <w:rFonts w:ascii="宋体" w:hAnsi="宋体" w:hint="eastAsia"/>
          <w:sz w:val="32"/>
          <w:szCs w:val="32"/>
        </w:rPr>
        <w:t xml:space="preserve">、甲方出具</w:t>
      </w:r>
      <w:r>
        <w:rPr>
          <w:rFonts w:ascii="宋体" w:hAnsi="宋体"/>
          <w:sz w:val="32"/>
          <w:szCs w:val="32"/>
        </w:rPr>
        <w:t xml:space="preserve">验收合格的书面意见</w:t>
      </w:r>
      <w:r>
        <w:rPr>
          <w:rFonts w:ascii="宋体" w:hAnsi="宋体" w:hint="eastAsia"/>
          <w:sz w:val="32"/>
          <w:szCs w:val="32"/>
        </w:rPr>
        <w:t xml:space="preserve">，不能视为免除乙方对技术服务存在缺陷所应负的责任，如存在缺陷的，乙方应免费予以解决。乙方不予解决的，甲方有权委托第三方解决，乙方应赔偿由此给甲方造成的一切损失。</w:t>
      </w:r>
    </w:p>
    <w:p>
      <w:pPr>
        <w:spacing w:line="400" w:lineRule="exact"/>
        <w:ind w:firstLine="680" w:firstLineChars="200"/>
        <w:rPr>
          <w:rFonts w:ascii="宋体" w:hAnsi="宋体" w:hint="eastAsia"/>
          <w:sz w:val="32"/>
          <w:szCs w:val="32"/>
        </w:rPr>
      </w:pPr>
    </w:p>
    <w:p>
      <w:pPr>
        <w:spacing w:line="400" w:lineRule="exact"/>
        <w:ind w:firstLine="680" w:firstLineChars="200"/>
        <w:rPr>
          <w:rFonts w:ascii="宋体" w:hAnsi="宋体" w:hint="eastAsia"/>
          <w:sz w:val="32"/>
          <w:szCs w:val="32"/>
        </w:rPr>
      </w:pPr>
    </w:p>
    <w:p>
      <w:pPr>
        <w:spacing w:line="400" w:lineRule="exact"/>
        <w:ind w:firstLine="680" w:firstLineChars="200"/>
        <w:rPr>
          <w:rFonts w:ascii="宋体" w:hAnsi="宋体" w:hint="eastAsia"/>
          <w:sz w:val="32"/>
          <w:szCs w:val="32"/>
        </w:rPr>
      </w:pPr>
    </w:p>
    <w:p>
      <w:pPr>
        <w:spacing w:line="360" w:lineRule="auto"/>
        <w:rPr>
          <w:rFonts w:hint="eastAsia"/>
          <w:sz w:val="32"/>
          <w:szCs w:val="32"/>
        </w:rPr>
      </w:pPr>
    </w:p>
    <w:p>
      <w:pPr>
        <w:spacing w:line="360" w:lineRule="auto"/>
        <w:rPr>
          <w:rFonts w:hint="eastAsia"/>
          <w:sz w:val="32"/>
          <w:szCs w:val="32"/>
        </w:rPr>
      </w:pPr>
    </w:p>
    <w:sectPr>
      <w:headerReference w:type="default" r:id="rId5"/>
      <w:footerReference w:type="default" r:id="rId6"/>
      <w:pgSz w:w="11907" w:h="16840" w:orient="portrait"/>
      <w:pgMar w:top="1985" w:right="1418" w:bottom="1985" w:left="1418" w:header="851" w:footer="992" w:gutter="0"/>
      <w:cols w:num="1" w:space="720">
        <w:col w:w="9071" w:space="720"/>
      </w:cols>
      <w:docGrid w:type="linesAndChars" w:linePitch="435" w:charSpace="4096"/>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Auto"/>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Auto"/>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Auto"/>
    <w:pitch w:val="default"/>
    <w:sig w:usb0="E0002AFF" w:usb1="C0007843" w:usb2="00000009" w:usb3="00000000" w:csb0="400001FF" w:csb1="FFFF0000"/>
  </w:font>
  <w:font w:name="Symbol">
    <w:panose1 w:val="05050102010706020507"/>
    <w:charset w:val="02"/>
    <w:family w:val="Auto"/>
    <w:pitch w:val="default"/>
    <w:sig w:usb0="00000000" w:usb1="00000000" w:usb2="00000000" w:usb3="00000000" w:csb0="80000000" w:csb1="00000000"/>
  </w:font>
  <w:font w:name="Calibri">
    <w:panose1 w:val="020F0502020204030204"/>
    <w:charset w:val="00"/>
    <w:family w:val="Auto"/>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jc w:val="center"/>
    </w:pPr>
    <w:r>
      <mc:AlternateContent xmlns:mc="http://schemas.openxmlformats.org/markup-compatibility/2006">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37997" name="文本框 1"/>
              <wp:cNvGraphicFramePr>
                <a:graphicFrameLocks xmlns:a="http://schemas.openxmlformats.org/drawingml/2006/main" noChangeAspect="0"/>
              </wp:cNvGraphicFramePr>
              <a:graphic>
                <a:graphicData uri="http://schemas.microsoft.com/office/word/2010/wordprocessingShape">
                  <wps:wsp>
                    <wps:cNvSpPr/>
                    <wps:spPr>
                      <a:xfrm>
                        <a:off x="0" y="0"/>
                        <a:ext cx="1828800" cy="1828800"/>
                      </a:xfrm>
                      <a:prstGeom prst="rect">
                        <a:avLst/>
                      </a:prstGeom>
                      <a:noFill/>
                      <a:ln>
                        <a:noFill/>
                      </a:ln>
                    </wps:spPr>
                    <wps:txbx>
                      <w:txbxContent>
                        <w:p>
                          <w:pPr>
                            <w:pStyle w:val="Footer"/>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12</w:t>
                          </w:r>
                          <w:r>
                            <w:rPr>
                              <w:szCs w:val="21"/>
                            </w:rPr>
                            <w:fldChar w:fldCharType="end"/>
                          </w:r>
                          <w:r>
                            <w:rPr>
                              <w:rFonts w:hint="eastAsia"/>
                              <w:szCs w:val="21"/>
                            </w:rPr>
                            <w:t xml:space="preserve"> 页 </w:t>
                          </w:r>
                        </w:p>
                      </w:txbxContent>
                    </wps:txbx>
                    <wps:bodyPr rot="0" spcFirstLastPara="0" vertOverflow="overflow" horzOverflow="overflow" vert="horz" wrap="none" lIns="0" tIns="0" rIns="0" bIns="0" numCol="1" anchor="t" upright="0">
                      <a:spAutoFit/>
                    </wps:bodyPr>
                  </wps:wsp>
                </a:graphicData>
              </a:graphic>
            </wp:anchor>
          </w:drawing>
        </mc:Choice>
        <mc:Fallback>
          <w:pict>
            <v:shape id="文本框 1" o:spid="_x0000_s360097" type="#_x0000_t202" style="height:2in;margin-left:0;margin-top:0;mso-height-relative:page;mso-position-horizontal:center;mso-position-horizontal-relative:margin;mso-width-relative:page;mso-wrap-distance-bottom:0;mso-wrap-distance-left:9pt;mso-wrap-distance-right:9pt;mso-wrap-distance-top:0;mso-wrap-style:none;position:absolute;v-text-anchor:top;width:2in;z-index:251658240" coordsize="21600,21600" filled="f" stroked="f" strokeweight="0.75pt">
              <w10:bordertop type="none" width="0"/>
              <w10:borderleft type="none" width="0"/>
              <w10:borderbottom type="none" width="0"/>
              <w10:borderright type="none" width="0"/>
              <v:textbox style="layout-flow:horizontal;mso-fit-shape-to-text:t" inset="0,0,0,0">
                <w:txbxContent>
                  <w:p>
                    <w:pPr>
                      <w:pStyle w:val="Footer"/>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12</w:t>
                    </w:r>
                    <w:r>
                      <w:rPr>
                        <w:szCs w:val="21"/>
                      </w:rPr>
                      <w:fldChar w:fldCharType="end"/>
                    </w:r>
                    <w:r>
                      <w:rPr>
                        <w:rFonts w:hint="eastAsia"/>
                        <w:szCs w:val="21"/>
                      </w:rPr>
                      <w:t xml:space="preserve"> 页 </w:t>
                    </w:r>
                  </w:p>
                </w:txbxContent>
              </v:textbox>
            </v:shape>
          </w:pict>
        </mc:Fallback>
      </mc:AlternateContent>
    </w:r>
  </w:p>
</w:ftr>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Header"/>
      <w:pBdr>
        <w:bottom w:val="none" w:sz="0" w:space="0" w:color="auto"/>
      </w:pBdr>
    </w:pPr>
    <w:r>
      <w:pict>
        <v:shape id="_x0000_s360088" type="#_x0000_t75" style="height:76pt;margin-left:-50pt;margin-top:25pt;position:absolute;width:100pt;z-index:-1">
          <v:imagedata r:id="rId1" o:title=""/>
        </v:shape>
      </w:pict>
    </w:r>
    <w:r>
      <w:pict>
        <v:shape id="_x0000_s360089" type="#_x0000_t75" style="height:76pt;margin-left:160pt;margin-top:25pt;position:absolute;width:100pt;z-index:-1">
          <v:imagedata r:id="rId1" o:title=""/>
        </v:shape>
      </w:pict>
    </w:r>
    <w:r>
      <w:pict>
        <v:shape id="_x0000_s360090" type="#_x0000_t75" style="height:76pt;margin-left:370pt;margin-top:25pt;position:absolute;width:100pt;z-index:-1">
          <v:imagedata r:id="rId1" o:title=""/>
        </v:shape>
      </w:pict>
    </w:r>
    <w:r>
      <w:pict>
        <v:shape id="_x0000_s360091" type="#_x0000_t75" style="height:76pt;margin-left:-50pt;margin-top:340pt;position:absolute;width:100pt;z-index:-1">
          <v:imagedata r:id="rId1" o:title=""/>
        </v:shape>
      </w:pict>
    </w:r>
    <w:r>
      <w:pict>
        <v:shape id="_x0000_s360092" type="#_x0000_t75" style="height:76pt;margin-left:160pt;margin-top:340pt;position:absolute;width:100pt;z-index:-1">
          <v:imagedata r:id="rId1" o:title=""/>
        </v:shape>
      </w:pict>
    </w:r>
    <w:r>
      <w:pict>
        <v:shape id="_x0000_s360093" type="#_x0000_t75" style="height:76pt;margin-left:370pt;margin-top:340pt;position:absolute;width:100pt;z-index:-1">
          <v:imagedata r:id="rId1" o:title=""/>
        </v:shape>
      </w:pict>
    </w:r>
    <w:r>
      <w:pict>
        <v:shape id="_x0000_s360094" type="#_x0000_t75" style="height:76pt;margin-left:-50pt;margin-top:655pt;position:absolute;width:100pt;z-index:-1">
          <v:imagedata r:id="rId1" o:title=""/>
        </v:shape>
      </w:pict>
    </w:r>
    <w:r>
      <w:pict>
        <v:shape id="_x0000_s360095" type="#_x0000_t75" style="height:76pt;margin-left:160pt;margin-top:655pt;position:absolute;width:100pt;z-index:-1">
          <v:imagedata r:id="rId1" o:title=""/>
        </v:shape>
      </w:pict>
    </w:r>
    <w:r>
      <w:pict>
        <v:shape id="_x0000_s360096" type="#_x0000_t75" style="height:76pt;margin-left:370pt;margin-top:655pt;position:absolute;width:100pt;z-index:-1">
          <v:imagedata r:id="rId1" o:titl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singleLevel"/>
    <w:lvl w:ilvl="0">
      <w:start w:val="2"/>
      <w:numFmt w:val="chineseCounting"/>
      <w:suff w:val="nothing"/>
      <w:lvlText w:val="%1、"/>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00"/>
  <w:embedSystemFonts/>
  <w:bordersDoNotSurroundFooter/>
  <w:bordersDoNotSurroundHeader/>
  <w:doNotTrackMove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doNotFlipMirrorIndents" w:uri="http://schemas.microsoft.com/office/word" w:val="1"/>
    <w:compatSetting w:name="enableOpenTypeFeatures" w:uri="http://schemas.microsoft.com/office/word" w:val="1"/>
    <w:compatSetting w:name="overrideTableStyleFontSizeAndJustification" w:uri="http://schemas.microsoft.com/office/word" w:val="1"/>
    <w:compatSetting w:name="compatibilityMode" w:uri="http://schemas.microsoft.com/office/word" w:val="15"/>
  </w:compat>
  <m:mathPr>
    <m:mathFont m:val="Cambria Math"/>
    <m:brkBin m:val="before"/>
    <m:brkBinSub m:val="--"/>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qFormat="1"/>
    <w:lsdException w:name="Table Theme" w:semiHidden="0"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adjustRightInd w:val="0"/>
      <w:spacing w:line="560" w:lineRule="exact"/>
      <w:jc w:val="both"/>
      <w:textAlignment w:val="baseline"/>
    </w:pPr>
    <w:rPr>
      <w:rFonts w:ascii="Calibri" w:eastAsia="仿宋_GB2312" w:hAnsi="Calibri" w:cs="Times New Roman"/>
      <w:sz w:val="30"/>
      <w:lang w:val="en-US" w:eastAsia="zh-CN" w:bidi="ar-SA"/>
    </w:rPr>
  </w:style>
  <w:style w:type="character" w:default="1" w:styleId="DefaultParagraphFont">
    <w:name w:val="Default Paragraph Font"/>
    <w:semiHidden/>
    <w:rPr/>
  </w:style>
  <w:style w:type="table" w:default="1" w:styleId="NormalTable">
    <w:name w:val="Normal Table"/>
    <w:semiHidden/>
    <w:qFormat/>
    <w:rPr/>
    <w:tblPr>
      <w:tblCellMar>
        <w:top w:w="0" w:type="dxa"/>
        <w:left w:w="108" w:type="dxa"/>
        <w:bottom w:w="0" w:type="dxa"/>
        <w:right w:w="108" w:type="dxa"/>
      </w:tblCellMar>
    </w:tblPr>
  </w:style>
  <w:style w:type="paragraph" w:styleId="Footer">
    <w:name w:val="Footer"/>
    <w:basedOn w:val="Normal"/>
    <w:qFormat/>
    <w:pPr>
      <w:tabs>
        <w:tab w:val="center" w:pos="4153"/>
        <w:tab w:val="right" w:pos="8306"/>
      </w:tabs>
      <w:spacing w:line="240" w:lineRule="atLeast"/>
      <w:jc w:val="left"/>
    </w:pPr>
    <w:rPr>
      <w:sz w:val="18"/>
    </w:rPr>
  </w:style>
  <w:style w:type="paragraph" w:styleId="Header">
    <w:name w:val="Header"/>
    <w:basedOn w:val="Normal"/>
    <w:qFormat/>
    <w:pPr>
      <w:pBdr>
        <w:bottom w:val="single" w:sz="6" w:space="1" w:color="auto"/>
      </w:pBdr>
      <w:tabs>
        <w:tab w:val="center" w:pos="4153"/>
        <w:tab w:val="right" w:pos="8306"/>
      </w:tabs>
      <w:spacing w:line="240" w:lineRule="atLeast"/>
    </w:pPr>
    <w:rPr>
      <w:sz w:val="18"/>
    </w:rPr>
  </w:style>
  <w:style w:type="table" w:styleId="TableGrid">
    <w:name w:val="Table Grid"/>
    <w:basedOn w:val="NormalTable"/>
    <w:qFormat/>
    <w:pPr>
      <w:widowControl w:val="0"/>
      <w:jc w:val="both"/>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pPr>
      <w:widowControl w:val="0"/>
      <w:jc w:val="both"/>
    </w:pPr>
    <w:rPr>
      <w:rFonts w:ascii="Calibri" w:eastAsia="宋体" w:hAnsi="Calibri" w:cs="Times New Roman"/>
      <w:kern w:val="2"/>
      <w:sz w:val="21"/>
      <w:szCs w:val="22"/>
      <w:lang w:val="en-US" w:eastAsia="zh-CN" w:bidi="ar-SA"/>
    </w:r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customXml" Target="../customXml/item1.xml" /><Relationship Id="rId10" Type="http://schemas.openxmlformats.org/officeDocument/2006/relationships/numbering" Target="numbering.xml" /><Relationship Id="rId11" Type="http://schemas.openxmlformats.org/officeDocument/2006/relationships/fontTable" Target="fontTable.xml" /><Relationship Id="rId12" Type="http://schemas.openxmlformats.org/officeDocument/2006/relationships/settings" Target="settings.xml" /><Relationship Id="rId2" Type="http://schemas.openxmlformats.org/officeDocument/2006/relationships/customXml" Target="../customXml/item2.xml" /><Relationship Id="rId3" Type="http://schemas.openxmlformats.org/officeDocument/2006/relationships/customXml" Target="../customXml/item3.xml" /><Relationship Id="rId4" Type="http://schemas.openxmlformats.org/officeDocument/2006/relationships/customXml" Target="../customXml/item4.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 Id="rId9" Type="http://schemas.openxmlformats.org/officeDocument/2006/relationships/webSettings" Target="webSettings.xml" /></Relationships>
</file>

<file path=word/_rels/header1.xml.rels>&#65279;<?xml version="1.0" encoding="utf-8"?><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_rels/item2.xml.rels>&#65279;<?xml version="1.0" encoding="utf-8"?><Relationships xmlns="http://schemas.openxmlformats.org/package/2006/relationships"><Relationship Id="rId1" Type="http://schemas.openxmlformats.org/officeDocument/2006/relationships/customXmlProps" Target="itemProps2.xml" /></Relationships>
</file>

<file path=customXml/_rels/item3.xml.rels>&#65279;<?xml version="1.0" encoding="utf-8"?><Relationships xmlns="http://schemas.openxmlformats.org/package/2006/relationships"><Relationship Id="rId1" Type="http://schemas.openxmlformats.org/officeDocument/2006/relationships/customXmlProps" Target="itemProps3.xml" /></Relationships>
</file>

<file path=customXml/_rels/item4.xml.rels>&#65279;<?xml version="1.0" encoding="utf-8"?><Relationships xmlns="http://schemas.openxmlformats.org/package/2006/relationships"><Relationship Id="rId1" Type="http://schemas.openxmlformats.org/officeDocument/2006/relationships/customXmlProps" Target="itemProps4.xml" /></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zhangli</dc:creator>
  <cp:lastModifiedBy>汪芝岚</cp:lastModifiedBy>
  <dcterms:modified xsi:type="dcterms:W3CDTF">2023-06-09T02:03:53Z</dcterms:modified>
</cp:coreProperties>
</file>

<file path=customXml/item2.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Office_11.8.2.8506_F1E327BC-269C-435d-A152-05C5408002CA</Application>
  <DocSecurity>0</DocSecurity>
</Properties>
</file>

<file path=customXml/item3.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ies>
</file>

<file path=customXml/item4.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customXml/itemProps3.xml><?xml version="1.0" encoding="utf-8"?>
<ds:datastoreItem xmlns:ds="http://schemas.openxmlformats.org/officeDocument/2006/customXml" ds:itemID="">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vt="http://schemas.openxmlformats.org/officeDocument/2006/docPropsVTypes" xmlns="http://schemas.openxmlformats.org/officeDocument/2006/extended-properties">
  <Template>Normal.dotm</Template>
  <TotalTime>0</TotalTime>
  <Pages>1</Pages>
  <Words>0</Words>
  <Characters>0</Characters>
  <Application>WPS Office_11.8.2.8506_F1E327BC-269C-435d-A152-05C5408002CA</Application>
  <DocSecurity>0</DocSecurity>
  <Lines>0</Lines>
  <Paragraphs>0</Paragraphs>
  <CharactersWithSpaces>0</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zhangli</dc:creator>
  <cp:lastModifiedBy>汪芝岚</cp:lastModifiedBy>
  <cp:revision>1</cp:revision>
  <dcterms:created xsi:type="dcterms:W3CDTF">2014-10-29T12:08:00Z</dcterms:created>
  <dcterms:modified xsi:type="dcterms:W3CDTF">2024-10-16T03:01:00Z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str>2052-11.8.2.8506</vt:lpstr>
  </property>
</Properties>
</file>