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leftChars="0"/>
        <w:jc w:val="center"/>
        <w:rPr>
          <w:rFonts w:hint="eastAsia" w:ascii="宋体" w:hAnsi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center"/>
        <w:rPr>
          <w:rFonts w:hint="default" w:ascii="宋体" w:hAnsi="宋体" w:cs="宋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sz w:val="32"/>
          <w:szCs w:val="32"/>
          <w:lang w:val="en-US" w:eastAsia="zh-CN"/>
        </w:rPr>
        <w:t>报价表（模板）</w:t>
      </w:r>
    </w:p>
    <w:tbl>
      <w:tblPr>
        <w:tblStyle w:val="2"/>
        <w:tblW w:w="89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2005"/>
        <w:gridCol w:w="1049"/>
        <w:gridCol w:w="1860"/>
        <w:gridCol w:w="1605"/>
        <w:gridCol w:w="180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单价限价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/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办公室室内空气检测：甲醛、氨、苯、甲苯、二甲苯、TVOC、氡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9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bidi w:val="0"/>
              <w:jc w:val="center"/>
              <w:rPr>
                <w:rFonts w:hint="default" w:ascii="Calibri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合计（元）</w:t>
            </w:r>
          </w:p>
        </w:tc>
        <w:tc>
          <w:tcPr>
            <w:tcW w:w="34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注：1、</w:t>
      </w:r>
      <w:r>
        <w:rPr>
          <w:rFonts w:hint="eastAsia" w:ascii="宋体" w:hAnsi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单价报价</w:t>
      </w: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 xml:space="preserve">不能超过限价，若超过限价作无效报价处理。                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2、报价包括人工费、检测费、交通费以及税费等全部费用。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 xml:space="preserve">3、报价表须加盖响应单位公章。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83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2026-06-04T09:36:37Z</dcterms:created>
  <dc:creator>FYG</dc:creator>
  <cp:lastModifiedBy>奉毅刚</cp:lastModifiedBy>
  <dcterms:modified xsi:type="dcterms:W3CDTF">2026-06-04T09:37:01Z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A843D8B29A8945D49D4B2A172565AB61</vt:lpwstr>
  </property>
</Properties>
</file>