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9"/>
        <w:rPr>
          <w:rFonts w:hint="default" w:ascii="Times New Roman" w:hAnsi="Times New Roman" w:cs="Times New Roman"/>
          <w:b/>
          <w:sz w:val="48"/>
          <w:szCs w:val="48"/>
          <w:highlight w:val="none"/>
        </w:rPr>
      </w:pPr>
      <w:r>
        <w:rPr>
          <w:rFonts w:hint="default" w:ascii="Times New Roman" w:hAnsi="Times New Roman" w:cs="Times New Roman"/>
          <w:highlight w:val="none"/>
        </w:rPr>
        <w:drawing>
          <wp:anchor distT="0" distB="0" distL="114300" distR="114300" simplePos="0" relativeHeight="251660288" behindDoc="0" locked="0" layoutInCell="1" allowOverlap="1">
            <wp:simplePos x="0" y="0"/>
            <wp:positionH relativeFrom="column">
              <wp:posOffset>-1230630</wp:posOffset>
            </wp:positionH>
            <wp:positionV relativeFrom="paragraph">
              <wp:posOffset>-990600</wp:posOffset>
            </wp:positionV>
            <wp:extent cx="7772400" cy="2381250"/>
            <wp:effectExtent l="0" t="0" r="0" b="0"/>
            <wp:wrapNone/>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772400" cy="2381250"/>
                    </a:xfrm>
                    <a:prstGeom prst="rect">
                      <a:avLst/>
                    </a:prstGeom>
                    <a:noFill/>
                    <a:ln>
                      <a:noFill/>
                    </a:ln>
                  </pic:spPr>
                </pic:pic>
              </a:graphicData>
            </a:graphic>
          </wp:anchor>
        </w:drawing>
      </w:r>
    </w:p>
    <w:p>
      <w:pPr>
        <w:spacing w:line="360" w:lineRule="auto"/>
        <w:jc w:val="center"/>
        <w:outlineLvl w:val="9"/>
        <w:rPr>
          <w:rFonts w:hint="default" w:ascii="Times New Roman" w:hAnsi="Times New Roman" w:cs="Times New Roman"/>
          <w:b/>
          <w:sz w:val="48"/>
          <w:szCs w:val="48"/>
          <w:highlight w:val="none"/>
        </w:rPr>
      </w:pPr>
    </w:p>
    <w:p>
      <w:pPr>
        <w:spacing w:line="360" w:lineRule="auto"/>
        <w:jc w:val="center"/>
        <w:outlineLvl w:val="9"/>
        <w:rPr>
          <w:rFonts w:hint="default" w:ascii="Times New Roman" w:hAnsi="Times New Roman" w:cs="Times New Roman"/>
          <w:b/>
          <w:sz w:val="48"/>
          <w:szCs w:val="48"/>
          <w:highlight w:val="none"/>
        </w:rPr>
      </w:pPr>
    </w:p>
    <w:p>
      <w:pPr>
        <w:spacing w:line="360" w:lineRule="auto"/>
        <w:jc w:val="both"/>
        <w:outlineLvl w:val="9"/>
        <w:rPr>
          <w:rFonts w:hint="default" w:ascii="Times New Roman" w:hAnsi="Times New Roman" w:cs="Times New Roman"/>
          <w:b/>
          <w:sz w:val="48"/>
          <w:szCs w:val="48"/>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default" w:ascii="Times New Roman" w:hAnsi="Times New Roman" w:cs="Times New Roman"/>
          <w:b/>
          <w:sz w:val="48"/>
          <w:szCs w:val="4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default" w:ascii="Times New Roman" w:hAnsi="Times New Roman" w:cs="Times New Roman"/>
          <w:b/>
          <w:sz w:val="48"/>
          <w:szCs w:val="4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default" w:ascii="Times New Roman" w:hAnsi="Times New Roman" w:cs="Times New Roman"/>
          <w:b/>
          <w:sz w:val="48"/>
          <w:szCs w:val="48"/>
          <w:highlight w:val="none"/>
          <w:lang w:val="en-US" w:eastAsia="zh-CN"/>
        </w:rPr>
      </w:pPr>
      <w:r>
        <w:rPr>
          <w:rFonts w:hint="default" w:ascii="Times New Roman" w:hAnsi="Times New Roman" w:cs="Times New Roman"/>
          <w:b/>
          <w:sz w:val="48"/>
          <w:szCs w:val="48"/>
          <w:highlight w:val="none"/>
          <w:lang w:val="en-US" w:eastAsia="zh-CN"/>
        </w:rPr>
        <w:t>启鸣公司2025年度研发费用专项审计</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default" w:ascii="Times New Roman" w:hAnsi="Times New Roman" w:cs="Times New Roman"/>
          <w:b/>
          <w:sz w:val="48"/>
          <w:szCs w:val="48"/>
          <w:highlight w:val="none"/>
          <w:lang w:val="en-US" w:eastAsia="zh-CN"/>
        </w:rPr>
      </w:pPr>
      <w:r>
        <w:rPr>
          <w:rFonts w:hint="eastAsia" w:cs="Times New Roman"/>
          <w:b/>
          <w:sz w:val="48"/>
          <w:szCs w:val="48"/>
          <w:highlight w:val="none"/>
          <w:lang w:val="en-US" w:eastAsia="zh-CN"/>
        </w:rPr>
        <w:t>技术规范书</w:t>
      </w:r>
    </w:p>
    <w:p>
      <w:pPr>
        <w:spacing w:line="360" w:lineRule="auto"/>
        <w:jc w:val="center"/>
        <w:outlineLvl w:val="9"/>
        <w:rPr>
          <w:rFonts w:hint="default" w:ascii="Times New Roman" w:hAnsi="Times New Roman" w:eastAsia="楷体_GB2312" w:cs="Times New Roman"/>
          <w:sz w:val="32"/>
          <w:szCs w:val="32"/>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spacing w:line="360" w:lineRule="auto"/>
        <w:jc w:val="center"/>
        <w:outlineLvl w:val="9"/>
        <w:rPr>
          <w:rFonts w:hint="default" w:ascii="Times New Roman" w:hAnsi="Times New Roman" w:cs="Times New Roman"/>
          <w:b/>
          <w:sz w:val="72"/>
          <w:szCs w:val="72"/>
          <w:highlight w:val="none"/>
        </w:rPr>
      </w:pPr>
    </w:p>
    <w:p>
      <w:pPr>
        <w:jc w:val="center"/>
        <w:rPr>
          <w:rFonts w:hint="default" w:ascii="Times New Roman" w:hAnsi="Times New Roman" w:cs="Times New Roman"/>
          <w:i/>
          <w:color w:val="0070C0"/>
          <w:sz w:val="24"/>
          <w:szCs w:val="24"/>
          <w:highlight w:val="none"/>
        </w:rPr>
      </w:pPr>
    </w:p>
    <w:p>
      <w:pPr>
        <w:spacing w:line="360" w:lineRule="auto"/>
        <w:ind w:left="-27" w:leftChars="-85" w:right="-300" w:rightChars="-125" w:hanging="177" w:hangingChars="34"/>
        <w:jc w:val="center"/>
        <w:rPr>
          <w:rFonts w:hint="default" w:ascii="Times New Roman" w:hAnsi="Times New Roman" w:cs="Times New Roman"/>
          <w:b/>
          <w:sz w:val="52"/>
          <w:szCs w:val="52"/>
          <w:highlight w:val="none"/>
        </w:rPr>
      </w:pPr>
    </w:p>
    <w:p>
      <w:pPr>
        <w:spacing w:line="360" w:lineRule="auto"/>
        <w:jc w:val="center"/>
        <w:rPr>
          <w:rFonts w:hint="default" w:ascii="Times New Roman" w:hAnsi="Times New Roman" w:eastAsia="楷体_GB2312" w:cs="Times New Roman"/>
          <w:sz w:val="32"/>
          <w:szCs w:val="32"/>
          <w:highlight w:val="none"/>
        </w:rPr>
      </w:pPr>
    </w:p>
    <w:p>
      <w:pPr>
        <w:spacing w:line="360" w:lineRule="auto"/>
        <w:jc w:val="center"/>
        <w:rPr>
          <w:rFonts w:hint="default" w:ascii="Times New Roman" w:hAnsi="Times New Roman" w:eastAsia="楷体_GB2312" w:cs="Times New Roman"/>
          <w:sz w:val="32"/>
          <w:szCs w:val="32"/>
          <w:highlight w:val="none"/>
        </w:rPr>
      </w:pPr>
    </w:p>
    <w:p>
      <w:pPr>
        <w:pStyle w:val="2"/>
        <w:rPr>
          <w:rFonts w:hint="default" w:ascii="Times New Roman" w:hAnsi="Times New Roman" w:eastAsia="楷体_GB2312" w:cs="Times New Roman"/>
          <w:sz w:val="32"/>
          <w:szCs w:val="32"/>
          <w:highlight w:val="none"/>
        </w:rPr>
      </w:pPr>
    </w:p>
    <w:p>
      <w:pPr>
        <w:rPr>
          <w:rFonts w:hint="default" w:ascii="Times New Roman" w:hAnsi="Times New Roman" w:eastAsia="楷体_GB2312" w:cs="Times New Roman"/>
          <w:sz w:val="32"/>
          <w:szCs w:val="32"/>
          <w:highlight w:val="none"/>
        </w:rPr>
      </w:pPr>
    </w:p>
    <w:p>
      <w:pPr>
        <w:pStyle w:val="2"/>
        <w:rPr>
          <w:rFonts w:hint="default" w:ascii="Times New Roman" w:hAnsi="Times New Roman" w:eastAsia="楷体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sz w:val="36"/>
          <w:szCs w:val="36"/>
          <w:highlight w:val="none"/>
          <w:lang w:val="en-US" w:eastAsia="zh-CN"/>
        </w:rPr>
      </w:pPr>
      <w:r>
        <w:rPr>
          <w:rFonts w:hint="default" w:ascii="Times New Roman" w:hAnsi="Times New Roman" w:cs="Times New Roman"/>
          <w:b/>
          <w:sz w:val="36"/>
          <w:szCs w:val="36"/>
          <w:highlight w:val="none"/>
          <w:lang w:val="en-US" w:eastAsia="zh-CN"/>
        </w:rPr>
        <w:t>广州</w:t>
      </w:r>
      <w:r>
        <w:rPr>
          <w:rFonts w:hint="eastAsia" w:cs="Times New Roman"/>
          <w:b/>
          <w:sz w:val="36"/>
          <w:szCs w:val="36"/>
          <w:highlight w:val="none"/>
          <w:lang w:val="en-US" w:eastAsia="zh-CN"/>
        </w:rPr>
        <w:t>启鸣数智能源科技有限责任公司</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t>20</w:t>
      </w:r>
      <w:r>
        <w:rPr>
          <w:rFonts w:hint="default" w:ascii="Times New Roman" w:hAnsi="Times New Roman" w:cs="Times New Roman"/>
          <w:b/>
          <w:sz w:val="36"/>
          <w:szCs w:val="36"/>
          <w:highlight w:val="none"/>
          <w:lang w:val="en-US" w:eastAsia="zh-CN"/>
        </w:rPr>
        <w:t>26</w:t>
      </w:r>
      <w:r>
        <w:rPr>
          <w:rFonts w:hint="default" w:ascii="Times New Roman" w:hAnsi="Times New Roman" w:cs="Times New Roman"/>
          <w:b/>
          <w:sz w:val="36"/>
          <w:szCs w:val="36"/>
          <w:highlight w:val="none"/>
        </w:rPr>
        <w:t>年</w:t>
      </w:r>
      <w:r>
        <w:rPr>
          <w:rFonts w:hint="eastAsia" w:cs="Times New Roman"/>
          <w:b/>
          <w:sz w:val="36"/>
          <w:szCs w:val="36"/>
          <w:highlight w:val="none"/>
          <w:lang w:val="en-US" w:eastAsia="zh-CN"/>
        </w:rPr>
        <w:t>6</w:t>
      </w:r>
      <w:r>
        <w:rPr>
          <w:rFonts w:hint="default" w:ascii="Times New Roman" w:hAnsi="Times New Roman" w:cs="Times New Roman"/>
          <w:b/>
          <w:sz w:val="36"/>
          <w:szCs w:val="36"/>
          <w:highlight w:val="none"/>
        </w:rPr>
        <w:t>月</w:t>
      </w:r>
    </w:p>
    <w:p>
      <w:pPr>
        <w:widowControl w:val="0"/>
        <w:numPr>
          <w:ilvl w:val="0"/>
          <w:numId w:val="1"/>
        </w:numPr>
        <w:tabs>
          <w:tab w:val="left" w:pos="312"/>
          <w:tab w:val="clear" w:pos="420"/>
        </w:tabs>
        <w:jc w:val="both"/>
        <w:rPr>
          <w:rFonts w:hint="default" w:ascii="Times New Roman" w:hAnsi="Times New Roman" w:cs="Times New Roman"/>
          <w:b/>
          <w:bCs/>
          <w:sz w:val="28"/>
          <w:szCs w:val="28"/>
          <w:highlight w:val="none"/>
          <w:lang w:val="en-US" w:eastAsia="zh-CN"/>
        </w:rPr>
        <w:sectPr>
          <w:pgSz w:w="11906" w:h="16838"/>
          <w:pgMar w:top="1440" w:right="1800" w:bottom="1440" w:left="1800" w:header="851" w:footer="992" w:gutter="0"/>
          <w:pgNumType w:fmt="decimal"/>
          <w:cols w:space="425" w:num="1"/>
          <w:docGrid w:type="lines" w:linePitch="312" w:charSpace="0"/>
        </w:sectPr>
      </w:pPr>
    </w:p>
    <w:p>
      <w:pPr>
        <w:ind w:firstLine="643" w:firstLineChars="200"/>
        <w:outlineLvl w:val="0"/>
        <w:rPr>
          <w:rFonts w:hint="default" w:ascii="Times New Roman" w:hAnsi="Times New Roman" w:eastAsia="宋体" w:cs="Times New Roman"/>
          <w:b/>
          <w:bCs/>
          <w:sz w:val="32"/>
          <w:szCs w:val="32"/>
          <w:lang w:val="en-US"/>
        </w:rPr>
      </w:pPr>
      <w:r>
        <w:rPr>
          <w:rFonts w:hint="default" w:ascii="Times New Roman" w:hAnsi="Times New Roman" w:eastAsia="宋体" w:cs="Times New Roman"/>
          <w:b/>
          <w:bCs/>
          <w:sz w:val="32"/>
          <w:szCs w:val="32"/>
        </w:rPr>
        <w:t>一、</w:t>
      </w:r>
      <w:r>
        <w:rPr>
          <w:rFonts w:hint="eastAsia" w:cs="Times New Roman"/>
          <w:b/>
          <w:bCs/>
          <w:sz w:val="32"/>
          <w:szCs w:val="32"/>
          <w:lang w:val="en-US" w:eastAsia="zh-CN"/>
        </w:rPr>
        <w:t>项目概况</w:t>
      </w:r>
    </w:p>
    <w:p>
      <w:pPr>
        <w:ind w:firstLine="560" w:firstLineChars="200"/>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val="en-US" w:eastAsia="zh-CN"/>
        </w:rPr>
        <w:t>为满足公司申报广东省创新型中小企业的政策要求，需要对广州启鸣数智能源科技有限</w:t>
      </w:r>
      <w:r>
        <w:rPr>
          <w:rFonts w:hint="eastAsia" w:cs="Times New Roman"/>
          <w:b w:val="0"/>
          <w:bCs w:val="0"/>
          <w:sz w:val="28"/>
          <w:szCs w:val="28"/>
          <w:lang w:val="en-US" w:eastAsia="zh-CN"/>
        </w:rPr>
        <w:t>责任</w:t>
      </w:r>
      <w:r>
        <w:rPr>
          <w:rFonts w:hint="default" w:ascii="Times New Roman" w:hAnsi="Times New Roman" w:eastAsia="宋体" w:cs="Times New Roman"/>
          <w:b w:val="0"/>
          <w:bCs w:val="0"/>
          <w:sz w:val="28"/>
          <w:szCs w:val="28"/>
          <w:lang w:val="en-US" w:eastAsia="zh-CN"/>
        </w:rPr>
        <w:t>公司（以下简称“采购人”）在20</w:t>
      </w:r>
      <w:r>
        <w:rPr>
          <w:rFonts w:hint="eastAsia" w:cs="Times New Roman"/>
          <w:b w:val="0"/>
          <w:bCs w:val="0"/>
          <w:sz w:val="28"/>
          <w:szCs w:val="28"/>
          <w:lang w:val="en-US" w:eastAsia="zh-CN"/>
        </w:rPr>
        <w:t>25</w:t>
      </w:r>
      <w:r>
        <w:rPr>
          <w:rFonts w:hint="default" w:ascii="Times New Roman" w:hAnsi="Times New Roman" w:eastAsia="宋体" w:cs="Times New Roman"/>
          <w:b w:val="0"/>
          <w:bCs w:val="0"/>
          <w:sz w:val="28"/>
          <w:szCs w:val="28"/>
          <w:lang w:val="en-US" w:eastAsia="zh-CN"/>
        </w:rPr>
        <w:t>年度发生的与研发活动相关的成本费用进行系统性梳理、甄别与归集，将其中符合条件的支出纳入研发费用核算体系，并出具符合广东省创新型中小企业申报要求的专项审计报告。</w:t>
      </w:r>
    </w:p>
    <w:p>
      <w:pPr>
        <w:ind w:firstLine="560" w:firstLineChars="200"/>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val="en-US" w:eastAsia="zh-CN"/>
        </w:rPr>
        <w:t>本项目采购的服务成果将作为采购人通过优质中小企业梯度培育平台（https://zjtx.miit.gov.cn/）申报广东省创新型中小企业的关键佐证材料。</w:t>
      </w:r>
    </w:p>
    <w:p>
      <w:pPr>
        <w:ind w:firstLine="643" w:firstLineChars="200"/>
        <w:outlineLvl w:val="0"/>
        <w:rPr>
          <w:rFonts w:hint="default" w:ascii="Times New Roman" w:hAnsi="Times New Roman" w:eastAsia="宋体" w:cs="Times New Roman"/>
          <w:b/>
          <w:bCs/>
          <w:sz w:val="32"/>
          <w:szCs w:val="32"/>
          <w:lang w:val="en-US" w:eastAsia="zh-CN"/>
        </w:rPr>
      </w:pPr>
      <w:r>
        <w:rPr>
          <w:rFonts w:hint="default" w:ascii="Times New Roman" w:hAnsi="Times New Roman" w:eastAsia="宋体" w:cs="Times New Roman"/>
          <w:b/>
          <w:bCs/>
          <w:sz w:val="32"/>
          <w:szCs w:val="32"/>
          <w:lang w:val="en-US" w:eastAsia="zh-CN"/>
        </w:rPr>
        <w:t>二、服务</w:t>
      </w:r>
      <w:r>
        <w:rPr>
          <w:rFonts w:hint="eastAsia" w:cs="Times New Roman"/>
          <w:b/>
          <w:bCs/>
          <w:sz w:val="32"/>
          <w:szCs w:val="32"/>
          <w:lang w:val="en-US" w:eastAsia="zh-CN"/>
        </w:rPr>
        <w:t>范围</w:t>
      </w:r>
    </w:p>
    <w:p>
      <w:pPr>
        <w:ind w:firstLine="560" w:firstLineChars="200"/>
        <w:rPr>
          <w:rFonts w:hint="default" w:ascii="Times New Roman" w:hAnsi="Times New Roman" w:eastAsia="宋体" w:cs="Times New Roman"/>
          <w:sz w:val="28"/>
          <w:szCs w:val="28"/>
        </w:rPr>
      </w:pPr>
      <w:r>
        <w:rPr>
          <w:rFonts w:hint="eastAsia" w:cs="Times New Roman"/>
          <w:sz w:val="28"/>
          <w:szCs w:val="28"/>
          <w:lang w:val="en-US" w:eastAsia="zh-CN"/>
        </w:rPr>
        <w:t>采购人对现有项目及成本支出进行系统盘点，初步预估可归集研发费用约100万元，最终金额以符合研发费用核算体系认定的实际支出为准。</w:t>
      </w:r>
      <w:r>
        <w:rPr>
          <w:rFonts w:hint="default" w:cs="Times New Roman"/>
          <w:sz w:val="28"/>
          <w:szCs w:val="28"/>
          <w:lang w:val="en-US" w:eastAsia="zh-CN"/>
        </w:rPr>
        <w:t>供应商</w:t>
      </w:r>
      <w:r>
        <w:rPr>
          <w:rFonts w:hint="default" w:ascii="Times New Roman" w:hAnsi="Times New Roman" w:eastAsia="宋体" w:cs="Times New Roman"/>
          <w:sz w:val="28"/>
          <w:szCs w:val="28"/>
        </w:rPr>
        <w:t>应对采购人在</w:t>
      </w:r>
      <w:r>
        <w:rPr>
          <w:rFonts w:hint="default" w:cs="Times New Roman"/>
          <w:sz w:val="28"/>
          <w:szCs w:val="28"/>
          <w:lang w:val="en-US" w:eastAsia="zh-CN"/>
        </w:rPr>
        <w:t>2025年度</w:t>
      </w:r>
      <w:r>
        <w:rPr>
          <w:rFonts w:hint="default" w:ascii="Times New Roman" w:hAnsi="Times New Roman" w:eastAsia="宋体" w:cs="Times New Roman"/>
          <w:sz w:val="28"/>
          <w:szCs w:val="28"/>
        </w:rPr>
        <w:t>发生的与研发活动相关的成本费用进行以下方面的审核与归集：</w:t>
      </w:r>
    </w:p>
    <w:p>
      <w:pPr>
        <w:ind w:firstLine="640" w:firstLineChars="200"/>
        <w:outlineLvl w:val="1"/>
        <w:rPr>
          <w:rFonts w:hint="default" w:ascii="Times New Roman" w:hAnsi="Times New Roman" w:eastAsia="宋体" w:cs="Times New Roman"/>
          <w:sz w:val="32"/>
          <w:szCs w:val="32"/>
        </w:rPr>
      </w:pPr>
      <w:r>
        <w:rPr>
          <w:rFonts w:hint="eastAsia" w:cs="Times New Roman"/>
          <w:sz w:val="32"/>
          <w:szCs w:val="32"/>
          <w:lang w:val="en-US" w:eastAsia="zh-CN"/>
        </w:rPr>
        <w:t>1.</w:t>
      </w:r>
      <w:r>
        <w:rPr>
          <w:rFonts w:hint="default" w:ascii="Times New Roman" w:hAnsi="Times New Roman" w:eastAsia="宋体" w:cs="Times New Roman"/>
          <w:sz w:val="32"/>
          <w:szCs w:val="32"/>
        </w:rPr>
        <w:t>人员人工费用</w:t>
      </w:r>
    </w:p>
    <w:p>
      <w:pPr>
        <w:ind w:firstLine="560" w:firstLineChars="2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直接从事研发活动人员的工资薪金、基本养老保险费、基本医疗保险费、失业保险费、工伤保险费、生育保险费和住房公积金，以及外聘研发人员的劳务费用。</w:t>
      </w:r>
    </w:p>
    <w:p>
      <w:pPr>
        <w:ind w:firstLine="640" w:firstLineChars="200"/>
        <w:outlineLvl w:val="1"/>
        <w:rPr>
          <w:rFonts w:hint="eastAsia" w:ascii="Times New Roman" w:hAnsi="Times New Roman" w:eastAsia="宋体" w:cs="Times New Roman"/>
          <w:sz w:val="32"/>
          <w:szCs w:val="32"/>
        </w:rPr>
      </w:pPr>
      <w:r>
        <w:rPr>
          <w:rFonts w:hint="eastAsia" w:cs="Times New Roman"/>
          <w:sz w:val="32"/>
          <w:szCs w:val="32"/>
          <w:lang w:val="en-US" w:eastAsia="zh-CN"/>
        </w:rPr>
        <w:t>2.</w:t>
      </w:r>
      <w:r>
        <w:rPr>
          <w:rFonts w:hint="eastAsia" w:ascii="Times New Roman" w:hAnsi="Times New Roman" w:eastAsia="宋体" w:cs="Times New Roman"/>
          <w:sz w:val="32"/>
          <w:szCs w:val="32"/>
        </w:rPr>
        <w:t>直接投入费用</w:t>
      </w:r>
    </w:p>
    <w:p>
      <w:pPr>
        <w:ind w:firstLine="560" w:firstLineChars="2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研发活动直接消耗的材料、燃料和动力费用；用于中间试验和产品试制的模具、工艺装备开发及制造费；用于研发活动的仪器、设备的运行维护、调整、检验、维修等费用。</w:t>
      </w:r>
    </w:p>
    <w:p>
      <w:pPr>
        <w:ind w:firstLine="640" w:firstLineChars="200"/>
        <w:outlineLvl w:val="1"/>
        <w:rPr>
          <w:rFonts w:hint="eastAsia" w:ascii="Times New Roman" w:hAnsi="Times New Roman" w:eastAsia="宋体" w:cs="Times New Roman"/>
          <w:sz w:val="32"/>
          <w:szCs w:val="32"/>
        </w:rPr>
      </w:pPr>
      <w:r>
        <w:rPr>
          <w:rFonts w:hint="eastAsia" w:cs="Times New Roman"/>
          <w:sz w:val="32"/>
          <w:szCs w:val="32"/>
          <w:lang w:val="en-US" w:eastAsia="zh-CN"/>
        </w:rPr>
        <w:t>3.</w:t>
      </w:r>
      <w:r>
        <w:rPr>
          <w:rFonts w:hint="eastAsia" w:ascii="Times New Roman" w:hAnsi="Times New Roman" w:eastAsia="宋体" w:cs="Times New Roman"/>
          <w:sz w:val="32"/>
          <w:szCs w:val="32"/>
        </w:rPr>
        <w:t>折旧费用与长期待摊费用</w:t>
      </w:r>
    </w:p>
    <w:p>
      <w:pPr>
        <w:ind w:firstLine="560" w:firstLineChars="2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用于研发活动的仪器、设备的折旧费；研发设施改建、改装、装修和修理过程中发生的长期待摊费用。</w:t>
      </w:r>
    </w:p>
    <w:p>
      <w:pPr>
        <w:ind w:firstLine="640" w:firstLineChars="200"/>
        <w:outlineLvl w:val="1"/>
        <w:rPr>
          <w:rFonts w:hint="eastAsia" w:ascii="Times New Roman" w:hAnsi="Times New Roman" w:eastAsia="宋体" w:cs="Times New Roman"/>
          <w:sz w:val="32"/>
          <w:szCs w:val="32"/>
        </w:rPr>
      </w:pPr>
      <w:r>
        <w:rPr>
          <w:rFonts w:hint="eastAsia" w:cs="Times New Roman"/>
          <w:sz w:val="32"/>
          <w:szCs w:val="32"/>
          <w:lang w:val="en-US" w:eastAsia="zh-CN"/>
        </w:rPr>
        <w:t>4.</w:t>
      </w:r>
      <w:r>
        <w:rPr>
          <w:rFonts w:hint="eastAsia" w:ascii="Times New Roman" w:hAnsi="Times New Roman" w:eastAsia="宋体" w:cs="Times New Roman"/>
          <w:sz w:val="32"/>
          <w:szCs w:val="32"/>
        </w:rPr>
        <w:t>设计费用</w:t>
      </w:r>
    </w:p>
    <w:p>
      <w:pPr>
        <w:ind w:firstLine="560" w:firstLineChars="2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新产品设计费、新工艺规程制定费</w:t>
      </w:r>
      <w:r>
        <w:rPr>
          <w:rFonts w:hint="default" w:cs="Times New Roman"/>
          <w:sz w:val="28"/>
          <w:szCs w:val="28"/>
          <w:lang w:eastAsia="zh-CN"/>
        </w:rPr>
        <w:t>。</w:t>
      </w:r>
    </w:p>
    <w:p>
      <w:pPr>
        <w:ind w:firstLine="640" w:firstLineChars="200"/>
        <w:outlineLvl w:val="1"/>
        <w:rPr>
          <w:rFonts w:hint="eastAsia" w:ascii="Times New Roman" w:hAnsi="Times New Roman" w:eastAsia="宋体" w:cs="Times New Roman"/>
          <w:sz w:val="32"/>
          <w:szCs w:val="32"/>
        </w:rPr>
      </w:pPr>
      <w:r>
        <w:rPr>
          <w:rFonts w:hint="eastAsia" w:cs="Times New Roman"/>
          <w:sz w:val="32"/>
          <w:szCs w:val="32"/>
          <w:lang w:val="en-US" w:eastAsia="zh-CN"/>
        </w:rPr>
        <w:t>5.</w:t>
      </w:r>
      <w:r>
        <w:rPr>
          <w:rFonts w:hint="eastAsia" w:ascii="Times New Roman" w:hAnsi="Times New Roman" w:eastAsia="宋体" w:cs="Times New Roman"/>
          <w:sz w:val="32"/>
          <w:szCs w:val="32"/>
        </w:rPr>
        <w:t>装备调试费</w:t>
      </w:r>
    </w:p>
    <w:p>
      <w:pPr>
        <w:ind w:firstLine="560" w:firstLineChars="2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用于研发活动的装备调试费用。</w:t>
      </w:r>
    </w:p>
    <w:p>
      <w:pPr>
        <w:ind w:firstLine="640" w:firstLineChars="200"/>
        <w:outlineLvl w:val="1"/>
        <w:rPr>
          <w:rFonts w:hint="eastAsia" w:ascii="Times New Roman" w:hAnsi="Times New Roman" w:eastAsia="宋体" w:cs="Times New Roman"/>
          <w:sz w:val="32"/>
          <w:szCs w:val="32"/>
        </w:rPr>
      </w:pPr>
      <w:r>
        <w:rPr>
          <w:rFonts w:hint="eastAsia" w:cs="Times New Roman"/>
          <w:sz w:val="32"/>
          <w:szCs w:val="32"/>
          <w:lang w:val="en-US" w:eastAsia="zh-CN"/>
        </w:rPr>
        <w:t>6.</w:t>
      </w:r>
      <w:r>
        <w:rPr>
          <w:rFonts w:hint="eastAsia" w:ascii="Times New Roman" w:hAnsi="Times New Roman" w:eastAsia="宋体" w:cs="Times New Roman"/>
          <w:sz w:val="32"/>
          <w:szCs w:val="32"/>
        </w:rPr>
        <w:t>无形资产摊销</w:t>
      </w:r>
    </w:p>
    <w:p>
      <w:pPr>
        <w:ind w:firstLine="560" w:firstLineChars="2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用于研发活动的软件、专利权、非专利技术（包括许可证、专有技术、设计和计算方法等）的摊销费用。</w:t>
      </w:r>
    </w:p>
    <w:p>
      <w:pPr>
        <w:ind w:firstLine="640" w:firstLineChars="200"/>
        <w:outlineLvl w:val="1"/>
        <w:rPr>
          <w:rFonts w:hint="eastAsia" w:ascii="Times New Roman" w:hAnsi="Times New Roman" w:eastAsia="宋体" w:cs="Times New Roman"/>
          <w:sz w:val="32"/>
          <w:szCs w:val="32"/>
        </w:rPr>
      </w:pPr>
      <w:r>
        <w:rPr>
          <w:rFonts w:hint="eastAsia" w:cs="Times New Roman"/>
          <w:sz w:val="32"/>
          <w:szCs w:val="32"/>
          <w:lang w:val="en-US" w:eastAsia="zh-CN"/>
        </w:rPr>
        <w:t>7.</w:t>
      </w:r>
      <w:r>
        <w:rPr>
          <w:rFonts w:hint="eastAsia" w:ascii="Times New Roman" w:hAnsi="Times New Roman" w:eastAsia="宋体" w:cs="Times New Roman"/>
          <w:sz w:val="32"/>
          <w:szCs w:val="32"/>
        </w:rPr>
        <w:t>委托外部研究开发费用</w:t>
      </w:r>
    </w:p>
    <w:p>
      <w:pPr>
        <w:ind w:firstLine="560" w:firstLineChars="2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企业委托境内外其他机构或个人进行研究开发活动所发生的费用。</w:t>
      </w:r>
    </w:p>
    <w:p>
      <w:pPr>
        <w:ind w:firstLine="640" w:firstLineChars="200"/>
        <w:outlineLvl w:val="1"/>
        <w:rPr>
          <w:rFonts w:hint="eastAsia" w:ascii="Times New Roman" w:hAnsi="Times New Roman" w:eastAsia="宋体" w:cs="Times New Roman"/>
          <w:sz w:val="32"/>
          <w:szCs w:val="32"/>
        </w:rPr>
      </w:pPr>
      <w:r>
        <w:rPr>
          <w:rFonts w:hint="eastAsia" w:cs="Times New Roman"/>
          <w:sz w:val="32"/>
          <w:szCs w:val="32"/>
          <w:lang w:val="en-US" w:eastAsia="zh-CN"/>
        </w:rPr>
        <w:t>8.</w:t>
      </w:r>
      <w:r>
        <w:rPr>
          <w:rFonts w:hint="eastAsia" w:ascii="Times New Roman" w:hAnsi="Times New Roman" w:eastAsia="宋体" w:cs="Times New Roman"/>
          <w:sz w:val="32"/>
          <w:szCs w:val="32"/>
        </w:rPr>
        <w:t>其他相关费用</w:t>
      </w:r>
    </w:p>
    <w:p>
      <w:pPr>
        <w:ind w:firstLine="560" w:firstLineChars="2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与研发活动直接相关的技术图书资料费、资料翻译费、专家咨询费、高新科技研发保险费，研发成果的检索、分析、评议、论证、鉴定、评审、评估、验收费用，知识产权的申请费、注册费、代理费，差旅费、会议费等。</w:t>
      </w:r>
    </w:p>
    <w:p>
      <w:pPr>
        <w:ind w:firstLine="643" w:firstLineChars="200"/>
        <w:outlineLvl w:val="0"/>
        <w:rPr>
          <w:rFonts w:hint="default" w:ascii="Times New Roman" w:hAnsi="Times New Roman" w:eastAsia="宋体" w:cs="Times New Roman"/>
          <w:b/>
          <w:bCs/>
          <w:sz w:val="32"/>
          <w:szCs w:val="32"/>
        </w:rPr>
      </w:pPr>
      <w:r>
        <w:rPr>
          <w:rFonts w:hint="default" w:ascii="Times New Roman" w:hAnsi="Times New Roman" w:cs="Times New Roman"/>
          <w:b/>
          <w:bCs/>
          <w:sz w:val="32"/>
          <w:szCs w:val="32"/>
          <w:lang w:val="en-US" w:eastAsia="zh-CN"/>
        </w:rPr>
        <w:t>三</w:t>
      </w:r>
      <w:r>
        <w:rPr>
          <w:rFonts w:hint="default" w:ascii="Times New Roman" w:hAnsi="Times New Roman" w:eastAsia="宋体" w:cs="Times New Roman"/>
          <w:b/>
          <w:bCs/>
          <w:sz w:val="32"/>
          <w:szCs w:val="32"/>
        </w:rPr>
        <w:t>、</w:t>
      </w:r>
      <w:r>
        <w:rPr>
          <w:rFonts w:hint="default" w:ascii="Times New Roman" w:hAnsi="Times New Roman" w:eastAsia="宋体" w:cs="Times New Roman"/>
          <w:b/>
          <w:bCs/>
          <w:sz w:val="32"/>
          <w:szCs w:val="32"/>
          <w:lang w:val="en-US" w:eastAsia="zh-CN"/>
        </w:rPr>
        <w:t>项目交付物及进度要求</w:t>
      </w:r>
      <w:r>
        <w:rPr>
          <w:rFonts w:hint="default" w:ascii="Times New Roman" w:hAnsi="Times New Roman" w:eastAsia="宋体" w:cs="Times New Roman"/>
          <w:b/>
          <w:bCs/>
          <w:sz w:val="32"/>
          <w:szCs w:val="32"/>
        </w:rPr>
        <w:t>：</w:t>
      </w:r>
    </w:p>
    <w:tbl>
      <w:tblPr>
        <w:tblStyle w:val="11"/>
        <w:tblW w:w="8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3410"/>
        <w:gridCol w:w="2800"/>
        <w:gridCol w:w="1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Align w:val="top"/>
          </w:tcPr>
          <w:p>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序号</w:t>
            </w:r>
          </w:p>
        </w:tc>
        <w:tc>
          <w:tcPr>
            <w:tcW w:w="3410" w:type="dxa"/>
            <w:vAlign w:val="top"/>
          </w:tcPr>
          <w:p>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交付物</w:t>
            </w:r>
          </w:p>
        </w:tc>
        <w:tc>
          <w:tcPr>
            <w:tcW w:w="2800" w:type="dxa"/>
            <w:vAlign w:val="top"/>
          </w:tcPr>
          <w:p>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完成时间</w:t>
            </w:r>
          </w:p>
        </w:tc>
        <w:tc>
          <w:tcPr>
            <w:tcW w:w="1825" w:type="dxa"/>
            <w:vAlign w:val="top"/>
          </w:tcPr>
          <w:p>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交付形式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Align w:val="center"/>
          </w:tcPr>
          <w:p>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1</w:t>
            </w:r>
          </w:p>
        </w:tc>
        <w:tc>
          <w:tcPr>
            <w:tcW w:w="3410" w:type="dxa"/>
            <w:vAlign w:val="top"/>
          </w:tcPr>
          <w:p>
            <w:pPr>
              <w:pStyle w:val="4"/>
              <w:numPr>
                <w:ilvl w:val="0"/>
                <w:numId w:val="0"/>
              </w:numPr>
              <w:bidi w:val="0"/>
              <w:jc w:val="left"/>
              <w:rPr>
                <w:rFonts w:hint="eastAsia"/>
                <w:b w:val="0"/>
                <w:bCs w:val="0"/>
                <w:sz w:val="21"/>
                <w:szCs w:val="21"/>
                <w:vertAlign w:val="baseline"/>
                <w:lang w:val="en-US" w:eastAsia="zh-CN"/>
              </w:rPr>
            </w:pPr>
            <w:r>
              <w:rPr>
                <w:rFonts w:hint="eastAsia"/>
                <w:b w:val="0"/>
                <w:bCs w:val="0"/>
                <w:sz w:val="21"/>
                <w:szCs w:val="21"/>
                <w:vertAlign w:val="baseline"/>
                <w:lang w:val="en-US" w:eastAsia="zh-CN"/>
              </w:rPr>
              <w:t>研发费用归集明细表（辅助账）</w:t>
            </w:r>
          </w:p>
        </w:tc>
        <w:tc>
          <w:tcPr>
            <w:tcW w:w="2800" w:type="dxa"/>
            <w:vAlign w:val="center"/>
          </w:tcPr>
          <w:p>
            <w:pPr>
              <w:pStyle w:val="4"/>
              <w:numPr>
                <w:ilvl w:val="0"/>
                <w:numId w:val="0"/>
              </w:numPr>
              <w:bidi w:val="0"/>
              <w:jc w:val="center"/>
              <w:rPr>
                <w:rFonts w:hint="default"/>
                <w:b w:val="0"/>
                <w:bCs w:val="0"/>
                <w:sz w:val="21"/>
                <w:szCs w:val="21"/>
                <w:vertAlign w:val="baseline"/>
                <w:lang w:val="en-US" w:eastAsia="zh-CN"/>
              </w:rPr>
            </w:pPr>
            <w:r>
              <w:rPr>
                <w:rFonts w:hint="default"/>
                <w:b w:val="0"/>
                <w:bCs w:val="0"/>
                <w:sz w:val="21"/>
                <w:szCs w:val="21"/>
                <w:vertAlign w:val="baseline"/>
                <w:lang w:val="en-US" w:eastAsia="zh-CN"/>
              </w:rPr>
              <w:t>合同签订后</w:t>
            </w:r>
            <w:r>
              <w:rPr>
                <w:rFonts w:hint="eastAsia"/>
                <w:b w:val="0"/>
                <w:bCs w:val="0"/>
                <w:sz w:val="21"/>
                <w:szCs w:val="21"/>
                <w:vertAlign w:val="baseline"/>
                <w:lang w:val="en-US" w:eastAsia="zh-CN"/>
              </w:rPr>
              <w:t>15</w:t>
            </w:r>
            <w:r>
              <w:rPr>
                <w:rFonts w:hint="default"/>
                <w:b w:val="0"/>
                <w:bCs w:val="0"/>
                <w:sz w:val="21"/>
                <w:szCs w:val="21"/>
                <w:vertAlign w:val="baseline"/>
                <w:lang w:val="en-US" w:eastAsia="zh-CN"/>
              </w:rPr>
              <w:t>个工作日内</w:t>
            </w:r>
          </w:p>
        </w:tc>
        <w:tc>
          <w:tcPr>
            <w:tcW w:w="1825" w:type="dxa"/>
            <w:vAlign w:val="center"/>
          </w:tcPr>
          <w:p>
            <w:pPr>
              <w:pStyle w:val="4"/>
              <w:numPr>
                <w:ilvl w:val="0"/>
                <w:numId w:val="0"/>
              </w:numPr>
              <w:bidi w:val="0"/>
              <w:jc w:val="center"/>
              <w:rPr>
                <w:rFonts w:hint="eastAsia"/>
                <w:b w:val="0"/>
                <w:bCs w:val="0"/>
                <w:sz w:val="21"/>
                <w:szCs w:val="21"/>
                <w:vertAlign w:val="baseline"/>
                <w:lang w:val="en-US" w:eastAsia="zh-CN"/>
              </w:rPr>
            </w:pPr>
            <w:r>
              <w:rPr>
                <w:rFonts w:hint="eastAsia"/>
                <w:b w:val="0"/>
                <w:bCs w:val="0"/>
                <w:sz w:val="21"/>
                <w:szCs w:val="21"/>
                <w:vertAlign w:val="baseline"/>
                <w:lang w:val="en-US" w:eastAsia="zh-CN"/>
              </w:rPr>
              <w:t>纸质版+电子版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Align w:val="center"/>
          </w:tcPr>
          <w:p>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2</w:t>
            </w:r>
          </w:p>
        </w:tc>
        <w:tc>
          <w:tcPr>
            <w:tcW w:w="3410" w:type="dxa"/>
            <w:vAlign w:val="top"/>
          </w:tcPr>
          <w:p>
            <w:pPr>
              <w:pStyle w:val="4"/>
              <w:numPr>
                <w:ilvl w:val="0"/>
                <w:numId w:val="0"/>
              </w:numPr>
              <w:bidi w:val="0"/>
              <w:jc w:val="left"/>
              <w:rPr>
                <w:rFonts w:hint="default"/>
                <w:b w:val="0"/>
                <w:bCs w:val="0"/>
                <w:sz w:val="21"/>
                <w:szCs w:val="21"/>
                <w:vertAlign w:val="baseline"/>
                <w:lang w:val="en-US" w:eastAsia="zh-CN"/>
              </w:rPr>
            </w:pPr>
            <w:r>
              <w:rPr>
                <w:rFonts w:hint="default"/>
                <w:b w:val="0"/>
                <w:bCs w:val="0"/>
                <w:sz w:val="21"/>
                <w:szCs w:val="21"/>
                <w:vertAlign w:val="baseline"/>
                <w:lang w:val="en-US" w:eastAsia="zh-CN"/>
              </w:rPr>
              <w:t>研发费用专项审计报告</w:t>
            </w:r>
            <w:r>
              <w:rPr>
                <w:rFonts w:hint="eastAsia"/>
                <w:b w:val="0"/>
                <w:bCs w:val="0"/>
                <w:sz w:val="21"/>
                <w:szCs w:val="21"/>
                <w:vertAlign w:val="baseline"/>
                <w:lang w:val="en-US" w:eastAsia="zh-CN"/>
              </w:rPr>
              <w:t>正本及副本</w:t>
            </w:r>
          </w:p>
        </w:tc>
        <w:tc>
          <w:tcPr>
            <w:tcW w:w="2800" w:type="dxa"/>
            <w:vAlign w:val="center"/>
          </w:tcPr>
          <w:p>
            <w:pPr>
              <w:pStyle w:val="4"/>
              <w:numPr>
                <w:ilvl w:val="0"/>
                <w:numId w:val="0"/>
              </w:numPr>
              <w:bidi w:val="0"/>
              <w:jc w:val="center"/>
              <w:rPr>
                <w:rFonts w:hint="default"/>
                <w:b w:val="0"/>
                <w:bCs w:val="0"/>
                <w:sz w:val="21"/>
                <w:szCs w:val="21"/>
                <w:vertAlign w:val="baseline"/>
                <w:lang w:val="en-US" w:eastAsia="zh-CN"/>
              </w:rPr>
            </w:pPr>
            <w:r>
              <w:rPr>
                <w:rFonts w:hint="default"/>
                <w:b w:val="0"/>
                <w:bCs w:val="0"/>
                <w:sz w:val="21"/>
                <w:szCs w:val="21"/>
                <w:vertAlign w:val="baseline"/>
                <w:lang w:val="en-US" w:eastAsia="zh-CN"/>
              </w:rPr>
              <w:t>合同签订后20个工作日内</w:t>
            </w:r>
          </w:p>
        </w:tc>
        <w:tc>
          <w:tcPr>
            <w:tcW w:w="1825" w:type="dxa"/>
            <w:vAlign w:val="center"/>
          </w:tcPr>
          <w:p>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纸质版+电子版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Align w:val="center"/>
          </w:tcPr>
          <w:p>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3</w:t>
            </w:r>
          </w:p>
        </w:tc>
        <w:tc>
          <w:tcPr>
            <w:tcW w:w="3410" w:type="dxa"/>
            <w:vAlign w:val="center"/>
          </w:tcPr>
          <w:p>
            <w:pPr>
              <w:pStyle w:val="4"/>
              <w:numPr>
                <w:ilvl w:val="0"/>
                <w:numId w:val="0"/>
              </w:numPr>
              <w:bidi w:val="0"/>
              <w:jc w:val="left"/>
              <w:rPr>
                <w:rFonts w:hint="default"/>
                <w:b w:val="0"/>
                <w:bCs w:val="0"/>
                <w:sz w:val="21"/>
                <w:szCs w:val="21"/>
                <w:vertAlign w:val="baseline"/>
                <w:lang w:val="en-US" w:eastAsia="zh-CN"/>
              </w:rPr>
            </w:pPr>
            <w:r>
              <w:rPr>
                <w:rFonts w:hint="default"/>
                <w:b w:val="0"/>
                <w:bCs w:val="0"/>
                <w:sz w:val="21"/>
                <w:szCs w:val="21"/>
                <w:vertAlign w:val="baseline"/>
                <w:lang w:val="en-US" w:eastAsia="zh-CN"/>
              </w:rPr>
              <w:t>工作底稿电子版</w:t>
            </w:r>
          </w:p>
        </w:tc>
        <w:tc>
          <w:tcPr>
            <w:tcW w:w="2800" w:type="dxa"/>
            <w:vAlign w:val="center"/>
          </w:tcPr>
          <w:p>
            <w:pPr>
              <w:pStyle w:val="4"/>
              <w:numPr>
                <w:ilvl w:val="0"/>
                <w:numId w:val="0"/>
              </w:numPr>
              <w:bidi w:val="0"/>
              <w:jc w:val="center"/>
              <w:rPr>
                <w:rFonts w:hint="default"/>
                <w:b w:val="0"/>
                <w:bCs w:val="0"/>
                <w:sz w:val="21"/>
                <w:szCs w:val="21"/>
                <w:vertAlign w:val="baseline"/>
                <w:lang w:val="en-US" w:eastAsia="zh-CN"/>
              </w:rPr>
            </w:pPr>
            <w:r>
              <w:rPr>
                <w:rFonts w:hint="default"/>
                <w:b w:val="0"/>
                <w:bCs w:val="0"/>
                <w:sz w:val="21"/>
                <w:szCs w:val="21"/>
                <w:vertAlign w:val="baseline"/>
                <w:lang w:val="en-US" w:eastAsia="zh-CN"/>
              </w:rPr>
              <w:t>合同签订后20个工作日内</w:t>
            </w:r>
          </w:p>
        </w:tc>
        <w:tc>
          <w:tcPr>
            <w:tcW w:w="1825" w:type="dxa"/>
            <w:vAlign w:val="center"/>
          </w:tcPr>
          <w:p>
            <w:pPr>
              <w:pStyle w:val="4"/>
              <w:numPr>
                <w:ilvl w:val="0"/>
                <w:numId w:val="0"/>
              </w:numPr>
              <w:bidi w:val="0"/>
              <w:jc w:val="center"/>
              <w:rPr>
                <w:rFonts w:hint="eastAsia"/>
                <w:b w:val="0"/>
                <w:bCs w:val="0"/>
                <w:sz w:val="21"/>
                <w:szCs w:val="21"/>
                <w:vertAlign w:val="baseline"/>
                <w:lang w:val="en-US" w:eastAsia="zh-CN"/>
              </w:rPr>
            </w:pPr>
            <w:r>
              <w:rPr>
                <w:rFonts w:hint="eastAsia"/>
                <w:b w:val="0"/>
                <w:bCs w:val="0"/>
                <w:sz w:val="21"/>
                <w:szCs w:val="21"/>
                <w:vertAlign w:val="baseline"/>
                <w:lang w:val="en-US" w:eastAsia="zh-CN"/>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Align w:val="center"/>
          </w:tcPr>
          <w:p>
            <w:pPr>
              <w:pStyle w:val="4"/>
              <w:numPr>
                <w:ilvl w:val="0"/>
                <w:numId w:val="0"/>
              </w:numPr>
              <w:bidi w:val="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4</w:t>
            </w:r>
          </w:p>
        </w:tc>
        <w:tc>
          <w:tcPr>
            <w:tcW w:w="3410" w:type="dxa"/>
            <w:vAlign w:val="center"/>
          </w:tcPr>
          <w:p>
            <w:pPr>
              <w:pStyle w:val="4"/>
              <w:numPr>
                <w:ilvl w:val="0"/>
                <w:numId w:val="0"/>
              </w:numPr>
              <w:bidi w:val="0"/>
              <w:jc w:val="left"/>
              <w:rPr>
                <w:rFonts w:hint="default"/>
                <w:b w:val="0"/>
                <w:bCs w:val="0"/>
                <w:sz w:val="21"/>
                <w:szCs w:val="21"/>
                <w:vertAlign w:val="baseline"/>
                <w:lang w:val="en-US" w:eastAsia="zh-CN"/>
              </w:rPr>
            </w:pPr>
            <w:r>
              <w:rPr>
                <w:rFonts w:hint="default"/>
                <w:b w:val="0"/>
                <w:bCs w:val="0"/>
                <w:sz w:val="21"/>
                <w:szCs w:val="21"/>
                <w:vertAlign w:val="baseline"/>
                <w:lang w:val="en-US" w:eastAsia="zh-CN"/>
              </w:rPr>
              <w:t>项目完成报告书</w:t>
            </w:r>
          </w:p>
          <w:p>
            <w:pPr>
              <w:pStyle w:val="4"/>
              <w:numPr>
                <w:ilvl w:val="0"/>
                <w:numId w:val="0"/>
              </w:numPr>
              <w:bidi w:val="0"/>
              <w:jc w:val="left"/>
              <w:rPr>
                <w:rFonts w:hint="default"/>
                <w:b w:val="0"/>
                <w:bCs w:val="0"/>
                <w:sz w:val="21"/>
                <w:szCs w:val="21"/>
                <w:vertAlign w:val="baseline"/>
                <w:lang w:val="en-US" w:eastAsia="zh-CN"/>
              </w:rPr>
            </w:pPr>
            <w:r>
              <w:rPr>
                <w:rFonts w:hint="default"/>
                <w:b w:val="0"/>
                <w:bCs w:val="0"/>
                <w:sz w:val="21"/>
                <w:szCs w:val="21"/>
                <w:vertAlign w:val="baseline"/>
                <w:lang w:val="en-US" w:eastAsia="zh-CN"/>
              </w:rPr>
              <w:t>（含归集过程说明、咨询建议）</w:t>
            </w:r>
          </w:p>
        </w:tc>
        <w:tc>
          <w:tcPr>
            <w:tcW w:w="2800" w:type="dxa"/>
            <w:vAlign w:val="center"/>
          </w:tcPr>
          <w:p>
            <w:pPr>
              <w:pStyle w:val="4"/>
              <w:numPr>
                <w:ilvl w:val="0"/>
                <w:numId w:val="0"/>
              </w:numPr>
              <w:bidi w:val="0"/>
              <w:ind w:left="0" w:leftChars="0" w:firstLine="0" w:firstLineChars="0"/>
              <w:jc w:val="center"/>
              <w:rPr>
                <w:rFonts w:hint="default"/>
                <w:b w:val="0"/>
                <w:bCs w:val="0"/>
                <w:sz w:val="21"/>
                <w:szCs w:val="21"/>
                <w:vertAlign w:val="baseline"/>
                <w:lang w:val="en-US" w:eastAsia="zh-CN"/>
              </w:rPr>
            </w:pPr>
            <w:r>
              <w:rPr>
                <w:rFonts w:hint="default"/>
                <w:b w:val="0"/>
                <w:bCs w:val="0"/>
                <w:sz w:val="21"/>
                <w:szCs w:val="21"/>
                <w:vertAlign w:val="baseline"/>
                <w:lang w:val="en-US" w:eastAsia="zh-CN"/>
              </w:rPr>
              <w:t>合同签订后20个工作日内</w:t>
            </w:r>
          </w:p>
        </w:tc>
        <w:tc>
          <w:tcPr>
            <w:tcW w:w="1825" w:type="dxa"/>
            <w:vAlign w:val="center"/>
          </w:tcPr>
          <w:p>
            <w:pPr>
              <w:pStyle w:val="4"/>
              <w:numPr>
                <w:ilvl w:val="0"/>
                <w:numId w:val="0"/>
              </w:numPr>
              <w:bidi w:val="0"/>
              <w:jc w:val="center"/>
              <w:rPr>
                <w:rFonts w:hint="eastAsia"/>
                <w:b w:val="0"/>
                <w:bCs w:val="0"/>
                <w:sz w:val="21"/>
                <w:szCs w:val="21"/>
                <w:vertAlign w:val="baseline"/>
                <w:lang w:val="en-US" w:eastAsia="zh-CN"/>
              </w:rPr>
            </w:pPr>
            <w:r>
              <w:rPr>
                <w:rFonts w:hint="eastAsia"/>
                <w:b w:val="0"/>
                <w:bCs w:val="0"/>
                <w:sz w:val="21"/>
                <w:szCs w:val="21"/>
                <w:vertAlign w:val="baseline"/>
                <w:lang w:val="en-US" w:eastAsia="zh-CN"/>
              </w:rPr>
              <w:t>纸质版+电子版</w:t>
            </w:r>
          </w:p>
        </w:tc>
      </w:tr>
    </w:tbl>
    <w:p>
      <w:pPr>
        <w:pStyle w:val="2"/>
        <w:rPr>
          <w:rFonts w:hint="default"/>
        </w:rPr>
      </w:pPr>
    </w:p>
    <w:p>
      <w:pPr>
        <w:ind w:firstLine="643" w:firstLineChars="200"/>
        <w:outlineLvl w:val="0"/>
        <w:rPr>
          <w:rFonts w:hint="default" w:ascii="Times New Roman" w:hAnsi="Times New Roman" w:eastAsia="宋体" w:cs="Times New Roman"/>
          <w:b/>
          <w:bCs/>
          <w:sz w:val="32"/>
          <w:szCs w:val="32"/>
        </w:rPr>
      </w:pPr>
      <w:r>
        <w:rPr>
          <w:rFonts w:hint="default" w:ascii="Times New Roman" w:hAnsi="Times New Roman" w:cs="Times New Roman"/>
          <w:b/>
          <w:bCs/>
          <w:sz w:val="32"/>
          <w:szCs w:val="32"/>
          <w:lang w:val="en-US" w:eastAsia="zh-CN"/>
        </w:rPr>
        <w:t>四</w:t>
      </w:r>
      <w:r>
        <w:rPr>
          <w:rFonts w:hint="default" w:ascii="Times New Roman" w:hAnsi="Times New Roman" w:eastAsia="宋体" w:cs="Times New Roman"/>
          <w:b/>
          <w:bCs/>
          <w:sz w:val="32"/>
          <w:szCs w:val="32"/>
        </w:rPr>
        <w:t>、</w:t>
      </w:r>
      <w:r>
        <w:rPr>
          <w:rFonts w:hint="eastAsia" w:cs="Times New Roman"/>
          <w:b/>
          <w:bCs/>
          <w:sz w:val="32"/>
          <w:szCs w:val="32"/>
          <w:lang w:val="en-US" w:eastAsia="zh-CN"/>
        </w:rPr>
        <w:t>其他</w:t>
      </w:r>
      <w:r>
        <w:rPr>
          <w:rFonts w:hint="default" w:ascii="Times New Roman" w:hAnsi="Times New Roman" w:eastAsia="宋体" w:cs="Times New Roman"/>
          <w:b/>
          <w:bCs/>
          <w:sz w:val="32"/>
          <w:szCs w:val="32"/>
        </w:rPr>
        <w:t>要求</w:t>
      </w:r>
    </w:p>
    <w:p>
      <w:pPr>
        <w:ind w:firstLine="640" w:firstLineChars="200"/>
        <w:outlineLvl w:val="1"/>
        <w:rPr>
          <w:rFonts w:hint="eastAsia" w:cs="Times New Roman"/>
          <w:sz w:val="32"/>
          <w:szCs w:val="32"/>
          <w:lang w:val="en-US" w:eastAsia="zh-CN"/>
        </w:rPr>
      </w:pPr>
      <w:r>
        <w:rPr>
          <w:rFonts w:hint="eastAsia" w:cs="Times New Roman"/>
          <w:sz w:val="32"/>
          <w:szCs w:val="32"/>
          <w:lang w:val="en-US" w:eastAsia="zh-CN"/>
        </w:rPr>
        <w:t>1.报告要求</w:t>
      </w:r>
      <w:bookmarkStart w:id="0" w:name="_GoBack"/>
      <w:bookmarkEnd w:id="0"/>
    </w:p>
    <w:p>
      <w:pPr>
        <w:numPr>
          <w:ilvl w:val="-1"/>
          <w:numId w:val="0"/>
        </w:numPr>
        <w:ind w:leftChars="0" w:firstLine="560"/>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会计师事务所出具的专项审计报告，须在财政部注册会计师行业统一监管平台（http://acc.mof.gov.cn）完成报备赋码，报告正文和被审计单位财务报表每页须带有可扫描验证的二维码</w:t>
      </w:r>
      <w:r>
        <w:rPr>
          <w:rFonts w:hint="default" w:cs="Times New Roman"/>
          <w:sz w:val="28"/>
          <w:szCs w:val="28"/>
          <w:lang w:val="en-US" w:eastAsia="zh-CN"/>
        </w:rPr>
        <w:t>；</w:t>
      </w:r>
      <w:r>
        <w:rPr>
          <w:rFonts w:hint="default" w:ascii="Times New Roman" w:hAnsi="Times New Roman" w:eastAsia="宋体" w:cs="Times New Roman"/>
          <w:sz w:val="28"/>
          <w:szCs w:val="28"/>
          <w:lang w:val="en-US" w:eastAsia="zh-CN"/>
        </w:rPr>
        <w:t>税务师事务所出具的专项报告，须经中税协信息服务平台（http://www.ecctaa.com）备案赋码。</w:t>
      </w:r>
    </w:p>
    <w:p>
      <w:pPr>
        <w:numPr>
          <w:ilvl w:val="-1"/>
          <w:numId w:val="0"/>
        </w:numPr>
        <w:ind w:leftChars="0" w:firstLine="640"/>
        <w:outlineLvl w:val="1"/>
        <w:rPr>
          <w:rFonts w:hint="eastAsia" w:cs="Times New Roman"/>
          <w:sz w:val="32"/>
          <w:szCs w:val="32"/>
          <w:lang w:val="en-US" w:eastAsia="zh-CN"/>
        </w:rPr>
      </w:pPr>
      <w:r>
        <w:rPr>
          <w:rFonts w:hint="eastAsia" w:cs="Times New Roman"/>
          <w:sz w:val="32"/>
          <w:szCs w:val="32"/>
          <w:lang w:val="en-US" w:eastAsia="zh-CN"/>
        </w:rPr>
        <w:t>2.保密要求</w:t>
      </w:r>
    </w:p>
    <w:p>
      <w:pPr>
        <w:numPr>
          <w:ilvl w:val="-1"/>
          <w:numId w:val="0"/>
        </w:numPr>
        <w:ind w:leftChars="0" w:firstLine="640"/>
        <w:rPr>
          <w:rFonts w:hint="default" w:cs="Times New Roman"/>
          <w:sz w:val="28"/>
          <w:szCs w:val="28"/>
          <w:lang w:val="en-US" w:eastAsia="zh-CN"/>
        </w:rPr>
      </w:pPr>
      <w:r>
        <w:rPr>
          <w:rFonts w:hint="default" w:cs="Times New Roman"/>
          <w:sz w:val="28"/>
          <w:szCs w:val="28"/>
          <w:lang w:val="en-US" w:eastAsia="zh-CN"/>
        </w:rPr>
        <w:t>（1）供应商在服务过程中接触到的采购人的商业秘密、财务信息、研发技术资料等信息，均负有保密义务。</w:t>
      </w:r>
    </w:p>
    <w:p>
      <w:pPr>
        <w:numPr>
          <w:ilvl w:val="-1"/>
          <w:numId w:val="0"/>
        </w:numPr>
        <w:ind w:leftChars="0" w:firstLine="640"/>
        <w:rPr>
          <w:rFonts w:hint="default" w:cs="Times New Roman"/>
          <w:sz w:val="28"/>
          <w:szCs w:val="28"/>
          <w:lang w:val="en-US" w:eastAsia="zh-CN"/>
        </w:rPr>
      </w:pPr>
      <w:r>
        <w:rPr>
          <w:rFonts w:hint="default" w:cs="Times New Roman"/>
          <w:sz w:val="28"/>
          <w:szCs w:val="28"/>
          <w:lang w:val="en-US" w:eastAsia="zh-CN"/>
        </w:rPr>
        <w:t>（2）供应商应在服务开始前与采购人签订保密协议，明确保密范围、保密期限及违约责任。</w:t>
      </w:r>
    </w:p>
    <w:p>
      <w:pPr>
        <w:numPr>
          <w:ilvl w:val="-1"/>
          <w:numId w:val="0"/>
        </w:numPr>
        <w:ind w:leftChars="0" w:firstLine="640"/>
        <w:rPr>
          <w:rFonts w:hint="eastAsia" w:ascii="Times New Roman" w:hAnsi="Times New Roman" w:eastAsia="宋体" w:cs="Times New Roman"/>
          <w:sz w:val="28"/>
          <w:szCs w:val="28"/>
          <w:lang w:val="en-US" w:eastAsia="zh-CN"/>
        </w:rPr>
      </w:pPr>
      <w:r>
        <w:rPr>
          <w:rFonts w:hint="default" w:cs="Times New Roman"/>
          <w:sz w:val="28"/>
          <w:szCs w:val="28"/>
          <w:lang w:val="en-US" w:eastAsia="zh-CN"/>
        </w:rPr>
        <w:t>（3）未经采购人事先书面同意，供应商不得向任何第三方泄露本项目相关信息，不得将本项目相关资料用于本协议约定之外的任何其他目的。</w:t>
      </w: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3</w:t>
                    </w:r>
                    <w:r>
                      <w:t xml:space="preserve"> 页</w:t>
                    </w:r>
                  </w:p>
                </w:txbxContent>
              </v:textbox>
            </v:shape>
          </w:pict>
        </mc:Fallback>
      </mc:AlternateContent>
    </w:r>
    <w:r>
      <w:rPr>
        <w:rFonts w:hint="eastAsia"/>
        <w:lang w:eastAsia="zh-CN"/>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D8DEB5"/>
    <w:multiLevelType w:val="singleLevel"/>
    <w:tmpl w:val="E2D8DEB5"/>
    <w:lvl w:ilvl="0" w:tentative="0">
      <w:start w:val="1"/>
      <w:numFmt w:val="decimal"/>
      <w:pStyle w:val="4"/>
      <w:suff w:val="nothing"/>
      <w:lvlText w:val="%1、"/>
      <w:lvlJc w:val="left"/>
    </w:lvl>
  </w:abstractNum>
  <w:abstractNum w:abstractNumId="1">
    <w:nsid w:val="07745DAF"/>
    <w:multiLevelType w:val="singleLevel"/>
    <w:tmpl w:val="07745DAF"/>
    <w:lvl w:ilvl="0" w:tentative="0">
      <w:start w:val="1"/>
      <w:numFmt w:val="chineseCounting"/>
      <w:pStyle w:val="3"/>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VjZThjODY4ZWFlODcyNTAzNDA1NGM0NzgyNTU0Y2IifQ=="/>
    <w:docVar w:name="KSO_WPS_MARK_KEY" w:val="931bd31d-f54a-486a-8564-ace32279d7fc"/>
  </w:docVars>
  <w:rsids>
    <w:rsidRoot w:val="00172A27"/>
    <w:rsid w:val="000150CC"/>
    <w:rsid w:val="00017CEC"/>
    <w:rsid w:val="000C12EE"/>
    <w:rsid w:val="000F2A6C"/>
    <w:rsid w:val="00146911"/>
    <w:rsid w:val="001C7417"/>
    <w:rsid w:val="00221FB6"/>
    <w:rsid w:val="0044402C"/>
    <w:rsid w:val="004853C2"/>
    <w:rsid w:val="00490DFF"/>
    <w:rsid w:val="004D0D25"/>
    <w:rsid w:val="00567DF1"/>
    <w:rsid w:val="00652718"/>
    <w:rsid w:val="00801BA5"/>
    <w:rsid w:val="008A270E"/>
    <w:rsid w:val="008F5B33"/>
    <w:rsid w:val="00977034"/>
    <w:rsid w:val="00A06C21"/>
    <w:rsid w:val="00A66AF3"/>
    <w:rsid w:val="00AD40E0"/>
    <w:rsid w:val="00B57127"/>
    <w:rsid w:val="00B61E80"/>
    <w:rsid w:val="00D66187"/>
    <w:rsid w:val="00D769AA"/>
    <w:rsid w:val="00E93F1D"/>
    <w:rsid w:val="00ED6FD2"/>
    <w:rsid w:val="00EE6E0D"/>
    <w:rsid w:val="00F12DB9"/>
    <w:rsid w:val="00FA2CE9"/>
    <w:rsid w:val="011949CD"/>
    <w:rsid w:val="018657EF"/>
    <w:rsid w:val="02E35D31"/>
    <w:rsid w:val="050009B9"/>
    <w:rsid w:val="05293F2B"/>
    <w:rsid w:val="05C6445E"/>
    <w:rsid w:val="064637C8"/>
    <w:rsid w:val="069F5290"/>
    <w:rsid w:val="080908CF"/>
    <w:rsid w:val="096821CF"/>
    <w:rsid w:val="0A6D2A84"/>
    <w:rsid w:val="0AAD670C"/>
    <w:rsid w:val="0AB42938"/>
    <w:rsid w:val="0B5B4A20"/>
    <w:rsid w:val="0B5C4865"/>
    <w:rsid w:val="0CA81959"/>
    <w:rsid w:val="0CFF3AC2"/>
    <w:rsid w:val="0DC352A5"/>
    <w:rsid w:val="0E564D6F"/>
    <w:rsid w:val="0F0F78AA"/>
    <w:rsid w:val="11245C92"/>
    <w:rsid w:val="12B847E9"/>
    <w:rsid w:val="143715D5"/>
    <w:rsid w:val="15B17B82"/>
    <w:rsid w:val="15E82615"/>
    <w:rsid w:val="17761622"/>
    <w:rsid w:val="18397C4D"/>
    <w:rsid w:val="18B01A81"/>
    <w:rsid w:val="19E1020E"/>
    <w:rsid w:val="1A902FD7"/>
    <w:rsid w:val="1B9035C2"/>
    <w:rsid w:val="1BEF6CB9"/>
    <w:rsid w:val="1C4C5F45"/>
    <w:rsid w:val="1D5F0969"/>
    <w:rsid w:val="1DC97098"/>
    <w:rsid w:val="1E720CBE"/>
    <w:rsid w:val="1F98348C"/>
    <w:rsid w:val="1FB90833"/>
    <w:rsid w:val="202D3B9A"/>
    <w:rsid w:val="21124CCD"/>
    <w:rsid w:val="21702240"/>
    <w:rsid w:val="21763C26"/>
    <w:rsid w:val="22B7505D"/>
    <w:rsid w:val="22FF75A7"/>
    <w:rsid w:val="236A398B"/>
    <w:rsid w:val="23CB2D69"/>
    <w:rsid w:val="26033C5F"/>
    <w:rsid w:val="26262939"/>
    <w:rsid w:val="26812549"/>
    <w:rsid w:val="29933C19"/>
    <w:rsid w:val="29A92C94"/>
    <w:rsid w:val="29D92575"/>
    <w:rsid w:val="2AFF7C0E"/>
    <w:rsid w:val="2B043017"/>
    <w:rsid w:val="2B814558"/>
    <w:rsid w:val="2C884473"/>
    <w:rsid w:val="2DEB54B7"/>
    <w:rsid w:val="2EC33928"/>
    <w:rsid w:val="2EE4145F"/>
    <w:rsid w:val="30BF6E74"/>
    <w:rsid w:val="3128481F"/>
    <w:rsid w:val="32A33145"/>
    <w:rsid w:val="334E5EA9"/>
    <w:rsid w:val="33C65A3F"/>
    <w:rsid w:val="33E841BB"/>
    <w:rsid w:val="33EE6343"/>
    <w:rsid w:val="356535C2"/>
    <w:rsid w:val="36654775"/>
    <w:rsid w:val="39674039"/>
    <w:rsid w:val="3A120472"/>
    <w:rsid w:val="3B85272C"/>
    <w:rsid w:val="3C067F26"/>
    <w:rsid w:val="3C16395B"/>
    <w:rsid w:val="3C1B3596"/>
    <w:rsid w:val="3D5C1D6F"/>
    <w:rsid w:val="3E3E7C35"/>
    <w:rsid w:val="3E8844C8"/>
    <w:rsid w:val="3F7606B9"/>
    <w:rsid w:val="3FDC51C7"/>
    <w:rsid w:val="40042908"/>
    <w:rsid w:val="40B24ABE"/>
    <w:rsid w:val="42C8134F"/>
    <w:rsid w:val="431B3938"/>
    <w:rsid w:val="43210D19"/>
    <w:rsid w:val="443D736F"/>
    <w:rsid w:val="44536440"/>
    <w:rsid w:val="44E36200"/>
    <w:rsid w:val="463E7C9E"/>
    <w:rsid w:val="46B96C27"/>
    <w:rsid w:val="47E61BAD"/>
    <w:rsid w:val="489F7DDB"/>
    <w:rsid w:val="48A0610E"/>
    <w:rsid w:val="48B73267"/>
    <w:rsid w:val="48EF26A1"/>
    <w:rsid w:val="497917A5"/>
    <w:rsid w:val="49C53756"/>
    <w:rsid w:val="4A3634C7"/>
    <w:rsid w:val="4ADA6487"/>
    <w:rsid w:val="4C5A67BF"/>
    <w:rsid w:val="4C660E39"/>
    <w:rsid w:val="4EF73AE6"/>
    <w:rsid w:val="4F100747"/>
    <w:rsid w:val="4FFB094B"/>
    <w:rsid w:val="509B42D3"/>
    <w:rsid w:val="52B017A5"/>
    <w:rsid w:val="52F04E5B"/>
    <w:rsid w:val="53E2457D"/>
    <w:rsid w:val="53FA5F80"/>
    <w:rsid w:val="554119FB"/>
    <w:rsid w:val="56616643"/>
    <w:rsid w:val="568C7F6A"/>
    <w:rsid w:val="577455C6"/>
    <w:rsid w:val="584D2E2E"/>
    <w:rsid w:val="58837C6A"/>
    <w:rsid w:val="59BA764F"/>
    <w:rsid w:val="59F62404"/>
    <w:rsid w:val="5A85035D"/>
    <w:rsid w:val="5B9B2BAA"/>
    <w:rsid w:val="5BC75801"/>
    <w:rsid w:val="5C624DE8"/>
    <w:rsid w:val="5C8E2CEF"/>
    <w:rsid w:val="5C9A4411"/>
    <w:rsid w:val="5CDC2748"/>
    <w:rsid w:val="5DA80174"/>
    <w:rsid w:val="5DFF5B2A"/>
    <w:rsid w:val="60893C75"/>
    <w:rsid w:val="60B32B8C"/>
    <w:rsid w:val="61CD7ABA"/>
    <w:rsid w:val="62717307"/>
    <w:rsid w:val="627B2D6E"/>
    <w:rsid w:val="62B2148E"/>
    <w:rsid w:val="62CF2AA8"/>
    <w:rsid w:val="62FD3B8E"/>
    <w:rsid w:val="657C17FF"/>
    <w:rsid w:val="657D2425"/>
    <w:rsid w:val="65CD2ADA"/>
    <w:rsid w:val="65DE614E"/>
    <w:rsid w:val="66804BE9"/>
    <w:rsid w:val="69CF3E1B"/>
    <w:rsid w:val="6A2B7BB7"/>
    <w:rsid w:val="6B270B4E"/>
    <w:rsid w:val="6B49248C"/>
    <w:rsid w:val="6B6819E7"/>
    <w:rsid w:val="6BF00916"/>
    <w:rsid w:val="6D0E7B09"/>
    <w:rsid w:val="6DE81B60"/>
    <w:rsid w:val="6EB07CAC"/>
    <w:rsid w:val="6FB94876"/>
    <w:rsid w:val="70345CBA"/>
    <w:rsid w:val="72D67FC3"/>
    <w:rsid w:val="74804F9F"/>
    <w:rsid w:val="75EA2DB1"/>
    <w:rsid w:val="76BD4724"/>
    <w:rsid w:val="772B34FD"/>
    <w:rsid w:val="77E30DA9"/>
    <w:rsid w:val="78202E72"/>
    <w:rsid w:val="7906443B"/>
    <w:rsid w:val="7B475E73"/>
    <w:rsid w:val="7C766C77"/>
    <w:rsid w:val="7CCF5003"/>
    <w:rsid w:val="7FE71A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360" w:lineRule="auto"/>
      <w:ind w:left="0" w:leftChars="0" w:firstLine="480" w:firstLineChars="200"/>
      <w:jc w:val="left"/>
      <w:textAlignment w:val="auto"/>
    </w:pPr>
    <w:rPr>
      <w:rFonts w:ascii="Times New Roman" w:hAnsi="Times New Roman" w:eastAsia="宋体" w:cs="Times New Roman"/>
      <w:kern w:val="2"/>
      <w:sz w:val="24"/>
      <w:szCs w:val="24"/>
      <w:highlight w:val="none"/>
      <w:lang w:val="en-US" w:eastAsia="zh-CN" w:bidi="ar-SA"/>
    </w:rPr>
  </w:style>
  <w:style w:type="paragraph" w:styleId="3">
    <w:name w:val="heading 1"/>
    <w:basedOn w:val="1"/>
    <w:next w:val="1"/>
    <w:qFormat/>
    <w:uiPriority w:val="9"/>
    <w:pPr>
      <w:numPr>
        <w:numId w:val="1"/>
      </w:numPr>
      <w:tabs>
        <w:tab w:val="left" w:pos="312"/>
        <w:tab w:val="clear" w:pos="420"/>
      </w:tabs>
      <w:ind w:firstLine="0" w:firstLineChars="0"/>
      <w:outlineLvl w:val="0"/>
    </w:pPr>
    <w:rPr>
      <w:rFonts w:ascii="黑体" w:hAnsi="黑体" w:eastAsia="黑体" w:cs="黑体"/>
      <w:b/>
      <w:bCs/>
      <w:sz w:val="28"/>
      <w:szCs w:val="28"/>
    </w:rPr>
  </w:style>
  <w:style w:type="paragraph" w:styleId="4">
    <w:name w:val="heading 2"/>
    <w:basedOn w:val="1"/>
    <w:next w:val="1"/>
    <w:unhideWhenUsed/>
    <w:qFormat/>
    <w:uiPriority w:val="9"/>
    <w:pPr>
      <w:numPr>
        <w:numId w:val="2"/>
      </w:numPr>
      <w:ind w:firstLine="0" w:firstLineChars="0"/>
      <w:outlineLvl w:val="1"/>
    </w:pPr>
    <w:rPr>
      <w:b/>
      <w:bCs/>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pPr>
      <w:spacing w:after="120" w:afterLines="0"/>
    </w:pPr>
  </w:style>
  <w:style w:type="paragraph" w:styleId="5">
    <w:name w:val="annotation text"/>
    <w:basedOn w:val="1"/>
    <w:semiHidden/>
    <w:unhideWhenUsed/>
    <w:qFormat/>
    <w:uiPriority w:val="99"/>
    <w:pPr>
      <w:jc w:val="left"/>
    </w:pPr>
  </w:style>
  <w:style w:type="paragraph" w:styleId="6">
    <w:name w:val="Date"/>
    <w:basedOn w:val="1"/>
    <w:next w:val="1"/>
    <w:link w:val="15"/>
    <w:qFormat/>
    <w:uiPriority w:val="99"/>
    <w:pPr>
      <w:ind w:left="100" w:leftChars="2500"/>
    </w:pPr>
    <w:rPr>
      <w:rFonts w:ascii="Times New Roman" w:hAnsi="Times New Roman"/>
      <w:sz w:val="24"/>
      <w:szCs w:val="24"/>
    </w:rPr>
  </w:style>
  <w:style w:type="paragraph" w:styleId="7">
    <w:name w:val="footer"/>
    <w:basedOn w:val="1"/>
    <w:link w:val="14"/>
    <w:unhideWhenUsed/>
    <w:qFormat/>
    <w:uiPriority w:val="99"/>
    <w:pPr>
      <w:tabs>
        <w:tab w:val="center" w:pos="4153"/>
        <w:tab w:val="right" w:pos="8306"/>
        <w:tab w:val="clear" w:pos="420"/>
      </w:tabs>
      <w:snapToGrid w:val="0"/>
      <w:jc w:val="left"/>
    </w:pPr>
    <w:rPr>
      <w:rFonts w:asciiTheme="minorHAnsi" w:hAnsiTheme="minorHAnsi" w:eastAsiaTheme="minorEastAsia" w:cstheme="minorBidi"/>
      <w:sz w:val="18"/>
      <w:szCs w:val="18"/>
    </w:rPr>
  </w:style>
  <w:style w:type="paragraph" w:styleId="8">
    <w:name w:val="header"/>
    <w:basedOn w:val="1"/>
    <w:link w:val="13"/>
    <w:unhideWhenUsed/>
    <w:qFormat/>
    <w:uiPriority w:val="99"/>
    <w:pPr>
      <w:pBdr>
        <w:bottom w:val="single" w:color="auto" w:sz="6" w:space="1"/>
      </w:pBdr>
      <w:tabs>
        <w:tab w:val="center" w:pos="4153"/>
        <w:tab w:val="right" w:pos="8306"/>
        <w:tab w:val="clear" w:pos="420"/>
      </w:tabs>
      <w:snapToGrid w:val="0"/>
      <w:jc w:val="center"/>
    </w:pPr>
    <w:rPr>
      <w:rFonts w:asciiTheme="minorHAnsi" w:hAnsiTheme="minorHAnsi" w:eastAsiaTheme="minorEastAsia" w:cstheme="minorBidi"/>
      <w:sz w:val="18"/>
      <w:szCs w:val="18"/>
    </w:rPr>
  </w:style>
  <w:style w:type="paragraph" w:styleId="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页眉 Char"/>
    <w:basedOn w:val="12"/>
    <w:link w:val="8"/>
    <w:qFormat/>
    <w:uiPriority w:val="99"/>
    <w:rPr>
      <w:sz w:val="18"/>
      <w:szCs w:val="18"/>
    </w:rPr>
  </w:style>
  <w:style w:type="character" w:customStyle="1" w:styleId="14">
    <w:name w:val="页脚 Char"/>
    <w:basedOn w:val="12"/>
    <w:link w:val="7"/>
    <w:qFormat/>
    <w:uiPriority w:val="99"/>
    <w:rPr>
      <w:sz w:val="18"/>
      <w:szCs w:val="18"/>
    </w:rPr>
  </w:style>
  <w:style w:type="character" w:customStyle="1" w:styleId="15">
    <w:name w:val="日期 Char"/>
    <w:basedOn w:val="12"/>
    <w:link w:val="6"/>
    <w:qFormat/>
    <w:uiPriority w:val="99"/>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Pages>
  <Words>745</Words>
  <Characters>769</Characters>
  <Lines>15</Lines>
  <Paragraphs>4</Paragraphs>
  <TotalTime>19</TotalTime>
  <ScaleCrop>false</ScaleCrop>
  <LinksUpToDate>false</LinksUpToDate>
  <CharactersWithSpaces>769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2013-11-11T02:56:00Z</dcterms:created>
  <dc:creator>微软用户</dc:creator>
  <cp:lastModifiedBy>Administrator</cp:lastModifiedBy>
  <cp:lastPrinted>2023-03-06T01:34:00Z</cp:lastPrinted>
  <dcterms:modified xsi:type="dcterms:W3CDTF">2026-06-03T02:57:49Z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3465ADBFF9F448DCBAF9EC458F291D7F</vt:lpwstr>
  </property>
</Properties>
</file>