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2"/>
        </w:numPr>
        <w:spacing w:line="360" w:lineRule="auto"/>
        <w:outlineLvl w:val="1"/>
        <w:rPr>
          <w:rFonts w:ascii="仿宋_GB2312" w:hAnsi="仿宋_GB2312" w:eastAsia="仿宋_GB2312" w:cs="仿宋_GB2312"/>
          <w:b/>
          <w:bCs/>
          <w:sz w:val="24"/>
        </w:rPr>
      </w:pPr>
      <w:bookmarkStart w:id="0" w:name="_GoBack"/>
      <w:bookmarkEnd w:id="0"/>
      <w:r>
        <w:rPr>
          <w:rFonts w:hint="eastAsia" w:ascii="仿宋_GB2312" w:hAnsi="仿宋_GB2312" w:eastAsia="仿宋_GB2312" w:cs="仿宋_GB2312"/>
          <w:b/>
          <w:bCs/>
          <w:sz w:val="24"/>
        </w:rPr>
        <w:t>技术参数偏离表</w:t>
      </w:r>
    </w:p>
    <w:p>
      <w:pPr>
        <w:spacing w:line="360" w:lineRule="auto"/>
        <w:rPr>
          <w:rFonts w:ascii="仿宋_GB2312" w:hAnsi="仿宋_GB2312" w:eastAsia="仿宋_GB2312" w:cs="仿宋_GB2312"/>
          <w:i/>
          <w:iCs/>
          <w:color w:val="0000FF"/>
          <w:kern w:val="0"/>
          <w:sz w:val="24"/>
          <w:u w:val="single"/>
          <w:lang w:bidi="ar"/>
        </w:rPr>
      </w:pPr>
      <w:r>
        <w:rPr>
          <w:rFonts w:hint="eastAsia" w:ascii="仿宋_GB2312" w:hAnsi="仿宋_GB2312" w:eastAsia="仿宋_GB2312" w:cs="仿宋_GB2312"/>
          <w:i/>
          <w:iCs/>
          <w:color w:val="0000FF"/>
          <w:kern w:val="0"/>
          <w:sz w:val="24"/>
          <w:u w:val="single"/>
          <w:lang w:bidi="ar"/>
        </w:rPr>
        <w:t>（说明：根据技术参数偏离表的内容及要求，针对响应产品的技术参数响应情况、质保期响应情况、到货期响应情况进行逐条响应明确具体参数。提供盖章文件）</w:t>
      </w:r>
    </w:p>
    <w:p>
      <w:pPr>
        <w:pStyle w:val="29"/>
        <w:rPr>
          <w:b/>
          <w:bCs w:val="0"/>
        </w:rPr>
      </w:pPr>
      <w:r>
        <w:rPr>
          <w:rFonts w:hint="eastAsia"/>
          <w:b/>
          <w:bCs w:val="0"/>
        </w:rPr>
        <w:t>本项目采购的设备须满足自主可控要求。</w:t>
      </w:r>
    </w:p>
    <w:tbl>
      <w:tblPr>
        <w:tblStyle w:val="23"/>
        <w:tblW w:w="4997" w:type="pct"/>
        <w:tblInd w:w="0" w:type="dxa"/>
        <w:tblLayout w:type="autofit"/>
        <w:tblCellMar>
          <w:top w:w="0" w:type="dxa"/>
          <w:left w:w="0" w:type="dxa"/>
          <w:bottom w:w="0" w:type="dxa"/>
          <w:right w:w="0" w:type="dxa"/>
        </w:tblCellMar>
      </w:tblPr>
      <w:tblGrid>
        <w:gridCol w:w="271"/>
        <w:gridCol w:w="892"/>
        <w:gridCol w:w="606"/>
        <w:gridCol w:w="453"/>
        <w:gridCol w:w="551"/>
        <w:gridCol w:w="1013"/>
        <w:gridCol w:w="5538"/>
        <w:gridCol w:w="722"/>
        <w:gridCol w:w="1128"/>
        <w:gridCol w:w="923"/>
        <w:gridCol w:w="912"/>
        <w:gridCol w:w="971"/>
      </w:tblGrid>
      <w:tr>
        <w:tblPrEx>
          <w:tblCellMar>
            <w:top w:w="0" w:type="dxa"/>
            <w:left w:w="0" w:type="dxa"/>
            <w:bottom w:w="0" w:type="dxa"/>
            <w:right w:w="0" w:type="dxa"/>
          </w:tblCellMar>
        </w:tblPrEx>
        <w:trPr>
          <w:trHeight w:val="540" w:hRule="atLeast"/>
          <w:tblHeader/>
        </w:trPr>
        <w:tc>
          <w:tcPr>
            <w:tcW w:w="96"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序号</w:t>
            </w:r>
          </w:p>
        </w:tc>
        <w:tc>
          <w:tcPr>
            <w:tcW w:w="319"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项目</w:t>
            </w:r>
          </w:p>
        </w:tc>
        <w:tc>
          <w:tcPr>
            <w:tcW w:w="217"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产品名称</w:t>
            </w:r>
          </w:p>
        </w:tc>
        <w:tc>
          <w:tcPr>
            <w:tcW w:w="162"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数量</w:t>
            </w:r>
          </w:p>
        </w:tc>
        <w:tc>
          <w:tcPr>
            <w:tcW w:w="197"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单位</w:t>
            </w:r>
          </w:p>
        </w:tc>
        <w:tc>
          <w:tcPr>
            <w:tcW w:w="362"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kern w:val="0"/>
                <w:sz w:val="24"/>
                <w:lang w:bidi="ar"/>
              </w:rPr>
            </w:pPr>
            <w:r>
              <w:rPr>
                <w:rFonts w:hint="eastAsia" w:ascii="宋体" w:hAnsi="宋体" w:eastAsia="宋体" w:cs="宋体"/>
                <w:b/>
                <w:bCs/>
                <w:sz w:val="24"/>
              </w:rPr>
              <w:t>技术指标</w:t>
            </w:r>
          </w:p>
        </w:tc>
        <w:tc>
          <w:tcPr>
            <w:tcW w:w="1979"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技术参数要求</w:t>
            </w:r>
          </w:p>
        </w:tc>
        <w:tc>
          <w:tcPr>
            <w:tcW w:w="258"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质保期要求</w:t>
            </w:r>
          </w:p>
        </w:tc>
        <w:tc>
          <w:tcPr>
            <w:tcW w:w="403"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到货期要求</w:t>
            </w:r>
          </w:p>
        </w:tc>
        <w:tc>
          <w:tcPr>
            <w:tcW w:w="330"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参数响应情况</w:t>
            </w:r>
          </w:p>
        </w:tc>
        <w:tc>
          <w:tcPr>
            <w:tcW w:w="326"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质保期响应情况</w:t>
            </w:r>
          </w:p>
        </w:tc>
        <w:tc>
          <w:tcPr>
            <w:tcW w:w="347" w:type="pct"/>
            <w:tcBorders>
              <w:top w:val="single" w:color="000000" w:sz="4" w:space="0"/>
              <w:left w:val="single" w:color="000000" w:sz="4" w:space="0"/>
              <w:bottom w:val="single" w:color="auto" w:sz="4" w:space="0"/>
              <w:right w:val="single" w:color="000000" w:sz="4" w:space="0"/>
            </w:tcBorders>
            <w:shd w:val="clear" w:color="auto" w:fill="FFC000"/>
            <w:tcMar>
              <w:top w:w="15" w:type="dxa"/>
              <w:left w:w="15" w:type="dxa"/>
              <w:right w:w="15" w:type="dxa"/>
            </w:tcMar>
            <w:vAlign w:val="center"/>
          </w:tcPr>
          <w:p>
            <w:pPr>
              <w:widowControl/>
              <w:jc w:val="center"/>
              <w:textAlignment w:val="center"/>
              <w:rPr>
                <w:rFonts w:ascii="宋体" w:hAnsi="宋体" w:eastAsia="宋体" w:cs="宋体"/>
                <w:b/>
                <w:color w:val="000000"/>
                <w:sz w:val="24"/>
              </w:rPr>
            </w:pPr>
            <w:r>
              <w:rPr>
                <w:rFonts w:hint="eastAsia" w:ascii="宋体" w:hAnsi="宋体" w:eastAsia="宋体" w:cs="宋体"/>
                <w:b/>
                <w:color w:val="000000"/>
                <w:kern w:val="0"/>
                <w:sz w:val="24"/>
                <w:lang w:bidi="ar"/>
              </w:rPr>
              <w:t>到货期响应情况</w:t>
            </w:r>
          </w:p>
        </w:tc>
      </w:tr>
      <w:tr>
        <w:tblPrEx>
          <w:tblCellMar>
            <w:top w:w="0" w:type="dxa"/>
            <w:left w:w="0" w:type="dxa"/>
            <w:bottom w:w="0" w:type="dxa"/>
            <w:right w:w="0" w:type="dxa"/>
          </w:tblCellMar>
        </w:tblPrEx>
        <w:trPr>
          <w:trHeight w:val="916" w:hRule="atLeast"/>
        </w:trPr>
        <w:tc>
          <w:tcPr>
            <w:tcW w:w="96"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p>
        </w:tc>
        <w:tc>
          <w:tcPr>
            <w:tcW w:w="319"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sz w:val="24"/>
                <w:lang w:eastAsia="zh-CN"/>
              </w:rPr>
              <w:t>2026年南方电网数字电网集团有限公司深圳分公司防病毒网关投标寻源项目</w:t>
            </w:r>
          </w:p>
        </w:tc>
        <w:tc>
          <w:tcPr>
            <w:tcW w:w="21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防病毒网关</w:t>
            </w:r>
          </w:p>
        </w:tc>
        <w:tc>
          <w:tcPr>
            <w:tcW w:w="162"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2"/>
                <w:szCs w:val="22"/>
                <w:highlight w:val="none"/>
                <w:lang w:bidi="ar"/>
              </w:rPr>
              <w:t>1</w:t>
            </w:r>
          </w:p>
        </w:tc>
        <w:tc>
          <w:tcPr>
            <w:tcW w:w="19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台</w:t>
            </w: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r>
              <w:rPr>
                <w:rFonts w:hint="eastAsia" w:ascii="宋体" w:hAnsi="宋体" w:eastAsia="宋体" w:cs="宋体"/>
                <w:b w:val="0"/>
                <w:bCs w:val="0"/>
                <w:sz w:val="24"/>
                <w:szCs w:val="24"/>
                <w:highlight w:val="none"/>
                <w:lang w:val="en-US" w:eastAsia="zh-CN"/>
              </w:rPr>
              <w:t>安全要求</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top"/>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1.投标产品标准不低于《通用服务器政府采购需求标准（2023 版）》要求，详见中国信息安全测评中心（www.itsec.gov.cn）和国家保密科技测评中心（www.nsstec.org.cn）公告结果。</w:t>
            </w:r>
          </w:p>
          <w:p>
            <w:pPr>
              <w:rPr>
                <w:rFonts w:hint="eastAsia" w:ascii="宋体" w:hAnsi="宋体" w:eastAsia="宋体" w:cs="宋体"/>
                <w:color w:val="000000"/>
                <w:sz w:val="24"/>
              </w:rPr>
            </w:pPr>
            <w:r>
              <w:rPr>
                <w:rFonts w:hint="eastAsia" w:ascii="宋体" w:hAnsi="宋体" w:eastAsia="宋体" w:cs="宋体"/>
                <w:b w:val="0"/>
                <w:bCs w:val="0"/>
                <w:sz w:val="24"/>
                <w:szCs w:val="24"/>
                <w:highlight w:val="none"/>
                <w:lang w:val="en-US" w:eastAsia="zh-CN"/>
              </w:rPr>
              <w:t>2.CPU和操作系统应当符合安全可靠测评要求。</w:t>
            </w:r>
          </w:p>
        </w:tc>
        <w:tc>
          <w:tcPr>
            <w:tcW w:w="258"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sz w:val="24"/>
              </w:rPr>
              <w:t>3年</w:t>
            </w:r>
          </w:p>
        </w:tc>
        <w:tc>
          <w:tcPr>
            <w:tcW w:w="403"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color w:val="000000"/>
                <w:sz w:val="24"/>
              </w:rPr>
            </w:pPr>
            <w:r>
              <w:rPr>
                <w:rFonts w:hint="eastAsia" w:ascii="宋体" w:hAnsi="宋体" w:eastAsia="宋体" w:cs="宋体"/>
                <w:color w:val="000000"/>
                <w:kern w:val="0"/>
                <w:sz w:val="24"/>
                <w:lang w:bidi="ar"/>
              </w:rPr>
              <w:t>合同签订后30日内</w:t>
            </w: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jc w:val="center"/>
              <w:rPr>
                <w:rFonts w:hint="eastAsia" w:ascii="宋体" w:hAnsi="宋体" w:eastAsia="宋体" w:cs="宋体"/>
                <w:color w:val="000000"/>
                <w:sz w:val="24"/>
              </w:rPr>
            </w:pPr>
          </w:p>
        </w:tc>
        <w:tc>
          <w:tcPr>
            <w:tcW w:w="326"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728"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r>
              <w:rPr>
                <w:rFonts w:hint="eastAsia" w:ascii="宋体" w:hAnsi="宋体" w:eastAsia="宋体" w:cs="宋体"/>
                <w:b w:val="0"/>
                <w:bCs w:val="0"/>
                <w:sz w:val="24"/>
                <w:szCs w:val="24"/>
                <w:highlight w:val="none"/>
              </w:rPr>
              <w:t>设备配置</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标准机架式设备，冗余交流双电源</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设备前面板具备液晶显示屏，便于运维</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千兆电口≥2个，千兆光口≥4个（含光模块），万兆光口≥2个（含光模块），配置独立HA口、管理口。</w:t>
            </w:r>
          </w:p>
          <w:p>
            <w:pPr>
              <w:rPr>
                <w:rFonts w:hint="eastAsia" w:ascii="宋体" w:hAnsi="宋体" w:eastAsia="宋体" w:cs="宋体"/>
                <w:spacing w:val="-6"/>
                <w:sz w:val="18"/>
                <w:szCs w:val="18"/>
              </w:rPr>
            </w:pPr>
            <w:r>
              <w:rPr>
                <w:rFonts w:hint="eastAsia" w:ascii="宋体" w:hAnsi="宋体" w:eastAsia="宋体" w:cs="宋体"/>
                <w:sz w:val="24"/>
                <w:szCs w:val="24"/>
                <w:highlight w:val="none"/>
              </w:rPr>
              <w:t>日志数据存储空间≥2TB。</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482"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性能要求</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bCs/>
                <w:sz w:val="24"/>
                <w:szCs w:val="24"/>
                <w:highlight w:val="none"/>
              </w:rPr>
              <w:t>整机吞吐率</w:t>
            </w:r>
            <w:r>
              <w:rPr>
                <w:rFonts w:hint="eastAsia" w:ascii="宋体" w:hAnsi="宋体" w:eastAsia="宋体" w:cs="宋体"/>
                <w:color w:val="000000"/>
                <w:sz w:val="24"/>
                <w:szCs w:val="24"/>
                <w:highlight w:val="none"/>
              </w:rPr>
              <w:t xml:space="preserve">≥8Gbps </w:t>
            </w:r>
            <w:r>
              <w:rPr>
                <w:rFonts w:hint="eastAsia" w:ascii="宋体" w:hAnsi="宋体" w:eastAsia="宋体" w:cs="宋体"/>
                <w:bCs/>
                <w:sz w:val="24"/>
                <w:szCs w:val="24"/>
                <w:highlight w:val="none"/>
              </w:rPr>
              <w:t>病毒检测吞吐率</w:t>
            </w:r>
            <w:r>
              <w:rPr>
                <w:rFonts w:hint="eastAsia" w:ascii="宋体" w:hAnsi="宋体" w:eastAsia="宋体" w:cs="宋体"/>
                <w:color w:val="000000"/>
                <w:sz w:val="24"/>
                <w:szCs w:val="24"/>
                <w:highlight w:val="none"/>
              </w:rPr>
              <w:t xml:space="preserve">≥2Gbps </w:t>
            </w:r>
            <w:r>
              <w:rPr>
                <w:rFonts w:hint="eastAsia" w:ascii="宋体" w:hAnsi="宋体" w:eastAsia="宋体" w:cs="宋体"/>
                <w:bCs/>
                <w:sz w:val="24"/>
                <w:szCs w:val="24"/>
                <w:highlight w:val="none"/>
              </w:rPr>
              <w:t>最大并发连接数</w:t>
            </w:r>
            <w:r>
              <w:rPr>
                <w:rFonts w:hint="eastAsia" w:ascii="宋体" w:hAnsi="宋体" w:eastAsia="宋体" w:cs="宋体"/>
                <w:color w:val="000000"/>
                <w:sz w:val="24"/>
                <w:szCs w:val="24"/>
                <w:highlight w:val="none"/>
              </w:rPr>
              <w:t>≥300万</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728"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功能要求</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★设备必须为专业的防病毒网关产品，非防火墙/下一代防火墙、UTM、IPS等具有防病毒功能模块的产品（提供产品相应的web管理界面截图）</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能够防御病毒、木马、后门、间谍软件等恶意代码或软件；</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支持对HTTP、FTP、POP3、SMTP、IMAP等常用应用协议进行病毒检测与过滤；</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支持IPv6、IPv6 over IPv4、IPv6和IPv4混合网络，能够在该网络环境中检测出病毒流量；</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具有访问控制功能，可将不必要的网络服务禁止</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▲要求病毒网关默认加载的流行病毒库总数大于300万，可本地化完成病毒的检测过滤与处理，无需发送到云端检测； </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▲可针对不用的源地址、目的地址，设置不同的病毒检测过滤策略；可针对不同的IP地址、IP地址段设置不同的DDoS防御策略；（提供截图证明）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支持联动高级威胁检测产品，识别未知病毒，防御APT攻击；</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厂商提供专门的病毒特征库升级服务，支持手动更新、定时自动更新，且支持设置定时更新时间；</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支持用户搭建HTTP、FTP病毒特征库升级服务器及自定义服务器地址；</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支持路由、交换、虚拟线、聚合、监听、混合部署等多种接入模式；</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支持多接口可旁路的病毒监听检测模式，可并行监听检测多条链路的病毒传输行为，且可与防火墙联动阻断；</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当出现病毒突然爆发状况时，可发送多种报警，包括声音报警；（提供截图证明）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支持将日志加密发送到多个Syslog远程日志服务器，且传输类型支持Syslog、Welf；</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日志支持CSV、XML方式导出，且支持自定义导出条数；</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产品界面中具有协议扫描统计、病毒个数统计、最新发现病毒数据，可直观方便地展示网络流量病毒威胁状况；（提供截图证明）</w:t>
            </w:r>
          </w:p>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支持生成即时报表和定时报表，报表可导出PDF文档，可定时邮件发送；</w:t>
            </w:r>
          </w:p>
          <w:p>
            <w:pPr>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支持配置文件导入、导出</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r>
        <w:tblPrEx>
          <w:tblCellMar>
            <w:top w:w="0" w:type="dxa"/>
            <w:left w:w="0" w:type="dxa"/>
            <w:bottom w:w="0" w:type="dxa"/>
            <w:right w:w="0" w:type="dxa"/>
          </w:tblCellMar>
        </w:tblPrEx>
        <w:trPr>
          <w:trHeight w:val="1516" w:hRule="atLeast"/>
        </w:trPr>
        <w:tc>
          <w:tcPr>
            <w:tcW w:w="9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19"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21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62"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19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rPr>
            </w:pPr>
          </w:p>
        </w:tc>
        <w:tc>
          <w:tcPr>
            <w:tcW w:w="362"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产品资质</w:t>
            </w:r>
          </w:p>
        </w:tc>
        <w:tc>
          <w:tcPr>
            <w:tcW w:w="1979"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b w:val="0"/>
                <w:bCs w:val="0"/>
                <w:sz w:val="24"/>
                <w:szCs w:val="24"/>
                <w:highlight w:val="none"/>
              </w:rPr>
            </w:pPr>
            <w:r>
              <w:rPr>
                <w:rFonts w:hint="eastAsia" w:ascii="宋体" w:hAnsi="宋体" w:eastAsia="宋体" w:cs="宋体"/>
                <w:bCs/>
                <w:sz w:val="24"/>
                <w:szCs w:val="24"/>
                <w:highlight w:val="none"/>
              </w:rPr>
              <w:t>具有网络安全专用产品安全检测证书，IT 产品信息安全认证证书评估保障级</w:t>
            </w:r>
          </w:p>
        </w:tc>
        <w:tc>
          <w:tcPr>
            <w:tcW w:w="258"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403"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30"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hint="eastAsia" w:ascii="宋体" w:hAnsi="宋体" w:eastAsia="宋体" w:cs="宋体"/>
                <w:color w:val="000000"/>
                <w:sz w:val="24"/>
              </w:rPr>
            </w:pPr>
          </w:p>
        </w:tc>
        <w:tc>
          <w:tcPr>
            <w:tcW w:w="326"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c>
          <w:tcPr>
            <w:tcW w:w="347" w:type="pct"/>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rPr>
                <w:rFonts w:ascii="仿宋" w:hAnsi="仿宋" w:eastAsia="仿宋" w:cs="仿宋"/>
                <w:color w:val="000000"/>
                <w:sz w:val="24"/>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79D9B7F5-84C9-48EF-B7CB-C1D9129CE4D2}"/>
  </w:font>
  <w:font w:name="仿宋_GB2312">
    <w:panose1 w:val="02010609030101010101"/>
    <w:charset w:val="86"/>
    <w:family w:val="auto"/>
    <w:pitch w:val="default"/>
    <w:sig w:usb0="00000001" w:usb1="080E0000" w:usb2="00000000" w:usb3="00000000" w:csb0="00040000" w:csb1="00000000"/>
    <w:embedRegular r:id="rId2" w:fontKey="{BBC6CF52-8CF4-4884-9D04-3CE76928DC49}"/>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92F2B"/>
    <w:rsid w:val="146B333A"/>
    <w:rsid w:val="149C1746"/>
    <w:rsid w:val="14AC0625"/>
    <w:rsid w:val="14AD74AF"/>
    <w:rsid w:val="14DA589A"/>
    <w:rsid w:val="14DE1644"/>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9443510"/>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7E7A79"/>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C86541"/>
    <w:rsid w:val="3AD268EA"/>
    <w:rsid w:val="3AF36399"/>
    <w:rsid w:val="3B4E6A46"/>
    <w:rsid w:val="3B8C57C0"/>
    <w:rsid w:val="3B985F13"/>
    <w:rsid w:val="3BE13381"/>
    <w:rsid w:val="3C055CF8"/>
    <w:rsid w:val="3C0C519E"/>
    <w:rsid w:val="3C436B4D"/>
    <w:rsid w:val="3C750F2E"/>
    <w:rsid w:val="3C8D2AC3"/>
    <w:rsid w:val="3C9D5708"/>
    <w:rsid w:val="3D3D6D72"/>
    <w:rsid w:val="3D820C29"/>
    <w:rsid w:val="3E0419F9"/>
    <w:rsid w:val="3E2B152F"/>
    <w:rsid w:val="3E9C21BE"/>
    <w:rsid w:val="3EAA48DB"/>
    <w:rsid w:val="3F020E1D"/>
    <w:rsid w:val="3F6A324D"/>
    <w:rsid w:val="3F784273"/>
    <w:rsid w:val="3F7D40ED"/>
    <w:rsid w:val="3FAE412E"/>
    <w:rsid w:val="40095632"/>
    <w:rsid w:val="40BB2DD0"/>
    <w:rsid w:val="40F87666"/>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C73A37"/>
    <w:rsid w:val="5DF75891"/>
    <w:rsid w:val="5E826883"/>
    <w:rsid w:val="5EAF73F9"/>
    <w:rsid w:val="5EB809CA"/>
    <w:rsid w:val="5EBC318D"/>
    <w:rsid w:val="5EC450EE"/>
    <w:rsid w:val="5F9C1BC7"/>
    <w:rsid w:val="602D16B0"/>
    <w:rsid w:val="603911C4"/>
    <w:rsid w:val="608F405C"/>
    <w:rsid w:val="60C97425"/>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9151DD"/>
    <w:rsid w:val="689773CF"/>
    <w:rsid w:val="689A7E71"/>
    <w:rsid w:val="68D20407"/>
    <w:rsid w:val="694D0F2B"/>
    <w:rsid w:val="69D432FA"/>
    <w:rsid w:val="6A0F789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837312F"/>
    <w:rsid w:val="78A376CA"/>
    <w:rsid w:val="78BD69DE"/>
    <w:rsid w:val="78C31B1A"/>
    <w:rsid w:val="78CC777C"/>
    <w:rsid w:val="78D94CCE"/>
    <w:rsid w:val="791C05A8"/>
    <w:rsid w:val="79556C16"/>
    <w:rsid w:val="797572B9"/>
    <w:rsid w:val="79817E76"/>
    <w:rsid w:val="79847A03"/>
    <w:rsid w:val="79CB512B"/>
    <w:rsid w:val="7A2F391C"/>
    <w:rsid w:val="7A3E495E"/>
    <w:rsid w:val="7AFD7566"/>
    <w:rsid w:val="7B3B62E0"/>
    <w:rsid w:val="7B544624"/>
    <w:rsid w:val="7B9D2AF7"/>
    <w:rsid w:val="7BE91898"/>
    <w:rsid w:val="7C1868E6"/>
    <w:rsid w:val="7C7A19E1"/>
    <w:rsid w:val="7CB50EE6"/>
    <w:rsid w:val="7CE56A1D"/>
    <w:rsid w:val="7CFC55FB"/>
    <w:rsid w:val="7D2B1642"/>
    <w:rsid w:val="7DB84B82"/>
    <w:rsid w:val="7DBE3D2A"/>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spacing w:line="360" w:lineRule="auto"/>
      <w:ind w:firstLine="200" w:firstLineChars="200"/>
    </w:pPr>
    <w:rPr>
      <w:rFonts w:ascii="Times New Roman" w:hAnsi="Times New Roman"/>
      <w:sz w:val="24"/>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character" w:styleId="28">
    <w:name w:val="annotation reference"/>
    <w:basedOn w:val="25"/>
    <w:qFormat/>
    <w:uiPriority w:val="0"/>
    <w:rPr>
      <w:sz w:val="21"/>
      <w:szCs w:val="21"/>
    </w:rPr>
  </w:style>
  <w:style w:type="paragraph" w:customStyle="1" w:styleId="29">
    <w:name w:val="表格文字"/>
    <w:basedOn w:val="1"/>
    <w:qFormat/>
    <w:uiPriority w:val="0"/>
    <w:pPr>
      <w:spacing w:before="25" w:after="25"/>
    </w:pPr>
    <w:rPr>
      <w:bCs/>
      <w:spacing w:val="10"/>
      <w:sz w:val="2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4"/>
    <w:qFormat/>
    <w:uiPriority w:val="0"/>
    <w:rPr>
      <w:b/>
      <w:kern w:val="44"/>
      <w:sz w:val="44"/>
    </w:rPr>
  </w:style>
  <w:style w:type="paragraph" w:customStyle="1" w:styleId="3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8">
    <w:name w:val="font01"/>
    <w:basedOn w:val="25"/>
    <w:qFormat/>
    <w:uiPriority w:val="0"/>
    <w:rPr>
      <w:rFonts w:hint="eastAsia" w:ascii="宋体" w:hAnsi="宋体" w:eastAsia="宋体" w:cs="宋体"/>
      <w:color w:val="FF0000"/>
      <w:sz w:val="22"/>
      <w:szCs w:val="22"/>
      <w:u w:val="none"/>
    </w:rPr>
  </w:style>
  <w:style w:type="character" w:customStyle="1" w:styleId="39">
    <w:name w:val="font21"/>
    <w:basedOn w:val="25"/>
    <w:qFormat/>
    <w:uiPriority w:val="0"/>
    <w:rPr>
      <w:rFonts w:hint="eastAsia" w:ascii="宋体" w:hAnsi="宋体" w:eastAsia="宋体" w:cs="宋体"/>
      <w:color w:val="000000"/>
      <w:sz w:val="18"/>
      <w:szCs w:val="18"/>
      <w:u w:val="none"/>
    </w:rPr>
  </w:style>
  <w:style w:type="character" w:customStyle="1" w:styleId="40">
    <w:name w:val="批注框文本 字符"/>
    <w:basedOn w:val="25"/>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3292</Words>
  <Characters>3459</Characters>
  <Lines>77</Lines>
  <Paragraphs>21</Paragraphs>
  <TotalTime>5</TotalTime>
  <ScaleCrop>false</ScaleCrop>
  <LinksUpToDate>false</LinksUpToDate>
  <CharactersWithSpaces>3564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付博</cp:lastModifiedBy>
  <dcterms:modified xsi:type="dcterms:W3CDTF">2026-06-08T12:44:52Z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