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1"/>
        <w:framePr w:w="0" w:hRule="auto" w:wrap="auto" w:vAnchor="margin" w:hAnchor="text" w:xAlign="left" w:yAlign="inline"/>
        <w:rPr>
          <w:rFonts w:hint="eastAsia" w:ascii="宋体" w:hAnsi="宋体" w:eastAsia="宋体" w:cs="宋体"/>
          <w:b/>
          <w:sz w:val="48"/>
          <w:szCs w:val="48"/>
        </w:rPr>
      </w:pPr>
      <w:bookmarkStart w:id="0" w:name="SectionMark0"/>
    </w:p>
    <w:p>
      <w:pPr>
        <w:pStyle w:val="41"/>
        <w:framePr w:w="0" w:hRule="auto" w:wrap="auto" w:vAnchor="margin" w:hAnchor="text" w:xAlign="left" w:yAlign="inline"/>
        <w:rPr>
          <w:rFonts w:hint="eastAsia" w:ascii="宋体" w:hAnsi="宋体" w:eastAsia="宋体" w:cs="宋体"/>
          <w:b/>
          <w:sz w:val="48"/>
          <w:szCs w:val="48"/>
        </w:rPr>
      </w:pPr>
    </w:p>
    <w:p>
      <w:pPr>
        <w:pStyle w:val="41"/>
        <w:framePr w:w="0" w:hRule="auto" w:wrap="auto" w:vAnchor="margin" w:hAnchor="text" w:xAlign="left" w:yAlign="inline"/>
        <w:rPr>
          <w:rFonts w:hint="eastAsia" w:ascii="宋体" w:hAnsi="宋体" w:eastAsia="宋体" w:cs="宋体"/>
          <w:b/>
          <w:sz w:val="48"/>
          <w:szCs w:val="48"/>
        </w:rPr>
      </w:pPr>
    </w:p>
    <w:p>
      <w:pPr>
        <w:pStyle w:val="41"/>
        <w:framePr w:w="0" w:hRule="auto" w:wrap="auto" w:vAnchor="margin" w:hAnchor="text" w:xAlign="left" w:yAlign="inline"/>
        <w:rPr>
          <w:rFonts w:hint="eastAsia" w:ascii="宋体" w:hAnsi="宋体" w:eastAsia="宋体" w:cs="宋体"/>
          <w:b/>
          <w:sz w:val="48"/>
          <w:szCs w:val="48"/>
        </w:rPr>
      </w:pPr>
    </w:p>
    <w:p>
      <w:pPr>
        <w:pStyle w:val="41"/>
        <w:framePr w:w="0" w:hRule="auto" w:wrap="auto" w:vAnchor="margin" w:hAnchor="text" w:xAlign="left" w:yAlign="inline"/>
        <w:rPr>
          <w:rFonts w:hint="eastAsia" w:ascii="宋体" w:hAnsi="宋体" w:eastAsia="宋体" w:cs="宋体"/>
          <w:b/>
          <w:sz w:val="48"/>
          <w:szCs w:val="48"/>
        </w:rPr>
      </w:pPr>
    </w:p>
    <w:p>
      <w:pPr>
        <w:pStyle w:val="41"/>
        <w:framePr w:w="0" w:hRule="auto" w:wrap="auto" w:vAnchor="margin" w:hAnchor="text" w:xAlign="left" w:yAlign="inline"/>
        <w:spacing w:line="360" w:lineRule="auto"/>
        <w:rPr>
          <w:rFonts w:hint="eastAsia" w:ascii="宋体" w:hAnsi="宋体" w:eastAsia="宋体" w:cs="宋体"/>
          <w:b/>
          <w:sz w:val="36"/>
          <w:szCs w:val="36"/>
          <w:lang w:eastAsia="zh-CN"/>
        </w:rPr>
      </w:pPr>
      <w:r>
        <w:rPr>
          <w:rFonts w:hint="eastAsia" w:ascii="宋体" w:hAnsi="宋体" w:eastAsia="宋体" w:cs="宋体"/>
          <w:b/>
          <w:sz w:val="36"/>
          <w:szCs w:val="36"/>
          <w:lang w:eastAsia="zh-CN"/>
        </w:rPr>
        <w:t>202</w:t>
      </w:r>
      <w:r>
        <w:rPr>
          <w:rFonts w:hint="eastAsia" w:ascii="宋体" w:hAnsi="宋体" w:eastAsia="宋体" w:cs="宋体"/>
          <w:b/>
          <w:sz w:val="36"/>
          <w:szCs w:val="36"/>
          <w:lang w:val="en-US" w:eastAsia="zh-CN"/>
        </w:rPr>
        <w:t>6</w:t>
      </w:r>
      <w:r>
        <w:rPr>
          <w:rFonts w:hint="eastAsia" w:ascii="宋体" w:hAnsi="宋体" w:eastAsia="宋体" w:cs="宋体"/>
          <w:b/>
          <w:sz w:val="36"/>
          <w:szCs w:val="36"/>
          <w:lang w:eastAsia="zh-CN"/>
        </w:rPr>
        <w:t>年南方电网数字电网集团有限公司深圳分公司防病毒网关</w:t>
      </w:r>
      <w:r>
        <w:rPr>
          <w:rFonts w:hint="eastAsia" w:ascii="宋体" w:hAnsi="宋体" w:eastAsia="宋体" w:cs="宋体"/>
          <w:b/>
          <w:sz w:val="36"/>
          <w:szCs w:val="36"/>
          <w:lang w:val="en-US" w:eastAsia="zh-CN"/>
        </w:rPr>
        <w:t>投标</w:t>
      </w:r>
      <w:r>
        <w:rPr>
          <w:rFonts w:hint="eastAsia" w:ascii="宋体" w:hAnsi="宋体" w:eastAsia="宋体" w:cs="宋体"/>
          <w:b/>
          <w:sz w:val="36"/>
          <w:szCs w:val="36"/>
          <w:lang w:eastAsia="zh-CN"/>
        </w:rPr>
        <w:t>寻源项目</w:t>
      </w:r>
    </w:p>
    <w:p>
      <w:pPr>
        <w:pStyle w:val="41"/>
        <w:framePr w:w="0" w:hRule="auto" w:wrap="auto" w:vAnchor="margin" w:hAnchor="text" w:xAlign="left" w:yAlign="inline"/>
        <w:spacing w:line="360" w:lineRule="auto"/>
        <w:rPr>
          <w:rFonts w:hint="eastAsia" w:ascii="宋体" w:hAnsi="宋体" w:eastAsia="宋体" w:cs="宋体"/>
          <w:b/>
          <w:spacing w:val="30"/>
          <w:sz w:val="36"/>
          <w:szCs w:val="36"/>
        </w:rPr>
      </w:pPr>
      <w:r>
        <w:rPr>
          <w:rFonts w:hint="eastAsia" w:ascii="宋体" w:hAnsi="宋体" w:eastAsia="宋体" w:cs="宋体"/>
          <w:b/>
          <w:spacing w:val="100"/>
          <w:sz w:val="36"/>
          <w:szCs w:val="36"/>
        </w:rPr>
        <w:t>技术</w:t>
      </w:r>
      <w:r>
        <w:rPr>
          <w:rFonts w:hint="eastAsia" w:ascii="宋体" w:hAnsi="宋体" w:eastAsia="宋体" w:cs="宋体"/>
          <w:b/>
          <w:spacing w:val="100"/>
          <w:sz w:val="36"/>
          <w:szCs w:val="36"/>
          <w:lang w:val="en-US" w:eastAsia="zh-CN"/>
        </w:rPr>
        <w:t>规范</w:t>
      </w:r>
      <w:r>
        <w:rPr>
          <w:rFonts w:hint="eastAsia" w:ascii="宋体" w:hAnsi="宋体" w:eastAsia="宋体" w:cs="宋体"/>
          <w:b/>
          <w:spacing w:val="100"/>
          <w:sz w:val="36"/>
          <w:szCs w:val="36"/>
        </w:rPr>
        <w:t>书</w:t>
      </w:r>
    </w:p>
    <w:p>
      <w:pPr>
        <w:pStyle w:val="58"/>
        <w:rPr>
          <w:rFonts w:hint="eastAsia" w:hAnsi="宋体" w:cs="宋体"/>
        </w:rPr>
      </w:pPr>
    </w:p>
    <w:p>
      <w:pPr>
        <w:pStyle w:val="58"/>
        <w:rPr>
          <w:rFonts w:hint="eastAsia" w:hAnsi="宋体" w:cs="宋体"/>
        </w:rPr>
      </w:pPr>
    </w:p>
    <w:p>
      <w:pPr>
        <w:pStyle w:val="58"/>
        <w:rPr>
          <w:rFonts w:hint="eastAsia" w:hAnsi="宋体" w:cs="宋体"/>
        </w:rPr>
      </w:pPr>
    </w:p>
    <w:p>
      <w:pPr>
        <w:pStyle w:val="58"/>
        <w:rPr>
          <w:rFonts w:hint="eastAsia" w:hAnsi="宋体" w:cs="宋体"/>
        </w:rPr>
      </w:pPr>
    </w:p>
    <w:p>
      <w:pPr>
        <w:pStyle w:val="58"/>
        <w:rPr>
          <w:rFonts w:hint="eastAsia" w:hAnsi="宋体" w:cs="宋体"/>
        </w:rPr>
      </w:pPr>
    </w:p>
    <w:p>
      <w:pPr>
        <w:pStyle w:val="58"/>
        <w:jc w:val="both"/>
        <w:rPr>
          <w:rFonts w:hint="eastAsia" w:hAnsi="宋体" w:cs="宋体"/>
        </w:rPr>
      </w:pPr>
    </w:p>
    <w:p>
      <w:pPr>
        <w:pStyle w:val="58"/>
        <w:rPr>
          <w:rFonts w:hint="eastAsia" w:hAnsi="宋体" w:cs="宋体"/>
        </w:rPr>
      </w:pPr>
    </w:p>
    <w:p>
      <w:pPr>
        <w:pStyle w:val="58"/>
        <w:rPr>
          <w:rFonts w:hint="eastAsia" w:hAnsi="宋体" w:cs="宋体"/>
        </w:rPr>
      </w:pPr>
    </w:p>
    <w:p>
      <w:pPr>
        <w:pStyle w:val="58"/>
        <w:rPr>
          <w:rFonts w:hint="eastAsia" w:hAnsi="宋体" w:cs="宋体"/>
          <w:b/>
          <w:spacing w:val="32"/>
          <w:position w:val="-6"/>
          <w:sz w:val="32"/>
          <w:szCs w:val="32"/>
        </w:rPr>
      </w:pPr>
      <w:r>
        <w:rPr>
          <w:rFonts w:hint="eastAsia" w:hAnsi="宋体" w:cs="宋体"/>
          <w:b/>
          <w:spacing w:val="32"/>
          <w:position w:val="-6"/>
          <w:sz w:val="32"/>
          <w:szCs w:val="32"/>
        </w:rPr>
        <w:t>202</w:t>
      </w:r>
      <w:r>
        <w:rPr>
          <w:rFonts w:hint="eastAsia" w:hAnsi="宋体" w:cs="宋体"/>
          <w:b/>
          <w:spacing w:val="32"/>
          <w:position w:val="-6"/>
          <w:sz w:val="32"/>
          <w:szCs w:val="32"/>
          <w:lang w:val="en-US" w:eastAsia="zh-CN"/>
        </w:rPr>
        <w:t>6</w:t>
      </w:r>
      <w:r>
        <w:rPr>
          <w:rFonts w:hint="eastAsia" w:hAnsi="宋体" w:cs="宋体"/>
          <w:b/>
          <w:spacing w:val="32"/>
          <w:position w:val="-6"/>
          <w:sz w:val="32"/>
          <w:szCs w:val="32"/>
        </w:rPr>
        <w:t>年</w:t>
      </w:r>
      <w:r>
        <w:rPr>
          <w:rFonts w:hint="eastAsia" w:hAnsi="宋体" w:cs="宋体"/>
          <w:b/>
          <w:spacing w:val="32"/>
          <w:position w:val="-6"/>
          <w:sz w:val="32"/>
          <w:szCs w:val="32"/>
          <w:lang w:val="en-US" w:eastAsia="zh-CN"/>
        </w:rPr>
        <w:t>6</w:t>
      </w:r>
      <w:r>
        <w:rPr>
          <w:rFonts w:hint="eastAsia" w:hAnsi="宋体" w:cs="宋体"/>
          <w:b/>
          <w:spacing w:val="32"/>
          <w:position w:val="-6"/>
          <w:sz w:val="32"/>
          <w:szCs w:val="32"/>
        </w:rPr>
        <w:t>月</w:t>
      </w:r>
    </w:p>
    <w:p>
      <w:pPr>
        <w:pStyle w:val="58"/>
        <w:rPr>
          <w:rFonts w:hint="eastAsia" w:hAnsi="宋体" w:cs="宋体"/>
          <w:b/>
          <w:spacing w:val="32"/>
          <w:position w:val="-6"/>
          <w:sz w:val="32"/>
          <w:szCs w:val="32"/>
        </w:rPr>
        <w:sectPr>
          <w:footerReference r:id="rId3" w:type="default"/>
          <w:foot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ageBreakBefore/>
        <w:rPr>
          <w:rFonts w:hint="eastAsia" w:ascii="宋体" w:hAnsi="宋体" w:cs="宋体"/>
          <w:b/>
          <w:spacing w:val="24"/>
          <w:position w:val="-6"/>
          <w:sz w:val="36"/>
          <w:szCs w:val="36"/>
        </w:rPr>
      </w:pPr>
    </w:p>
    <w:bookmarkEnd w:id="0"/>
    <w:p>
      <w:pPr>
        <w:adjustRightInd w:val="0"/>
        <w:spacing w:line="360" w:lineRule="auto"/>
        <w:jc w:val="center"/>
        <w:textAlignment w:val="baseline"/>
        <w:rPr>
          <w:rFonts w:hint="eastAsia" w:ascii="宋体" w:hAnsi="宋体" w:cs="宋体"/>
          <w:b/>
          <w:bCs/>
          <w:kern w:val="0"/>
          <w:sz w:val="32"/>
          <w:szCs w:val="32"/>
        </w:rPr>
      </w:pPr>
      <w:r>
        <w:rPr>
          <w:rFonts w:hint="eastAsia" w:ascii="宋体" w:hAnsi="宋体" w:cs="宋体"/>
          <w:b/>
          <w:bCs/>
          <w:kern w:val="0"/>
          <w:sz w:val="32"/>
          <w:szCs w:val="32"/>
        </w:rPr>
        <w:t>目录</w:t>
      </w:r>
    </w:p>
    <w:p>
      <w:pPr>
        <w:pStyle w:val="21"/>
        <w:tabs>
          <w:tab w:val="right" w:leader="dot" w:pos="8306"/>
        </w:tabs>
      </w:pPr>
      <w:r>
        <w:fldChar w:fldCharType="begin"/>
      </w:r>
      <w:r>
        <w:instrText xml:space="preserve">TOC \o "1-1" \h \u </w:instrText>
      </w:r>
      <w:r>
        <w:fldChar w:fldCharType="separate"/>
      </w:r>
      <w:r>
        <w:fldChar w:fldCharType="begin"/>
      </w:r>
      <w:r>
        <w:instrText xml:space="preserve"> HYPERLINK \l _Toc10439 </w:instrText>
      </w:r>
      <w:r>
        <w:fldChar w:fldCharType="separate"/>
      </w:r>
      <w:r>
        <w:rPr>
          <w:rFonts w:hint="eastAsia" w:ascii="宋体" w:hAnsi="宋体" w:cs="宋体"/>
          <w:kern w:val="0"/>
          <w:szCs w:val="24"/>
        </w:rPr>
        <w:t>1 总则</w:t>
      </w:r>
      <w:r>
        <w:tab/>
      </w:r>
      <w:r>
        <w:fldChar w:fldCharType="begin"/>
      </w:r>
      <w:r>
        <w:instrText xml:space="preserve"> PAGEREF _Toc10439 \h </w:instrText>
      </w:r>
      <w:r>
        <w:fldChar w:fldCharType="separate"/>
      </w:r>
      <w:r>
        <w:t>3</w:t>
      </w:r>
      <w:r>
        <w:fldChar w:fldCharType="end"/>
      </w:r>
      <w:r>
        <w:fldChar w:fldCharType="end"/>
      </w:r>
    </w:p>
    <w:p>
      <w:pPr>
        <w:pStyle w:val="21"/>
        <w:tabs>
          <w:tab w:val="right" w:leader="dot" w:pos="8306"/>
        </w:tabs>
      </w:pPr>
      <w:r>
        <w:fldChar w:fldCharType="begin"/>
      </w:r>
      <w:r>
        <w:instrText xml:space="preserve"> HYPERLINK \l _Toc27026 </w:instrText>
      </w:r>
      <w:r>
        <w:fldChar w:fldCharType="separate"/>
      </w:r>
      <w:r>
        <w:rPr>
          <w:rFonts w:hint="eastAsia" w:ascii="宋体" w:hAnsi="宋体" w:cs="宋体"/>
          <w:kern w:val="0"/>
          <w:szCs w:val="24"/>
        </w:rPr>
        <w:t>2 工作</w:t>
      </w:r>
      <w:r>
        <w:rPr>
          <w:rFonts w:hint="eastAsia" w:ascii="宋体" w:hAnsi="宋体" w:cs="宋体"/>
          <w:kern w:val="0"/>
          <w:szCs w:val="24"/>
          <w:lang w:val="en-US" w:eastAsia="zh-CN"/>
        </w:rPr>
        <w:t>概况</w:t>
      </w:r>
      <w:r>
        <w:tab/>
      </w:r>
      <w:r>
        <w:fldChar w:fldCharType="begin"/>
      </w:r>
      <w:r>
        <w:instrText xml:space="preserve"> PAGEREF _Toc27026 \h </w:instrText>
      </w:r>
      <w:r>
        <w:fldChar w:fldCharType="separate"/>
      </w:r>
      <w:r>
        <w:t>4</w:t>
      </w:r>
      <w:r>
        <w:fldChar w:fldCharType="end"/>
      </w:r>
      <w:r>
        <w:fldChar w:fldCharType="end"/>
      </w:r>
    </w:p>
    <w:p>
      <w:pPr>
        <w:pStyle w:val="21"/>
        <w:tabs>
          <w:tab w:val="right" w:leader="dot" w:pos="8306"/>
        </w:tabs>
      </w:pPr>
      <w:r>
        <w:fldChar w:fldCharType="begin"/>
      </w:r>
      <w:r>
        <w:instrText xml:space="preserve"> HYPERLINK \l _Toc23416 </w:instrText>
      </w:r>
      <w:r>
        <w:fldChar w:fldCharType="separate"/>
      </w:r>
      <w:r>
        <w:rPr>
          <w:rFonts w:hint="eastAsia" w:ascii="宋体" w:hAnsi="宋体" w:eastAsia="宋体" w:cs="宋体"/>
          <w:bCs/>
          <w:kern w:val="0"/>
          <w:szCs w:val="24"/>
        </w:rPr>
        <w:t>3 工作范围</w:t>
      </w:r>
      <w:r>
        <w:tab/>
      </w:r>
      <w:r>
        <w:fldChar w:fldCharType="begin"/>
      </w:r>
      <w:r>
        <w:instrText xml:space="preserve"> PAGEREF _Toc23416 \h </w:instrText>
      </w:r>
      <w:r>
        <w:fldChar w:fldCharType="separate"/>
      </w:r>
      <w:r>
        <w:t>4</w:t>
      </w:r>
      <w:r>
        <w:fldChar w:fldCharType="end"/>
      </w:r>
      <w:r>
        <w:fldChar w:fldCharType="end"/>
      </w:r>
    </w:p>
    <w:p>
      <w:pPr>
        <w:pStyle w:val="21"/>
        <w:tabs>
          <w:tab w:val="right" w:leader="dot" w:pos="8306"/>
        </w:tabs>
      </w:pPr>
      <w:r>
        <w:fldChar w:fldCharType="begin"/>
      </w:r>
      <w:r>
        <w:instrText xml:space="preserve"> HYPERLINK \l _Toc16292 </w:instrText>
      </w:r>
      <w:r>
        <w:fldChar w:fldCharType="separate"/>
      </w:r>
      <w:r>
        <w:rPr>
          <w:rFonts w:hint="eastAsia" w:ascii="宋体" w:hAnsi="宋体" w:cs="宋体"/>
          <w:kern w:val="0"/>
          <w:szCs w:val="24"/>
        </w:rPr>
        <w:t>4 引用标准</w:t>
      </w:r>
      <w:r>
        <w:tab/>
      </w:r>
      <w:r>
        <w:fldChar w:fldCharType="begin"/>
      </w:r>
      <w:r>
        <w:instrText xml:space="preserve"> PAGEREF _Toc16292 \h </w:instrText>
      </w:r>
      <w:r>
        <w:fldChar w:fldCharType="separate"/>
      </w:r>
      <w:r>
        <w:t>4</w:t>
      </w:r>
      <w:r>
        <w:fldChar w:fldCharType="end"/>
      </w:r>
      <w:r>
        <w:fldChar w:fldCharType="end"/>
      </w:r>
    </w:p>
    <w:p>
      <w:pPr>
        <w:pStyle w:val="21"/>
        <w:tabs>
          <w:tab w:val="right" w:leader="dot" w:pos="8306"/>
        </w:tabs>
      </w:pPr>
      <w:r>
        <w:fldChar w:fldCharType="begin"/>
      </w:r>
      <w:r>
        <w:instrText xml:space="preserve"> HYPERLINK \l _Toc8565 </w:instrText>
      </w:r>
      <w:r>
        <w:fldChar w:fldCharType="separate"/>
      </w:r>
      <w:r>
        <w:rPr>
          <w:rFonts w:hint="eastAsia" w:ascii="宋体" w:hAnsi="宋体" w:cs="宋体"/>
          <w:kern w:val="0"/>
          <w:szCs w:val="24"/>
        </w:rPr>
        <w:t xml:space="preserve">5 </w:t>
      </w:r>
      <w:r>
        <w:rPr>
          <w:rFonts w:hint="eastAsia" w:ascii="宋体" w:hAnsi="宋体" w:cs="宋体"/>
          <w:kern w:val="0"/>
          <w:szCs w:val="24"/>
          <w:highlight w:val="none"/>
        </w:rPr>
        <w:t>技术要求</w:t>
      </w:r>
      <w:r>
        <w:tab/>
      </w:r>
      <w:r>
        <w:fldChar w:fldCharType="begin"/>
      </w:r>
      <w:r>
        <w:instrText xml:space="preserve"> PAGEREF _Toc8565 \h </w:instrText>
      </w:r>
      <w:r>
        <w:fldChar w:fldCharType="separate"/>
      </w:r>
      <w:r>
        <w:t>4</w:t>
      </w:r>
      <w:r>
        <w:fldChar w:fldCharType="end"/>
      </w:r>
      <w:r>
        <w:fldChar w:fldCharType="end"/>
      </w:r>
    </w:p>
    <w:p>
      <w:pPr>
        <w:pStyle w:val="21"/>
        <w:tabs>
          <w:tab w:val="right" w:leader="dot" w:pos="8306"/>
        </w:tabs>
      </w:pPr>
      <w:r>
        <w:fldChar w:fldCharType="begin"/>
      </w:r>
      <w:r>
        <w:instrText xml:space="preserve"> HYPERLINK \l _Toc8666 </w:instrText>
      </w:r>
      <w:r>
        <w:fldChar w:fldCharType="separate"/>
      </w:r>
      <w:r>
        <w:rPr>
          <w:rFonts w:hint="eastAsia" w:ascii="宋体" w:hAnsi="宋体" w:cs="宋体"/>
          <w:kern w:val="0"/>
          <w:szCs w:val="24"/>
        </w:rPr>
        <w:t>6 资料管理</w:t>
      </w:r>
      <w:r>
        <w:tab/>
      </w:r>
      <w:r>
        <w:fldChar w:fldCharType="begin"/>
      </w:r>
      <w:r>
        <w:instrText xml:space="preserve"> PAGEREF _Toc8666 \h </w:instrText>
      </w:r>
      <w:r>
        <w:fldChar w:fldCharType="separate"/>
      </w:r>
      <w:r>
        <w:t>6</w:t>
      </w:r>
      <w:r>
        <w:fldChar w:fldCharType="end"/>
      </w:r>
      <w:r>
        <w:fldChar w:fldCharType="end"/>
      </w:r>
    </w:p>
    <w:p>
      <w:pPr>
        <w:pStyle w:val="21"/>
        <w:tabs>
          <w:tab w:val="right" w:leader="dot" w:pos="8306"/>
        </w:tabs>
      </w:pPr>
      <w:r>
        <w:fldChar w:fldCharType="begin"/>
      </w:r>
      <w:r>
        <w:instrText xml:space="preserve"> HYPERLINK \l _Toc23027 </w:instrText>
      </w:r>
      <w:r>
        <w:fldChar w:fldCharType="separate"/>
      </w:r>
      <w:r>
        <w:rPr>
          <w:rFonts w:hint="eastAsia" w:ascii="宋体" w:hAnsi="宋体"/>
          <w:kern w:val="0"/>
          <w:szCs w:val="24"/>
        </w:rPr>
        <w:t>7 售后服务及技术培训</w:t>
      </w:r>
      <w:r>
        <w:tab/>
      </w:r>
      <w:r>
        <w:fldChar w:fldCharType="begin"/>
      </w:r>
      <w:r>
        <w:instrText xml:space="preserve"> PAGEREF _Toc23027 \h </w:instrText>
      </w:r>
      <w:r>
        <w:fldChar w:fldCharType="separate"/>
      </w:r>
      <w:r>
        <w:t>6</w:t>
      </w:r>
      <w:r>
        <w:fldChar w:fldCharType="end"/>
      </w:r>
      <w:r>
        <w:fldChar w:fldCharType="end"/>
      </w:r>
    </w:p>
    <w:p>
      <w:pPr>
        <w:pStyle w:val="21"/>
        <w:tabs>
          <w:tab w:val="right" w:leader="dot" w:pos="8306"/>
        </w:tabs>
      </w:pPr>
      <w:r>
        <w:fldChar w:fldCharType="begin"/>
      </w:r>
      <w:r>
        <w:instrText xml:space="preserve"> HYPERLINK \l _Toc5733 </w:instrText>
      </w:r>
      <w:r>
        <w:fldChar w:fldCharType="separate"/>
      </w:r>
      <w:r>
        <w:rPr>
          <w:rFonts w:hint="eastAsia" w:ascii="宋体" w:hAnsi="宋体" w:cs="宋体"/>
          <w:kern w:val="0"/>
          <w:szCs w:val="24"/>
        </w:rPr>
        <w:t>8 质量保证</w:t>
      </w:r>
      <w:r>
        <w:tab/>
      </w:r>
      <w:r>
        <w:fldChar w:fldCharType="begin"/>
      </w:r>
      <w:r>
        <w:instrText xml:space="preserve"> PAGEREF _Toc5733 \h </w:instrText>
      </w:r>
      <w:r>
        <w:fldChar w:fldCharType="separate"/>
      </w:r>
      <w:r>
        <w:t>7</w:t>
      </w:r>
      <w:r>
        <w:fldChar w:fldCharType="end"/>
      </w:r>
      <w:r>
        <w:fldChar w:fldCharType="end"/>
      </w:r>
    </w:p>
    <w:p>
      <w:pPr>
        <w:pStyle w:val="21"/>
        <w:tabs>
          <w:tab w:val="right" w:leader="dot" w:pos="8306"/>
        </w:tabs>
      </w:pPr>
      <w:r>
        <w:fldChar w:fldCharType="begin"/>
      </w:r>
      <w:r>
        <w:instrText xml:space="preserve"> HYPERLINK \l _Toc3593 </w:instrText>
      </w:r>
      <w:r>
        <w:fldChar w:fldCharType="separate"/>
      </w:r>
      <w:r>
        <w:rPr>
          <w:rFonts w:hint="eastAsia" w:ascii="宋体" w:hAnsi="宋体" w:cs="宋体"/>
          <w:kern w:val="0"/>
          <w:szCs w:val="24"/>
        </w:rPr>
        <w:t>9 包装、运输和贮存</w:t>
      </w:r>
      <w:r>
        <w:tab/>
      </w:r>
      <w:r>
        <w:fldChar w:fldCharType="begin"/>
      </w:r>
      <w:r>
        <w:instrText xml:space="preserve"> PAGEREF _Toc3593 \h </w:instrText>
      </w:r>
      <w:r>
        <w:fldChar w:fldCharType="separate"/>
      </w:r>
      <w:r>
        <w:t>7</w:t>
      </w:r>
      <w:r>
        <w:fldChar w:fldCharType="end"/>
      </w:r>
      <w:r>
        <w:fldChar w:fldCharType="end"/>
      </w:r>
    </w:p>
    <w:p>
      <w:pPr>
        <w:pStyle w:val="21"/>
        <w:tabs>
          <w:tab w:val="right" w:leader="dot" w:pos="8306"/>
        </w:tabs>
      </w:pPr>
      <w:r>
        <w:fldChar w:fldCharType="end"/>
      </w:r>
      <w:r>
        <w:fldChar w:fldCharType="begin"/>
      </w:r>
      <w:r>
        <w:instrText xml:space="preserve"> HYPERLINK \l _Toc1204 </w:instrText>
      </w:r>
      <w:r>
        <w:fldChar w:fldCharType="separate"/>
      </w:r>
      <w:r>
        <w:fldChar w:fldCharType="end"/>
      </w:r>
    </w:p>
    <w:p>
      <w:pPr>
        <w:adjustRightInd w:val="0"/>
        <w:spacing w:line="360" w:lineRule="auto"/>
        <w:textAlignment w:val="baseline"/>
      </w:pPr>
    </w:p>
    <w:p>
      <w:pPr>
        <w:pStyle w:val="2"/>
      </w:pPr>
    </w:p>
    <w:p>
      <w:pPr>
        <w:pStyle w:val="2"/>
        <w:rPr>
          <w:rFonts w:hint="eastAsia"/>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
        <w:numPr>
          <w:ilvl w:val="0"/>
          <w:numId w:val="4"/>
        </w:numPr>
        <w:spacing w:before="0" w:after="0" w:line="360" w:lineRule="auto"/>
        <w:rPr>
          <w:rFonts w:hint="eastAsia" w:ascii="宋体" w:hAnsi="宋体" w:cs="宋体"/>
          <w:kern w:val="0"/>
          <w:sz w:val="24"/>
          <w:szCs w:val="24"/>
        </w:rPr>
      </w:pPr>
      <w:bookmarkStart w:id="1" w:name="_Toc21939"/>
      <w:bookmarkStart w:id="2" w:name="_Toc32270_WPSOffice_Level1"/>
      <w:bookmarkStart w:id="3" w:name="_Toc27288_WPSOffice_Level1"/>
      <w:bookmarkStart w:id="4" w:name="_Toc10439"/>
      <w:r>
        <w:rPr>
          <w:rFonts w:hint="eastAsia" w:ascii="宋体" w:hAnsi="宋体" w:cs="宋体"/>
          <w:kern w:val="0"/>
          <w:sz w:val="24"/>
          <w:szCs w:val="24"/>
        </w:rPr>
        <w:t>总则</w:t>
      </w:r>
      <w:bookmarkEnd w:id="1"/>
      <w:bookmarkEnd w:id="2"/>
      <w:bookmarkEnd w:id="3"/>
      <w:bookmarkEnd w:id="4"/>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为适应南方电网数字电网集团有限公司深圳分公司发展需要，规范采购招标技术要求，特制定本技术条件书。本技术条件书适用于</w:t>
      </w:r>
      <w:r>
        <w:rPr>
          <w:rFonts w:hint="eastAsia" w:ascii="宋体" w:hAnsi="宋体" w:cs="宋体"/>
          <w:sz w:val="24"/>
          <w:lang w:eastAsia="zh-CN"/>
        </w:rPr>
        <w:t>2026年南方电网数字电网集团有限公司深圳分公司防病毒网关</w:t>
      </w:r>
      <w:r>
        <w:rPr>
          <w:rFonts w:hint="eastAsia" w:ascii="宋体" w:hAnsi="宋体" w:cs="宋体"/>
          <w:sz w:val="24"/>
          <w:lang w:val="en-US" w:eastAsia="zh-CN"/>
        </w:rPr>
        <w:t>投标</w:t>
      </w:r>
      <w:r>
        <w:rPr>
          <w:rFonts w:hint="eastAsia" w:ascii="宋体" w:hAnsi="宋体" w:cs="宋体"/>
          <w:sz w:val="24"/>
          <w:lang w:eastAsia="zh-CN"/>
        </w:rPr>
        <w:t>寻源项目</w:t>
      </w:r>
      <w:r>
        <w:rPr>
          <w:rFonts w:hint="eastAsia" w:ascii="宋体" w:hAnsi="宋体" w:cs="宋体"/>
          <w:sz w:val="24"/>
        </w:rPr>
        <w:t>。</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本技术条件书提出的是最低限度的技术要求, 并未对一切技术细节做出规定, 也未充分引述有关标准和规范的条文,</w:t>
      </w:r>
      <w:r>
        <w:rPr>
          <w:rFonts w:hint="eastAsia" w:ascii="宋体" w:hAnsi="宋体" w:cs="宋体"/>
          <w:sz w:val="24"/>
          <w:lang w:eastAsia="zh-CN"/>
        </w:rPr>
        <w:t>报价人</w:t>
      </w:r>
      <w:r>
        <w:rPr>
          <w:rFonts w:hint="eastAsia" w:ascii="宋体" w:hAnsi="宋体" w:cs="宋体"/>
          <w:sz w:val="24"/>
        </w:rPr>
        <w:t>应提供符合本技术条件书和工业标准的优质产品。</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如果</w:t>
      </w:r>
      <w:r>
        <w:rPr>
          <w:rFonts w:hint="eastAsia" w:ascii="宋体" w:hAnsi="宋体" w:cs="宋体"/>
          <w:sz w:val="24"/>
          <w:lang w:eastAsia="zh-CN"/>
        </w:rPr>
        <w:t>报价人</w:t>
      </w:r>
      <w:r>
        <w:rPr>
          <w:rFonts w:hint="eastAsia" w:ascii="宋体" w:hAnsi="宋体" w:cs="宋体"/>
          <w:sz w:val="24"/>
        </w:rPr>
        <w:t>没有以书面形式对本技术条件书的条文提出异议, 则意味着</w:t>
      </w:r>
      <w:r>
        <w:rPr>
          <w:rFonts w:hint="eastAsia" w:ascii="宋体" w:hAnsi="宋体" w:cs="宋体"/>
          <w:sz w:val="24"/>
          <w:lang w:eastAsia="zh-CN"/>
        </w:rPr>
        <w:t>报价人</w:t>
      </w:r>
      <w:r>
        <w:rPr>
          <w:rFonts w:hint="eastAsia" w:ascii="宋体" w:hAnsi="宋体" w:cs="宋体"/>
          <w:sz w:val="24"/>
        </w:rPr>
        <w:t>方提供的设备(或系统)完全符合本技术条件书的要求。如有异议, 不管是多么微小, 都应在报价书中以“对谈判技术文件的意见和同谈判技术文件的差异”为标题的专门章节中加以详细描述。</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本技术条件书所使用的标准如遇与</w:t>
      </w:r>
      <w:r>
        <w:rPr>
          <w:rFonts w:hint="eastAsia" w:ascii="宋体" w:hAnsi="宋体" w:cs="宋体"/>
          <w:sz w:val="24"/>
          <w:lang w:eastAsia="zh-CN"/>
        </w:rPr>
        <w:t>报价人</w:t>
      </w:r>
      <w:r>
        <w:rPr>
          <w:rFonts w:hint="eastAsia" w:ascii="宋体" w:hAnsi="宋体" w:cs="宋体"/>
          <w:sz w:val="24"/>
        </w:rPr>
        <w:t>所执行的标准不一致时, 按较高标准执行。</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本技术条件书经</w:t>
      </w:r>
      <w:r>
        <w:rPr>
          <w:rFonts w:hint="eastAsia" w:ascii="宋体" w:hAnsi="宋体" w:cs="宋体"/>
          <w:sz w:val="24"/>
          <w:lang w:eastAsia="zh-CN"/>
        </w:rPr>
        <w:t>投标寻源方</w:t>
      </w:r>
      <w:r>
        <w:rPr>
          <w:rFonts w:hint="eastAsia" w:ascii="宋体" w:hAnsi="宋体" w:cs="宋体"/>
          <w:sz w:val="24"/>
        </w:rPr>
        <w:t>、</w:t>
      </w:r>
      <w:r>
        <w:rPr>
          <w:rFonts w:hint="eastAsia" w:ascii="宋体" w:hAnsi="宋体" w:cs="宋体"/>
          <w:sz w:val="24"/>
          <w:lang w:eastAsia="zh-CN"/>
        </w:rPr>
        <w:t>报价人</w:t>
      </w:r>
      <w:r>
        <w:rPr>
          <w:rFonts w:hint="eastAsia" w:ascii="宋体" w:hAnsi="宋体" w:cs="宋体"/>
          <w:sz w:val="24"/>
        </w:rPr>
        <w:t>双方确认后作为订货合同的技术附件，与合同正文具有同等法律效力。</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lang w:eastAsia="zh-CN"/>
        </w:rPr>
        <w:t>报价人</w:t>
      </w:r>
      <w:r>
        <w:rPr>
          <w:rFonts w:hint="eastAsia" w:ascii="宋体" w:hAnsi="宋体" w:cs="宋体"/>
          <w:sz w:val="24"/>
        </w:rPr>
        <w:t>在响应文件中应如实反映应标产品与本技术条件书的技术差异。如果</w:t>
      </w:r>
      <w:r>
        <w:rPr>
          <w:rFonts w:hint="eastAsia" w:ascii="宋体" w:hAnsi="宋体" w:cs="宋体"/>
          <w:sz w:val="24"/>
          <w:lang w:eastAsia="zh-CN"/>
        </w:rPr>
        <w:t>报价人</w:t>
      </w:r>
      <w:r>
        <w:rPr>
          <w:rFonts w:hint="eastAsia" w:ascii="宋体" w:hAnsi="宋体" w:cs="宋体"/>
          <w:sz w:val="24"/>
        </w:rPr>
        <w:t>没有提出技术差异，而在执行合同的过程中，</w:t>
      </w:r>
      <w:r>
        <w:rPr>
          <w:rFonts w:hint="eastAsia" w:ascii="宋体" w:hAnsi="宋体" w:cs="宋体"/>
          <w:sz w:val="24"/>
          <w:lang w:eastAsia="zh-CN"/>
        </w:rPr>
        <w:t>投标寻源方</w:t>
      </w:r>
      <w:r>
        <w:rPr>
          <w:rFonts w:hint="eastAsia" w:ascii="宋体" w:hAnsi="宋体" w:cs="宋体"/>
          <w:sz w:val="24"/>
        </w:rPr>
        <w:t>发现</w:t>
      </w:r>
      <w:r>
        <w:rPr>
          <w:rFonts w:hint="eastAsia" w:ascii="宋体" w:hAnsi="宋体" w:cs="宋体"/>
          <w:sz w:val="24"/>
          <w:lang w:eastAsia="zh-CN"/>
        </w:rPr>
        <w:t>报价人</w:t>
      </w:r>
      <w:r>
        <w:rPr>
          <w:rFonts w:hint="eastAsia" w:ascii="宋体" w:hAnsi="宋体" w:cs="宋体"/>
          <w:sz w:val="24"/>
        </w:rPr>
        <w:t>提供的产品与其应标技术文件的条文存在差异，</w:t>
      </w:r>
      <w:r>
        <w:rPr>
          <w:rFonts w:hint="eastAsia" w:ascii="宋体" w:hAnsi="宋体" w:cs="宋体"/>
          <w:sz w:val="24"/>
          <w:lang w:eastAsia="zh-CN"/>
        </w:rPr>
        <w:t>投标寻源方</w:t>
      </w:r>
      <w:r>
        <w:rPr>
          <w:rFonts w:hint="eastAsia" w:ascii="宋体" w:hAnsi="宋体" w:cs="宋体"/>
          <w:sz w:val="24"/>
        </w:rPr>
        <w:t>有权利要求退货，并将对下一年度的评标工作有不同程度的影响。</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lang w:eastAsia="zh-CN"/>
        </w:rPr>
        <w:t>报价人</w:t>
      </w:r>
      <w:r>
        <w:rPr>
          <w:rFonts w:hint="eastAsia" w:ascii="宋体" w:hAnsi="宋体" w:cs="宋体"/>
          <w:sz w:val="24"/>
        </w:rPr>
        <w:t>应在应标技术部分按本技术条件书的要求如实详细的填写应标设备的标准配置表，并在应标商务部分按此标准配置进行报价，如发现二者有矛盾之处，将对评标工作有不同程度的影响。</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lang w:eastAsia="zh-CN"/>
        </w:rPr>
        <w:t>报价人</w:t>
      </w:r>
      <w:r>
        <w:rPr>
          <w:rFonts w:hint="eastAsia" w:ascii="宋体" w:hAnsi="宋体" w:cs="宋体"/>
          <w:sz w:val="24"/>
        </w:rPr>
        <w:t>应充分理解本技术条件书并按本技术条件书的具体条款、格式要求填写应标的技术文件，如发现应标的技术文件条款、格式不符合本技术条件书的要求，则认为应标不严肃，在评标时将有不同程度的扣分。</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本技术条件书未尽事宜, 由</w:t>
      </w:r>
      <w:r>
        <w:rPr>
          <w:rFonts w:hint="eastAsia" w:ascii="宋体" w:hAnsi="宋体" w:cs="宋体"/>
          <w:sz w:val="24"/>
          <w:lang w:eastAsia="zh-CN"/>
        </w:rPr>
        <w:t>投标寻源方</w:t>
      </w:r>
      <w:r>
        <w:rPr>
          <w:rFonts w:hint="eastAsia" w:ascii="宋体" w:hAnsi="宋体" w:cs="宋体"/>
          <w:sz w:val="24"/>
        </w:rPr>
        <w:t>、</w:t>
      </w:r>
      <w:r>
        <w:rPr>
          <w:rFonts w:hint="eastAsia" w:ascii="宋体" w:hAnsi="宋体" w:cs="宋体"/>
          <w:sz w:val="24"/>
          <w:lang w:eastAsia="zh-CN"/>
        </w:rPr>
        <w:t>报价人</w:t>
      </w:r>
      <w:r>
        <w:rPr>
          <w:rFonts w:hint="eastAsia" w:ascii="宋体" w:hAnsi="宋体" w:cs="宋体"/>
          <w:sz w:val="24"/>
        </w:rPr>
        <w:t>双方协商确定。</w:t>
      </w:r>
    </w:p>
    <w:p>
      <w:pPr>
        <w:pStyle w:val="3"/>
        <w:keepNext/>
        <w:keepLines/>
        <w:pageBreakBefore/>
        <w:widowControl w:val="0"/>
        <w:numPr>
          <w:ilvl w:val="0"/>
          <w:numId w:val="4"/>
        </w:numPr>
        <w:kinsoku/>
        <w:wordWrap/>
        <w:overflowPunct/>
        <w:topLinePunct w:val="0"/>
        <w:autoSpaceDE/>
        <w:autoSpaceDN/>
        <w:bidi w:val="0"/>
        <w:adjustRightInd/>
        <w:snapToGrid/>
        <w:spacing w:before="0" w:after="0" w:line="360" w:lineRule="auto"/>
        <w:textAlignment w:val="auto"/>
        <w:rPr>
          <w:rFonts w:hint="eastAsia" w:ascii="宋体" w:hAnsi="宋体" w:cs="宋体"/>
          <w:kern w:val="0"/>
          <w:sz w:val="24"/>
          <w:szCs w:val="24"/>
        </w:rPr>
      </w:pPr>
      <w:bookmarkStart w:id="5" w:name="_Toc27026"/>
      <w:r>
        <w:rPr>
          <w:rFonts w:hint="eastAsia" w:ascii="宋体" w:hAnsi="宋体" w:cs="宋体"/>
          <w:kern w:val="0"/>
          <w:sz w:val="24"/>
          <w:szCs w:val="24"/>
        </w:rPr>
        <w:t>工作</w:t>
      </w:r>
      <w:r>
        <w:rPr>
          <w:rFonts w:hint="eastAsia" w:ascii="宋体" w:hAnsi="宋体" w:cs="宋体"/>
          <w:kern w:val="0"/>
          <w:sz w:val="24"/>
          <w:szCs w:val="24"/>
          <w:lang w:val="en-US" w:eastAsia="zh-CN"/>
        </w:rPr>
        <w:t>概况</w:t>
      </w:r>
      <w:bookmarkEnd w:id="5"/>
    </w:p>
    <w:p>
      <w:pPr>
        <w:spacing w:line="360" w:lineRule="auto"/>
        <w:ind w:firstLine="420"/>
        <w:rPr>
          <w:rFonts w:hint="eastAsia" w:ascii="宋体" w:hAnsi="宋体" w:eastAsia="宋体" w:cs="宋体"/>
          <w:sz w:val="24"/>
          <w:shd w:val="clear"/>
          <w:lang w:val="en-US" w:eastAsia="zh-CN"/>
        </w:rPr>
      </w:pPr>
      <w:r>
        <w:rPr>
          <w:rFonts w:hint="eastAsia" w:ascii="宋体" w:hAnsi="宋体" w:eastAsia="宋体" w:cs="宋体"/>
          <w:sz w:val="24"/>
          <w:highlight w:val="none"/>
          <w:lang w:val="en-US" w:eastAsia="zh-CN"/>
        </w:rPr>
        <w:t>为满足项目实施交付需求，计划采购防病毒网关</w:t>
      </w:r>
      <w:r>
        <w:rPr>
          <w:rFonts w:hint="eastAsia" w:ascii="宋体" w:hAnsi="宋体" w:cs="宋体"/>
          <w:sz w:val="24"/>
          <w:highlight w:val="none"/>
          <w:lang w:val="en-US" w:eastAsia="zh-CN"/>
        </w:rPr>
        <w:t>1台</w:t>
      </w:r>
      <w:r>
        <w:rPr>
          <w:rFonts w:hint="eastAsia" w:ascii="宋体" w:hAnsi="宋体" w:eastAsia="宋体" w:cs="宋体"/>
          <w:sz w:val="24"/>
          <w:highlight w:val="none"/>
          <w:shd w:val="clear"/>
          <w:lang w:val="en-US" w:eastAsia="zh-CN"/>
        </w:rPr>
        <w:t>。</w:t>
      </w:r>
    </w:p>
    <w:p>
      <w:pPr>
        <w:pStyle w:val="3"/>
        <w:numPr>
          <w:ilvl w:val="0"/>
          <w:numId w:val="4"/>
        </w:numPr>
        <w:spacing w:before="0" w:after="0" w:line="360" w:lineRule="auto"/>
        <w:rPr>
          <w:rFonts w:hint="eastAsia" w:ascii="宋体" w:hAnsi="宋体" w:eastAsia="宋体" w:cs="宋体"/>
          <w:b/>
          <w:bCs/>
          <w:kern w:val="0"/>
          <w:sz w:val="24"/>
          <w:szCs w:val="24"/>
        </w:rPr>
      </w:pPr>
      <w:bookmarkStart w:id="6" w:name="_Toc24890_WPSOffice_Level1"/>
      <w:bookmarkStart w:id="7" w:name="_Toc18031_WPSOffice_Level1"/>
      <w:bookmarkStart w:id="8" w:name="_Toc23416"/>
      <w:bookmarkStart w:id="9" w:name="_Toc317689829"/>
      <w:bookmarkStart w:id="10" w:name="_Toc317690117"/>
      <w:bookmarkStart w:id="11" w:name="_Toc317067398"/>
      <w:bookmarkStart w:id="12" w:name="_Toc3695"/>
      <w:r>
        <w:rPr>
          <w:rFonts w:hint="eastAsia" w:ascii="宋体" w:hAnsi="宋体" w:eastAsia="宋体" w:cs="宋体"/>
          <w:b/>
          <w:bCs/>
          <w:kern w:val="0"/>
          <w:sz w:val="24"/>
          <w:szCs w:val="24"/>
        </w:rPr>
        <w:t>工作范围</w:t>
      </w:r>
      <w:bookmarkEnd w:id="6"/>
      <w:bookmarkEnd w:id="7"/>
      <w:bookmarkEnd w:id="8"/>
      <w:bookmarkEnd w:id="9"/>
      <w:bookmarkEnd w:id="10"/>
      <w:bookmarkEnd w:id="11"/>
      <w:bookmarkEnd w:id="12"/>
    </w:p>
    <w:p>
      <w:pPr>
        <w:numPr>
          <w:ilvl w:val="1"/>
          <w:numId w:val="4"/>
        </w:numPr>
        <w:adjustRightInd w:val="0"/>
        <w:spacing w:line="360" w:lineRule="auto"/>
        <w:ind w:left="0" w:firstLine="0"/>
        <w:outlineLvl w:val="1"/>
        <w:rPr>
          <w:rFonts w:hint="eastAsia" w:ascii="宋体" w:hAnsi="宋体" w:cs="宋体"/>
          <w:sz w:val="24"/>
        </w:rPr>
      </w:pPr>
      <w:bookmarkStart w:id="13" w:name="_Toc317689831"/>
      <w:bookmarkStart w:id="14" w:name="_Toc317067400"/>
      <w:bookmarkStart w:id="15" w:name="_Toc317690119"/>
      <w:bookmarkStart w:id="16" w:name="_Toc924_WPSOffice_Level1"/>
      <w:bookmarkStart w:id="17" w:name="_Toc8887_WPSOffice_Level1"/>
      <w:bookmarkStart w:id="18" w:name="_Toc18434"/>
      <w:r>
        <w:rPr>
          <w:rFonts w:hint="eastAsia" w:ascii="宋体" w:hAnsi="宋体" w:cs="宋体"/>
          <w:sz w:val="24"/>
        </w:rPr>
        <w:t>服务界限</w:t>
      </w:r>
      <w:bookmarkEnd w:id="13"/>
      <w:bookmarkEnd w:id="14"/>
      <w:bookmarkEnd w:id="15"/>
    </w:p>
    <w:p>
      <w:pPr>
        <w:pStyle w:val="6"/>
        <w:numPr>
          <w:ilvl w:val="2"/>
          <w:numId w:val="4"/>
        </w:numPr>
        <w:spacing w:before="0" w:after="0" w:line="360" w:lineRule="auto"/>
        <w:ind w:left="0" w:firstLine="0"/>
        <w:rPr>
          <w:rFonts w:hint="eastAsia" w:ascii="宋体" w:hAnsi="宋体" w:cs="宋体"/>
          <w:b w:val="0"/>
          <w:sz w:val="24"/>
          <w:szCs w:val="24"/>
        </w:rPr>
      </w:pPr>
      <w:r>
        <w:rPr>
          <w:rFonts w:hint="eastAsia" w:ascii="宋体" w:hAnsi="宋体" w:cs="宋体"/>
          <w:b w:val="0"/>
          <w:sz w:val="24"/>
          <w:szCs w:val="24"/>
        </w:rPr>
        <w:t>现场</w:t>
      </w:r>
      <w:r>
        <w:rPr>
          <w:rFonts w:hint="eastAsia" w:ascii="宋体" w:hAnsi="宋体" w:cs="宋体"/>
          <w:b w:val="0"/>
          <w:sz w:val="24"/>
          <w:szCs w:val="24"/>
          <w:lang w:val="en-US" w:eastAsia="zh-CN"/>
        </w:rPr>
        <w:t>授权</w:t>
      </w:r>
      <w:r>
        <w:rPr>
          <w:rFonts w:hint="eastAsia" w:ascii="宋体" w:hAnsi="宋体" w:cs="宋体"/>
          <w:b w:val="0"/>
          <w:sz w:val="24"/>
          <w:szCs w:val="24"/>
        </w:rPr>
        <w:t>安装和</w:t>
      </w:r>
      <w:r>
        <w:rPr>
          <w:rFonts w:hint="eastAsia" w:ascii="宋体" w:hAnsi="宋体" w:cs="宋体"/>
          <w:b w:val="0"/>
          <w:sz w:val="24"/>
          <w:szCs w:val="24"/>
          <w:lang w:val="en-US" w:eastAsia="zh-CN"/>
        </w:rPr>
        <w:t>调试</w:t>
      </w:r>
      <w:r>
        <w:rPr>
          <w:rFonts w:hint="eastAsia" w:ascii="宋体" w:hAnsi="宋体" w:cs="宋体"/>
          <w:b w:val="0"/>
          <w:sz w:val="24"/>
          <w:szCs w:val="24"/>
        </w:rPr>
        <w:t>在</w:t>
      </w:r>
      <w:r>
        <w:rPr>
          <w:rFonts w:hint="eastAsia" w:ascii="宋体" w:hAnsi="宋体" w:cs="宋体"/>
          <w:b w:val="0"/>
          <w:sz w:val="24"/>
          <w:szCs w:val="24"/>
          <w:lang w:eastAsia="zh-CN"/>
        </w:rPr>
        <w:t>报价人</w:t>
      </w:r>
      <w:r>
        <w:rPr>
          <w:rFonts w:hint="eastAsia" w:ascii="宋体" w:hAnsi="宋体" w:cs="宋体"/>
          <w:b w:val="0"/>
          <w:sz w:val="24"/>
          <w:szCs w:val="24"/>
        </w:rPr>
        <w:t>的技术指导和监督下由</w:t>
      </w:r>
      <w:r>
        <w:rPr>
          <w:rFonts w:hint="eastAsia" w:ascii="宋体" w:hAnsi="宋体" w:cs="宋体"/>
          <w:b w:val="0"/>
          <w:sz w:val="24"/>
          <w:szCs w:val="24"/>
          <w:lang w:eastAsia="zh-CN"/>
        </w:rPr>
        <w:t>投标寻源方</w:t>
      </w:r>
      <w:r>
        <w:rPr>
          <w:rFonts w:hint="eastAsia" w:ascii="宋体" w:hAnsi="宋体" w:cs="宋体"/>
          <w:b w:val="0"/>
          <w:sz w:val="24"/>
          <w:szCs w:val="24"/>
        </w:rPr>
        <w:t>完成，</w:t>
      </w:r>
      <w:r>
        <w:rPr>
          <w:rFonts w:hint="eastAsia" w:ascii="宋体" w:hAnsi="宋体" w:cs="宋体"/>
          <w:b w:val="0"/>
          <w:sz w:val="24"/>
          <w:szCs w:val="24"/>
          <w:lang w:eastAsia="zh-CN"/>
        </w:rPr>
        <w:t>报价人</w:t>
      </w:r>
      <w:r>
        <w:rPr>
          <w:rFonts w:hint="eastAsia" w:ascii="宋体" w:hAnsi="宋体" w:cs="宋体"/>
          <w:b w:val="0"/>
          <w:sz w:val="24"/>
          <w:szCs w:val="24"/>
        </w:rPr>
        <w:t>协助</w:t>
      </w:r>
      <w:r>
        <w:rPr>
          <w:rFonts w:hint="eastAsia" w:ascii="宋体" w:hAnsi="宋体" w:cs="宋体"/>
          <w:b w:val="0"/>
          <w:sz w:val="24"/>
          <w:szCs w:val="24"/>
          <w:lang w:eastAsia="zh-CN"/>
        </w:rPr>
        <w:t>投标寻源方</w:t>
      </w:r>
      <w:r>
        <w:rPr>
          <w:rFonts w:hint="eastAsia" w:ascii="宋体" w:hAnsi="宋体" w:cs="宋体"/>
          <w:b w:val="0"/>
          <w:sz w:val="24"/>
          <w:szCs w:val="24"/>
        </w:rPr>
        <w:t>按标准检查安装质量，处理调试投运过程中出现的问题；</w:t>
      </w:r>
    </w:p>
    <w:p>
      <w:pPr>
        <w:numPr>
          <w:ilvl w:val="1"/>
          <w:numId w:val="4"/>
        </w:numPr>
        <w:adjustRightInd w:val="0"/>
        <w:spacing w:line="360" w:lineRule="auto"/>
        <w:ind w:left="0" w:firstLine="0"/>
        <w:outlineLvl w:val="1"/>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到货周期</w:t>
      </w:r>
    </w:p>
    <w:p>
      <w:pPr>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Times New Roman"/>
          <w:sz w:val="24"/>
          <w:highlight w:val="none"/>
          <w:lang w:val="en-US" w:eastAsia="zh-CN"/>
        </w:rPr>
        <w:t>要求自合同签订之日起30日内到货。</w:t>
      </w:r>
      <w:r>
        <w:rPr>
          <w:rFonts w:hint="eastAsia" w:ascii="宋体" w:hAnsi="宋体" w:eastAsia="宋体" w:cs="Times New Roman"/>
          <w:sz w:val="24"/>
          <w:highlight w:val="none"/>
        </w:rPr>
        <w:t xml:space="preserve"> </w:t>
      </w:r>
    </w:p>
    <w:p>
      <w:pPr>
        <w:pStyle w:val="3"/>
        <w:numPr>
          <w:ilvl w:val="0"/>
          <w:numId w:val="4"/>
        </w:numPr>
        <w:spacing w:before="0" w:after="0" w:line="360" w:lineRule="auto"/>
        <w:rPr>
          <w:rFonts w:hint="eastAsia" w:ascii="宋体" w:hAnsi="宋体" w:cs="宋体"/>
          <w:kern w:val="0"/>
          <w:sz w:val="24"/>
          <w:szCs w:val="24"/>
        </w:rPr>
      </w:pPr>
      <w:bookmarkStart w:id="19" w:name="_Toc16292"/>
      <w:r>
        <w:rPr>
          <w:rFonts w:hint="eastAsia" w:ascii="宋体" w:hAnsi="宋体" w:cs="宋体"/>
          <w:kern w:val="0"/>
          <w:sz w:val="24"/>
          <w:szCs w:val="24"/>
        </w:rPr>
        <w:t>引用标准</w:t>
      </w:r>
      <w:bookmarkEnd w:id="16"/>
      <w:bookmarkEnd w:id="17"/>
      <w:bookmarkEnd w:id="18"/>
      <w:bookmarkEnd w:id="19"/>
    </w:p>
    <w:p>
      <w:pPr>
        <w:spacing w:line="360" w:lineRule="auto"/>
        <w:ind w:firstLine="420"/>
        <w:rPr>
          <w:rFonts w:hint="eastAsia" w:ascii="宋体" w:hAnsi="宋体" w:cs="宋体"/>
          <w:sz w:val="24"/>
        </w:rPr>
      </w:pPr>
      <w:bookmarkStart w:id="20" w:name="FLDBZBH"/>
      <w:bookmarkEnd w:id="20"/>
      <w:r>
        <w:rPr>
          <w:rFonts w:hint="eastAsia" w:ascii="宋体" w:hAnsi="宋体" w:cs="宋体"/>
          <w:sz w:val="24"/>
        </w:rPr>
        <w:t>除本招标书另有说明外，</w:t>
      </w:r>
      <w:r>
        <w:rPr>
          <w:rFonts w:hint="eastAsia" w:ascii="宋体" w:hAnsi="宋体" w:cs="宋体"/>
          <w:sz w:val="24"/>
          <w:lang w:eastAsia="zh-CN"/>
        </w:rPr>
        <w:t>报价人</w:t>
      </w:r>
      <w:r>
        <w:rPr>
          <w:rFonts w:hint="eastAsia" w:ascii="宋体" w:hAnsi="宋体" w:cs="宋体"/>
          <w:sz w:val="24"/>
        </w:rPr>
        <w:t>提供的所有设备均应按照下列标准进行设计、制造、检验和安装。所用的标准必须是最新版本。如果这些标准的内容有不同之处时，应按照最高标准的条款执行或按双方协商同意的标准执行。如果</w:t>
      </w:r>
      <w:r>
        <w:rPr>
          <w:rFonts w:hint="eastAsia" w:ascii="宋体" w:hAnsi="宋体" w:cs="宋体"/>
          <w:sz w:val="24"/>
          <w:lang w:eastAsia="zh-CN"/>
        </w:rPr>
        <w:t>报价人</w:t>
      </w:r>
      <w:r>
        <w:rPr>
          <w:rFonts w:hint="eastAsia" w:ascii="宋体" w:hAnsi="宋体" w:cs="宋体"/>
          <w:sz w:val="24"/>
        </w:rPr>
        <w:t>选用本条件书以外的标准时，需提交这种替换标准相当于或优于本条件书规定的标准的说明。标准如下：</w:t>
      </w:r>
    </w:p>
    <w:p>
      <w:pPr>
        <w:spacing w:line="360" w:lineRule="auto"/>
        <w:rPr>
          <w:rFonts w:hint="eastAsia" w:ascii="宋体" w:hAnsi="宋体" w:cs="宋体"/>
          <w:sz w:val="24"/>
        </w:rPr>
      </w:pPr>
      <w:r>
        <w:rPr>
          <w:rFonts w:hint="eastAsia" w:ascii="宋体" w:hAnsi="宋体" w:cs="宋体"/>
          <w:sz w:val="24"/>
        </w:rPr>
        <w:t>（1）GB-------中华人民共和国国家标准</w:t>
      </w:r>
    </w:p>
    <w:p>
      <w:pPr>
        <w:spacing w:line="360" w:lineRule="auto"/>
        <w:rPr>
          <w:rFonts w:hint="eastAsia" w:ascii="宋体" w:hAnsi="宋体" w:cs="宋体"/>
          <w:sz w:val="24"/>
        </w:rPr>
      </w:pPr>
      <w:r>
        <w:rPr>
          <w:rFonts w:hint="eastAsia" w:ascii="宋体" w:hAnsi="宋体" w:cs="宋体"/>
          <w:sz w:val="24"/>
        </w:rPr>
        <w:t>（2）DL-------中华人民共和国电力行业标准</w:t>
      </w:r>
    </w:p>
    <w:p>
      <w:pPr>
        <w:spacing w:line="360" w:lineRule="auto"/>
        <w:rPr>
          <w:rFonts w:hint="eastAsia" w:ascii="宋体" w:hAnsi="宋体" w:cs="宋体"/>
          <w:sz w:val="24"/>
        </w:rPr>
      </w:pPr>
      <w:r>
        <w:rPr>
          <w:rFonts w:hint="eastAsia" w:ascii="宋体" w:hAnsi="宋体" w:cs="宋体"/>
          <w:sz w:val="24"/>
        </w:rPr>
        <w:t>（3）《电力二次系统安全防护规定》</w:t>
      </w:r>
    </w:p>
    <w:p>
      <w:pPr>
        <w:spacing w:line="360" w:lineRule="auto"/>
        <w:rPr>
          <w:rFonts w:hint="eastAsia" w:ascii="宋体" w:hAnsi="宋体" w:cs="宋体"/>
          <w:sz w:val="24"/>
        </w:rPr>
      </w:pPr>
      <w:r>
        <w:rPr>
          <w:rFonts w:hint="eastAsia" w:ascii="宋体" w:hAnsi="宋体" w:cs="宋体"/>
          <w:sz w:val="24"/>
        </w:rPr>
        <w:t>（4）中国信息安全测评中心</w:t>
      </w:r>
    </w:p>
    <w:p>
      <w:pPr>
        <w:spacing w:line="360" w:lineRule="auto"/>
        <w:rPr>
          <w:rFonts w:hint="eastAsia" w:ascii="宋体" w:hAnsi="宋体" w:cs="宋体"/>
          <w:sz w:val="24"/>
        </w:rPr>
      </w:pPr>
      <w:r>
        <w:rPr>
          <w:rFonts w:hint="eastAsia" w:ascii="宋体" w:hAnsi="宋体" w:cs="宋体"/>
          <w:sz w:val="24"/>
        </w:rPr>
        <w:t>（5）国家保密科技测评中心</w:t>
      </w:r>
    </w:p>
    <w:p>
      <w:pPr>
        <w:spacing w:line="360" w:lineRule="auto"/>
        <w:rPr>
          <w:rFonts w:hint="eastAsia" w:ascii="宋体" w:hAnsi="宋体" w:cs="宋体"/>
          <w:sz w:val="24"/>
        </w:rPr>
      </w:pPr>
      <w:r>
        <w:rPr>
          <w:rFonts w:hint="eastAsia" w:ascii="宋体" w:hAnsi="宋体" w:cs="宋体"/>
          <w:sz w:val="24"/>
        </w:rPr>
        <w:t>（6）ISO------国际标准化组织标准</w:t>
      </w:r>
    </w:p>
    <w:p>
      <w:pPr>
        <w:spacing w:line="360" w:lineRule="auto"/>
        <w:rPr>
          <w:rFonts w:hint="eastAsia" w:ascii="宋体" w:hAnsi="宋体" w:cs="宋体"/>
          <w:sz w:val="24"/>
        </w:rPr>
      </w:pPr>
      <w:r>
        <w:rPr>
          <w:rFonts w:hint="eastAsia" w:ascii="宋体" w:hAnsi="宋体" w:cs="宋体"/>
          <w:sz w:val="24"/>
        </w:rPr>
        <w:t>（7）IEC------国际电工委员会标准</w:t>
      </w:r>
    </w:p>
    <w:p>
      <w:pPr>
        <w:spacing w:line="360" w:lineRule="auto"/>
        <w:rPr>
          <w:rFonts w:hint="eastAsia" w:ascii="宋体" w:hAnsi="宋体" w:cs="宋体"/>
          <w:sz w:val="24"/>
        </w:rPr>
      </w:pPr>
      <w:r>
        <w:rPr>
          <w:rFonts w:hint="eastAsia" w:ascii="宋体" w:hAnsi="宋体" w:cs="宋体"/>
          <w:sz w:val="24"/>
        </w:rPr>
        <w:t>（8）ITU-T----国际电信联盟标准</w:t>
      </w:r>
    </w:p>
    <w:p>
      <w:pPr>
        <w:spacing w:line="360" w:lineRule="auto"/>
        <w:rPr>
          <w:rFonts w:hint="eastAsia" w:ascii="宋体" w:hAnsi="宋体" w:cs="宋体"/>
          <w:sz w:val="24"/>
        </w:rPr>
      </w:pPr>
      <w:r>
        <w:rPr>
          <w:rFonts w:hint="eastAsia" w:ascii="宋体" w:hAnsi="宋体" w:cs="宋体"/>
          <w:sz w:val="24"/>
        </w:rPr>
        <w:t>（9）CCITT ------国际电报和电话咨询委员会</w:t>
      </w:r>
    </w:p>
    <w:p>
      <w:pPr>
        <w:spacing w:line="360" w:lineRule="auto"/>
        <w:rPr>
          <w:rFonts w:hint="eastAsia" w:ascii="宋体" w:hAnsi="宋体" w:cs="宋体"/>
          <w:sz w:val="24"/>
        </w:rPr>
      </w:pPr>
      <w:r>
        <w:rPr>
          <w:rFonts w:hint="eastAsia" w:ascii="宋体" w:hAnsi="宋体" w:cs="宋体"/>
          <w:sz w:val="24"/>
        </w:rPr>
        <w:t>（10）ITU------国际电信联盟</w:t>
      </w:r>
    </w:p>
    <w:p>
      <w:pPr>
        <w:spacing w:line="360" w:lineRule="auto"/>
        <w:rPr>
          <w:rFonts w:hint="eastAsia" w:ascii="宋体" w:hAnsi="宋体" w:cs="宋体"/>
          <w:sz w:val="24"/>
        </w:rPr>
      </w:pPr>
      <w:r>
        <w:rPr>
          <w:rFonts w:hint="eastAsia" w:ascii="宋体" w:hAnsi="宋体" w:cs="宋体"/>
          <w:sz w:val="24"/>
        </w:rPr>
        <w:t>（11）SI------标准国际单位制</w:t>
      </w:r>
    </w:p>
    <w:p>
      <w:pPr>
        <w:spacing w:line="360" w:lineRule="auto"/>
        <w:rPr>
          <w:rFonts w:hint="eastAsia" w:ascii="宋体" w:hAnsi="宋体" w:cs="宋体"/>
          <w:sz w:val="24"/>
          <w:highlight w:val="none"/>
        </w:rPr>
      </w:pPr>
      <w:r>
        <w:rPr>
          <w:rFonts w:hint="eastAsia" w:ascii="宋体" w:hAnsi="宋体" w:cs="宋体"/>
          <w:sz w:val="24"/>
        </w:rPr>
        <w:t>（12）其它招标方指定的规约</w:t>
      </w:r>
    </w:p>
    <w:p>
      <w:pPr>
        <w:pStyle w:val="3"/>
        <w:numPr>
          <w:ilvl w:val="0"/>
          <w:numId w:val="4"/>
        </w:numPr>
        <w:spacing w:before="0" w:after="0" w:line="360" w:lineRule="auto"/>
        <w:rPr>
          <w:rFonts w:hint="eastAsia" w:ascii="宋体" w:hAnsi="宋体" w:cs="宋体"/>
          <w:kern w:val="0"/>
          <w:sz w:val="24"/>
          <w:szCs w:val="24"/>
          <w:highlight w:val="none"/>
        </w:rPr>
      </w:pPr>
      <w:bookmarkStart w:id="21" w:name="_Toc6702_WPSOffice_Level1"/>
      <w:bookmarkStart w:id="22" w:name="_Toc20131"/>
      <w:bookmarkStart w:id="23" w:name="_Toc8565"/>
      <w:bookmarkStart w:id="24" w:name="_Toc24881_WPSOffice_Level1"/>
      <w:r>
        <w:rPr>
          <w:rFonts w:hint="eastAsia" w:ascii="宋体" w:hAnsi="宋体" w:cs="宋体"/>
          <w:kern w:val="0"/>
          <w:sz w:val="24"/>
          <w:szCs w:val="24"/>
          <w:highlight w:val="none"/>
        </w:rPr>
        <w:t>技术要求</w:t>
      </w:r>
      <w:bookmarkEnd w:id="21"/>
      <w:bookmarkEnd w:id="22"/>
      <w:bookmarkEnd w:id="23"/>
      <w:bookmarkEnd w:id="24"/>
    </w:p>
    <w:p>
      <w:pPr>
        <w:pStyle w:val="64"/>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本项目采购的设备须满足自主可控要求。</w:t>
      </w:r>
    </w:p>
    <w:p>
      <w:pPr>
        <w:numPr>
          <w:ilvl w:val="1"/>
          <w:numId w:val="4"/>
        </w:numPr>
        <w:adjustRightInd w:val="0"/>
        <w:spacing w:line="360" w:lineRule="auto"/>
        <w:ind w:left="0" w:firstLine="0"/>
        <w:outlineLvl w:val="1"/>
        <w:rPr>
          <w:rFonts w:hint="eastAsia"/>
          <w:sz w:val="24"/>
          <w:szCs w:val="24"/>
        </w:rPr>
      </w:pPr>
      <w:r>
        <w:rPr>
          <w:rFonts w:hint="eastAsia" w:ascii="宋体" w:hAnsi="宋体" w:eastAsia="宋体" w:cs="宋体"/>
          <w:sz w:val="24"/>
          <w:szCs w:val="24"/>
          <w:lang w:val="en-US" w:eastAsia="zh-CN"/>
        </w:rPr>
        <w:t>技术指标要求</w:t>
      </w:r>
    </w:p>
    <w:tbl>
      <w:tblPr>
        <w:tblStyle w:val="24"/>
        <w:tblpPr w:leftFromText="180" w:rightFromText="180" w:vertAnchor="text" w:tblpY="1"/>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9"/>
        <w:gridCol w:w="1459"/>
        <w:gridCol w:w="6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shd w:val="clear" w:color="auto" w:fill="D9D9D9"/>
            <w:noWrap w:val="0"/>
            <w:vAlign w:val="center"/>
          </w:tcPr>
          <w:p>
            <w:pPr>
              <w:pStyle w:val="63"/>
              <w:jc w:val="center"/>
              <w:rPr>
                <w:rFonts w:hint="eastAsia" w:ascii="宋体" w:hAnsi="宋体" w:eastAsia="宋体" w:cs="宋体"/>
                <w:sz w:val="24"/>
                <w:szCs w:val="24"/>
                <w:highlight w:val="none"/>
              </w:rPr>
            </w:pPr>
            <w:r>
              <w:rPr>
                <w:rFonts w:hint="eastAsia" w:ascii="宋体" w:hAnsi="宋体" w:eastAsia="宋体" w:cs="宋体"/>
                <w:sz w:val="24"/>
                <w:szCs w:val="24"/>
                <w:lang w:val="en-US" w:eastAsia="zh-CN"/>
              </w:rPr>
              <w:t>设备名称</w:t>
            </w:r>
          </w:p>
        </w:tc>
        <w:tc>
          <w:tcPr>
            <w:tcW w:w="1459" w:type="dxa"/>
            <w:shd w:val="clear" w:color="auto" w:fill="D9D9D9"/>
            <w:noWrap w:val="0"/>
            <w:vAlign w:val="center"/>
          </w:tcPr>
          <w:p>
            <w:pPr>
              <w:pStyle w:val="63"/>
              <w:jc w:val="center"/>
              <w:rPr>
                <w:rFonts w:hint="eastAsia" w:ascii="宋体" w:hAnsi="宋体" w:eastAsia="宋体" w:cs="宋体"/>
                <w:sz w:val="24"/>
                <w:szCs w:val="24"/>
                <w:highlight w:val="none"/>
              </w:rPr>
            </w:pPr>
            <w:r>
              <w:rPr>
                <w:rFonts w:hint="eastAsia" w:ascii="宋体" w:hAnsi="宋体" w:eastAsia="宋体" w:cs="宋体"/>
                <w:sz w:val="24"/>
                <w:szCs w:val="24"/>
                <w:lang w:val="en-US" w:eastAsia="zh-CN"/>
              </w:rPr>
              <w:t>技术指标</w:t>
            </w:r>
          </w:p>
        </w:tc>
        <w:tc>
          <w:tcPr>
            <w:tcW w:w="6592" w:type="dxa"/>
            <w:shd w:val="clear" w:color="auto" w:fill="D9D9D9"/>
            <w:noWrap w:val="0"/>
            <w:vAlign w:val="center"/>
          </w:tcPr>
          <w:p>
            <w:pPr>
              <w:pStyle w:val="63"/>
              <w:jc w:val="center"/>
              <w:rPr>
                <w:rFonts w:hint="eastAsia" w:ascii="宋体" w:hAnsi="宋体" w:eastAsia="宋体" w:cs="宋体"/>
                <w:sz w:val="24"/>
                <w:szCs w:val="24"/>
                <w:highlight w:val="none"/>
              </w:rPr>
            </w:pPr>
            <w:r>
              <w:rPr>
                <w:rFonts w:hint="eastAsia" w:ascii="宋体" w:hAnsi="宋体" w:eastAsia="宋体" w:cs="宋体"/>
                <w:sz w:val="24"/>
                <w:szCs w:val="24"/>
                <w:lang w:val="en-US" w:eastAsia="zh-CN"/>
              </w:rPr>
              <w:t>技术参数</w:t>
            </w:r>
            <w:r>
              <w:rPr>
                <w:rFonts w:hint="eastAsia" w:ascii="宋体" w:hAnsi="宋体" w:eastAsia="宋体" w:cs="宋体"/>
                <w:sz w:val="24"/>
                <w:szCs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vMerge w:val="restart"/>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lang w:val="en-US" w:eastAsia="zh-CN"/>
              </w:rPr>
              <w:t>防病毒网关</w:t>
            </w:r>
          </w:p>
        </w:tc>
        <w:tc>
          <w:tcPr>
            <w:tcW w:w="767" w:type="pct"/>
            <w:noWrap w:val="0"/>
            <w:vAlign w:val="center"/>
          </w:tcPr>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安全要求</w:t>
            </w:r>
          </w:p>
        </w:tc>
        <w:tc>
          <w:tcPr>
            <w:tcW w:w="3464" w:type="pct"/>
            <w:noWrap w:val="0"/>
            <w:vAlign w:val="top"/>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1.投标产品标准不低于《通用服务器政府采购需求标准（2023 版）》要求，详见中国信息安全测评中心（www.itsec.gov.cn）和国家保密科技测评中心（www.nsstec.org.cn）公告结果。</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2.CPU和操作系统应当符合安全可靠测评要求。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vMerge w:val="continue"/>
            <w:noWrap w:val="0"/>
            <w:vAlign w:val="center"/>
          </w:tcPr>
          <w:p>
            <w:pPr>
              <w:rPr>
                <w:rFonts w:hint="eastAsia" w:ascii="宋体" w:hAnsi="宋体" w:eastAsia="宋体" w:cs="宋体"/>
                <w:b w:val="0"/>
                <w:bCs w:val="0"/>
                <w:sz w:val="24"/>
                <w:szCs w:val="24"/>
                <w:highlight w:val="none"/>
              </w:rPr>
            </w:pPr>
          </w:p>
        </w:tc>
        <w:tc>
          <w:tcPr>
            <w:tcW w:w="767" w:type="pct"/>
            <w:vMerge w:val="restart"/>
            <w:noWrap w:val="0"/>
            <w:vAlign w:val="center"/>
          </w:tcPr>
          <w:p>
            <w:pPr>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sz w:val="24"/>
                <w:szCs w:val="24"/>
                <w:highlight w:val="none"/>
              </w:rPr>
              <w:t>设备配置</w:t>
            </w: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标准机架式设备，冗余交流双电源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设备前面板具备液晶显示屏，便于运维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千兆电口</w:t>
            </w:r>
            <w:r>
              <w:rPr>
                <w:rFonts w:hint="eastAsia" w:ascii="宋体" w:hAnsi="宋体" w:eastAsia="宋体" w:cs="宋体"/>
                <w:color w:val="000000"/>
                <w:sz w:val="24"/>
                <w:szCs w:val="24"/>
                <w:highlight w:val="none"/>
              </w:rPr>
              <w:t>≥2个，千兆光口≥4个</w:t>
            </w:r>
            <w:r>
              <w:rPr>
                <w:rFonts w:hint="eastAsia" w:ascii="宋体" w:hAnsi="宋体" w:eastAsia="宋体" w:cs="宋体"/>
                <w:sz w:val="24"/>
                <w:szCs w:val="24"/>
                <w:highlight w:val="none"/>
              </w:rPr>
              <w:t>（含光模块）</w:t>
            </w:r>
            <w:r>
              <w:rPr>
                <w:rFonts w:hint="eastAsia" w:ascii="宋体" w:hAnsi="宋体" w:eastAsia="宋体" w:cs="宋体"/>
                <w:color w:val="000000"/>
                <w:sz w:val="24"/>
                <w:szCs w:val="24"/>
                <w:highlight w:val="none"/>
              </w:rPr>
              <w:t>，万兆光口≥2个</w:t>
            </w:r>
            <w:r>
              <w:rPr>
                <w:rFonts w:hint="eastAsia" w:ascii="宋体" w:hAnsi="宋体" w:eastAsia="宋体" w:cs="宋体"/>
                <w:sz w:val="24"/>
                <w:szCs w:val="24"/>
                <w:highlight w:val="none"/>
              </w:rPr>
              <w:t>（含光模块），配置独立HA口、管理口。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日志数据存储空间</w:t>
            </w:r>
            <w:r>
              <w:rPr>
                <w:rFonts w:hint="eastAsia" w:ascii="宋体" w:hAnsi="宋体" w:eastAsia="宋体" w:cs="宋体"/>
                <w:color w:val="000000"/>
                <w:sz w:val="24"/>
                <w:szCs w:val="24"/>
                <w:highlight w:val="none"/>
              </w:rPr>
              <w:t>≥2</w:t>
            </w:r>
            <w:r>
              <w:rPr>
                <w:rFonts w:hint="eastAsia" w:ascii="宋体" w:hAnsi="宋体" w:eastAsia="宋体" w:cs="宋体"/>
                <w:sz w:val="24"/>
                <w:szCs w:val="24"/>
                <w:highlight w:val="none"/>
              </w:rPr>
              <w:t>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vMerge w:val="continue"/>
            <w:noWrap w:val="0"/>
            <w:vAlign w:val="center"/>
          </w:tcPr>
          <w:p>
            <w:pPr>
              <w:rPr>
                <w:rFonts w:hint="eastAsia" w:ascii="宋体" w:hAnsi="宋体" w:eastAsia="宋体" w:cs="宋体"/>
                <w:b w:val="0"/>
                <w:bCs w:val="0"/>
                <w:sz w:val="24"/>
                <w:szCs w:val="24"/>
                <w:highlight w:val="none"/>
              </w:rPr>
            </w:pPr>
          </w:p>
        </w:tc>
        <w:tc>
          <w:tcPr>
            <w:tcW w:w="767" w:type="pct"/>
            <w:noWrap w:val="0"/>
            <w:vAlign w:val="center"/>
          </w:tcPr>
          <w:p>
            <w:pPr>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sz w:val="24"/>
                <w:szCs w:val="24"/>
                <w:highlight w:val="none"/>
              </w:rPr>
              <w:t>性能要求</w:t>
            </w: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w:t>
            </w:r>
            <w:r>
              <w:rPr>
                <w:rFonts w:hint="eastAsia" w:ascii="宋体" w:hAnsi="宋体" w:eastAsia="宋体" w:cs="宋体"/>
                <w:bCs/>
                <w:sz w:val="24"/>
                <w:szCs w:val="24"/>
                <w:highlight w:val="none"/>
              </w:rPr>
              <w:t>整机吞吐率</w:t>
            </w:r>
            <w:r>
              <w:rPr>
                <w:rFonts w:hint="eastAsia" w:ascii="宋体" w:hAnsi="宋体" w:eastAsia="宋体" w:cs="宋体"/>
                <w:color w:val="000000"/>
                <w:sz w:val="24"/>
                <w:szCs w:val="24"/>
                <w:highlight w:val="none"/>
              </w:rPr>
              <w:t xml:space="preserve">≥8Gbps </w:t>
            </w:r>
            <w:r>
              <w:rPr>
                <w:rFonts w:hint="eastAsia" w:ascii="宋体" w:hAnsi="宋体" w:eastAsia="宋体" w:cs="宋体"/>
                <w:bCs/>
                <w:sz w:val="24"/>
                <w:szCs w:val="24"/>
                <w:highlight w:val="none"/>
              </w:rPr>
              <w:t>病毒检测吞吐率</w:t>
            </w:r>
            <w:r>
              <w:rPr>
                <w:rFonts w:hint="eastAsia" w:ascii="宋体" w:hAnsi="宋体" w:eastAsia="宋体" w:cs="宋体"/>
                <w:color w:val="000000"/>
                <w:sz w:val="24"/>
                <w:szCs w:val="24"/>
                <w:highlight w:val="none"/>
              </w:rPr>
              <w:t xml:space="preserve">≥2Gbps </w:t>
            </w:r>
            <w:r>
              <w:rPr>
                <w:rFonts w:hint="eastAsia" w:ascii="宋体" w:hAnsi="宋体" w:eastAsia="宋体" w:cs="宋体"/>
                <w:bCs/>
                <w:sz w:val="24"/>
                <w:szCs w:val="24"/>
                <w:highlight w:val="none"/>
              </w:rPr>
              <w:t>最大并发连接数</w:t>
            </w:r>
            <w:r>
              <w:rPr>
                <w:rFonts w:hint="eastAsia" w:ascii="宋体" w:hAnsi="宋体" w:eastAsia="宋体" w:cs="宋体"/>
                <w:color w:val="000000"/>
                <w:sz w:val="24"/>
                <w:szCs w:val="24"/>
                <w:highlight w:val="none"/>
              </w:rPr>
              <w:t>≥300万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767" w:type="pct"/>
            <w:vMerge w:val="continue"/>
            <w:noWrap w:val="0"/>
            <w:vAlign w:val="center"/>
          </w:tcPr>
          <w:p>
            <w:pPr>
              <w:rPr>
                <w:rFonts w:hint="eastAsia" w:ascii="宋体" w:hAnsi="宋体" w:eastAsia="宋体" w:cs="宋体"/>
                <w:b w:val="0"/>
                <w:bCs w:val="0"/>
                <w:sz w:val="24"/>
                <w:szCs w:val="24"/>
                <w:highlight w:val="none"/>
              </w:rPr>
            </w:pPr>
          </w:p>
        </w:tc>
        <w:tc>
          <w:tcPr>
            <w:tcW w:w="767" w:type="pct"/>
            <w:vMerge w:val="restart"/>
            <w:noWrap w:val="0"/>
            <w:vAlign w:val="center"/>
          </w:tcPr>
          <w:p>
            <w:pPr>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sz w:val="24"/>
                <w:szCs w:val="24"/>
                <w:highlight w:val="none"/>
              </w:rPr>
              <w:t>功能要求</w:t>
            </w: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bCs/>
                <w:sz w:val="24"/>
                <w:szCs w:val="24"/>
                <w:highlight w:val="none"/>
              </w:rPr>
              <w:t>★设备必须为专业的防病毒网关产品，非防火墙/下一代防火墙、UTM、IPS等具有防病毒功能模块的产品（提供产品相应的web管理界面截图）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bCs/>
                <w:sz w:val="24"/>
                <w:szCs w:val="24"/>
                <w:highlight w:val="none"/>
              </w:rPr>
              <w:t>能够防御病毒、木马、后门、间谍软件等恶意代码或软件；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bCs/>
                <w:sz w:val="24"/>
                <w:szCs w:val="24"/>
                <w:highlight w:val="none"/>
              </w:rPr>
              <w:t>支持对HTTP、FTP、POP3、SMTP、IMAP等常用应用协议进行病毒检测与过滤；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bCs/>
                <w:sz w:val="24"/>
                <w:szCs w:val="24"/>
                <w:highlight w:val="none"/>
              </w:rPr>
              <w:t>支持IPv6、IPv6 over IPv4、IPv6和IPv4混合网络，能够在该网络环境中检测出病毒流量；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bookmarkStart w:id="25" w:name="_Hlk141701581"/>
            <w:r>
              <w:rPr>
                <w:rFonts w:hint="eastAsia" w:ascii="宋体" w:hAnsi="宋体" w:eastAsia="宋体" w:cs="宋体"/>
                <w:bCs/>
                <w:sz w:val="24"/>
                <w:szCs w:val="24"/>
                <w:highlight w:val="none"/>
              </w:rPr>
              <w:t>具有访问控制功能，可将不必要的网络服务禁止</w:t>
            </w:r>
            <w:bookmarkEnd w:id="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w:t>
            </w:r>
            <w:r>
              <w:rPr>
                <w:rFonts w:hint="eastAsia" w:ascii="宋体" w:hAnsi="宋体" w:eastAsia="宋体" w:cs="宋体"/>
                <w:bCs/>
                <w:sz w:val="24"/>
                <w:szCs w:val="24"/>
                <w:highlight w:val="none"/>
              </w:rPr>
              <w:t>要求病毒网关默认加载的流行病毒库总数大于300万，可本地化完成病毒的检测过滤与处理，无需发送到云端检测；</w:t>
            </w:r>
            <w:r>
              <w:rPr>
                <w:rFonts w:hint="eastAsia" w:ascii="宋体" w:hAnsi="宋体" w:eastAsia="宋体" w:cs="宋体"/>
                <w:color w:val="000000"/>
                <w:sz w:val="24"/>
                <w:szCs w:val="24"/>
                <w:highlight w:val="non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bookmarkStart w:id="26" w:name="_Hlk141701688"/>
            <w:r>
              <w:rPr>
                <w:rFonts w:hint="eastAsia" w:ascii="宋体" w:hAnsi="宋体" w:eastAsia="宋体" w:cs="宋体"/>
                <w:sz w:val="24"/>
                <w:szCs w:val="24"/>
                <w:highlight w:val="none"/>
              </w:rPr>
              <w:t>▲</w:t>
            </w:r>
            <w:r>
              <w:rPr>
                <w:rFonts w:hint="eastAsia" w:ascii="宋体" w:hAnsi="宋体" w:eastAsia="宋体" w:cs="宋体"/>
                <w:bCs/>
                <w:sz w:val="24"/>
                <w:szCs w:val="24"/>
                <w:highlight w:val="none"/>
              </w:rPr>
              <w:t>可针对不用的源地址、目的地址，设置不同的病毒检测过滤策略；</w:t>
            </w:r>
            <w:bookmarkEnd w:id="26"/>
            <w:r>
              <w:rPr>
                <w:rFonts w:hint="eastAsia" w:ascii="宋体" w:hAnsi="宋体" w:eastAsia="宋体" w:cs="宋体"/>
                <w:bCs/>
                <w:sz w:val="24"/>
                <w:szCs w:val="24"/>
                <w:highlight w:val="none"/>
              </w:rPr>
              <w:t>可针对不同的IP地址、IP地址段设置不同的DDoS防御策略；（提供截图证明）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bCs/>
                <w:sz w:val="24"/>
                <w:szCs w:val="24"/>
                <w:highlight w:val="none"/>
              </w:rPr>
              <w:t>支持联动高级威胁检测产品，识别未知病毒，防御APT攻击；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bCs/>
                <w:sz w:val="24"/>
                <w:szCs w:val="24"/>
                <w:highlight w:val="none"/>
              </w:rPr>
              <w:t>厂商提供专门的病毒特征库升级服务，支持手动更新、定时自动更新，且支持设置定时更新时间；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bCs/>
                <w:sz w:val="24"/>
                <w:szCs w:val="24"/>
                <w:highlight w:val="none"/>
              </w:rPr>
              <w:t>支持用户搭建HTTP、FTP病毒特征库升级服务器及自定义服务器地址；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bCs/>
                <w:sz w:val="24"/>
                <w:szCs w:val="24"/>
                <w:highlight w:val="none"/>
              </w:rPr>
              <w:t>支持路由、交换、虚拟线、聚合、监听、混合部署等多种接入模式；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bCs/>
                <w:sz w:val="24"/>
                <w:szCs w:val="24"/>
                <w:highlight w:val="none"/>
              </w:rPr>
              <w:t>支持多接口可旁路的病毒监听检测模式，可并行监听检测多条链路的病毒传输行为，且可与防火墙联动阻断；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color w:val="000000"/>
                <w:sz w:val="24"/>
                <w:szCs w:val="24"/>
                <w:highlight w:val="none"/>
                <w:lang w:bidi="ar"/>
              </w:rPr>
            </w:pPr>
            <w:r>
              <w:rPr>
                <w:rFonts w:hint="eastAsia" w:ascii="宋体" w:hAnsi="宋体" w:eastAsia="宋体" w:cs="宋体"/>
                <w:bCs/>
                <w:sz w:val="24"/>
                <w:szCs w:val="24"/>
                <w:highlight w:val="none"/>
              </w:rPr>
              <w:t>当出现病毒突然爆发状况时，可发送多种报警，包括声音报警；（提供截图证明）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bCs/>
                <w:sz w:val="24"/>
                <w:szCs w:val="24"/>
                <w:highlight w:val="none"/>
              </w:rPr>
            </w:pPr>
            <w:bookmarkStart w:id="27" w:name="_Hlk141702345"/>
            <w:r>
              <w:rPr>
                <w:rFonts w:hint="eastAsia" w:ascii="宋体" w:hAnsi="宋体" w:eastAsia="宋体" w:cs="宋体"/>
                <w:bCs/>
                <w:sz w:val="24"/>
                <w:szCs w:val="24"/>
                <w:highlight w:val="none"/>
              </w:rPr>
              <w:t>支持将日志加密发送到多个Syslog远程日志服务器，且传输类型支持Syslog、Welf；</w:t>
            </w:r>
            <w:bookmarkEnd w:id="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日志支持CSV、XML方式导出，且支持自定义导出条数；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产品界面中具有协议扫描统计、病毒个数统计、最新发现病毒数据，可直观方便地展示网络流量病毒威胁状况；（提供截图证明）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bCs/>
                <w:sz w:val="24"/>
                <w:szCs w:val="24"/>
                <w:highlight w:val="none"/>
              </w:rPr>
            </w:pPr>
            <w:bookmarkStart w:id="28" w:name="_Hlk141702818"/>
            <w:r>
              <w:rPr>
                <w:rFonts w:hint="eastAsia" w:ascii="宋体" w:hAnsi="宋体" w:eastAsia="宋体" w:cs="宋体"/>
                <w:bCs/>
                <w:sz w:val="24"/>
                <w:szCs w:val="24"/>
                <w:highlight w:val="none"/>
              </w:rPr>
              <w:t>支持生成即时报表和定时报表，报表可导出PDF文档，可定时邮件发送；</w:t>
            </w:r>
            <w:bookmarkEnd w:id="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767" w:type="pct"/>
            <w:vMerge w:val="continue"/>
            <w:noWrap w:val="0"/>
            <w:vAlign w:val="center"/>
          </w:tcPr>
          <w:p>
            <w:pPr>
              <w:rPr>
                <w:rFonts w:hint="eastAsia" w:ascii="宋体" w:hAnsi="宋体" w:eastAsia="宋体" w:cs="宋体"/>
                <w:b w:val="0"/>
                <w:bCs w:val="0"/>
                <w:color w:val="000000"/>
                <w:sz w:val="24"/>
                <w:szCs w:val="24"/>
                <w:highlight w:val="none"/>
                <w:lang w:bidi="ar"/>
              </w:rPr>
            </w:pPr>
          </w:p>
        </w:tc>
        <w:tc>
          <w:tcPr>
            <w:tcW w:w="3464" w:type="pct"/>
            <w:noWrap w:val="0"/>
            <w:vAlign w:val="center"/>
          </w:tcPr>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支持配置文件导入、导出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67" w:type="pct"/>
            <w:vMerge w:val="continue"/>
            <w:noWrap w:val="0"/>
            <w:vAlign w:val="center"/>
          </w:tcPr>
          <w:p>
            <w:pPr>
              <w:rPr>
                <w:rFonts w:hint="eastAsia" w:ascii="宋体" w:hAnsi="宋体" w:eastAsia="宋体" w:cs="宋体"/>
                <w:b w:val="0"/>
                <w:bCs w:val="0"/>
                <w:sz w:val="24"/>
                <w:szCs w:val="24"/>
                <w:highlight w:val="none"/>
              </w:rPr>
            </w:pPr>
          </w:p>
        </w:tc>
        <w:tc>
          <w:tcPr>
            <w:tcW w:w="767" w:type="pct"/>
            <w:noWrap w:val="0"/>
            <w:vAlign w:val="center"/>
          </w:tcPr>
          <w:p>
            <w:pPr>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sz w:val="24"/>
                <w:szCs w:val="24"/>
                <w:highlight w:val="none"/>
              </w:rPr>
              <w:t>产品资质</w:t>
            </w:r>
          </w:p>
        </w:tc>
        <w:tc>
          <w:tcPr>
            <w:tcW w:w="3464" w:type="pct"/>
            <w:noWrap w:val="0"/>
            <w:vAlign w:val="center"/>
          </w:tcPr>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具有网络安全专用产品安全检测证书，IT 产品信息安全认证证书评估保障级</w:t>
            </w:r>
          </w:p>
        </w:tc>
      </w:tr>
    </w:tbl>
    <w:p>
      <w:pPr>
        <w:pStyle w:val="2"/>
        <w:rPr>
          <w:rFonts w:hint="eastAsia"/>
        </w:rPr>
      </w:pPr>
    </w:p>
    <w:p>
      <w:pPr>
        <w:pStyle w:val="3"/>
        <w:numPr>
          <w:ilvl w:val="0"/>
          <w:numId w:val="4"/>
        </w:numPr>
        <w:spacing w:before="0" w:after="0" w:line="360" w:lineRule="auto"/>
        <w:rPr>
          <w:rFonts w:hint="eastAsia" w:ascii="宋体" w:hAnsi="宋体" w:cs="宋体"/>
          <w:kern w:val="0"/>
          <w:sz w:val="24"/>
          <w:szCs w:val="24"/>
        </w:rPr>
      </w:pPr>
      <w:bookmarkStart w:id="29" w:name="_Toc8666"/>
      <w:bookmarkStart w:id="30" w:name="_Toc27549_WPSOffice_Level1"/>
      <w:bookmarkStart w:id="31" w:name="_Toc4389_WPSOffice_Level1"/>
      <w:bookmarkStart w:id="32" w:name="_Toc15293"/>
      <w:r>
        <w:rPr>
          <w:rFonts w:hint="eastAsia" w:ascii="宋体" w:hAnsi="宋体" w:cs="宋体"/>
          <w:kern w:val="0"/>
          <w:sz w:val="24"/>
          <w:szCs w:val="24"/>
        </w:rPr>
        <w:t>资料管理</w:t>
      </w:r>
      <w:bookmarkEnd w:id="29"/>
      <w:bookmarkEnd w:id="30"/>
      <w:bookmarkEnd w:id="31"/>
      <w:bookmarkEnd w:id="32"/>
    </w:p>
    <w:p>
      <w:pPr>
        <w:numPr>
          <w:ilvl w:val="1"/>
          <w:numId w:val="4"/>
        </w:numPr>
        <w:adjustRightInd w:val="0"/>
        <w:spacing w:line="360" w:lineRule="auto"/>
        <w:ind w:left="0" w:firstLine="0"/>
        <w:outlineLvl w:val="1"/>
        <w:rPr>
          <w:rFonts w:hint="eastAsia" w:ascii="宋体" w:hAnsi="宋体" w:cs="宋体"/>
          <w:sz w:val="24"/>
        </w:rPr>
      </w:pPr>
      <w:bookmarkStart w:id="33" w:name="_Toc270322069"/>
      <w:r>
        <w:rPr>
          <w:rFonts w:hint="eastAsia" w:ascii="宋体" w:hAnsi="宋体" w:cs="宋体"/>
          <w:sz w:val="24"/>
        </w:rPr>
        <w:t>文档范围</w:t>
      </w:r>
      <w:bookmarkEnd w:id="33"/>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sz w:val="24"/>
        </w:rPr>
      </w:pPr>
      <w:r>
        <w:rPr>
          <w:rFonts w:hint="eastAsia" w:ascii="宋体" w:hAnsi="宋体" w:eastAsia="宋体" w:cs="宋体"/>
          <w:b w:val="0"/>
          <w:bCs w:val="0"/>
          <w:spacing w:val="0"/>
          <w:kern w:val="2"/>
          <w:sz w:val="24"/>
          <w:szCs w:val="24"/>
          <w:lang w:val="en-US" w:eastAsia="zh-CN" w:bidi="ar-SA"/>
        </w:rPr>
        <w:t>为确保本系统的安装、投产、运行和维护，</w:t>
      </w:r>
      <w:r>
        <w:rPr>
          <w:rFonts w:hint="eastAsia" w:ascii="宋体" w:hAnsi="宋体" w:cs="宋体"/>
          <w:sz w:val="24"/>
        </w:rPr>
        <w:t>供方应</w:t>
      </w:r>
      <w:r>
        <w:rPr>
          <w:rFonts w:hint="eastAsia" w:ascii="宋体" w:hAnsi="宋体" w:cs="宋体"/>
          <w:sz w:val="24"/>
          <w:lang w:val="en-US" w:eastAsia="zh-CN"/>
        </w:rPr>
        <w:t>需</w:t>
      </w:r>
      <w:r>
        <w:rPr>
          <w:rFonts w:hint="eastAsia" w:ascii="宋体" w:hAnsi="宋体" w:eastAsia="宋体" w:cs="宋体"/>
          <w:b w:val="0"/>
          <w:bCs w:val="0"/>
          <w:spacing w:val="0"/>
          <w:kern w:val="2"/>
          <w:sz w:val="24"/>
          <w:szCs w:val="24"/>
          <w:lang w:val="en-US" w:eastAsia="zh-CN" w:bidi="ar-SA"/>
        </w:rPr>
        <w:t>在合同规定时间内，提供系统所有设备技术文档和操作使用手册，并对其所提供的全部技术资料的准确性负责。投标方提供的文件和资料应能满足招标方进行系统维护和进一步开发的需要。提供的图纸应符合标准规格。向</w:t>
      </w:r>
      <w:r>
        <w:rPr>
          <w:rFonts w:hint="eastAsia" w:ascii="宋体" w:hAnsi="宋体" w:cs="宋体"/>
          <w:b w:val="0"/>
          <w:bCs w:val="0"/>
          <w:spacing w:val="0"/>
          <w:kern w:val="2"/>
          <w:sz w:val="24"/>
          <w:szCs w:val="24"/>
          <w:lang w:val="en-US" w:eastAsia="zh-CN" w:bidi="ar-SA"/>
        </w:rPr>
        <w:t>投标寻源方</w:t>
      </w:r>
      <w:r>
        <w:rPr>
          <w:rFonts w:hint="eastAsia" w:ascii="宋体" w:hAnsi="宋体" w:eastAsia="宋体" w:cs="宋体"/>
          <w:b w:val="0"/>
          <w:bCs w:val="0"/>
          <w:spacing w:val="0"/>
          <w:kern w:val="2"/>
          <w:sz w:val="24"/>
          <w:szCs w:val="24"/>
          <w:lang w:val="en-US" w:eastAsia="zh-CN" w:bidi="ar-SA"/>
        </w:rPr>
        <w:t>提供</w:t>
      </w:r>
      <w:r>
        <w:rPr>
          <w:rFonts w:hint="eastAsia" w:ascii="宋体" w:hAnsi="宋体" w:cs="宋体"/>
          <w:sz w:val="24"/>
        </w:rPr>
        <w:t>相关验收资料</w:t>
      </w:r>
      <w:r>
        <w:rPr>
          <w:rFonts w:hint="eastAsia" w:ascii="宋体" w:hAnsi="宋体" w:eastAsia="宋体" w:cs="宋体"/>
          <w:b w:val="0"/>
          <w:bCs w:val="0"/>
          <w:spacing w:val="0"/>
          <w:kern w:val="2"/>
          <w:sz w:val="24"/>
          <w:szCs w:val="24"/>
          <w:lang w:val="en-US" w:eastAsia="zh-CN" w:bidi="ar-SA"/>
        </w:rPr>
        <w:t>（</w:t>
      </w:r>
      <w:r>
        <w:rPr>
          <w:rFonts w:hint="eastAsia" w:ascii="宋体" w:hAnsi="宋体" w:cs="宋体"/>
          <w:b w:val="0"/>
          <w:bCs w:val="0"/>
          <w:sz w:val="24"/>
        </w:rPr>
        <w:t>电子版扫描件一套，书面材料一套</w:t>
      </w:r>
      <w:r>
        <w:rPr>
          <w:rFonts w:hint="eastAsia" w:ascii="宋体" w:hAnsi="宋体" w:cs="宋体"/>
          <w:b w:val="0"/>
          <w:bCs w:val="0"/>
          <w:sz w:val="24"/>
          <w:lang w:eastAsia="zh-CN"/>
        </w:rPr>
        <w:t>）</w:t>
      </w:r>
      <w:r>
        <w:rPr>
          <w:rFonts w:hint="eastAsia" w:ascii="宋体" w:hAnsi="宋体" w:cs="宋体"/>
          <w:b w:val="0"/>
          <w:bCs w:val="0"/>
          <w:sz w:val="24"/>
        </w:rPr>
        <w:t>。包括</w:t>
      </w:r>
      <w:r>
        <w:rPr>
          <w:rFonts w:hint="eastAsia" w:ascii="宋体" w:hAnsi="宋体" w:cs="宋体"/>
          <w:b w:val="0"/>
          <w:bCs w:val="0"/>
          <w:sz w:val="24"/>
          <w:lang w:val="en-US" w:eastAsia="zh-CN"/>
        </w:rPr>
        <w:t>但不限于</w:t>
      </w:r>
      <w:r>
        <w:rPr>
          <w:rFonts w:hint="eastAsia" w:ascii="宋体" w:hAnsi="宋体" w:cs="宋体"/>
          <w:b w:val="0"/>
          <w:bCs w:val="0"/>
          <w:sz w:val="24"/>
        </w:rPr>
        <w:t>：</w:t>
      </w:r>
    </w:p>
    <w:tbl>
      <w:tblPr>
        <w:tblStyle w:val="24"/>
        <w:tblW w:w="3341" w:type="pct"/>
        <w:jc w:val="center"/>
        <w:tblLayout w:type="autofit"/>
        <w:tblCellMar>
          <w:top w:w="0" w:type="dxa"/>
          <w:left w:w="108" w:type="dxa"/>
          <w:bottom w:w="0" w:type="dxa"/>
          <w:right w:w="108" w:type="dxa"/>
        </w:tblCellMar>
      </w:tblPr>
      <w:tblGrid>
        <w:gridCol w:w="881"/>
        <w:gridCol w:w="3377"/>
        <w:gridCol w:w="2099"/>
      </w:tblGrid>
      <w:tr>
        <w:tblPrEx>
          <w:tblCellMar>
            <w:top w:w="0" w:type="dxa"/>
            <w:left w:w="108" w:type="dxa"/>
            <w:bottom w:w="0" w:type="dxa"/>
            <w:right w:w="108" w:type="dxa"/>
          </w:tblCellMar>
        </w:tblPrEx>
        <w:trPr>
          <w:trHeight w:val="280"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项目</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说明</w:t>
            </w:r>
          </w:p>
        </w:tc>
        <w:tc>
          <w:tcPr>
            <w:tcW w:w="1651"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数量</w:t>
            </w:r>
          </w:p>
        </w:tc>
      </w:tr>
      <w:tr>
        <w:tblPrEx>
          <w:tblCellMar>
            <w:top w:w="0" w:type="dxa"/>
            <w:left w:w="108" w:type="dxa"/>
            <w:bottom w:w="0" w:type="dxa"/>
            <w:right w:w="108" w:type="dxa"/>
          </w:tblCellMar>
        </w:tblPrEx>
        <w:trPr>
          <w:trHeight w:val="338"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用户使用手册</w:t>
            </w:r>
          </w:p>
        </w:tc>
        <w:tc>
          <w:tcPr>
            <w:tcW w:w="1651"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tblPrEx>
          <w:tblCellMar>
            <w:top w:w="0" w:type="dxa"/>
            <w:left w:w="108" w:type="dxa"/>
            <w:bottom w:w="0" w:type="dxa"/>
            <w:right w:w="108" w:type="dxa"/>
          </w:tblCellMar>
        </w:tblPrEx>
        <w:trPr>
          <w:trHeight w:val="280"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系统维护手册</w:t>
            </w:r>
          </w:p>
        </w:tc>
        <w:tc>
          <w:tcPr>
            <w:tcW w:w="1651" w:type="pct"/>
            <w:tcBorders>
              <w:top w:val="single" w:color="000000" w:sz="4" w:space="0"/>
              <w:left w:val="single" w:color="000000" w:sz="4" w:space="0"/>
              <w:bottom w:val="single" w:color="000000" w:sz="4" w:space="0"/>
              <w:right w:val="single" w:color="000000" w:sz="4" w:space="0"/>
            </w:tcBorders>
            <w:noWrap/>
            <w:vAlign w:val="top"/>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tblPrEx>
          <w:tblCellMar>
            <w:top w:w="0" w:type="dxa"/>
            <w:left w:w="108" w:type="dxa"/>
            <w:bottom w:w="0" w:type="dxa"/>
            <w:right w:w="108" w:type="dxa"/>
          </w:tblCellMar>
        </w:tblPrEx>
        <w:trPr>
          <w:trHeight w:val="280"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系统功能说明手册</w:t>
            </w:r>
          </w:p>
        </w:tc>
        <w:tc>
          <w:tcPr>
            <w:tcW w:w="1651" w:type="pct"/>
            <w:tcBorders>
              <w:top w:val="single" w:color="000000" w:sz="4" w:space="0"/>
              <w:left w:val="single" w:color="000000" w:sz="4" w:space="0"/>
              <w:bottom w:val="single" w:color="000000" w:sz="4" w:space="0"/>
              <w:right w:val="single" w:color="000000" w:sz="4" w:space="0"/>
            </w:tcBorders>
            <w:noWrap/>
            <w:vAlign w:val="top"/>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tblPrEx>
          <w:tblCellMar>
            <w:top w:w="0" w:type="dxa"/>
            <w:left w:w="108" w:type="dxa"/>
            <w:bottom w:w="0" w:type="dxa"/>
            <w:right w:w="108" w:type="dxa"/>
          </w:tblCellMar>
        </w:tblPrEx>
        <w:trPr>
          <w:trHeight w:val="280"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系统安装和配置手册</w:t>
            </w:r>
          </w:p>
        </w:tc>
        <w:tc>
          <w:tcPr>
            <w:tcW w:w="1651" w:type="pct"/>
            <w:tcBorders>
              <w:top w:val="single" w:color="000000" w:sz="4" w:space="0"/>
              <w:left w:val="single" w:color="000000" w:sz="4" w:space="0"/>
              <w:bottom w:val="single" w:color="000000" w:sz="4" w:space="0"/>
              <w:right w:val="single" w:color="000000" w:sz="4" w:space="0"/>
            </w:tcBorders>
            <w:noWrap/>
            <w:vAlign w:val="top"/>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tblPrEx>
          <w:tblCellMar>
            <w:top w:w="0" w:type="dxa"/>
            <w:left w:w="108" w:type="dxa"/>
            <w:bottom w:w="0" w:type="dxa"/>
            <w:right w:w="108" w:type="dxa"/>
          </w:tblCellMar>
        </w:tblPrEx>
        <w:trPr>
          <w:trHeight w:val="280"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系统测试手册</w:t>
            </w:r>
          </w:p>
        </w:tc>
        <w:tc>
          <w:tcPr>
            <w:tcW w:w="1651" w:type="pct"/>
            <w:tcBorders>
              <w:top w:val="single" w:color="000000" w:sz="4" w:space="0"/>
              <w:left w:val="single" w:color="000000" w:sz="4" w:space="0"/>
              <w:bottom w:val="single" w:color="000000" w:sz="4" w:space="0"/>
              <w:right w:val="single" w:color="000000" w:sz="4" w:space="0"/>
            </w:tcBorders>
            <w:noWrap/>
            <w:vAlign w:val="top"/>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bl>
    <w:p>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val="0"/>
          <w:sz w:val="24"/>
        </w:rPr>
      </w:pPr>
    </w:p>
    <w:p>
      <w:pPr>
        <w:numPr>
          <w:ilvl w:val="1"/>
          <w:numId w:val="4"/>
        </w:numPr>
        <w:adjustRightInd w:val="0"/>
        <w:spacing w:line="360" w:lineRule="auto"/>
        <w:ind w:left="0" w:firstLine="0"/>
        <w:outlineLvl w:val="1"/>
        <w:rPr>
          <w:rFonts w:hint="eastAsia" w:ascii="宋体" w:hAnsi="宋体" w:cs="宋体"/>
          <w:sz w:val="24"/>
        </w:rPr>
      </w:pPr>
      <w:bookmarkStart w:id="34" w:name="_Toc270322070"/>
      <w:r>
        <w:rPr>
          <w:rFonts w:hint="eastAsia" w:ascii="宋体" w:hAnsi="宋体" w:cs="宋体"/>
          <w:sz w:val="24"/>
          <w:lang w:eastAsia="zh-CN"/>
        </w:rPr>
        <w:t>报价人</w:t>
      </w:r>
      <w:r>
        <w:rPr>
          <w:rFonts w:hint="eastAsia" w:ascii="宋体" w:hAnsi="宋体" w:cs="宋体"/>
          <w:sz w:val="24"/>
        </w:rPr>
        <w:t>的责任</w:t>
      </w:r>
      <w:bookmarkEnd w:id="34"/>
    </w:p>
    <w:p>
      <w:pPr>
        <w:tabs>
          <w:tab w:val="left" w:pos="1148"/>
        </w:tabs>
        <w:spacing w:line="360" w:lineRule="auto"/>
        <w:ind w:firstLine="480"/>
        <w:jc w:val="left"/>
        <w:rPr>
          <w:rFonts w:hint="eastAsia" w:ascii="宋体" w:hAnsi="宋体" w:cs="宋体"/>
          <w:sz w:val="24"/>
        </w:rPr>
      </w:pPr>
      <w:r>
        <w:rPr>
          <w:rFonts w:hint="eastAsia" w:ascii="宋体" w:hAnsi="宋体" w:cs="宋体"/>
          <w:sz w:val="24"/>
          <w:lang w:eastAsia="zh-CN"/>
        </w:rPr>
        <w:t>报价人</w:t>
      </w:r>
      <w:r>
        <w:rPr>
          <w:rFonts w:hint="eastAsia" w:ascii="宋体" w:hAnsi="宋体" w:cs="宋体"/>
          <w:sz w:val="24"/>
        </w:rPr>
        <w:t>应对其所提供的全部文档的准确性和完整性负责。所有由</w:t>
      </w:r>
      <w:r>
        <w:rPr>
          <w:rFonts w:hint="eastAsia" w:ascii="宋体" w:hAnsi="宋体" w:cs="宋体"/>
          <w:sz w:val="24"/>
          <w:lang w:eastAsia="zh-CN"/>
        </w:rPr>
        <w:t>报价人</w:t>
      </w:r>
      <w:r>
        <w:rPr>
          <w:rFonts w:hint="eastAsia" w:ascii="宋体" w:hAnsi="宋体" w:cs="宋体"/>
          <w:sz w:val="24"/>
        </w:rPr>
        <w:t>采购供货的第三方设备的技术手册的准确性由</w:t>
      </w:r>
      <w:r>
        <w:rPr>
          <w:rFonts w:hint="eastAsia" w:ascii="宋体" w:hAnsi="宋体" w:cs="宋体"/>
          <w:sz w:val="24"/>
          <w:lang w:eastAsia="zh-CN"/>
        </w:rPr>
        <w:t>报价人</w:t>
      </w:r>
      <w:r>
        <w:rPr>
          <w:rFonts w:hint="eastAsia" w:ascii="宋体" w:hAnsi="宋体" w:cs="宋体"/>
          <w:sz w:val="24"/>
        </w:rPr>
        <w:t>负责。</w:t>
      </w:r>
    </w:p>
    <w:p>
      <w:pPr>
        <w:pStyle w:val="3"/>
        <w:numPr>
          <w:ilvl w:val="0"/>
          <w:numId w:val="4"/>
        </w:numPr>
        <w:spacing w:before="0" w:after="0" w:line="360" w:lineRule="auto"/>
        <w:rPr>
          <w:rFonts w:hint="eastAsia" w:ascii="宋体" w:hAnsi="宋体"/>
          <w:kern w:val="0"/>
          <w:sz w:val="24"/>
          <w:szCs w:val="24"/>
        </w:rPr>
      </w:pPr>
      <w:bookmarkStart w:id="35" w:name="_Toc221610060"/>
      <w:bookmarkEnd w:id="35"/>
      <w:bookmarkStart w:id="36" w:name="_Toc221619634"/>
      <w:bookmarkEnd w:id="36"/>
      <w:bookmarkStart w:id="37" w:name="_Toc221617189"/>
      <w:bookmarkEnd w:id="37"/>
      <w:bookmarkStart w:id="38" w:name="_Toc221619631"/>
      <w:bookmarkEnd w:id="38"/>
      <w:bookmarkStart w:id="39" w:name="_Toc221617186"/>
      <w:bookmarkEnd w:id="39"/>
      <w:bookmarkStart w:id="40" w:name="_Toc221610057"/>
      <w:bookmarkEnd w:id="40"/>
      <w:bookmarkStart w:id="41" w:name="_Toc221617188"/>
      <w:bookmarkEnd w:id="41"/>
      <w:bookmarkStart w:id="42" w:name="_Toc221619632"/>
      <w:bookmarkEnd w:id="42"/>
      <w:bookmarkStart w:id="43" w:name="_Toc221610059"/>
      <w:bookmarkEnd w:id="43"/>
      <w:bookmarkStart w:id="44" w:name="_Toc221610058"/>
      <w:bookmarkEnd w:id="44"/>
      <w:bookmarkStart w:id="45" w:name="_Toc221619633"/>
      <w:bookmarkEnd w:id="45"/>
      <w:bookmarkStart w:id="46" w:name="_Toc221617187"/>
      <w:bookmarkEnd w:id="46"/>
      <w:bookmarkStart w:id="47" w:name="_Toc8849_WPSOffice_Level1"/>
      <w:bookmarkStart w:id="48" w:name="_Toc27007"/>
      <w:bookmarkStart w:id="49" w:name="_Toc27515"/>
      <w:bookmarkStart w:id="50" w:name="_Toc31121_WPSOffice_Level1"/>
      <w:bookmarkStart w:id="51" w:name="_Toc23027"/>
      <w:bookmarkStart w:id="52" w:name="_Toc58225921"/>
      <w:bookmarkStart w:id="53" w:name="_Toc187218714"/>
      <w:r>
        <w:rPr>
          <w:rFonts w:hint="eastAsia" w:ascii="宋体" w:hAnsi="宋体"/>
          <w:kern w:val="0"/>
          <w:sz w:val="24"/>
          <w:szCs w:val="24"/>
        </w:rPr>
        <w:t>售后服务及技术培训</w:t>
      </w:r>
      <w:bookmarkEnd w:id="47"/>
      <w:bookmarkEnd w:id="48"/>
      <w:bookmarkEnd w:id="49"/>
      <w:bookmarkEnd w:id="50"/>
      <w:bookmarkEnd w:id="51"/>
      <w:bookmarkEnd w:id="52"/>
    </w:p>
    <w:p>
      <w:pPr>
        <w:tabs>
          <w:tab w:val="left" w:pos="1148"/>
        </w:tabs>
        <w:spacing w:line="360" w:lineRule="auto"/>
        <w:ind w:firstLine="480"/>
        <w:jc w:val="left"/>
        <w:rPr>
          <w:rFonts w:hint="eastAsia" w:ascii="宋体" w:hAnsi="宋体" w:cs="宋体"/>
          <w:sz w:val="24"/>
        </w:rPr>
      </w:pPr>
      <w:bookmarkStart w:id="54" w:name="_Toc32297"/>
      <w:bookmarkStart w:id="55" w:name="_Toc317689842"/>
      <w:bookmarkStart w:id="56" w:name="_Toc17375_WPSOffice_Level1"/>
      <w:bookmarkStart w:id="57" w:name="_Toc58225922"/>
      <w:bookmarkStart w:id="58" w:name="_Toc23917"/>
      <w:bookmarkStart w:id="59" w:name="_Toc8224_WPSOffice_Level1"/>
      <w:bookmarkStart w:id="60" w:name="_Toc317067408"/>
      <w:bookmarkStart w:id="61" w:name="_Toc317690130"/>
      <w:bookmarkStart w:id="62" w:name="_Toc20893"/>
      <w:r>
        <w:rPr>
          <w:rFonts w:hint="eastAsia" w:ascii="宋体" w:hAnsi="宋体" w:cs="宋体"/>
          <w:sz w:val="24"/>
        </w:rPr>
        <w:t>在产品质保期内有制造质量的货物，由供货方负责修理或更换。对非甲方责任造成的货物损坏，供货方有优先提供更换的义务。</w:t>
      </w:r>
    </w:p>
    <w:p>
      <w:pPr>
        <w:tabs>
          <w:tab w:val="left" w:pos="1148"/>
        </w:tabs>
        <w:spacing w:line="360" w:lineRule="auto"/>
        <w:ind w:firstLine="480"/>
        <w:jc w:val="left"/>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.1售后服务要求</w:t>
      </w:r>
    </w:p>
    <w:p>
      <w:pPr>
        <w:tabs>
          <w:tab w:val="left" w:pos="1148"/>
        </w:tabs>
        <w:spacing w:line="360" w:lineRule="auto"/>
        <w:ind w:firstLine="480"/>
        <w:jc w:val="left"/>
        <w:rPr>
          <w:rFonts w:hint="eastAsia"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.1</w:t>
      </w:r>
      <w:r>
        <w:rPr>
          <w:rFonts w:hint="eastAsia" w:ascii="宋体" w:hAnsi="宋体" w:cs="宋体"/>
          <w:sz w:val="24"/>
          <w:highlight w:val="none"/>
          <w:lang w:val="en-US" w:eastAsia="zh-CN"/>
        </w:rPr>
        <w:t>.1</w:t>
      </w:r>
      <w:r>
        <w:rPr>
          <w:rFonts w:hint="eastAsia" w:ascii="宋体" w:hAnsi="宋体" w:cs="宋体"/>
          <w:sz w:val="24"/>
          <w:highlight w:val="none"/>
        </w:rPr>
        <w:t xml:space="preserve"> 软件类</w:t>
      </w:r>
    </w:p>
    <w:p>
      <w:pPr>
        <w:numPr>
          <w:numId w:val="0"/>
        </w:numPr>
        <w:tabs>
          <w:tab w:val="left" w:pos="1148"/>
        </w:tabs>
        <w:spacing w:line="360" w:lineRule="auto"/>
        <w:ind w:left="420" w:leftChars="0"/>
        <w:jc w:val="left"/>
        <w:rPr>
          <w:rFonts w:hint="eastAsia" w:ascii="宋体" w:hAnsi="宋体" w:cs="宋体"/>
          <w:sz w:val="24"/>
          <w:highlight w:val="none"/>
        </w:rPr>
      </w:pPr>
      <w:r>
        <w:rPr>
          <w:rFonts w:hint="eastAsia" w:ascii="宋体" w:hAnsi="宋体" w:cs="宋体"/>
          <w:sz w:val="24"/>
          <w:highlight w:val="none"/>
        </w:rPr>
        <w:t>提供</w:t>
      </w:r>
      <w:r>
        <w:rPr>
          <w:rFonts w:hint="eastAsia" w:ascii="宋体" w:hAnsi="宋体" w:cs="宋体"/>
          <w:sz w:val="24"/>
          <w:highlight w:val="none"/>
          <w:lang w:val="en-US" w:eastAsia="zh-CN"/>
        </w:rPr>
        <w:t>3</w:t>
      </w:r>
      <w:r>
        <w:rPr>
          <w:rFonts w:hint="eastAsia" w:ascii="宋体" w:hAnsi="宋体" w:cs="宋体"/>
          <w:sz w:val="24"/>
          <w:highlight w:val="none"/>
        </w:rPr>
        <w:t>年的原厂安全和性能补丁服务</w:t>
      </w:r>
      <w:r>
        <w:rPr>
          <w:rFonts w:hint="eastAsia" w:ascii="宋体" w:hAnsi="宋体" w:cs="宋体"/>
          <w:sz w:val="24"/>
          <w:highlight w:val="none"/>
          <w:lang w:val="en-US" w:eastAsia="zh-CN"/>
        </w:rPr>
        <w:t>及1</w:t>
      </w:r>
      <w:r>
        <w:rPr>
          <w:rFonts w:hint="eastAsia" w:ascii="宋体" w:hAnsi="宋体" w:cs="宋体"/>
          <w:sz w:val="24"/>
          <w:highlight w:val="none"/>
        </w:rPr>
        <w:t>年原厂标准服务，包含：</w:t>
      </w:r>
    </w:p>
    <w:p>
      <w:pPr>
        <w:numPr>
          <w:ilvl w:val="0"/>
          <w:numId w:val="5"/>
        </w:numPr>
        <w:tabs>
          <w:tab w:val="left" w:pos="1148"/>
        </w:tabs>
        <w:spacing w:line="360" w:lineRule="auto"/>
        <w:ind w:left="840" w:leftChars="0" w:hanging="420" w:firstLineChars="0"/>
        <w:jc w:val="both"/>
        <w:rPr>
          <w:rFonts w:hint="eastAsia" w:ascii="宋体" w:hAnsi="宋体" w:eastAsia="宋体" w:cs="宋体"/>
          <w:sz w:val="24"/>
          <w:highlight w:val="none"/>
        </w:rPr>
      </w:pPr>
      <w:r>
        <w:rPr>
          <w:rFonts w:hint="eastAsia" w:ascii="宋体" w:hAnsi="宋体" w:eastAsia="宋体" w:cs="宋体"/>
          <w:sz w:val="24"/>
          <w:highlight w:val="none"/>
        </w:rPr>
        <w:t>提供7×24小时技术支持服务，指定相对固定的技术负责人及联络电话、传真、e-mail等。</w:t>
      </w:r>
    </w:p>
    <w:p>
      <w:pPr>
        <w:numPr>
          <w:ilvl w:val="0"/>
          <w:numId w:val="5"/>
        </w:numPr>
        <w:tabs>
          <w:tab w:val="left" w:pos="1148"/>
        </w:tabs>
        <w:spacing w:line="360" w:lineRule="auto"/>
        <w:ind w:left="840" w:leftChars="0" w:hanging="420" w:firstLineChars="0"/>
        <w:jc w:val="both"/>
        <w:rPr>
          <w:rFonts w:hint="eastAsia" w:ascii="宋体" w:hAnsi="宋体" w:eastAsia="宋体" w:cs="宋体"/>
          <w:sz w:val="24"/>
          <w:highlight w:val="none"/>
        </w:rPr>
      </w:pPr>
      <w:r>
        <w:rPr>
          <w:rFonts w:hint="eastAsia" w:ascii="宋体" w:hAnsi="宋体" w:eastAsia="宋体" w:cs="宋体"/>
          <w:sz w:val="24"/>
          <w:highlight w:val="none"/>
        </w:rPr>
        <w:t>在用户发现软件缺陷时，投标方必须在用户提出维护要求的2小时内作出响应，24小时内提交故障分析报告和解决方案，48小时内故障得以解决。</w:t>
      </w:r>
    </w:p>
    <w:p>
      <w:pPr>
        <w:numPr>
          <w:ilvl w:val="0"/>
          <w:numId w:val="5"/>
        </w:numPr>
        <w:tabs>
          <w:tab w:val="left" w:pos="1148"/>
        </w:tabs>
        <w:spacing w:line="360" w:lineRule="auto"/>
        <w:ind w:left="840" w:leftChars="0" w:hanging="420" w:firstLineChars="0"/>
        <w:jc w:val="both"/>
        <w:rPr>
          <w:rFonts w:hint="eastAsia" w:ascii="宋体" w:hAnsi="宋体" w:eastAsia="宋体" w:cs="宋体"/>
          <w:sz w:val="24"/>
          <w:highlight w:val="none"/>
        </w:rPr>
      </w:pPr>
      <w:r>
        <w:rPr>
          <w:rFonts w:hint="eastAsia" w:ascii="宋体" w:hAnsi="宋体" w:eastAsia="宋体" w:cs="宋体"/>
          <w:sz w:val="24"/>
          <w:highlight w:val="none"/>
        </w:rPr>
        <w:t>重大软件故障时，投标方应在接到故障电话后4小时到达现场，24小时内修复故障。</w:t>
      </w:r>
    </w:p>
    <w:p>
      <w:pPr>
        <w:numPr>
          <w:ilvl w:val="0"/>
          <w:numId w:val="5"/>
        </w:numPr>
        <w:tabs>
          <w:tab w:val="left" w:pos="1148"/>
        </w:tabs>
        <w:spacing w:line="360" w:lineRule="auto"/>
        <w:ind w:left="840" w:leftChars="0" w:hanging="420" w:firstLineChars="0"/>
        <w:jc w:val="both"/>
        <w:rPr>
          <w:rFonts w:hint="eastAsia" w:ascii="宋体" w:hAnsi="宋体" w:eastAsia="宋体" w:cs="宋体"/>
          <w:sz w:val="24"/>
          <w:highlight w:val="none"/>
        </w:rPr>
      </w:pPr>
      <w:r>
        <w:rPr>
          <w:rFonts w:hint="eastAsia" w:ascii="宋体" w:hAnsi="宋体" w:eastAsia="宋体" w:cs="宋体"/>
          <w:sz w:val="24"/>
          <w:highlight w:val="none"/>
        </w:rPr>
        <w:t>在有新的系统补丁或升级版本时，在征得用户同意的情况下可进行升级或打补丁。由于未提供给用户补丁或升级而引起的运行故障由投标方负责一切后果。</w:t>
      </w:r>
    </w:p>
    <w:p>
      <w:pPr>
        <w:tabs>
          <w:tab w:val="left" w:pos="1148"/>
        </w:tabs>
        <w:spacing w:line="360" w:lineRule="auto"/>
        <w:ind w:firstLine="480"/>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7.1.2  硬件</w:t>
      </w:r>
      <w:r>
        <w:rPr>
          <w:rFonts w:hint="eastAsia" w:ascii="宋体" w:hAnsi="宋体" w:cs="宋体"/>
          <w:sz w:val="24"/>
          <w:highlight w:val="none"/>
        </w:rPr>
        <w:t>类</w:t>
      </w:r>
    </w:p>
    <w:p>
      <w:pPr>
        <w:numPr>
          <w:numId w:val="0"/>
        </w:numPr>
        <w:tabs>
          <w:tab w:val="left" w:pos="1148"/>
        </w:tabs>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提供</w:t>
      </w:r>
      <w:r>
        <w:rPr>
          <w:rFonts w:hint="eastAsia" w:ascii="宋体" w:hAnsi="宋体" w:cs="宋体"/>
          <w:sz w:val="24"/>
          <w:highlight w:val="none"/>
          <w:lang w:val="en-US" w:eastAsia="zh-CN"/>
        </w:rPr>
        <w:t>3</w:t>
      </w:r>
      <w:r>
        <w:rPr>
          <w:rFonts w:hint="eastAsia" w:ascii="宋体" w:hAnsi="宋体" w:cs="宋体"/>
          <w:sz w:val="24"/>
          <w:highlight w:val="none"/>
        </w:rPr>
        <w:t>年的设备保修服务</w:t>
      </w:r>
      <w:r>
        <w:rPr>
          <w:rFonts w:hint="eastAsia" w:ascii="宋体" w:hAnsi="宋体" w:cs="宋体"/>
          <w:sz w:val="24"/>
          <w:highlight w:val="none"/>
          <w:lang w:val="en-US" w:eastAsia="zh-CN"/>
        </w:rPr>
        <w:t>及</w:t>
      </w:r>
      <w:r>
        <w:rPr>
          <w:rFonts w:hint="eastAsia" w:ascii="宋体" w:hAnsi="宋体" w:cs="宋体"/>
          <w:sz w:val="24"/>
          <w:highlight w:val="none"/>
        </w:rPr>
        <w:t>1年原厂标准服务，包含：</w:t>
      </w:r>
    </w:p>
    <w:p>
      <w:pPr>
        <w:numPr>
          <w:ilvl w:val="0"/>
          <w:numId w:val="5"/>
        </w:numPr>
        <w:tabs>
          <w:tab w:val="left" w:pos="1148"/>
        </w:tabs>
        <w:spacing w:line="360" w:lineRule="auto"/>
        <w:ind w:left="840" w:leftChars="0" w:hanging="420" w:firstLineChars="0"/>
        <w:jc w:val="left"/>
        <w:rPr>
          <w:rFonts w:hint="eastAsia" w:ascii="宋体" w:hAnsi="宋体" w:cs="宋体"/>
          <w:sz w:val="24"/>
          <w:highlight w:val="none"/>
        </w:rPr>
      </w:pPr>
      <w:r>
        <w:rPr>
          <w:rFonts w:hint="eastAsia" w:ascii="宋体" w:hAnsi="宋体" w:cs="宋体"/>
          <w:sz w:val="24"/>
          <w:highlight w:val="none"/>
        </w:rPr>
        <w:t>提供7×24小时技术支持服务，指定相对固定的技术负责人及联络电话、传真、e-mail等。</w:t>
      </w:r>
    </w:p>
    <w:p>
      <w:pPr>
        <w:numPr>
          <w:ilvl w:val="0"/>
          <w:numId w:val="5"/>
        </w:numPr>
        <w:tabs>
          <w:tab w:val="left" w:pos="1148"/>
        </w:tabs>
        <w:spacing w:line="360" w:lineRule="auto"/>
        <w:ind w:left="840" w:leftChars="0" w:hanging="420" w:firstLineChars="0"/>
        <w:jc w:val="left"/>
        <w:rPr>
          <w:rFonts w:hint="eastAsia" w:ascii="宋体" w:hAnsi="宋体" w:cs="宋体"/>
          <w:sz w:val="24"/>
          <w:highlight w:val="none"/>
        </w:rPr>
      </w:pPr>
      <w:r>
        <w:rPr>
          <w:rFonts w:hint="eastAsia" w:ascii="宋体" w:hAnsi="宋体" w:cs="宋体"/>
          <w:sz w:val="24"/>
          <w:highlight w:val="none"/>
        </w:rPr>
        <w:t>在用户发现系统缺陷时，投标方必须在用户提出维护要求的2小时内作出响应，24小时内提交故障分析报告和解决方案，48小时内故障得以解决。</w:t>
      </w:r>
    </w:p>
    <w:p>
      <w:pPr>
        <w:numPr>
          <w:ilvl w:val="0"/>
          <w:numId w:val="5"/>
        </w:numPr>
        <w:tabs>
          <w:tab w:val="left" w:pos="1148"/>
        </w:tabs>
        <w:spacing w:line="360" w:lineRule="auto"/>
        <w:ind w:left="840" w:leftChars="0" w:hanging="420" w:firstLineChars="0"/>
        <w:jc w:val="left"/>
        <w:rPr>
          <w:rFonts w:hint="eastAsia" w:ascii="宋体" w:hAnsi="宋体" w:cs="宋体"/>
          <w:sz w:val="24"/>
          <w:highlight w:val="none"/>
        </w:rPr>
      </w:pPr>
      <w:r>
        <w:rPr>
          <w:rFonts w:hint="eastAsia" w:ascii="宋体" w:hAnsi="宋体" w:cs="宋体"/>
          <w:sz w:val="24"/>
          <w:highlight w:val="none"/>
        </w:rPr>
        <w:t>重大系统故障时，投标方应在接到故障电话后4小时到达现场，24小时内修复故障。</w:t>
      </w:r>
    </w:p>
    <w:p>
      <w:pPr>
        <w:numPr>
          <w:ilvl w:val="0"/>
          <w:numId w:val="5"/>
        </w:numPr>
        <w:tabs>
          <w:tab w:val="left" w:pos="1148"/>
        </w:tabs>
        <w:spacing w:line="360" w:lineRule="auto"/>
        <w:ind w:left="840" w:leftChars="0" w:hanging="420" w:firstLineChars="0"/>
        <w:jc w:val="left"/>
        <w:rPr>
          <w:rFonts w:hint="eastAsia" w:ascii="宋体" w:hAnsi="宋体" w:cs="宋体"/>
        </w:rPr>
      </w:pPr>
      <w:r>
        <w:rPr>
          <w:rFonts w:hint="eastAsia" w:ascii="宋体" w:hAnsi="宋体" w:cs="宋体"/>
          <w:sz w:val="24"/>
          <w:highlight w:val="none"/>
        </w:rPr>
        <w:t>在有新的系统补丁或升级版本时，在征得用户同意的情况下可进行升级或打补丁。由于未提供给用户补丁或升级而引起的运行故障由投标方负责一切后果</w:t>
      </w:r>
      <w:r>
        <w:rPr>
          <w:rFonts w:hint="eastAsia" w:ascii="宋体" w:hAnsi="宋体" w:cs="宋体"/>
        </w:rPr>
        <w:t>。</w:t>
      </w:r>
    </w:p>
    <w:p>
      <w:pPr>
        <w:tabs>
          <w:tab w:val="left" w:pos="1148"/>
        </w:tabs>
        <w:spacing w:line="360" w:lineRule="auto"/>
        <w:ind w:firstLine="480"/>
        <w:jc w:val="left"/>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.2技术培训</w:t>
      </w:r>
    </w:p>
    <w:p>
      <w:pPr>
        <w:tabs>
          <w:tab w:val="left" w:pos="1148"/>
        </w:tabs>
        <w:spacing w:line="360" w:lineRule="auto"/>
        <w:ind w:firstLine="480"/>
        <w:jc w:val="left"/>
        <w:rPr>
          <w:rFonts w:hint="eastAsia" w:ascii="宋体" w:hAnsi="宋体" w:cs="宋体"/>
          <w:sz w:val="24"/>
        </w:rPr>
      </w:pPr>
      <w:r>
        <w:rPr>
          <w:rFonts w:hint="eastAsia" w:ascii="宋体" w:hAnsi="宋体" w:cs="宋体"/>
          <w:sz w:val="24"/>
        </w:rPr>
        <w:t>(1)供方负责对需方技术人员及运行、维护人员的培训；</w:t>
      </w:r>
    </w:p>
    <w:p>
      <w:pPr>
        <w:tabs>
          <w:tab w:val="left" w:pos="1148"/>
        </w:tabs>
        <w:spacing w:line="360" w:lineRule="auto"/>
        <w:ind w:firstLine="480"/>
        <w:jc w:val="left"/>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2</w:t>
      </w:r>
      <w:r>
        <w:rPr>
          <w:rFonts w:hint="eastAsia" w:ascii="宋体" w:hAnsi="宋体" w:cs="宋体"/>
          <w:sz w:val="24"/>
        </w:rPr>
        <w:t>)由供方负责免费提供培训，甲方选派人员参加；</w:t>
      </w:r>
    </w:p>
    <w:p>
      <w:pPr>
        <w:pStyle w:val="3"/>
        <w:keepNext w:val="0"/>
        <w:keepLines w:val="0"/>
        <w:pageBreakBefore w:val="0"/>
        <w:widowControl w:val="0"/>
        <w:numPr>
          <w:ilvl w:val="0"/>
          <w:numId w:val="4"/>
        </w:numPr>
        <w:kinsoku/>
        <w:wordWrap/>
        <w:overflowPunct/>
        <w:topLinePunct w:val="0"/>
        <w:autoSpaceDE/>
        <w:autoSpaceDN/>
        <w:bidi w:val="0"/>
        <w:adjustRightInd/>
        <w:snapToGrid/>
        <w:spacing w:before="0" w:after="0" w:line="360" w:lineRule="auto"/>
        <w:textAlignment w:val="auto"/>
        <w:rPr>
          <w:rFonts w:hint="eastAsia" w:ascii="宋体" w:hAnsi="宋体" w:cs="宋体"/>
          <w:kern w:val="0"/>
          <w:sz w:val="24"/>
          <w:szCs w:val="24"/>
        </w:rPr>
      </w:pPr>
      <w:bookmarkStart w:id="63" w:name="_Toc5733"/>
      <w:r>
        <w:rPr>
          <w:rFonts w:hint="eastAsia" w:ascii="宋体" w:hAnsi="宋体" w:cs="宋体"/>
          <w:kern w:val="0"/>
          <w:sz w:val="24"/>
          <w:szCs w:val="24"/>
        </w:rPr>
        <w:t>质量保证</w:t>
      </w:r>
      <w:bookmarkEnd w:id="54"/>
      <w:bookmarkEnd w:id="55"/>
      <w:bookmarkEnd w:id="56"/>
      <w:bookmarkEnd w:id="57"/>
      <w:bookmarkEnd w:id="58"/>
      <w:bookmarkEnd w:id="59"/>
      <w:bookmarkEnd w:id="60"/>
      <w:bookmarkEnd w:id="61"/>
      <w:bookmarkEnd w:id="62"/>
      <w:bookmarkEnd w:id="63"/>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乙方所提供货物的质量保证期为从乙方所提供货物通过验收后</w:t>
      </w:r>
      <w:r>
        <w:rPr>
          <w:rFonts w:hint="eastAsia" w:ascii="宋体" w:hAnsi="宋体" w:eastAsia="宋体" w:cs="宋体"/>
          <w:sz w:val="24"/>
          <w:szCs w:val="24"/>
          <w:lang w:val="en-US" w:eastAsia="zh-CN"/>
        </w:rPr>
        <w:t>3年</w:t>
      </w:r>
      <w:r>
        <w:rPr>
          <w:rFonts w:hint="eastAsia" w:ascii="宋体" w:hAnsi="宋体" w:eastAsia="宋体" w:cs="宋体"/>
          <w:sz w:val="24"/>
          <w:szCs w:val="24"/>
        </w:rPr>
        <w:t>。</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cs="宋体"/>
          <w:sz w:val="24"/>
        </w:rPr>
      </w:pPr>
      <w:r>
        <w:rPr>
          <w:rFonts w:hint="eastAsia" w:ascii="宋体" w:hAnsi="宋体" w:eastAsia="宋体" w:cs="宋体"/>
          <w:sz w:val="24"/>
          <w:szCs w:val="24"/>
        </w:rPr>
        <w:t>在乙方所提供货物质量保证期内，如发现乙方提供的货物有缺陷，不符合甲方规定，乙方应按照甲方要求进行免费修理或更换。</w:t>
      </w:r>
    </w:p>
    <w:p>
      <w:pPr>
        <w:pStyle w:val="3"/>
        <w:keepNext w:val="0"/>
        <w:keepLines w:val="0"/>
        <w:pageBreakBefore w:val="0"/>
        <w:widowControl w:val="0"/>
        <w:numPr>
          <w:ilvl w:val="0"/>
          <w:numId w:val="4"/>
        </w:numPr>
        <w:kinsoku/>
        <w:wordWrap/>
        <w:overflowPunct/>
        <w:topLinePunct w:val="0"/>
        <w:autoSpaceDE/>
        <w:autoSpaceDN/>
        <w:bidi w:val="0"/>
        <w:adjustRightInd/>
        <w:snapToGrid/>
        <w:spacing w:before="0" w:after="0" w:line="360" w:lineRule="auto"/>
        <w:textAlignment w:val="auto"/>
        <w:rPr>
          <w:rFonts w:hint="eastAsia" w:ascii="宋体" w:hAnsi="宋体" w:cs="宋体"/>
          <w:kern w:val="0"/>
          <w:sz w:val="24"/>
          <w:szCs w:val="24"/>
        </w:rPr>
      </w:pPr>
      <w:bookmarkStart w:id="64" w:name="_Toc1204"/>
      <w:bookmarkStart w:id="65" w:name="_Toc317690135"/>
      <w:bookmarkStart w:id="66" w:name="_Toc317689847"/>
      <w:bookmarkStart w:id="67" w:name="_Toc58225924"/>
      <w:bookmarkStart w:id="68" w:name="_Toc23858"/>
      <w:bookmarkStart w:id="69" w:name="_Toc4330_WPSOffice_Level1"/>
      <w:bookmarkStart w:id="70" w:name="_Toc306176806"/>
      <w:bookmarkStart w:id="71" w:name="_Toc22439_WPSOffice_Level1"/>
      <w:bookmarkStart w:id="72" w:name="_Toc2446"/>
      <w:bookmarkStart w:id="73" w:name="_Toc3593"/>
      <w:r>
        <w:rPr>
          <w:rFonts w:hint="eastAsia" w:ascii="宋体" w:hAnsi="宋体" w:cs="宋体"/>
          <w:kern w:val="0"/>
          <w:sz w:val="24"/>
          <w:szCs w:val="24"/>
        </w:rPr>
        <w:t>包装、运输和贮存</w:t>
      </w:r>
      <w:bookmarkEnd w:id="64"/>
      <w:bookmarkEnd w:id="65"/>
      <w:bookmarkEnd w:id="66"/>
      <w:bookmarkEnd w:id="67"/>
      <w:bookmarkEnd w:id="68"/>
      <w:bookmarkEnd w:id="69"/>
      <w:bookmarkEnd w:id="70"/>
      <w:bookmarkEnd w:id="71"/>
      <w:bookmarkEnd w:id="72"/>
      <w:bookmarkEnd w:id="73"/>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bookmarkStart w:id="74" w:name="_Toc317690136"/>
      <w:bookmarkStart w:id="75" w:name="_Toc317689848"/>
      <w:r>
        <w:rPr>
          <w:rFonts w:hint="eastAsia" w:ascii="宋体" w:hAnsi="宋体" w:eastAsia="宋体" w:cs="宋体"/>
          <w:sz w:val="24"/>
          <w:szCs w:val="24"/>
        </w:rPr>
        <w:t>设备制造完成并通过试验后应及时包装, 否则应得到切实的保护, 确保其不受污损。</w:t>
      </w:r>
      <w:bookmarkEnd w:id="74"/>
      <w:bookmarkEnd w:id="75"/>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所有部件经妥善包装或装箱后, 在运输过程中尚应采取其它防护措施, 以免散失损坏或被盗。</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在包装箱外应标明需方的订货号、发货号。</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各种包装应能确保各零部件在运输过程中不致遭到损坏、丢失、变形、受潮和腐蚀。</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包装箱上应有明显的包装储运图示标志(按GB/T 191-2008)。</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整体产品或分别运输的部件都要适合运输和装载的要求。</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随产品提供的技术资料应完整无缺。</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 xml:space="preserve">订购的新型产品除应满足本技术条件书外， </w:t>
      </w:r>
      <w:r>
        <w:rPr>
          <w:rFonts w:hint="eastAsia" w:ascii="宋体" w:hAnsi="宋体" w:eastAsia="宋体" w:cs="宋体"/>
          <w:sz w:val="24"/>
          <w:szCs w:val="24"/>
          <w:lang w:val="en-US" w:eastAsia="zh-CN"/>
        </w:rPr>
        <w:t>报价</w:t>
      </w:r>
      <w:r>
        <w:rPr>
          <w:rFonts w:hint="eastAsia" w:ascii="宋体" w:hAnsi="宋体" w:eastAsia="宋体" w:cs="宋体"/>
          <w:sz w:val="24"/>
          <w:szCs w:val="24"/>
          <w:lang w:eastAsia="zh-CN"/>
        </w:rPr>
        <w:t>人</w:t>
      </w:r>
      <w:r>
        <w:rPr>
          <w:rFonts w:hint="eastAsia" w:ascii="宋体" w:hAnsi="宋体" w:eastAsia="宋体" w:cs="宋体"/>
          <w:sz w:val="24"/>
          <w:szCs w:val="24"/>
        </w:rPr>
        <w:t>还应提供产品的鉴定证书。</w:t>
      </w:r>
    </w:p>
    <w:p>
      <w:pPr>
        <w:pStyle w:val="4"/>
        <w:numPr>
          <w:ilvl w:val="1"/>
          <w:numId w:val="4"/>
        </w:numPr>
        <w:adjustRightIn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应保证制造过程中的所有工艺、材料等（包括</w:t>
      </w: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的外购件在内）均应符合本技术条件书的规定。若</w:t>
      </w:r>
      <w:r>
        <w:rPr>
          <w:rFonts w:hint="eastAsia" w:ascii="宋体" w:hAnsi="宋体" w:eastAsia="宋体" w:cs="宋体"/>
          <w:sz w:val="24"/>
          <w:szCs w:val="24"/>
          <w:lang w:eastAsia="zh-CN"/>
        </w:rPr>
        <w:t>采购方</w:t>
      </w:r>
      <w:r>
        <w:rPr>
          <w:rFonts w:hint="eastAsia" w:ascii="宋体" w:hAnsi="宋体" w:eastAsia="宋体" w:cs="宋体"/>
          <w:sz w:val="24"/>
          <w:szCs w:val="24"/>
        </w:rPr>
        <w:t>根据运行经验指定</w:t>
      </w: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提供某种外购零部件，</w:t>
      </w: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应积极配合。</w:t>
      </w:r>
    </w:p>
    <w:p>
      <w:pPr>
        <w:pStyle w:val="4"/>
        <w:numPr>
          <w:ilvl w:val="1"/>
          <w:numId w:val="4"/>
        </w:numPr>
        <w:adjustRightIn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应遵守本技术条件书中各条款和工作项目的ISO900、GB/T1900质量保证体系, 该质量保证体系已经过国家认证和正常运转。</w:t>
      </w:r>
    </w:p>
    <w:p>
      <w:pPr>
        <w:pStyle w:val="4"/>
        <w:numPr>
          <w:ilvl w:val="1"/>
          <w:numId w:val="4"/>
        </w:numPr>
        <w:adjustRightIn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质保期间，因制造质量问题而发生损坏，或不能正常工作时，</w:t>
      </w: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应免费为</w:t>
      </w:r>
      <w:r>
        <w:rPr>
          <w:rFonts w:hint="eastAsia" w:ascii="宋体" w:hAnsi="宋体" w:eastAsia="宋体" w:cs="宋体"/>
          <w:sz w:val="24"/>
          <w:szCs w:val="24"/>
          <w:lang w:eastAsia="zh-CN"/>
        </w:rPr>
        <w:t>采购方</w:t>
      </w:r>
      <w:r>
        <w:rPr>
          <w:rFonts w:hint="eastAsia" w:ascii="宋体" w:hAnsi="宋体" w:eastAsia="宋体" w:cs="宋体"/>
          <w:sz w:val="24"/>
          <w:szCs w:val="24"/>
        </w:rPr>
        <w:t>修理或更换零部件。</w:t>
      </w:r>
      <w:bookmarkStart w:id="76" w:name="_GoBack"/>
      <w:bookmarkEnd w:id="76"/>
    </w:p>
    <w:bookmarkEnd w:id="53"/>
    <w:p>
      <w:pPr>
        <w:rPr>
          <w:rFonts w:hint="eastAsia" w:ascii="宋体" w:hAnsi="宋体" w:cs="宋体"/>
        </w:rPr>
      </w:pPr>
    </w:p>
    <w:p>
      <w:pPr>
        <w:pStyle w:val="5"/>
        <w:rPr>
          <w:rFonts w:hint="eastAsia"/>
          <w:sz w:val="24"/>
          <w:szCs w:val="24"/>
        </w:rPr>
      </w:pPr>
    </w:p>
    <w:sectPr>
      <w:footerReference r:id="rId5" w:type="default"/>
      <w:pgSz w:w="11907" w:h="16840"/>
      <w:pgMar w:top="1701" w:right="1021" w:bottom="1418" w:left="1588" w:header="720" w:footer="992" w:gutter="0"/>
      <w:pgBorders>
        <w:top w:val="none" w:sz="0" w:space="0"/>
        <w:left w:val="none" w:sz="0" w:space="0"/>
        <w:bottom w:val="none" w:sz="0" w:space="0"/>
        <w:right w:val="none" w:sz="0" w:space="0"/>
      </w:pgBorders>
      <w:cols w:space="720" w:num="1"/>
      <w:docGrid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outside" w:y="1"/>
      <w:ind w:firstLine="360"/>
      <w:rPr>
        <w:rStyle w:val="27"/>
        <w:rFonts w:hint="eastAsia"/>
      </w:rPr>
    </w:pPr>
  </w:p>
  <w:p>
    <w:pPr>
      <w:pStyle w:val="1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rFonts w:hint="eastAsia"/>
        <w:kern w:val="0"/>
        <w:szCs w:val="21"/>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default" w:ascii="Times New Roman" w:hAnsi="Times New Roman" w:cs="Times New Roman"/>
        <w:b/>
      </w:rPr>
    </w:lvl>
    <w:lvl w:ilvl="2" w:tentative="0">
      <w:start w:val="1"/>
      <w:numFmt w:val="decimal"/>
      <w:isLgl/>
      <w:suff w:val="space"/>
      <w:lvlText w:val="%1.%2.%3"/>
      <w:lvlJc w:val="left"/>
      <w:pPr>
        <w:ind w:left="0" w:firstLine="0"/>
      </w:pPr>
      <w:rPr>
        <w:rFonts w:hint="default" w:ascii="Times New Roman" w:hAnsi="Times New Roman" w:cs="Times New Roman"/>
        <w:b w:val="0"/>
        <w:i w:val="0"/>
      </w:rPr>
    </w:lvl>
    <w:lvl w:ilvl="3" w:tentative="0">
      <w:start w:val="1"/>
      <w:numFmt w:val="decimal"/>
      <w:pStyle w:val="66"/>
      <w:isLgl/>
      <w:suff w:val="space"/>
      <w:lvlText w:val="%1.%2.%3.%4"/>
      <w:lvlJc w:val="left"/>
      <w:pPr>
        <w:ind w:left="0" w:firstLine="0"/>
      </w:pPr>
      <w:rPr>
        <w:rFonts w:hint="eastAsia"/>
      </w:rPr>
    </w:lvl>
    <w:lvl w:ilvl="4" w:tentative="0">
      <w:start w:val="1"/>
      <w:numFmt w:val="decimal"/>
      <w:isLgl/>
      <w:lvlText w:val="%1.%2.%3.%4.%5"/>
      <w:lvlJc w:val="left"/>
      <w:pPr>
        <w:tabs>
          <w:tab w:val="left" w:pos="426"/>
        </w:tabs>
        <w:ind w:left="426"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09F53057"/>
    <w:multiLevelType w:val="multilevel"/>
    <w:tmpl w:val="09F53057"/>
    <w:lvl w:ilvl="0" w:tentative="0">
      <w:start w:val="1"/>
      <w:numFmt w:val="decimal"/>
      <w:pStyle w:val="62"/>
      <w:lvlText w:val="%1."/>
      <w:lvlJc w:val="left"/>
      <w:pPr>
        <w:ind w:left="846" w:hanging="420"/>
      </w:p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
    <w:nsid w:val="303D51EF"/>
    <w:multiLevelType w:val="multilevel"/>
    <w:tmpl w:val="303D51EF"/>
    <w:lvl w:ilvl="0" w:tentative="0">
      <w:start w:val="1"/>
      <w:numFmt w:val="decimal"/>
      <w:suff w:val="space"/>
      <w:lvlText w:val="%1"/>
      <w:lvlJc w:val="left"/>
      <w:pPr>
        <w:ind w:left="0" w:firstLine="0"/>
      </w:pPr>
      <w:rPr>
        <w:rFonts w:hint="eastAsia"/>
      </w:rPr>
    </w:lvl>
    <w:lvl w:ilvl="1" w:tentative="0">
      <w:start w:val="1"/>
      <w:numFmt w:val="decimal"/>
      <w:suff w:val="space"/>
      <w:lvlText w:val="%1.%2"/>
      <w:lvlJc w:val="left"/>
      <w:pPr>
        <w:ind w:left="227" w:hanging="227"/>
      </w:pPr>
      <w:rPr>
        <w:rFonts w:hint="eastAsia"/>
        <w:sz w:val="24"/>
        <w:szCs w:val="21"/>
      </w:rPr>
    </w:lvl>
    <w:lvl w:ilvl="2" w:tentative="0">
      <w:start w:val="1"/>
      <w:numFmt w:val="decimal"/>
      <w:suff w:val="space"/>
      <w:lvlText w:val="%1.%2.%3"/>
      <w:lvlJc w:val="left"/>
      <w:pPr>
        <w:ind w:left="1418" w:hanging="567"/>
      </w:pPr>
      <w:rPr>
        <w:rFonts w:hint="eastAsia"/>
      </w:rPr>
    </w:lvl>
    <w:lvl w:ilvl="3" w:tentative="0">
      <w:start w:val="1"/>
      <w:numFmt w:val="decimal"/>
      <w:lvlText w:val="%1.%2.%3.%4"/>
      <w:lvlJc w:val="left"/>
      <w:pPr>
        <w:tabs>
          <w:tab w:val="left" w:pos="2716"/>
        </w:tabs>
        <w:ind w:left="1984" w:hanging="708"/>
      </w:pPr>
      <w:rPr>
        <w:rFonts w:hint="eastAsia"/>
      </w:rPr>
    </w:lvl>
    <w:lvl w:ilvl="4" w:tentative="0">
      <w:start w:val="1"/>
      <w:numFmt w:val="decimal"/>
      <w:lvlText w:val="%1.%2.%3.%4.%5"/>
      <w:lvlJc w:val="left"/>
      <w:pPr>
        <w:tabs>
          <w:tab w:val="left" w:pos="3501"/>
        </w:tabs>
        <w:ind w:left="2551" w:hanging="850"/>
      </w:pPr>
      <w:rPr>
        <w:rFonts w:hint="eastAsia"/>
      </w:rPr>
    </w:lvl>
    <w:lvl w:ilvl="5" w:tentative="0">
      <w:start w:val="1"/>
      <w:numFmt w:val="decimal"/>
      <w:lvlText w:val="%1.%2.%3.%4.%5.%6"/>
      <w:lvlJc w:val="left"/>
      <w:pPr>
        <w:tabs>
          <w:tab w:val="left" w:pos="4286"/>
        </w:tabs>
        <w:ind w:left="3260" w:hanging="1134"/>
      </w:pPr>
      <w:rPr>
        <w:rFonts w:hint="eastAsia"/>
      </w:rPr>
    </w:lvl>
    <w:lvl w:ilvl="6" w:tentative="0">
      <w:start w:val="1"/>
      <w:numFmt w:val="decimal"/>
      <w:lvlText w:val="%1.%2.%3.%4.%5.%6.%7"/>
      <w:lvlJc w:val="left"/>
      <w:pPr>
        <w:tabs>
          <w:tab w:val="left" w:pos="5071"/>
        </w:tabs>
        <w:ind w:left="3827" w:hanging="1276"/>
      </w:pPr>
      <w:rPr>
        <w:rFonts w:hint="eastAsia"/>
      </w:rPr>
    </w:lvl>
    <w:lvl w:ilvl="7" w:tentative="0">
      <w:start w:val="1"/>
      <w:numFmt w:val="decimal"/>
      <w:lvlText w:val="%1.%2.%3.%4.%5.%6.%7.%8"/>
      <w:lvlJc w:val="left"/>
      <w:pPr>
        <w:tabs>
          <w:tab w:val="left" w:pos="585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3">
    <w:nsid w:val="4DBBE173"/>
    <w:multiLevelType w:val="singleLevel"/>
    <w:tmpl w:val="4DBBE173"/>
    <w:lvl w:ilvl="0" w:tentative="0">
      <w:start w:val="1"/>
      <w:numFmt w:val="bullet"/>
      <w:lvlText w:val=""/>
      <w:lvlJc w:val="left"/>
      <w:pPr>
        <w:ind w:left="840" w:hanging="420"/>
      </w:pPr>
      <w:rPr>
        <w:rFonts w:hint="default" w:ascii="Wingdings" w:hAnsi="Wingdings"/>
      </w:rPr>
    </w:lvl>
  </w:abstractNum>
  <w:abstractNum w:abstractNumId="4">
    <w:nsid w:val="6CEA2025"/>
    <w:multiLevelType w:val="multilevel"/>
    <w:tmpl w:val="6CEA2025"/>
    <w:lvl w:ilvl="0" w:tentative="0">
      <w:start w:val="1"/>
      <w:numFmt w:val="none"/>
      <w:pStyle w:val="56"/>
      <w:suff w:val="nothing"/>
      <w:lvlText w:val="%1"/>
      <w:lvlJc w:val="left"/>
      <w:pPr>
        <w:ind w:left="0" w:firstLine="0"/>
      </w:pPr>
      <w:rPr>
        <w:rFonts w:hint="default" w:ascii="Times New Roman" w:hAnsi="Times New Roman"/>
        <w:b/>
        <w:i w:val="0"/>
        <w:sz w:val="21"/>
      </w:rPr>
    </w:lvl>
    <w:lvl w:ilvl="1" w:tentative="0">
      <w:start w:val="1"/>
      <w:numFmt w:val="decimal"/>
      <w:pStyle w:val="38"/>
      <w:suff w:val="nothing"/>
      <w:lvlText w:val="%1%2　"/>
      <w:lvlJc w:val="left"/>
      <w:pPr>
        <w:ind w:left="0" w:firstLine="0"/>
      </w:pPr>
      <w:rPr>
        <w:rFonts w:hint="eastAsia" w:ascii="黑体" w:hAnsi="Times New Roman" w:eastAsia="黑体"/>
        <w:b w:val="0"/>
        <w:i w:val="0"/>
        <w:sz w:val="21"/>
      </w:rPr>
    </w:lvl>
    <w:lvl w:ilvl="2" w:tentative="0">
      <w:start w:val="1"/>
      <w:numFmt w:val="decimal"/>
      <w:pStyle w:val="37"/>
      <w:suff w:val="nothing"/>
      <w:lvlText w:val="%1%2.%3　"/>
      <w:lvlJc w:val="left"/>
      <w:pPr>
        <w:ind w:left="0" w:firstLine="0"/>
      </w:pPr>
      <w:rPr>
        <w:rFonts w:hint="eastAsia" w:ascii="黑体" w:hAnsi="Times New Roman" w:eastAsia="黑体"/>
        <w:b w:val="0"/>
        <w:i w:val="0"/>
        <w:sz w:val="21"/>
      </w:rPr>
    </w:lvl>
    <w:lvl w:ilvl="3" w:tentative="0">
      <w:start w:val="1"/>
      <w:numFmt w:val="decimal"/>
      <w:pStyle w:val="39"/>
      <w:suff w:val="nothing"/>
      <w:lvlText w:val="%1%2.%3.%4　"/>
      <w:lvlJc w:val="left"/>
      <w:pPr>
        <w:ind w:left="0" w:firstLine="0"/>
      </w:pPr>
      <w:rPr>
        <w:rFonts w:hint="eastAsia" w:ascii="黑体" w:hAnsi="Times New Roman" w:eastAsia="黑体"/>
        <w:b w:val="0"/>
        <w:i w:val="0"/>
        <w:sz w:val="21"/>
      </w:rPr>
    </w:lvl>
    <w:lvl w:ilvl="4" w:tentative="0">
      <w:start w:val="1"/>
      <w:numFmt w:val="decimal"/>
      <w:pStyle w:val="61"/>
      <w:suff w:val="nothing"/>
      <w:lvlText w:val="%1%2.%3.%4.%5　"/>
      <w:lvlJc w:val="left"/>
      <w:pPr>
        <w:ind w:left="0" w:firstLine="0"/>
      </w:pPr>
      <w:rPr>
        <w:rFonts w:hint="eastAsia" w:ascii="黑体" w:hAnsi="Times New Roman" w:eastAsia="黑体"/>
        <w:b w:val="0"/>
        <w:i w:val="0"/>
        <w:sz w:val="21"/>
      </w:rPr>
    </w:lvl>
    <w:lvl w:ilvl="5" w:tentative="0">
      <w:start w:val="1"/>
      <w:numFmt w:val="decimal"/>
      <w:pStyle w:val="45"/>
      <w:suff w:val="nothing"/>
      <w:lvlText w:val="%1%2.%3.%4.%5.%6　"/>
      <w:lvlJc w:val="left"/>
      <w:pPr>
        <w:ind w:left="0" w:firstLine="0"/>
      </w:pPr>
      <w:rPr>
        <w:rFonts w:hint="eastAsia" w:ascii="黑体" w:hAnsi="Times New Roman" w:eastAsia="黑体"/>
        <w:b w:val="0"/>
        <w:i w:val="0"/>
        <w:sz w:val="21"/>
      </w:rPr>
    </w:lvl>
    <w:lvl w:ilvl="6" w:tentative="0">
      <w:start w:val="1"/>
      <w:numFmt w:val="decimal"/>
      <w:pStyle w:val="5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485"/>
    <w:rsid w:val="0000491B"/>
    <w:rsid w:val="00011B3E"/>
    <w:rsid w:val="00027568"/>
    <w:rsid w:val="000277AF"/>
    <w:rsid w:val="000304EE"/>
    <w:rsid w:val="00034483"/>
    <w:rsid w:val="000430AB"/>
    <w:rsid w:val="00053CF8"/>
    <w:rsid w:val="000735EF"/>
    <w:rsid w:val="00082452"/>
    <w:rsid w:val="00093D4F"/>
    <w:rsid w:val="000B3279"/>
    <w:rsid w:val="000B6A96"/>
    <w:rsid w:val="000C1707"/>
    <w:rsid w:val="000C2285"/>
    <w:rsid w:val="000D2B88"/>
    <w:rsid w:val="000D5553"/>
    <w:rsid w:val="000D5876"/>
    <w:rsid w:val="000E1DB9"/>
    <w:rsid w:val="000E2E10"/>
    <w:rsid w:val="000E59CC"/>
    <w:rsid w:val="000F79EB"/>
    <w:rsid w:val="001266BD"/>
    <w:rsid w:val="00137317"/>
    <w:rsid w:val="001453A8"/>
    <w:rsid w:val="001863BC"/>
    <w:rsid w:val="001945CC"/>
    <w:rsid w:val="001A57F7"/>
    <w:rsid w:val="001B19EA"/>
    <w:rsid w:val="001B47FD"/>
    <w:rsid w:val="001C1ECE"/>
    <w:rsid w:val="001D3623"/>
    <w:rsid w:val="001E0220"/>
    <w:rsid w:val="001F0793"/>
    <w:rsid w:val="002033C7"/>
    <w:rsid w:val="00204545"/>
    <w:rsid w:val="00207944"/>
    <w:rsid w:val="00216CE3"/>
    <w:rsid w:val="00223E06"/>
    <w:rsid w:val="002406F5"/>
    <w:rsid w:val="00241BA1"/>
    <w:rsid w:val="00246C56"/>
    <w:rsid w:val="00260A2F"/>
    <w:rsid w:val="00270012"/>
    <w:rsid w:val="00274E8B"/>
    <w:rsid w:val="00281994"/>
    <w:rsid w:val="002879EE"/>
    <w:rsid w:val="00293A25"/>
    <w:rsid w:val="002B39EA"/>
    <w:rsid w:val="002C6544"/>
    <w:rsid w:val="002E195B"/>
    <w:rsid w:val="002E4660"/>
    <w:rsid w:val="0030280C"/>
    <w:rsid w:val="00303643"/>
    <w:rsid w:val="003258F8"/>
    <w:rsid w:val="00373528"/>
    <w:rsid w:val="003B109D"/>
    <w:rsid w:val="003B1E8E"/>
    <w:rsid w:val="003C38CB"/>
    <w:rsid w:val="00414442"/>
    <w:rsid w:val="00416210"/>
    <w:rsid w:val="00433A13"/>
    <w:rsid w:val="0043522F"/>
    <w:rsid w:val="004378E6"/>
    <w:rsid w:val="00463930"/>
    <w:rsid w:val="004A1972"/>
    <w:rsid w:val="004B422B"/>
    <w:rsid w:val="004C1528"/>
    <w:rsid w:val="004D793C"/>
    <w:rsid w:val="004F357F"/>
    <w:rsid w:val="00503EC8"/>
    <w:rsid w:val="00504B76"/>
    <w:rsid w:val="00513E72"/>
    <w:rsid w:val="0053214F"/>
    <w:rsid w:val="00543FB5"/>
    <w:rsid w:val="005522A5"/>
    <w:rsid w:val="0056265D"/>
    <w:rsid w:val="00563D62"/>
    <w:rsid w:val="005742FA"/>
    <w:rsid w:val="00575472"/>
    <w:rsid w:val="00586EE8"/>
    <w:rsid w:val="005A03FE"/>
    <w:rsid w:val="005B7F19"/>
    <w:rsid w:val="005C163E"/>
    <w:rsid w:val="005C214E"/>
    <w:rsid w:val="005F235F"/>
    <w:rsid w:val="006037F2"/>
    <w:rsid w:val="006179B0"/>
    <w:rsid w:val="006256DA"/>
    <w:rsid w:val="00630C3F"/>
    <w:rsid w:val="00633991"/>
    <w:rsid w:val="00640634"/>
    <w:rsid w:val="006516B3"/>
    <w:rsid w:val="00662A32"/>
    <w:rsid w:val="00684605"/>
    <w:rsid w:val="006865D9"/>
    <w:rsid w:val="006B0707"/>
    <w:rsid w:val="006C21A1"/>
    <w:rsid w:val="00723E2D"/>
    <w:rsid w:val="00726B0D"/>
    <w:rsid w:val="00741658"/>
    <w:rsid w:val="00750C68"/>
    <w:rsid w:val="00767790"/>
    <w:rsid w:val="00787235"/>
    <w:rsid w:val="00796E25"/>
    <w:rsid w:val="007A7896"/>
    <w:rsid w:val="007B38EA"/>
    <w:rsid w:val="007D033E"/>
    <w:rsid w:val="007D6095"/>
    <w:rsid w:val="008010D5"/>
    <w:rsid w:val="00812523"/>
    <w:rsid w:val="00812A3F"/>
    <w:rsid w:val="00817ED3"/>
    <w:rsid w:val="00835F5B"/>
    <w:rsid w:val="008463E2"/>
    <w:rsid w:val="00846A78"/>
    <w:rsid w:val="00847800"/>
    <w:rsid w:val="0085072F"/>
    <w:rsid w:val="00860086"/>
    <w:rsid w:val="0086797C"/>
    <w:rsid w:val="008B546E"/>
    <w:rsid w:val="008B59C4"/>
    <w:rsid w:val="008D7018"/>
    <w:rsid w:val="008E0719"/>
    <w:rsid w:val="008E1595"/>
    <w:rsid w:val="008E5F07"/>
    <w:rsid w:val="008E7CD9"/>
    <w:rsid w:val="00912138"/>
    <w:rsid w:val="0091511F"/>
    <w:rsid w:val="009201D7"/>
    <w:rsid w:val="009221A7"/>
    <w:rsid w:val="009301D8"/>
    <w:rsid w:val="00932229"/>
    <w:rsid w:val="00972FB3"/>
    <w:rsid w:val="00973A35"/>
    <w:rsid w:val="00987F81"/>
    <w:rsid w:val="009A56FC"/>
    <w:rsid w:val="009B5DC7"/>
    <w:rsid w:val="009D508A"/>
    <w:rsid w:val="009F0EF1"/>
    <w:rsid w:val="009F39FA"/>
    <w:rsid w:val="00A00BFD"/>
    <w:rsid w:val="00A17DAC"/>
    <w:rsid w:val="00A30A80"/>
    <w:rsid w:val="00A3515B"/>
    <w:rsid w:val="00A44784"/>
    <w:rsid w:val="00A71C0E"/>
    <w:rsid w:val="00A76C00"/>
    <w:rsid w:val="00AC2DEE"/>
    <w:rsid w:val="00AF7800"/>
    <w:rsid w:val="00B63E45"/>
    <w:rsid w:val="00B7291B"/>
    <w:rsid w:val="00B83FBB"/>
    <w:rsid w:val="00B942B2"/>
    <w:rsid w:val="00BA04CC"/>
    <w:rsid w:val="00BA1B37"/>
    <w:rsid w:val="00BA4147"/>
    <w:rsid w:val="00BD715C"/>
    <w:rsid w:val="00BE5147"/>
    <w:rsid w:val="00BF19FB"/>
    <w:rsid w:val="00C50363"/>
    <w:rsid w:val="00C62414"/>
    <w:rsid w:val="00C73186"/>
    <w:rsid w:val="00C87532"/>
    <w:rsid w:val="00CA35E1"/>
    <w:rsid w:val="00CB328E"/>
    <w:rsid w:val="00CB5E55"/>
    <w:rsid w:val="00CC75CC"/>
    <w:rsid w:val="00CD6255"/>
    <w:rsid w:val="00CF7AB5"/>
    <w:rsid w:val="00D07120"/>
    <w:rsid w:val="00D104B1"/>
    <w:rsid w:val="00D36F7E"/>
    <w:rsid w:val="00D37F98"/>
    <w:rsid w:val="00D408A5"/>
    <w:rsid w:val="00D60680"/>
    <w:rsid w:val="00D648A8"/>
    <w:rsid w:val="00D837DD"/>
    <w:rsid w:val="00D952C9"/>
    <w:rsid w:val="00D95485"/>
    <w:rsid w:val="00DA0BD6"/>
    <w:rsid w:val="00DB0DF7"/>
    <w:rsid w:val="00DC5646"/>
    <w:rsid w:val="00DC6AE1"/>
    <w:rsid w:val="00DC6FF3"/>
    <w:rsid w:val="00DE5CFE"/>
    <w:rsid w:val="00DE7403"/>
    <w:rsid w:val="00E0614E"/>
    <w:rsid w:val="00E171E0"/>
    <w:rsid w:val="00E423E3"/>
    <w:rsid w:val="00E4600E"/>
    <w:rsid w:val="00E56A81"/>
    <w:rsid w:val="00E610C3"/>
    <w:rsid w:val="00E67196"/>
    <w:rsid w:val="00E72ADE"/>
    <w:rsid w:val="00E7485D"/>
    <w:rsid w:val="00E820C4"/>
    <w:rsid w:val="00E937E9"/>
    <w:rsid w:val="00E955F4"/>
    <w:rsid w:val="00EA5542"/>
    <w:rsid w:val="00EA78A6"/>
    <w:rsid w:val="00ED3E5A"/>
    <w:rsid w:val="00EE76BD"/>
    <w:rsid w:val="00EF4B81"/>
    <w:rsid w:val="00EF53CF"/>
    <w:rsid w:val="00F07E85"/>
    <w:rsid w:val="00F100AD"/>
    <w:rsid w:val="00F25F84"/>
    <w:rsid w:val="00F26549"/>
    <w:rsid w:val="00F5149E"/>
    <w:rsid w:val="00F661F9"/>
    <w:rsid w:val="00F72BC6"/>
    <w:rsid w:val="00F74D49"/>
    <w:rsid w:val="00F8301A"/>
    <w:rsid w:val="00F97200"/>
    <w:rsid w:val="00FB2B9C"/>
    <w:rsid w:val="00FC3642"/>
    <w:rsid w:val="00FD2E01"/>
    <w:rsid w:val="00FF3529"/>
    <w:rsid w:val="015121A7"/>
    <w:rsid w:val="025748B4"/>
    <w:rsid w:val="040B2908"/>
    <w:rsid w:val="05837358"/>
    <w:rsid w:val="066C5DAC"/>
    <w:rsid w:val="0722700A"/>
    <w:rsid w:val="07CA2C78"/>
    <w:rsid w:val="07DD7372"/>
    <w:rsid w:val="07EA44D7"/>
    <w:rsid w:val="083A7EA8"/>
    <w:rsid w:val="08E76440"/>
    <w:rsid w:val="092D2AB3"/>
    <w:rsid w:val="09BA73C6"/>
    <w:rsid w:val="0AA93B45"/>
    <w:rsid w:val="0ACC1AE2"/>
    <w:rsid w:val="0C527772"/>
    <w:rsid w:val="0C576466"/>
    <w:rsid w:val="0CA672BA"/>
    <w:rsid w:val="0D1E0936"/>
    <w:rsid w:val="0D8449CC"/>
    <w:rsid w:val="0F26399A"/>
    <w:rsid w:val="0F61537E"/>
    <w:rsid w:val="0FA25AF6"/>
    <w:rsid w:val="0FD269DF"/>
    <w:rsid w:val="10851331"/>
    <w:rsid w:val="10A572FB"/>
    <w:rsid w:val="10B86080"/>
    <w:rsid w:val="10BA701D"/>
    <w:rsid w:val="113454FB"/>
    <w:rsid w:val="114744AD"/>
    <w:rsid w:val="114F2D30"/>
    <w:rsid w:val="12306264"/>
    <w:rsid w:val="129A5AAD"/>
    <w:rsid w:val="1362689D"/>
    <w:rsid w:val="14EE06E6"/>
    <w:rsid w:val="14EF4275"/>
    <w:rsid w:val="15F370C3"/>
    <w:rsid w:val="1608780D"/>
    <w:rsid w:val="160A1B5E"/>
    <w:rsid w:val="172149CC"/>
    <w:rsid w:val="17460EE3"/>
    <w:rsid w:val="17C2739F"/>
    <w:rsid w:val="18386E60"/>
    <w:rsid w:val="184E1F0C"/>
    <w:rsid w:val="18CA75FE"/>
    <w:rsid w:val="191C334A"/>
    <w:rsid w:val="19460CE0"/>
    <w:rsid w:val="1ABC3C79"/>
    <w:rsid w:val="1B5B5B18"/>
    <w:rsid w:val="1C030936"/>
    <w:rsid w:val="1E7369BB"/>
    <w:rsid w:val="1F366CA9"/>
    <w:rsid w:val="20AE6AB2"/>
    <w:rsid w:val="20EC0D7C"/>
    <w:rsid w:val="21804100"/>
    <w:rsid w:val="223055B2"/>
    <w:rsid w:val="224225E5"/>
    <w:rsid w:val="228F562B"/>
    <w:rsid w:val="23146690"/>
    <w:rsid w:val="23224AE3"/>
    <w:rsid w:val="241F384A"/>
    <w:rsid w:val="243A1D9C"/>
    <w:rsid w:val="24584B75"/>
    <w:rsid w:val="24AF77B9"/>
    <w:rsid w:val="25BE1C80"/>
    <w:rsid w:val="26A3761A"/>
    <w:rsid w:val="26BA543F"/>
    <w:rsid w:val="27022D02"/>
    <w:rsid w:val="27832FFC"/>
    <w:rsid w:val="27F6680D"/>
    <w:rsid w:val="289F4739"/>
    <w:rsid w:val="2905141E"/>
    <w:rsid w:val="29153097"/>
    <w:rsid w:val="29421A15"/>
    <w:rsid w:val="29CD0424"/>
    <w:rsid w:val="2A23099A"/>
    <w:rsid w:val="2A3707C8"/>
    <w:rsid w:val="2B937FFC"/>
    <w:rsid w:val="2BD04AB6"/>
    <w:rsid w:val="2CA71D5E"/>
    <w:rsid w:val="2E1B2474"/>
    <w:rsid w:val="2E681E16"/>
    <w:rsid w:val="2F573B7C"/>
    <w:rsid w:val="2F8567D6"/>
    <w:rsid w:val="2FCC5CEF"/>
    <w:rsid w:val="30673564"/>
    <w:rsid w:val="30D85D33"/>
    <w:rsid w:val="30F532D4"/>
    <w:rsid w:val="316B5C6E"/>
    <w:rsid w:val="318372DA"/>
    <w:rsid w:val="318A2460"/>
    <w:rsid w:val="3231504C"/>
    <w:rsid w:val="32623E41"/>
    <w:rsid w:val="342E6AAB"/>
    <w:rsid w:val="34A64A1B"/>
    <w:rsid w:val="34C95646"/>
    <w:rsid w:val="3597171B"/>
    <w:rsid w:val="35B3492D"/>
    <w:rsid w:val="365708EE"/>
    <w:rsid w:val="367508D7"/>
    <w:rsid w:val="37C86AC9"/>
    <w:rsid w:val="37CA00BF"/>
    <w:rsid w:val="37D512D0"/>
    <w:rsid w:val="39405F39"/>
    <w:rsid w:val="3A251832"/>
    <w:rsid w:val="3AAB41ED"/>
    <w:rsid w:val="3AB6003C"/>
    <w:rsid w:val="3B9741BB"/>
    <w:rsid w:val="3CA95481"/>
    <w:rsid w:val="3DF25826"/>
    <w:rsid w:val="3DFB21D5"/>
    <w:rsid w:val="3E915CD0"/>
    <w:rsid w:val="3FA465B9"/>
    <w:rsid w:val="3FFB571C"/>
    <w:rsid w:val="404359A5"/>
    <w:rsid w:val="40621095"/>
    <w:rsid w:val="40AB38A5"/>
    <w:rsid w:val="410C1392"/>
    <w:rsid w:val="418836F4"/>
    <w:rsid w:val="43BA072D"/>
    <w:rsid w:val="455B50DE"/>
    <w:rsid w:val="46D27786"/>
    <w:rsid w:val="480E7EAC"/>
    <w:rsid w:val="485B1C35"/>
    <w:rsid w:val="4A9F479A"/>
    <w:rsid w:val="4ADB6E6B"/>
    <w:rsid w:val="4AFA520F"/>
    <w:rsid w:val="4B002E05"/>
    <w:rsid w:val="4C0F4F8A"/>
    <w:rsid w:val="4C721960"/>
    <w:rsid w:val="4DA970B2"/>
    <w:rsid w:val="4F1824C0"/>
    <w:rsid w:val="4FA10D2D"/>
    <w:rsid w:val="4FCB3827"/>
    <w:rsid w:val="50420C4E"/>
    <w:rsid w:val="514461DE"/>
    <w:rsid w:val="522D05F0"/>
    <w:rsid w:val="52DC2ADF"/>
    <w:rsid w:val="538A7093"/>
    <w:rsid w:val="53AC59FB"/>
    <w:rsid w:val="53CD22E1"/>
    <w:rsid w:val="5483498F"/>
    <w:rsid w:val="54E70157"/>
    <w:rsid w:val="56EA7A59"/>
    <w:rsid w:val="58E40DC6"/>
    <w:rsid w:val="59633ABF"/>
    <w:rsid w:val="5A505458"/>
    <w:rsid w:val="5B131468"/>
    <w:rsid w:val="5C537F09"/>
    <w:rsid w:val="5C813C19"/>
    <w:rsid w:val="5D7C6762"/>
    <w:rsid w:val="5DD07FF5"/>
    <w:rsid w:val="5DE21359"/>
    <w:rsid w:val="5E0673C2"/>
    <w:rsid w:val="5FD03A95"/>
    <w:rsid w:val="607D4D71"/>
    <w:rsid w:val="61334FD6"/>
    <w:rsid w:val="61A80D72"/>
    <w:rsid w:val="625F689C"/>
    <w:rsid w:val="6298360A"/>
    <w:rsid w:val="62F70FAC"/>
    <w:rsid w:val="640544A8"/>
    <w:rsid w:val="640E399E"/>
    <w:rsid w:val="645F7296"/>
    <w:rsid w:val="646642CA"/>
    <w:rsid w:val="64A6416A"/>
    <w:rsid w:val="64ED5626"/>
    <w:rsid w:val="65627369"/>
    <w:rsid w:val="65A253CE"/>
    <w:rsid w:val="666F5341"/>
    <w:rsid w:val="66DE7249"/>
    <w:rsid w:val="672E3660"/>
    <w:rsid w:val="67C55FFA"/>
    <w:rsid w:val="684D4E8E"/>
    <w:rsid w:val="6AC91050"/>
    <w:rsid w:val="6B87697A"/>
    <w:rsid w:val="6C20132D"/>
    <w:rsid w:val="6D50338F"/>
    <w:rsid w:val="6D8C35C7"/>
    <w:rsid w:val="6DDD0AD4"/>
    <w:rsid w:val="6E565215"/>
    <w:rsid w:val="6EF275A1"/>
    <w:rsid w:val="6F416438"/>
    <w:rsid w:val="6F453019"/>
    <w:rsid w:val="6FE14BD9"/>
    <w:rsid w:val="70305075"/>
    <w:rsid w:val="70500265"/>
    <w:rsid w:val="70D35520"/>
    <w:rsid w:val="71B11CF3"/>
    <w:rsid w:val="72023B0B"/>
    <w:rsid w:val="72324521"/>
    <w:rsid w:val="72924AA6"/>
    <w:rsid w:val="73665F22"/>
    <w:rsid w:val="73ED2EBE"/>
    <w:rsid w:val="75447E7B"/>
    <w:rsid w:val="755272B2"/>
    <w:rsid w:val="763F5EAD"/>
    <w:rsid w:val="76910718"/>
    <w:rsid w:val="769D056B"/>
    <w:rsid w:val="76A84057"/>
    <w:rsid w:val="77AD35FE"/>
    <w:rsid w:val="77B6211F"/>
    <w:rsid w:val="7811429B"/>
    <w:rsid w:val="7A9E37AF"/>
    <w:rsid w:val="7AFB141C"/>
    <w:rsid w:val="7B9851BE"/>
    <w:rsid w:val="7BAD38DD"/>
    <w:rsid w:val="7C673F2C"/>
    <w:rsid w:val="7D1459C1"/>
    <w:rsid w:val="7D700E1F"/>
    <w:rsid w:val="7DFD5204"/>
    <w:rsid w:val="7EAD4801"/>
    <w:rsid w:val="7EB3400B"/>
    <w:rsid w:val="7EB729B4"/>
    <w:rsid w:val="7EC63350"/>
    <w:rsid w:val="7F9E3966"/>
    <w:rsid w:val="7FA8499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5"/>
    <w:qFormat/>
    <w:uiPriority w:val="0"/>
    <w:pPr>
      <w:keepNext/>
      <w:keepLines/>
      <w:adjustRightInd w:val="0"/>
      <w:spacing w:before="100" w:after="100" w:line="600" w:lineRule="exact"/>
      <w:textAlignment w:val="baseline"/>
      <w:outlineLvl w:val="1"/>
    </w:pPr>
    <w:rPr>
      <w:rFonts w:eastAsia="黑体"/>
      <w:kern w:val="0"/>
      <w:sz w:val="32"/>
      <w:szCs w:val="20"/>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tabs>
        <w:tab w:val="left" w:pos="864"/>
      </w:tabs>
      <w:spacing w:before="280" w:after="290" w:line="372" w:lineRule="auto"/>
      <w:ind w:left="864" w:hanging="864"/>
      <w:outlineLvl w:val="3"/>
    </w:pPr>
    <w:rPr>
      <w:rFonts w:ascii="Arial" w:hAnsi="Arial" w:eastAsia="黑体"/>
      <w:b/>
      <w:bCs/>
      <w:sz w:val="28"/>
      <w:szCs w:val="28"/>
    </w:rPr>
  </w:style>
  <w:style w:type="paragraph" w:styleId="8">
    <w:name w:val="heading 5"/>
    <w:basedOn w:val="1"/>
    <w:next w:val="1"/>
    <w:qFormat/>
    <w:uiPriority w:val="0"/>
    <w:pPr>
      <w:keepNext/>
      <w:keepLines/>
      <w:tabs>
        <w:tab w:val="left" w:pos="1008"/>
      </w:tabs>
      <w:adjustRightInd w:val="0"/>
      <w:spacing w:before="280" w:after="290" w:line="376" w:lineRule="atLeast"/>
      <w:ind w:left="1008" w:hanging="1008"/>
      <w:textAlignment w:val="baseline"/>
      <w:outlineLvl w:val="4"/>
    </w:pPr>
    <w:rPr>
      <w:b/>
      <w:bCs/>
      <w:kern w:val="0"/>
      <w:sz w:val="28"/>
      <w:szCs w:val="28"/>
    </w:rPr>
  </w:style>
  <w:style w:type="paragraph" w:styleId="9">
    <w:name w:val="heading 6"/>
    <w:basedOn w:val="1"/>
    <w:next w:val="1"/>
    <w:qFormat/>
    <w:uiPriority w:val="0"/>
    <w:pPr>
      <w:keepNext/>
      <w:keepLines/>
      <w:tabs>
        <w:tab w:val="left" w:pos="1152"/>
        <w:tab w:val="left" w:pos="2160"/>
      </w:tabs>
      <w:adjustRightInd w:val="0"/>
      <w:spacing w:before="240" w:after="64" w:line="320" w:lineRule="atLeast"/>
      <w:ind w:left="1152" w:hanging="1152"/>
      <w:textAlignment w:val="baseline"/>
      <w:outlineLvl w:val="5"/>
    </w:pPr>
    <w:rPr>
      <w:rFonts w:ascii="Arial" w:hAnsi="Arial" w:eastAsia="黑体"/>
      <w:b/>
      <w:bCs/>
      <w:kern w:val="0"/>
      <w:sz w:val="24"/>
    </w:rPr>
  </w:style>
  <w:style w:type="paragraph" w:styleId="10">
    <w:name w:val="heading 7"/>
    <w:basedOn w:val="1"/>
    <w:next w:val="1"/>
    <w:qFormat/>
    <w:uiPriority w:val="0"/>
    <w:pPr>
      <w:keepNext/>
      <w:keepLines/>
      <w:tabs>
        <w:tab w:val="left" w:pos="1296"/>
      </w:tabs>
      <w:adjustRightInd w:val="0"/>
      <w:spacing w:before="240" w:after="64" w:line="320" w:lineRule="atLeast"/>
      <w:ind w:left="1296" w:hanging="1296"/>
      <w:textAlignment w:val="baseline"/>
      <w:outlineLvl w:val="6"/>
    </w:pPr>
    <w:rPr>
      <w:b/>
      <w:bCs/>
      <w:kern w:val="0"/>
      <w:sz w:val="24"/>
    </w:rPr>
  </w:style>
  <w:style w:type="paragraph" w:styleId="11">
    <w:name w:val="heading 8"/>
    <w:basedOn w:val="1"/>
    <w:next w:val="1"/>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kern w:val="0"/>
      <w:sz w:val="24"/>
    </w:rPr>
  </w:style>
  <w:style w:type="paragraph" w:styleId="12">
    <w:name w:val="heading 9"/>
    <w:basedOn w:val="1"/>
    <w:next w:val="1"/>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kern w:val="0"/>
      <w:szCs w:val="21"/>
    </w:rPr>
  </w:style>
  <w:style w:type="character" w:default="1" w:styleId="25">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customStyle="1" w:styleId="2">
    <w:name w:val="表格文字"/>
    <w:basedOn w:val="1"/>
    <w:qFormat/>
    <w:uiPriority w:val="0"/>
    <w:pPr>
      <w:spacing w:before="25" w:after="25"/>
    </w:pPr>
    <w:rPr>
      <w:bCs/>
      <w:spacing w:val="10"/>
      <w:sz w:val="24"/>
    </w:rPr>
  </w:style>
  <w:style w:type="paragraph" w:styleId="5">
    <w:name w:val="Normal Indent"/>
    <w:basedOn w:val="1"/>
    <w:qFormat/>
    <w:uiPriority w:val="0"/>
    <w:pPr>
      <w:ind w:firstLine="420" w:firstLineChars="200"/>
    </w:pPr>
    <w:rPr>
      <w:rFonts w:ascii="Calibri" w:hAnsi="Calibri" w:eastAsia="宋体" w:cs="Times New Roman"/>
      <w:szCs w:val="24"/>
    </w:rPr>
  </w:style>
  <w:style w:type="paragraph" w:styleId="13">
    <w:name w:val="annotation text"/>
    <w:basedOn w:val="1"/>
    <w:link w:val="30"/>
    <w:semiHidden/>
    <w:qFormat/>
    <w:uiPriority w:val="0"/>
    <w:pPr>
      <w:jc w:val="left"/>
    </w:pPr>
  </w:style>
  <w:style w:type="paragraph" w:styleId="14">
    <w:name w:val="Body Text"/>
    <w:basedOn w:val="1"/>
    <w:next w:val="15"/>
    <w:qFormat/>
    <w:uiPriority w:val="0"/>
    <w:pPr>
      <w:spacing w:after="120"/>
    </w:pPr>
  </w:style>
  <w:style w:type="paragraph" w:styleId="15">
    <w:name w:val="Title"/>
    <w:basedOn w:val="1"/>
    <w:next w:val="1"/>
    <w:qFormat/>
    <w:uiPriority w:val="10"/>
    <w:pPr>
      <w:snapToGrid w:val="0"/>
      <w:spacing w:line="240" w:lineRule="atLeast"/>
      <w:ind w:right="241" w:firstLine="964"/>
      <w:jc w:val="center"/>
    </w:pPr>
    <w:rPr>
      <w:rFonts w:ascii="黑体" w:hAnsi="黑体" w:eastAsia="黑体"/>
      <w:b/>
      <w:sz w:val="48"/>
      <w:szCs w:val="48"/>
    </w:rPr>
  </w:style>
  <w:style w:type="paragraph" w:styleId="16">
    <w:name w:val="Body Text Indent"/>
    <w:basedOn w:val="1"/>
    <w:qFormat/>
    <w:uiPriority w:val="0"/>
    <w:pPr>
      <w:spacing w:after="120"/>
      <w:ind w:left="420" w:leftChars="200"/>
    </w:pPr>
  </w:style>
  <w:style w:type="paragraph" w:styleId="17">
    <w:name w:val="Plain Text"/>
    <w:basedOn w:val="1"/>
    <w:qFormat/>
    <w:uiPriority w:val="0"/>
    <w:rPr>
      <w:rFonts w:ascii="宋体" w:hAnsi="Courier New"/>
      <w:szCs w:val="20"/>
    </w:rPr>
  </w:style>
  <w:style w:type="paragraph" w:styleId="18">
    <w:name w:val="Balloon Text"/>
    <w:basedOn w:val="1"/>
    <w:semiHidden/>
    <w:qFormat/>
    <w:uiPriority w:val="0"/>
    <w:rPr>
      <w:sz w:val="18"/>
      <w:szCs w:val="18"/>
    </w:rPr>
  </w:style>
  <w:style w:type="paragraph" w:styleId="19">
    <w:name w:val="footer"/>
    <w:basedOn w:val="1"/>
    <w:qFormat/>
    <w:uiPriority w:val="0"/>
    <w:pPr>
      <w:tabs>
        <w:tab w:val="center" w:pos="4153"/>
        <w:tab w:val="right" w:pos="8306"/>
      </w:tabs>
      <w:snapToGrid w:val="0"/>
      <w:ind w:right="210" w:rightChars="100"/>
      <w:jc w:val="righ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annotation subject"/>
    <w:basedOn w:val="13"/>
    <w:next w:val="13"/>
    <w:link w:val="31"/>
    <w:qFormat/>
    <w:uiPriority w:val="0"/>
    <w:rPr>
      <w:b/>
      <w:bCs/>
    </w:rPr>
  </w:style>
  <w:style w:type="paragraph" w:styleId="23">
    <w:name w:val="Body Text First Indent 2"/>
    <w:basedOn w:val="16"/>
    <w:qFormat/>
    <w:uiPriority w:val="0"/>
    <w:pPr>
      <w:widowControl w:val="0"/>
      <w:ind w:firstLine="420" w:firstLineChars="200"/>
      <w:jc w:val="both"/>
    </w:pPr>
    <w:rPr>
      <w:kern w:val="2"/>
      <w:sz w:val="21"/>
      <w:szCs w:val="20"/>
    </w:rPr>
  </w:style>
  <w:style w:type="character" w:styleId="26">
    <w:name w:val="Strong"/>
    <w:qFormat/>
    <w:uiPriority w:val="0"/>
    <w:rPr>
      <w:b/>
      <w:bCs/>
    </w:rPr>
  </w:style>
  <w:style w:type="character" w:styleId="27">
    <w:name w:val="page number"/>
    <w:qFormat/>
    <w:uiPriority w:val="0"/>
    <w:rPr>
      <w:rFonts w:ascii="Times New Roman" w:hAnsi="Times New Roman" w:eastAsia="宋体"/>
      <w:sz w:val="18"/>
    </w:rPr>
  </w:style>
  <w:style w:type="character" w:styleId="28">
    <w:name w:val="Hyperlink"/>
    <w:qFormat/>
    <w:uiPriority w:val="99"/>
    <w:rPr>
      <w:rFonts w:hint="default" w:ascii="Arial" w:hAnsi="Arial" w:cs="Arial"/>
      <w:color w:val="0000AA"/>
      <w:u w:val="single"/>
    </w:rPr>
  </w:style>
  <w:style w:type="character" w:styleId="29">
    <w:name w:val="annotation reference"/>
    <w:semiHidden/>
    <w:qFormat/>
    <w:uiPriority w:val="0"/>
    <w:rPr>
      <w:sz w:val="21"/>
      <w:szCs w:val="21"/>
    </w:rPr>
  </w:style>
  <w:style w:type="character" w:customStyle="1" w:styleId="30">
    <w:name w:val="批注文字 Char"/>
    <w:link w:val="13"/>
    <w:semiHidden/>
    <w:qFormat/>
    <w:uiPriority w:val="0"/>
    <w:rPr>
      <w:kern w:val="2"/>
      <w:sz w:val="21"/>
      <w:szCs w:val="24"/>
    </w:rPr>
  </w:style>
  <w:style w:type="character" w:customStyle="1" w:styleId="31">
    <w:name w:val="批注主题 Char"/>
    <w:link w:val="22"/>
    <w:qFormat/>
    <w:uiPriority w:val="0"/>
    <w:rPr>
      <w:b/>
      <w:bCs/>
      <w:kern w:val="2"/>
      <w:sz w:val="21"/>
      <w:szCs w:val="24"/>
    </w:rPr>
  </w:style>
  <w:style w:type="character" w:customStyle="1" w:styleId="32">
    <w:name w:val="font11"/>
    <w:basedOn w:val="25"/>
    <w:qFormat/>
    <w:uiPriority w:val="0"/>
    <w:rPr>
      <w:rFonts w:hint="eastAsia" w:ascii="宋体" w:hAnsi="宋体" w:eastAsia="宋体" w:cs="宋体"/>
      <w:color w:val="000000"/>
      <w:sz w:val="22"/>
      <w:szCs w:val="22"/>
      <w:u w:val="none"/>
    </w:rPr>
  </w:style>
  <w:style w:type="character" w:customStyle="1" w:styleId="33">
    <w:name w:val="font31"/>
    <w:qFormat/>
    <w:uiPriority w:val="0"/>
    <w:rPr>
      <w:rFonts w:hint="eastAsia" w:ascii="微软雅黑" w:hAnsi="微软雅黑" w:eastAsia="微软雅黑" w:cs="微软雅黑"/>
      <w:color w:val="000000"/>
      <w:sz w:val="21"/>
      <w:szCs w:val="21"/>
      <w:u w:val="none"/>
    </w:rPr>
  </w:style>
  <w:style w:type="character" w:customStyle="1" w:styleId="34">
    <w:name w:val="font01"/>
    <w:qFormat/>
    <w:uiPriority w:val="0"/>
    <w:rPr>
      <w:rFonts w:hint="eastAsia" w:ascii="微软雅黑" w:hAnsi="微软雅黑" w:eastAsia="微软雅黑" w:cs="微软雅黑"/>
      <w:color w:val="FF0000"/>
      <w:sz w:val="18"/>
      <w:szCs w:val="18"/>
      <w:u w:val="none"/>
    </w:rPr>
  </w:style>
  <w:style w:type="character" w:customStyle="1" w:styleId="35">
    <w:name w:val="font21"/>
    <w:basedOn w:val="25"/>
    <w:qFormat/>
    <w:uiPriority w:val="0"/>
    <w:rPr>
      <w:rFonts w:hint="default" w:ascii="Times New Roman" w:hAnsi="Times New Roman" w:cs="Times New Roman"/>
      <w:color w:val="000000"/>
      <w:sz w:val="18"/>
      <w:szCs w:val="18"/>
      <w:u w:val="none"/>
    </w:rPr>
  </w:style>
  <w:style w:type="paragraph" w:customStyle="1" w:styleId="36">
    <w:name w:val="标准书眉一"/>
    <w:qFormat/>
    <w:uiPriority w:val="0"/>
    <w:pPr>
      <w:jc w:val="both"/>
    </w:pPr>
    <w:rPr>
      <w:rFonts w:ascii="Times New Roman" w:hAnsi="Times New Roman" w:eastAsia="宋体" w:cs="Times New Roman"/>
      <w:lang w:val="en-US" w:eastAsia="zh-CN" w:bidi="ar-SA"/>
    </w:rPr>
  </w:style>
  <w:style w:type="paragraph" w:customStyle="1" w:styleId="37">
    <w:name w:val="一级条标题"/>
    <w:basedOn w:val="38"/>
    <w:next w:val="1"/>
    <w:qFormat/>
    <w:uiPriority w:val="0"/>
    <w:pPr>
      <w:numPr>
        <w:ilvl w:val="2"/>
        <w:numId w:val="1"/>
      </w:numPr>
      <w:tabs>
        <w:tab w:val="left" w:pos="360"/>
      </w:tabs>
      <w:spacing w:before="0" w:beforeLines="0" w:after="0" w:afterLines="0"/>
      <w:outlineLvl w:val="2"/>
    </w:pPr>
  </w:style>
  <w:style w:type="paragraph" w:customStyle="1" w:styleId="38">
    <w:name w:val="章标题"/>
    <w:next w:val="1"/>
    <w:qFormat/>
    <w:uiPriority w:val="0"/>
    <w:pPr>
      <w:numPr>
        <w:ilvl w:val="1"/>
        <w:numId w:val="1"/>
      </w:numPr>
      <w:tabs>
        <w:tab w:val="left" w:pos="360"/>
      </w:tabs>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39">
    <w:name w:val="二级条标题"/>
    <w:basedOn w:val="37"/>
    <w:next w:val="1"/>
    <w:qFormat/>
    <w:uiPriority w:val="0"/>
    <w:pPr>
      <w:numPr>
        <w:ilvl w:val="3"/>
        <w:numId w:val="1"/>
      </w:numPr>
      <w:outlineLvl w:val="3"/>
    </w:pPr>
  </w:style>
  <w:style w:type="paragraph" w:customStyle="1" w:styleId="40">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41">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3">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44">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45">
    <w:name w:val="数字编号列项（二级）"/>
    <w:qFormat/>
    <w:uiPriority w:val="0"/>
    <w:pPr>
      <w:numPr>
        <w:ilvl w:val="5"/>
        <w:numId w:val="1"/>
      </w:numPr>
      <w:ind w:left="1260" w:leftChars="400" w:hanging="420" w:hangingChars="200"/>
      <w:jc w:val="both"/>
    </w:pPr>
    <w:rPr>
      <w:rFonts w:ascii="宋体" w:hAnsi="Times New Roman" w:eastAsia="宋体" w:cs="Times New Roman"/>
      <w:sz w:val="21"/>
      <w:lang w:val="en-US" w:eastAsia="zh-CN" w:bidi="ar-SA"/>
    </w:rPr>
  </w:style>
  <w:style w:type="paragraph" w:customStyle="1" w:styleId="4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47">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48">
    <w:name w:val="封面正文"/>
    <w:qFormat/>
    <w:uiPriority w:val="0"/>
    <w:pPr>
      <w:jc w:val="both"/>
    </w:pPr>
    <w:rPr>
      <w:rFonts w:ascii="Times New Roman" w:hAnsi="Times New Roman" w:eastAsia="宋体" w:cs="Times New Roman"/>
      <w:lang w:val="en-US" w:eastAsia="zh-CN" w:bidi="ar-SA"/>
    </w:rPr>
  </w:style>
  <w:style w:type="paragraph" w:customStyle="1" w:styleId="49">
    <w:name w:val="实施日期"/>
    <w:basedOn w:val="50"/>
    <w:qFormat/>
    <w:uiPriority w:val="0"/>
    <w:pPr>
      <w:framePr w:hSpace="0" w:xAlign="right"/>
      <w:jc w:val="right"/>
    </w:pPr>
  </w:style>
  <w:style w:type="paragraph" w:customStyle="1" w:styleId="50">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5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52">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53">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54">
    <w:name w:val="图表脚注"/>
    <w:next w:val="1"/>
    <w:qFormat/>
    <w:uiPriority w:val="0"/>
    <w:pPr>
      <w:numPr>
        <w:ilvl w:val="6"/>
        <w:numId w:val="1"/>
      </w:numPr>
      <w:ind w:left="300" w:leftChars="200" w:hanging="100" w:hangingChars="100"/>
      <w:jc w:val="both"/>
    </w:pPr>
    <w:rPr>
      <w:rFonts w:ascii="宋体" w:hAnsi="Times New Roman" w:eastAsia="宋体" w:cs="Times New Roman"/>
      <w:sz w:val="18"/>
      <w:lang w:val="en-US" w:eastAsia="zh-CN" w:bidi="ar-SA"/>
    </w:rPr>
  </w:style>
  <w:style w:type="paragraph" w:customStyle="1" w:styleId="55">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56">
    <w:name w:val="前言、引言标题"/>
    <w:next w:val="1"/>
    <w:qFormat/>
    <w:uiPriority w:val="0"/>
    <w:pPr>
      <w:numPr>
        <w:ilvl w:val="0"/>
        <w:numId w:val="1"/>
      </w:num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57">
    <w:name w:val="zi"/>
    <w:basedOn w:val="1"/>
    <w:qFormat/>
    <w:uiPriority w:val="0"/>
    <w:pPr>
      <w:widowControl/>
      <w:spacing w:before="100" w:beforeAutospacing="1" w:after="100" w:afterAutospacing="1" w:line="336" w:lineRule="atLeast"/>
      <w:jc w:val="left"/>
    </w:pPr>
    <w:rPr>
      <w:rFonts w:ascii="ˎ̥" w:hAnsi="ˎ̥" w:cs="宋体"/>
      <w:color w:val="000000"/>
      <w:kern w:val="0"/>
      <w:sz w:val="22"/>
      <w:szCs w:val="22"/>
    </w:rPr>
  </w:style>
  <w:style w:type="paragraph" w:customStyle="1" w:styleId="5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5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60">
    <w:name w:val="WPSOffice手动目录 1"/>
    <w:qFormat/>
    <w:uiPriority w:val="0"/>
    <w:pPr>
      <w:ind w:leftChars="0"/>
    </w:pPr>
    <w:rPr>
      <w:rFonts w:ascii="Times New Roman" w:hAnsi="Times New Roman" w:eastAsia="宋体" w:cs="Times New Roman"/>
      <w:sz w:val="20"/>
      <w:szCs w:val="20"/>
    </w:rPr>
  </w:style>
  <w:style w:type="paragraph" w:customStyle="1" w:styleId="61">
    <w:name w:val="其他发布部门"/>
    <w:basedOn w:val="1"/>
    <w:qFormat/>
    <w:uiPriority w:val="0"/>
    <w:pPr>
      <w:framePr w:w="7433" w:h="585" w:hRule="exact" w:hSpace="180" w:vSpace="180" w:wrap="around" w:vAnchor="margin" w:hAnchor="margin" w:xAlign="center" w:y="14401" w:anchorLock="1"/>
      <w:widowControl/>
      <w:numPr>
        <w:ilvl w:val="4"/>
        <w:numId w:val="1"/>
      </w:numPr>
      <w:spacing w:line="0" w:lineRule="atLeast"/>
      <w:jc w:val="center"/>
    </w:pPr>
    <w:rPr>
      <w:rFonts w:ascii="黑体" w:eastAsia="黑体"/>
      <w:spacing w:val="20"/>
      <w:w w:val="135"/>
      <w:kern w:val="0"/>
      <w:sz w:val="36"/>
      <w:szCs w:val="20"/>
    </w:rPr>
  </w:style>
  <w:style w:type="paragraph" w:styleId="62">
    <w:name w:val="List Paragraph"/>
    <w:basedOn w:val="1"/>
    <w:qFormat/>
    <w:uiPriority w:val="34"/>
    <w:pPr>
      <w:numPr>
        <w:ilvl w:val="0"/>
        <w:numId w:val="2"/>
      </w:numPr>
      <w:spacing w:line="360" w:lineRule="auto"/>
      <w:contextualSpacing/>
      <w:jc w:val="left"/>
    </w:pPr>
  </w:style>
  <w:style w:type="paragraph" w:customStyle="1" w:styleId="63">
    <w:name w:val="表正文"/>
    <w:basedOn w:val="1"/>
    <w:qFormat/>
    <w:uiPriority w:val="0"/>
    <w:pPr>
      <w:widowControl w:val="0"/>
    </w:pPr>
    <w:rPr>
      <w:rFonts w:ascii="Arial" w:hAnsi="Arial" w:eastAsia="等线"/>
      <w:kern w:val="2"/>
      <w:szCs w:val="21"/>
    </w:rPr>
  </w:style>
  <w:style w:type="paragraph" w:customStyle="1" w:styleId="64">
    <w:name w:val="样式7"/>
    <w:basedOn w:val="1"/>
    <w:qFormat/>
    <w:uiPriority w:val="0"/>
    <w:pPr>
      <w:spacing w:line="360" w:lineRule="auto"/>
      <w:ind w:firstLine="480"/>
    </w:pPr>
    <w:rPr>
      <w:rFonts w:ascii="宋体" w:hAnsi="宋体"/>
      <w:color w:val="4F81BD"/>
    </w:rPr>
  </w:style>
  <w:style w:type="paragraph" w:customStyle="1" w:styleId="65">
    <w:name w:val="列出段落1"/>
    <w:basedOn w:val="1"/>
    <w:qFormat/>
    <w:uiPriority w:val="0"/>
    <w:pPr>
      <w:adjustRightInd w:val="0"/>
      <w:snapToGrid w:val="0"/>
      <w:spacing w:before="120" w:after="120" w:line="360" w:lineRule="auto"/>
      <w:ind w:left="578" w:firstLine="420" w:firstLineChars="200"/>
    </w:pPr>
    <w:rPr>
      <w:rFonts w:ascii="Times New Roman" w:hAnsi="Times New Roman"/>
      <w:szCs w:val="20"/>
      <w:lang w:eastAsia="zh-TW"/>
    </w:rPr>
  </w:style>
  <w:style w:type="paragraph" w:customStyle="1" w:styleId="66">
    <w:name w:val="样式2"/>
    <w:basedOn w:val="1"/>
    <w:qFormat/>
    <w:uiPriority w:val="0"/>
    <w:pPr>
      <w:numPr>
        <w:ilvl w:val="3"/>
        <w:numId w:val="3"/>
      </w:numPr>
      <w:spacing w:line="360" w:lineRule="auto"/>
    </w:pPr>
    <w:rPr>
      <w:rFonts w:ascii="宋体" w:hAnsi="Times New Roman"/>
      <w:sz w:val="24"/>
      <w:szCs w:val="24"/>
    </w:rPr>
  </w:style>
  <w:style w:type="paragraph" w:customStyle="1" w:styleId="67">
    <w:name w:val="正文文本缩进1"/>
    <w:basedOn w:val="1"/>
    <w:qFormat/>
    <w:uiPriority w:val="0"/>
    <w:pPr>
      <w:widowControl w:val="0"/>
      <w:adjustRightInd w:val="0"/>
      <w:snapToGrid w:val="0"/>
      <w:spacing w:line="300" w:lineRule="auto"/>
      <w:jc w:val="both"/>
    </w:pPr>
    <w:rPr>
      <w:kern w:val="2"/>
      <w:sz w:val="21"/>
      <w:szCs w:val="20"/>
      <w:lang w:eastAsia="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szpsb</Company>
  <Pages>8</Pages>
  <Words>1364</Words>
  <Characters>1446</Characters>
  <Lines>25</Lines>
  <Paragraphs>7</Paragraphs>
  <TotalTime>3</TotalTime>
  <ScaleCrop>false</ScaleCrop>
  <LinksUpToDate>false</LinksUpToDate>
  <CharactersWithSpaces>1473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2019-03-04T02:06:00Z</dcterms:created>
  <dc:creator>李曼</dc:creator>
  <cp:lastModifiedBy>Administrator</cp:lastModifiedBy>
  <cp:lastPrinted>2020-07-31T02:54:00Z</cp:lastPrinted>
  <dcterms:modified xsi:type="dcterms:W3CDTF">2026-06-04T11:58:20Z</dcterms:modified>
  <dc:title>二次系统安全防护</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1B927CE5986548F18613364C33593EF2</vt:lpwstr>
  </property>
  <property fmtid="{D5CDD505-2E9C-101B-9397-08002B2CF9AE}" pid="4" name="KSOTemplateDocerSaveRecord">
    <vt:lpwstr>eyJoZGlkIjoiNTI0ZWRkODc3YWUzNmUyZTM0NGU1MTYzZjE5MzJiYmIiLCJ1c2VySWQiOiIyNzk2MzkyNTUifQ==</vt:lpwstr>
  </property>
</Properties>
</file>