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4FBAC3">
      <w:pPr>
        <w:bidi w:val="0"/>
        <w:jc w:val="center"/>
        <w:rPr>
          <w:rFonts w:hint="eastAsia"/>
          <w:b/>
          <w:bCs/>
          <w:sz w:val="40"/>
          <w:szCs w:val="40"/>
          <w:lang w:val="en-US" w:eastAsia="zh-CN"/>
        </w:rPr>
      </w:pPr>
      <w:r>
        <w:rPr>
          <w:rFonts w:hint="eastAsia"/>
          <w:b/>
          <w:bCs/>
          <w:sz w:val="40"/>
          <w:szCs w:val="40"/>
          <w:lang w:val="en-US" w:eastAsia="zh-CN"/>
        </w:rPr>
        <w:t>2026年南方电网数字电网集团（贵州）有限公司物资类投标寻源项目（安全评测设备、网络版防病毒软件、入侵防御系统）寻源公告</w:t>
      </w:r>
    </w:p>
    <w:p w14:paraId="593E7D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rPr>
      </w:pPr>
    </w:p>
    <w:p w14:paraId="1603C3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rPr>
      </w:pPr>
      <w:r>
        <w:rPr>
          <w:rFonts w:hint="eastAsia" w:ascii="仿宋_GB2312" w:hAnsi="仿宋_GB2312" w:eastAsia="仿宋_GB2312" w:cs="仿宋_GB2312"/>
          <w:b/>
          <w:bCs/>
        </w:rPr>
        <w:t>各供应商</w:t>
      </w:r>
      <w:r>
        <w:rPr>
          <w:rFonts w:hint="eastAsia" w:ascii="仿宋_GB2312" w:hAnsi="仿宋_GB2312" w:eastAsia="仿宋_GB2312" w:cs="仿宋_GB2312"/>
        </w:rPr>
        <w:t>：</w:t>
      </w:r>
    </w:p>
    <w:p w14:paraId="6EF8A8AA">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仿宋_GB2312" w:hAnsi="仿宋_GB2312" w:eastAsia="仿宋_GB2312" w:cs="仿宋_GB2312"/>
          <w:bCs/>
          <w:color w:val="000000"/>
          <w:sz w:val="24"/>
          <w:szCs w:val="24"/>
          <w:highlight w:val="none"/>
          <w:lang w:val="en-US" w:eastAsia="zh-CN"/>
        </w:rPr>
      </w:pPr>
      <w:r>
        <w:rPr>
          <w:rFonts w:hint="eastAsia" w:ascii="仿宋_GB2312" w:hAnsi="仿宋_GB2312" w:eastAsia="仿宋_GB2312" w:cs="仿宋_GB2312"/>
          <w:bCs/>
          <w:color w:val="000000"/>
          <w:sz w:val="24"/>
          <w:szCs w:val="24"/>
          <w:highlight w:val="none"/>
          <w:lang w:val="en-US" w:eastAsia="zh-CN"/>
        </w:rPr>
        <w:t>您好！南方电网数字电网集团（贵州）有限公司（以下简称我公司）拟参与</w:t>
      </w:r>
      <w:r>
        <w:rPr>
          <w:rFonts w:hint="eastAsia" w:ascii="仿宋_GB2312" w:hAnsi="仿宋_GB2312" w:eastAsia="仿宋_GB2312" w:cs="仿宋_GB2312"/>
          <w:b/>
          <w:bCs w:val="0"/>
          <w:color w:val="0000FF"/>
          <w:sz w:val="24"/>
          <w:szCs w:val="24"/>
          <w:highlight w:val="none"/>
          <w:u w:val="single"/>
        </w:rPr>
        <w:t>贵州电网有限责任公司</w:t>
      </w:r>
      <w:r>
        <w:rPr>
          <w:rFonts w:hint="eastAsia" w:ascii="仿宋_GB2312" w:hAnsi="仿宋_GB2312" w:eastAsia="仿宋_GB2312" w:cs="仿宋_GB2312"/>
          <w:bCs/>
          <w:color w:val="000000"/>
          <w:sz w:val="24"/>
          <w:szCs w:val="24"/>
          <w:highlight w:val="none"/>
          <w:lang w:val="en-US" w:eastAsia="zh-CN"/>
        </w:rPr>
        <w:t>组织的</w:t>
      </w:r>
      <w:r>
        <w:rPr>
          <w:rFonts w:hint="eastAsia" w:ascii="仿宋_GB2312" w:hAnsi="仿宋_GB2312" w:eastAsia="仿宋_GB2312" w:cs="仿宋_GB2312"/>
          <w:b/>
          <w:bCs w:val="0"/>
          <w:color w:val="0000FF"/>
          <w:sz w:val="24"/>
          <w:szCs w:val="24"/>
          <w:highlight w:val="none"/>
          <w:u w:val="single"/>
        </w:rPr>
        <w:t>贵州电网有限责任公司物资类2026年第一批（网络潜伏威胁探针、补丁管理系统软件等）公开谈判</w:t>
      </w:r>
      <w:r>
        <w:rPr>
          <w:rFonts w:hint="eastAsia" w:ascii="仿宋_GB2312" w:hAnsi="仿宋_GB2312" w:eastAsia="仿宋_GB2312" w:cs="仿宋_GB2312"/>
          <w:b/>
          <w:bCs w:val="0"/>
          <w:color w:val="0000FF"/>
          <w:sz w:val="24"/>
          <w:szCs w:val="24"/>
          <w:highlight w:val="none"/>
          <w:u w:val="single"/>
          <w:lang w:val="en-US" w:eastAsia="zh-CN"/>
        </w:rPr>
        <w:t>（采购编号：CG0600062002309410）</w:t>
      </w:r>
      <w:r>
        <w:rPr>
          <w:rFonts w:hint="eastAsia" w:ascii="仿宋_GB2312" w:hAnsi="仿宋_GB2312" w:eastAsia="仿宋_GB2312" w:cs="仿宋_GB2312"/>
          <w:bCs/>
          <w:color w:val="000000"/>
          <w:sz w:val="24"/>
          <w:szCs w:val="24"/>
          <w:highlight w:val="none"/>
          <w:lang w:val="en-US" w:eastAsia="zh-CN"/>
        </w:rPr>
        <w:t>投标，现公开邀请有意向的合作单位参与我公司该项目设备投标询价，相关内容如下：</w:t>
      </w:r>
    </w:p>
    <w:p w14:paraId="61B09D39">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_GB2312" w:hAnsi="仿宋_GB2312" w:eastAsia="仿宋_GB2312" w:cs="仿宋_GB2312"/>
          <w:b/>
          <w:bCs/>
        </w:rPr>
      </w:pPr>
      <w:r>
        <w:rPr>
          <w:rFonts w:hint="eastAsia" w:ascii="仿宋_GB2312" w:hAnsi="仿宋_GB2312" w:eastAsia="仿宋_GB2312" w:cs="仿宋_GB2312"/>
          <w:b/>
          <w:bCs/>
        </w:rPr>
        <w:t>一、项目概况：</w:t>
      </w:r>
    </w:p>
    <w:p w14:paraId="23362DAC">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仿宋_GB2312" w:hAnsi="仿宋_GB2312" w:eastAsia="仿宋_GB2312" w:cs="仿宋_GB2312"/>
          <w:bCs/>
          <w:color w:val="000000"/>
          <w:sz w:val="24"/>
          <w:szCs w:val="24"/>
          <w:highlight w:val="none"/>
          <w:lang w:val="en-US" w:eastAsia="zh-CN"/>
        </w:rPr>
      </w:pPr>
      <w:r>
        <w:rPr>
          <w:rFonts w:hint="eastAsia" w:ascii="仿宋_GB2312" w:hAnsi="仿宋_GB2312" w:eastAsia="仿宋_GB2312" w:cs="仿宋_GB2312"/>
          <w:bCs/>
          <w:color w:val="000000"/>
          <w:sz w:val="24"/>
          <w:szCs w:val="24"/>
          <w:highlight w:val="none"/>
          <w:lang w:val="en-US" w:eastAsia="zh-CN"/>
        </w:rPr>
        <w:t>根据项目需要，我公司拟对下表所列产品进行投标寻源，</w:t>
      </w:r>
      <w:r>
        <w:rPr>
          <w:rFonts w:hint="eastAsia" w:cs="仿宋_GB2312"/>
          <w:bCs/>
          <w:color w:val="000000"/>
          <w:sz w:val="24"/>
          <w:szCs w:val="24"/>
          <w:highlight w:val="none"/>
          <w:lang w:val="en-US" w:eastAsia="zh-CN"/>
        </w:rPr>
        <w:t>寻源情况</w:t>
      </w:r>
      <w:r>
        <w:rPr>
          <w:rFonts w:hint="eastAsia" w:ascii="仿宋_GB2312" w:hAnsi="仿宋_GB2312" w:eastAsia="仿宋_GB2312" w:cs="仿宋_GB2312"/>
          <w:bCs/>
          <w:color w:val="000000"/>
          <w:sz w:val="24"/>
          <w:szCs w:val="24"/>
          <w:highlight w:val="none"/>
          <w:lang w:val="en-US" w:eastAsia="zh-CN"/>
        </w:rPr>
        <w:t>如下:</w:t>
      </w:r>
    </w:p>
    <w:tbl>
      <w:tblPr>
        <w:tblStyle w:val="7"/>
        <w:tblW w:w="8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374"/>
        <w:gridCol w:w="2216"/>
        <w:gridCol w:w="1230"/>
        <w:gridCol w:w="1840"/>
        <w:gridCol w:w="1410"/>
      </w:tblGrid>
      <w:tr w14:paraId="0F790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3CC2C698">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序号</w:t>
            </w:r>
          </w:p>
        </w:tc>
        <w:tc>
          <w:tcPr>
            <w:tcW w:w="1374" w:type="dxa"/>
            <w:vAlign w:val="center"/>
          </w:tcPr>
          <w:p w14:paraId="745F8932">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物资名称</w:t>
            </w:r>
          </w:p>
        </w:tc>
        <w:tc>
          <w:tcPr>
            <w:tcW w:w="2216" w:type="dxa"/>
            <w:vAlign w:val="center"/>
          </w:tcPr>
          <w:p w14:paraId="1B54BCDD">
            <w:pPr>
              <w:keepNext w:val="0"/>
              <w:keepLines w:val="0"/>
              <w:pageBreakBefore w:val="0"/>
              <w:widowControl w:val="0"/>
              <w:kinsoku/>
              <w:wordWrap w:val="0"/>
              <w:overflowPunct/>
              <w:topLinePunct w:val="0"/>
              <w:autoSpaceDE/>
              <w:autoSpaceDN/>
              <w:bidi w:val="0"/>
              <w:adjustRightInd/>
              <w:snapToGrid/>
              <w:jc w:val="center"/>
              <w:textAlignment w:val="auto"/>
              <w:rPr>
                <w:rFonts w:hint="eastAsia"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单价限价</w:t>
            </w:r>
          </w:p>
          <w:p w14:paraId="746C503E">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（万元）</w:t>
            </w:r>
          </w:p>
        </w:tc>
        <w:tc>
          <w:tcPr>
            <w:tcW w:w="1230" w:type="dxa"/>
            <w:vAlign w:val="center"/>
          </w:tcPr>
          <w:p w14:paraId="401D6B45">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数量</w:t>
            </w:r>
          </w:p>
        </w:tc>
        <w:tc>
          <w:tcPr>
            <w:tcW w:w="1840" w:type="dxa"/>
            <w:vAlign w:val="center"/>
          </w:tcPr>
          <w:p w14:paraId="252AE3BB">
            <w:pPr>
              <w:keepNext w:val="0"/>
              <w:keepLines w:val="0"/>
              <w:pageBreakBefore w:val="0"/>
              <w:widowControl w:val="0"/>
              <w:kinsoku/>
              <w:wordWrap w:val="0"/>
              <w:overflowPunct/>
              <w:topLinePunct w:val="0"/>
              <w:autoSpaceDE/>
              <w:autoSpaceDN/>
              <w:bidi w:val="0"/>
              <w:adjustRightInd/>
              <w:snapToGrid/>
              <w:jc w:val="center"/>
              <w:textAlignment w:val="auto"/>
              <w:rPr>
                <w:rFonts w:hint="eastAsia"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总价</w:t>
            </w:r>
          </w:p>
          <w:p w14:paraId="54CBB080">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（万元）</w:t>
            </w:r>
          </w:p>
        </w:tc>
        <w:tc>
          <w:tcPr>
            <w:tcW w:w="1410" w:type="dxa"/>
            <w:vAlign w:val="center"/>
          </w:tcPr>
          <w:p w14:paraId="101A96DA">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备注</w:t>
            </w:r>
          </w:p>
        </w:tc>
      </w:tr>
      <w:tr w14:paraId="1D8A7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33637BA0">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1</w:t>
            </w:r>
          </w:p>
        </w:tc>
        <w:tc>
          <w:tcPr>
            <w:tcW w:w="1374" w:type="dxa"/>
            <w:vAlign w:val="center"/>
          </w:tcPr>
          <w:p w14:paraId="6DD9FA40">
            <w:pPr>
              <w:jc w:val="center"/>
              <w:rPr>
                <w:rFonts w:hint="eastAsia" w:ascii="仿宋_GB2312" w:hAnsi="仿宋_GB2312" w:eastAsia="仿宋_GB2312" w:cs="仿宋_GB2312"/>
                <w:bCs/>
                <w:color w:val="000000"/>
                <w:sz w:val="18"/>
                <w:szCs w:val="18"/>
                <w:highlight w:val="none"/>
                <w:vertAlign w:val="baseline"/>
                <w:lang w:val="en-US" w:eastAsia="zh-CN"/>
              </w:rPr>
            </w:pPr>
            <w:r>
              <w:rPr>
                <w:rFonts w:hint="eastAsia" w:ascii="仿宋_GB2312" w:hAnsi="仿宋_GB2312" w:eastAsia="仿宋_GB2312" w:cs="仿宋_GB2312"/>
                <w:bCs/>
                <w:color w:val="000000"/>
                <w:kern w:val="2"/>
                <w:sz w:val="18"/>
                <w:szCs w:val="18"/>
                <w:highlight w:val="none"/>
                <w:lang w:val="en-US" w:eastAsia="zh-CN" w:bidi="ar-SA"/>
              </w:rPr>
              <w:t>安全评测设备</w:t>
            </w:r>
          </w:p>
        </w:tc>
        <w:tc>
          <w:tcPr>
            <w:tcW w:w="2216" w:type="dxa"/>
            <w:vAlign w:val="center"/>
          </w:tcPr>
          <w:p w14:paraId="49619B57">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default" w:ascii="仿宋_GB2312" w:hAnsi="仿宋_GB2312" w:eastAsia="仿宋_GB2312" w:cs="仿宋_GB2312"/>
                <w:bCs/>
                <w:color w:val="000000"/>
                <w:sz w:val="18"/>
                <w:szCs w:val="18"/>
                <w:highlight w:val="none"/>
                <w:vertAlign w:val="baseline"/>
                <w:lang w:val="en-US" w:eastAsia="zh-CN"/>
              </w:rPr>
              <w:t>本项目设置单价限价</w:t>
            </w:r>
          </w:p>
        </w:tc>
        <w:tc>
          <w:tcPr>
            <w:tcW w:w="1230" w:type="dxa"/>
            <w:vAlign w:val="center"/>
          </w:tcPr>
          <w:p w14:paraId="0515A22E">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1</w:t>
            </w:r>
          </w:p>
        </w:tc>
        <w:tc>
          <w:tcPr>
            <w:tcW w:w="1840" w:type="dxa"/>
            <w:shd w:val="clear" w:color="auto" w:fill="auto"/>
            <w:vAlign w:val="center"/>
          </w:tcPr>
          <w:p w14:paraId="139E6E28">
            <w:pPr>
              <w:keepNext w:val="0"/>
              <w:keepLines w:val="0"/>
              <w:pageBreakBefore w:val="0"/>
              <w:widowControl w:val="0"/>
              <w:kinsoku/>
              <w:wordWrap w:val="0"/>
              <w:overflowPunct/>
              <w:topLinePunct w:val="0"/>
              <w:autoSpaceDE/>
              <w:autoSpaceDN/>
              <w:bidi w:val="0"/>
              <w:adjustRightInd/>
              <w:snapToGrid/>
              <w:jc w:val="center"/>
              <w:textAlignment w:val="auto"/>
              <w:rPr>
                <w:rFonts w:hint="eastAsia" w:ascii="仿宋_GB2312" w:hAnsi="仿宋_GB2312" w:eastAsia="仿宋_GB2312" w:cs="仿宋_GB2312"/>
                <w:bCs/>
                <w:color w:val="000000"/>
                <w:kern w:val="2"/>
                <w:sz w:val="18"/>
                <w:szCs w:val="18"/>
                <w:highlight w:val="none"/>
                <w:vertAlign w:val="baseline"/>
                <w:lang w:val="en-US" w:eastAsia="zh-CN" w:bidi="ar-SA"/>
              </w:rPr>
            </w:pPr>
            <w:r>
              <w:rPr>
                <w:rFonts w:hint="default" w:ascii="仿宋_GB2312" w:hAnsi="仿宋_GB2312" w:eastAsia="仿宋_GB2312" w:cs="仿宋_GB2312"/>
                <w:bCs/>
                <w:color w:val="000000"/>
                <w:sz w:val="18"/>
                <w:szCs w:val="18"/>
                <w:highlight w:val="none"/>
                <w:vertAlign w:val="baseline"/>
                <w:lang w:val="en-US" w:eastAsia="zh-CN"/>
              </w:rPr>
              <w:t>本项目设置</w:t>
            </w:r>
            <w:r>
              <w:rPr>
                <w:rFonts w:hint="eastAsia" w:cs="仿宋_GB2312"/>
                <w:bCs/>
                <w:color w:val="000000"/>
                <w:sz w:val="18"/>
                <w:szCs w:val="18"/>
                <w:highlight w:val="none"/>
                <w:vertAlign w:val="baseline"/>
                <w:lang w:val="en-US" w:eastAsia="zh-CN"/>
              </w:rPr>
              <w:t>总</w:t>
            </w:r>
            <w:r>
              <w:rPr>
                <w:rFonts w:hint="default" w:ascii="仿宋_GB2312" w:hAnsi="仿宋_GB2312" w:eastAsia="仿宋_GB2312" w:cs="仿宋_GB2312"/>
                <w:bCs/>
                <w:color w:val="000000"/>
                <w:sz w:val="18"/>
                <w:szCs w:val="18"/>
                <w:highlight w:val="none"/>
                <w:vertAlign w:val="baseline"/>
                <w:lang w:val="en-US" w:eastAsia="zh-CN"/>
              </w:rPr>
              <w:t>价限价</w:t>
            </w:r>
          </w:p>
        </w:tc>
        <w:tc>
          <w:tcPr>
            <w:tcW w:w="1410" w:type="dxa"/>
            <w:vAlign w:val="center"/>
          </w:tcPr>
          <w:p w14:paraId="365E9B83">
            <w:pPr>
              <w:keepNext w:val="0"/>
              <w:keepLines w:val="0"/>
              <w:pageBreakBefore w:val="0"/>
              <w:widowControl w:val="0"/>
              <w:kinsoku/>
              <w:wordWrap w:val="0"/>
              <w:overflowPunct/>
              <w:topLinePunct w:val="0"/>
              <w:autoSpaceDE/>
              <w:autoSpaceDN/>
              <w:bidi w:val="0"/>
              <w:adjustRightInd/>
              <w:snapToGrid/>
              <w:jc w:val="center"/>
              <w:textAlignment w:val="auto"/>
              <w:rPr>
                <w:rFonts w:hint="eastAsia" w:ascii="仿宋_GB2312" w:hAnsi="仿宋_GB2312" w:eastAsia="仿宋_GB2312" w:cs="仿宋_GB2312"/>
                <w:bCs/>
                <w:color w:val="000000"/>
                <w:sz w:val="18"/>
                <w:szCs w:val="18"/>
                <w:highlight w:val="yellow"/>
                <w:vertAlign w:val="baseline"/>
                <w:lang w:val="en-US" w:eastAsia="zh-CN"/>
              </w:rPr>
            </w:pPr>
          </w:p>
        </w:tc>
      </w:tr>
      <w:tr w14:paraId="5FB11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6AF97C4F">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2</w:t>
            </w:r>
          </w:p>
        </w:tc>
        <w:tc>
          <w:tcPr>
            <w:tcW w:w="1374" w:type="dxa"/>
            <w:vAlign w:val="center"/>
          </w:tcPr>
          <w:p w14:paraId="78793216">
            <w:pPr>
              <w:jc w:val="center"/>
              <w:rPr>
                <w:rFonts w:hint="eastAsia" w:ascii="仿宋_GB2312" w:hAnsi="仿宋_GB2312" w:eastAsia="仿宋_GB2312" w:cs="仿宋_GB2312"/>
                <w:bCs/>
                <w:color w:val="000000"/>
                <w:sz w:val="18"/>
                <w:szCs w:val="18"/>
                <w:highlight w:val="none"/>
                <w:vertAlign w:val="baseline"/>
                <w:lang w:val="en-US" w:eastAsia="zh-CN"/>
              </w:rPr>
            </w:pPr>
            <w:r>
              <w:rPr>
                <w:rFonts w:hint="eastAsia" w:ascii="仿宋_GB2312" w:hAnsi="仿宋_GB2312" w:eastAsia="仿宋_GB2312" w:cs="仿宋_GB2312"/>
                <w:bCs/>
                <w:color w:val="000000"/>
                <w:kern w:val="2"/>
                <w:sz w:val="18"/>
                <w:szCs w:val="18"/>
                <w:highlight w:val="none"/>
                <w:lang w:val="en-US" w:eastAsia="zh-CN" w:bidi="ar-SA"/>
              </w:rPr>
              <w:t>主机防护软件</w:t>
            </w:r>
          </w:p>
        </w:tc>
        <w:tc>
          <w:tcPr>
            <w:tcW w:w="2216" w:type="dxa"/>
            <w:vAlign w:val="center"/>
          </w:tcPr>
          <w:p w14:paraId="68F56380">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default" w:ascii="仿宋_GB2312" w:hAnsi="仿宋_GB2312" w:eastAsia="仿宋_GB2312" w:cs="仿宋_GB2312"/>
                <w:bCs/>
                <w:color w:val="000000"/>
                <w:sz w:val="18"/>
                <w:szCs w:val="18"/>
                <w:highlight w:val="none"/>
                <w:vertAlign w:val="baseline"/>
                <w:lang w:val="en-US" w:eastAsia="zh-CN"/>
              </w:rPr>
              <w:t>本项目设置单价限价</w:t>
            </w:r>
          </w:p>
        </w:tc>
        <w:tc>
          <w:tcPr>
            <w:tcW w:w="1230" w:type="dxa"/>
            <w:vAlign w:val="center"/>
          </w:tcPr>
          <w:p w14:paraId="4664DD4C">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1</w:t>
            </w:r>
          </w:p>
        </w:tc>
        <w:tc>
          <w:tcPr>
            <w:tcW w:w="1840" w:type="dxa"/>
            <w:shd w:val="clear" w:color="auto" w:fill="auto"/>
            <w:vAlign w:val="center"/>
          </w:tcPr>
          <w:p w14:paraId="5457C861">
            <w:pPr>
              <w:keepNext w:val="0"/>
              <w:keepLines w:val="0"/>
              <w:pageBreakBefore w:val="0"/>
              <w:widowControl w:val="0"/>
              <w:kinsoku/>
              <w:wordWrap w:val="0"/>
              <w:overflowPunct/>
              <w:topLinePunct w:val="0"/>
              <w:autoSpaceDE/>
              <w:autoSpaceDN/>
              <w:bidi w:val="0"/>
              <w:adjustRightInd/>
              <w:snapToGrid/>
              <w:jc w:val="center"/>
              <w:textAlignment w:val="auto"/>
              <w:rPr>
                <w:rFonts w:hint="eastAsia" w:ascii="仿宋_GB2312" w:hAnsi="仿宋_GB2312" w:eastAsia="仿宋_GB2312" w:cs="仿宋_GB2312"/>
                <w:bCs/>
                <w:color w:val="000000"/>
                <w:kern w:val="2"/>
                <w:sz w:val="18"/>
                <w:szCs w:val="18"/>
                <w:highlight w:val="none"/>
                <w:vertAlign w:val="baseline"/>
                <w:lang w:val="en-US" w:eastAsia="zh-CN" w:bidi="ar-SA"/>
              </w:rPr>
            </w:pPr>
            <w:r>
              <w:rPr>
                <w:rFonts w:hint="default" w:ascii="仿宋_GB2312" w:hAnsi="仿宋_GB2312" w:eastAsia="仿宋_GB2312" w:cs="仿宋_GB2312"/>
                <w:bCs/>
                <w:color w:val="000000"/>
                <w:sz w:val="18"/>
                <w:szCs w:val="18"/>
                <w:highlight w:val="none"/>
                <w:vertAlign w:val="baseline"/>
                <w:lang w:val="en-US" w:eastAsia="zh-CN"/>
              </w:rPr>
              <w:t>本项目设置</w:t>
            </w:r>
            <w:r>
              <w:rPr>
                <w:rFonts w:hint="eastAsia" w:cs="仿宋_GB2312"/>
                <w:bCs/>
                <w:color w:val="000000"/>
                <w:sz w:val="18"/>
                <w:szCs w:val="18"/>
                <w:highlight w:val="none"/>
                <w:vertAlign w:val="baseline"/>
                <w:lang w:val="en-US" w:eastAsia="zh-CN"/>
              </w:rPr>
              <w:t>总</w:t>
            </w:r>
            <w:r>
              <w:rPr>
                <w:rFonts w:hint="default" w:ascii="仿宋_GB2312" w:hAnsi="仿宋_GB2312" w:eastAsia="仿宋_GB2312" w:cs="仿宋_GB2312"/>
                <w:bCs/>
                <w:color w:val="000000"/>
                <w:sz w:val="18"/>
                <w:szCs w:val="18"/>
                <w:highlight w:val="none"/>
                <w:vertAlign w:val="baseline"/>
                <w:lang w:val="en-US" w:eastAsia="zh-CN"/>
              </w:rPr>
              <w:t>价限价</w:t>
            </w:r>
          </w:p>
        </w:tc>
        <w:tc>
          <w:tcPr>
            <w:tcW w:w="1410" w:type="dxa"/>
            <w:vAlign w:val="center"/>
          </w:tcPr>
          <w:p w14:paraId="4B80C28A">
            <w:pPr>
              <w:keepNext w:val="0"/>
              <w:keepLines w:val="0"/>
              <w:pageBreakBefore w:val="0"/>
              <w:widowControl w:val="0"/>
              <w:kinsoku/>
              <w:wordWrap w:val="0"/>
              <w:overflowPunct/>
              <w:topLinePunct w:val="0"/>
              <w:autoSpaceDE/>
              <w:autoSpaceDN/>
              <w:bidi w:val="0"/>
              <w:adjustRightInd/>
              <w:snapToGrid/>
              <w:jc w:val="center"/>
              <w:textAlignment w:val="auto"/>
              <w:rPr>
                <w:rFonts w:hint="eastAsia" w:ascii="仿宋_GB2312" w:hAnsi="仿宋_GB2312" w:eastAsia="仿宋_GB2312" w:cs="仿宋_GB2312"/>
                <w:bCs/>
                <w:color w:val="000000"/>
                <w:sz w:val="18"/>
                <w:szCs w:val="18"/>
                <w:highlight w:val="yellow"/>
                <w:vertAlign w:val="baseline"/>
                <w:lang w:val="en-US" w:eastAsia="zh-CN"/>
              </w:rPr>
            </w:pPr>
          </w:p>
        </w:tc>
      </w:tr>
      <w:tr w14:paraId="07A54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Align w:val="center"/>
          </w:tcPr>
          <w:p w14:paraId="5C1BE6F0">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3</w:t>
            </w:r>
          </w:p>
        </w:tc>
        <w:tc>
          <w:tcPr>
            <w:tcW w:w="1374" w:type="dxa"/>
            <w:vAlign w:val="center"/>
          </w:tcPr>
          <w:p w14:paraId="1FCD3093">
            <w:pPr>
              <w:jc w:val="center"/>
              <w:rPr>
                <w:rFonts w:hint="eastAsia" w:ascii="仿宋_GB2312" w:hAnsi="仿宋_GB2312" w:eastAsia="仿宋_GB2312" w:cs="仿宋_GB2312"/>
                <w:bCs/>
                <w:color w:val="000000"/>
                <w:sz w:val="18"/>
                <w:szCs w:val="18"/>
                <w:highlight w:val="none"/>
                <w:vertAlign w:val="baseline"/>
                <w:lang w:val="en-US" w:eastAsia="zh-CN"/>
              </w:rPr>
            </w:pPr>
            <w:r>
              <w:rPr>
                <w:rFonts w:hint="eastAsia" w:ascii="仿宋_GB2312" w:hAnsi="仿宋_GB2312" w:eastAsia="仿宋_GB2312" w:cs="仿宋_GB2312"/>
                <w:bCs/>
                <w:color w:val="000000"/>
                <w:kern w:val="2"/>
                <w:sz w:val="18"/>
                <w:szCs w:val="18"/>
                <w:highlight w:val="none"/>
                <w:lang w:val="en-US" w:eastAsia="zh-CN" w:bidi="ar-SA"/>
              </w:rPr>
              <w:t>入侵防御系统</w:t>
            </w:r>
          </w:p>
        </w:tc>
        <w:tc>
          <w:tcPr>
            <w:tcW w:w="2216" w:type="dxa"/>
            <w:vAlign w:val="center"/>
          </w:tcPr>
          <w:p w14:paraId="6D0AF643">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default" w:ascii="仿宋_GB2312" w:hAnsi="仿宋_GB2312" w:eastAsia="仿宋_GB2312" w:cs="仿宋_GB2312"/>
                <w:bCs/>
                <w:color w:val="000000"/>
                <w:sz w:val="18"/>
                <w:szCs w:val="18"/>
                <w:highlight w:val="none"/>
                <w:vertAlign w:val="baseline"/>
                <w:lang w:val="en-US" w:eastAsia="zh-CN"/>
              </w:rPr>
              <w:t>本项目设置单价限价</w:t>
            </w:r>
          </w:p>
        </w:tc>
        <w:tc>
          <w:tcPr>
            <w:tcW w:w="1230" w:type="dxa"/>
            <w:vAlign w:val="center"/>
          </w:tcPr>
          <w:p w14:paraId="7CCE9475">
            <w:pPr>
              <w:keepNext w:val="0"/>
              <w:keepLines w:val="0"/>
              <w:pageBreakBefore w:val="0"/>
              <w:widowControl w:val="0"/>
              <w:kinsoku/>
              <w:wordWrap w:val="0"/>
              <w:overflowPunct/>
              <w:topLinePunct w:val="0"/>
              <w:autoSpaceDE/>
              <w:autoSpaceDN/>
              <w:bidi w:val="0"/>
              <w:adjustRightInd/>
              <w:snapToGrid/>
              <w:jc w:val="center"/>
              <w:textAlignment w:val="auto"/>
              <w:rPr>
                <w:rFonts w:hint="default" w:ascii="仿宋_GB2312" w:hAnsi="仿宋_GB2312" w:eastAsia="仿宋_GB2312" w:cs="仿宋_GB2312"/>
                <w:bCs/>
                <w:color w:val="000000"/>
                <w:sz w:val="18"/>
                <w:szCs w:val="18"/>
                <w:highlight w:val="none"/>
                <w:vertAlign w:val="baseline"/>
                <w:lang w:val="en-US" w:eastAsia="zh-CN"/>
              </w:rPr>
            </w:pPr>
            <w:r>
              <w:rPr>
                <w:rFonts w:hint="eastAsia" w:cs="仿宋_GB2312"/>
                <w:bCs/>
                <w:color w:val="000000"/>
                <w:sz w:val="18"/>
                <w:szCs w:val="18"/>
                <w:highlight w:val="none"/>
                <w:vertAlign w:val="baseline"/>
                <w:lang w:val="en-US" w:eastAsia="zh-CN"/>
              </w:rPr>
              <w:t>1</w:t>
            </w:r>
          </w:p>
        </w:tc>
        <w:tc>
          <w:tcPr>
            <w:tcW w:w="1840" w:type="dxa"/>
            <w:shd w:val="clear" w:color="auto" w:fill="auto"/>
            <w:vAlign w:val="center"/>
          </w:tcPr>
          <w:p w14:paraId="7E26532B">
            <w:pPr>
              <w:keepNext w:val="0"/>
              <w:keepLines w:val="0"/>
              <w:pageBreakBefore w:val="0"/>
              <w:widowControl w:val="0"/>
              <w:kinsoku/>
              <w:wordWrap w:val="0"/>
              <w:overflowPunct/>
              <w:topLinePunct w:val="0"/>
              <w:autoSpaceDE/>
              <w:autoSpaceDN/>
              <w:bidi w:val="0"/>
              <w:adjustRightInd/>
              <w:snapToGrid/>
              <w:jc w:val="center"/>
              <w:textAlignment w:val="auto"/>
              <w:rPr>
                <w:rFonts w:hint="eastAsia" w:ascii="仿宋_GB2312" w:hAnsi="仿宋_GB2312" w:eastAsia="仿宋_GB2312" w:cs="仿宋_GB2312"/>
                <w:bCs/>
                <w:color w:val="000000"/>
                <w:kern w:val="2"/>
                <w:sz w:val="18"/>
                <w:szCs w:val="18"/>
                <w:highlight w:val="none"/>
                <w:vertAlign w:val="baseline"/>
                <w:lang w:val="en-US" w:eastAsia="zh-CN" w:bidi="ar-SA"/>
              </w:rPr>
            </w:pPr>
            <w:r>
              <w:rPr>
                <w:rFonts w:hint="default" w:ascii="仿宋_GB2312" w:hAnsi="仿宋_GB2312" w:eastAsia="仿宋_GB2312" w:cs="仿宋_GB2312"/>
                <w:bCs/>
                <w:color w:val="000000"/>
                <w:sz w:val="18"/>
                <w:szCs w:val="18"/>
                <w:highlight w:val="none"/>
                <w:vertAlign w:val="baseline"/>
                <w:lang w:val="en-US" w:eastAsia="zh-CN"/>
              </w:rPr>
              <w:t>本项目设置</w:t>
            </w:r>
            <w:r>
              <w:rPr>
                <w:rFonts w:hint="eastAsia" w:cs="仿宋_GB2312"/>
                <w:bCs/>
                <w:color w:val="000000"/>
                <w:sz w:val="18"/>
                <w:szCs w:val="18"/>
                <w:highlight w:val="none"/>
                <w:vertAlign w:val="baseline"/>
                <w:lang w:val="en-US" w:eastAsia="zh-CN"/>
              </w:rPr>
              <w:t>总</w:t>
            </w:r>
            <w:r>
              <w:rPr>
                <w:rFonts w:hint="default" w:ascii="仿宋_GB2312" w:hAnsi="仿宋_GB2312" w:eastAsia="仿宋_GB2312" w:cs="仿宋_GB2312"/>
                <w:bCs/>
                <w:color w:val="000000"/>
                <w:sz w:val="18"/>
                <w:szCs w:val="18"/>
                <w:highlight w:val="none"/>
                <w:vertAlign w:val="baseline"/>
                <w:lang w:val="en-US" w:eastAsia="zh-CN"/>
              </w:rPr>
              <w:t>价限价</w:t>
            </w:r>
          </w:p>
        </w:tc>
        <w:tc>
          <w:tcPr>
            <w:tcW w:w="1410" w:type="dxa"/>
            <w:vAlign w:val="center"/>
          </w:tcPr>
          <w:p w14:paraId="52DCFD5E">
            <w:pPr>
              <w:keepNext w:val="0"/>
              <w:keepLines w:val="0"/>
              <w:pageBreakBefore w:val="0"/>
              <w:widowControl w:val="0"/>
              <w:kinsoku/>
              <w:wordWrap w:val="0"/>
              <w:overflowPunct/>
              <w:topLinePunct w:val="0"/>
              <w:autoSpaceDE/>
              <w:autoSpaceDN/>
              <w:bidi w:val="0"/>
              <w:adjustRightInd/>
              <w:snapToGrid/>
              <w:jc w:val="center"/>
              <w:textAlignment w:val="auto"/>
              <w:rPr>
                <w:rFonts w:hint="eastAsia" w:ascii="仿宋_GB2312" w:hAnsi="仿宋_GB2312" w:eastAsia="仿宋_GB2312" w:cs="仿宋_GB2312"/>
                <w:bCs/>
                <w:color w:val="000000"/>
                <w:sz w:val="18"/>
                <w:szCs w:val="18"/>
                <w:highlight w:val="yellow"/>
                <w:vertAlign w:val="baseline"/>
                <w:lang w:val="en-US" w:eastAsia="zh-CN"/>
              </w:rPr>
            </w:pPr>
          </w:p>
        </w:tc>
      </w:tr>
    </w:tbl>
    <w:p w14:paraId="460853BE">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仿宋_GB2312" w:hAnsi="仿宋_GB2312" w:eastAsia="仿宋_GB2312" w:cs="仿宋_GB2312"/>
          <w:bCs/>
          <w:color w:val="000000"/>
          <w:sz w:val="24"/>
          <w:szCs w:val="24"/>
          <w:highlight w:val="none"/>
          <w:lang w:val="en-US" w:eastAsia="zh-CN"/>
        </w:rPr>
      </w:pPr>
      <w:r>
        <w:rPr>
          <w:rFonts w:hint="eastAsia" w:ascii="仿宋_GB2312" w:hAnsi="仿宋_GB2312" w:eastAsia="仿宋_GB2312" w:cs="仿宋_GB2312"/>
          <w:bCs/>
          <w:color w:val="000000"/>
          <w:sz w:val="24"/>
          <w:szCs w:val="24"/>
          <w:highlight w:val="none"/>
          <w:lang w:val="en-US" w:eastAsia="zh-CN"/>
        </w:rPr>
        <w:t>本次投标寻源为</w:t>
      </w:r>
      <w:r>
        <w:rPr>
          <w:rFonts w:hint="eastAsia" w:ascii="仿宋_GB2312" w:hAnsi="仿宋_GB2312" w:eastAsia="仿宋_GB2312" w:cs="仿宋_GB2312"/>
          <w:b/>
          <w:bCs w:val="0"/>
          <w:color w:val="0000FF"/>
          <w:sz w:val="24"/>
          <w:szCs w:val="24"/>
          <w:highlight w:val="none"/>
          <w:lang w:val="en-US" w:eastAsia="zh-CN"/>
        </w:rPr>
        <w:t>意向寻源</w:t>
      </w:r>
      <w:r>
        <w:rPr>
          <w:rFonts w:hint="eastAsia" w:cs="仿宋_GB2312"/>
          <w:b/>
          <w:bCs w:val="0"/>
          <w:color w:val="0000FF"/>
          <w:sz w:val="24"/>
          <w:szCs w:val="24"/>
          <w:highlight w:val="none"/>
          <w:lang w:val="en-US" w:eastAsia="zh-CN"/>
        </w:rPr>
        <w:t>，</w:t>
      </w:r>
      <w:r>
        <w:rPr>
          <w:rFonts w:hint="eastAsia" w:ascii="仿宋_GB2312" w:hAnsi="仿宋_GB2312" w:eastAsia="仿宋_GB2312" w:cs="仿宋_GB2312"/>
          <w:bCs/>
          <w:color w:val="000000"/>
          <w:sz w:val="24"/>
          <w:szCs w:val="24"/>
          <w:highlight w:val="none"/>
          <w:lang w:val="en-US" w:eastAsia="zh-CN"/>
        </w:rPr>
        <w:t>我公司不承诺必然发生实质性采购需求。由于本次为意向寻源，最终是否中标存在不确定性，如未能中标则双方不再履行相应合同义务且互不追究违约责任。本次投标寻源因涉及商业敏感信息，如有意向，可通过邮件</w:t>
      </w:r>
      <w:r>
        <w:rPr>
          <w:rFonts w:hint="eastAsia" w:ascii="仿宋_GB2312" w:hAnsi="仿宋_GB2312" w:eastAsia="仿宋_GB2312" w:cs="仿宋_GB2312"/>
          <w:color w:val="000000"/>
          <w:kern w:val="0"/>
          <w:sz w:val="24"/>
          <w:szCs w:val="24"/>
          <w:lang w:val="en-US" w:eastAsia="zh-CN" w:bidi="ar"/>
        </w:rPr>
        <w:t>yuss@csg.cn</w:t>
      </w:r>
      <w:r>
        <w:rPr>
          <w:rFonts w:hint="eastAsia" w:ascii="仿宋_GB2312" w:hAnsi="仿宋_GB2312" w:eastAsia="仿宋_GB2312" w:cs="仿宋_GB2312"/>
          <w:bCs/>
          <w:color w:val="000000"/>
          <w:sz w:val="24"/>
          <w:szCs w:val="24"/>
          <w:highlight w:val="none"/>
          <w:lang w:val="en-US" w:eastAsia="zh-CN"/>
        </w:rPr>
        <w:t>联系获取限价后响应本次寻价。</w:t>
      </w:r>
    </w:p>
    <w:p w14:paraId="2276FE23">
      <w:pPr>
        <w:pStyle w:val="2"/>
        <w:rPr>
          <w:rFonts w:hint="eastAsia"/>
          <w:lang w:val="en-US" w:eastAsia="zh-CN"/>
        </w:rPr>
      </w:pPr>
      <w:r>
        <w:rPr>
          <w:rFonts w:hint="eastAsia"/>
          <w:b/>
          <w:bCs/>
          <w:lang w:val="en-US" w:eastAsia="zh-CN"/>
        </w:rPr>
        <w:t>交货期：</w:t>
      </w:r>
      <w:r>
        <w:rPr>
          <w:rFonts w:hint="eastAsia"/>
          <w:b/>
          <w:bCs/>
          <w:color w:val="0000FF"/>
          <w:u w:val="single"/>
          <w:lang w:val="en-US" w:eastAsia="zh-CN"/>
        </w:rPr>
        <w:t>自合同签订之日起20天内全部交货，具体以供应商响应时间为准。</w:t>
      </w:r>
    </w:p>
    <w:p w14:paraId="1682F285">
      <w:pPr>
        <w:pStyle w:val="2"/>
        <w:rPr>
          <w:rFonts w:hint="eastAsia"/>
          <w:lang w:val="en-US" w:eastAsia="zh-CN"/>
        </w:rPr>
      </w:pPr>
      <w:r>
        <w:rPr>
          <w:rFonts w:hint="eastAsia"/>
          <w:b/>
          <w:bCs/>
          <w:lang w:val="en-US" w:eastAsia="zh-CN"/>
        </w:rPr>
        <w:t>质保期：</w:t>
      </w:r>
      <w:r>
        <w:rPr>
          <w:rFonts w:hint="eastAsia"/>
          <w:lang w:val="en-US" w:eastAsia="zh-CN"/>
        </w:rPr>
        <w:t>货物质保期</w:t>
      </w:r>
      <w:r>
        <w:rPr>
          <w:rFonts w:hint="eastAsia"/>
          <w:b/>
          <w:bCs/>
          <w:color w:val="0000FF"/>
          <w:u w:val="single"/>
          <w:lang w:val="en-US" w:eastAsia="zh-CN"/>
        </w:rPr>
        <w:t>5</w:t>
      </w:r>
      <w:r>
        <w:rPr>
          <w:rFonts w:hint="eastAsia"/>
          <w:lang w:val="en-US" w:eastAsia="zh-CN"/>
        </w:rPr>
        <w:t>年，</w:t>
      </w:r>
      <w:r>
        <w:rPr>
          <w:rFonts w:hint="eastAsia"/>
          <w:b/>
          <w:bCs/>
          <w:color w:val="0000FF"/>
          <w:u w:val="single"/>
          <w:lang w:val="en-US" w:eastAsia="zh-CN"/>
        </w:rPr>
        <w:t>以供应商实际响应为准。</w:t>
      </w:r>
    </w:p>
    <w:p w14:paraId="64C392A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_GB2312" w:hAnsi="仿宋_GB2312" w:eastAsia="仿宋_GB2312" w:cs="仿宋_GB2312"/>
          <w:b/>
          <w:bCs/>
        </w:rPr>
      </w:pPr>
      <w:r>
        <w:rPr>
          <w:rFonts w:hint="eastAsia" w:ascii="仿宋_GB2312" w:hAnsi="仿宋_GB2312" w:eastAsia="仿宋_GB2312" w:cs="仿宋_GB2312"/>
          <w:b/>
          <w:bCs/>
        </w:rPr>
        <w:t>二、询价响应文件要求：</w:t>
      </w:r>
    </w:p>
    <w:p w14:paraId="2ABE732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1、询价响应文件需包含</w:t>
      </w:r>
      <w:r>
        <w:rPr>
          <w:rFonts w:hint="eastAsia"/>
          <w:b/>
          <w:bCs/>
          <w:color w:val="0000FF"/>
          <w:u w:val="single"/>
          <w:lang w:val="en-US" w:eastAsia="zh-CN"/>
        </w:rPr>
        <w:t>企业简介和基本情况、营业执照、近三年经审计的财务报告、企业资质（质量管理体系认证等）、产品技术资料（包括但不限于产品规格型号、产品相关资质证书）、同类型项目业绩、报价文件</w:t>
      </w:r>
      <w:r>
        <w:rPr>
          <w:rFonts w:hint="eastAsia"/>
          <w:lang w:val="en-US" w:eastAsia="zh-CN"/>
        </w:rPr>
        <w:t>等，详见附件（响应文件格式及其相关附件）。</w:t>
      </w:r>
    </w:p>
    <w:p w14:paraId="7AC3FDD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2、报价文件有效期为提交报价之日起不低于</w:t>
      </w:r>
      <w:r>
        <w:rPr>
          <w:rFonts w:hint="eastAsia"/>
          <w:b/>
          <w:bCs/>
          <w:u w:val="single"/>
          <w:lang w:val="en-US" w:eastAsia="zh-CN"/>
        </w:rPr>
        <w:t>120</w:t>
      </w:r>
      <w:r>
        <w:rPr>
          <w:rFonts w:hint="eastAsia"/>
          <w:lang w:val="en-US" w:eastAsia="zh-CN"/>
        </w:rPr>
        <w:t>个日历天。</w:t>
      </w:r>
    </w:p>
    <w:p w14:paraId="1D0977D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rPr>
          <w:rFonts w:hint="eastAsia"/>
          <w:lang w:val="en-US" w:eastAsia="zh-CN"/>
        </w:rPr>
        <w:t>3、报价文件要求对货品询价单中的所有分项进行</w:t>
      </w:r>
      <w:r>
        <w:rPr>
          <w:rFonts w:hint="eastAsia"/>
          <w:b/>
          <w:bCs/>
          <w:u w:val="single"/>
          <w:lang w:val="en-US" w:eastAsia="zh-CN"/>
        </w:rPr>
        <w:t>单价报价</w:t>
      </w:r>
      <w:r>
        <w:rPr>
          <w:rFonts w:hint="eastAsia"/>
          <w:lang w:val="en-US" w:eastAsia="zh-CN"/>
        </w:rPr>
        <w:t>和</w:t>
      </w:r>
      <w:r>
        <w:rPr>
          <w:rFonts w:hint="eastAsia"/>
          <w:b/>
          <w:bCs/>
          <w:u w:val="single"/>
          <w:lang w:val="en-US" w:eastAsia="zh-CN"/>
        </w:rPr>
        <w:t>总价报价</w:t>
      </w:r>
      <w:r>
        <w:rPr>
          <w:rFonts w:hint="eastAsia"/>
          <w:lang w:val="en-US" w:eastAsia="zh-CN"/>
        </w:rPr>
        <w:t>。</w:t>
      </w:r>
    </w:p>
    <w:p w14:paraId="6BA7CC82">
      <w:pPr>
        <w:pStyle w:val="2"/>
        <w:rPr>
          <w:rFonts w:hint="eastAsia"/>
          <w:lang w:val="en-US" w:eastAsia="zh-CN"/>
        </w:rPr>
      </w:pPr>
      <w:r>
        <w:rPr>
          <w:rFonts w:hint="eastAsia"/>
          <w:lang w:val="en-US" w:eastAsia="zh-CN"/>
        </w:rPr>
        <w:t>4、报价文件按照总价全包进行报价，应包括货到工地指定地点的一切税费（提供专用增值税发票）、设备包装、运输（包含二次运输）、卸货、保险、仓储、安装督导、调试、试运行、验收、培训、售后服务等所需费用。</w:t>
      </w:r>
    </w:p>
    <w:p w14:paraId="331D06FC">
      <w:pPr>
        <w:pStyle w:val="2"/>
        <w:rPr>
          <w:rFonts w:hint="eastAsia"/>
          <w:lang w:val="en-US" w:eastAsia="zh-CN"/>
        </w:rPr>
      </w:pPr>
      <w:r>
        <w:rPr>
          <w:rFonts w:hint="eastAsia"/>
          <w:lang w:val="en-US" w:eastAsia="zh-CN"/>
        </w:rPr>
        <w:t>5、报价应为准确、可参考的有效报价，如经评审确认为投标合作供应商，此报价作为后续合同签订依据。</w:t>
      </w:r>
    </w:p>
    <w:p w14:paraId="369FB07B">
      <w:pPr>
        <w:pStyle w:val="2"/>
        <w:rPr>
          <w:rFonts w:hint="eastAsia"/>
          <w:lang w:val="en-US" w:eastAsia="zh-CN"/>
        </w:rPr>
      </w:pPr>
      <w:r>
        <w:rPr>
          <w:rFonts w:hint="eastAsia"/>
          <w:lang w:val="en-US" w:eastAsia="zh-CN"/>
        </w:rPr>
        <w:t>6、</w:t>
      </w:r>
      <w:r>
        <w:rPr>
          <w:rFonts w:hint="eastAsia"/>
          <w:b/>
          <w:bCs/>
          <w:lang w:val="en-US" w:eastAsia="zh-CN"/>
        </w:rPr>
        <w:t>付款约定条款</w:t>
      </w:r>
      <w:r>
        <w:rPr>
          <w:rFonts w:hint="eastAsia"/>
          <w:lang w:val="en-US" w:eastAsia="zh-CN"/>
        </w:rPr>
        <w:t>：具体付款条款以双方签订的合同要求为准。</w:t>
      </w:r>
    </w:p>
    <w:p w14:paraId="77A12403">
      <w:pPr>
        <w:pStyle w:val="2"/>
        <w:rPr>
          <w:rFonts w:hint="eastAsia"/>
          <w:lang w:val="en-US" w:eastAsia="zh-CN"/>
        </w:rPr>
      </w:pPr>
      <w:r>
        <w:rPr>
          <w:rFonts w:hint="eastAsia"/>
          <w:lang w:val="en-US" w:eastAsia="zh-CN"/>
        </w:rPr>
        <w:t>7、本项目不收取质量保证金，不要求报价人提交质量保证保函（保险），不设立任何形式的“结清款”或类似性质的款项作为质量担保。报价人应严格按照寻源文件要求及合同约定履行质量保证义务。报价人应充分考虑采购人上述管理要求对投标报价的影响。</w:t>
      </w:r>
    </w:p>
    <w:p w14:paraId="7464BDA9">
      <w:pPr>
        <w:pStyle w:val="2"/>
        <w:rPr>
          <w:rFonts w:hint="eastAsia"/>
          <w:lang w:val="en-US" w:eastAsia="zh-CN"/>
        </w:rPr>
      </w:pPr>
      <w:r>
        <w:rPr>
          <w:rFonts w:hint="eastAsia"/>
          <w:lang w:val="en-US" w:eastAsia="zh-CN"/>
        </w:rPr>
        <w:t>8、报价产品必须完全满足技术参数偏离表技术参数要求或优于技术参数偏离表技术参数要求,技术参数偏离表详见附件《技术参数偏离表》，</w:t>
      </w:r>
      <w:r>
        <w:rPr>
          <w:rFonts w:hint="eastAsia"/>
          <w:b/>
          <w:bCs/>
          <w:color w:val="0000FF"/>
          <w:u w:val="single"/>
          <w:lang w:val="en-US" w:eastAsia="zh-CN"/>
        </w:rPr>
        <w:t>并在报价文件中列明每项偏差情况。</w:t>
      </w:r>
    </w:p>
    <w:p w14:paraId="6A13FC6D">
      <w:pPr>
        <w:pStyle w:val="2"/>
        <w:rPr>
          <w:rFonts w:hint="eastAsia"/>
          <w:lang w:val="en-US" w:eastAsia="zh-CN"/>
        </w:rPr>
      </w:pPr>
      <w:r>
        <w:rPr>
          <w:rFonts w:hint="eastAsia"/>
          <w:lang w:val="en-US" w:eastAsia="zh-CN"/>
        </w:rPr>
        <w:t>9、贵司提交询价响应文件视同接受</w:t>
      </w:r>
      <w:r>
        <w:rPr>
          <w:rFonts w:hint="eastAsia"/>
          <w:b/>
          <w:bCs/>
          <w:color w:val="0000FF"/>
          <w:u w:val="single"/>
          <w:lang w:val="en-US" w:eastAsia="zh-CN"/>
        </w:rPr>
        <w:t>本项目交货期、质保期以及技术参数偏离表中的所有技术要求和本项目的付款约定条款。</w:t>
      </w:r>
    </w:p>
    <w:p w14:paraId="0E3BDB21">
      <w:pPr>
        <w:pStyle w:val="2"/>
        <w:rPr>
          <w:rFonts w:hint="eastAsia"/>
          <w:lang w:val="en-US" w:eastAsia="zh-CN"/>
        </w:rPr>
      </w:pPr>
      <w:r>
        <w:rPr>
          <w:rFonts w:hint="eastAsia"/>
          <w:lang w:val="en-US" w:eastAsia="zh-CN"/>
        </w:rPr>
        <w:t>10、贵司应对收到的询价函及相关一切询价资料进行保密，不得向任何第三方透露与本询价有关的任何信息。</w:t>
      </w:r>
    </w:p>
    <w:p w14:paraId="4A01D5F1">
      <w:pPr>
        <w:pStyle w:val="2"/>
        <w:rPr>
          <w:rFonts w:hint="eastAsia"/>
          <w:lang w:val="en-US" w:eastAsia="zh-CN"/>
        </w:rPr>
      </w:pPr>
      <w:r>
        <w:rPr>
          <w:rFonts w:hint="eastAsia"/>
          <w:lang w:val="en-US" w:eastAsia="zh-CN"/>
        </w:rPr>
        <w:t>11、供应商必须承诺保证其交付物无任何质量缺陷或瑕疵，无任何著作权、商标权、专利权或其他知识产权方面的权利限制或瑕疵，不会侵犯任何自然人、法人等主体的专利、商标、企业或贸易名称、版权、肖像权、技术秘密、商业秘密或其他任何权益。若我公司因供应商的交付物侵害第三方的合法权益，我公司有权解除合同，追究供应商违约、赔偿等责任；若我公司侵害第三方的合法权被要求向第三方承担赔偿责任的，供应商对此承担全部责任。</w:t>
      </w:r>
    </w:p>
    <w:p w14:paraId="1ED63FF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_GB2312" w:hAnsi="仿宋_GB2312" w:eastAsia="仿宋_GB2312" w:cs="仿宋_GB2312"/>
          <w:b/>
          <w:bCs/>
        </w:rPr>
      </w:pPr>
      <w:r>
        <w:rPr>
          <w:rFonts w:hint="eastAsia" w:ascii="仿宋_GB2312" w:hAnsi="仿宋_GB2312" w:eastAsia="仿宋_GB2312" w:cs="仿宋_GB2312"/>
          <w:b/>
          <w:bCs/>
          <w:lang w:val="en-US" w:eastAsia="zh-CN"/>
        </w:rPr>
        <w:t>三、特别说明：</w:t>
      </w:r>
    </w:p>
    <w:p w14:paraId="10CD6205">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1、本次投标寻源主要为了寻源产品设备制造商授权我公司进行项目投标，</w:t>
      </w:r>
      <w:r>
        <w:rPr>
          <w:rFonts w:hint="eastAsia" w:ascii="仿宋_GB2312" w:hAnsi="仿宋_GB2312" w:eastAsia="仿宋_GB2312" w:cs="仿宋_GB2312"/>
          <w:b/>
          <w:bCs/>
          <w:color w:val="0000FF"/>
          <w:kern w:val="0"/>
          <w:sz w:val="24"/>
          <w:szCs w:val="24"/>
          <w:u w:val="single"/>
          <w:lang w:val="en-US" w:eastAsia="zh-CN" w:bidi="ar"/>
        </w:rPr>
        <w:t>2026年</w:t>
      </w:r>
      <w:r>
        <w:rPr>
          <w:rFonts w:hint="eastAsia" w:cs="仿宋_GB2312"/>
          <w:b/>
          <w:bCs/>
          <w:color w:val="0000FF"/>
          <w:kern w:val="0"/>
          <w:sz w:val="24"/>
          <w:szCs w:val="24"/>
          <w:u w:val="single"/>
          <w:lang w:val="en-US" w:eastAsia="zh-CN" w:bidi="ar"/>
        </w:rPr>
        <w:t>6</w:t>
      </w:r>
      <w:r>
        <w:rPr>
          <w:rFonts w:hint="eastAsia" w:ascii="仿宋_GB2312" w:hAnsi="仿宋_GB2312" w:eastAsia="仿宋_GB2312" w:cs="仿宋_GB2312"/>
          <w:b/>
          <w:bCs/>
          <w:color w:val="0000FF"/>
          <w:kern w:val="0"/>
          <w:sz w:val="24"/>
          <w:szCs w:val="24"/>
          <w:u w:val="single"/>
          <w:lang w:val="en-US" w:eastAsia="zh-CN" w:bidi="ar"/>
        </w:rPr>
        <w:t>月</w:t>
      </w:r>
      <w:r>
        <w:rPr>
          <w:rFonts w:hint="eastAsia" w:cs="仿宋_GB2312"/>
          <w:b/>
          <w:bCs/>
          <w:color w:val="0000FF"/>
          <w:kern w:val="0"/>
          <w:sz w:val="24"/>
          <w:szCs w:val="24"/>
          <w:u w:val="single"/>
          <w:lang w:val="en-US" w:eastAsia="zh-CN" w:bidi="ar"/>
        </w:rPr>
        <w:t>12</w:t>
      </w:r>
      <w:r>
        <w:rPr>
          <w:rFonts w:hint="eastAsia" w:ascii="仿宋_GB2312" w:hAnsi="仿宋_GB2312" w:eastAsia="仿宋_GB2312" w:cs="仿宋_GB2312"/>
          <w:b/>
          <w:bCs/>
          <w:color w:val="0000FF"/>
          <w:kern w:val="0"/>
          <w:sz w:val="24"/>
          <w:szCs w:val="24"/>
          <w:u w:val="single"/>
          <w:lang w:val="en-US" w:eastAsia="zh-CN" w:bidi="ar"/>
        </w:rPr>
        <w:t>日</w:t>
      </w:r>
      <w:r>
        <w:rPr>
          <w:rFonts w:hint="eastAsia" w:ascii="仿宋_GB2312" w:hAnsi="仿宋_GB2312" w:eastAsia="仿宋_GB2312" w:cs="仿宋_GB2312"/>
          <w:color w:val="000000"/>
          <w:kern w:val="0"/>
          <w:sz w:val="24"/>
          <w:szCs w:val="24"/>
          <w:lang w:val="en-US" w:eastAsia="zh-CN" w:bidi="ar"/>
        </w:rPr>
        <w:t>前，我司将通知贵司是否为合作意向公司。若贵司为我司合作意向公司，贵司需全力配合我司开展投标准备工作。我公司不承诺必然发生实质性采购需求。</w:t>
      </w:r>
    </w:p>
    <w:p w14:paraId="38534C9A">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寻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14:paraId="7988C49C">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3、当我公司发生实质性需求时，如出现中选方未能履行寻源响应的相关承诺，影响我公司项目开展的，我司有权对该中选单位进行违约追责。</w:t>
      </w:r>
    </w:p>
    <w:p w14:paraId="179F51C1">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14:paraId="0BCB7F48">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5、第二次响应报价，除</w:t>
      </w:r>
      <w:r>
        <w:rPr>
          <w:rFonts w:hint="eastAsia" w:ascii="仿宋_GB2312" w:hAnsi="仿宋_GB2312" w:eastAsia="仿宋_GB2312" w:cs="仿宋_GB2312"/>
          <w:b/>
          <w:bCs/>
          <w:color w:val="0000EE"/>
          <w:kern w:val="0"/>
          <w:sz w:val="24"/>
          <w:szCs w:val="24"/>
          <w:u w:val="single"/>
          <w:lang w:val="en-US" w:eastAsia="zh-CN" w:bidi="ar"/>
        </w:rPr>
        <w:t>贵州电网有限责任公司</w:t>
      </w:r>
      <w:r>
        <w:rPr>
          <w:rFonts w:hint="eastAsia" w:ascii="仿宋_GB2312" w:hAnsi="仿宋_GB2312" w:eastAsia="仿宋_GB2312" w:cs="仿宋_GB2312"/>
          <w:color w:val="000000"/>
          <w:kern w:val="0"/>
          <w:sz w:val="24"/>
          <w:szCs w:val="24"/>
          <w:lang w:val="en-US" w:eastAsia="zh-CN" w:bidi="ar"/>
        </w:rPr>
        <w:t>对招标内容进行正式变更澄清外，不允许修改技术文件，仅需确认二次报价。</w:t>
      </w:r>
    </w:p>
    <w:p w14:paraId="4F5BBC8B">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6、我司有权根据投标策略调整投标价格。因此双方确定合作意向后，在投标</w:t>
      </w:r>
      <w:r>
        <w:rPr>
          <w:rFonts w:hint="eastAsia" w:ascii="仿宋_GB2312" w:hAnsi="仿宋_GB2312" w:eastAsia="仿宋_GB2312" w:cs="仿宋_GB2312"/>
          <w:b/>
          <w:bCs w:val="0"/>
          <w:color w:val="0000FF"/>
          <w:sz w:val="24"/>
          <w:szCs w:val="24"/>
          <w:highlight w:val="none"/>
          <w:u w:val="single"/>
        </w:rPr>
        <w:t>贵州电网有限责任公司物资类2026年第一批（网络潜伏威胁探针、补丁管理系统软件等）公开谈判</w:t>
      </w:r>
      <w:r>
        <w:rPr>
          <w:rFonts w:hint="eastAsia" w:ascii="仿宋_GB2312" w:hAnsi="仿宋_GB2312" w:eastAsia="仿宋_GB2312" w:cs="仿宋_GB2312"/>
          <w:b/>
          <w:bCs w:val="0"/>
          <w:color w:val="0000FF"/>
          <w:sz w:val="24"/>
          <w:szCs w:val="24"/>
          <w:highlight w:val="none"/>
          <w:u w:val="single"/>
          <w:lang w:val="en-US" w:eastAsia="zh-CN"/>
        </w:rPr>
        <w:t>（采购编号：CG0600062002309410）</w:t>
      </w:r>
      <w:r>
        <w:rPr>
          <w:rFonts w:hint="eastAsia" w:ascii="仿宋_GB2312" w:hAnsi="仿宋_GB2312" w:eastAsia="仿宋_GB2312" w:cs="仿宋_GB2312"/>
          <w:color w:val="000000"/>
          <w:kern w:val="0"/>
          <w:sz w:val="24"/>
          <w:szCs w:val="24"/>
          <w:lang w:val="en-US" w:eastAsia="zh-CN" w:bidi="ar"/>
        </w:rPr>
        <w:t>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14:paraId="0B849F81">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_GB2312" w:hAnsi="仿宋_GB2312" w:eastAsia="仿宋_GB2312" w:cs="仿宋_GB2312"/>
          <w:b/>
          <w:bCs/>
          <w:lang w:val="en-US" w:eastAsia="zh-CN"/>
        </w:rPr>
      </w:pPr>
      <w:r>
        <w:rPr>
          <w:rFonts w:hint="eastAsia" w:ascii="仿宋_GB2312" w:hAnsi="仿宋_GB2312" w:eastAsia="仿宋_GB2312" w:cs="仿宋_GB2312"/>
          <w:b/>
          <w:bCs/>
          <w:lang w:val="en-US" w:eastAsia="zh-CN"/>
        </w:rPr>
        <w:t>四、询价响应文件提交：</w:t>
      </w:r>
    </w:p>
    <w:p w14:paraId="06EA436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1、请意向单位于</w:t>
      </w:r>
      <w:r>
        <w:rPr>
          <w:rFonts w:hint="eastAsia" w:ascii="仿宋_GB2312" w:hAnsi="仿宋_GB2312" w:eastAsia="仿宋_GB2312" w:cs="仿宋_GB2312"/>
          <w:b/>
          <w:bCs/>
          <w:color w:val="0000FF"/>
          <w:kern w:val="0"/>
          <w:sz w:val="24"/>
          <w:szCs w:val="24"/>
          <w:u w:val="single"/>
          <w:lang w:val="en-US" w:eastAsia="zh-CN" w:bidi="ar"/>
        </w:rPr>
        <w:t>2026年6月11日1</w:t>
      </w:r>
      <w:r>
        <w:rPr>
          <w:rFonts w:hint="eastAsia" w:cs="仿宋_GB2312"/>
          <w:b/>
          <w:bCs/>
          <w:color w:val="0000FF"/>
          <w:kern w:val="0"/>
          <w:sz w:val="24"/>
          <w:szCs w:val="24"/>
          <w:u w:val="single"/>
          <w:lang w:val="en-US" w:eastAsia="zh-CN" w:bidi="ar"/>
        </w:rPr>
        <w:t>4</w:t>
      </w:r>
      <w:r>
        <w:rPr>
          <w:rFonts w:hint="eastAsia" w:ascii="仿宋_GB2312" w:hAnsi="仿宋_GB2312" w:eastAsia="仿宋_GB2312" w:cs="仿宋_GB2312"/>
          <w:b/>
          <w:bCs/>
          <w:color w:val="0000FF"/>
          <w:kern w:val="0"/>
          <w:sz w:val="24"/>
          <w:szCs w:val="24"/>
          <w:u w:val="single"/>
          <w:lang w:val="en-US" w:eastAsia="zh-CN" w:bidi="ar"/>
        </w:rPr>
        <w:t>：00</w:t>
      </w:r>
      <w:r>
        <w:rPr>
          <w:rFonts w:hint="eastAsia" w:ascii="仿宋_GB2312" w:hAnsi="仿宋_GB2312" w:eastAsia="仿宋_GB2312" w:cs="仿宋_GB2312"/>
          <w:color w:val="000000"/>
          <w:kern w:val="0"/>
          <w:sz w:val="24"/>
          <w:szCs w:val="24"/>
          <w:lang w:val="en-US" w:eastAsia="zh-CN" w:bidi="ar"/>
        </w:rPr>
        <w:t>前将电子版询价响应文件（附件1、附件2）发送至指定邮箱：</w:t>
      </w:r>
      <w:r>
        <w:rPr>
          <w:rFonts w:hint="eastAsia" w:ascii="仿宋_GB2312" w:hAnsi="仿宋_GB2312" w:eastAsia="仿宋_GB2312" w:cs="仿宋_GB2312"/>
          <w:b/>
          <w:bCs/>
          <w:color w:val="0000FF"/>
          <w:kern w:val="0"/>
          <w:sz w:val="24"/>
          <w:szCs w:val="24"/>
          <w:u w:val="single"/>
          <w:lang w:val="en-US" w:eastAsia="zh-CN" w:bidi="ar"/>
        </w:rPr>
        <w:t>yuss@csg.cn</w:t>
      </w:r>
      <w:r>
        <w:rPr>
          <w:rFonts w:hint="eastAsia" w:ascii="仿宋_GB2312" w:hAnsi="仿宋_GB2312" w:eastAsia="仿宋_GB2312" w:cs="仿宋_GB2312"/>
          <w:color w:val="000000"/>
          <w:kern w:val="0"/>
          <w:sz w:val="24"/>
          <w:szCs w:val="24"/>
          <w:lang w:val="en-US" w:eastAsia="zh-CN" w:bidi="ar"/>
        </w:rPr>
        <w:t>。</w:t>
      </w:r>
      <w:r>
        <w:rPr>
          <w:rStyle w:val="9"/>
          <w:rFonts w:ascii="仿宋_GB2312" w:hAnsi="微软雅黑" w:eastAsia="仿宋_GB2312" w:cs="仿宋_GB2312"/>
          <w:i w:val="0"/>
          <w:iCs w:val="0"/>
          <w:caps w:val="0"/>
          <w:color w:val="0000FF"/>
          <w:spacing w:val="0"/>
          <w:sz w:val="24"/>
          <w:szCs w:val="24"/>
        </w:rPr>
        <w:t>（寻源响应方须为产品制造商原厂，并以以企业邮箱参与响应）</w:t>
      </w:r>
    </w:p>
    <w:p w14:paraId="0899A68D">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2、</w:t>
      </w:r>
      <w:r>
        <w:rPr>
          <w:rFonts w:hint="eastAsia" w:ascii="仿宋_GB2312" w:hAnsi="仿宋_GB2312" w:eastAsia="仿宋_GB2312" w:cs="仿宋_GB2312"/>
          <w:b/>
          <w:bCs/>
          <w:color w:val="0000FF"/>
          <w:kern w:val="0"/>
          <w:sz w:val="24"/>
          <w:szCs w:val="24"/>
          <w:u w:val="single"/>
          <w:lang w:val="en-US" w:eastAsia="zh-CN" w:bidi="ar"/>
        </w:rPr>
        <w:t>电子版询价响应文件（附件1、附件2）需每页加盖公司公章（或电子章）的PDF版本文件，同时另附Excel版本报价表，以盖章文件为准（Excel版文件无需加盖公章）。</w:t>
      </w:r>
    </w:p>
    <w:p w14:paraId="798C8375">
      <w:pPr>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五、联系方式：</w:t>
      </w:r>
    </w:p>
    <w:p w14:paraId="6EC66D2D">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联系人：</w:t>
      </w:r>
      <w:r>
        <w:rPr>
          <w:rFonts w:hint="eastAsia" w:ascii="仿宋_GB2312" w:hAnsi="仿宋_GB2312" w:eastAsia="仿宋_GB2312" w:cs="仿宋_GB2312"/>
          <w:sz w:val="24"/>
          <w:szCs w:val="24"/>
          <w:highlight w:val="none"/>
          <w:lang w:eastAsia="zh-CN"/>
        </w:rPr>
        <w:t>南方电网数字电网集团（贵州）有限公司</w:t>
      </w:r>
    </w:p>
    <w:p w14:paraId="46A2C31B">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电子邮箱：yuss@csg.cn</w:t>
      </w:r>
    </w:p>
    <w:p w14:paraId="46690D3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sz w:val="24"/>
          <w:szCs w:val="24"/>
        </w:rPr>
      </w:pPr>
      <w:r>
        <w:rPr>
          <w:rFonts w:hint="eastAsia" w:ascii="仿宋_GB2312" w:hAnsi="仿宋_GB2312" w:eastAsia="仿宋_GB2312" w:cs="仿宋_GB2312"/>
          <w:color w:val="000000"/>
          <w:kern w:val="0"/>
          <w:sz w:val="24"/>
          <w:szCs w:val="24"/>
          <w:lang w:val="en-US" w:eastAsia="zh-CN" w:bidi="ar"/>
        </w:rPr>
        <w:t>联系电话：</w:t>
      </w:r>
      <w:r>
        <w:rPr>
          <w:rFonts w:hint="eastAsia" w:ascii="仿宋_GB2312" w:hAnsi="仿宋_GB2312" w:eastAsia="仿宋_GB2312" w:cs="仿宋_GB2312"/>
          <w:sz w:val="24"/>
          <w:szCs w:val="24"/>
          <w:highlight w:val="none"/>
          <w:lang w:val="en-US" w:eastAsia="zh-CN"/>
        </w:rPr>
        <w:t>15285979656</w:t>
      </w:r>
    </w:p>
    <w:p w14:paraId="75AAF77D">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pPr>
      <w:bookmarkStart w:id="0" w:name="_GoBack"/>
      <w:bookmarkEnd w:id="0"/>
    </w:p>
    <w:p w14:paraId="74F3CBAD">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color w:val="000000"/>
          <w:kern w:val="0"/>
          <w:sz w:val="24"/>
          <w:szCs w:val="24"/>
          <w:lang w:val="en-US" w:eastAsia="zh-CN" w:bidi="ar"/>
        </w:rPr>
        <w:t>顺颂商祺！</w:t>
      </w:r>
    </w:p>
    <w:p w14:paraId="0B0A62DB">
      <w:pPr>
        <w:pStyle w:val="2"/>
        <w:rPr>
          <w:rFonts w:hint="eastAsia"/>
          <w:lang w:val="en-US" w:eastAsia="zh-CN"/>
        </w:rPr>
      </w:pPr>
    </w:p>
    <w:p w14:paraId="5891999A">
      <w:pPr>
        <w:pStyle w:val="2"/>
        <w:ind w:left="0" w:leftChars="0" w:firstLine="0" w:firstLineChars="0"/>
        <w:jc w:val="right"/>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lang w:eastAsia="zh-CN"/>
        </w:rPr>
        <w:t>南方电网数字电网集团（贵州）有限公司</w:t>
      </w:r>
    </w:p>
    <w:p w14:paraId="06F9EA8E">
      <w:pPr>
        <w:bidi w:val="0"/>
        <w:jc w:val="right"/>
        <w:rPr>
          <w:rFonts w:hint="eastAsia"/>
          <w:lang w:val="en-US" w:eastAsia="zh-CN"/>
        </w:rPr>
      </w:pPr>
      <w:r>
        <w:rPr>
          <w:rFonts w:hint="eastAsia" w:ascii="仿宋_GB2312" w:hAnsi="仿宋_GB2312" w:eastAsia="仿宋_GB2312" w:cs="仿宋_GB2312"/>
          <w:lang w:val="en-US" w:eastAsia="zh-CN"/>
        </w:rPr>
        <w:t>2026年6月</w:t>
      </w:r>
      <w:r>
        <w:rPr>
          <w:rFonts w:hint="eastAsia" w:cs="仿宋_GB2312"/>
          <w:lang w:val="en-US" w:eastAsia="zh-CN"/>
        </w:rPr>
        <w:t>9</w:t>
      </w:r>
      <w:r>
        <w:rPr>
          <w:rFonts w:hint="eastAsia" w:ascii="仿宋_GB2312" w:hAnsi="仿宋_GB2312" w:eastAsia="仿宋_GB2312" w:cs="仿宋_GB2312"/>
          <w:lang w:val="en-US" w:eastAsia="zh-CN"/>
        </w:rPr>
        <w:t>日</w:t>
      </w:r>
    </w:p>
    <w:p w14:paraId="7362D3C1">
      <w:pPr>
        <w:pStyle w:val="4"/>
        <w:keepNext w:val="0"/>
        <w:keepLines w:val="0"/>
        <w:pageBreakBefore/>
        <w:widowControl w:val="0"/>
        <w:kinsoku/>
        <w:wordWrap/>
        <w:overflowPunct/>
        <w:topLinePunct w:val="0"/>
        <w:autoSpaceDE/>
        <w:autoSpaceDN/>
        <w:bidi w:val="0"/>
        <w:adjustRightInd/>
        <w:snapToGrid/>
        <w:jc w:val="center"/>
        <w:textAlignment w:val="auto"/>
        <w:rPr>
          <w:rFonts w:hint="eastAsia" w:ascii="仿宋_GB2312" w:hAnsi="仿宋_GB2312" w:eastAsia="仿宋_GB2312" w:cs="仿宋_GB2312"/>
          <w:b/>
          <w:sz w:val="40"/>
          <w:szCs w:val="22"/>
          <w:lang w:val="en-US" w:eastAsia="zh-CN"/>
        </w:rPr>
      </w:pPr>
      <w:r>
        <w:rPr>
          <w:rFonts w:hint="eastAsia" w:ascii="仿宋_GB2312" w:hAnsi="仿宋_GB2312" w:eastAsia="仿宋_GB2312" w:cs="仿宋_GB2312"/>
          <w:b/>
          <w:sz w:val="40"/>
          <w:szCs w:val="22"/>
          <w:lang w:val="en-US" w:eastAsia="zh-CN"/>
        </w:rPr>
        <w:t>资格要求及评审办法</w:t>
      </w:r>
    </w:p>
    <w:p w14:paraId="421222C4">
      <w:pPr>
        <w:keepNext w:val="0"/>
        <w:keepLines w:val="0"/>
        <w:widowControl/>
        <w:suppressLineNumbers w:val="0"/>
        <w:jc w:val="left"/>
        <w:rPr>
          <w:rFonts w:hint="eastAsia" w:ascii="仿宋_GB2312" w:hAnsi="仿宋_GB2312" w:eastAsia="仿宋_GB2312" w:cs="仿宋_GB2312"/>
        </w:rPr>
      </w:pPr>
      <w:r>
        <w:rPr>
          <w:rFonts w:hint="eastAsia" w:ascii="仿宋_GB2312" w:hAnsi="仿宋_GB2312" w:eastAsia="仿宋_GB2312" w:cs="仿宋_GB2312"/>
          <w:b/>
          <w:bCs/>
          <w:color w:val="000000"/>
          <w:kern w:val="0"/>
          <w:sz w:val="24"/>
          <w:szCs w:val="24"/>
          <w:lang w:val="en-US" w:eastAsia="zh-CN" w:bidi="ar"/>
        </w:rPr>
        <w:t>一、资格要求</w:t>
      </w:r>
    </w:p>
    <w:p w14:paraId="094AE568">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eastAsia" w:ascii="仿宋_GB2312" w:hAnsi="仿宋_GB2312" w:eastAsia="仿宋_GB2312" w:cs="仿宋_GB2312"/>
        </w:rPr>
      </w:pPr>
      <w:r>
        <w:rPr>
          <w:rFonts w:hint="eastAsia" w:ascii="仿宋_GB2312" w:hAnsi="仿宋_GB2312" w:eastAsia="仿宋_GB2312" w:cs="仿宋_GB2312"/>
          <w:b/>
          <w:bCs/>
          <w:color w:val="000000"/>
          <w:kern w:val="0"/>
          <w:sz w:val="24"/>
          <w:szCs w:val="24"/>
          <w:lang w:val="en-US" w:eastAsia="zh-CN" w:bidi="ar"/>
        </w:rPr>
        <w:t>通用资格：</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7933"/>
      </w:tblGrid>
      <w:tr w14:paraId="2DC6B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14:paraId="7CB6133C">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18"/>
                <w:szCs w:val="18"/>
                <w:vertAlign w:val="baseline"/>
                <w:lang w:val="en-US" w:eastAsia="zh-CN"/>
              </w:rPr>
            </w:pPr>
            <w:r>
              <w:rPr>
                <w:rFonts w:hint="eastAsia"/>
                <w:b/>
                <w:bCs/>
                <w:sz w:val="18"/>
                <w:szCs w:val="18"/>
                <w:vertAlign w:val="baseline"/>
                <w:lang w:val="en-US" w:eastAsia="zh-CN"/>
              </w:rPr>
              <w:t>通用资格要求</w:t>
            </w:r>
          </w:p>
        </w:tc>
      </w:tr>
      <w:tr w14:paraId="7BDC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Align w:val="center"/>
          </w:tcPr>
          <w:p w14:paraId="3284494B">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sz w:val="18"/>
                <w:szCs w:val="18"/>
                <w:vertAlign w:val="baseline"/>
                <w:lang w:val="en-US" w:eastAsia="zh-CN"/>
              </w:rPr>
            </w:pPr>
            <w:r>
              <w:rPr>
                <w:rFonts w:hint="eastAsia"/>
                <w:b/>
                <w:bCs/>
                <w:sz w:val="18"/>
                <w:szCs w:val="18"/>
                <w:vertAlign w:val="baseline"/>
                <w:lang w:val="en-US" w:eastAsia="zh-CN"/>
              </w:rPr>
              <w:t>序号</w:t>
            </w:r>
          </w:p>
        </w:tc>
        <w:tc>
          <w:tcPr>
            <w:tcW w:w="7933" w:type="dxa"/>
            <w:vAlign w:val="center"/>
          </w:tcPr>
          <w:p w14:paraId="3CAD7F51">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sz w:val="18"/>
                <w:szCs w:val="18"/>
                <w:vertAlign w:val="baseline"/>
                <w:lang w:val="en-US" w:eastAsia="zh-CN"/>
              </w:rPr>
            </w:pPr>
            <w:r>
              <w:rPr>
                <w:rFonts w:hint="eastAsia"/>
                <w:b/>
                <w:bCs/>
                <w:sz w:val="18"/>
                <w:szCs w:val="18"/>
                <w:vertAlign w:val="baseline"/>
                <w:lang w:val="en-US" w:eastAsia="zh-CN"/>
              </w:rPr>
              <w:t>内容</w:t>
            </w:r>
          </w:p>
        </w:tc>
      </w:tr>
      <w:tr w14:paraId="57BB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Align w:val="center"/>
          </w:tcPr>
          <w:p w14:paraId="4F820C72">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7933" w:type="dxa"/>
            <w:vAlign w:val="center"/>
          </w:tcPr>
          <w:p w14:paraId="3F613EB6">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14:paraId="7F184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Align w:val="center"/>
          </w:tcPr>
          <w:p w14:paraId="01175C43">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2</w:t>
            </w:r>
          </w:p>
        </w:tc>
        <w:tc>
          <w:tcPr>
            <w:tcW w:w="7933" w:type="dxa"/>
            <w:vAlign w:val="center"/>
          </w:tcPr>
          <w:p w14:paraId="49767B26">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tc>
      </w:tr>
      <w:tr w14:paraId="0F2E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Align w:val="center"/>
          </w:tcPr>
          <w:p w14:paraId="32048E6E">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3</w:t>
            </w:r>
          </w:p>
        </w:tc>
        <w:tc>
          <w:tcPr>
            <w:tcW w:w="7933" w:type="dxa"/>
            <w:vAlign w:val="center"/>
          </w:tcPr>
          <w:p w14:paraId="19504BF4">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具备近三年（2023年至今）对应本项目寻源物资同类型设备的业绩，不少于3个，且合同客户为不同法人主体。并提供业绩佐证（如采购协议/合同等证明材料）。</w:t>
            </w:r>
          </w:p>
        </w:tc>
      </w:tr>
      <w:tr w14:paraId="71E2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vAlign w:val="center"/>
          </w:tcPr>
          <w:p w14:paraId="5218C508">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4</w:t>
            </w:r>
          </w:p>
        </w:tc>
        <w:tc>
          <w:tcPr>
            <w:tcW w:w="7933" w:type="dxa"/>
            <w:vAlign w:val="center"/>
          </w:tcPr>
          <w:p w14:paraId="61B530E4">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具备基本的生产设备，满足基本生产条件。</w:t>
            </w:r>
          </w:p>
        </w:tc>
      </w:tr>
    </w:tbl>
    <w:p w14:paraId="1623DC3F">
      <w:pPr>
        <w:pStyle w:val="2"/>
        <w:ind w:left="0" w:leftChars="0" w:firstLine="0" w:firstLineChars="0"/>
        <w:rPr>
          <w:rFonts w:hint="eastAsia"/>
          <w:lang w:val="en-US" w:eastAsia="zh-CN"/>
        </w:rPr>
      </w:pPr>
    </w:p>
    <w:p w14:paraId="77119135">
      <w:pPr>
        <w:keepNext w:val="0"/>
        <w:keepLines w:val="0"/>
        <w:widowControl/>
        <w:suppressLineNumbers w:val="0"/>
        <w:jc w:val="left"/>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二、评审办法</w:t>
      </w:r>
    </w:p>
    <w:p w14:paraId="57860BF0">
      <w:pPr>
        <w:pStyle w:val="2"/>
        <w:rPr>
          <w:rFonts w:hint="eastAsia"/>
          <w:lang w:val="en-US" w:eastAsia="zh-CN"/>
        </w:rPr>
      </w:pPr>
      <w:r>
        <w:rPr>
          <w:rFonts w:hint="eastAsia"/>
          <w:lang w:val="en-US" w:eastAsia="zh-CN"/>
        </w:rPr>
        <w:t>寻源评审组按照以下规定的方法、评审因素、标准和程序对响应文件进行评审。</w:t>
      </w:r>
    </w:p>
    <w:p w14:paraId="42351D0B">
      <w:pPr>
        <w:pStyle w:val="2"/>
        <w:rPr>
          <w:rFonts w:hint="eastAsia"/>
          <w:lang w:val="en-US" w:eastAsia="zh-CN"/>
        </w:rPr>
      </w:pPr>
      <w:r>
        <w:rPr>
          <w:rFonts w:hint="eastAsia"/>
          <w:lang w:val="en-US" w:eastAsia="zh-CN"/>
        </w:rPr>
        <w:t>1、寻源评审组对参与供应商提交的响应文件的有效性、完整性等进行确认。</w:t>
      </w:r>
    </w:p>
    <w:p w14:paraId="11A86E46">
      <w:pPr>
        <w:pStyle w:val="2"/>
        <w:rPr>
          <w:rFonts w:hint="eastAsia"/>
          <w:lang w:val="en-US" w:eastAsia="zh-CN"/>
        </w:rPr>
      </w:pPr>
      <w:r>
        <w:rPr>
          <w:rFonts w:hint="eastAsia"/>
          <w:lang w:val="en-US" w:eastAsia="zh-CN"/>
        </w:rPr>
        <w:t>2、寻源评审组对供应商的商务条件、技术条件和报价进行确认。</w:t>
      </w:r>
    </w:p>
    <w:p w14:paraId="1F16E5D0">
      <w:pPr>
        <w:pStyle w:val="2"/>
        <w:rPr>
          <w:rFonts w:hint="eastAsia"/>
          <w:lang w:val="en-US" w:eastAsia="zh-CN"/>
        </w:rPr>
      </w:pPr>
      <w:r>
        <w:rPr>
          <w:rFonts w:hint="eastAsia"/>
          <w:lang w:val="en-US" w:eastAsia="zh-CN"/>
        </w:rPr>
        <w:t>3、寻源评审组应对报价进行详细复核，包括检查是否有计算上的错误或报价范围上的错误。如发现有错误的，将进行修正。</w:t>
      </w:r>
    </w:p>
    <w:p w14:paraId="117DA9C3">
      <w:pPr>
        <w:pStyle w:val="2"/>
        <w:bidi w:val="0"/>
      </w:pPr>
      <w:r>
        <w:rPr>
          <w:lang w:val="en-US" w:eastAsia="zh-CN"/>
        </w:rPr>
        <w:t>报价错误修正的原则如下：</w:t>
      </w:r>
    </w:p>
    <w:p w14:paraId="2219338A">
      <w:pPr>
        <w:pStyle w:val="2"/>
        <w:bidi w:val="0"/>
        <w:rPr>
          <w:rFonts w:hint="eastAsia"/>
          <w:lang w:val="en-US" w:eastAsia="zh-CN"/>
        </w:rPr>
      </w:pPr>
      <w:r>
        <w:rPr>
          <w:rFonts w:hint="eastAsia"/>
          <w:lang w:val="en-US" w:eastAsia="zh-CN"/>
        </w:rPr>
        <w:t>(1)总价金额与依据单价计算出的结果不一致的，以单价金额为准修正总价，但单价金额小数点有明显错误的除外。</w:t>
      </w:r>
    </w:p>
    <w:p w14:paraId="3260F964">
      <w:pPr>
        <w:pStyle w:val="2"/>
        <w:rPr>
          <w:rFonts w:hint="eastAsia"/>
          <w:lang w:val="en-US" w:eastAsia="zh-CN"/>
        </w:rPr>
      </w:pPr>
      <w:r>
        <w:rPr>
          <w:rFonts w:hint="eastAsia"/>
          <w:lang w:val="en-US" w:eastAsia="zh-CN"/>
        </w:rPr>
        <w:t>(2)如果用数字表示的金额与用文字表示的金额不一致，应以文字表示的金额为准。</w:t>
      </w:r>
    </w:p>
    <w:p w14:paraId="2D52B089">
      <w:pPr>
        <w:pStyle w:val="2"/>
        <w:rPr>
          <w:rFonts w:hint="eastAsia"/>
          <w:lang w:val="en-US" w:eastAsia="zh-CN"/>
        </w:rPr>
      </w:pPr>
      <w:r>
        <w:rPr>
          <w:rFonts w:hint="eastAsia"/>
          <w:lang w:val="en-US" w:eastAsia="zh-CN"/>
        </w:rPr>
        <w:t>在评审过程中，寻源评审组可以书面形式要求参与供应商对所提交响应文件中不明确的内容进行书面澄清或说明，或者对细微偏差进行补正。寻源评审组要求参与供应商提供的澄清文件作为响应文件的组成部分。</w:t>
      </w:r>
    </w:p>
    <w:p w14:paraId="29AD8043">
      <w:pPr>
        <w:pStyle w:val="2"/>
        <w:bidi w:val="0"/>
        <w:rPr>
          <w:rFonts w:hint="eastAsia"/>
          <w:lang w:val="en-US" w:eastAsia="zh-CN"/>
        </w:rPr>
      </w:pPr>
      <w:r>
        <w:rPr>
          <w:rFonts w:hint="eastAsia"/>
          <w:lang w:val="en-US" w:eastAsia="zh-CN"/>
        </w:rPr>
        <w:t>初审项列表如下：</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1352"/>
        <w:gridCol w:w="6492"/>
      </w:tblGrid>
      <w:tr w14:paraId="5CB2E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390E93E">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sz w:val="18"/>
                <w:szCs w:val="18"/>
                <w:vertAlign w:val="baseline"/>
                <w:lang w:val="en-US" w:eastAsia="zh-CN"/>
              </w:rPr>
            </w:pPr>
            <w:r>
              <w:rPr>
                <w:rFonts w:hint="eastAsia"/>
                <w:b/>
                <w:bCs/>
                <w:sz w:val="18"/>
                <w:szCs w:val="18"/>
                <w:vertAlign w:val="baseline"/>
                <w:lang w:val="en-US" w:eastAsia="zh-CN"/>
              </w:rPr>
              <w:t>序号</w:t>
            </w:r>
          </w:p>
        </w:tc>
        <w:tc>
          <w:tcPr>
            <w:tcW w:w="1352" w:type="dxa"/>
            <w:vAlign w:val="center"/>
          </w:tcPr>
          <w:p w14:paraId="3BD38DC1">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sz w:val="18"/>
                <w:szCs w:val="18"/>
                <w:vertAlign w:val="baseline"/>
                <w:lang w:val="en-US" w:eastAsia="zh-CN"/>
              </w:rPr>
            </w:pPr>
            <w:r>
              <w:rPr>
                <w:rFonts w:hint="eastAsia"/>
                <w:b/>
                <w:bCs/>
                <w:sz w:val="18"/>
                <w:szCs w:val="18"/>
                <w:vertAlign w:val="baseline"/>
                <w:lang w:val="en-US" w:eastAsia="zh-CN"/>
              </w:rPr>
              <w:t>初评要素</w:t>
            </w:r>
          </w:p>
        </w:tc>
        <w:tc>
          <w:tcPr>
            <w:tcW w:w="6492" w:type="dxa"/>
            <w:vAlign w:val="center"/>
          </w:tcPr>
          <w:p w14:paraId="267C6FB5">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sz w:val="18"/>
                <w:szCs w:val="18"/>
                <w:vertAlign w:val="baseline"/>
                <w:lang w:val="en-US" w:eastAsia="zh-CN"/>
              </w:rPr>
            </w:pPr>
            <w:r>
              <w:rPr>
                <w:rFonts w:hint="eastAsia"/>
                <w:b/>
                <w:bCs/>
                <w:sz w:val="18"/>
                <w:szCs w:val="18"/>
                <w:vertAlign w:val="baseline"/>
                <w:lang w:val="en-US" w:eastAsia="zh-CN"/>
              </w:rPr>
              <w:t>详细内容</w:t>
            </w:r>
          </w:p>
        </w:tc>
      </w:tr>
      <w:tr w14:paraId="4C78E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FF628A7">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1352" w:type="dxa"/>
            <w:vAlign w:val="center"/>
          </w:tcPr>
          <w:p w14:paraId="27F445B8">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sz w:val="18"/>
                <w:szCs w:val="18"/>
                <w:vertAlign w:val="baseline"/>
                <w:lang w:val="en-US" w:eastAsia="zh-CN"/>
              </w:rPr>
              <w:t>初评要素1</w:t>
            </w:r>
          </w:p>
        </w:tc>
        <w:tc>
          <w:tcPr>
            <w:tcW w:w="6492" w:type="dxa"/>
            <w:vAlign w:val="center"/>
          </w:tcPr>
          <w:p w14:paraId="30DE6CFF">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1.1报价文件格式是否满足寻源文件要求（主要审查：报价文件的签署以及法人代表授权书等）</w:t>
            </w:r>
          </w:p>
        </w:tc>
      </w:tr>
      <w:tr w14:paraId="41FBC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0CAA5C09">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2</w:t>
            </w:r>
          </w:p>
        </w:tc>
        <w:tc>
          <w:tcPr>
            <w:tcW w:w="1352" w:type="dxa"/>
            <w:vAlign w:val="center"/>
          </w:tcPr>
          <w:p w14:paraId="68D8D255">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sz w:val="18"/>
                <w:szCs w:val="18"/>
                <w:vertAlign w:val="baseline"/>
                <w:lang w:val="en-US" w:eastAsia="zh-CN"/>
              </w:rPr>
              <w:t>初评要素2</w:t>
            </w:r>
          </w:p>
        </w:tc>
        <w:tc>
          <w:tcPr>
            <w:tcW w:w="6492" w:type="dxa"/>
            <w:vAlign w:val="center"/>
          </w:tcPr>
          <w:p w14:paraId="688D1E8A">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2.1质量、服务和工期是否满足要求</w:t>
            </w:r>
          </w:p>
        </w:tc>
      </w:tr>
      <w:tr w14:paraId="12318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333379C6">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3</w:t>
            </w:r>
          </w:p>
        </w:tc>
        <w:tc>
          <w:tcPr>
            <w:tcW w:w="1352" w:type="dxa"/>
            <w:vAlign w:val="center"/>
          </w:tcPr>
          <w:p w14:paraId="6383F2D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初评要素3</w:t>
            </w:r>
          </w:p>
        </w:tc>
        <w:tc>
          <w:tcPr>
            <w:tcW w:w="6492" w:type="dxa"/>
            <w:vAlign w:val="center"/>
          </w:tcPr>
          <w:p w14:paraId="73CC1CFC">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3.1是否存在“无效报价”的情形</w:t>
            </w:r>
          </w:p>
        </w:tc>
      </w:tr>
      <w:tr w14:paraId="1C057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60B1448A">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4</w:t>
            </w:r>
          </w:p>
        </w:tc>
        <w:tc>
          <w:tcPr>
            <w:tcW w:w="1352" w:type="dxa"/>
            <w:vAlign w:val="center"/>
          </w:tcPr>
          <w:p w14:paraId="50A3619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初评要素4</w:t>
            </w:r>
          </w:p>
        </w:tc>
        <w:tc>
          <w:tcPr>
            <w:tcW w:w="6492" w:type="dxa"/>
            <w:vAlign w:val="center"/>
          </w:tcPr>
          <w:p w14:paraId="3CE02DCB">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4.1报价是否合理且在最高限价范围内</w:t>
            </w:r>
          </w:p>
        </w:tc>
      </w:tr>
      <w:tr w14:paraId="6CB29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1A71D90B">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5</w:t>
            </w:r>
          </w:p>
        </w:tc>
        <w:tc>
          <w:tcPr>
            <w:tcW w:w="1352" w:type="dxa"/>
            <w:vAlign w:val="center"/>
          </w:tcPr>
          <w:p w14:paraId="3CF9EC17">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初评要素5</w:t>
            </w:r>
          </w:p>
        </w:tc>
        <w:tc>
          <w:tcPr>
            <w:tcW w:w="6492" w:type="dxa"/>
            <w:vAlign w:val="center"/>
          </w:tcPr>
          <w:p w14:paraId="40B0474C">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5.1具有独立承担民事责任的能力</w:t>
            </w:r>
          </w:p>
        </w:tc>
      </w:tr>
      <w:tr w14:paraId="4AB6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590DC18C">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6</w:t>
            </w:r>
          </w:p>
        </w:tc>
        <w:tc>
          <w:tcPr>
            <w:tcW w:w="1352" w:type="dxa"/>
            <w:vAlign w:val="center"/>
          </w:tcPr>
          <w:p w14:paraId="5E60A1D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初评要素6</w:t>
            </w:r>
          </w:p>
        </w:tc>
        <w:tc>
          <w:tcPr>
            <w:tcW w:w="6492" w:type="dxa"/>
            <w:vAlign w:val="center"/>
          </w:tcPr>
          <w:p w14:paraId="234BE400">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6.1按报价文件要求提供有效的营业执照（组织机构代码证、税务登记证）等相关证书的复印件</w:t>
            </w:r>
          </w:p>
        </w:tc>
      </w:tr>
      <w:tr w14:paraId="5061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8" w:type="dxa"/>
            <w:vAlign w:val="center"/>
          </w:tcPr>
          <w:p w14:paraId="419BA585">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7</w:t>
            </w:r>
          </w:p>
        </w:tc>
        <w:tc>
          <w:tcPr>
            <w:tcW w:w="1352" w:type="dxa"/>
            <w:vAlign w:val="center"/>
          </w:tcPr>
          <w:p w14:paraId="4B837ED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初评要素7</w:t>
            </w:r>
          </w:p>
        </w:tc>
        <w:tc>
          <w:tcPr>
            <w:tcW w:w="6492" w:type="dxa"/>
            <w:vAlign w:val="center"/>
          </w:tcPr>
          <w:p w14:paraId="7376D485">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7.1如授权代理商，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tc>
      </w:tr>
    </w:tbl>
    <w:p w14:paraId="6DCB8708">
      <w:pPr>
        <w:pStyle w:val="2"/>
        <w:bidi w:val="0"/>
        <w:rPr>
          <w:rFonts w:hint="eastAsia"/>
          <w:lang w:val="en-US" w:eastAsia="zh-CN"/>
        </w:rPr>
      </w:pPr>
    </w:p>
    <w:p w14:paraId="099E75EB">
      <w:pPr>
        <w:pStyle w:val="2"/>
        <w:bidi w:val="0"/>
        <w:rPr>
          <w:rFonts w:hint="eastAsia"/>
          <w:lang w:val="en-US" w:eastAsia="zh-CN"/>
        </w:rPr>
      </w:pPr>
      <w:r>
        <w:rPr>
          <w:rFonts w:hint="eastAsia"/>
          <w:lang w:val="en-US" w:eastAsia="zh-CN"/>
        </w:rPr>
        <w:t>详细评审：</w:t>
      </w:r>
    </w:p>
    <w:p w14:paraId="659228EC">
      <w:pPr>
        <w:pStyle w:val="2"/>
        <w:numPr>
          <w:ilvl w:val="0"/>
          <w:numId w:val="1"/>
        </w:numPr>
        <w:bidi w:val="0"/>
        <w:rPr>
          <w:rFonts w:hint="eastAsia"/>
          <w:lang w:val="en-US" w:eastAsia="zh-CN"/>
        </w:rPr>
      </w:pPr>
      <w:r>
        <w:rPr>
          <w:rFonts w:hint="eastAsia"/>
          <w:lang w:val="en-US" w:eastAsia="zh-CN"/>
        </w:rPr>
        <w:t>寻源评审组按照寻源文件的详细评审要素，对应邀供应商提交的响应文件进行技术、商务详细评审，详见技术商务评审要素。</w:t>
      </w:r>
    </w:p>
    <w:p w14:paraId="603E5A10">
      <w:pPr>
        <w:pStyle w:val="2"/>
        <w:numPr>
          <w:ilvl w:val="0"/>
          <w:numId w:val="1"/>
        </w:numPr>
        <w:bidi w:val="0"/>
        <w:rPr>
          <w:rFonts w:hint="eastAsia"/>
          <w:lang w:val="en-US" w:eastAsia="zh-CN"/>
        </w:rPr>
      </w:pPr>
      <w:r>
        <w:rPr>
          <w:rFonts w:hint="eastAsia"/>
          <w:lang w:val="en-US" w:eastAsia="zh-CN"/>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14:paraId="78073DD0">
      <w:pPr>
        <w:pStyle w:val="2"/>
        <w:bidi w:val="0"/>
        <w:rPr>
          <w:rFonts w:hint="eastAsia"/>
          <w:lang w:val="en-US" w:eastAsia="zh-CN"/>
        </w:rPr>
      </w:pPr>
      <w:r>
        <w:rPr>
          <w:rFonts w:hint="eastAsia"/>
          <w:lang w:val="en-US" w:eastAsia="zh-CN"/>
        </w:rPr>
        <w:t>报价错误修正的原则如下：</w:t>
      </w:r>
    </w:p>
    <w:p w14:paraId="684360AD">
      <w:pPr>
        <w:pStyle w:val="2"/>
        <w:numPr>
          <w:ilvl w:val="0"/>
          <w:numId w:val="2"/>
        </w:numPr>
        <w:bidi w:val="0"/>
        <w:rPr>
          <w:rFonts w:hint="eastAsia"/>
          <w:lang w:val="en-US" w:eastAsia="zh-CN"/>
        </w:rPr>
      </w:pPr>
      <w:r>
        <w:rPr>
          <w:rFonts w:hint="eastAsia"/>
          <w:lang w:val="en-US" w:eastAsia="zh-CN"/>
        </w:rPr>
        <w:t>总价金额与依据单价计算出的结果不一致的，以单价金额为准修正总价，但单价金额小数点有明显错误的除外。</w:t>
      </w:r>
    </w:p>
    <w:p w14:paraId="1B47A366">
      <w:pPr>
        <w:pStyle w:val="2"/>
        <w:numPr>
          <w:ilvl w:val="0"/>
          <w:numId w:val="2"/>
        </w:numPr>
        <w:bidi w:val="0"/>
        <w:rPr>
          <w:rFonts w:hint="eastAsia"/>
          <w:lang w:val="en-US" w:eastAsia="zh-CN"/>
        </w:rPr>
      </w:pPr>
      <w:r>
        <w:rPr>
          <w:rFonts w:hint="eastAsia"/>
          <w:lang w:val="en-US" w:eastAsia="zh-CN"/>
        </w:rPr>
        <w:t>如果用数字表示的金额与用文字表示的金额不一致，应以文字表示的金额为准。</w:t>
      </w:r>
    </w:p>
    <w:p w14:paraId="78185730">
      <w:pPr>
        <w:pStyle w:val="2"/>
        <w:numPr>
          <w:ilvl w:val="0"/>
          <w:numId w:val="1"/>
        </w:numPr>
        <w:bidi w:val="0"/>
        <w:rPr>
          <w:rFonts w:hint="eastAsia"/>
          <w:lang w:val="en-US" w:eastAsia="zh-CN"/>
        </w:rPr>
      </w:pPr>
      <w:r>
        <w:rPr>
          <w:rFonts w:hint="eastAsia"/>
          <w:lang w:val="en-US" w:eastAsia="zh-CN"/>
        </w:rPr>
        <w:t>技术、商务、价格评审要素</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1662"/>
        <w:gridCol w:w="2165"/>
        <w:gridCol w:w="4076"/>
      </w:tblGrid>
      <w:tr w14:paraId="500E9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5BAA60BC">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b/>
                <w:bCs/>
                <w:sz w:val="18"/>
                <w:szCs w:val="18"/>
                <w:vertAlign w:val="baseline"/>
                <w:lang w:val="en-US" w:eastAsia="zh-CN"/>
              </w:rPr>
              <w:t>（一）、技术评审</w:t>
            </w:r>
          </w:p>
        </w:tc>
      </w:tr>
      <w:tr w14:paraId="2800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3BB9AA2E">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sz w:val="18"/>
                <w:szCs w:val="18"/>
                <w:vertAlign w:val="baseline"/>
                <w:lang w:val="en-US" w:eastAsia="zh-CN"/>
              </w:rPr>
            </w:pPr>
            <w:r>
              <w:rPr>
                <w:rFonts w:hint="eastAsia"/>
                <w:b/>
                <w:bCs/>
                <w:sz w:val="18"/>
                <w:szCs w:val="18"/>
                <w:vertAlign w:val="baseline"/>
                <w:lang w:val="en-US" w:eastAsia="zh-CN"/>
              </w:rPr>
              <w:t>序号</w:t>
            </w:r>
          </w:p>
        </w:tc>
        <w:tc>
          <w:tcPr>
            <w:tcW w:w="1662" w:type="dxa"/>
            <w:vAlign w:val="center"/>
          </w:tcPr>
          <w:p w14:paraId="31C53D4D">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b/>
                <w:bCs/>
                <w:sz w:val="18"/>
                <w:szCs w:val="18"/>
                <w:vertAlign w:val="baseline"/>
                <w:lang w:val="en-US" w:eastAsia="zh-CN"/>
              </w:rPr>
            </w:pPr>
            <w:r>
              <w:rPr>
                <w:rFonts w:hint="eastAsia"/>
                <w:b/>
                <w:bCs/>
                <w:sz w:val="18"/>
                <w:szCs w:val="18"/>
                <w:vertAlign w:val="baseline"/>
                <w:lang w:val="en-US" w:eastAsia="zh-CN"/>
              </w:rPr>
              <w:t>评审要素</w:t>
            </w:r>
          </w:p>
        </w:tc>
        <w:tc>
          <w:tcPr>
            <w:tcW w:w="2165" w:type="dxa"/>
            <w:vAlign w:val="center"/>
          </w:tcPr>
          <w:p w14:paraId="7CF5C584">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18"/>
                <w:szCs w:val="18"/>
                <w:vertAlign w:val="baseline"/>
                <w:lang w:val="en-US" w:eastAsia="zh-CN"/>
              </w:rPr>
            </w:pPr>
            <w:r>
              <w:rPr>
                <w:rFonts w:hint="eastAsia"/>
                <w:b/>
                <w:bCs/>
                <w:sz w:val="18"/>
                <w:szCs w:val="18"/>
                <w:vertAlign w:val="baseline"/>
                <w:lang w:val="en-US" w:eastAsia="zh-CN"/>
              </w:rPr>
              <w:t>详细评审项</w:t>
            </w:r>
          </w:p>
        </w:tc>
        <w:tc>
          <w:tcPr>
            <w:tcW w:w="4076" w:type="dxa"/>
            <w:vAlign w:val="center"/>
          </w:tcPr>
          <w:p w14:paraId="6FF42BDC">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18"/>
                <w:szCs w:val="18"/>
                <w:vertAlign w:val="baseline"/>
                <w:lang w:val="en-US" w:eastAsia="zh-CN"/>
              </w:rPr>
            </w:pPr>
            <w:r>
              <w:rPr>
                <w:rFonts w:hint="eastAsia"/>
                <w:b/>
                <w:bCs/>
                <w:sz w:val="18"/>
                <w:szCs w:val="18"/>
                <w:vertAlign w:val="baseline"/>
                <w:lang w:val="en-US" w:eastAsia="zh-CN"/>
              </w:rPr>
              <w:t>技术详细评审分项要素</w:t>
            </w:r>
          </w:p>
        </w:tc>
      </w:tr>
      <w:tr w14:paraId="50B98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Align w:val="center"/>
          </w:tcPr>
          <w:p w14:paraId="1D50F03C">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1662" w:type="dxa"/>
            <w:vAlign w:val="center"/>
          </w:tcPr>
          <w:p w14:paraId="75A8112B">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sz w:val="18"/>
                <w:szCs w:val="18"/>
                <w:vertAlign w:val="baseline"/>
                <w:lang w:val="en-US" w:eastAsia="zh-CN"/>
              </w:rPr>
              <w:t>技术参数响应情况</w:t>
            </w:r>
          </w:p>
        </w:tc>
        <w:tc>
          <w:tcPr>
            <w:tcW w:w="2165" w:type="dxa"/>
            <w:vAlign w:val="center"/>
          </w:tcPr>
          <w:p w14:paraId="1F4E037E">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sz w:val="18"/>
                <w:szCs w:val="18"/>
                <w:vertAlign w:val="baseline"/>
                <w:lang w:val="en-US" w:eastAsia="zh-CN"/>
              </w:rPr>
              <w:t>技术参数响应情况</w:t>
            </w:r>
          </w:p>
        </w:tc>
        <w:tc>
          <w:tcPr>
            <w:tcW w:w="4076" w:type="dxa"/>
            <w:vAlign w:val="center"/>
          </w:tcPr>
          <w:p w14:paraId="1398F283">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sz w:val="18"/>
                <w:szCs w:val="18"/>
                <w:vertAlign w:val="baseline"/>
                <w:lang w:val="en-US" w:eastAsia="zh-CN"/>
              </w:rPr>
              <w:t>供应商应满足本项目技术参数要求。</w:t>
            </w:r>
          </w:p>
        </w:tc>
      </w:tr>
      <w:tr w14:paraId="3A28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4F503145">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b/>
                <w:bCs/>
                <w:sz w:val="18"/>
                <w:szCs w:val="18"/>
                <w:vertAlign w:val="baseline"/>
                <w:lang w:val="en-US" w:eastAsia="zh-CN"/>
              </w:rPr>
              <w:t>（二）、商务评审</w:t>
            </w:r>
          </w:p>
        </w:tc>
      </w:tr>
      <w:tr w14:paraId="0BD0B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shd w:val="clear" w:color="auto" w:fill="auto"/>
            <w:vAlign w:val="center"/>
          </w:tcPr>
          <w:p w14:paraId="1F1CA8E5">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theme="minorBidi"/>
                <w:b/>
                <w:bCs/>
                <w:kern w:val="2"/>
                <w:sz w:val="18"/>
                <w:szCs w:val="18"/>
                <w:vertAlign w:val="baseline"/>
                <w:lang w:val="en-US" w:eastAsia="zh-CN" w:bidi="ar-SA"/>
              </w:rPr>
            </w:pPr>
            <w:r>
              <w:rPr>
                <w:rFonts w:hint="eastAsia"/>
                <w:b/>
                <w:bCs/>
                <w:sz w:val="18"/>
                <w:szCs w:val="18"/>
                <w:vertAlign w:val="baseline"/>
                <w:lang w:val="en-US" w:eastAsia="zh-CN"/>
              </w:rPr>
              <w:t>序号</w:t>
            </w:r>
          </w:p>
        </w:tc>
        <w:tc>
          <w:tcPr>
            <w:tcW w:w="1662" w:type="dxa"/>
            <w:shd w:val="clear" w:color="auto" w:fill="auto"/>
            <w:vAlign w:val="center"/>
          </w:tcPr>
          <w:p w14:paraId="530F2FFF">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theme="minorBidi"/>
                <w:b/>
                <w:bCs/>
                <w:kern w:val="2"/>
                <w:sz w:val="18"/>
                <w:szCs w:val="18"/>
                <w:vertAlign w:val="baseline"/>
                <w:lang w:val="en-US" w:eastAsia="zh-CN" w:bidi="ar-SA"/>
              </w:rPr>
            </w:pPr>
            <w:r>
              <w:rPr>
                <w:rFonts w:hint="eastAsia"/>
                <w:b/>
                <w:bCs/>
                <w:sz w:val="18"/>
                <w:szCs w:val="18"/>
                <w:vertAlign w:val="baseline"/>
                <w:lang w:val="en-US" w:eastAsia="zh-CN"/>
              </w:rPr>
              <w:t>评审要素</w:t>
            </w:r>
          </w:p>
        </w:tc>
        <w:tc>
          <w:tcPr>
            <w:tcW w:w="2165" w:type="dxa"/>
            <w:shd w:val="clear" w:color="auto" w:fill="auto"/>
            <w:vAlign w:val="center"/>
          </w:tcPr>
          <w:p w14:paraId="6EF9C470">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_GB2312" w:hAnsi="仿宋_GB2312" w:eastAsia="仿宋_GB2312" w:cstheme="minorBidi"/>
                <w:b/>
                <w:bCs/>
                <w:kern w:val="2"/>
                <w:sz w:val="18"/>
                <w:szCs w:val="18"/>
                <w:vertAlign w:val="baseline"/>
                <w:lang w:val="en-US" w:eastAsia="zh-CN" w:bidi="ar-SA"/>
              </w:rPr>
            </w:pPr>
            <w:r>
              <w:rPr>
                <w:rFonts w:hint="eastAsia"/>
                <w:b/>
                <w:bCs/>
                <w:sz w:val="18"/>
                <w:szCs w:val="18"/>
                <w:vertAlign w:val="baseline"/>
                <w:lang w:val="en-US" w:eastAsia="zh-CN"/>
              </w:rPr>
              <w:t>详细评审项</w:t>
            </w:r>
          </w:p>
        </w:tc>
        <w:tc>
          <w:tcPr>
            <w:tcW w:w="4076" w:type="dxa"/>
            <w:vAlign w:val="center"/>
          </w:tcPr>
          <w:p w14:paraId="5CDE587F">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b/>
                <w:bCs/>
                <w:sz w:val="18"/>
                <w:szCs w:val="18"/>
                <w:vertAlign w:val="baseline"/>
                <w:lang w:val="en-US" w:eastAsia="zh-CN"/>
              </w:rPr>
            </w:pPr>
            <w:r>
              <w:rPr>
                <w:rFonts w:hint="eastAsia"/>
                <w:b/>
                <w:bCs/>
                <w:sz w:val="18"/>
                <w:szCs w:val="18"/>
                <w:vertAlign w:val="baseline"/>
                <w:lang w:val="en-US" w:eastAsia="zh-CN"/>
              </w:rPr>
              <w:t>商务详细评审分项要素</w:t>
            </w:r>
          </w:p>
        </w:tc>
      </w:tr>
      <w:tr w14:paraId="62158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restart"/>
            <w:vAlign w:val="center"/>
          </w:tcPr>
          <w:p w14:paraId="79E6F90D">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r>
              <w:rPr>
                <w:rFonts w:hint="eastAsia"/>
                <w:sz w:val="18"/>
                <w:szCs w:val="18"/>
                <w:vertAlign w:val="baseline"/>
                <w:lang w:val="en-US" w:eastAsia="zh-CN"/>
              </w:rPr>
              <w:t>1</w:t>
            </w:r>
          </w:p>
        </w:tc>
        <w:tc>
          <w:tcPr>
            <w:tcW w:w="1662" w:type="dxa"/>
            <w:vMerge w:val="restart"/>
            <w:vAlign w:val="center"/>
          </w:tcPr>
          <w:p w14:paraId="4E1F8010">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sz w:val="18"/>
                <w:szCs w:val="18"/>
                <w:vertAlign w:val="baseline"/>
                <w:lang w:val="en-US" w:eastAsia="zh-CN"/>
              </w:rPr>
              <w:t>商务部分</w:t>
            </w:r>
          </w:p>
        </w:tc>
        <w:tc>
          <w:tcPr>
            <w:tcW w:w="2165" w:type="dxa"/>
            <w:vAlign w:val="center"/>
          </w:tcPr>
          <w:p w14:paraId="5FCCBB00">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sz w:val="18"/>
                <w:szCs w:val="18"/>
                <w:vertAlign w:val="baseline"/>
                <w:lang w:val="en-US" w:eastAsia="zh-CN"/>
              </w:rPr>
              <w:t>质量管理体系认证</w:t>
            </w:r>
          </w:p>
        </w:tc>
        <w:tc>
          <w:tcPr>
            <w:tcW w:w="4076" w:type="dxa"/>
            <w:vAlign w:val="center"/>
          </w:tcPr>
          <w:p w14:paraId="1500C79B">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供应商具备质量管理体系认证有效证明文件。（如中选方需在本项目后续的签约和履行阶段需委托其经销商实施的，需同时提供原厂商及授权经销商质量管理体系认证有效证明文件。）</w:t>
            </w:r>
          </w:p>
        </w:tc>
      </w:tr>
      <w:tr w14:paraId="176AD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continue"/>
            <w:vAlign w:val="center"/>
          </w:tcPr>
          <w:p w14:paraId="240F2D42">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p>
        </w:tc>
        <w:tc>
          <w:tcPr>
            <w:tcW w:w="1662" w:type="dxa"/>
            <w:vMerge w:val="continue"/>
            <w:vAlign w:val="center"/>
          </w:tcPr>
          <w:p w14:paraId="1E3EC190">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p>
        </w:tc>
        <w:tc>
          <w:tcPr>
            <w:tcW w:w="2165" w:type="dxa"/>
            <w:vAlign w:val="center"/>
          </w:tcPr>
          <w:p w14:paraId="0EE6FE4B">
            <w:pPr>
              <w:pStyle w:val="2"/>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制造商授权和质保期内原厂售后服务承诺函、自主可控证明材料</w:t>
            </w:r>
          </w:p>
        </w:tc>
        <w:tc>
          <w:tcPr>
            <w:tcW w:w="4076" w:type="dxa"/>
            <w:vAlign w:val="center"/>
          </w:tcPr>
          <w:p w14:paraId="1A4C2DF5">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制造商承诺本寻源项目中选后提供针对贵州电网有限责任公司物资类2026年第一批（网络潜伏威胁探针、补丁管理系统软件等）公开谈判（采购编号：CG0600062002309410）标的13、14、16，设备制造商授权和质保期内原厂售后服务承诺函、自主可控证明材料，提供证明材料并盖制造商公章。</w:t>
            </w:r>
          </w:p>
        </w:tc>
      </w:tr>
      <w:tr w14:paraId="4EA40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continue"/>
            <w:vAlign w:val="center"/>
          </w:tcPr>
          <w:p w14:paraId="00531DB9">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p>
        </w:tc>
        <w:tc>
          <w:tcPr>
            <w:tcW w:w="1662" w:type="dxa"/>
            <w:vMerge w:val="continue"/>
            <w:vAlign w:val="center"/>
          </w:tcPr>
          <w:p w14:paraId="660CDA08">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p>
        </w:tc>
        <w:tc>
          <w:tcPr>
            <w:tcW w:w="2165" w:type="dxa"/>
            <w:vAlign w:val="center"/>
          </w:tcPr>
          <w:p w14:paraId="660FBA09">
            <w:pPr>
              <w:pStyle w:val="2"/>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未使用美光公司产品（包括含有美光芯片的产品）的承诺函</w:t>
            </w:r>
          </w:p>
        </w:tc>
        <w:tc>
          <w:tcPr>
            <w:tcW w:w="4076" w:type="dxa"/>
            <w:vAlign w:val="center"/>
          </w:tcPr>
          <w:p w14:paraId="536A8C6E">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制造商提供未使用美光公司产品（包括含有美光芯片的产品）的承诺函。</w:t>
            </w:r>
          </w:p>
        </w:tc>
      </w:tr>
      <w:tr w14:paraId="13EA5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9" w:type="dxa"/>
            <w:vMerge w:val="continue"/>
            <w:vAlign w:val="center"/>
          </w:tcPr>
          <w:p w14:paraId="62877223">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sz w:val="18"/>
                <w:szCs w:val="18"/>
                <w:vertAlign w:val="baseline"/>
                <w:lang w:val="en-US" w:eastAsia="zh-CN"/>
              </w:rPr>
            </w:pPr>
          </w:p>
        </w:tc>
        <w:tc>
          <w:tcPr>
            <w:tcW w:w="1662" w:type="dxa"/>
            <w:vMerge w:val="continue"/>
            <w:vAlign w:val="center"/>
          </w:tcPr>
          <w:p w14:paraId="5B619A89">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p>
        </w:tc>
        <w:tc>
          <w:tcPr>
            <w:tcW w:w="2165" w:type="dxa"/>
            <w:vAlign w:val="center"/>
          </w:tcPr>
          <w:p w14:paraId="42BF3666">
            <w:pPr>
              <w:pStyle w:val="2"/>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hint="eastAsia"/>
                <w:sz w:val="18"/>
                <w:szCs w:val="18"/>
                <w:vertAlign w:val="baseline"/>
                <w:lang w:val="en-US" w:eastAsia="zh-CN"/>
              </w:rPr>
            </w:pPr>
            <w:r>
              <w:rPr>
                <w:rFonts w:hint="eastAsia"/>
                <w:sz w:val="18"/>
                <w:szCs w:val="18"/>
                <w:vertAlign w:val="baseline"/>
                <w:lang w:val="en-US" w:eastAsia="zh-CN"/>
              </w:rPr>
              <w:t>所提供产品满足自主可控要求</w:t>
            </w:r>
          </w:p>
        </w:tc>
        <w:tc>
          <w:tcPr>
            <w:tcW w:w="4076" w:type="dxa"/>
            <w:vAlign w:val="center"/>
          </w:tcPr>
          <w:p w14:paraId="2EF6BA5B">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制造商承诺提供产品自主可控承诺函。</w:t>
            </w:r>
          </w:p>
        </w:tc>
      </w:tr>
      <w:tr w14:paraId="1DF7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1" w:type="dxa"/>
            <w:gridSpan w:val="2"/>
            <w:vAlign w:val="center"/>
          </w:tcPr>
          <w:p w14:paraId="76FEF2E8">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b/>
                <w:bCs/>
                <w:sz w:val="18"/>
                <w:szCs w:val="18"/>
                <w:vertAlign w:val="baseline"/>
                <w:lang w:val="en-US" w:eastAsia="zh-CN"/>
              </w:rPr>
              <w:t>技术、商务评审方法</w:t>
            </w:r>
          </w:p>
        </w:tc>
        <w:tc>
          <w:tcPr>
            <w:tcW w:w="6241" w:type="dxa"/>
            <w:gridSpan w:val="2"/>
            <w:vAlign w:val="center"/>
          </w:tcPr>
          <w:p w14:paraId="56D224A4">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vertAlign w:val="baseline"/>
                <w:lang w:val="en-US" w:eastAsia="zh-CN"/>
              </w:rPr>
              <w:t>寻源评审专家对各供应商技术、商务应答进行逐项评审，不满足投标寻源商务和技术条款（参数），其寻源响应将被拒绝，不进入下一步评审。</w:t>
            </w:r>
          </w:p>
        </w:tc>
      </w:tr>
      <w:tr w14:paraId="500A3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vAlign w:val="center"/>
          </w:tcPr>
          <w:p w14:paraId="57211EE9">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b/>
                <w:bCs/>
                <w:sz w:val="18"/>
                <w:szCs w:val="18"/>
                <w:vertAlign w:val="baseline"/>
                <w:lang w:val="en-US" w:eastAsia="zh-CN"/>
              </w:rPr>
              <w:t>（三）、价格评审</w:t>
            </w:r>
          </w:p>
        </w:tc>
      </w:tr>
      <w:tr w14:paraId="1BC3F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1" w:type="dxa"/>
            <w:gridSpan w:val="2"/>
            <w:vAlign w:val="center"/>
          </w:tcPr>
          <w:p w14:paraId="288750C1">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18"/>
                <w:szCs w:val="18"/>
                <w:vertAlign w:val="baseline"/>
                <w:lang w:val="en-US" w:eastAsia="zh-CN"/>
              </w:rPr>
            </w:pPr>
            <w:r>
              <w:rPr>
                <w:rFonts w:hint="eastAsia"/>
                <w:b/>
                <w:bCs/>
                <w:sz w:val="18"/>
                <w:szCs w:val="18"/>
                <w:vertAlign w:val="baseline"/>
                <w:lang w:val="en-US" w:eastAsia="zh-CN"/>
              </w:rPr>
              <w:t>价格评审名称</w:t>
            </w:r>
          </w:p>
        </w:tc>
        <w:tc>
          <w:tcPr>
            <w:tcW w:w="6241" w:type="dxa"/>
            <w:gridSpan w:val="2"/>
            <w:vAlign w:val="center"/>
          </w:tcPr>
          <w:p w14:paraId="16DBC156">
            <w:pPr>
              <w:pStyle w:val="2"/>
              <w:keepNext w:val="0"/>
              <w:keepLines w:val="0"/>
              <w:pageBreakBefore w:val="0"/>
              <w:widowControl w:val="0"/>
              <w:kinsoku/>
              <w:wordWrap/>
              <w:overflowPunct/>
              <w:topLinePunct w:val="0"/>
              <w:autoSpaceDE/>
              <w:autoSpaceDN/>
              <w:bidi w:val="0"/>
              <w:adjustRightInd/>
              <w:snapToGrid/>
              <w:ind w:firstLine="0" w:firstLineChars="0"/>
              <w:textAlignment w:val="auto"/>
              <w:rPr>
                <w:rFonts w:hint="eastAsia"/>
                <w:sz w:val="18"/>
                <w:szCs w:val="18"/>
                <w:vertAlign w:val="baseline"/>
                <w:lang w:val="en-US" w:eastAsia="zh-CN"/>
              </w:rPr>
            </w:pPr>
            <w:r>
              <w:rPr>
                <w:rFonts w:hint="eastAsia"/>
                <w:sz w:val="18"/>
                <w:szCs w:val="18"/>
                <w:u w:val="single"/>
                <w:vertAlign w:val="baseline"/>
                <w:lang w:val="en-US" w:eastAsia="zh-CN"/>
              </w:rPr>
              <w:t>最低价评估法</w:t>
            </w:r>
            <w:r>
              <w:rPr>
                <w:rFonts w:hint="eastAsia"/>
                <w:sz w:val="18"/>
                <w:szCs w:val="18"/>
                <w:vertAlign w:val="baseline"/>
                <w:lang w:val="en-US" w:eastAsia="zh-CN"/>
              </w:rPr>
              <w:t>。在商务、技术条款均满足寻源文件要求时，寻源响应价格最低者为推荐中选人。</w:t>
            </w:r>
          </w:p>
        </w:tc>
      </w:tr>
    </w:tbl>
    <w:p w14:paraId="44DD1675">
      <w:pPr>
        <w:pStyle w:val="2"/>
        <w:bidi w:val="0"/>
        <w:rPr>
          <w:rFonts w:hint="eastAsia"/>
          <w:lang w:val="en-US" w:eastAsia="zh-CN"/>
        </w:rPr>
      </w:pPr>
      <w:r>
        <w:rPr>
          <w:rFonts w:hint="eastAsia"/>
          <w:b/>
          <w:bCs/>
          <w:color w:val="0000FF"/>
          <w:u w:val="single"/>
          <w:lang w:val="en-US" w:eastAsia="zh-CN"/>
        </w:rPr>
        <w:t>评分办法名称：最低价评估法</w:t>
      </w:r>
    </w:p>
    <w:p w14:paraId="30E60B99">
      <w:pPr>
        <w:pStyle w:val="2"/>
        <w:bidi w:val="0"/>
        <w:rPr>
          <w:rFonts w:hint="eastAsia"/>
          <w:b/>
          <w:bCs/>
          <w:lang w:val="en-US" w:eastAsia="zh-CN"/>
        </w:rPr>
      </w:pPr>
      <w:r>
        <w:rPr>
          <w:rFonts w:hint="eastAsia"/>
          <w:b/>
          <w:bCs/>
          <w:lang w:val="en-US" w:eastAsia="zh-CN"/>
        </w:rPr>
        <w:t>三、技术参数偏离表（见附件）</w:t>
      </w:r>
    </w:p>
    <w:p w14:paraId="38B06266">
      <w:pPr>
        <w:pStyle w:val="2"/>
        <w:bidi w:val="0"/>
        <w:rPr>
          <w:rFonts w:hint="eastAsia"/>
          <w:lang w:val="en-US" w:eastAsia="zh-CN"/>
        </w:rPr>
      </w:pPr>
      <w:r>
        <w:rPr>
          <w:rFonts w:hint="eastAsia"/>
          <w:color w:val="0000FF"/>
          <w:lang w:val="en-US" w:eastAsia="zh-CN"/>
        </w:rPr>
        <w:t>（说明：需提供盖章版技术参数偏离响应表。）</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A1B7BE"/>
    <w:multiLevelType w:val="singleLevel"/>
    <w:tmpl w:val="82A1B7BE"/>
    <w:lvl w:ilvl="0" w:tentative="0">
      <w:start w:val="1"/>
      <w:numFmt w:val="decimal"/>
      <w:suff w:val="nothing"/>
      <w:lvlText w:val="(%1)"/>
      <w:lvlJc w:val="left"/>
    </w:lvl>
  </w:abstractNum>
  <w:abstractNum w:abstractNumId="1">
    <w:nsid w:val="D8AA08FF"/>
    <w:multiLevelType w:val="singleLevel"/>
    <w:tmpl w:val="D8AA08FF"/>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E39DB"/>
    <w:rsid w:val="005319D6"/>
    <w:rsid w:val="00B42808"/>
    <w:rsid w:val="0112077C"/>
    <w:rsid w:val="031A5263"/>
    <w:rsid w:val="046627DE"/>
    <w:rsid w:val="063D2F0C"/>
    <w:rsid w:val="09434CDD"/>
    <w:rsid w:val="0A283998"/>
    <w:rsid w:val="10901E42"/>
    <w:rsid w:val="10E2302E"/>
    <w:rsid w:val="11373ABE"/>
    <w:rsid w:val="11871962"/>
    <w:rsid w:val="1223790E"/>
    <w:rsid w:val="143D67CD"/>
    <w:rsid w:val="189A41EE"/>
    <w:rsid w:val="1BC64867"/>
    <w:rsid w:val="1C161DDD"/>
    <w:rsid w:val="1CE123EB"/>
    <w:rsid w:val="1D2E4893"/>
    <w:rsid w:val="1D383FD6"/>
    <w:rsid w:val="1D547061"/>
    <w:rsid w:val="1DB03917"/>
    <w:rsid w:val="1DB96EC4"/>
    <w:rsid w:val="1DC3250C"/>
    <w:rsid w:val="1FED554B"/>
    <w:rsid w:val="20B00A53"/>
    <w:rsid w:val="22E2161E"/>
    <w:rsid w:val="231A0405"/>
    <w:rsid w:val="23711FEF"/>
    <w:rsid w:val="25CC4F38"/>
    <w:rsid w:val="26F2214F"/>
    <w:rsid w:val="27FA68D1"/>
    <w:rsid w:val="2A6C5F94"/>
    <w:rsid w:val="2AB96756"/>
    <w:rsid w:val="2D4B4E2D"/>
    <w:rsid w:val="2E1B0FCF"/>
    <w:rsid w:val="30821DE6"/>
    <w:rsid w:val="33750033"/>
    <w:rsid w:val="346C2A8B"/>
    <w:rsid w:val="355E2212"/>
    <w:rsid w:val="36764AC8"/>
    <w:rsid w:val="38C70290"/>
    <w:rsid w:val="3AFB4B19"/>
    <w:rsid w:val="3D260038"/>
    <w:rsid w:val="3F7E18C4"/>
    <w:rsid w:val="409969B6"/>
    <w:rsid w:val="41CE6B33"/>
    <w:rsid w:val="41F85CA4"/>
    <w:rsid w:val="42731889"/>
    <w:rsid w:val="434A5C10"/>
    <w:rsid w:val="44896D41"/>
    <w:rsid w:val="44F411D4"/>
    <w:rsid w:val="467D6CDF"/>
    <w:rsid w:val="48552DCE"/>
    <w:rsid w:val="48897310"/>
    <w:rsid w:val="4B412124"/>
    <w:rsid w:val="4B67093E"/>
    <w:rsid w:val="4B9656D2"/>
    <w:rsid w:val="4BA81148"/>
    <w:rsid w:val="4D176E22"/>
    <w:rsid w:val="4E5008D0"/>
    <w:rsid w:val="4EF360D4"/>
    <w:rsid w:val="4F4E12B3"/>
    <w:rsid w:val="4FC275AB"/>
    <w:rsid w:val="54B03E76"/>
    <w:rsid w:val="551F7BF9"/>
    <w:rsid w:val="56D962B0"/>
    <w:rsid w:val="57763155"/>
    <w:rsid w:val="58D77C23"/>
    <w:rsid w:val="5BBA3738"/>
    <w:rsid w:val="5F8909A0"/>
    <w:rsid w:val="600800F7"/>
    <w:rsid w:val="616F3F04"/>
    <w:rsid w:val="61834DEC"/>
    <w:rsid w:val="62610B88"/>
    <w:rsid w:val="64211FFA"/>
    <w:rsid w:val="65016119"/>
    <w:rsid w:val="67B631DF"/>
    <w:rsid w:val="68577DDA"/>
    <w:rsid w:val="68961346"/>
    <w:rsid w:val="6AD466B8"/>
    <w:rsid w:val="6B2F0C4A"/>
    <w:rsid w:val="6B5E41D4"/>
    <w:rsid w:val="6E7D7067"/>
    <w:rsid w:val="6F5B6D86"/>
    <w:rsid w:val="6FF11ABB"/>
    <w:rsid w:val="754B57C9"/>
    <w:rsid w:val="756248E8"/>
    <w:rsid w:val="7AD63D87"/>
    <w:rsid w:val="7AF144E1"/>
    <w:rsid w:val="7CDD495B"/>
    <w:rsid w:val="7E605637"/>
    <w:rsid w:val="7FE568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仿宋_GB2312" w:hAnsi="仿宋_GB2312" w:eastAsia="仿宋_GB2312" w:cstheme="minorBidi"/>
      <w:kern w:val="2"/>
      <w:sz w:val="24"/>
      <w:szCs w:val="24"/>
      <w:lang w:val="en-US" w:eastAsia="zh-CN" w:bidi="ar-SA"/>
    </w:rPr>
  </w:style>
  <w:style w:type="paragraph" w:styleId="4">
    <w:name w:val="heading 1"/>
    <w:basedOn w:val="1"/>
    <w:next w:val="1"/>
    <w:qFormat/>
    <w:uiPriority w:val="0"/>
    <w:pPr>
      <w:keepNext/>
      <w:keepLines/>
      <w:spacing w:beforeLines="0" w:beforeAutospacing="0" w:afterLines="0" w:afterAutospacing="0" w:line="480" w:lineRule="auto"/>
      <w:outlineLvl w:val="0"/>
    </w:pPr>
    <w:rPr>
      <w:rFonts w:ascii="宋体" w:hAnsi="宋体" w:eastAsia="宋体"/>
      <w:b/>
      <w:kern w:val="44"/>
      <w:sz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Lines="0" w:afterAutospacing="0"/>
      <w:ind w:firstLine="562" w:firstLineChars="200"/>
    </w:pPr>
    <w:rPr>
      <w:rFonts w:eastAsia="仿宋_GB2312"/>
      <w:sz w:val="24"/>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4431</Words>
  <Characters>4658</Characters>
  <Lines>0</Lines>
  <Paragraphs>0</Paragraphs>
  <TotalTime>10</TotalTime>
  <ScaleCrop>false</ScaleCrop>
  <LinksUpToDate>false</LinksUpToDate>
  <CharactersWithSpaces>4658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2026-06-05T08:03:00Z</dcterms:created>
  <dcterms:modified xsi:type="dcterms:W3CDTF">2026-06-09T03:52:27Z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eyJoZGlkIjoiMWRhNTMwMjY4ODQwMDg4OTQ2Y2Q4Mzk0ZjgzNjhkNDgifQ==</vt:lpwstr>
  </property>
  <property fmtid="{D5CDD505-2E9C-101B-9397-08002B2CF9AE}" pid="4" name="ICV">
    <vt:lpwstr>AE0EDDF0245F45D9B32BB5720786D5E1_12</vt:lpwstr>
  </property>
</Properties>
</file>