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E5B4A">
      <w:pPr>
        <w:pStyle w:val="3"/>
        <w:keepNext w:val="0"/>
        <w:keepLines w:val="0"/>
        <w:pageBreakBefore w:val="0"/>
        <w:spacing w:before="300" w:after="200" w:line="288" w:lineRule="auto"/>
        <w:jc w:val="center"/>
        <w:outlineLvl w:val="0"/>
        <w:rPr>
          <w:rFonts w:ascii="黑体" w:hAnsi="黑体" w:eastAsia="黑体" w:cs="黑体"/>
          <w:b/>
          <w:color w:val="auto"/>
          <w:sz w:val="44"/>
        </w:rPr>
        <w:sectPr>
          <w:pgSz w:w="12240" w:h="15840"/>
          <w:pgMar w:top="1440" w:right="1800" w:bottom="1440" w:left="1800" w:header="720" w:footer="720" w:gutter="0"/>
          <w:cols w:space="720" w:num="1"/>
          <w:docGrid w:linePitch="360" w:charSpace="0"/>
        </w:sectPr>
      </w:pPr>
      <w:r>
        <w:rPr>
          <w:rFonts w:hAnsi="宋体" w:cs="宋体"/>
          <w:color w:val="auto"/>
          <w:sz w:val="24"/>
          <w:szCs w:val="24"/>
        </w:rPr>
        <w:drawing>
          <wp:anchor distT="0" distB="0" distL="114300" distR="114300" simplePos="0" relativeHeight="251660288" behindDoc="1" locked="0" layoutInCell="1" allowOverlap="1">
            <wp:simplePos x="0" y="0"/>
            <wp:positionH relativeFrom="column">
              <wp:posOffset>-1143000</wp:posOffset>
            </wp:positionH>
            <wp:positionV relativeFrom="paragraph">
              <wp:posOffset>-914400</wp:posOffset>
            </wp:positionV>
            <wp:extent cx="7780020" cy="2312035"/>
            <wp:effectExtent l="0" t="0" r="0" b="4445"/>
            <wp:wrapTight wrapText="bothSides">
              <wp:wrapPolygon>
                <wp:start x="0" y="0"/>
                <wp:lineTo x="0" y="21499"/>
                <wp:lineTo x="21579" y="21499"/>
                <wp:lineTo x="21579" y="0"/>
                <wp:lineTo x="0" y="0"/>
              </wp:wrapPolygon>
            </wp:wrapTight>
            <wp:docPr id="2" name="图片 4"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模板-3"/>
                    <pic:cNvPicPr>
                      <a:picLocks noChangeAspect="1"/>
                    </pic:cNvPicPr>
                  </pic:nvPicPr>
                  <pic:blipFill>
                    <a:blip r:embed="rId6"/>
                    <a:srcRect l="682" t="2084" r="597"/>
                    <a:stretch>
                      <a:fillRect/>
                    </a:stretch>
                  </pic:blipFill>
                  <pic:spPr>
                    <a:xfrm>
                      <a:off x="0" y="0"/>
                      <a:ext cx="7780020" cy="2312035"/>
                    </a:xfrm>
                    <a:prstGeom prst="rect">
                      <a:avLst/>
                    </a:prstGeom>
                    <a:noFill/>
                    <a:ln>
                      <a:noFill/>
                    </a:ln>
                  </pic:spPr>
                </pic:pic>
              </a:graphicData>
            </a:graphic>
          </wp:anchor>
        </w:drawing>
      </w:r>
      <w:r>
        <w:rPr>
          <w:rFonts w:ascii="Times New Roman"/>
          <w:color w:val="auto"/>
        </w:rPr>
        <mc:AlternateContent>
          <mc:Choice Requires="wps">
            <w:drawing>
              <wp:anchor distT="0" distB="0" distL="114300" distR="114300" simplePos="0" relativeHeight="251659264" behindDoc="0" locked="0" layoutInCell="1" allowOverlap="1">
                <wp:simplePos x="0" y="0"/>
                <wp:positionH relativeFrom="column">
                  <wp:posOffset>-715010</wp:posOffset>
                </wp:positionH>
                <wp:positionV relativeFrom="paragraph">
                  <wp:posOffset>211455</wp:posOffset>
                </wp:positionV>
                <wp:extent cx="6457950" cy="6816090"/>
                <wp:effectExtent l="0" t="0" r="3810" b="11430"/>
                <wp:wrapNone/>
                <wp:docPr id="1" name="文本框 3"/>
                <wp:cNvGraphicFramePr/>
                <a:graphic xmlns:a="http://schemas.openxmlformats.org/drawingml/2006/main">
                  <a:graphicData uri="http://schemas.microsoft.com/office/word/2010/wordprocessingShape">
                    <wps:wsp>
                      <wps:cNvSpPr txBox="1"/>
                      <wps:spPr>
                        <a:xfrm>
                          <a:off x="0" y="0"/>
                          <a:ext cx="6457950" cy="6816090"/>
                        </a:xfrm>
                        <a:prstGeom prst="rect">
                          <a:avLst/>
                        </a:prstGeom>
                        <a:solidFill>
                          <a:srgbClr val="FFFFFF"/>
                        </a:solidFill>
                        <a:ln>
                          <a:noFill/>
                        </a:ln>
                      </wps:spPr>
                      <wps:txbx>
                        <w:txbxContent>
                          <w:p w14:paraId="35600594">
                            <w:pPr>
                              <w:jc w:val="center"/>
                              <w:rPr>
                                <w:rFonts w:hint="eastAsia" w:eastAsia="黑体"/>
                                <w:b/>
                                <w:sz w:val="52"/>
                              </w:rPr>
                            </w:pPr>
                            <w:r>
                              <w:rPr>
                                <w:rFonts w:hint="eastAsia" w:eastAsia="黑体"/>
                                <w:b/>
                                <w:sz w:val="52"/>
                              </w:rPr>
                              <w:t xml:space="preserve"> </w:t>
                            </w:r>
                          </w:p>
                          <w:p w14:paraId="1E3D254D">
                            <w:pPr>
                              <w:jc w:val="center"/>
                              <w:rPr>
                                <w:rFonts w:hint="eastAsia" w:eastAsia="黑体"/>
                                <w:b/>
                                <w:sz w:val="52"/>
                              </w:rPr>
                            </w:pPr>
                          </w:p>
                          <w:p w14:paraId="394ACFEE">
                            <w:pPr>
                              <w:spacing w:before="480" w:beforeLines="200"/>
                              <w:ind w:firstLine="2873" w:firstLineChars="795"/>
                              <w:jc w:val="left"/>
                              <w:rPr>
                                <w:rFonts w:hint="eastAsia" w:eastAsia="黑体"/>
                                <w:b/>
                                <w:sz w:val="36"/>
                              </w:rPr>
                            </w:pPr>
                          </w:p>
                          <w:p w14:paraId="29D49A60">
                            <w:pPr>
                              <w:spacing w:before="240" w:beforeLines="100" w:after="600" w:afterLines="250"/>
                              <w:jc w:val="center"/>
                              <w:rPr>
                                <w:rFonts w:hint="eastAsia" w:ascii="宋体" w:hAnsi="宋体" w:eastAsia="宋体"/>
                                <w:b/>
                                <w:sz w:val="52"/>
                                <w:lang w:eastAsia="zh-CN"/>
                              </w:rPr>
                            </w:pPr>
                            <w:r>
                              <w:rPr>
                                <w:rFonts w:hint="eastAsia" w:ascii="宋体" w:hAnsi="宋体"/>
                                <w:b/>
                                <w:color w:val="000000"/>
                                <w:sz w:val="52"/>
                              </w:rPr>
                              <w:t>物资</w:t>
                            </w:r>
                            <w:r>
                              <w:rPr>
                                <w:rFonts w:ascii="宋体" w:hAnsi="宋体"/>
                                <w:b/>
                                <w:color w:val="000000"/>
                                <w:sz w:val="52"/>
                              </w:rPr>
                              <w:t>名称：</w:t>
                            </w:r>
                            <w:r>
                              <w:rPr>
                                <w:rFonts w:hint="eastAsia" w:ascii="宋体" w:hAnsi="宋体"/>
                                <w:b/>
                                <w:sz w:val="52"/>
                                <w:lang w:val="en-US" w:eastAsia="zh-CN"/>
                              </w:rPr>
                              <w:t>电力围栏</w:t>
                            </w:r>
                          </w:p>
                          <w:p w14:paraId="4E17F2B7">
                            <w:pPr>
                              <w:spacing w:before="240" w:beforeLines="100" w:after="600" w:afterLines="250"/>
                              <w:jc w:val="center"/>
                              <w:rPr>
                                <w:rFonts w:hint="eastAsia" w:ascii="宋体" w:hAnsi="宋体"/>
                                <w:b/>
                                <w:color w:val="000000"/>
                                <w:sz w:val="52"/>
                              </w:rPr>
                            </w:pPr>
                            <w:r>
                              <w:rPr>
                                <w:rFonts w:hint="eastAsia" w:ascii="宋体" w:hAnsi="宋体"/>
                                <w:b/>
                                <w:color w:val="000000"/>
                                <w:sz w:val="52"/>
                              </w:rPr>
                              <w:t>技术</w:t>
                            </w:r>
                            <w:r>
                              <w:rPr>
                                <w:rFonts w:hint="eastAsia" w:ascii="宋体" w:hAnsi="宋体"/>
                                <w:b/>
                                <w:color w:val="000000"/>
                                <w:sz w:val="52"/>
                                <w:lang w:eastAsia="zh-CN"/>
                              </w:rPr>
                              <w:t>规范</w:t>
                            </w:r>
                            <w:r>
                              <w:rPr>
                                <w:rFonts w:hint="eastAsia" w:ascii="宋体" w:hAnsi="宋体"/>
                                <w:b/>
                                <w:color w:val="000000"/>
                                <w:sz w:val="52"/>
                              </w:rPr>
                              <w:t>书</w:t>
                            </w:r>
                          </w:p>
                          <w:p w14:paraId="78626C07">
                            <w:pPr>
                              <w:spacing w:before="480" w:beforeLines="200"/>
                              <w:ind w:firstLine="4682" w:firstLineChars="1300"/>
                              <w:rPr>
                                <w:rFonts w:hint="eastAsia" w:ascii="宋体" w:hAnsi="宋体"/>
                                <w:b/>
                                <w:bCs/>
                                <w:color w:val="000000"/>
                                <w:sz w:val="36"/>
                              </w:rPr>
                            </w:pPr>
                            <w:r>
                              <w:rPr>
                                <w:rFonts w:hint="eastAsia" w:ascii="宋体" w:hAnsi="宋体"/>
                                <w:b/>
                                <w:bCs/>
                                <w:color w:val="000000"/>
                                <w:sz w:val="36"/>
                              </w:rPr>
                              <w:t>编号：</w:t>
                            </w:r>
                          </w:p>
                          <w:p w14:paraId="468623D1">
                            <w:pPr>
                              <w:spacing w:before="480" w:beforeLines="200"/>
                              <w:ind w:firstLine="3600" w:firstLineChars="1000"/>
                              <w:rPr>
                                <w:rFonts w:hint="eastAsia" w:ascii="宋体" w:hAnsi="宋体"/>
                                <w:color w:val="000000"/>
                                <w:sz w:val="36"/>
                              </w:rPr>
                            </w:pPr>
                          </w:p>
                          <w:p w14:paraId="123FCED9">
                            <w:pPr>
                              <w:spacing w:before="480" w:beforeLines="200"/>
                              <w:ind w:firstLine="3600" w:firstLineChars="1000"/>
                              <w:rPr>
                                <w:rFonts w:hint="eastAsia" w:ascii="宋体" w:hAnsi="宋体"/>
                                <w:color w:val="000000"/>
                                <w:sz w:val="36"/>
                              </w:rPr>
                            </w:pPr>
                          </w:p>
                          <w:p w14:paraId="7B08513E">
                            <w:pPr>
                              <w:spacing w:before="480" w:beforeLines="200"/>
                              <w:jc w:val="center"/>
                              <w:rPr>
                                <w:b/>
                                <w:spacing w:val="20"/>
                                <w:w w:val="135"/>
                                <w:sz w:val="30"/>
                              </w:rPr>
                            </w:pPr>
                          </w:p>
                          <w:p w14:paraId="3AC78066">
                            <w:pPr>
                              <w:spacing w:before="480" w:beforeLines="200"/>
                              <w:ind w:firstLine="2873" w:firstLineChars="795"/>
                              <w:jc w:val="left"/>
                              <w:rPr>
                                <w:rFonts w:hint="eastAsia" w:eastAsia="黑体"/>
                                <w:b/>
                                <w:sz w:val="36"/>
                              </w:rPr>
                            </w:pPr>
                          </w:p>
                          <w:p w14:paraId="347007B4">
                            <w:pPr>
                              <w:spacing w:before="480" w:beforeLines="200"/>
                              <w:ind w:firstLine="2873" w:firstLineChars="795"/>
                              <w:jc w:val="left"/>
                              <w:rPr>
                                <w:rFonts w:hint="eastAsia" w:eastAsia="黑体"/>
                                <w:b/>
                                <w:sz w:val="36"/>
                              </w:rPr>
                            </w:pPr>
                          </w:p>
                          <w:p w14:paraId="15B6672F">
                            <w:pPr>
                              <w:spacing w:before="480" w:beforeLines="200"/>
                              <w:ind w:firstLine="2873" w:firstLineChars="795"/>
                              <w:jc w:val="left"/>
                              <w:rPr>
                                <w:rFonts w:hint="eastAsia" w:eastAsia="黑体"/>
                                <w:b/>
                                <w:sz w:val="36"/>
                              </w:rPr>
                            </w:pPr>
                          </w:p>
                          <w:p w14:paraId="5FD5FC03">
                            <w:pPr>
                              <w:spacing w:before="480" w:beforeLines="200"/>
                              <w:ind w:firstLine="2873" w:firstLineChars="795"/>
                              <w:jc w:val="left"/>
                              <w:rPr>
                                <w:rFonts w:hint="eastAsia" w:eastAsia="黑体"/>
                                <w:b/>
                                <w:sz w:val="36"/>
                              </w:rPr>
                            </w:pPr>
                          </w:p>
                          <w:p w14:paraId="4F263029">
                            <w:pPr>
                              <w:spacing w:before="480" w:beforeLines="200"/>
                              <w:ind w:firstLine="2873" w:firstLineChars="795"/>
                              <w:jc w:val="left"/>
                              <w:rPr>
                                <w:rFonts w:hint="eastAsia" w:eastAsia="黑体"/>
                                <w:b/>
                                <w:sz w:val="36"/>
                              </w:rPr>
                            </w:pPr>
                          </w:p>
                          <w:p w14:paraId="3E6F78FA">
                            <w:pPr>
                              <w:spacing w:before="480" w:beforeLines="200"/>
                              <w:ind w:firstLine="2873" w:firstLineChars="795"/>
                              <w:jc w:val="left"/>
                              <w:rPr>
                                <w:rFonts w:eastAsia="黑体"/>
                                <w:b/>
                                <w:sz w:val="36"/>
                              </w:rPr>
                            </w:pPr>
                          </w:p>
                          <w:p w14:paraId="6BEB4AE3">
                            <w:pPr>
                              <w:jc w:val="center"/>
                              <w:rPr>
                                <w:rFonts w:hint="eastAsia" w:eastAsia="黑体"/>
                                <w:b/>
                                <w:sz w:val="52"/>
                              </w:rPr>
                            </w:pPr>
                            <w:r>
                              <w:rPr>
                                <w:rFonts w:hint="eastAsia" w:ascii="黑体" w:eastAsia="黑体"/>
                                <w:sz w:val="32"/>
                                <w:szCs w:val="32"/>
                              </w:rPr>
                              <w:t>2017年4月</w:t>
                            </w:r>
                          </w:p>
                          <w:p w14:paraId="45B97117">
                            <w:pPr>
                              <w:jc w:val="center"/>
                              <w:rPr>
                                <w:rFonts w:eastAsia="黑体"/>
                                <w:b/>
                                <w:sz w:val="52"/>
                              </w:rPr>
                            </w:pPr>
                          </w:p>
                          <w:p w14:paraId="1B7A32BA">
                            <w:pPr>
                              <w:spacing w:before="480" w:beforeLines="200"/>
                              <w:jc w:val="center"/>
                              <w:rPr>
                                <w:rFonts w:eastAsia="黑体"/>
                                <w:b/>
                                <w:sz w:val="52"/>
                              </w:rPr>
                            </w:pPr>
                          </w:p>
                        </w:txbxContent>
                      </wps:txbx>
                      <wps:bodyPr wrap="square" lIns="0" tIns="0" rIns="91440" bIns="45720" upright="1"/>
                    </wps:wsp>
                  </a:graphicData>
                </a:graphic>
              </wp:anchor>
            </w:drawing>
          </mc:Choice>
          <mc:Fallback>
            <w:pict>
              <v:shape id="文本框 3" o:spid="_x0000_s1026" o:spt="202" type="#_x0000_t202" style="position:absolute;left:0pt;margin-left:-56.3pt;margin-top:16.65pt;height:536.7pt;width:508.5pt;z-index:251659264;mso-width-relative:page;mso-height-relative:page;" fillcolor="#FFFFFF" filled="t" stroked="f" coordsize="21600,21600" o:gfxdata="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yBLlP2wAA&#10;AAwBAAAPAAAAAAAAAAEAIAAAACIAAABkcnMvZG93bnJldi54bWxQSwECFAAUAAAACACHTuJAOCAJ&#10;BeIBAACyAwAADgAAAAAAAAABACAAAAAqAQAAZHJzL2Uyb0RvYy54bWxQSwUGAAAAAAYABgBZAQAA&#10;fgUAAAAA&#10;">
                <v:fill on="t" focussize="0,0"/>
                <v:stroke on="f"/>
                <v:imagedata o:title=""/>
                <o:lock v:ext="edit" aspectratio="f"/>
                <v:textbox inset="0mm,0mm,2.54mm,1.27mm">
                  <w:txbxContent>
                    <w:p w14:paraId="35600594">
                      <w:pPr>
                        <w:jc w:val="center"/>
                        <w:rPr>
                          <w:rFonts w:hint="eastAsia" w:eastAsia="黑体"/>
                          <w:b/>
                          <w:sz w:val="52"/>
                        </w:rPr>
                      </w:pPr>
                      <w:r>
                        <w:rPr>
                          <w:rFonts w:hint="eastAsia" w:eastAsia="黑体"/>
                          <w:b/>
                          <w:sz w:val="52"/>
                        </w:rPr>
                        <w:t xml:space="preserve"> </w:t>
                      </w:r>
                    </w:p>
                    <w:p w14:paraId="1E3D254D">
                      <w:pPr>
                        <w:jc w:val="center"/>
                        <w:rPr>
                          <w:rFonts w:hint="eastAsia" w:eastAsia="黑体"/>
                          <w:b/>
                          <w:sz w:val="52"/>
                        </w:rPr>
                      </w:pPr>
                    </w:p>
                    <w:p w14:paraId="394ACFEE">
                      <w:pPr>
                        <w:spacing w:before="480" w:beforeLines="200"/>
                        <w:ind w:firstLine="2873" w:firstLineChars="795"/>
                        <w:jc w:val="left"/>
                        <w:rPr>
                          <w:rFonts w:hint="eastAsia" w:eastAsia="黑体"/>
                          <w:b/>
                          <w:sz w:val="36"/>
                        </w:rPr>
                      </w:pPr>
                    </w:p>
                    <w:p w14:paraId="29D49A60">
                      <w:pPr>
                        <w:spacing w:before="240" w:beforeLines="100" w:after="600" w:afterLines="250"/>
                        <w:jc w:val="center"/>
                        <w:rPr>
                          <w:rFonts w:hint="eastAsia" w:ascii="宋体" w:hAnsi="宋体" w:eastAsia="宋体"/>
                          <w:b/>
                          <w:sz w:val="52"/>
                          <w:lang w:eastAsia="zh-CN"/>
                        </w:rPr>
                      </w:pPr>
                      <w:r>
                        <w:rPr>
                          <w:rFonts w:hint="eastAsia" w:ascii="宋体" w:hAnsi="宋体"/>
                          <w:b/>
                          <w:color w:val="000000"/>
                          <w:sz w:val="52"/>
                        </w:rPr>
                        <w:t>物资</w:t>
                      </w:r>
                      <w:r>
                        <w:rPr>
                          <w:rFonts w:ascii="宋体" w:hAnsi="宋体"/>
                          <w:b/>
                          <w:color w:val="000000"/>
                          <w:sz w:val="52"/>
                        </w:rPr>
                        <w:t>名称：</w:t>
                      </w:r>
                      <w:r>
                        <w:rPr>
                          <w:rFonts w:hint="eastAsia" w:ascii="宋体" w:hAnsi="宋体"/>
                          <w:b/>
                          <w:sz w:val="52"/>
                          <w:lang w:val="en-US" w:eastAsia="zh-CN"/>
                        </w:rPr>
                        <w:t>电力围栏</w:t>
                      </w:r>
                    </w:p>
                    <w:p w14:paraId="4E17F2B7">
                      <w:pPr>
                        <w:spacing w:before="240" w:beforeLines="100" w:after="600" w:afterLines="250"/>
                        <w:jc w:val="center"/>
                        <w:rPr>
                          <w:rFonts w:hint="eastAsia" w:ascii="宋体" w:hAnsi="宋体"/>
                          <w:b/>
                          <w:color w:val="000000"/>
                          <w:sz w:val="52"/>
                        </w:rPr>
                      </w:pPr>
                      <w:r>
                        <w:rPr>
                          <w:rFonts w:hint="eastAsia" w:ascii="宋体" w:hAnsi="宋体"/>
                          <w:b/>
                          <w:color w:val="000000"/>
                          <w:sz w:val="52"/>
                        </w:rPr>
                        <w:t>技术</w:t>
                      </w:r>
                      <w:r>
                        <w:rPr>
                          <w:rFonts w:hint="eastAsia" w:ascii="宋体" w:hAnsi="宋体"/>
                          <w:b/>
                          <w:color w:val="000000"/>
                          <w:sz w:val="52"/>
                          <w:lang w:eastAsia="zh-CN"/>
                        </w:rPr>
                        <w:t>规范</w:t>
                      </w:r>
                      <w:r>
                        <w:rPr>
                          <w:rFonts w:hint="eastAsia" w:ascii="宋体" w:hAnsi="宋体"/>
                          <w:b/>
                          <w:color w:val="000000"/>
                          <w:sz w:val="52"/>
                        </w:rPr>
                        <w:t>书</w:t>
                      </w:r>
                    </w:p>
                    <w:p w14:paraId="78626C07">
                      <w:pPr>
                        <w:spacing w:before="480" w:beforeLines="200"/>
                        <w:ind w:firstLine="4682" w:firstLineChars="1300"/>
                        <w:rPr>
                          <w:rFonts w:hint="eastAsia" w:ascii="宋体" w:hAnsi="宋体"/>
                          <w:b/>
                          <w:bCs/>
                          <w:color w:val="000000"/>
                          <w:sz w:val="36"/>
                        </w:rPr>
                      </w:pPr>
                      <w:r>
                        <w:rPr>
                          <w:rFonts w:hint="eastAsia" w:ascii="宋体" w:hAnsi="宋体"/>
                          <w:b/>
                          <w:bCs/>
                          <w:color w:val="000000"/>
                          <w:sz w:val="36"/>
                        </w:rPr>
                        <w:t>编号：</w:t>
                      </w:r>
                    </w:p>
                    <w:p w14:paraId="468623D1">
                      <w:pPr>
                        <w:spacing w:before="480" w:beforeLines="200"/>
                        <w:ind w:firstLine="3600" w:firstLineChars="1000"/>
                        <w:rPr>
                          <w:rFonts w:hint="eastAsia" w:ascii="宋体" w:hAnsi="宋体"/>
                          <w:color w:val="000000"/>
                          <w:sz w:val="36"/>
                        </w:rPr>
                      </w:pPr>
                    </w:p>
                    <w:p w14:paraId="123FCED9">
                      <w:pPr>
                        <w:spacing w:before="480" w:beforeLines="200"/>
                        <w:ind w:firstLine="3600" w:firstLineChars="1000"/>
                        <w:rPr>
                          <w:rFonts w:hint="eastAsia" w:ascii="宋体" w:hAnsi="宋体"/>
                          <w:color w:val="000000"/>
                          <w:sz w:val="36"/>
                        </w:rPr>
                      </w:pPr>
                    </w:p>
                    <w:p w14:paraId="7B08513E">
                      <w:pPr>
                        <w:spacing w:before="480" w:beforeLines="200"/>
                        <w:jc w:val="center"/>
                        <w:rPr>
                          <w:b/>
                          <w:spacing w:val="20"/>
                          <w:w w:val="135"/>
                          <w:sz w:val="30"/>
                        </w:rPr>
                      </w:pPr>
                    </w:p>
                    <w:p w14:paraId="3AC78066">
                      <w:pPr>
                        <w:spacing w:before="480" w:beforeLines="200"/>
                        <w:ind w:firstLine="2873" w:firstLineChars="795"/>
                        <w:jc w:val="left"/>
                        <w:rPr>
                          <w:rFonts w:hint="eastAsia" w:eastAsia="黑体"/>
                          <w:b/>
                          <w:sz w:val="36"/>
                        </w:rPr>
                      </w:pPr>
                    </w:p>
                    <w:p w14:paraId="347007B4">
                      <w:pPr>
                        <w:spacing w:before="480" w:beforeLines="200"/>
                        <w:ind w:firstLine="2873" w:firstLineChars="795"/>
                        <w:jc w:val="left"/>
                        <w:rPr>
                          <w:rFonts w:hint="eastAsia" w:eastAsia="黑体"/>
                          <w:b/>
                          <w:sz w:val="36"/>
                        </w:rPr>
                      </w:pPr>
                    </w:p>
                    <w:p w14:paraId="15B6672F">
                      <w:pPr>
                        <w:spacing w:before="480" w:beforeLines="200"/>
                        <w:ind w:firstLine="2873" w:firstLineChars="795"/>
                        <w:jc w:val="left"/>
                        <w:rPr>
                          <w:rFonts w:hint="eastAsia" w:eastAsia="黑体"/>
                          <w:b/>
                          <w:sz w:val="36"/>
                        </w:rPr>
                      </w:pPr>
                    </w:p>
                    <w:p w14:paraId="5FD5FC03">
                      <w:pPr>
                        <w:spacing w:before="480" w:beforeLines="200"/>
                        <w:ind w:firstLine="2873" w:firstLineChars="795"/>
                        <w:jc w:val="left"/>
                        <w:rPr>
                          <w:rFonts w:hint="eastAsia" w:eastAsia="黑体"/>
                          <w:b/>
                          <w:sz w:val="36"/>
                        </w:rPr>
                      </w:pPr>
                    </w:p>
                    <w:p w14:paraId="4F263029">
                      <w:pPr>
                        <w:spacing w:before="480" w:beforeLines="200"/>
                        <w:ind w:firstLine="2873" w:firstLineChars="795"/>
                        <w:jc w:val="left"/>
                        <w:rPr>
                          <w:rFonts w:hint="eastAsia" w:eastAsia="黑体"/>
                          <w:b/>
                          <w:sz w:val="36"/>
                        </w:rPr>
                      </w:pPr>
                    </w:p>
                    <w:p w14:paraId="3E6F78FA">
                      <w:pPr>
                        <w:spacing w:before="480" w:beforeLines="200"/>
                        <w:ind w:firstLine="2873" w:firstLineChars="795"/>
                        <w:jc w:val="left"/>
                        <w:rPr>
                          <w:rFonts w:eastAsia="黑体"/>
                          <w:b/>
                          <w:sz w:val="36"/>
                        </w:rPr>
                      </w:pPr>
                    </w:p>
                    <w:p w14:paraId="6BEB4AE3">
                      <w:pPr>
                        <w:jc w:val="center"/>
                        <w:rPr>
                          <w:rFonts w:hint="eastAsia" w:eastAsia="黑体"/>
                          <w:b/>
                          <w:sz w:val="52"/>
                        </w:rPr>
                      </w:pPr>
                      <w:r>
                        <w:rPr>
                          <w:rFonts w:hint="eastAsia" w:ascii="黑体" w:eastAsia="黑体"/>
                          <w:sz w:val="32"/>
                          <w:szCs w:val="32"/>
                        </w:rPr>
                        <w:t>2017年4月</w:t>
                      </w:r>
                    </w:p>
                    <w:p w14:paraId="45B97117">
                      <w:pPr>
                        <w:jc w:val="center"/>
                        <w:rPr>
                          <w:rFonts w:eastAsia="黑体"/>
                          <w:b/>
                          <w:sz w:val="52"/>
                        </w:rPr>
                      </w:pPr>
                    </w:p>
                    <w:p w14:paraId="1B7A32BA">
                      <w:pPr>
                        <w:spacing w:before="480" w:beforeLines="200"/>
                        <w:jc w:val="center"/>
                        <w:rPr>
                          <w:rFonts w:eastAsia="黑体"/>
                          <w:b/>
                          <w:sz w:val="52"/>
                        </w:rPr>
                      </w:pPr>
                    </w:p>
                  </w:txbxContent>
                </v:textbox>
              </v:shape>
            </w:pict>
          </mc:Fallback>
        </mc:AlternateContent>
      </w:r>
    </w:p>
    <w:p w14:paraId="4CB6F48D">
      <w:pPr>
        <w:pStyle w:val="3"/>
        <w:keepNext w:val="0"/>
        <w:keepLines w:val="0"/>
        <w:pageBreakBefore w:val="0"/>
        <w:spacing w:before="300" w:after="200" w:line="288" w:lineRule="auto"/>
        <w:jc w:val="center"/>
        <w:outlineLvl w:val="0"/>
        <w:rPr>
          <w:color w:val="auto"/>
        </w:rPr>
      </w:pPr>
      <w:r>
        <w:rPr>
          <w:rFonts w:ascii="黑体" w:hAnsi="黑体" w:eastAsia="黑体" w:cs="黑体"/>
          <w:b/>
          <w:color w:val="auto"/>
          <w:sz w:val="44"/>
        </w:rPr>
        <w:t>目 录</w:t>
      </w:r>
    </w:p>
    <w:p w14:paraId="4DB3519E">
      <w:pPr>
        <w:spacing w:before="60" w:after="60" w:line="288" w:lineRule="auto"/>
        <w:jc w:val="both"/>
        <w:rPr>
          <w:color w:val="auto"/>
        </w:rPr>
      </w:pPr>
      <w:r>
        <w:rPr>
          <w:rFonts w:ascii="宋体" w:hAnsi="宋体" w:eastAsia="宋体" w:cs="宋体"/>
          <w:color w:val="auto"/>
          <w:sz w:val="24"/>
        </w:rPr>
        <w:t>1 总则</w:t>
      </w:r>
    </w:p>
    <w:p w14:paraId="170D712A">
      <w:pPr>
        <w:spacing w:before="60" w:after="60" w:line="288" w:lineRule="auto"/>
        <w:jc w:val="both"/>
        <w:rPr>
          <w:color w:val="auto"/>
        </w:rPr>
      </w:pPr>
      <w:r>
        <w:rPr>
          <w:rFonts w:ascii="宋体" w:hAnsi="宋体" w:eastAsia="宋体" w:cs="宋体"/>
          <w:color w:val="auto"/>
          <w:sz w:val="24"/>
        </w:rPr>
        <w:t>2 供货范围</w:t>
      </w:r>
    </w:p>
    <w:p w14:paraId="47E4D311">
      <w:pPr>
        <w:spacing w:before="60" w:after="60" w:line="288" w:lineRule="auto"/>
        <w:jc w:val="both"/>
        <w:rPr>
          <w:color w:val="auto"/>
        </w:rPr>
      </w:pPr>
      <w:r>
        <w:rPr>
          <w:rFonts w:ascii="宋体" w:hAnsi="宋体" w:eastAsia="宋体" w:cs="宋体"/>
          <w:color w:val="auto"/>
          <w:sz w:val="24"/>
        </w:rPr>
        <w:t>3 应遵循的主要标准</w:t>
      </w:r>
    </w:p>
    <w:p w14:paraId="19A0AEAA">
      <w:pPr>
        <w:spacing w:before="60" w:after="60" w:line="288" w:lineRule="auto"/>
        <w:jc w:val="both"/>
        <w:rPr>
          <w:color w:val="auto"/>
        </w:rPr>
      </w:pPr>
      <w:r>
        <w:rPr>
          <w:rFonts w:ascii="宋体" w:hAnsi="宋体" w:eastAsia="宋体" w:cs="宋体"/>
          <w:color w:val="auto"/>
          <w:sz w:val="24"/>
        </w:rPr>
        <w:t>4 使用条件</w:t>
      </w:r>
    </w:p>
    <w:p w14:paraId="38D94DFC">
      <w:pPr>
        <w:spacing w:before="60" w:after="60" w:line="288" w:lineRule="auto"/>
        <w:jc w:val="both"/>
        <w:rPr>
          <w:color w:val="auto"/>
        </w:rPr>
      </w:pPr>
      <w:r>
        <w:rPr>
          <w:rFonts w:ascii="宋体" w:hAnsi="宋体" w:eastAsia="宋体" w:cs="宋体"/>
          <w:color w:val="auto"/>
          <w:sz w:val="24"/>
        </w:rPr>
        <w:t>5 技术要求</w:t>
      </w:r>
      <w:r>
        <w:rPr>
          <w:rFonts w:ascii="Segoe UI Emoji" w:hAnsi="Segoe UI Emoji" w:eastAsia="Segoe UI Emoji" w:cs="Segoe UI Emoji"/>
          <w:color w:val="auto"/>
          <w:sz w:val="24"/>
        </w:rPr>
        <w:t>★</w:t>
      </w:r>
    </w:p>
    <w:p w14:paraId="15917E82">
      <w:pPr>
        <w:spacing w:before="60" w:after="60" w:line="288" w:lineRule="auto"/>
        <w:ind w:left="480"/>
        <w:jc w:val="both"/>
        <w:rPr>
          <w:color w:val="auto"/>
        </w:rPr>
      </w:pPr>
      <w:r>
        <w:rPr>
          <w:rFonts w:ascii="宋体" w:hAnsi="宋体" w:eastAsia="宋体" w:cs="宋体"/>
          <w:color w:val="auto"/>
          <w:sz w:val="24"/>
        </w:rPr>
        <w:t>5.1 一般要求</w:t>
      </w:r>
    </w:p>
    <w:p w14:paraId="5DCBD5C6">
      <w:pPr>
        <w:spacing w:before="60" w:after="60" w:line="288" w:lineRule="auto"/>
        <w:ind w:left="480"/>
        <w:jc w:val="both"/>
        <w:rPr>
          <w:color w:val="auto"/>
        </w:rPr>
      </w:pPr>
      <w:r>
        <w:rPr>
          <w:rFonts w:ascii="宋体" w:hAnsi="宋体" w:eastAsia="宋体" w:cs="宋体"/>
          <w:color w:val="auto"/>
          <w:sz w:val="24"/>
        </w:rPr>
        <w:t>5.2 结构与分类</w:t>
      </w:r>
    </w:p>
    <w:p w14:paraId="4651AB0B">
      <w:pPr>
        <w:spacing w:before="60" w:after="60" w:line="288" w:lineRule="auto"/>
        <w:ind w:left="480"/>
        <w:jc w:val="both"/>
        <w:rPr>
          <w:color w:val="auto"/>
        </w:rPr>
      </w:pPr>
      <w:r>
        <w:rPr>
          <w:rFonts w:ascii="宋体" w:hAnsi="宋体" w:eastAsia="宋体" w:cs="宋体"/>
          <w:color w:val="auto"/>
          <w:sz w:val="24"/>
        </w:rPr>
        <w:t>5.3 材料要求</w:t>
      </w:r>
    </w:p>
    <w:p w14:paraId="7DABAEEC">
      <w:pPr>
        <w:spacing w:before="60" w:after="60" w:line="288" w:lineRule="auto"/>
        <w:ind w:left="480"/>
        <w:jc w:val="both"/>
        <w:rPr>
          <w:color w:val="auto"/>
        </w:rPr>
      </w:pPr>
      <w:r>
        <w:rPr>
          <w:rFonts w:ascii="宋体" w:hAnsi="宋体" w:eastAsia="宋体" w:cs="宋体"/>
          <w:color w:val="auto"/>
          <w:sz w:val="24"/>
        </w:rPr>
        <w:t>5.4 各类材质围栏专项技术要求</w:t>
      </w:r>
    </w:p>
    <w:p w14:paraId="0E72C114">
      <w:pPr>
        <w:spacing w:before="60" w:after="60" w:line="288" w:lineRule="auto"/>
        <w:ind w:left="480"/>
        <w:jc w:val="both"/>
        <w:rPr>
          <w:color w:val="auto"/>
        </w:rPr>
      </w:pPr>
      <w:r>
        <w:rPr>
          <w:rFonts w:ascii="宋体" w:hAnsi="宋体" w:eastAsia="宋体" w:cs="宋体"/>
          <w:color w:val="auto"/>
          <w:sz w:val="24"/>
        </w:rPr>
        <w:t>5.5 尺寸及公差要求</w:t>
      </w:r>
    </w:p>
    <w:p w14:paraId="2980B659">
      <w:pPr>
        <w:spacing w:before="60" w:after="60" w:line="288" w:lineRule="auto"/>
        <w:ind w:left="480"/>
        <w:jc w:val="both"/>
        <w:rPr>
          <w:color w:val="auto"/>
        </w:rPr>
      </w:pPr>
      <w:r>
        <w:rPr>
          <w:rFonts w:ascii="宋体" w:hAnsi="宋体" w:eastAsia="宋体" w:cs="宋体"/>
          <w:color w:val="auto"/>
          <w:sz w:val="24"/>
        </w:rPr>
        <w:t>5.6 力学性能要求</w:t>
      </w:r>
    </w:p>
    <w:p w14:paraId="5058AC3E">
      <w:pPr>
        <w:spacing w:before="60" w:after="60" w:line="288" w:lineRule="auto"/>
        <w:ind w:left="480"/>
        <w:jc w:val="both"/>
        <w:rPr>
          <w:color w:val="auto"/>
        </w:rPr>
      </w:pPr>
      <w:r>
        <w:rPr>
          <w:rFonts w:ascii="宋体" w:hAnsi="宋体" w:eastAsia="宋体" w:cs="宋体"/>
          <w:color w:val="auto"/>
          <w:sz w:val="24"/>
        </w:rPr>
        <w:t>5.7 外观质量</w:t>
      </w:r>
    </w:p>
    <w:p w14:paraId="4E5FD2AB">
      <w:pPr>
        <w:spacing w:before="60" w:after="60" w:line="288" w:lineRule="auto"/>
        <w:ind w:left="480"/>
        <w:jc w:val="both"/>
        <w:rPr>
          <w:color w:val="auto"/>
        </w:rPr>
      </w:pPr>
      <w:r>
        <w:rPr>
          <w:rFonts w:ascii="宋体" w:hAnsi="宋体" w:eastAsia="宋体" w:cs="宋体"/>
          <w:color w:val="auto"/>
          <w:sz w:val="24"/>
        </w:rPr>
        <w:t>5.8 耐腐蚀性能</w:t>
      </w:r>
    </w:p>
    <w:p w14:paraId="7AAFF2F5">
      <w:pPr>
        <w:spacing w:before="60" w:after="60" w:line="288" w:lineRule="auto"/>
        <w:ind w:left="480"/>
        <w:jc w:val="both"/>
        <w:rPr>
          <w:color w:val="auto"/>
        </w:rPr>
      </w:pPr>
      <w:r>
        <w:rPr>
          <w:rFonts w:ascii="宋体" w:hAnsi="宋体" w:eastAsia="宋体" w:cs="宋体"/>
          <w:color w:val="auto"/>
          <w:sz w:val="24"/>
        </w:rPr>
        <w:t>5.9 电气安全要求</w:t>
      </w:r>
    </w:p>
    <w:p w14:paraId="0D721FAA">
      <w:pPr>
        <w:spacing w:before="60" w:after="60" w:line="288" w:lineRule="auto"/>
        <w:ind w:left="480"/>
        <w:jc w:val="both"/>
        <w:rPr>
          <w:color w:val="auto"/>
        </w:rPr>
      </w:pPr>
      <w:r>
        <w:rPr>
          <w:rFonts w:ascii="宋体" w:hAnsi="宋体" w:eastAsia="宋体" w:cs="宋体"/>
          <w:color w:val="auto"/>
          <w:sz w:val="24"/>
        </w:rPr>
        <w:t>5.10 标识要求</w:t>
      </w:r>
    </w:p>
    <w:p w14:paraId="063A6523">
      <w:pPr>
        <w:spacing w:before="60" w:after="60" w:line="288" w:lineRule="auto"/>
        <w:jc w:val="both"/>
        <w:rPr>
          <w:color w:val="auto"/>
        </w:rPr>
      </w:pPr>
      <w:r>
        <w:rPr>
          <w:rFonts w:ascii="宋体" w:hAnsi="宋体" w:eastAsia="宋体" w:cs="宋体"/>
          <w:color w:val="auto"/>
          <w:sz w:val="24"/>
        </w:rPr>
        <w:t>6 验收与检查</w:t>
      </w:r>
    </w:p>
    <w:p w14:paraId="3E288140">
      <w:pPr>
        <w:spacing w:before="60" w:after="60" w:line="288" w:lineRule="auto"/>
        <w:jc w:val="both"/>
        <w:rPr>
          <w:color w:val="auto"/>
        </w:rPr>
      </w:pPr>
      <w:r>
        <w:rPr>
          <w:rFonts w:ascii="宋体" w:hAnsi="宋体" w:eastAsia="宋体" w:cs="宋体"/>
          <w:color w:val="auto"/>
          <w:sz w:val="24"/>
        </w:rPr>
        <w:t>7 包装和运输</w:t>
      </w:r>
    </w:p>
    <w:p w14:paraId="7F93C400">
      <w:pPr>
        <w:spacing w:before="60" w:after="60" w:line="288" w:lineRule="auto"/>
        <w:jc w:val="both"/>
        <w:rPr>
          <w:color w:val="auto"/>
        </w:rPr>
      </w:pPr>
      <w:r>
        <w:rPr>
          <w:rFonts w:ascii="宋体" w:hAnsi="宋体" w:eastAsia="宋体" w:cs="宋体"/>
          <w:color w:val="auto"/>
          <w:sz w:val="24"/>
        </w:rPr>
        <w:t>8 技术文件</w:t>
      </w:r>
    </w:p>
    <w:p w14:paraId="1185BC5C">
      <w:pPr>
        <w:spacing w:before="60" w:after="60" w:line="288" w:lineRule="auto"/>
        <w:jc w:val="both"/>
        <w:rPr>
          <w:color w:val="auto"/>
        </w:rPr>
      </w:pPr>
      <w:r>
        <w:rPr>
          <w:rFonts w:ascii="宋体" w:hAnsi="宋体" w:eastAsia="宋体" w:cs="宋体"/>
          <w:color w:val="auto"/>
          <w:sz w:val="24"/>
        </w:rPr>
        <w:t>9 培训及售后服务</w:t>
      </w:r>
    </w:p>
    <w:p w14:paraId="055EC26F">
      <w:pPr>
        <w:spacing w:before="60" w:after="60" w:line="288" w:lineRule="auto"/>
        <w:jc w:val="both"/>
        <w:rPr>
          <w:color w:val="auto"/>
        </w:rPr>
      </w:pPr>
      <w:r>
        <w:rPr>
          <w:rFonts w:ascii="宋体" w:hAnsi="宋体" w:eastAsia="宋体" w:cs="宋体"/>
          <w:color w:val="auto"/>
          <w:sz w:val="24"/>
        </w:rPr>
        <w:t>10 技术差异表</w:t>
      </w:r>
    </w:p>
    <w:p w14:paraId="02580B4D">
      <w:pPr>
        <w:spacing w:before="60" w:after="60" w:line="288" w:lineRule="auto"/>
        <w:jc w:val="both"/>
        <w:rPr>
          <w:color w:val="auto"/>
        </w:rPr>
      </w:pPr>
      <w:r>
        <w:rPr>
          <w:rFonts w:ascii="宋体" w:hAnsi="宋体" w:eastAsia="宋体" w:cs="宋体"/>
          <w:color w:val="auto"/>
          <w:sz w:val="24"/>
        </w:rPr>
        <w:t>11 投标方需说明的其他问题</w:t>
      </w:r>
    </w:p>
    <w:p w14:paraId="205F2C2D">
      <w:pPr>
        <w:spacing w:line="288" w:lineRule="auto"/>
        <w:rPr>
          <w:color w:val="auto"/>
        </w:rPr>
      </w:pPr>
    </w:p>
    <w:p w14:paraId="6AE749D0">
      <w:pPr>
        <w:pStyle w:val="20"/>
        <w:rPr>
          <w:color w:val="auto"/>
        </w:rPr>
      </w:pPr>
    </w:p>
    <w:p w14:paraId="155213D6">
      <w:pPr>
        <w:pStyle w:val="21"/>
        <w:rPr>
          <w:color w:val="auto"/>
        </w:rPr>
      </w:pPr>
    </w:p>
    <w:p w14:paraId="57EF5A07">
      <w:pPr>
        <w:rPr>
          <w:color w:val="auto"/>
        </w:rPr>
      </w:pPr>
    </w:p>
    <w:p w14:paraId="6E222A04">
      <w:pPr>
        <w:pStyle w:val="3"/>
        <w:keepNext w:val="0"/>
        <w:keepLines w:val="0"/>
        <w:pageBreakBefore w:val="0"/>
        <w:spacing w:before="300" w:after="200" w:line="288" w:lineRule="auto"/>
        <w:jc w:val="center"/>
        <w:outlineLvl w:val="0"/>
        <w:rPr>
          <w:color w:val="auto"/>
        </w:rPr>
      </w:pPr>
      <w:r>
        <w:rPr>
          <w:rFonts w:ascii="黑体" w:hAnsi="黑体" w:eastAsia="黑体" w:cs="黑体"/>
          <w:b/>
          <w:color w:val="auto"/>
          <w:sz w:val="44"/>
        </w:rPr>
        <w:t>1 总则</w:t>
      </w:r>
    </w:p>
    <w:p w14:paraId="603506FD">
      <w:pPr>
        <w:spacing w:before="60" w:after="60" w:line="288" w:lineRule="auto"/>
        <w:ind w:firstLine="480"/>
        <w:jc w:val="both"/>
        <w:rPr>
          <w:color w:val="auto"/>
        </w:rPr>
      </w:pPr>
      <w:r>
        <w:rPr>
          <w:rFonts w:ascii="宋体" w:hAnsi="宋体" w:eastAsia="宋体" w:cs="宋体"/>
          <w:color w:val="auto"/>
          <w:sz w:val="24"/>
        </w:rPr>
        <w:t>1.1 本技术规范书适用于南网商城安全工器具专区的围栏物资，它提出了该物资的功能设计、结构、性能、验收与试验、包装和运输等方面的技术要求。本技术规范书涵盖不锈钢围栏、玻璃钢（FRP）围栏及PVC围栏等中国境内电力行业广泛使用的围栏类型。</w:t>
      </w:r>
    </w:p>
    <w:p w14:paraId="62985D17">
      <w:pPr>
        <w:spacing w:before="60" w:after="60" w:line="288" w:lineRule="auto"/>
        <w:ind w:firstLine="480"/>
        <w:jc w:val="both"/>
        <w:rPr>
          <w:color w:val="auto"/>
        </w:rPr>
      </w:pPr>
      <w:r>
        <w:rPr>
          <w:rFonts w:ascii="宋体" w:hAnsi="宋体" w:eastAsia="宋体" w:cs="宋体"/>
          <w:color w:val="auto"/>
          <w:sz w:val="24"/>
        </w:rPr>
        <w:t>1.2 本技术规范书提出的是最低限度的技术要求，并未对一切技术细节做出规定，也未充分引述有关标准和规范的条文，凡本技术规范书中未规定，但在相关物资的行业标准、国家标准或IEC标准中有规定的规范条文，投标方应按相应标准的条文进行设计、制造、试验和安装。对国家有关安全、环保等强制性标准，必须满足其要求。</w:t>
      </w:r>
    </w:p>
    <w:p w14:paraId="58F40750">
      <w:pPr>
        <w:spacing w:before="60" w:after="60" w:line="288" w:lineRule="auto"/>
        <w:ind w:firstLine="480"/>
        <w:jc w:val="both"/>
        <w:rPr>
          <w:color w:val="auto"/>
        </w:rPr>
      </w:pPr>
      <w:r>
        <w:rPr>
          <w:rFonts w:ascii="宋体" w:hAnsi="宋体" w:eastAsia="宋体" w:cs="宋体"/>
          <w:color w:val="auto"/>
          <w:sz w:val="24"/>
        </w:rPr>
        <w:t>1.3 如果投标方没有以书面形式对本技术规范书的条文提出异议，则意味着投标方提供的物资完全符合本技术规范书的要求。如有任何异议，都应在技术投标文件中以"对招标技术文件的意见和同招标技术文件的差异"为标题的专门章节中加以详细描述。</w:t>
      </w:r>
    </w:p>
    <w:p w14:paraId="7E801E77">
      <w:pPr>
        <w:spacing w:before="60" w:after="60" w:line="288" w:lineRule="auto"/>
        <w:ind w:firstLine="480"/>
        <w:jc w:val="both"/>
        <w:rPr>
          <w:color w:val="auto"/>
        </w:rPr>
      </w:pPr>
      <w:r>
        <w:rPr>
          <w:rFonts w:ascii="宋体" w:hAnsi="宋体" w:eastAsia="宋体" w:cs="宋体"/>
          <w:color w:val="auto"/>
          <w:sz w:val="24"/>
        </w:rPr>
        <w:t>1.4 本技术规范书所使用的标准如遇与投标方所执行的标准不一致时，按较高标准执行。</w:t>
      </w:r>
    </w:p>
    <w:p w14:paraId="71102F38">
      <w:pPr>
        <w:spacing w:before="60" w:after="60" w:line="288" w:lineRule="auto"/>
        <w:ind w:firstLine="480"/>
        <w:jc w:val="both"/>
        <w:rPr>
          <w:color w:val="auto"/>
        </w:rPr>
      </w:pPr>
      <w:r>
        <w:rPr>
          <w:rFonts w:ascii="宋体" w:hAnsi="宋体" w:eastAsia="宋体" w:cs="宋体"/>
          <w:color w:val="auto"/>
          <w:sz w:val="24"/>
        </w:rPr>
        <w:t>1.5 本技术规范书经招标方、中标方双方确认后作为订货合同的技术附件，与合同正文具有同等的法律效力。</w:t>
      </w:r>
    </w:p>
    <w:p w14:paraId="76AA6E87">
      <w:pPr>
        <w:spacing w:before="60" w:after="60" w:line="288" w:lineRule="auto"/>
        <w:ind w:firstLine="480"/>
        <w:jc w:val="both"/>
        <w:rPr>
          <w:color w:val="auto"/>
        </w:rPr>
      </w:pPr>
      <w:r>
        <w:rPr>
          <w:rFonts w:ascii="宋体" w:hAnsi="宋体" w:eastAsia="宋体" w:cs="宋体"/>
          <w:color w:val="auto"/>
          <w:sz w:val="24"/>
        </w:rPr>
        <w:t>1.6 投标方在应标技术文件中应如实反映应标产品与本技术规范书的技术差异。如果投标方没有提出技术差异，而在执行合同的过程中，招标方发现投标方提供的产品与其应标的技术规范书的条文存在差异，招标方有权终止合同或退货，根据严重程度对投标方后续的投标有不同程度的影响。</w:t>
      </w:r>
    </w:p>
    <w:p w14:paraId="7828BC10">
      <w:pPr>
        <w:spacing w:before="60" w:after="60" w:line="288" w:lineRule="auto"/>
        <w:ind w:firstLine="480"/>
        <w:jc w:val="both"/>
        <w:rPr>
          <w:color w:val="auto"/>
        </w:rPr>
      </w:pPr>
      <w:r>
        <w:rPr>
          <w:rFonts w:ascii="宋体" w:hAnsi="宋体" w:eastAsia="宋体" w:cs="宋体"/>
          <w:color w:val="auto"/>
          <w:sz w:val="24"/>
        </w:rPr>
        <w:t>1.7 投标方应按本技术规范书的要求在应标技术部分如实详细地填写应标物资的标准配置表，并在应标价格部分按此标准配置进行报价，如发现二者有矛盾之处，将以报价表的配置为准。</w:t>
      </w:r>
    </w:p>
    <w:p w14:paraId="5670E4C8">
      <w:pPr>
        <w:spacing w:before="60" w:after="60" w:line="288" w:lineRule="auto"/>
        <w:ind w:firstLine="480"/>
        <w:jc w:val="both"/>
        <w:rPr>
          <w:color w:val="auto"/>
        </w:rPr>
      </w:pPr>
      <w:r>
        <w:rPr>
          <w:rFonts w:ascii="宋体" w:hAnsi="宋体" w:eastAsia="宋体" w:cs="宋体"/>
          <w:color w:val="auto"/>
          <w:sz w:val="24"/>
        </w:rPr>
        <w:t>1.8 投标方应充分理解本技术规范书，并按本技术规范书的具体条款、格式要求填写应标的技术文件，如发现应标的技术文件条款、格式不符合本技术规范书的要求，则认为应标不严肃，在评标时将有不同程度的扣分。</w:t>
      </w:r>
    </w:p>
    <w:p w14:paraId="1703B59E">
      <w:pPr>
        <w:spacing w:before="60" w:after="60" w:line="288" w:lineRule="auto"/>
        <w:ind w:firstLine="480"/>
        <w:jc w:val="both"/>
        <w:rPr>
          <w:color w:val="auto"/>
        </w:rPr>
      </w:pPr>
      <w:r>
        <w:rPr>
          <w:rFonts w:ascii="宋体" w:hAnsi="宋体" w:eastAsia="宋体" w:cs="宋体"/>
          <w:color w:val="auto"/>
          <w:sz w:val="24"/>
        </w:rPr>
        <w:t>1.9 本技术规范书未尽事宜，由招标方、中标方双方协商确定。</w:t>
      </w:r>
    </w:p>
    <w:p w14:paraId="5B6B77FD">
      <w:pPr>
        <w:spacing w:before="60" w:after="60" w:line="288" w:lineRule="auto"/>
        <w:ind w:firstLine="480"/>
        <w:jc w:val="both"/>
        <w:rPr>
          <w:color w:val="auto"/>
        </w:rPr>
      </w:pPr>
      <w:r>
        <w:rPr>
          <w:rFonts w:ascii="宋体" w:hAnsi="宋体" w:eastAsia="宋体" w:cs="宋体"/>
          <w:color w:val="auto"/>
          <w:sz w:val="24"/>
        </w:rPr>
        <w:t>1.10 标注"</w:t>
      </w:r>
      <w:r>
        <w:rPr>
          <w:rFonts w:ascii="Segoe UI Emoji" w:hAnsi="Segoe UI Emoji" w:eastAsia="Segoe UI Emoji" w:cs="Segoe UI Emoji"/>
          <w:b/>
          <w:color w:val="auto"/>
          <w:sz w:val="24"/>
        </w:rPr>
        <w:t>★</w:t>
      </w:r>
      <w:r>
        <w:rPr>
          <w:rFonts w:ascii="宋体" w:hAnsi="宋体" w:eastAsia="宋体" w:cs="宋体"/>
          <w:color w:val="auto"/>
          <w:sz w:val="24"/>
        </w:rPr>
        <w:t>"的条款为关键条款，作为评标时打分的重点参考。</w:t>
      </w:r>
    </w:p>
    <w:p w14:paraId="3A8FA45C">
      <w:pPr>
        <w:spacing w:line="288" w:lineRule="auto"/>
        <w:rPr>
          <w:color w:val="auto"/>
        </w:rPr>
      </w:pPr>
    </w:p>
    <w:p w14:paraId="3B6E196E">
      <w:pPr>
        <w:pStyle w:val="3"/>
        <w:keepNext w:val="0"/>
        <w:keepLines w:val="0"/>
        <w:pageBreakBefore w:val="0"/>
        <w:spacing w:before="300" w:after="200" w:line="288" w:lineRule="auto"/>
        <w:jc w:val="center"/>
        <w:outlineLvl w:val="0"/>
        <w:rPr>
          <w:color w:val="auto"/>
        </w:rPr>
      </w:pPr>
      <w:r>
        <w:rPr>
          <w:rFonts w:ascii="黑体" w:hAnsi="黑体" w:eastAsia="黑体" w:cs="黑体"/>
          <w:b/>
          <w:color w:val="auto"/>
          <w:sz w:val="44"/>
        </w:rPr>
        <w:t>2 供货范围</w:t>
      </w:r>
    </w:p>
    <w:p w14:paraId="25360771">
      <w:pPr>
        <w:spacing w:before="60" w:after="60" w:line="288" w:lineRule="auto"/>
        <w:ind w:firstLine="480"/>
        <w:jc w:val="both"/>
        <w:rPr>
          <w:color w:val="auto"/>
        </w:rPr>
      </w:pPr>
      <w:r>
        <w:rPr>
          <w:rFonts w:ascii="宋体" w:hAnsi="宋体" w:eastAsia="宋体" w:cs="宋体"/>
          <w:color w:val="auto"/>
          <w:sz w:val="24"/>
        </w:rPr>
        <w:t>2.1 中标方应按本技术规范书的要求提供全新的、合格的以及必要的备品备件（如有）、专用工具（如有）。</w:t>
      </w:r>
    </w:p>
    <w:p w14:paraId="1B4D9DF7">
      <w:pPr>
        <w:spacing w:before="60" w:after="60" w:line="288" w:lineRule="auto"/>
        <w:ind w:firstLine="480"/>
        <w:jc w:val="both"/>
        <w:rPr>
          <w:color w:val="auto"/>
        </w:rPr>
      </w:pPr>
      <w:r>
        <w:rPr>
          <w:rFonts w:ascii="宋体" w:hAnsi="宋体" w:eastAsia="宋体" w:cs="宋体"/>
          <w:color w:val="auto"/>
          <w:sz w:val="24"/>
        </w:rPr>
        <w:t>2.2 中标方所提供的组件或附件如需向第三方外购时，外购的组件或附件由中标方向招标方负责，并提供相应出厂和验收证明。</w:t>
      </w:r>
    </w:p>
    <w:p w14:paraId="3129ED02">
      <w:pPr>
        <w:spacing w:before="60" w:after="60" w:line="288" w:lineRule="auto"/>
        <w:ind w:firstLine="480"/>
        <w:jc w:val="both"/>
        <w:rPr>
          <w:color w:val="auto"/>
        </w:rPr>
      </w:pPr>
      <w:r>
        <w:rPr>
          <w:rFonts w:ascii="宋体" w:hAnsi="宋体" w:eastAsia="宋体" w:cs="宋体"/>
          <w:color w:val="auto"/>
          <w:sz w:val="24"/>
        </w:rPr>
        <w:t>2.3 供货范围一览表</w:t>
      </w:r>
    </w:p>
    <w:p w14:paraId="01B229E2">
      <w:pPr>
        <w:spacing w:before="60" w:after="60" w:line="288" w:lineRule="auto"/>
        <w:ind w:firstLine="480"/>
        <w:jc w:val="both"/>
        <w:rPr>
          <w:color w:val="auto"/>
        </w:rPr>
      </w:pPr>
      <w:r>
        <w:rPr>
          <w:rFonts w:ascii="宋体" w:hAnsi="宋体" w:eastAsia="宋体" w:cs="宋体"/>
          <w:color w:val="auto"/>
          <w:sz w:val="24"/>
        </w:rPr>
        <w:t>中标方应确保供货范围完整，对于属于本次供货物资正常使用所必需的部件（含备品、专用工具等），即使本供货范围未列出或数目不足，中标方仍须在执行合同时补足。中标方提供的具体规格见表2.1。</w:t>
      </w:r>
    </w:p>
    <w:p w14:paraId="2DB541BA">
      <w:pPr>
        <w:spacing w:before="60" w:after="60" w:line="288" w:lineRule="auto"/>
        <w:jc w:val="both"/>
        <w:rPr>
          <w:color w:val="auto"/>
        </w:rPr>
      </w:pPr>
      <w:r>
        <w:rPr>
          <w:rFonts w:ascii="宋体" w:hAnsi="宋体" w:eastAsia="宋体" w:cs="宋体"/>
          <w:b/>
          <w:color w:val="auto"/>
          <w:sz w:val="24"/>
        </w:rPr>
        <w:t>表2.1 供货范围及需求一览表</w:t>
      </w:r>
    </w:p>
    <w:tbl>
      <w:tblPr>
        <w:tblStyle w:val="34"/>
        <w:tblW w:w="86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0"/>
        <w:gridCol w:w="1080"/>
        <w:gridCol w:w="1080"/>
        <w:gridCol w:w="1080"/>
        <w:gridCol w:w="1080"/>
        <w:gridCol w:w="1080"/>
        <w:gridCol w:w="1080"/>
        <w:gridCol w:w="1080"/>
      </w:tblGrid>
      <w:tr w14:paraId="0D3A1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8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579B0D0D">
            <w:pPr>
              <w:spacing w:line="288" w:lineRule="auto"/>
              <w:jc w:val="center"/>
              <w:rPr>
                <w:color w:val="auto"/>
              </w:rPr>
            </w:pPr>
            <w:r>
              <w:rPr>
                <w:rFonts w:ascii="黑体" w:hAnsi="黑体" w:eastAsia="黑体" w:cs="黑体"/>
                <w:b/>
                <w:color w:val="auto"/>
                <w:sz w:val="21"/>
                <w:shd w:val="clear" w:color="auto" w:fill="E8E8E8"/>
              </w:rPr>
              <w:t>序号</w:t>
            </w:r>
          </w:p>
        </w:tc>
        <w:tc>
          <w:tcPr>
            <w:tcW w:w="108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24623846">
            <w:pPr>
              <w:spacing w:line="288" w:lineRule="auto"/>
              <w:jc w:val="center"/>
              <w:rPr>
                <w:color w:val="auto"/>
              </w:rPr>
            </w:pPr>
            <w:r>
              <w:rPr>
                <w:rFonts w:ascii="黑体" w:hAnsi="黑体" w:eastAsia="黑体" w:cs="黑体"/>
                <w:b/>
                <w:color w:val="auto"/>
                <w:sz w:val="21"/>
                <w:shd w:val="clear" w:color="auto" w:fill="E8E8E8"/>
              </w:rPr>
              <w:t>物资编码</w:t>
            </w:r>
          </w:p>
        </w:tc>
        <w:tc>
          <w:tcPr>
            <w:tcW w:w="108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1FE3865E">
            <w:pPr>
              <w:spacing w:line="288" w:lineRule="auto"/>
              <w:jc w:val="center"/>
              <w:rPr>
                <w:color w:val="auto"/>
              </w:rPr>
            </w:pPr>
            <w:r>
              <w:rPr>
                <w:rFonts w:ascii="黑体" w:hAnsi="黑体" w:eastAsia="黑体" w:cs="黑体"/>
                <w:b/>
                <w:color w:val="auto"/>
                <w:sz w:val="21"/>
                <w:shd w:val="clear" w:color="auto" w:fill="E8E8E8"/>
              </w:rPr>
              <w:t>物资名称</w:t>
            </w:r>
          </w:p>
        </w:tc>
        <w:tc>
          <w:tcPr>
            <w:tcW w:w="108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21C3DE8A">
            <w:pPr>
              <w:spacing w:line="288" w:lineRule="auto"/>
              <w:jc w:val="center"/>
              <w:rPr>
                <w:color w:val="auto"/>
              </w:rPr>
            </w:pPr>
            <w:r>
              <w:rPr>
                <w:rFonts w:ascii="黑体" w:hAnsi="黑体" w:eastAsia="黑体" w:cs="黑体"/>
                <w:b/>
                <w:color w:val="auto"/>
                <w:sz w:val="21"/>
                <w:shd w:val="clear" w:color="auto" w:fill="E8E8E8"/>
              </w:rPr>
              <w:t>规格型号</w:t>
            </w:r>
          </w:p>
        </w:tc>
        <w:tc>
          <w:tcPr>
            <w:tcW w:w="108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44310FE5">
            <w:pPr>
              <w:spacing w:line="288" w:lineRule="auto"/>
              <w:jc w:val="center"/>
              <w:rPr>
                <w:color w:val="auto"/>
              </w:rPr>
            </w:pPr>
            <w:r>
              <w:rPr>
                <w:rFonts w:ascii="黑体" w:hAnsi="黑体" w:eastAsia="黑体" w:cs="黑体"/>
                <w:b/>
                <w:color w:val="auto"/>
                <w:sz w:val="21"/>
                <w:shd w:val="clear" w:color="auto" w:fill="E8E8E8"/>
              </w:rPr>
              <w:t>单位</w:t>
            </w:r>
          </w:p>
        </w:tc>
        <w:tc>
          <w:tcPr>
            <w:tcW w:w="108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678D0353">
            <w:pPr>
              <w:spacing w:line="288" w:lineRule="auto"/>
              <w:jc w:val="center"/>
              <w:rPr>
                <w:color w:val="auto"/>
              </w:rPr>
            </w:pPr>
            <w:r>
              <w:rPr>
                <w:rFonts w:ascii="黑体" w:hAnsi="黑体" w:eastAsia="黑体" w:cs="黑体"/>
                <w:b/>
                <w:color w:val="auto"/>
                <w:sz w:val="21"/>
                <w:shd w:val="clear" w:color="auto" w:fill="E8E8E8"/>
              </w:rPr>
              <w:t>数量</w:t>
            </w:r>
          </w:p>
        </w:tc>
        <w:tc>
          <w:tcPr>
            <w:tcW w:w="108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6EFDC51D">
            <w:pPr>
              <w:spacing w:line="288" w:lineRule="auto"/>
              <w:jc w:val="center"/>
              <w:rPr>
                <w:color w:val="auto"/>
              </w:rPr>
            </w:pPr>
            <w:r>
              <w:rPr>
                <w:rFonts w:ascii="黑体" w:hAnsi="黑体" w:eastAsia="黑体" w:cs="黑体"/>
                <w:b/>
                <w:color w:val="auto"/>
                <w:sz w:val="21"/>
                <w:shd w:val="clear" w:color="auto" w:fill="E8E8E8"/>
              </w:rPr>
              <w:t>是否提供样品</w:t>
            </w:r>
          </w:p>
        </w:tc>
        <w:tc>
          <w:tcPr>
            <w:tcW w:w="108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6A41BC97">
            <w:pPr>
              <w:spacing w:line="288" w:lineRule="auto"/>
              <w:jc w:val="center"/>
              <w:rPr>
                <w:color w:val="auto"/>
              </w:rPr>
            </w:pPr>
            <w:r>
              <w:rPr>
                <w:rFonts w:ascii="黑体" w:hAnsi="黑体" w:eastAsia="黑体" w:cs="黑体"/>
                <w:b/>
                <w:color w:val="auto"/>
                <w:sz w:val="21"/>
                <w:shd w:val="clear" w:color="auto" w:fill="E8E8E8"/>
              </w:rPr>
              <w:t>备注</w:t>
            </w:r>
          </w:p>
        </w:tc>
      </w:tr>
      <w:tr w14:paraId="600D1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0A9C786">
            <w:pPr>
              <w:spacing w:line="288" w:lineRule="auto"/>
              <w:jc w:val="center"/>
              <w:rPr>
                <w:color w:val="auto"/>
              </w:rPr>
            </w:pPr>
            <w:r>
              <w:rPr>
                <w:rFonts w:ascii="宋体" w:hAnsi="宋体" w:eastAsia="宋体" w:cs="宋体"/>
                <w:color w:val="auto"/>
                <w:sz w:val="21"/>
              </w:rPr>
              <w:t>1</w:t>
            </w:r>
          </w:p>
        </w:tc>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227AB2D">
            <w:pPr>
              <w:spacing w:line="288" w:lineRule="auto"/>
              <w:jc w:val="center"/>
              <w:rPr>
                <w:color w:val="auto"/>
              </w:rPr>
            </w:pPr>
          </w:p>
        </w:tc>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0C57299E">
            <w:pPr>
              <w:spacing w:line="288" w:lineRule="auto"/>
              <w:jc w:val="center"/>
              <w:rPr>
                <w:color w:val="auto"/>
              </w:rPr>
            </w:pPr>
            <w:r>
              <w:rPr>
                <w:rFonts w:ascii="宋体" w:hAnsi="宋体" w:eastAsia="宋体" w:cs="宋体"/>
                <w:color w:val="auto"/>
                <w:sz w:val="21"/>
              </w:rPr>
              <w:t>围栏</w:t>
            </w:r>
          </w:p>
        </w:tc>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0278ACC">
            <w:pPr>
              <w:spacing w:line="288" w:lineRule="auto"/>
              <w:jc w:val="center"/>
              <w:rPr>
                <w:color w:val="auto"/>
              </w:rPr>
            </w:pPr>
            <w:r>
              <w:rPr>
                <w:rFonts w:ascii="宋体" w:hAnsi="宋体" w:eastAsia="宋体" w:cs="宋体"/>
                <w:color w:val="auto"/>
                <w:sz w:val="21"/>
              </w:rPr>
              <w:t>详见技术要求</w:t>
            </w:r>
          </w:p>
        </w:tc>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2622E1F">
            <w:pPr>
              <w:spacing w:line="288" w:lineRule="auto"/>
              <w:jc w:val="center"/>
              <w:rPr>
                <w:color w:val="auto"/>
              </w:rPr>
            </w:pPr>
            <w:r>
              <w:rPr>
                <w:rFonts w:ascii="宋体" w:hAnsi="宋体" w:eastAsia="宋体" w:cs="宋体"/>
                <w:color w:val="auto"/>
                <w:sz w:val="21"/>
              </w:rPr>
              <w:t>套</w:t>
            </w:r>
          </w:p>
        </w:tc>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AB95F5B">
            <w:pPr>
              <w:spacing w:line="288" w:lineRule="auto"/>
              <w:jc w:val="center"/>
              <w:rPr>
                <w:rFonts w:hint="eastAsia" w:eastAsia="微软雅黑"/>
                <w:color w:val="auto"/>
                <w:lang w:eastAsia="zh-CN"/>
              </w:rPr>
            </w:pPr>
            <w:r>
              <w:rPr>
                <w:rFonts w:hint="eastAsia" w:ascii="宋体" w:hAnsi="宋体" w:eastAsia="宋体" w:cs="宋体"/>
                <w:color w:val="auto"/>
                <w:sz w:val="21"/>
                <w:lang w:val="en-US" w:eastAsia="zh-CN"/>
              </w:rPr>
              <w:t>3</w:t>
            </w:r>
          </w:p>
        </w:tc>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9256317">
            <w:pPr>
              <w:spacing w:line="288" w:lineRule="auto"/>
              <w:jc w:val="center"/>
              <w:rPr>
                <w:color w:val="auto"/>
              </w:rPr>
            </w:pPr>
            <w:r>
              <w:rPr>
                <w:rFonts w:ascii="宋体" w:hAnsi="宋体" w:eastAsia="宋体" w:cs="宋体"/>
                <w:color w:val="auto"/>
                <w:sz w:val="21"/>
              </w:rPr>
              <w:t>是</w:t>
            </w:r>
          </w:p>
        </w:tc>
        <w:tc>
          <w:tcPr>
            <w:tcW w:w="108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95DC240">
            <w:pPr>
              <w:spacing w:line="288" w:lineRule="auto"/>
              <w:jc w:val="center"/>
              <w:rPr>
                <w:color w:val="auto"/>
              </w:rPr>
            </w:pPr>
            <w:r>
              <w:rPr>
                <w:rFonts w:hint="eastAsia" w:ascii="宋体" w:hAnsi="宋体"/>
                <w:b w:val="0"/>
                <w:bCs w:val="0"/>
                <w:color w:val="auto"/>
                <w:kern w:val="21"/>
                <w:sz w:val="21"/>
                <w:szCs w:val="21"/>
                <w:lang w:val="en-US" w:eastAsia="zh-CN"/>
              </w:rPr>
              <w:t>中标方负责现场安装</w:t>
            </w:r>
          </w:p>
        </w:tc>
      </w:tr>
    </w:tbl>
    <w:p w14:paraId="4336CEAE">
      <w:pPr>
        <w:spacing w:before="60" w:after="60" w:line="288" w:lineRule="auto"/>
        <w:ind w:firstLine="480"/>
        <w:jc w:val="both"/>
        <w:rPr>
          <w:color w:val="auto"/>
        </w:rPr>
      </w:pPr>
      <w:r>
        <w:rPr>
          <w:rFonts w:ascii="宋体" w:hAnsi="宋体" w:eastAsia="宋体" w:cs="宋体"/>
          <w:color w:val="auto"/>
          <w:sz w:val="24"/>
        </w:rPr>
        <w:t>2.4 物资配置表</w:t>
      </w:r>
    </w:p>
    <w:p w14:paraId="2F4AD090">
      <w:pPr>
        <w:spacing w:before="60" w:after="60" w:line="288" w:lineRule="auto"/>
        <w:ind w:firstLine="480"/>
        <w:jc w:val="both"/>
        <w:rPr>
          <w:color w:val="auto"/>
        </w:rPr>
      </w:pPr>
      <w:r>
        <w:rPr>
          <w:rFonts w:ascii="宋体" w:hAnsi="宋体" w:eastAsia="宋体" w:cs="宋体"/>
          <w:color w:val="auto"/>
          <w:sz w:val="24"/>
        </w:rPr>
        <w:t>物资配置见表2.2。</w:t>
      </w:r>
      <w:bookmarkStart w:id="0" w:name="_GoBack"/>
      <w:bookmarkEnd w:id="0"/>
    </w:p>
    <w:p w14:paraId="5E2F5515">
      <w:pPr>
        <w:spacing w:before="60" w:after="60" w:line="288" w:lineRule="auto"/>
        <w:jc w:val="both"/>
        <w:rPr>
          <w:color w:val="auto"/>
        </w:rPr>
      </w:pPr>
      <w:r>
        <w:rPr>
          <w:rFonts w:ascii="宋体" w:hAnsi="宋体" w:eastAsia="宋体" w:cs="宋体"/>
          <w:b/>
          <w:color w:val="auto"/>
          <w:sz w:val="24"/>
        </w:rPr>
        <w:t>表2.2 物资配置一览表</w:t>
      </w:r>
    </w:p>
    <w:tbl>
      <w:tblPr>
        <w:tblStyle w:val="34"/>
        <w:tblW w:w="86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0"/>
        <w:gridCol w:w="900"/>
        <w:gridCol w:w="900"/>
        <w:gridCol w:w="900"/>
        <w:gridCol w:w="900"/>
        <w:gridCol w:w="900"/>
        <w:gridCol w:w="900"/>
        <w:gridCol w:w="900"/>
        <w:gridCol w:w="900"/>
        <w:gridCol w:w="540"/>
      </w:tblGrid>
      <w:tr w14:paraId="32F6E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54FC27EA">
            <w:pPr>
              <w:spacing w:line="288" w:lineRule="auto"/>
              <w:jc w:val="center"/>
              <w:rPr>
                <w:color w:val="auto"/>
              </w:rPr>
            </w:pPr>
            <w:r>
              <w:rPr>
                <w:rFonts w:ascii="黑体" w:hAnsi="黑体" w:eastAsia="黑体" w:cs="黑体"/>
                <w:b/>
                <w:color w:val="auto"/>
                <w:sz w:val="21"/>
                <w:shd w:val="clear" w:color="auto" w:fill="E8E8E8"/>
              </w:rPr>
              <w:t>序号</w:t>
            </w:r>
          </w:p>
        </w:tc>
        <w:tc>
          <w:tcPr>
            <w:tcW w:w="90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40B96A1D">
            <w:pPr>
              <w:spacing w:line="288" w:lineRule="auto"/>
              <w:jc w:val="center"/>
              <w:rPr>
                <w:color w:val="auto"/>
              </w:rPr>
            </w:pPr>
            <w:r>
              <w:rPr>
                <w:rFonts w:ascii="黑体" w:hAnsi="黑体" w:eastAsia="黑体" w:cs="黑体"/>
                <w:b/>
                <w:color w:val="auto"/>
                <w:sz w:val="21"/>
                <w:shd w:val="clear" w:color="auto" w:fill="E8E8E8"/>
              </w:rPr>
              <w:t>物资编码</w:t>
            </w:r>
          </w:p>
        </w:tc>
        <w:tc>
          <w:tcPr>
            <w:tcW w:w="90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0BBA66C3">
            <w:pPr>
              <w:spacing w:line="288" w:lineRule="auto"/>
              <w:jc w:val="center"/>
              <w:rPr>
                <w:color w:val="auto"/>
              </w:rPr>
            </w:pPr>
            <w:r>
              <w:rPr>
                <w:rFonts w:ascii="黑体" w:hAnsi="黑体" w:eastAsia="黑体" w:cs="黑体"/>
                <w:b/>
                <w:color w:val="auto"/>
                <w:sz w:val="21"/>
                <w:shd w:val="clear" w:color="auto" w:fill="E8E8E8"/>
              </w:rPr>
              <w:t>物资名称</w:t>
            </w:r>
          </w:p>
        </w:tc>
        <w:tc>
          <w:tcPr>
            <w:tcW w:w="90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1AD81290">
            <w:pPr>
              <w:spacing w:line="288" w:lineRule="auto"/>
              <w:jc w:val="center"/>
              <w:rPr>
                <w:color w:val="auto"/>
              </w:rPr>
            </w:pPr>
            <w:r>
              <w:rPr>
                <w:rFonts w:ascii="黑体" w:hAnsi="黑体" w:eastAsia="黑体" w:cs="黑体"/>
                <w:b/>
                <w:color w:val="auto"/>
                <w:sz w:val="21"/>
                <w:shd w:val="clear" w:color="auto" w:fill="E8E8E8"/>
              </w:rPr>
              <w:t>规格型号</w:t>
            </w:r>
          </w:p>
        </w:tc>
        <w:tc>
          <w:tcPr>
            <w:tcW w:w="90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512F8676">
            <w:pPr>
              <w:spacing w:line="288" w:lineRule="auto"/>
              <w:jc w:val="center"/>
              <w:rPr>
                <w:color w:val="auto"/>
              </w:rPr>
            </w:pPr>
            <w:r>
              <w:rPr>
                <w:rFonts w:ascii="黑体" w:hAnsi="黑体" w:eastAsia="黑体" w:cs="黑体"/>
                <w:b/>
                <w:color w:val="auto"/>
                <w:sz w:val="21"/>
                <w:shd w:val="clear" w:color="auto" w:fill="E8E8E8"/>
              </w:rPr>
              <w:t>序号</w:t>
            </w:r>
          </w:p>
        </w:tc>
        <w:tc>
          <w:tcPr>
            <w:tcW w:w="90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2F816B4D">
            <w:pPr>
              <w:spacing w:line="288" w:lineRule="auto"/>
              <w:jc w:val="center"/>
              <w:rPr>
                <w:color w:val="auto"/>
              </w:rPr>
            </w:pPr>
            <w:r>
              <w:rPr>
                <w:rFonts w:ascii="黑体" w:hAnsi="黑体" w:eastAsia="黑体" w:cs="黑体"/>
                <w:b/>
                <w:color w:val="auto"/>
                <w:sz w:val="21"/>
                <w:shd w:val="clear" w:color="auto" w:fill="E8E8E8"/>
              </w:rPr>
              <w:t>配件编码</w:t>
            </w:r>
          </w:p>
        </w:tc>
        <w:tc>
          <w:tcPr>
            <w:tcW w:w="90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10FFB246">
            <w:pPr>
              <w:spacing w:line="288" w:lineRule="auto"/>
              <w:jc w:val="center"/>
              <w:rPr>
                <w:color w:val="auto"/>
              </w:rPr>
            </w:pPr>
            <w:r>
              <w:rPr>
                <w:rFonts w:ascii="黑体" w:hAnsi="黑体" w:eastAsia="黑体" w:cs="黑体"/>
                <w:b/>
                <w:color w:val="auto"/>
                <w:sz w:val="21"/>
                <w:shd w:val="clear" w:color="auto" w:fill="E8E8E8"/>
              </w:rPr>
              <w:t>配件名称</w:t>
            </w:r>
          </w:p>
        </w:tc>
        <w:tc>
          <w:tcPr>
            <w:tcW w:w="90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6E89690A">
            <w:pPr>
              <w:spacing w:line="288" w:lineRule="auto"/>
              <w:jc w:val="center"/>
              <w:rPr>
                <w:color w:val="auto"/>
              </w:rPr>
            </w:pPr>
            <w:r>
              <w:rPr>
                <w:rFonts w:ascii="黑体" w:hAnsi="黑体" w:eastAsia="黑体" w:cs="黑体"/>
                <w:b/>
                <w:color w:val="auto"/>
                <w:sz w:val="21"/>
                <w:shd w:val="clear" w:color="auto" w:fill="E8E8E8"/>
              </w:rPr>
              <w:t>规格型号</w:t>
            </w:r>
          </w:p>
        </w:tc>
        <w:tc>
          <w:tcPr>
            <w:tcW w:w="90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640D659E">
            <w:pPr>
              <w:spacing w:line="288" w:lineRule="auto"/>
              <w:jc w:val="center"/>
              <w:rPr>
                <w:color w:val="auto"/>
              </w:rPr>
            </w:pPr>
            <w:r>
              <w:rPr>
                <w:rFonts w:ascii="黑体" w:hAnsi="黑体" w:eastAsia="黑体" w:cs="黑体"/>
                <w:b/>
                <w:color w:val="auto"/>
                <w:sz w:val="21"/>
                <w:shd w:val="clear" w:color="auto" w:fill="E8E8E8"/>
              </w:rPr>
              <w:t>单位</w:t>
            </w:r>
          </w:p>
        </w:tc>
        <w:tc>
          <w:tcPr>
            <w:tcW w:w="540"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6C03D48C">
            <w:pPr>
              <w:spacing w:line="288" w:lineRule="auto"/>
              <w:jc w:val="center"/>
              <w:rPr>
                <w:color w:val="auto"/>
              </w:rPr>
            </w:pPr>
            <w:r>
              <w:rPr>
                <w:rFonts w:ascii="黑体" w:hAnsi="黑体" w:eastAsia="黑体" w:cs="黑体"/>
                <w:b/>
                <w:color w:val="auto"/>
                <w:sz w:val="21"/>
                <w:shd w:val="clear" w:color="auto" w:fill="E8E8E8"/>
              </w:rPr>
              <w:t>数量</w:t>
            </w:r>
          </w:p>
        </w:tc>
      </w:tr>
      <w:tr w14:paraId="36C08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48CBB56">
            <w:pPr>
              <w:spacing w:line="288" w:lineRule="auto"/>
              <w:jc w:val="center"/>
              <w:rPr>
                <w:color w:val="auto"/>
              </w:rPr>
            </w:pPr>
            <w:r>
              <w:rPr>
                <w:rFonts w:ascii="宋体" w:hAnsi="宋体" w:eastAsia="宋体" w:cs="宋体"/>
                <w:color w:val="auto"/>
                <w:sz w:val="21"/>
              </w:rPr>
              <w:t>1</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BEA2E37">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59B43D8">
            <w:pPr>
              <w:spacing w:line="288" w:lineRule="auto"/>
              <w:jc w:val="center"/>
              <w:rPr>
                <w:color w:val="auto"/>
              </w:rPr>
            </w:pPr>
            <w:r>
              <w:rPr>
                <w:rFonts w:ascii="宋体" w:hAnsi="宋体" w:eastAsia="宋体" w:cs="宋体"/>
                <w:color w:val="auto"/>
                <w:sz w:val="21"/>
              </w:rPr>
              <w:t>围栏</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90C9601">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0D6AA0A">
            <w:pPr>
              <w:spacing w:line="288" w:lineRule="auto"/>
              <w:jc w:val="center"/>
              <w:rPr>
                <w:color w:val="auto"/>
              </w:rPr>
            </w:pPr>
            <w:r>
              <w:rPr>
                <w:rFonts w:ascii="宋体" w:hAnsi="宋体" w:eastAsia="宋体" w:cs="宋体"/>
                <w:color w:val="auto"/>
                <w:sz w:val="21"/>
              </w:rPr>
              <w:t>1</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CC330B8">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02EF889B">
            <w:pPr>
              <w:spacing w:line="288" w:lineRule="auto"/>
              <w:jc w:val="center"/>
              <w:rPr>
                <w:color w:val="auto"/>
              </w:rPr>
            </w:pPr>
            <w:r>
              <w:rPr>
                <w:rFonts w:ascii="宋体" w:hAnsi="宋体" w:eastAsia="宋体" w:cs="宋体"/>
                <w:color w:val="auto"/>
                <w:sz w:val="21"/>
              </w:rPr>
              <w:t>围栏立柱</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EE23281">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921DAF4">
            <w:pPr>
              <w:spacing w:line="288" w:lineRule="auto"/>
              <w:jc w:val="center"/>
              <w:rPr>
                <w:color w:val="auto"/>
              </w:rPr>
            </w:pPr>
            <w:r>
              <w:rPr>
                <w:rFonts w:ascii="宋体" w:hAnsi="宋体" w:eastAsia="宋体" w:cs="宋体"/>
                <w:color w:val="auto"/>
                <w:sz w:val="21"/>
              </w:rPr>
              <w:t>根</w:t>
            </w:r>
          </w:p>
        </w:tc>
        <w:tc>
          <w:tcPr>
            <w:tcW w:w="54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D0D1E59">
            <w:pPr>
              <w:spacing w:line="288" w:lineRule="auto"/>
              <w:jc w:val="center"/>
              <w:rPr>
                <w:color w:val="auto"/>
              </w:rPr>
            </w:pPr>
            <w:r>
              <w:rPr>
                <w:rFonts w:ascii="宋体" w:hAnsi="宋体" w:eastAsia="宋体" w:cs="宋体"/>
                <w:color w:val="auto"/>
                <w:sz w:val="21"/>
              </w:rPr>
              <w:t>按需</w:t>
            </w:r>
          </w:p>
        </w:tc>
      </w:tr>
      <w:tr w14:paraId="3A6FE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98AEB47">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AE052E4">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AD38A35">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0626B92">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76D7AE2">
            <w:pPr>
              <w:spacing w:line="288" w:lineRule="auto"/>
              <w:jc w:val="center"/>
              <w:rPr>
                <w:color w:val="auto"/>
              </w:rPr>
            </w:pPr>
            <w:r>
              <w:rPr>
                <w:rFonts w:ascii="宋体" w:hAnsi="宋体" w:eastAsia="宋体" w:cs="宋体"/>
                <w:color w:val="auto"/>
                <w:sz w:val="21"/>
              </w:rPr>
              <w:t>2</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FC3D79C">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C94A52C">
            <w:pPr>
              <w:spacing w:line="288" w:lineRule="auto"/>
              <w:jc w:val="center"/>
              <w:rPr>
                <w:color w:val="auto"/>
              </w:rPr>
            </w:pPr>
            <w:r>
              <w:rPr>
                <w:rFonts w:ascii="宋体" w:hAnsi="宋体" w:eastAsia="宋体" w:cs="宋体"/>
                <w:color w:val="auto"/>
                <w:sz w:val="21"/>
              </w:rPr>
              <w:t>围栏横杆</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6F1CCE6">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A2DEC65">
            <w:pPr>
              <w:spacing w:line="288" w:lineRule="auto"/>
              <w:jc w:val="center"/>
              <w:rPr>
                <w:color w:val="auto"/>
              </w:rPr>
            </w:pPr>
            <w:r>
              <w:rPr>
                <w:rFonts w:ascii="宋体" w:hAnsi="宋体" w:eastAsia="宋体" w:cs="宋体"/>
                <w:color w:val="auto"/>
                <w:sz w:val="21"/>
              </w:rPr>
              <w:t>根</w:t>
            </w:r>
          </w:p>
        </w:tc>
        <w:tc>
          <w:tcPr>
            <w:tcW w:w="54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8D18A19">
            <w:pPr>
              <w:spacing w:line="288" w:lineRule="auto"/>
              <w:jc w:val="center"/>
              <w:rPr>
                <w:color w:val="auto"/>
              </w:rPr>
            </w:pPr>
            <w:r>
              <w:rPr>
                <w:rFonts w:ascii="宋体" w:hAnsi="宋体" w:eastAsia="宋体" w:cs="宋体"/>
                <w:color w:val="auto"/>
                <w:sz w:val="21"/>
              </w:rPr>
              <w:t>按需</w:t>
            </w:r>
          </w:p>
        </w:tc>
      </w:tr>
      <w:tr w14:paraId="37587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8F603A9">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3F8296B">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A7836B9">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0174576">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1DD3612">
            <w:pPr>
              <w:spacing w:line="288" w:lineRule="auto"/>
              <w:jc w:val="center"/>
              <w:rPr>
                <w:color w:val="auto"/>
              </w:rPr>
            </w:pPr>
            <w:r>
              <w:rPr>
                <w:rFonts w:ascii="宋体" w:hAnsi="宋体" w:eastAsia="宋体" w:cs="宋体"/>
                <w:color w:val="auto"/>
                <w:sz w:val="21"/>
              </w:rPr>
              <w:t>3</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469163C">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F9B7352">
            <w:pPr>
              <w:spacing w:line="288" w:lineRule="auto"/>
              <w:jc w:val="center"/>
              <w:rPr>
                <w:color w:val="auto"/>
              </w:rPr>
            </w:pPr>
            <w:r>
              <w:rPr>
                <w:rFonts w:ascii="宋体" w:hAnsi="宋体" w:eastAsia="宋体" w:cs="宋体"/>
                <w:color w:val="auto"/>
                <w:sz w:val="21"/>
              </w:rPr>
              <w:t>围栏栏片</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DA6B29D">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91AB356">
            <w:pPr>
              <w:spacing w:line="288" w:lineRule="auto"/>
              <w:jc w:val="center"/>
              <w:rPr>
                <w:color w:val="auto"/>
              </w:rPr>
            </w:pPr>
            <w:r>
              <w:rPr>
                <w:rFonts w:ascii="宋体" w:hAnsi="宋体" w:eastAsia="宋体" w:cs="宋体"/>
                <w:color w:val="auto"/>
                <w:sz w:val="21"/>
              </w:rPr>
              <w:t>片</w:t>
            </w:r>
          </w:p>
        </w:tc>
        <w:tc>
          <w:tcPr>
            <w:tcW w:w="54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512651F">
            <w:pPr>
              <w:spacing w:line="288" w:lineRule="auto"/>
              <w:jc w:val="center"/>
              <w:rPr>
                <w:color w:val="auto"/>
              </w:rPr>
            </w:pPr>
            <w:r>
              <w:rPr>
                <w:rFonts w:ascii="宋体" w:hAnsi="宋体" w:eastAsia="宋体" w:cs="宋体"/>
                <w:color w:val="auto"/>
                <w:sz w:val="21"/>
              </w:rPr>
              <w:t>按需</w:t>
            </w:r>
          </w:p>
        </w:tc>
      </w:tr>
      <w:tr w14:paraId="3D3B4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58D6515">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2F0ACDC">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BB8A2F7">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6908C32">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BAC8DA3">
            <w:pPr>
              <w:spacing w:line="288" w:lineRule="auto"/>
              <w:jc w:val="center"/>
              <w:rPr>
                <w:color w:val="auto"/>
              </w:rPr>
            </w:pPr>
            <w:r>
              <w:rPr>
                <w:rFonts w:ascii="宋体" w:hAnsi="宋体" w:eastAsia="宋体" w:cs="宋体"/>
                <w:color w:val="auto"/>
                <w:sz w:val="21"/>
              </w:rPr>
              <w:t>4</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9836508">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EE8B56D">
            <w:pPr>
              <w:spacing w:line="288" w:lineRule="auto"/>
              <w:jc w:val="center"/>
              <w:rPr>
                <w:color w:val="auto"/>
              </w:rPr>
            </w:pPr>
            <w:r>
              <w:rPr>
                <w:rFonts w:ascii="宋体" w:hAnsi="宋体" w:eastAsia="宋体" w:cs="宋体"/>
                <w:color w:val="auto"/>
                <w:sz w:val="21"/>
              </w:rPr>
              <w:t>底座/膨胀螺栓/基础预埋件</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FC1E0EC">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BA6303E">
            <w:pPr>
              <w:spacing w:line="288" w:lineRule="auto"/>
              <w:jc w:val="center"/>
              <w:rPr>
                <w:color w:val="auto"/>
              </w:rPr>
            </w:pPr>
            <w:r>
              <w:rPr>
                <w:rFonts w:ascii="宋体" w:hAnsi="宋体" w:eastAsia="宋体" w:cs="宋体"/>
                <w:color w:val="auto"/>
                <w:sz w:val="21"/>
              </w:rPr>
              <w:t>套</w:t>
            </w:r>
          </w:p>
        </w:tc>
        <w:tc>
          <w:tcPr>
            <w:tcW w:w="54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1BE5144">
            <w:pPr>
              <w:spacing w:line="288" w:lineRule="auto"/>
              <w:jc w:val="center"/>
              <w:rPr>
                <w:color w:val="auto"/>
              </w:rPr>
            </w:pPr>
            <w:r>
              <w:rPr>
                <w:rFonts w:ascii="宋体" w:hAnsi="宋体" w:eastAsia="宋体" w:cs="宋体"/>
                <w:color w:val="auto"/>
                <w:sz w:val="21"/>
              </w:rPr>
              <w:t>按需</w:t>
            </w:r>
          </w:p>
        </w:tc>
      </w:tr>
      <w:tr w14:paraId="0C626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02EF044A">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A4DB429">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DCABE21">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6466794">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632AAFF">
            <w:pPr>
              <w:spacing w:line="288" w:lineRule="auto"/>
              <w:jc w:val="center"/>
              <w:rPr>
                <w:color w:val="auto"/>
              </w:rPr>
            </w:pPr>
            <w:r>
              <w:rPr>
                <w:rFonts w:ascii="宋体" w:hAnsi="宋体" w:eastAsia="宋体" w:cs="宋体"/>
                <w:color w:val="auto"/>
                <w:sz w:val="21"/>
              </w:rPr>
              <w:t>5</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BDF1624">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337D5E0">
            <w:pPr>
              <w:spacing w:line="288" w:lineRule="auto"/>
              <w:jc w:val="center"/>
              <w:rPr>
                <w:color w:val="auto"/>
              </w:rPr>
            </w:pPr>
            <w:r>
              <w:rPr>
                <w:rFonts w:ascii="宋体" w:hAnsi="宋体" w:eastAsia="宋体" w:cs="宋体"/>
                <w:color w:val="auto"/>
                <w:sz w:val="21"/>
              </w:rPr>
              <w:t>连接紧固件</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6F25BD2">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1A8BE46">
            <w:pPr>
              <w:spacing w:line="288" w:lineRule="auto"/>
              <w:jc w:val="center"/>
              <w:rPr>
                <w:color w:val="auto"/>
              </w:rPr>
            </w:pPr>
            <w:r>
              <w:rPr>
                <w:rFonts w:ascii="宋体" w:hAnsi="宋体" w:eastAsia="宋体" w:cs="宋体"/>
                <w:color w:val="auto"/>
                <w:sz w:val="21"/>
              </w:rPr>
              <w:t>套</w:t>
            </w:r>
          </w:p>
        </w:tc>
        <w:tc>
          <w:tcPr>
            <w:tcW w:w="54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5098A7F">
            <w:pPr>
              <w:spacing w:line="288" w:lineRule="auto"/>
              <w:jc w:val="center"/>
              <w:rPr>
                <w:color w:val="auto"/>
              </w:rPr>
            </w:pPr>
            <w:r>
              <w:rPr>
                <w:rFonts w:ascii="宋体" w:hAnsi="宋体" w:eastAsia="宋体" w:cs="宋体"/>
                <w:color w:val="auto"/>
                <w:sz w:val="21"/>
              </w:rPr>
              <w:t>按需</w:t>
            </w:r>
          </w:p>
        </w:tc>
      </w:tr>
      <w:tr w14:paraId="3BECF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5E4F5A1">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7824D9E">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4AE4731">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82A6807">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672A3F0">
            <w:pPr>
              <w:spacing w:line="288" w:lineRule="auto"/>
              <w:jc w:val="center"/>
              <w:rPr>
                <w:color w:val="auto"/>
              </w:rPr>
            </w:pPr>
            <w:r>
              <w:rPr>
                <w:rFonts w:ascii="宋体" w:hAnsi="宋体" w:eastAsia="宋体" w:cs="宋体"/>
                <w:color w:val="auto"/>
                <w:sz w:val="21"/>
              </w:rPr>
              <w:t>6</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082E0501">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C67F393">
            <w:pPr>
              <w:spacing w:line="288" w:lineRule="auto"/>
              <w:jc w:val="center"/>
              <w:rPr>
                <w:color w:val="auto"/>
              </w:rPr>
            </w:pPr>
            <w:r>
              <w:rPr>
                <w:rFonts w:ascii="宋体" w:hAnsi="宋体" w:eastAsia="宋体" w:cs="宋体"/>
                <w:color w:val="auto"/>
                <w:sz w:val="21"/>
              </w:rPr>
              <w:t>安全警示标识牌</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C008A4B">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C2A7E99">
            <w:pPr>
              <w:spacing w:line="288" w:lineRule="auto"/>
              <w:jc w:val="center"/>
              <w:rPr>
                <w:color w:val="auto"/>
              </w:rPr>
            </w:pPr>
            <w:r>
              <w:rPr>
                <w:rFonts w:ascii="宋体" w:hAnsi="宋体" w:eastAsia="宋体" w:cs="宋体"/>
                <w:color w:val="auto"/>
                <w:sz w:val="21"/>
              </w:rPr>
              <w:t>块</w:t>
            </w:r>
          </w:p>
        </w:tc>
        <w:tc>
          <w:tcPr>
            <w:tcW w:w="54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6560B7F">
            <w:pPr>
              <w:spacing w:line="288" w:lineRule="auto"/>
              <w:jc w:val="center"/>
              <w:rPr>
                <w:color w:val="auto"/>
              </w:rPr>
            </w:pPr>
            <w:r>
              <w:rPr>
                <w:rFonts w:ascii="宋体" w:hAnsi="宋体" w:eastAsia="宋体" w:cs="宋体"/>
                <w:color w:val="auto"/>
                <w:sz w:val="21"/>
              </w:rPr>
              <w:t>按需</w:t>
            </w:r>
          </w:p>
        </w:tc>
      </w:tr>
      <w:tr w14:paraId="547F7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BA3B6EF">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3F84E4E">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032B265E">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30D27D7">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31A6115">
            <w:pPr>
              <w:spacing w:line="288" w:lineRule="auto"/>
              <w:jc w:val="center"/>
              <w:rPr>
                <w:color w:val="auto"/>
              </w:rPr>
            </w:pPr>
            <w:r>
              <w:rPr>
                <w:rFonts w:ascii="宋体" w:hAnsi="宋体" w:eastAsia="宋体" w:cs="宋体"/>
                <w:color w:val="auto"/>
                <w:sz w:val="21"/>
              </w:rPr>
              <w:t>7</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29CE96A">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6C02B4E">
            <w:pPr>
              <w:spacing w:line="288" w:lineRule="auto"/>
              <w:jc w:val="center"/>
              <w:rPr>
                <w:color w:val="auto"/>
              </w:rPr>
            </w:pPr>
            <w:r>
              <w:rPr>
                <w:rFonts w:ascii="宋体" w:hAnsi="宋体" w:eastAsia="宋体" w:cs="宋体"/>
                <w:color w:val="auto"/>
                <w:sz w:val="21"/>
              </w:rPr>
              <w:t>接地附件（如适用）</w:t>
            </w: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B96C192">
            <w:pPr>
              <w:spacing w:line="288" w:lineRule="auto"/>
              <w:jc w:val="center"/>
              <w:rPr>
                <w:color w:val="auto"/>
              </w:rPr>
            </w:pPr>
          </w:p>
        </w:tc>
        <w:tc>
          <w:tcPr>
            <w:tcW w:w="90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019C0C3">
            <w:pPr>
              <w:spacing w:line="288" w:lineRule="auto"/>
              <w:jc w:val="center"/>
              <w:rPr>
                <w:color w:val="auto"/>
              </w:rPr>
            </w:pPr>
            <w:r>
              <w:rPr>
                <w:rFonts w:ascii="宋体" w:hAnsi="宋体" w:eastAsia="宋体" w:cs="宋体"/>
                <w:color w:val="auto"/>
                <w:sz w:val="21"/>
              </w:rPr>
              <w:t>套</w:t>
            </w:r>
          </w:p>
        </w:tc>
        <w:tc>
          <w:tcPr>
            <w:tcW w:w="540"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8F061FA">
            <w:pPr>
              <w:spacing w:line="288" w:lineRule="auto"/>
              <w:jc w:val="center"/>
              <w:rPr>
                <w:color w:val="auto"/>
              </w:rPr>
            </w:pPr>
            <w:r>
              <w:rPr>
                <w:rFonts w:ascii="宋体" w:hAnsi="宋体" w:eastAsia="宋体" w:cs="宋体"/>
                <w:color w:val="auto"/>
                <w:sz w:val="21"/>
              </w:rPr>
              <w:t>按需</w:t>
            </w:r>
          </w:p>
        </w:tc>
      </w:tr>
    </w:tbl>
    <w:p w14:paraId="39758FEE">
      <w:pPr>
        <w:spacing w:line="288" w:lineRule="auto"/>
        <w:rPr>
          <w:color w:val="auto"/>
        </w:rPr>
      </w:pPr>
    </w:p>
    <w:p w14:paraId="3139195F">
      <w:pPr>
        <w:pStyle w:val="3"/>
        <w:keepNext w:val="0"/>
        <w:keepLines w:val="0"/>
        <w:pageBreakBefore w:val="0"/>
        <w:spacing w:before="300" w:after="200" w:line="288" w:lineRule="auto"/>
        <w:jc w:val="center"/>
        <w:outlineLvl w:val="0"/>
        <w:rPr>
          <w:color w:val="auto"/>
        </w:rPr>
      </w:pPr>
      <w:r>
        <w:rPr>
          <w:rFonts w:ascii="黑体" w:hAnsi="黑体" w:eastAsia="黑体" w:cs="黑体"/>
          <w:b/>
          <w:color w:val="auto"/>
          <w:sz w:val="44"/>
        </w:rPr>
        <w:t>3 应遵循的主要标准</w:t>
      </w:r>
    </w:p>
    <w:p w14:paraId="36C495A8">
      <w:pPr>
        <w:spacing w:before="60" w:after="60" w:line="288" w:lineRule="auto"/>
        <w:ind w:firstLine="480"/>
        <w:jc w:val="both"/>
        <w:rPr>
          <w:color w:val="auto"/>
        </w:rPr>
      </w:pPr>
      <w:r>
        <w:rPr>
          <w:rFonts w:ascii="宋体" w:hAnsi="宋体" w:eastAsia="宋体" w:cs="宋体"/>
          <w:color w:val="auto"/>
          <w:sz w:val="24"/>
        </w:rPr>
        <w:t>除本标书特殊规定外，投标方所提供的物资均按规定的标准和规程的最新版本进行设计、制造。如果这些标准内容有矛盾时，应按最高标准的条款执行或按双方商定的标准执行。如果投标方选用本标书规定以外的标准时，则需提交这种替换标准供审查和分析。仅在投标方已证明替换标准相当或优于标书规定的标准，并从招标方处获得书面的认可才能使用。提交供审查的标准应为中文或英文版本。主要引用标准如下：</w:t>
      </w:r>
    </w:p>
    <w:p w14:paraId="60B45817">
      <w:pPr>
        <w:pStyle w:val="16"/>
        <w:numPr>
          <w:ilvl w:val="0"/>
          <w:numId w:val="7"/>
        </w:numPr>
        <w:spacing w:before="30" w:after="30" w:line="288" w:lineRule="auto"/>
        <w:ind w:left="980" w:hanging="360"/>
        <w:rPr>
          <w:color w:val="auto"/>
        </w:rPr>
      </w:pPr>
      <w:r>
        <w:rPr>
          <w:rFonts w:ascii="宋体" w:hAnsi="宋体" w:eastAsia="宋体" w:cs="宋体"/>
          <w:color w:val="auto"/>
          <w:sz w:val="24"/>
        </w:rPr>
        <w:t>DL/T 1743-2017 电力现场安全围栏技术规范</w:t>
      </w:r>
    </w:p>
    <w:p w14:paraId="65C78F04">
      <w:pPr>
        <w:pStyle w:val="16"/>
        <w:numPr>
          <w:ilvl w:val="0"/>
          <w:numId w:val="7"/>
        </w:numPr>
        <w:spacing w:before="30" w:after="30" w:line="288" w:lineRule="auto"/>
        <w:ind w:left="980" w:hanging="360"/>
        <w:rPr>
          <w:color w:val="auto"/>
        </w:rPr>
      </w:pPr>
      <w:r>
        <w:rPr>
          <w:rFonts w:ascii="宋体" w:hAnsi="宋体" w:eastAsia="宋体" w:cs="宋体"/>
          <w:color w:val="auto"/>
          <w:sz w:val="24"/>
        </w:rPr>
        <w:t>GB/T 3280-2015 不锈钢冷轧钢板和钢带</w:t>
      </w:r>
    </w:p>
    <w:p w14:paraId="161968ED">
      <w:pPr>
        <w:pStyle w:val="16"/>
        <w:numPr>
          <w:ilvl w:val="0"/>
          <w:numId w:val="7"/>
        </w:numPr>
        <w:spacing w:before="30" w:after="30" w:line="288" w:lineRule="auto"/>
        <w:ind w:left="980" w:hanging="360"/>
        <w:rPr>
          <w:color w:val="auto"/>
        </w:rPr>
      </w:pPr>
      <w:r>
        <w:rPr>
          <w:rFonts w:ascii="宋体" w:hAnsi="宋体" w:eastAsia="宋体" w:cs="宋体"/>
          <w:color w:val="auto"/>
          <w:sz w:val="24"/>
        </w:rPr>
        <w:t>GB/T 1220-2007 不锈钢棒</w:t>
      </w:r>
    </w:p>
    <w:p w14:paraId="4DA0BD56">
      <w:pPr>
        <w:pStyle w:val="16"/>
        <w:numPr>
          <w:ilvl w:val="0"/>
          <w:numId w:val="7"/>
        </w:numPr>
        <w:spacing w:before="30" w:after="30" w:line="288" w:lineRule="auto"/>
        <w:ind w:left="980" w:hanging="360"/>
        <w:rPr>
          <w:color w:val="auto"/>
        </w:rPr>
      </w:pPr>
      <w:r>
        <w:rPr>
          <w:rFonts w:ascii="宋体" w:hAnsi="宋体" w:eastAsia="宋体" w:cs="宋体"/>
          <w:color w:val="auto"/>
          <w:sz w:val="24"/>
        </w:rPr>
        <w:t>GB/T 3098.6-2014 紧固件机械性能 不锈钢螺栓、螺钉和螺柱</w:t>
      </w:r>
    </w:p>
    <w:p w14:paraId="6CDF6FD4">
      <w:pPr>
        <w:pStyle w:val="16"/>
        <w:numPr>
          <w:ilvl w:val="0"/>
          <w:numId w:val="7"/>
        </w:numPr>
        <w:spacing w:before="30" w:after="30" w:line="288" w:lineRule="auto"/>
        <w:ind w:left="980" w:hanging="360"/>
        <w:rPr>
          <w:color w:val="auto"/>
        </w:rPr>
      </w:pPr>
      <w:r>
        <w:rPr>
          <w:rFonts w:ascii="宋体" w:hAnsi="宋体" w:eastAsia="宋体" w:cs="宋体"/>
          <w:color w:val="auto"/>
          <w:sz w:val="24"/>
        </w:rPr>
        <w:t>GB/T 700-2006 碳素结构钢</w:t>
      </w:r>
    </w:p>
    <w:p w14:paraId="6002C8FD">
      <w:pPr>
        <w:pStyle w:val="16"/>
        <w:numPr>
          <w:ilvl w:val="0"/>
          <w:numId w:val="7"/>
        </w:numPr>
        <w:spacing w:before="30" w:after="30" w:line="288" w:lineRule="auto"/>
        <w:ind w:left="980" w:hanging="360"/>
        <w:rPr>
          <w:color w:val="auto"/>
        </w:rPr>
      </w:pPr>
      <w:r>
        <w:rPr>
          <w:rFonts w:ascii="宋体" w:hAnsi="宋体" w:eastAsia="宋体" w:cs="宋体"/>
          <w:color w:val="auto"/>
          <w:sz w:val="24"/>
        </w:rPr>
        <w:t>GB/T 1591-2018 低合金高强度结构钢</w:t>
      </w:r>
    </w:p>
    <w:p w14:paraId="004466EF">
      <w:pPr>
        <w:pStyle w:val="16"/>
        <w:numPr>
          <w:ilvl w:val="0"/>
          <w:numId w:val="7"/>
        </w:numPr>
        <w:spacing w:before="30" w:after="30" w:line="288" w:lineRule="auto"/>
        <w:ind w:left="980" w:hanging="360"/>
        <w:rPr>
          <w:color w:val="auto"/>
        </w:rPr>
      </w:pPr>
      <w:r>
        <w:rPr>
          <w:rFonts w:ascii="宋体" w:hAnsi="宋体" w:eastAsia="宋体" w:cs="宋体"/>
          <w:color w:val="auto"/>
          <w:sz w:val="24"/>
        </w:rPr>
        <w:t>GB/T 13912-2020 金属覆盖层 钢铁制件热浸镀锌层 技术要求及试验方法</w:t>
      </w:r>
    </w:p>
    <w:p w14:paraId="4E077154">
      <w:pPr>
        <w:pStyle w:val="16"/>
        <w:numPr>
          <w:ilvl w:val="0"/>
          <w:numId w:val="7"/>
        </w:numPr>
        <w:spacing w:before="30" w:after="30" w:line="288" w:lineRule="auto"/>
        <w:ind w:left="980" w:hanging="360"/>
        <w:rPr>
          <w:color w:val="auto"/>
        </w:rPr>
      </w:pPr>
      <w:r>
        <w:rPr>
          <w:rFonts w:ascii="宋体" w:hAnsi="宋体" w:eastAsia="宋体" w:cs="宋体"/>
          <w:color w:val="auto"/>
          <w:sz w:val="24"/>
        </w:rPr>
        <w:t>GB/T 2694-2018 输电线路铁塔制造技术条件</w:t>
      </w:r>
    </w:p>
    <w:p w14:paraId="5E119B26">
      <w:pPr>
        <w:pStyle w:val="16"/>
        <w:numPr>
          <w:ilvl w:val="0"/>
          <w:numId w:val="7"/>
        </w:numPr>
        <w:spacing w:before="30" w:after="30" w:line="288" w:lineRule="auto"/>
        <w:ind w:left="980" w:hanging="360"/>
        <w:rPr>
          <w:color w:val="auto"/>
        </w:rPr>
      </w:pPr>
      <w:r>
        <w:rPr>
          <w:rFonts w:ascii="宋体" w:hAnsi="宋体" w:eastAsia="宋体" w:cs="宋体"/>
          <w:color w:val="auto"/>
          <w:sz w:val="24"/>
        </w:rPr>
        <w:t>GB/T 10125-2012 人造气氛腐蚀试验 盐雾试验</w:t>
      </w:r>
    </w:p>
    <w:p w14:paraId="04F8CFD8">
      <w:pPr>
        <w:pStyle w:val="16"/>
        <w:numPr>
          <w:ilvl w:val="0"/>
          <w:numId w:val="7"/>
        </w:numPr>
        <w:spacing w:before="30" w:after="30" w:line="288" w:lineRule="auto"/>
        <w:ind w:left="980" w:hanging="360"/>
        <w:rPr>
          <w:color w:val="auto"/>
        </w:rPr>
      </w:pPr>
      <w:r>
        <w:rPr>
          <w:rFonts w:ascii="宋体" w:hAnsi="宋体" w:eastAsia="宋体" w:cs="宋体"/>
          <w:color w:val="auto"/>
          <w:sz w:val="24"/>
        </w:rPr>
        <w:t>GB 2893-2008 安全色</w:t>
      </w:r>
    </w:p>
    <w:p w14:paraId="0F140FA1">
      <w:pPr>
        <w:pStyle w:val="16"/>
        <w:numPr>
          <w:ilvl w:val="0"/>
          <w:numId w:val="7"/>
        </w:numPr>
        <w:spacing w:before="30" w:after="30" w:line="288" w:lineRule="auto"/>
        <w:ind w:left="980" w:hanging="360"/>
        <w:rPr>
          <w:color w:val="auto"/>
        </w:rPr>
      </w:pPr>
      <w:r>
        <w:rPr>
          <w:rFonts w:ascii="宋体" w:hAnsi="宋体" w:eastAsia="宋体" w:cs="宋体"/>
          <w:color w:val="auto"/>
          <w:sz w:val="24"/>
        </w:rPr>
        <w:t>GB 2894-2008 安全标志及其使用导则</w:t>
      </w:r>
    </w:p>
    <w:p w14:paraId="07C1F9B0">
      <w:pPr>
        <w:pStyle w:val="16"/>
        <w:numPr>
          <w:ilvl w:val="0"/>
          <w:numId w:val="7"/>
        </w:numPr>
        <w:spacing w:before="30" w:after="30" w:line="288" w:lineRule="auto"/>
        <w:ind w:left="980" w:hanging="360"/>
        <w:rPr>
          <w:color w:val="auto"/>
        </w:rPr>
      </w:pPr>
      <w:r>
        <w:rPr>
          <w:rFonts w:ascii="宋体" w:hAnsi="宋体" w:eastAsia="宋体" w:cs="宋体"/>
          <w:color w:val="auto"/>
          <w:sz w:val="24"/>
        </w:rPr>
        <w:t>GB 4053.3-2009 固定式钢梯及平台安全要求 第3部分：工业防护栏杆及钢平台</w:t>
      </w:r>
    </w:p>
    <w:p w14:paraId="2B8BE857">
      <w:pPr>
        <w:pStyle w:val="16"/>
        <w:numPr>
          <w:ilvl w:val="0"/>
          <w:numId w:val="7"/>
        </w:numPr>
        <w:spacing w:before="30" w:after="30" w:line="288" w:lineRule="auto"/>
        <w:ind w:left="980" w:hanging="360"/>
        <w:rPr>
          <w:color w:val="auto"/>
        </w:rPr>
      </w:pPr>
      <w:r>
        <w:rPr>
          <w:rFonts w:ascii="宋体" w:hAnsi="宋体" w:eastAsia="宋体" w:cs="宋体"/>
          <w:color w:val="auto"/>
          <w:sz w:val="24"/>
        </w:rPr>
        <w:t>GB/T 18370-2014 玻璃纤维无捻粗纱布</w:t>
      </w:r>
    </w:p>
    <w:p w14:paraId="16B14C31">
      <w:pPr>
        <w:pStyle w:val="16"/>
        <w:numPr>
          <w:ilvl w:val="0"/>
          <w:numId w:val="7"/>
        </w:numPr>
        <w:spacing w:before="30" w:after="30" w:line="288" w:lineRule="auto"/>
        <w:ind w:left="980" w:hanging="360"/>
        <w:rPr>
          <w:color w:val="auto"/>
        </w:rPr>
      </w:pPr>
      <w:r>
        <w:rPr>
          <w:rFonts w:ascii="宋体" w:hAnsi="宋体" w:eastAsia="宋体" w:cs="宋体"/>
          <w:color w:val="auto"/>
          <w:sz w:val="24"/>
        </w:rPr>
        <w:t>GB/T 1446-2005 纤维增强塑料性能试验方法总则</w:t>
      </w:r>
    </w:p>
    <w:p w14:paraId="34D6BE2A">
      <w:pPr>
        <w:pStyle w:val="16"/>
        <w:numPr>
          <w:ilvl w:val="0"/>
          <w:numId w:val="7"/>
        </w:numPr>
        <w:spacing w:before="30" w:after="30" w:line="288" w:lineRule="auto"/>
        <w:ind w:left="980" w:hanging="360"/>
        <w:rPr>
          <w:color w:val="auto"/>
        </w:rPr>
      </w:pPr>
      <w:r>
        <w:rPr>
          <w:rFonts w:ascii="宋体" w:hAnsi="宋体" w:eastAsia="宋体" w:cs="宋体"/>
          <w:color w:val="auto"/>
          <w:sz w:val="24"/>
        </w:rPr>
        <w:t>GB/T 1447-2005 纤维增强塑料拉伸性能试验方法</w:t>
      </w:r>
    </w:p>
    <w:p w14:paraId="63092D9A">
      <w:pPr>
        <w:pStyle w:val="16"/>
        <w:numPr>
          <w:ilvl w:val="0"/>
          <w:numId w:val="7"/>
        </w:numPr>
        <w:spacing w:before="30" w:after="30" w:line="288" w:lineRule="auto"/>
        <w:ind w:left="980" w:hanging="360"/>
        <w:rPr>
          <w:color w:val="auto"/>
        </w:rPr>
      </w:pPr>
      <w:r>
        <w:rPr>
          <w:rFonts w:ascii="宋体" w:hAnsi="宋体" w:eastAsia="宋体" w:cs="宋体"/>
          <w:color w:val="auto"/>
          <w:sz w:val="24"/>
        </w:rPr>
        <w:t>GB/T 1449-2005 纤维增强塑料弯曲性能试验方法</w:t>
      </w:r>
    </w:p>
    <w:p w14:paraId="782EAAFA">
      <w:pPr>
        <w:pStyle w:val="16"/>
        <w:numPr>
          <w:ilvl w:val="0"/>
          <w:numId w:val="7"/>
        </w:numPr>
        <w:spacing w:before="30" w:after="30" w:line="288" w:lineRule="auto"/>
        <w:ind w:left="980" w:hanging="360"/>
        <w:rPr>
          <w:color w:val="auto"/>
        </w:rPr>
      </w:pPr>
      <w:r>
        <w:rPr>
          <w:rFonts w:ascii="宋体" w:hAnsi="宋体" w:eastAsia="宋体" w:cs="宋体"/>
          <w:color w:val="auto"/>
          <w:sz w:val="24"/>
        </w:rPr>
        <w:t>GB/T 1462-2005 纤维增强塑料吸水性试验方法</w:t>
      </w:r>
    </w:p>
    <w:p w14:paraId="183A55C9">
      <w:pPr>
        <w:pStyle w:val="16"/>
        <w:numPr>
          <w:ilvl w:val="0"/>
          <w:numId w:val="7"/>
        </w:numPr>
        <w:spacing w:before="30" w:after="30" w:line="288" w:lineRule="auto"/>
        <w:ind w:left="980" w:hanging="360"/>
        <w:rPr>
          <w:color w:val="auto"/>
        </w:rPr>
      </w:pPr>
      <w:r>
        <w:rPr>
          <w:rFonts w:ascii="宋体" w:hAnsi="宋体" w:eastAsia="宋体" w:cs="宋体"/>
          <w:color w:val="auto"/>
          <w:sz w:val="24"/>
        </w:rPr>
        <w:t>GB/T 1303.2-2009 电气用热固性树脂工业硬质层压板 第2部分：试验方法</w:t>
      </w:r>
    </w:p>
    <w:p w14:paraId="40224A18">
      <w:pPr>
        <w:pStyle w:val="16"/>
        <w:numPr>
          <w:ilvl w:val="0"/>
          <w:numId w:val="7"/>
        </w:numPr>
        <w:spacing w:before="30" w:after="30" w:line="288" w:lineRule="auto"/>
        <w:ind w:left="980" w:hanging="360"/>
        <w:rPr>
          <w:color w:val="auto"/>
        </w:rPr>
      </w:pPr>
      <w:r>
        <w:rPr>
          <w:rFonts w:ascii="宋体" w:hAnsi="宋体" w:eastAsia="宋体" w:cs="宋体"/>
          <w:color w:val="auto"/>
          <w:sz w:val="24"/>
        </w:rPr>
        <w:t>DL/T 976-2017 带电作业工具、装置和设备预防性试验规程</w:t>
      </w:r>
    </w:p>
    <w:p w14:paraId="2207E819">
      <w:pPr>
        <w:pStyle w:val="16"/>
        <w:numPr>
          <w:ilvl w:val="0"/>
          <w:numId w:val="7"/>
        </w:numPr>
        <w:spacing w:before="30" w:after="30" w:line="288" w:lineRule="auto"/>
        <w:ind w:left="980" w:hanging="360"/>
        <w:rPr>
          <w:color w:val="auto"/>
        </w:rPr>
      </w:pPr>
      <w:r>
        <w:rPr>
          <w:rFonts w:ascii="宋体" w:hAnsi="宋体" w:eastAsia="宋体" w:cs="宋体"/>
          <w:color w:val="auto"/>
          <w:sz w:val="24"/>
        </w:rPr>
        <w:t>DL/T 1476-2023 电力安全工器具预防性试验规程</w:t>
      </w:r>
    </w:p>
    <w:p w14:paraId="2D6B8A25">
      <w:pPr>
        <w:pStyle w:val="16"/>
        <w:numPr>
          <w:ilvl w:val="0"/>
          <w:numId w:val="7"/>
        </w:numPr>
        <w:spacing w:before="30" w:after="30" w:line="288" w:lineRule="auto"/>
        <w:ind w:left="980" w:hanging="360"/>
        <w:rPr>
          <w:color w:val="auto"/>
        </w:rPr>
      </w:pPr>
      <w:r>
        <w:rPr>
          <w:rFonts w:ascii="宋体" w:hAnsi="宋体" w:eastAsia="宋体" w:cs="宋体"/>
          <w:color w:val="auto"/>
          <w:sz w:val="24"/>
        </w:rPr>
        <w:t>DL/T 284-2012 输电线路杆塔及电力金具用热浸镀锌螺栓与螺母</w:t>
      </w:r>
    </w:p>
    <w:p w14:paraId="03C5A1B9">
      <w:pPr>
        <w:pStyle w:val="16"/>
        <w:numPr>
          <w:ilvl w:val="0"/>
          <w:numId w:val="7"/>
        </w:numPr>
        <w:spacing w:before="30" w:after="30" w:line="288" w:lineRule="auto"/>
        <w:ind w:left="980" w:hanging="360"/>
        <w:rPr>
          <w:color w:val="auto"/>
        </w:rPr>
      </w:pPr>
      <w:r>
        <w:rPr>
          <w:rFonts w:ascii="宋体" w:hAnsi="宋体" w:eastAsia="宋体" w:cs="宋体"/>
          <w:color w:val="auto"/>
          <w:sz w:val="24"/>
        </w:rPr>
        <w:t>GB/T 2411-2008 塑料和硬橡胶 使用硬度计测定压痕硬度（邵氏硬度）</w:t>
      </w:r>
    </w:p>
    <w:p w14:paraId="75F7C0EE">
      <w:pPr>
        <w:pStyle w:val="16"/>
        <w:numPr>
          <w:ilvl w:val="0"/>
          <w:numId w:val="7"/>
        </w:numPr>
        <w:spacing w:before="30" w:after="30" w:line="288" w:lineRule="auto"/>
        <w:ind w:left="980" w:hanging="360"/>
        <w:rPr>
          <w:color w:val="auto"/>
        </w:rPr>
      </w:pPr>
      <w:r>
        <w:rPr>
          <w:rFonts w:ascii="宋体" w:hAnsi="宋体" w:eastAsia="宋体" w:cs="宋体"/>
          <w:color w:val="auto"/>
          <w:sz w:val="24"/>
        </w:rPr>
        <w:t>GB/T 1040.1-2018 塑料 拉伸性能的测定 第1部分：总则</w:t>
      </w:r>
    </w:p>
    <w:p w14:paraId="45918392">
      <w:pPr>
        <w:pStyle w:val="16"/>
        <w:numPr>
          <w:ilvl w:val="0"/>
          <w:numId w:val="7"/>
        </w:numPr>
        <w:spacing w:before="30" w:after="30" w:line="288" w:lineRule="auto"/>
        <w:ind w:left="980" w:hanging="360"/>
        <w:rPr>
          <w:color w:val="auto"/>
        </w:rPr>
      </w:pPr>
      <w:r>
        <w:rPr>
          <w:rFonts w:ascii="宋体" w:hAnsi="宋体" w:eastAsia="宋体" w:cs="宋体"/>
          <w:color w:val="auto"/>
          <w:sz w:val="24"/>
        </w:rPr>
        <w:t>GB/T 9341-2008 塑料 弯曲性能的测定</w:t>
      </w:r>
    </w:p>
    <w:p w14:paraId="65A276BF">
      <w:pPr>
        <w:spacing w:line="288" w:lineRule="auto"/>
        <w:rPr>
          <w:color w:val="auto"/>
        </w:rPr>
      </w:pPr>
    </w:p>
    <w:p w14:paraId="4F1C813D">
      <w:pPr>
        <w:pStyle w:val="3"/>
        <w:keepNext w:val="0"/>
        <w:keepLines w:val="0"/>
        <w:pageBreakBefore w:val="0"/>
        <w:spacing w:before="300" w:after="200" w:line="288" w:lineRule="auto"/>
        <w:jc w:val="center"/>
        <w:outlineLvl w:val="0"/>
        <w:rPr>
          <w:color w:val="auto"/>
        </w:rPr>
      </w:pPr>
      <w:r>
        <w:rPr>
          <w:rFonts w:ascii="黑体" w:hAnsi="黑体" w:eastAsia="黑体" w:cs="黑体"/>
          <w:b/>
          <w:color w:val="auto"/>
          <w:sz w:val="44"/>
        </w:rPr>
        <w:t>4 使用条件</w:t>
      </w:r>
    </w:p>
    <w:p w14:paraId="0DA86B0D">
      <w:pPr>
        <w:spacing w:before="60" w:after="60" w:line="288" w:lineRule="auto"/>
        <w:ind w:firstLine="480"/>
        <w:jc w:val="both"/>
        <w:rPr>
          <w:color w:val="auto"/>
        </w:rPr>
      </w:pPr>
      <w:r>
        <w:rPr>
          <w:rFonts w:ascii="宋体" w:hAnsi="宋体" w:eastAsia="宋体" w:cs="宋体"/>
          <w:color w:val="auto"/>
          <w:sz w:val="24"/>
        </w:rPr>
        <w:t>4.1 环境温度：5℃～+55℃。</w:t>
      </w:r>
    </w:p>
    <w:p w14:paraId="1C1128ED">
      <w:pPr>
        <w:spacing w:before="60" w:after="60" w:line="288" w:lineRule="auto"/>
        <w:ind w:firstLine="480"/>
        <w:jc w:val="both"/>
        <w:rPr>
          <w:color w:val="auto"/>
        </w:rPr>
      </w:pPr>
      <w:r>
        <w:rPr>
          <w:rFonts w:ascii="宋体" w:hAnsi="宋体" w:eastAsia="宋体" w:cs="宋体"/>
          <w:color w:val="auto"/>
          <w:sz w:val="24"/>
        </w:rPr>
        <w:t>4.2 相对湿度：5%～100%（户外型）；5%～95%（户内型）。</w:t>
      </w:r>
    </w:p>
    <w:p w14:paraId="4C37FA60">
      <w:pPr>
        <w:spacing w:before="60" w:after="60" w:line="288" w:lineRule="auto"/>
        <w:ind w:firstLine="480"/>
        <w:jc w:val="both"/>
        <w:rPr>
          <w:color w:val="auto"/>
        </w:rPr>
      </w:pPr>
      <w:r>
        <w:rPr>
          <w:rFonts w:ascii="宋体" w:hAnsi="宋体" w:eastAsia="宋体" w:cs="宋体"/>
          <w:color w:val="auto"/>
          <w:sz w:val="24"/>
        </w:rPr>
        <w:t>4.3 使用场所：户外及户内变电站、配电室、输电线路施工现场、电缆沟道、变压器周围、开关站等电力作业区域。</w:t>
      </w:r>
    </w:p>
    <w:p w14:paraId="407B112B">
      <w:pPr>
        <w:spacing w:before="60" w:after="60" w:line="288" w:lineRule="auto"/>
        <w:ind w:firstLine="480"/>
        <w:jc w:val="both"/>
        <w:rPr>
          <w:color w:val="auto"/>
        </w:rPr>
      </w:pPr>
      <w:r>
        <w:rPr>
          <w:rFonts w:ascii="宋体" w:hAnsi="宋体" w:eastAsia="宋体" w:cs="宋体"/>
          <w:color w:val="auto"/>
          <w:sz w:val="24"/>
        </w:rPr>
        <w:t>4.4 适用电压等级：0.4kV～</w:t>
      </w:r>
      <w:r>
        <w:rPr>
          <w:rFonts w:hint="eastAsia" w:ascii="宋体" w:hAnsi="宋体" w:eastAsia="宋体" w:cs="宋体"/>
          <w:color w:val="auto"/>
          <w:sz w:val="24"/>
          <w:lang w:val="en-US" w:eastAsia="zh-CN"/>
        </w:rPr>
        <w:t>5</w:t>
      </w:r>
      <w:r>
        <w:rPr>
          <w:rFonts w:ascii="宋体" w:hAnsi="宋体" w:eastAsia="宋体" w:cs="宋体"/>
          <w:color w:val="auto"/>
          <w:sz w:val="24"/>
        </w:rPr>
        <w:t>00kV。</w:t>
      </w:r>
    </w:p>
    <w:p w14:paraId="63C91C16">
      <w:pPr>
        <w:spacing w:before="60" w:after="60" w:line="288" w:lineRule="auto"/>
        <w:ind w:firstLine="480"/>
        <w:jc w:val="both"/>
        <w:rPr>
          <w:color w:val="auto"/>
        </w:rPr>
      </w:pPr>
      <w:r>
        <w:rPr>
          <w:rFonts w:ascii="宋体" w:hAnsi="宋体" w:eastAsia="宋体" w:cs="宋体"/>
          <w:color w:val="auto"/>
          <w:sz w:val="24"/>
        </w:rPr>
        <w:t>4.5 特殊环境条件：沿海高盐雾地区、重污秽地区、强风地区（风速超过30m/s）等特殊环境，投标方应在投标文件中说明所供产品在此类环境下的适应性措施。</w:t>
      </w:r>
    </w:p>
    <w:p w14:paraId="49BDD2D2">
      <w:pPr>
        <w:spacing w:line="288" w:lineRule="auto"/>
        <w:rPr>
          <w:color w:val="auto"/>
        </w:rPr>
      </w:pPr>
    </w:p>
    <w:p w14:paraId="59BAA172">
      <w:pPr>
        <w:pStyle w:val="3"/>
        <w:keepNext w:val="0"/>
        <w:keepLines w:val="0"/>
        <w:pageBreakBefore w:val="0"/>
        <w:spacing w:before="300" w:after="200" w:line="288" w:lineRule="auto"/>
        <w:jc w:val="center"/>
        <w:outlineLvl w:val="0"/>
        <w:rPr>
          <w:color w:val="auto"/>
        </w:rPr>
      </w:pPr>
      <w:r>
        <w:rPr>
          <w:rFonts w:ascii="黑体" w:hAnsi="黑体" w:eastAsia="黑体" w:cs="黑体"/>
          <w:b/>
          <w:color w:val="auto"/>
          <w:sz w:val="44"/>
        </w:rPr>
        <w:t>5 技术要求</w:t>
      </w:r>
      <w:r>
        <w:rPr>
          <w:rFonts w:ascii="Segoe UI Emoji" w:hAnsi="Segoe UI Emoji" w:eastAsia="Segoe UI Emoji" w:cs="Segoe UI Emoji"/>
          <w:b/>
          <w:color w:val="auto"/>
          <w:sz w:val="44"/>
        </w:rPr>
        <w:t>★</w:t>
      </w:r>
    </w:p>
    <w:p w14:paraId="4CE32360">
      <w:pPr>
        <w:pStyle w:val="4"/>
        <w:keepNext w:val="0"/>
        <w:keepLines w:val="0"/>
        <w:pageBreakBefore w:val="0"/>
        <w:spacing w:before="240" w:after="120" w:line="288" w:lineRule="auto"/>
        <w:outlineLvl w:val="1"/>
        <w:rPr>
          <w:color w:val="auto"/>
        </w:rPr>
      </w:pPr>
      <w:r>
        <w:rPr>
          <w:rFonts w:ascii="黑体" w:hAnsi="黑体" w:eastAsia="黑体" w:cs="黑体"/>
          <w:b/>
          <w:color w:val="auto"/>
          <w:sz w:val="32"/>
        </w:rPr>
        <w:t>5.1 一般要求</w:t>
      </w:r>
    </w:p>
    <w:p w14:paraId="018CBFDB">
      <w:pPr>
        <w:spacing w:before="60" w:after="60" w:line="288" w:lineRule="auto"/>
        <w:ind w:firstLine="480"/>
        <w:jc w:val="both"/>
        <w:rPr>
          <w:color w:val="auto"/>
        </w:rPr>
      </w:pPr>
      <w:r>
        <w:rPr>
          <w:rFonts w:ascii="宋体" w:hAnsi="宋体" w:eastAsia="宋体" w:cs="宋体"/>
          <w:color w:val="auto"/>
          <w:sz w:val="24"/>
        </w:rPr>
        <w:t>5.1.1 围栏应按本技术规范书的要求，并按经规定程序批准的图样及技术文件制造。</w:t>
      </w:r>
    </w:p>
    <w:p w14:paraId="6EA2FBA6">
      <w:pPr>
        <w:spacing w:before="60" w:after="60" w:line="288" w:lineRule="auto"/>
        <w:ind w:firstLine="480"/>
        <w:jc w:val="both"/>
        <w:rPr>
          <w:color w:val="auto"/>
        </w:rPr>
      </w:pPr>
      <w:r>
        <w:rPr>
          <w:rFonts w:ascii="宋体" w:hAnsi="宋体" w:eastAsia="宋体" w:cs="宋体"/>
          <w:color w:val="auto"/>
          <w:sz w:val="24"/>
        </w:rPr>
        <w:t>5.1.2 围栏各零部件装配应牢固可靠，连接紧固件应紧固到位，不得有松动现象。围栏整体结构应稳定，承受规定水平载荷时不得倾覆或变形超标。</w:t>
      </w:r>
    </w:p>
    <w:p w14:paraId="6E3DCAD6">
      <w:pPr>
        <w:spacing w:before="60" w:after="60" w:line="288" w:lineRule="auto"/>
        <w:ind w:firstLine="480"/>
        <w:jc w:val="both"/>
        <w:rPr>
          <w:color w:val="auto"/>
        </w:rPr>
      </w:pPr>
      <w:r>
        <w:rPr>
          <w:rFonts w:ascii="宋体" w:hAnsi="宋体" w:eastAsia="宋体" w:cs="宋体"/>
          <w:color w:val="auto"/>
          <w:sz w:val="24"/>
        </w:rPr>
        <w:t>5.1.3 围栏表面应根据材质特性进行相应的防腐处理，确保其耐腐蚀性能满足使用环境要求。</w:t>
      </w:r>
    </w:p>
    <w:p w14:paraId="1A6E1CAC">
      <w:pPr>
        <w:spacing w:before="60" w:after="60" w:line="288" w:lineRule="auto"/>
        <w:ind w:firstLine="480"/>
        <w:jc w:val="both"/>
        <w:rPr>
          <w:color w:val="auto"/>
        </w:rPr>
      </w:pPr>
      <w:r>
        <w:rPr>
          <w:rFonts w:ascii="宋体" w:hAnsi="宋体" w:eastAsia="宋体" w:cs="宋体"/>
          <w:color w:val="auto"/>
          <w:sz w:val="24"/>
        </w:rPr>
        <w:t>5.1.4 围栏应设有安全警示标识，标识应符合GB 2894-2008的规定。</w:t>
      </w:r>
    </w:p>
    <w:p w14:paraId="4A95B26F">
      <w:pPr>
        <w:spacing w:before="60" w:after="60" w:line="288" w:lineRule="auto"/>
        <w:ind w:firstLine="480"/>
        <w:jc w:val="both"/>
        <w:rPr>
          <w:color w:val="auto"/>
        </w:rPr>
      </w:pPr>
      <w:r>
        <w:rPr>
          <w:rFonts w:ascii="宋体" w:hAnsi="宋体" w:eastAsia="宋体" w:cs="宋体"/>
          <w:color w:val="auto"/>
          <w:sz w:val="24"/>
        </w:rPr>
        <w:t>5.1.5 围栏结构不应有尖锐棱角或突出物，防止刮伤作业人员或损伤电缆。</w:t>
      </w:r>
    </w:p>
    <w:p w14:paraId="32089405">
      <w:pPr>
        <w:pStyle w:val="4"/>
        <w:keepNext w:val="0"/>
        <w:keepLines w:val="0"/>
        <w:pageBreakBefore w:val="0"/>
        <w:spacing w:before="240" w:after="120" w:line="288" w:lineRule="auto"/>
        <w:outlineLvl w:val="1"/>
        <w:rPr>
          <w:color w:val="auto"/>
        </w:rPr>
      </w:pPr>
      <w:r>
        <w:rPr>
          <w:rFonts w:ascii="黑体" w:hAnsi="黑体" w:eastAsia="黑体" w:cs="黑体"/>
          <w:b/>
          <w:color w:val="auto"/>
          <w:sz w:val="32"/>
        </w:rPr>
        <w:t>5.2 结构与分类</w:t>
      </w:r>
    </w:p>
    <w:p w14:paraId="132F51FC">
      <w:pPr>
        <w:spacing w:before="60" w:after="60" w:line="288" w:lineRule="auto"/>
        <w:ind w:firstLine="480"/>
        <w:jc w:val="both"/>
        <w:rPr>
          <w:color w:val="auto"/>
        </w:rPr>
      </w:pPr>
      <w:r>
        <w:rPr>
          <w:rFonts w:ascii="宋体" w:hAnsi="宋体" w:eastAsia="宋体" w:cs="宋体"/>
          <w:color w:val="auto"/>
          <w:sz w:val="24"/>
        </w:rPr>
        <w:t>5.2.1 围栏按材质分为以下类型：</w:t>
      </w:r>
    </w:p>
    <w:p w14:paraId="08242196">
      <w:pPr>
        <w:pStyle w:val="16"/>
        <w:numPr>
          <w:ilvl w:val="0"/>
          <w:numId w:val="7"/>
        </w:numPr>
        <w:spacing w:before="30" w:after="30" w:line="288" w:lineRule="auto"/>
        <w:ind w:left="980" w:hanging="360"/>
        <w:rPr>
          <w:color w:val="auto"/>
        </w:rPr>
      </w:pPr>
      <w:r>
        <w:rPr>
          <w:rFonts w:ascii="宋体" w:hAnsi="宋体" w:eastAsia="宋体" w:cs="宋体"/>
          <w:color w:val="auto"/>
          <w:sz w:val="24"/>
        </w:rPr>
        <w:t>不锈钢围栏（SUS304）</w:t>
      </w:r>
    </w:p>
    <w:p w14:paraId="03C2178F">
      <w:pPr>
        <w:pStyle w:val="16"/>
        <w:numPr>
          <w:ilvl w:val="0"/>
          <w:numId w:val="7"/>
        </w:numPr>
        <w:spacing w:before="30" w:after="30" w:line="288" w:lineRule="auto"/>
        <w:ind w:left="980" w:hanging="360"/>
        <w:rPr>
          <w:color w:val="auto"/>
          <w:highlight w:val="none"/>
        </w:rPr>
      </w:pPr>
      <w:r>
        <w:rPr>
          <w:rFonts w:ascii="宋体" w:hAnsi="宋体" w:eastAsia="宋体" w:cs="宋体"/>
          <w:color w:val="auto"/>
          <w:sz w:val="24"/>
          <w:highlight w:val="none"/>
        </w:rPr>
        <w:t>玻璃钢（FRP）围栏（绝缘型）</w:t>
      </w:r>
    </w:p>
    <w:p w14:paraId="3063C629">
      <w:pPr>
        <w:pStyle w:val="16"/>
        <w:numPr>
          <w:ilvl w:val="0"/>
          <w:numId w:val="7"/>
        </w:numPr>
        <w:spacing w:before="30" w:after="30" w:line="288" w:lineRule="auto"/>
        <w:ind w:left="980" w:hanging="360"/>
        <w:rPr>
          <w:color w:val="auto"/>
        </w:rPr>
      </w:pPr>
      <w:r>
        <w:rPr>
          <w:rFonts w:ascii="宋体" w:hAnsi="宋体" w:eastAsia="宋体" w:cs="宋体"/>
          <w:color w:val="auto"/>
          <w:sz w:val="24"/>
        </w:rPr>
        <w:t>PVC围栏（未增塑聚氯乙烯）</w:t>
      </w:r>
    </w:p>
    <w:p w14:paraId="3E79B8C6">
      <w:pPr>
        <w:spacing w:before="60" w:after="60" w:line="288" w:lineRule="auto"/>
        <w:ind w:firstLine="480"/>
        <w:jc w:val="both"/>
        <w:rPr>
          <w:color w:val="auto"/>
        </w:rPr>
      </w:pPr>
      <w:r>
        <w:rPr>
          <w:rFonts w:ascii="宋体" w:hAnsi="宋体" w:eastAsia="宋体" w:cs="宋体"/>
          <w:color w:val="auto"/>
          <w:sz w:val="24"/>
        </w:rPr>
        <w:t>5.2.2 围栏按结构形式分为固定式围栏和移动（组装）式围栏。</w:t>
      </w:r>
    </w:p>
    <w:p w14:paraId="169A2E3C">
      <w:pPr>
        <w:spacing w:before="60" w:after="60" w:line="288" w:lineRule="auto"/>
        <w:ind w:firstLine="480"/>
        <w:jc w:val="both"/>
        <w:rPr>
          <w:color w:val="auto"/>
        </w:rPr>
      </w:pPr>
      <w:r>
        <w:rPr>
          <w:rFonts w:ascii="宋体" w:hAnsi="宋体" w:eastAsia="宋体" w:cs="宋体"/>
          <w:color w:val="auto"/>
          <w:sz w:val="24"/>
        </w:rPr>
        <w:t>5.2.3 固定式围栏主要由立柱、横杆、栏片（或网片、栅板）、底座（含基础预埋件）及连接紧固件组成，安装后固定于地面或基础。</w:t>
      </w:r>
    </w:p>
    <w:p w14:paraId="7EBD008D">
      <w:pPr>
        <w:spacing w:before="60" w:after="60" w:line="288" w:lineRule="auto"/>
        <w:ind w:firstLine="480"/>
        <w:jc w:val="both"/>
        <w:rPr>
          <w:strike/>
          <w:dstrike w:val="0"/>
          <w:color w:val="auto"/>
        </w:rPr>
      </w:pPr>
      <w:r>
        <w:rPr>
          <w:rFonts w:ascii="宋体" w:hAnsi="宋体" w:eastAsia="宋体" w:cs="宋体"/>
          <w:color w:val="auto"/>
          <w:sz w:val="24"/>
        </w:rPr>
        <w:t>5.2.5 围栏高度不应低于1700mm，栏片间隙不应大于200mm，防止人员穿越</w:t>
      </w:r>
    </w:p>
    <w:p w14:paraId="6251736D">
      <w:pPr>
        <w:pStyle w:val="4"/>
        <w:keepNext w:val="0"/>
        <w:keepLines w:val="0"/>
        <w:pageBreakBefore w:val="0"/>
        <w:spacing w:before="240" w:after="120" w:line="288" w:lineRule="auto"/>
        <w:outlineLvl w:val="1"/>
        <w:rPr>
          <w:color w:val="auto"/>
        </w:rPr>
      </w:pPr>
      <w:r>
        <w:rPr>
          <w:rFonts w:ascii="黑体" w:hAnsi="黑体" w:eastAsia="黑体" w:cs="黑体"/>
          <w:b/>
          <w:color w:val="auto"/>
          <w:sz w:val="32"/>
        </w:rPr>
        <w:t>5.3 材料要求</w:t>
      </w:r>
    </w:p>
    <w:p w14:paraId="480648A4">
      <w:pPr>
        <w:pStyle w:val="5"/>
        <w:keepNext w:val="0"/>
        <w:keepLines w:val="0"/>
        <w:pageBreakBefore w:val="0"/>
        <w:spacing w:before="180" w:after="100" w:line="288" w:lineRule="auto"/>
        <w:outlineLvl w:val="2"/>
        <w:rPr>
          <w:color w:val="auto"/>
        </w:rPr>
      </w:pPr>
      <w:r>
        <w:rPr>
          <w:rFonts w:ascii="黑体" w:hAnsi="黑体" w:eastAsia="黑体" w:cs="黑体"/>
          <w:b/>
          <w:color w:val="auto"/>
          <w:sz w:val="28"/>
        </w:rPr>
        <w:t>5.3.1 不锈钢围栏材料</w:t>
      </w:r>
    </w:p>
    <w:p w14:paraId="5BDEA04A">
      <w:pPr>
        <w:spacing w:before="60" w:after="60" w:line="288" w:lineRule="auto"/>
        <w:ind w:firstLine="480"/>
        <w:jc w:val="both"/>
        <w:rPr>
          <w:color w:val="auto"/>
          <w:highlight w:val="none"/>
        </w:rPr>
      </w:pPr>
      <w:r>
        <w:rPr>
          <w:rFonts w:ascii="宋体" w:hAnsi="宋体" w:eastAsia="宋体" w:cs="宋体"/>
          <w:color w:val="auto"/>
          <w:sz w:val="24"/>
        </w:rPr>
        <w:t>5.3.1.1 围栏主体（立柱、横杆、栏片）应采用</w:t>
      </w:r>
      <w:r>
        <w:rPr>
          <w:rFonts w:ascii="宋体" w:hAnsi="宋体" w:eastAsia="宋体" w:cs="宋体"/>
          <w:strike w:val="0"/>
          <w:dstrike w:val="0"/>
          <w:color w:val="auto"/>
          <w:sz w:val="24"/>
        </w:rPr>
        <w:t>奥氏体</w:t>
      </w:r>
      <w:r>
        <w:rPr>
          <w:rFonts w:ascii="宋体" w:hAnsi="宋体" w:eastAsia="宋体" w:cs="宋体"/>
          <w:color w:val="auto"/>
          <w:sz w:val="24"/>
        </w:rPr>
        <w:t>不锈钢（SUS304）制造，其化学成分和力学性能应符合</w:t>
      </w:r>
      <w:r>
        <w:rPr>
          <w:rFonts w:ascii="宋体" w:hAnsi="宋体" w:eastAsia="宋体" w:cs="宋体"/>
          <w:color w:val="auto"/>
          <w:sz w:val="24"/>
          <w:highlight w:val="none"/>
        </w:rPr>
        <w:t>GB/T 3280-2015或GB/T 1220-2007的规定。</w:t>
      </w:r>
    </w:p>
    <w:p w14:paraId="2284FE4B">
      <w:pPr>
        <w:spacing w:before="60" w:after="60" w:line="288" w:lineRule="auto"/>
        <w:ind w:firstLine="480"/>
        <w:jc w:val="both"/>
        <w:rPr>
          <w:color w:val="auto"/>
        </w:rPr>
      </w:pPr>
      <w:r>
        <w:rPr>
          <w:rFonts w:ascii="宋体" w:hAnsi="宋体" w:eastAsia="宋体" w:cs="宋体"/>
          <w:color w:val="auto"/>
          <w:sz w:val="24"/>
        </w:rPr>
        <w:t>5.3.1.2 用于沿海高盐雾腐蚀环境的不锈钢围栏，应采</w:t>
      </w:r>
      <w:r>
        <w:rPr>
          <w:rFonts w:ascii="宋体" w:hAnsi="宋体" w:eastAsia="宋体" w:cs="宋体"/>
          <w:color w:val="auto"/>
          <w:sz w:val="24"/>
        </w:rPr>
        <w:t>用SUS</w:t>
      </w:r>
      <w:r>
        <w:rPr>
          <w:rFonts w:hint="eastAsia" w:ascii="宋体" w:hAnsi="宋体" w:eastAsia="宋体" w:cs="宋体"/>
          <w:color w:val="auto"/>
          <w:sz w:val="24"/>
          <w:lang w:val="en-US" w:eastAsia="zh-CN"/>
        </w:rPr>
        <w:t>304</w:t>
      </w:r>
      <w:r>
        <w:rPr>
          <w:rFonts w:ascii="宋体" w:hAnsi="宋体" w:eastAsia="宋体" w:cs="宋体"/>
          <w:color w:val="auto"/>
          <w:sz w:val="24"/>
        </w:rPr>
        <w:t>及以上等级不锈钢材料。</w:t>
      </w:r>
    </w:p>
    <w:p w14:paraId="584FB993">
      <w:pPr>
        <w:spacing w:before="60" w:after="60" w:line="288" w:lineRule="auto"/>
        <w:ind w:firstLine="480"/>
        <w:jc w:val="both"/>
        <w:rPr>
          <w:color w:val="auto"/>
        </w:rPr>
      </w:pPr>
      <w:r>
        <w:rPr>
          <w:rFonts w:ascii="宋体" w:hAnsi="宋体" w:eastAsia="宋体" w:cs="宋体"/>
          <w:color w:val="auto"/>
          <w:sz w:val="24"/>
        </w:rPr>
        <w:t>5.3.1.3 连接紧固件（螺栓、螺母、垫圈等）应采用不锈钢材质，性能等级不低于A2-70，应符合GB/T 3098.6-2014的规定。</w:t>
      </w:r>
    </w:p>
    <w:p w14:paraId="56B0E217">
      <w:pPr>
        <w:pStyle w:val="5"/>
        <w:keepNext w:val="0"/>
        <w:keepLines w:val="0"/>
        <w:pageBreakBefore w:val="0"/>
        <w:spacing w:before="180" w:after="100" w:line="288" w:lineRule="auto"/>
        <w:outlineLvl w:val="2"/>
        <w:rPr>
          <w:color w:val="auto"/>
        </w:rPr>
      </w:pPr>
      <w:r>
        <w:rPr>
          <w:rFonts w:ascii="黑体" w:hAnsi="黑体" w:eastAsia="黑体" w:cs="黑体"/>
          <w:b/>
          <w:color w:val="auto"/>
          <w:sz w:val="28"/>
        </w:rPr>
        <w:t>5.3.4 玻璃钢（FRP）围栏材料</w:t>
      </w:r>
    </w:p>
    <w:p w14:paraId="5914DD7F">
      <w:pPr>
        <w:spacing w:before="60" w:after="60" w:line="288" w:lineRule="auto"/>
        <w:ind w:firstLine="480"/>
        <w:jc w:val="both"/>
        <w:rPr>
          <w:color w:val="auto"/>
        </w:rPr>
      </w:pPr>
      <w:r>
        <w:rPr>
          <w:rFonts w:ascii="宋体" w:hAnsi="宋体" w:eastAsia="宋体" w:cs="宋体"/>
          <w:color w:val="auto"/>
          <w:sz w:val="24"/>
        </w:rPr>
        <w:t>5.3.4.1 玻璃钢围栏应采用不饱和聚酯树脂或乙烯基酯树脂为基体，以无碱玻璃纤维及其制品为增强材料，采用拉挤成型或模压成型工艺制造。</w:t>
      </w:r>
    </w:p>
    <w:p w14:paraId="1319A984">
      <w:pPr>
        <w:spacing w:before="60" w:after="60" w:line="288" w:lineRule="auto"/>
        <w:ind w:firstLine="480"/>
        <w:jc w:val="both"/>
        <w:rPr>
          <w:color w:val="auto"/>
        </w:rPr>
      </w:pPr>
      <w:r>
        <w:rPr>
          <w:rFonts w:ascii="宋体" w:hAnsi="宋体" w:eastAsia="宋体" w:cs="宋体"/>
          <w:color w:val="auto"/>
          <w:sz w:val="24"/>
        </w:rPr>
        <w:t>5.3.4.2 玻璃纤维含量（质量分数）不应低于60%，树脂含量不应低于30%。</w:t>
      </w:r>
    </w:p>
    <w:p w14:paraId="21225C81">
      <w:pPr>
        <w:spacing w:before="60" w:after="60" w:line="288" w:lineRule="auto"/>
        <w:ind w:firstLine="480"/>
        <w:jc w:val="both"/>
        <w:rPr>
          <w:color w:val="auto"/>
        </w:rPr>
      </w:pPr>
      <w:r>
        <w:rPr>
          <w:rFonts w:ascii="宋体" w:hAnsi="宋体" w:eastAsia="宋体" w:cs="宋体"/>
          <w:color w:val="auto"/>
          <w:sz w:val="24"/>
        </w:rPr>
        <w:t>5.3.4.3 玻璃钢材料应添加紫外线吸收剂和抗老化剂，确保户外耐候性能。</w:t>
      </w:r>
    </w:p>
    <w:p w14:paraId="1D3829E6">
      <w:pPr>
        <w:spacing w:before="60" w:after="60" w:line="288" w:lineRule="auto"/>
        <w:ind w:firstLine="480"/>
        <w:jc w:val="both"/>
        <w:rPr>
          <w:color w:val="auto"/>
        </w:rPr>
      </w:pPr>
      <w:r>
        <w:rPr>
          <w:rFonts w:ascii="宋体" w:hAnsi="宋体" w:eastAsia="宋体" w:cs="宋体"/>
          <w:color w:val="auto"/>
          <w:sz w:val="24"/>
        </w:rPr>
        <w:t>5.3.4.4 玻璃钢围栏应具有良好的电绝缘性能，绝缘电阻不应小于1×10¹²Ω，表面电阻不应小于1×10¹¹Ω。</w:t>
      </w:r>
    </w:p>
    <w:p w14:paraId="38F55BF1">
      <w:pPr>
        <w:spacing w:before="60" w:after="60" w:line="288" w:lineRule="auto"/>
        <w:ind w:firstLine="480"/>
        <w:jc w:val="both"/>
        <w:rPr>
          <w:color w:val="auto"/>
        </w:rPr>
      </w:pPr>
      <w:r>
        <w:rPr>
          <w:rFonts w:ascii="宋体" w:hAnsi="宋体" w:eastAsia="宋体" w:cs="宋体"/>
          <w:color w:val="auto"/>
          <w:sz w:val="24"/>
        </w:rPr>
        <w:t>5.3.4.5 玻璃钢材料应具有阻燃性能，氧指数不应低于28%。</w:t>
      </w:r>
    </w:p>
    <w:p w14:paraId="42ADBBAC">
      <w:pPr>
        <w:pStyle w:val="5"/>
        <w:keepNext w:val="0"/>
        <w:keepLines w:val="0"/>
        <w:pageBreakBefore w:val="0"/>
        <w:spacing w:before="180" w:after="100" w:line="288" w:lineRule="auto"/>
        <w:outlineLvl w:val="2"/>
        <w:rPr>
          <w:color w:val="auto"/>
        </w:rPr>
      </w:pPr>
      <w:r>
        <w:rPr>
          <w:rFonts w:ascii="黑体" w:hAnsi="黑体" w:eastAsia="黑体" w:cs="黑体"/>
          <w:b/>
          <w:color w:val="auto"/>
          <w:sz w:val="28"/>
        </w:rPr>
        <w:t>5.3.5 PVC围栏材料</w:t>
      </w:r>
    </w:p>
    <w:p w14:paraId="5FC72C35">
      <w:pPr>
        <w:spacing w:before="60" w:after="60" w:line="288" w:lineRule="auto"/>
        <w:ind w:firstLine="480"/>
        <w:jc w:val="both"/>
        <w:rPr>
          <w:color w:val="auto"/>
        </w:rPr>
      </w:pPr>
      <w:r>
        <w:rPr>
          <w:rFonts w:ascii="宋体" w:hAnsi="宋体" w:eastAsia="宋体" w:cs="宋体"/>
          <w:color w:val="auto"/>
          <w:sz w:val="24"/>
        </w:rPr>
        <w:t>5.3.5.1 PVC围栏应采用未增塑聚氯乙烯（PVC-U）型材制造，型材质量应符合GB/T 8814-2017的规定。</w:t>
      </w:r>
    </w:p>
    <w:p w14:paraId="7C7F7DDB">
      <w:pPr>
        <w:spacing w:before="60" w:after="60" w:line="288" w:lineRule="auto"/>
        <w:ind w:firstLine="480"/>
        <w:jc w:val="both"/>
        <w:rPr>
          <w:color w:val="auto"/>
        </w:rPr>
      </w:pPr>
      <w:r>
        <w:rPr>
          <w:rFonts w:ascii="宋体" w:hAnsi="宋体" w:eastAsia="宋体" w:cs="宋体"/>
          <w:color w:val="auto"/>
          <w:sz w:val="24"/>
        </w:rPr>
        <w:t>5.3.5.2 PVC型材应添加紫外线稳定剂和抗冲击改性剂，确保户外耐候性和抗冲击性能。</w:t>
      </w:r>
    </w:p>
    <w:p w14:paraId="4FA5F2BF">
      <w:pPr>
        <w:spacing w:before="60" w:after="60" w:line="288" w:lineRule="auto"/>
        <w:ind w:firstLine="480"/>
        <w:jc w:val="both"/>
        <w:rPr>
          <w:color w:val="auto"/>
        </w:rPr>
      </w:pPr>
      <w:r>
        <w:rPr>
          <w:rFonts w:ascii="宋体" w:hAnsi="宋体" w:eastAsia="宋体" w:cs="宋体"/>
          <w:color w:val="auto"/>
          <w:sz w:val="24"/>
        </w:rPr>
        <w:t>5.3.5.3 PVC型材的维卡软化温度不应低于75℃，落锤冲击试验破损率不应大于1%。</w:t>
      </w:r>
    </w:p>
    <w:p w14:paraId="6C8DFBB0">
      <w:pPr>
        <w:spacing w:before="60" w:after="60" w:line="288" w:lineRule="auto"/>
        <w:ind w:firstLine="480"/>
        <w:jc w:val="both"/>
        <w:rPr>
          <w:color w:val="auto"/>
        </w:rPr>
      </w:pPr>
      <w:r>
        <w:rPr>
          <w:rFonts w:ascii="宋体" w:hAnsi="宋体" w:eastAsia="宋体" w:cs="宋体"/>
          <w:color w:val="auto"/>
          <w:sz w:val="24"/>
        </w:rPr>
        <w:t>5.3.5.4 PVC围栏应具有阻燃性能，氧指数不应低于30%。</w:t>
      </w:r>
    </w:p>
    <w:p w14:paraId="798FF778">
      <w:pPr>
        <w:spacing w:before="60" w:after="60" w:line="288" w:lineRule="auto"/>
        <w:ind w:firstLine="480"/>
        <w:jc w:val="both"/>
        <w:rPr>
          <w:color w:val="auto"/>
        </w:rPr>
      </w:pPr>
      <w:r>
        <w:rPr>
          <w:rFonts w:ascii="宋体" w:hAnsi="宋体" w:eastAsia="宋体" w:cs="宋体"/>
          <w:color w:val="auto"/>
          <w:sz w:val="24"/>
        </w:rPr>
        <w:t>5.3.5.5 PVC围栏内部应设置钢制加强芯材（如适用），加强芯材应进行防腐处理。</w:t>
      </w:r>
    </w:p>
    <w:p w14:paraId="0BD6FCBF">
      <w:pPr>
        <w:pStyle w:val="4"/>
        <w:keepNext w:val="0"/>
        <w:keepLines w:val="0"/>
        <w:pageBreakBefore w:val="0"/>
        <w:spacing w:before="240" w:after="120" w:line="288" w:lineRule="auto"/>
        <w:outlineLvl w:val="1"/>
        <w:rPr>
          <w:color w:val="auto"/>
        </w:rPr>
      </w:pPr>
      <w:r>
        <w:rPr>
          <w:rFonts w:ascii="黑体" w:hAnsi="黑体" w:eastAsia="黑体" w:cs="黑体"/>
          <w:b/>
          <w:color w:val="auto"/>
          <w:sz w:val="32"/>
        </w:rPr>
        <w:t>5.4 各类材质围栏专项技术要求</w:t>
      </w:r>
    </w:p>
    <w:p w14:paraId="61317542">
      <w:pPr>
        <w:pStyle w:val="5"/>
        <w:keepNext w:val="0"/>
        <w:keepLines w:val="0"/>
        <w:pageBreakBefore w:val="0"/>
        <w:spacing w:before="180" w:after="100" w:line="288" w:lineRule="auto"/>
        <w:outlineLvl w:val="2"/>
        <w:rPr>
          <w:color w:val="auto"/>
        </w:rPr>
      </w:pPr>
      <w:r>
        <w:rPr>
          <w:rFonts w:ascii="黑体" w:hAnsi="黑体" w:eastAsia="黑体" w:cs="黑体"/>
          <w:b/>
          <w:color w:val="auto"/>
          <w:sz w:val="28"/>
        </w:rPr>
        <w:t>5.4.1 不锈钢围栏专项要求</w:t>
      </w:r>
    </w:p>
    <w:p w14:paraId="3C77B333">
      <w:pPr>
        <w:spacing w:before="60" w:after="60" w:line="288" w:lineRule="auto"/>
        <w:ind w:firstLine="480"/>
        <w:jc w:val="both"/>
        <w:rPr>
          <w:color w:val="auto"/>
        </w:rPr>
      </w:pPr>
      <w:r>
        <w:rPr>
          <w:rFonts w:ascii="宋体" w:hAnsi="宋体" w:eastAsia="宋体" w:cs="宋体"/>
          <w:color w:val="auto"/>
          <w:sz w:val="24"/>
        </w:rPr>
        <w:t>5.4.1.1 不锈钢围栏表面应进行酸洗钝化处理，表面钝化膜完整均匀。</w:t>
      </w:r>
    </w:p>
    <w:p w14:paraId="3DE4847A">
      <w:pPr>
        <w:spacing w:before="60" w:after="60" w:line="288" w:lineRule="auto"/>
        <w:ind w:firstLine="480"/>
        <w:jc w:val="both"/>
        <w:rPr>
          <w:color w:val="auto"/>
        </w:rPr>
      </w:pPr>
      <w:r>
        <w:rPr>
          <w:rFonts w:ascii="宋体" w:hAnsi="宋体" w:eastAsia="宋体" w:cs="宋体"/>
          <w:color w:val="auto"/>
          <w:sz w:val="24"/>
        </w:rPr>
        <w:t>5.4.1.2 焊接部位应进行打磨、抛光处理，焊缝表面粗糙度应与母材基本一致。</w:t>
      </w:r>
    </w:p>
    <w:p w14:paraId="476E0B72">
      <w:pPr>
        <w:pStyle w:val="5"/>
        <w:keepNext w:val="0"/>
        <w:keepLines w:val="0"/>
        <w:pageBreakBefore w:val="0"/>
        <w:spacing w:before="180" w:after="100" w:line="288" w:lineRule="auto"/>
        <w:outlineLvl w:val="2"/>
        <w:rPr>
          <w:color w:val="auto"/>
        </w:rPr>
      </w:pPr>
      <w:r>
        <w:rPr>
          <w:rFonts w:ascii="黑体" w:hAnsi="黑体" w:eastAsia="黑体" w:cs="黑体"/>
          <w:b/>
          <w:color w:val="auto"/>
          <w:sz w:val="28"/>
        </w:rPr>
        <w:t>5.4.4 玻璃钢围栏专项要求</w:t>
      </w:r>
    </w:p>
    <w:p w14:paraId="3A29F4DF">
      <w:pPr>
        <w:spacing w:before="60" w:after="60" w:line="288" w:lineRule="auto"/>
        <w:ind w:firstLine="480"/>
        <w:jc w:val="both"/>
        <w:rPr>
          <w:color w:val="auto"/>
        </w:rPr>
      </w:pPr>
      <w:r>
        <w:rPr>
          <w:rFonts w:ascii="宋体" w:hAnsi="宋体" w:eastAsia="宋体" w:cs="宋体"/>
          <w:color w:val="auto"/>
          <w:sz w:val="24"/>
        </w:rPr>
        <w:t>5.4.4.1 玻璃钢围栏型材表面应光滑平整，无气泡、裂纹、分层、毛刺等缺陷。</w:t>
      </w:r>
    </w:p>
    <w:p w14:paraId="4B62EA44">
      <w:pPr>
        <w:spacing w:before="60" w:after="60" w:line="288" w:lineRule="auto"/>
        <w:ind w:firstLine="480"/>
        <w:jc w:val="both"/>
        <w:rPr>
          <w:color w:val="auto"/>
        </w:rPr>
      </w:pPr>
      <w:r>
        <w:rPr>
          <w:rFonts w:ascii="宋体" w:hAnsi="宋体" w:eastAsia="宋体" w:cs="宋体"/>
          <w:color w:val="auto"/>
          <w:sz w:val="24"/>
        </w:rPr>
        <w:t>5.4.4.2 玻璃钢围栏应设置防紫外线面层（胶衣层），胶衣层厚度不应小于0.3mm。</w:t>
      </w:r>
    </w:p>
    <w:p w14:paraId="229BE990">
      <w:pPr>
        <w:spacing w:before="60" w:after="60" w:line="288" w:lineRule="auto"/>
        <w:ind w:firstLine="480"/>
        <w:jc w:val="both"/>
        <w:rPr>
          <w:color w:val="auto"/>
        </w:rPr>
      </w:pPr>
      <w:r>
        <w:rPr>
          <w:rFonts w:ascii="宋体" w:hAnsi="宋体" w:eastAsia="宋体" w:cs="宋体"/>
          <w:color w:val="auto"/>
          <w:sz w:val="24"/>
        </w:rPr>
        <w:t>5.4.4.3 玻璃钢围栏连接节点应采用不锈钢螺栓或专用卡扣连接，连接处应设置弹性垫片。</w:t>
      </w:r>
    </w:p>
    <w:p w14:paraId="186D76E2">
      <w:pPr>
        <w:spacing w:before="60" w:after="60" w:line="288" w:lineRule="auto"/>
        <w:ind w:firstLine="480"/>
        <w:jc w:val="both"/>
        <w:rPr>
          <w:color w:val="auto"/>
        </w:rPr>
      </w:pPr>
      <w:r>
        <w:rPr>
          <w:rFonts w:ascii="宋体" w:hAnsi="宋体" w:eastAsia="宋体" w:cs="宋体"/>
          <w:color w:val="auto"/>
          <w:sz w:val="24"/>
        </w:rPr>
        <w:t xml:space="preserve">5.4.4.4 </w:t>
      </w:r>
      <w:r>
        <w:rPr>
          <w:rFonts w:ascii="Segoe UI Emoji" w:hAnsi="Segoe UI Emoji" w:eastAsia="Segoe UI Emoji" w:cs="Segoe UI Emoji"/>
          <w:b/>
          <w:color w:val="auto"/>
          <w:sz w:val="24"/>
        </w:rPr>
        <w:t>★</w:t>
      </w:r>
      <w:r>
        <w:rPr>
          <w:rFonts w:ascii="宋体" w:hAnsi="宋体" w:eastAsia="宋体" w:cs="宋体"/>
          <w:color w:val="auto"/>
          <w:sz w:val="24"/>
        </w:rPr>
        <w:t>玻璃钢围栏应进行工频耐压试验，绝缘性能应符合DL/T 976-2017的要求。</w:t>
      </w:r>
    </w:p>
    <w:p w14:paraId="26183727">
      <w:pPr>
        <w:pStyle w:val="5"/>
        <w:keepNext w:val="0"/>
        <w:keepLines w:val="0"/>
        <w:pageBreakBefore w:val="0"/>
        <w:spacing w:before="180" w:after="100" w:line="288" w:lineRule="auto"/>
        <w:outlineLvl w:val="2"/>
        <w:rPr>
          <w:color w:val="auto"/>
        </w:rPr>
      </w:pPr>
      <w:r>
        <w:rPr>
          <w:rFonts w:ascii="黑体" w:hAnsi="黑体" w:eastAsia="黑体" w:cs="黑体"/>
          <w:b/>
          <w:color w:val="auto"/>
          <w:sz w:val="28"/>
        </w:rPr>
        <w:t>5.4.5 PVC围栏专项要求</w:t>
      </w:r>
    </w:p>
    <w:p w14:paraId="4E16712E">
      <w:pPr>
        <w:spacing w:before="60" w:after="60" w:line="288" w:lineRule="auto"/>
        <w:ind w:firstLine="480"/>
        <w:jc w:val="both"/>
        <w:rPr>
          <w:color w:val="auto"/>
        </w:rPr>
      </w:pPr>
      <w:r>
        <w:rPr>
          <w:rFonts w:ascii="宋体" w:hAnsi="宋体" w:eastAsia="宋体" w:cs="宋体"/>
          <w:color w:val="auto"/>
          <w:sz w:val="24"/>
        </w:rPr>
        <w:t>5.4.5.1 PVC围栏型材颜色应均匀一致，表面无气泡、裂纹、杂质等缺陷。</w:t>
      </w:r>
    </w:p>
    <w:p w14:paraId="4C8395FB">
      <w:pPr>
        <w:spacing w:before="60" w:after="60" w:line="288" w:lineRule="auto"/>
        <w:ind w:firstLine="480"/>
        <w:jc w:val="both"/>
        <w:rPr>
          <w:color w:val="auto"/>
        </w:rPr>
      </w:pPr>
      <w:r>
        <w:rPr>
          <w:rFonts w:ascii="宋体" w:hAnsi="宋体" w:eastAsia="宋体" w:cs="宋体"/>
          <w:color w:val="auto"/>
          <w:sz w:val="24"/>
        </w:rPr>
        <w:t>5.4.5.2 PVC围栏应设置钢制内衬加强筋，加强筋应进行热浸镀锌或达克罗防腐处理。</w:t>
      </w:r>
    </w:p>
    <w:p w14:paraId="5F723BF3">
      <w:pPr>
        <w:spacing w:before="60" w:after="60" w:line="288" w:lineRule="auto"/>
        <w:ind w:firstLine="480"/>
        <w:jc w:val="both"/>
        <w:rPr>
          <w:color w:val="auto"/>
        </w:rPr>
      </w:pPr>
      <w:r>
        <w:rPr>
          <w:rFonts w:ascii="宋体" w:hAnsi="宋体" w:eastAsia="宋体" w:cs="宋体"/>
          <w:color w:val="auto"/>
          <w:sz w:val="24"/>
        </w:rPr>
        <w:t>5.4.5.</w:t>
      </w:r>
      <w:r>
        <w:rPr>
          <w:rFonts w:hint="eastAsia" w:ascii="宋体" w:hAnsi="宋体" w:eastAsia="宋体" w:cs="宋体"/>
          <w:color w:val="auto"/>
          <w:sz w:val="24"/>
          <w:lang w:val="en-US" w:eastAsia="zh-CN"/>
        </w:rPr>
        <w:t xml:space="preserve">3 </w:t>
      </w:r>
      <w:r>
        <w:rPr>
          <w:rFonts w:ascii="宋体" w:hAnsi="宋体" w:eastAsia="宋体" w:cs="宋体"/>
          <w:color w:val="auto"/>
          <w:sz w:val="24"/>
        </w:rPr>
        <w:t>PVC围栏在</w:t>
      </w:r>
      <w:r>
        <w:rPr>
          <w:rFonts w:hint="eastAsia" w:ascii="宋体" w:hAnsi="宋体" w:eastAsia="宋体" w:cs="宋体"/>
          <w:color w:val="auto"/>
          <w:sz w:val="24"/>
          <w:lang w:val="en-US" w:eastAsia="zh-CN"/>
        </w:rPr>
        <w:t>5</w:t>
      </w:r>
      <w:r>
        <w:rPr>
          <w:rFonts w:ascii="宋体" w:hAnsi="宋体" w:eastAsia="宋体" w:cs="宋体"/>
          <w:color w:val="auto"/>
          <w:sz w:val="24"/>
        </w:rPr>
        <w:t>℃低温环境下不应出现脆裂。</w:t>
      </w:r>
    </w:p>
    <w:p w14:paraId="19434917">
      <w:pPr>
        <w:pStyle w:val="4"/>
        <w:keepNext w:val="0"/>
        <w:keepLines w:val="0"/>
        <w:pageBreakBefore w:val="0"/>
        <w:spacing w:before="240" w:after="120" w:line="288" w:lineRule="auto"/>
        <w:outlineLvl w:val="1"/>
        <w:rPr>
          <w:color w:val="auto"/>
        </w:rPr>
      </w:pPr>
      <w:r>
        <w:rPr>
          <w:rFonts w:ascii="黑体" w:hAnsi="黑体" w:eastAsia="黑体" w:cs="黑体"/>
          <w:b/>
          <w:color w:val="auto"/>
          <w:sz w:val="32"/>
        </w:rPr>
        <w:t>5.5 尺寸及公差要求</w:t>
      </w:r>
    </w:p>
    <w:p w14:paraId="2540F3BD">
      <w:pPr>
        <w:spacing w:before="60" w:after="60" w:line="288" w:lineRule="auto"/>
        <w:ind w:firstLine="480"/>
        <w:jc w:val="both"/>
        <w:rPr>
          <w:color w:val="auto"/>
        </w:rPr>
      </w:pPr>
      <w:r>
        <w:rPr>
          <w:rFonts w:ascii="宋体" w:hAnsi="宋体" w:eastAsia="宋体" w:cs="宋体"/>
          <w:color w:val="auto"/>
          <w:sz w:val="24"/>
        </w:rPr>
        <w:t>5.5.1 各类材质围栏通用尺寸要求：</w:t>
      </w:r>
    </w:p>
    <w:p w14:paraId="70B643C8">
      <w:pPr>
        <w:pStyle w:val="16"/>
        <w:numPr>
          <w:ilvl w:val="0"/>
          <w:numId w:val="7"/>
        </w:numPr>
        <w:spacing w:before="30" w:after="30" w:line="288" w:lineRule="auto"/>
        <w:ind w:left="980" w:hanging="360"/>
        <w:rPr>
          <w:color w:val="auto"/>
        </w:rPr>
      </w:pPr>
      <w:r>
        <w:rPr>
          <w:rFonts w:ascii="宋体" w:hAnsi="宋体" w:eastAsia="宋体" w:cs="宋体"/>
          <w:color w:val="auto"/>
          <w:sz w:val="24"/>
        </w:rPr>
        <w:t>围栏高度：不应低于1700mm，允许偏差为±5mm</w:t>
      </w:r>
    </w:p>
    <w:p w14:paraId="67BA87A7">
      <w:pPr>
        <w:pStyle w:val="16"/>
        <w:numPr>
          <w:ilvl w:val="0"/>
          <w:numId w:val="7"/>
        </w:numPr>
        <w:spacing w:before="30" w:after="30" w:line="288" w:lineRule="auto"/>
        <w:ind w:left="980" w:hanging="360"/>
        <w:rPr>
          <w:color w:val="auto"/>
        </w:rPr>
      </w:pPr>
      <w:r>
        <w:rPr>
          <w:rFonts w:ascii="宋体" w:hAnsi="宋体" w:eastAsia="宋体" w:cs="宋体"/>
          <w:color w:val="auto"/>
          <w:sz w:val="24"/>
        </w:rPr>
        <w:t>立柱间距：不宜大于2000mm，允许偏差为±10mm</w:t>
      </w:r>
    </w:p>
    <w:p w14:paraId="510CADD9">
      <w:pPr>
        <w:pStyle w:val="16"/>
        <w:numPr>
          <w:ilvl w:val="0"/>
          <w:numId w:val="7"/>
        </w:numPr>
        <w:spacing w:before="30" w:after="30" w:line="288" w:lineRule="auto"/>
        <w:ind w:left="980" w:hanging="360"/>
        <w:rPr>
          <w:color w:val="auto"/>
          <w:highlight w:val="none"/>
        </w:rPr>
      </w:pPr>
      <w:r>
        <w:rPr>
          <w:rFonts w:ascii="宋体" w:hAnsi="宋体" w:eastAsia="宋体" w:cs="宋体"/>
          <w:color w:val="auto"/>
          <w:sz w:val="24"/>
        </w:rPr>
        <w:t>栏片间</w:t>
      </w:r>
      <w:r>
        <w:rPr>
          <w:rFonts w:ascii="宋体" w:hAnsi="宋体" w:eastAsia="宋体" w:cs="宋体"/>
          <w:color w:val="auto"/>
          <w:sz w:val="24"/>
          <w:highlight w:val="none"/>
        </w:rPr>
        <w:t>隙：不应大于200mm</w:t>
      </w:r>
    </w:p>
    <w:p w14:paraId="1B92E293">
      <w:pPr>
        <w:pStyle w:val="16"/>
        <w:numPr>
          <w:ilvl w:val="0"/>
          <w:numId w:val="7"/>
        </w:numPr>
        <w:spacing w:before="30" w:after="30" w:line="288" w:lineRule="auto"/>
        <w:ind w:left="980" w:hanging="360"/>
        <w:rPr>
          <w:color w:val="auto"/>
        </w:rPr>
      </w:pPr>
      <w:r>
        <w:rPr>
          <w:rFonts w:ascii="宋体" w:hAnsi="宋体" w:eastAsia="宋体" w:cs="宋体"/>
          <w:color w:val="auto"/>
          <w:sz w:val="24"/>
        </w:rPr>
        <w:t>立柱垂直度偏差：不应大于3mm/m</w:t>
      </w:r>
    </w:p>
    <w:p w14:paraId="6BBEEBE9">
      <w:pPr>
        <w:spacing w:before="60" w:after="60" w:line="288" w:lineRule="auto"/>
        <w:ind w:firstLine="480"/>
        <w:jc w:val="both"/>
        <w:rPr>
          <w:color w:val="auto"/>
          <w:highlight w:val="none"/>
        </w:rPr>
      </w:pPr>
      <w:r>
        <w:rPr>
          <w:rFonts w:ascii="宋体" w:hAnsi="宋体" w:eastAsia="宋体" w:cs="宋体"/>
          <w:color w:val="auto"/>
          <w:sz w:val="24"/>
          <w:highlight w:val="none"/>
        </w:rPr>
        <w:t>5.5.2 不锈钢围栏尺寸要求：</w:t>
      </w:r>
    </w:p>
    <w:p w14:paraId="2C602C80">
      <w:pPr>
        <w:pStyle w:val="16"/>
        <w:numPr>
          <w:ilvl w:val="0"/>
          <w:numId w:val="7"/>
        </w:numPr>
        <w:spacing w:before="30" w:after="30" w:line="288" w:lineRule="auto"/>
        <w:ind w:left="980" w:hanging="360"/>
        <w:rPr>
          <w:color w:val="auto"/>
          <w:highlight w:val="none"/>
        </w:rPr>
      </w:pPr>
      <w:r>
        <w:rPr>
          <w:rFonts w:ascii="宋体" w:hAnsi="宋体" w:eastAsia="宋体" w:cs="宋体"/>
          <w:color w:val="auto"/>
          <w:sz w:val="24"/>
          <w:highlight w:val="none"/>
        </w:rPr>
        <w:t>立柱截面尺寸不应小于4</w:t>
      </w:r>
      <w:r>
        <w:rPr>
          <w:rFonts w:hint="eastAsia" w:ascii="宋体" w:hAnsi="宋体" w:eastAsia="宋体" w:cs="宋体"/>
          <w:color w:val="auto"/>
          <w:sz w:val="24"/>
          <w:highlight w:val="none"/>
          <w:lang w:val="en-US" w:eastAsia="zh-CN"/>
        </w:rPr>
        <w:t>5</w:t>
      </w:r>
      <w:r>
        <w:rPr>
          <w:rFonts w:ascii="宋体" w:hAnsi="宋体" w:eastAsia="宋体" w:cs="宋体"/>
          <w:color w:val="auto"/>
          <w:sz w:val="24"/>
          <w:highlight w:val="none"/>
        </w:rPr>
        <w:t>mm×4</w:t>
      </w:r>
      <w:r>
        <w:rPr>
          <w:rFonts w:hint="eastAsia" w:ascii="宋体" w:hAnsi="宋体" w:eastAsia="宋体" w:cs="宋体"/>
          <w:color w:val="auto"/>
          <w:sz w:val="24"/>
          <w:highlight w:val="none"/>
          <w:lang w:val="en-US" w:eastAsia="zh-CN"/>
        </w:rPr>
        <w:t>5</w:t>
      </w:r>
      <w:r>
        <w:rPr>
          <w:rFonts w:ascii="宋体" w:hAnsi="宋体" w:eastAsia="宋体" w:cs="宋体"/>
          <w:color w:val="auto"/>
          <w:sz w:val="24"/>
          <w:highlight w:val="none"/>
        </w:rPr>
        <w:t>mm，壁厚不应小于2.0mm</w:t>
      </w:r>
    </w:p>
    <w:p w14:paraId="5FD1F891">
      <w:pPr>
        <w:pStyle w:val="16"/>
        <w:numPr>
          <w:ilvl w:val="0"/>
          <w:numId w:val="7"/>
        </w:numPr>
        <w:spacing w:before="30" w:after="30" w:line="288" w:lineRule="auto"/>
        <w:ind w:left="980" w:hanging="360"/>
        <w:rPr>
          <w:color w:val="auto"/>
          <w:highlight w:val="none"/>
        </w:rPr>
      </w:pPr>
      <w:r>
        <w:rPr>
          <w:rFonts w:hint="eastAsia" w:ascii="宋体" w:hAnsi="宋体" w:eastAsia="宋体" w:cs="宋体"/>
          <w:color w:val="auto"/>
          <w:sz w:val="24"/>
          <w:highlight w:val="none"/>
          <w:lang w:val="en-US" w:eastAsia="zh-CN"/>
        </w:rPr>
        <w:t>底座外型尺寸不应小于100</w:t>
      </w:r>
      <w:r>
        <w:rPr>
          <w:rFonts w:ascii="宋体" w:hAnsi="宋体" w:eastAsia="宋体" w:cs="宋体"/>
          <w:color w:val="auto"/>
          <w:sz w:val="24"/>
          <w:highlight w:val="none"/>
        </w:rPr>
        <w:t>mm×</w:t>
      </w:r>
      <w:r>
        <w:rPr>
          <w:rFonts w:hint="eastAsia" w:ascii="宋体" w:hAnsi="宋体" w:eastAsia="宋体" w:cs="宋体"/>
          <w:color w:val="auto"/>
          <w:sz w:val="24"/>
          <w:highlight w:val="none"/>
          <w:lang w:val="en-US" w:eastAsia="zh-CN"/>
        </w:rPr>
        <w:t>90</w:t>
      </w:r>
      <w:r>
        <w:rPr>
          <w:rFonts w:ascii="宋体" w:hAnsi="宋体" w:eastAsia="宋体" w:cs="宋体"/>
          <w:color w:val="auto"/>
          <w:sz w:val="24"/>
          <w:highlight w:val="none"/>
        </w:rPr>
        <w:t>mm，壁厚不应小于</w:t>
      </w: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rPr>
        <w:t>.0mm</w:t>
      </w:r>
    </w:p>
    <w:p w14:paraId="69E81093">
      <w:pPr>
        <w:pStyle w:val="16"/>
        <w:numPr>
          <w:ilvl w:val="0"/>
          <w:numId w:val="7"/>
        </w:numPr>
        <w:spacing w:before="30" w:after="30" w:line="288" w:lineRule="auto"/>
        <w:ind w:left="980" w:hanging="360"/>
        <w:rPr>
          <w:color w:val="auto"/>
          <w:highlight w:val="none"/>
        </w:rPr>
      </w:pPr>
      <w:r>
        <w:rPr>
          <w:rFonts w:ascii="宋体" w:hAnsi="宋体" w:eastAsia="宋体" w:cs="宋体"/>
          <w:color w:val="auto"/>
          <w:sz w:val="24"/>
          <w:highlight w:val="none"/>
        </w:rPr>
        <w:t>横杆截面尺寸不应小于30mm×30mm，壁厚不应小于1.5mm</w:t>
      </w:r>
    </w:p>
    <w:p w14:paraId="02486F34">
      <w:pPr>
        <w:pStyle w:val="16"/>
        <w:numPr>
          <w:ilvl w:val="0"/>
          <w:numId w:val="7"/>
        </w:numPr>
        <w:spacing w:before="30" w:after="30" w:line="288" w:lineRule="auto"/>
        <w:ind w:left="980" w:hanging="360"/>
        <w:rPr>
          <w:strike/>
          <w:dstrike w:val="0"/>
          <w:color w:val="auto"/>
          <w:highlight w:val="none"/>
        </w:rPr>
      </w:pPr>
      <w:r>
        <w:rPr>
          <w:rFonts w:ascii="宋体" w:hAnsi="宋体" w:eastAsia="宋体" w:cs="宋体"/>
          <w:color w:val="auto"/>
          <w:sz w:val="24"/>
          <w:highlight w:val="none"/>
        </w:rPr>
        <w:t>栏片</w:t>
      </w:r>
      <w:r>
        <w:rPr>
          <w:rFonts w:hint="eastAsia" w:ascii="宋体" w:hAnsi="宋体" w:eastAsia="宋体" w:cs="宋体"/>
          <w:color w:val="auto"/>
          <w:sz w:val="24"/>
          <w:highlight w:val="none"/>
          <w:lang w:val="en-US" w:eastAsia="zh-CN"/>
        </w:rPr>
        <w:t>尺寸不应小于15</w:t>
      </w:r>
      <w:r>
        <w:rPr>
          <w:rFonts w:ascii="宋体" w:hAnsi="宋体" w:eastAsia="宋体" w:cs="宋体"/>
          <w:color w:val="auto"/>
          <w:sz w:val="24"/>
          <w:highlight w:val="none"/>
        </w:rPr>
        <w:t>mm×</w:t>
      </w:r>
      <w:r>
        <w:rPr>
          <w:rFonts w:hint="eastAsia" w:ascii="宋体" w:hAnsi="宋体" w:eastAsia="宋体" w:cs="宋体"/>
          <w:color w:val="auto"/>
          <w:sz w:val="24"/>
          <w:highlight w:val="none"/>
          <w:lang w:val="en-US" w:eastAsia="zh-CN"/>
        </w:rPr>
        <w:t>15</w:t>
      </w:r>
      <w:r>
        <w:rPr>
          <w:rFonts w:ascii="宋体" w:hAnsi="宋体" w:eastAsia="宋体" w:cs="宋体"/>
          <w:color w:val="auto"/>
          <w:sz w:val="24"/>
          <w:highlight w:val="none"/>
        </w:rPr>
        <w:t>mm，壁厚不应小于</w:t>
      </w: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rPr>
        <w:t>.0mm；</w:t>
      </w:r>
    </w:p>
    <w:p w14:paraId="35F5FA46">
      <w:pPr>
        <w:pStyle w:val="16"/>
        <w:numPr>
          <w:ilvl w:val="0"/>
          <w:numId w:val="7"/>
        </w:numPr>
        <w:spacing w:before="30" w:after="30" w:line="288" w:lineRule="auto"/>
        <w:ind w:left="980" w:hanging="360"/>
        <w:rPr>
          <w:strike/>
          <w:dstrike w:val="0"/>
          <w:color w:val="auto"/>
          <w:highlight w:val="none"/>
        </w:rPr>
      </w:pPr>
      <w:r>
        <w:rPr>
          <w:rFonts w:hint="eastAsia"/>
          <w:color w:val="auto"/>
          <w:highlight w:val="none"/>
          <w:lang w:val="en-US" w:eastAsia="zh-CN"/>
        </w:rPr>
        <w:t>顶帽：304不锈钢</w:t>
      </w:r>
    </w:p>
    <w:p w14:paraId="31DA9D1E">
      <w:pPr>
        <w:pStyle w:val="16"/>
        <w:numPr>
          <w:ilvl w:val="0"/>
          <w:numId w:val="7"/>
        </w:numPr>
        <w:spacing w:before="30" w:after="30" w:line="288" w:lineRule="auto"/>
        <w:ind w:left="980" w:hanging="360"/>
        <w:rPr>
          <w:strike/>
          <w:dstrike w:val="0"/>
          <w:color w:val="auto"/>
          <w:highlight w:val="none"/>
        </w:rPr>
      </w:pPr>
      <w:r>
        <w:rPr>
          <w:rFonts w:hint="eastAsia"/>
          <w:color w:val="auto"/>
          <w:highlight w:val="none"/>
          <w:lang w:val="en-US" w:eastAsia="zh-CN"/>
        </w:rPr>
        <w:t>反光膜：每条立柱及立杆环绕贴敷不少于2片，高度不低于300mm</w:t>
      </w:r>
      <w:r>
        <w:rPr>
          <w:rFonts w:hint="eastAsia"/>
          <w:color w:val="auto"/>
          <w:highlight w:val="none"/>
        </w:rPr>
        <w:t>；</w:t>
      </w:r>
    </w:p>
    <w:p w14:paraId="6FA87FF9">
      <w:pPr>
        <w:pStyle w:val="16"/>
        <w:numPr>
          <w:ilvl w:val="0"/>
          <w:numId w:val="7"/>
        </w:numPr>
        <w:spacing w:before="30" w:after="30" w:line="288" w:lineRule="auto"/>
        <w:ind w:left="980" w:hanging="360"/>
        <w:rPr>
          <w:strike/>
          <w:dstrike w:val="0"/>
          <w:color w:val="auto"/>
          <w:highlight w:val="none"/>
        </w:rPr>
      </w:pPr>
      <w:r>
        <w:rPr>
          <w:rFonts w:hint="eastAsia"/>
          <w:color w:val="auto"/>
          <w:highlight w:val="none"/>
          <w:lang w:val="en-US" w:eastAsia="zh-CN"/>
        </w:rPr>
        <w:t>安全警示标识:300*240（反光</w:t>
      </w:r>
      <w:r>
        <w:rPr>
          <w:rFonts w:hint="eastAsia"/>
          <w:color w:val="auto"/>
          <w:highlight w:val="none"/>
          <w:lang w:eastAsia="zh-CN"/>
        </w:rPr>
        <w:t>）</w:t>
      </w:r>
    </w:p>
    <w:p w14:paraId="2FEA064B">
      <w:pPr>
        <w:pStyle w:val="16"/>
        <w:numPr>
          <w:ilvl w:val="0"/>
          <w:numId w:val="0"/>
        </w:numPr>
        <w:spacing w:before="30" w:after="30" w:line="288" w:lineRule="auto"/>
        <w:contextualSpacing/>
        <w:rPr>
          <w:rFonts w:ascii="宋体" w:hAnsi="宋体" w:eastAsia="宋体" w:cs="宋体"/>
          <w:strike/>
          <w:dstrike w:val="0"/>
          <w:color w:val="auto"/>
          <w:sz w:val="24"/>
          <w:highlight w:val="none"/>
        </w:rPr>
      </w:pPr>
    </w:p>
    <w:p w14:paraId="352502A5">
      <w:pPr>
        <w:pStyle w:val="16"/>
        <w:numPr>
          <w:ilvl w:val="0"/>
          <w:numId w:val="0"/>
        </w:numPr>
        <w:spacing w:before="30" w:after="30" w:line="288" w:lineRule="auto"/>
        <w:contextualSpacing/>
        <w:rPr>
          <w:rFonts w:ascii="宋体" w:hAnsi="宋体" w:eastAsia="宋体" w:cs="宋体"/>
          <w:color w:val="auto"/>
          <w:sz w:val="24"/>
          <w:highlight w:val="yellow"/>
        </w:rPr>
      </w:pPr>
    </w:p>
    <w:p w14:paraId="54BFD06A">
      <w:pPr>
        <w:pStyle w:val="16"/>
        <w:numPr>
          <w:ilvl w:val="0"/>
          <w:numId w:val="0"/>
        </w:numPr>
        <w:spacing w:before="30" w:after="30" w:line="288" w:lineRule="auto"/>
        <w:contextualSpacing/>
        <w:rPr>
          <w:rFonts w:ascii="宋体" w:hAnsi="宋体" w:eastAsia="宋体" w:cs="宋体"/>
          <w:color w:val="auto"/>
          <w:sz w:val="24"/>
          <w:highlight w:val="yellow"/>
        </w:rPr>
      </w:pPr>
    </w:p>
    <w:p w14:paraId="4E46BA0E">
      <w:pPr>
        <w:spacing w:before="60" w:after="60" w:line="288" w:lineRule="auto"/>
        <w:ind w:firstLine="480"/>
        <w:jc w:val="both"/>
        <w:rPr>
          <w:color w:val="auto"/>
        </w:rPr>
      </w:pPr>
      <w:r>
        <w:rPr>
          <w:rFonts w:ascii="宋体" w:hAnsi="宋体" w:eastAsia="宋体" w:cs="宋体"/>
          <w:color w:val="auto"/>
          <w:sz w:val="24"/>
        </w:rPr>
        <w:t>5.5.</w:t>
      </w:r>
      <w:r>
        <w:rPr>
          <w:rFonts w:hint="eastAsia" w:ascii="宋体" w:hAnsi="宋体" w:eastAsia="宋体" w:cs="宋体"/>
          <w:color w:val="auto"/>
          <w:sz w:val="24"/>
          <w:lang w:val="en-US" w:eastAsia="zh-CN"/>
        </w:rPr>
        <w:t>3</w:t>
      </w:r>
      <w:r>
        <w:rPr>
          <w:rFonts w:ascii="宋体" w:hAnsi="宋体" w:eastAsia="宋体" w:cs="宋体"/>
          <w:color w:val="auto"/>
          <w:sz w:val="24"/>
        </w:rPr>
        <w:t xml:space="preserve"> 玻璃钢围栏尺寸要求：</w:t>
      </w:r>
    </w:p>
    <w:p w14:paraId="53C81268">
      <w:pPr>
        <w:pStyle w:val="16"/>
        <w:numPr>
          <w:ilvl w:val="0"/>
          <w:numId w:val="7"/>
        </w:numPr>
        <w:spacing w:before="30" w:after="30" w:line="288" w:lineRule="auto"/>
        <w:ind w:left="980" w:hanging="360"/>
        <w:rPr>
          <w:rFonts w:hint="default" w:eastAsia="宋体"/>
          <w:color w:val="auto"/>
          <w:lang w:val="en-US" w:eastAsia="zh-CN"/>
        </w:rPr>
      </w:pPr>
      <w:r>
        <w:rPr>
          <w:rFonts w:ascii="宋体" w:hAnsi="宋体" w:eastAsia="宋体" w:cs="宋体"/>
          <w:color w:val="auto"/>
          <w:sz w:val="24"/>
        </w:rPr>
        <w:t>立柱截面尺寸不应小于5</w:t>
      </w:r>
      <w:r>
        <w:rPr>
          <w:rFonts w:hint="eastAsia" w:ascii="宋体" w:hAnsi="宋体" w:eastAsia="宋体" w:cs="宋体"/>
          <w:color w:val="auto"/>
          <w:sz w:val="24"/>
          <w:lang w:val="en-US" w:eastAsia="zh-CN"/>
        </w:rPr>
        <w:t>5</w:t>
      </w:r>
      <w:r>
        <w:rPr>
          <w:rFonts w:ascii="宋体" w:hAnsi="宋体" w:eastAsia="宋体" w:cs="宋体"/>
          <w:color w:val="auto"/>
          <w:sz w:val="24"/>
        </w:rPr>
        <w:t>mm×5</w:t>
      </w:r>
      <w:r>
        <w:rPr>
          <w:rFonts w:hint="eastAsia" w:ascii="宋体" w:hAnsi="宋体" w:eastAsia="宋体" w:cs="宋体"/>
          <w:color w:val="auto"/>
          <w:sz w:val="24"/>
          <w:lang w:val="en-US" w:eastAsia="zh-CN"/>
        </w:rPr>
        <w:t>5</w:t>
      </w:r>
      <w:r>
        <w:rPr>
          <w:rFonts w:ascii="宋体" w:hAnsi="宋体" w:eastAsia="宋体" w:cs="宋体"/>
          <w:color w:val="auto"/>
          <w:sz w:val="24"/>
        </w:rPr>
        <w:t>mm，壁厚不应小于</w:t>
      </w:r>
      <w:r>
        <w:rPr>
          <w:rFonts w:hint="eastAsia" w:ascii="宋体" w:hAnsi="宋体" w:eastAsia="宋体" w:cs="宋体"/>
          <w:color w:val="auto"/>
          <w:sz w:val="24"/>
          <w:lang w:val="en-US" w:eastAsia="zh-CN"/>
        </w:rPr>
        <w:t>2</w:t>
      </w:r>
      <w:r>
        <w:rPr>
          <w:rFonts w:ascii="宋体" w:hAnsi="宋体" w:eastAsia="宋体" w:cs="宋体"/>
          <w:color w:val="auto"/>
          <w:sz w:val="24"/>
        </w:rPr>
        <w:t>.0mm</w:t>
      </w:r>
    </w:p>
    <w:p w14:paraId="2AD3A993">
      <w:pPr>
        <w:pStyle w:val="16"/>
        <w:numPr>
          <w:ilvl w:val="0"/>
          <w:numId w:val="7"/>
        </w:numPr>
        <w:spacing w:before="30" w:after="30" w:line="288" w:lineRule="auto"/>
        <w:ind w:left="980" w:hanging="360"/>
        <w:rPr>
          <w:color w:val="auto"/>
        </w:rPr>
      </w:pPr>
      <w:r>
        <w:rPr>
          <w:rFonts w:ascii="宋体" w:hAnsi="宋体" w:eastAsia="宋体" w:cs="宋体"/>
          <w:color w:val="auto"/>
          <w:sz w:val="24"/>
        </w:rPr>
        <w:t>横杆截面尺寸不应小于</w:t>
      </w:r>
      <w:r>
        <w:rPr>
          <w:rFonts w:hint="eastAsia" w:ascii="宋体" w:hAnsi="宋体" w:eastAsia="宋体" w:cs="宋体"/>
          <w:color w:val="auto"/>
          <w:sz w:val="24"/>
          <w:lang w:val="en-US" w:eastAsia="zh-CN"/>
        </w:rPr>
        <w:t>3</w:t>
      </w:r>
      <w:r>
        <w:rPr>
          <w:rFonts w:ascii="宋体" w:hAnsi="宋体" w:eastAsia="宋体" w:cs="宋体"/>
          <w:color w:val="auto"/>
          <w:sz w:val="24"/>
        </w:rPr>
        <w:t>0mm×</w:t>
      </w:r>
      <w:r>
        <w:rPr>
          <w:rFonts w:hint="eastAsia" w:ascii="宋体" w:hAnsi="宋体" w:eastAsia="宋体" w:cs="宋体"/>
          <w:color w:val="auto"/>
          <w:sz w:val="24"/>
          <w:lang w:val="en-US" w:eastAsia="zh-CN"/>
        </w:rPr>
        <w:t>5</w:t>
      </w:r>
      <w:r>
        <w:rPr>
          <w:rFonts w:ascii="宋体" w:hAnsi="宋体" w:eastAsia="宋体" w:cs="宋体"/>
          <w:color w:val="auto"/>
          <w:sz w:val="24"/>
        </w:rPr>
        <w:t>0mm，壁厚不应小于</w:t>
      </w:r>
      <w:r>
        <w:rPr>
          <w:rFonts w:hint="eastAsia" w:ascii="宋体" w:hAnsi="宋体" w:eastAsia="宋体" w:cs="宋体"/>
          <w:color w:val="auto"/>
          <w:sz w:val="24"/>
          <w:lang w:val="en-US" w:eastAsia="zh-CN"/>
        </w:rPr>
        <w:t>2</w:t>
      </w:r>
      <w:r>
        <w:rPr>
          <w:rFonts w:ascii="宋体" w:hAnsi="宋体" w:eastAsia="宋体" w:cs="宋体"/>
          <w:color w:val="auto"/>
          <w:sz w:val="24"/>
        </w:rPr>
        <w:t>.0mm</w:t>
      </w:r>
    </w:p>
    <w:p w14:paraId="6D64F2C8">
      <w:pPr>
        <w:pStyle w:val="16"/>
        <w:numPr>
          <w:ilvl w:val="0"/>
          <w:numId w:val="7"/>
        </w:numPr>
        <w:spacing w:before="30" w:after="30" w:line="288" w:lineRule="auto"/>
        <w:ind w:left="980" w:hanging="360"/>
        <w:rPr>
          <w:color w:val="auto"/>
        </w:rPr>
      </w:pPr>
      <w:r>
        <w:rPr>
          <w:rFonts w:ascii="宋体" w:hAnsi="宋体" w:eastAsia="宋体" w:cs="宋体"/>
          <w:color w:val="auto"/>
          <w:sz w:val="24"/>
        </w:rPr>
        <w:t>栏片截面尺寸不应小于</w:t>
      </w:r>
      <w:r>
        <w:rPr>
          <w:rFonts w:hint="eastAsia" w:ascii="宋体" w:hAnsi="宋体" w:eastAsia="宋体" w:cs="宋体"/>
          <w:color w:val="auto"/>
          <w:sz w:val="24"/>
          <w:lang w:val="en-US" w:eastAsia="zh-CN"/>
        </w:rPr>
        <w:t>2</w:t>
      </w:r>
      <w:r>
        <w:rPr>
          <w:rFonts w:ascii="宋体" w:hAnsi="宋体" w:eastAsia="宋体" w:cs="宋体"/>
          <w:color w:val="auto"/>
          <w:sz w:val="24"/>
        </w:rPr>
        <w:t>0mm×</w:t>
      </w:r>
      <w:r>
        <w:rPr>
          <w:rFonts w:hint="eastAsia" w:ascii="宋体" w:hAnsi="宋体" w:eastAsia="宋体" w:cs="宋体"/>
          <w:color w:val="auto"/>
          <w:sz w:val="24"/>
          <w:lang w:val="en-US" w:eastAsia="zh-CN"/>
        </w:rPr>
        <w:t>40</w:t>
      </w:r>
      <w:r>
        <w:rPr>
          <w:rFonts w:ascii="宋体" w:hAnsi="宋体" w:eastAsia="宋体" w:cs="宋体"/>
          <w:color w:val="auto"/>
          <w:sz w:val="24"/>
        </w:rPr>
        <w:t>mm，壁厚不应小于</w:t>
      </w:r>
      <w:r>
        <w:rPr>
          <w:rFonts w:hint="eastAsia" w:ascii="宋体" w:hAnsi="宋体" w:eastAsia="宋体" w:cs="宋体"/>
          <w:color w:val="auto"/>
          <w:sz w:val="24"/>
          <w:lang w:val="en-US" w:eastAsia="zh-CN"/>
        </w:rPr>
        <w:t>2</w:t>
      </w:r>
      <w:r>
        <w:rPr>
          <w:rFonts w:ascii="宋体" w:hAnsi="宋体" w:eastAsia="宋体" w:cs="宋体"/>
          <w:color w:val="auto"/>
          <w:sz w:val="24"/>
        </w:rPr>
        <w:t>.0mm</w:t>
      </w:r>
    </w:p>
    <w:p w14:paraId="5613FAA1">
      <w:pPr>
        <w:spacing w:before="60" w:after="60" w:line="288" w:lineRule="auto"/>
        <w:ind w:firstLine="480"/>
        <w:jc w:val="both"/>
        <w:rPr>
          <w:color w:val="auto"/>
        </w:rPr>
      </w:pPr>
      <w:r>
        <w:rPr>
          <w:rFonts w:ascii="宋体" w:hAnsi="宋体" w:eastAsia="宋体" w:cs="宋体"/>
          <w:color w:val="auto"/>
          <w:sz w:val="24"/>
        </w:rPr>
        <w:t>5.5.</w:t>
      </w:r>
      <w:r>
        <w:rPr>
          <w:rFonts w:hint="eastAsia" w:ascii="宋体" w:hAnsi="宋体" w:eastAsia="宋体" w:cs="宋体"/>
          <w:color w:val="auto"/>
          <w:sz w:val="24"/>
          <w:lang w:val="en-US" w:eastAsia="zh-CN"/>
        </w:rPr>
        <w:t>4</w:t>
      </w:r>
      <w:r>
        <w:rPr>
          <w:rFonts w:ascii="宋体" w:hAnsi="宋体" w:eastAsia="宋体" w:cs="宋体"/>
          <w:color w:val="auto"/>
          <w:sz w:val="24"/>
        </w:rPr>
        <w:t xml:space="preserve"> PVC围栏尺寸要求：</w:t>
      </w:r>
    </w:p>
    <w:p w14:paraId="15E6D88C">
      <w:pPr>
        <w:pStyle w:val="16"/>
        <w:numPr>
          <w:ilvl w:val="0"/>
          <w:numId w:val="7"/>
        </w:numPr>
        <w:spacing w:before="30" w:after="30" w:line="288" w:lineRule="auto"/>
        <w:ind w:left="980" w:hanging="360"/>
        <w:rPr>
          <w:color w:val="auto"/>
        </w:rPr>
      </w:pPr>
      <w:r>
        <w:rPr>
          <w:rFonts w:ascii="宋体" w:hAnsi="宋体" w:eastAsia="宋体" w:cs="宋体"/>
          <w:color w:val="auto"/>
          <w:sz w:val="24"/>
        </w:rPr>
        <w:t>立柱截面尺寸不应小于</w:t>
      </w:r>
      <w:r>
        <w:rPr>
          <w:rFonts w:hint="eastAsia" w:ascii="宋体" w:hAnsi="宋体" w:eastAsia="宋体" w:cs="宋体"/>
          <w:color w:val="auto"/>
          <w:sz w:val="24"/>
          <w:lang w:val="en-US" w:eastAsia="zh-CN"/>
        </w:rPr>
        <w:t>8</w:t>
      </w:r>
      <w:r>
        <w:rPr>
          <w:rFonts w:ascii="宋体" w:hAnsi="宋体" w:eastAsia="宋体" w:cs="宋体"/>
          <w:color w:val="auto"/>
          <w:sz w:val="24"/>
        </w:rPr>
        <w:t>0mm×</w:t>
      </w:r>
      <w:r>
        <w:rPr>
          <w:rFonts w:hint="eastAsia" w:ascii="宋体" w:hAnsi="宋体" w:eastAsia="宋体" w:cs="宋体"/>
          <w:color w:val="auto"/>
          <w:sz w:val="24"/>
          <w:lang w:val="en-US" w:eastAsia="zh-CN"/>
        </w:rPr>
        <w:t>8</w:t>
      </w:r>
      <w:r>
        <w:rPr>
          <w:rFonts w:ascii="宋体" w:hAnsi="宋体" w:eastAsia="宋体" w:cs="宋体"/>
          <w:color w:val="auto"/>
          <w:sz w:val="24"/>
        </w:rPr>
        <w:t>0mm，壁厚不应小于</w:t>
      </w:r>
      <w:r>
        <w:rPr>
          <w:rFonts w:hint="eastAsia" w:ascii="宋体" w:hAnsi="宋体" w:eastAsia="宋体" w:cs="宋体"/>
          <w:color w:val="auto"/>
          <w:sz w:val="24"/>
          <w:lang w:val="en-US" w:eastAsia="zh-CN"/>
        </w:rPr>
        <w:t>1.6</w:t>
      </w:r>
      <w:r>
        <w:rPr>
          <w:rFonts w:ascii="宋体" w:hAnsi="宋体" w:eastAsia="宋体" w:cs="宋体"/>
          <w:color w:val="auto"/>
          <w:sz w:val="24"/>
        </w:rPr>
        <w:t>mm</w:t>
      </w:r>
    </w:p>
    <w:p w14:paraId="1D977130">
      <w:pPr>
        <w:pStyle w:val="16"/>
        <w:numPr>
          <w:ilvl w:val="0"/>
          <w:numId w:val="0"/>
        </w:numPr>
        <w:spacing w:before="30" w:after="30" w:line="288" w:lineRule="auto"/>
        <w:ind w:firstLine="960" w:firstLineChars="400"/>
        <w:rPr>
          <w:color w:val="auto"/>
        </w:rPr>
      </w:pPr>
      <w:r>
        <w:rPr>
          <w:rFonts w:hint="eastAsia" w:ascii="宋体" w:hAnsi="宋体" w:eastAsia="宋体" w:cs="宋体"/>
          <w:color w:val="auto"/>
          <w:sz w:val="24"/>
          <w:lang w:val="en-US" w:eastAsia="zh-CN"/>
        </w:rPr>
        <w:t>钢制方管加强筋</w:t>
      </w:r>
      <w:r>
        <w:rPr>
          <w:rFonts w:ascii="宋体" w:hAnsi="宋体" w:eastAsia="宋体" w:cs="宋体"/>
          <w:color w:val="auto"/>
          <w:sz w:val="24"/>
        </w:rPr>
        <w:t>截面尺寸不应小于</w:t>
      </w:r>
      <w:r>
        <w:rPr>
          <w:rFonts w:hint="eastAsia" w:ascii="宋体" w:hAnsi="宋体" w:eastAsia="宋体" w:cs="宋体"/>
          <w:color w:val="auto"/>
          <w:sz w:val="24"/>
          <w:lang w:val="en-US" w:eastAsia="zh-CN"/>
        </w:rPr>
        <w:t>75</w:t>
      </w:r>
      <w:r>
        <w:rPr>
          <w:rFonts w:ascii="宋体" w:hAnsi="宋体" w:eastAsia="宋体" w:cs="宋体"/>
          <w:color w:val="auto"/>
          <w:sz w:val="24"/>
        </w:rPr>
        <w:t>mm×</w:t>
      </w:r>
      <w:r>
        <w:rPr>
          <w:rFonts w:hint="eastAsia" w:ascii="宋体" w:hAnsi="宋体" w:eastAsia="宋体" w:cs="宋体"/>
          <w:color w:val="auto"/>
          <w:sz w:val="24"/>
          <w:lang w:val="en-US" w:eastAsia="zh-CN"/>
        </w:rPr>
        <w:t>75</w:t>
      </w:r>
      <w:r>
        <w:rPr>
          <w:rFonts w:ascii="宋体" w:hAnsi="宋体" w:eastAsia="宋体" w:cs="宋体"/>
          <w:color w:val="auto"/>
          <w:sz w:val="24"/>
        </w:rPr>
        <w:t>mm，壁厚不应小于</w:t>
      </w:r>
      <w:r>
        <w:rPr>
          <w:rFonts w:hint="eastAsia" w:ascii="宋体" w:hAnsi="宋体" w:eastAsia="宋体" w:cs="宋体"/>
          <w:color w:val="auto"/>
          <w:sz w:val="24"/>
          <w:lang w:val="en-US" w:eastAsia="zh-CN"/>
        </w:rPr>
        <w:t>1.5</w:t>
      </w:r>
      <w:r>
        <w:rPr>
          <w:rFonts w:ascii="宋体" w:hAnsi="宋体" w:eastAsia="宋体" w:cs="宋体"/>
          <w:color w:val="auto"/>
          <w:sz w:val="24"/>
        </w:rPr>
        <w:t>mm</w:t>
      </w:r>
    </w:p>
    <w:p w14:paraId="6E9FA028">
      <w:pPr>
        <w:pStyle w:val="16"/>
        <w:numPr>
          <w:ilvl w:val="0"/>
          <w:numId w:val="7"/>
        </w:numPr>
        <w:spacing w:before="30" w:after="30" w:line="288" w:lineRule="auto"/>
        <w:ind w:left="980" w:hanging="360"/>
        <w:rPr>
          <w:color w:val="auto"/>
        </w:rPr>
      </w:pPr>
      <w:r>
        <w:rPr>
          <w:rFonts w:ascii="宋体" w:hAnsi="宋体" w:eastAsia="宋体" w:cs="宋体"/>
          <w:color w:val="auto"/>
          <w:sz w:val="24"/>
        </w:rPr>
        <w:t>横杆截面尺寸不应小于</w:t>
      </w:r>
      <w:r>
        <w:rPr>
          <w:rFonts w:hint="eastAsia" w:ascii="宋体" w:hAnsi="宋体" w:eastAsia="宋体" w:cs="宋体"/>
          <w:color w:val="auto"/>
          <w:sz w:val="24"/>
          <w:lang w:val="en-US" w:eastAsia="zh-CN"/>
        </w:rPr>
        <w:t>35</w:t>
      </w:r>
      <w:r>
        <w:rPr>
          <w:rFonts w:ascii="宋体" w:hAnsi="宋体" w:eastAsia="宋体" w:cs="宋体"/>
          <w:color w:val="auto"/>
          <w:sz w:val="24"/>
        </w:rPr>
        <w:t>mm×5</w:t>
      </w:r>
      <w:r>
        <w:rPr>
          <w:rFonts w:hint="eastAsia" w:ascii="宋体" w:hAnsi="宋体" w:eastAsia="宋体" w:cs="宋体"/>
          <w:color w:val="auto"/>
          <w:sz w:val="24"/>
          <w:lang w:val="en-US" w:eastAsia="zh-CN"/>
        </w:rPr>
        <w:t>5</w:t>
      </w:r>
      <w:r>
        <w:rPr>
          <w:rFonts w:ascii="宋体" w:hAnsi="宋体" w:eastAsia="宋体" w:cs="宋体"/>
          <w:color w:val="auto"/>
          <w:sz w:val="24"/>
        </w:rPr>
        <w:t>mm，壁厚不应小于</w:t>
      </w:r>
      <w:r>
        <w:rPr>
          <w:rFonts w:hint="eastAsia" w:ascii="宋体" w:hAnsi="宋体" w:eastAsia="宋体" w:cs="宋体"/>
          <w:color w:val="auto"/>
          <w:sz w:val="24"/>
          <w:lang w:val="en-US" w:eastAsia="zh-CN"/>
        </w:rPr>
        <w:t>1.4</w:t>
      </w:r>
      <w:r>
        <w:rPr>
          <w:rFonts w:ascii="宋体" w:hAnsi="宋体" w:eastAsia="宋体" w:cs="宋体"/>
          <w:color w:val="auto"/>
          <w:sz w:val="24"/>
        </w:rPr>
        <w:t>mm</w:t>
      </w:r>
    </w:p>
    <w:p w14:paraId="7DBA709B">
      <w:pPr>
        <w:pStyle w:val="16"/>
        <w:numPr>
          <w:ilvl w:val="0"/>
          <w:numId w:val="0"/>
        </w:numPr>
        <w:spacing w:before="30" w:after="30" w:line="288" w:lineRule="auto"/>
        <w:ind w:firstLine="960" w:firstLineChars="400"/>
        <w:rPr>
          <w:color w:val="auto"/>
        </w:rPr>
      </w:pPr>
      <w:r>
        <w:rPr>
          <w:rFonts w:hint="eastAsia" w:ascii="宋体" w:hAnsi="宋体" w:eastAsia="宋体" w:cs="宋体"/>
          <w:color w:val="auto"/>
          <w:sz w:val="24"/>
          <w:lang w:val="en-US" w:eastAsia="zh-CN"/>
        </w:rPr>
        <w:t>钢制方管加强筋</w:t>
      </w:r>
      <w:r>
        <w:rPr>
          <w:rFonts w:ascii="宋体" w:hAnsi="宋体" w:eastAsia="宋体" w:cs="宋体"/>
          <w:color w:val="auto"/>
          <w:sz w:val="24"/>
        </w:rPr>
        <w:t>截面尺寸不应小于</w:t>
      </w:r>
      <w:r>
        <w:rPr>
          <w:rFonts w:hint="eastAsia" w:ascii="宋体" w:hAnsi="宋体" w:eastAsia="宋体" w:cs="宋体"/>
          <w:color w:val="auto"/>
          <w:sz w:val="24"/>
          <w:lang w:val="en-US" w:eastAsia="zh-CN"/>
        </w:rPr>
        <w:t>30</w:t>
      </w:r>
      <w:r>
        <w:rPr>
          <w:rFonts w:ascii="宋体" w:hAnsi="宋体" w:eastAsia="宋体" w:cs="宋体"/>
          <w:color w:val="auto"/>
          <w:sz w:val="24"/>
        </w:rPr>
        <w:t>mm×</w:t>
      </w:r>
      <w:r>
        <w:rPr>
          <w:rFonts w:hint="eastAsia" w:ascii="宋体" w:hAnsi="宋体" w:eastAsia="宋体" w:cs="宋体"/>
          <w:color w:val="auto"/>
          <w:sz w:val="24"/>
          <w:lang w:val="en-US" w:eastAsia="zh-CN"/>
        </w:rPr>
        <w:t>50</w:t>
      </w:r>
      <w:r>
        <w:rPr>
          <w:rFonts w:ascii="宋体" w:hAnsi="宋体" w:eastAsia="宋体" w:cs="宋体"/>
          <w:color w:val="auto"/>
          <w:sz w:val="24"/>
        </w:rPr>
        <w:t>mm，壁厚不应小于</w:t>
      </w:r>
      <w:r>
        <w:rPr>
          <w:rFonts w:hint="eastAsia" w:ascii="宋体" w:hAnsi="宋体" w:eastAsia="宋体" w:cs="宋体"/>
          <w:color w:val="auto"/>
          <w:sz w:val="24"/>
          <w:lang w:val="en-US" w:eastAsia="zh-CN"/>
        </w:rPr>
        <w:t>1.5</w:t>
      </w:r>
      <w:r>
        <w:rPr>
          <w:rFonts w:ascii="宋体" w:hAnsi="宋体" w:eastAsia="宋体" w:cs="宋体"/>
          <w:color w:val="auto"/>
          <w:sz w:val="24"/>
        </w:rPr>
        <w:t>mm</w:t>
      </w:r>
    </w:p>
    <w:p w14:paraId="5AE34D20">
      <w:pPr>
        <w:pStyle w:val="16"/>
        <w:numPr>
          <w:ilvl w:val="0"/>
          <w:numId w:val="7"/>
        </w:numPr>
        <w:spacing w:before="30" w:after="30" w:line="288" w:lineRule="auto"/>
        <w:ind w:left="980" w:hanging="360"/>
        <w:rPr>
          <w:color w:val="auto"/>
        </w:rPr>
      </w:pPr>
      <w:r>
        <w:rPr>
          <w:rFonts w:ascii="宋体" w:hAnsi="宋体" w:eastAsia="宋体" w:cs="宋体"/>
          <w:color w:val="auto"/>
          <w:sz w:val="24"/>
        </w:rPr>
        <w:t>栏片截面尺寸不应小于</w:t>
      </w:r>
      <w:r>
        <w:rPr>
          <w:rFonts w:hint="eastAsia" w:ascii="宋体" w:hAnsi="宋体" w:eastAsia="宋体" w:cs="宋体"/>
          <w:color w:val="auto"/>
          <w:sz w:val="24"/>
          <w:lang w:val="en-US" w:eastAsia="zh-CN"/>
        </w:rPr>
        <w:t>25</w:t>
      </w:r>
      <w:r>
        <w:rPr>
          <w:rFonts w:ascii="宋体" w:hAnsi="宋体" w:eastAsia="宋体" w:cs="宋体"/>
          <w:color w:val="auto"/>
          <w:sz w:val="24"/>
        </w:rPr>
        <w:t>mm×</w:t>
      </w:r>
      <w:r>
        <w:rPr>
          <w:rFonts w:hint="eastAsia" w:ascii="宋体" w:hAnsi="宋体" w:eastAsia="宋体" w:cs="宋体"/>
          <w:color w:val="auto"/>
          <w:sz w:val="24"/>
          <w:lang w:val="en-US" w:eastAsia="zh-CN"/>
        </w:rPr>
        <w:t>76</w:t>
      </w:r>
      <w:r>
        <w:rPr>
          <w:rFonts w:ascii="宋体" w:hAnsi="宋体" w:eastAsia="宋体" w:cs="宋体"/>
          <w:color w:val="auto"/>
          <w:sz w:val="24"/>
        </w:rPr>
        <w:t>mm，壁厚不应小于</w:t>
      </w:r>
      <w:r>
        <w:rPr>
          <w:rFonts w:hint="eastAsia" w:ascii="宋体" w:hAnsi="宋体" w:eastAsia="宋体" w:cs="宋体"/>
          <w:color w:val="auto"/>
          <w:sz w:val="24"/>
          <w:lang w:val="en-US" w:eastAsia="zh-CN"/>
        </w:rPr>
        <w:t>1.2</w:t>
      </w:r>
      <w:r>
        <w:rPr>
          <w:rFonts w:ascii="宋体" w:hAnsi="宋体" w:eastAsia="宋体" w:cs="宋体"/>
          <w:color w:val="auto"/>
          <w:sz w:val="24"/>
        </w:rPr>
        <w:t>mm</w:t>
      </w:r>
    </w:p>
    <w:p w14:paraId="53C07BFE">
      <w:pPr>
        <w:pStyle w:val="4"/>
        <w:keepNext w:val="0"/>
        <w:keepLines w:val="0"/>
        <w:pageBreakBefore w:val="0"/>
        <w:spacing w:before="240" w:after="120" w:line="288" w:lineRule="auto"/>
        <w:outlineLvl w:val="1"/>
        <w:rPr>
          <w:color w:val="auto"/>
        </w:rPr>
      </w:pPr>
      <w:r>
        <w:rPr>
          <w:rFonts w:ascii="黑体" w:hAnsi="黑体" w:eastAsia="黑体" w:cs="黑体"/>
          <w:b/>
          <w:color w:val="auto"/>
          <w:sz w:val="32"/>
        </w:rPr>
        <w:t>5.6 力学性能要求</w:t>
      </w:r>
    </w:p>
    <w:p w14:paraId="47FC9B8D">
      <w:pPr>
        <w:spacing w:before="60" w:after="60" w:line="288" w:lineRule="auto"/>
        <w:ind w:firstLine="480"/>
        <w:jc w:val="both"/>
        <w:rPr>
          <w:color w:val="auto"/>
        </w:rPr>
      </w:pPr>
      <w:r>
        <w:rPr>
          <w:rFonts w:ascii="宋体" w:hAnsi="宋体" w:eastAsia="宋体" w:cs="宋体"/>
          <w:color w:val="auto"/>
          <w:sz w:val="24"/>
        </w:rPr>
        <w:t xml:space="preserve">5.6.1 </w:t>
      </w:r>
      <w:r>
        <w:rPr>
          <w:rFonts w:ascii="Segoe UI Emoji" w:hAnsi="Segoe UI Emoji" w:eastAsia="Segoe UI Emoji" w:cs="Segoe UI Emoji"/>
          <w:b/>
          <w:color w:val="auto"/>
          <w:sz w:val="24"/>
        </w:rPr>
        <w:t>★</w:t>
      </w:r>
      <w:r>
        <w:rPr>
          <w:rFonts w:ascii="宋体" w:hAnsi="宋体" w:eastAsia="宋体" w:cs="宋体"/>
          <w:color w:val="auto"/>
          <w:sz w:val="24"/>
        </w:rPr>
        <w:t>水平载荷：围栏顶部施加水平集中载荷1.0kN时，最大变形不应大于30mm，卸载后残余变形不应大于5mm。</w:t>
      </w:r>
    </w:p>
    <w:p w14:paraId="2B7525BB">
      <w:pPr>
        <w:spacing w:before="60" w:after="60" w:line="288" w:lineRule="auto"/>
        <w:ind w:firstLine="480"/>
        <w:jc w:val="both"/>
        <w:rPr>
          <w:color w:val="auto"/>
        </w:rPr>
      </w:pPr>
      <w:r>
        <w:rPr>
          <w:rFonts w:ascii="宋体" w:hAnsi="宋体" w:eastAsia="宋体" w:cs="宋体"/>
          <w:color w:val="auto"/>
          <w:sz w:val="24"/>
        </w:rPr>
        <w:t xml:space="preserve">5.6.2 </w:t>
      </w:r>
      <w:r>
        <w:rPr>
          <w:rFonts w:ascii="Segoe UI Emoji" w:hAnsi="Segoe UI Emoji" w:eastAsia="Segoe UI Emoji" w:cs="Segoe UI Emoji"/>
          <w:b/>
          <w:color w:val="auto"/>
          <w:sz w:val="24"/>
        </w:rPr>
        <w:t>★</w:t>
      </w:r>
      <w:r>
        <w:rPr>
          <w:rFonts w:ascii="宋体" w:hAnsi="宋体" w:eastAsia="宋体" w:cs="宋体"/>
          <w:color w:val="auto"/>
          <w:sz w:val="24"/>
        </w:rPr>
        <w:t>垂直载荷：围栏顶部施加垂直集中载荷1.5kN时，各部件不应出现永久变形、裂纹或损坏。</w:t>
      </w:r>
    </w:p>
    <w:p w14:paraId="414D180C">
      <w:pPr>
        <w:spacing w:before="60" w:after="60" w:line="288" w:lineRule="auto"/>
        <w:ind w:firstLine="480"/>
        <w:jc w:val="both"/>
        <w:rPr>
          <w:color w:val="auto"/>
        </w:rPr>
      </w:pPr>
      <w:r>
        <w:rPr>
          <w:rFonts w:ascii="宋体" w:hAnsi="宋体" w:eastAsia="宋体" w:cs="宋体"/>
          <w:color w:val="auto"/>
          <w:sz w:val="24"/>
        </w:rPr>
        <w:t xml:space="preserve">5.6.3 </w:t>
      </w:r>
      <w:r>
        <w:rPr>
          <w:rFonts w:ascii="Segoe UI Emoji" w:hAnsi="Segoe UI Emoji" w:eastAsia="Segoe UI Emoji" w:cs="Segoe UI Emoji"/>
          <w:b/>
          <w:color w:val="auto"/>
          <w:sz w:val="24"/>
        </w:rPr>
        <w:t>★</w:t>
      </w:r>
      <w:r>
        <w:rPr>
          <w:rFonts w:ascii="宋体" w:hAnsi="宋体" w:eastAsia="宋体" w:cs="宋体"/>
          <w:color w:val="auto"/>
          <w:sz w:val="24"/>
        </w:rPr>
        <w:t>冲击性能：围栏应能承受高度0.5m、质量10kg的摆锤冲击试验，冲击后不应出现断裂或影响使用的变形。</w:t>
      </w:r>
    </w:p>
    <w:p w14:paraId="583E84E1">
      <w:pPr>
        <w:spacing w:before="60" w:after="60" w:line="288" w:lineRule="auto"/>
        <w:ind w:firstLine="480"/>
        <w:jc w:val="both"/>
        <w:rPr>
          <w:color w:val="auto"/>
        </w:rPr>
      </w:pPr>
      <w:r>
        <w:rPr>
          <w:rFonts w:ascii="宋体" w:hAnsi="宋体" w:eastAsia="宋体" w:cs="宋体"/>
          <w:color w:val="auto"/>
          <w:sz w:val="24"/>
        </w:rPr>
        <w:t xml:space="preserve">5.6.4 </w:t>
      </w:r>
      <w:r>
        <w:rPr>
          <w:rFonts w:ascii="Segoe UI Emoji" w:hAnsi="Segoe UI Emoji" w:eastAsia="Segoe UI Emoji" w:cs="Segoe UI Emoji"/>
          <w:b/>
          <w:color w:val="auto"/>
          <w:sz w:val="24"/>
        </w:rPr>
        <w:t>★</w:t>
      </w:r>
      <w:r>
        <w:rPr>
          <w:rFonts w:ascii="宋体" w:hAnsi="宋体" w:eastAsia="宋体" w:cs="宋体"/>
          <w:color w:val="auto"/>
          <w:sz w:val="24"/>
        </w:rPr>
        <w:t>稳定性：移动式围栏在水平推力0.5kN作用下不应倾覆。</w:t>
      </w:r>
    </w:p>
    <w:p w14:paraId="771D4F3E">
      <w:pPr>
        <w:spacing w:before="60" w:after="60" w:line="288" w:lineRule="auto"/>
        <w:ind w:firstLine="480"/>
        <w:jc w:val="both"/>
        <w:rPr>
          <w:color w:val="auto"/>
        </w:rPr>
      </w:pPr>
      <w:r>
        <w:rPr>
          <w:rFonts w:ascii="宋体" w:hAnsi="宋体" w:eastAsia="宋体" w:cs="宋体"/>
          <w:color w:val="auto"/>
          <w:sz w:val="24"/>
        </w:rPr>
        <w:t>5.6.5 玻璃钢围栏专项力学性能：</w:t>
      </w:r>
    </w:p>
    <w:p w14:paraId="43E4A362">
      <w:pPr>
        <w:pStyle w:val="16"/>
        <w:numPr>
          <w:ilvl w:val="0"/>
          <w:numId w:val="7"/>
        </w:numPr>
        <w:spacing w:before="30" w:after="30" w:line="288" w:lineRule="auto"/>
        <w:ind w:left="980" w:hanging="360"/>
        <w:rPr>
          <w:color w:val="auto"/>
        </w:rPr>
      </w:pPr>
      <w:r>
        <w:rPr>
          <w:rFonts w:ascii="宋体" w:hAnsi="宋体" w:eastAsia="宋体" w:cs="宋体"/>
          <w:color w:val="auto"/>
          <w:sz w:val="24"/>
        </w:rPr>
        <w:t>拉伸强度（纵向）不应低于300MPa</w:t>
      </w:r>
    </w:p>
    <w:p w14:paraId="287758B0">
      <w:pPr>
        <w:pStyle w:val="16"/>
        <w:numPr>
          <w:ilvl w:val="0"/>
          <w:numId w:val="7"/>
        </w:numPr>
        <w:spacing w:before="30" w:after="30" w:line="288" w:lineRule="auto"/>
        <w:ind w:left="980" w:hanging="360"/>
        <w:rPr>
          <w:color w:val="auto"/>
        </w:rPr>
      </w:pPr>
      <w:r>
        <w:rPr>
          <w:rFonts w:ascii="宋体" w:hAnsi="宋体" w:eastAsia="宋体" w:cs="宋体"/>
          <w:color w:val="auto"/>
          <w:sz w:val="24"/>
        </w:rPr>
        <w:t>弯曲强度不应低于200MPa</w:t>
      </w:r>
    </w:p>
    <w:p w14:paraId="57FF057E">
      <w:pPr>
        <w:pStyle w:val="16"/>
        <w:numPr>
          <w:ilvl w:val="0"/>
          <w:numId w:val="7"/>
        </w:numPr>
        <w:spacing w:before="30" w:after="30" w:line="288" w:lineRule="auto"/>
        <w:ind w:left="980" w:hanging="360"/>
        <w:rPr>
          <w:color w:val="auto"/>
        </w:rPr>
      </w:pPr>
      <w:r>
        <w:rPr>
          <w:rFonts w:ascii="宋体" w:hAnsi="宋体" w:eastAsia="宋体" w:cs="宋体"/>
          <w:color w:val="auto"/>
          <w:sz w:val="24"/>
        </w:rPr>
        <w:t>弯曲弹性模量不应低于20GPa</w:t>
      </w:r>
    </w:p>
    <w:p w14:paraId="6F4B107A">
      <w:pPr>
        <w:pStyle w:val="16"/>
        <w:numPr>
          <w:ilvl w:val="0"/>
          <w:numId w:val="7"/>
        </w:numPr>
        <w:spacing w:before="30" w:after="30" w:line="288" w:lineRule="auto"/>
        <w:ind w:left="980" w:hanging="360"/>
        <w:rPr>
          <w:color w:val="auto"/>
        </w:rPr>
      </w:pPr>
      <w:r>
        <w:rPr>
          <w:rFonts w:ascii="宋体" w:hAnsi="宋体" w:eastAsia="宋体" w:cs="宋体"/>
          <w:color w:val="auto"/>
          <w:sz w:val="24"/>
        </w:rPr>
        <w:t>巴氏硬度不应低于40</w:t>
      </w:r>
    </w:p>
    <w:p w14:paraId="6297B30A">
      <w:pPr>
        <w:spacing w:before="60" w:after="60" w:line="288" w:lineRule="auto"/>
        <w:ind w:firstLine="480"/>
        <w:jc w:val="both"/>
        <w:rPr>
          <w:color w:val="auto"/>
        </w:rPr>
      </w:pPr>
      <w:r>
        <w:rPr>
          <w:rFonts w:ascii="宋体" w:hAnsi="宋体" w:eastAsia="宋体" w:cs="宋体"/>
          <w:color w:val="auto"/>
          <w:sz w:val="24"/>
        </w:rPr>
        <w:t>5.6.6 PVC围栏专项力学性能：</w:t>
      </w:r>
    </w:p>
    <w:p w14:paraId="21C93031">
      <w:pPr>
        <w:pStyle w:val="16"/>
        <w:numPr>
          <w:ilvl w:val="0"/>
          <w:numId w:val="7"/>
        </w:numPr>
        <w:spacing w:before="30" w:after="30" w:line="288" w:lineRule="auto"/>
        <w:ind w:left="980" w:hanging="360"/>
        <w:rPr>
          <w:color w:val="auto"/>
        </w:rPr>
      </w:pPr>
      <w:r>
        <w:rPr>
          <w:rFonts w:ascii="宋体" w:hAnsi="宋体" w:eastAsia="宋体" w:cs="宋体"/>
          <w:color w:val="auto"/>
          <w:sz w:val="24"/>
        </w:rPr>
        <w:t>拉伸屈服强度不应低于37MPa</w:t>
      </w:r>
    </w:p>
    <w:p w14:paraId="5DBBBFA8">
      <w:pPr>
        <w:pStyle w:val="16"/>
        <w:numPr>
          <w:ilvl w:val="0"/>
          <w:numId w:val="7"/>
        </w:numPr>
        <w:spacing w:before="30" w:after="30" w:line="288" w:lineRule="auto"/>
        <w:ind w:left="980" w:hanging="360"/>
        <w:rPr>
          <w:color w:val="auto"/>
        </w:rPr>
      </w:pPr>
      <w:r>
        <w:rPr>
          <w:rFonts w:ascii="宋体" w:hAnsi="宋体" w:eastAsia="宋体" w:cs="宋体"/>
          <w:color w:val="auto"/>
          <w:sz w:val="24"/>
        </w:rPr>
        <w:t>弯曲弹性模量不应低于2200MPa</w:t>
      </w:r>
    </w:p>
    <w:p w14:paraId="4FF40C4D">
      <w:pPr>
        <w:pStyle w:val="16"/>
        <w:numPr>
          <w:ilvl w:val="0"/>
          <w:numId w:val="7"/>
        </w:numPr>
        <w:spacing w:before="30" w:after="30" w:line="288" w:lineRule="auto"/>
        <w:ind w:left="980" w:hanging="360"/>
        <w:rPr>
          <w:color w:val="auto"/>
        </w:rPr>
      </w:pPr>
      <w:r>
        <w:rPr>
          <w:rFonts w:ascii="宋体" w:hAnsi="宋体" w:eastAsia="宋体" w:cs="宋体"/>
          <w:color w:val="auto"/>
          <w:sz w:val="24"/>
        </w:rPr>
        <w:t>简支梁冲击强度（23℃）不应低于40kJ/m²</w:t>
      </w:r>
    </w:p>
    <w:p w14:paraId="26F58696">
      <w:pPr>
        <w:pStyle w:val="16"/>
        <w:numPr>
          <w:ilvl w:val="0"/>
          <w:numId w:val="7"/>
        </w:numPr>
        <w:spacing w:before="30" w:after="30" w:line="288" w:lineRule="auto"/>
        <w:ind w:left="980" w:hanging="360"/>
        <w:rPr>
          <w:color w:val="auto"/>
        </w:rPr>
      </w:pPr>
      <w:r>
        <w:rPr>
          <w:rFonts w:ascii="宋体" w:hAnsi="宋体" w:eastAsia="宋体" w:cs="宋体"/>
          <w:color w:val="auto"/>
          <w:sz w:val="24"/>
        </w:rPr>
        <w:t>简支梁冲击强度（-10℃）不应低于15kJ/m²</w:t>
      </w:r>
    </w:p>
    <w:p w14:paraId="6BAD9FE5">
      <w:pPr>
        <w:pStyle w:val="4"/>
        <w:keepNext w:val="0"/>
        <w:keepLines w:val="0"/>
        <w:pageBreakBefore w:val="0"/>
        <w:spacing w:before="240" w:after="120" w:line="288" w:lineRule="auto"/>
        <w:outlineLvl w:val="1"/>
        <w:rPr>
          <w:color w:val="auto"/>
        </w:rPr>
      </w:pPr>
      <w:r>
        <w:rPr>
          <w:rFonts w:ascii="黑体" w:hAnsi="黑体" w:eastAsia="黑体" w:cs="黑体"/>
          <w:b/>
          <w:color w:val="auto"/>
          <w:sz w:val="32"/>
        </w:rPr>
        <w:t>5.7 外观质量</w:t>
      </w:r>
    </w:p>
    <w:p w14:paraId="77148B80">
      <w:pPr>
        <w:spacing w:before="60" w:after="60" w:line="288" w:lineRule="auto"/>
        <w:ind w:firstLine="480"/>
        <w:jc w:val="both"/>
        <w:rPr>
          <w:color w:val="auto"/>
        </w:rPr>
      </w:pPr>
      <w:r>
        <w:rPr>
          <w:rFonts w:ascii="宋体" w:hAnsi="宋体" w:eastAsia="宋体" w:cs="宋体"/>
          <w:color w:val="auto"/>
          <w:sz w:val="24"/>
        </w:rPr>
        <w:t>5.7.1 各类围栏表面应光洁平整，无毛刺、裂纹、凹坑、划伤、锈斑等缺陷。</w:t>
      </w:r>
    </w:p>
    <w:p w14:paraId="07B33E9F">
      <w:pPr>
        <w:spacing w:before="60" w:after="60" w:line="288" w:lineRule="auto"/>
        <w:ind w:firstLine="480"/>
        <w:jc w:val="both"/>
        <w:rPr>
          <w:color w:val="auto"/>
        </w:rPr>
      </w:pPr>
      <w:r>
        <w:rPr>
          <w:rFonts w:ascii="宋体" w:hAnsi="宋体" w:eastAsia="宋体" w:cs="宋体"/>
          <w:color w:val="auto"/>
          <w:sz w:val="24"/>
        </w:rPr>
        <w:t>5.7.2 焊接部位应焊接牢固，焊缝应均匀、饱满、平整，无裂纹、夹渣、气孔、咬边等焊接缺陷。不锈钢围栏焊接后应进行打磨、抛光处理；钢制围栏焊接后应进行热浸镀锌或防腐涂层修补。</w:t>
      </w:r>
    </w:p>
    <w:p w14:paraId="55488BFA">
      <w:pPr>
        <w:spacing w:before="60" w:after="60" w:line="288" w:lineRule="auto"/>
        <w:ind w:firstLine="480"/>
        <w:jc w:val="both"/>
        <w:rPr>
          <w:color w:val="auto"/>
        </w:rPr>
      </w:pPr>
      <w:r>
        <w:rPr>
          <w:rFonts w:ascii="宋体" w:hAnsi="宋体" w:eastAsia="宋体" w:cs="宋体"/>
          <w:color w:val="auto"/>
          <w:sz w:val="24"/>
        </w:rPr>
        <w:t>5.7.3 涂层（镀层）表面应均匀、连续，无气泡、针孔、流挂、漏涂（镀）等缺陷。</w:t>
      </w:r>
    </w:p>
    <w:p w14:paraId="7A21EA0C">
      <w:pPr>
        <w:spacing w:before="60" w:after="60" w:line="288" w:lineRule="auto"/>
        <w:ind w:firstLine="480"/>
        <w:jc w:val="both"/>
        <w:rPr>
          <w:color w:val="auto"/>
        </w:rPr>
      </w:pPr>
      <w:r>
        <w:rPr>
          <w:rFonts w:ascii="宋体" w:hAnsi="宋体" w:eastAsia="宋体" w:cs="宋体"/>
          <w:color w:val="auto"/>
          <w:sz w:val="24"/>
        </w:rPr>
        <w:t>5.7.4 玻璃钢围栏表面应无气泡、裂纹、分层、纤维外露等缺陷，颜色均匀一致。</w:t>
      </w:r>
    </w:p>
    <w:p w14:paraId="454EF2EA">
      <w:pPr>
        <w:spacing w:before="60" w:after="60" w:line="288" w:lineRule="auto"/>
        <w:ind w:firstLine="480"/>
        <w:jc w:val="both"/>
        <w:rPr>
          <w:color w:val="auto"/>
        </w:rPr>
      </w:pPr>
      <w:r>
        <w:rPr>
          <w:rFonts w:ascii="宋体" w:hAnsi="宋体" w:eastAsia="宋体" w:cs="宋体"/>
          <w:color w:val="auto"/>
          <w:sz w:val="24"/>
        </w:rPr>
        <w:t>5.7.5 PVC围栏表面应无气泡、裂纹、杂质、色差等缺陷。</w:t>
      </w:r>
    </w:p>
    <w:p w14:paraId="4ED56758">
      <w:pPr>
        <w:pStyle w:val="4"/>
        <w:keepNext w:val="0"/>
        <w:keepLines w:val="0"/>
        <w:pageBreakBefore w:val="0"/>
        <w:spacing w:before="240" w:after="120" w:line="288" w:lineRule="auto"/>
        <w:outlineLvl w:val="1"/>
        <w:rPr>
          <w:color w:val="auto"/>
        </w:rPr>
      </w:pPr>
      <w:r>
        <w:rPr>
          <w:rFonts w:ascii="黑体" w:hAnsi="黑体" w:eastAsia="黑体" w:cs="黑体"/>
          <w:b/>
          <w:color w:val="auto"/>
          <w:sz w:val="32"/>
        </w:rPr>
        <w:t>5.8 耐腐蚀性能</w:t>
      </w:r>
    </w:p>
    <w:p w14:paraId="57B05873">
      <w:pPr>
        <w:spacing w:before="60" w:after="60" w:line="288" w:lineRule="auto"/>
        <w:ind w:firstLine="480"/>
        <w:jc w:val="both"/>
        <w:rPr>
          <w:color w:val="auto"/>
        </w:rPr>
      </w:pPr>
      <w:r>
        <w:rPr>
          <w:rFonts w:ascii="宋体" w:hAnsi="宋体" w:eastAsia="宋体" w:cs="宋体"/>
          <w:color w:val="auto"/>
          <w:sz w:val="24"/>
        </w:rPr>
        <w:t>5.8.1 不锈钢围栏应按GB/T 10125-2012进行中性盐雾试验：</w:t>
      </w:r>
    </w:p>
    <w:p w14:paraId="4F3A455B">
      <w:pPr>
        <w:pStyle w:val="16"/>
        <w:numPr>
          <w:ilvl w:val="0"/>
          <w:numId w:val="7"/>
        </w:numPr>
        <w:spacing w:before="30" w:after="30" w:line="288" w:lineRule="auto"/>
        <w:ind w:left="980" w:hanging="360"/>
        <w:rPr>
          <w:color w:val="auto"/>
        </w:rPr>
      </w:pPr>
      <w:r>
        <w:rPr>
          <w:rFonts w:ascii="宋体" w:hAnsi="宋体" w:eastAsia="宋体" w:cs="宋体"/>
          <w:color w:val="auto"/>
          <w:sz w:val="24"/>
        </w:rPr>
        <w:t>SUS304材料试验时间不应少于240h，试验后表面不应出现明显锈蚀点</w:t>
      </w:r>
    </w:p>
    <w:p w14:paraId="2F9363B9">
      <w:pPr>
        <w:spacing w:before="60" w:after="60" w:line="288" w:lineRule="auto"/>
        <w:ind w:firstLine="480"/>
        <w:jc w:val="both"/>
        <w:rPr>
          <w:color w:val="auto"/>
        </w:rPr>
      </w:pPr>
      <w:r>
        <w:rPr>
          <w:rFonts w:ascii="宋体" w:hAnsi="宋体" w:eastAsia="宋体" w:cs="宋体"/>
          <w:color w:val="auto"/>
          <w:sz w:val="24"/>
        </w:rPr>
        <w:t>5.8.</w:t>
      </w:r>
      <w:r>
        <w:rPr>
          <w:rFonts w:hint="eastAsia" w:ascii="宋体" w:hAnsi="宋体" w:eastAsia="宋体" w:cs="宋体"/>
          <w:color w:val="auto"/>
          <w:sz w:val="24"/>
          <w:lang w:val="en-US" w:eastAsia="zh-CN"/>
        </w:rPr>
        <w:t>2</w:t>
      </w:r>
      <w:r>
        <w:rPr>
          <w:rFonts w:ascii="宋体" w:hAnsi="宋体" w:eastAsia="宋体" w:cs="宋体"/>
          <w:color w:val="auto"/>
          <w:sz w:val="24"/>
        </w:rPr>
        <w:t xml:space="preserve"> 玻璃钢围栏应按GB/T 1462-2005进行吸水性试验，吸水率不应大于0.5%。按GB/T 10125-2012进行中性盐雾试验，试验时间不应少于480h，试验后表面不应出现起泡、分层、变色等老化现象。</w:t>
      </w:r>
    </w:p>
    <w:p w14:paraId="5AE1AAC3">
      <w:pPr>
        <w:spacing w:before="60" w:after="60" w:line="288" w:lineRule="auto"/>
        <w:ind w:firstLine="480"/>
        <w:jc w:val="both"/>
        <w:rPr>
          <w:color w:val="auto"/>
        </w:rPr>
      </w:pPr>
      <w:r>
        <w:rPr>
          <w:rFonts w:ascii="宋体" w:hAnsi="宋体" w:eastAsia="宋体" w:cs="宋体"/>
          <w:color w:val="auto"/>
          <w:sz w:val="24"/>
        </w:rPr>
        <w:t>5.8.</w:t>
      </w:r>
      <w:r>
        <w:rPr>
          <w:rFonts w:hint="eastAsia" w:ascii="宋体" w:hAnsi="宋体" w:eastAsia="宋体" w:cs="宋体"/>
          <w:color w:val="auto"/>
          <w:sz w:val="24"/>
          <w:lang w:val="en-US" w:eastAsia="zh-CN"/>
        </w:rPr>
        <w:t>3</w:t>
      </w:r>
      <w:r>
        <w:rPr>
          <w:rFonts w:ascii="宋体" w:hAnsi="宋体" w:eastAsia="宋体" w:cs="宋体"/>
          <w:color w:val="auto"/>
          <w:sz w:val="24"/>
        </w:rPr>
        <w:t xml:space="preserve"> PVC围栏应按GB/T 10125-2012进行中性盐雾试验（仅对金属连接件和加强芯材），试验时间不应少于240h，试验后不应出现明显锈蚀。</w:t>
      </w:r>
    </w:p>
    <w:p w14:paraId="26813C93">
      <w:pPr>
        <w:spacing w:before="60" w:after="60" w:line="288" w:lineRule="auto"/>
        <w:ind w:firstLine="480"/>
        <w:jc w:val="both"/>
        <w:rPr>
          <w:color w:val="auto"/>
        </w:rPr>
      </w:pPr>
      <w:r>
        <w:rPr>
          <w:rFonts w:ascii="宋体" w:hAnsi="宋体" w:eastAsia="宋体" w:cs="宋体"/>
          <w:color w:val="auto"/>
          <w:sz w:val="24"/>
        </w:rPr>
        <w:t>5.8.</w:t>
      </w:r>
      <w:r>
        <w:rPr>
          <w:rFonts w:hint="eastAsia" w:ascii="宋体" w:hAnsi="宋体" w:eastAsia="宋体" w:cs="宋体"/>
          <w:color w:val="auto"/>
          <w:sz w:val="24"/>
          <w:lang w:val="en-US" w:eastAsia="zh-CN"/>
        </w:rPr>
        <w:t>4</w:t>
      </w:r>
      <w:r>
        <w:rPr>
          <w:rFonts w:ascii="宋体" w:hAnsi="宋体" w:eastAsia="宋体" w:cs="宋体"/>
          <w:color w:val="auto"/>
          <w:sz w:val="24"/>
        </w:rPr>
        <w:t xml:space="preserve"> 连接紧固件经盐雾试验后，应能正常拆卸，不得出现咬死或严重锈蚀。</w:t>
      </w:r>
    </w:p>
    <w:p w14:paraId="582E7B43">
      <w:pPr>
        <w:pStyle w:val="4"/>
        <w:keepNext w:val="0"/>
        <w:keepLines w:val="0"/>
        <w:pageBreakBefore w:val="0"/>
        <w:spacing w:before="240" w:after="120" w:line="288" w:lineRule="auto"/>
        <w:outlineLvl w:val="1"/>
        <w:rPr>
          <w:strike w:val="0"/>
          <w:dstrike w:val="0"/>
          <w:color w:val="auto"/>
        </w:rPr>
      </w:pPr>
      <w:r>
        <w:rPr>
          <w:rFonts w:ascii="黑体" w:hAnsi="黑体" w:eastAsia="黑体" w:cs="黑体"/>
          <w:b/>
          <w:strike w:val="0"/>
          <w:dstrike w:val="0"/>
          <w:color w:val="auto"/>
          <w:sz w:val="32"/>
        </w:rPr>
        <w:t>5.9 电气安全要求</w:t>
      </w:r>
    </w:p>
    <w:p w14:paraId="66F5A0F7">
      <w:pPr>
        <w:spacing w:before="60" w:after="60" w:line="288" w:lineRule="auto"/>
        <w:ind w:firstLine="480"/>
        <w:jc w:val="both"/>
        <w:rPr>
          <w:strike w:val="0"/>
          <w:dstrike w:val="0"/>
          <w:color w:val="auto"/>
        </w:rPr>
      </w:pPr>
      <w:r>
        <w:rPr>
          <w:rFonts w:ascii="宋体" w:hAnsi="宋体" w:eastAsia="宋体" w:cs="宋体"/>
          <w:strike w:val="0"/>
          <w:dstrike w:val="0"/>
          <w:color w:val="auto"/>
          <w:sz w:val="24"/>
        </w:rPr>
        <w:t>5.9.1 不锈钢围栏、热浸镀锌钢围栏等金属围栏应可靠接地，接地电阻不应大于4Ω。</w:t>
      </w:r>
    </w:p>
    <w:p w14:paraId="68551C61">
      <w:pPr>
        <w:spacing w:before="60" w:after="60" w:line="288" w:lineRule="auto"/>
        <w:ind w:firstLine="480"/>
        <w:jc w:val="both"/>
        <w:rPr>
          <w:strike w:val="0"/>
          <w:dstrike w:val="0"/>
          <w:color w:val="auto"/>
        </w:rPr>
      </w:pPr>
      <w:r>
        <w:rPr>
          <w:rFonts w:ascii="宋体" w:hAnsi="宋体" w:eastAsia="宋体" w:cs="宋体"/>
          <w:strike w:val="0"/>
          <w:dstrike w:val="0"/>
          <w:color w:val="auto"/>
          <w:sz w:val="24"/>
        </w:rPr>
        <w:t>5.9.2 围栏与带电设备的安全净距应符合DL/T 1743-2017的规定。</w:t>
      </w:r>
    </w:p>
    <w:p w14:paraId="5486F65A">
      <w:pPr>
        <w:spacing w:before="60" w:after="60" w:line="288" w:lineRule="auto"/>
        <w:ind w:firstLine="480"/>
        <w:jc w:val="both"/>
        <w:rPr>
          <w:strike w:val="0"/>
          <w:dstrike w:val="0"/>
          <w:color w:val="auto"/>
        </w:rPr>
      </w:pPr>
      <w:r>
        <w:rPr>
          <w:rFonts w:ascii="宋体" w:hAnsi="宋体" w:eastAsia="宋体" w:cs="宋体"/>
          <w:strike w:val="0"/>
          <w:dstrike w:val="0"/>
          <w:color w:val="auto"/>
          <w:sz w:val="24"/>
        </w:rPr>
        <w:t xml:space="preserve">5.9.3 </w:t>
      </w:r>
      <w:r>
        <w:rPr>
          <w:rFonts w:ascii="Segoe UI Emoji" w:hAnsi="Segoe UI Emoji" w:eastAsia="Segoe UI Emoji" w:cs="Segoe UI Emoji"/>
          <w:b/>
          <w:strike w:val="0"/>
          <w:dstrike w:val="0"/>
          <w:color w:val="auto"/>
          <w:sz w:val="24"/>
        </w:rPr>
        <w:t>★</w:t>
      </w:r>
      <w:r>
        <w:rPr>
          <w:rFonts w:ascii="宋体" w:hAnsi="宋体" w:eastAsia="宋体" w:cs="宋体"/>
          <w:strike w:val="0"/>
          <w:dstrike w:val="0"/>
          <w:color w:val="auto"/>
          <w:sz w:val="24"/>
        </w:rPr>
        <w:t>玻璃钢围栏应进行绝缘性能试验：</w:t>
      </w:r>
    </w:p>
    <w:p w14:paraId="30C58A2D">
      <w:pPr>
        <w:pStyle w:val="16"/>
        <w:numPr>
          <w:ilvl w:val="0"/>
          <w:numId w:val="7"/>
        </w:numPr>
        <w:spacing w:before="30" w:after="30" w:line="288" w:lineRule="auto"/>
        <w:ind w:left="980" w:hanging="360"/>
        <w:rPr>
          <w:strike w:val="0"/>
          <w:dstrike w:val="0"/>
          <w:color w:val="auto"/>
        </w:rPr>
      </w:pPr>
      <w:r>
        <w:rPr>
          <w:rFonts w:ascii="宋体" w:hAnsi="宋体" w:eastAsia="宋体" w:cs="宋体"/>
          <w:strike w:val="0"/>
          <w:dstrike w:val="0"/>
          <w:color w:val="auto"/>
          <w:sz w:val="24"/>
        </w:rPr>
        <w:t>工频耐压试验：电极间距100mm，施加工频电压50kV，持续1min，不应出现闪络或击穿</w:t>
      </w:r>
    </w:p>
    <w:p w14:paraId="2ADCEB51">
      <w:pPr>
        <w:pStyle w:val="16"/>
        <w:numPr>
          <w:ilvl w:val="0"/>
          <w:numId w:val="7"/>
        </w:numPr>
        <w:spacing w:before="30" w:after="30" w:line="288" w:lineRule="auto"/>
        <w:ind w:left="980" w:hanging="360"/>
        <w:rPr>
          <w:strike w:val="0"/>
          <w:dstrike w:val="0"/>
          <w:color w:val="auto"/>
        </w:rPr>
      </w:pPr>
      <w:r>
        <w:rPr>
          <w:rFonts w:ascii="宋体" w:hAnsi="宋体" w:eastAsia="宋体" w:cs="宋体"/>
          <w:strike w:val="0"/>
          <w:dstrike w:val="0"/>
          <w:color w:val="auto"/>
          <w:sz w:val="24"/>
        </w:rPr>
        <w:t>绝缘电阻测量：绝缘电阻不应小于1×10¹²Ω</w:t>
      </w:r>
    </w:p>
    <w:p w14:paraId="1063CA31">
      <w:pPr>
        <w:spacing w:before="60" w:after="60" w:line="288" w:lineRule="auto"/>
        <w:ind w:firstLine="480"/>
        <w:jc w:val="both"/>
        <w:rPr>
          <w:strike w:val="0"/>
          <w:dstrike w:val="0"/>
          <w:color w:val="auto"/>
        </w:rPr>
      </w:pPr>
      <w:r>
        <w:rPr>
          <w:rFonts w:ascii="宋体" w:hAnsi="宋体" w:eastAsia="宋体" w:cs="宋体"/>
          <w:strike w:val="0"/>
          <w:dstrike w:val="0"/>
          <w:color w:val="auto"/>
          <w:sz w:val="24"/>
        </w:rPr>
        <w:t>5.9.4 PVC围栏的绝缘性能应满足使用场所的电气安全要求。</w:t>
      </w:r>
    </w:p>
    <w:p w14:paraId="78CA9425">
      <w:pPr>
        <w:pStyle w:val="4"/>
        <w:keepNext w:val="0"/>
        <w:keepLines w:val="0"/>
        <w:pageBreakBefore w:val="0"/>
        <w:spacing w:before="240" w:after="120" w:line="288" w:lineRule="auto"/>
        <w:outlineLvl w:val="1"/>
        <w:rPr>
          <w:color w:val="auto"/>
        </w:rPr>
      </w:pPr>
      <w:r>
        <w:rPr>
          <w:rFonts w:ascii="黑体" w:hAnsi="黑体" w:eastAsia="黑体" w:cs="黑体"/>
          <w:b/>
          <w:color w:val="auto"/>
          <w:sz w:val="32"/>
        </w:rPr>
        <w:t>5.10 标识要求</w:t>
      </w:r>
    </w:p>
    <w:p w14:paraId="166AF7E5">
      <w:pPr>
        <w:spacing w:before="60" w:after="60" w:line="288" w:lineRule="auto"/>
        <w:ind w:firstLine="480"/>
        <w:jc w:val="both"/>
        <w:rPr>
          <w:color w:val="auto"/>
        </w:rPr>
      </w:pPr>
      <w:r>
        <w:rPr>
          <w:rFonts w:ascii="宋体" w:hAnsi="宋体" w:eastAsia="宋体" w:cs="宋体"/>
          <w:color w:val="auto"/>
          <w:sz w:val="24"/>
        </w:rPr>
        <w:t>5.10.1 围栏应在明显位置设置永久性标识，标识内容应包括：产品名称、规格型号、材质、制造厂名、出厂编号、出厂日期、执行标准编号。</w:t>
      </w:r>
    </w:p>
    <w:p w14:paraId="57D23F87">
      <w:pPr>
        <w:spacing w:before="60" w:after="60" w:line="288" w:lineRule="auto"/>
        <w:ind w:firstLine="480"/>
        <w:jc w:val="both"/>
        <w:rPr>
          <w:color w:val="auto"/>
        </w:rPr>
      </w:pPr>
      <w:r>
        <w:rPr>
          <w:rFonts w:ascii="宋体" w:hAnsi="宋体" w:eastAsia="宋体" w:cs="宋体"/>
          <w:color w:val="auto"/>
          <w:sz w:val="24"/>
        </w:rPr>
        <w:t>5.10.2 围栏应悬挂或喷涂"止步，高压危险"等安全警示标识，标识应符合GB 2894-2008的规定。</w:t>
      </w:r>
    </w:p>
    <w:p w14:paraId="4AC012F5">
      <w:pPr>
        <w:spacing w:before="60" w:after="60" w:line="288" w:lineRule="auto"/>
        <w:ind w:firstLine="480"/>
        <w:jc w:val="both"/>
        <w:rPr>
          <w:color w:val="auto"/>
        </w:rPr>
      </w:pPr>
      <w:r>
        <w:rPr>
          <w:rFonts w:ascii="宋体" w:hAnsi="宋体" w:eastAsia="宋体" w:cs="宋体"/>
          <w:color w:val="auto"/>
          <w:sz w:val="24"/>
        </w:rPr>
        <w:t>5.10.3 警示标识应采用耐候性材料制作，在户外环境下使用寿命不应少于3年。</w:t>
      </w:r>
    </w:p>
    <w:p w14:paraId="428A56D1">
      <w:pPr>
        <w:spacing w:before="60" w:after="60" w:line="288" w:lineRule="auto"/>
        <w:ind w:firstLine="480"/>
        <w:jc w:val="both"/>
        <w:rPr>
          <w:color w:val="auto"/>
        </w:rPr>
      </w:pPr>
      <w:r>
        <w:rPr>
          <w:rFonts w:ascii="宋体" w:hAnsi="宋体" w:eastAsia="宋体" w:cs="宋体"/>
          <w:color w:val="auto"/>
          <w:sz w:val="24"/>
        </w:rPr>
        <w:t>5.10.4 不同材质围栏宜采用不同底色以方便识别：不锈钢围栏为金属本色；玻璃钢围栏为黄色；PVC围栏为白色或按用户要求。</w:t>
      </w:r>
    </w:p>
    <w:p w14:paraId="02DAB9AD">
      <w:pPr>
        <w:spacing w:line="288" w:lineRule="auto"/>
        <w:rPr>
          <w:color w:val="auto"/>
        </w:rPr>
      </w:pPr>
    </w:p>
    <w:p w14:paraId="67498DD5">
      <w:pPr>
        <w:pStyle w:val="3"/>
        <w:keepNext w:val="0"/>
        <w:keepLines w:val="0"/>
        <w:pageBreakBefore w:val="0"/>
        <w:spacing w:before="300" w:after="200" w:line="288" w:lineRule="auto"/>
        <w:jc w:val="center"/>
        <w:outlineLvl w:val="0"/>
        <w:rPr>
          <w:color w:val="auto"/>
        </w:rPr>
      </w:pPr>
      <w:r>
        <w:rPr>
          <w:rFonts w:ascii="黑体" w:hAnsi="黑体" w:eastAsia="黑体" w:cs="黑体"/>
          <w:b/>
          <w:color w:val="auto"/>
          <w:sz w:val="44"/>
        </w:rPr>
        <w:t>6 验收与检查</w:t>
      </w:r>
    </w:p>
    <w:p w14:paraId="1E4F28DF">
      <w:pPr>
        <w:spacing w:before="60" w:after="60" w:line="288" w:lineRule="auto"/>
        <w:ind w:firstLine="480"/>
        <w:jc w:val="both"/>
        <w:rPr>
          <w:color w:val="auto"/>
        </w:rPr>
      </w:pPr>
      <w:r>
        <w:rPr>
          <w:rFonts w:ascii="宋体" w:hAnsi="宋体" w:eastAsia="宋体" w:cs="宋体"/>
          <w:color w:val="auto"/>
          <w:sz w:val="24"/>
        </w:rPr>
        <w:t>6.1 检查项目</w:t>
      </w:r>
    </w:p>
    <w:p w14:paraId="20E38B19">
      <w:pPr>
        <w:spacing w:before="60" w:after="60" w:line="288" w:lineRule="auto"/>
        <w:ind w:firstLine="480"/>
        <w:jc w:val="both"/>
        <w:rPr>
          <w:color w:val="auto"/>
        </w:rPr>
      </w:pPr>
      <w:r>
        <w:rPr>
          <w:rFonts w:ascii="宋体" w:hAnsi="宋体" w:eastAsia="宋体" w:cs="宋体"/>
          <w:color w:val="auto"/>
          <w:sz w:val="24"/>
        </w:rPr>
        <w:t>试验类别分为出厂试验、到货抽检和验收检查，检查内容包括外观检查、尺寸检查、力学性能试验、耐腐蚀性能试验、电气安全试验和标识检查。</w:t>
      </w:r>
    </w:p>
    <w:p w14:paraId="773D28CF">
      <w:pPr>
        <w:spacing w:before="60" w:after="60" w:line="288" w:lineRule="auto"/>
        <w:ind w:firstLine="480"/>
        <w:jc w:val="both"/>
        <w:rPr>
          <w:color w:val="auto"/>
        </w:rPr>
      </w:pPr>
      <w:r>
        <w:rPr>
          <w:rFonts w:ascii="宋体" w:hAnsi="宋体" w:eastAsia="宋体" w:cs="宋体"/>
          <w:color w:val="auto"/>
          <w:sz w:val="24"/>
        </w:rPr>
        <w:t>6.2 出厂试验</w:t>
      </w:r>
    </w:p>
    <w:p w14:paraId="2FE8AAFD">
      <w:pPr>
        <w:spacing w:before="60" w:after="60" w:line="288" w:lineRule="auto"/>
        <w:ind w:firstLine="480"/>
        <w:jc w:val="both"/>
        <w:rPr>
          <w:color w:val="auto"/>
        </w:rPr>
      </w:pPr>
      <w:r>
        <w:rPr>
          <w:rFonts w:ascii="宋体" w:hAnsi="宋体" w:eastAsia="宋体" w:cs="宋体"/>
          <w:color w:val="auto"/>
          <w:sz w:val="24"/>
        </w:rPr>
        <w:t>中标方应对所生产的产品逐批进行出厂试验并出具出厂试验报告或产品合格证明，招标方可采用现场见证、到货抽检或验收检查等方式核验试验有效性。出厂试验项目应包括：外观检查、尺寸检查、水平载荷试验、垂直载荷试验。</w:t>
      </w:r>
    </w:p>
    <w:p w14:paraId="3578BEFA">
      <w:pPr>
        <w:spacing w:before="60" w:after="60" w:line="288" w:lineRule="auto"/>
        <w:ind w:firstLine="480"/>
        <w:jc w:val="both"/>
        <w:rPr>
          <w:color w:val="auto"/>
        </w:rPr>
      </w:pPr>
      <w:r>
        <w:rPr>
          <w:rFonts w:ascii="宋体" w:hAnsi="宋体" w:eastAsia="宋体" w:cs="宋体"/>
          <w:color w:val="auto"/>
          <w:sz w:val="24"/>
        </w:rPr>
        <w:t>6.3 到货抽检</w:t>
      </w:r>
    </w:p>
    <w:p w14:paraId="70AF7282">
      <w:pPr>
        <w:spacing w:before="60" w:after="60" w:line="288" w:lineRule="auto"/>
        <w:ind w:firstLine="480"/>
        <w:jc w:val="both"/>
        <w:rPr>
          <w:color w:val="auto"/>
        </w:rPr>
      </w:pPr>
      <w:r>
        <w:rPr>
          <w:rFonts w:ascii="宋体" w:hAnsi="宋体" w:eastAsia="宋体" w:cs="宋体"/>
          <w:color w:val="auto"/>
          <w:sz w:val="24"/>
        </w:rPr>
        <w:t>6.3.1 到货抽检按照DL/T 1476-2023《电力安全工器具预防性试验规程》执行。</w:t>
      </w:r>
    </w:p>
    <w:p w14:paraId="269C0EE3">
      <w:pPr>
        <w:spacing w:before="60" w:after="60" w:line="288" w:lineRule="auto"/>
        <w:ind w:firstLine="480"/>
        <w:jc w:val="both"/>
        <w:rPr>
          <w:color w:val="auto"/>
        </w:rPr>
      </w:pPr>
      <w:r>
        <w:rPr>
          <w:rFonts w:ascii="宋体" w:hAnsi="宋体" w:eastAsia="宋体" w:cs="宋体"/>
          <w:color w:val="auto"/>
          <w:sz w:val="24"/>
        </w:rPr>
        <w:t>6.3.2 到货抽检不合格的，将增加抽样数量，扩大抽检范围，抽检仍不合格的，中标方应立即召回问题批次产品，招标方有权暂停或停止该供应商供货资格，并将抽检结果纳入网公司供应商失信扣分管理。</w:t>
      </w:r>
    </w:p>
    <w:p w14:paraId="2346ED10">
      <w:pPr>
        <w:spacing w:before="60" w:after="60" w:line="288" w:lineRule="auto"/>
        <w:ind w:firstLine="480"/>
        <w:jc w:val="both"/>
        <w:rPr>
          <w:color w:val="auto"/>
        </w:rPr>
      </w:pPr>
      <w:r>
        <w:rPr>
          <w:rFonts w:ascii="宋体" w:hAnsi="宋体" w:eastAsia="宋体" w:cs="宋体"/>
          <w:color w:val="auto"/>
          <w:sz w:val="24"/>
        </w:rPr>
        <w:t>6.3.3 到货抽检费用由招标方负责，增加抽样数量抽检产生的费用由中标方负责。</w:t>
      </w:r>
    </w:p>
    <w:p w14:paraId="074BEBC8">
      <w:pPr>
        <w:spacing w:before="60" w:after="60" w:line="288" w:lineRule="auto"/>
        <w:ind w:firstLine="480"/>
        <w:jc w:val="both"/>
        <w:rPr>
          <w:color w:val="auto"/>
        </w:rPr>
      </w:pPr>
      <w:r>
        <w:rPr>
          <w:rFonts w:ascii="宋体" w:hAnsi="宋体" w:eastAsia="宋体" w:cs="宋体"/>
          <w:color w:val="auto"/>
          <w:sz w:val="24"/>
        </w:rPr>
        <w:t>6.4 验收检查</w:t>
      </w:r>
    </w:p>
    <w:p w14:paraId="5C23A8FF">
      <w:pPr>
        <w:spacing w:before="60" w:after="60" w:line="288" w:lineRule="auto"/>
        <w:ind w:firstLine="480"/>
        <w:jc w:val="both"/>
        <w:rPr>
          <w:color w:val="auto"/>
        </w:rPr>
      </w:pPr>
      <w:r>
        <w:rPr>
          <w:rFonts w:ascii="宋体" w:hAnsi="宋体" w:eastAsia="宋体" w:cs="宋体"/>
          <w:color w:val="auto"/>
          <w:sz w:val="24"/>
        </w:rPr>
        <w:t>招标方组织对到货围栏产品开展验收检查，如果发现任一产品有偏差、损坏、遗漏或因中标方的责任与合同不符，招标方有权向中标方提出索赔。</w:t>
      </w:r>
    </w:p>
    <w:p w14:paraId="0CCAEA37">
      <w:pPr>
        <w:spacing w:before="60" w:after="60" w:line="288" w:lineRule="auto"/>
        <w:ind w:firstLine="480"/>
        <w:jc w:val="both"/>
        <w:rPr>
          <w:color w:val="auto"/>
        </w:rPr>
      </w:pPr>
      <w:r>
        <w:rPr>
          <w:rFonts w:ascii="宋体" w:hAnsi="宋体" w:eastAsia="宋体" w:cs="宋体"/>
          <w:color w:val="auto"/>
          <w:sz w:val="24"/>
        </w:rPr>
        <w:t>6.5 检查内容</w:t>
      </w:r>
    </w:p>
    <w:p w14:paraId="7C0B7E55">
      <w:pPr>
        <w:pStyle w:val="5"/>
        <w:keepNext w:val="0"/>
        <w:keepLines w:val="0"/>
        <w:pageBreakBefore w:val="0"/>
        <w:spacing w:before="180" w:after="100" w:line="288" w:lineRule="auto"/>
        <w:outlineLvl w:val="2"/>
        <w:rPr>
          <w:color w:val="auto"/>
        </w:rPr>
      </w:pPr>
      <w:r>
        <w:rPr>
          <w:rFonts w:ascii="黑体" w:hAnsi="黑体" w:eastAsia="黑体" w:cs="黑体"/>
          <w:b/>
          <w:color w:val="auto"/>
          <w:sz w:val="28"/>
        </w:rPr>
        <w:t>6.5.1 外观检查</w:t>
      </w:r>
    </w:p>
    <w:p w14:paraId="57258569">
      <w:pPr>
        <w:spacing w:before="60" w:after="60" w:line="288" w:lineRule="auto"/>
        <w:ind w:firstLine="480"/>
        <w:jc w:val="both"/>
        <w:rPr>
          <w:color w:val="auto"/>
        </w:rPr>
      </w:pPr>
      <w:r>
        <w:rPr>
          <w:rFonts w:ascii="宋体" w:hAnsi="宋体" w:eastAsia="宋体" w:cs="宋体"/>
          <w:color w:val="auto"/>
          <w:sz w:val="24"/>
        </w:rPr>
        <w:t>（1）围栏表面应光洁平整，无毛刺、裂纹、凹坑、划伤、锈斑等缺陷。</w:t>
      </w:r>
    </w:p>
    <w:p w14:paraId="3CB30041">
      <w:pPr>
        <w:spacing w:before="60" w:after="60" w:line="288" w:lineRule="auto"/>
        <w:ind w:firstLine="480"/>
        <w:jc w:val="both"/>
        <w:rPr>
          <w:color w:val="auto"/>
        </w:rPr>
      </w:pPr>
      <w:r>
        <w:rPr>
          <w:rFonts w:ascii="宋体" w:hAnsi="宋体" w:eastAsia="宋体" w:cs="宋体"/>
          <w:color w:val="auto"/>
          <w:sz w:val="24"/>
        </w:rPr>
        <w:t>（2）焊接部位应牢固，焊缝均匀饱满，无裂纹、夹渣、气孔等缺陷。</w:t>
      </w:r>
    </w:p>
    <w:p w14:paraId="0FAF6619">
      <w:pPr>
        <w:spacing w:before="60" w:after="60" w:line="288" w:lineRule="auto"/>
        <w:ind w:firstLine="480"/>
        <w:jc w:val="both"/>
        <w:rPr>
          <w:color w:val="auto"/>
        </w:rPr>
      </w:pPr>
      <w:r>
        <w:rPr>
          <w:rFonts w:ascii="宋体" w:hAnsi="宋体" w:eastAsia="宋体" w:cs="宋体"/>
          <w:color w:val="auto"/>
          <w:sz w:val="24"/>
        </w:rPr>
        <w:t>（3）涂层/镀层应均匀完整，无气泡、针孔、漏涂/漏镀等缺陷。</w:t>
      </w:r>
    </w:p>
    <w:p w14:paraId="15930FF3">
      <w:pPr>
        <w:spacing w:before="60" w:after="60" w:line="288" w:lineRule="auto"/>
        <w:ind w:firstLine="480"/>
        <w:jc w:val="both"/>
        <w:rPr>
          <w:color w:val="auto"/>
        </w:rPr>
      </w:pPr>
      <w:r>
        <w:rPr>
          <w:rFonts w:ascii="宋体" w:hAnsi="宋体" w:eastAsia="宋体" w:cs="宋体"/>
          <w:color w:val="auto"/>
          <w:sz w:val="24"/>
        </w:rPr>
        <w:t>（4）玻璃钢围栏表面应无气泡、裂纹、分层、纤维外露。</w:t>
      </w:r>
    </w:p>
    <w:p w14:paraId="036AFEBF">
      <w:pPr>
        <w:spacing w:before="60" w:after="60" w:line="288" w:lineRule="auto"/>
        <w:ind w:firstLine="480"/>
        <w:jc w:val="both"/>
        <w:rPr>
          <w:color w:val="auto"/>
        </w:rPr>
      </w:pPr>
      <w:r>
        <w:rPr>
          <w:rFonts w:ascii="宋体" w:hAnsi="宋体" w:eastAsia="宋体" w:cs="宋体"/>
          <w:color w:val="auto"/>
          <w:sz w:val="24"/>
        </w:rPr>
        <w:t>（5）PVC围栏表面应无气泡、裂纹、杂质、色差。</w:t>
      </w:r>
    </w:p>
    <w:p w14:paraId="59060C3F">
      <w:pPr>
        <w:spacing w:before="60" w:after="60" w:line="288" w:lineRule="auto"/>
        <w:ind w:firstLine="480"/>
        <w:jc w:val="both"/>
        <w:rPr>
          <w:color w:val="auto"/>
        </w:rPr>
      </w:pPr>
      <w:r>
        <w:rPr>
          <w:rFonts w:ascii="宋体" w:hAnsi="宋体" w:eastAsia="宋体" w:cs="宋体"/>
          <w:color w:val="auto"/>
          <w:sz w:val="24"/>
        </w:rPr>
        <w:t>（6）连接紧固件应齐全、紧固到位，无松动、锈蚀。</w:t>
      </w:r>
    </w:p>
    <w:p w14:paraId="7DD9FB0F">
      <w:pPr>
        <w:spacing w:before="60" w:after="60" w:line="288" w:lineRule="auto"/>
        <w:ind w:firstLine="480"/>
        <w:jc w:val="both"/>
        <w:rPr>
          <w:color w:val="auto"/>
        </w:rPr>
      </w:pPr>
      <w:r>
        <w:rPr>
          <w:rFonts w:ascii="宋体" w:hAnsi="宋体" w:eastAsia="宋体" w:cs="宋体"/>
          <w:color w:val="auto"/>
          <w:sz w:val="24"/>
        </w:rPr>
        <w:t>（7）安全警示标识应清晰、完整、牢固。</w:t>
      </w:r>
    </w:p>
    <w:p w14:paraId="31FF368A">
      <w:pPr>
        <w:pStyle w:val="5"/>
        <w:keepNext w:val="0"/>
        <w:keepLines w:val="0"/>
        <w:pageBreakBefore w:val="0"/>
        <w:spacing w:before="180" w:after="100" w:line="288" w:lineRule="auto"/>
        <w:outlineLvl w:val="2"/>
        <w:rPr>
          <w:color w:val="auto"/>
        </w:rPr>
      </w:pPr>
      <w:r>
        <w:rPr>
          <w:rFonts w:ascii="黑体" w:hAnsi="黑体" w:eastAsia="黑体" w:cs="黑体"/>
          <w:b/>
          <w:color w:val="auto"/>
          <w:sz w:val="28"/>
        </w:rPr>
        <w:t>6.5.2 尺寸检查</w:t>
      </w:r>
    </w:p>
    <w:p w14:paraId="1F6027C6">
      <w:pPr>
        <w:spacing w:before="60" w:after="60" w:line="288" w:lineRule="auto"/>
        <w:ind w:firstLine="480"/>
        <w:jc w:val="both"/>
        <w:rPr>
          <w:color w:val="auto"/>
        </w:rPr>
      </w:pPr>
      <w:r>
        <w:rPr>
          <w:rFonts w:ascii="宋体" w:hAnsi="宋体" w:eastAsia="宋体" w:cs="宋体"/>
          <w:color w:val="auto"/>
          <w:sz w:val="24"/>
        </w:rPr>
        <w:t>测量围栏的尺寸是否符合本技术规范书及DL/T 1743-2017的要求。</w:t>
      </w:r>
    </w:p>
    <w:p w14:paraId="379A5155">
      <w:pPr>
        <w:pStyle w:val="5"/>
        <w:keepNext w:val="0"/>
        <w:keepLines w:val="0"/>
        <w:pageBreakBefore w:val="0"/>
        <w:spacing w:before="180" w:after="100" w:line="288" w:lineRule="auto"/>
        <w:outlineLvl w:val="2"/>
        <w:rPr>
          <w:color w:val="auto"/>
        </w:rPr>
      </w:pPr>
      <w:r>
        <w:rPr>
          <w:rFonts w:ascii="黑体" w:hAnsi="黑体" w:eastAsia="黑体" w:cs="黑体"/>
          <w:b/>
          <w:color w:val="auto"/>
          <w:sz w:val="28"/>
        </w:rPr>
        <w:t>6.5.3 力学性能试验</w:t>
      </w:r>
    </w:p>
    <w:p w14:paraId="29062074">
      <w:pPr>
        <w:spacing w:before="60" w:after="60" w:line="288" w:lineRule="auto"/>
        <w:ind w:firstLine="480"/>
        <w:jc w:val="both"/>
        <w:rPr>
          <w:color w:val="auto"/>
        </w:rPr>
      </w:pPr>
      <w:r>
        <w:rPr>
          <w:rFonts w:ascii="宋体" w:hAnsi="宋体" w:eastAsia="宋体" w:cs="宋体"/>
          <w:color w:val="auto"/>
          <w:sz w:val="24"/>
        </w:rPr>
        <w:t>（1）水平载荷试验：在围栏顶部施加水平集中载荷1.0kN，测量最大变形量及卸载后残余变形量。</w:t>
      </w:r>
    </w:p>
    <w:p w14:paraId="017697D3">
      <w:pPr>
        <w:spacing w:before="60" w:after="60" w:line="288" w:lineRule="auto"/>
        <w:ind w:firstLine="480"/>
        <w:jc w:val="both"/>
        <w:rPr>
          <w:color w:val="auto"/>
        </w:rPr>
      </w:pPr>
      <w:r>
        <w:rPr>
          <w:rFonts w:ascii="宋体" w:hAnsi="宋体" w:eastAsia="宋体" w:cs="宋体"/>
          <w:color w:val="auto"/>
          <w:sz w:val="24"/>
        </w:rPr>
        <w:t>（2）垂直载荷试验：在围栏顶部施加垂直集中载荷1.5kN，检查各部件是否出现永久变形、裂纹或损坏。</w:t>
      </w:r>
    </w:p>
    <w:p w14:paraId="233A336B">
      <w:pPr>
        <w:spacing w:before="60" w:after="60" w:line="288" w:lineRule="auto"/>
        <w:ind w:firstLine="480"/>
        <w:jc w:val="both"/>
        <w:rPr>
          <w:color w:val="auto"/>
        </w:rPr>
      </w:pPr>
      <w:r>
        <w:rPr>
          <w:rFonts w:ascii="宋体" w:hAnsi="宋体" w:eastAsia="宋体" w:cs="宋体"/>
          <w:color w:val="auto"/>
          <w:sz w:val="24"/>
        </w:rPr>
        <w:t>（3）冲击试验：按本规范5.6.3条进行摆锤冲击试验。</w:t>
      </w:r>
    </w:p>
    <w:p w14:paraId="26288A9B">
      <w:pPr>
        <w:spacing w:before="60" w:after="60" w:line="288" w:lineRule="auto"/>
        <w:ind w:firstLine="480"/>
        <w:jc w:val="both"/>
        <w:rPr>
          <w:color w:val="auto"/>
        </w:rPr>
      </w:pPr>
      <w:r>
        <w:rPr>
          <w:rFonts w:ascii="宋体" w:hAnsi="宋体" w:eastAsia="宋体" w:cs="宋体"/>
          <w:color w:val="auto"/>
          <w:sz w:val="24"/>
        </w:rPr>
        <w:t>（4）稳定性试验：移动式围栏按本规范5.6.4条进行水平推力稳定性试验。</w:t>
      </w:r>
    </w:p>
    <w:p w14:paraId="340841C5">
      <w:pPr>
        <w:pStyle w:val="5"/>
        <w:keepNext w:val="0"/>
        <w:keepLines w:val="0"/>
        <w:pageBreakBefore w:val="0"/>
        <w:spacing w:before="180" w:after="100" w:line="288" w:lineRule="auto"/>
        <w:outlineLvl w:val="2"/>
        <w:rPr>
          <w:color w:val="auto"/>
        </w:rPr>
      </w:pPr>
      <w:r>
        <w:rPr>
          <w:rFonts w:ascii="黑体" w:hAnsi="黑体" w:eastAsia="黑体" w:cs="黑体"/>
          <w:b/>
          <w:color w:val="auto"/>
          <w:sz w:val="28"/>
        </w:rPr>
        <w:t>6.5.4 耐腐蚀性能检查</w:t>
      </w:r>
    </w:p>
    <w:p w14:paraId="2E2D34AF">
      <w:pPr>
        <w:spacing w:before="60" w:after="60" w:line="288" w:lineRule="auto"/>
        <w:ind w:firstLine="480"/>
        <w:jc w:val="both"/>
        <w:rPr>
          <w:color w:val="auto"/>
        </w:rPr>
      </w:pPr>
      <w:r>
        <w:rPr>
          <w:rFonts w:ascii="宋体" w:hAnsi="宋体" w:eastAsia="宋体" w:cs="宋体"/>
          <w:color w:val="auto"/>
          <w:sz w:val="24"/>
        </w:rPr>
        <w:t>按GB/T 10125-2012进行中性盐雾试验，检查产品耐腐蚀性能是否符合本技术规范书第5.8条的要求。</w:t>
      </w:r>
    </w:p>
    <w:p w14:paraId="554960E5">
      <w:pPr>
        <w:pStyle w:val="5"/>
        <w:keepNext w:val="0"/>
        <w:keepLines w:val="0"/>
        <w:pageBreakBefore w:val="0"/>
        <w:spacing w:before="180" w:after="100" w:line="288" w:lineRule="auto"/>
        <w:outlineLvl w:val="2"/>
        <w:rPr>
          <w:color w:val="auto"/>
        </w:rPr>
      </w:pPr>
      <w:r>
        <w:rPr>
          <w:rFonts w:ascii="黑体" w:hAnsi="黑体" w:eastAsia="黑体" w:cs="黑体"/>
          <w:b/>
          <w:color w:val="auto"/>
          <w:sz w:val="28"/>
        </w:rPr>
        <w:t>6.5.5 电气安全试验</w:t>
      </w:r>
    </w:p>
    <w:p w14:paraId="2E49D5B9">
      <w:pPr>
        <w:spacing w:before="60" w:after="60" w:line="288" w:lineRule="auto"/>
        <w:ind w:firstLine="480"/>
        <w:jc w:val="both"/>
        <w:rPr>
          <w:color w:val="auto"/>
        </w:rPr>
      </w:pPr>
      <w:r>
        <w:rPr>
          <w:rFonts w:ascii="宋体" w:hAnsi="宋体" w:eastAsia="宋体" w:cs="宋体"/>
          <w:color w:val="auto"/>
          <w:sz w:val="24"/>
        </w:rPr>
        <w:t>（1）金属围栏接地电阻测量，接地电阻不应大于4Ω。</w:t>
      </w:r>
    </w:p>
    <w:p w14:paraId="254F7C2B">
      <w:pPr>
        <w:spacing w:before="60" w:after="60" w:line="288" w:lineRule="auto"/>
        <w:ind w:firstLine="480"/>
        <w:jc w:val="both"/>
        <w:rPr>
          <w:color w:val="auto"/>
        </w:rPr>
      </w:pPr>
      <w:r>
        <w:rPr>
          <w:rFonts w:ascii="宋体" w:hAnsi="宋体" w:eastAsia="宋体" w:cs="宋体"/>
          <w:color w:val="auto"/>
          <w:sz w:val="24"/>
        </w:rPr>
        <w:t>（2）玻璃钢围栏按本规范5.9.3条进行工频耐压试验和绝缘电阻测量。</w:t>
      </w:r>
    </w:p>
    <w:p w14:paraId="789D20B7">
      <w:pPr>
        <w:pStyle w:val="5"/>
        <w:keepNext w:val="0"/>
        <w:keepLines w:val="0"/>
        <w:pageBreakBefore w:val="0"/>
        <w:spacing w:before="180" w:after="100" w:line="288" w:lineRule="auto"/>
        <w:outlineLvl w:val="2"/>
        <w:rPr>
          <w:color w:val="auto"/>
        </w:rPr>
      </w:pPr>
      <w:r>
        <w:rPr>
          <w:rFonts w:ascii="黑体" w:hAnsi="黑体" w:eastAsia="黑体" w:cs="黑体"/>
          <w:b/>
          <w:color w:val="auto"/>
          <w:sz w:val="28"/>
        </w:rPr>
        <w:t>6.5.6 标识检查</w:t>
      </w:r>
    </w:p>
    <w:p w14:paraId="5E1B528D">
      <w:pPr>
        <w:spacing w:before="60" w:after="60" w:line="288" w:lineRule="auto"/>
        <w:ind w:firstLine="480"/>
        <w:jc w:val="both"/>
        <w:rPr>
          <w:color w:val="auto"/>
        </w:rPr>
      </w:pPr>
      <w:r>
        <w:rPr>
          <w:rFonts w:ascii="宋体" w:hAnsi="宋体" w:eastAsia="宋体" w:cs="宋体"/>
          <w:color w:val="auto"/>
          <w:sz w:val="24"/>
        </w:rPr>
        <w:t>检查产品标识和安全警示标识是否清晰、完整、牢固，内容是否符合本技术规范书第5.10条的要求。</w:t>
      </w:r>
    </w:p>
    <w:p w14:paraId="6EAA86E4">
      <w:pPr>
        <w:spacing w:line="288" w:lineRule="auto"/>
        <w:rPr>
          <w:color w:val="auto"/>
        </w:rPr>
      </w:pPr>
    </w:p>
    <w:p w14:paraId="2971B757">
      <w:pPr>
        <w:pStyle w:val="3"/>
        <w:keepNext w:val="0"/>
        <w:keepLines w:val="0"/>
        <w:pageBreakBefore w:val="0"/>
        <w:spacing w:before="300" w:after="200" w:line="288" w:lineRule="auto"/>
        <w:jc w:val="center"/>
        <w:outlineLvl w:val="0"/>
        <w:rPr>
          <w:color w:val="auto"/>
        </w:rPr>
      </w:pPr>
      <w:r>
        <w:rPr>
          <w:rFonts w:ascii="黑体" w:hAnsi="黑体" w:eastAsia="黑体" w:cs="黑体"/>
          <w:b/>
          <w:color w:val="auto"/>
          <w:sz w:val="44"/>
        </w:rPr>
        <w:t>7 包装和运输</w:t>
      </w:r>
    </w:p>
    <w:p w14:paraId="27B4A430">
      <w:pPr>
        <w:spacing w:before="60" w:after="60" w:line="288" w:lineRule="auto"/>
        <w:ind w:firstLine="480"/>
        <w:jc w:val="both"/>
        <w:rPr>
          <w:color w:val="auto"/>
        </w:rPr>
      </w:pPr>
      <w:r>
        <w:rPr>
          <w:rFonts w:ascii="宋体" w:hAnsi="宋体" w:eastAsia="宋体" w:cs="宋体"/>
          <w:color w:val="auto"/>
          <w:sz w:val="24"/>
        </w:rPr>
        <w:t>7.1 包装</w:t>
      </w:r>
    </w:p>
    <w:p w14:paraId="434E009A">
      <w:pPr>
        <w:spacing w:before="60" w:after="60" w:line="288" w:lineRule="auto"/>
        <w:ind w:firstLine="480"/>
        <w:jc w:val="both"/>
        <w:rPr>
          <w:color w:val="auto"/>
        </w:rPr>
      </w:pPr>
      <w:r>
        <w:rPr>
          <w:rFonts w:ascii="宋体" w:hAnsi="宋体" w:eastAsia="宋体" w:cs="宋体"/>
          <w:color w:val="auto"/>
          <w:sz w:val="24"/>
        </w:rPr>
        <w:t>产品包装应牢固，包装物表面应有明显的"防潮"、"防雨"、"严防碰撞"等字样。在包装物上至少应有如下标志：</w:t>
      </w:r>
    </w:p>
    <w:p w14:paraId="724513CD">
      <w:pPr>
        <w:spacing w:before="60" w:after="60" w:line="288" w:lineRule="auto"/>
        <w:ind w:firstLine="480"/>
        <w:jc w:val="both"/>
        <w:rPr>
          <w:color w:val="auto"/>
        </w:rPr>
      </w:pPr>
      <w:r>
        <w:rPr>
          <w:rFonts w:ascii="宋体" w:hAnsi="宋体" w:eastAsia="宋体" w:cs="宋体"/>
          <w:color w:val="auto"/>
          <w:sz w:val="24"/>
        </w:rPr>
        <w:t>a）产品名称；</w:t>
      </w:r>
    </w:p>
    <w:p w14:paraId="1698BF0E">
      <w:pPr>
        <w:spacing w:before="60" w:after="60" w:line="288" w:lineRule="auto"/>
        <w:ind w:firstLine="480"/>
        <w:jc w:val="both"/>
        <w:rPr>
          <w:color w:val="auto"/>
        </w:rPr>
      </w:pPr>
      <w:r>
        <w:rPr>
          <w:rFonts w:ascii="宋体" w:hAnsi="宋体" w:eastAsia="宋体" w:cs="宋体"/>
          <w:color w:val="auto"/>
          <w:sz w:val="24"/>
        </w:rPr>
        <w:t>b）制造厂名；</w:t>
      </w:r>
    </w:p>
    <w:p w14:paraId="1016FB8F">
      <w:pPr>
        <w:spacing w:before="60" w:after="60" w:line="288" w:lineRule="auto"/>
        <w:ind w:firstLine="480"/>
        <w:jc w:val="both"/>
        <w:rPr>
          <w:color w:val="auto"/>
        </w:rPr>
      </w:pPr>
      <w:r>
        <w:rPr>
          <w:rFonts w:ascii="宋体" w:hAnsi="宋体" w:eastAsia="宋体" w:cs="宋体"/>
          <w:color w:val="auto"/>
          <w:sz w:val="24"/>
        </w:rPr>
        <w:t>c）数量和重量；</w:t>
      </w:r>
    </w:p>
    <w:p w14:paraId="520AAB6D">
      <w:pPr>
        <w:spacing w:before="60" w:after="60" w:line="288" w:lineRule="auto"/>
        <w:ind w:firstLine="480"/>
        <w:jc w:val="both"/>
        <w:rPr>
          <w:color w:val="auto"/>
        </w:rPr>
      </w:pPr>
      <w:r>
        <w:rPr>
          <w:rFonts w:ascii="宋体" w:hAnsi="宋体" w:eastAsia="宋体" w:cs="宋体"/>
          <w:color w:val="auto"/>
          <w:sz w:val="24"/>
        </w:rPr>
        <w:t>d）出厂检验合格证；</w:t>
      </w:r>
    </w:p>
    <w:p w14:paraId="23E7A2DE">
      <w:pPr>
        <w:spacing w:before="60" w:after="60" w:line="288" w:lineRule="auto"/>
        <w:ind w:firstLine="480"/>
        <w:jc w:val="both"/>
        <w:rPr>
          <w:color w:val="auto"/>
        </w:rPr>
      </w:pPr>
      <w:r>
        <w:rPr>
          <w:rFonts w:ascii="宋体" w:hAnsi="宋体" w:eastAsia="宋体" w:cs="宋体"/>
          <w:color w:val="auto"/>
          <w:sz w:val="24"/>
        </w:rPr>
        <w:t>e）执行标准的编号；</w:t>
      </w:r>
    </w:p>
    <w:p w14:paraId="0CD6318D">
      <w:pPr>
        <w:spacing w:before="60" w:after="60" w:line="288" w:lineRule="auto"/>
        <w:ind w:firstLine="480"/>
        <w:jc w:val="both"/>
        <w:rPr>
          <w:color w:val="auto"/>
        </w:rPr>
      </w:pPr>
      <w:r>
        <w:rPr>
          <w:rFonts w:ascii="宋体" w:hAnsi="宋体" w:eastAsia="宋体" w:cs="宋体"/>
          <w:color w:val="auto"/>
          <w:sz w:val="24"/>
        </w:rPr>
        <w:t>f）出厂日期。</w:t>
      </w:r>
    </w:p>
    <w:p w14:paraId="752E6EBF">
      <w:pPr>
        <w:spacing w:before="60" w:after="60" w:line="288" w:lineRule="auto"/>
        <w:ind w:firstLine="480"/>
        <w:jc w:val="both"/>
        <w:rPr>
          <w:color w:val="auto"/>
        </w:rPr>
      </w:pPr>
      <w:r>
        <w:rPr>
          <w:rFonts w:ascii="宋体" w:hAnsi="宋体" w:eastAsia="宋体" w:cs="宋体"/>
          <w:color w:val="auto"/>
          <w:sz w:val="24"/>
        </w:rPr>
        <w:t>7.2 运输</w:t>
      </w:r>
    </w:p>
    <w:p w14:paraId="29F138F3">
      <w:pPr>
        <w:spacing w:before="60" w:after="60" w:line="288" w:lineRule="auto"/>
        <w:ind w:firstLine="480"/>
        <w:jc w:val="both"/>
        <w:rPr>
          <w:color w:val="auto"/>
        </w:rPr>
      </w:pPr>
      <w:r>
        <w:rPr>
          <w:rFonts w:ascii="宋体" w:hAnsi="宋体" w:eastAsia="宋体" w:cs="宋体"/>
          <w:color w:val="auto"/>
          <w:sz w:val="24"/>
        </w:rPr>
        <w:t>7.2.1 产品经妥善包装或装箱后，在运输过程中应采取有效防护措施，以免损坏或遗失。围栏各部件之间应采用软质材料隔离，防止相互摩擦造成表面损伤。</w:t>
      </w:r>
    </w:p>
    <w:p w14:paraId="4A5433AE">
      <w:pPr>
        <w:spacing w:before="60" w:after="60" w:line="288" w:lineRule="auto"/>
        <w:ind w:firstLine="480"/>
        <w:jc w:val="both"/>
        <w:rPr>
          <w:color w:val="auto"/>
        </w:rPr>
      </w:pPr>
      <w:r>
        <w:rPr>
          <w:rFonts w:ascii="宋体" w:hAnsi="宋体" w:eastAsia="宋体" w:cs="宋体"/>
          <w:color w:val="auto"/>
          <w:sz w:val="24"/>
        </w:rPr>
        <w:t>7.2.2 玻璃钢围栏和PVC围栏在运输过程中应避免长时间暴晒，防止材料老化。</w:t>
      </w:r>
    </w:p>
    <w:p w14:paraId="384C9220">
      <w:pPr>
        <w:spacing w:before="60" w:after="60" w:line="288" w:lineRule="auto"/>
        <w:ind w:firstLine="480"/>
        <w:jc w:val="both"/>
        <w:rPr>
          <w:color w:val="auto"/>
        </w:rPr>
      </w:pPr>
      <w:r>
        <w:rPr>
          <w:rFonts w:ascii="宋体" w:hAnsi="宋体" w:eastAsia="宋体" w:cs="宋体"/>
          <w:color w:val="auto"/>
          <w:sz w:val="24"/>
        </w:rPr>
        <w:t>7.2.3 在包装箱外应标明需方的订货号、发货号。</w:t>
      </w:r>
    </w:p>
    <w:p w14:paraId="14A68CF7">
      <w:pPr>
        <w:spacing w:before="60" w:after="60" w:line="288" w:lineRule="auto"/>
        <w:ind w:firstLine="480"/>
        <w:jc w:val="both"/>
        <w:rPr>
          <w:color w:val="auto"/>
        </w:rPr>
      </w:pPr>
      <w:r>
        <w:rPr>
          <w:rFonts w:ascii="Segoe UI Emoji" w:hAnsi="Segoe UI Emoji" w:eastAsia="Segoe UI Emoji" w:cs="Segoe UI Emoji"/>
          <w:b/>
          <w:color w:val="auto"/>
          <w:sz w:val="24"/>
        </w:rPr>
        <w:t>★</w:t>
      </w:r>
      <w:r>
        <w:rPr>
          <w:rFonts w:ascii="宋体" w:hAnsi="宋体" w:eastAsia="宋体" w:cs="宋体"/>
          <w:color w:val="auto"/>
          <w:sz w:val="24"/>
        </w:rPr>
        <w:t>7.2.4 包装和运输均由中标方负责，产品抵达目的地后，招标方组织开箱验收。如果发现任一产品有偏差、损坏、遗漏或因中标方的责任与合同不符，招标方有权向中标方提出索赔。</w:t>
      </w:r>
    </w:p>
    <w:p w14:paraId="1AD5D24A">
      <w:pPr>
        <w:spacing w:line="288" w:lineRule="auto"/>
        <w:rPr>
          <w:color w:val="auto"/>
        </w:rPr>
      </w:pPr>
    </w:p>
    <w:p w14:paraId="6662ACA5">
      <w:pPr>
        <w:pStyle w:val="3"/>
        <w:keepNext w:val="0"/>
        <w:keepLines w:val="0"/>
        <w:pageBreakBefore w:val="0"/>
        <w:spacing w:before="300" w:after="200" w:line="288" w:lineRule="auto"/>
        <w:jc w:val="center"/>
        <w:outlineLvl w:val="0"/>
        <w:rPr>
          <w:color w:val="auto"/>
        </w:rPr>
      </w:pPr>
      <w:r>
        <w:rPr>
          <w:rFonts w:ascii="黑体" w:hAnsi="黑体" w:eastAsia="黑体" w:cs="黑体"/>
          <w:b/>
          <w:color w:val="auto"/>
          <w:sz w:val="44"/>
        </w:rPr>
        <w:t>8 技术文件</w:t>
      </w:r>
    </w:p>
    <w:p w14:paraId="19FF2F7A">
      <w:pPr>
        <w:spacing w:before="60" w:after="60" w:line="288" w:lineRule="auto"/>
        <w:ind w:firstLine="480"/>
        <w:jc w:val="both"/>
        <w:rPr>
          <w:color w:val="auto"/>
        </w:rPr>
      </w:pPr>
      <w:r>
        <w:rPr>
          <w:rFonts w:ascii="宋体" w:hAnsi="宋体" w:eastAsia="宋体" w:cs="宋体"/>
          <w:color w:val="auto"/>
          <w:sz w:val="24"/>
        </w:rPr>
        <w:t>投标方提供的图纸、资料、文件应使用国家法定单位制即国际单位制，语言为中文。资料的组织结构清晰，内容正确、一致、清晰、完整，满足工程要求。技术文件要求如下：</w:t>
      </w:r>
    </w:p>
    <w:p w14:paraId="22308F39">
      <w:pPr>
        <w:spacing w:before="60" w:after="60" w:line="288" w:lineRule="auto"/>
        <w:ind w:firstLine="480"/>
        <w:jc w:val="both"/>
        <w:rPr>
          <w:color w:val="auto"/>
        </w:rPr>
      </w:pPr>
      <w:r>
        <w:rPr>
          <w:rFonts w:ascii="宋体" w:hAnsi="宋体" w:eastAsia="宋体" w:cs="宋体"/>
          <w:color w:val="auto"/>
          <w:sz w:val="24"/>
        </w:rPr>
        <w:t>a）产品性能试验报告；</w:t>
      </w:r>
    </w:p>
    <w:p w14:paraId="6C14F1BA">
      <w:pPr>
        <w:spacing w:before="60" w:after="60" w:line="288" w:lineRule="auto"/>
        <w:ind w:firstLine="480"/>
        <w:jc w:val="both"/>
        <w:rPr>
          <w:color w:val="auto"/>
        </w:rPr>
      </w:pPr>
      <w:r>
        <w:rPr>
          <w:rFonts w:ascii="宋体" w:hAnsi="宋体" w:eastAsia="宋体" w:cs="宋体"/>
          <w:color w:val="auto"/>
          <w:sz w:val="24"/>
        </w:rPr>
        <w:t>b）供货批次产品出厂检验报告；</w:t>
      </w:r>
    </w:p>
    <w:p w14:paraId="4DF11397">
      <w:pPr>
        <w:spacing w:before="60" w:after="60" w:line="288" w:lineRule="auto"/>
        <w:ind w:firstLine="480"/>
        <w:jc w:val="both"/>
        <w:rPr>
          <w:color w:val="auto"/>
        </w:rPr>
      </w:pPr>
      <w:r>
        <w:rPr>
          <w:rFonts w:ascii="宋体" w:hAnsi="宋体" w:eastAsia="宋体" w:cs="宋体"/>
          <w:color w:val="auto"/>
          <w:sz w:val="24"/>
        </w:rPr>
        <w:t>c）产品合格证书；</w:t>
      </w:r>
    </w:p>
    <w:p w14:paraId="419DBDEA">
      <w:pPr>
        <w:spacing w:before="60" w:after="60" w:line="288" w:lineRule="auto"/>
        <w:ind w:firstLine="480"/>
        <w:jc w:val="both"/>
        <w:rPr>
          <w:color w:val="auto"/>
        </w:rPr>
      </w:pPr>
      <w:r>
        <w:rPr>
          <w:rFonts w:ascii="宋体" w:hAnsi="宋体" w:eastAsia="宋体" w:cs="宋体"/>
          <w:color w:val="auto"/>
          <w:sz w:val="24"/>
        </w:rPr>
        <w:t>d）产品说明书，应至少包括正确安装、使用、维护和保养方法；</w:t>
      </w:r>
    </w:p>
    <w:p w14:paraId="275CF523">
      <w:pPr>
        <w:spacing w:before="60" w:after="60" w:line="288" w:lineRule="auto"/>
        <w:ind w:firstLine="480"/>
        <w:jc w:val="both"/>
        <w:rPr>
          <w:color w:val="auto"/>
        </w:rPr>
      </w:pPr>
      <w:r>
        <w:rPr>
          <w:rFonts w:ascii="宋体" w:hAnsi="宋体" w:eastAsia="宋体" w:cs="宋体"/>
          <w:color w:val="auto"/>
          <w:sz w:val="24"/>
        </w:rPr>
        <w:t>e）第三方型式试验报告（含力学性能、耐腐蚀性能、电气安全等关键项目）；</w:t>
      </w:r>
    </w:p>
    <w:p w14:paraId="7C01BCFF">
      <w:pPr>
        <w:spacing w:before="60" w:after="60" w:line="288" w:lineRule="auto"/>
        <w:ind w:firstLine="480"/>
        <w:jc w:val="both"/>
        <w:rPr>
          <w:color w:val="auto"/>
        </w:rPr>
      </w:pPr>
      <w:r>
        <w:rPr>
          <w:rFonts w:ascii="宋体" w:hAnsi="宋体" w:eastAsia="宋体" w:cs="宋体"/>
          <w:color w:val="auto"/>
          <w:sz w:val="24"/>
        </w:rPr>
        <w:t>f）安装布置图及基础施工图（如适用）；</w:t>
      </w:r>
    </w:p>
    <w:p w14:paraId="6313D794">
      <w:pPr>
        <w:spacing w:before="60" w:after="60" w:line="288" w:lineRule="auto"/>
        <w:ind w:firstLine="480"/>
        <w:jc w:val="both"/>
        <w:rPr>
          <w:color w:val="auto"/>
        </w:rPr>
      </w:pPr>
      <w:r>
        <w:rPr>
          <w:rFonts w:ascii="宋体" w:hAnsi="宋体" w:eastAsia="宋体" w:cs="宋体"/>
          <w:color w:val="auto"/>
          <w:sz w:val="24"/>
        </w:rPr>
        <w:t>g）材料质量证明书（含材质化学成分和力学性能报告）。</w:t>
      </w:r>
    </w:p>
    <w:p w14:paraId="6322D214">
      <w:pPr>
        <w:spacing w:line="288" w:lineRule="auto"/>
        <w:rPr>
          <w:color w:val="auto"/>
        </w:rPr>
      </w:pPr>
    </w:p>
    <w:p w14:paraId="20124552">
      <w:pPr>
        <w:pStyle w:val="3"/>
        <w:keepNext w:val="0"/>
        <w:keepLines w:val="0"/>
        <w:pageBreakBefore w:val="0"/>
        <w:spacing w:before="300" w:after="200" w:line="288" w:lineRule="auto"/>
        <w:jc w:val="center"/>
        <w:outlineLvl w:val="0"/>
        <w:rPr>
          <w:color w:val="auto"/>
        </w:rPr>
      </w:pPr>
      <w:r>
        <w:rPr>
          <w:rFonts w:ascii="黑体" w:hAnsi="黑体" w:eastAsia="黑体" w:cs="黑体"/>
          <w:b/>
          <w:color w:val="auto"/>
          <w:sz w:val="44"/>
        </w:rPr>
        <w:t>9 培训及售后服务</w:t>
      </w:r>
    </w:p>
    <w:p w14:paraId="67E21881">
      <w:pPr>
        <w:spacing w:before="60" w:after="60" w:line="288" w:lineRule="auto"/>
        <w:ind w:firstLine="480"/>
        <w:jc w:val="both"/>
        <w:rPr>
          <w:color w:val="auto"/>
        </w:rPr>
      </w:pPr>
      <w:r>
        <w:rPr>
          <w:rFonts w:ascii="宋体" w:hAnsi="宋体" w:eastAsia="宋体" w:cs="宋体"/>
          <w:color w:val="auto"/>
          <w:sz w:val="24"/>
        </w:rPr>
        <w:t>9.1 自招标方向投标方订购产品使用之日起，投标方应向招标方提供包括热线技术指导、现场故障排除等各种用户技术服务。</w:t>
      </w:r>
    </w:p>
    <w:p w14:paraId="6095F50E">
      <w:pPr>
        <w:spacing w:before="60" w:after="60" w:line="288" w:lineRule="auto"/>
        <w:ind w:firstLine="480"/>
        <w:jc w:val="both"/>
        <w:rPr>
          <w:color w:val="auto"/>
        </w:rPr>
      </w:pPr>
      <w:r>
        <w:rPr>
          <w:rFonts w:ascii="宋体" w:hAnsi="宋体" w:eastAsia="宋体" w:cs="宋体"/>
          <w:color w:val="auto"/>
          <w:sz w:val="24"/>
        </w:rPr>
        <w:t>9.2 质保期限：自产品出厂日期与交货日期起不短于正常使用三年或产品到货三年（中标方承诺的质保期若长于上述时间，则按承诺时间执行）。</w:t>
      </w:r>
    </w:p>
    <w:p w14:paraId="7570B74F">
      <w:pPr>
        <w:spacing w:before="60" w:after="60" w:line="288" w:lineRule="auto"/>
        <w:ind w:firstLine="480"/>
        <w:jc w:val="both"/>
        <w:rPr>
          <w:color w:val="auto"/>
        </w:rPr>
      </w:pPr>
      <w:r>
        <w:rPr>
          <w:rFonts w:ascii="宋体" w:hAnsi="宋体" w:eastAsia="宋体" w:cs="宋体"/>
          <w:color w:val="auto"/>
          <w:sz w:val="24"/>
        </w:rPr>
        <w:t>9.3 招标方在产品的质保期内使用过程中出现因产品或配件质量问题导致的功能性故障时，中标方应对产品进行保修或更换。</w:t>
      </w:r>
    </w:p>
    <w:p w14:paraId="23166D1C">
      <w:pPr>
        <w:spacing w:before="60" w:after="60" w:line="288" w:lineRule="auto"/>
        <w:ind w:firstLine="480"/>
        <w:jc w:val="both"/>
        <w:rPr>
          <w:color w:val="auto"/>
        </w:rPr>
      </w:pPr>
      <w:r>
        <w:rPr>
          <w:rFonts w:ascii="宋体" w:hAnsi="宋体" w:eastAsia="宋体" w:cs="宋体"/>
          <w:color w:val="auto"/>
          <w:sz w:val="24"/>
        </w:rPr>
        <w:t>9.4 中标方负责对招标方的人员进行现场培训，培训内容包含正确安装方法、使用要求、日常检查及维护保养等，并提供必要的技术资料、图纸、参考材料、培训手册、工具等。</w:t>
      </w:r>
    </w:p>
    <w:p w14:paraId="0318449A">
      <w:pPr>
        <w:spacing w:line="288" w:lineRule="auto"/>
        <w:rPr>
          <w:color w:val="auto"/>
        </w:rPr>
      </w:pPr>
    </w:p>
    <w:p w14:paraId="2AF6DE1D">
      <w:pPr>
        <w:pStyle w:val="3"/>
        <w:keepNext w:val="0"/>
        <w:keepLines w:val="0"/>
        <w:pageBreakBefore w:val="0"/>
        <w:spacing w:before="300" w:after="200" w:line="288" w:lineRule="auto"/>
        <w:jc w:val="center"/>
        <w:outlineLvl w:val="0"/>
        <w:rPr>
          <w:color w:val="auto"/>
        </w:rPr>
      </w:pPr>
      <w:r>
        <w:rPr>
          <w:rFonts w:ascii="黑体" w:hAnsi="黑体" w:eastAsia="黑体" w:cs="黑体"/>
          <w:b/>
          <w:color w:val="auto"/>
          <w:sz w:val="44"/>
        </w:rPr>
        <w:t>10 技术差异表</w:t>
      </w:r>
    </w:p>
    <w:p w14:paraId="67439CBC">
      <w:pPr>
        <w:spacing w:before="60" w:after="60" w:line="288" w:lineRule="auto"/>
        <w:ind w:firstLine="480"/>
        <w:jc w:val="both"/>
        <w:rPr>
          <w:color w:val="auto"/>
        </w:rPr>
      </w:pPr>
      <w:r>
        <w:rPr>
          <w:rFonts w:ascii="宋体" w:hAnsi="宋体" w:eastAsia="宋体" w:cs="宋体"/>
          <w:color w:val="auto"/>
          <w:sz w:val="24"/>
        </w:rPr>
        <w:t>投标方应将所供物资与本技术规范书有差异之处，无论优于或劣于本技术规范书要求，均应填写表10.1。</w:t>
      </w:r>
    </w:p>
    <w:p w14:paraId="605585D6">
      <w:pPr>
        <w:spacing w:before="60" w:after="60" w:line="288" w:lineRule="auto"/>
        <w:jc w:val="both"/>
        <w:rPr>
          <w:color w:val="auto"/>
        </w:rPr>
      </w:pPr>
      <w:r>
        <w:rPr>
          <w:rFonts w:ascii="宋体" w:hAnsi="宋体" w:eastAsia="宋体" w:cs="宋体"/>
          <w:b/>
          <w:color w:val="auto"/>
          <w:sz w:val="24"/>
        </w:rPr>
        <w:t>表10.1 技术差异表（投标方填写）</w:t>
      </w:r>
    </w:p>
    <w:tbl>
      <w:tblPr>
        <w:tblStyle w:val="34"/>
        <w:tblW w:w="86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28"/>
        <w:gridCol w:w="1728"/>
        <w:gridCol w:w="1728"/>
        <w:gridCol w:w="1728"/>
        <w:gridCol w:w="1728"/>
      </w:tblGrid>
      <w:tr w14:paraId="12CF9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28"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41CC0A71">
            <w:pPr>
              <w:spacing w:line="288" w:lineRule="auto"/>
              <w:jc w:val="center"/>
              <w:rPr>
                <w:color w:val="auto"/>
              </w:rPr>
            </w:pPr>
            <w:r>
              <w:rPr>
                <w:rFonts w:ascii="黑体" w:hAnsi="黑体" w:eastAsia="黑体" w:cs="黑体"/>
                <w:b/>
                <w:color w:val="auto"/>
                <w:sz w:val="21"/>
                <w:shd w:val="clear" w:color="auto" w:fill="E8E8E8"/>
              </w:rPr>
              <w:t>序号</w:t>
            </w:r>
          </w:p>
        </w:tc>
        <w:tc>
          <w:tcPr>
            <w:tcW w:w="1728"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4E5C50B0">
            <w:pPr>
              <w:spacing w:line="288" w:lineRule="auto"/>
              <w:jc w:val="center"/>
              <w:rPr>
                <w:color w:val="auto"/>
              </w:rPr>
            </w:pPr>
            <w:r>
              <w:rPr>
                <w:rFonts w:ascii="黑体" w:hAnsi="黑体" w:eastAsia="黑体" w:cs="黑体"/>
                <w:b/>
                <w:color w:val="auto"/>
                <w:sz w:val="21"/>
                <w:shd w:val="clear" w:color="auto" w:fill="E8E8E8"/>
              </w:rPr>
              <w:t>招标文件条目</w:t>
            </w:r>
          </w:p>
        </w:tc>
        <w:tc>
          <w:tcPr>
            <w:tcW w:w="1728"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59F7DA9E">
            <w:pPr>
              <w:spacing w:line="288" w:lineRule="auto"/>
              <w:jc w:val="center"/>
              <w:rPr>
                <w:color w:val="auto"/>
              </w:rPr>
            </w:pPr>
            <w:r>
              <w:rPr>
                <w:rFonts w:ascii="黑体" w:hAnsi="黑体" w:eastAsia="黑体" w:cs="黑体"/>
                <w:b/>
                <w:color w:val="auto"/>
                <w:sz w:val="21"/>
                <w:shd w:val="clear" w:color="auto" w:fill="E8E8E8"/>
              </w:rPr>
              <w:t>招标文件简要内容</w:t>
            </w:r>
          </w:p>
        </w:tc>
        <w:tc>
          <w:tcPr>
            <w:tcW w:w="1728"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593307C1">
            <w:pPr>
              <w:spacing w:line="288" w:lineRule="auto"/>
              <w:jc w:val="center"/>
              <w:rPr>
                <w:color w:val="auto"/>
              </w:rPr>
            </w:pPr>
            <w:r>
              <w:rPr>
                <w:rFonts w:ascii="黑体" w:hAnsi="黑体" w:eastAsia="黑体" w:cs="黑体"/>
                <w:b/>
                <w:color w:val="auto"/>
                <w:sz w:val="21"/>
                <w:shd w:val="clear" w:color="auto" w:fill="E8E8E8"/>
              </w:rPr>
              <w:t>投标文件条目</w:t>
            </w:r>
          </w:p>
        </w:tc>
        <w:tc>
          <w:tcPr>
            <w:tcW w:w="1728" w:type="dxa"/>
            <w:tcBorders>
              <w:top w:val="single" w:color="000000" w:sz="6" w:space="0"/>
              <w:left w:val="single" w:color="000000" w:sz="6" w:space="0"/>
              <w:bottom w:val="single" w:color="000000" w:sz="6" w:space="0"/>
              <w:right w:val="single" w:color="000000" w:sz="6" w:space="0"/>
            </w:tcBorders>
            <w:shd w:val="clear" w:color="auto" w:fill="E8E8E8"/>
            <w:tcMar>
              <w:top w:w="18" w:type="dxa"/>
              <w:left w:w="104" w:type="dxa"/>
              <w:bottom w:w="18" w:type="dxa"/>
              <w:right w:w="104" w:type="dxa"/>
            </w:tcMar>
          </w:tcPr>
          <w:p w14:paraId="55D98109">
            <w:pPr>
              <w:spacing w:line="288" w:lineRule="auto"/>
              <w:jc w:val="center"/>
              <w:rPr>
                <w:color w:val="auto"/>
              </w:rPr>
            </w:pPr>
            <w:r>
              <w:rPr>
                <w:rFonts w:ascii="黑体" w:hAnsi="黑体" w:eastAsia="黑体" w:cs="黑体"/>
                <w:b/>
                <w:color w:val="auto"/>
                <w:sz w:val="21"/>
                <w:shd w:val="clear" w:color="auto" w:fill="E8E8E8"/>
              </w:rPr>
              <w:t>投标文件简要内容</w:t>
            </w:r>
          </w:p>
        </w:tc>
      </w:tr>
      <w:tr w14:paraId="25315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FB5E49B">
            <w:pPr>
              <w:spacing w:line="288" w:lineRule="auto"/>
              <w:jc w:val="center"/>
              <w:rPr>
                <w:color w:val="auto"/>
              </w:rPr>
            </w:pPr>
            <w:r>
              <w:rPr>
                <w:rFonts w:ascii="宋体" w:hAnsi="宋体" w:eastAsia="宋体" w:cs="宋体"/>
                <w:color w:val="auto"/>
                <w:sz w:val="21"/>
              </w:rPr>
              <w:t>1</w:t>
            </w: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A022CF2">
            <w:pPr>
              <w:spacing w:line="288" w:lineRule="auto"/>
              <w:jc w:val="center"/>
              <w:rPr>
                <w:color w:val="auto"/>
              </w:rPr>
            </w:pP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720C82D">
            <w:pPr>
              <w:spacing w:line="288" w:lineRule="auto"/>
              <w:jc w:val="center"/>
              <w:rPr>
                <w:color w:val="auto"/>
              </w:rPr>
            </w:pP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61FF8B08">
            <w:pPr>
              <w:spacing w:line="288" w:lineRule="auto"/>
              <w:jc w:val="center"/>
              <w:rPr>
                <w:color w:val="auto"/>
              </w:rPr>
            </w:pP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BB0EAC9">
            <w:pPr>
              <w:spacing w:line="288" w:lineRule="auto"/>
              <w:jc w:val="center"/>
              <w:rPr>
                <w:color w:val="auto"/>
              </w:rPr>
            </w:pPr>
          </w:p>
        </w:tc>
      </w:tr>
      <w:tr w14:paraId="6F1C4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F1E4EF0">
            <w:pPr>
              <w:spacing w:line="288" w:lineRule="auto"/>
              <w:jc w:val="center"/>
              <w:rPr>
                <w:color w:val="auto"/>
              </w:rPr>
            </w:pPr>
            <w:r>
              <w:rPr>
                <w:rFonts w:ascii="宋体" w:hAnsi="宋体" w:eastAsia="宋体" w:cs="宋体"/>
                <w:color w:val="auto"/>
                <w:sz w:val="21"/>
              </w:rPr>
              <w:t>2</w:t>
            </w: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5D27D4F">
            <w:pPr>
              <w:spacing w:line="288" w:lineRule="auto"/>
              <w:jc w:val="center"/>
              <w:rPr>
                <w:color w:val="auto"/>
              </w:rPr>
            </w:pP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5D9E9593">
            <w:pPr>
              <w:spacing w:line="288" w:lineRule="auto"/>
              <w:jc w:val="center"/>
              <w:rPr>
                <w:color w:val="auto"/>
              </w:rPr>
            </w:pP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DCDC04D">
            <w:pPr>
              <w:spacing w:line="288" w:lineRule="auto"/>
              <w:jc w:val="center"/>
              <w:rPr>
                <w:color w:val="auto"/>
              </w:rPr>
            </w:pP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05D0EA66">
            <w:pPr>
              <w:spacing w:line="288" w:lineRule="auto"/>
              <w:jc w:val="center"/>
              <w:rPr>
                <w:color w:val="auto"/>
              </w:rPr>
            </w:pPr>
          </w:p>
        </w:tc>
      </w:tr>
      <w:tr w14:paraId="1BCB9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8867634">
            <w:pPr>
              <w:spacing w:line="288" w:lineRule="auto"/>
              <w:jc w:val="center"/>
              <w:rPr>
                <w:color w:val="auto"/>
              </w:rPr>
            </w:pPr>
            <w:r>
              <w:rPr>
                <w:rFonts w:ascii="宋体" w:hAnsi="宋体" w:eastAsia="宋体" w:cs="宋体"/>
                <w:color w:val="auto"/>
                <w:sz w:val="21"/>
              </w:rPr>
              <w:t>3</w:t>
            </w: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907C238">
            <w:pPr>
              <w:spacing w:line="288" w:lineRule="auto"/>
              <w:jc w:val="center"/>
              <w:rPr>
                <w:color w:val="auto"/>
              </w:rPr>
            </w:pP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58D714B">
            <w:pPr>
              <w:spacing w:line="288" w:lineRule="auto"/>
              <w:jc w:val="center"/>
              <w:rPr>
                <w:color w:val="auto"/>
              </w:rPr>
            </w:pP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948A479">
            <w:pPr>
              <w:spacing w:line="288" w:lineRule="auto"/>
              <w:jc w:val="center"/>
              <w:rPr>
                <w:color w:val="auto"/>
              </w:rPr>
            </w:pP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0391A8CD">
            <w:pPr>
              <w:spacing w:line="288" w:lineRule="auto"/>
              <w:jc w:val="center"/>
              <w:rPr>
                <w:color w:val="auto"/>
              </w:rPr>
            </w:pPr>
          </w:p>
        </w:tc>
      </w:tr>
      <w:tr w14:paraId="1C812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CE47CB2">
            <w:pPr>
              <w:spacing w:line="288" w:lineRule="auto"/>
              <w:jc w:val="center"/>
              <w:rPr>
                <w:color w:val="auto"/>
              </w:rPr>
            </w:pPr>
            <w:r>
              <w:rPr>
                <w:rFonts w:ascii="宋体" w:hAnsi="宋体" w:eastAsia="宋体" w:cs="宋体"/>
                <w:color w:val="auto"/>
                <w:sz w:val="21"/>
              </w:rPr>
              <w:t>4</w:t>
            </w: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0249322">
            <w:pPr>
              <w:spacing w:line="288" w:lineRule="auto"/>
              <w:jc w:val="center"/>
              <w:rPr>
                <w:color w:val="auto"/>
              </w:rPr>
            </w:pP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457E43E">
            <w:pPr>
              <w:spacing w:line="288" w:lineRule="auto"/>
              <w:jc w:val="center"/>
              <w:rPr>
                <w:color w:val="auto"/>
              </w:rPr>
            </w:pP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27175E9">
            <w:pPr>
              <w:spacing w:line="288" w:lineRule="auto"/>
              <w:jc w:val="center"/>
              <w:rPr>
                <w:color w:val="auto"/>
              </w:rPr>
            </w:pP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04985504">
            <w:pPr>
              <w:spacing w:line="288" w:lineRule="auto"/>
              <w:jc w:val="center"/>
              <w:rPr>
                <w:color w:val="auto"/>
              </w:rPr>
            </w:pPr>
          </w:p>
        </w:tc>
      </w:tr>
      <w:tr w14:paraId="600A3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39975B1E">
            <w:pPr>
              <w:spacing w:line="288" w:lineRule="auto"/>
              <w:jc w:val="center"/>
              <w:rPr>
                <w:color w:val="auto"/>
              </w:rPr>
            </w:pPr>
            <w:r>
              <w:rPr>
                <w:rFonts w:ascii="宋体" w:hAnsi="宋体" w:eastAsia="宋体" w:cs="宋体"/>
                <w:color w:val="auto"/>
                <w:sz w:val="21"/>
              </w:rPr>
              <w:t>5</w:t>
            </w: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797FCAB2">
            <w:pPr>
              <w:spacing w:line="288" w:lineRule="auto"/>
              <w:jc w:val="center"/>
              <w:rPr>
                <w:color w:val="auto"/>
              </w:rPr>
            </w:pP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4E4758DA">
            <w:pPr>
              <w:spacing w:line="288" w:lineRule="auto"/>
              <w:jc w:val="center"/>
              <w:rPr>
                <w:color w:val="auto"/>
              </w:rPr>
            </w:pP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1E3FB971">
            <w:pPr>
              <w:spacing w:line="288" w:lineRule="auto"/>
              <w:jc w:val="center"/>
              <w:rPr>
                <w:color w:val="auto"/>
              </w:rPr>
            </w:pPr>
          </w:p>
        </w:tc>
        <w:tc>
          <w:tcPr>
            <w:tcW w:w="1728" w:type="dxa"/>
            <w:tcBorders>
              <w:top w:val="single" w:color="000000" w:sz="6" w:space="0"/>
              <w:left w:val="single" w:color="000000" w:sz="6" w:space="0"/>
              <w:bottom w:val="single" w:color="000000" w:sz="6" w:space="0"/>
              <w:right w:val="single" w:color="000000" w:sz="6" w:space="0"/>
            </w:tcBorders>
            <w:tcMar>
              <w:top w:w="15" w:type="dxa"/>
              <w:left w:w="104" w:type="dxa"/>
              <w:bottom w:w="15" w:type="dxa"/>
              <w:right w:w="104" w:type="dxa"/>
            </w:tcMar>
          </w:tcPr>
          <w:p w14:paraId="20C39B73">
            <w:pPr>
              <w:spacing w:line="288" w:lineRule="auto"/>
              <w:jc w:val="center"/>
              <w:rPr>
                <w:color w:val="auto"/>
              </w:rPr>
            </w:pPr>
          </w:p>
        </w:tc>
      </w:tr>
    </w:tbl>
    <w:p w14:paraId="428DA751">
      <w:pPr>
        <w:spacing w:before="60" w:after="60" w:line="288" w:lineRule="auto"/>
        <w:ind w:firstLine="480"/>
        <w:jc w:val="both"/>
        <w:rPr>
          <w:color w:val="auto"/>
        </w:rPr>
      </w:pPr>
      <w:r>
        <w:rPr>
          <w:rFonts w:ascii="宋体" w:hAnsi="宋体" w:eastAsia="宋体" w:cs="宋体"/>
          <w:color w:val="auto"/>
          <w:sz w:val="24"/>
        </w:rPr>
        <w:t>投标方：________________________ 盖章：________________________</w:t>
      </w:r>
    </w:p>
    <w:p w14:paraId="39382D07">
      <w:pPr>
        <w:spacing w:line="288" w:lineRule="auto"/>
        <w:rPr>
          <w:color w:val="auto"/>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Segoe UI Emoji">
    <w:panose1 w:val="020B0502040204020203"/>
    <w:charset w:val="00"/>
    <w:family w:val="auto"/>
    <w:pitch w:val="default"/>
    <w:sig w:usb0="00000001" w:usb1="02000000" w:usb2="08000000" w:usb3="00000000" w:csb0="00000001" w:csb1="00000000"/>
  </w:font>
  <w:font w:name="ＭＳ 明朝">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00009"/>
    <w:multiLevelType w:val="singleLevel"/>
    <w:tmpl w:val="A0B00009"/>
    <w:lvl w:ilvl="0" w:tentative="0">
      <w:start w:val="1"/>
      <w:numFmt w:val="bullet"/>
      <w:lvlText w:val="•"/>
      <w:lvlJc w:val="left"/>
      <w:pPr>
        <w:tabs>
          <w:tab w:val="left" w:pos="360"/>
        </w:tabs>
        <w:ind w:left="360" w:hanging="360"/>
      </w:pPr>
      <w:rPr>
        <w:rFonts w:ascii="微软雅黑" w:hAnsi="微软雅黑" w:eastAsia="微软雅黑" w:cs="微软雅黑"/>
        <w:sz w:val="28"/>
        <w:szCs w:val="28"/>
      </w:rPr>
    </w:lvl>
  </w:abstractNum>
  <w:abstractNum w:abstractNumId="1">
    <w:nsid w:val="FFFFFF7E"/>
    <w:multiLevelType w:val="singleLevel"/>
    <w:tmpl w:val="FFFFFF7E"/>
    <w:lvl w:ilvl="0" w:tentative="0">
      <w:start w:val="1"/>
      <w:numFmt w:val="decimal"/>
      <w:pStyle w:val="22"/>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5"/>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1CF712B"/>
    <w:rsid w:val="1C6245F7"/>
    <w:rsid w:val="1F5B1450"/>
    <w:rsid w:val="230C3BE0"/>
    <w:rsid w:val="39B27D5E"/>
    <w:rsid w:val="3B4B5CA1"/>
    <w:rsid w:val="4DCA084B"/>
    <w:rsid w:val="5A3D749E"/>
    <w:rsid w:val="65F12584"/>
    <w:rsid w:val="6A633A0D"/>
    <w:rsid w:val="6C0712A6"/>
    <w:rsid w:val="6E8105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before="0" w:after="0" w:line="276" w:lineRule="auto"/>
    </w:pPr>
    <w:rPr>
      <w:rFonts w:ascii="微软雅黑" w:hAnsi="微软雅黑" w:eastAsia="微软雅黑" w:cstheme="minorBidi"/>
      <w:sz w:val="24"/>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微软雅黑" w:hAnsi="微软雅黑" w:eastAsia="微软雅黑" w:cs="微软雅黑"/>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微软雅黑" w:hAnsi="微软雅黑" w:eastAsia="微软雅黑" w:cs="微软雅黑"/>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微软雅黑" w:hAnsi="微软雅黑" w:eastAsia="微软雅黑" w:cs="微软雅黑"/>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微软雅黑" w:hAnsi="微软雅黑" w:eastAsia="微软雅黑" w:cs="微软雅黑"/>
      <w:b/>
      <w:b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微软雅黑" w:hAnsi="微软雅黑" w:eastAsia="微软雅黑" w:cs="微软雅黑"/>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微软雅黑" w:hAnsi="微软雅黑" w:eastAsia="微软雅黑" w:cs="微软雅黑"/>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annotation text"/>
    <w:basedOn w:val="1"/>
    <w:semiHidden/>
    <w:unhideWhenUsed/>
    <w:qFormat/>
    <w:uiPriority w:val="99"/>
    <w:pPr>
      <w:jc w:val="left"/>
    </w:pPr>
  </w:style>
  <w:style w:type="paragraph" w:styleId="18">
    <w:name w:val="Body Text 3"/>
    <w:basedOn w:val="1"/>
    <w:link w:val="147"/>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next w:val="21"/>
    <w:link w:val="145"/>
    <w:unhideWhenUsed/>
    <w:qFormat/>
    <w:uiPriority w:val="99"/>
    <w:pPr>
      <w:spacing w:after="120"/>
    </w:pPr>
  </w:style>
  <w:style w:type="paragraph" w:styleId="21">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22">
    <w:name w:val="List Number 3"/>
    <w:basedOn w:val="1"/>
    <w:unhideWhenUsed/>
    <w:qFormat/>
    <w:uiPriority w:val="99"/>
    <w:pPr>
      <w:numPr>
        <w:ilvl w:val="0"/>
        <w:numId w:val="5"/>
      </w:numPr>
      <w:contextualSpacing/>
    </w:pPr>
  </w:style>
  <w:style w:type="paragraph" w:styleId="23">
    <w:name w:val="List 2"/>
    <w:basedOn w:val="1"/>
    <w:unhideWhenUsed/>
    <w:qFormat/>
    <w:uiPriority w:val="99"/>
    <w:pPr>
      <w:ind w:left="720" w:hanging="360"/>
      <w:contextualSpacing/>
    </w:pPr>
  </w:style>
  <w:style w:type="paragraph" w:styleId="24">
    <w:name w:val="List Continue"/>
    <w:basedOn w:val="1"/>
    <w:unhideWhenUsed/>
    <w:qFormat/>
    <w:uiPriority w:val="99"/>
    <w:pPr>
      <w:spacing w:after="120"/>
      <w:ind w:left="360"/>
      <w:contextualSpacing/>
    </w:pPr>
  </w:style>
  <w:style w:type="paragraph" w:styleId="25">
    <w:name w:val="List Bullet 2"/>
    <w:basedOn w:val="1"/>
    <w:unhideWhenUsed/>
    <w:qFormat/>
    <w:uiPriority w:val="99"/>
    <w:pPr>
      <w:numPr>
        <w:ilvl w:val="0"/>
        <w:numId w:val="6"/>
      </w:numPr>
      <w:contextualSpacing/>
    </w:pPr>
  </w:style>
  <w:style w:type="paragraph" w:styleId="26">
    <w:name w:val="footer"/>
    <w:basedOn w:val="1"/>
    <w:link w:val="137"/>
    <w:unhideWhenUsed/>
    <w:qFormat/>
    <w:uiPriority w:val="99"/>
    <w:pPr>
      <w:tabs>
        <w:tab w:val="center" w:pos="4680"/>
        <w:tab w:val="right" w:pos="9360"/>
      </w:tabs>
      <w:spacing w:after="0" w:line="240" w:lineRule="auto"/>
    </w:pPr>
  </w:style>
  <w:style w:type="paragraph" w:styleId="27">
    <w:name w:val="header"/>
    <w:basedOn w:val="1"/>
    <w:link w:val="136"/>
    <w:unhideWhenUsed/>
    <w:qFormat/>
    <w:uiPriority w:val="99"/>
    <w:pPr>
      <w:tabs>
        <w:tab w:val="center" w:pos="4680"/>
        <w:tab w:val="right" w:pos="9360"/>
      </w:tabs>
      <w:spacing w:after="0" w:line="240" w:lineRule="auto"/>
    </w:pPr>
  </w:style>
  <w:style w:type="paragraph" w:styleId="28">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9">
    <w:name w:val="List"/>
    <w:basedOn w:val="1"/>
    <w:unhideWhenUsed/>
    <w:qFormat/>
    <w:uiPriority w:val="99"/>
    <w:pPr>
      <w:ind w:left="360" w:hanging="360"/>
      <w:contextualSpacing/>
    </w:pPr>
  </w:style>
  <w:style w:type="paragraph" w:styleId="30">
    <w:name w:val="Body Text 2"/>
    <w:basedOn w:val="1"/>
    <w:link w:val="146"/>
    <w:unhideWhenUsed/>
    <w:qFormat/>
    <w:uiPriority w:val="99"/>
    <w:pPr>
      <w:spacing w:after="120" w:line="480" w:lineRule="auto"/>
    </w:pPr>
  </w:style>
  <w:style w:type="paragraph" w:styleId="31">
    <w:name w:val="List Continue 2"/>
    <w:basedOn w:val="1"/>
    <w:unhideWhenUsed/>
    <w:qFormat/>
    <w:uiPriority w:val="99"/>
    <w:pPr>
      <w:spacing w:after="120"/>
      <w:ind w:left="720"/>
      <w:contextualSpacing/>
    </w:pPr>
  </w:style>
  <w:style w:type="paragraph" w:styleId="32">
    <w:name w:val="List Continue 3"/>
    <w:basedOn w:val="1"/>
    <w:unhideWhenUsed/>
    <w:qFormat/>
    <w:uiPriority w:val="99"/>
    <w:pPr>
      <w:spacing w:after="120"/>
      <w:ind w:left="1080"/>
      <w:contextualSpacing/>
    </w:p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7"/>
    <w:qFormat/>
    <w:uiPriority w:val="99"/>
  </w:style>
  <w:style w:type="character" w:customStyle="1" w:styleId="137">
    <w:name w:val="Footer Char"/>
    <w:basedOn w:val="133"/>
    <w:link w:val="26"/>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2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8"/>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20"/>
    <w:qFormat/>
    <w:uiPriority w:val="99"/>
  </w:style>
  <w:style w:type="character" w:customStyle="1" w:styleId="146">
    <w:name w:val="Body Text 2 Char"/>
    <w:basedOn w:val="133"/>
    <w:link w:val="30"/>
    <w:qFormat/>
    <w:uiPriority w:val="99"/>
  </w:style>
  <w:style w:type="character" w:customStyle="1" w:styleId="147">
    <w:name w:val="Body Text 3 Char"/>
    <w:basedOn w:val="133"/>
    <w:link w:val="18"/>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6576</Words>
  <Characters>7931</Characters>
  <Lines>0</Lines>
  <Paragraphs>0</Paragraphs>
  <TotalTime>10</TotalTime>
  <ScaleCrop>false</ScaleCrop>
  <LinksUpToDate>false</LinksUpToDate>
  <CharactersWithSpaces>8157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冯积家</cp:lastModifiedBy>
  <dcterms:modified xsi:type="dcterms:W3CDTF">2026-06-08T15:56:20Z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eyJoZGlkIjoiZmVlOTEyNTFjNTViZmFlNmNhMTk2MTk3MDFmZDZiM2IiLCJ1c2VySWQiOiIzOTA1ODA2NjYifQ==</vt:lpwstr>
  </property>
  <property fmtid="{D5CDD505-2E9C-101B-9397-08002B2CF9AE}" pid="3" name="KSOProductBuildVer">
    <vt:lpwstr>2052-12.1.0.26895</vt:lpwstr>
  </property>
  <property fmtid="{D5CDD505-2E9C-101B-9397-08002B2CF9AE}" pid="4" name="ICV">
    <vt:lpwstr>FEA175254E9B4F2AB2EDD2D8E8249DA2_13</vt:lpwstr>
  </property>
</Properties>
</file>