
<file path=[Content_Types].xml><?xml version="1.0" encoding="utf-8"?>
<Types xmlns="http://schemas.openxmlformats.org/package/2006/content-types">
  <Default Extension="xml" ContentType="application/xml"/>
  <Default Extension="wmf" ContentType="image/x-w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09AA9B">
      <w:pPr>
        <w:pStyle w:val="5"/>
        <w:keepNext w:val="0"/>
        <w:keepLines w:val="0"/>
        <w:pageBreakBefore w:val="0"/>
        <w:spacing w:before="400" w:after="300" w:line="288" w:lineRule="auto"/>
        <w:jc w:val="center"/>
        <w:outlineLvl w:val="0"/>
        <w:rPr>
          <w:rFonts w:ascii="黑体" w:hAnsi="黑体" w:eastAsia="黑体" w:cs="黑体"/>
          <w:b/>
          <w:color w:val="000000"/>
          <w:sz w:val="44"/>
        </w:rPr>
        <w:sectPr>
          <w:pgSz w:w="12240" w:h="15840"/>
          <w:pgMar w:top="1440" w:right="1800" w:bottom="1440" w:left="1800" w:header="720" w:footer="720" w:gutter="0"/>
          <w:cols w:space="720" w:num="1"/>
          <w:docGrid w:linePitch="360" w:charSpace="0"/>
        </w:sectPr>
      </w:pPr>
      <w:r>
        <w:rPr>
          <w:rFonts w:ascii="Times New Roman"/>
        </w:rPr>
        <mc:AlternateContent>
          <mc:Choice Requires="wps">
            <w:drawing>
              <wp:anchor distT="0" distB="0" distL="114300" distR="114300" simplePos="0" relativeHeight="251660288" behindDoc="0" locked="0" layoutInCell="1" allowOverlap="1">
                <wp:simplePos x="0" y="0"/>
                <wp:positionH relativeFrom="column">
                  <wp:posOffset>-347345</wp:posOffset>
                </wp:positionH>
                <wp:positionV relativeFrom="paragraph">
                  <wp:posOffset>492760</wp:posOffset>
                </wp:positionV>
                <wp:extent cx="6457950" cy="6816090"/>
                <wp:effectExtent l="0" t="0" r="3810" b="11430"/>
                <wp:wrapNone/>
                <wp:docPr id="1" name="文本框 3"/>
                <wp:cNvGraphicFramePr/>
                <a:graphic xmlns:a="http://schemas.openxmlformats.org/drawingml/2006/main">
                  <a:graphicData uri="http://schemas.microsoft.com/office/word/2010/wordprocessingShape">
                    <wps:wsp>
                      <wps:cNvSpPr txBox="1"/>
                      <wps:spPr>
                        <a:xfrm>
                          <a:off x="0" y="0"/>
                          <a:ext cx="6457950" cy="6816090"/>
                        </a:xfrm>
                        <a:prstGeom prst="rect">
                          <a:avLst/>
                        </a:prstGeom>
                        <a:solidFill>
                          <a:srgbClr val="FFFFFF"/>
                        </a:solidFill>
                        <a:ln>
                          <a:noFill/>
                        </a:ln>
                      </wps:spPr>
                      <wps:txbx>
                        <w:txbxContent>
                          <w:p w14:paraId="5DAE3462">
                            <w:pPr>
                              <w:jc w:val="center"/>
                              <w:rPr>
                                <w:rFonts w:hint="eastAsia" w:eastAsia="黑体"/>
                                <w:b/>
                                <w:sz w:val="52"/>
                              </w:rPr>
                            </w:pPr>
                            <w:r>
                              <w:rPr>
                                <w:rFonts w:hint="eastAsia" w:eastAsia="黑体"/>
                                <w:b/>
                                <w:sz w:val="52"/>
                              </w:rPr>
                              <w:t xml:space="preserve"> </w:t>
                            </w:r>
                          </w:p>
                          <w:p w14:paraId="071FF0F7">
                            <w:pPr>
                              <w:jc w:val="center"/>
                              <w:rPr>
                                <w:rFonts w:hint="eastAsia" w:eastAsia="黑体"/>
                                <w:b/>
                                <w:sz w:val="52"/>
                              </w:rPr>
                            </w:pPr>
                          </w:p>
                          <w:p w14:paraId="38DF4414">
                            <w:pPr>
                              <w:spacing w:before="480" w:beforeLines="200"/>
                              <w:ind w:firstLine="2873" w:firstLineChars="795"/>
                              <w:jc w:val="left"/>
                              <w:rPr>
                                <w:rFonts w:hint="eastAsia" w:eastAsia="黑体"/>
                                <w:b/>
                                <w:sz w:val="36"/>
                              </w:rPr>
                            </w:pPr>
                          </w:p>
                          <w:p w14:paraId="21ACBDD8">
                            <w:pPr>
                              <w:spacing w:before="240" w:beforeLines="100" w:after="600" w:afterLines="250"/>
                              <w:jc w:val="center"/>
                              <w:rPr>
                                <w:rFonts w:hint="eastAsia" w:ascii="宋体" w:hAnsi="宋体" w:eastAsia="宋体"/>
                                <w:b/>
                                <w:sz w:val="52"/>
                                <w:lang w:eastAsia="zh-CN"/>
                              </w:rPr>
                            </w:pPr>
                            <w:r>
                              <w:rPr>
                                <w:rFonts w:hint="eastAsia" w:ascii="宋体" w:hAnsi="宋体"/>
                                <w:b/>
                                <w:color w:val="000000"/>
                                <w:sz w:val="52"/>
                              </w:rPr>
                              <w:t>物资</w:t>
                            </w:r>
                            <w:r>
                              <w:rPr>
                                <w:rFonts w:ascii="宋体" w:hAnsi="宋体"/>
                                <w:b/>
                                <w:color w:val="000000"/>
                                <w:sz w:val="52"/>
                              </w:rPr>
                              <w:t>名称：</w:t>
                            </w:r>
                            <w:r>
                              <w:rPr>
                                <w:rFonts w:hint="eastAsia" w:ascii="宋体" w:hAnsi="宋体"/>
                                <w:b/>
                                <w:sz w:val="52"/>
                                <w:lang w:val="en-US" w:eastAsia="zh-CN"/>
                              </w:rPr>
                              <w:t>电杆警示防撞桶</w:t>
                            </w:r>
                          </w:p>
                          <w:p w14:paraId="6AC14F9E">
                            <w:pPr>
                              <w:spacing w:before="240" w:beforeLines="100" w:after="600" w:afterLines="250"/>
                              <w:jc w:val="center"/>
                              <w:rPr>
                                <w:rFonts w:hint="eastAsia" w:ascii="宋体" w:hAnsi="宋体"/>
                                <w:b/>
                                <w:color w:val="000000"/>
                                <w:sz w:val="52"/>
                              </w:rPr>
                            </w:pPr>
                            <w:r>
                              <w:rPr>
                                <w:rFonts w:hint="eastAsia" w:ascii="宋体" w:hAnsi="宋体"/>
                                <w:b/>
                                <w:color w:val="000000"/>
                                <w:sz w:val="52"/>
                              </w:rPr>
                              <w:t>技术</w:t>
                            </w:r>
                            <w:r>
                              <w:rPr>
                                <w:rFonts w:hint="eastAsia" w:ascii="宋体" w:hAnsi="宋体"/>
                                <w:b/>
                                <w:color w:val="000000"/>
                                <w:sz w:val="52"/>
                                <w:lang w:eastAsia="zh-CN"/>
                              </w:rPr>
                              <w:t>规范</w:t>
                            </w:r>
                            <w:r>
                              <w:rPr>
                                <w:rFonts w:hint="eastAsia" w:ascii="宋体" w:hAnsi="宋体"/>
                                <w:b/>
                                <w:color w:val="000000"/>
                                <w:sz w:val="52"/>
                              </w:rPr>
                              <w:t>书</w:t>
                            </w:r>
                          </w:p>
                          <w:p w14:paraId="2BAF53DF">
                            <w:pPr>
                              <w:spacing w:before="480" w:beforeLines="200"/>
                              <w:ind w:firstLine="4682" w:firstLineChars="1300"/>
                              <w:rPr>
                                <w:rFonts w:hint="eastAsia" w:ascii="宋体" w:hAnsi="宋体"/>
                                <w:b/>
                                <w:bCs/>
                                <w:color w:val="000000"/>
                                <w:sz w:val="36"/>
                              </w:rPr>
                            </w:pPr>
                            <w:r>
                              <w:rPr>
                                <w:rFonts w:hint="eastAsia" w:ascii="宋体" w:hAnsi="宋体"/>
                                <w:b/>
                                <w:bCs/>
                                <w:color w:val="000000"/>
                                <w:sz w:val="36"/>
                              </w:rPr>
                              <w:t>编号：</w:t>
                            </w:r>
                          </w:p>
                          <w:p w14:paraId="54BEB442">
                            <w:pPr>
                              <w:spacing w:before="480" w:beforeLines="200"/>
                              <w:ind w:firstLine="3600" w:firstLineChars="1000"/>
                              <w:rPr>
                                <w:rFonts w:hint="eastAsia" w:ascii="宋体" w:hAnsi="宋体"/>
                                <w:color w:val="000000"/>
                                <w:sz w:val="36"/>
                              </w:rPr>
                            </w:pPr>
                          </w:p>
                          <w:p w14:paraId="1DAE3F60">
                            <w:pPr>
                              <w:spacing w:before="480" w:beforeLines="200"/>
                              <w:ind w:firstLine="3600" w:firstLineChars="1000"/>
                              <w:rPr>
                                <w:rFonts w:hint="eastAsia" w:ascii="宋体" w:hAnsi="宋体"/>
                                <w:color w:val="000000"/>
                                <w:sz w:val="36"/>
                              </w:rPr>
                            </w:pPr>
                          </w:p>
                          <w:p w14:paraId="702374CB">
                            <w:pPr>
                              <w:spacing w:before="480" w:beforeLines="200"/>
                              <w:jc w:val="center"/>
                              <w:rPr>
                                <w:b/>
                                <w:spacing w:val="20"/>
                                <w:w w:val="135"/>
                                <w:sz w:val="30"/>
                              </w:rPr>
                            </w:pPr>
                          </w:p>
                          <w:p w14:paraId="425E34D1">
                            <w:pPr>
                              <w:spacing w:before="480" w:beforeLines="200"/>
                              <w:ind w:firstLine="2873" w:firstLineChars="795"/>
                              <w:jc w:val="left"/>
                              <w:rPr>
                                <w:rFonts w:hint="eastAsia" w:eastAsia="黑体"/>
                                <w:b/>
                                <w:sz w:val="36"/>
                              </w:rPr>
                            </w:pPr>
                          </w:p>
                          <w:p w14:paraId="171CC74F">
                            <w:pPr>
                              <w:spacing w:before="480" w:beforeLines="200"/>
                              <w:ind w:firstLine="2873" w:firstLineChars="795"/>
                              <w:jc w:val="left"/>
                              <w:rPr>
                                <w:rFonts w:hint="eastAsia" w:eastAsia="黑体"/>
                                <w:b/>
                                <w:sz w:val="36"/>
                              </w:rPr>
                            </w:pPr>
                          </w:p>
                          <w:p w14:paraId="40320F27">
                            <w:pPr>
                              <w:spacing w:before="480" w:beforeLines="200"/>
                              <w:ind w:firstLine="2873" w:firstLineChars="795"/>
                              <w:jc w:val="left"/>
                              <w:rPr>
                                <w:rFonts w:hint="eastAsia" w:eastAsia="黑体"/>
                                <w:b/>
                                <w:sz w:val="36"/>
                              </w:rPr>
                            </w:pPr>
                          </w:p>
                          <w:p w14:paraId="2E74D0BF">
                            <w:pPr>
                              <w:spacing w:before="480" w:beforeLines="200"/>
                              <w:ind w:firstLine="2873" w:firstLineChars="795"/>
                              <w:jc w:val="left"/>
                              <w:rPr>
                                <w:rFonts w:hint="eastAsia" w:eastAsia="黑体"/>
                                <w:b/>
                                <w:sz w:val="36"/>
                              </w:rPr>
                            </w:pPr>
                          </w:p>
                          <w:p w14:paraId="4E9C131E">
                            <w:pPr>
                              <w:spacing w:before="480" w:beforeLines="200"/>
                              <w:ind w:firstLine="2873" w:firstLineChars="795"/>
                              <w:jc w:val="left"/>
                              <w:rPr>
                                <w:rFonts w:hint="eastAsia" w:eastAsia="黑体"/>
                                <w:b/>
                                <w:sz w:val="36"/>
                              </w:rPr>
                            </w:pPr>
                          </w:p>
                          <w:p w14:paraId="5802DA74">
                            <w:pPr>
                              <w:spacing w:before="480" w:beforeLines="200"/>
                              <w:ind w:firstLine="2873" w:firstLineChars="795"/>
                              <w:jc w:val="left"/>
                              <w:rPr>
                                <w:rFonts w:eastAsia="黑体"/>
                                <w:b/>
                                <w:sz w:val="36"/>
                              </w:rPr>
                            </w:pPr>
                          </w:p>
                          <w:p w14:paraId="1B51E8EE">
                            <w:pPr>
                              <w:jc w:val="center"/>
                              <w:rPr>
                                <w:rFonts w:hint="eastAsia" w:eastAsia="黑体"/>
                                <w:b/>
                                <w:sz w:val="52"/>
                              </w:rPr>
                            </w:pPr>
                            <w:r>
                              <w:rPr>
                                <w:rFonts w:hint="eastAsia" w:ascii="黑体" w:eastAsia="黑体"/>
                                <w:sz w:val="32"/>
                                <w:szCs w:val="32"/>
                              </w:rPr>
                              <w:t>2017年4月</w:t>
                            </w:r>
                          </w:p>
                          <w:p w14:paraId="7223262E">
                            <w:pPr>
                              <w:jc w:val="center"/>
                              <w:rPr>
                                <w:rFonts w:eastAsia="黑体"/>
                                <w:b/>
                                <w:sz w:val="52"/>
                              </w:rPr>
                            </w:pPr>
                          </w:p>
                          <w:p w14:paraId="14BA4B2F">
                            <w:pPr>
                              <w:spacing w:before="480" w:beforeLines="200"/>
                              <w:jc w:val="center"/>
                              <w:rPr>
                                <w:rFonts w:eastAsia="黑体"/>
                                <w:b/>
                                <w:sz w:val="52"/>
                              </w:rPr>
                            </w:pPr>
                          </w:p>
                        </w:txbxContent>
                      </wps:txbx>
                      <wps:bodyPr wrap="square" lIns="0" tIns="0" rIns="91440" bIns="45720" upright="1"/>
                    </wps:wsp>
                  </a:graphicData>
                </a:graphic>
              </wp:anchor>
            </w:drawing>
          </mc:Choice>
          <mc:Fallback>
            <w:pict>
              <v:shape id="文本框 3" o:spid="_x0000_s1026" o:spt="202" type="#_x0000_t202" style="position:absolute;left:0pt;margin-left:-27.35pt;margin-top:38.8pt;height:536.7pt;width:508.5pt;z-index:251660288;mso-width-relative:page;mso-height-relative:page;" fillcolor="#FFFFFF" filled="t" stroked="f" coordsize="21600,21600" o:gfxdata="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cKH6G2wAA&#10;AAsBAAAPAAAAAAAAAAEAIAAAACIAAABkcnMvZG93bnJldi54bWxQSwECFAAUAAAACACHTuJAOCAJ&#10;BeIBAACyAwAADgAAAAAAAAABACAAAAAqAQAAZHJzL2Uyb0RvYy54bWxQSwUGAAAAAAYABgBZAQAA&#10;fgUAAAAA&#10;">
                <v:fill on="t" focussize="0,0"/>
                <v:stroke on="f"/>
                <v:imagedata o:title=""/>
                <o:lock v:ext="edit" aspectratio="f"/>
                <v:textbox inset="0mm,0mm,2.54mm,1.27mm">
                  <w:txbxContent>
                    <w:p w14:paraId="5DAE3462">
                      <w:pPr>
                        <w:jc w:val="center"/>
                        <w:rPr>
                          <w:rFonts w:hint="eastAsia" w:eastAsia="黑体"/>
                          <w:b/>
                          <w:sz w:val="52"/>
                        </w:rPr>
                      </w:pPr>
                      <w:r>
                        <w:rPr>
                          <w:rFonts w:hint="eastAsia" w:eastAsia="黑体"/>
                          <w:b/>
                          <w:sz w:val="52"/>
                        </w:rPr>
                        <w:t xml:space="preserve"> </w:t>
                      </w:r>
                    </w:p>
                    <w:p w14:paraId="071FF0F7">
                      <w:pPr>
                        <w:jc w:val="center"/>
                        <w:rPr>
                          <w:rFonts w:hint="eastAsia" w:eastAsia="黑体"/>
                          <w:b/>
                          <w:sz w:val="52"/>
                        </w:rPr>
                      </w:pPr>
                    </w:p>
                    <w:p w14:paraId="38DF4414">
                      <w:pPr>
                        <w:spacing w:before="480" w:beforeLines="200"/>
                        <w:ind w:firstLine="2873" w:firstLineChars="795"/>
                        <w:jc w:val="left"/>
                        <w:rPr>
                          <w:rFonts w:hint="eastAsia" w:eastAsia="黑体"/>
                          <w:b/>
                          <w:sz w:val="36"/>
                        </w:rPr>
                      </w:pPr>
                    </w:p>
                    <w:p w14:paraId="21ACBDD8">
                      <w:pPr>
                        <w:spacing w:before="240" w:beforeLines="100" w:after="600" w:afterLines="250"/>
                        <w:jc w:val="center"/>
                        <w:rPr>
                          <w:rFonts w:hint="eastAsia" w:ascii="宋体" w:hAnsi="宋体" w:eastAsia="宋体"/>
                          <w:b/>
                          <w:sz w:val="52"/>
                          <w:lang w:eastAsia="zh-CN"/>
                        </w:rPr>
                      </w:pPr>
                      <w:r>
                        <w:rPr>
                          <w:rFonts w:hint="eastAsia" w:ascii="宋体" w:hAnsi="宋体"/>
                          <w:b/>
                          <w:color w:val="000000"/>
                          <w:sz w:val="52"/>
                        </w:rPr>
                        <w:t>物资</w:t>
                      </w:r>
                      <w:r>
                        <w:rPr>
                          <w:rFonts w:ascii="宋体" w:hAnsi="宋体"/>
                          <w:b/>
                          <w:color w:val="000000"/>
                          <w:sz w:val="52"/>
                        </w:rPr>
                        <w:t>名称：</w:t>
                      </w:r>
                      <w:r>
                        <w:rPr>
                          <w:rFonts w:hint="eastAsia" w:ascii="宋体" w:hAnsi="宋体"/>
                          <w:b/>
                          <w:sz w:val="52"/>
                          <w:lang w:val="en-US" w:eastAsia="zh-CN"/>
                        </w:rPr>
                        <w:t>电杆警示防撞桶</w:t>
                      </w:r>
                    </w:p>
                    <w:p w14:paraId="6AC14F9E">
                      <w:pPr>
                        <w:spacing w:before="240" w:beforeLines="100" w:after="600" w:afterLines="250"/>
                        <w:jc w:val="center"/>
                        <w:rPr>
                          <w:rFonts w:hint="eastAsia" w:ascii="宋体" w:hAnsi="宋体"/>
                          <w:b/>
                          <w:color w:val="000000"/>
                          <w:sz w:val="52"/>
                        </w:rPr>
                      </w:pPr>
                      <w:r>
                        <w:rPr>
                          <w:rFonts w:hint="eastAsia" w:ascii="宋体" w:hAnsi="宋体"/>
                          <w:b/>
                          <w:color w:val="000000"/>
                          <w:sz w:val="52"/>
                        </w:rPr>
                        <w:t>技术</w:t>
                      </w:r>
                      <w:r>
                        <w:rPr>
                          <w:rFonts w:hint="eastAsia" w:ascii="宋体" w:hAnsi="宋体"/>
                          <w:b/>
                          <w:color w:val="000000"/>
                          <w:sz w:val="52"/>
                          <w:lang w:eastAsia="zh-CN"/>
                        </w:rPr>
                        <w:t>规范</w:t>
                      </w:r>
                      <w:r>
                        <w:rPr>
                          <w:rFonts w:hint="eastAsia" w:ascii="宋体" w:hAnsi="宋体"/>
                          <w:b/>
                          <w:color w:val="000000"/>
                          <w:sz w:val="52"/>
                        </w:rPr>
                        <w:t>书</w:t>
                      </w:r>
                    </w:p>
                    <w:p w14:paraId="2BAF53DF">
                      <w:pPr>
                        <w:spacing w:before="480" w:beforeLines="200"/>
                        <w:ind w:firstLine="4682" w:firstLineChars="1300"/>
                        <w:rPr>
                          <w:rFonts w:hint="eastAsia" w:ascii="宋体" w:hAnsi="宋体"/>
                          <w:b/>
                          <w:bCs/>
                          <w:color w:val="000000"/>
                          <w:sz w:val="36"/>
                        </w:rPr>
                      </w:pPr>
                      <w:r>
                        <w:rPr>
                          <w:rFonts w:hint="eastAsia" w:ascii="宋体" w:hAnsi="宋体"/>
                          <w:b/>
                          <w:bCs/>
                          <w:color w:val="000000"/>
                          <w:sz w:val="36"/>
                        </w:rPr>
                        <w:t>编号：</w:t>
                      </w:r>
                    </w:p>
                    <w:p w14:paraId="54BEB442">
                      <w:pPr>
                        <w:spacing w:before="480" w:beforeLines="200"/>
                        <w:ind w:firstLine="3600" w:firstLineChars="1000"/>
                        <w:rPr>
                          <w:rFonts w:hint="eastAsia" w:ascii="宋体" w:hAnsi="宋体"/>
                          <w:color w:val="000000"/>
                          <w:sz w:val="36"/>
                        </w:rPr>
                      </w:pPr>
                    </w:p>
                    <w:p w14:paraId="1DAE3F60">
                      <w:pPr>
                        <w:spacing w:before="480" w:beforeLines="200"/>
                        <w:ind w:firstLine="3600" w:firstLineChars="1000"/>
                        <w:rPr>
                          <w:rFonts w:hint="eastAsia" w:ascii="宋体" w:hAnsi="宋体"/>
                          <w:color w:val="000000"/>
                          <w:sz w:val="36"/>
                        </w:rPr>
                      </w:pPr>
                    </w:p>
                    <w:p w14:paraId="702374CB">
                      <w:pPr>
                        <w:spacing w:before="480" w:beforeLines="200"/>
                        <w:jc w:val="center"/>
                        <w:rPr>
                          <w:b/>
                          <w:spacing w:val="20"/>
                          <w:w w:val="135"/>
                          <w:sz w:val="30"/>
                        </w:rPr>
                      </w:pPr>
                    </w:p>
                    <w:p w14:paraId="425E34D1">
                      <w:pPr>
                        <w:spacing w:before="480" w:beforeLines="200"/>
                        <w:ind w:firstLine="2873" w:firstLineChars="795"/>
                        <w:jc w:val="left"/>
                        <w:rPr>
                          <w:rFonts w:hint="eastAsia" w:eastAsia="黑体"/>
                          <w:b/>
                          <w:sz w:val="36"/>
                        </w:rPr>
                      </w:pPr>
                    </w:p>
                    <w:p w14:paraId="171CC74F">
                      <w:pPr>
                        <w:spacing w:before="480" w:beforeLines="200"/>
                        <w:ind w:firstLine="2873" w:firstLineChars="795"/>
                        <w:jc w:val="left"/>
                        <w:rPr>
                          <w:rFonts w:hint="eastAsia" w:eastAsia="黑体"/>
                          <w:b/>
                          <w:sz w:val="36"/>
                        </w:rPr>
                      </w:pPr>
                    </w:p>
                    <w:p w14:paraId="40320F27">
                      <w:pPr>
                        <w:spacing w:before="480" w:beforeLines="200"/>
                        <w:ind w:firstLine="2873" w:firstLineChars="795"/>
                        <w:jc w:val="left"/>
                        <w:rPr>
                          <w:rFonts w:hint="eastAsia" w:eastAsia="黑体"/>
                          <w:b/>
                          <w:sz w:val="36"/>
                        </w:rPr>
                      </w:pPr>
                    </w:p>
                    <w:p w14:paraId="2E74D0BF">
                      <w:pPr>
                        <w:spacing w:before="480" w:beforeLines="200"/>
                        <w:ind w:firstLine="2873" w:firstLineChars="795"/>
                        <w:jc w:val="left"/>
                        <w:rPr>
                          <w:rFonts w:hint="eastAsia" w:eastAsia="黑体"/>
                          <w:b/>
                          <w:sz w:val="36"/>
                        </w:rPr>
                      </w:pPr>
                    </w:p>
                    <w:p w14:paraId="4E9C131E">
                      <w:pPr>
                        <w:spacing w:before="480" w:beforeLines="200"/>
                        <w:ind w:firstLine="2873" w:firstLineChars="795"/>
                        <w:jc w:val="left"/>
                        <w:rPr>
                          <w:rFonts w:hint="eastAsia" w:eastAsia="黑体"/>
                          <w:b/>
                          <w:sz w:val="36"/>
                        </w:rPr>
                      </w:pPr>
                    </w:p>
                    <w:p w14:paraId="5802DA74">
                      <w:pPr>
                        <w:spacing w:before="480" w:beforeLines="200"/>
                        <w:ind w:firstLine="2873" w:firstLineChars="795"/>
                        <w:jc w:val="left"/>
                        <w:rPr>
                          <w:rFonts w:eastAsia="黑体"/>
                          <w:b/>
                          <w:sz w:val="36"/>
                        </w:rPr>
                      </w:pPr>
                    </w:p>
                    <w:p w14:paraId="1B51E8EE">
                      <w:pPr>
                        <w:jc w:val="center"/>
                        <w:rPr>
                          <w:rFonts w:hint="eastAsia" w:eastAsia="黑体"/>
                          <w:b/>
                          <w:sz w:val="52"/>
                        </w:rPr>
                      </w:pPr>
                      <w:r>
                        <w:rPr>
                          <w:rFonts w:hint="eastAsia" w:ascii="黑体" w:eastAsia="黑体"/>
                          <w:sz w:val="32"/>
                          <w:szCs w:val="32"/>
                        </w:rPr>
                        <w:t>2017年4月</w:t>
                      </w:r>
                    </w:p>
                    <w:p w14:paraId="7223262E">
                      <w:pPr>
                        <w:jc w:val="center"/>
                        <w:rPr>
                          <w:rFonts w:eastAsia="黑体"/>
                          <w:b/>
                          <w:sz w:val="52"/>
                        </w:rPr>
                      </w:pPr>
                    </w:p>
                    <w:p w14:paraId="14BA4B2F">
                      <w:pPr>
                        <w:spacing w:before="480" w:beforeLines="200"/>
                        <w:jc w:val="center"/>
                        <w:rPr>
                          <w:rFonts w:eastAsia="黑体"/>
                          <w:b/>
                          <w:sz w:val="52"/>
                        </w:rPr>
                      </w:pPr>
                    </w:p>
                  </w:txbxContent>
                </v:textbox>
              </v:shape>
            </w:pict>
          </mc:Fallback>
        </mc:AlternateContent>
      </w:r>
      <w:r>
        <w:rPr>
          <w:rFonts w:hAnsi="宋体" w:cs="宋体"/>
          <w:sz w:val="24"/>
          <w:szCs w:val="24"/>
        </w:rPr>
        <w:drawing>
          <wp:anchor distT="0" distB="0" distL="114300" distR="114300" simplePos="0" relativeHeight="251659264" behindDoc="1" locked="0" layoutInCell="1" allowOverlap="1">
            <wp:simplePos x="0" y="0"/>
            <wp:positionH relativeFrom="column">
              <wp:posOffset>-1143000</wp:posOffset>
            </wp:positionH>
            <wp:positionV relativeFrom="paragraph">
              <wp:posOffset>-914400</wp:posOffset>
            </wp:positionV>
            <wp:extent cx="7772400" cy="2312035"/>
            <wp:effectExtent l="0" t="0" r="0" b="4445"/>
            <wp:wrapTight wrapText="bothSides">
              <wp:wrapPolygon>
                <wp:start x="0" y="0"/>
                <wp:lineTo x="0" y="21499"/>
                <wp:lineTo x="21558" y="21499"/>
                <wp:lineTo x="21558" y="0"/>
                <wp:lineTo x="0" y="0"/>
              </wp:wrapPolygon>
            </wp:wrapTight>
            <wp:docPr id="2" name="图片 4"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模板-3"/>
                    <pic:cNvPicPr>
                      <a:picLocks noChangeAspect="1"/>
                    </pic:cNvPicPr>
                  </pic:nvPicPr>
                  <pic:blipFill>
                    <a:blip r:embed="rId6"/>
                    <a:srcRect l="682" t="2084" r="597"/>
                    <a:stretch>
                      <a:fillRect/>
                    </a:stretch>
                  </pic:blipFill>
                  <pic:spPr>
                    <a:xfrm>
                      <a:off x="0" y="0"/>
                      <a:ext cx="7772400" cy="2312035"/>
                    </a:xfrm>
                    <a:prstGeom prst="rect">
                      <a:avLst/>
                    </a:prstGeom>
                    <a:noFill/>
                    <a:ln>
                      <a:noFill/>
                    </a:ln>
                  </pic:spPr>
                </pic:pic>
              </a:graphicData>
            </a:graphic>
          </wp:anchor>
        </w:drawing>
      </w:r>
    </w:p>
    <w:p w14:paraId="7E03968D">
      <w:pPr>
        <w:pStyle w:val="6"/>
        <w:keepNext w:val="0"/>
        <w:keepLines w:val="0"/>
        <w:pageBreakBefore w:val="0"/>
        <w:pBdr>
          <w:bottom w:val="single" w:color="000000" w:sz="6" w:space="1"/>
        </w:pBdr>
        <w:spacing w:before="240" w:after="120" w:line="288" w:lineRule="auto"/>
        <w:outlineLvl w:val="1"/>
        <w:rPr>
          <w:rFonts w:ascii="黑体" w:hAnsi="黑体" w:eastAsia="黑体" w:cs="黑体"/>
          <w:b/>
          <w:color w:val="000000"/>
          <w:sz w:val="32"/>
        </w:rPr>
      </w:pPr>
    </w:p>
    <w:p w14:paraId="02613071">
      <w:pPr>
        <w:pStyle w:val="6"/>
        <w:keepNext w:val="0"/>
        <w:keepLines w:val="0"/>
        <w:pageBreakBefore w:val="0"/>
        <w:pBdr>
          <w:bottom w:val="single" w:color="000000" w:sz="6" w:space="1"/>
        </w:pBdr>
        <w:spacing w:before="240" w:after="120" w:line="288" w:lineRule="auto"/>
        <w:outlineLvl w:val="1"/>
        <w:rPr>
          <w:rFonts w:ascii="黑体" w:hAnsi="黑体" w:eastAsia="黑体" w:cs="黑体"/>
          <w:b/>
          <w:color w:val="000000"/>
          <w:sz w:val="32"/>
        </w:rPr>
      </w:pPr>
    </w:p>
    <w:p w14:paraId="7EA115D2">
      <w:pPr>
        <w:pStyle w:val="6"/>
        <w:keepNext w:val="0"/>
        <w:keepLines w:val="0"/>
        <w:pageBreakBefore w:val="0"/>
        <w:pBdr>
          <w:bottom w:val="single" w:color="000000" w:sz="6" w:space="1"/>
        </w:pBdr>
        <w:spacing w:before="240" w:after="120" w:line="288" w:lineRule="auto"/>
        <w:outlineLvl w:val="1"/>
      </w:pPr>
      <w:r>
        <w:rPr>
          <w:rFonts w:ascii="黑体" w:hAnsi="黑体" w:eastAsia="黑体" w:cs="黑体"/>
          <w:b/>
          <w:color w:val="000000"/>
          <w:sz w:val="32"/>
        </w:rPr>
        <w:t>目 录</w:t>
      </w:r>
    </w:p>
    <w:p w14:paraId="3F07222C">
      <w:pPr>
        <w:spacing w:before="60" w:after="60" w:line="288" w:lineRule="auto"/>
      </w:pPr>
      <w:r>
        <w:rPr>
          <w:rFonts w:ascii="宋体" w:hAnsi="宋体" w:eastAsia="宋体" w:cs="宋体"/>
          <w:color w:val="000000"/>
          <w:sz w:val="24"/>
        </w:rPr>
        <w:t>1 总则 1</w:t>
      </w:r>
    </w:p>
    <w:p w14:paraId="64E5837B">
      <w:pPr>
        <w:spacing w:before="60" w:after="60" w:line="288" w:lineRule="auto"/>
      </w:pPr>
      <w:r>
        <w:rPr>
          <w:rFonts w:ascii="宋体" w:hAnsi="宋体" w:eastAsia="宋体" w:cs="宋体"/>
          <w:color w:val="000000"/>
          <w:sz w:val="24"/>
        </w:rPr>
        <w:t>2 供货范围 1</w:t>
      </w:r>
    </w:p>
    <w:p w14:paraId="10096708">
      <w:pPr>
        <w:spacing w:before="60" w:after="60" w:line="288" w:lineRule="auto"/>
      </w:pPr>
      <w:r>
        <w:rPr>
          <w:rFonts w:ascii="宋体" w:hAnsi="宋体" w:eastAsia="宋体" w:cs="宋体"/>
          <w:color w:val="000000"/>
          <w:sz w:val="24"/>
        </w:rPr>
        <w:t>3 应遵循的主要标准 2</w:t>
      </w:r>
    </w:p>
    <w:p w14:paraId="558D3579">
      <w:pPr>
        <w:spacing w:before="60" w:after="60" w:line="288" w:lineRule="auto"/>
      </w:pPr>
      <w:r>
        <w:rPr>
          <w:rFonts w:ascii="宋体" w:hAnsi="宋体" w:eastAsia="宋体" w:cs="宋体"/>
          <w:color w:val="000000"/>
          <w:sz w:val="24"/>
        </w:rPr>
        <w:t>4 使用条件 3</w:t>
      </w:r>
    </w:p>
    <w:p w14:paraId="4F3B0FF5">
      <w:pPr>
        <w:spacing w:before="60" w:after="60" w:line="288" w:lineRule="auto"/>
      </w:pPr>
      <w:r>
        <w:rPr>
          <w:rFonts w:ascii="宋体" w:hAnsi="宋体" w:eastAsia="宋体" w:cs="宋体"/>
          <w:color w:val="000000"/>
          <w:sz w:val="24"/>
        </w:rPr>
        <w:t>5 技术要求 4</w:t>
      </w:r>
    </w:p>
    <w:p w14:paraId="43F1803C">
      <w:pPr>
        <w:spacing w:before="60" w:after="60" w:line="288" w:lineRule="auto"/>
      </w:pPr>
      <w:r>
        <w:rPr>
          <w:rFonts w:ascii="宋体" w:hAnsi="宋体" w:eastAsia="宋体" w:cs="宋体"/>
          <w:color w:val="000000"/>
          <w:sz w:val="24"/>
        </w:rPr>
        <w:t>6 验收与检查 6</w:t>
      </w:r>
    </w:p>
    <w:p w14:paraId="27625CE7">
      <w:pPr>
        <w:spacing w:before="60" w:after="60" w:line="288" w:lineRule="auto"/>
      </w:pPr>
      <w:r>
        <w:rPr>
          <w:rFonts w:ascii="宋体" w:hAnsi="宋体" w:eastAsia="宋体" w:cs="宋体"/>
          <w:color w:val="000000"/>
          <w:sz w:val="24"/>
        </w:rPr>
        <w:t>7 包装和运输 7</w:t>
      </w:r>
    </w:p>
    <w:p w14:paraId="1F758C5E">
      <w:pPr>
        <w:spacing w:before="60" w:after="60" w:line="288" w:lineRule="auto"/>
      </w:pPr>
      <w:r>
        <w:rPr>
          <w:rFonts w:ascii="宋体" w:hAnsi="宋体" w:eastAsia="宋体" w:cs="宋体"/>
          <w:color w:val="000000"/>
          <w:sz w:val="24"/>
        </w:rPr>
        <w:t>8 技术文件 8</w:t>
      </w:r>
    </w:p>
    <w:p w14:paraId="30794DE7">
      <w:pPr>
        <w:spacing w:before="60" w:after="60" w:line="288" w:lineRule="auto"/>
      </w:pPr>
      <w:r>
        <w:rPr>
          <w:rFonts w:ascii="宋体" w:hAnsi="宋体" w:eastAsia="宋体" w:cs="宋体"/>
          <w:color w:val="000000"/>
          <w:sz w:val="24"/>
        </w:rPr>
        <w:t>9 培训及售后服务 8</w:t>
      </w:r>
    </w:p>
    <w:p w14:paraId="32882A82">
      <w:pPr>
        <w:spacing w:before="60" w:after="60" w:line="288" w:lineRule="auto"/>
      </w:pPr>
      <w:r>
        <w:rPr>
          <w:rFonts w:ascii="宋体" w:hAnsi="宋体" w:eastAsia="宋体" w:cs="宋体"/>
          <w:color w:val="000000"/>
          <w:sz w:val="24"/>
        </w:rPr>
        <w:t>10 技术差异表 9</w:t>
      </w:r>
    </w:p>
    <w:p w14:paraId="6CAB9E2C">
      <w:pPr>
        <w:spacing w:before="60" w:after="60" w:line="288" w:lineRule="auto"/>
      </w:pPr>
      <w:r>
        <w:rPr>
          <w:rFonts w:ascii="宋体" w:hAnsi="宋体" w:eastAsia="宋体" w:cs="宋体"/>
          <w:color w:val="000000"/>
          <w:sz w:val="24"/>
        </w:rPr>
        <w:t>11 投标方需说明的其他问题 9</w:t>
      </w:r>
    </w:p>
    <w:p w14:paraId="1B63B355">
      <w:pPr>
        <w:spacing w:line="288" w:lineRule="auto"/>
      </w:pPr>
    </w:p>
    <w:p w14:paraId="1356A992">
      <w:pPr>
        <w:pStyle w:val="2"/>
      </w:pPr>
    </w:p>
    <w:p w14:paraId="69483C3A">
      <w:pPr>
        <w:pStyle w:val="6"/>
        <w:keepNext w:val="0"/>
        <w:keepLines w:val="0"/>
        <w:pageBreakBefore w:val="0"/>
        <w:pBdr>
          <w:bottom w:val="single" w:color="000000" w:sz="6" w:space="1"/>
        </w:pBdr>
        <w:spacing w:before="240" w:after="120" w:line="288" w:lineRule="auto"/>
        <w:outlineLvl w:val="1"/>
        <w:rPr>
          <w:rFonts w:ascii="黑体" w:hAnsi="黑体" w:eastAsia="黑体" w:cs="黑体"/>
          <w:b/>
          <w:color w:val="000000"/>
          <w:sz w:val="32"/>
        </w:rPr>
      </w:pPr>
    </w:p>
    <w:p w14:paraId="214F9AF4">
      <w:pPr>
        <w:pStyle w:val="6"/>
        <w:keepNext w:val="0"/>
        <w:keepLines w:val="0"/>
        <w:pageBreakBefore w:val="0"/>
        <w:pBdr>
          <w:bottom w:val="single" w:color="000000" w:sz="6" w:space="1"/>
        </w:pBdr>
        <w:spacing w:before="240" w:after="120" w:line="288" w:lineRule="auto"/>
        <w:outlineLvl w:val="1"/>
        <w:rPr>
          <w:rFonts w:ascii="黑体" w:hAnsi="黑体" w:eastAsia="黑体" w:cs="黑体"/>
          <w:b/>
          <w:color w:val="000000"/>
          <w:sz w:val="32"/>
        </w:rPr>
      </w:pPr>
    </w:p>
    <w:p w14:paraId="2DEAE472">
      <w:pPr>
        <w:pStyle w:val="6"/>
        <w:keepNext w:val="0"/>
        <w:keepLines w:val="0"/>
        <w:pageBreakBefore w:val="0"/>
        <w:pBdr>
          <w:bottom w:val="single" w:color="000000" w:sz="6" w:space="1"/>
        </w:pBdr>
        <w:spacing w:before="240" w:after="120" w:line="288" w:lineRule="auto"/>
        <w:outlineLvl w:val="1"/>
        <w:rPr>
          <w:rFonts w:ascii="黑体" w:hAnsi="黑体" w:eastAsia="黑体" w:cs="黑体"/>
          <w:b/>
          <w:color w:val="000000"/>
          <w:sz w:val="32"/>
        </w:rPr>
      </w:pPr>
    </w:p>
    <w:p w14:paraId="17F5BD71">
      <w:pPr>
        <w:pStyle w:val="6"/>
        <w:keepNext w:val="0"/>
        <w:keepLines w:val="0"/>
        <w:pageBreakBefore w:val="0"/>
        <w:pBdr>
          <w:bottom w:val="single" w:color="000000" w:sz="6" w:space="1"/>
        </w:pBdr>
        <w:spacing w:before="240" w:after="120" w:line="288" w:lineRule="auto"/>
        <w:outlineLvl w:val="1"/>
        <w:rPr>
          <w:rFonts w:ascii="黑体" w:hAnsi="黑体" w:eastAsia="黑体" w:cs="黑体"/>
          <w:b/>
          <w:color w:val="000000"/>
          <w:sz w:val="32"/>
        </w:rPr>
      </w:pPr>
    </w:p>
    <w:p w14:paraId="5905D84C">
      <w:pPr>
        <w:pStyle w:val="6"/>
        <w:keepNext w:val="0"/>
        <w:keepLines w:val="0"/>
        <w:pageBreakBefore w:val="0"/>
        <w:pBdr>
          <w:bottom w:val="single" w:color="000000" w:sz="6" w:space="1"/>
        </w:pBdr>
        <w:spacing w:before="240" w:after="120" w:line="288" w:lineRule="auto"/>
        <w:outlineLvl w:val="1"/>
        <w:rPr>
          <w:rFonts w:ascii="黑体" w:hAnsi="黑体" w:eastAsia="黑体" w:cs="黑体"/>
          <w:b/>
          <w:color w:val="000000"/>
          <w:sz w:val="32"/>
        </w:rPr>
      </w:pPr>
    </w:p>
    <w:p w14:paraId="51A92E85">
      <w:pPr>
        <w:pStyle w:val="6"/>
        <w:keepNext w:val="0"/>
        <w:keepLines w:val="0"/>
        <w:pageBreakBefore w:val="0"/>
        <w:pBdr>
          <w:bottom w:val="single" w:color="000000" w:sz="6" w:space="1"/>
        </w:pBdr>
        <w:spacing w:before="240" w:after="120" w:line="288" w:lineRule="auto"/>
        <w:outlineLvl w:val="1"/>
        <w:rPr>
          <w:rFonts w:ascii="黑体" w:hAnsi="黑体" w:eastAsia="黑体" w:cs="黑体"/>
          <w:b/>
          <w:color w:val="000000"/>
          <w:sz w:val="32"/>
        </w:rPr>
      </w:pPr>
    </w:p>
    <w:p w14:paraId="08A9B40A">
      <w:pPr>
        <w:pStyle w:val="6"/>
        <w:keepNext w:val="0"/>
        <w:keepLines w:val="0"/>
        <w:pageBreakBefore w:val="0"/>
        <w:pBdr>
          <w:bottom w:val="single" w:color="000000" w:sz="6" w:space="1"/>
        </w:pBdr>
        <w:spacing w:before="240" w:after="120" w:line="288" w:lineRule="auto"/>
        <w:outlineLvl w:val="1"/>
        <w:rPr>
          <w:rFonts w:ascii="黑体" w:hAnsi="黑体" w:eastAsia="黑体" w:cs="黑体"/>
          <w:b/>
          <w:color w:val="000000"/>
          <w:sz w:val="32"/>
        </w:rPr>
      </w:pPr>
    </w:p>
    <w:p w14:paraId="392AF09A">
      <w:pPr>
        <w:pStyle w:val="6"/>
        <w:keepNext w:val="0"/>
        <w:keepLines w:val="0"/>
        <w:pageBreakBefore w:val="0"/>
        <w:pBdr>
          <w:bottom w:val="single" w:color="000000" w:sz="6" w:space="1"/>
        </w:pBdr>
        <w:spacing w:before="240" w:after="120" w:line="288" w:lineRule="auto"/>
        <w:outlineLvl w:val="1"/>
        <w:rPr>
          <w:rFonts w:ascii="黑体" w:hAnsi="黑体" w:eastAsia="黑体" w:cs="黑体"/>
          <w:b/>
          <w:color w:val="000000"/>
          <w:sz w:val="32"/>
        </w:rPr>
      </w:pPr>
    </w:p>
    <w:p w14:paraId="4A51E4BD">
      <w:pPr>
        <w:pStyle w:val="6"/>
        <w:keepNext w:val="0"/>
        <w:keepLines w:val="0"/>
        <w:pageBreakBefore w:val="0"/>
        <w:pBdr>
          <w:bottom w:val="single" w:color="000000" w:sz="6" w:space="1"/>
        </w:pBdr>
        <w:spacing w:before="240" w:after="120" w:line="288" w:lineRule="auto"/>
        <w:outlineLvl w:val="1"/>
      </w:pPr>
      <w:r>
        <w:rPr>
          <w:rFonts w:ascii="黑体" w:hAnsi="黑体" w:eastAsia="黑体" w:cs="黑体"/>
          <w:b/>
          <w:color w:val="000000"/>
          <w:sz w:val="32"/>
        </w:rPr>
        <w:t>1 总则</w:t>
      </w:r>
    </w:p>
    <w:p w14:paraId="40EB5454">
      <w:pPr>
        <w:numPr>
          <w:ilvl w:val="1"/>
          <w:numId w:val="7"/>
        </w:numPr>
        <w:spacing w:before="60" w:after="60" w:line="288" w:lineRule="auto"/>
        <w:ind w:firstLine="480"/>
        <w:rPr>
          <w:rFonts w:ascii="宋体" w:hAnsi="宋体" w:eastAsia="宋体" w:cs="宋体"/>
          <w:color w:val="000000"/>
          <w:sz w:val="24"/>
        </w:rPr>
      </w:pPr>
      <w:r>
        <w:rPr>
          <w:rFonts w:ascii="宋体" w:hAnsi="宋体" w:eastAsia="宋体" w:cs="宋体"/>
          <w:color w:val="000000"/>
          <w:sz w:val="24"/>
        </w:rPr>
        <w:t>本技术规范书适用于电力行业电杆警示防撞桶的采购，它提出了该物资的功能设计、结构、性能、验收与试验、包装和运输等方面的技术要求。</w:t>
      </w:r>
    </w:p>
    <w:p w14:paraId="3969B3CE">
      <w:pPr>
        <w:numPr>
          <w:ilvl w:val="0"/>
          <w:numId w:val="0"/>
        </w:numPr>
        <w:spacing w:before="60" w:after="60" w:line="288" w:lineRule="auto"/>
        <w:ind w:firstLine="480" w:firstLineChars="200"/>
      </w:pPr>
      <w:r>
        <w:rPr>
          <w:rFonts w:ascii="宋体" w:hAnsi="宋体" w:eastAsia="宋体" w:cs="宋体"/>
          <w:color w:val="000000"/>
          <w:sz w:val="24"/>
        </w:rPr>
        <w:t>1.2 本技术规范书提出的是最低限度的技术要求，并未对一切技术细节做出规定，也未充分引述有关标准和规范的条文。凡本技术规范书中未规定，但在相关物资的行业标准、国家标准或IEC标准中有规定的规范条文，投标方应按相应标准的条文进行设计、制造、试验和安装。对国家有关安全、环保等强制性标准，必须满足其要求。</w:t>
      </w:r>
    </w:p>
    <w:p w14:paraId="7102016C">
      <w:pPr>
        <w:spacing w:before="60" w:after="60" w:line="288" w:lineRule="auto"/>
        <w:ind w:firstLine="480"/>
      </w:pPr>
      <w:r>
        <w:rPr>
          <w:rFonts w:ascii="宋体" w:hAnsi="宋体" w:eastAsia="宋体" w:cs="宋体"/>
          <w:color w:val="000000"/>
          <w:sz w:val="24"/>
        </w:rPr>
        <w:t>1.3 如果投标方没有以书面形式对本技术规范书的条文提出异议，则意味着投标方提供的物资完全符合本技术规范书的要求。如有任何异议，都应在技术投标文件中以"对招标技术文件的意见和同招标技术文件的差异"为标题的专门章节中加以详细描述。</w:t>
      </w:r>
    </w:p>
    <w:p w14:paraId="5A298915">
      <w:pPr>
        <w:spacing w:before="60" w:after="60" w:line="288" w:lineRule="auto"/>
        <w:ind w:firstLine="480"/>
      </w:pPr>
      <w:r>
        <w:rPr>
          <w:rFonts w:ascii="宋体" w:hAnsi="宋体" w:eastAsia="宋体" w:cs="宋体"/>
          <w:color w:val="000000"/>
          <w:sz w:val="24"/>
        </w:rPr>
        <w:t>1.4 本技术规范书所使用的标准如遇与投标方所执行的标准不一致时，按较高标准执行。</w:t>
      </w:r>
    </w:p>
    <w:p w14:paraId="6468B346">
      <w:pPr>
        <w:spacing w:before="60" w:after="60" w:line="288" w:lineRule="auto"/>
        <w:ind w:firstLine="480"/>
      </w:pPr>
      <w:r>
        <w:rPr>
          <w:rFonts w:ascii="宋体" w:hAnsi="宋体" w:eastAsia="宋体" w:cs="宋体"/>
          <w:color w:val="000000"/>
          <w:sz w:val="24"/>
        </w:rPr>
        <w:t>1.5 本技术规范书经招标方、中标方双方确认后作为订货合同的技术附件，与合同正文具有同等的法律效力。</w:t>
      </w:r>
    </w:p>
    <w:p w14:paraId="2AEECEB5">
      <w:pPr>
        <w:spacing w:before="60" w:after="60" w:line="288" w:lineRule="auto"/>
        <w:ind w:firstLine="480"/>
      </w:pPr>
      <w:r>
        <w:rPr>
          <w:rFonts w:ascii="宋体" w:hAnsi="宋体" w:eastAsia="宋体" w:cs="宋体"/>
          <w:color w:val="000000"/>
          <w:sz w:val="24"/>
        </w:rPr>
        <w:t>1.6 投标方在应标技术文件中应如实反映应标产品与本技术规范书的技术差异。如果投标方没有提出技术差异，而在执行合同的过程中，招标方发现投标方提供的产品与其应标的技术规范书的条文存在差异，招标方有权终止合同或退货，根据严重程度对投标方后续的投标有不同程度的影响。</w:t>
      </w:r>
    </w:p>
    <w:p w14:paraId="3CD48FC0">
      <w:pPr>
        <w:spacing w:before="60" w:after="60" w:line="288" w:lineRule="auto"/>
        <w:ind w:firstLine="480"/>
      </w:pPr>
      <w:r>
        <w:rPr>
          <w:rFonts w:ascii="宋体" w:hAnsi="宋体" w:eastAsia="宋体" w:cs="宋体"/>
          <w:color w:val="000000"/>
          <w:sz w:val="24"/>
        </w:rPr>
        <w:t>1.7 投标方应按本技术规范书的要求在应标技术部分如实详细地填写应标物资的标准配置表，并在应标价格部分按此标准配置进行报价，如发现二者有矛盾之处，将以报价表的配置为准。</w:t>
      </w:r>
    </w:p>
    <w:p w14:paraId="329BBF91">
      <w:pPr>
        <w:spacing w:before="60" w:after="60" w:line="288" w:lineRule="auto"/>
        <w:ind w:firstLine="480"/>
      </w:pPr>
      <w:r>
        <w:rPr>
          <w:rFonts w:ascii="宋体" w:hAnsi="宋体" w:eastAsia="宋体" w:cs="宋体"/>
          <w:color w:val="000000"/>
          <w:sz w:val="24"/>
        </w:rPr>
        <w:t>1.8 投标方应充分理解本技术规范书，并按本技术规范书的具体条款、格式要求填写应标的技术文件，如发现应标的技术文件条款、格式不符合本技术规范书的要求，则认为应标不严肃，在评标时将有不同程度的扣分。</w:t>
      </w:r>
    </w:p>
    <w:p w14:paraId="6671182B">
      <w:pPr>
        <w:spacing w:before="60" w:after="60" w:line="288" w:lineRule="auto"/>
        <w:ind w:firstLine="480"/>
      </w:pPr>
      <w:r>
        <w:rPr>
          <w:rFonts w:ascii="宋体" w:hAnsi="宋体" w:eastAsia="宋体" w:cs="宋体"/>
          <w:color w:val="000000"/>
          <w:sz w:val="24"/>
        </w:rPr>
        <w:t>1.9 本技术规范书未尽事宜，由招标方、中标方双方协商确定。</w:t>
      </w:r>
    </w:p>
    <w:p w14:paraId="69871644">
      <w:pPr>
        <w:spacing w:before="60" w:after="60" w:line="288" w:lineRule="auto"/>
        <w:ind w:firstLine="480"/>
      </w:pPr>
      <w:r>
        <w:rPr>
          <w:rFonts w:ascii="宋体" w:hAnsi="宋体" w:eastAsia="宋体" w:cs="宋体"/>
          <w:color w:val="000000"/>
          <w:sz w:val="24"/>
        </w:rPr>
        <w:t>1.10 标注"</w:t>
      </w:r>
      <w:r>
        <w:rPr>
          <w:rFonts w:ascii="Segoe UI Emoji" w:hAnsi="Segoe UI Emoji" w:eastAsia="Segoe UI Emoji" w:cs="Segoe UI Emoji"/>
          <w:b/>
          <w:sz w:val="24"/>
        </w:rPr>
        <w:t>★</w:t>
      </w:r>
      <w:r>
        <w:rPr>
          <w:rFonts w:ascii="宋体" w:hAnsi="宋体" w:eastAsia="宋体" w:cs="宋体"/>
          <w:color w:val="000000"/>
          <w:sz w:val="24"/>
        </w:rPr>
        <w:t>"的条款为关键条款，作为评标时打分的重点参考。</w:t>
      </w:r>
    </w:p>
    <w:p w14:paraId="19FDEB11">
      <w:pPr>
        <w:pStyle w:val="6"/>
        <w:keepNext w:val="0"/>
        <w:keepLines w:val="0"/>
        <w:pageBreakBefore w:val="0"/>
        <w:pBdr>
          <w:bottom w:val="single" w:color="000000" w:sz="6" w:space="1"/>
        </w:pBdr>
        <w:spacing w:before="240" w:after="120" w:line="288" w:lineRule="auto"/>
        <w:outlineLvl w:val="1"/>
      </w:pPr>
      <w:r>
        <w:rPr>
          <w:rFonts w:ascii="黑体" w:hAnsi="黑体" w:eastAsia="黑体" w:cs="黑体"/>
          <w:b/>
          <w:color w:val="000000"/>
          <w:sz w:val="32"/>
        </w:rPr>
        <w:t>2 供货范围</w:t>
      </w:r>
    </w:p>
    <w:p w14:paraId="30239B76">
      <w:pPr>
        <w:spacing w:before="60" w:after="60" w:line="288" w:lineRule="auto"/>
        <w:ind w:firstLine="480"/>
      </w:pPr>
      <w:r>
        <w:rPr>
          <w:rFonts w:ascii="宋体" w:hAnsi="宋体" w:eastAsia="宋体" w:cs="宋体"/>
          <w:color w:val="000000"/>
          <w:sz w:val="24"/>
        </w:rPr>
        <w:t>2.1 中标方应按本技术规范书的要求提供全新的、合格的电杆警示防撞桶产品以及必要的备品备件（如有）、专用工具（如有）。</w:t>
      </w:r>
    </w:p>
    <w:p w14:paraId="40F38E22">
      <w:pPr>
        <w:spacing w:before="60" w:after="60" w:line="288" w:lineRule="auto"/>
        <w:ind w:firstLine="480"/>
      </w:pPr>
      <w:r>
        <w:rPr>
          <w:rFonts w:ascii="宋体" w:hAnsi="宋体" w:eastAsia="宋体" w:cs="宋体"/>
          <w:color w:val="000000"/>
          <w:sz w:val="24"/>
        </w:rPr>
        <w:t>2.2 中标方所提供的组件或附件如需向第三方外购时，外购的组件或附件由中标方向招标方负责，并提供相应出厂和验收证明。</w:t>
      </w:r>
    </w:p>
    <w:p w14:paraId="2DC4CC19">
      <w:pPr>
        <w:spacing w:before="60" w:after="60" w:line="288" w:lineRule="auto"/>
        <w:ind w:firstLine="480"/>
      </w:pPr>
      <w:r>
        <w:rPr>
          <w:rFonts w:ascii="宋体" w:hAnsi="宋体" w:eastAsia="宋体" w:cs="宋体"/>
          <w:color w:val="000000"/>
          <w:sz w:val="24"/>
        </w:rPr>
        <w:t>2.3 供货范围一览表</w:t>
      </w:r>
    </w:p>
    <w:p w14:paraId="431C8DC6">
      <w:pPr>
        <w:spacing w:before="60" w:after="60" w:line="288" w:lineRule="auto"/>
        <w:ind w:firstLine="480"/>
      </w:pPr>
      <w:r>
        <w:rPr>
          <w:rFonts w:ascii="宋体" w:hAnsi="宋体" w:eastAsia="宋体" w:cs="宋体"/>
          <w:color w:val="000000"/>
          <w:sz w:val="24"/>
        </w:rPr>
        <w:t>中标方应确保供货范围完整，对于属于本次供货物资正常使用所必需的部件（含备品、专用工具等），即使本供货范围未列出或数目不足，中标方仍须在执行合同时补足。中标方提供的具体规格见表2.1。</w:t>
      </w:r>
    </w:p>
    <w:p w14:paraId="127455D4">
      <w:pPr>
        <w:spacing w:before="60" w:after="60" w:line="288" w:lineRule="auto"/>
        <w:jc w:val="center"/>
      </w:pPr>
      <w:r>
        <w:rPr>
          <w:rFonts w:ascii="宋体" w:hAnsi="宋体" w:eastAsia="宋体" w:cs="宋体"/>
          <w:b/>
          <w:color w:val="000000"/>
          <w:sz w:val="24"/>
        </w:rPr>
        <w:t>表2.1 供货范围及需求一览表</w:t>
      </w:r>
    </w:p>
    <w:tbl>
      <w:tblPr>
        <w:tblStyle w:val="34"/>
        <w:tblW w:w="86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60"/>
        <w:gridCol w:w="960"/>
        <w:gridCol w:w="960"/>
        <w:gridCol w:w="960"/>
        <w:gridCol w:w="960"/>
        <w:gridCol w:w="960"/>
        <w:gridCol w:w="960"/>
        <w:gridCol w:w="960"/>
        <w:gridCol w:w="960"/>
      </w:tblGrid>
      <w:tr w14:paraId="7D851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60"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58698BCF">
            <w:pPr>
              <w:spacing w:line="288" w:lineRule="auto"/>
              <w:jc w:val="center"/>
            </w:pPr>
            <w:r>
              <w:rPr>
                <w:rFonts w:ascii="黑体" w:hAnsi="黑体" w:eastAsia="黑体" w:cs="黑体"/>
                <w:b/>
                <w:color w:val="000000"/>
                <w:sz w:val="21"/>
                <w:shd w:val="clear" w:color="auto" w:fill="E8E8E8"/>
              </w:rPr>
              <w:t>序号</w:t>
            </w:r>
          </w:p>
        </w:tc>
        <w:tc>
          <w:tcPr>
            <w:tcW w:w="960"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055A0A24">
            <w:pPr>
              <w:spacing w:line="288" w:lineRule="auto"/>
              <w:jc w:val="center"/>
            </w:pPr>
            <w:r>
              <w:rPr>
                <w:rFonts w:ascii="黑体" w:hAnsi="黑体" w:eastAsia="黑体" w:cs="黑体"/>
                <w:b/>
                <w:color w:val="000000"/>
                <w:sz w:val="21"/>
                <w:shd w:val="clear" w:color="auto" w:fill="E8E8E8"/>
              </w:rPr>
              <w:t>物资编码</w:t>
            </w:r>
          </w:p>
        </w:tc>
        <w:tc>
          <w:tcPr>
            <w:tcW w:w="960"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0884E6EF">
            <w:pPr>
              <w:spacing w:line="288" w:lineRule="auto"/>
              <w:jc w:val="center"/>
            </w:pPr>
            <w:r>
              <w:rPr>
                <w:rFonts w:ascii="黑体" w:hAnsi="黑体" w:eastAsia="黑体" w:cs="黑体"/>
                <w:b/>
                <w:color w:val="000000"/>
                <w:sz w:val="21"/>
                <w:shd w:val="clear" w:color="auto" w:fill="E8E8E8"/>
              </w:rPr>
              <w:t>物资名称</w:t>
            </w:r>
          </w:p>
        </w:tc>
        <w:tc>
          <w:tcPr>
            <w:tcW w:w="960"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0BAFD442">
            <w:pPr>
              <w:spacing w:line="288" w:lineRule="auto"/>
              <w:jc w:val="center"/>
            </w:pPr>
            <w:r>
              <w:rPr>
                <w:rFonts w:ascii="黑体" w:hAnsi="黑体" w:eastAsia="黑体" w:cs="黑体"/>
                <w:b/>
                <w:color w:val="000000"/>
                <w:sz w:val="21"/>
                <w:shd w:val="clear" w:color="auto" w:fill="E8E8E8"/>
              </w:rPr>
              <w:t>规格型号</w:t>
            </w:r>
          </w:p>
        </w:tc>
        <w:tc>
          <w:tcPr>
            <w:tcW w:w="960"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236735F3">
            <w:pPr>
              <w:spacing w:line="288" w:lineRule="auto"/>
              <w:jc w:val="center"/>
            </w:pPr>
            <w:r>
              <w:rPr>
                <w:rFonts w:ascii="黑体" w:hAnsi="黑体" w:eastAsia="黑体" w:cs="黑体"/>
                <w:b/>
                <w:color w:val="000000"/>
                <w:sz w:val="21"/>
                <w:shd w:val="clear" w:color="auto" w:fill="E8E8E8"/>
              </w:rPr>
              <w:t>材质类型</w:t>
            </w:r>
          </w:p>
        </w:tc>
        <w:tc>
          <w:tcPr>
            <w:tcW w:w="960"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04493B2E">
            <w:pPr>
              <w:spacing w:line="288" w:lineRule="auto"/>
              <w:jc w:val="center"/>
            </w:pPr>
            <w:r>
              <w:rPr>
                <w:rFonts w:ascii="黑体" w:hAnsi="黑体" w:eastAsia="黑体" w:cs="黑体"/>
                <w:b/>
                <w:color w:val="000000"/>
                <w:sz w:val="21"/>
                <w:shd w:val="clear" w:color="auto" w:fill="E8E8E8"/>
              </w:rPr>
              <w:t>单位</w:t>
            </w:r>
          </w:p>
        </w:tc>
        <w:tc>
          <w:tcPr>
            <w:tcW w:w="960"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48915887">
            <w:pPr>
              <w:spacing w:line="288" w:lineRule="auto"/>
              <w:jc w:val="center"/>
            </w:pPr>
            <w:r>
              <w:rPr>
                <w:rFonts w:ascii="黑体" w:hAnsi="黑体" w:eastAsia="黑体" w:cs="黑体"/>
                <w:b/>
                <w:color w:val="000000"/>
                <w:sz w:val="21"/>
                <w:shd w:val="clear" w:color="auto" w:fill="E8E8E8"/>
              </w:rPr>
              <w:t>数量</w:t>
            </w:r>
          </w:p>
        </w:tc>
        <w:tc>
          <w:tcPr>
            <w:tcW w:w="960"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3EAF0F2A">
            <w:pPr>
              <w:spacing w:line="288" w:lineRule="auto"/>
              <w:jc w:val="center"/>
            </w:pPr>
            <w:r>
              <w:rPr>
                <w:rFonts w:ascii="黑体" w:hAnsi="黑体" w:eastAsia="黑体" w:cs="黑体"/>
                <w:b/>
                <w:color w:val="000000"/>
                <w:sz w:val="21"/>
                <w:shd w:val="clear" w:color="auto" w:fill="E8E8E8"/>
              </w:rPr>
              <w:t>是否提供样品</w:t>
            </w:r>
          </w:p>
        </w:tc>
        <w:tc>
          <w:tcPr>
            <w:tcW w:w="960"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3CE7B346">
            <w:pPr>
              <w:spacing w:line="288" w:lineRule="auto"/>
              <w:jc w:val="center"/>
            </w:pPr>
            <w:r>
              <w:rPr>
                <w:rFonts w:ascii="黑体" w:hAnsi="黑体" w:eastAsia="黑体" w:cs="黑体"/>
                <w:b/>
                <w:color w:val="000000"/>
                <w:sz w:val="21"/>
                <w:shd w:val="clear" w:color="auto" w:fill="E8E8E8"/>
              </w:rPr>
              <w:t>备注</w:t>
            </w:r>
          </w:p>
        </w:tc>
      </w:tr>
      <w:tr w14:paraId="666E7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60"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4C0C20CC">
            <w:pPr>
              <w:spacing w:line="288" w:lineRule="auto"/>
              <w:jc w:val="center"/>
            </w:pPr>
            <w:r>
              <w:rPr>
                <w:rFonts w:ascii="宋体" w:hAnsi="宋体" w:eastAsia="宋体" w:cs="宋体"/>
                <w:color w:val="000000"/>
                <w:sz w:val="21"/>
              </w:rPr>
              <w:t>1</w:t>
            </w:r>
          </w:p>
        </w:tc>
        <w:tc>
          <w:tcPr>
            <w:tcW w:w="960"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2A6C1E98">
            <w:pPr>
              <w:spacing w:line="288" w:lineRule="auto"/>
              <w:jc w:val="center"/>
            </w:pPr>
          </w:p>
        </w:tc>
        <w:tc>
          <w:tcPr>
            <w:tcW w:w="960"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24255645">
            <w:pPr>
              <w:spacing w:line="288" w:lineRule="auto"/>
              <w:jc w:val="center"/>
            </w:pPr>
            <w:r>
              <w:rPr>
                <w:rFonts w:ascii="宋体" w:hAnsi="宋体" w:eastAsia="宋体" w:cs="宋体"/>
                <w:color w:val="000000"/>
                <w:sz w:val="21"/>
              </w:rPr>
              <w:t>电杆警示防撞桶</w:t>
            </w:r>
          </w:p>
        </w:tc>
        <w:tc>
          <w:tcPr>
            <w:tcW w:w="960"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2C88E802">
            <w:pPr>
              <w:spacing w:line="288" w:lineRule="auto"/>
              <w:jc w:val="center"/>
            </w:pPr>
            <w:r>
              <w:rPr>
                <w:rFonts w:ascii="宋体" w:hAnsi="宋体" w:eastAsia="宋体" w:cs="宋体"/>
                <w:color w:val="000000"/>
                <w:sz w:val="21"/>
              </w:rPr>
              <w:t>详见技术要求</w:t>
            </w:r>
          </w:p>
        </w:tc>
        <w:tc>
          <w:tcPr>
            <w:tcW w:w="960"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7AA60D8F">
            <w:pPr>
              <w:spacing w:line="288" w:lineRule="auto"/>
              <w:jc w:val="center"/>
            </w:pPr>
            <w:r>
              <w:rPr>
                <w:rFonts w:ascii="宋体" w:hAnsi="宋体" w:eastAsia="宋体" w:cs="宋体"/>
                <w:color w:val="000000"/>
                <w:sz w:val="21"/>
              </w:rPr>
              <w:t>PE</w:t>
            </w:r>
          </w:p>
        </w:tc>
        <w:tc>
          <w:tcPr>
            <w:tcW w:w="960"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263F42DA">
            <w:pPr>
              <w:spacing w:line="288" w:lineRule="auto"/>
              <w:jc w:val="center"/>
            </w:pPr>
            <w:r>
              <w:rPr>
                <w:rFonts w:ascii="宋体" w:hAnsi="宋体" w:eastAsia="宋体" w:cs="宋体"/>
                <w:color w:val="000000"/>
                <w:sz w:val="21"/>
              </w:rPr>
              <w:t>套</w:t>
            </w:r>
          </w:p>
        </w:tc>
        <w:tc>
          <w:tcPr>
            <w:tcW w:w="960"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4D8581F7">
            <w:pPr>
              <w:spacing w:line="288" w:lineRule="auto"/>
              <w:jc w:val="center"/>
            </w:pPr>
          </w:p>
        </w:tc>
        <w:tc>
          <w:tcPr>
            <w:tcW w:w="960"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213DEE57">
            <w:pPr>
              <w:spacing w:line="288" w:lineRule="auto"/>
              <w:jc w:val="center"/>
            </w:pPr>
            <w:r>
              <w:rPr>
                <w:rFonts w:ascii="宋体" w:hAnsi="宋体" w:eastAsia="宋体" w:cs="宋体"/>
                <w:color w:val="000000"/>
                <w:sz w:val="21"/>
              </w:rPr>
              <w:t>是</w:t>
            </w:r>
          </w:p>
        </w:tc>
        <w:tc>
          <w:tcPr>
            <w:tcW w:w="960"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4768082B">
            <w:pPr>
              <w:spacing w:line="288" w:lineRule="auto"/>
              <w:jc w:val="center"/>
              <w:rPr>
                <w:b w:val="0"/>
                <w:bCs w:val="0"/>
                <w:color w:val="auto"/>
              </w:rPr>
            </w:pPr>
            <w:r>
              <w:rPr>
                <w:rFonts w:hint="eastAsia" w:ascii="宋体" w:hAnsi="宋体"/>
                <w:b w:val="0"/>
                <w:bCs w:val="0"/>
                <w:color w:val="auto"/>
                <w:kern w:val="21"/>
                <w:sz w:val="21"/>
                <w:szCs w:val="21"/>
                <w:lang w:val="en-US" w:eastAsia="zh-CN"/>
              </w:rPr>
              <w:t>需由供货方完成安装</w:t>
            </w:r>
          </w:p>
        </w:tc>
      </w:tr>
    </w:tbl>
    <w:p w14:paraId="3A8D2A02">
      <w:pPr>
        <w:spacing w:before="60" w:after="60" w:line="288" w:lineRule="auto"/>
        <w:ind w:firstLine="480"/>
      </w:pPr>
      <w:r>
        <w:rPr>
          <w:rFonts w:ascii="宋体" w:hAnsi="宋体" w:eastAsia="宋体" w:cs="宋体"/>
          <w:color w:val="000000"/>
          <w:sz w:val="24"/>
        </w:rPr>
        <w:t>2.4 物资配置表</w:t>
      </w:r>
    </w:p>
    <w:p w14:paraId="06B35A7C">
      <w:pPr>
        <w:spacing w:before="60" w:after="60" w:line="288" w:lineRule="auto"/>
        <w:ind w:firstLine="480"/>
      </w:pPr>
      <w:r>
        <w:rPr>
          <w:rFonts w:ascii="宋体" w:hAnsi="宋体" w:eastAsia="宋体" w:cs="宋体"/>
          <w:color w:val="000000"/>
          <w:sz w:val="24"/>
        </w:rPr>
        <w:t>物资配置见表2.2。</w:t>
      </w:r>
    </w:p>
    <w:p w14:paraId="234916D2">
      <w:pPr>
        <w:spacing w:before="60" w:after="60" w:line="288" w:lineRule="auto"/>
        <w:jc w:val="center"/>
      </w:pPr>
      <w:r>
        <w:rPr>
          <w:rFonts w:ascii="宋体" w:hAnsi="宋体" w:eastAsia="宋体" w:cs="宋体"/>
          <w:b/>
          <w:color w:val="000000"/>
          <w:sz w:val="24"/>
        </w:rPr>
        <w:t>表2.2 物资配置一览表</w:t>
      </w:r>
    </w:p>
    <w:tbl>
      <w:tblPr>
        <w:tblStyle w:val="34"/>
        <w:tblW w:w="938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0"/>
        <w:gridCol w:w="900"/>
        <w:gridCol w:w="1069"/>
        <w:gridCol w:w="982"/>
        <w:gridCol w:w="955"/>
        <w:gridCol w:w="859"/>
        <w:gridCol w:w="1073"/>
        <w:gridCol w:w="1159"/>
        <w:gridCol w:w="848"/>
        <w:gridCol w:w="641"/>
      </w:tblGrid>
      <w:tr w14:paraId="75629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900" w:type="dxa"/>
            <w:vMerge w:val="restart"/>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00F948E5">
            <w:pPr>
              <w:spacing w:line="288" w:lineRule="auto"/>
              <w:jc w:val="center"/>
            </w:pPr>
            <w:r>
              <w:rPr>
                <w:rFonts w:ascii="黑体" w:hAnsi="黑体" w:eastAsia="黑体" w:cs="黑体"/>
                <w:b/>
                <w:color w:val="000000"/>
                <w:sz w:val="21"/>
                <w:shd w:val="clear" w:color="auto" w:fill="E8E8E8"/>
              </w:rPr>
              <w:t>序号</w:t>
            </w:r>
          </w:p>
        </w:tc>
        <w:tc>
          <w:tcPr>
            <w:tcW w:w="900" w:type="dxa"/>
            <w:vMerge w:val="restart"/>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69742496">
            <w:pPr>
              <w:spacing w:line="288" w:lineRule="auto"/>
              <w:jc w:val="center"/>
            </w:pPr>
            <w:r>
              <w:rPr>
                <w:rFonts w:ascii="黑体" w:hAnsi="黑体" w:eastAsia="黑体" w:cs="黑体"/>
                <w:b/>
                <w:color w:val="000000"/>
                <w:sz w:val="21"/>
                <w:shd w:val="clear" w:color="auto" w:fill="E8E8E8"/>
              </w:rPr>
              <w:t>物资编码</w:t>
            </w:r>
          </w:p>
        </w:tc>
        <w:tc>
          <w:tcPr>
            <w:tcW w:w="1069" w:type="dxa"/>
            <w:vMerge w:val="restart"/>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369D1A93">
            <w:pPr>
              <w:spacing w:line="288" w:lineRule="auto"/>
              <w:jc w:val="center"/>
            </w:pPr>
            <w:r>
              <w:rPr>
                <w:rFonts w:ascii="黑体" w:hAnsi="黑体" w:eastAsia="黑体" w:cs="黑体"/>
                <w:b/>
                <w:color w:val="000000"/>
                <w:sz w:val="21"/>
                <w:shd w:val="clear" w:color="auto" w:fill="E8E8E8"/>
              </w:rPr>
              <w:t>物资名称</w:t>
            </w:r>
          </w:p>
        </w:tc>
        <w:tc>
          <w:tcPr>
            <w:tcW w:w="982" w:type="dxa"/>
            <w:vMerge w:val="restart"/>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268224B5">
            <w:pPr>
              <w:spacing w:line="288" w:lineRule="auto"/>
              <w:jc w:val="center"/>
            </w:pPr>
            <w:r>
              <w:rPr>
                <w:rFonts w:ascii="黑体" w:hAnsi="黑体" w:eastAsia="黑体" w:cs="黑体"/>
                <w:b/>
                <w:color w:val="000000"/>
                <w:sz w:val="21"/>
                <w:shd w:val="clear" w:color="auto" w:fill="E8E8E8"/>
              </w:rPr>
              <w:t>规格型号</w:t>
            </w:r>
          </w:p>
        </w:tc>
        <w:tc>
          <w:tcPr>
            <w:tcW w:w="4894" w:type="dxa"/>
            <w:gridSpan w:val="5"/>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5EB63C16">
            <w:pPr>
              <w:spacing w:line="288" w:lineRule="auto"/>
              <w:jc w:val="center"/>
            </w:pPr>
            <w:r>
              <w:rPr>
                <w:rFonts w:ascii="黑体" w:hAnsi="黑体" w:eastAsia="黑体" w:cs="黑体"/>
                <w:b/>
                <w:color w:val="000000"/>
                <w:sz w:val="21"/>
                <w:shd w:val="clear" w:color="auto" w:fill="E8E8E8"/>
              </w:rPr>
              <w:t>配件配置</w:t>
            </w:r>
          </w:p>
        </w:tc>
        <w:tc>
          <w:tcPr>
            <w:tcW w:w="641"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0E223C86">
            <w:pPr>
              <w:spacing w:line="288" w:lineRule="auto"/>
              <w:jc w:val="center"/>
              <w:rPr>
                <w:rFonts w:ascii="黑体" w:hAnsi="黑体" w:eastAsia="黑体" w:cs="黑体"/>
                <w:b/>
                <w:color w:val="000000"/>
                <w:sz w:val="21"/>
                <w:shd w:val="clear" w:color="auto" w:fill="E8E8E8"/>
              </w:rPr>
            </w:pPr>
          </w:p>
        </w:tc>
      </w:tr>
      <w:tr w14:paraId="5EBB7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vMerge w:val="continue"/>
            <w:tcBorders>
              <w:left w:val="single" w:color="000000" w:sz="6" w:space="0"/>
              <w:bottom w:val="single" w:color="000000" w:sz="6" w:space="0"/>
              <w:right w:val="single" w:color="000000" w:sz="6" w:space="0"/>
            </w:tcBorders>
          </w:tcPr>
          <w:p w14:paraId="78A44269">
            <w:pPr>
              <w:spacing w:line="240" w:lineRule="auto"/>
            </w:pPr>
          </w:p>
        </w:tc>
        <w:tc>
          <w:tcPr>
            <w:tcW w:w="900" w:type="dxa"/>
            <w:vMerge w:val="continue"/>
            <w:tcBorders>
              <w:left w:val="single" w:color="000000" w:sz="6" w:space="0"/>
              <w:bottom w:val="single" w:color="000000" w:sz="6" w:space="0"/>
              <w:right w:val="single" w:color="000000" w:sz="6" w:space="0"/>
            </w:tcBorders>
          </w:tcPr>
          <w:p w14:paraId="6947F320">
            <w:pPr>
              <w:spacing w:line="240" w:lineRule="auto"/>
            </w:pPr>
          </w:p>
        </w:tc>
        <w:tc>
          <w:tcPr>
            <w:tcW w:w="1069" w:type="dxa"/>
            <w:vMerge w:val="continue"/>
            <w:tcBorders>
              <w:left w:val="single" w:color="000000" w:sz="6" w:space="0"/>
              <w:bottom w:val="single" w:color="000000" w:sz="6" w:space="0"/>
              <w:right w:val="single" w:color="000000" w:sz="6" w:space="0"/>
            </w:tcBorders>
          </w:tcPr>
          <w:p w14:paraId="1A6E43D7">
            <w:pPr>
              <w:spacing w:line="240" w:lineRule="auto"/>
            </w:pPr>
          </w:p>
        </w:tc>
        <w:tc>
          <w:tcPr>
            <w:tcW w:w="982" w:type="dxa"/>
            <w:vMerge w:val="continue"/>
            <w:tcBorders>
              <w:left w:val="single" w:color="000000" w:sz="6" w:space="0"/>
              <w:bottom w:val="single" w:color="000000" w:sz="6" w:space="0"/>
              <w:right w:val="single" w:color="000000" w:sz="6" w:space="0"/>
            </w:tcBorders>
          </w:tcPr>
          <w:p w14:paraId="699EB64E">
            <w:pPr>
              <w:spacing w:line="240" w:lineRule="auto"/>
            </w:pPr>
          </w:p>
        </w:tc>
        <w:tc>
          <w:tcPr>
            <w:tcW w:w="955"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36F9D52B">
            <w:pPr>
              <w:spacing w:line="288" w:lineRule="auto"/>
              <w:jc w:val="center"/>
            </w:pPr>
            <w:r>
              <w:rPr>
                <w:rFonts w:ascii="黑体" w:hAnsi="黑体" w:eastAsia="黑体" w:cs="黑体"/>
                <w:b/>
                <w:color w:val="000000"/>
                <w:sz w:val="21"/>
                <w:shd w:val="clear" w:color="auto" w:fill="E8E8E8"/>
              </w:rPr>
              <w:t>序号</w:t>
            </w:r>
          </w:p>
        </w:tc>
        <w:tc>
          <w:tcPr>
            <w:tcW w:w="859"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3D8E0E81">
            <w:pPr>
              <w:spacing w:line="288" w:lineRule="auto"/>
              <w:jc w:val="center"/>
            </w:pPr>
            <w:r>
              <w:rPr>
                <w:rFonts w:ascii="黑体" w:hAnsi="黑体" w:eastAsia="黑体" w:cs="黑体"/>
                <w:b/>
                <w:color w:val="000000"/>
                <w:sz w:val="21"/>
                <w:shd w:val="clear" w:color="auto" w:fill="E8E8E8"/>
              </w:rPr>
              <w:t>配件编码</w:t>
            </w:r>
          </w:p>
        </w:tc>
        <w:tc>
          <w:tcPr>
            <w:tcW w:w="1073"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45ECD191">
            <w:pPr>
              <w:spacing w:line="288" w:lineRule="auto"/>
              <w:jc w:val="center"/>
            </w:pPr>
            <w:r>
              <w:rPr>
                <w:rFonts w:ascii="黑体" w:hAnsi="黑体" w:eastAsia="黑体" w:cs="黑体"/>
                <w:b/>
                <w:color w:val="000000"/>
                <w:sz w:val="21"/>
                <w:shd w:val="clear" w:color="auto" w:fill="E8E8E8"/>
              </w:rPr>
              <w:t>配件名称</w:t>
            </w:r>
          </w:p>
        </w:tc>
        <w:tc>
          <w:tcPr>
            <w:tcW w:w="1159"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10DE0E8A">
            <w:pPr>
              <w:spacing w:line="288" w:lineRule="auto"/>
              <w:jc w:val="center"/>
            </w:pPr>
            <w:r>
              <w:rPr>
                <w:rFonts w:ascii="黑体" w:hAnsi="黑体" w:eastAsia="黑体" w:cs="黑体"/>
                <w:b/>
                <w:color w:val="000000"/>
                <w:sz w:val="21"/>
                <w:shd w:val="clear" w:color="auto" w:fill="E8E8E8"/>
              </w:rPr>
              <w:t>规格型号</w:t>
            </w:r>
          </w:p>
        </w:tc>
        <w:tc>
          <w:tcPr>
            <w:tcW w:w="848"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09A68F8D">
            <w:pPr>
              <w:spacing w:line="288" w:lineRule="auto"/>
              <w:jc w:val="center"/>
            </w:pPr>
            <w:r>
              <w:rPr>
                <w:rFonts w:ascii="黑体" w:hAnsi="黑体" w:eastAsia="黑体" w:cs="黑体"/>
                <w:b/>
                <w:color w:val="000000"/>
                <w:sz w:val="21"/>
                <w:shd w:val="clear" w:color="auto" w:fill="E8E8E8"/>
              </w:rPr>
              <w:t>单位</w:t>
            </w:r>
          </w:p>
        </w:tc>
        <w:tc>
          <w:tcPr>
            <w:tcW w:w="641"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vAlign w:val="top"/>
          </w:tcPr>
          <w:p w14:paraId="3D684B4B">
            <w:pPr>
              <w:spacing w:line="288" w:lineRule="auto"/>
              <w:jc w:val="center"/>
              <w:rPr>
                <w:rFonts w:ascii="微软雅黑" w:hAnsi="微软雅黑" w:eastAsia="微软雅黑" w:cstheme="minorBidi"/>
                <w:sz w:val="24"/>
                <w:szCs w:val="22"/>
                <w:lang w:val="en-US" w:eastAsia="en-US" w:bidi="ar-SA"/>
              </w:rPr>
            </w:pPr>
            <w:r>
              <w:rPr>
                <w:rFonts w:ascii="黑体" w:hAnsi="黑体" w:eastAsia="黑体" w:cs="黑体"/>
                <w:b/>
                <w:color w:val="000000"/>
                <w:sz w:val="21"/>
                <w:shd w:val="clear" w:color="auto" w:fill="E8E8E8"/>
              </w:rPr>
              <w:t>数量</w:t>
            </w:r>
          </w:p>
        </w:tc>
      </w:tr>
      <w:tr w14:paraId="7FA23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4156D095">
            <w:pPr>
              <w:spacing w:line="288" w:lineRule="auto"/>
              <w:jc w:val="center"/>
            </w:pPr>
            <w:r>
              <w:rPr>
                <w:rFonts w:ascii="宋体" w:hAnsi="宋体" w:eastAsia="宋体" w:cs="宋体"/>
                <w:color w:val="000000"/>
                <w:sz w:val="21"/>
              </w:rPr>
              <w:t>1</w:t>
            </w:r>
          </w:p>
        </w:tc>
        <w:tc>
          <w:tcPr>
            <w:tcW w:w="900"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1B145496">
            <w:pPr>
              <w:spacing w:line="288" w:lineRule="auto"/>
              <w:jc w:val="center"/>
            </w:pPr>
          </w:p>
        </w:tc>
        <w:tc>
          <w:tcPr>
            <w:tcW w:w="1069"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46792188">
            <w:pPr>
              <w:spacing w:line="288" w:lineRule="auto"/>
              <w:jc w:val="center"/>
            </w:pPr>
            <w:r>
              <w:rPr>
                <w:rFonts w:ascii="宋体" w:hAnsi="宋体" w:eastAsia="宋体" w:cs="宋体"/>
                <w:color w:val="000000"/>
                <w:sz w:val="21"/>
              </w:rPr>
              <w:t>电杆警示防撞桶</w:t>
            </w:r>
          </w:p>
        </w:tc>
        <w:tc>
          <w:tcPr>
            <w:tcW w:w="982"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2F35F8D6">
            <w:pPr>
              <w:spacing w:line="288" w:lineRule="auto"/>
              <w:jc w:val="center"/>
            </w:pPr>
          </w:p>
        </w:tc>
        <w:tc>
          <w:tcPr>
            <w:tcW w:w="955"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29012FF4">
            <w:pPr>
              <w:spacing w:line="288" w:lineRule="auto"/>
              <w:jc w:val="center"/>
            </w:pPr>
            <w:r>
              <w:rPr>
                <w:rFonts w:ascii="宋体" w:hAnsi="宋体" w:eastAsia="宋体" w:cs="宋体"/>
                <w:color w:val="000000"/>
                <w:sz w:val="21"/>
              </w:rPr>
              <w:t>1</w:t>
            </w:r>
          </w:p>
        </w:tc>
        <w:tc>
          <w:tcPr>
            <w:tcW w:w="859"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5C7BF6BE">
            <w:pPr>
              <w:spacing w:line="288" w:lineRule="auto"/>
              <w:jc w:val="center"/>
            </w:pPr>
          </w:p>
        </w:tc>
        <w:tc>
          <w:tcPr>
            <w:tcW w:w="1073"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5E112FFB">
            <w:pPr>
              <w:spacing w:line="288" w:lineRule="auto"/>
              <w:jc w:val="center"/>
            </w:pPr>
            <w:r>
              <w:rPr>
                <w:rFonts w:ascii="宋体" w:hAnsi="宋体" w:eastAsia="宋体" w:cs="宋体"/>
                <w:color w:val="000000"/>
                <w:sz w:val="21"/>
              </w:rPr>
              <w:t>桶体</w:t>
            </w:r>
          </w:p>
        </w:tc>
        <w:tc>
          <w:tcPr>
            <w:tcW w:w="1159"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663669F9">
            <w:pPr>
              <w:spacing w:line="288" w:lineRule="auto"/>
              <w:jc w:val="center"/>
            </w:pPr>
          </w:p>
        </w:tc>
        <w:tc>
          <w:tcPr>
            <w:tcW w:w="848"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24575348">
            <w:pPr>
              <w:spacing w:line="288" w:lineRule="auto"/>
              <w:jc w:val="center"/>
            </w:pPr>
            <w:r>
              <w:rPr>
                <w:rFonts w:ascii="宋体" w:hAnsi="宋体" w:eastAsia="宋体" w:cs="宋体"/>
                <w:color w:val="000000"/>
                <w:sz w:val="21"/>
              </w:rPr>
              <w:t>个</w:t>
            </w:r>
          </w:p>
        </w:tc>
        <w:tc>
          <w:tcPr>
            <w:tcW w:w="641" w:type="dxa"/>
            <w:tcBorders>
              <w:top w:val="single" w:color="000000" w:sz="6" w:space="0"/>
              <w:left w:val="single" w:color="000000" w:sz="6" w:space="0"/>
              <w:bottom w:val="single" w:color="000000" w:sz="6" w:space="0"/>
              <w:right w:val="single" w:color="000000" w:sz="6" w:space="0"/>
            </w:tcBorders>
            <w:shd w:val="clear" w:color="auto" w:fill="auto"/>
            <w:tcMar>
              <w:top w:w="18" w:type="dxa"/>
              <w:left w:w="104" w:type="dxa"/>
              <w:bottom w:w="18" w:type="dxa"/>
              <w:right w:w="104" w:type="dxa"/>
            </w:tcMar>
            <w:vAlign w:val="center"/>
          </w:tcPr>
          <w:p w14:paraId="50831C1A">
            <w:pPr>
              <w:spacing w:line="288" w:lineRule="auto"/>
              <w:jc w:val="center"/>
              <w:rPr>
                <w:rFonts w:ascii="微软雅黑" w:hAnsi="微软雅黑" w:eastAsia="微软雅黑" w:cstheme="minorBidi"/>
                <w:sz w:val="24"/>
                <w:szCs w:val="22"/>
                <w:lang w:val="en-US" w:eastAsia="en-US" w:bidi="ar-SA"/>
              </w:rPr>
            </w:pPr>
            <w:r>
              <w:rPr>
                <w:rFonts w:ascii="宋体" w:hAnsi="宋体" w:eastAsia="宋体" w:cs="宋体"/>
                <w:color w:val="000000"/>
                <w:sz w:val="21"/>
              </w:rPr>
              <w:t>1</w:t>
            </w:r>
          </w:p>
        </w:tc>
      </w:tr>
      <w:tr w14:paraId="5A36B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3DC36AF4">
            <w:pPr>
              <w:spacing w:line="288" w:lineRule="auto"/>
              <w:jc w:val="center"/>
            </w:pPr>
          </w:p>
        </w:tc>
        <w:tc>
          <w:tcPr>
            <w:tcW w:w="900"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3063CF89">
            <w:pPr>
              <w:spacing w:line="288" w:lineRule="auto"/>
              <w:jc w:val="center"/>
            </w:pPr>
          </w:p>
        </w:tc>
        <w:tc>
          <w:tcPr>
            <w:tcW w:w="1069"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6C702CCA">
            <w:pPr>
              <w:spacing w:line="288" w:lineRule="auto"/>
              <w:jc w:val="center"/>
            </w:pPr>
          </w:p>
        </w:tc>
        <w:tc>
          <w:tcPr>
            <w:tcW w:w="982"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59E4D206">
            <w:pPr>
              <w:spacing w:line="288" w:lineRule="auto"/>
              <w:jc w:val="center"/>
            </w:pPr>
          </w:p>
        </w:tc>
        <w:tc>
          <w:tcPr>
            <w:tcW w:w="955"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1CE4762E">
            <w:pPr>
              <w:spacing w:line="288" w:lineRule="auto"/>
              <w:jc w:val="center"/>
            </w:pPr>
            <w:r>
              <w:rPr>
                <w:rFonts w:ascii="宋体" w:hAnsi="宋体" w:eastAsia="宋体" w:cs="宋体"/>
                <w:color w:val="000000"/>
                <w:sz w:val="21"/>
              </w:rPr>
              <w:t>2</w:t>
            </w:r>
          </w:p>
        </w:tc>
        <w:tc>
          <w:tcPr>
            <w:tcW w:w="859"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20925478">
            <w:pPr>
              <w:spacing w:line="288" w:lineRule="auto"/>
              <w:jc w:val="center"/>
            </w:pPr>
          </w:p>
        </w:tc>
        <w:tc>
          <w:tcPr>
            <w:tcW w:w="1073"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0FF13E7C">
            <w:pPr>
              <w:spacing w:line="288" w:lineRule="auto"/>
              <w:jc w:val="center"/>
            </w:pPr>
            <w:r>
              <w:rPr>
                <w:rFonts w:ascii="宋体" w:hAnsi="宋体" w:eastAsia="宋体" w:cs="宋体"/>
                <w:color w:val="000000"/>
                <w:sz w:val="21"/>
              </w:rPr>
              <w:t>反光膜</w:t>
            </w:r>
          </w:p>
        </w:tc>
        <w:tc>
          <w:tcPr>
            <w:tcW w:w="1159"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53956753">
            <w:pPr>
              <w:spacing w:line="288" w:lineRule="auto"/>
              <w:jc w:val="center"/>
            </w:pPr>
            <w:r>
              <w:rPr>
                <w:rFonts w:ascii="宋体" w:hAnsi="宋体" w:eastAsia="宋体" w:cs="宋体"/>
                <w:color w:val="000000"/>
                <w:sz w:val="21"/>
              </w:rPr>
              <w:t>符合GB/T 18833</w:t>
            </w:r>
          </w:p>
        </w:tc>
        <w:tc>
          <w:tcPr>
            <w:tcW w:w="848"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0C610D0C">
            <w:pPr>
              <w:spacing w:line="288" w:lineRule="auto"/>
              <w:jc w:val="center"/>
            </w:pPr>
            <w:r>
              <w:rPr>
                <w:rFonts w:ascii="宋体" w:hAnsi="宋体" w:eastAsia="宋体" w:cs="宋体"/>
                <w:color w:val="000000"/>
                <w:sz w:val="21"/>
              </w:rPr>
              <w:t>套</w:t>
            </w:r>
          </w:p>
        </w:tc>
        <w:tc>
          <w:tcPr>
            <w:tcW w:w="641" w:type="dxa"/>
            <w:tcBorders>
              <w:top w:val="single" w:color="000000" w:sz="6" w:space="0"/>
              <w:left w:val="single" w:color="000000" w:sz="6" w:space="0"/>
              <w:bottom w:val="single" w:color="000000" w:sz="6" w:space="0"/>
              <w:right w:val="single" w:color="000000" w:sz="6" w:space="0"/>
            </w:tcBorders>
            <w:shd w:val="clear" w:color="auto" w:fill="auto"/>
            <w:tcMar>
              <w:top w:w="18" w:type="dxa"/>
              <w:left w:w="104" w:type="dxa"/>
              <w:bottom w:w="18" w:type="dxa"/>
              <w:right w:w="104" w:type="dxa"/>
            </w:tcMar>
            <w:vAlign w:val="center"/>
          </w:tcPr>
          <w:p w14:paraId="31E1E303">
            <w:pPr>
              <w:spacing w:line="288" w:lineRule="auto"/>
              <w:jc w:val="center"/>
              <w:rPr>
                <w:rFonts w:ascii="微软雅黑" w:hAnsi="微软雅黑" w:eastAsia="微软雅黑" w:cstheme="minorBidi"/>
                <w:sz w:val="24"/>
                <w:szCs w:val="22"/>
                <w:lang w:val="en-US" w:eastAsia="en-US" w:bidi="ar-SA"/>
              </w:rPr>
            </w:pPr>
            <w:r>
              <w:rPr>
                <w:rFonts w:ascii="宋体" w:hAnsi="宋体" w:eastAsia="宋体" w:cs="宋体"/>
                <w:color w:val="000000"/>
                <w:sz w:val="21"/>
              </w:rPr>
              <w:t>1</w:t>
            </w:r>
          </w:p>
        </w:tc>
      </w:tr>
      <w:tr w14:paraId="63CD3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301D1813">
            <w:pPr>
              <w:spacing w:line="288" w:lineRule="auto"/>
              <w:jc w:val="center"/>
            </w:pPr>
          </w:p>
        </w:tc>
        <w:tc>
          <w:tcPr>
            <w:tcW w:w="900"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76D2AC59">
            <w:pPr>
              <w:spacing w:line="288" w:lineRule="auto"/>
              <w:jc w:val="center"/>
            </w:pPr>
          </w:p>
        </w:tc>
        <w:tc>
          <w:tcPr>
            <w:tcW w:w="1069"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5A1CCE19">
            <w:pPr>
              <w:spacing w:line="288" w:lineRule="auto"/>
              <w:jc w:val="center"/>
            </w:pPr>
          </w:p>
        </w:tc>
        <w:tc>
          <w:tcPr>
            <w:tcW w:w="982"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383D28EB">
            <w:pPr>
              <w:spacing w:line="288" w:lineRule="auto"/>
              <w:jc w:val="center"/>
            </w:pPr>
          </w:p>
        </w:tc>
        <w:tc>
          <w:tcPr>
            <w:tcW w:w="955"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3BC7CCE1">
            <w:pPr>
              <w:spacing w:line="288" w:lineRule="auto"/>
              <w:jc w:val="center"/>
            </w:pPr>
            <w:r>
              <w:rPr>
                <w:rFonts w:ascii="宋体" w:hAnsi="宋体" w:eastAsia="宋体" w:cs="宋体"/>
                <w:color w:val="000000"/>
                <w:sz w:val="21"/>
              </w:rPr>
              <w:t>3</w:t>
            </w:r>
          </w:p>
        </w:tc>
        <w:tc>
          <w:tcPr>
            <w:tcW w:w="859"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65AEF1A6">
            <w:pPr>
              <w:spacing w:line="288" w:lineRule="auto"/>
              <w:jc w:val="center"/>
            </w:pPr>
          </w:p>
        </w:tc>
        <w:tc>
          <w:tcPr>
            <w:tcW w:w="1073"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43C21DC3">
            <w:pPr>
              <w:spacing w:line="288" w:lineRule="auto"/>
              <w:jc w:val="center"/>
            </w:pPr>
            <w:r>
              <w:rPr>
                <w:rFonts w:ascii="宋体" w:hAnsi="宋体" w:eastAsia="宋体" w:cs="宋体"/>
                <w:color w:val="000000"/>
                <w:sz w:val="21"/>
              </w:rPr>
              <w:t>紧固件/连接件</w:t>
            </w:r>
          </w:p>
        </w:tc>
        <w:tc>
          <w:tcPr>
            <w:tcW w:w="1159"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714DD5D6">
            <w:pPr>
              <w:spacing w:line="288" w:lineRule="auto"/>
              <w:jc w:val="center"/>
            </w:pPr>
          </w:p>
        </w:tc>
        <w:tc>
          <w:tcPr>
            <w:tcW w:w="848"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5FAF0624">
            <w:pPr>
              <w:spacing w:line="288" w:lineRule="auto"/>
              <w:jc w:val="center"/>
            </w:pPr>
            <w:r>
              <w:rPr>
                <w:rFonts w:ascii="宋体" w:hAnsi="宋体" w:eastAsia="宋体" w:cs="宋体"/>
                <w:color w:val="000000"/>
                <w:sz w:val="21"/>
              </w:rPr>
              <w:t>套</w:t>
            </w:r>
          </w:p>
        </w:tc>
        <w:tc>
          <w:tcPr>
            <w:tcW w:w="641" w:type="dxa"/>
            <w:tcBorders>
              <w:top w:val="single" w:color="000000" w:sz="6" w:space="0"/>
              <w:left w:val="single" w:color="000000" w:sz="6" w:space="0"/>
              <w:bottom w:val="single" w:color="000000" w:sz="6" w:space="0"/>
              <w:right w:val="single" w:color="000000" w:sz="6" w:space="0"/>
            </w:tcBorders>
            <w:shd w:val="clear" w:color="auto" w:fill="auto"/>
            <w:tcMar>
              <w:top w:w="18" w:type="dxa"/>
              <w:left w:w="104" w:type="dxa"/>
              <w:bottom w:w="18" w:type="dxa"/>
              <w:right w:w="104" w:type="dxa"/>
            </w:tcMar>
            <w:vAlign w:val="center"/>
          </w:tcPr>
          <w:p w14:paraId="76F991E1">
            <w:pPr>
              <w:spacing w:line="288" w:lineRule="auto"/>
              <w:jc w:val="center"/>
              <w:rPr>
                <w:rFonts w:ascii="微软雅黑" w:hAnsi="微软雅黑" w:eastAsia="微软雅黑" w:cstheme="minorBidi"/>
                <w:sz w:val="24"/>
                <w:szCs w:val="22"/>
                <w:lang w:val="en-US" w:eastAsia="en-US" w:bidi="ar-SA"/>
              </w:rPr>
            </w:pPr>
            <w:r>
              <w:rPr>
                <w:rFonts w:ascii="宋体" w:hAnsi="宋体" w:eastAsia="宋体" w:cs="宋体"/>
                <w:color w:val="000000"/>
                <w:sz w:val="21"/>
              </w:rPr>
              <w:t>1</w:t>
            </w:r>
          </w:p>
        </w:tc>
      </w:tr>
      <w:tr w14:paraId="6DEEF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7" w:hRule="atLeast"/>
        </w:trPr>
        <w:tc>
          <w:tcPr>
            <w:tcW w:w="9386" w:type="dxa"/>
            <w:gridSpan w:val="10"/>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7775D98F">
            <w:pPr>
              <w:spacing w:line="288" w:lineRule="auto"/>
              <w:jc w:val="center"/>
              <w:rPr>
                <w:rFonts w:hint="eastAsia" w:ascii="宋体" w:hAnsi="宋体" w:eastAsia="宋体" w:cs="宋体"/>
                <w:strike/>
                <w:dstrike w:val="0"/>
                <w:color w:val="FF0000"/>
                <w:sz w:val="21"/>
                <w:lang w:eastAsia="zh-CN"/>
              </w:rPr>
            </w:pPr>
            <w:r>
              <w:rPr>
                <w:rFonts w:hint="eastAsia" w:ascii="宋体" w:hAnsi="宋体" w:eastAsia="宋体" w:cs="宋体"/>
                <w:strike/>
                <w:dstrike w:val="0"/>
                <w:color w:val="FF0000"/>
                <w:sz w:val="21"/>
                <w:lang w:eastAsia="zh-CN"/>
              </w:rPr>
              <w:drawing>
                <wp:inline distT="0" distB="0" distL="114300" distR="114300">
                  <wp:extent cx="2808605" cy="1587500"/>
                  <wp:effectExtent l="0" t="0" r="10795" b="12700"/>
                  <wp:docPr id="3" name="图片 3" descr="1bc08384616b1fb834c7b7849116b2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bc08384616b1fb834c7b7849116b2ae"/>
                          <pic:cNvPicPr>
                            <a:picLocks noChangeAspect="1"/>
                          </pic:cNvPicPr>
                        </pic:nvPicPr>
                        <pic:blipFill>
                          <a:blip r:embed="rId7"/>
                          <a:stretch>
                            <a:fillRect/>
                          </a:stretch>
                        </pic:blipFill>
                        <pic:spPr>
                          <a:xfrm>
                            <a:off x="0" y="0"/>
                            <a:ext cx="2808605" cy="1587500"/>
                          </a:xfrm>
                          <a:prstGeom prst="rect">
                            <a:avLst/>
                          </a:prstGeom>
                        </pic:spPr>
                      </pic:pic>
                    </a:graphicData>
                  </a:graphic>
                </wp:inline>
              </w:drawing>
            </w:r>
          </w:p>
        </w:tc>
      </w:tr>
    </w:tbl>
    <w:p w14:paraId="6D28E6D3">
      <w:pPr>
        <w:spacing w:before="60" w:after="60" w:line="288" w:lineRule="auto"/>
        <w:ind w:firstLine="420"/>
      </w:pPr>
      <w:r>
        <w:rPr>
          <w:rFonts w:ascii="宋体" w:hAnsi="宋体" w:eastAsia="宋体" w:cs="宋体"/>
          <w:color w:val="333333"/>
          <w:sz w:val="21"/>
        </w:rPr>
        <w:t>注："默认项"填写"是"或者"否"，填"是"则价格纳入价格统计计算价格分，填"否"则价格不纳入价格统计计算价格分。</w:t>
      </w:r>
    </w:p>
    <w:p w14:paraId="603A6555">
      <w:pPr>
        <w:pStyle w:val="6"/>
        <w:keepNext w:val="0"/>
        <w:keepLines w:val="0"/>
        <w:pageBreakBefore w:val="0"/>
        <w:pBdr>
          <w:bottom w:val="single" w:color="000000" w:sz="6" w:space="1"/>
        </w:pBdr>
        <w:spacing w:before="240" w:after="120" w:line="288" w:lineRule="auto"/>
        <w:outlineLvl w:val="1"/>
      </w:pPr>
      <w:r>
        <w:rPr>
          <w:rFonts w:ascii="黑体" w:hAnsi="黑体" w:eastAsia="黑体" w:cs="黑体"/>
          <w:b/>
          <w:color w:val="000000"/>
          <w:sz w:val="32"/>
        </w:rPr>
        <w:t>3 应遵循的主要标准</w:t>
      </w:r>
    </w:p>
    <w:p w14:paraId="09406373">
      <w:pPr>
        <w:spacing w:before="60" w:after="60" w:line="288" w:lineRule="auto"/>
        <w:ind w:firstLine="480"/>
      </w:pPr>
      <w:r>
        <w:rPr>
          <w:rFonts w:ascii="宋体" w:hAnsi="宋体" w:eastAsia="宋体" w:cs="宋体"/>
          <w:color w:val="000000"/>
          <w:sz w:val="24"/>
        </w:rPr>
        <w:t>除本标书特殊规定外，投标方所提供的物资均按规定的标准和规程的最新版本进行设计、制造。如果这些标准内容有矛盾时，应按最高标准的条款执行或按双方商定的标准执行。如果投标方选用本标书规定以外的标准时，则需提交这种替换标准供审查和分析。仅在投标方已证明替换标准相当或优于标书规定的标准，并从招标方处获得书面的认可才能使用。提交供审查的标准应为中文或英文版本。主要引用标准如下：</w:t>
      </w:r>
    </w:p>
    <w:tbl>
      <w:tblPr>
        <w:tblStyle w:val="34"/>
        <w:tblW w:w="86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0"/>
        <w:gridCol w:w="3222"/>
        <w:gridCol w:w="4518"/>
      </w:tblGrid>
      <w:tr w14:paraId="00103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1685B9CE">
            <w:pPr>
              <w:spacing w:line="288" w:lineRule="auto"/>
              <w:jc w:val="center"/>
            </w:pPr>
            <w:r>
              <w:rPr>
                <w:rFonts w:ascii="黑体" w:hAnsi="黑体" w:eastAsia="黑体" w:cs="黑体"/>
                <w:b/>
                <w:color w:val="000000"/>
                <w:sz w:val="21"/>
                <w:shd w:val="clear" w:color="auto" w:fill="E8E8E8"/>
              </w:rPr>
              <w:t>序号</w:t>
            </w:r>
          </w:p>
        </w:tc>
        <w:tc>
          <w:tcPr>
            <w:tcW w:w="3222"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2FA196EC">
            <w:pPr>
              <w:spacing w:line="288" w:lineRule="auto"/>
              <w:jc w:val="center"/>
            </w:pPr>
            <w:r>
              <w:rPr>
                <w:rFonts w:ascii="黑体" w:hAnsi="黑体" w:eastAsia="黑体" w:cs="黑体"/>
                <w:b/>
                <w:color w:val="000000"/>
                <w:sz w:val="21"/>
                <w:shd w:val="clear" w:color="auto" w:fill="E8E8E8"/>
              </w:rPr>
              <w:t>标准号</w:t>
            </w:r>
          </w:p>
        </w:tc>
        <w:tc>
          <w:tcPr>
            <w:tcW w:w="4518"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3B8A4281">
            <w:pPr>
              <w:spacing w:line="288" w:lineRule="auto"/>
              <w:jc w:val="center"/>
            </w:pPr>
            <w:r>
              <w:rPr>
                <w:rFonts w:ascii="黑体" w:hAnsi="黑体" w:eastAsia="黑体" w:cs="黑体"/>
                <w:b/>
                <w:color w:val="000000"/>
                <w:sz w:val="21"/>
                <w:shd w:val="clear" w:color="auto" w:fill="E8E8E8"/>
              </w:rPr>
              <w:t>标准名称</w:t>
            </w:r>
          </w:p>
        </w:tc>
      </w:tr>
      <w:tr w14:paraId="1A5AE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61F82FA4">
            <w:pPr>
              <w:spacing w:line="288" w:lineRule="auto"/>
              <w:jc w:val="center"/>
            </w:pPr>
            <w:r>
              <w:rPr>
                <w:rFonts w:ascii="宋体" w:hAnsi="宋体" w:eastAsia="宋体" w:cs="宋体"/>
                <w:color w:val="000000"/>
                <w:sz w:val="21"/>
              </w:rPr>
              <w:t>1</w:t>
            </w:r>
          </w:p>
        </w:tc>
        <w:tc>
          <w:tcPr>
            <w:tcW w:w="3222"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37E98759">
            <w:pPr>
              <w:spacing w:line="288" w:lineRule="auto"/>
              <w:jc w:val="center"/>
            </w:pPr>
            <w:r>
              <w:rPr>
                <w:rFonts w:ascii="宋体" w:hAnsi="宋体" w:eastAsia="宋体" w:cs="宋体"/>
                <w:color w:val="000000"/>
                <w:sz w:val="21"/>
              </w:rPr>
              <w:t>GB/T 28650-2012</w:t>
            </w:r>
          </w:p>
        </w:tc>
        <w:tc>
          <w:tcPr>
            <w:tcW w:w="4518"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44F3DE38">
            <w:pPr>
              <w:spacing w:line="288" w:lineRule="auto"/>
              <w:jc w:val="center"/>
            </w:pPr>
            <w:r>
              <w:rPr>
                <w:rFonts w:ascii="宋体" w:hAnsi="宋体" w:eastAsia="宋体" w:cs="宋体"/>
                <w:color w:val="000000"/>
                <w:sz w:val="21"/>
              </w:rPr>
              <w:t>公路防撞桶</w:t>
            </w:r>
          </w:p>
        </w:tc>
      </w:tr>
      <w:tr w14:paraId="455B9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582C16E3">
            <w:pPr>
              <w:spacing w:line="288" w:lineRule="auto"/>
              <w:jc w:val="center"/>
            </w:pPr>
            <w:r>
              <w:rPr>
                <w:rFonts w:ascii="宋体" w:hAnsi="宋体" w:eastAsia="宋体" w:cs="宋体"/>
                <w:color w:val="000000"/>
                <w:sz w:val="21"/>
              </w:rPr>
              <w:t>2</w:t>
            </w:r>
          </w:p>
        </w:tc>
        <w:tc>
          <w:tcPr>
            <w:tcW w:w="3222"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281AAE42">
            <w:pPr>
              <w:spacing w:line="288" w:lineRule="auto"/>
              <w:jc w:val="center"/>
            </w:pPr>
            <w:r>
              <w:rPr>
                <w:rFonts w:ascii="宋体" w:hAnsi="宋体" w:eastAsia="宋体" w:cs="宋体"/>
                <w:color w:val="000000"/>
                <w:sz w:val="21"/>
              </w:rPr>
              <w:t>GB/T 18833-2012</w:t>
            </w:r>
          </w:p>
        </w:tc>
        <w:tc>
          <w:tcPr>
            <w:tcW w:w="4518"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37115CCD">
            <w:pPr>
              <w:spacing w:line="288" w:lineRule="auto"/>
              <w:jc w:val="center"/>
            </w:pPr>
            <w:r>
              <w:rPr>
                <w:rFonts w:ascii="宋体" w:hAnsi="宋体" w:eastAsia="宋体" w:cs="宋体"/>
                <w:color w:val="000000"/>
                <w:sz w:val="21"/>
              </w:rPr>
              <w:t>道路交通反光膜</w:t>
            </w:r>
          </w:p>
        </w:tc>
      </w:tr>
      <w:tr w14:paraId="16472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7610F687">
            <w:pPr>
              <w:spacing w:line="288" w:lineRule="auto"/>
              <w:jc w:val="center"/>
            </w:pPr>
            <w:r>
              <w:rPr>
                <w:rFonts w:ascii="宋体" w:hAnsi="宋体" w:eastAsia="宋体" w:cs="宋体"/>
                <w:color w:val="000000"/>
                <w:sz w:val="21"/>
              </w:rPr>
              <w:t>3</w:t>
            </w:r>
          </w:p>
        </w:tc>
        <w:tc>
          <w:tcPr>
            <w:tcW w:w="3222"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3BA016B1">
            <w:pPr>
              <w:spacing w:line="288" w:lineRule="auto"/>
              <w:jc w:val="center"/>
            </w:pPr>
            <w:r>
              <w:rPr>
                <w:rFonts w:ascii="宋体" w:hAnsi="宋体" w:eastAsia="宋体" w:cs="宋体"/>
                <w:color w:val="000000"/>
                <w:sz w:val="21"/>
              </w:rPr>
              <w:t>GB 2893-2008</w:t>
            </w:r>
          </w:p>
        </w:tc>
        <w:tc>
          <w:tcPr>
            <w:tcW w:w="4518"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08E0960B">
            <w:pPr>
              <w:spacing w:line="288" w:lineRule="auto"/>
              <w:jc w:val="center"/>
            </w:pPr>
            <w:r>
              <w:rPr>
                <w:rFonts w:ascii="宋体" w:hAnsi="宋体" w:eastAsia="宋体" w:cs="宋体"/>
                <w:color w:val="000000"/>
                <w:sz w:val="21"/>
              </w:rPr>
              <w:t>安全色</w:t>
            </w:r>
          </w:p>
        </w:tc>
      </w:tr>
      <w:tr w14:paraId="092ACA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5DDC0445">
            <w:pPr>
              <w:spacing w:line="288" w:lineRule="auto"/>
              <w:jc w:val="center"/>
            </w:pPr>
            <w:r>
              <w:rPr>
                <w:rFonts w:ascii="宋体" w:hAnsi="宋体" w:eastAsia="宋体" w:cs="宋体"/>
                <w:color w:val="000000"/>
                <w:sz w:val="21"/>
              </w:rPr>
              <w:t>4</w:t>
            </w:r>
          </w:p>
        </w:tc>
        <w:tc>
          <w:tcPr>
            <w:tcW w:w="3222"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61199854">
            <w:pPr>
              <w:spacing w:line="288" w:lineRule="auto"/>
              <w:jc w:val="center"/>
            </w:pPr>
            <w:r>
              <w:rPr>
                <w:rFonts w:ascii="宋体" w:hAnsi="宋体" w:eastAsia="宋体" w:cs="宋体"/>
                <w:color w:val="000000"/>
                <w:sz w:val="21"/>
              </w:rPr>
              <w:t>GB 2894-2008</w:t>
            </w:r>
          </w:p>
        </w:tc>
        <w:tc>
          <w:tcPr>
            <w:tcW w:w="4518"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0BB6EAA5">
            <w:pPr>
              <w:spacing w:line="288" w:lineRule="auto"/>
              <w:jc w:val="center"/>
            </w:pPr>
            <w:r>
              <w:rPr>
                <w:rFonts w:ascii="宋体" w:hAnsi="宋体" w:eastAsia="宋体" w:cs="宋体"/>
                <w:color w:val="000000"/>
                <w:sz w:val="21"/>
              </w:rPr>
              <w:t>安全标志及其使用导则</w:t>
            </w:r>
          </w:p>
        </w:tc>
      </w:tr>
      <w:tr w14:paraId="08927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106B9FA4">
            <w:pPr>
              <w:spacing w:line="288" w:lineRule="auto"/>
              <w:jc w:val="center"/>
            </w:pPr>
            <w:r>
              <w:rPr>
                <w:rFonts w:ascii="宋体" w:hAnsi="宋体" w:eastAsia="宋体" w:cs="宋体"/>
                <w:color w:val="000000"/>
                <w:sz w:val="21"/>
              </w:rPr>
              <w:t>5</w:t>
            </w:r>
          </w:p>
        </w:tc>
        <w:tc>
          <w:tcPr>
            <w:tcW w:w="3222"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4BAAD9D4">
            <w:pPr>
              <w:spacing w:line="288" w:lineRule="auto"/>
              <w:jc w:val="center"/>
            </w:pPr>
            <w:r>
              <w:rPr>
                <w:rFonts w:ascii="宋体" w:hAnsi="宋体" w:eastAsia="宋体" w:cs="宋体"/>
                <w:color w:val="000000"/>
                <w:sz w:val="21"/>
              </w:rPr>
              <w:t>GB/T 700-2006</w:t>
            </w:r>
          </w:p>
        </w:tc>
        <w:tc>
          <w:tcPr>
            <w:tcW w:w="4518"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00A4033D">
            <w:pPr>
              <w:spacing w:line="288" w:lineRule="auto"/>
              <w:jc w:val="center"/>
            </w:pPr>
            <w:r>
              <w:rPr>
                <w:rFonts w:ascii="宋体" w:hAnsi="宋体" w:eastAsia="宋体" w:cs="宋体"/>
                <w:color w:val="000000"/>
                <w:sz w:val="21"/>
              </w:rPr>
              <w:t>碳素结构钢</w:t>
            </w:r>
          </w:p>
        </w:tc>
      </w:tr>
      <w:tr w14:paraId="785F4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6AB30904">
            <w:pPr>
              <w:spacing w:line="288" w:lineRule="auto"/>
              <w:jc w:val="center"/>
            </w:pPr>
            <w:r>
              <w:rPr>
                <w:rFonts w:ascii="宋体" w:hAnsi="宋体" w:eastAsia="宋体" w:cs="宋体"/>
                <w:color w:val="000000"/>
                <w:sz w:val="21"/>
              </w:rPr>
              <w:t>6</w:t>
            </w:r>
          </w:p>
        </w:tc>
        <w:tc>
          <w:tcPr>
            <w:tcW w:w="3222"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0674872E">
            <w:pPr>
              <w:spacing w:line="288" w:lineRule="auto"/>
              <w:jc w:val="center"/>
            </w:pPr>
            <w:r>
              <w:rPr>
                <w:rFonts w:ascii="宋体" w:hAnsi="宋体" w:eastAsia="宋体" w:cs="宋体"/>
                <w:color w:val="000000"/>
                <w:sz w:val="21"/>
              </w:rPr>
              <w:t>GB/T 15568-2008</w:t>
            </w:r>
          </w:p>
        </w:tc>
        <w:tc>
          <w:tcPr>
            <w:tcW w:w="4518"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4AD3A104">
            <w:pPr>
              <w:spacing w:line="288" w:lineRule="auto"/>
              <w:jc w:val="center"/>
            </w:pPr>
            <w:r>
              <w:rPr>
                <w:rFonts w:ascii="宋体" w:hAnsi="宋体" w:eastAsia="宋体" w:cs="宋体"/>
                <w:color w:val="000000"/>
                <w:sz w:val="21"/>
              </w:rPr>
              <w:t>通用型片基</w:t>
            </w:r>
          </w:p>
        </w:tc>
      </w:tr>
      <w:tr w14:paraId="79CEE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77BDC685">
            <w:pPr>
              <w:spacing w:line="288" w:lineRule="auto"/>
              <w:jc w:val="center"/>
            </w:pPr>
            <w:r>
              <w:rPr>
                <w:rFonts w:ascii="宋体" w:hAnsi="宋体" w:eastAsia="宋体" w:cs="宋体"/>
                <w:color w:val="000000"/>
                <w:sz w:val="21"/>
              </w:rPr>
              <w:t>7</w:t>
            </w:r>
          </w:p>
        </w:tc>
        <w:tc>
          <w:tcPr>
            <w:tcW w:w="3222"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3E7B31C4">
            <w:pPr>
              <w:spacing w:line="288" w:lineRule="auto"/>
              <w:jc w:val="center"/>
            </w:pPr>
            <w:r>
              <w:rPr>
                <w:rFonts w:ascii="宋体" w:hAnsi="宋体" w:eastAsia="宋体" w:cs="宋体"/>
                <w:color w:val="000000"/>
                <w:sz w:val="21"/>
              </w:rPr>
              <w:t>GB/T 1040-2018</w:t>
            </w:r>
          </w:p>
        </w:tc>
        <w:tc>
          <w:tcPr>
            <w:tcW w:w="4518"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7EEC5581">
            <w:pPr>
              <w:spacing w:line="288" w:lineRule="auto"/>
              <w:jc w:val="center"/>
            </w:pPr>
            <w:r>
              <w:rPr>
                <w:rFonts w:ascii="宋体" w:hAnsi="宋体" w:eastAsia="宋体" w:cs="宋体"/>
                <w:color w:val="000000"/>
                <w:sz w:val="21"/>
              </w:rPr>
              <w:t>塑料 拉伸性能的测定</w:t>
            </w:r>
          </w:p>
        </w:tc>
      </w:tr>
      <w:tr w14:paraId="39C5F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24A1C8AF">
            <w:pPr>
              <w:spacing w:line="288" w:lineRule="auto"/>
              <w:jc w:val="center"/>
            </w:pPr>
            <w:r>
              <w:rPr>
                <w:rFonts w:ascii="宋体" w:hAnsi="宋体" w:eastAsia="宋体" w:cs="宋体"/>
                <w:color w:val="000000"/>
                <w:sz w:val="21"/>
              </w:rPr>
              <w:t>8</w:t>
            </w:r>
          </w:p>
        </w:tc>
        <w:tc>
          <w:tcPr>
            <w:tcW w:w="3222"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11B644A0">
            <w:pPr>
              <w:spacing w:line="288" w:lineRule="auto"/>
              <w:jc w:val="center"/>
            </w:pPr>
            <w:r>
              <w:rPr>
                <w:rFonts w:ascii="宋体" w:hAnsi="宋体" w:eastAsia="宋体" w:cs="宋体"/>
                <w:color w:val="000000"/>
                <w:sz w:val="21"/>
              </w:rPr>
              <w:t>GB/T 1043-2008</w:t>
            </w:r>
          </w:p>
        </w:tc>
        <w:tc>
          <w:tcPr>
            <w:tcW w:w="4518"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5356931B">
            <w:pPr>
              <w:spacing w:line="288" w:lineRule="auto"/>
              <w:jc w:val="center"/>
            </w:pPr>
            <w:r>
              <w:rPr>
                <w:rFonts w:ascii="宋体" w:hAnsi="宋体" w:eastAsia="宋体" w:cs="宋体"/>
                <w:color w:val="000000"/>
                <w:sz w:val="21"/>
              </w:rPr>
              <w:t>塑料 简支梁冲击性能的测定</w:t>
            </w:r>
          </w:p>
        </w:tc>
      </w:tr>
      <w:tr w14:paraId="50C52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2C1F3D63">
            <w:pPr>
              <w:spacing w:line="288" w:lineRule="auto"/>
              <w:jc w:val="center"/>
            </w:pPr>
            <w:r>
              <w:rPr>
                <w:rFonts w:ascii="宋体" w:hAnsi="宋体" w:eastAsia="宋体" w:cs="宋体"/>
                <w:color w:val="000000"/>
                <w:sz w:val="21"/>
              </w:rPr>
              <w:t>9</w:t>
            </w:r>
          </w:p>
        </w:tc>
        <w:tc>
          <w:tcPr>
            <w:tcW w:w="3222"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3CC86684">
            <w:pPr>
              <w:spacing w:line="288" w:lineRule="auto"/>
              <w:jc w:val="center"/>
            </w:pPr>
            <w:r>
              <w:rPr>
                <w:rFonts w:ascii="宋体" w:hAnsi="宋体" w:eastAsia="宋体" w:cs="宋体"/>
                <w:color w:val="000000"/>
                <w:sz w:val="21"/>
              </w:rPr>
              <w:t>GB/T 9341-2008</w:t>
            </w:r>
          </w:p>
        </w:tc>
        <w:tc>
          <w:tcPr>
            <w:tcW w:w="4518"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268B6D02">
            <w:pPr>
              <w:spacing w:line="288" w:lineRule="auto"/>
              <w:jc w:val="center"/>
            </w:pPr>
            <w:r>
              <w:rPr>
                <w:rFonts w:ascii="宋体" w:hAnsi="宋体" w:eastAsia="宋体" w:cs="宋体"/>
                <w:color w:val="000000"/>
                <w:sz w:val="21"/>
              </w:rPr>
              <w:t>塑料 弯曲性能的测定</w:t>
            </w:r>
          </w:p>
        </w:tc>
      </w:tr>
      <w:tr w14:paraId="42DD90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71C5AAA0">
            <w:pPr>
              <w:spacing w:line="288" w:lineRule="auto"/>
              <w:jc w:val="center"/>
            </w:pPr>
            <w:r>
              <w:rPr>
                <w:rFonts w:ascii="宋体" w:hAnsi="宋体" w:eastAsia="宋体" w:cs="宋体"/>
                <w:color w:val="000000"/>
                <w:sz w:val="21"/>
              </w:rPr>
              <w:t>10</w:t>
            </w:r>
          </w:p>
        </w:tc>
        <w:tc>
          <w:tcPr>
            <w:tcW w:w="3222"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3B60EBF5">
            <w:pPr>
              <w:spacing w:line="288" w:lineRule="auto"/>
              <w:jc w:val="center"/>
            </w:pPr>
            <w:r>
              <w:rPr>
                <w:rFonts w:ascii="宋体" w:hAnsi="宋体" w:eastAsia="宋体" w:cs="宋体"/>
                <w:color w:val="000000"/>
                <w:sz w:val="21"/>
              </w:rPr>
              <w:t>GB/T 16422-2014</w:t>
            </w:r>
          </w:p>
        </w:tc>
        <w:tc>
          <w:tcPr>
            <w:tcW w:w="4518"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76242E21">
            <w:pPr>
              <w:spacing w:line="288" w:lineRule="auto"/>
              <w:jc w:val="center"/>
            </w:pPr>
            <w:r>
              <w:rPr>
                <w:rFonts w:ascii="宋体" w:hAnsi="宋体" w:eastAsia="宋体" w:cs="宋体"/>
                <w:color w:val="000000"/>
                <w:sz w:val="21"/>
              </w:rPr>
              <w:t>塑料 实验室光源暴露试验方法</w:t>
            </w:r>
          </w:p>
        </w:tc>
      </w:tr>
      <w:tr w14:paraId="6DBE8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3B92CF56">
            <w:pPr>
              <w:spacing w:line="288" w:lineRule="auto"/>
              <w:jc w:val="center"/>
            </w:pPr>
            <w:r>
              <w:rPr>
                <w:rFonts w:ascii="宋体" w:hAnsi="宋体" w:eastAsia="宋体" w:cs="宋体"/>
                <w:color w:val="000000"/>
                <w:sz w:val="21"/>
              </w:rPr>
              <w:t>11</w:t>
            </w:r>
          </w:p>
        </w:tc>
        <w:tc>
          <w:tcPr>
            <w:tcW w:w="3222"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0BE4DEC2">
            <w:pPr>
              <w:spacing w:line="288" w:lineRule="auto"/>
              <w:jc w:val="center"/>
            </w:pPr>
            <w:r>
              <w:rPr>
                <w:rFonts w:ascii="宋体" w:hAnsi="宋体" w:eastAsia="宋体" w:cs="宋体"/>
                <w:color w:val="000000"/>
                <w:sz w:val="21"/>
              </w:rPr>
              <w:t>GB/T 2408-2008</w:t>
            </w:r>
          </w:p>
        </w:tc>
        <w:tc>
          <w:tcPr>
            <w:tcW w:w="4518"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264A4B30">
            <w:pPr>
              <w:spacing w:line="288" w:lineRule="auto"/>
              <w:jc w:val="center"/>
            </w:pPr>
            <w:r>
              <w:rPr>
                <w:rFonts w:ascii="宋体" w:hAnsi="宋体" w:eastAsia="宋体" w:cs="宋体"/>
                <w:color w:val="000000"/>
                <w:sz w:val="21"/>
              </w:rPr>
              <w:t>塑料 燃烧性能的测定 水平法和垂直法</w:t>
            </w:r>
          </w:p>
        </w:tc>
      </w:tr>
      <w:tr w14:paraId="6B4D7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126EEA5D">
            <w:pPr>
              <w:spacing w:line="288" w:lineRule="auto"/>
              <w:jc w:val="center"/>
              <w:rPr>
                <w:rFonts w:hint="eastAsia" w:eastAsia="宋体"/>
                <w:lang w:eastAsia="zh-CN"/>
              </w:rPr>
            </w:pPr>
            <w:r>
              <w:rPr>
                <w:rFonts w:ascii="宋体" w:hAnsi="宋体" w:eastAsia="宋体" w:cs="宋体"/>
                <w:color w:val="000000"/>
                <w:sz w:val="21"/>
              </w:rPr>
              <w:t>1</w:t>
            </w:r>
            <w:r>
              <w:rPr>
                <w:rFonts w:hint="eastAsia" w:ascii="宋体" w:hAnsi="宋体" w:eastAsia="宋体" w:cs="宋体"/>
                <w:color w:val="000000"/>
                <w:sz w:val="21"/>
                <w:lang w:val="en-US" w:eastAsia="zh-CN"/>
              </w:rPr>
              <w:t>2</w:t>
            </w:r>
          </w:p>
        </w:tc>
        <w:tc>
          <w:tcPr>
            <w:tcW w:w="3222"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6138EE2D">
            <w:pPr>
              <w:spacing w:line="288" w:lineRule="auto"/>
              <w:jc w:val="center"/>
            </w:pPr>
            <w:r>
              <w:rPr>
                <w:rFonts w:ascii="宋体" w:hAnsi="宋体" w:eastAsia="宋体" w:cs="宋体"/>
                <w:color w:val="000000"/>
                <w:sz w:val="21"/>
              </w:rPr>
              <w:t>DL/T 741-2019</w:t>
            </w:r>
          </w:p>
        </w:tc>
        <w:tc>
          <w:tcPr>
            <w:tcW w:w="4518"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3ABD35B4">
            <w:pPr>
              <w:spacing w:line="288" w:lineRule="auto"/>
              <w:jc w:val="center"/>
            </w:pPr>
            <w:r>
              <w:rPr>
                <w:rFonts w:ascii="宋体" w:hAnsi="宋体" w:eastAsia="宋体" w:cs="宋体"/>
                <w:color w:val="000000"/>
                <w:sz w:val="21"/>
              </w:rPr>
              <w:t>架空输电线路运行规程</w:t>
            </w:r>
          </w:p>
        </w:tc>
      </w:tr>
      <w:tr w14:paraId="561B27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6BDDFFB8">
            <w:pPr>
              <w:spacing w:line="288" w:lineRule="auto"/>
              <w:jc w:val="center"/>
              <w:rPr>
                <w:rFonts w:hint="eastAsia" w:eastAsia="宋体"/>
                <w:lang w:eastAsia="zh-CN"/>
              </w:rPr>
            </w:pPr>
            <w:r>
              <w:rPr>
                <w:rFonts w:ascii="宋体" w:hAnsi="宋体" w:eastAsia="宋体" w:cs="宋体"/>
                <w:color w:val="000000"/>
                <w:sz w:val="21"/>
              </w:rPr>
              <w:t>1</w:t>
            </w:r>
            <w:r>
              <w:rPr>
                <w:rFonts w:hint="eastAsia" w:ascii="宋体" w:hAnsi="宋体" w:eastAsia="宋体" w:cs="宋体"/>
                <w:color w:val="000000"/>
                <w:sz w:val="21"/>
                <w:lang w:val="en-US" w:eastAsia="zh-CN"/>
              </w:rPr>
              <w:t>3</w:t>
            </w:r>
          </w:p>
        </w:tc>
        <w:tc>
          <w:tcPr>
            <w:tcW w:w="3222"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2DC6206F">
            <w:pPr>
              <w:spacing w:line="288" w:lineRule="auto"/>
              <w:jc w:val="center"/>
            </w:pPr>
            <w:r>
              <w:rPr>
                <w:rFonts w:ascii="宋体" w:hAnsi="宋体" w:eastAsia="宋体" w:cs="宋体"/>
                <w:color w:val="000000"/>
                <w:sz w:val="21"/>
              </w:rPr>
              <w:t>DL/T 5220-2021</w:t>
            </w:r>
          </w:p>
        </w:tc>
        <w:tc>
          <w:tcPr>
            <w:tcW w:w="4518"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6EB0F8C2">
            <w:pPr>
              <w:spacing w:line="288" w:lineRule="auto"/>
              <w:jc w:val="center"/>
            </w:pPr>
            <w:r>
              <w:rPr>
                <w:rFonts w:ascii="宋体" w:hAnsi="宋体" w:eastAsia="宋体" w:cs="宋体"/>
                <w:color w:val="000000"/>
                <w:sz w:val="21"/>
              </w:rPr>
              <w:t>10kV及以下架空配电线路设计技术规程</w:t>
            </w:r>
          </w:p>
        </w:tc>
      </w:tr>
      <w:tr w14:paraId="06C8D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4B913238">
            <w:pPr>
              <w:spacing w:line="288" w:lineRule="auto"/>
              <w:jc w:val="center"/>
              <w:rPr>
                <w:rFonts w:hint="eastAsia" w:eastAsia="宋体"/>
                <w:lang w:eastAsia="zh-CN"/>
              </w:rPr>
            </w:pPr>
            <w:r>
              <w:rPr>
                <w:rFonts w:ascii="宋体" w:hAnsi="宋体" w:eastAsia="宋体" w:cs="宋体"/>
                <w:color w:val="000000"/>
                <w:sz w:val="21"/>
              </w:rPr>
              <w:t>1</w:t>
            </w:r>
            <w:r>
              <w:rPr>
                <w:rFonts w:hint="eastAsia" w:ascii="宋体" w:hAnsi="宋体" w:eastAsia="宋体" w:cs="宋体"/>
                <w:color w:val="000000"/>
                <w:sz w:val="21"/>
                <w:lang w:val="en-US" w:eastAsia="zh-CN"/>
              </w:rPr>
              <w:t>4</w:t>
            </w:r>
          </w:p>
        </w:tc>
        <w:tc>
          <w:tcPr>
            <w:tcW w:w="3222"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7B6FCB11">
            <w:pPr>
              <w:spacing w:line="288" w:lineRule="auto"/>
              <w:jc w:val="center"/>
            </w:pPr>
            <w:r>
              <w:rPr>
                <w:rFonts w:ascii="宋体" w:hAnsi="宋体" w:eastAsia="宋体" w:cs="宋体"/>
                <w:color w:val="000000"/>
                <w:sz w:val="21"/>
              </w:rPr>
              <w:t>JB/T 10485-2004</w:t>
            </w:r>
          </w:p>
        </w:tc>
        <w:tc>
          <w:tcPr>
            <w:tcW w:w="4518"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431E82EC">
            <w:pPr>
              <w:spacing w:line="288" w:lineRule="auto"/>
              <w:jc w:val="center"/>
            </w:pPr>
            <w:r>
              <w:rPr>
                <w:rFonts w:ascii="宋体" w:hAnsi="宋体" w:eastAsia="宋体" w:cs="宋体"/>
                <w:color w:val="000000"/>
                <w:sz w:val="21"/>
              </w:rPr>
              <w:t>道路警示桩</w:t>
            </w:r>
          </w:p>
        </w:tc>
      </w:tr>
    </w:tbl>
    <w:p w14:paraId="6410A202">
      <w:pPr>
        <w:pStyle w:val="6"/>
        <w:keepNext w:val="0"/>
        <w:keepLines w:val="0"/>
        <w:pageBreakBefore w:val="0"/>
        <w:pBdr>
          <w:bottom w:val="single" w:color="000000" w:sz="6" w:space="1"/>
        </w:pBdr>
        <w:spacing w:before="240" w:after="120" w:line="288" w:lineRule="auto"/>
        <w:outlineLvl w:val="1"/>
      </w:pPr>
      <w:r>
        <w:rPr>
          <w:rFonts w:ascii="黑体" w:hAnsi="黑体" w:eastAsia="黑体" w:cs="黑体"/>
          <w:b/>
          <w:color w:val="000000"/>
          <w:sz w:val="32"/>
        </w:rPr>
        <w:t>4 使用条件</w:t>
      </w:r>
    </w:p>
    <w:p w14:paraId="45873D29">
      <w:pPr>
        <w:spacing w:before="60" w:after="60" w:line="288" w:lineRule="auto"/>
        <w:ind w:firstLine="480"/>
      </w:pPr>
      <w:r>
        <w:rPr>
          <w:rFonts w:ascii="宋体" w:hAnsi="宋体" w:eastAsia="宋体" w:cs="宋体"/>
          <w:color w:val="000000"/>
          <w:sz w:val="24"/>
        </w:rPr>
        <w:t>4.1 环境温度：</w:t>
      </w:r>
      <w:r>
        <w:rPr>
          <w:rFonts w:hint="eastAsia" w:ascii="宋体" w:hAnsi="宋体" w:eastAsia="宋体" w:cs="宋体"/>
          <w:color w:val="000000"/>
          <w:sz w:val="24"/>
          <w:lang w:val="en-US" w:eastAsia="zh-CN"/>
        </w:rPr>
        <w:t>5</w:t>
      </w:r>
      <w:r>
        <w:rPr>
          <w:rFonts w:ascii="宋体" w:hAnsi="宋体" w:eastAsia="宋体" w:cs="宋体"/>
          <w:color w:val="000000"/>
          <w:sz w:val="24"/>
        </w:rPr>
        <w:t>℃～+55℃。</w:t>
      </w:r>
    </w:p>
    <w:p w14:paraId="56D3E8AD">
      <w:pPr>
        <w:spacing w:before="60" w:after="60" w:line="288" w:lineRule="auto"/>
        <w:ind w:firstLine="480"/>
      </w:pPr>
      <w:r>
        <w:rPr>
          <w:rFonts w:ascii="宋体" w:hAnsi="宋体" w:eastAsia="宋体" w:cs="宋体"/>
          <w:color w:val="000000"/>
          <w:sz w:val="24"/>
        </w:rPr>
        <w:t>4.2 相对湿度：5%～100%。</w:t>
      </w:r>
    </w:p>
    <w:p w14:paraId="61756A19">
      <w:pPr>
        <w:spacing w:before="60" w:after="60" w:line="288" w:lineRule="auto"/>
        <w:ind w:firstLine="480"/>
      </w:pPr>
      <w:r>
        <w:rPr>
          <w:rFonts w:ascii="宋体" w:hAnsi="宋体" w:eastAsia="宋体" w:cs="宋体"/>
          <w:color w:val="000000"/>
          <w:sz w:val="24"/>
        </w:rPr>
        <w:t>4.3 海拔高度：不超过2000m（超过2000m需特殊说明）。</w:t>
      </w:r>
    </w:p>
    <w:p w14:paraId="4A160FEE">
      <w:pPr>
        <w:spacing w:before="60" w:after="60" w:line="288" w:lineRule="auto"/>
        <w:ind w:firstLine="480"/>
      </w:pPr>
      <w:r>
        <w:rPr>
          <w:rFonts w:ascii="宋体" w:hAnsi="宋体" w:eastAsia="宋体" w:cs="宋体"/>
          <w:color w:val="000000"/>
          <w:sz w:val="24"/>
        </w:rPr>
        <w:t>4.4 使用环境：户外架空电力线路电杆、配电线路电杆及通信杆等，可长期经受日晒、雨淋、风沙、盐雾及温差变化等自然条件。</w:t>
      </w:r>
    </w:p>
    <w:p w14:paraId="5669FB53">
      <w:pPr>
        <w:spacing w:before="60" w:after="60" w:line="288" w:lineRule="auto"/>
        <w:ind w:firstLine="480"/>
      </w:pPr>
      <w:r>
        <w:rPr>
          <w:rFonts w:ascii="宋体" w:hAnsi="宋体" w:eastAsia="宋体" w:cs="宋体"/>
          <w:color w:val="000000"/>
          <w:sz w:val="24"/>
        </w:rPr>
        <w:t>4.</w:t>
      </w:r>
      <w:r>
        <w:rPr>
          <w:rFonts w:hint="eastAsia" w:ascii="宋体" w:hAnsi="宋体" w:eastAsia="宋体" w:cs="宋体"/>
          <w:color w:val="000000"/>
          <w:sz w:val="24"/>
          <w:lang w:val="en-US" w:eastAsia="zh-CN"/>
        </w:rPr>
        <w:t>5</w:t>
      </w:r>
      <w:r>
        <w:rPr>
          <w:rFonts w:ascii="宋体" w:hAnsi="宋体" w:eastAsia="宋体" w:cs="宋体"/>
          <w:color w:val="000000"/>
          <w:sz w:val="24"/>
        </w:rPr>
        <w:t xml:space="preserve"> 适用区域：适用于城市道路、乡村道路、农田、山地等各类地形环境中的电杆防撞保护。</w:t>
      </w:r>
    </w:p>
    <w:p w14:paraId="0DD17BD3">
      <w:pPr>
        <w:pStyle w:val="6"/>
        <w:keepNext w:val="0"/>
        <w:keepLines w:val="0"/>
        <w:pageBreakBefore w:val="0"/>
        <w:pBdr>
          <w:bottom w:val="single" w:color="000000" w:sz="6" w:space="1"/>
        </w:pBdr>
        <w:spacing w:before="240" w:after="120" w:line="288" w:lineRule="auto"/>
        <w:outlineLvl w:val="1"/>
      </w:pPr>
      <w:r>
        <w:rPr>
          <w:rFonts w:ascii="黑体" w:hAnsi="黑体" w:eastAsia="黑体" w:cs="黑体"/>
          <w:b/>
          <w:color w:val="000000"/>
          <w:sz w:val="32"/>
        </w:rPr>
        <w:t>5 技术要求</w:t>
      </w:r>
      <w:r>
        <w:rPr>
          <w:rFonts w:ascii="Segoe UI Emoji" w:hAnsi="Segoe UI Emoji" w:eastAsia="Segoe UI Emoji" w:cs="Segoe UI Emoji"/>
          <w:b/>
          <w:sz w:val="32"/>
        </w:rPr>
        <w:t>★</w:t>
      </w:r>
    </w:p>
    <w:p w14:paraId="3BE8F573">
      <w:pPr>
        <w:pStyle w:val="7"/>
        <w:keepNext w:val="0"/>
        <w:keepLines w:val="0"/>
        <w:pageBreakBefore w:val="0"/>
        <w:spacing w:before="180" w:after="100" w:line="288" w:lineRule="auto"/>
        <w:outlineLvl w:val="2"/>
      </w:pPr>
      <w:r>
        <w:rPr>
          <w:rFonts w:ascii="黑体" w:hAnsi="黑体" w:eastAsia="黑体" w:cs="黑体"/>
          <w:b/>
          <w:color w:val="000000"/>
          <w:sz w:val="28"/>
        </w:rPr>
        <w:t>5.1 产品材质要求</w:t>
      </w:r>
    </w:p>
    <w:p w14:paraId="3C749615">
      <w:pPr>
        <w:pStyle w:val="8"/>
        <w:keepNext w:val="0"/>
        <w:keepLines w:val="0"/>
        <w:pageBreakBefore w:val="0"/>
        <w:spacing w:before="120" w:after="80" w:line="288" w:lineRule="auto"/>
        <w:outlineLvl w:val="3"/>
      </w:pPr>
      <w:r>
        <w:rPr>
          <w:rFonts w:ascii="黑体" w:hAnsi="黑体" w:eastAsia="黑体" w:cs="黑体"/>
          <w:b/>
          <w:color w:val="000000"/>
          <w:sz w:val="24"/>
        </w:rPr>
        <w:t>5.1.1 聚乙烯（PE）材质防撞桶</w:t>
      </w:r>
    </w:p>
    <w:p w14:paraId="51BDA926">
      <w:pPr>
        <w:spacing w:before="60" w:after="60" w:line="288" w:lineRule="auto"/>
        <w:ind w:firstLine="480"/>
      </w:pPr>
      <w:r>
        <w:rPr>
          <w:rFonts w:ascii="宋体" w:hAnsi="宋体" w:eastAsia="宋体" w:cs="宋体"/>
          <w:color w:val="000000"/>
          <w:sz w:val="24"/>
        </w:rPr>
        <w:t>5.1.1.1 桶体应采用线性低密度聚乙烯（LLDPE）或高密度聚乙烯（HDPE）为基材，采用滚塑或吹塑工艺一次成型。</w:t>
      </w:r>
    </w:p>
    <w:p w14:paraId="75C6F977">
      <w:pPr>
        <w:spacing w:before="60" w:after="60" w:line="288" w:lineRule="auto"/>
        <w:ind w:firstLine="480"/>
      </w:pPr>
      <w:r>
        <w:rPr>
          <w:rFonts w:ascii="宋体" w:hAnsi="宋体" w:eastAsia="宋体" w:cs="宋体"/>
          <w:color w:val="000000"/>
          <w:sz w:val="24"/>
        </w:rPr>
        <w:t>5.1.1.2 原料中应添加紫外线稳定剂（UV stabilizer）和抗氧剂，确保产品在户外使用条件下寿命不低于5年。</w:t>
      </w:r>
    </w:p>
    <w:p w14:paraId="423DAD12">
      <w:pPr>
        <w:spacing w:before="60" w:after="60" w:line="288" w:lineRule="auto"/>
        <w:ind w:firstLine="480"/>
      </w:pPr>
      <w:r>
        <w:rPr>
          <w:rFonts w:ascii="宋体" w:hAnsi="宋体" w:eastAsia="宋体" w:cs="宋体"/>
          <w:color w:val="000000"/>
          <w:sz w:val="24"/>
        </w:rPr>
        <w:t xml:space="preserve">5.1.1.3 </w:t>
      </w:r>
      <w:r>
        <w:rPr>
          <w:rFonts w:ascii="Segoe UI Emoji" w:hAnsi="Segoe UI Emoji" w:eastAsia="Segoe UI Emoji" w:cs="Segoe UI Emoji"/>
          <w:b/>
          <w:sz w:val="24"/>
        </w:rPr>
        <w:t>★</w:t>
      </w:r>
      <w:r>
        <w:rPr>
          <w:rFonts w:ascii="宋体" w:hAnsi="宋体" w:eastAsia="宋体" w:cs="宋体"/>
          <w:color w:val="000000"/>
          <w:sz w:val="24"/>
        </w:rPr>
        <w:t>桶体壁厚：不小于3.0mm（最薄处），推荐壁厚4.0mm～5.0mm。</w:t>
      </w:r>
    </w:p>
    <w:p w14:paraId="62759DE7">
      <w:pPr>
        <w:spacing w:before="60" w:after="60" w:line="288" w:lineRule="auto"/>
        <w:ind w:firstLine="480"/>
      </w:pPr>
      <w:r>
        <w:rPr>
          <w:rFonts w:ascii="宋体" w:hAnsi="宋体" w:eastAsia="宋体" w:cs="宋体"/>
          <w:color w:val="000000"/>
          <w:sz w:val="24"/>
        </w:rPr>
        <w:t>5.1.1.4 拉伸强度（GB/T 1040）：不小于15MPa。</w:t>
      </w:r>
    </w:p>
    <w:p w14:paraId="657EC44C">
      <w:pPr>
        <w:spacing w:before="60" w:after="60" w:line="288" w:lineRule="auto"/>
        <w:ind w:firstLine="480"/>
      </w:pPr>
      <w:r>
        <w:rPr>
          <w:rFonts w:ascii="宋体" w:hAnsi="宋体" w:eastAsia="宋体" w:cs="宋体"/>
          <w:color w:val="000000"/>
          <w:sz w:val="24"/>
        </w:rPr>
        <w:t>5.1.1.5 冲击强度（GB/T 1043）：不小于15kJ/m²。</w:t>
      </w:r>
    </w:p>
    <w:p w14:paraId="1097F916">
      <w:pPr>
        <w:spacing w:before="60" w:after="60" w:line="288" w:lineRule="auto"/>
        <w:ind w:firstLine="480"/>
      </w:pPr>
      <w:r>
        <w:rPr>
          <w:rFonts w:ascii="宋体" w:hAnsi="宋体" w:eastAsia="宋体" w:cs="宋体"/>
          <w:color w:val="000000"/>
          <w:sz w:val="24"/>
        </w:rPr>
        <w:t>5.1.1.6 断裂伸长率：不小于200%。</w:t>
      </w:r>
    </w:p>
    <w:p w14:paraId="5A78947B">
      <w:pPr>
        <w:spacing w:before="60" w:after="60" w:line="288" w:lineRule="auto"/>
        <w:ind w:firstLine="480"/>
      </w:pPr>
      <w:r>
        <w:rPr>
          <w:rFonts w:ascii="宋体" w:hAnsi="宋体" w:eastAsia="宋体" w:cs="宋体"/>
          <w:color w:val="000000"/>
          <w:sz w:val="24"/>
        </w:rPr>
        <w:t>5.1.1.7 耐老化性能（GB/T 16422，氙灯老化1000h）：外观无明显龟裂、粉化、变色，色差值ΔE≤5。</w:t>
      </w:r>
    </w:p>
    <w:p w14:paraId="6947B958">
      <w:pPr>
        <w:pStyle w:val="8"/>
        <w:keepNext w:val="0"/>
        <w:keepLines w:val="0"/>
        <w:pageBreakBefore w:val="0"/>
        <w:spacing w:before="120" w:after="80" w:line="288" w:lineRule="auto"/>
        <w:outlineLvl w:val="3"/>
        <w:rPr>
          <w:strike w:val="0"/>
          <w:dstrike w:val="0"/>
          <w:color w:val="auto"/>
          <w:sz w:val="24"/>
        </w:rPr>
      </w:pPr>
      <w:r>
        <w:rPr>
          <w:rFonts w:ascii="黑体" w:hAnsi="黑体" w:eastAsia="黑体" w:cs="黑体"/>
          <w:b/>
          <w:strike w:val="0"/>
          <w:dstrike w:val="0"/>
          <w:color w:val="auto"/>
          <w:sz w:val="24"/>
        </w:rPr>
        <w:t>5.1.2 玻璃钢（FRP）材质防撞桶</w:t>
      </w:r>
    </w:p>
    <w:p w14:paraId="43843FE7">
      <w:pPr>
        <w:spacing w:before="60" w:after="60" w:line="288" w:lineRule="auto"/>
        <w:ind w:firstLine="480"/>
        <w:rPr>
          <w:strike w:val="0"/>
          <w:dstrike w:val="0"/>
          <w:color w:val="auto"/>
          <w:sz w:val="24"/>
        </w:rPr>
      </w:pPr>
      <w:r>
        <w:rPr>
          <w:rFonts w:ascii="宋体" w:hAnsi="宋体" w:eastAsia="宋体" w:cs="宋体"/>
          <w:strike w:val="0"/>
          <w:dstrike w:val="0"/>
          <w:color w:val="auto"/>
          <w:sz w:val="24"/>
        </w:rPr>
        <w:t>5.1.2.1 桶体应采用不饱和聚酯树脂为基体，以玻璃纤维及其织物为增强材料，采用手糊成型或模压成型工艺</w:t>
      </w:r>
      <w:bookmarkStart w:id="0" w:name="_GoBack"/>
      <w:bookmarkEnd w:id="0"/>
      <w:r>
        <w:rPr>
          <w:rFonts w:ascii="宋体" w:hAnsi="宋体" w:eastAsia="宋体" w:cs="宋体"/>
          <w:strike w:val="0"/>
          <w:dstrike w:val="0"/>
          <w:color w:val="auto"/>
          <w:sz w:val="24"/>
        </w:rPr>
        <w:t>制造。</w:t>
      </w:r>
    </w:p>
    <w:p w14:paraId="5DB5CA94">
      <w:pPr>
        <w:spacing w:before="60" w:after="60" w:line="288" w:lineRule="auto"/>
        <w:ind w:firstLine="480"/>
        <w:rPr>
          <w:strike w:val="0"/>
          <w:dstrike w:val="0"/>
          <w:color w:val="auto"/>
          <w:sz w:val="24"/>
        </w:rPr>
      </w:pPr>
      <w:r>
        <w:rPr>
          <w:rFonts w:ascii="宋体" w:hAnsi="宋体" w:eastAsia="宋体" w:cs="宋体"/>
          <w:strike w:val="0"/>
          <w:dstrike w:val="0"/>
          <w:color w:val="auto"/>
          <w:sz w:val="24"/>
        </w:rPr>
        <w:t>5.1.2.2 树脂含量（质量比）：45%～55%。</w:t>
      </w:r>
    </w:p>
    <w:p w14:paraId="19FB42BF">
      <w:pPr>
        <w:spacing w:before="60" w:after="60" w:line="288" w:lineRule="auto"/>
        <w:ind w:firstLine="480"/>
        <w:rPr>
          <w:strike w:val="0"/>
          <w:dstrike w:val="0"/>
          <w:color w:val="auto"/>
          <w:sz w:val="24"/>
        </w:rPr>
      </w:pPr>
      <w:r>
        <w:rPr>
          <w:rFonts w:ascii="宋体" w:hAnsi="宋体" w:eastAsia="宋体" w:cs="宋体"/>
          <w:strike w:val="0"/>
          <w:dstrike w:val="0"/>
          <w:color w:val="auto"/>
          <w:sz w:val="24"/>
        </w:rPr>
        <w:t xml:space="preserve">5.1.2.3 </w:t>
      </w:r>
      <w:r>
        <w:rPr>
          <w:rFonts w:ascii="Segoe UI Emoji" w:hAnsi="Segoe UI Emoji" w:eastAsia="Segoe UI Emoji" w:cs="Segoe UI Emoji"/>
          <w:b/>
          <w:strike w:val="0"/>
          <w:dstrike w:val="0"/>
          <w:color w:val="auto"/>
          <w:sz w:val="24"/>
        </w:rPr>
        <w:t>★</w:t>
      </w:r>
      <w:r>
        <w:rPr>
          <w:rFonts w:ascii="宋体" w:hAnsi="宋体" w:eastAsia="宋体" w:cs="宋体"/>
          <w:strike w:val="0"/>
          <w:dstrike w:val="0"/>
          <w:color w:val="auto"/>
          <w:sz w:val="24"/>
        </w:rPr>
        <w:t>桶体壁厚：不小于2.5mm（最薄处），推荐壁厚3.0mm～4.0mm。</w:t>
      </w:r>
    </w:p>
    <w:p w14:paraId="6CD85D11">
      <w:pPr>
        <w:spacing w:before="60" w:after="60" w:line="288" w:lineRule="auto"/>
        <w:ind w:firstLine="480"/>
        <w:rPr>
          <w:strike w:val="0"/>
          <w:dstrike w:val="0"/>
          <w:color w:val="auto"/>
          <w:sz w:val="24"/>
        </w:rPr>
      </w:pPr>
      <w:r>
        <w:rPr>
          <w:rFonts w:ascii="宋体" w:hAnsi="宋体" w:eastAsia="宋体" w:cs="宋体"/>
          <w:strike w:val="0"/>
          <w:dstrike w:val="0"/>
          <w:color w:val="auto"/>
          <w:sz w:val="24"/>
        </w:rPr>
        <w:t>5.1.2.4 拉伸强度（GB/T 1447）：不小于60MPa。</w:t>
      </w:r>
    </w:p>
    <w:p w14:paraId="714FA553">
      <w:pPr>
        <w:spacing w:before="60" w:after="60" w:line="288" w:lineRule="auto"/>
        <w:ind w:firstLine="480"/>
        <w:rPr>
          <w:strike w:val="0"/>
          <w:dstrike w:val="0"/>
          <w:color w:val="auto"/>
          <w:sz w:val="24"/>
        </w:rPr>
      </w:pPr>
      <w:r>
        <w:rPr>
          <w:rFonts w:ascii="宋体" w:hAnsi="宋体" w:eastAsia="宋体" w:cs="宋体"/>
          <w:strike w:val="0"/>
          <w:dstrike w:val="0"/>
          <w:color w:val="auto"/>
          <w:sz w:val="24"/>
        </w:rPr>
        <w:t>5.1.2.5 弯曲强度（GB/T 1449）：不小于80MPa。</w:t>
      </w:r>
    </w:p>
    <w:p w14:paraId="081D2C67">
      <w:pPr>
        <w:spacing w:before="60" w:after="60" w:line="288" w:lineRule="auto"/>
        <w:ind w:firstLine="480"/>
        <w:rPr>
          <w:strike w:val="0"/>
          <w:dstrike w:val="0"/>
          <w:color w:val="auto"/>
          <w:sz w:val="24"/>
        </w:rPr>
      </w:pPr>
      <w:r>
        <w:rPr>
          <w:rFonts w:ascii="宋体" w:hAnsi="宋体" w:eastAsia="宋体" w:cs="宋体"/>
          <w:strike w:val="0"/>
          <w:dstrike w:val="0"/>
          <w:color w:val="auto"/>
          <w:sz w:val="24"/>
        </w:rPr>
        <w:t>5.1.2.6 巴柯尔硬度：不小于35。</w:t>
      </w:r>
    </w:p>
    <w:p w14:paraId="10BB5BBB">
      <w:pPr>
        <w:spacing w:before="60" w:after="60" w:line="288" w:lineRule="auto"/>
        <w:ind w:firstLine="480"/>
        <w:rPr>
          <w:strike w:val="0"/>
          <w:dstrike w:val="0"/>
          <w:color w:val="auto"/>
          <w:sz w:val="24"/>
        </w:rPr>
      </w:pPr>
      <w:r>
        <w:rPr>
          <w:rFonts w:ascii="宋体" w:hAnsi="宋体" w:eastAsia="宋体" w:cs="宋体"/>
          <w:strike w:val="0"/>
          <w:dstrike w:val="0"/>
          <w:color w:val="auto"/>
          <w:sz w:val="24"/>
        </w:rPr>
        <w:t>5.1.2.7 耐老化性能：经1000h人工加速老化后，外观无明显龟裂、粉化、变色，强度保留率不低于70%。</w:t>
      </w:r>
    </w:p>
    <w:p w14:paraId="38B79CEE">
      <w:pPr>
        <w:spacing w:before="60" w:after="60" w:line="288" w:lineRule="auto"/>
        <w:ind w:firstLine="480"/>
        <w:rPr>
          <w:strike w:val="0"/>
          <w:dstrike w:val="0"/>
          <w:color w:val="auto"/>
          <w:sz w:val="24"/>
        </w:rPr>
      </w:pPr>
      <w:r>
        <w:rPr>
          <w:rFonts w:ascii="宋体" w:hAnsi="宋体" w:eastAsia="宋体" w:cs="宋体"/>
          <w:strike w:val="0"/>
          <w:dstrike w:val="0"/>
          <w:color w:val="auto"/>
          <w:sz w:val="24"/>
        </w:rPr>
        <w:t>5.1.2.8 产品表面应覆盖胶衣层，胶衣层厚度不小于0.3mm，颜色均匀，无气泡、针孔等缺陷。</w:t>
      </w:r>
    </w:p>
    <w:p w14:paraId="3C70F4EE">
      <w:pPr>
        <w:pStyle w:val="7"/>
        <w:keepNext w:val="0"/>
        <w:keepLines w:val="0"/>
        <w:pageBreakBefore w:val="0"/>
        <w:spacing w:before="180" w:after="100" w:line="288" w:lineRule="auto"/>
        <w:outlineLvl w:val="2"/>
      </w:pPr>
      <w:r>
        <w:rPr>
          <w:rFonts w:ascii="黑体" w:hAnsi="黑体" w:eastAsia="黑体" w:cs="黑体"/>
          <w:b/>
          <w:color w:val="000000"/>
          <w:sz w:val="28"/>
        </w:rPr>
        <w:t>5.2 外观与颜色要求</w:t>
      </w:r>
    </w:p>
    <w:p w14:paraId="451E4E1D">
      <w:pPr>
        <w:spacing w:before="60" w:after="60" w:line="288" w:lineRule="auto"/>
        <w:ind w:firstLine="480"/>
        <w:rPr>
          <w:strike w:val="0"/>
          <w:dstrike w:val="0"/>
          <w:color w:val="auto"/>
        </w:rPr>
      </w:pPr>
      <w:r>
        <w:rPr>
          <w:rFonts w:ascii="宋体" w:hAnsi="宋体" w:eastAsia="宋体" w:cs="宋体"/>
          <w:strike w:val="0"/>
          <w:dstrike w:val="0"/>
          <w:color w:val="auto"/>
          <w:sz w:val="24"/>
        </w:rPr>
        <w:t>5.2.1 产品外观应光洁平整、颜色均匀，无裂纹、气泡、毛刺、纤维裸露、纤维浸润不良、破损、变形等缺陷；切割面应平齐，无分层。</w:t>
      </w:r>
    </w:p>
    <w:p w14:paraId="7328EAEB">
      <w:pPr>
        <w:spacing w:before="60" w:after="60" w:line="288" w:lineRule="auto"/>
        <w:ind w:firstLine="480"/>
        <w:rPr>
          <w:strike w:val="0"/>
          <w:dstrike w:val="0"/>
          <w:color w:val="auto"/>
        </w:rPr>
      </w:pPr>
      <w:r>
        <w:rPr>
          <w:rFonts w:ascii="宋体" w:hAnsi="宋体" w:eastAsia="宋体" w:cs="宋体"/>
          <w:strike w:val="0"/>
          <w:dstrike w:val="0"/>
          <w:color w:val="auto"/>
          <w:sz w:val="24"/>
        </w:rPr>
        <w:t xml:space="preserve">5.2.2 </w:t>
      </w:r>
      <w:r>
        <w:rPr>
          <w:rFonts w:ascii="Segoe UI Emoji" w:hAnsi="Segoe UI Emoji" w:eastAsia="Segoe UI Emoji" w:cs="Segoe UI Emoji"/>
          <w:b/>
          <w:strike w:val="0"/>
          <w:dstrike w:val="0"/>
          <w:color w:val="auto"/>
          <w:sz w:val="24"/>
        </w:rPr>
        <w:t>★</w:t>
      </w:r>
      <w:r>
        <w:rPr>
          <w:rFonts w:ascii="宋体" w:hAnsi="宋体" w:eastAsia="宋体" w:cs="宋体"/>
          <w:strike w:val="0"/>
          <w:dstrike w:val="0"/>
          <w:color w:val="auto"/>
          <w:sz w:val="24"/>
        </w:rPr>
        <w:t>桶体颜色应为黄色（警示色），色标应符合GB 2893-2008中规定的安全色要求，色坐标值应在标准色差允许范围内。</w:t>
      </w:r>
    </w:p>
    <w:p w14:paraId="6C2C1A48">
      <w:pPr>
        <w:spacing w:before="60" w:after="60" w:line="288" w:lineRule="auto"/>
        <w:ind w:firstLine="480"/>
        <w:rPr>
          <w:color w:val="auto"/>
        </w:rPr>
      </w:pPr>
      <w:r>
        <w:rPr>
          <w:rFonts w:ascii="宋体" w:hAnsi="宋体" w:eastAsia="宋体" w:cs="宋体"/>
          <w:color w:val="auto"/>
          <w:sz w:val="24"/>
        </w:rPr>
        <w:t>5.2.</w:t>
      </w:r>
      <w:r>
        <w:rPr>
          <w:rFonts w:hint="eastAsia" w:ascii="宋体" w:hAnsi="宋体" w:eastAsia="宋体" w:cs="宋体"/>
          <w:color w:val="auto"/>
          <w:sz w:val="24"/>
          <w:lang w:val="en-US" w:eastAsia="zh-CN"/>
        </w:rPr>
        <w:t>3</w:t>
      </w:r>
      <w:r>
        <w:rPr>
          <w:rFonts w:ascii="宋体" w:hAnsi="宋体" w:eastAsia="宋体" w:cs="宋体"/>
          <w:color w:val="auto"/>
          <w:sz w:val="24"/>
        </w:rPr>
        <w:t xml:space="preserve"> 反光膜应粘贴牢固、平整，无气泡、皱褶、翘边等缺陷。反光膜颜色为红白相间或黄黑相间，逆反射系数应符合GB/T 18833-2012中规定的Ⅴ类或Ⅳ类反光膜要求。</w:t>
      </w:r>
    </w:p>
    <w:p w14:paraId="583E42E8">
      <w:pPr>
        <w:spacing w:before="60" w:after="60" w:line="288" w:lineRule="auto"/>
        <w:ind w:firstLine="480"/>
      </w:pPr>
      <w:r>
        <w:rPr>
          <w:rFonts w:ascii="宋体" w:hAnsi="宋体" w:eastAsia="宋体" w:cs="宋体"/>
          <w:color w:val="auto"/>
          <w:sz w:val="24"/>
        </w:rPr>
        <w:t>5.2.</w:t>
      </w:r>
      <w:r>
        <w:rPr>
          <w:rFonts w:hint="eastAsia" w:ascii="宋体" w:hAnsi="宋体" w:eastAsia="宋体" w:cs="宋体"/>
          <w:color w:val="auto"/>
          <w:sz w:val="24"/>
          <w:lang w:val="en-US" w:eastAsia="zh-CN"/>
        </w:rPr>
        <w:t>4</w:t>
      </w:r>
      <w:r>
        <w:rPr>
          <w:rFonts w:ascii="宋体" w:hAnsi="宋体" w:eastAsia="宋体" w:cs="宋体"/>
          <w:color w:val="auto"/>
          <w:sz w:val="24"/>
        </w:rPr>
        <w:t xml:space="preserve"> 反光膜有效粘贴面积不应小于桶体侧面面积的30%，且应均匀分布，确保夜间在车辆灯光照射下具有足够的警示效</w:t>
      </w:r>
      <w:r>
        <w:rPr>
          <w:rFonts w:ascii="宋体" w:hAnsi="宋体" w:eastAsia="宋体" w:cs="宋体"/>
          <w:color w:val="000000"/>
          <w:sz w:val="24"/>
        </w:rPr>
        <w:t>果。</w:t>
      </w:r>
    </w:p>
    <w:p w14:paraId="00A68C4E">
      <w:pPr>
        <w:pStyle w:val="7"/>
        <w:keepNext w:val="0"/>
        <w:keepLines w:val="0"/>
        <w:pageBreakBefore w:val="0"/>
        <w:spacing w:before="180" w:after="100" w:line="288" w:lineRule="auto"/>
        <w:outlineLvl w:val="2"/>
      </w:pPr>
      <w:r>
        <w:rPr>
          <w:rFonts w:ascii="黑体" w:hAnsi="黑体" w:eastAsia="黑体" w:cs="黑体"/>
          <w:b/>
          <w:color w:val="000000"/>
          <w:sz w:val="28"/>
        </w:rPr>
        <w:t>5.3 结构与尺寸要求</w:t>
      </w:r>
    </w:p>
    <w:p w14:paraId="34FB8EA6">
      <w:pPr>
        <w:spacing w:before="60" w:after="60" w:line="288" w:lineRule="auto"/>
        <w:ind w:firstLine="480"/>
        <w:rPr>
          <w:color w:val="auto"/>
          <w:highlight w:val="none"/>
        </w:rPr>
      </w:pPr>
      <w:r>
        <w:rPr>
          <w:rFonts w:ascii="宋体" w:hAnsi="宋体" w:eastAsia="宋体" w:cs="宋体"/>
          <w:color w:val="000000"/>
          <w:sz w:val="24"/>
        </w:rPr>
        <w:t xml:space="preserve">5.3.1 </w:t>
      </w:r>
      <w:r>
        <w:rPr>
          <w:rFonts w:ascii="Segoe UI Emoji" w:hAnsi="Segoe UI Emoji" w:eastAsia="Segoe UI Emoji" w:cs="Segoe UI Emoji"/>
          <w:b/>
          <w:color w:val="auto"/>
          <w:sz w:val="24"/>
          <w:highlight w:val="none"/>
        </w:rPr>
        <w:t>★</w:t>
      </w:r>
      <w:r>
        <w:rPr>
          <w:rFonts w:ascii="宋体" w:hAnsi="宋体" w:eastAsia="宋体" w:cs="宋体"/>
          <w:color w:val="auto"/>
          <w:sz w:val="24"/>
          <w:highlight w:val="none"/>
        </w:rPr>
        <w:t>电杆警示防撞桶的基本结构应为中空圆柱体或锥台体。</w:t>
      </w:r>
    </w:p>
    <w:p w14:paraId="4F0684EC">
      <w:pPr>
        <w:spacing w:before="60" w:after="60" w:line="288" w:lineRule="auto"/>
        <w:ind w:firstLine="480"/>
        <w:rPr>
          <w:color w:val="auto"/>
          <w:highlight w:val="none"/>
        </w:rPr>
      </w:pPr>
      <w:r>
        <w:rPr>
          <w:rFonts w:ascii="宋体" w:hAnsi="宋体" w:eastAsia="宋体" w:cs="宋体"/>
          <w:color w:val="auto"/>
          <w:sz w:val="24"/>
          <w:highlight w:val="none"/>
        </w:rPr>
        <w:t>5.3.2 推荐外形尺寸（直径×高度）：</w:t>
      </w:r>
    </w:p>
    <w:p w14:paraId="56086876">
      <w:pPr>
        <w:pStyle w:val="18"/>
        <w:numPr>
          <w:ilvl w:val="0"/>
          <w:numId w:val="8"/>
        </w:numPr>
        <w:spacing w:before="30" w:after="30" w:line="288" w:lineRule="auto"/>
        <w:ind w:left="980" w:hanging="360"/>
        <w:rPr>
          <w:color w:val="auto"/>
          <w:highlight w:val="none"/>
        </w:rPr>
      </w:pPr>
      <w:r>
        <w:rPr>
          <w:rFonts w:ascii="宋体" w:hAnsi="宋体" w:eastAsia="宋体" w:cs="宋体"/>
          <w:color w:val="auto"/>
          <w:sz w:val="24"/>
          <w:highlight w:val="none"/>
        </w:rPr>
        <w:t>小型：φ</w:t>
      </w:r>
      <w:r>
        <w:rPr>
          <w:rFonts w:hint="eastAsia" w:ascii="宋体" w:hAnsi="宋体" w:eastAsia="宋体" w:cs="宋体"/>
          <w:color w:val="auto"/>
          <w:sz w:val="24"/>
          <w:highlight w:val="none"/>
          <w:lang w:val="en-US" w:eastAsia="zh-CN"/>
        </w:rPr>
        <w:t>50</w:t>
      </w:r>
      <w:r>
        <w:rPr>
          <w:rFonts w:ascii="宋体" w:hAnsi="宋体" w:eastAsia="宋体" w:cs="宋体"/>
          <w:color w:val="auto"/>
          <w:sz w:val="24"/>
          <w:highlight w:val="none"/>
        </w:rPr>
        <w:t>0mm×H</w:t>
      </w:r>
      <w:r>
        <w:rPr>
          <w:rFonts w:hint="eastAsia" w:ascii="宋体" w:hAnsi="宋体" w:eastAsia="宋体" w:cs="宋体"/>
          <w:color w:val="auto"/>
          <w:sz w:val="24"/>
          <w:highlight w:val="none"/>
          <w:lang w:val="en-US" w:eastAsia="zh-CN"/>
        </w:rPr>
        <w:t>10</w:t>
      </w:r>
      <w:r>
        <w:rPr>
          <w:rFonts w:ascii="宋体" w:hAnsi="宋体" w:eastAsia="宋体" w:cs="宋体"/>
          <w:color w:val="auto"/>
          <w:sz w:val="24"/>
          <w:highlight w:val="none"/>
        </w:rPr>
        <w:t>00mm（适用于城区窄路电杆）</w:t>
      </w:r>
    </w:p>
    <w:p w14:paraId="7DBA7F05">
      <w:pPr>
        <w:pStyle w:val="18"/>
        <w:numPr>
          <w:ilvl w:val="0"/>
          <w:numId w:val="8"/>
        </w:numPr>
        <w:spacing w:before="30" w:after="30" w:line="288" w:lineRule="auto"/>
        <w:ind w:left="980" w:hanging="360"/>
        <w:rPr>
          <w:color w:val="auto"/>
          <w:highlight w:val="none"/>
        </w:rPr>
      </w:pPr>
      <w:r>
        <w:rPr>
          <w:rFonts w:ascii="宋体" w:hAnsi="宋体" w:eastAsia="宋体" w:cs="宋体"/>
          <w:color w:val="auto"/>
          <w:sz w:val="24"/>
          <w:highlight w:val="none"/>
        </w:rPr>
        <w:t>中型：φ</w:t>
      </w:r>
      <w:r>
        <w:rPr>
          <w:rFonts w:hint="eastAsia" w:ascii="宋体" w:hAnsi="宋体" w:eastAsia="宋体" w:cs="宋体"/>
          <w:color w:val="auto"/>
          <w:sz w:val="24"/>
          <w:highlight w:val="none"/>
          <w:lang w:val="en-US" w:eastAsia="zh-CN"/>
        </w:rPr>
        <w:t>65</w:t>
      </w:r>
      <w:r>
        <w:rPr>
          <w:rFonts w:ascii="宋体" w:hAnsi="宋体" w:eastAsia="宋体" w:cs="宋体"/>
          <w:color w:val="auto"/>
          <w:sz w:val="24"/>
          <w:highlight w:val="none"/>
        </w:rPr>
        <w:t>0mm×H1</w:t>
      </w:r>
      <w:r>
        <w:rPr>
          <w:rFonts w:hint="eastAsia" w:ascii="宋体" w:hAnsi="宋体" w:eastAsia="宋体" w:cs="宋体"/>
          <w:color w:val="auto"/>
          <w:sz w:val="24"/>
          <w:highlight w:val="none"/>
          <w:lang w:val="en-US" w:eastAsia="zh-CN"/>
        </w:rPr>
        <w:t>2</w:t>
      </w:r>
      <w:r>
        <w:rPr>
          <w:rFonts w:ascii="宋体" w:hAnsi="宋体" w:eastAsia="宋体" w:cs="宋体"/>
          <w:color w:val="auto"/>
          <w:sz w:val="24"/>
          <w:highlight w:val="none"/>
        </w:rPr>
        <w:t>00mm（适用于一般道路电杆）</w:t>
      </w:r>
    </w:p>
    <w:p w14:paraId="07A7B9E0">
      <w:pPr>
        <w:pStyle w:val="18"/>
        <w:numPr>
          <w:ilvl w:val="0"/>
          <w:numId w:val="8"/>
        </w:numPr>
        <w:spacing w:before="30" w:after="30" w:line="288" w:lineRule="auto"/>
        <w:ind w:left="980" w:hanging="360"/>
        <w:rPr>
          <w:color w:val="auto"/>
          <w:highlight w:val="none"/>
        </w:rPr>
      </w:pPr>
      <w:r>
        <w:rPr>
          <w:rFonts w:ascii="宋体" w:hAnsi="宋体" w:eastAsia="宋体" w:cs="宋体"/>
          <w:color w:val="auto"/>
          <w:sz w:val="24"/>
          <w:highlight w:val="none"/>
        </w:rPr>
        <w:t>大型：φ</w:t>
      </w:r>
      <w:r>
        <w:rPr>
          <w:rFonts w:hint="eastAsia" w:ascii="宋体" w:hAnsi="宋体" w:eastAsia="宋体" w:cs="宋体"/>
          <w:color w:val="auto"/>
          <w:sz w:val="24"/>
          <w:highlight w:val="none"/>
          <w:lang w:val="en-US" w:eastAsia="zh-CN"/>
        </w:rPr>
        <w:t>88</w:t>
      </w:r>
      <w:r>
        <w:rPr>
          <w:rFonts w:ascii="宋体" w:hAnsi="宋体" w:eastAsia="宋体" w:cs="宋体"/>
          <w:color w:val="auto"/>
          <w:sz w:val="24"/>
          <w:highlight w:val="none"/>
        </w:rPr>
        <w:t>0mm×H1200mm（适用于高速公路两侧及重要输电线路电杆）</w:t>
      </w:r>
    </w:p>
    <w:p w14:paraId="0DA40711">
      <w:pPr>
        <w:spacing w:before="60" w:after="60" w:line="288" w:lineRule="auto"/>
        <w:ind w:firstLine="480"/>
        <w:rPr>
          <w:color w:val="auto"/>
          <w:highlight w:val="none"/>
        </w:rPr>
      </w:pPr>
      <w:r>
        <w:rPr>
          <w:rFonts w:ascii="宋体" w:hAnsi="宋体" w:eastAsia="宋体" w:cs="宋体"/>
          <w:color w:val="auto"/>
          <w:sz w:val="24"/>
          <w:highlight w:val="none"/>
        </w:rPr>
        <w:t>5.3.3 投标方可根据实际应用场景提供其他规格尺寸，但须在投标文件中明确标注，并提供相应的性能测试报告。</w:t>
      </w:r>
    </w:p>
    <w:p w14:paraId="3FEDC83E">
      <w:pPr>
        <w:spacing w:before="60" w:after="60" w:line="288" w:lineRule="auto"/>
        <w:ind w:firstLine="480"/>
        <w:rPr>
          <w:color w:val="auto"/>
          <w:highlight w:val="none"/>
        </w:rPr>
      </w:pPr>
      <w:r>
        <w:rPr>
          <w:rFonts w:ascii="宋体" w:hAnsi="宋体" w:eastAsia="宋体" w:cs="宋体"/>
          <w:color w:val="auto"/>
          <w:sz w:val="24"/>
          <w:highlight w:val="none"/>
        </w:rPr>
        <w:t>5.3.6 桶体侧面应设置警示标识区，标识内容至少包括"高压危险 禁止攀登"或"电力设施 请勿靠近"等警示语，字体应清晰醒目。</w:t>
      </w:r>
    </w:p>
    <w:p w14:paraId="7F0A8B6A">
      <w:pPr>
        <w:spacing w:before="60" w:after="60" w:line="288" w:lineRule="auto"/>
        <w:ind w:firstLine="480"/>
        <w:rPr>
          <w:color w:val="auto"/>
          <w:highlight w:val="none"/>
        </w:rPr>
      </w:pPr>
      <w:r>
        <w:rPr>
          <w:rFonts w:ascii="宋体" w:hAnsi="宋体" w:eastAsia="宋体" w:cs="宋体"/>
          <w:color w:val="auto"/>
          <w:sz w:val="24"/>
          <w:highlight w:val="none"/>
        </w:rPr>
        <w:t>5.3.7 桶体可设置</w:t>
      </w:r>
      <w:r>
        <w:rPr>
          <w:rFonts w:hint="eastAsia" w:ascii="宋体" w:hAnsi="宋体" w:eastAsia="宋体" w:cs="宋体"/>
          <w:color w:val="auto"/>
          <w:sz w:val="24"/>
          <w:highlight w:val="none"/>
          <w:lang w:val="en-US" w:eastAsia="zh-CN"/>
        </w:rPr>
        <w:t>嵌入式</w:t>
      </w:r>
      <w:r>
        <w:rPr>
          <w:rFonts w:ascii="宋体" w:hAnsi="宋体" w:eastAsia="宋体" w:cs="宋体"/>
          <w:color w:val="auto"/>
          <w:sz w:val="24"/>
          <w:highlight w:val="none"/>
        </w:rPr>
        <w:t>提手或吊环，便于搬运和安装，提手应能承受不小于50kg的静拉力。</w:t>
      </w:r>
    </w:p>
    <w:p w14:paraId="74AF2E00">
      <w:pPr>
        <w:pStyle w:val="7"/>
        <w:keepNext w:val="0"/>
        <w:keepLines w:val="0"/>
        <w:pageBreakBefore w:val="0"/>
        <w:spacing w:before="180" w:after="100" w:line="288" w:lineRule="auto"/>
        <w:outlineLvl w:val="2"/>
      </w:pPr>
      <w:r>
        <w:rPr>
          <w:rFonts w:ascii="黑体" w:hAnsi="黑体" w:eastAsia="黑体" w:cs="黑体"/>
          <w:b/>
          <w:color w:val="000000"/>
          <w:sz w:val="28"/>
        </w:rPr>
        <w:t>5.4 性能要求</w:t>
      </w:r>
    </w:p>
    <w:p w14:paraId="63F076D1">
      <w:pPr>
        <w:spacing w:before="60" w:after="60" w:line="288" w:lineRule="auto"/>
        <w:ind w:firstLine="480"/>
      </w:pPr>
      <w:r>
        <w:rPr>
          <w:rFonts w:ascii="宋体" w:hAnsi="宋体" w:eastAsia="宋体" w:cs="宋体"/>
          <w:color w:val="000000"/>
          <w:sz w:val="24"/>
        </w:rPr>
        <w:t xml:space="preserve">5.4.1 </w:t>
      </w:r>
      <w:r>
        <w:rPr>
          <w:rFonts w:ascii="Segoe UI Emoji" w:hAnsi="Segoe UI Emoji" w:eastAsia="Segoe UI Emoji" w:cs="Segoe UI Emoji"/>
          <w:b/>
          <w:sz w:val="24"/>
        </w:rPr>
        <w:t>★</w:t>
      </w:r>
      <w:r>
        <w:rPr>
          <w:rFonts w:ascii="宋体" w:hAnsi="宋体" w:eastAsia="宋体" w:cs="宋体"/>
          <w:color w:val="000000"/>
          <w:sz w:val="24"/>
        </w:rPr>
        <w:t>耐冲击性能：产品在20℃±5℃条件下，以10km/h速度进行碰撞试验后，桶体不应破裂、解体，应能保持整体结构完整。</w:t>
      </w:r>
    </w:p>
    <w:p w14:paraId="6DF44A53">
      <w:pPr>
        <w:spacing w:before="60" w:after="60" w:line="288" w:lineRule="auto"/>
        <w:ind w:firstLine="480"/>
      </w:pPr>
      <w:r>
        <w:rPr>
          <w:rFonts w:ascii="宋体" w:hAnsi="宋体" w:eastAsia="宋体" w:cs="宋体"/>
          <w:color w:val="000000"/>
          <w:sz w:val="24"/>
        </w:rPr>
        <w:t>5.4.2 耐候性能：产品经1000h人工加速老化试验后，外观不应出现明显龟裂、粉化、变色、起泡等劣化现象。</w:t>
      </w:r>
    </w:p>
    <w:p w14:paraId="22D4257D">
      <w:pPr>
        <w:spacing w:before="60" w:after="60" w:line="288" w:lineRule="auto"/>
        <w:ind w:firstLine="480"/>
      </w:pPr>
      <w:r>
        <w:rPr>
          <w:rFonts w:ascii="宋体" w:hAnsi="宋体" w:eastAsia="宋体" w:cs="宋体"/>
          <w:color w:val="000000"/>
          <w:sz w:val="24"/>
        </w:rPr>
        <w:t>5.4.3 耐化学腐蚀性能：产品应能耐酸、碱、盐等常见化学品的腐蚀，在5% NaCl溶液、5% H₂SO₄溶液、5% NaOH溶液中分别浸泡72h后，外观无明显变化，质量变化率不超过±3%。</w:t>
      </w:r>
    </w:p>
    <w:p w14:paraId="1E975A98">
      <w:pPr>
        <w:spacing w:before="60" w:after="60" w:line="288" w:lineRule="auto"/>
        <w:ind w:firstLine="480"/>
      </w:pPr>
      <w:r>
        <w:rPr>
          <w:rFonts w:ascii="宋体" w:hAnsi="宋体" w:eastAsia="宋体" w:cs="宋体"/>
          <w:color w:val="000000"/>
          <w:sz w:val="24"/>
        </w:rPr>
        <w:t>5.4.</w:t>
      </w:r>
      <w:r>
        <w:rPr>
          <w:rFonts w:hint="eastAsia" w:ascii="宋体" w:hAnsi="宋体" w:eastAsia="宋体" w:cs="宋体"/>
          <w:color w:val="000000"/>
          <w:sz w:val="24"/>
          <w:lang w:val="en-US" w:eastAsia="zh-CN"/>
        </w:rPr>
        <w:t>4</w:t>
      </w:r>
      <w:r>
        <w:rPr>
          <w:rFonts w:ascii="宋体" w:hAnsi="宋体" w:eastAsia="宋体" w:cs="宋体"/>
          <w:color w:val="000000"/>
          <w:sz w:val="24"/>
        </w:rPr>
        <w:t xml:space="preserve"> 耐温性能：产品在-25℃低温环境下放置24h后，应无开裂、脆化现象；在+55℃高温环境下放置24h后，应无变形、软化、流淌现象。</w:t>
      </w:r>
    </w:p>
    <w:p w14:paraId="01BE6288">
      <w:pPr>
        <w:pStyle w:val="7"/>
        <w:keepNext w:val="0"/>
        <w:keepLines w:val="0"/>
        <w:pageBreakBefore w:val="0"/>
        <w:spacing w:before="180" w:after="100" w:line="288" w:lineRule="auto"/>
        <w:outlineLvl w:val="2"/>
      </w:pPr>
      <w:r>
        <w:rPr>
          <w:rFonts w:ascii="黑体" w:hAnsi="黑体" w:eastAsia="黑体" w:cs="黑体"/>
          <w:b/>
          <w:color w:val="000000"/>
          <w:sz w:val="28"/>
        </w:rPr>
        <w:t>5.5 反光膜要求</w:t>
      </w:r>
    </w:p>
    <w:p w14:paraId="38631602">
      <w:pPr>
        <w:spacing w:before="60" w:after="60" w:line="288" w:lineRule="auto"/>
        <w:ind w:firstLine="480"/>
      </w:pPr>
      <w:r>
        <w:rPr>
          <w:rFonts w:ascii="宋体" w:hAnsi="宋体" w:eastAsia="宋体" w:cs="宋体"/>
          <w:color w:val="000000"/>
          <w:sz w:val="24"/>
        </w:rPr>
        <w:t xml:space="preserve">5.5.1 </w:t>
      </w:r>
      <w:r>
        <w:rPr>
          <w:rFonts w:ascii="Segoe UI Emoji" w:hAnsi="Segoe UI Emoji" w:eastAsia="Segoe UI Emoji" w:cs="Segoe UI Emoji"/>
          <w:b/>
          <w:sz w:val="24"/>
        </w:rPr>
        <w:t>★</w:t>
      </w:r>
      <w:r>
        <w:rPr>
          <w:rFonts w:ascii="宋体" w:hAnsi="宋体" w:eastAsia="宋体" w:cs="宋体"/>
          <w:color w:val="000000"/>
          <w:sz w:val="24"/>
        </w:rPr>
        <w:t>反光膜应符合GB/T 18833-2012中Ⅳ类或Ⅴ类反光膜的要求。</w:t>
      </w:r>
    </w:p>
    <w:p w14:paraId="3B5BFF07">
      <w:pPr>
        <w:spacing w:before="60" w:after="60" w:line="288" w:lineRule="auto"/>
        <w:ind w:firstLine="480"/>
      </w:pPr>
      <w:r>
        <w:rPr>
          <w:rFonts w:ascii="宋体" w:hAnsi="宋体" w:eastAsia="宋体" w:cs="宋体"/>
          <w:color w:val="000000"/>
          <w:sz w:val="24"/>
        </w:rPr>
        <w:t>5.5.2 反光膜的逆反射系数（单位：cd·lx⁻¹·m⁻²）在观测角0.2°、入射角-4°条件下，白色不应低于250，红色不应低于50，黄色不应低于170。</w:t>
      </w:r>
    </w:p>
    <w:p w14:paraId="3861EAB0">
      <w:pPr>
        <w:spacing w:before="60" w:after="60" w:line="288" w:lineRule="auto"/>
        <w:ind w:firstLine="480"/>
      </w:pPr>
      <w:r>
        <w:rPr>
          <w:rFonts w:ascii="宋体" w:hAnsi="宋体" w:eastAsia="宋体" w:cs="宋体"/>
          <w:color w:val="000000"/>
          <w:sz w:val="24"/>
        </w:rPr>
        <w:t>5.5.3 反光膜的耐候性能：经自然暴露2年或人工加速老化1000h后，逆反射系数保留率不应低于80%。</w:t>
      </w:r>
    </w:p>
    <w:p w14:paraId="5C380816">
      <w:pPr>
        <w:spacing w:before="60" w:after="60" w:line="288" w:lineRule="auto"/>
        <w:ind w:firstLine="480"/>
      </w:pPr>
      <w:r>
        <w:rPr>
          <w:rFonts w:ascii="宋体" w:hAnsi="宋体" w:eastAsia="宋体" w:cs="宋体"/>
          <w:color w:val="000000"/>
          <w:sz w:val="24"/>
        </w:rPr>
        <w:t>5.5.4 反光膜的粘贴寿命：在正常使用条件下，反光膜有效使用年限不应低于3年，3年内不应出现大面积脱落、褪色、起泡等失效现象。</w:t>
      </w:r>
    </w:p>
    <w:p w14:paraId="18B5361A">
      <w:pPr>
        <w:pStyle w:val="7"/>
        <w:keepNext w:val="0"/>
        <w:keepLines w:val="0"/>
        <w:pageBreakBefore w:val="0"/>
        <w:spacing w:before="180" w:after="100" w:line="288" w:lineRule="auto"/>
        <w:outlineLvl w:val="2"/>
      </w:pPr>
      <w:r>
        <w:rPr>
          <w:rFonts w:ascii="黑体" w:hAnsi="黑体" w:eastAsia="黑体" w:cs="黑体"/>
          <w:b/>
          <w:color w:val="000000"/>
          <w:sz w:val="28"/>
        </w:rPr>
        <w:t>5.6 连接与固定要求</w:t>
      </w:r>
    </w:p>
    <w:p w14:paraId="0607ABC1">
      <w:pPr>
        <w:spacing w:before="60" w:after="60" w:line="288" w:lineRule="auto"/>
        <w:ind w:firstLine="480"/>
      </w:pPr>
      <w:r>
        <w:rPr>
          <w:rFonts w:ascii="宋体" w:hAnsi="宋体" w:eastAsia="宋体" w:cs="宋体"/>
          <w:color w:val="000000"/>
          <w:sz w:val="24"/>
        </w:rPr>
        <w:t>5.6.1 电杆警示防撞桶可采用抱箍式或捆绑式固定方式与电杆连接，连接件应牢固可靠。</w:t>
      </w:r>
    </w:p>
    <w:p w14:paraId="5188FF4F">
      <w:pPr>
        <w:spacing w:before="60" w:after="60" w:line="288" w:lineRule="auto"/>
        <w:ind w:firstLine="480"/>
      </w:pPr>
      <w:r>
        <w:rPr>
          <w:rFonts w:ascii="宋体" w:hAnsi="宋体" w:eastAsia="宋体" w:cs="宋体"/>
          <w:color w:val="000000"/>
          <w:sz w:val="24"/>
        </w:rPr>
        <w:t>5.6.</w:t>
      </w:r>
      <w:r>
        <w:rPr>
          <w:rFonts w:hint="eastAsia" w:ascii="宋体" w:hAnsi="宋体" w:eastAsia="宋体" w:cs="宋体"/>
          <w:color w:val="000000"/>
          <w:sz w:val="24"/>
          <w:lang w:val="en-US" w:eastAsia="zh-CN"/>
        </w:rPr>
        <w:t>2</w:t>
      </w:r>
      <w:r>
        <w:rPr>
          <w:rFonts w:ascii="宋体" w:hAnsi="宋体" w:eastAsia="宋体" w:cs="宋体"/>
          <w:color w:val="000000"/>
          <w:sz w:val="24"/>
        </w:rPr>
        <w:t xml:space="preserve"> 连接件应具备防锈、防腐蚀能力，在户外正常使用条件下，使用寿命不低于5年。</w:t>
      </w:r>
    </w:p>
    <w:p w14:paraId="61E957CA">
      <w:pPr>
        <w:spacing w:before="60" w:after="60" w:line="288" w:lineRule="auto"/>
        <w:ind w:firstLine="480"/>
      </w:pPr>
      <w:r>
        <w:rPr>
          <w:rFonts w:ascii="宋体" w:hAnsi="宋体" w:eastAsia="宋体" w:cs="宋体"/>
          <w:color w:val="000000"/>
          <w:sz w:val="24"/>
        </w:rPr>
        <w:t>5.6.</w:t>
      </w:r>
      <w:r>
        <w:rPr>
          <w:rFonts w:hint="eastAsia" w:ascii="宋体" w:hAnsi="宋体" w:eastAsia="宋体" w:cs="宋体"/>
          <w:color w:val="000000"/>
          <w:sz w:val="24"/>
          <w:lang w:val="en-US" w:eastAsia="zh-CN"/>
        </w:rPr>
        <w:t>3</w:t>
      </w:r>
      <w:r>
        <w:rPr>
          <w:rFonts w:ascii="宋体" w:hAnsi="宋体" w:eastAsia="宋体" w:cs="宋体"/>
          <w:color w:val="000000"/>
          <w:sz w:val="24"/>
        </w:rPr>
        <w:t xml:space="preserve"> 产品安装后应与电杆紧密贴合，间隙不应大于10mm，且不应损伤电杆表面。</w:t>
      </w:r>
    </w:p>
    <w:p w14:paraId="3F40E0F8">
      <w:pPr>
        <w:pStyle w:val="6"/>
        <w:keepNext w:val="0"/>
        <w:keepLines w:val="0"/>
        <w:pageBreakBefore w:val="0"/>
        <w:pBdr>
          <w:bottom w:val="single" w:color="000000" w:sz="6" w:space="1"/>
        </w:pBdr>
        <w:spacing w:before="240" w:after="120" w:line="288" w:lineRule="auto"/>
        <w:outlineLvl w:val="1"/>
      </w:pPr>
      <w:r>
        <w:rPr>
          <w:rFonts w:ascii="黑体" w:hAnsi="黑体" w:eastAsia="黑体" w:cs="黑体"/>
          <w:b/>
          <w:color w:val="000000"/>
          <w:sz w:val="32"/>
        </w:rPr>
        <w:t>6 验收与检查</w:t>
      </w:r>
    </w:p>
    <w:p w14:paraId="491606BE">
      <w:pPr>
        <w:pStyle w:val="7"/>
        <w:keepNext w:val="0"/>
        <w:keepLines w:val="0"/>
        <w:pageBreakBefore w:val="0"/>
        <w:spacing w:before="180" w:after="100" w:line="288" w:lineRule="auto"/>
        <w:outlineLvl w:val="2"/>
      </w:pPr>
      <w:r>
        <w:rPr>
          <w:rFonts w:ascii="黑体" w:hAnsi="黑体" w:eastAsia="黑体" w:cs="黑体"/>
          <w:b/>
          <w:color w:val="000000"/>
          <w:sz w:val="28"/>
        </w:rPr>
        <w:t>6.1 检查项目</w:t>
      </w:r>
    </w:p>
    <w:p w14:paraId="246E5C57">
      <w:pPr>
        <w:spacing w:before="60" w:after="60" w:line="288" w:lineRule="auto"/>
        <w:ind w:firstLine="480"/>
      </w:pPr>
      <w:r>
        <w:rPr>
          <w:rFonts w:ascii="宋体" w:hAnsi="宋体" w:eastAsia="宋体" w:cs="宋体"/>
          <w:color w:val="000000"/>
          <w:sz w:val="24"/>
        </w:rPr>
        <w:t>试验类别分为出厂试验、到货抽检和验收检查，检查内容包括外观检查、尺寸检查、颜色检查、反光性能检查和标记检查。</w:t>
      </w:r>
    </w:p>
    <w:p w14:paraId="79BE0154">
      <w:pPr>
        <w:pStyle w:val="7"/>
        <w:keepNext w:val="0"/>
        <w:keepLines w:val="0"/>
        <w:pageBreakBefore w:val="0"/>
        <w:spacing w:before="180" w:after="100" w:line="288" w:lineRule="auto"/>
        <w:outlineLvl w:val="2"/>
      </w:pPr>
      <w:r>
        <w:rPr>
          <w:rFonts w:ascii="黑体" w:hAnsi="黑体" w:eastAsia="黑体" w:cs="黑体"/>
          <w:b/>
          <w:color w:val="000000"/>
          <w:sz w:val="28"/>
        </w:rPr>
        <w:t>6.2 出厂试验</w:t>
      </w:r>
    </w:p>
    <w:p w14:paraId="7130F396">
      <w:pPr>
        <w:spacing w:before="60" w:after="60" w:line="288" w:lineRule="auto"/>
        <w:ind w:firstLine="480"/>
      </w:pPr>
      <w:r>
        <w:rPr>
          <w:rFonts w:ascii="宋体" w:hAnsi="宋体" w:eastAsia="宋体" w:cs="宋体"/>
          <w:color w:val="000000"/>
          <w:sz w:val="24"/>
        </w:rPr>
        <w:t>6.2.1 中标方应对所生产的产品逐批进行出厂试验并出具出厂试验报告或产品合格证明，招标方可采用现场见证、到货抽检或验收检查等方式核验试验有效性。</w:t>
      </w:r>
    </w:p>
    <w:p w14:paraId="5DCCEF85">
      <w:pPr>
        <w:spacing w:before="60" w:after="60" w:line="288" w:lineRule="auto"/>
        <w:ind w:firstLine="480"/>
      </w:pPr>
      <w:r>
        <w:rPr>
          <w:rFonts w:ascii="宋体" w:hAnsi="宋体" w:eastAsia="宋体" w:cs="宋体"/>
          <w:color w:val="000000"/>
          <w:sz w:val="24"/>
        </w:rPr>
        <w:t>6.2.2 出厂试验项目应包括但不限于：</w:t>
      </w:r>
    </w:p>
    <w:p w14:paraId="57C922BE">
      <w:pPr>
        <w:pStyle w:val="18"/>
        <w:numPr>
          <w:ilvl w:val="0"/>
          <w:numId w:val="8"/>
        </w:numPr>
        <w:spacing w:before="30" w:after="30" w:line="288" w:lineRule="auto"/>
        <w:ind w:left="980" w:hanging="360"/>
      </w:pPr>
      <w:r>
        <w:rPr>
          <w:rFonts w:ascii="宋体" w:hAnsi="宋体" w:eastAsia="宋体" w:cs="宋体"/>
          <w:color w:val="000000"/>
          <w:sz w:val="24"/>
        </w:rPr>
        <w:t>外观质量检查（100%全检）；</w:t>
      </w:r>
    </w:p>
    <w:p w14:paraId="20AC1F84">
      <w:pPr>
        <w:pStyle w:val="18"/>
        <w:numPr>
          <w:ilvl w:val="0"/>
          <w:numId w:val="8"/>
        </w:numPr>
        <w:spacing w:before="30" w:after="30" w:line="288" w:lineRule="auto"/>
        <w:ind w:left="980" w:hanging="360"/>
      </w:pPr>
      <w:r>
        <w:rPr>
          <w:rFonts w:ascii="宋体" w:hAnsi="宋体" w:eastAsia="宋体" w:cs="宋体"/>
          <w:color w:val="000000"/>
          <w:sz w:val="24"/>
        </w:rPr>
        <w:t>外形尺寸及壁厚测量（每批不少于5%）；</w:t>
      </w:r>
    </w:p>
    <w:p w14:paraId="7D45A508">
      <w:pPr>
        <w:pStyle w:val="18"/>
        <w:numPr>
          <w:ilvl w:val="0"/>
          <w:numId w:val="8"/>
        </w:numPr>
        <w:spacing w:before="30" w:after="30" w:line="288" w:lineRule="auto"/>
        <w:ind w:left="980" w:hanging="360"/>
      </w:pPr>
      <w:r>
        <w:rPr>
          <w:rFonts w:ascii="宋体" w:hAnsi="宋体" w:eastAsia="宋体" w:cs="宋体"/>
          <w:color w:val="000000"/>
          <w:sz w:val="24"/>
        </w:rPr>
        <w:t>颜色及反光性能检查（每批不少于5%）；</w:t>
      </w:r>
    </w:p>
    <w:p w14:paraId="55E5E242">
      <w:pPr>
        <w:pStyle w:val="18"/>
        <w:numPr>
          <w:ilvl w:val="0"/>
          <w:numId w:val="8"/>
        </w:numPr>
        <w:spacing w:before="30" w:after="30" w:line="288" w:lineRule="auto"/>
        <w:ind w:left="980" w:hanging="360"/>
      </w:pPr>
      <w:r>
        <w:rPr>
          <w:rFonts w:ascii="宋体" w:hAnsi="宋体" w:eastAsia="宋体" w:cs="宋体"/>
          <w:color w:val="000000"/>
          <w:sz w:val="24"/>
        </w:rPr>
        <w:t>材料力学性能试验（每批不少于1组试样）。</w:t>
      </w:r>
    </w:p>
    <w:p w14:paraId="7B7C4FA9">
      <w:pPr>
        <w:pStyle w:val="7"/>
        <w:keepNext w:val="0"/>
        <w:keepLines w:val="0"/>
        <w:pageBreakBefore w:val="0"/>
        <w:spacing w:before="180" w:after="100" w:line="288" w:lineRule="auto"/>
        <w:outlineLvl w:val="2"/>
      </w:pPr>
      <w:r>
        <w:rPr>
          <w:rFonts w:ascii="黑体" w:hAnsi="黑体" w:eastAsia="黑体" w:cs="黑体"/>
          <w:b/>
          <w:color w:val="000000"/>
          <w:sz w:val="28"/>
        </w:rPr>
        <w:t>6.3 到货抽检</w:t>
      </w:r>
    </w:p>
    <w:p w14:paraId="3CED339E">
      <w:pPr>
        <w:spacing w:before="60" w:after="60" w:line="288" w:lineRule="auto"/>
        <w:ind w:firstLine="480"/>
      </w:pPr>
      <w:r>
        <w:rPr>
          <w:rFonts w:ascii="宋体" w:hAnsi="宋体" w:eastAsia="宋体" w:cs="宋体"/>
          <w:color w:val="000000"/>
          <w:sz w:val="24"/>
        </w:rPr>
        <w:t>6.3.1 到货抽检按批次进行，抽样基数不少于50个，抽样数量按GB/T 2828.1-2012中正常检验一次抽样方案执行，采用一般检验水平Ⅱ、AQL值2.5。</w:t>
      </w:r>
    </w:p>
    <w:p w14:paraId="2447324F">
      <w:pPr>
        <w:spacing w:before="60" w:after="60" w:line="288" w:lineRule="auto"/>
        <w:ind w:firstLine="480"/>
      </w:pPr>
      <w:r>
        <w:rPr>
          <w:rFonts w:ascii="宋体" w:hAnsi="宋体" w:eastAsia="宋体" w:cs="宋体"/>
          <w:color w:val="000000"/>
          <w:sz w:val="24"/>
        </w:rPr>
        <w:t>6.3.2 到货抽检不合格的，将增加抽样数量，扩大抽检范围。抽检仍不合格的，中标方应立即召回问题批次产品，招标方有权暂停或停止该供应商供货资格，并将抽检结果纳入供应商失信扣分管理。</w:t>
      </w:r>
    </w:p>
    <w:p w14:paraId="788B7CA5">
      <w:pPr>
        <w:spacing w:before="60" w:after="60" w:line="288" w:lineRule="auto"/>
        <w:ind w:firstLine="480"/>
      </w:pPr>
      <w:r>
        <w:rPr>
          <w:rFonts w:ascii="宋体" w:hAnsi="宋体" w:eastAsia="宋体" w:cs="宋体"/>
          <w:color w:val="000000"/>
          <w:sz w:val="24"/>
        </w:rPr>
        <w:t>6.3.3 到货抽检费用由招标方负责，增加抽样数量抽检产生的费用由中标方负责。</w:t>
      </w:r>
    </w:p>
    <w:p w14:paraId="152F62DC">
      <w:pPr>
        <w:pStyle w:val="7"/>
        <w:keepNext w:val="0"/>
        <w:keepLines w:val="0"/>
        <w:pageBreakBefore w:val="0"/>
        <w:spacing w:before="180" w:after="100" w:line="288" w:lineRule="auto"/>
        <w:outlineLvl w:val="2"/>
      </w:pPr>
      <w:r>
        <w:rPr>
          <w:rFonts w:ascii="黑体" w:hAnsi="黑体" w:eastAsia="黑体" w:cs="黑体"/>
          <w:b/>
          <w:color w:val="000000"/>
          <w:sz w:val="28"/>
        </w:rPr>
        <w:t>6.4 验收检查</w:t>
      </w:r>
    </w:p>
    <w:p w14:paraId="14C8D125">
      <w:pPr>
        <w:spacing w:before="60" w:after="60" w:line="288" w:lineRule="auto"/>
        <w:ind w:firstLine="480"/>
      </w:pPr>
      <w:r>
        <w:rPr>
          <w:rFonts w:ascii="宋体" w:hAnsi="宋体" w:eastAsia="宋体" w:cs="宋体"/>
          <w:color w:val="000000"/>
          <w:sz w:val="24"/>
        </w:rPr>
        <w:t>招标方组织对到货电杆警示防撞桶产品开展验收检查，如果发现任一产品有偏差、损坏、遗漏或因中标方的责任与合同不符，招标方有权向中标方提出索赔。</w:t>
      </w:r>
    </w:p>
    <w:p w14:paraId="50FA1390">
      <w:pPr>
        <w:pStyle w:val="7"/>
        <w:keepNext w:val="0"/>
        <w:keepLines w:val="0"/>
        <w:pageBreakBefore w:val="0"/>
        <w:spacing w:before="180" w:after="100" w:line="288" w:lineRule="auto"/>
        <w:outlineLvl w:val="2"/>
      </w:pPr>
      <w:r>
        <w:rPr>
          <w:rFonts w:ascii="黑体" w:hAnsi="黑体" w:eastAsia="黑体" w:cs="黑体"/>
          <w:b/>
          <w:color w:val="000000"/>
          <w:sz w:val="28"/>
        </w:rPr>
        <w:t>6.5 检查内容</w:t>
      </w:r>
    </w:p>
    <w:p w14:paraId="72D0E38C">
      <w:pPr>
        <w:pStyle w:val="8"/>
        <w:keepNext w:val="0"/>
        <w:keepLines w:val="0"/>
        <w:pageBreakBefore w:val="0"/>
        <w:spacing w:before="120" w:after="80" w:line="288" w:lineRule="auto"/>
        <w:outlineLvl w:val="3"/>
      </w:pPr>
      <w:r>
        <w:rPr>
          <w:rFonts w:ascii="黑体" w:hAnsi="黑体" w:eastAsia="黑体" w:cs="黑体"/>
          <w:b/>
          <w:color w:val="000000"/>
          <w:sz w:val="24"/>
        </w:rPr>
        <w:t>6.5.1 外观检查</w:t>
      </w:r>
    </w:p>
    <w:p w14:paraId="73934F5A">
      <w:pPr>
        <w:spacing w:before="60" w:after="60" w:line="288" w:lineRule="auto"/>
        <w:ind w:firstLine="480"/>
      </w:pPr>
      <w:r>
        <w:rPr>
          <w:rFonts w:ascii="宋体" w:hAnsi="宋体" w:eastAsia="宋体" w:cs="宋体"/>
          <w:color w:val="000000"/>
          <w:sz w:val="24"/>
        </w:rPr>
        <w:t>（1）材质应光洁平整、颜色均匀，无裂纹、气泡、毛刺、破损、变形等缺陷；切割面应平齐，无分层。</w:t>
      </w:r>
    </w:p>
    <w:p w14:paraId="721522E3">
      <w:pPr>
        <w:spacing w:before="60" w:after="60" w:line="288" w:lineRule="auto"/>
        <w:ind w:firstLine="480"/>
      </w:pPr>
      <w:r>
        <w:rPr>
          <w:rFonts w:ascii="宋体" w:hAnsi="宋体" w:eastAsia="宋体" w:cs="宋体"/>
          <w:color w:val="000000"/>
          <w:sz w:val="24"/>
        </w:rPr>
        <w:t>（2）塑料板黏接完好不得开胶，应光滑，无气泡。</w:t>
      </w:r>
    </w:p>
    <w:p w14:paraId="3D140C63">
      <w:pPr>
        <w:spacing w:before="60" w:after="60" w:line="288" w:lineRule="auto"/>
        <w:ind w:firstLine="480"/>
      </w:pPr>
      <w:r>
        <w:rPr>
          <w:rFonts w:ascii="宋体" w:hAnsi="宋体" w:eastAsia="宋体" w:cs="宋体"/>
          <w:color w:val="000000"/>
          <w:sz w:val="24"/>
        </w:rPr>
        <w:t>（3）反光膜颜色应符合规定的要求，图形清楚，无毛刺、孔洞和影响使用的任何疵病。</w:t>
      </w:r>
    </w:p>
    <w:p w14:paraId="3A1F5423">
      <w:pPr>
        <w:spacing w:before="60" w:after="60" w:line="288" w:lineRule="auto"/>
        <w:ind w:firstLine="480"/>
      </w:pPr>
      <w:r>
        <w:rPr>
          <w:rFonts w:ascii="宋体" w:hAnsi="宋体" w:eastAsia="宋体" w:cs="宋体"/>
          <w:color w:val="000000"/>
          <w:sz w:val="24"/>
        </w:rPr>
        <w:t>（4）连接件应完整无锈蚀，紧固件齐全。</w:t>
      </w:r>
    </w:p>
    <w:p w14:paraId="797258A4">
      <w:pPr>
        <w:pStyle w:val="8"/>
        <w:keepNext w:val="0"/>
        <w:keepLines w:val="0"/>
        <w:pageBreakBefore w:val="0"/>
        <w:spacing w:before="120" w:after="80" w:line="288" w:lineRule="auto"/>
        <w:outlineLvl w:val="3"/>
      </w:pPr>
      <w:r>
        <w:rPr>
          <w:rFonts w:ascii="黑体" w:hAnsi="黑体" w:eastAsia="黑体" w:cs="黑体"/>
          <w:b/>
          <w:color w:val="000000"/>
          <w:sz w:val="24"/>
        </w:rPr>
        <w:t>6.5.2 尺寸检查</w:t>
      </w:r>
    </w:p>
    <w:p w14:paraId="2CED70EC">
      <w:pPr>
        <w:spacing w:before="60" w:after="60" w:line="288" w:lineRule="auto"/>
        <w:ind w:firstLine="480"/>
      </w:pPr>
      <w:r>
        <w:rPr>
          <w:rFonts w:ascii="宋体" w:hAnsi="宋体" w:eastAsia="宋体" w:cs="宋体"/>
          <w:color w:val="000000"/>
          <w:sz w:val="24"/>
        </w:rPr>
        <w:t>测量物资的外形尺寸（直径、高度、壁厚）是否符合技术要求，尺寸偏差应符合以下要求：</w:t>
      </w:r>
    </w:p>
    <w:p w14:paraId="180AB083">
      <w:pPr>
        <w:pStyle w:val="18"/>
        <w:numPr>
          <w:ilvl w:val="0"/>
          <w:numId w:val="8"/>
        </w:numPr>
        <w:spacing w:before="30" w:after="30" w:line="288" w:lineRule="auto"/>
        <w:ind w:left="980" w:hanging="360"/>
      </w:pPr>
      <w:r>
        <w:rPr>
          <w:rFonts w:ascii="宋体" w:hAnsi="宋体" w:eastAsia="宋体" w:cs="宋体"/>
          <w:color w:val="000000"/>
          <w:sz w:val="24"/>
        </w:rPr>
        <w:t>直径偏差：±5mm；</w:t>
      </w:r>
    </w:p>
    <w:p w14:paraId="3CB85E1D">
      <w:pPr>
        <w:pStyle w:val="18"/>
        <w:numPr>
          <w:ilvl w:val="0"/>
          <w:numId w:val="8"/>
        </w:numPr>
        <w:spacing w:before="30" w:after="30" w:line="288" w:lineRule="auto"/>
        <w:ind w:left="980" w:hanging="360"/>
      </w:pPr>
      <w:r>
        <w:rPr>
          <w:rFonts w:ascii="宋体" w:hAnsi="宋体" w:eastAsia="宋体" w:cs="宋体"/>
          <w:color w:val="000000"/>
          <w:sz w:val="24"/>
        </w:rPr>
        <w:t>高度偏差：±10mm；</w:t>
      </w:r>
    </w:p>
    <w:p w14:paraId="47D7C51D">
      <w:pPr>
        <w:pStyle w:val="18"/>
        <w:numPr>
          <w:ilvl w:val="0"/>
          <w:numId w:val="8"/>
        </w:numPr>
        <w:spacing w:before="30" w:after="30" w:line="288" w:lineRule="auto"/>
        <w:ind w:left="980" w:hanging="360"/>
      </w:pPr>
      <w:r>
        <w:rPr>
          <w:rFonts w:ascii="宋体" w:hAnsi="宋体" w:eastAsia="宋体" w:cs="宋体"/>
          <w:color w:val="000000"/>
          <w:sz w:val="24"/>
        </w:rPr>
        <w:t>壁厚偏差：不低于标称值的90%。</w:t>
      </w:r>
    </w:p>
    <w:p w14:paraId="4C1DA9D3">
      <w:pPr>
        <w:pStyle w:val="8"/>
        <w:keepNext w:val="0"/>
        <w:keepLines w:val="0"/>
        <w:pageBreakBefore w:val="0"/>
        <w:spacing w:before="120" w:after="80" w:line="288" w:lineRule="auto"/>
        <w:outlineLvl w:val="3"/>
      </w:pPr>
      <w:r>
        <w:rPr>
          <w:rFonts w:ascii="黑体" w:hAnsi="黑体" w:eastAsia="黑体" w:cs="黑体"/>
          <w:b/>
          <w:color w:val="000000"/>
          <w:sz w:val="24"/>
        </w:rPr>
        <w:t>6.5.3 颜色检查</w:t>
      </w:r>
    </w:p>
    <w:p w14:paraId="1FFB574B">
      <w:pPr>
        <w:spacing w:before="60" w:after="60" w:line="288" w:lineRule="auto"/>
        <w:ind w:firstLine="480"/>
      </w:pPr>
      <w:r>
        <w:rPr>
          <w:rFonts w:ascii="宋体" w:hAnsi="宋体" w:eastAsia="宋体" w:cs="宋体"/>
          <w:color w:val="000000"/>
          <w:sz w:val="24"/>
        </w:rPr>
        <w:t>采用标准色卡（如RAL色卡或潘通色卡）对比检查桶体颜色是否符合GB 2893-2008规定的安全色要求，反光膜颜色是否符合设计要求。</w:t>
      </w:r>
    </w:p>
    <w:p w14:paraId="21F96519">
      <w:pPr>
        <w:pStyle w:val="8"/>
        <w:keepNext w:val="0"/>
        <w:keepLines w:val="0"/>
        <w:pageBreakBefore w:val="0"/>
        <w:spacing w:before="120" w:after="80" w:line="288" w:lineRule="auto"/>
        <w:outlineLvl w:val="3"/>
      </w:pPr>
      <w:r>
        <w:rPr>
          <w:rFonts w:ascii="黑体" w:hAnsi="黑体" w:eastAsia="黑体" w:cs="黑体"/>
          <w:b/>
          <w:color w:val="000000"/>
          <w:sz w:val="24"/>
        </w:rPr>
        <w:t>6.5.4 反光性能检查</w:t>
      </w:r>
    </w:p>
    <w:p w14:paraId="04CB5F50">
      <w:pPr>
        <w:spacing w:before="60" w:after="60" w:line="288" w:lineRule="auto"/>
        <w:ind w:firstLine="480"/>
      </w:pPr>
      <w:r>
        <w:rPr>
          <w:rFonts w:ascii="宋体" w:hAnsi="宋体" w:eastAsia="宋体" w:cs="宋体"/>
          <w:color w:val="000000"/>
          <w:sz w:val="24"/>
        </w:rPr>
        <w:t>采用便携式逆反射系数测量仪检测反光膜的逆反射系数，检测结果应符合GB/T 18833-2012中Ⅳ类或Ⅴ类反光膜的要求。</w:t>
      </w:r>
    </w:p>
    <w:p w14:paraId="6750B35E">
      <w:pPr>
        <w:pStyle w:val="8"/>
        <w:keepNext w:val="0"/>
        <w:keepLines w:val="0"/>
        <w:pageBreakBefore w:val="0"/>
        <w:spacing w:before="120" w:after="80" w:line="288" w:lineRule="auto"/>
        <w:outlineLvl w:val="3"/>
      </w:pPr>
      <w:r>
        <w:rPr>
          <w:rFonts w:ascii="黑体" w:hAnsi="黑体" w:eastAsia="黑体" w:cs="黑体"/>
          <w:b/>
          <w:color w:val="000000"/>
          <w:sz w:val="24"/>
        </w:rPr>
        <w:t>6.5.5 标记检查</w:t>
      </w:r>
    </w:p>
    <w:p w14:paraId="33D5CE5C">
      <w:pPr>
        <w:spacing w:before="60" w:after="60" w:line="288" w:lineRule="auto"/>
        <w:ind w:firstLine="480"/>
      </w:pPr>
      <w:r>
        <w:rPr>
          <w:rFonts w:ascii="宋体" w:hAnsi="宋体" w:eastAsia="宋体" w:cs="宋体"/>
          <w:color w:val="000000"/>
          <w:sz w:val="24"/>
        </w:rPr>
        <w:t>检查产品上的警示标识、生产厂家、生产日期、执行标准编号等标记是否清晰、完整、牢固。</w:t>
      </w:r>
    </w:p>
    <w:p w14:paraId="7281BBC1">
      <w:pPr>
        <w:pStyle w:val="6"/>
        <w:keepNext w:val="0"/>
        <w:keepLines w:val="0"/>
        <w:pageBreakBefore w:val="0"/>
        <w:pBdr>
          <w:bottom w:val="single" w:color="000000" w:sz="6" w:space="1"/>
        </w:pBdr>
        <w:spacing w:before="240" w:after="120" w:line="288" w:lineRule="auto"/>
        <w:outlineLvl w:val="1"/>
      </w:pPr>
      <w:r>
        <w:rPr>
          <w:rFonts w:ascii="黑体" w:hAnsi="黑体" w:eastAsia="黑体" w:cs="黑体"/>
          <w:b/>
          <w:color w:val="000000"/>
          <w:sz w:val="32"/>
        </w:rPr>
        <w:t>7 包装和运输</w:t>
      </w:r>
    </w:p>
    <w:p w14:paraId="16BF51BF">
      <w:pPr>
        <w:pStyle w:val="7"/>
        <w:keepNext w:val="0"/>
        <w:keepLines w:val="0"/>
        <w:pageBreakBefore w:val="0"/>
        <w:spacing w:before="180" w:after="100" w:line="288" w:lineRule="auto"/>
        <w:outlineLvl w:val="2"/>
      </w:pPr>
      <w:r>
        <w:rPr>
          <w:rFonts w:ascii="黑体" w:hAnsi="黑体" w:eastAsia="黑体" w:cs="黑体"/>
          <w:b/>
          <w:color w:val="000000"/>
          <w:sz w:val="28"/>
        </w:rPr>
        <w:t>7.1 包装</w:t>
      </w:r>
    </w:p>
    <w:p w14:paraId="3C2CB3E3">
      <w:pPr>
        <w:spacing w:before="60" w:after="60" w:line="288" w:lineRule="auto"/>
        <w:ind w:firstLine="480"/>
      </w:pPr>
      <w:r>
        <w:rPr>
          <w:rFonts w:ascii="宋体" w:hAnsi="宋体" w:eastAsia="宋体" w:cs="宋体"/>
          <w:color w:val="000000"/>
          <w:sz w:val="24"/>
        </w:rPr>
        <w:t>7.1.1 产品包装应牢固可靠，包装物表面应有明显的"防潮"、"防雨"、"严防碰撞"等字样。在包装物上至少应有如下标志：</w:t>
      </w:r>
    </w:p>
    <w:p w14:paraId="6F6FD2ED">
      <w:pPr>
        <w:spacing w:before="60" w:after="60" w:line="288" w:lineRule="auto"/>
        <w:ind w:firstLine="480"/>
      </w:pPr>
      <w:r>
        <w:rPr>
          <w:rFonts w:ascii="宋体" w:hAnsi="宋体" w:eastAsia="宋体" w:cs="宋体"/>
          <w:color w:val="000000"/>
          <w:sz w:val="24"/>
        </w:rPr>
        <w:t>a) 产品名称；</w:t>
      </w:r>
    </w:p>
    <w:p w14:paraId="51C6FB43">
      <w:pPr>
        <w:spacing w:before="60" w:after="60" w:line="288" w:lineRule="auto"/>
        <w:ind w:firstLine="480"/>
      </w:pPr>
      <w:r>
        <w:rPr>
          <w:rFonts w:ascii="宋体" w:hAnsi="宋体" w:eastAsia="宋体" w:cs="宋体"/>
          <w:color w:val="000000"/>
          <w:sz w:val="24"/>
        </w:rPr>
        <w:t>b) 制造厂名；</w:t>
      </w:r>
    </w:p>
    <w:p w14:paraId="67FF191E">
      <w:pPr>
        <w:spacing w:before="60" w:after="60" w:line="288" w:lineRule="auto"/>
        <w:ind w:firstLine="480"/>
      </w:pPr>
      <w:r>
        <w:rPr>
          <w:rFonts w:ascii="宋体" w:hAnsi="宋体" w:eastAsia="宋体" w:cs="宋体"/>
          <w:color w:val="000000"/>
          <w:sz w:val="24"/>
        </w:rPr>
        <w:t>c) 数量和重量；</w:t>
      </w:r>
    </w:p>
    <w:p w14:paraId="508F5D01">
      <w:pPr>
        <w:spacing w:before="60" w:after="60" w:line="288" w:lineRule="auto"/>
        <w:ind w:firstLine="480"/>
      </w:pPr>
      <w:r>
        <w:rPr>
          <w:rFonts w:ascii="宋体" w:hAnsi="宋体" w:eastAsia="宋体" w:cs="宋体"/>
          <w:color w:val="000000"/>
          <w:sz w:val="24"/>
        </w:rPr>
        <w:t>d) 出厂检验合格证；</w:t>
      </w:r>
    </w:p>
    <w:p w14:paraId="26DAE0F3">
      <w:pPr>
        <w:spacing w:before="60" w:after="60" w:line="288" w:lineRule="auto"/>
        <w:ind w:firstLine="480"/>
      </w:pPr>
      <w:r>
        <w:rPr>
          <w:rFonts w:ascii="宋体" w:hAnsi="宋体" w:eastAsia="宋体" w:cs="宋体"/>
          <w:color w:val="000000"/>
          <w:sz w:val="24"/>
        </w:rPr>
        <w:t>e) 执行标准的编号；</w:t>
      </w:r>
    </w:p>
    <w:p w14:paraId="5B436CDE">
      <w:pPr>
        <w:spacing w:before="60" w:after="60" w:line="288" w:lineRule="auto"/>
        <w:ind w:firstLine="480"/>
      </w:pPr>
      <w:r>
        <w:rPr>
          <w:rFonts w:ascii="宋体" w:hAnsi="宋体" w:eastAsia="宋体" w:cs="宋体"/>
          <w:color w:val="000000"/>
          <w:sz w:val="24"/>
        </w:rPr>
        <w:t>f) 出厂日期。</w:t>
      </w:r>
    </w:p>
    <w:p w14:paraId="67045A51">
      <w:pPr>
        <w:spacing w:before="60" w:after="60" w:line="288" w:lineRule="auto"/>
        <w:ind w:firstLine="480"/>
      </w:pPr>
      <w:r>
        <w:rPr>
          <w:rFonts w:ascii="宋体" w:hAnsi="宋体" w:eastAsia="宋体" w:cs="宋体"/>
          <w:color w:val="000000"/>
          <w:sz w:val="24"/>
        </w:rPr>
        <w:t>7.1.2 桶体之间应采用柔性隔离材料（如泡沫板、气泡膜等）进行分隔，防止运输过程中相互碰撞造成表面损伤。</w:t>
      </w:r>
    </w:p>
    <w:p w14:paraId="7920D83A">
      <w:pPr>
        <w:spacing w:before="60" w:after="60" w:line="288" w:lineRule="auto"/>
        <w:ind w:firstLine="480"/>
      </w:pPr>
      <w:r>
        <w:rPr>
          <w:rFonts w:ascii="宋体" w:hAnsi="宋体" w:eastAsia="宋体" w:cs="宋体"/>
          <w:color w:val="000000"/>
          <w:sz w:val="24"/>
        </w:rPr>
        <w:t>7.1.3 反光膜应单独包装，避免在运输过程中被刮伤或污染。</w:t>
      </w:r>
    </w:p>
    <w:p w14:paraId="6B034509">
      <w:pPr>
        <w:spacing w:before="60" w:after="60" w:line="288" w:lineRule="auto"/>
        <w:ind w:firstLine="480"/>
      </w:pPr>
      <w:r>
        <w:rPr>
          <w:rFonts w:ascii="宋体" w:hAnsi="宋体" w:eastAsia="宋体" w:cs="宋体"/>
          <w:color w:val="000000"/>
          <w:sz w:val="24"/>
        </w:rPr>
        <w:t>7.1.4 连接件、紧固件等小件应装箱保管，防止丢失。</w:t>
      </w:r>
    </w:p>
    <w:p w14:paraId="321E3CAF">
      <w:pPr>
        <w:pStyle w:val="7"/>
        <w:keepNext w:val="0"/>
        <w:keepLines w:val="0"/>
        <w:pageBreakBefore w:val="0"/>
        <w:spacing w:before="180" w:after="100" w:line="288" w:lineRule="auto"/>
        <w:outlineLvl w:val="2"/>
      </w:pPr>
      <w:r>
        <w:rPr>
          <w:rFonts w:ascii="黑体" w:hAnsi="黑体" w:eastAsia="黑体" w:cs="黑体"/>
          <w:b/>
          <w:color w:val="000000"/>
          <w:sz w:val="28"/>
        </w:rPr>
        <w:t>7.2 运输</w:t>
      </w:r>
    </w:p>
    <w:p w14:paraId="2818B395">
      <w:pPr>
        <w:spacing w:before="60" w:after="60" w:line="288" w:lineRule="auto"/>
        <w:ind w:firstLine="480"/>
      </w:pPr>
      <w:r>
        <w:rPr>
          <w:rFonts w:ascii="宋体" w:hAnsi="宋体" w:eastAsia="宋体" w:cs="宋体"/>
          <w:color w:val="000000"/>
          <w:sz w:val="24"/>
        </w:rPr>
        <w:t>7.2.1 产品经妥善包装后，在运输过程中应采取有效防护措施，以免损坏或遗失。</w:t>
      </w:r>
    </w:p>
    <w:p w14:paraId="322326DD">
      <w:pPr>
        <w:spacing w:before="60" w:after="60" w:line="288" w:lineRule="auto"/>
        <w:ind w:firstLine="480"/>
      </w:pPr>
      <w:r>
        <w:rPr>
          <w:rFonts w:ascii="宋体" w:hAnsi="宋体" w:eastAsia="宋体" w:cs="宋体"/>
          <w:color w:val="000000"/>
          <w:sz w:val="24"/>
        </w:rPr>
        <w:t>7.2.2 在包装箱外应标明需方的订货号、发货号。</w:t>
      </w:r>
    </w:p>
    <w:p w14:paraId="03B741FE">
      <w:pPr>
        <w:spacing w:before="60" w:after="60" w:line="288" w:lineRule="auto"/>
        <w:ind w:firstLine="480"/>
      </w:pPr>
      <w:r>
        <w:rPr>
          <w:rFonts w:ascii="宋体" w:hAnsi="宋体" w:eastAsia="宋体" w:cs="宋体"/>
          <w:color w:val="000000"/>
          <w:sz w:val="24"/>
        </w:rPr>
        <w:t xml:space="preserve">7.2.3 </w:t>
      </w:r>
      <w:r>
        <w:rPr>
          <w:rFonts w:ascii="Segoe UI Emoji" w:hAnsi="Segoe UI Emoji" w:eastAsia="Segoe UI Emoji" w:cs="Segoe UI Emoji"/>
          <w:b/>
          <w:sz w:val="24"/>
        </w:rPr>
        <w:t>★</w:t>
      </w:r>
      <w:r>
        <w:rPr>
          <w:rFonts w:ascii="宋体" w:hAnsi="宋体" w:eastAsia="宋体" w:cs="宋体"/>
          <w:color w:val="000000"/>
          <w:sz w:val="24"/>
        </w:rPr>
        <w:t>包装和运输均由中标方负责，产品抵达目的地后，招标方组织开箱验收。如果发现任一产品有偏差、损坏、遗漏或因中标方的责任与合同不符，招标方有权向中标方提出索赔。</w:t>
      </w:r>
    </w:p>
    <w:p w14:paraId="5D41F69E">
      <w:pPr>
        <w:spacing w:before="60" w:after="60" w:line="288" w:lineRule="auto"/>
        <w:ind w:firstLine="480"/>
      </w:pPr>
      <w:r>
        <w:rPr>
          <w:rFonts w:ascii="宋体" w:hAnsi="宋体" w:eastAsia="宋体" w:cs="宋体"/>
          <w:color w:val="000000"/>
          <w:sz w:val="24"/>
        </w:rPr>
        <w:t>7.2.4 运输过程中应避免重压、曝晒和雨淋，装卸时应轻拿轻放，严禁抛掷。</w:t>
      </w:r>
    </w:p>
    <w:p w14:paraId="6EC46550">
      <w:pPr>
        <w:pStyle w:val="6"/>
        <w:keepNext w:val="0"/>
        <w:keepLines w:val="0"/>
        <w:pageBreakBefore w:val="0"/>
        <w:pBdr>
          <w:bottom w:val="single" w:color="000000" w:sz="6" w:space="1"/>
        </w:pBdr>
        <w:spacing w:before="240" w:after="120" w:line="288" w:lineRule="auto"/>
        <w:outlineLvl w:val="1"/>
      </w:pPr>
      <w:r>
        <w:rPr>
          <w:rFonts w:ascii="黑体" w:hAnsi="黑体" w:eastAsia="黑体" w:cs="黑体"/>
          <w:b/>
          <w:color w:val="000000"/>
          <w:sz w:val="32"/>
        </w:rPr>
        <w:t>8 技术文件</w:t>
      </w:r>
    </w:p>
    <w:p w14:paraId="40F5ACE0">
      <w:pPr>
        <w:spacing w:before="60" w:after="60" w:line="288" w:lineRule="auto"/>
        <w:ind w:firstLine="480"/>
      </w:pPr>
      <w:r>
        <w:rPr>
          <w:rFonts w:ascii="宋体" w:hAnsi="宋体" w:eastAsia="宋体" w:cs="宋体"/>
          <w:color w:val="000000"/>
          <w:sz w:val="24"/>
        </w:rPr>
        <w:t>投标方提供的图纸、资料、文件应使用国家法定单位制即国际单位制，语言为中文。资料的组织结构清晰，内容正确、一致、清晰、完整，满足工程要求。技术文件要求如下：</w:t>
      </w:r>
    </w:p>
    <w:p w14:paraId="72F25B9F">
      <w:pPr>
        <w:pStyle w:val="18"/>
        <w:numPr>
          <w:ilvl w:val="0"/>
          <w:numId w:val="8"/>
        </w:numPr>
        <w:spacing w:before="30" w:after="30" w:line="288" w:lineRule="auto"/>
        <w:ind w:left="980" w:hanging="360"/>
      </w:pPr>
      <w:r>
        <w:rPr>
          <w:rFonts w:ascii="宋体" w:hAnsi="宋体" w:eastAsia="宋体" w:cs="宋体"/>
          <w:color w:val="000000"/>
          <w:sz w:val="24"/>
        </w:rPr>
        <w:t>产品性能试验报告；</w:t>
      </w:r>
    </w:p>
    <w:p w14:paraId="32898D48">
      <w:pPr>
        <w:pStyle w:val="18"/>
        <w:numPr>
          <w:ilvl w:val="0"/>
          <w:numId w:val="8"/>
        </w:numPr>
        <w:spacing w:before="30" w:after="30" w:line="288" w:lineRule="auto"/>
        <w:ind w:left="980" w:hanging="360"/>
      </w:pPr>
      <w:r>
        <w:rPr>
          <w:rFonts w:ascii="宋体" w:hAnsi="宋体" w:eastAsia="宋体" w:cs="宋体"/>
          <w:color w:val="000000"/>
          <w:sz w:val="24"/>
        </w:rPr>
        <w:t>供货批次产品出厂检验报告；</w:t>
      </w:r>
    </w:p>
    <w:p w14:paraId="42C8C1FA">
      <w:pPr>
        <w:pStyle w:val="18"/>
        <w:numPr>
          <w:ilvl w:val="0"/>
          <w:numId w:val="8"/>
        </w:numPr>
        <w:spacing w:before="30" w:after="30" w:line="288" w:lineRule="auto"/>
        <w:ind w:left="980" w:hanging="360"/>
      </w:pPr>
      <w:r>
        <w:rPr>
          <w:rFonts w:ascii="宋体" w:hAnsi="宋体" w:eastAsia="宋体" w:cs="宋体"/>
          <w:color w:val="000000"/>
          <w:sz w:val="24"/>
        </w:rPr>
        <w:t>产品合格证书；</w:t>
      </w:r>
    </w:p>
    <w:p w14:paraId="118DB4DD">
      <w:pPr>
        <w:pStyle w:val="18"/>
        <w:numPr>
          <w:ilvl w:val="0"/>
          <w:numId w:val="8"/>
        </w:numPr>
        <w:spacing w:before="30" w:after="30" w:line="288" w:lineRule="auto"/>
        <w:ind w:left="980" w:hanging="360"/>
      </w:pPr>
      <w:r>
        <w:rPr>
          <w:rFonts w:ascii="宋体" w:hAnsi="宋体" w:eastAsia="宋体" w:cs="宋体"/>
          <w:color w:val="000000"/>
          <w:sz w:val="24"/>
        </w:rPr>
        <w:t>产品说明书，应至少包括正确使用、安装方法、维护和保养方法；</w:t>
      </w:r>
    </w:p>
    <w:p w14:paraId="79603810">
      <w:pPr>
        <w:pStyle w:val="18"/>
        <w:numPr>
          <w:ilvl w:val="0"/>
          <w:numId w:val="8"/>
        </w:numPr>
        <w:spacing w:before="30" w:after="30" w:line="288" w:lineRule="auto"/>
        <w:ind w:left="980" w:hanging="360"/>
      </w:pPr>
      <w:r>
        <w:rPr>
          <w:rFonts w:ascii="宋体" w:hAnsi="宋体" w:eastAsia="宋体" w:cs="宋体"/>
          <w:color w:val="000000"/>
          <w:sz w:val="24"/>
        </w:rPr>
        <w:t>材质检测报告（含第三方检测机构出具的材料成分分析报告）；</w:t>
      </w:r>
    </w:p>
    <w:p w14:paraId="34BA44C8">
      <w:pPr>
        <w:pStyle w:val="18"/>
        <w:numPr>
          <w:ilvl w:val="0"/>
          <w:numId w:val="8"/>
        </w:numPr>
        <w:spacing w:before="30" w:after="30" w:line="288" w:lineRule="auto"/>
        <w:ind w:left="980" w:hanging="360"/>
      </w:pPr>
      <w:r>
        <w:rPr>
          <w:rFonts w:ascii="宋体" w:hAnsi="宋体" w:eastAsia="宋体" w:cs="宋体"/>
          <w:color w:val="000000"/>
          <w:sz w:val="24"/>
        </w:rPr>
        <w:t>反光膜性能检测报告；</w:t>
      </w:r>
    </w:p>
    <w:p w14:paraId="04F5A12B">
      <w:pPr>
        <w:pStyle w:val="18"/>
        <w:numPr>
          <w:ilvl w:val="0"/>
          <w:numId w:val="8"/>
        </w:numPr>
        <w:spacing w:before="30" w:after="30" w:line="288" w:lineRule="auto"/>
        <w:ind w:left="980" w:hanging="360"/>
      </w:pPr>
      <w:r>
        <w:rPr>
          <w:rFonts w:ascii="宋体" w:hAnsi="宋体" w:eastAsia="宋体" w:cs="宋体"/>
          <w:color w:val="000000"/>
          <w:sz w:val="24"/>
        </w:rPr>
        <w:t>产品安装示意图及安装说明书。</w:t>
      </w:r>
    </w:p>
    <w:p w14:paraId="66DC5C06">
      <w:pPr>
        <w:pStyle w:val="6"/>
        <w:keepNext w:val="0"/>
        <w:keepLines w:val="0"/>
        <w:pageBreakBefore w:val="0"/>
        <w:pBdr>
          <w:bottom w:val="single" w:color="000000" w:sz="6" w:space="1"/>
        </w:pBdr>
        <w:spacing w:before="240" w:after="120" w:line="288" w:lineRule="auto"/>
        <w:outlineLvl w:val="1"/>
      </w:pPr>
      <w:r>
        <w:rPr>
          <w:rFonts w:ascii="黑体" w:hAnsi="黑体" w:eastAsia="黑体" w:cs="黑体"/>
          <w:b/>
          <w:color w:val="000000"/>
          <w:sz w:val="32"/>
        </w:rPr>
        <w:t>9 培训及售后服务</w:t>
      </w:r>
    </w:p>
    <w:p w14:paraId="67B41BFA">
      <w:pPr>
        <w:spacing w:before="60" w:after="60" w:line="288" w:lineRule="auto"/>
        <w:ind w:firstLine="480"/>
      </w:pPr>
      <w:r>
        <w:rPr>
          <w:rFonts w:ascii="宋体" w:hAnsi="宋体" w:eastAsia="宋体" w:cs="宋体"/>
          <w:color w:val="000000"/>
          <w:sz w:val="24"/>
        </w:rPr>
        <w:t>9.1 自招标方向投标方订购产品使用之日起，投标方应向招标方提供包括热线技术指导、现场故障排除等各种用户技术服务。</w:t>
      </w:r>
    </w:p>
    <w:p w14:paraId="4D46C35D">
      <w:pPr>
        <w:spacing w:before="60" w:after="60" w:line="288" w:lineRule="auto"/>
        <w:ind w:firstLine="480"/>
      </w:pPr>
      <w:r>
        <w:rPr>
          <w:rFonts w:ascii="宋体" w:hAnsi="宋体" w:eastAsia="宋体" w:cs="宋体"/>
          <w:color w:val="000000"/>
          <w:sz w:val="24"/>
        </w:rPr>
        <w:t>9.2 质保期限：自产品出厂日期与交货日期起不短于正常使用三年或产品到货三年（中标方承诺的质保期若长于上述时间，则按承诺时间执行）。</w:t>
      </w:r>
    </w:p>
    <w:p w14:paraId="267E08BE">
      <w:pPr>
        <w:spacing w:before="60" w:after="60" w:line="288" w:lineRule="auto"/>
        <w:ind w:firstLine="480"/>
      </w:pPr>
      <w:r>
        <w:rPr>
          <w:rFonts w:ascii="宋体" w:hAnsi="宋体" w:eastAsia="宋体" w:cs="宋体"/>
          <w:color w:val="000000"/>
          <w:sz w:val="24"/>
        </w:rPr>
        <w:t>9.3 招标方在产品的质保期内使用过程中出现因产品或配件质量问题导致的功能性故障（如桶体开裂、反光膜大面积脱落、颜色严重褪变等）时，中标方应对产品进行保修或更换。</w:t>
      </w:r>
    </w:p>
    <w:p w14:paraId="3D4136B3">
      <w:pPr>
        <w:spacing w:before="60" w:after="60" w:line="288" w:lineRule="auto"/>
        <w:ind w:firstLine="480"/>
      </w:pPr>
      <w:r>
        <w:rPr>
          <w:rFonts w:ascii="宋体" w:hAnsi="宋体" w:eastAsia="宋体" w:cs="宋体"/>
          <w:color w:val="000000"/>
          <w:sz w:val="24"/>
        </w:rPr>
        <w:t>9.4 中标方负责对招标方的人员进行现场培训，培训内容包含正确使用方法、安装方法及维护保养等，并提供必要的技术资料、图纸、参考材料、培训手册、工具等。</w:t>
      </w:r>
    </w:p>
    <w:p w14:paraId="7BC4A9A6">
      <w:pPr>
        <w:spacing w:before="60" w:after="60" w:line="288" w:lineRule="auto"/>
        <w:ind w:firstLine="480"/>
      </w:pPr>
      <w:r>
        <w:rPr>
          <w:rFonts w:ascii="宋体" w:hAnsi="宋体" w:eastAsia="宋体" w:cs="宋体"/>
          <w:color w:val="000000"/>
          <w:sz w:val="24"/>
        </w:rPr>
        <w:t>9.5 中标方应建立产品售后档案，对每批次产品的使用情况、维修记录等进行跟踪管理，质保期内每半年至少进行一次回访。</w:t>
      </w:r>
    </w:p>
    <w:p w14:paraId="1829B8C6">
      <w:pPr>
        <w:pStyle w:val="6"/>
        <w:keepNext w:val="0"/>
        <w:keepLines w:val="0"/>
        <w:pageBreakBefore w:val="0"/>
        <w:pBdr>
          <w:bottom w:val="single" w:color="000000" w:sz="6" w:space="1"/>
        </w:pBdr>
        <w:spacing w:before="240" w:after="120" w:line="288" w:lineRule="auto"/>
        <w:outlineLvl w:val="1"/>
      </w:pPr>
      <w:r>
        <w:rPr>
          <w:rFonts w:ascii="黑体" w:hAnsi="黑体" w:eastAsia="黑体" w:cs="黑体"/>
          <w:b/>
          <w:color w:val="000000"/>
          <w:sz w:val="32"/>
        </w:rPr>
        <w:t>10 技术差异表</w:t>
      </w:r>
    </w:p>
    <w:p w14:paraId="1580E752">
      <w:pPr>
        <w:spacing w:before="60" w:after="60" w:line="288" w:lineRule="auto"/>
        <w:ind w:firstLine="480"/>
      </w:pPr>
      <w:r>
        <w:rPr>
          <w:rFonts w:ascii="宋体" w:hAnsi="宋体" w:eastAsia="宋体" w:cs="宋体"/>
          <w:color w:val="000000"/>
          <w:sz w:val="24"/>
        </w:rPr>
        <w:t>投标方应将所供物资与本技术规范书有差异之处，无论优于或劣于本技术规范书要求，均应填写表10.1。</w:t>
      </w:r>
    </w:p>
    <w:p w14:paraId="09B5BBF9">
      <w:pPr>
        <w:spacing w:before="60" w:after="60" w:line="288" w:lineRule="auto"/>
        <w:jc w:val="center"/>
      </w:pPr>
      <w:r>
        <w:rPr>
          <w:rFonts w:ascii="宋体" w:hAnsi="宋体" w:eastAsia="宋体" w:cs="宋体"/>
          <w:b/>
          <w:color w:val="000000"/>
          <w:sz w:val="24"/>
        </w:rPr>
        <w:t>表10.1 技术差异表（投标方填写）</w:t>
      </w:r>
    </w:p>
    <w:tbl>
      <w:tblPr>
        <w:tblStyle w:val="34"/>
        <w:tblW w:w="86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53"/>
        <w:gridCol w:w="1896"/>
        <w:gridCol w:w="1896"/>
        <w:gridCol w:w="1896"/>
        <w:gridCol w:w="1899"/>
      </w:tblGrid>
      <w:tr w14:paraId="23012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053"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5FCC1436">
            <w:pPr>
              <w:spacing w:line="288" w:lineRule="auto"/>
              <w:jc w:val="center"/>
            </w:pPr>
            <w:r>
              <w:rPr>
                <w:rFonts w:ascii="黑体" w:hAnsi="黑体" w:eastAsia="黑体" w:cs="黑体"/>
                <w:b/>
                <w:color w:val="000000"/>
                <w:sz w:val="21"/>
                <w:shd w:val="clear" w:color="auto" w:fill="E8E8E8"/>
              </w:rPr>
              <w:t>序号</w:t>
            </w:r>
          </w:p>
        </w:tc>
        <w:tc>
          <w:tcPr>
            <w:tcW w:w="1896"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0063789F">
            <w:pPr>
              <w:spacing w:line="288" w:lineRule="auto"/>
              <w:jc w:val="center"/>
            </w:pPr>
            <w:r>
              <w:rPr>
                <w:rFonts w:ascii="黑体" w:hAnsi="黑体" w:eastAsia="黑体" w:cs="黑体"/>
                <w:b/>
                <w:color w:val="000000"/>
                <w:sz w:val="21"/>
                <w:shd w:val="clear" w:color="auto" w:fill="E8E8E8"/>
              </w:rPr>
              <w:t>条目</w:t>
            </w:r>
          </w:p>
        </w:tc>
        <w:tc>
          <w:tcPr>
            <w:tcW w:w="1896"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785434A0">
            <w:pPr>
              <w:spacing w:line="288" w:lineRule="auto"/>
              <w:jc w:val="center"/>
            </w:pPr>
            <w:r>
              <w:rPr>
                <w:rFonts w:ascii="黑体" w:hAnsi="黑体" w:eastAsia="黑体" w:cs="黑体"/>
                <w:b/>
                <w:color w:val="000000"/>
                <w:sz w:val="21"/>
                <w:shd w:val="clear" w:color="auto" w:fill="E8E8E8"/>
              </w:rPr>
              <w:t>简要内容</w:t>
            </w:r>
          </w:p>
        </w:tc>
        <w:tc>
          <w:tcPr>
            <w:tcW w:w="1896"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79F76E4E">
            <w:pPr>
              <w:spacing w:line="288" w:lineRule="auto"/>
              <w:jc w:val="center"/>
            </w:pPr>
            <w:r>
              <w:rPr>
                <w:rFonts w:ascii="黑体" w:hAnsi="黑体" w:eastAsia="黑体" w:cs="黑体"/>
                <w:b/>
                <w:color w:val="000000"/>
                <w:sz w:val="21"/>
                <w:shd w:val="clear" w:color="auto" w:fill="E8E8E8"/>
              </w:rPr>
              <w:t>条目</w:t>
            </w:r>
          </w:p>
        </w:tc>
        <w:tc>
          <w:tcPr>
            <w:tcW w:w="1899"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07411626">
            <w:pPr>
              <w:spacing w:line="288" w:lineRule="auto"/>
              <w:jc w:val="center"/>
            </w:pPr>
            <w:r>
              <w:rPr>
                <w:rFonts w:ascii="黑体" w:hAnsi="黑体" w:eastAsia="黑体" w:cs="黑体"/>
                <w:b/>
                <w:color w:val="000000"/>
                <w:sz w:val="21"/>
                <w:shd w:val="clear" w:color="auto" w:fill="E8E8E8"/>
              </w:rPr>
              <w:t>简要内容</w:t>
            </w:r>
          </w:p>
        </w:tc>
      </w:tr>
      <w:tr w14:paraId="556F1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053"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1B490B5F">
            <w:pPr>
              <w:spacing w:line="288" w:lineRule="auto"/>
              <w:jc w:val="center"/>
            </w:pPr>
            <w:r>
              <w:rPr>
                <w:rFonts w:ascii="宋体" w:hAnsi="宋体" w:eastAsia="宋体" w:cs="宋体"/>
                <w:color w:val="000000"/>
                <w:sz w:val="21"/>
              </w:rPr>
              <w:t>1</w:t>
            </w:r>
          </w:p>
        </w:tc>
        <w:tc>
          <w:tcPr>
            <w:tcW w:w="1896"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6705074F">
            <w:pPr>
              <w:spacing w:line="288" w:lineRule="auto"/>
              <w:jc w:val="center"/>
            </w:pPr>
          </w:p>
        </w:tc>
        <w:tc>
          <w:tcPr>
            <w:tcW w:w="1896"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6680520E">
            <w:pPr>
              <w:spacing w:line="288" w:lineRule="auto"/>
              <w:jc w:val="center"/>
            </w:pPr>
          </w:p>
        </w:tc>
        <w:tc>
          <w:tcPr>
            <w:tcW w:w="1896"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46B28083">
            <w:pPr>
              <w:spacing w:line="288" w:lineRule="auto"/>
              <w:jc w:val="center"/>
            </w:pPr>
          </w:p>
        </w:tc>
        <w:tc>
          <w:tcPr>
            <w:tcW w:w="1899"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2B4E7A3F">
            <w:pPr>
              <w:spacing w:line="288" w:lineRule="auto"/>
              <w:jc w:val="center"/>
            </w:pPr>
          </w:p>
        </w:tc>
      </w:tr>
      <w:tr w14:paraId="30950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053"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60B880F0">
            <w:pPr>
              <w:spacing w:line="288" w:lineRule="auto"/>
              <w:jc w:val="center"/>
            </w:pPr>
            <w:r>
              <w:rPr>
                <w:rFonts w:ascii="宋体" w:hAnsi="宋体" w:eastAsia="宋体" w:cs="宋体"/>
                <w:color w:val="000000"/>
                <w:sz w:val="21"/>
              </w:rPr>
              <w:t>2</w:t>
            </w:r>
          </w:p>
        </w:tc>
        <w:tc>
          <w:tcPr>
            <w:tcW w:w="1896"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13F70A12">
            <w:pPr>
              <w:spacing w:line="288" w:lineRule="auto"/>
              <w:jc w:val="center"/>
            </w:pPr>
          </w:p>
        </w:tc>
        <w:tc>
          <w:tcPr>
            <w:tcW w:w="1896"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1F37537D">
            <w:pPr>
              <w:spacing w:line="288" w:lineRule="auto"/>
              <w:jc w:val="center"/>
            </w:pPr>
          </w:p>
        </w:tc>
        <w:tc>
          <w:tcPr>
            <w:tcW w:w="1896"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3310D842">
            <w:pPr>
              <w:spacing w:line="288" w:lineRule="auto"/>
              <w:jc w:val="center"/>
            </w:pPr>
          </w:p>
        </w:tc>
        <w:tc>
          <w:tcPr>
            <w:tcW w:w="1899"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647EC5BB">
            <w:pPr>
              <w:spacing w:line="288" w:lineRule="auto"/>
              <w:jc w:val="center"/>
            </w:pPr>
          </w:p>
        </w:tc>
      </w:tr>
      <w:tr w14:paraId="6CB4E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053"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67FB8BC5">
            <w:pPr>
              <w:spacing w:line="288" w:lineRule="auto"/>
              <w:jc w:val="center"/>
            </w:pPr>
            <w:r>
              <w:rPr>
                <w:rFonts w:ascii="宋体" w:hAnsi="宋体" w:eastAsia="宋体" w:cs="宋体"/>
                <w:color w:val="000000"/>
                <w:sz w:val="21"/>
              </w:rPr>
              <w:t>3</w:t>
            </w:r>
          </w:p>
        </w:tc>
        <w:tc>
          <w:tcPr>
            <w:tcW w:w="1896"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6C3C019D">
            <w:pPr>
              <w:spacing w:line="288" w:lineRule="auto"/>
              <w:jc w:val="center"/>
            </w:pPr>
          </w:p>
        </w:tc>
        <w:tc>
          <w:tcPr>
            <w:tcW w:w="1896"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1A047B94">
            <w:pPr>
              <w:spacing w:line="288" w:lineRule="auto"/>
              <w:jc w:val="center"/>
            </w:pPr>
          </w:p>
        </w:tc>
        <w:tc>
          <w:tcPr>
            <w:tcW w:w="1896"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53E29EA6">
            <w:pPr>
              <w:spacing w:line="288" w:lineRule="auto"/>
              <w:jc w:val="center"/>
            </w:pPr>
          </w:p>
        </w:tc>
        <w:tc>
          <w:tcPr>
            <w:tcW w:w="1899"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3C54D7AB">
            <w:pPr>
              <w:spacing w:line="288" w:lineRule="auto"/>
              <w:jc w:val="center"/>
            </w:pPr>
          </w:p>
        </w:tc>
      </w:tr>
      <w:tr w14:paraId="2507C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053"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0BCCD019">
            <w:pPr>
              <w:spacing w:line="288" w:lineRule="auto"/>
              <w:jc w:val="center"/>
            </w:pPr>
            <w:r>
              <w:rPr>
                <w:rFonts w:ascii="宋体" w:hAnsi="宋体" w:eastAsia="宋体" w:cs="宋体"/>
                <w:color w:val="000000"/>
                <w:sz w:val="21"/>
              </w:rPr>
              <w:t>4</w:t>
            </w:r>
          </w:p>
        </w:tc>
        <w:tc>
          <w:tcPr>
            <w:tcW w:w="1896"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570F50DA">
            <w:pPr>
              <w:spacing w:line="288" w:lineRule="auto"/>
              <w:jc w:val="center"/>
            </w:pPr>
          </w:p>
        </w:tc>
        <w:tc>
          <w:tcPr>
            <w:tcW w:w="1896"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28AA96E7">
            <w:pPr>
              <w:spacing w:line="288" w:lineRule="auto"/>
              <w:jc w:val="center"/>
            </w:pPr>
          </w:p>
        </w:tc>
        <w:tc>
          <w:tcPr>
            <w:tcW w:w="1896"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6BC7D4C2">
            <w:pPr>
              <w:spacing w:line="288" w:lineRule="auto"/>
              <w:jc w:val="center"/>
            </w:pPr>
          </w:p>
        </w:tc>
        <w:tc>
          <w:tcPr>
            <w:tcW w:w="1899"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33E5A5CB">
            <w:pPr>
              <w:spacing w:line="288" w:lineRule="auto"/>
              <w:jc w:val="center"/>
            </w:pPr>
          </w:p>
        </w:tc>
      </w:tr>
      <w:tr w14:paraId="5E72E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053"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76544129">
            <w:pPr>
              <w:spacing w:line="288" w:lineRule="auto"/>
              <w:jc w:val="center"/>
            </w:pPr>
            <w:r>
              <w:rPr>
                <w:rFonts w:ascii="宋体" w:hAnsi="宋体" w:eastAsia="宋体" w:cs="宋体"/>
                <w:color w:val="000000"/>
                <w:sz w:val="21"/>
              </w:rPr>
              <w:t>5</w:t>
            </w:r>
          </w:p>
        </w:tc>
        <w:tc>
          <w:tcPr>
            <w:tcW w:w="1896"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5CA7C102">
            <w:pPr>
              <w:spacing w:line="288" w:lineRule="auto"/>
              <w:jc w:val="center"/>
            </w:pPr>
          </w:p>
        </w:tc>
        <w:tc>
          <w:tcPr>
            <w:tcW w:w="1896"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756D5234">
            <w:pPr>
              <w:spacing w:line="288" w:lineRule="auto"/>
              <w:jc w:val="center"/>
            </w:pPr>
          </w:p>
        </w:tc>
        <w:tc>
          <w:tcPr>
            <w:tcW w:w="1896"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4773406A">
            <w:pPr>
              <w:spacing w:line="288" w:lineRule="auto"/>
              <w:jc w:val="center"/>
            </w:pPr>
          </w:p>
        </w:tc>
        <w:tc>
          <w:tcPr>
            <w:tcW w:w="1899" w:type="dxa"/>
            <w:tcBorders>
              <w:top w:val="single" w:color="000000" w:sz="6" w:space="0"/>
              <w:left w:val="single" w:color="000000" w:sz="6" w:space="0"/>
              <w:bottom w:val="single" w:color="000000" w:sz="6" w:space="0"/>
              <w:right w:val="single" w:color="000000" w:sz="6" w:space="0"/>
            </w:tcBorders>
            <w:tcMar>
              <w:top w:w="18" w:type="dxa"/>
              <w:left w:w="104" w:type="dxa"/>
              <w:bottom w:w="18" w:type="dxa"/>
              <w:right w:w="104" w:type="dxa"/>
            </w:tcMar>
            <w:vAlign w:val="center"/>
          </w:tcPr>
          <w:p w14:paraId="79057ED0">
            <w:pPr>
              <w:spacing w:line="288" w:lineRule="auto"/>
              <w:jc w:val="center"/>
            </w:pPr>
          </w:p>
        </w:tc>
      </w:tr>
    </w:tbl>
    <w:p w14:paraId="6CF989DA">
      <w:pPr>
        <w:spacing w:before="60" w:after="60" w:line="288" w:lineRule="auto"/>
        <w:ind w:firstLine="480"/>
      </w:pPr>
      <w:r>
        <w:rPr>
          <w:rFonts w:ascii="宋体" w:hAnsi="宋体" w:eastAsia="宋体" w:cs="宋体"/>
          <w:color w:val="000000"/>
          <w:sz w:val="24"/>
        </w:rPr>
        <w:t>投标方： 盖章：</w:t>
      </w:r>
    </w:p>
    <w:sectPr>
      <w:pgSz w:w="11906" w:h="16838"/>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宋体"/>
    <w:panose1 w:val="00000000000000000000"/>
    <w:charset w:val="86"/>
    <w:family w:val="auto"/>
    <w:pitch w:val="default"/>
    <w:sig w:usb0="00000000" w:usb1="00000000" w:usb2="00000000" w:usb3="00000000" w:csb0="00000000" w:csb1="00000000"/>
  </w:font>
  <w:font w:name="ＭＳ 明朝">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Segoe UI Emoji">
    <w:panose1 w:val="020B0502040204020203"/>
    <w:charset w:val="00"/>
    <w:family w:val="auto"/>
    <w:pitch w:val="default"/>
    <w:sig w:usb0="00000001" w:usb1="02000000" w:usb2="08000000" w:usb3="00000000" w:csb0="00000001" w:csb1="00000000"/>
  </w:font>
  <w:font w:name="ＭＳ 明朝">
    <w:altName w:val="Times New Roman"/>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B00009"/>
    <w:multiLevelType w:val="singleLevel"/>
    <w:tmpl w:val="A0B00009"/>
    <w:lvl w:ilvl="0" w:tentative="0">
      <w:start w:val="1"/>
      <w:numFmt w:val="bullet"/>
      <w:lvlText w:val="•"/>
      <w:lvlJc w:val="left"/>
      <w:pPr>
        <w:tabs>
          <w:tab w:val="left" w:pos="360"/>
        </w:tabs>
        <w:ind w:left="360" w:hanging="360"/>
      </w:pPr>
      <w:rPr>
        <w:rFonts w:ascii="微软雅黑" w:hAnsi="微软雅黑" w:eastAsia="微软雅黑" w:cs="微软雅黑"/>
        <w:sz w:val="28"/>
        <w:szCs w:val="28"/>
      </w:rPr>
    </w:lvl>
  </w:abstractNum>
  <w:abstractNum w:abstractNumId="1">
    <w:nsid w:val="E5793FD4"/>
    <w:multiLevelType w:val="multilevel"/>
    <w:tmpl w:val="E5793FD4"/>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FFFFFF7E"/>
    <w:multiLevelType w:val="singleLevel"/>
    <w:tmpl w:val="FFFFFF7E"/>
    <w:lvl w:ilvl="0" w:tentative="0">
      <w:start w:val="1"/>
      <w:numFmt w:val="decimal"/>
      <w:pStyle w:val="22"/>
      <w:lvlText w:val="%1."/>
      <w:lvlJc w:val="left"/>
      <w:pPr>
        <w:tabs>
          <w:tab w:val="left" w:pos="1080"/>
        </w:tabs>
        <w:ind w:left="1080" w:hanging="360"/>
      </w:pPr>
    </w:lvl>
  </w:abstractNum>
  <w:abstractNum w:abstractNumId="3">
    <w:nsid w:val="FFFFFF7F"/>
    <w:multiLevelType w:val="singleLevel"/>
    <w:tmpl w:val="FFFFFF7F"/>
    <w:lvl w:ilvl="0" w:tentative="0">
      <w:start w:val="1"/>
      <w:numFmt w:val="decimal"/>
      <w:pStyle w:val="15"/>
      <w:lvlText w:val="%1."/>
      <w:lvlJc w:val="left"/>
      <w:pPr>
        <w:tabs>
          <w:tab w:val="left" w:pos="720"/>
        </w:tabs>
        <w:ind w:left="720" w:hanging="360"/>
      </w:pPr>
    </w:lvl>
  </w:abstractNum>
  <w:abstractNum w:abstractNumId="4">
    <w:nsid w:val="FFFFFF82"/>
    <w:multiLevelType w:val="singleLevel"/>
    <w:tmpl w:val="FFFFFF82"/>
    <w:lvl w:ilvl="0" w:tentative="0">
      <w:start w:val="1"/>
      <w:numFmt w:val="bullet"/>
      <w:pStyle w:val="21"/>
      <w:lvlText w:val=""/>
      <w:lvlJc w:val="left"/>
      <w:pPr>
        <w:tabs>
          <w:tab w:val="left" w:pos="1080"/>
        </w:tabs>
        <w:ind w:left="1080" w:hanging="360"/>
      </w:pPr>
      <w:rPr>
        <w:rFonts w:hint="default" w:ascii="Symbol" w:hAnsi="Symbol"/>
      </w:rPr>
    </w:lvl>
  </w:abstractNum>
  <w:abstractNum w:abstractNumId="5">
    <w:nsid w:val="FFFFFF83"/>
    <w:multiLevelType w:val="singleLevel"/>
    <w:tmpl w:val="FFFFFF83"/>
    <w:lvl w:ilvl="0" w:tentative="0">
      <w:start w:val="1"/>
      <w:numFmt w:val="bullet"/>
      <w:pStyle w:val="25"/>
      <w:lvlText w:val=""/>
      <w:lvlJc w:val="left"/>
      <w:pPr>
        <w:tabs>
          <w:tab w:val="left" w:pos="720"/>
        </w:tabs>
        <w:ind w:left="720" w:hanging="360"/>
      </w:pPr>
      <w:rPr>
        <w:rFonts w:hint="default" w:ascii="Symbol" w:hAnsi="Symbol"/>
      </w:rPr>
    </w:lvl>
  </w:abstractNum>
  <w:abstractNum w:abstractNumId="6">
    <w:nsid w:val="FFFFFF88"/>
    <w:multiLevelType w:val="singleLevel"/>
    <w:tmpl w:val="FFFFFF88"/>
    <w:lvl w:ilvl="0" w:tentative="0">
      <w:start w:val="1"/>
      <w:numFmt w:val="decimal"/>
      <w:pStyle w:val="16"/>
      <w:lvlText w:val="%1."/>
      <w:lvlJc w:val="left"/>
      <w:pPr>
        <w:tabs>
          <w:tab w:val="left" w:pos="360"/>
        </w:tabs>
        <w:ind w:left="360" w:hanging="360"/>
      </w:pPr>
    </w:lvl>
  </w:abstractNum>
  <w:abstractNum w:abstractNumId="7">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num w:numId="1">
    <w:abstractNumId w:val="3"/>
  </w:num>
  <w:num w:numId="2">
    <w:abstractNumId w:val="6"/>
  </w:num>
  <w:num w:numId="3">
    <w:abstractNumId w:val="7"/>
  </w:num>
  <w:num w:numId="4">
    <w:abstractNumId w:val="4"/>
  </w:num>
  <w:num w:numId="5">
    <w:abstractNumId w:val="2"/>
  </w:num>
  <w:num w:numId="6">
    <w:abstractNumId w:val="5"/>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doNotDisplayPageBoundaries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0DBA161B"/>
    <w:rsid w:val="188C616C"/>
    <w:rsid w:val="18F3743D"/>
    <w:rsid w:val="2C5C1A8E"/>
    <w:rsid w:val="404535C5"/>
    <w:rsid w:val="52297F57"/>
    <w:rsid w:val="55014CFE"/>
    <w:rsid w:val="5F9D3581"/>
    <w:rsid w:val="65AB2BDB"/>
    <w:rsid w:val="722A57C3"/>
    <w:rsid w:val="72D80D10"/>
    <w:rsid w:val="7333555B"/>
    <w:rsid w:val="7F0D614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next w:val="2"/>
    <w:qFormat/>
    <w:uiPriority w:val="0"/>
    <w:pPr>
      <w:spacing w:before="0" w:after="0" w:line="276" w:lineRule="auto"/>
    </w:pPr>
    <w:rPr>
      <w:rFonts w:ascii="微软雅黑" w:hAnsi="微软雅黑" w:eastAsia="微软雅黑" w:cstheme="minorBidi"/>
      <w:sz w:val="24"/>
      <w:szCs w:val="22"/>
      <w:lang w:val="en-US" w:eastAsia="en-US" w:bidi="ar-SA"/>
    </w:rPr>
  </w:style>
  <w:style w:type="paragraph" w:styleId="5">
    <w:name w:val="heading 1"/>
    <w:basedOn w:val="1"/>
    <w:next w:val="1"/>
    <w:link w:val="139"/>
    <w:qFormat/>
    <w:uiPriority w:val="9"/>
    <w:pPr>
      <w:keepNext/>
      <w:keepLines/>
      <w:spacing w:before="480" w:after="0"/>
      <w:outlineLvl w:val="0"/>
    </w:pPr>
    <w:rPr>
      <w:rFonts w:ascii="微软雅黑" w:hAnsi="微软雅黑" w:eastAsia="微软雅黑" w:cs="微软雅黑"/>
      <w:b/>
      <w:bCs/>
      <w:color w:val="376092" w:themeColor="accent1" w:themeShade="BF"/>
      <w:sz w:val="28"/>
      <w:szCs w:val="28"/>
    </w:rPr>
  </w:style>
  <w:style w:type="paragraph" w:styleId="6">
    <w:name w:val="heading 2"/>
    <w:basedOn w:val="1"/>
    <w:next w:val="1"/>
    <w:link w:val="140"/>
    <w:unhideWhenUsed/>
    <w:qFormat/>
    <w:uiPriority w:val="9"/>
    <w:pPr>
      <w:keepNext/>
      <w:keepLines/>
      <w:spacing w:before="200" w:after="0"/>
      <w:outlineLvl w:val="1"/>
    </w:pPr>
    <w:rPr>
      <w:rFonts w:ascii="微软雅黑" w:hAnsi="微软雅黑" w:eastAsia="微软雅黑" w:cs="微软雅黑"/>
      <w:b/>
      <w:bCs/>
      <w:color w:val="4F81BD" w:themeColor="accent1"/>
      <w:sz w:val="26"/>
      <w:szCs w:val="26"/>
      <w14:textFill>
        <w14:solidFill>
          <w14:schemeClr w14:val="accent1"/>
        </w14:solidFill>
      </w14:textFill>
    </w:rPr>
  </w:style>
  <w:style w:type="paragraph" w:styleId="7">
    <w:name w:val="heading 3"/>
    <w:basedOn w:val="1"/>
    <w:next w:val="1"/>
    <w:link w:val="141"/>
    <w:unhideWhenUsed/>
    <w:qFormat/>
    <w:uiPriority w:val="9"/>
    <w:pPr>
      <w:keepNext/>
      <w:keepLines/>
      <w:spacing w:before="200" w:after="0"/>
      <w:outlineLvl w:val="2"/>
    </w:pPr>
    <w:rPr>
      <w:rFonts w:ascii="微软雅黑" w:hAnsi="微软雅黑" w:eastAsia="微软雅黑" w:cs="微软雅黑"/>
      <w:b/>
      <w:bCs/>
      <w:color w:val="4F81BD" w:themeColor="accent1"/>
      <w14:textFill>
        <w14:solidFill>
          <w14:schemeClr w14:val="accent1"/>
        </w14:solidFill>
      </w14:textFill>
    </w:rPr>
  </w:style>
  <w:style w:type="paragraph" w:styleId="8">
    <w:name w:val="heading 4"/>
    <w:basedOn w:val="1"/>
    <w:next w:val="1"/>
    <w:link w:val="151"/>
    <w:semiHidden/>
    <w:unhideWhenUsed/>
    <w:qFormat/>
    <w:uiPriority w:val="9"/>
    <w:pPr>
      <w:keepNext/>
      <w:keepLines/>
      <w:spacing w:before="200" w:after="0"/>
      <w:outlineLvl w:val="3"/>
    </w:pPr>
    <w:rPr>
      <w:rFonts w:ascii="微软雅黑" w:hAnsi="微软雅黑" w:eastAsia="微软雅黑" w:cs="微软雅黑"/>
      <w:b/>
      <w:bCs/>
      <w:color w:val="4F81BD" w:themeColor="accent1"/>
      <w14:textFill>
        <w14:solidFill>
          <w14:schemeClr w14:val="accent1"/>
        </w14:solidFill>
      </w14:textFill>
    </w:rPr>
  </w:style>
  <w:style w:type="paragraph" w:styleId="9">
    <w:name w:val="heading 5"/>
    <w:basedOn w:val="1"/>
    <w:next w:val="1"/>
    <w:link w:val="152"/>
    <w:semiHidden/>
    <w:unhideWhenUsed/>
    <w:qFormat/>
    <w:uiPriority w:val="9"/>
    <w:pPr>
      <w:keepNext/>
      <w:keepLines/>
      <w:spacing w:before="200" w:after="0"/>
      <w:outlineLvl w:val="4"/>
    </w:pPr>
    <w:rPr>
      <w:rFonts w:ascii="微软雅黑" w:hAnsi="微软雅黑" w:eastAsia="微软雅黑" w:cs="微软雅黑"/>
      <w:color w:val="254061" w:themeColor="accent1" w:themeShade="80"/>
    </w:rPr>
  </w:style>
  <w:style w:type="paragraph" w:styleId="10">
    <w:name w:val="heading 6"/>
    <w:basedOn w:val="1"/>
    <w:next w:val="1"/>
    <w:link w:val="153"/>
    <w:semiHidden/>
    <w:unhideWhenUsed/>
    <w:qFormat/>
    <w:uiPriority w:val="9"/>
    <w:pPr>
      <w:keepNext/>
      <w:keepLines/>
      <w:spacing w:before="200" w:after="0"/>
      <w:outlineLvl w:val="5"/>
    </w:pPr>
    <w:rPr>
      <w:rFonts w:ascii="微软雅黑" w:hAnsi="微软雅黑" w:eastAsia="微软雅黑" w:cs="微软雅黑"/>
      <w:color w:val="254061" w:themeColor="accent1" w:themeShade="80"/>
    </w:rPr>
  </w:style>
  <w:style w:type="paragraph" w:styleId="11">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2">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3">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45"/>
    <w:unhideWhenUsed/>
    <w:qFormat/>
    <w:uiPriority w:val="99"/>
    <w:pPr>
      <w:spacing w:after="120"/>
    </w:pPr>
  </w:style>
  <w:style w:type="paragraph" w:styleId="3">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paragraph" w:styleId="4">
    <w:name w:val="macro"/>
    <w:link w:val="148"/>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4">
    <w:name w:val="List 3"/>
    <w:basedOn w:val="1"/>
    <w:unhideWhenUsed/>
    <w:qFormat/>
    <w:uiPriority w:val="99"/>
    <w:pPr>
      <w:ind w:left="1080" w:hanging="360"/>
      <w:contextualSpacing/>
    </w:pPr>
  </w:style>
  <w:style w:type="paragraph" w:styleId="15">
    <w:name w:val="List Number 2"/>
    <w:basedOn w:val="1"/>
    <w:unhideWhenUsed/>
    <w:qFormat/>
    <w:uiPriority w:val="99"/>
    <w:pPr>
      <w:numPr>
        <w:ilvl w:val="0"/>
        <w:numId w:val="1"/>
      </w:numPr>
      <w:contextualSpacing/>
    </w:pPr>
  </w:style>
  <w:style w:type="paragraph" w:styleId="16">
    <w:name w:val="List Number"/>
    <w:basedOn w:val="1"/>
    <w:unhideWhenUsed/>
    <w:qFormat/>
    <w:uiPriority w:val="99"/>
    <w:pPr>
      <w:numPr>
        <w:ilvl w:val="0"/>
        <w:numId w:val="2"/>
      </w:numPr>
      <w:contextualSpacing/>
    </w:pPr>
  </w:style>
  <w:style w:type="paragraph" w:styleId="1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8">
    <w:name w:val="List Bullet"/>
    <w:basedOn w:val="1"/>
    <w:unhideWhenUsed/>
    <w:qFormat/>
    <w:uiPriority w:val="99"/>
    <w:pPr>
      <w:numPr>
        <w:ilvl w:val="0"/>
        <w:numId w:val="3"/>
      </w:numPr>
      <w:contextualSpacing/>
    </w:pPr>
  </w:style>
  <w:style w:type="paragraph" w:styleId="19">
    <w:name w:val="annotation text"/>
    <w:basedOn w:val="1"/>
    <w:semiHidden/>
    <w:unhideWhenUsed/>
    <w:qFormat/>
    <w:uiPriority w:val="99"/>
    <w:pPr>
      <w:jc w:val="left"/>
    </w:pPr>
  </w:style>
  <w:style w:type="paragraph" w:styleId="20">
    <w:name w:val="Body Text 3"/>
    <w:basedOn w:val="1"/>
    <w:link w:val="147"/>
    <w:unhideWhenUsed/>
    <w:qFormat/>
    <w:uiPriority w:val="99"/>
    <w:pPr>
      <w:spacing w:after="120"/>
    </w:pPr>
    <w:rPr>
      <w:sz w:val="16"/>
      <w:szCs w:val="16"/>
    </w:rPr>
  </w:style>
  <w:style w:type="paragraph" w:styleId="21">
    <w:name w:val="List Bullet 3"/>
    <w:basedOn w:val="1"/>
    <w:unhideWhenUsed/>
    <w:qFormat/>
    <w:uiPriority w:val="99"/>
    <w:pPr>
      <w:numPr>
        <w:ilvl w:val="0"/>
        <w:numId w:val="4"/>
      </w:numPr>
      <w:contextualSpacing/>
    </w:pPr>
  </w:style>
  <w:style w:type="paragraph" w:styleId="22">
    <w:name w:val="List Number 3"/>
    <w:basedOn w:val="1"/>
    <w:unhideWhenUsed/>
    <w:qFormat/>
    <w:uiPriority w:val="99"/>
    <w:pPr>
      <w:numPr>
        <w:ilvl w:val="0"/>
        <w:numId w:val="5"/>
      </w:numPr>
      <w:contextualSpacing/>
    </w:pPr>
  </w:style>
  <w:style w:type="paragraph" w:styleId="23">
    <w:name w:val="List 2"/>
    <w:basedOn w:val="1"/>
    <w:unhideWhenUsed/>
    <w:qFormat/>
    <w:uiPriority w:val="99"/>
    <w:pPr>
      <w:ind w:left="720" w:hanging="360"/>
      <w:contextualSpacing/>
    </w:pPr>
  </w:style>
  <w:style w:type="paragraph" w:styleId="24">
    <w:name w:val="List Continue"/>
    <w:basedOn w:val="1"/>
    <w:unhideWhenUsed/>
    <w:qFormat/>
    <w:uiPriority w:val="99"/>
    <w:pPr>
      <w:spacing w:after="120"/>
      <w:ind w:left="360"/>
      <w:contextualSpacing/>
    </w:pPr>
  </w:style>
  <w:style w:type="paragraph" w:styleId="25">
    <w:name w:val="List Bullet 2"/>
    <w:basedOn w:val="1"/>
    <w:unhideWhenUsed/>
    <w:qFormat/>
    <w:uiPriority w:val="99"/>
    <w:pPr>
      <w:numPr>
        <w:ilvl w:val="0"/>
        <w:numId w:val="6"/>
      </w:numPr>
      <w:contextualSpacing/>
    </w:pPr>
  </w:style>
  <w:style w:type="paragraph" w:styleId="26">
    <w:name w:val="footer"/>
    <w:basedOn w:val="1"/>
    <w:link w:val="137"/>
    <w:unhideWhenUsed/>
    <w:qFormat/>
    <w:uiPriority w:val="99"/>
    <w:pPr>
      <w:tabs>
        <w:tab w:val="center" w:pos="4680"/>
        <w:tab w:val="right" w:pos="9360"/>
      </w:tabs>
      <w:spacing w:after="0" w:line="240" w:lineRule="auto"/>
    </w:pPr>
  </w:style>
  <w:style w:type="paragraph" w:styleId="27">
    <w:name w:val="header"/>
    <w:basedOn w:val="1"/>
    <w:link w:val="136"/>
    <w:unhideWhenUsed/>
    <w:qFormat/>
    <w:uiPriority w:val="99"/>
    <w:pPr>
      <w:tabs>
        <w:tab w:val="center" w:pos="4680"/>
        <w:tab w:val="right" w:pos="9360"/>
      </w:tabs>
      <w:spacing w:after="0" w:line="240" w:lineRule="auto"/>
    </w:pPr>
  </w:style>
  <w:style w:type="paragraph" w:styleId="28">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9">
    <w:name w:val="List"/>
    <w:basedOn w:val="1"/>
    <w:unhideWhenUsed/>
    <w:qFormat/>
    <w:uiPriority w:val="99"/>
    <w:pPr>
      <w:ind w:left="360" w:hanging="360"/>
      <w:contextualSpacing/>
    </w:pPr>
  </w:style>
  <w:style w:type="paragraph" w:styleId="30">
    <w:name w:val="Body Text 2"/>
    <w:basedOn w:val="1"/>
    <w:link w:val="146"/>
    <w:unhideWhenUsed/>
    <w:qFormat/>
    <w:uiPriority w:val="99"/>
    <w:pPr>
      <w:spacing w:after="120" w:line="480" w:lineRule="auto"/>
    </w:pPr>
  </w:style>
  <w:style w:type="paragraph" w:styleId="31">
    <w:name w:val="List Continue 2"/>
    <w:basedOn w:val="1"/>
    <w:unhideWhenUsed/>
    <w:qFormat/>
    <w:uiPriority w:val="99"/>
    <w:pPr>
      <w:spacing w:after="120"/>
      <w:ind w:left="720"/>
      <w:contextualSpacing/>
    </w:pPr>
  </w:style>
  <w:style w:type="paragraph" w:styleId="32">
    <w:name w:val="List Continue 3"/>
    <w:basedOn w:val="1"/>
    <w:unhideWhenUsed/>
    <w:qFormat/>
    <w:uiPriority w:val="99"/>
    <w:pPr>
      <w:spacing w:after="120"/>
      <w:ind w:left="1080"/>
      <w:contextualSpacing/>
    </w:pPr>
  </w:style>
  <w:style w:type="table" w:styleId="34">
    <w:name w:val="Table Grid"/>
    <w:basedOn w:val="3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7"/>
    <w:qFormat/>
    <w:uiPriority w:val="99"/>
  </w:style>
  <w:style w:type="character" w:customStyle="1" w:styleId="137">
    <w:name w:val="Footer Char"/>
    <w:basedOn w:val="133"/>
    <w:link w:val="26"/>
    <w:qFormat/>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5"/>
    <w:qFormat/>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6"/>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7"/>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8"/>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2"/>
    <w:qFormat/>
    <w:uiPriority w:val="99"/>
  </w:style>
  <w:style w:type="character" w:customStyle="1" w:styleId="146">
    <w:name w:val="Body Text 2 Char"/>
    <w:basedOn w:val="133"/>
    <w:link w:val="30"/>
    <w:qFormat/>
    <w:uiPriority w:val="99"/>
  </w:style>
  <w:style w:type="character" w:customStyle="1" w:styleId="147">
    <w:name w:val="Body Text 3 Char"/>
    <w:basedOn w:val="133"/>
    <w:link w:val="20"/>
    <w:qFormat/>
    <w:uiPriority w:val="99"/>
    <w:rPr>
      <w:sz w:val="16"/>
      <w:szCs w:val="16"/>
    </w:rPr>
  </w:style>
  <w:style w:type="character" w:customStyle="1" w:styleId="148">
    <w:name w:val="Macro Text Char"/>
    <w:basedOn w:val="133"/>
    <w:link w:val="4"/>
    <w:qFormat/>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qFormat/>
    <w:uiPriority w:val="29"/>
    <w:rPr>
      <w:i/>
      <w:iCs/>
      <w:color w:val="000000" w:themeColor="text1"/>
      <w14:textFill>
        <w14:solidFill>
          <w14:schemeClr w14:val="tx1"/>
        </w14:solidFill>
      </w14:textFill>
    </w:rPr>
  </w:style>
  <w:style w:type="character" w:customStyle="1" w:styleId="151">
    <w:name w:val="Heading 4 Char"/>
    <w:basedOn w:val="133"/>
    <w:link w:val="8"/>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9"/>
    <w:semiHidden/>
    <w:qFormat/>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10"/>
    <w:semiHidden/>
    <w:qFormat/>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11"/>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2"/>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3"/>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qFormat/>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5"/>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5072</Words>
  <Characters>5896</Characters>
  <Lines>0</Lines>
  <Paragraphs>0</Paragraphs>
  <TotalTime>1</TotalTime>
  <ScaleCrop>false</ScaleCrop>
  <LinksUpToDate>false</LinksUpToDate>
  <CharactersWithSpaces>6067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冯积家</cp:lastModifiedBy>
  <dcterms:modified xsi:type="dcterms:W3CDTF">2026-06-08T15:56:00Z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eyJoZGlkIjoiZmVlOTEyNTFjNTViZmFlNmNhMTk2MTk3MDFmZDZiM2IiLCJ1c2VySWQiOiIzOTA1ODA2NjYifQ==</vt:lpwstr>
  </property>
  <property fmtid="{D5CDD505-2E9C-101B-9397-08002B2CF9AE}" pid="3" name="KSOProductBuildVer">
    <vt:lpwstr>2052-12.1.0.26895</vt:lpwstr>
  </property>
  <property fmtid="{D5CDD505-2E9C-101B-9397-08002B2CF9AE}" pid="4" name="ICV">
    <vt:lpwstr>61B201EB9E404C49AB2B212B886842FF_13</vt:lpwstr>
  </property>
</Properties>
</file>