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DD97D9">
      <w:pPr>
        <w:spacing w:before="156"/>
        <w:jc w:val="center"/>
        <w:rPr>
          <w:rFonts w:hint="eastAsia" w:ascii="宋体" w:hAnsi="宋体" w:eastAsia="宋体" w:cs="宋体"/>
          <w:b/>
          <w:bCs/>
          <w:sz w:val="36"/>
          <w:szCs w:val="36"/>
          <w:u w:val="none"/>
          <w:lang w:val="en-US"/>
        </w:rPr>
      </w:pPr>
      <w:bookmarkStart w:id="0" w:name="_Toc131134226"/>
      <w:bookmarkStart w:id="1" w:name="_Toc183578143"/>
      <w:bookmarkStart w:id="2" w:name="_Toc131134327"/>
      <w:bookmarkStart w:id="3" w:name="_Toc131168595"/>
      <w:bookmarkStart w:id="4" w:name="_Toc131133981"/>
      <w:bookmarkStart w:id="5" w:name="_Toc114028927"/>
      <w:r>
        <w:rPr>
          <w:rFonts w:hint="eastAsia" w:ascii="宋体" w:hAnsi="宋体" w:eastAsia="宋体" w:cs="宋体"/>
          <w:b/>
          <w:bCs/>
          <w:sz w:val="36"/>
          <w:szCs w:val="36"/>
          <w:u w:val="none"/>
          <w:lang w:val="en-US" w:eastAsia="zh-CN"/>
        </w:rPr>
        <w:drawing>
          <wp:anchor distT="0" distB="0" distL="114300" distR="114300" simplePos="0" relativeHeight="251659264" behindDoc="1" locked="0" layoutInCell="1" allowOverlap="1">
            <wp:simplePos x="0" y="0"/>
            <wp:positionH relativeFrom="column">
              <wp:posOffset>-1201420</wp:posOffset>
            </wp:positionH>
            <wp:positionV relativeFrom="paragraph">
              <wp:posOffset>-944880</wp:posOffset>
            </wp:positionV>
            <wp:extent cx="7578090" cy="2736850"/>
            <wp:effectExtent l="0" t="0" r="3810" b="6350"/>
            <wp:wrapTight wrapText="bothSides">
              <wp:wrapPolygon>
                <wp:start x="0" y="0"/>
                <wp:lineTo x="0" y="21550"/>
                <wp:lineTo x="21575" y="21550"/>
                <wp:lineTo x="21575" y="0"/>
                <wp:lineTo x="0" y="0"/>
              </wp:wrapPolygon>
            </wp:wrapTight>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6"/>
                    <a:stretch>
                      <a:fillRect/>
                    </a:stretch>
                  </pic:blipFill>
                  <pic:spPr>
                    <a:xfrm>
                      <a:off x="0" y="0"/>
                      <a:ext cx="7578090" cy="2736850"/>
                    </a:xfrm>
                    <a:prstGeom prst="rect">
                      <a:avLst/>
                    </a:prstGeom>
                    <a:noFill/>
                    <a:ln>
                      <a:noFill/>
                    </a:ln>
                  </pic:spPr>
                </pic:pic>
              </a:graphicData>
            </a:graphic>
          </wp:anchor>
        </w:drawing>
      </w:r>
    </w:p>
    <w:p w14:paraId="5A79DBE3">
      <w:pPr>
        <w:spacing w:before="624" w:beforeLines="200" w:line="0" w:lineRule="atLeast"/>
        <w:jc w:val="center"/>
        <w:rPr>
          <w:rFonts w:hint="eastAsia" w:ascii="宋体" w:hAnsi="宋体" w:eastAsia="宋体" w:cs="宋体"/>
          <w:b/>
          <w:sz w:val="48"/>
          <w:szCs w:val="21"/>
        </w:rPr>
      </w:pPr>
      <w:r>
        <w:rPr>
          <w:rFonts w:hint="eastAsia" w:ascii="宋体" w:hAnsi="宋体" w:cs="宋体"/>
          <w:b/>
          <w:bCs/>
          <w:sz w:val="40"/>
          <w:szCs w:val="40"/>
          <w:u w:val="none"/>
          <w:lang w:val="en-US" w:eastAsia="zh-CN"/>
        </w:rPr>
        <w:t>-一种永磁开关动态检测装置的研究与应用</w:t>
      </w:r>
      <w:r>
        <w:rPr>
          <w:rFonts w:hint="eastAsia" w:ascii="宋体" w:hAnsi="宋体" w:eastAsia="宋体" w:cs="宋体"/>
          <w:b/>
          <w:bCs/>
          <w:sz w:val="40"/>
          <w:szCs w:val="40"/>
          <w:u w:val="none"/>
          <w:lang w:val="en-US" w:eastAsia="zh-CN"/>
        </w:rPr>
        <w:t>项目技术规范书</w:t>
      </w:r>
      <w:r>
        <w:rPr>
          <w:rFonts w:hint="eastAsia" w:ascii="宋体" w:hAnsi="宋体" w:eastAsia="宋体" w:cs="宋体"/>
          <w:b/>
          <w:sz w:val="48"/>
          <w:szCs w:val="21"/>
        </w:rPr>
        <w:t xml:space="preserve"> </w:t>
      </w:r>
    </w:p>
    <w:p w14:paraId="4D55C732">
      <w:pPr>
        <w:pStyle w:val="8"/>
        <w:ind w:firstLine="480"/>
        <w:outlineLvl w:val="9"/>
        <w:rPr>
          <w:rFonts w:hint="eastAsia" w:ascii="宋体" w:hAnsi="宋体" w:eastAsia="宋体" w:cs="宋体"/>
        </w:rPr>
      </w:pPr>
    </w:p>
    <w:p w14:paraId="0C6BAAEF">
      <w:pPr>
        <w:bidi w:val="0"/>
        <w:outlineLvl w:val="9"/>
        <w:rPr>
          <w:rFonts w:hint="eastAsia" w:ascii="宋体" w:hAnsi="宋体" w:eastAsia="宋体" w:cs="宋体"/>
        </w:rPr>
      </w:pPr>
    </w:p>
    <w:p w14:paraId="2CAD158D">
      <w:pPr>
        <w:outlineLvl w:val="9"/>
        <w:rPr>
          <w:rFonts w:hint="eastAsia" w:ascii="宋体" w:hAnsi="宋体" w:eastAsia="宋体" w:cs="宋体"/>
        </w:rPr>
      </w:pPr>
    </w:p>
    <w:p w14:paraId="31E5BC36">
      <w:pPr>
        <w:pStyle w:val="8"/>
        <w:outlineLvl w:val="9"/>
        <w:rPr>
          <w:rFonts w:hint="eastAsia" w:ascii="宋体" w:hAnsi="宋体" w:eastAsia="宋体" w:cs="宋体"/>
        </w:rPr>
      </w:pPr>
    </w:p>
    <w:p w14:paraId="4D7DF348">
      <w:pPr>
        <w:bidi w:val="0"/>
        <w:outlineLvl w:val="9"/>
        <w:rPr>
          <w:rFonts w:hint="eastAsia" w:ascii="宋体" w:hAnsi="宋体" w:eastAsia="宋体" w:cs="宋体"/>
        </w:rPr>
      </w:pPr>
    </w:p>
    <w:p w14:paraId="747442E5">
      <w:pPr>
        <w:outlineLvl w:val="9"/>
        <w:rPr>
          <w:rFonts w:hint="eastAsia" w:ascii="宋体" w:hAnsi="宋体" w:eastAsia="宋体" w:cs="宋体"/>
        </w:rPr>
      </w:pPr>
    </w:p>
    <w:p w14:paraId="53142B31">
      <w:pPr>
        <w:pageBreakBefore w:val="0"/>
        <w:numPr>
          <w:ilvl w:val="0"/>
          <w:numId w:val="0"/>
        </w:numPr>
        <w:kinsoku/>
        <w:wordWrap/>
        <w:overflowPunct/>
        <w:topLinePunct w:val="0"/>
        <w:autoSpaceDE/>
        <w:autoSpaceDN/>
        <w:bidi w:val="0"/>
        <w:adjustRightInd/>
        <w:snapToGrid/>
        <w:ind w:leftChars="0"/>
        <w:textAlignment w:val="auto"/>
        <w:outlineLvl w:val="9"/>
        <w:rPr>
          <w:rFonts w:hint="eastAsia" w:ascii="宋体" w:hAnsi="宋体" w:eastAsia="宋体" w:cs="宋体"/>
        </w:rPr>
      </w:pPr>
    </w:p>
    <w:p w14:paraId="26607F15">
      <w:pPr>
        <w:pStyle w:val="8"/>
        <w:bidi w:val="0"/>
        <w:outlineLvl w:val="9"/>
        <w:rPr>
          <w:rFonts w:hint="eastAsia" w:ascii="宋体" w:hAnsi="宋体" w:eastAsia="宋体" w:cs="宋体"/>
        </w:rPr>
      </w:pPr>
    </w:p>
    <w:p w14:paraId="1F4586B2">
      <w:pPr>
        <w:bidi w:val="0"/>
        <w:outlineLvl w:val="9"/>
        <w:rPr>
          <w:rFonts w:hint="eastAsia" w:ascii="宋体" w:hAnsi="宋体" w:eastAsia="宋体" w:cs="宋体"/>
        </w:rPr>
      </w:pPr>
    </w:p>
    <w:p w14:paraId="5111CA03">
      <w:pPr>
        <w:outlineLvl w:val="9"/>
        <w:rPr>
          <w:rFonts w:hint="eastAsia" w:ascii="宋体" w:hAnsi="宋体" w:eastAsia="宋体" w:cs="宋体"/>
        </w:rPr>
      </w:pPr>
    </w:p>
    <w:p w14:paraId="320B0281">
      <w:pPr>
        <w:pageBreakBefore w:val="0"/>
        <w:numPr>
          <w:ilvl w:val="0"/>
          <w:numId w:val="0"/>
        </w:numPr>
        <w:kinsoku/>
        <w:wordWrap/>
        <w:overflowPunct/>
        <w:topLinePunct w:val="0"/>
        <w:autoSpaceDE/>
        <w:autoSpaceDN/>
        <w:bidi w:val="0"/>
        <w:adjustRightInd/>
        <w:snapToGrid/>
        <w:ind w:leftChars="0"/>
        <w:textAlignment w:val="auto"/>
        <w:outlineLvl w:val="9"/>
        <w:rPr>
          <w:rFonts w:hint="eastAsia" w:ascii="宋体" w:hAnsi="宋体" w:eastAsia="宋体" w:cs="宋体"/>
        </w:rPr>
      </w:pPr>
    </w:p>
    <w:p w14:paraId="64D30EFF">
      <w:pPr>
        <w:outlineLvl w:val="9"/>
        <w:rPr>
          <w:rFonts w:hint="eastAsia" w:ascii="宋体" w:hAnsi="宋体" w:eastAsia="宋体" w:cs="宋体"/>
        </w:rPr>
      </w:pPr>
    </w:p>
    <w:p w14:paraId="03978123">
      <w:pPr>
        <w:pStyle w:val="8"/>
        <w:outlineLvl w:val="9"/>
        <w:rPr>
          <w:rFonts w:hint="eastAsia" w:ascii="宋体" w:hAnsi="宋体" w:eastAsia="宋体" w:cs="宋体"/>
        </w:rPr>
      </w:pPr>
    </w:p>
    <w:p w14:paraId="742E3818">
      <w:pPr>
        <w:keepNext w:val="0"/>
        <w:keepLines w:val="0"/>
        <w:pageBreakBefore w:val="0"/>
        <w:widowControl w:val="0"/>
        <w:kinsoku/>
        <w:wordWrap/>
        <w:overflowPunct/>
        <w:topLinePunct w:val="0"/>
        <w:autoSpaceDE/>
        <w:autoSpaceDN/>
        <w:bidi w:val="0"/>
        <w:adjustRightInd/>
        <w:snapToGrid/>
        <w:spacing w:before="624" w:beforeLines="200" w:line="0" w:lineRule="atLeast"/>
        <w:jc w:val="center"/>
        <w:textAlignment w:val="auto"/>
        <w:outlineLvl w:val="9"/>
        <w:rPr>
          <w:rFonts w:hint="eastAsia" w:ascii="宋体" w:hAnsi="宋体" w:eastAsia="宋体" w:cs="宋体"/>
          <w:b/>
          <w:sz w:val="36"/>
        </w:rPr>
      </w:pPr>
      <w:bookmarkStart w:id="6" w:name="_Toc20399"/>
      <w:bookmarkStart w:id="7" w:name="_Toc17545"/>
      <w:bookmarkStart w:id="8" w:name="_Toc3200"/>
      <w:bookmarkStart w:id="9" w:name="_Toc620"/>
      <w:bookmarkStart w:id="10" w:name="_Toc20233"/>
      <w:bookmarkStart w:id="11" w:name="_Toc11253"/>
      <w:bookmarkStart w:id="12" w:name="_Toc6890"/>
      <w:r>
        <w:rPr>
          <w:rFonts w:hint="eastAsia" w:ascii="宋体" w:hAnsi="宋体" w:eastAsia="宋体" w:cs="宋体"/>
          <w:b/>
          <w:sz w:val="36"/>
          <w:lang w:val="en-US" w:eastAsia="zh-CN"/>
        </w:rPr>
        <w:t>广东电网有限责任公司</w:t>
      </w:r>
      <w:r>
        <w:rPr>
          <w:rFonts w:hint="eastAsia" w:ascii="宋体" w:hAnsi="宋体" w:cs="宋体"/>
          <w:b/>
          <w:sz w:val="36"/>
          <w:lang w:val="en-US" w:eastAsia="zh-CN"/>
        </w:rPr>
        <w:t>梅州蕉岭</w:t>
      </w:r>
      <w:r>
        <w:rPr>
          <w:rFonts w:hint="eastAsia" w:ascii="宋体" w:hAnsi="宋体" w:eastAsia="宋体" w:cs="宋体"/>
          <w:b/>
          <w:sz w:val="36"/>
          <w:lang w:val="en-US" w:eastAsia="zh-CN"/>
        </w:rPr>
        <w:t>供电局</w:t>
      </w:r>
      <w:bookmarkEnd w:id="6"/>
      <w:bookmarkEnd w:id="7"/>
      <w:bookmarkEnd w:id="8"/>
      <w:bookmarkEnd w:id="9"/>
      <w:bookmarkEnd w:id="10"/>
      <w:bookmarkEnd w:id="11"/>
      <w:bookmarkEnd w:id="12"/>
    </w:p>
    <w:p w14:paraId="7AE1ED08">
      <w:pPr>
        <w:spacing w:line="360" w:lineRule="auto"/>
        <w:jc w:val="center"/>
        <w:rPr>
          <w:rFonts w:hint="eastAsia" w:ascii="宋体" w:hAnsi="宋体" w:eastAsia="宋体" w:cs="宋体"/>
          <w:b/>
          <w:sz w:val="36"/>
        </w:rPr>
      </w:pPr>
      <w:r>
        <w:rPr>
          <w:rFonts w:hint="eastAsia" w:ascii="宋体" w:hAnsi="宋体" w:eastAsia="宋体" w:cs="宋体"/>
          <w:b/>
          <w:sz w:val="36"/>
        </w:rPr>
        <w:t>202</w:t>
      </w:r>
      <w:r>
        <w:rPr>
          <w:rFonts w:hint="eastAsia" w:ascii="宋体" w:hAnsi="宋体" w:cs="宋体"/>
          <w:b/>
          <w:sz w:val="36"/>
          <w:lang w:val="en-US" w:eastAsia="zh-CN"/>
        </w:rPr>
        <w:t>6</w:t>
      </w:r>
      <w:r>
        <w:rPr>
          <w:rFonts w:hint="eastAsia" w:ascii="宋体" w:hAnsi="宋体" w:eastAsia="宋体" w:cs="宋体"/>
          <w:b/>
          <w:sz w:val="36"/>
        </w:rPr>
        <w:t>年</w:t>
      </w:r>
      <w:r>
        <w:rPr>
          <w:rFonts w:hint="eastAsia" w:ascii="宋体" w:hAnsi="宋体" w:cs="宋体"/>
          <w:b/>
          <w:sz w:val="36"/>
          <w:lang w:val="en-US" w:eastAsia="zh-CN"/>
        </w:rPr>
        <w:t>6</w:t>
      </w:r>
      <w:r>
        <w:rPr>
          <w:rFonts w:hint="eastAsia" w:ascii="宋体" w:hAnsi="宋体" w:eastAsia="宋体" w:cs="宋体"/>
          <w:b/>
          <w:sz w:val="36"/>
        </w:rPr>
        <w:t xml:space="preserve">月  </w:t>
      </w:r>
      <w:bookmarkEnd w:id="0"/>
      <w:bookmarkEnd w:id="1"/>
      <w:bookmarkEnd w:id="2"/>
      <w:bookmarkEnd w:id="3"/>
      <w:bookmarkEnd w:id="4"/>
      <w:bookmarkEnd w:id="5"/>
    </w:p>
    <w:p w14:paraId="12BA7450">
      <w:pPr>
        <w:pStyle w:val="8"/>
        <w:keepNext w:val="0"/>
        <w:keepLines w:val="0"/>
        <w:pageBreakBefore w:val="0"/>
        <w:widowControl w:val="0"/>
        <w:kinsoku/>
        <w:wordWrap/>
        <w:overflowPunct/>
        <w:topLinePunct w:val="0"/>
        <w:autoSpaceDE/>
        <w:autoSpaceDN/>
        <w:bidi w:val="0"/>
        <w:adjustRightInd/>
        <w:snapToGrid/>
        <w:ind w:firstLine="723"/>
        <w:jc w:val="center"/>
        <w:textAlignment w:val="auto"/>
        <w:outlineLvl w:val="9"/>
        <w:rPr>
          <w:rFonts w:hint="eastAsia" w:ascii="宋体" w:hAnsi="宋体" w:eastAsia="宋体" w:cs="宋体"/>
          <w:b/>
          <w:sz w:val="32"/>
          <w:szCs w:val="32"/>
        </w:rPr>
      </w:pPr>
      <w:r>
        <w:rPr>
          <w:rFonts w:hint="eastAsia" w:ascii="宋体" w:hAnsi="宋体" w:eastAsia="宋体" w:cs="宋体"/>
          <w:b/>
          <w:sz w:val="36"/>
        </w:rPr>
        <w:br w:type="page"/>
      </w:r>
      <w:r>
        <w:rPr>
          <w:rFonts w:hint="eastAsia" w:ascii="宋体" w:hAnsi="宋体" w:eastAsia="宋体" w:cs="宋体"/>
          <w:b/>
          <w:sz w:val="32"/>
          <w:szCs w:val="32"/>
        </w:rPr>
        <w:t>目 录</w:t>
      </w:r>
    </w:p>
    <w:p w14:paraId="6CDBEBBC">
      <w:pPr>
        <w:pStyle w:val="17"/>
        <w:tabs>
          <w:tab w:val="right" w:leader="dot" w:pos="8312"/>
        </w:tabs>
      </w:pPr>
      <w:bookmarkStart w:id="37" w:name="_GoBack"/>
      <w:bookmarkEnd w:id="37"/>
      <w:r>
        <w:rPr>
          <w:rFonts w:hint="eastAsia" w:ascii="宋体" w:hAnsi="宋体" w:eastAsia="宋体" w:cs="宋体"/>
          <w:b/>
          <w:bCs/>
          <w:caps/>
          <w:sz w:val="24"/>
          <w:szCs w:val="24"/>
        </w:rPr>
        <w:fldChar w:fldCharType="begin"/>
      </w:r>
      <w:r>
        <w:rPr>
          <w:rFonts w:hint="eastAsia" w:ascii="宋体" w:hAnsi="宋体" w:eastAsia="宋体" w:cs="宋体"/>
          <w:b/>
          <w:bCs/>
          <w:caps/>
          <w:sz w:val="24"/>
          <w:szCs w:val="24"/>
        </w:rPr>
        <w:instrText xml:space="preserve">TOC \o "1-2" \h \u </w:instrText>
      </w:r>
      <w:r>
        <w:rPr>
          <w:rFonts w:hint="eastAsia" w:ascii="宋体" w:hAnsi="宋体" w:eastAsia="宋体" w:cs="宋体"/>
          <w:b/>
          <w:bCs/>
          <w:caps/>
          <w:sz w:val="24"/>
          <w:szCs w:val="24"/>
        </w:rPr>
        <w:fldChar w:fldCharType="separate"/>
      </w:r>
      <w:r>
        <w:rPr>
          <w:rFonts w:hint="eastAsia" w:ascii="宋体" w:hAnsi="宋体" w:eastAsia="宋体" w:cs="宋体"/>
          <w:bCs/>
          <w:caps/>
          <w:szCs w:val="24"/>
        </w:rPr>
        <w:fldChar w:fldCharType="begin"/>
      </w:r>
      <w:r>
        <w:rPr>
          <w:rFonts w:hint="eastAsia" w:ascii="宋体" w:hAnsi="宋体" w:eastAsia="宋体" w:cs="宋体"/>
          <w:bCs/>
          <w:caps/>
          <w:szCs w:val="24"/>
        </w:rPr>
        <w:instrText xml:space="preserve"> HYPERLINK \l _Toc3162 </w:instrText>
      </w:r>
      <w:r>
        <w:rPr>
          <w:rFonts w:hint="eastAsia" w:ascii="宋体" w:hAnsi="宋体" w:eastAsia="宋体" w:cs="宋体"/>
          <w:bCs/>
          <w:caps/>
          <w:szCs w:val="24"/>
        </w:rPr>
        <w:fldChar w:fldCharType="separate"/>
      </w:r>
      <w:r>
        <w:rPr>
          <w:rFonts w:hint="eastAsia" w:ascii="宋体" w:hAnsi="宋体" w:eastAsia="宋体" w:cs="宋体"/>
          <w:bCs w:val="0"/>
          <w:i w:val="0"/>
          <w:iCs w:val="0"/>
          <w:caps w:val="0"/>
          <w:smallCaps w:val="0"/>
          <w:spacing w:val="0"/>
          <w:w w:val="100"/>
          <w:kern w:val="0"/>
          <w:position w:val="0"/>
          <w:highlight w:val="none"/>
          <w:vertAlign w:val="baseline"/>
          <w:lang w:val="zh-TW" w:eastAsia="zh-TW"/>
        </w:rPr>
        <w:t xml:space="preserve">1. </w:t>
      </w:r>
      <w:r>
        <w:rPr>
          <w:rFonts w:hint="eastAsia" w:ascii="宋体" w:hAnsi="宋体" w:eastAsia="宋体" w:cs="宋体"/>
          <w:bCs/>
          <w:highlight w:val="none"/>
          <w:lang w:val="en-US" w:eastAsia="zh-CN"/>
        </w:rPr>
        <w:t>应遵循的主要标准</w:t>
      </w:r>
      <w:r>
        <w:tab/>
      </w:r>
      <w:r>
        <w:fldChar w:fldCharType="begin"/>
      </w:r>
      <w:r>
        <w:instrText xml:space="preserve"> PAGEREF _Toc3162 \h </w:instrText>
      </w:r>
      <w:r>
        <w:fldChar w:fldCharType="separate"/>
      </w:r>
      <w:r>
        <w:t>1</w:t>
      </w:r>
      <w:r>
        <w:fldChar w:fldCharType="end"/>
      </w:r>
      <w:r>
        <w:rPr>
          <w:rFonts w:hint="eastAsia" w:ascii="宋体" w:hAnsi="宋体" w:eastAsia="宋体" w:cs="宋体"/>
          <w:bCs/>
          <w:caps/>
          <w:szCs w:val="24"/>
        </w:rPr>
        <w:fldChar w:fldCharType="end"/>
      </w:r>
    </w:p>
    <w:p w14:paraId="6A190043">
      <w:pPr>
        <w:pStyle w:val="17"/>
        <w:tabs>
          <w:tab w:val="right" w:leader="dot" w:pos="8312"/>
        </w:tabs>
      </w:pPr>
      <w:r>
        <w:rPr>
          <w:rFonts w:hint="eastAsia" w:ascii="宋体" w:hAnsi="宋体" w:eastAsia="宋体" w:cs="宋体"/>
          <w:bCs w:val="0"/>
          <w:caps w:val="0"/>
          <w:szCs w:val="24"/>
        </w:rPr>
        <w:fldChar w:fldCharType="begin"/>
      </w:r>
      <w:r>
        <w:rPr>
          <w:rFonts w:hint="eastAsia" w:ascii="宋体" w:hAnsi="宋体" w:eastAsia="宋体" w:cs="宋体"/>
          <w:bCs w:val="0"/>
          <w:caps w:val="0"/>
          <w:szCs w:val="24"/>
        </w:rPr>
        <w:instrText xml:space="preserve"> HYPERLINK \l _Toc30209 </w:instrText>
      </w:r>
      <w:r>
        <w:rPr>
          <w:rFonts w:hint="eastAsia" w:ascii="宋体" w:hAnsi="宋体" w:eastAsia="宋体" w:cs="宋体"/>
          <w:bCs w:val="0"/>
          <w:caps w:val="0"/>
          <w:szCs w:val="24"/>
        </w:rPr>
        <w:fldChar w:fldCharType="separate"/>
      </w:r>
      <w:r>
        <w:rPr>
          <w:rFonts w:hint="eastAsia" w:ascii="宋体" w:hAnsi="宋体" w:eastAsia="宋体" w:cs="宋体"/>
          <w:bCs w:val="0"/>
          <w:i w:val="0"/>
          <w:iCs w:val="0"/>
          <w:caps w:val="0"/>
          <w:smallCaps w:val="0"/>
          <w:spacing w:val="0"/>
          <w:w w:val="100"/>
          <w:kern w:val="0"/>
          <w:position w:val="0"/>
          <w:highlight w:val="none"/>
          <w:vertAlign w:val="baseline"/>
          <w:lang w:val="zh-TW" w:eastAsia="zh-TW"/>
        </w:rPr>
        <w:t xml:space="preserve">2. </w:t>
      </w:r>
      <w:r>
        <w:rPr>
          <w:rFonts w:hint="eastAsia" w:ascii="宋体" w:hAnsi="宋体" w:eastAsia="宋体" w:cs="宋体"/>
          <w:bCs/>
          <w:highlight w:val="none"/>
          <w:lang w:val="en-US" w:eastAsia="zh-CN"/>
        </w:rPr>
        <w:t>使用条件</w:t>
      </w:r>
      <w:r>
        <w:tab/>
      </w:r>
      <w:r>
        <w:fldChar w:fldCharType="begin"/>
      </w:r>
      <w:r>
        <w:instrText xml:space="preserve"> PAGEREF _Toc30209 \h </w:instrText>
      </w:r>
      <w:r>
        <w:fldChar w:fldCharType="separate"/>
      </w:r>
      <w:r>
        <w:t>1</w:t>
      </w:r>
      <w:r>
        <w:fldChar w:fldCharType="end"/>
      </w:r>
      <w:r>
        <w:rPr>
          <w:rFonts w:hint="eastAsia" w:ascii="宋体" w:hAnsi="宋体" w:eastAsia="宋体" w:cs="宋体"/>
          <w:bCs w:val="0"/>
          <w:caps w:val="0"/>
          <w:szCs w:val="24"/>
        </w:rPr>
        <w:fldChar w:fldCharType="end"/>
      </w:r>
    </w:p>
    <w:p w14:paraId="12CB4215">
      <w:pPr>
        <w:pStyle w:val="18"/>
        <w:tabs>
          <w:tab w:val="right" w:leader="dot" w:pos="8312"/>
        </w:tabs>
      </w:pPr>
      <w:r>
        <w:rPr>
          <w:rFonts w:hint="eastAsia" w:ascii="宋体" w:hAnsi="宋体" w:eastAsia="宋体" w:cs="宋体"/>
          <w:bCs w:val="0"/>
          <w:caps w:val="0"/>
          <w:szCs w:val="24"/>
        </w:rPr>
        <w:fldChar w:fldCharType="begin"/>
      </w:r>
      <w:r>
        <w:rPr>
          <w:rFonts w:hint="eastAsia" w:ascii="宋体" w:hAnsi="宋体" w:eastAsia="宋体" w:cs="宋体"/>
          <w:bCs w:val="0"/>
          <w:caps w:val="0"/>
          <w:szCs w:val="24"/>
        </w:rPr>
        <w:instrText xml:space="preserve"> HYPERLINK \l _Toc27174 </w:instrText>
      </w:r>
      <w:r>
        <w:rPr>
          <w:rFonts w:hint="eastAsia" w:ascii="宋体" w:hAnsi="宋体" w:eastAsia="宋体" w:cs="宋体"/>
          <w:bCs w:val="0"/>
          <w:caps w:val="0"/>
          <w:szCs w:val="24"/>
        </w:rPr>
        <w:fldChar w:fldCharType="separate"/>
      </w:r>
      <w:r>
        <w:rPr>
          <w:rFonts w:hint="eastAsia" w:ascii="宋体" w:hAnsi="宋体" w:eastAsia="宋体" w:cs="宋体"/>
          <w:bCs w:val="0"/>
          <w:i w:val="0"/>
          <w:iCs w:val="0"/>
          <w:caps w:val="0"/>
          <w:smallCaps w:val="0"/>
          <w:spacing w:val="0"/>
          <w:w w:val="100"/>
          <w:kern w:val="0"/>
          <w:position w:val="0"/>
          <w:szCs w:val="32"/>
          <w:highlight w:val="none"/>
          <w:vertAlign w:val="baseline"/>
          <w:lang w:val="zh-TW" w:eastAsia="zh-TW"/>
        </w:rPr>
        <w:t xml:space="preserve">2.1. </w:t>
      </w:r>
      <w:r>
        <w:rPr>
          <w:rFonts w:hint="eastAsia" w:ascii="宋体" w:hAnsi="宋体" w:eastAsia="宋体" w:cs="宋体"/>
          <w:lang w:val="en-US" w:eastAsia="zh-CN"/>
        </w:rPr>
        <w:t>正常工作大气条件</w:t>
      </w:r>
      <w:r>
        <w:tab/>
      </w:r>
      <w:r>
        <w:fldChar w:fldCharType="begin"/>
      </w:r>
      <w:r>
        <w:instrText xml:space="preserve"> PAGEREF _Toc27174 \h </w:instrText>
      </w:r>
      <w:r>
        <w:fldChar w:fldCharType="separate"/>
      </w:r>
      <w:r>
        <w:t>1</w:t>
      </w:r>
      <w:r>
        <w:fldChar w:fldCharType="end"/>
      </w:r>
      <w:r>
        <w:rPr>
          <w:rFonts w:hint="eastAsia" w:ascii="宋体" w:hAnsi="宋体" w:eastAsia="宋体" w:cs="宋体"/>
          <w:bCs w:val="0"/>
          <w:caps w:val="0"/>
          <w:szCs w:val="24"/>
        </w:rPr>
        <w:fldChar w:fldCharType="end"/>
      </w:r>
    </w:p>
    <w:p w14:paraId="78695D65">
      <w:pPr>
        <w:pStyle w:val="18"/>
        <w:tabs>
          <w:tab w:val="right" w:leader="dot" w:pos="8312"/>
        </w:tabs>
      </w:pPr>
      <w:r>
        <w:rPr>
          <w:rFonts w:hint="eastAsia" w:ascii="宋体" w:hAnsi="宋体" w:eastAsia="宋体" w:cs="宋体"/>
          <w:bCs w:val="0"/>
          <w:caps w:val="0"/>
          <w:szCs w:val="24"/>
        </w:rPr>
        <w:fldChar w:fldCharType="begin"/>
      </w:r>
      <w:r>
        <w:rPr>
          <w:rFonts w:hint="eastAsia" w:ascii="宋体" w:hAnsi="宋体" w:eastAsia="宋体" w:cs="宋体"/>
          <w:bCs w:val="0"/>
          <w:caps w:val="0"/>
          <w:szCs w:val="24"/>
        </w:rPr>
        <w:instrText xml:space="preserve"> HYPERLINK \l _Toc11103 </w:instrText>
      </w:r>
      <w:r>
        <w:rPr>
          <w:rFonts w:hint="eastAsia" w:ascii="宋体" w:hAnsi="宋体" w:eastAsia="宋体" w:cs="宋体"/>
          <w:bCs w:val="0"/>
          <w:caps w:val="0"/>
          <w:szCs w:val="24"/>
        </w:rPr>
        <w:fldChar w:fldCharType="separate"/>
      </w:r>
      <w:r>
        <w:rPr>
          <w:rFonts w:hint="eastAsia" w:ascii="宋体" w:hAnsi="宋体" w:eastAsia="宋体" w:cs="宋体"/>
          <w:bCs w:val="0"/>
          <w:i w:val="0"/>
          <w:iCs w:val="0"/>
          <w:caps w:val="0"/>
          <w:smallCaps w:val="0"/>
          <w:spacing w:val="0"/>
          <w:w w:val="100"/>
          <w:kern w:val="0"/>
          <w:position w:val="0"/>
          <w:szCs w:val="32"/>
          <w:highlight w:val="none"/>
          <w:vertAlign w:val="baseline"/>
          <w:lang w:val="zh-TW" w:eastAsia="zh-TW"/>
        </w:rPr>
        <w:t xml:space="preserve">2.2. </w:t>
      </w:r>
      <w:r>
        <w:rPr>
          <w:rFonts w:hint="eastAsia" w:ascii="宋体" w:hAnsi="宋体" w:eastAsia="宋体" w:cs="宋体"/>
          <w:lang w:val="en-US" w:eastAsia="zh-CN"/>
        </w:rPr>
        <w:t>试验的标准大气条件</w:t>
      </w:r>
      <w:r>
        <w:tab/>
      </w:r>
      <w:r>
        <w:fldChar w:fldCharType="begin"/>
      </w:r>
      <w:r>
        <w:instrText xml:space="preserve"> PAGEREF _Toc11103 \h </w:instrText>
      </w:r>
      <w:r>
        <w:fldChar w:fldCharType="separate"/>
      </w:r>
      <w:r>
        <w:t>1</w:t>
      </w:r>
      <w:r>
        <w:fldChar w:fldCharType="end"/>
      </w:r>
      <w:r>
        <w:rPr>
          <w:rFonts w:hint="eastAsia" w:ascii="宋体" w:hAnsi="宋体" w:eastAsia="宋体" w:cs="宋体"/>
          <w:bCs w:val="0"/>
          <w:caps w:val="0"/>
          <w:szCs w:val="24"/>
        </w:rPr>
        <w:fldChar w:fldCharType="end"/>
      </w:r>
    </w:p>
    <w:p w14:paraId="64481ED2">
      <w:pPr>
        <w:pStyle w:val="18"/>
        <w:tabs>
          <w:tab w:val="right" w:leader="dot" w:pos="8312"/>
        </w:tabs>
      </w:pPr>
      <w:r>
        <w:rPr>
          <w:rFonts w:hint="eastAsia" w:ascii="宋体" w:hAnsi="宋体" w:eastAsia="宋体" w:cs="宋体"/>
          <w:bCs w:val="0"/>
          <w:caps w:val="0"/>
          <w:szCs w:val="24"/>
        </w:rPr>
        <w:fldChar w:fldCharType="begin"/>
      </w:r>
      <w:r>
        <w:rPr>
          <w:rFonts w:hint="eastAsia" w:ascii="宋体" w:hAnsi="宋体" w:eastAsia="宋体" w:cs="宋体"/>
          <w:bCs w:val="0"/>
          <w:caps w:val="0"/>
          <w:szCs w:val="24"/>
        </w:rPr>
        <w:instrText xml:space="preserve"> HYPERLINK \l _Toc15335 </w:instrText>
      </w:r>
      <w:r>
        <w:rPr>
          <w:rFonts w:hint="eastAsia" w:ascii="宋体" w:hAnsi="宋体" w:eastAsia="宋体" w:cs="宋体"/>
          <w:bCs w:val="0"/>
          <w:caps w:val="0"/>
          <w:szCs w:val="24"/>
        </w:rPr>
        <w:fldChar w:fldCharType="separate"/>
      </w:r>
      <w:r>
        <w:rPr>
          <w:rFonts w:hint="eastAsia" w:ascii="宋体" w:hAnsi="宋体" w:eastAsia="宋体" w:cs="宋体"/>
          <w:bCs w:val="0"/>
          <w:i w:val="0"/>
          <w:iCs w:val="0"/>
          <w:caps w:val="0"/>
          <w:smallCaps w:val="0"/>
          <w:spacing w:val="0"/>
          <w:w w:val="100"/>
          <w:kern w:val="0"/>
          <w:position w:val="0"/>
          <w:szCs w:val="32"/>
          <w:highlight w:val="none"/>
          <w:vertAlign w:val="baseline"/>
          <w:lang w:val="zh-TW" w:eastAsia="zh-TW"/>
        </w:rPr>
        <w:t xml:space="preserve">2.3. </w:t>
      </w:r>
      <w:r>
        <w:rPr>
          <w:rFonts w:hint="eastAsia" w:ascii="宋体" w:hAnsi="宋体" w:eastAsia="宋体" w:cs="宋体"/>
          <w:lang w:val="en-US" w:eastAsia="zh-CN"/>
        </w:rPr>
        <w:t>储存、运输极限环境温度</w:t>
      </w:r>
      <w:r>
        <w:tab/>
      </w:r>
      <w:r>
        <w:fldChar w:fldCharType="begin"/>
      </w:r>
      <w:r>
        <w:instrText xml:space="preserve"> PAGEREF _Toc15335 \h </w:instrText>
      </w:r>
      <w:r>
        <w:fldChar w:fldCharType="separate"/>
      </w:r>
      <w:r>
        <w:t>2</w:t>
      </w:r>
      <w:r>
        <w:fldChar w:fldCharType="end"/>
      </w:r>
      <w:r>
        <w:rPr>
          <w:rFonts w:hint="eastAsia" w:ascii="宋体" w:hAnsi="宋体" w:eastAsia="宋体" w:cs="宋体"/>
          <w:bCs w:val="0"/>
          <w:caps w:val="0"/>
          <w:szCs w:val="24"/>
        </w:rPr>
        <w:fldChar w:fldCharType="end"/>
      </w:r>
    </w:p>
    <w:p w14:paraId="4F874AE3">
      <w:pPr>
        <w:pStyle w:val="17"/>
        <w:tabs>
          <w:tab w:val="right" w:leader="dot" w:pos="8312"/>
        </w:tabs>
      </w:pPr>
      <w:r>
        <w:rPr>
          <w:rFonts w:hint="eastAsia" w:ascii="宋体" w:hAnsi="宋体" w:eastAsia="宋体" w:cs="宋体"/>
          <w:bCs w:val="0"/>
          <w:caps w:val="0"/>
          <w:szCs w:val="24"/>
        </w:rPr>
        <w:fldChar w:fldCharType="begin"/>
      </w:r>
      <w:r>
        <w:rPr>
          <w:rFonts w:hint="eastAsia" w:ascii="宋体" w:hAnsi="宋体" w:eastAsia="宋体" w:cs="宋体"/>
          <w:bCs w:val="0"/>
          <w:caps w:val="0"/>
          <w:szCs w:val="24"/>
        </w:rPr>
        <w:instrText xml:space="preserve"> HYPERLINK \l _Toc17959 </w:instrText>
      </w:r>
      <w:r>
        <w:rPr>
          <w:rFonts w:hint="eastAsia" w:ascii="宋体" w:hAnsi="宋体" w:eastAsia="宋体" w:cs="宋体"/>
          <w:bCs w:val="0"/>
          <w:caps w:val="0"/>
          <w:szCs w:val="24"/>
        </w:rPr>
        <w:fldChar w:fldCharType="separate"/>
      </w:r>
      <w:r>
        <w:rPr>
          <w:rFonts w:hint="eastAsia" w:ascii="宋体" w:hAnsi="宋体" w:eastAsia="宋体" w:cs="宋体"/>
          <w:bCs w:val="0"/>
          <w:i w:val="0"/>
          <w:iCs w:val="0"/>
          <w:caps w:val="0"/>
          <w:smallCaps w:val="0"/>
          <w:spacing w:val="0"/>
          <w:w w:val="100"/>
          <w:kern w:val="0"/>
          <w:position w:val="0"/>
          <w:highlight w:val="none"/>
          <w:vertAlign w:val="baseline"/>
          <w:lang w:val="zh-TW" w:eastAsia="zh-TW"/>
        </w:rPr>
        <w:t xml:space="preserve">3. </w:t>
      </w:r>
      <w:r>
        <w:rPr>
          <w:rFonts w:hint="eastAsia" w:ascii="宋体" w:hAnsi="宋体" w:eastAsia="宋体" w:cs="宋体"/>
          <w:bCs/>
          <w:highlight w:val="none"/>
          <w:lang w:val="en-US" w:eastAsia="zh-CN"/>
        </w:rPr>
        <w:t>项目要求</w:t>
      </w:r>
      <w:r>
        <w:tab/>
      </w:r>
      <w:r>
        <w:fldChar w:fldCharType="begin"/>
      </w:r>
      <w:r>
        <w:instrText xml:space="preserve"> PAGEREF _Toc17959 \h </w:instrText>
      </w:r>
      <w:r>
        <w:fldChar w:fldCharType="separate"/>
      </w:r>
      <w:r>
        <w:t>2</w:t>
      </w:r>
      <w:r>
        <w:fldChar w:fldCharType="end"/>
      </w:r>
      <w:r>
        <w:rPr>
          <w:rFonts w:hint="eastAsia" w:ascii="宋体" w:hAnsi="宋体" w:eastAsia="宋体" w:cs="宋体"/>
          <w:bCs w:val="0"/>
          <w:caps w:val="0"/>
          <w:szCs w:val="24"/>
        </w:rPr>
        <w:fldChar w:fldCharType="end"/>
      </w:r>
    </w:p>
    <w:p w14:paraId="60B8F0E7">
      <w:pPr>
        <w:pStyle w:val="18"/>
        <w:tabs>
          <w:tab w:val="right" w:leader="dot" w:pos="8312"/>
        </w:tabs>
      </w:pPr>
      <w:r>
        <w:rPr>
          <w:rFonts w:hint="eastAsia" w:ascii="宋体" w:hAnsi="宋体" w:eastAsia="宋体" w:cs="宋体"/>
          <w:bCs w:val="0"/>
          <w:caps w:val="0"/>
          <w:szCs w:val="24"/>
        </w:rPr>
        <w:fldChar w:fldCharType="begin"/>
      </w:r>
      <w:r>
        <w:rPr>
          <w:rFonts w:hint="eastAsia" w:ascii="宋体" w:hAnsi="宋体" w:eastAsia="宋体" w:cs="宋体"/>
          <w:bCs w:val="0"/>
          <w:caps w:val="0"/>
          <w:szCs w:val="24"/>
        </w:rPr>
        <w:instrText xml:space="preserve"> HYPERLINK \l _Toc2709 </w:instrText>
      </w:r>
      <w:r>
        <w:rPr>
          <w:rFonts w:hint="eastAsia" w:ascii="宋体" w:hAnsi="宋体" w:eastAsia="宋体" w:cs="宋体"/>
          <w:bCs w:val="0"/>
          <w:caps w:val="0"/>
          <w:szCs w:val="24"/>
        </w:rPr>
        <w:fldChar w:fldCharType="separate"/>
      </w:r>
      <w:r>
        <w:rPr>
          <w:rFonts w:hint="eastAsia" w:ascii="宋体" w:hAnsi="宋体" w:eastAsia="宋体" w:cs="宋体"/>
          <w:bCs w:val="0"/>
          <w:i w:val="0"/>
          <w:iCs w:val="0"/>
          <w:caps w:val="0"/>
          <w:smallCaps w:val="0"/>
          <w:spacing w:val="0"/>
          <w:w w:val="100"/>
          <w:kern w:val="0"/>
          <w:position w:val="0"/>
          <w:szCs w:val="32"/>
          <w:highlight w:val="none"/>
          <w:vertAlign w:val="baseline"/>
          <w:lang w:val="zh-TW" w:eastAsia="zh-TW"/>
        </w:rPr>
        <w:t xml:space="preserve">3.1. </w:t>
      </w:r>
      <w:r>
        <w:rPr>
          <w:rFonts w:hint="eastAsia" w:ascii="宋体" w:hAnsi="宋体" w:eastAsia="宋体" w:cs="宋体"/>
          <w:lang w:val="en-US" w:eastAsia="zh-CN"/>
        </w:rPr>
        <w:t>项目概况</w:t>
      </w:r>
      <w:r>
        <w:tab/>
      </w:r>
      <w:r>
        <w:fldChar w:fldCharType="begin"/>
      </w:r>
      <w:r>
        <w:instrText xml:space="preserve"> PAGEREF _Toc2709 \h </w:instrText>
      </w:r>
      <w:r>
        <w:fldChar w:fldCharType="separate"/>
      </w:r>
      <w:r>
        <w:t>2</w:t>
      </w:r>
      <w:r>
        <w:fldChar w:fldCharType="end"/>
      </w:r>
      <w:r>
        <w:rPr>
          <w:rFonts w:hint="eastAsia" w:ascii="宋体" w:hAnsi="宋体" w:eastAsia="宋体" w:cs="宋体"/>
          <w:bCs w:val="0"/>
          <w:caps w:val="0"/>
          <w:szCs w:val="24"/>
        </w:rPr>
        <w:fldChar w:fldCharType="end"/>
      </w:r>
    </w:p>
    <w:p w14:paraId="1693B16A">
      <w:pPr>
        <w:pStyle w:val="18"/>
        <w:tabs>
          <w:tab w:val="right" w:leader="dot" w:pos="8312"/>
        </w:tabs>
      </w:pPr>
      <w:r>
        <w:rPr>
          <w:rFonts w:hint="eastAsia" w:ascii="宋体" w:hAnsi="宋体" w:eastAsia="宋体" w:cs="宋体"/>
          <w:bCs w:val="0"/>
          <w:caps w:val="0"/>
          <w:szCs w:val="24"/>
        </w:rPr>
        <w:fldChar w:fldCharType="begin"/>
      </w:r>
      <w:r>
        <w:rPr>
          <w:rFonts w:hint="eastAsia" w:ascii="宋体" w:hAnsi="宋体" w:eastAsia="宋体" w:cs="宋体"/>
          <w:bCs w:val="0"/>
          <w:caps w:val="0"/>
          <w:szCs w:val="24"/>
        </w:rPr>
        <w:instrText xml:space="preserve"> HYPERLINK \l _Toc4016 </w:instrText>
      </w:r>
      <w:r>
        <w:rPr>
          <w:rFonts w:hint="eastAsia" w:ascii="宋体" w:hAnsi="宋体" w:eastAsia="宋体" w:cs="宋体"/>
          <w:bCs w:val="0"/>
          <w:caps w:val="0"/>
          <w:szCs w:val="24"/>
        </w:rPr>
        <w:fldChar w:fldCharType="separate"/>
      </w:r>
      <w:r>
        <w:rPr>
          <w:rFonts w:hint="eastAsia" w:ascii="宋体" w:hAnsi="宋体" w:eastAsia="宋体" w:cs="宋体"/>
          <w:bCs w:val="0"/>
          <w:i w:val="0"/>
          <w:iCs w:val="0"/>
          <w:caps w:val="0"/>
          <w:smallCaps w:val="0"/>
          <w:spacing w:val="0"/>
          <w:w w:val="100"/>
          <w:kern w:val="0"/>
          <w:position w:val="0"/>
          <w:szCs w:val="32"/>
          <w:highlight w:val="none"/>
          <w:vertAlign w:val="baseline"/>
          <w:lang w:val="zh-TW" w:eastAsia="zh-TW"/>
        </w:rPr>
        <w:t xml:space="preserve">3.2. </w:t>
      </w:r>
      <w:r>
        <w:rPr>
          <w:rFonts w:hint="eastAsia" w:ascii="宋体" w:hAnsi="宋体" w:eastAsia="宋体" w:cs="宋体"/>
          <w:lang w:val="en-US" w:eastAsia="zh-CN"/>
        </w:rPr>
        <w:t>服务范围</w:t>
      </w:r>
      <w:r>
        <w:tab/>
      </w:r>
      <w:r>
        <w:fldChar w:fldCharType="begin"/>
      </w:r>
      <w:r>
        <w:instrText xml:space="preserve"> PAGEREF _Toc4016 \h </w:instrText>
      </w:r>
      <w:r>
        <w:fldChar w:fldCharType="separate"/>
      </w:r>
      <w:r>
        <w:t>2</w:t>
      </w:r>
      <w:r>
        <w:fldChar w:fldCharType="end"/>
      </w:r>
      <w:r>
        <w:rPr>
          <w:rFonts w:hint="eastAsia" w:ascii="宋体" w:hAnsi="宋体" w:eastAsia="宋体" w:cs="宋体"/>
          <w:bCs w:val="0"/>
          <w:caps w:val="0"/>
          <w:szCs w:val="24"/>
        </w:rPr>
        <w:fldChar w:fldCharType="end"/>
      </w:r>
    </w:p>
    <w:p w14:paraId="648BFB27">
      <w:pPr>
        <w:pStyle w:val="18"/>
        <w:tabs>
          <w:tab w:val="right" w:leader="dot" w:pos="8312"/>
        </w:tabs>
      </w:pPr>
      <w:r>
        <w:rPr>
          <w:rFonts w:hint="eastAsia" w:ascii="宋体" w:hAnsi="宋体" w:eastAsia="宋体" w:cs="宋体"/>
          <w:bCs w:val="0"/>
          <w:caps w:val="0"/>
          <w:szCs w:val="24"/>
        </w:rPr>
        <w:fldChar w:fldCharType="begin"/>
      </w:r>
      <w:r>
        <w:rPr>
          <w:rFonts w:hint="eastAsia" w:ascii="宋体" w:hAnsi="宋体" w:eastAsia="宋体" w:cs="宋体"/>
          <w:bCs w:val="0"/>
          <w:caps w:val="0"/>
          <w:szCs w:val="24"/>
        </w:rPr>
        <w:instrText xml:space="preserve"> HYPERLINK \l _Toc21853 </w:instrText>
      </w:r>
      <w:r>
        <w:rPr>
          <w:rFonts w:hint="eastAsia" w:ascii="宋体" w:hAnsi="宋体" w:eastAsia="宋体" w:cs="宋体"/>
          <w:bCs w:val="0"/>
          <w:caps w:val="0"/>
          <w:szCs w:val="24"/>
        </w:rPr>
        <w:fldChar w:fldCharType="separate"/>
      </w:r>
      <w:r>
        <w:rPr>
          <w:rFonts w:hint="eastAsia" w:ascii="宋体" w:hAnsi="宋体" w:eastAsia="宋体" w:cs="宋体"/>
          <w:bCs w:val="0"/>
          <w:i w:val="0"/>
          <w:iCs w:val="0"/>
          <w:caps w:val="0"/>
          <w:smallCaps w:val="0"/>
          <w:spacing w:val="0"/>
          <w:w w:val="100"/>
          <w:kern w:val="0"/>
          <w:position w:val="0"/>
          <w:szCs w:val="32"/>
          <w:highlight w:val="none"/>
          <w:vertAlign w:val="baseline"/>
          <w:lang w:val="en-US" w:eastAsia="zh-CN"/>
        </w:rPr>
        <w:t xml:space="preserve">3.3. </w:t>
      </w:r>
      <w:r>
        <w:rPr>
          <w:rFonts w:hint="eastAsia" w:ascii="宋体" w:hAnsi="宋体" w:eastAsia="宋体" w:cs="宋体"/>
          <w:lang w:val="en-US" w:eastAsia="zh-CN"/>
        </w:rPr>
        <w:t>技术要求及材料清单</w:t>
      </w:r>
      <w:r>
        <w:tab/>
      </w:r>
      <w:r>
        <w:fldChar w:fldCharType="begin"/>
      </w:r>
      <w:r>
        <w:instrText xml:space="preserve"> PAGEREF _Toc21853 \h </w:instrText>
      </w:r>
      <w:r>
        <w:fldChar w:fldCharType="separate"/>
      </w:r>
      <w:r>
        <w:t>2</w:t>
      </w:r>
      <w:r>
        <w:fldChar w:fldCharType="end"/>
      </w:r>
      <w:r>
        <w:rPr>
          <w:rFonts w:hint="eastAsia" w:ascii="宋体" w:hAnsi="宋体" w:eastAsia="宋体" w:cs="宋体"/>
          <w:bCs w:val="0"/>
          <w:caps w:val="0"/>
          <w:szCs w:val="24"/>
        </w:rPr>
        <w:fldChar w:fldCharType="end"/>
      </w:r>
    </w:p>
    <w:p w14:paraId="4C95316B">
      <w:pPr>
        <w:pStyle w:val="18"/>
        <w:tabs>
          <w:tab w:val="right" w:leader="dot" w:pos="8312"/>
        </w:tabs>
      </w:pPr>
      <w:r>
        <w:rPr>
          <w:rFonts w:hint="eastAsia" w:ascii="宋体" w:hAnsi="宋体" w:eastAsia="宋体" w:cs="宋体"/>
          <w:bCs w:val="0"/>
          <w:caps w:val="0"/>
          <w:szCs w:val="24"/>
        </w:rPr>
        <w:fldChar w:fldCharType="begin"/>
      </w:r>
      <w:r>
        <w:rPr>
          <w:rFonts w:hint="eastAsia" w:ascii="宋体" w:hAnsi="宋体" w:eastAsia="宋体" w:cs="宋体"/>
          <w:bCs w:val="0"/>
          <w:caps w:val="0"/>
          <w:szCs w:val="24"/>
        </w:rPr>
        <w:instrText xml:space="preserve"> HYPERLINK \l _Toc24774 </w:instrText>
      </w:r>
      <w:r>
        <w:rPr>
          <w:rFonts w:hint="eastAsia" w:ascii="宋体" w:hAnsi="宋体" w:eastAsia="宋体" w:cs="宋体"/>
          <w:bCs w:val="0"/>
          <w:caps w:val="0"/>
          <w:szCs w:val="24"/>
        </w:rPr>
        <w:fldChar w:fldCharType="separate"/>
      </w:r>
      <w:r>
        <w:rPr>
          <w:rFonts w:hint="eastAsia" w:ascii="宋体" w:hAnsi="宋体" w:eastAsia="宋体" w:cs="宋体"/>
          <w:bCs w:val="0"/>
          <w:i w:val="0"/>
          <w:iCs w:val="0"/>
          <w:caps w:val="0"/>
          <w:smallCaps w:val="0"/>
          <w:spacing w:val="0"/>
          <w:w w:val="100"/>
          <w:kern w:val="0"/>
          <w:position w:val="0"/>
          <w:szCs w:val="32"/>
          <w:highlight w:val="none"/>
          <w:vertAlign w:val="baseline"/>
          <w:lang w:val="en-US" w:eastAsia="zh-CN"/>
        </w:rPr>
        <w:t xml:space="preserve">3.4. </w:t>
      </w:r>
      <w:r>
        <w:rPr>
          <w:rFonts w:hint="eastAsia" w:ascii="宋体" w:hAnsi="宋体" w:eastAsia="宋体" w:cs="宋体"/>
          <w:lang w:val="en-US" w:eastAsia="zh-CN"/>
        </w:rPr>
        <w:t>成果交付</w:t>
      </w:r>
      <w:r>
        <w:tab/>
      </w:r>
      <w:r>
        <w:fldChar w:fldCharType="begin"/>
      </w:r>
      <w:r>
        <w:instrText xml:space="preserve"> PAGEREF _Toc24774 \h </w:instrText>
      </w:r>
      <w:r>
        <w:fldChar w:fldCharType="separate"/>
      </w:r>
      <w:r>
        <w:t>3</w:t>
      </w:r>
      <w:r>
        <w:fldChar w:fldCharType="end"/>
      </w:r>
      <w:r>
        <w:rPr>
          <w:rFonts w:hint="eastAsia" w:ascii="宋体" w:hAnsi="宋体" w:eastAsia="宋体" w:cs="宋体"/>
          <w:bCs w:val="0"/>
          <w:caps w:val="0"/>
          <w:szCs w:val="24"/>
        </w:rPr>
        <w:fldChar w:fldCharType="end"/>
      </w:r>
    </w:p>
    <w:p w14:paraId="14268D80">
      <w:pPr>
        <w:pStyle w:val="17"/>
        <w:tabs>
          <w:tab w:val="right" w:leader="dot" w:pos="8312"/>
        </w:tabs>
      </w:pPr>
      <w:r>
        <w:rPr>
          <w:rFonts w:hint="eastAsia" w:ascii="宋体" w:hAnsi="宋体" w:eastAsia="宋体" w:cs="宋体"/>
          <w:bCs w:val="0"/>
          <w:caps w:val="0"/>
          <w:szCs w:val="24"/>
        </w:rPr>
        <w:fldChar w:fldCharType="begin"/>
      </w:r>
      <w:r>
        <w:rPr>
          <w:rFonts w:hint="eastAsia" w:ascii="宋体" w:hAnsi="宋体" w:eastAsia="宋体" w:cs="宋体"/>
          <w:bCs w:val="0"/>
          <w:caps w:val="0"/>
          <w:szCs w:val="24"/>
        </w:rPr>
        <w:instrText xml:space="preserve"> HYPERLINK \l _Toc22254 </w:instrText>
      </w:r>
      <w:r>
        <w:rPr>
          <w:rFonts w:hint="eastAsia" w:ascii="宋体" w:hAnsi="宋体" w:eastAsia="宋体" w:cs="宋体"/>
          <w:bCs w:val="0"/>
          <w:caps w:val="0"/>
          <w:szCs w:val="24"/>
        </w:rPr>
        <w:fldChar w:fldCharType="separate"/>
      </w:r>
      <w:r>
        <w:rPr>
          <w:rFonts w:hint="eastAsia" w:ascii="宋体" w:hAnsi="宋体" w:eastAsia="宋体" w:cs="宋体"/>
          <w:bCs w:val="0"/>
          <w:i w:val="0"/>
          <w:iCs w:val="0"/>
          <w:caps w:val="0"/>
          <w:smallCaps w:val="0"/>
          <w:spacing w:val="0"/>
          <w:w w:val="100"/>
          <w:kern w:val="0"/>
          <w:position w:val="0"/>
          <w:highlight w:val="none"/>
          <w:vertAlign w:val="baseline"/>
          <w:lang w:val="zh-TW" w:eastAsia="zh-TW"/>
        </w:rPr>
        <w:t xml:space="preserve">4. </w:t>
      </w:r>
      <w:r>
        <w:rPr>
          <w:rFonts w:hint="eastAsia" w:ascii="宋体" w:hAnsi="宋体" w:eastAsia="宋体" w:cs="宋体"/>
          <w:bCs/>
          <w:lang w:val="zh-TW" w:eastAsia="zh-TW"/>
        </w:rPr>
        <w:t>服务要求</w:t>
      </w:r>
      <w:r>
        <w:tab/>
      </w:r>
      <w:r>
        <w:fldChar w:fldCharType="begin"/>
      </w:r>
      <w:r>
        <w:instrText xml:space="preserve"> PAGEREF _Toc22254 \h </w:instrText>
      </w:r>
      <w:r>
        <w:fldChar w:fldCharType="separate"/>
      </w:r>
      <w:r>
        <w:t>3</w:t>
      </w:r>
      <w:r>
        <w:fldChar w:fldCharType="end"/>
      </w:r>
      <w:r>
        <w:rPr>
          <w:rFonts w:hint="eastAsia" w:ascii="宋体" w:hAnsi="宋体" w:eastAsia="宋体" w:cs="宋体"/>
          <w:bCs w:val="0"/>
          <w:caps w:val="0"/>
          <w:szCs w:val="24"/>
        </w:rPr>
        <w:fldChar w:fldCharType="end"/>
      </w:r>
    </w:p>
    <w:p w14:paraId="4E522DAA">
      <w:pPr>
        <w:pStyle w:val="18"/>
        <w:tabs>
          <w:tab w:val="right" w:leader="dot" w:pos="8312"/>
        </w:tabs>
      </w:pPr>
      <w:r>
        <w:rPr>
          <w:rFonts w:hint="eastAsia" w:ascii="宋体" w:hAnsi="宋体" w:eastAsia="宋体" w:cs="宋体"/>
          <w:bCs w:val="0"/>
          <w:caps w:val="0"/>
          <w:szCs w:val="24"/>
        </w:rPr>
        <w:fldChar w:fldCharType="begin"/>
      </w:r>
      <w:r>
        <w:rPr>
          <w:rFonts w:hint="eastAsia" w:ascii="宋体" w:hAnsi="宋体" w:eastAsia="宋体" w:cs="宋体"/>
          <w:bCs w:val="0"/>
          <w:caps w:val="0"/>
          <w:szCs w:val="24"/>
        </w:rPr>
        <w:instrText xml:space="preserve"> HYPERLINK \l _Toc25154 </w:instrText>
      </w:r>
      <w:r>
        <w:rPr>
          <w:rFonts w:hint="eastAsia" w:ascii="宋体" w:hAnsi="宋体" w:eastAsia="宋体" w:cs="宋体"/>
          <w:bCs w:val="0"/>
          <w:caps w:val="0"/>
          <w:szCs w:val="24"/>
        </w:rPr>
        <w:fldChar w:fldCharType="separate"/>
      </w:r>
      <w:r>
        <w:rPr>
          <w:rFonts w:hint="eastAsia" w:ascii="宋体" w:hAnsi="宋体" w:eastAsia="宋体" w:cs="宋体"/>
          <w:bCs w:val="0"/>
          <w:i w:val="0"/>
          <w:iCs w:val="0"/>
          <w:caps w:val="0"/>
          <w:smallCaps w:val="0"/>
          <w:spacing w:val="0"/>
          <w:w w:val="100"/>
          <w:kern w:val="0"/>
          <w:position w:val="0"/>
          <w:szCs w:val="32"/>
          <w:highlight w:val="none"/>
          <w:vertAlign w:val="baseline"/>
          <w:lang w:val="zh-TW" w:eastAsia="zh-CN"/>
        </w:rPr>
        <w:t xml:space="preserve">4.1. </w:t>
      </w:r>
      <w:r>
        <w:rPr>
          <w:rFonts w:hint="eastAsia" w:ascii="宋体" w:hAnsi="宋体" w:eastAsia="宋体" w:cs="宋体"/>
          <w:lang w:val="en-US" w:eastAsia="zh-CN"/>
        </w:rPr>
        <w:t>材料要求</w:t>
      </w:r>
      <w:r>
        <w:tab/>
      </w:r>
      <w:r>
        <w:fldChar w:fldCharType="begin"/>
      </w:r>
      <w:r>
        <w:instrText xml:space="preserve"> PAGEREF _Toc25154 \h </w:instrText>
      </w:r>
      <w:r>
        <w:fldChar w:fldCharType="separate"/>
      </w:r>
      <w:r>
        <w:t>3</w:t>
      </w:r>
      <w:r>
        <w:fldChar w:fldCharType="end"/>
      </w:r>
      <w:r>
        <w:rPr>
          <w:rFonts w:hint="eastAsia" w:ascii="宋体" w:hAnsi="宋体" w:eastAsia="宋体" w:cs="宋体"/>
          <w:bCs w:val="0"/>
          <w:caps w:val="0"/>
          <w:szCs w:val="24"/>
        </w:rPr>
        <w:fldChar w:fldCharType="end"/>
      </w:r>
    </w:p>
    <w:p w14:paraId="30A266D9">
      <w:pPr>
        <w:pStyle w:val="18"/>
        <w:tabs>
          <w:tab w:val="right" w:leader="dot" w:pos="8312"/>
        </w:tabs>
      </w:pPr>
      <w:r>
        <w:rPr>
          <w:rFonts w:hint="eastAsia" w:ascii="宋体" w:hAnsi="宋体" w:eastAsia="宋体" w:cs="宋体"/>
          <w:bCs w:val="0"/>
          <w:caps w:val="0"/>
          <w:szCs w:val="24"/>
        </w:rPr>
        <w:fldChar w:fldCharType="begin"/>
      </w:r>
      <w:r>
        <w:rPr>
          <w:rFonts w:hint="eastAsia" w:ascii="宋体" w:hAnsi="宋体" w:eastAsia="宋体" w:cs="宋体"/>
          <w:bCs w:val="0"/>
          <w:caps w:val="0"/>
          <w:szCs w:val="24"/>
        </w:rPr>
        <w:instrText xml:space="preserve"> HYPERLINK \l _Toc4621 </w:instrText>
      </w:r>
      <w:r>
        <w:rPr>
          <w:rFonts w:hint="eastAsia" w:ascii="宋体" w:hAnsi="宋体" w:eastAsia="宋体" w:cs="宋体"/>
          <w:bCs w:val="0"/>
          <w:caps w:val="0"/>
          <w:szCs w:val="24"/>
        </w:rPr>
        <w:fldChar w:fldCharType="separate"/>
      </w:r>
      <w:r>
        <w:rPr>
          <w:rFonts w:hint="eastAsia" w:ascii="宋体" w:hAnsi="宋体" w:eastAsia="宋体" w:cs="宋体"/>
          <w:bCs w:val="0"/>
          <w:i w:val="0"/>
          <w:iCs w:val="0"/>
          <w:caps w:val="0"/>
          <w:smallCaps w:val="0"/>
          <w:spacing w:val="0"/>
          <w:w w:val="100"/>
          <w:kern w:val="0"/>
          <w:position w:val="0"/>
          <w:szCs w:val="32"/>
          <w:highlight w:val="none"/>
          <w:vertAlign w:val="baseline"/>
          <w:lang w:val="zh-TW" w:eastAsia="zh-TW"/>
        </w:rPr>
        <w:t xml:space="preserve">4.2. </w:t>
      </w:r>
      <w:r>
        <w:rPr>
          <w:rFonts w:hint="eastAsia" w:ascii="宋体" w:hAnsi="宋体" w:eastAsia="宋体" w:cs="宋体"/>
          <w:lang w:val="en-US" w:eastAsia="zh-CN"/>
        </w:rPr>
        <w:t>包装</w:t>
      </w:r>
      <w:r>
        <w:tab/>
      </w:r>
      <w:r>
        <w:fldChar w:fldCharType="begin"/>
      </w:r>
      <w:r>
        <w:instrText xml:space="preserve"> PAGEREF _Toc4621 \h </w:instrText>
      </w:r>
      <w:r>
        <w:fldChar w:fldCharType="separate"/>
      </w:r>
      <w:r>
        <w:t>3</w:t>
      </w:r>
      <w:r>
        <w:fldChar w:fldCharType="end"/>
      </w:r>
      <w:r>
        <w:rPr>
          <w:rFonts w:hint="eastAsia" w:ascii="宋体" w:hAnsi="宋体" w:eastAsia="宋体" w:cs="宋体"/>
          <w:bCs w:val="0"/>
          <w:caps w:val="0"/>
          <w:szCs w:val="24"/>
        </w:rPr>
        <w:fldChar w:fldCharType="end"/>
      </w:r>
    </w:p>
    <w:p w14:paraId="0EB57A40">
      <w:pPr>
        <w:pStyle w:val="18"/>
        <w:tabs>
          <w:tab w:val="right" w:leader="dot" w:pos="8312"/>
        </w:tabs>
      </w:pPr>
      <w:r>
        <w:rPr>
          <w:rFonts w:hint="eastAsia" w:ascii="宋体" w:hAnsi="宋体" w:eastAsia="宋体" w:cs="宋体"/>
          <w:bCs w:val="0"/>
          <w:caps w:val="0"/>
          <w:szCs w:val="24"/>
        </w:rPr>
        <w:fldChar w:fldCharType="begin"/>
      </w:r>
      <w:r>
        <w:rPr>
          <w:rFonts w:hint="eastAsia" w:ascii="宋体" w:hAnsi="宋体" w:eastAsia="宋体" w:cs="宋体"/>
          <w:bCs w:val="0"/>
          <w:caps w:val="0"/>
          <w:szCs w:val="24"/>
        </w:rPr>
        <w:instrText xml:space="preserve"> HYPERLINK \l _Toc31683 </w:instrText>
      </w:r>
      <w:r>
        <w:rPr>
          <w:rFonts w:hint="eastAsia" w:ascii="宋体" w:hAnsi="宋体" w:eastAsia="宋体" w:cs="宋体"/>
          <w:bCs w:val="0"/>
          <w:caps w:val="0"/>
          <w:szCs w:val="24"/>
        </w:rPr>
        <w:fldChar w:fldCharType="separate"/>
      </w:r>
      <w:r>
        <w:rPr>
          <w:rFonts w:hint="eastAsia" w:ascii="宋体" w:hAnsi="宋体" w:eastAsia="宋体" w:cs="宋体"/>
          <w:bCs w:val="0"/>
          <w:i w:val="0"/>
          <w:iCs w:val="0"/>
          <w:caps w:val="0"/>
          <w:smallCaps w:val="0"/>
          <w:spacing w:val="0"/>
          <w:w w:val="100"/>
          <w:kern w:val="0"/>
          <w:position w:val="0"/>
          <w:szCs w:val="32"/>
          <w:highlight w:val="none"/>
          <w:vertAlign w:val="baseline"/>
          <w:lang w:val="zh-TW" w:eastAsia="zh-TW"/>
        </w:rPr>
        <w:t xml:space="preserve">4.3. </w:t>
      </w:r>
      <w:r>
        <w:rPr>
          <w:rFonts w:hint="eastAsia" w:ascii="宋体" w:hAnsi="宋体" w:eastAsia="宋体" w:cs="宋体"/>
          <w:lang w:val="en-US" w:eastAsia="zh-CN"/>
        </w:rPr>
        <w:t>运输</w:t>
      </w:r>
      <w:r>
        <w:tab/>
      </w:r>
      <w:r>
        <w:fldChar w:fldCharType="begin"/>
      </w:r>
      <w:r>
        <w:instrText xml:space="preserve"> PAGEREF _Toc31683 \h </w:instrText>
      </w:r>
      <w:r>
        <w:fldChar w:fldCharType="separate"/>
      </w:r>
      <w:r>
        <w:t>4</w:t>
      </w:r>
      <w:r>
        <w:fldChar w:fldCharType="end"/>
      </w:r>
      <w:r>
        <w:rPr>
          <w:rFonts w:hint="eastAsia" w:ascii="宋体" w:hAnsi="宋体" w:eastAsia="宋体" w:cs="宋体"/>
          <w:bCs w:val="0"/>
          <w:caps w:val="0"/>
          <w:szCs w:val="24"/>
        </w:rPr>
        <w:fldChar w:fldCharType="end"/>
      </w:r>
    </w:p>
    <w:p w14:paraId="7E843C87">
      <w:pPr>
        <w:pStyle w:val="18"/>
        <w:tabs>
          <w:tab w:val="right" w:leader="dot" w:pos="8312"/>
        </w:tabs>
      </w:pPr>
      <w:r>
        <w:rPr>
          <w:rFonts w:hint="eastAsia" w:ascii="宋体" w:hAnsi="宋体" w:eastAsia="宋体" w:cs="宋体"/>
          <w:bCs w:val="0"/>
          <w:caps w:val="0"/>
          <w:szCs w:val="24"/>
        </w:rPr>
        <w:fldChar w:fldCharType="begin"/>
      </w:r>
      <w:r>
        <w:rPr>
          <w:rFonts w:hint="eastAsia" w:ascii="宋体" w:hAnsi="宋体" w:eastAsia="宋体" w:cs="宋体"/>
          <w:bCs w:val="0"/>
          <w:caps w:val="0"/>
          <w:szCs w:val="24"/>
        </w:rPr>
        <w:instrText xml:space="preserve"> HYPERLINK \l _Toc18449 </w:instrText>
      </w:r>
      <w:r>
        <w:rPr>
          <w:rFonts w:hint="eastAsia" w:ascii="宋体" w:hAnsi="宋体" w:eastAsia="宋体" w:cs="宋体"/>
          <w:bCs w:val="0"/>
          <w:caps w:val="0"/>
          <w:szCs w:val="24"/>
        </w:rPr>
        <w:fldChar w:fldCharType="separate"/>
      </w:r>
      <w:r>
        <w:rPr>
          <w:rFonts w:hint="eastAsia" w:ascii="宋体" w:hAnsi="宋体" w:eastAsia="宋体" w:cs="宋体"/>
          <w:bCs w:val="0"/>
          <w:i w:val="0"/>
          <w:iCs w:val="0"/>
          <w:caps w:val="0"/>
          <w:smallCaps w:val="0"/>
          <w:spacing w:val="0"/>
          <w:w w:val="100"/>
          <w:kern w:val="0"/>
          <w:position w:val="0"/>
          <w:szCs w:val="32"/>
          <w:highlight w:val="none"/>
          <w:vertAlign w:val="baseline"/>
          <w:lang w:val="zh-TW" w:eastAsia="zh-TW"/>
        </w:rPr>
        <w:t xml:space="preserve">4.4. </w:t>
      </w:r>
      <w:r>
        <w:rPr>
          <w:rFonts w:hint="eastAsia" w:ascii="宋体" w:hAnsi="宋体" w:eastAsia="宋体" w:cs="宋体"/>
          <w:lang w:val="en-US" w:eastAsia="zh-CN"/>
        </w:rPr>
        <w:t>储存</w:t>
      </w:r>
      <w:r>
        <w:tab/>
      </w:r>
      <w:r>
        <w:fldChar w:fldCharType="begin"/>
      </w:r>
      <w:r>
        <w:instrText xml:space="preserve"> PAGEREF _Toc18449 \h </w:instrText>
      </w:r>
      <w:r>
        <w:fldChar w:fldCharType="separate"/>
      </w:r>
      <w:r>
        <w:t>4</w:t>
      </w:r>
      <w:r>
        <w:fldChar w:fldCharType="end"/>
      </w:r>
      <w:r>
        <w:rPr>
          <w:rFonts w:hint="eastAsia" w:ascii="宋体" w:hAnsi="宋体" w:eastAsia="宋体" w:cs="宋体"/>
          <w:bCs w:val="0"/>
          <w:caps w:val="0"/>
          <w:szCs w:val="24"/>
        </w:rPr>
        <w:fldChar w:fldCharType="end"/>
      </w:r>
    </w:p>
    <w:p w14:paraId="3464165E">
      <w:pPr>
        <w:pStyle w:val="18"/>
        <w:tabs>
          <w:tab w:val="right" w:leader="dot" w:pos="8312"/>
        </w:tabs>
      </w:pPr>
      <w:r>
        <w:rPr>
          <w:rFonts w:hint="eastAsia" w:ascii="宋体" w:hAnsi="宋体" w:eastAsia="宋体" w:cs="宋体"/>
          <w:bCs w:val="0"/>
          <w:caps w:val="0"/>
          <w:szCs w:val="24"/>
        </w:rPr>
        <w:fldChar w:fldCharType="begin"/>
      </w:r>
      <w:r>
        <w:rPr>
          <w:rFonts w:hint="eastAsia" w:ascii="宋体" w:hAnsi="宋体" w:eastAsia="宋体" w:cs="宋体"/>
          <w:bCs w:val="0"/>
          <w:caps w:val="0"/>
          <w:szCs w:val="24"/>
        </w:rPr>
        <w:instrText xml:space="preserve"> HYPERLINK \l _Toc10439 </w:instrText>
      </w:r>
      <w:r>
        <w:rPr>
          <w:rFonts w:hint="eastAsia" w:ascii="宋体" w:hAnsi="宋体" w:eastAsia="宋体" w:cs="宋体"/>
          <w:bCs w:val="0"/>
          <w:caps w:val="0"/>
          <w:szCs w:val="24"/>
        </w:rPr>
        <w:fldChar w:fldCharType="separate"/>
      </w:r>
      <w:r>
        <w:rPr>
          <w:rFonts w:hint="eastAsia" w:ascii="宋体" w:hAnsi="宋体" w:eastAsia="宋体" w:cs="宋体"/>
          <w:bCs w:val="0"/>
          <w:i w:val="0"/>
          <w:iCs w:val="0"/>
          <w:caps w:val="0"/>
          <w:smallCaps w:val="0"/>
          <w:spacing w:val="0"/>
          <w:w w:val="100"/>
          <w:kern w:val="0"/>
          <w:position w:val="0"/>
          <w:szCs w:val="32"/>
          <w:highlight w:val="none"/>
          <w:vertAlign w:val="baseline"/>
          <w:lang w:val="zh-TW" w:eastAsia="zh-TW"/>
        </w:rPr>
        <w:t xml:space="preserve">4.5. </w:t>
      </w:r>
      <w:r>
        <w:rPr>
          <w:rFonts w:hint="eastAsia" w:ascii="宋体" w:hAnsi="宋体" w:eastAsia="宋体" w:cs="宋体"/>
          <w:lang w:val="en-US" w:eastAsia="zh-CN"/>
        </w:rPr>
        <w:t>安装指导</w:t>
      </w:r>
      <w:r>
        <w:tab/>
      </w:r>
      <w:r>
        <w:fldChar w:fldCharType="begin"/>
      </w:r>
      <w:r>
        <w:instrText xml:space="preserve"> PAGEREF _Toc10439 \h </w:instrText>
      </w:r>
      <w:r>
        <w:fldChar w:fldCharType="separate"/>
      </w:r>
      <w:r>
        <w:t>4</w:t>
      </w:r>
      <w:r>
        <w:fldChar w:fldCharType="end"/>
      </w:r>
      <w:r>
        <w:rPr>
          <w:rFonts w:hint="eastAsia" w:ascii="宋体" w:hAnsi="宋体" w:eastAsia="宋体" w:cs="宋体"/>
          <w:bCs w:val="0"/>
          <w:caps w:val="0"/>
          <w:szCs w:val="24"/>
        </w:rPr>
        <w:fldChar w:fldCharType="end"/>
      </w:r>
    </w:p>
    <w:p w14:paraId="01C7AD0D">
      <w:pPr>
        <w:pStyle w:val="30"/>
        <w:tabs>
          <w:tab w:val="left" w:pos="420"/>
          <w:tab w:val="right" w:leader="dot" w:pos="8302"/>
        </w:tabs>
        <w:spacing w:line="360" w:lineRule="auto"/>
        <w:rPr>
          <w:rFonts w:hint="eastAsia" w:ascii="宋体" w:hAnsi="宋体" w:eastAsia="宋体" w:cs="宋体"/>
          <w:sz w:val="24"/>
          <w:szCs w:val="24"/>
        </w:rPr>
      </w:pPr>
      <w:r>
        <w:rPr>
          <w:rFonts w:hint="eastAsia" w:ascii="宋体" w:hAnsi="宋体" w:eastAsia="宋体" w:cs="宋体"/>
          <w:bCs w:val="0"/>
          <w:caps w:val="0"/>
          <w:szCs w:val="24"/>
        </w:rPr>
        <w:fldChar w:fldCharType="end"/>
      </w:r>
    </w:p>
    <w:p w14:paraId="07569408">
      <w:pPr>
        <w:spacing w:line="360" w:lineRule="auto"/>
        <w:rPr>
          <w:rFonts w:hint="eastAsia" w:ascii="宋体" w:hAnsi="宋体" w:eastAsia="宋体" w:cs="宋体"/>
          <w:sz w:val="24"/>
        </w:rPr>
      </w:pPr>
    </w:p>
    <w:p w14:paraId="6743772B">
      <w:pPr>
        <w:spacing w:line="360" w:lineRule="auto"/>
        <w:rPr>
          <w:rFonts w:hint="eastAsia" w:ascii="宋体" w:hAnsi="宋体" w:eastAsia="宋体" w:cs="宋体"/>
          <w:sz w:val="24"/>
        </w:rPr>
        <w:sectPr>
          <w:footerReference r:id="rId3" w:type="default"/>
          <w:pgSz w:w="11906" w:h="16838"/>
          <w:pgMar w:top="1440" w:right="1797" w:bottom="1440" w:left="1797" w:header="851" w:footer="992" w:gutter="0"/>
          <w:pgNumType w:fmt="lowerRoman" w:start="1"/>
          <w:cols w:space="720" w:num="1"/>
          <w:docGrid w:type="lines" w:linePitch="312" w:charSpace="0"/>
        </w:sectPr>
      </w:pPr>
    </w:p>
    <w:p w14:paraId="089296AE">
      <w:pPr>
        <w:pStyle w:val="80"/>
        <w:framePr w:wrap="auto" w:vAnchor="margin" w:hAnchor="text" w:yAlign="inline"/>
        <w:numPr>
          <w:ilvl w:val="0"/>
          <w:numId w:val="3"/>
        </w:numPr>
        <w:rPr>
          <w:rFonts w:hint="eastAsia" w:ascii="宋体" w:hAnsi="宋体" w:eastAsia="宋体" w:cs="宋体"/>
          <w:b/>
          <w:bCs/>
          <w:highlight w:val="none"/>
          <w:lang w:val="zh-TW" w:eastAsia="zh-TW"/>
        </w:rPr>
      </w:pPr>
      <w:bookmarkStart w:id="13" w:name="_Toc192340307"/>
      <w:bookmarkEnd w:id="13"/>
      <w:bookmarkStart w:id="14" w:name="_Toc192340308"/>
      <w:bookmarkEnd w:id="14"/>
      <w:bookmarkStart w:id="15" w:name="_Toc3162"/>
      <w:bookmarkStart w:id="16" w:name="_Toc114175608"/>
      <w:bookmarkStart w:id="17" w:name="_Toc2"/>
      <w:r>
        <w:rPr>
          <w:rFonts w:hint="eastAsia" w:ascii="宋体" w:hAnsi="宋体" w:eastAsia="宋体" w:cs="宋体"/>
          <w:b/>
          <w:bCs/>
          <w:highlight w:val="none"/>
          <w:lang w:val="en-US" w:eastAsia="zh-CN"/>
        </w:rPr>
        <w:t>应遵循的主要标准</w:t>
      </w:r>
      <w:bookmarkEnd w:id="15"/>
    </w:p>
    <w:p w14:paraId="2E73BEF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下列标准所包含的条文，通过在本招标技术文件中引用而构成本招标技术文件的基本条文。在本招标技术文件出版时，所示版本均为有效。所有标准都会被修订，使用本招标技术文件的各方应探讨使用下列标准最新版本的可能性。按标准号顺序排列标准，如果各标准要求有所不同，满足更高的标准要求。</w:t>
      </w:r>
    </w:p>
    <w:tbl>
      <w:tblPr>
        <w:tblStyle w:val="22"/>
        <w:tblW w:w="833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861"/>
        <w:gridCol w:w="2436"/>
        <w:gridCol w:w="5036"/>
      </w:tblGrid>
      <w:tr w14:paraId="44258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861" w:type="dxa"/>
            <w:noWrap w:val="0"/>
            <w:tcMar>
              <w:left w:w="0" w:type="dxa"/>
              <w:right w:w="0" w:type="dxa"/>
            </w:tcMar>
            <w:vAlign w:val="center"/>
          </w:tcPr>
          <w:p w14:paraId="7CB54B45">
            <w:pPr>
              <w:keepNext w:val="0"/>
              <w:keepLines w:val="0"/>
              <w:pageBreakBefore w:val="0"/>
              <w:widowControl w:val="0"/>
              <w:kinsoku/>
              <w:wordWrap/>
              <w:overflowPunct/>
              <w:topLinePunct w:val="0"/>
              <w:autoSpaceDE/>
              <w:autoSpaceDN/>
              <w:bidi w:val="0"/>
              <w:adjustRightInd/>
              <w:spacing w:before="50" w:after="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436" w:type="dxa"/>
            <w:noWrap w:val="0"/>
            <w:tcMar>
              <w:left w:w="0" w:type="dxa"/>
              <w:right w:w="0" w:type="dxa"/>
            </w:tcMar>
            <w:vAlign w:val="center"/>
          </w:tcPr>
          <w:p w14:paraId="5D779C88">
            <w:pPr>
              <w:keepNext w:val="0"/>
              <w:keepLines w:val="0"/>
              <w:pageBreakBefore w:val="0"/>
              <w:widowControl w:val="0"/>
              <w:kinsoku/>
              <w:wordWrap/>
              <w:overflowPunct/>
              <w:topLinePunct w:val="0"/>
              <w:autoSpaceDE/>
              <w:autoSpaceDN/>
              <w:bidi w:val="0"/>
              <w:adjustRightInd/>
              <w:spacing w:before="50" w:after="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标准号</w:t>
            </w:r>
          </w:p>
        </w:tc>
        <w:tc>
          <w:tcPr>
            <w:tcW w:w="5036" w:type="dxa"/>
            <w:noWrap w:val="0"/>
            <w:vAlign w:val="center"/>
          </w:tcPr>
          <w:p w14:paraId="42C2D213">
            <w:pPr>
              <w:keepNext w:val="0"/>
              <w:keepLines w:val="0"/>
              <w:pageBreakBefore w:val="0"/>
              <w:widowControl w:val="0"/>
              <w:kinsoku/>
              <w:wordWrap/>
              <w:overflowPunct/>
              <w:topLinePunct w:val="0"/>
              <w:autoSpaceDE/>
              <w:autoSpaceDN/>
              <w:bidi w:val="0"/>
              <w:adjustRightInd/>
              <w:spacing w:before="50" w:after="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标准名称</w:t>
            </w:r>
          </w:p>
        </w:tc>
      </w:tr>
      <w:tr w14:paraId="7995B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861" w:type="dxa"/>
            <w:noWrap w:val="0"/>
            <w:tcMar>
              <w:left w:w="0" w:type="dxa"/>
              <w:right w:w="0" w:type="dxa"/>
            </w:tcMar>
            <w:vAlign w:val="center"/>
          </w:tcPr>
          <w:p w14:paraId="40803391">
            <w:pPr>
              <w:pStyle w:val="34"/>
              <w:keepNext w:val="0"/>
              <w:keepLines w:val="0"/>
              <w:pageBreakBefore w:val="0"/>
              <w:widowControl w:val="0"/>
              <w:numPr>
                <w:ilvl w:val="0"/>
                <w:numId w:val="4"/>
              </w:numPr>
              <w:kinsoku/>
              <w:wordWrap/>
              <w:overflowPunct/>
              <w:topLinePunct w:val="0"/>
              <w:autoSpaceDE/>
              <w:autoSpaceDN/>
              <w:bidi w:val="0"/>
              <w:adjustRightInd/>
              <w:spacing w:before="50" w:after="50" w:line="360" w:lineRule="auto"/>
              <w:ind w:firstLineChars="0"/>
              <w:jc w:val="both"/>
              <w:textAlignment w:val="auto"/>
              <w:rPr>
                <w:rFonts w:hint="eastAsia" w:ascii="宋体" w:hAnsi="宋体" w:eastAsia="宋体" w:cs="宋体"/>
                <w:color w:val="auto"/>
                <w:sz w:val="21"/>
                <w:szCs w:val="21"/>
                <w:highlight w:val="none"/>
              </w:rPr>
            </w:pPr>
          </w:p>
        </w:tc>
        <w:tc>
          <w:tcPr>
            <w:tcW w:w="2436" w:type="dxa"/>
            <w:noWrap w:val="0"/>
            <w:tcMar>
              <w:left w:w="0" w:type="dxa"/>
              <w:right w:w="0" w:type="dxa"/>
            </w:tcMar>
            <w:vAlign w:val="center"/>
          </w:tcPr>
          <w:p w14:paraId="55BE1EDE">
            <w:pPr>
              <w:keepNext w:val="0"/>
              <w:keepLines w:val="0"/>
              <w:pageBreakBefore w:val="0"/>
              <w:widowControl w:val="0"/>
              <w:kinsoku/>
              <w:wordWrap/>
              <w:overflowPunct/>
              <w:topLinePunct w:val="0"/>
              <w:autoSpaceDE/>
              <w:autoSpaceDN/>
              <w:bidi w:val="0"/>
              <w:adjustRightInd/>
              <w:spacing w:before="50" w:after="50" w:line="360" w:lineRule="auto"/>
              <w:ind w:firstLine="142" w:firstLineChars="68"/>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191-2008</w:t>
            </w:r>
          </w:p>
        </w:tc>
        <w:tc>
          <w:tcPr>
            <w:tcW w:w="5036" w:type="dxa"/>
            <w:noWrap w:val="0"/>
            <w:vAlign w:val="center"/>
          </w:tcPr>
          <w:p w14:paraId="059DE822">
            <w:pPr>
              <w:keepNext w:val="0"/>
              <w:keepLines w:val="0"/>
              <w:pageBreakBefore w:val="0"/>
              <w:widowControl w:val="0"/>
              <w:kinsoku/>
              <w:wordWrap/>
              <w:overflowPunct/>
              <w:topLinePunct w:val="0"/>
              <w:autoSpaceDE/>
              <w:autoSpaceDN/>
              <w:bidi w:val="0"/>
              <w:adjustRightInd/>
              <w:spacing w:before="50" w:after="50" w:line="360" w:lineRule="auto"/>
              <w:ind w:firstLine="31" w:firstLineChars="15"/>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包装储运图示标志</w:t>
            </w:r>
          </w:p>
        </w:tc>
      </w:tr>
      <w:tr w14:paraId="6171E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861" w:type="dxa"/>
            <w:noWrap w:val="0"/>
            <w:tcMar>
              <w:left w:w="0" w:type="dxa"/>
              <w:right w:w="0" w:type="dxa"/>
            </w:tcMar>
            <w:vAlign w:val="center"/>
          </w:tcPr>
          <w:p w14:paraId="73929BE7">
            <w:pPr>
              <w:pStyle w:val="34"/>
              <w:keepNext w:val="0"/>
              <w:keepLines w:val="0"/>
              <w:pageBreakBefore w:val="0"/>
              <w:widowControl w:val="0"/>
              <w:numPr>
                <w:ilvl w:val="0"/>
                <w:numId w:val="4"/>
              </w:numPr>
              <w:kinsoku/>
              <w:wordWrap/>
              <w:overflowPunct/>
              <w:topLinePunct w:val="0"/>
              <w:autoSpaceDE/>
              <w:autoSpaceDN/>
              <w:bidi w:val="0"/>
              <w:adjustRightInd/>
              <w:spacing w:before="50" w:after="50" w:line="360" w:lineRule="auto"/>
              <w:ind w:firstLineChars="0"/>
              <w:jc w:val="both"/>
              <w:textAlignment w:val="auto"/>
              <w:rPr>
                <w:rFonts w:hint="eastAsia" w:ascii="宋体" w:hAnsi="宋体" w:eastAsia="宋体" w:cs="宋体"/>
                <w:color w:val="auto"/>
                <w:sz w:val="21"/>
                <w:szCs w:val="21"/>
                <w:highlight w:val="none"/>
              </w:rPr>
            </w:pPr>
          </w:p>
        </w:tc>
        <w:tc>
          <w:tcPr>
            <w:tcW w:w="2436" w:type="dxa"/>
            <w:noWrap w:val="0"/>
            <w:tcMar>
              <w:left w:w="0" w:type="dxa"/>
              <w:right w:w="0" w:type="dxa"/>
            </w:tcMar>
            <w:vAlign w:val="center"/>
          </w:tcPr>
          <w:p w14:paraId="389B16DF">
            <w:pPr>
              <w:keepNext w:val="0"/>
              <w:keepLines w:val="0"/>
              <w:pageBreakBefore w:val="0"/>
              <w:widowControl w:val="0"/>
              <w:kinsoku/>
              <w:wordWrap/>
              <w:overflowPunct/>
              <w:topLinePunct w:val="0"/>
              <w:autoSpaceDE/>
              <w:autoSpaceDN/>
              <w:bidi w:val="0"/>
              <w:adjustRightInd/>
              <w:spacing w:before="50" w:after="50" w:line="360" w:lineRule="auto"/>
              <w:ind w:firstLine="142" w:firstLineChars="68"/>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2423-2006</w:t>
            </w:r>
          </w:p>
        </w:tc>
        <w:tc>
          <w:tcPr>
            <w:tcW w:w="5036" w:type="dxa"/>
            <w:noWrap w:val="0"/>
            <w:vAlign w:val="center"/>
          </w:tcPr>
          <w:p w14:paraId="3BACD217">
            <w:pPr>
              <w:keepNext w:val="0"/>
              <w:keepLines w:val="0"/>
              <w:pageBreakBefore w:val="0"/>
              <w:widowControl w:val="0"/>
              <w:kinsoku/>
              <w:wordWrap/>
              <w:overflowPunct/>
              <w:topLinePunct w:val="0"/>
              <w:autoSpaceDE/>
              <w:autoSpaceDN/>
              <w:bidi w:val="0"/>
              <w:adjustRightInd/>
              <w:spacing w:before="50" w:after="50" w:line="360" w:lineRule="auto"/>
              <w:ind w:firstLine="31" w:firstLineChars="15"/>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电工电子产品环境试验</w:t>
            </w:r>
          </w:p>
        </w:tc>
      </w:tr>
      <w:tr w14:paraId="2FE6D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861" w:type="dxa"/>
            <w:noWrap w:val="0"/>
            <w:tcMar>
              <w:left w:w="0" w:type="dxa"/>
              <w:right w:w="0" w:type="dxa"/>
            </w:tcMar>
            <w:vAlign w:val="center"/>
          </w:tcPr>
          <w:p w14:paraId="409F566D">
            <w:pPr>
              <w:pStyle w:val="34"/>
              <w:keepNext w:val="0"/>
              <w:keepLines w:val="0"/>
              <w:pageBreakBefore w:val="0"/>
              <w:widowControl w:val="0"/>
              <w:numPr>
                <w:ilvl w:val="0"/>
                <w:numId w:val="4"/>
              </w:numPr>
              <w:kinsoku/>
              <w:wordWrap/>
              <w:overflowPunct/>
              <w:topLinePunct w:val="0"/>
              <w:autoSpaceDE/>
              <w:autoSpaceDN/>
              <w:bidi w:val="0"/>
              <w:adjustRightInd/>
              <w:spacing w:before="50" w:after="50" w:line="360" w:lineRule="auto"/>
              <w:ind w:firstLineChars="0"/>
              <w:jc w:val="both"/>
              <w:textAlignment w:val="auto"/>
              <w:rPr>
                <w:rFonts w:hint="eastAsia" w:ascii="宋体" w:hAnsi="宋体" w:eastAsia="宋体" w:cs="宋体"/>
                <w:color w:val="auto"/>
                <w:sz w:val="21"/>
                <w:szCs w:val="21"/>
                <w:highlight w:val="none"/>
              </w:rPr>
            </w:pPr>
          </w:p>
        </w:tc>
        <w:tc>
          <w:tcPr>
            <w:tcW w:w="2436" w:type="dxa"/>
            <w:noWrap w:val="0"/>
            <w:tcMar>
              <w:left w:w="0" w:type="dxa"/>
              <w:right w:w="0" w:type="dxa"/>
            </w:tcMar>
            <w:vAlign w:val="center"/>
          </w:tcPr>
          <w:p w14:paraId="24EF36FF">
            <w:pPr>
              <w:keepNext w:val="0"/>
              <w:keepLines w:val="0"/>
              <w:pageBreakBefore w:val="0"/>
              <w:widowControl w:val="0"/>
              <w:kinsoku/>
              <w:wordWrap/>
              <w:overflowPunct/>
              <w:topLinePunct w:val="0"/>
              <w:autoSpaceDE/>
              <w:autoSpaceDN/>
              <w:bidi w:val="0"/>
              <w:adjustRightInd/>
              <w:spacing w:before="50" w:after="50" w:line="360" w:lineRule="auto"/>
              <w:ind w:firstLine="142" w:firstLineChars="68"/>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GB/T 3048-2007</w:t>
            </w:r>
          </w:p>
        </w:tc>
        <w:tc>
          <w:tcPr>
            <w:tcW w:w="5036" w:type="dxa"/>
            <w:noWrap w:val="0"/>
            <w:vAlign w:val="center"/>
          </w:tcPr>
          <w:p w14:paraId="51BDD704">
            <w:pPr>
              <w:keepNext w:val="0"/>
              <w:keepLines w:val="0"/>
              <w:pageBreakBefore w:val="0"/>
              <w:widowControl w:val="0"/>
              <w:kinsoku/>
              <w:wordWrap/>
              <w:overflowPunct/>
              <w:topLinePunct w:val="0"/>
              <w:autoSpaceDE/>
              <w:autoSpaceDN/>
              <w:bidi w:val="0"/>
              <w:adjustRightInd/>
              <w:spacing w:before="50" w:after="50" w:line="360" w:lineRule="auto"/>
              <w:ind w:firstLine="31" w:firstLineChars="15"/>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电线电缆电性能试验方法</w:t>
            </w:r>
          </w:p>
        </w:tc>
      </w:tr>
      <w:tr w14:paraId="08BAE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61" w:type="dxa"/>
            <w:noWrap w:val="0"/>
            <w:tcMar>
              <w:left w:w="0" w:type="dxa"/>
              <w:right w:w="0" w:type="dxa"/>
            </w:tcMar>
            <w:vAlign w:val="center"/>
          </w:tcPr>
          <w:p w14:paraId="2221F40F">
            <w:pPr>
              <w:pStyle w:val="34"/>
              <w:keepNext w:val="0"/>
              <w:keepLines w:val="0"/>
              <w:pageBreakBefore w:val="0"/>
              <w:widowControl w:val="0"/>
              <w:numPr>
                <w:ilvl w:val="0"/>
                <w:numId w:val="4"/>
              </w:numPr>
              <w:kinsoku/>
              <w:wordWrap/>
              <w:overflowPunct/>
              <w:topLinePunct w:val="0"/>
              <w:autoSpaceDE/>
              <w:autoSpaceDN/>
              <w:bidi w:val="0"/>
              <w:adjustRightInd/>
              <w:spacing w:before="50" w:after="50" w:line="360" w:lineRule="auto"/>
              <w:ind w:firstLineChars="0"/>
              <w:jc w:val="both"/>
              <w:textAlignment w:val="auto"/>
              <w:rPr>
                <w:rFonts w:hint="eastAsia" w:ascii="宋体" w:hAnsi="宋体" w:eastAsia="宋体" w:cs="宋体"/>
                <w:color w:val="auto"/>
                <w:sz w:val="21"/>
                <w:szCs w:val="21"/>
                <w:highlight w:val="none"/>
              </w:rPr>
            </w:pPr>
          </w:p>
        </w:tc>
        <w:tc>
          <w:tcPr>
            <w:tcW w:w="2436" w:type="dxa"/>
            <w:noWrap w:val="0"/>
            <w:tcMar>
              <w:left w:w="0" w:type="dxa"/>
              <w:right w:w="0" w:type="dxa"/>
            </w:tcMar>
            <w:vAlign w:val="center"/>
          </w:tcPr>
          <w:p w14:paraId="71F444D5">
            <w:pPr>
              <w:keepNext w:val="0"/>
              <w:keepLines w:val="0"/>
              <w:pageBreakBefore w:val="0"/>
              <w:widowControl w:val="0"/>
              <w:kinsoku/>
              <w:wordWrap/>
              <w:overflowPunct/>
              <w:topLinePunct w:val="0"/>
              <w:autoSpaceDE/>
              <w:autoSpaceDN/>
              <w:bidi w:val="0"/>
              <w:adjustRightInd/>
              <w:spacing w:before="50" w:after="50" w:line="360" w:lineRule="auto"/>
              <w:ind w:firstLine="142" w:firstLineChars="68"/>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GB/T 12706-2020</w:t>
            </w:r>
          </w:p>
        </w:tc>
        <w:tc>
          <w:tcPr>
            <w:tcW w:w="5036" w:type="dxa"/>
            <w:noWrap w:val="0"/>
            <w:vAlign w:val="center"/>
          </w:tcPr>
          <w:p w14:paraId="65E8844E">
            <w:pPr>
              <w:keepNext w:val="0"/>
              <w:keepLines w:val="0"/>
              <w:pageBreakBefore w:val="0"/>
              <w:widowControl w:val="0"/>
              <w:kinsoku/>
              <w:wordWrap/>
              <w:overflowPunct/>
              <w:topLinePunct w:val="0"/>
              <w:autoSpaceDE/>
              <w:autoSpaceDN/>
              <w:bidi w:val="0"/>
              <w:adjustRightInd/>
              <w:spacing w:before="50" w:after="50" w:line="360" w:lineRule="auto"/>
              <w:ind w:firstLine="31" w:firstLineChars="15"/>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额定电压1 kV(Um=1.2 kV)到35 kV(Um=40.5 kV)挤包绝缘电力电缆及附件</w:t>
            </w:r>
          </w:p>
        </w:tc>
      </w:tr>
      <w:tr w14:paraId="51987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861" w:type="dxa"/>
            <w:noWrap w:val="0"/>
            <w:tcMar>
              <w:left w:w="0" w:type="dxa"/>
              <w:right w:w="0" w:type="dxa"/>
            </w:tcMar>
            <w:vAlign w:val="center"/>
          </w:tcPr>
          <w:p w14:paraId="49D19EB2">
            <w:pPr>
              <w:pStyle w:val="34"/>
              <w:keepNext w:val="0"/>
              <w:keepLines w:val="0"/>
              <w:pageBreakBefore w:val="0"/>
              <w:widowControl w:val="0"/>
              <w:numPr>
                <w:ilvl w:val="0"/>
                <w:numId w:val="4"/>
              </w:numPr>
              <w:kinsoku/>
              <w:wordWrap/>
              <w:overflowPunct/>
              <w:topLinePunct w:val="0"/>
              <w:autoSpaceDE/>
              <w:autoSpaceDN/>
              <w:bidi w:val="0"/>
              <w:adjustRightInd/>
              <w:spacing w:before="50" w:after="50" w:line="360" w:lineRule="auto"/>
              <w:ind w:firstLineChars="0"/>
              <w:jc w:val="both"/>
              <w:textAlignment w:val="auto"/>
              <w:rPr>
                <w:rFonts w:hint="eastAsia" w:ascii="宋体" w:hAnsi="宋体" w:eastAsia="宋体" w:cs="宋体"/>
                <w:color w:val="auto"/>
                <w:sz w:val="21"/>
                <w:szCs w:val="21"/>
                <w:highlight w:val="none"/>
              </w:rPr>
            </w:pPr>
          </w:p>
        </w:tc>
        <w:tc>
          <w:tcPr>
            <w:tcW w:w="2436" w:type="dxa"/>
            <w:noWrap w:val="0"/>
            <w:tcMar>
              <w:left w:w="0" w:type="dxa"/>
              <w:right w:w="0" w:type="dxa"/>
            </w:tcMar>
            <w:vAlign w:val="center"/>
          </w:tcPr>
          <w:p w14:paraId="2F861370">
            <w:pPr>
              <w:keepNext w:val="0"/>
              <w:keepLines w:val="0"/>
              <w:pageBreakBefore w:val="0"/>
              <w:widowControl w:val="0"/>
              <w:kinsoku/>
              <w:wordWrap/>
              <w:overflowPunct/>
              <w:topLinePunct w:val="0"/>
              <w:autoSpaceDE/>
              <w:autoSpaceDN/>
              <w:bidi w:val="0"/>
              <w:adjustRightInd/>
              <w:spacing w:before="50" w:after="50" w:line="360" w:lineRule="auto"/>
              <w:ind w:firstLine="142" w:firstLineChars="68"/>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szCs w:val="21"/>
              </w:rPr>
              <w:t>GB/T 16927</w:t>
            </w:r>
            <w:r>
              <w:rPr>
                <w:rFonts w:hint="eastAsia" w:ascii="宋体" w:hAnsi="宋体" w:eastAsia="宋体" w:cs="宋体"/>
                <w:szCs w:val="21"/>
                <w:lang w:val="en-US" w:eastAsia="zh-CN"/>
              </w:rPr>
              <w:t>.1-2011</w:t>
            </w:r>
          </w:p>
        </w:tc>
        <w:tc>
          <w:tcPr>
            <w:tcW w:w="5036" w:type="dxa"/>
            <w:noWrap w:val="0"/>
            <w:vAlign w:val="center"/>
          </w:tcPr>
          <w:p w14:paraId="66DD0548">
            <w:pPr>
              <w:keepNext w:val="0"/>
              <w:keepLines w:val="0"/>
              <w:pageBreakBefore w:val="0"/>
              <w:widowControl w:val="0"/>
              <w:kinsoku/>
              <w:wordWrap/>
              <w:overflowPunct/>
              <w:topLinePunct w:val="0"/>
              <w:autoSpaceDE/>
              <w:autoSpaceDN/>
              <w:bidi w:val="0"/>
              <w:adjustRightInd/>
              <w:spacing w:before="50" w:after="50" w:line="360" w:lineRule="auto"/>
              <w:ind w:firstLine="31" w:firstLineChars="15"/>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高电压试验技术 第1部分：一般定义及试验要求</w:t>
            </w:r>
          </w:p>
        </w:tc>
      </w:tr>
      <w:tr w14:paraId="77572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861" w:type="dxa"/>
            <w:noWrap w:val="0"/>
            <w:tcMar>
              <w:left w:w="0" w:type="dxa"/>
              <w:right w:w="0" w:type="dxa"/>
            </w:tcMar>
            <w:vAlign w:val="center"/>
          </w:tcPr>
          <w:p w14:paraId="67FEEFA9">
            <w:pPr>
              <w:pStyle w:val="34"/>
              <w:keepNext w:val="0"/>
              <w:keepLines w:val="0"/>
              <w:pageBreakBefore w:val="0"/>
              <w:widowControl w:val="0"/>
              <w:numPr>
                <w:ilvl w:val="0"/>
                <w:numId w:val="4"/>
              </w:numPr>
              <w:kinsoku/>
              <w:wordWrap/>
              <w:overflowPunct/>
              <w:topLinePunct w:val="0"/>
              <w:autoSpaceDE/>
              <w:autoSpaceDN/>
              <w:bidi w:val="0"/>
              <w:adjustRightInd/>
              <w:spacing w:before="50" w:after="50" w:line="360" w:lineRule="auto"/>
              <w:ind w:firstLineChars="0"/>
              <w:jc w:val="both"/>
              <w:textAlignment w:val="auto"/>
              <w:rPr>
                <w:rFonts w:hint="eastAsia" w:ascii="宋体" w:hAnsi="宋体" w:eastAsia="宋体" w:cs="宋体"/>
                <w:color w:val="auto"/>
                <w:sz w:val="21"/>
                <w:szCs w:val="21"/>
                <w:highlight w:val="none"/>
              </w:rPr>
            </w:pPr>
          </w:p>
        </w:tc>
        <w:tc>
          <w:tcPr>
            <w:tcW w:w="2436" w:type="dxa"/>
            <w:shd w:val="clear" w:color="auto" w:fill="auto"/>
            <w:noWrap w:val="0"/>
            <w:tcMar>
              <w:left w:w="0" w:type="dxa"/>
              <w:right w:w="0" w:type="dxa"/>
            </w:tcMar>
            <w:vAlign w:val="center"/>
          </w:tcPr>
          <w:p w14:paraId="6DF2B222">
            <w:pPr>
              <w:keepNext w:val="0"/>
              <w:keepLines w:val="0"/>
              <w:pageBreakBefore w:val="0"/>
              <w:widowControl w:val="0"/>
              <w:kinsoku/>
              <w:wordWrap/>
              <w:overflowPunct/>
              <w:topLinePunct w:val="0"/>
              <w:autoSpaceDE/>
              <w:autoSpaceDN/>
              <w:bidi w:val="0"/>
              <w:adjustRightInd/>
              <w:spacing w:before="50" w:after="50" w:line="360" w:lineRule="auto"/>
              <w:ind w:firstLine="142" w:firstLineChars="68"/>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GB 38755-2019</w:t>
            </w:r>
          </w:p>
        </w:tc>
        <w:tc>
          <w:tcPr>
            <w:tcW w:w="5036" w:type="dxa"/>
            <w:shd w:val="clear" w:color="auto" w:fill="auto"/>
            <w:noWrap w:val="0"/>
            <w:vAlign w:val="center"/>
          </w:tcPr>
          <w:p w14:paraId="6A09D776">
            <w:pPr>
              <w:keepNext w:val="0"/>
              <w:keepLines w:val="0"/>
              <w:pageBreakBefore w:val="0"/>
              <w:widowControl w:val="0"/>
              <w:kinsoku/>
              <w:wordWrap/>
              <w:overflowPunct/>
              <w:topLinePunct w:val="0"/>
              <w:autoSpaceDE/>
              <w:autoSpaceDN/>
              <w:bidi w:val="0"/>
              <w:adjustRightInd/>
              <w:spacing w:before="50" w:after="50" w:line="360" w:lineRule="auto"/>
              <w:ind w:firstLine="31" w:firstLineChars="15"/>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电力系统安全稳定导则</w:t>
            </w:r>
          </w:p>
        </w:tc>
      </w:tr>
      <w:tr w14:paraId="23B38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861" w:type="dxa"/>
            <w:noWrap w:val="0"/>
            <w:tcMar>
              <w:left w:w="0" w:type="dxa"/>
              <w:right w:w="0" w:type="dxa"/>
            </w:tcMar>
            <w:vAlign w:val="center"/>
          </w:tcPr>
          <w:p w14:paraId="4FD858EC">
            <w:pPr>
              <w:pStyle w:val="34"/>
              <w:keepNext w:val="0"/>
              <w:keepLines w:val="0"/>
              <w:pageBreakBefore w:val="0"/>
              <w:widowControl w:val="0"/>
              <w:numPr>
                <w:ilvl w:val="0"/>
                <w:numId w:val="4"/>
              </w:numPr>
              <w:kinsoku/>
              <w:wordWrap/>
              <w:overflowPunct/>
              <w:topLinePunct w:val="0"/>
              <w:autoSpaceDE/>
              <w:autoSpaceDN/>
              <w:bidi w:val="0"/>
              <w:adjustRightInd/>
              <w:spacing w:before="50" w:after="50" w:line="360" w:lineRule="auto"/>
              <w:ind w:firstLineChars="0"/>
              <w:jc w:val="both"/>
              <w:textAlignment w:val="auto"/>
              <w:rPr>
                <w:rFonts w:hint="eastAsia" w:ascii="宋体" w:hAnsi="宋体" w:eastAsia="宋体" w:cs="宋体"/>
                <w:color w:val="auto"/>
                <w:sz w:val="21"/>
                <w:szCs w:val="21"/>
                <w:highlight w:val="none"/>
              </w:rPr>
            </w:pPr>
          </w:p>
        </w:tc>
        <w:tc>
          <w:tcPr>
            <w:tcW w:w="2436" w:type="dxa"/>
            <w:shd w:val="clear" w:color="auto" w:fill="auto"/>
            <w:noWrap w:val="0"/>
            <w:tcMar>
              <w:left w:w="0" w:type="dxa"/>
              <w:right w:w="0" w:type="dxa"/>
            </w:tcMar>
            <w:vAlign w:val="center"/>
          </w:tcPr>
          <w:p w14:paraId="035CBA8D">
            <w:pPr>
              <w:keepNext w:val="0"/>
              <w:keepLines w:val="0"/>
              <w:pageBreakBefore w:val="0"/>
              <w:widowControl w:val="0"/>
              <w:kinsoku/>
              <w:wordWrap/>
              <w:overflowPunct/>
              <w:topLinePunct w:val="0"/>
              <w:autoSpaceDE/>
              <w:autoSpaceDN/>
              <w:bidi w:val="0"/>
              <w:adjustRightInd/>
              <w:spacing w:before="50" w:after="50" w:line="360" w:lineRule="auto"/>
              <w:ind w:firstLine="142" w:firstLineChars="68"/>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DL/T 755-2021</w:t>
            </w:r>
          </w:p>
        </w:tc>
        <w:tc>
          <w:tcPr>
            <w:tcW w:w="5036" w:type="dxa"/>
            <w:shd w:val="clear" w:color="auto" w:fill="auto"/>
            <w:noWrap w:val="0"/>
            <w:vAlign w:val="center"/>
          </w:tcPr>
          <w:p w14:paraId="7E022BDF">
            <w:pPr>
              <w:keepNext w:val="0"/>
              <w:keepLines w:val="0"/>
              <w:pageBreakBefore w:val="0"/>
              <w:widowControl w:val="0"/>
              <w:kinsoku/>
              <w:wordWrap/>
              <w:overflowPunct/>
              <w:topLinePunct w:val="0"/>
              <w:autoSpaceDE/>
              <w:autoSpaceDN/>
              <w:bidi w:val="0"/>
              <w:adjustRightInd/>
              <w:spacing w:before="50" w:after="50" w:line="360" w:lineRule="auto"/>
              <w:ind w:firstLine="31" w:firstLineChars="15"/>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电力系统安全稳定导则</w:t>
            </w:r>
          </w:p>
        </w:tc>
      </w:tr>
      <w:tr w14:paraId="04305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861" w:type="dxa"/>
            <w:noWrap w:val="0"/>
            <w:tcMar>
              <w:left w:w="0" w:type="dxa"/>
              <w:right w:w="0" w:type="dxa"/>
            </w:tcMar>
            <w:vAlign w:val="center"/>
          </w:tcPr>
          <w:p w14:paraId="1D9AD184">
            <w:pPr>
              <w:pStyle w:val="34"/>
              <w:keepNext w:val="0"/>
              <w:keepLines w:val="0"/>
              <w:pageBreakBefore w:val="0"/>
              <w:widowControl w:val="0"/>
              <w:numPr>
                <w:ilvl w:val="0"/>
                <w:numId w:val="4"/>
              </w:numPr>
              <w:kinsoku/>
              <w:wordWrap/>
              <w:overflowPunct/>
              <w:topLinePunct w:val="0"/>
              <w:autoSpaceDE/>
              <w:autoSpaceDN/>
              <w:bidi w:val="0"/>
              <w:adjustRightInd/>
              <w:spacing w:before="50" w:after="50" w:line="360" w:lineRule="auto"/>
              <w:ind w:firstLineChars="0"/>
              <w:jc w:val="both"/>
              <w:textAlignment w:val="auto"/>
              <w:rPr>
                <w:rFonts w:hint="eastAsia" w:ascii="宋体" w:hAnsi="宋体" w:eastAsia="宋体" w:cs="宋体"/>
                <w:color w:val="auto"/>
                <w:sz w:val="21"/>
                <w:szCs w:val="21"/>
                <w:highlight w:val="none"/>
              </w:rPr>
            </w:pPr>
          </w:p>
        </w:tc>
        <w:tc>
          <w:tcPr>
            <w:tcW w:w="2436" w:type="dxa"/>
            <w:shd w:val="clear" w:color="auto" w:fill="auto"/>
            <w:noWrap w:val="0"/>
            <w:tcMar>
              <w:left w:w="0" w:type="dxa"/>
              <w:right w:w="0" w:type="dxa"/>
            </w:tcMar>
            <w:vAlign w:val="center"/>
          </w:tcPr>
          <w:p w14:paraId="2D1107BD">
            <w:pPr>
              <w:keepNext w:val="0"/>
              <w:keepLines w:val="0"/>
              <w:pageBreakBefore w:val="0"/>
              <w:widowControl w:val="0"/>
              <w:kinsoku/>
              <w:wordWrap/>
              <w:overflowPunct/>
              <w:topLinePunct w:val="0"/>
              <w:autoSpaceDE/>
              <w:autoSpaceDN/>
              <w:bidi w:val="0"/>
              <w:adjustRightInd/>
              <w:spacing w:before="50" w:after="50" w:line="360" w:lineRule="auto"/>
              <w:ind w:firstLine="142" w:firstLineChars="68"/>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DL/T 879-2021</w:t>
            </w:r>
          </w:p>
        </w:tc>
        <w:tc>
          <w:tcPr>
            <w:tcW w:w="5036" w:type="dxa"/>
            <w:shd w:val="clear" w:color="auto" w:fill="auto"/>
            <w:noWrap w:val="0"/>
            <w:vAlign w:val="center"/>
          </w:tcPr>
          <w:p w14:paraId="70635500">
            <w:pPr>
              <w:keepNext w:val="0"/>
              <w:keepLines w:val="0"/>
              <w:pageBreakBefore w:val="0"/>
              <w:widowControl w:val="0"/>
              <w:kinsoku/>
              <w:wordWrap/>
              <w:overflowPunct/>
              <w:topLinePunct w:val="0"/>
              <w:autoSpaceDE/>
              <w:autoSpaceDN/>
              <w:bidi w:val="0"/>
              <w:adjustRightInd/>
              <w:spacing w:before="50" w:after="50" w:line="360" w:lineRule="auto"/>
              <w:ind w:firstLine="31" w:firstLineChars="15"/>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便携式接地和接地短路装置</w:t>
            </w:r>
          </w:p>
        </w:tc>
      </w:tr>
      <w:tr w14:paraId="4F653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861" w:type="dxa"/>
            <w:noWrap w:val="0"/>
            <w:tcMar>
              <w:left w:w="0" w:type="dxa"/>
              <w:right w:w="0" w:type="dxa"/>
            </w:tcMar>
            <w:vAlign w:val="center"/>
          </w:tcPr>
          <w:p w14:paraId="4FC969BD">
            <w:pPr>
              <w:pStyle w:val="34"/>
              <w:keepNext w:val="0"/>
              <w:keepLines w:val="0"/>
              <w:pageBreakBefore w:val="0"/>
              <w:widowControl w:val="0"/>
              <w:numPr>
                <w:ilvl w:val="0"/>
                <w:numId w:val="4"/>
              </w:numPr>
              <w:kinsoku/>
              <w:wordWrap/>
              <w:overflowPunct/>
              <w:topLinePunct w:val="0"/>
              <w:autoSpaceDE/>
              <w:autoSpaceDN/>
              <w:bidi w:val="0"/>
              <w:adjustRightInd/>
              <w:spacing w:before="50" w:after="50" w:line="360" w:lineRule="auto"/>
              <w:ind w:firstLineChars="0"/>
              <w:jc w:val="both"/>
              <w:textAlignment w:val="auto"/>
              <w:rPr>
                <w:rFonts w:hint="eastAsia" w:ascii="宋体" w:hAnsi="宋体" w:eastAsia="宋体" w:cs="宋体"/>
                <w:color w:val="auto"/>
                <w:sz w:val="21"/>
                <w:szCs w:val="21"/>
                <w:highlight w:val="none"/>
              </w:rPr>
            </w:pPr>
          </w:p>
        </w:tc>
        <w:tc>
          <w:tcPr>
            <w:tcW w:w="2436" w:type="dxa"/>
            <w:shd w:val="clear" w:color="auto" w:fill="auto"/>
            <w:noWrap w:val="0"/>
            <w:tcMar>
              <w:left w:w="0" w:type="dxa"/>
              <w:right w:w="0" w:type="dxa"/>
            </w:tcMar>
            <w:vAlign w:val="center"/>
          </w:tcPr>
          <w:p w14:paraId="0FAA8F35">
            <w:pPr>
              <w:keepNext w:val="0"/>
              <w:keepLines w:val="0"/>
              <w:pageBreakBefore w:val="0"/>
              <w:widowControl w:val="0"/>
              <w:kinsoku/>
              <w:wordWrap/>
              <w:overflowPunct/>
              <w:topLinePunct w:val="0"/>
              <w:autoSpaceDE/>
              <w:autoSpaceDN/>
              <w:bidi w:val="0"/>
              <w:adjustRightInd/>
              <w:spacing w:before="50" w:after="50" w:line="360" w:lineRule="auto"/>
              <w:ind w:firstLine="142" w:firstLineChars="68"/>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DL/T 976-2017</w:t>
            </w:r>
          </w:p>
        </w:tc>
        <w:tc>
          <w:tcPr>
            <w:tcW w:w="5036" w:type="dxa"/>
            <w:shd w:val="clear" w:color="auto" w:fill="auto"/>
            <w:noWrap w:val="0"/>
            <w:vAlign w:val="center"/>
          </w:tcPr>
          <w:p w14:paraId="49AEB5EA">
            <w:pPr>
              <w:keepNext w:val="0"/>
              <w:keepLines w:val="0"/>
              <w:pageBreakBefore w:val="0"/>
              <w:widowControl w:val="0"/>
              <w:kinsoku/>
              <w:wordWrap/>
              <w:overflowPunct/>
              <w:topLinePunct w:val="0"/>
              <w:autoSpaceDE/>
              <w:autoSpaceDN/>
              <w:bidi w:val="0"/>
              <w:adjustRightInd/>
              <w:spacing w:before="50" w:after="50" w:line="360" w:lineRule="auto"/>
              <w:ind w:firstLine="31" w:firstLineChars="15"/>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带电作业工具、装置和设备预防性试验规程</w:t>
            </w:r>
          </w:p>
        </w:tc>
      </w:tr>
      <w:tr w14:paraId="25938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861" w:type="dxa"/>
            <w:noWrap w:val="0"/>
            <w:tcMar>
              <w:left w:w="0" w:type="dxa"/>
              <w:right w:w="0" w:type="dxa"/>
            </w:tcMar>
            <w:vAlign w:val="center"/>
          </w:tcPr>
          <w:p w14:paraId="3FD119D7">
            <w:pPr>
              <w:pStyle w:val="34"/>
              <w:keepNext w:val="0"/>
              <w:keepLines w:val="0"/>
              <w:pageBreakBefore w:val="0"/>
              <w:widowControl w:val="0"/>
              <w:numPr>
                <w:ilvl w:val="0"/>
                <w:numId w:val="4"/>
              </w:numPr>
              <w:kinsoku/>
              <w:wordWrap/>
              <w:overflowPunct/>
              <w:topLinePunct w:val="0"/>
              <w:autoSpaceDE/>
              <w:autoSpaceDN/>
              <w:bidi w:val="0"/>
              <w:adjustRightInd/>
              <w:spacing w:before="50" w:after="50" w:line="360" w:lineRule="auto"/>
              <w:ind w:firstLineChars="0"/>
              <w:jc w:val="both"/>
              <w:textAlignment w:val="auto"/>
              <w:rPr>
                <w:rFonts w:hint="eastAsia" w:ascii="宋体" w:hAnsi="宋体" w:eastAsia="宋体" w:cs="宋体"/>
                <w:color w:val="auto"/>
                <w:sz w:val="21"/>
                <w:szCs w:val="21"/>
                <w:highlight w:val="none"/>
              </w:rPr>
            </w:pPr>
          </w:p>
        </w:tc>
        <w:tc>
          <w:tcPr>
            <w:tcW w:w="2436" w:type="dxa"/>
            <w:shd w:val="clear" w:color="auto" w:fill="auto"/>
            <w:noWrap w:val="0"/>
            <w:tcMar>
              <w:left w:w="0" w:type="dxa"/>
              <w:right w:w="0" w:type="dxa"/>
            </w:tcMar>
            <w:vAlign w:val="center"/>
          </w:tcPr>
          <w:p w14:paraId="7CCD9A84">
            <w:pPr>
              <w:keepNext w:val="0"/>
              <w:keepLines w:val="0"/>
              <w:pageBreakBefore w:val="0"/>
              <w:widowControl w:val="0"/>
              <w:kinsoku/>
              <w:wordWrap/>
              <w:overflowPunct/>
              <w:topLinePunct w:val="0"/>
              <w:autoSpaceDE/>
              <w:autoSpaceDN/>
              <w:bidi w:val="0"/>
              <w:adjustRightInd/>
              <w:spacing w:before="50" w:after="50" w:line="360" w:lineRule="auto"/>
              <w:ind w:firstLine="142" w:firstLineChars="68"/>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Q/CSG 510001-2015</w:t>
            </w:r>
          </w:p>
        </w:tc>
        <w:tc>
          <w:tcPr>
            <w:tcW w:w="5036" w:type="dxa"/>
            <w:shd w:val="clear" w:color="auto" w:fill="auto"/>
            <w:noWrap w:val="0"/>
            <w:vAlign w:val="center"/>
          </w:tcPr>
          <w:p w14:paraId="57BE46CF">
            <w:pPr>
              <w:keepNext w:val="0"/>
              <w:keepLines w:val="0"/>
              <w:pageBreakBefore w:val="0"/>
              <w:widowControl w:val="0"/>
              <w:kinsoku/>
              <w:wordWrap/>
              <w:overflowPunct/>
              <w:topLinePunct w:val="0"/>
              <w:autoSpaceDE/>
              <w:autoSpaceDN/>
              <w:bidi w:val="0"/>
              <w:adjustRightInd/>
              <w:spacing w:before="50" w:after="50" w:line="360" w:lineRule="auto"/>
              <w:ind w:firstLine="31" w:firstLineChars="15"/>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中国南方电网有限责任公司电力安全工作规程</w:t>
            </w:r>
          </w:p>
        </w:tc>
      </w:tr>
    </w:tbl>
    <w:p w14:paraId="3FBD1862">
      <w:pPr>
        <w:pStyle w:val="80"/>
        <w:framePr w:wrap="auto" w:vAnchor="margin" w:hAnchor="text" w:yAlign="inline"/>
        <w:numPr>
          <w:ilvl w:val="0"/>
          <w:numId w:val="3"/>
        </w:numPr>
        <w:rPr>
          <w:rFonts w:hint="eastAsia" w:ascii="宋体" w:hAnsi="宋体" w:eastAsia="宋体" w:cs="宋体"/>
          <w:b/>
          <w:bCs/>
          <w:color w:val="0000FF"/>
          <w:highlight w:val="none"/>
          <w:lang w:val="zh-TW" w:eastAsia="zh-TW"/>
        </w:rPr>
      </w:pPr>
      <w:bookmarkStart w:id="18" w:name="_Toc30209"/>
      <w:r>
        <w:rPr>
          <w:rFonts w:hint="eastAsia" w:ascii="宋体" w:hAnsi="宋体" w:eastAsia="宋体" w:cs="宋体"/>
          <w:b/>
          <w:bCs/>
          <w:color w:val="0000FF"/>
          <w:highlight w:val="none"/>
          <w:lang w:val="en-US" w:eastAsia="zh-CN"/>
        </w:rPr>
        <w:t>使用条件</w:t>
      </w:r>
      <w:bookmarkEnd w:id="18"/>
    </w:p>
    <w:p w14:paraId="116214EB">
      <w:pPr>
        <w:pStyle w:val="86"/>
        <w:framePr w:wrap="auto" w:vAnchor="margin" w:hAnchor="text" w:yAlign="inline"/>
        <w:numPr>
          <w:ilvl w:val="1"/>
          <w:numId w:val="3"/>
        </w:numPr>
        <w:rPr>
          <w:rFonts w:hint="eastAsia" w:ascii="宋体" w:hAnsi="宋体" w:eastAsia="宋体" w:cs="宋体"/>
          <w:lang w:val="zh-TW" w:eastAsia="zh-TW"/>
        </w:rPr>
      </w:pPr>
      <w:bookmarkStart w:id="19" w:name="_Toc27174"/>
      <w:r>
        <w:rPr>
          <w:rFonts w:hint="eastAsia" w:ascii="宋体" w:hAnsi="宋体" w:eastAsia="宋体" w:cs="宋体"/>
          <w:lang w:val="en-US" w:eastAsia="zh-CN"/>
        </w:rPr>
        <w:t>正常工作大气条件</w:t>
      </w:r>
      <w:bookmarkEnd w:id="19"/>
    </w:p>
    <w:p w14:paraId="2242687A">
      <w:pPr>
        <w:pStyle w:val="81"/>
        <w:framePr w:wrap="auto" w:vAnchor="margin" w:hAnchor="text" w:yAlign="inline"/>
        <w:ind w:firstLine="420" w:firstLineChars="0"/>
        <w:rPr>
          <w:rFonts w:hint="eastAsia" w:ascii="宋体" w:hAnsi="宋体" w:eastAsia="宋体" w:cs="宋体"/>
          <w:color w:val="000000"/>
          <w:sz w:val="24"/>
          <w:szCs w:val="24"/>
          <w:u w:color="000000"/>
          <w:lang w:val="en-US" w:eastAsia="zh-CN" w:bidi="ar-SA"/>
        </w:rPr>
      </w:pPr>
      <w:r>
        <w:rPr>
          <w:rFonts w:hint="eastAsia" w:ascii="宋体" w:hAnsi="宋体" w:eastAsia="宋体" w:cs="宋体"/>
          <w:color w:val="000000"/>
          <w:sz w:val="24"/>
          <w:szCs w:val="24"/>
          <w:u w:color="000000"/>
          <w:lang w:val="en-US" w:eastAsia="zh-CN" w:bidi="ar-SA"/>
        </w:rPr>
        <w:t>环境温度：-20℃～+80℃。</w:t>
      </w:r>
    </w:p>
    <w:p w14:paraId="57E629AA">
      <w:pPr>
        <w:pStyle w:val="81"/>
        <w:framePr w:wrap="auto" w:vAnchor="margin" w:hAnchor="text" w:yAlign="inline"/>
        <w:ind w:firstLine="420" w:firstLineChars="0"/>
        <w:rPr>
          <w:rFonts w:hint="eastAsia" w:ascii="宋体" w:hAnsi="宋体" w:eastAsia="宋体" w:cs="宋体"/>
          <w:color w:val="000000"/>
          <w:sz w:val="24"/>
          <w:szCs w:val="24"/>
          <w:u w:color="000000"/>
          <w:lang w:val="en-US" w:eastAsia="zh-CN" w:bidi="ar-SA"/>
        </w:rPr>
      </w:pPr>
      <w:r>
        <w:rPr>
          <w:rFonts w:hint="eastAsia" w:ascii="宋体" w:hAnsi="宋体" w:eastAsia="宋体" w:cs="宋体"/>
          <w:color w:val="000000"/>
          <w:sz w:val="24"/>
          <w:szCs w:val="24"/>
          <w:u w:color="000000"/>
          <w:lang w:val="en-US" w:eastAsia="zh-CN" w:bidi="ar-SA"/>
        </w:rPr>
        <w:t>相对湿度：0%～90%。</w:t>
      </w:r>
    </w:p>
    <w:p w14:paraId="15FD0B97">
      <w:pPr>
        <w:pStyle w:val="81"/>
        <w:framePr w:wrap="auto" w:vAnchor="margin" w:hAnchor="text" w:yAlign="inline"/>
        <w:ind w:firstLine="420" w:firstLineChars="0"/>
        <w:rPr>
          <w:rFonts w:hint="eastAsia" w:ascii="宋体" w:hAnsi="宋体" w:eastAsia="宋体" w:cs="宋体"/>
          <w:color w:val="000000"/>
          <w:sz w:val="24"/>
          <w:szCs w:val="24"/>
          <w:u w:color="000000"/>
          <w:lang w:val="en-US" w:eastAsia="zh-CN" w:bidi="ar-SA"/>
        </w:rPr>
      </w:pPr>
      <w:r>
        <w:rPr>
          <w:rFonts w:hint="eastAsia" w:ascii="宋体" w:hAnsi="宋体" w:eastAsia="宋体" w:cs="宋体"/>
          <w:color w:val="000000"/>
          <w:sz w:val="24"/>
          <w:szCs w:val="24"/>
          <w:u w:color="000000"/>
          <w:lang w:val="en-US" w:eastAsia="zh-CN" w:bidi="ar-SA"/>
        </w:rPr>
        <w:t>大气压力：70kPa～106kPa。</w:t>
      </w:r>
    </w:p>
    <w:p w14:paraId="1F9409D2">
      <w:pPr>
        <w:pStyle w:val="86"/>
        <w:framePr w:wrap="auto" w:vAnchor="margin" w:hAnchor="text" w:yAlign="inline"/>
        <w:numPr>
          <w:ilvl w:val="1"/>
          <w:numId w:val="3"/>
        </w:numPr>
        <w:rPr>
          <w:rFonts w:hint="eastAsia" w:ascii="宋体" w:hAnsi="宋体" w:eastAsia="宋体" w:cs="宋体"/>
          <w:lang w:val="zh-TW" w:eastAsia="zh-TW"/>
        </w:rPr>
      </w:pPr>
      <w:bookmarkStart w:id="20" w:name="_Toc11103"/>
      <w:r>
        <w:rPr>
          <w:rFonts w:hint="eastAsia" w:ascii="宋体" w:hAnsi="宋体" w:eastAsia="宋体" w:cs="宋体"/>
          <w:lang w:val="en-US" w:eastAsia="zh-CN"/>
        </w:rPr>
        <w:t>试验的标准大气条件</w:t>
      </w:r>
      <w:bookmarkEnd w:id="20"/>
    </w:p>
    <w:p w14:paraId="27BB0786">
      <w:pPr>
        <w:pStyle w:val="81"/>
        <w:framePr w:wrap="auto" w:vAnchor="margin" w:hAnchor="text" w:yAlign="inline"/>
        <w:ind w:firstLine="420" w:firstLineChars="0"/>
        <w:rPr>
          <w:rFonts w:hint="eastAsia" w:ascii="宋体" w:hAnsi="宋体" w:eastAsia="宋体" w:cs="宋体"/>
          <w:color w:val="000000"/>
          <w:sz w:val="24"/>
          <w:szCs w:val="24"/>
          <w:u w:color="000000"/>
          <w:lang w:val="en-US" w:eastAsia="zh-CN" w:bidi="ar-SA"/>
        </w:rPr>
      </w:pPr>
      <w:r>
        <w:rPr>
          <w:rFonts w:hint="eastAsia" w:ascii="宋体" w:hAnsi="宋体" w:eastAsia="宋体" w:cs="宋体"/>
          <w:color w:val="000000"/>
          <w:sz w:val="24"/>
          <w:szCs w:val="24"/>
          <w:u w:color="000000"/>
          <w:lang w:val="en-US" w:eastAsia="zh-CN" w:bidi="ar-SA"/>
        </w:rPr>
        <w:t>环境温度：+15℃～+35℃。</w:t>
      </w:r>
    </w:p>
    <w:p w14:paraId="06580C63">
      <w:pPr>
        <w:pStyle w:val="81"/>
        <w:framePr w:wrap="auto" w:vAnchor="margin" w:hAnchor="text" w:yAlign="inline"/>
        <w:ind w:firstLine="420" w:firstLineChars="0"/>
        <w:rPr>
          <w:rFonts w:hint="eastAsia" w:ascii="宋体" w:hAnsi="宋体" w:eastAsia="宋体" w:cs="宋体"/>
          <w:color w:val="000000"/>
          <w:sz w:val="24"/>
          <w:szCs w:val="24"/>
          <w:u w:color="000000"/>
          <w:lang w:val="en-US" w:eastAsia="zh-CN" w:bidi="ar-SA"/>
        </w:rPr>
      </w:pPr>
      <w:r>
        <w:rPr>
          <w:rFonts w:hint="eastAsia" w:ascii="宋体" w:hAnsi="宋体" w:eastAsia="宋体" w:cs="宋体"/>
          <w:color w:val="000000"/>
          <w:sz w:val="24"/>
          <w:szCs w:val="24"/>
          <w:u w:color="000000"/>
          <w:lang w:val="en-US" w:eastAsia="zh-CN" w:bidi="ar-SA"/>
        </w:rPr>
        <w:t>相对湿度：45%～75%。</w:t>
      </w:r>
    </w:p>
    <w:p w14:paraId="47EA78F4">
      <w:pPr>
        <w:pStyle w:val="81"/>
        <w:framePr w:wrap="auto" w:vAnchor="margin" w:hAnchor="text" w:yAlign="inline"/>
        <w:ind w:firstLine="420" w:firstLineChars="0"/>
        <w:rPr>
          <w:rFonts w:hint="eastAsia" w:ascii="宋体" w:hAnsi="宋体" w:eastAsia="宋体" w:cs="宋体"/>
          <w:color w:val="000000"/>
          <w:sz w:val="24"/>
          <w:szCs w:val="24"/>
          <w:u w:color="000000"/>
          <w:lang w:val="en-US" w:eastAsia="zh-CN" w:bidi="ar-SA"/>
        </w:rPr>
      </w:pPr>
      <w:r>
        <w:rPr>
          <w:rFonts w:hint="eastAsia" w:ascii="宋体" w:hAnsi="宋体" w:eastAsia="宋体" w:cs="宋体"/>
          <w:color w:val="000000"/>
          <w:sz w:val="24"/>
          <w:szCs w:val="24"/>
          <w:u w:color="000000"/>
          <w:lang w:val="en-US" w:eastAsia="zh-CN" w:bidi="ar-SA"/>
        </w:rPr>
        <w:t>大气压力：86kPa～106kPa。</w:t>
      </w:r>
    </w:p>
    <w:p w14:paraId="62F6FDDE">
      <w:pPr>
        <w:pStyle w:val="86"/>
        <w:framePr w:wrap="auto" w:vAnchor="margin" w:hAnchor="text" w:yAlign="inline"/>
        <w:numPr>
          <w:ilvl w:val="1"/>
          <w:numId w:val="3"/>
        </w:numPr>
        <w:rPr>
          <w:rFonts w:hint="eastAsia" w:ascii="宋体" w:hAnsi="宋体" w:eastAsia="宋体" w:cs="宋体"/>
          <w:color w:val="0000FF"/>
          <w:lang w:val="zh-TW" w:eastAsia="zh-TW"/>
        </w:rPr>
      </w:pPr>
      <w:bookmarkStart w:id="21" w:name="_Toc15335"/>
      <w:r>
        <w:rPr>
          <w:rFonts w:hint="eastAsia" w:ascii="宋体" w:hAnsi="宋体" w:eastAsia="宋体" w:cs="宋体"/>
          <w:color w:val="0000FF"/>
          <w:lang w:val="en-US" w:eastAsia="zh-CN"/>
        </w:rPr>
        <w:t>储存、运输极限环境温度</w:t>
      </w:r>
      <w:bookmarkEnd w:id="21"/>
    </w:p>
    <w:p w14:paraId="5C628CD7">
      <w:pPr>
        <w:pStyle w:val="81"/>
        <w:framePr w:wrap="auto" w:vAnchor="margin" w:hAnchor="text" w:yAlign="inline"/>
        <w:ind w:firstLine="420" w:firstLineChars="0"/>
        <w:rPr>
          <w:rFonts w:hint="eastAsia" w:ascii="宋体" w:hAnsi="宋体" w:eastAsia="宋体" w:cs="宋体"/>
          <w:color w:val="000000"/>
          <w:sz w:val="24"/>
          <w:szCs w:val="24"/>
          <w:u w:color="000000"/>
          <w:lang w:val="en-US" w:eastAsia="zh-CN" w:bidi="ar-SA"/>
        </w:rPr>
      </w:pPr>
      <w:r>
        <w:rPr>
          <w:rFonts w:hint="eastAsia" w:ascii="宋体" w:hAnsi="宋体" w:eastAsia="宋体" w:cs="宋体"/>
          <w:color w:val="000000"/>
          <w:sz w:val="24"/>
          <w:szCs w:val="24"/>
          <w:u w:color="000000"/>
          <w:lang w:val="en-US" w:eastAsia="zh-CN" w:bidi="ar-SA"/>
        </w:rPr>
        <w:t>贮存、运输环境温度极限值为-20℃～+60℃，在不施加任何激励量的条件下，装置应不出现不可逆变化。温度恢复正常后，装置的性能应仍符合本部分中的有关要求。</w:t>
      </w:r>
    </w:p>
    <w:p w14:paraId="249602EA">
      <w:pPr>
        <w:pStyle w:val="82"/>
        <w:framePr w:wrap="auto" w:vAnchor="margin" w:hAnchor="text" w:yAlign="inline"/>
        <w:rPr>
          <w:rFonts w:hint="eastAsia" w:ascii="宋体" w:hAnsi="宋体" w:eastAsia="宋体" w:cs="宋体"/>
          <w:lang w:val="zh-TW" w:eastAsia="zh-TW"/>
        </w:rPr>
      </w:pPr>
    </w:p>
    <w:bookmarkEnd w:id="16"/>
    <w:bookmarkEnd w:id="17"/>
    <w:p w14:paraId="3C8BCF9D">
      <w:pPr>
        <w:pStyle w:val="80"/>
        <w:framePr w:wrap="auto" w:vAnchor="margin" w:hAnchor="text" w:yAlign="inline"/>
        <w:numPr>
          <w:ilvl w:val="0"/>
          <w:numId w:val="3"/>
        </w:numPr>
        <w:rPr>
          <w:rFonts w:hint="eastAsia" w:ascii="宋体" w:hAnsi="宋体" w:eastAsia="宋体" w:cs="宋体"/>
          <w:b/>
          <w:bCs/>
          <w:highlight w:val="none"/>
          <w:lang w:val="zh-TW" w:eastAsia="zh-TW"/>
        </w:rPr>
      </w:pPr>
      <w:bookmarkStart w:id="22" w:name="_Toc17959"/>
      <w:r>
        <w:rPr>
          <w:rFonts w:hint="eastAsia" w:ascii="宋体" w:hAnsi="宋体" w:eastAsia="宋体" w:cs="宋体"/>
          <w:b/>
          <w:bCs/>
          <w:highlight w:val="none"/>
          <w:lang w:val="en-US" w:eastAsia="zh-CN"/>
        </w:rPr>
        <w:t>项目要求</w:t>
      </w:r>
      <w:bookmarkEnd w:id="22"/>
    </w:p>
    <w:p w14:paraId="3FE3478B">
      <w:pPr>
        <w:pStyle w:val="86"/>
        <w:framePr w:wrap="auto" w:vAnchor="margin" w:hAnchor="text" w:yAlign="inline"/>
        <w:numPr>
          <w:ilvl w:val="1"/>
          <w:numId w:val="3"/>
        </w:numPr>
        <w:rPr>
          <w:rFonts w:hint="eastAsia" w:ascii="宋体" w:hAnsi="宋体" w:eastAsia="宋体" w:cs="宋体"/>
          <w:lang w:val="zh-TW" w:eastAsia="zh-TW"/>
        </w:rPr>
      </w:pPr>
      <w:bookmarkStart w:id="23" w:name="_Toc2709"/>
      <w:r>
        <w:rPr>
          <w:rFonts w:hint="eastAsia" w:ascii="宋体" w:hAnsi="宋体" w:eastAsia="宋体" w:cs="宋体"/>
          <w:lang w:val="en-US" w:eastAsia="zh-CN"/>
        </w:rPr>
        <w:t>项目概况</w:t>
      </w:r>
      <w:bookmarkEnd w:id="23"/>
    </w:p>
    <w:p w14:paraId="48E77E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u w:color="000000"/>
          <w:lang w:val="en-US" w:eastAsia="zh-CN" w:bidi="ar-SA"/>
        </w:rPr>
      </w:pPr>
      <w:r>
        <w:rPr>
          <w:rFonts w:hint="eastAsia" w:ascii="宋体" w:hAnsi="宋体" w:eastAsia="宋体" w:cs="宋体"/>
          <w:sz w:val="24"/>
          <w:szCs w:val="24"/>
          <w:lang w:val="en-US" w:eastAsia="zh-CN"/>
        </w:rPr>
        <w:t>研制</w:t>
      </w:r>
      <w:r>
        <w:rPr>
          <w:rFonts w:hint="eastAsia" w:ascii="宋体" w:hAnsi="宋体" w:cs="宋体"/>
          <w:sz w:val="24"/>
          <w:szCs w:val="24"/>
          <w:lang w:val="en-US" w:eastAsia="zh-CN"/>
        </w:rPr>
        <w:t>-一种永磁开关动态检测装置</w:t>
      </w:r>
      <w:r>
        <w:rPr>
          <w:rFonts w:hint="eastAsia" w:ascii="宋体" w:hAnsi="宋体" w:eastAsia="宋体" w:cs="宋体"/>
          <w:sz w:val="24"/>
          <w:szCs w:val="24"/>
          <w:lang w:val="en-US" w:eastAsia="zh-CN"/>
        </w:rPr>
        <w:t>，不仅能够提升永磁开关配电终端的测试效率，还能在确保电力系统稳定运行的前提下，为永磁式配电终端的维护和故障诊断提供更为精确的技术支持。这将对提升配电自动化系统的整体性能和可靠性起到关键作用。</w:t>
      </w:r>
    </w:p>
    <w:p w14:paraId="2FD038F4">
      <w:pPr>
        <w:pStyle w:val="86"/>
        <w:framePr w:wrap="auto" w:vAnchor="margin" w:hAnchor="text" w:yAlign="inline"/>
        <w:numPr>
          <w:ilvl w:val="1"/>
          <w:numId w:val="3"/>
        </w:numPr>
        <w:rPr>
          <w:rFonts w:hint="eastAsia" w:ascii="宋体" w:hAnsi="宋体" w:eastAsia="宋体" w:cs="宋体"/>
          <w:color w:val="0000FF"/>
          <w:lang w:val="zh-TW" w:eastAsia="zh-TW"/>
        </w:rPr>
      </w:pPr>
      <w:bookmarkStart w:id="24" w:name="_Toc4016"/>
      <w:r>
        <w:rPr>
          <w:rFonts w:hint="eastAsia" w:ascii="宋体" w:hAnsi="宋体" w:eastAsia="宋体" w:cs="宋体"/>
          <w:color w:val="0000FF"/>
          <w:lang w:val="en-US" w:eastAsia="zh-CN"/>
        </w:rPr>
        <w:t>服务范围</w:t>
      </w:r>
      <w:bookmarkEnd w:id="24"/>
    </w:p>
    <w:p w14:paraId="19667B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4"/>
          <w:u w:color="000000"/>
          <w:lang w:val="en-US" w:eastAsia="zh-CN" w:bidi="ar-SA"/>
        </w:rPr>
      </w:pPr>
      <w:r>
        <w:rPr>
          <w:rFonts w:hint="eastAsia" w:ascii="宋体" w:hAnsi="宋体" w:eastAsia="宋体" w:cs="宋体"/>
          <w:color w:val="000000"/>
          <w:kern w:val="0"/>
          <w:sz w:val="24"/>
          <w:szCs w:val="24"/>
          <w:u w:color="000000"/>
          <w:lang w:val="en-US" w:eastAsia="zh-CN" w:bidi="ar-SA"/>
        </w:rPr>
        <w:t>对《</w:t>
      </w:r>
      <w:r>
        <w:rPr>
          <w:rFonts w:hint="eastAsia" w:ascii="宋体" w:hAnsi="宋体" w:cs="宋体"/>
          <w:sz w:val="24"/>
          <w:szCs w:val="24"/>
          <w:lang w:val="en-US" w:eastAsia="zh-CN"/>
        </w:rPr>
        <w:t>一种永磁开关动态检测装置的研究与应用</w:t>
      </w:r>
      <w:r>
        <w:rPr>
          <w:rFonts w:hint="eastAsia" w:ascii="宋体" w:hAnsi="宋体" w:eastAsia="宋体" w:cs="宋体"/>
          <w:color w:val="000000"/>
          <w:kern w:val="0"/>
          <w:sz w:val="24"/>
          <w:szCs w:val="24"/>
          <w:u w:color="000000"/>
          <w:lang w:val="en-US" w:eastAsia="zh-CN" w:bidi="ar-SA"/>
        </w:rPr>
        <w:t>》项目提供技术服务。</w:t>
      </w:r>
    </w:p>
    <w:p w14:paraId="5E76E9A6">
      <w:pPr>
        <w:pStyle w:val="86"/>
        <w:framePr w:wrap="auto" w:vAnchor="margin" w:hAnchor="text" w:yAlign="inline"/>
        <w:numPr>
          <w:ilvl w:val="1"/>
          <w:numId w:val="3"/>
        </w:numPr>
        <w:rPr>
          <w:rFonts w:hint="eastAsia"/>
          <w:color w:val="0000FF"/>
          <w:lang w:val="en-US" w:eastAsia="zh-CN"/>
        </w:rPr>
      </w:pPr>
      <w:bookmarkStart w:id="25" w:name="_Toc21853"/>
      <w:r>
        <w:rPr>
          <w:rFonts w:hint="eastAsia" w:ascii="宋体" w:hAnsi="宋体" w:eastAsia="宋体" w:cs="宋体"/>
          <w:color w:val="0000FF"/>
          <w:lang w:val="en-US" w:eastAsia="zh-CN"/>
        </w:rPr>
        <w:t>技术要求及材料清单</w:t>
      </w:r>
      <w:bookmarkEnd w:id="25"/>
    </w:p>
    <w:p w14:paraId="4A9DC39C">
      <w:pPr>
        <w:pStyle w:val="81"/>
        <w:framePr w:wrap="auto" w:vAnchor="margin" w:hAnchor="text" w:yAlign="inline"/>
        <w:rPr>
          <w:rFonts w:hint="eastAsia"/>
          <w:lang w:val="en-US" w:eastAsia="zh-CN"/>
        </w:rPr>
      </w:pPr>
      <w:r>
        <w:rPr>
          <w:rFonts w:hint="eastAsia"/>
          <w:lang w:val="en-US" w:eastAsia="zh-CN"/>
        </w:rPr>
        <w:t>材料清单：</w:t>
      </w:r>
    </w:p>
    <w:tbl>
      <w:tblPr>
        <w:tblStyle w:val="22"/>
        <w:tblW w:w="89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018"/>
        <w:gridCol w:w="1896"/>
        <w:gridCol w:w="2049"/>
        <w:gridCol w:w="1962"/>
      </w:tblGrid>
      <w:tr w14:paraId="58643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022"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B0692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898" w:type="dxa"/>
            <w:vMerge w:val="restart"/>
            <w:tcBorders>
              <w:top w:val="single" w:color="000000" w:sz="8" w:space="0"/>
              <w:left w:val="nil"/>
              <w:bottom w:val="single" w:color="000000" w:sz="8" w:space="0"/>
              <w:right w:val="single" w:color="000000" w:sz="8" w:space="0"/>
            </w:tcBorders>
            <w:shd w:val="clear" w:color="auto" w:fill="auto"/>
            <w:vAlign w:val="center"/>
          </w:tcPr>
          <w:p w14:paraId="1BCAA5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名称</w:t>
            </w:r>
          </w:p>
        </w:tc>
        <w:tc>
          <w:tcPr>
            <w:tcW w:w="2051" w:type="dxa"/>
            <w:vMerge w:val="restart"/>
            <w:tcBorders>
              <w:top w:val="single" w:color="000000" w:sz="8" w:space="0"/>
              <w:left w:val="nil"/>
              <w:bottom w:val="single" w:color="000000" w:sz="8" w:space="0"/>
              <w:right w:val="single" w:color="000000" w:sz="8" w:space="0"/>
            </w:tcBorders>
            <w:shd w:val="clear" w:color="auto" w:fill="auto"/>
            <w:vAlign w:val="center"/>
          </w:tcPr>
          <w:p w14:paraId="2C191A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型号</w:t>
            </w:r>
          </w:p>
        </w:tc>
        <w:tc>
          <w:tcPr>
            <w:tcW w:w="1964" w:type="dxa"/>
            <w:tcBorders>
              <w:top w:val="single" w:color="000000" w:sz="8" w:space="0"/>
              <w:left w:val="nil"/>
              <w:bottom w:val="nil"/>
              <w:right w:val="single" w:color="000000" w:sz="8" w:space="0"/>
            </w:tcBorders>
            <w:shd w:val="clear" w:color="auto" w:fill="auto"/>
            <w:vAlign w:val="center"/>
          </w:tcPr>
          <w:p w14:paraId="733179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r>
      <w:tr w14:paraId="66465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02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556E94E">
            <w:pPr>
              <w:jc w:val="center"/>
              <w:rPr>
                <w:rFonts w:hint="eastAsia" w:ascii="宋体" w:hAnsi="宋体" w:eastAsia="宋体" w:cs="宋体"/>
                <w:i w:val="0"/>
                <w:iCs w:val="0"/>
                <w:color w:val="000000"/>
                <w:sz w:val="20"/>
                <w:szCs w:val="20"/>
                <w:u w:val="none"/>
              </w:rPr>
            </w:pPr>
          </w:p>
        </w:tc>
        <w:tc>
          <w:tcPr>
            <w:tcW w:w="1898" w:type="dxa"/>
            <w:vMerge w:val="continue"/>
            <w:tcBorders>
              <w:top w:val="single" w:color="000000" w:sz="8" w:space="0"/>
              <w:left w:val="nil"/>
              <w:bottom w:val="single" w:color="000000" w:sz="8" w:space="0"/>
              <w:right w:val="single" w:color="000000" w:sz="8" w:space="0"/>
            </w:tcBorders>
            <w:shd w:val="clear" w:color="auto" w:fill="auto"/>
            <w:vAlign w:val="center"/>
          </w:tcPr>
          <w:p w14:paraId="060C4A2E">
            <w:pPr>
              <w:jc w:val="center"/>
              <w:rPr>
                <w:rFonts w:hint="eastAsia" w:ascii="宋体" w:hAnsi="宋体" w:eastAsia="宋体" w:cs="宋体"/>
                <w:i w:val="0"/>
                <w:iCs w:val="0"/>
                <w:color w:val="000000"/>
                <w:sz w:val="20"/>
                <w:szCs w:val="20"/>
                <w:u w:val="none"/>
              </w:rPr>
            </w:pPr>
          </w:p>
        </w:tc>
        <w:tc>
          <w:tcPr>
            <w:tcW w:w="2051" w:type="dxa"/>
            <w:vMerge w:val="continue"/>
            <w:tcBorders>
              <w:top w:val="single" w:color="000000" w:sz="8" w:space="0"/>
              <w:left w:val="nil"/>
              <w:bottom w:val="single" w:color="000000" w:sz="8" w:space="0"/>
              <w:right w:val="single" w:color="000000" w:sz="8" w:space="0"/>
            </w:tcBorders>
            <w:shd w:val="clear" w:color="auto" w:fill="auto"/>
            <w:vAlign w:val="center"/>
          </w:tcPr>
          <w:p w14:paraId="2C7CEDF6">
            <w:pPr>
              <w:jc w:val="center"/>
              <w:rPr>
                <w:rFonts w:hint="eastAsia" w:ascii="宋体" w:hAnsi="宋体" w:eastAsia="宋体" w:cs="宋体"/>
                <w:i w:val="0"/>
                <w:iCs w:val="0"/>
                <w:color w:val="000000"/>
                <w:sz w:val="20"/>
                <w:szCs w:val="20"/>
                <w:u w:val="none"/>
              </w:rPr>
            </w:pPr>
          </w:p>
        </w:tc>
        <w:tc>
          <w:tcPr>
            <w:tcW w:w="1964" w:type="dxa"/>
            <w:tcBorders>
              <w:top w:val="nil"/>
              <w:left w:val="nil"/>
              <w:bottom w:val="single" w:color="000000" w:sz="8" w:space="0"/>
              <w:right w:val="single" w:color="000000" w:sz="8" w:space="0"/>
            </w:tcBorders>
            <w:shd w:val="clear" w:color="auto" w:fill="auto"/>
            <w:vAlign w:val="center"/>
          </w:tcPr>
          <w:p w14:paraId="55077F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（单位：个）</w:t>
            </w:r>
          </w:p>
        </w:tc>
      </w:tr>
      <w:tr w14:paraId="343D9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F81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26B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OLED显示模块</w:t>
            </w:r>
          </w:p>
        </w:tc>
        <w:tc>
          <w:tcPr>
            <w:tcW w:w="2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11A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C9C1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503D7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B54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A7B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主处理模块</w:t>
            </w:r>
          </w:p>
        </w:tc>
        <w:tc>
          <w:tcPr>
            <w:tcW w:w="2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A6D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C74F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79694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90C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E32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数模转换模块</w:t>
            </w:r>
          </w:p>
        </w:tc>
        <w:tc>
          <w:tcPr>
            <w:tcW w:w="2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02E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2BB3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57E73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84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DA0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智能联控模块</w:t>
            </w:r>
          </w:p>
        </w:tc>
        <w:tc>
          <w:tcPr>
            <w:tcW w:w="2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EBF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C4C2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20DBC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D8F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39E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外部接口模块</w:t>
            </w:r>
          </w:p>
        </w:tc>
        <w:tc>
          <w:tcPr>
            <w:tcW w:w="2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15F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E9B2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4814B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E96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73B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电源管理模块</w:t>
            </w:r>
          </w:p>
        </w:tc>
        <w:tc>
          <w:tcPr>
            <w:tcW w:w="2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741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4CFD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41EB0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CAD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5B9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固品固件</w:t>
            </w:r>
          </w:p>
        </w:tc>
        <w:tc>
          <w:tcPr>
            <w:tcW w:w="2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E23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692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bl>
    <w:p w14:paraId="52D85929">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表</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1 设备主要参数</w:t>
      </w:r>
      <w:r>
        <w:rPr>
          <w:rFonts w:hint="eastAsia" w:ascii="宋体" w:hAnsi="宋体" w:eastAsia="宋体" w:cs="宋体"/>
          <w:sz w:val="21"/>
          <w:szCs w:val="21"/>
          <w:highlight w:val="none"/>
          <w:lang w:val="en-US" w:eastAsia="zh-CN"/>
        </w:rPr>
        <w:t>表</w:t>
      </w:r>
    </w:p>
    <w:tbl>
      <w:tblPr>
        <w:tblStyle w:val="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4"/>
        <w:gridCol w:w="2382"/>
        <w:gridCol w:w="4170"/>
        <w:gridCol w:w="1139"/>
      </w:tblGrid>
      <w:tr w14:paraId="3C52C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blHeader/>
          <w:jc w:val="center"/>
        </w:trPr>
        <w:tc>
          <w:tcPr>
            <w:tcW w:w="489" w:type="pct"/>
            <w:noWrap w:val="0"/>
            <w:vAlign w:val="center"/>
          </w:tcPr>
          <w:p w14:paraId="6D252BE0">
            <w:pPr>
              <w:adjustRightInd w:val="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序号</w:t>
            </w:r>
          </w:p>
        </w:tc>
        <w:tc>
          <w:tcPr>
            <w:tcW w:w="1397" w:type="pct"/>
            <w:noWrap w:val="0"/>
            <w:vAlign w:val="center"/>
          </w:tcPr>
          <w:p w14:paraId="0AA1003D">
            <w:pPr>
              <w:adjustRightInd w:val="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名称</w:t>
            </w:r>
          </w:p>
        </w:tc>
        <w:tc>
          <w:tcPr>
            <w:tcW w:w="2445" w:type="pct"/>
            <w:noWrap w:val="0"/>
            <w:vAlign w:val="center"/>
          </w:tcPr>
          <w:p w14:paraId="60202ABA">
            <w:pPr>
              <w:adjustRightInd w:val="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技术要求</w:t>
            </w:r>
          </w:p>
        </w:tc>
        <w:tc>
          <w:tcPr>
            <w:tcW w:w="668" w:type="pct"/>
            <w:noWrap w:val="0"/>
            <w:vAlign w:val="center"/>
          </w:tcPr>
          <w:p w14:paraId="5D270A30">
            <w:pPr>
              <w:pStyle w:val="19"/>
              <w:jc w:val="center"/>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备注</w:t>
            </w:r>
          </w:p>
        </w:tc>
      </w:tr>
      <w:tr w14:paraId="55993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489" w:type="pct"/>
            <w:noWrap w:val="0"/>
            <w:vAlign w:val="center"/>
          </w:tcPr>
          <w:p w14:paraId="5FA80D79">
            <w:pPr>
              <w:numPr>
                <w:ilvl w:val="0"/>
                <w:numId w:val="5"/>
              </w:numPr>
              <w:adjustRightInd w:val="0"/>
              <w:ind w:left="454" w:leftChars="0" w:hanging="454" w:firstLineChars="0"/>
              <w:jc w:val="center"/>
              <w:rPr>
                <w:rFonts w:hint="eastAsia" w:ascii="宋体" w:hAnsi="宋体" w:eastAsia="宋体" w:cs="宋体"/>
                <w:sz w:val="22"/>
                <w:szCs w:val="22"/>
                <w:highlight w:val="none"/>
              </w:rPr>
            </w:pPr>
          </w:p>
        </w:tc>
        <w:tc>
          <w:tcPr>
            <w:tcW w:w="1397" w:type="pct"/>
            <w:noWrap w:val="0"/>
            <w:vAlign w:val="center"/>
          </w:tcPr>
          <w:p w14:paraId="60B2520E">
            <w:pPr>
              <w:adjustRightInd w:val="0"/>
              <w:jc w:val="center"/>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额定电压</w:t>
            </w:r>
          </w:p>
        </w:tc>
        <w:tc>
          <w:tcPr>
            <w:tcW w:w="2445" w:type="pct"/>
            <w:noWrap w:val="0"/>
            <w:vAlign w:val="center"/>
          </w:tcPr>
          <w:p w14:paraId="0DA784DD">
            <w:pPr>
              <w:adjustRightInd w:val="0"/>
              <w:jc w:val="center"/>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DC220V/380V</w:t>
            </w:r>
          </w:p>
        </w:tc>
        <w:tc>
          <w:tcPr>
            <w:tcW w:w="668" w:type="pct"/>
            <w:noWrap w:val="0"/>
            <w:vAlign w:val="center"/>
          </w:tcPr>
          <w:p w14:paraId="24AC1683">
            <w:pPr>
              <w:jc w:val="center"/>
              <w:rPr>
                <w:rFonts w:hint="eastAsia" w:ascii="宋体" w:hAnsi="宋体" w:eastAsia="宋体" w:cs="宋体"/>
                <w:sz w:val="22"/>
                <w:szCs w:val="22"/>
                <w:highlight w:val="none"/>
              </w:rPr>
            </w:pPr>
          </w:p>
        </w:tc>
      </w:tr>
      <w:tr w14:paraId="6E178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489" w:type="pct"/>
            <w:noWrap w:val="0"/>
            <w:vAlign w:val="center"/>
          </w:tcPr>
          <w:p w14:paraId="4C22208C">
            <w:pPr>
              <w:numPr>
                <w:ilvl w:val="0"/>
                <w:numId w:val="5"/>
              </w:numPr>
              <w:adjustRightInd w:val="0"/>
              <w:ind w:left="454" w:leftChars="0" w:hanging="454" w:firstLineChars="0"/>
              <w:jc w:val="center"/>
              <w:rPr>
                <w:rFonts w:hint="eastAsia" w:ascii="宋体" w:hAnsi="宋体" w:eastAsia="宋体" w:cs="宋体"/>
                <w:sz w:val="22"/>
                <w:szCs w:val="22"/>
                <w:highlight w:val="none"/>
              </w:rPr>
            </w:pPr>
          </w:p>
        </w:tc>
        <w:tc>
          <w:tcPr>
            <w:tcW w:w="1397" w:type="pct"/>
            <w:noWrap w:val="0"/>
            <w:vAlign w:val="center"/>
          </w:tcPr>
          <w:p w14:paraId="33CF6098">
            <w:pPr>
              <w:adjustRightInd w:val="0"/>
              <w:jc w:val="center"/>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额定电流</w:t>
            </w:r>
          </w:p>
        </w:tc>
        <w:tc>
          <w:tcPr>
            <w:tcW w:w="2445" w:type="pct"/>
            <w:noWrap w:val="0"/>
            <w:vAlign w:val="center"/>
          </w:tcPr>
          <w:p w14:paraId="28E5A96F">
            <w:pPr>
              <w:adjustRightInd w:val="0"/>
              <w:jc w:val="center"/>
              <w:rPr>
                <w:rFonts w:hint="default" w:ascii="宋体" w:hAnsi="宋体" w:eastAsia="宋体" w:cs="宋体"/>
                <w:sz w:val="22"/>
                <w:szCs w:val="22"/>
                <w:highlight w:val="none"/>
                <w:lang w:val="en-US"/>
              </w:rPr>
            </w:pPr>
            <w:r>
              <w:rPr>
                <w:rFonts w:hint="eastAsia" w:ascii="宋体" w:hAnsi="宋体" w:cs="宋体"/>
                <w:sz w:val="24"/>
                <w:szCs w:val="24"/>
                <w:lang w:val="en-US" w:eastAsia="zh-CN"/>
              </w:rPr>
              <w:t>0～10A</w:t>
            </w:r>
          </w:p>
        </w:tc>
        <w:tc>
          <w:tcPr>
            <w:tcW w:w="668" w:type="pct"/>
            <w:noWrap w:val="0"/>
            <w:vAlign w:val="center"/>
          </w:tcPr>
          <w:p w14:paraId="29ADD60C">
            <w:pPr>
              <w:jc w:val="center"/>
              <w:rPr>
                <w:rFonts w:hint="eastAsia" w:ascii="宋体" w:hAnsi="宋体" w:eastAsia="宋体" w:cs="宋体"/>
                <w:sz w:val="22"/>
                <w:szCs w:val="22"/>
                <w:highlight w:val="none"/>
              </w:rPr>
            </w:pPr>
          </w:p>
        </w:tc>
      </w:tr>
      <w:tr w14:paraId="39043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489" w:type="pct"/>
            <w:noWrap w:val="0"/>
            <w:vAlign w:val="center"/>
          </w:tcPr>
          <w:p w14:paraId="5A195050">
            <w:pPr>
              <w:numPr>
                <w:ilvl w:val="0"/>
                <w:numId w:val="5"/>
              </w:numPr>
              <w:adjustRightInd w:val="0"/>
              <w:ind w:left="454" w:leftChars="0" w:hanging="454" w:firstLineChars="0"/>
              <w:jc w:val="center"/>
              <w:rPr>
                <w:rFonts w:hint="eastAsia" w:ascii="宋体" w:hAnsi="宋体" w:eastAsia="宋体" w:cs="宋体"/>
                <w:sz w:val="22"/>
                <w:szCs w:val="22"/>
                <w:highlight w:val="none"/>
              </w:rPr>
            </w:pPr>
            <w:bookmarkStart w:id="26" w:name="_Toc10"/>
            <w:bookmarkStart w:id="27" w:name="_Toc114175625"/>
          </w:p>
        </w:tc>
        <w:tc>
          <w:tcPr>
            <w:tcW w:w="1397" w:type="pct"/>
            <w:noWrap w:val="0"/>
            <w:vAlign w:val="center"/>
          </w:tcPr>
          <w:p w14:paraId="2299DFA2">
            <w:pPr>
              <w:adjustRightInd w:val="0"/>
              <w:jc w:val="center"/>
              <w:rPr>
                <w:rFonts w:hint="eastAsia" w:ascii="宋体" w:hAnsi="宋体" w:eastAsia="宋体" w:cs="宋体"/>
                <w:sz w:val="22"/>
                <w:szCs w:val="22"/>
                <w:highlight w:val="none"/>
                <w:lang w:val="en-US" w:eastAsia="zh-CN"/>
              </w:rPr>
            </w:pPr>
            <w:r>
              <w:rPr>
                <w:rFonts w:ascii="宋体" w:hAnsi="宋体" w:eastAsia="宋体" w:cs="宋体"/>
                <w:sz w:val="24"/>
                <w:szCs w:val="24"/>
              </w:rPr>
              <w:t>分合闸时间</w:t>
            </w:r>
          </w:p>
        </w:tc>
        <w:tc>
          <w:tcPr>
            <w:tcW w:w="2445" w:type="pct"/>
            <w:noWrap w:val="0"/>
            <w:vAlign w:val="center"/>
          </w:tcPr>
          <w:p w14:paraId="2B02860C">
            <w:pPr>
              <w:adjustRightInd w:val="0"/>
              <w:jc w:val="center"/>
              <w:rPr>
                <w:rFonts w:hint="eastAsia" w:ascii="宋体" w:hAnsi="宋体" w:eastAsia="宋体" w:cs="宋体"/>
                <w:sz w:val="24"/>
                <w:szCs w:val="24"/>
                <w:lang w:val="en-US" w:eastAsia="zh-CN"/>
              </w:rPr>
            </w:pPr>
            <w:r>
              <w:rPr>
                <w:rFonts w:ascii="宋体" w:hAnsi="宋体" w:eastAsia="宋体" w:cs="宋体"/>
                <w:sz w:val="24"/>
                <w:szCs w:val="24"/>
              </w:rPr>
              <w:t>0～9999ms</w:t>
            </w:r>
          </w:p>
        </w:tc>
        <w:tc>
          <w:tcPr>
            <w:tcW w:w="668" w:type="pct"/>
            <w:noWrap w:val="0"/>
            <w:vAlign w:val="center"/>
          </w:tcPr>
          <w:p w14:paraId="1A5E09C5">
            <w:pPr>
              <w:jc w:val="center"/>
              <w:rPr>
                <w:rFonts w:hint="eastAsia" w:ascii="宋体" w:hAnsi="宋体" w:eastAsia="宋体" w:cs="宋体"/>
                <w:sz w:val="22"/>
                <w:szCs w:val="22"/>
                <w:highlight w:val="none"/>
              </w:rPr>
            </w:pPr>
          </w:p>
        </w:tc>
      </w:tr>
      <w:tr w14:paraId="322BC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489" w:type="pct"/>
            <w:noWrap w:val="0"/>
            <w:vAlign w:val="center"/>
          </w:tcPr>
          <w:p w14:paraId="16F2CF0A">
            <w:pPr>
              <w:numPr>
                <w:ilvl w:val="0"/>
                <w:numId w:val="5"/>
              </w:numPr>
              <w:adjustRightInd w:val="0"/>
              <w:ind w:left="454" w:leftChars="0" w:hanging="454" w:firstLineChars="0"/>
              <w:jc w:val="center"/>
              <w:rPr>
                <w:rFonts w:hint="eastAsia" w:ascii="宋体" w:hAnsi="宋体" w:eastAsia="宋体" w:cs="宋体"/>
                <w:sz w:val="22"/>
                <w:szCs w:val="22"/>
                <w:highlight w:val="none"/>
              </w:rPr>
            </w:pPr>
          </w:p>
        </w:tc>
        <w:tc>
          <w:tcPr>
            <w:tcW w:w="1397" w:type="pct"/>
            <w:noWrap w:val="0"/>
            <w:vAlign w:val="center"/>
          </w:tcPr>
          <w:p w14:paraId="1AC16DC9">
            <w:pPr>
              <w:adjustRightInd w:val="0"/>
              <w:jc w:val="center"/>
              <w:rPr>
                <w:rFonts w:hint="eastAsia" w:ascii="宋体" w:hAnsi="宋体" w:eastAsia="宋体" w:cs="宋体"/>
                <w:sz w:val="22"/>
                <w:szCs w:val="22"/>
                <w:highlight w:val="none"/>
                <w:lang w:val="en-US" w:eastAsia="zh-CN"/>
              </w:rPr>
            </w:pPr>
            <w:r>
              <w:rPr>
                <w:rFonts w:ascii="宋体" w:hAnsi="宋体" w:eastAsia="宋体" w:cs="宋体"/>
                <w:sz w:val="24"/>
                <w:szCs w:val="24"/>
              </w:rPr>
              <w:t>辅助触点数量</w:t>
            </w:r>
          </w:p>
        </w:tc>
        <w:tc>
          <w:tcPr>
            <w:tcW w:w="2445" w:type="pct"/>
            <w:noWrap w:val="0"/>
            <w:vAlign w:val="center"/>
          </w:tcPr>
          <w:p w14:paraId="572A3B50">
            <w:pPr>
              <w:adjustRightInd w:val="0"/>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满足配网自动化终端调试要求</w:t>
            </w:r>
          </w:p>
        </w:tc>
        <w:tc>
          <w:tcPr>
            <w:tcW w:w="668" w:type="pct"/>
            <w:noWrap w:val="0"/>
            <w:vAlign w:val="center"/>
          </w:tcPr>
          <w:p w14:paraId="24D1E6FF">
            <w:pPr>
              <w:jc w:val="center"/>
              <w:rPr>
                <w:rFonts w:hint="eastAsia" w:ascii="宋体" w:hAnsi="宋体" w:eastAsia="宋体" w:cs="宋体"/>
                <w:sz w:val="22"/>
                <w:szCs w:val="22"/>
                <w:highlight w:val="none"/>
              </w:rPr>
            </w:pPr>
          </w:p>
        </w:tc>
      </w:tr>
      <w:tr w14:paraId="4A2F8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489" w:type="pct"/>
            <w:noWrap w:val="0"/>
            <w:vAlign w:val="center"/>
          </w:tcPr>
          <w:p w14:paraId="0506E00E">
            <w:pPr>
              <w:numPr>
                <w:ilvl w:val="0"/>
                <w:numId w:val="5"/>
              </w:numPr>
              <w:adjustRightInd w:val="0"/>
              <w:ind w:left="454" w:leftChars="0" w:hanging="454" w:firstLineChars="0"/>
              <w:jc w:val="center"/>
              <w:rPr>
                <w:rFonts w:hint="eastAsia" w:ascii="宋体" w:hAnsi="宋体" w:eastAsia="宋体" w:cs="宋体"/>
                <w:sz w:val="22"/>
                <w:szCs w:val="22"/>
                <w:highlight w:val="none"/>
              </w:rPr>
            </w:pPr>
          </w:p>
        </w:tc>
        <w:tc>
          <w:tcPr>
            <w:tcW w:w="1397" w:type="pct"/>
            <w:noWrap w:val="0"/>
            <w:vAlign w:val="center"/>
          </w:tcPr>
          <w:p w14:paraId="4FEA2090">
            <w:pPr>
              <w:adjustRightInd w:val="0"/>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功耗</w:t>
            </w:r>
          </w:p>
        </w:tc>
        <w:tc>
          <w:tcPr>
            <w:tcW w:w="2445" w:type="pct"/>
            <w:noWrap w:val="0"/>
            <w:vAlign w:val="center"/>
          </w:tcPr>
          <w:p w14:paraId="6F45C1BB">
            <w:pPr>
              <w:adjustRightIn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0</w:t>
            </w:r>
            <w:r>
              <w:rPr>
                <w:rFonts w:hint="eastAsia" w:ascii="宋体" w:hAnsi="宋体" w:eastAsia="宋体" w:cs="宋体"/>
                <w:sz w:val="24"/>
                <w:szCs w:val="24"/>
                <w:lang w:val="en-US" w:eastAsia="zh-CN"/>
              </w:rPr>
              <w:t>W</w:t>
            </w:r>
          </w:p>
        </w:tc>
        <w:tc>
          <w:tcPr>
            <w:tcW w:w="668" w:type="pct"/>
            <w:noWrap w:val="0"/>
            <w:vAlign w:val="center"/>
          </w:tcPr>
          <w:p w14:paraId="3EA446F5">
            <w:pPr>
              <w:jc w:val="center"/>
              <w:rPr>
                <w:rFonts w:hint="eastAsia" w:ascii="宋体" w:hAnsi="宋体" w:eastAsia="宋体" w:cs="宋体"/>
                <w:sz w:val="22"/>
                <w:szCs w:val="22"/>
                <w:highlight w:val="none"/>
              </w:rPr>
            </w:pPr>
          </w:p>
        </w:tc>
      </w:tr>
    </w:tbl>
    <w:p w14:paraId="473C4F50">
      <w:pPr>
        <w:pStyle w:val="86"/>
        <w:framePr w:wrap="auto" w:vAnchor="margin" w:hAnchor="text" w:yAlign="inline"/>
        <w:numPr>
          <w:ilvl w:val="1"/>
          <w:numId w:val="3"/>
        </w:numPr>
        <w:rPr>
          <w:rFonts w:hint="eastAsia" w:ascii="宋体" w:hAnsi="宋体" w:eastAsia="宋体" w:cs="宋体"/>
          <w:lang w:val="en-US" w:eastAsia="zh-CN"/>
        </w:rPr>
      </w:pPr>
      <w:bookmarkStart w:id="28" w:name="_Toc24774"/>
      <w:r>
        <w:rPr>
          <w:rFonts w:hint="eastAsia" w:ascii="宋体" w:hAnsi="宋体" w:eastAsia="宋体" w:cs="宋体"/>
          <w:lang w:val="en-US" w:eastAsia="zh-CN"/>
        </w:rPr>
        <w:t>成果交付</w:t>
      </w:r>
      <w:bookmarkEnd w:id="28"/>
    </w:p>
    <w:p w14:paraId="662D1E7F">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表</w:t>
      </w:r>
      <w:r>
        <w:rPr>
          <w:rFonts w:hint="eastAsia" w:ascii="宋体" w:hAnsi="宋体" w:eastAsia="宋体" w:cs="宋体"/>
          <w:sz w:val="21"/>
          <w:szCs w:val="21"/>
          <w:highlight w:val="none"/>
          <w:lang w:val="en-US" w:eastAsia="zh-CN"/>
        </w:rPr>
        <w:t>5-2</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成果交付表</w:t>
      </w:r>
    </w:p>
    <w:tbl>
      <w:tblPr>
        <w:tblStyle w:val="22"/>
        <w:tblW w:w="89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018"/>
        <w:gridCol w:w="1896"/>
        <w:gridCol w:w="2049"/>
        <w:gridCol w:w="1962"/>
      </w:tblGrid>
      <w:tr w14:paraId="4FA60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022"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7CDED7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898" w:type="dxa"/>
            <w:vMerge w:val="restart"/>
            <w:tcBorders>
              <w:top w:val="single" w:color="000000" w:sz="8" w:space="0"/>
              <w:left w:val="nil"/>
              <w:bottom w:val="single" w:color="000000" w:sz="8" w:space="0"/>
              <w:right w:val="single" w:color="000000" w:sz="8" w:space="0"/>
            </w:tcBorders>
            <w:shd w:val="clear" w:color="auto" w:fill="auto"/>
            <w:vAlign w:val="center"/>
          </w:tcPr>
          <w:p w14:paraId="3569E6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名称</w:t>
            </w:r>
          </w:p>
        </w:tc>
        <w:tc>
          <w:tcPr>
            <w:tcW w:w="2051" w:type="dxa"/>
            <w:vMerge w:val="restart"/>
            <w:tcBorders>
              <w:top w:val="single" w:color="000000" w:sz="8" w:space="0"/>
              <w:left w:val="nil"/>
              <w:bottom w:val="single" w:color="000000" w:sz="8" w:space="0"/>
              <w:right w:val="single" w:color="000000" w:sz="8" w:space="0"/>
            </w:tcBorders>
            <w:shd w:val="clear" w:color="auto" w:fill="auto"/>
            <w:vAlign w:val="center"/>
          </w:tcPr>
          <w:p w14:paraId="7865EB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型号</w:t>
            </w:r>
          </w:p>
        </w:tc>
        <w:tc>
          <w:tcPr>
            <w:tcW w:w="1964" w:type="dxa"/>
            <w:tcBorders>
              <w:top w:val="single" w:color="000000" w:sz="8" w:space="0"/>
              <w:left w:val="nil"/>
              <w:bottom w:val="nil"/>
              <w:right w:val="single" w:color="000000" w:sz="8" w:space="0"/>
            </w:tcBorders>
            <w:shd w:val="clear" w:color="auto" w:fill="auto"/>
            <w:vAlign w:val="center"/>
          </w:tcPr>
          <w:p w14:paraId="69D185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r>
      <w:tr w14:paraId="580EE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02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F9BC27F">
            <w:pPr>
              <w:jc w:val="center"/>
              <w:rPr>
                <w:rFonts w:hint="eastAsia" w:ascii="宋体" w:hAnsi="宋体" w:eastAsia="宋体" w:cs="宋体"/>
                <w:i w:val="0"/>
                <w:iCs w:val="0"/>
                <w:color w:val="000000"/>
                <w:sz w:val="20"/>
                <w:szCs w:val="20"/>
                <w:u w:val="none"/>
              </w:rPr>
            </w:pPr>
          </w:p>
        </w:tc>
        <w:tc>
          <w:tcPr>
            <w:tcW w:w="1898" w:type="dxa"/>
            <w:vMerge w:val="continue"/>
            <w:tcBorders>
              <w:top w:val="single" w:color="000000" w:sz="8" w:space="0"/>
              <w:left w:val="nil"/>
              <w:bottom w:val="single" w:color="000000" w:sz="8" w:space="0"/>
              <w:right w:val="single" w:color="000000" w:sz="8" w:space="0"/>
            </w:tcBorders>
            <w:shd w:val="clear" w:color="auto" w:fill="auto"/>
            <w:vAlign w:val="center"/>
          </w:tcPr>
          <w:p w14:paraId="6AB8886B">
            <w:pPr>
              <w:jc w:val="center"/>
              <w:rPr>
                <w:rFonts w:hint="eastAsia" w:ascii="宋体" w:hAnsi="宋体" w:eastAsia="宋体" w:cs="宋体"/>
                <w:i w:val="0"/>
                <w:iCs w:val="0"/>
                <w:color w:val="000000"/>
                <w:sz w:val="20"/>
                <w:szCs w:val="20"/>
                <w:u w:val="none"/>
              </w:rPr>
            </w:pPr>
          </w:p>
        </w:tc>
        <w:tc>
          <w:tcPr>
            <w:tcW w:w="2051" w:type="dxa"/>
            <w:vMerge w:val="continue"/>
            <w:tcBorders>
              <w:top w:val="single" w:color="000000" w:sz="8" w:space="0"/>
              <w:left w:val="nil"/>
              <w:bottom w:val="single" w:color="000000" w:sz="8" w:space="0"/>
              <w:right w:val="single" w:color="000000" w:sz="8" w:space="0"/>
            </w:tcBorders>
            <w:shd w:val="clear" w:color="auto" w:fill="auto"/>
            <w:vAlign w:val="center"/>
          </w:tcPr>
          <w:p w14:paraId="15F1290D">
            <w:pPr>
              <w:jc w:val="center"/>
              <w:rPr>
                <w:rFonts w:hint="eastAsia" w:ascii="宋体" w:hAnsi="宋体" w:eastAsia="宋体" w:cs="宋体"/>
                <w:i w:val="0"/>
                <w:iCs w:val="0"/>
                <w:color w:val="000000"/>
                <w:sz w:val="20"/>
                <w:szCs w:val="20"/>
                <w:u w:val="none"/>
              </w:rPr>
            </w:pPr>
          </w:p>
        </w:tc>
        <w:tc>
          <w:tcPr>
            <w:tcW w:w="1964" w:type="dxa"/>
            <w:tcBorders>
              <w:top w:val="nil"/>
              <w:left w:val="nil"/>
              <w:bottom w:val="single" w:color="000000" w:sz="8" w:space="0"/>
              <w:right w:val="single" w:color="000000" w:sz="8" w:space="0"/>
            </w:tcBorders>
            <w:shd w:val="clear" w:color="auto" w:fill="auto"/>
            <w:vAlign w:val="center"/>
          </w:tcPr>
          <w:p w14:paraId="3C5A32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（单位：个）</w:t>
            </w:r>
          </w:p>
        </w:tc>
      </w:tr>
      <w:tr w14:paraId="5ED24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044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1B1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OLED显示模块</w:t>
            </w:r>
          </w:p>
        </w:tc>
        <w:tc>
          <w:tcPr>
            <w:tcW w:w="2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6EB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0CE3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30D91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52D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609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主处理模块</w:t>
            </w:r>
          </w:p>
        </w:tc>
        <w:tc>
          <w:tcPr>
            <w:tcW w:w="2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895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B128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534FC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EFA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8EB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数模转换模块</w:t>
            </w:r>
          </w:p>
        </w:tc>
        <w:tc>
          <w:tcPr>
            <w:tcW w:w="2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C76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73EE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50CA6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E3C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FFA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智能联控模块</w:t>
            </w:r>
          </w:p>
        </w:tc>
        <w:tc>
          <w:tcPr>
            <w:tcW w:w="2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C43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61E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47230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156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7C5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外部接口模块</w:t>
            </w:r>
          </w:p>
        </w:tc>
        <w:tc>
          <w:tcPr>
            <w:tcW w:w="2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004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FABA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15E5B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38F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543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电源管理模块</w:t>
            </w:r>
          </w:p>
        </w:tc>
        <w:tc>
          <w:tcPr>
            <w:tcW w:w="2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926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23B5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0BF0C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C04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290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固品固件</w:t>
            </w:r>
          </w:p>
        </w:tc>
        <w:tc>
          <w:tcPr>
            <w:tcW w:w="2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2E1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8D7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bl>
    <w:p w14:paraId="7AE75F7A">
      <w:pPr>
        <w:rPr>
          <w:rFonts w:hint="eastAsia" w:ascii="宋体" w:hAnsi="宋体" w:eastAsia="宋体" w:cs="宋体"/>
          <w:b/>
          <w:bCs/>
          <w:lang w:val="zh-TW" w:eastAsia="zh-TW"/>
        </w:rPr>
      </w:pPr>
    </w:p>
    <w:p w14:paraId="2BC71B11">
      <w:pPr>
        <w:pStyle w:val="80"/>
        <w:framePr w:wrap="auto" w:vAnchor="margin" w:hAnchor="text" w:yAlign="inline"/>
        <w:numPr>
          <w:ilvl w:val="0"/>
          <w:numId w:val="3"/>
        </w:numPr>
        <w:rPr>
          <w:rFonts w:hint="eastAsia" w:ascii="宋体" w:hAnsi="宋体" w:eastAsia="宋体" w:cs="宋体"/>
          <w:b/>
          <w:bCs/>
          <w:color w:val="0000FF"/>
          <w:lang w:val="zh-TW" w:eastAsia="zh-TW"/>
        </w:rPr>
      </w:pPr>
      <w:bookmarkStart w:id="29" w:name="_Toc22254"/>
      <w:r>
        <w:rPr>
          <w:rFonts w:hint="eastAsia" w:ascii="宋体" w:hAnsi="宋体" w:eastAsia="宋体" w:cs="宋体"/>
          <w:b/>
          <w:bCs/>
          <w:color w:val="0000FF"/>
          <w:lang w:val="zh-TW" w:eastAsia="zh-TW"/>
        </w:rPr>
        <w:t>服务要求</w:t>
      </w:r>
      <w:bookmarkEnd w:id="26"/>
      <w:bookmarkEnd w:id="27"/>
      <w:bookmarkEnd w:id="29"/>
    </w:p>
    <w:p w14:paraId="23276FDC">
      <w:pPr>
        <w:pStyle w:val="86"/>
        <w:framePr w:wrap="auto" w:vAnchor="margin" w:hAnchor="text" w:yAlign="inline"/>
        <w:numPr>
          <w:ilvl w:val="1"/>
          <w:numId w:val="3"/>
        </w:numPr>
        <w:rPr>
          <w:rFonts w:hint="eastAsia" w:ascii="宋体" w:hAnsi="宋体" w:eastAsia="宋体" w:cs="宋体"/>
          <w:color w:val="0000FF"/>
          <w:lang w:val="zh-TW" w:eastAsia="zh-CN"/>
        </w:rPr>
      </w:pPr>
      <w:bookmarkStart w:id="30" w:name="_Toc25154"/>
      <w:r>
        <w:rPr>
          <w:rFonts w:hint="eastAsia" w:ascii="宋体" w:hAnsi="宋体" w:eastAsia="宋体" w:cs="宋体"/>
          <w:color w:val="0000FF"/>
          <w:lang w:val="en-US" w:eastAsia="zh-CN"/>
        </w:rPr>
        <w:t>材料要求</w:t>
      </w:r>
      <w:bookmarkEnd w:id="30"/>
    </w:p>
    <w:p w14:paraId="10359B4E">
      <w:pPr>
        <w:pStyle w:val="81"/>
        <w:framePr w:wrap="auto" w:vAnchor="margin" w:hAnchor="text" w:yAlign="inline"/>
        <w:spacing w:line="384" w:lineRule="auto"/>
        <w:ind w:firstLine="480"/>
        <w:jc w:val="both"/>
        <w:rPr>
          <w:rFonts w:hint="eastAsia" w:ascii="宋体" w:hAnsi="宋体" w:eastAsia="宋体" w:cs="宋体"/>
          <w:lang w:val="zh-TW" w:eastAsia="zh-TW"/>
        </w:rPr>
      </w:pPr>
      <w:r>
        <w:rPr>
          <w:rFonts w:hint="eastAsia" w:ascii="宋体" w:hAnsi="宋体" w:eastAsia="宋体" w:cs="宋体"/>
          <w:lang w:val="zh-TW" w:eastAsia="zh-TW"/>
        </w:rPr>
        <w:t>1.投标人（供应商）为中华人民共和国境内注册合法运作的企业法人或其他组织，具有独立承担民事责任的能力和独立履行合同的能力，营业执照在有效期内；或具有企业法人授权，且具有独立履行合同的能力的其他组织。</w:t>
      </w:r>
    </w:p>
    <w:p w14:paraId="226407A3">
      <w:pPr>
        <w:pStyle w:val="81"/>
        <w:framePr w:wrap="auto" w:vAnchor="margin" w:hAnchor="text" w:yAlign="inline"/>
        <w:spacing w:line="384" w:lineRule="auto"/>
        <w:ind w:firstLine="480"/>
        <w:jc w:val="both"/>
        <w:rPr>
          <w:rFonts w:hint="eastAsia" w:ascii="宋体" w:hAnsi="宋体" w:eastAsia="宋体" w:cs="宋体"/>
          <w:lang w:val="zh-TW" w:eastAsia="zh-TW"/>
        </w:rPr>
      </w:pPr>
      <w:r>
        <w:rPr>
          <w:rFonts w:hint="eastAsia" w:ascii="宋体" w:hAnsi="宋体" w:eastAsia="宋体" w:cs="宋体"/>
          <w:lang w:val="zh-TW" w:eastAsia="zh-TW"/>
        </w:rPr>
        <w:t>2.投标人（供应商）不在中国南方电网有限责任公司黑名单或预警名单内（处理措施为不接受投标或市场禁入，且未解除的）。</w:t>
      </w:r>
    </w:p>
    <w:p w14:paraId="1D8707D3">
      <w:pPr>
        <w:pStyle w:val="81"/>
        <w:framePr w:wrap="auto" w:vAnchor="margin" w:hAnchor="text" w:yAlign="inline"/>
        <w:spacing w:line="384" w:lineRule="auto"/>
        <w:ind w:firstLine="480"/>
        <w:jc w:val="both"/>
        <w:rPr>
          <w:rFonts w:hint="eastAsia" w:ascii="宋体" w:hAnsi="宋体" w:eastAsia="宋体" w:cs="宋体"/>
          <w:lang w:val="zh-TW" w:eastAsia="zh-TW"/>
        </w:rPr>
      </w:pPr>
      <w:r>
        <w:rPr>
          <w:rFonts w:hint="eastAsia" w:ascii="宋体" w:hAnsi="宋体" w:eastAsia="宋体" w:cs="宋体"/>
          <w:lang w:val="zh-TW" w:eastAsia="zh-TW"/>
        </w:rPr>
        <w:t>3.投标人（供应商）必须按照南方电网公司要求，在供应链统一服务平台（www.bidding.csg.cn）上完成供应商登记注册，并通过审核。</w:t>
      </w:r>
    </w:p>
    <w:p w14:paraId="4BB9ED2A">
      <w:pPr>
        <w:pStyle w:val="86"/>
        <w:framePr w:wrap="auto" w:vAnchor="margin" w:hAnchor="text" w:yAlign="inline"/>
        <w:numPr>
          <w:ilvl w:val="1"/>
          <w:numId w:val="3"/>
        </w:numPr>
        <w:rPr>
          <w:rFonts w:hint="eastAsia" w:ascii="宋体" w:hAnsi="宋体" w:eastAsia="宋体" w:cs="宋体"/>
          <w:color w:val="0000FF"/>
          <w:lang w:val="zh-TW" w:eastAsia="zh-TW"/>
        </w:rPr>
      </w:pPr>
      <w:bookmarkStart w:id="31" w:name="_Toc4621"/>
      <w:bookmarkStart w:id="32" w:name="_Toc114175627"/>
      <w:bookmarkStart w:id="33" w:name="_Toc12"/>
      <w:r>
        <w:rPr>
          <w:rFonts w:hint="eastAsia" w:ascii="宋体" w:hAnsi="宋体" w:eastAsia="宋体" w:cs="宋体"/>
          <w:color w:val="0000FF"/>
          <w:lang w:val="en-US" w:eastAsia="zh-CN"/>
        </w:rPr>
        <w:t>包装</w:t>
      </w:r>
      <w:bookmarkEnd w:id="31"/>
    </w:p>
    <w:p w14:paraId="73718194">
      <w:pPr>
        <w:pStyle w:val="13"/>
        <w:keepNext w:val="0"/>
        <w:keepLines w:val="0"/>
        <w:pageBreakBefore w:val="0"/>
        <w:tabs>
          <w:tab w:val="left" w:pos="54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rPr>
        <w:t>1</w:t>
      </w:r>
      <w:r>
        <w:rPr>
          <w:rFonts w:hint="eastAsia" w:ascii="宋体" w:hAnsi="宋体" w:eastAsia="宋体" w:cs="宋体"/>
          <w:lang w:val="zh-TW" w:eastAsia="zh-TW"/>
        </w:rPr>
        <w:t>）</w:t>
      </w:r>
      <w:r>
        <w:rPr>
          <w:rFonts w:hint="eastAsia" w:ascii="宋体" w:hAnsi="宋体" w:eastAsia="宋体" w:cs="宋体"/>
          <w:kern w:val="2"/>
          <w:sz w:val="24"/>
          <w:szCs w:val="24"/>
          <w:lang w:val="en-US" w:eastAsia="zh-CN" w:bidi="ar-SA"/>
        </w:rPr>
        <w:t>要严格按照制造厂给出的说明书对产品进行包装、运输和储存。制造厂应在交货前的适当时间提供产品的运输和储存说明书；</w:t>
      </w:r>
    </w:p>
    <w:p w14:paraId="34622BE5">
      <w:pPr>
        <w:pStyle w:val="13"/>
        <w:keepNext w:val="0"/>
        <w:keepLines w:val="0"/>
        <w:pageBreakBefore w:val="0"/>
        <w:tabs>
          <w:tab w:val="left" w:pos="54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lang w:val="en-US" w:eastAsia="zh-CN"/>
        </w:rPr>
        <w:t>2</w:t>
      </w:r>
      <w:r>
        <w:rPr>
          <w:rFonts w:hint="eastAsia" w:ascii="宋体" w:hAnsi="宋体" w:eastAsia="宋体" w:cs="宋体"/>
          <w:lang w:val="zh-TW" w:eastAsia="zh-TW"/>
        </w:rPr>
        <w:t>）</w:t>
      </w:r>
      <w:r>
        <w:rPr>
          <w:rFonts w:hint="eastAsia" w:ascii="宋体" w:hAnsi="宋体" w:eastAsia="宋体" w:cs="宋体"/>
          <w:kern w:val="2"/>
          <w:sz w:val="24"/>
          <w:szCs w:val="24"/>
          <w:lang w:val="en-US" w:eastAsia="zh-CN" w:bidi="ar-SA"/>
        </w:rPr>
        <w:t>产品制造完成并通过试验后应及时包装，否则应得到切实的保护。其包装也应符合铁路、公路和海运部门的有关规定；</w:t>
      </w:r>
    </w:p>
    <w:p w14:paraId="7C686E04">
      <w:pPr>
        <w:pStyle w:val="13"/>
        <w:keepNext w:val="0"/>
        <w:keepLines w:val="0"/>
        <w:pageBreakBefore w:val="0"/>
        <w:tabs>
          <w:tab w:val="left" w:pos="54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lang w:val="en-US" w:eastAsia="zh-CN"/>
        </w:rPr>
        <w:t>3</w:t>
      </w:r>
      <w:r>
        <w:rPr>
          <w:rFonts w:hint="eastAsia" w:ascii="宋体" w:hAnsi="宋体" w:eastAsia="宋体" w:cs="宋体"/>
          <w:lang w:val="zh-TW" w:eastAsia="zh-TW"/>
        </w:rPr>
        <w:t>）</w:t>
      </w:r>
      <w:r>
        <w:rPr>
          <w:rFonts w:hint="eastAsia" w:ascii="宋体" w:hAnsi="宋体" w:eastAsia="宋体" w:cs="宋体"/>
          <w:kern w:val="2"/>
          <w:sz w:val="24"/>
          <w:szCs w:val="24"/>
          <w:lang w:val="en-US" w:eastAsia="zh-CN" w:bidi="ar-SA"/>
        </w:rPr>
        <w:t>包装箱上应有运输及起吊标志：“向上”、“防潮”、“小心轻放”、“由此吊起”等字样明显的包装储运图示标志，并应标明设备的订货号和发货号；</w:t>
      </w:r>
    </w:p>
    <w:p w14:paraId="6CF28213">
      <w:pPr>
        <w:pStyle w:val="81"/>
        <w:keepNext w:val="0"/>
        <w:keepLines w:val="0"/>
        <w:pageBreakBefore w:val="0"/>
        <w:framePr w:wrap="auto" w:vAnchor="margin" w:hAnchor="text" w:yAlign="inline"/>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val="zh-TW" w:eastAsia="zh-TW" w:bidi="ar-SA"/>
        </w:rPr>
      </w:pPr>
      <w:r>
        <w:rPr>
          <w:rFonts w:hint="eastAsia" w:ascii="宋体" w:hAnsi="宋体" w:eastAsia="宋体" w:cs="宋体"/>
          <w:kern w:val="2"/>
          <w:sz w:val="24"/>
          <w:szCs w:val="24"/>
          <w:lang w:val="en-US" w:eastAsia="zh-CN" w:bidi="ar-SA"/>
        </w:rPr>
        <w:t>产品的包装应能保证设备各零部件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14:paraId="64015F18">
      <w:pPr>
        <w:pStyle w:val="86"/>
        <w:framePr w:wrap="auto" w:vAnchor="margin" w:hAnchor="text" w:yAlign="inline"/>
        <w:numPr>
          <w:ilvl w:val="1"/>
          <w:numId w:val="3"/>
        </w:numPr>
        <w:rPr>
          <w:rFonts w:hint="eastAsia" w:ascii="宋体" w:hAnsi="宋体" w:eastAsia="宋体" w:cs="宋体"/>
          <w:color w:val="0000FF"/>
          <w:lang w:val="zh-TW" w:eastAsia="zh-TW"/>
        </w:rPr>
      </w:pPr>
      <w:bookmarkStart w:id="34" w:name="_Toc31683"/>
      <w:r>
        <w:rPr>
          <w:rFonts w:hint="eastAsia" w:ascii="宋体" w:hAnsi="宋体" w:eastAsia="宋体" w:cs="宋体"/>
          <w:color w:val="0000FF"/>
          <w:lang w:val="en-US" w:eastAsia="zh-CN"/>
        </w:rPr>
        <w:t>运输</w:t>
      </w:r>
      <w:bookmarkEnd w:id="34"/>
    </w:p>
    <w:p w14:paraId="7816857C">
      <w:pPr>
        <w:pStyle w:val="81"/>
        <w:framePr w:wrap="auto" w:vAnchor="margin" w:hAnchor="text" w:yAlign="inline"/>
        <w:ind w:firstLine="480" w:firstLineChars="200"/>
        <w:rPr>
          <w:rFonts w:hint="eastAsia" w:ascii="宋体" w:hAnsi="宋体" w:eastAsia="宋体" w:cs="宋体"/>
          <w:color w:val="auto"/>
          <w:kern w:val="2"/>
          <w:sz w:val="24"/>
          <w:szCs w:val="24"/>
          <w:lang w:val="zh-TW" w:eastAsia="zh-TW" w:bidi="ar-SA"/>
        </w:rPr>
      </w:pPr>
      <w:r>
        <w:rPr>
          <w:rFonts w:hint="eastAsia" w:ascii="宋体" w:hAnsi="宋体" w:eastAsia="宋体" w:cs="宋体"/>
        </w:rPr>
        <w:t>1</w:t>
      </w:r>
      <w:r>
        <w:rPr>
          <w:rFonts w:hint="eastAsia" w:ascii="宋体" w:hAnsi="宋体" w:eastAsia="宋体" w:cs="宋体"/>
          <w:lang w:val="zh-TW" w:eastAsia="zh-TW"/>
        </w:rPr>
        <w:t>）</w:t>
      </w:r>
      <w:r>
        <w:rPr>
          <w:rFonts w:hint="eastAsia" w:ascii="宋体" w:hAnsi="宋体" w:eastAsia="宋体" w:cs="宋体"/>
          <w:color w:val="auto"/>
          <w:kern w:val="2"/>
          <w:sz w:val="24"/>
          <w:szCs w:val="24"/>
          <w:lang w:val="zh-TW" w:eastAsia="zh-TW" w:bidi="ar-SA"/>
        </w:rPr>
        <w:t>整体运输时产品内部元件应不得移位、损坏和受潮，不得影响安装；</w:t>
      </w:r>
    </w:p>
    <w:p w14:paraId="2A9D5048">
      <w:pPr>
        <w:pStyle w:val="81"/>
        <w:framePr w:wrap="auto" w:vAnchor="margin" w:hAnchor="text" w:yAlign="inline"/>
        <w:ind w:firstLine="480" w:firstLineChars="200"/>
        <w:rPr>
          <w:rFonts w:hint="eastAsia" w:ascii="宋体" w:hAnsi="宋体" w:eastAsia="宋体" w:cs="宋体"/>
          <w:color w:val="auto"/>
          <w:kern w:val="2"/>
          <w:sz w:val="24"/>
          <w:szCs w:val="24"/>
          <w:lang w:val="zh-TW" w:eastAsia="zh-TW" w:bidi="ar-SA"/>
        </w:rPr>
      </w:pPr>
      <w:r>
        <w:rPr>
          <w:rFonts w:hint="eastAsia" w:ascii="宋体" w:hAnsi="宋体" w:eastAsia="宋体" w:cs="宋体"/>
          <w:lang w:val="en-US" w:eastAsia="zh-CN"/>
        </w:rPr>
        <w:t>2</w:t>
      </w:r>
      <w:r>
        <w:rPr>
          <w:rFonts w:hint="eastAsia" w:ascii="宋体" w:hAnsi="宋体" w:eastAsia="宋体" w:cs="宋体"/>
          <w:lang w:val="zh-TW" w:eastAsia="zh-TW"/>
        </w:rPr>
        <w:t>）</w:t>
      </w:r>
      <w:r>
        <w:rPr>
          <w:rFonts w:hint="eastAsia" w:ascii="宋体" w:hAnsi="宋体" w:eastAsia="宋体" w:cs="宋体"/>
          <w:color w:val="auto"/>
          <w:kern w:val="2"/>
          <w:sz w:val="24"/>
          <w:szCs w:val="24"/>
          <w:lang w:val="zh-TW" w:eastAsia="zh-TW" w:bidi="ar-SA"/>
        </w:rPr>
        <w:t>单独运输的零部件应有标志，便于用户安装装配；</w:t>
      </w:r>
    </w:p>
    <w:p w14:paraId="19A0164F">
      <w:pPr>
        <w:pStyle w:val="81"/>
        <w:framePr w:wrap="auto" w:vAnchor="margin" w:hAnchor="text" w:yAlign="inline"/>
        <w:ind w:firstLine="480" w:firstLineChars="200"/>
        <w:rPr>
          <w:rFonts w:hint="eastAsia" w:ascii="宋体" w:hAnsi="宋体" w:eastAsia="宋体" w:cs="宋体"/>
          <w:color w:val="auto"/>
          <w:kern w:val="2"/>
          <w:sz w:val="24"/>
          <w:szCs w:val="24"/>
          <w:lang w:val="zh-TW" w:eastAsia="zh-TW" w:bidi="ar-SA"/>
        </w:rPr>
      </w:pPr>
      <w:r>
        <w:rPr>
          <w:rFonts w:hint="eastAsia" w:ascii="宋体" w:hAnsi="宋体" w:eastAsia="宋体" w:cs="宋体"/>
          <w:lang w:val="en-US" w:eastAsia="zh-CN"/>
        </w:rPr>
        <w:t>3</w:t>
      </w:r>
      <w:r>
        <w:rPr>
          <w:rFonts w:hint="eastAsia" w:ascii="宋体" w:hAnsi="宋体" w:eastAsia="宋体" w:cs="宋体"/>
          <w:lang w:val="zh-TW" w:eastAsia="zh-TW"/>
        </w:rPr>
        <w:t>）</w:t>
      </w:r>
      <w:r>
        <w:rPr>
          <w:rFonts w:hint="eastAsia" w:ascii="宋体" w:hAnsi="宋体" w:eastAsia="宋体" w:cs="宋体"/>
          <w:color w:val="auto"/>
          <w:kern w:val="2"/>
          <w:sz w:val="24"/>
          <w:szCs w:val="24"/>
          <w:lang w:val="zh-TW" w:eastAsia="zh-TW" w:bidi="ar-SA"/>
        </w:rPr>
        <w:t>整体产品或分别运输的部件，都要适合于运输及装卸的要求；</w:t>
      </w:r>
    </w:p>
    <w:p w14:paraId="36323C50">
      <w:pPr>
        <w:pStyle w:val="81"/>
        <w:framePr w:wrap="auto" w:vAnchor="margin" w:hAnchor="text" w:yAlign="inline"/>
        <w:ind w:firstLine="480" w:firstLineChars="200"/>
        <w:rPr>
          <w:rFonts w:hint="eastAsia" w:ascii="宋体" w:hAnsi="宋体" w:eastAsia="宋体" w:cs="宋体"/>
          <w:color w:val="auto"/>
          <w:kern w:val="2"/>
          <w:sz w:val="24"/>
          <w:szCs w:val="24"/>
          <w:lang w:val="zh-TW" w:eastAsia="zh-TW" w:bidi="ar-SA"/>
        </w:rPr>
      </w:pPr>
      <w:r>
        <w:rPr>
          <w:rFonts w:hint="eastAsia" w:ascii="宋体" w:hAnsi="宋体" w:eastAsia="宋体" w:cs="宋体"/>
          <w:lang w:val="en-US" w:eastAsia="zh-CN"/>
        </w:rPr>
        <w:t>4</w:t>
      </w:r>
      <w:r>
        <w:rPr>
          <w:rFonts w:hint="eastAsia" w:ascii="宋体" w:hAnsi="宋体" w:eastAsia="宋体" w:cs="宋体"/>
          <w:lang w:val="zh-TW" w:eastAsia="zh-TW"/>
        </w:rPr>
        <w:t>）</w:t>
      </w:r>
      <w:r>
        <w:rPr>
          <w:rFonts w:hint="eastAsia" w:ascii="宋体" w:hAnsi="宋体" w:eastAsia="宋体" w:cs="宋体"/>
          <w:color w:val="auto"/>
          <w:kern w:val="2"/>
          <w:sz w:val="24"/>
          <w:szCs w:val="24"/>
          <w:lang w:val="zh-TW" w:eastAsia="zh-TW" w:bidi="ar-SA"/>
        </w:rPr>
        <w:t>随同运输的产品应附有装箱清单，产品所需提供的技术资料应完整无缺；</w:t>
      </w:r>
    </w:p>
    <w:p w14:paraId="24785D61">
      <w:pPr>
        <w:pStyle w:val="86"/>
        <w:framePr w:wrap="auto" w:vAnchor="margin" w:hAnchor="text" w:yAlign="inline"/>
        <w:numPr>
          <w:ilvl w:val="1"/>
          <w:numId w:val="3"/>
        </w:numPr>
        <w:rPr>
          <w:rFonts w:hint="eastAsia" w:ascii="宋体" w:hAnsi="宋体" w:eastAsia="宋体" w:cs="宋体"/>
          <w:color w:val="0000FF"/>
          <w:lang w:val="zh-TW" w:eastAsia="zh-TW"/>
        </w:rPr>
      </w:pPr>
      <w:bookmarkStart w:id="35" w:name="_Toc18449"/>
      <w:r>
        <w:rPr>
          <w:rFonts w:hint="eastAsia" w:ascii="宋体" w:hAnsi="宋体" w:eastAsia="宋体" w:cs="宋体"/>
          <w:color w:val="0000FF"/>
          <w:lang w:val="en-US" w:eastAsia="zh-CN"/>
        </w:rPr>
        <w:t>储存</w:t>
      </w:r>
      <w:bookmarkEnd w:id="35"/>
    </w:p>
    <w:p w14:paraId="5D1B2119">
      <w:pPr>
        <w:pStyle w:val="88"/>
        <w:tabs>
          <w:tab w:val="left" w:pos="567"/>
        </w:tabs>
        <w:spacing w:line="400" w:lineRule="exact"/>
        <w:ind w:firstLine="480" w:firstLineChars="200"/>
        <w:rPr>
          <w:rFonts w:hint="eastAsia" w:ascii="宋体" w:hAnsi="宋体" w:eastAsia="宋体" w:cs="宋体"/>
          <w:kern w:val="2"/>
          <w:sz w:val="24"/>
          <w:szCs w:val="24"/>
          <w:lang w:val="zh-TW" w:eastAsia="zh-TW" w:bidi="ar-SA"/>
        </w:rPr>
      </w:pPr>
      <w:r>
        <w:rPr>
          <w:rFonts w:hint="eastAsia" w:ascii="宋体" w:hAnsi="宋体" w:eastAsia="宋体" w:cs="宋体"/>
          <w:kern w:val="2"/>
          <w:sz w:val="24"/>
          <w:szCs w:val="24"/>
          <w:lang w:val="en-US" w:eastAsia="zh-CN" w:bidi="ar-SA"/>
        </w:rPr>
        <w:t>存放在正常环境温度、干燥的室内保管，以防止储存过程中密封破坏而受潮。</w:t>
      </w:r>
    </w:p>
    <w:p w14:paraId="53DBF5A9">
      <w:pPr>
        <w:pStyle w:val="86"/>
        <w:framePr w:wrap="auto" w:vAnchor="margin" w:hAnchor="text" w:yAlign="inline"/>
        <w:numPr>
          <w:ilvl w:val="1"/>
          <w:numId w:val="3"/>
        </w:numPr>
        <w:rPr>
          <w:rFonts w:hint="eastAsia" w:ascii="宋体" w:hAnsi="宋体" w:eastAsia="宋体" w:cs="宋体"/>
          <w:color w:val="0000FF"/>
          <w:lang w:val="zh-TW" w:eastAsia="zh-TW"/>
        </w:rPr>
      </w:pPr>
      <w:bookmarkStart w:id="36" w:name="_Toc10439"/>
      <w:r>
        <w:rPr>
          <w:rFonts w:hint="eastAsia" w:ascii="宋体" w:hAnsi="宋体" w:eastAsia="宋体" w:cs="宋体"/>
          <w:color w:val="0000FF"/>
          <w:lang w:val="en-US" w:eastAsia="zh-CN"/>
        </w:rPr>
        <w:t>安装指导</w:t>
      </w:r>
      <w:bookmarkEnd w:id="36"/>
    </w:p>
    <w:p w14:paraId="38AB4381">
      <w:pPr>
        <w:pStyle w:val="81"/>
        <w:framePr w:wrap="auto" w:vAnchor="margin" w:hAnchor="text" w:yAlign="inline"/>
        <w:ind w:firstLine="480" w:firstLineChars="200"/>
        <w:rPr>
          <w:rFonts w:hint="eastAsia" w:ascii="宋体" w:hAnsi="宋体" w:eastAsia="宋体" w:cs="宋体"/>
          <w:color w:val="auto"/>
          <w:kern w:val="2"/>
          <w:sz w:val="24"/>
          <w:szCs w:val="24"/>
          <w:lang w:val="zh-TW" w:eastAsia="zh-TW" w:bidi="ar-SA"/>
        </w:rPr>
      </w:pPr>
      <w:r>
        <w:rPr>
          <w:rFonts w:hint="eastAsia" w:ascii="宋体" w:hAnsi="宋体" w:eastAsia="宋体" w:cs="宋体"/>
          <w:color w:val="auto"/>
          <w:kern w:val="2"/>
          <w:sz w:val="24"/>
          <w:szCs w:val="24"/>
          <w:lang w:val="en-US" w:eastAsia="zh-CN" w:bidi="ar-SA"/>
        </w:rPr>
        <w:t>制造厂在安装和启动时应安排技术人员提供现场安装指导服务，提出技术建议，并有对运行人员提供相关培训的义务。</w:t>
      </w:r>
    </w:p>
    <w:bookmarkEnd w:id="32"/>
    <w:bookmarkEnd w:id="33"/>
    <w:p w14:paraId="754D04E1">
      <w:pPr>
        <w:pStyle w:val="81"/>
        <w:framePr w:wrap="auto" w:vAnchor="margin" w:hAnchor="text" w:yAlign="inline"/>
        <w:spacing w:line="384" w:lineRule="auto"/>
        <w:ind w:firstLine="480"/>
        <w:rPr>
          <w:rFonts w:hint="eastAsia" w:ascii="宋体" w:hAnsi="宋体" w:eastAsia="宋体" w:cs="宋体"/>
        </w:rPr>
      </w:pPr>
    </w:p>
    <w:sectPr>
      <w:footerReference r:id="rId4" w:type="default"/>
      <w:pgSz w:w="11906" w:h="16838"/>
      <w:pgMar w:top="1440" w:right="1797" w:bottom="1440" w:left="179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SimSong Bold">
    <w:altName w:val="宋体"/>
    <w:panose1 w:val="00000000000000000000"/>
    <w:charset w:val="86"/>
    <w:family w:val="roman"/>
    <w:pitch w:val="default"/>
    <w:sig w:usb0="00000000" w:usb1="00000000" w:usb2="00000016" w:usb3="00000000" w:csb0="0004000D" w:csb1="00000000"/>
  </w:font>
  <w:font w:name="Arial Unicode MS">
    <w:altName w:val="宋体"/>
    <w:panose1 w:val="020B0604020202020204"/>
    <w:charset w:val="86"/>
    <w:family w:val="swiss"/>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C9DF2">
    <w:pPr>
      <w:pStyle w:val="15"/>
      <w:jc w:val="center"/>
    </w:pPr>
    <w:r>
      <w:rPr>
        <w:rStyle w:val="25"/>
        <w:rFonts w:hint="eastAsia"/>
      </w:rPr>
      <w:t xml:space="preserve">－ </w:t>
    </w:r>
    <w:r>
      <w:fldChar w:fldCharType="begin"/>
    </w:r>
    <w:r>
      <w:rPr>
        <w:rStyle w:val="25"/>
      </w:rPr>
      <w:instrText xml:space="preserve"> PAGE </w:instrText>
    </w:r>
    <w:r>
      <w:fldChar w:fldCharType="separate"/>
    </w:r>
    <w:r>
      <w:rPr>
        <w:rStyle w:val="25"/>
      </w:rPr>
      <w:t>ii</w:t>
    </w:r>
    <w:r>
      <w:fldChar w:fldCharType="end"/>
    </w:r>
    <w:r>
      <w:rPr>
        <w:rStyle w:val="25"/>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5AC73">
    <w:pPr>
      <w:pStyle w:val="15"/>
      <w:jc w:val="center"/>
    </w:pPr>
    <w:r>
      <w:fldChar w:fldCharType="begin"/>
    </w:r>
    <w:r>
      <w:instrText xml:space="preserve">PAGE   \* MERGEFORMAT</w:instrText>
    </w:r>
    <w:r>
      <w:fldChar w:fldCharType="separate"/>
    </w:r>
    <w:r>
      <w:rPr>
        <w:lang w:val="zh-CN"/>
      </w:rPr>
      <w:t>12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lvlText w:val="%1."/>
      <w:lvlJc w:val="left"/>
      <w:pPr>
        <w:ind w:left="432" w:hanging="432"/>
      </w:pPr>
      <w:rPr>
        <w:rFonts w:ascii="宋体" w:hAnsi="宋体" w:eastAsia="宋体" w:cs="宋体"/>
        <w:b w:val="0"/>
        <w:bCs w:val="0"/>
        <w:i w:val="0"/>
        <w:iCs w:val="0"/>
        <w:caps w:val="0"/>
        <w:smallCaps w:val="0"/>
        <w:spacing w:val="0"/>
        <w:w w:val="100"/>
        <w:kern w:val="0"/>
        <w:position w:val="0"/>
        <w:highlight w:val="none"/>
        <w:vertAlign w:val="baseline"/>
      </w:rPr>
    </w:lvl>
    <w:lvl w:ilvl="1" w:tentative="0">
      <w:start w:val="1"/>
      <w:numFmt w:val="decimal"/>
      <w:suff w:val="nothing"/>
      <w:lvlText w:val="%1.%2."/>
      <w:lvlJc w:val="left"/>
      <w:pPr>
        <w:ind w:left="575" w:hanging="575"/>
      </w:pPr>
      <w:rPr>
        <w:rFonts w:ascii="宋体" w:hAnsi="宋体" w:eastAsia="宋体" w:cs="宋体"/>
        <w:b w:val="0"/>
        <w:bCs w:val="0"/>
        <w:i w:val="0"/>
        <w:iCs w:val="0"/>
        <w:caps w:val="0"/>
        <w:smallCaps w:val="0"/>
        <w:spacing w:val="0"/>
        <w:w w:val="100"/>
        <w:kern w:val="0"/>
        <w:position w:val="0"/>
        <w:sz w:val="32"/>
        <w:szCs w:val="32"/>
        <w:highlight w:val="none"/>
        <w:vertAlign w:val="baseline"/>
      </w:rPr>
    </w:lvl>
    <w:lvl w:ilvl="2" w:tentative="0">
      <w:start w:val="1"/>
      <w:numFmt w:val="decimal"/>
      <w:suff w:val="nothing"/>
      <w:lvlText w:val="%1.%2.%3."/>
      <w:lvlJc w:val="left"/>
      <w:pPr>
        <w:ind w:left="720" w:hanging="720"/>
      </w:pPr>
      <w:rPr>
        <w:rFonts w:ascii="宋体" w:hAnsi="宋体" w:eastAsia="宋体" w:cs="宋体"/>
        <w:b w:val="0"/>
        <w:bCs w:val="0"/>
        <w:i w:val="0"/>
        <w:iCs w:val="0"/>
        <w:caps w:val="0"/>
        <w:smallCaps w:val="0"/>
        <w:spacing w:val="0"/>
        <w:w w:val="100"/>
        <w:kern w:val="0"/>
        <w:position w:val="0"/>
        <w:highlight w:val="none"/>
        <w:vertAlign w:val="baseline"/>
      </w:rPr>
    </w:lvl>
    <w:lvl w:ilvl="3" w:tentative="0">
      <w:start w:val="1"/>
      <w:numFmt w:val="decimal"/>
      <w:suff w:val="nothing"/>
      <w:lvlText w:val="%1.%2.%3.%4."/>
      <w:lvlJc w:val="left"/>
      <w:pPr>
        <w:ind w:left="720" w:hanging="720"/>
      </w:pPr>
      <w:rPr>
        <w:rFonts w:ascii="宋体" w:hAnsi="宋体" w:eastAsia="宋体" w:cs="宋体"/>
        <w:b w:val="0"/>
        <w:bCs w:val="0"/>
        <w:i w:val="0"/>
        <w:iCs w:val="0"/>
        <w:caps w:val="0"/>
        <w:smallCaps w:val="0"/>
        <w:spacing w:val="0"/>
        <w:w w:val="100"/>
        <w:kern w:val="0"/>
        <w:position w:val="0"/>
        <w:sz w:val="28"/>
        <w:szCs w:val="28"/>
        <w:highlight w:val="none"/>
        <w:vertAlign w:val="baseline"/>
      </w:rPr>
    </w:lvl>
    <w:lvl w:ilvl="4" w:tentative="0">
      <w:start w:val="1"/>
      <w:numFmt w:val="decimal"/>
      <w:suff w:val="nothing"/>
      <w:lvlText w:val="%1.%2.%3.%4.%5."/>
      <w:lvlJc w:val="left"/>
      <w:pPr>
        <w:ind w:left="720" w:hanging="720"/>
      </w:pPr>
      <w:rPr>
        <w:rFonts w:ascii="宋体" w:hAnsi="宋体" w:eastAsia="宋体" w:cs="宋体"/>
        <w:b w:val="0"/>
        <w:bCs w:val="0"/>
        <w:i w:val="0"/>
        <w:iCs w:val="0"/>
        <w:caps w:val="0"/>
        <w:smallCaps w:val="0"/>
        <w:spacing w:val="0"/>
        <w:w w:val="100"/>
        <w:kern w:val="0"/>
        <w:position w:val="0"/>
        <w:highlight w:val="none"/>
        <w:vertAlign w:val="baseline"/>
      </w:rPr>
    </w:lvl>
    <w:lvl w:ilvl="5" w:tentative="0">
      <w:start w:val="1"/>
      <w:numFmt w:val="decimal"/>
      <w:suff w:val="nothing"/>
      <w:lvlText w:val="%1.%2.%3.%4.%5.%6."/>
      <w:lvlJc w:val="left"/>
      <w:pPr>
        <w:ind w:left="720" w:hanging="720"/>
      </w:pPr>
      <w:rPr>
        <w:rFonts w:ascii="宋体" w:hAnsi="宋体" w:eastAsia="宋体" w:cs="宋体"/>
        <w:b w:val="0"/>
        <w:bCs w:val="0"/>
        <w:i w:val="0"/>
        <w:iCs w:val="0"/>
        <w:caps w:val="0"/>
        <w:smallCaps w:val="0"/>
        <w:spacing w:val="0"/>
        <w:w w:val="100"/>
        <w:kern w:val="0"/>
        <w:position w:val="0"/>
        <w:highlight w:val="none"/>
        <w:vertAlign w:val="baseline"/>
      </w:rPr>
    </w:lvl>
    <w:lvl w:ilvl="6" w:tentative="0">
      <w:start w:val="1"/>
      <w:numFmt w:val="decimal"/>
      <w:suff w:val="nothing"/>
      <w:lvlText w:val="%1.%2.%3.%4.%5.%6.%7."/>
      <w:lvlJc w:val="left"/>
      <w:pPr>
        <w:ind w:left="720" w:hanging="720"/>
      </w:pPr>
      <w:rPr>
        <w:rFonts w:ascii="宋体" w:hAnsi="宋体" w:eastAsia="宋体" w:cs="宋体"/>
        <w:b w:val="0"/>
        <w:bCs w:val="0"/>
        <w:i w:val="0"/>
        <w:iCs w:val="0"/>
        <w:caps w:val="0"/>
        <w:smallCaps w:val="0"/>
        <w:spacing w:val="0"/>
        <w:w w:val="100"/>
        <w:kern w:val="0"/>
        <w:position w:val="0"/>
        <w:highlight w:val="none"/>
        <w:vertAlign w:val="baseline"/>
      </w:rPr>
    </w:lvl>
    <w:lvl w:ilvl="7" w:tentative="0">
      <w:start w:val="1"/>
      <w:numFmt w:val="decimal"/>
      <w:suff w:val="nothing"/>
      <w:lvlText w:val="%1.%2.%3.%4.%5.%6.%7.%8."/>
      <w:lvlJc w:val="left"/>
      <w:pPr>
        <w:ind w:left="720" w:hanging="720"/>
      </w:pPr>
      <w:rPr>
        <w:rFonts w:ascii="宋体" w:hAnsi="宋体" w:eastAsia="宋体" w:cs="宋体"/>
        <w:b w:val="0"/>
        <w:bCs w:val="0"/>
        <w:i w:val="0"/>
        <w:iCs w:val="0"/>
        <w:caps w:val="0"/>
        <w:smallCaps w:val="0"/>
        <w:spacing w:val="0"/>
        <w:w w:val="100"/>
        <w:kern w:val="0"/>
        <w:position w:val="0"/>
        <w:highlight w:val="none"/>
        <w:vertAlign w:val="baseline"/>
      </w:rPr>
    </w:lvl>
    <w:lvl w:ilvl="8" w:tentative="0">
      <w:start w:val="1"/>
      <w:numFmt w:val="decimal"/>
      <w:suff w:val="nothing"/>
      <w:lvlText w:val="%1.%2.%3.%4.%5.%6.%7.%8.%9."/>
      <w:lvlJc w:val="left"/>
      <w:pPr>
        <w:ind w:left="720" w:hanging="720"/>
      </w:pPr>
      <w:rPr>
        <w:rFonts w:ascii="宋体" w:hAnsi="宋体" w:eastAsia="宋体" w:cs="宋体"/>
        <w:b w:val="0"/>
        <w:bCs w:val="0"/>
        <w:i w:val="0"/>
        <w:iCs w:val="0"/>
        <w:caps w:val="0"/>
        <w:smallCaps w:val="0"/>
        <w:spacing w:val="0"/>
        <w:w w:val="100"/>
        <w:kern w:val="0"/>
        <w:position w:val="0"/>
        <w:highlight w:val="none"/>
        <w:vertAlign w:val="baseline"/>
      </w:rPr>
    </w:lvl>
  </w:abstractNum>
  <w:abstractNum w:abstractNumId="1">
    <w:nsid w:val="16697EBD"/>
    <w:multiLevelType w:val="multilevel"/>
    <w:tmpl w:val="16697EBD"/>
    <w:lvl w:ilvl="0" w:tentative="0">
      <w:start w:val="1"/>
      <w:numFmt w:val="bullet"/>
      <w:pStyle w:val="38"/>
      <w:lvlText w:val=""/>
      <w:lvlJc w:val="left"/>
      <w:pPr>
        <w:tabs>
          <w:tab w:val="left" w:pos="1100"/>
        </w:tabs>
        <w:ind w:left="1100" w:hanging="420"/>
      </w:pPr>
      <w:rPr>
        <w:rFonts w:hint="default" w:ascii="Wingdings" w:hAnsi="Wingdings"/>
      </w:rPr>
    </w:lvl>
    <w:lvl w:ilvl="1" w:tentative="0">
      <w:start w:val="1"/>
      <w:numFmt w:val="bullet"/>
      <w:lvlText w:val=""/>
      <w:lvlJc w:val="left"/>
      <w:pPr>
        <w:tabs>
          <w:tab w:val="left" w:pos="1520"/>
        </w:tabs>
        <w:ind w:left="1520" w:hanging="420"/>
      </w:pPr>
      <w:rPr>
        <w:rFonts w:hint="default" w:ascii="Wingdings" w:hAnsi="Wingdings"/>
      </w:rPr>
    </w:lvl>
    <w:lvl w:ilvl="2" w:tentative="0">
      <w:start w:val="1"/>
      <w:numFmt w:val="bullet"/>
      <w:lvlText w:val=""/>
      <w:lvlJc w:val="left"/>
      <w:pPr>
        <w:tabs>
          <w:tab w:val="left" w:pos="1940"/>
        </w:tabs>
        <w:ind w:left="1940" w:hanging="420"/>
      </w:pPr>
      <w:rPr>
        <w:rFonts w:hint="default" w:ascii="Wingdings" w:hAnsi="Wingdings"/>
      </w:rPr>
    </w:lvl>
    <w:lvl w:ilvl="3" w:tentative="0">
      <w:start w:val="1"/>
      <w:numFmt w:val="bullet"/>
      <w:lvlText w:val=""/>
      <w:lvlJc w:val="left"/>
      <w:pPr>
        <w:tabs>
          <w:tab w:val="left" w:pos="2360"/>
        </w:tabs>
        <w:ind w:left="2360" w:hanging="420"/>
      </w:pPr>
      <w:rPr>
        <w:rFonts w:hint="default" w:ascii="Wingdings" w:hAnsi="Wingdings"/>
      </w:rPr>
    </w:lvl>
    <w:lvl w:ilvl="4" w:tentative="0">
      <w:start w:val="1"/>
      <w:numFmt w:val="bullet"/>
      <w:lvlText w:val=""/>
      <w:lvlJc w:val="left"/>
      <w:pPr>
        <w:tabs>
          <w:tab w:val="left" w:pos="2780"/>
        </w:tabs>
        <w:ind w:left="2780" w:hanging="420"/>
      </w:pPr>
      <w:rPr>
        <w:rFonts w:hint="default" w:ascii="Wingdings" w:hAnsi="Wingdings"/>
      </w:rPr>
    </w:lvl>
    <w:lvl w:ilvl="5" w:tentative="0">
      <w:start w:val="1"/>
      <w:numFmt w:val="bullet"/>
      <w:lvlText w:val=""/>
      <w:lvlJc w:val="left"/>
      <w:pPr>
        <w:tabs>
          <w:tab w:val="left" w:pos="3200"/>
        </w:tabs>
        <w:ind w:left="3200" w:hanging="420"/>
      </w:pPr>
      <w:rPr>
        <w:rFonts w:hint="default" w:ascii="Wingdings" w:hAnsi="Wingdings"/>
      </w:rPr>
    </w:lvl>
    <w:lvl w:ilvl="6" w:tentative="0">
      <w:start w:val="1"/>
      <w:numFmt w:val="bullet"/>
      <w:lvlText w:val=""/>
      <w:lvlJc w:val="left"/>
      <w:pPr>
        <w:tabs>
          <w:tab w:val="left" w:pos="3620"/>
        </w:tabs>
        <w:ind w:left="3620" w:hanging="420"/>
      </w:pPr>
      <w:rPr>
        <w:rFonts w:hint="default" w:ascii="Wingdings" w:hAnsi="Wingdings"/>
      </w:rPr>
    </w:lvl>
    <w:lvl w:ilvl="7" w:tentative="0">
      <w:start w:val="1"/>
      <w:numFmt w:val="bullet"/>
      <w:lvlText w:val=""/>
      <w:lvlJc w:val="left"/>
      <w:pPr>
        <w:tabs>
          <w:tab w:val="left" w:pos="4040"/>
        </w:tabs>
        <w:ind w:left="4040" w:hanging="420"/>
      </w:pPr>
      <w:rPr>
        <w:rFonts w:hint="default" w:ascii="Wingdings" w:hAnsi="Wingdings"/>
      </w:rPr>
    </w:lvl>
    <w:lvl w:ilvl="8" w:tentative="0">
      <w:start w:val="1"/>
      <w:numFmt w:val="bullet"/>
      <w:lvlText w:val=""/>
      <w:lvlJc w:val="left"/>
      <w:pPr>
        <w:tabs>
          <w:tab w:val="left" w:pos="4460"/>
        </w:tabs>
        <w:ind w:left="4460" w:hanging="420"/>
      </w:pPr>
      <w:rPr>
        <w:rFonts w:hint="default" w:ascii="Wingdings" w:hAnsi="Wingdings"/>
      </w:rPr>
    </w:lvl>
  </w:abstractNum>
  <w:abstractNum w:abstractNumId="2">
    <w:nsid w:val="66F10761"/>
    <w:multiLevelType w:val="multilevel"/>
    <w:tmpl w:val="66F10761"/>
    <w:lvl w:ilvl="0" w:tentative="0">
      <w:start w:val="1"/>
      <w:numFmt w:val="decimal"/>
      <w:lvlText w:val="%1."/>
      <w:lvlJc w:val="left"/>
      <w:pPr>
        <w:ind w:left="704" w:hanging="420"/>
      </w:p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3">
    <w:nsid w:val="71B23DA0"/>
    <w:multiLevelType w:val="singleLevel"/>
    <w:tmpl w:val="71B23DA0"/>
    <w:lvl w:ilvl="0" w:tentative="0">
      <w:start w:val="1"/>
      <w:numFmt w:val="decimal"/>
      <w:suff w:val="nothing"/>
      <w:lvlText w:val="%1"/>
      <w:lvlJc w:val="left"/>
      <w:pPr>
        <w:tabs>
          <w:tab w:val="left" w:pos="397"/>
        </w:tabs>
        <w:ind w:left="454" w:hanging="454"/>
      </w:pPr>
      <w:rPr>
        <w:rFonts w:hint="default"/>
      </w:rPr>
    </w:lvl>
  </w:abstractNum>
  <w:abstractNum w:abstractNumId="4">
    <w:nsid w:val="756D29A0"/>
    <w:multiLevelType w:val="multilevel"/>
    <w:tmpl w:val="756D29A0"/>
    <w:lvl w:ilvl="0" w:tentative="0">
      <w:start w:val="1"/>
      <w:numFmt w:val="decimal"/>
      <w:pStyle w:val="2"/>
      <w:lvlText w:val="%1."/>
      <w:lvlJc w:val="left"/>
      <w:pPr>
        <w:tabs>
          <w:tab w:val="left" w:pos="425"/>
        </w:tabs>
        <w:ind w:left="425" w:hanging="425"/>
      </w:pPr>
      <w:rPr>
        <w:rFonts w:hint="default" w:ascii="Times New Roman" w:hAnsi="Times New Roman" w:eastAsia="宋体"/>
        <w:b/>
        <w:bCs/>
        <w:i w:val="0"/>
        <w:spacing w:val="-12"/>
        <w:sz w:val="28"/>
        <w:szCs w:val="44"/>
      </w:rPr>
    </w:lvl>
    <w:lvl w:ilvl="1" w:tentative="0">
      <w:start w:val="1"/>
      <w:numFmt w:val="decimal"/>
      <w:pStyle w:val="3"/>
      <w:lvlText w:val="%1.%2."/>
      <w:lvlJc w:val="left"/>
      <w:pPr>
        <w:tabs>
          <w:tab w:val="left" w:pos="567"/>
        </w:tabs>
        <w:ind w:left="567" w:hanging="567"/>
      </w:pPr>
      <w:rPr>
        <w:rFonts w:hint="default" w:ascii="Times New Roman" w:hAnsi="Times New Roman" w:eastAsia="宋体"/>
        <w:sz w:val="28"/>
        <w:szCs w:val="24"/>
      </w:rPr>
    </w:lvl>
    <w:lvl w:ilvl="2" w:tentative="0">
      <w:start w:val="1"/>
      <w:numFmt w:val="decimal"/>
      <w:pStyle w:val="5"/>
      <w:lvlText w:val="%1.%2.%3."/>
      <w:lvlJc w:val="left"/>
      <w:pPr>
        <w:tabs>
          <w:tab w:val="left" w:pos="709"/>
        </w:tabs>
        <w:ind w:left="709" w:hanging="709"/>
      </w:pPr>
      <w:rPr>
        <w:rFonts w:hint="default" w:ascii="Times New Roman" w:hAnsi="Times New Roman" w:cs="Times New Roman"/>
        <w:sz w:val="28"/>
      </w:rPr>
    </w:lvl>
    <w:lvl w:ilvl="3" w:tentative="0">
      <w:start w:val="1"/>
      <w:numFmt w:val="decimal"/>
      <w:lvlText w:val="%1.%2.%3.%4."/>
      <w:lvlJc w:val="left"/>
      <w:pPr>
        <w:tabs>
          <w:tab w:val="left" w:pos="851"/>
        </w:tabs>
        <w:ind w:left="851" w:hanging="851"/>
      </w:pPr>
      <w:rPr>
        <w:rFonts w:hint="eastAsia"/>
        <w:sz w:val="24"/>
        <w:szCs w:val="24"/>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dhZTQ3NjQyZWFjNDFhODFhMWExN2M2NjUzYmE1MTgifQ=="/>
  </w:docVars>
  <w:rsids>
    <w:rsidRoot w:val="456D62B9"/>
    <w:rsid w:val="00005A8A"/>
    <w:rsid w:val="000123AE"/>
    <w:rsid w:val="00033ABD"/>
    <w:rsid w:val="00055C21"/>
    <w:rsid w:val="00072C5B"/>
    <w:rsid w:val="000735C7"/>
    <w:rsid w:val="00094E44"/>
    <w:rsid w:val="000961C1"/>
    <w:rsid w:val="000B14FC"/>
    <w:rsid w:val="000C31EC"/>
    <w:rsid w:val="000D4458"/>
    <w:rsid w:val="000D47C1"/>
    <w:rsid w:val="000E2739"/>
    <w:rsid w:val="00106663"/>
    <w:rsid w:val="00130683"/>
    <w:rsid w:val="00133252"/>
    <w:rsid w:val="00164BD1"/>
    <w:rsid w:val="00173000"/>
    <w:rsid w:val="0019446B"/>
    <w:rsid w:val="001949BE"/>
    <w:rsid w:val="001A5A53"/>
    <w:rsid w:val="001D4D93"/>
    <w:rsid w:val="001E4DFB"/>
    <w:rsid w:val="001F7FBC"/>
    <w:rsid w:val="00204E4C"/>
    <w:rsid w:val="002061F2"/>
    <w:rsid w:val="002067F0"/>
    <w:rsid w:val="00216FE3"/>
    <w:rsid w:val="00223B3C"/>
    <w:rsid w:val="00225676"/>
    <w:rsid w:val="0024421E"/>
    <w:rsid w:val="00244CF8"/>
    <w:rsid w:val="0029664E"/>
    <w:rsid w:val="002A4980"/>
    <w:rsid w:val="002C7323"/>
    <w:rsid w:val="002E15F6"/>
    <w:rsid w:val="002E1BA3"/>
    <w:rsid w:val="002E78EE"/>
    <w:rsid w:val="00310712"/>
    <w:rsid w:val="0032512B"/>
    <w:rsid w:val="00352260"/>
    <w:rsid w:val="00366030"/>
    <w:rsid w:val="00385A09"/>
    <w:rsid w:val="00390D97"/>
    <w:rsid w:val="003A13EA"/>
    <w:rsid w:val="003A4DB8"/>
    <w:rsid w:val="003C0801"/>
    <w:rsid w:val="003E44B6"/>
    <w:rsid w:val="00400914"/>
    <w:rsid w:val="0040796C"/>
    <w:rsid w:val="00414D66"/>
    <w:rsid w:val="00420C51"/>
    <w:rsid w:val="00422E4C"/>
    <w:rsid w:val="00452F1B"/>
    <w:rsid w:val="004541E8"/>
    <w:rsid w:val="004541FD"/>
    <w:rsid w:val="0047664C"/>
    <w:rsid w:val="004A1628"/>
    <w:rsid w:val="005036D7"/>
    <w:rsid w:val="005133BD"/>
    <w:rsid w:val="00516580"/>
    <w:rsid w:val="00541BF4"/>
    <w:rsid w:val="00541EB5"/>
    <w:rsid w:val="00544F80"/>
    <w:rsid w:val="00584528"/>
    <w:rsid w:val="00594805"/>
    <w:rsid w:val="00597976"/>
    <w:rsid w:val="005B21BF"/>
    <w:rsid w:val="005B5C79"/>
    <w:rsid w:val="005D1DB1"/>
    <w:rsid w:val="005F5E6C"/>
    <w:rsid w:val="006038B8"/>
    <w:rsid w:val="0061607E"/>
    <w:rsid w:val="0061653C"/>
    <w:rsid w:val="0061793A"/>
    <w:rsid w:val="00630921"/>
    <w:rsid w:val="00665CBA"/>
    <w:rsid w:val="00667464"/>
    <w:rsid w:val="00693139"/>
    <w:rsid w:val="006A0156"/>
    <w:rsid w:val="006D57E1"/>
    <w:rsid w:val="006F6029"/>
    <w:rsid w:val="0070062A"/>
    <w:rsid w:val="00701F2C"/>
    <w:rsid w:val="007372DD"/>
    <w:rsid w:val="00737A1D"/>
    <w:rsid w:val="007421EB"/>
    <w:rsid w:val="00754AF8"/>
    <w:rsid w:val="0077764E"/>
    <w:rsid w:val="00782BEB"/>
    <w:rsid w:val="007953D8"/>
    <w:rsid w:val="007B2E38"/>
    <w:rsid w:val="007B38A9"/>
    <w:rsid w:val="007B7CD8"/>
    <w:rsid w:val="007E652C"/>
    <w:rsid w:val="007F58BE"/>
    <w:rsid w:val="007F7619"/>
    <w:rsid w:val="00816591"/>
    <w:rsid w:val="00831371"/>
    <w:rsid w:val="00835F2F"/>
    <w:rsid w:val="0083616C"/>
    <w:rsid w:val="00836315"/>
    <w:rsid w:val="00844703"/>
    <w:rsid w:val="00853A08"/>
    <w:rsid w:val="008767C4"/>
    <w:rsid w:val="00890557"/>
    <w:rsid w:val="008912E3"/>
    <w:rsid w:val="008923E0"/>
    <w:rsid w:val="008A3217"/>
    <w:rsid w:val="008B7EC7"/>
    <w:rsid w:val="008C6FD8"/>
    <w:rsid w:val="008E537D"/>
    <w:rsid w:val="008E798D"/>
    <w:rsid w:val="00916D73"/>
    <w:rsid w:val="00942C42"/>
    <w:rsid w:val="009548BE"/>
    <w:rsid w:val="00972AEA"/>
    <w:rsid w:val="0097524E"/>
    <w:rsid w:val="00983FF9"/>
    <w:rsid w:val="00996B29"/>
    <w:rsid w:val="00996FC2"/>
    <w:rsid w:val="009A41A3"/>
    <w:rsid w:val="009E494A"/>
    <w:rsid w:val="009F46B0"/>
    <w:rsid w:val="009F6BAE"/>
    <w:rsid w:val="00A0352B"/>
    <w:rsid w:val="00A037E9"/>
    <w:rsid w:val="00A36A31"/>
    <w:rsid w:val="00A53633"/>
    <w:rsid w:val="00A72B98"/>
    <w:rsid w:val="00A73397"/>
    <w:rsid w:val="00AA38A0"/>
    <w:rsid w:val="00AC48ED"/>
    <w:rsid w:val="00AD25CE"/>
    <w:rsid w:val="00AE350D"/>
    <w:rsid w:val="00B05428"/>
    <w:rsid w:val="00B05A67"/>
    <w:rsid w:val="00B10480"/>
    <w:rsid w:val="00B3710E"/>
    <w:rsid w:val="00B37CCF"/>
    <w:rsid w:val="00B502BD"/>
    <w:rsid w:val="00B50F0E"/>
    <w:rsid w:val="00B5699D"/>
    <w:rsid w:val="00B70B16"/>
    <w:rsid w:val="00BE5668"/>
    <w:rsid w:val="00BE6DA4"/>
    <w:rsid w:val="00C01068"/>
    <w:rsid w:val="00C038DD"/>
    <w:rsid w:val="00C12671"/>
    <w:rsid w:val="00C15B98"/>
    <w:rsid w:val="00C15DAC"/>
    <w:rsid w:val="00C34C80"/>
    <w:rsid w:val="00C5147A"/>
    <w:rsid w:val="00C52A0B"/>
    <w:rsid w:val="00C54230"/>
    <w:rsid w:val="00C7020D"/>
    <w:rsid w:val="00C82EE5"/>
    <w:rsid w:val="00C9407C"/>
    <w:rsid w:val="00C97CDA"/>
    <w:rsid w:val="00CA294E"/>
    <w:rsid w:val="00CC4C2C"/>
    <w:rsid w:val="00CC7761"/>
    <w:rsid w:val="00D21C58"/>
    <w:rsid w:val="00D26936"/>
    <w:rsid w:val="00D3536A"/>
    <w:rsid w:val="00D36AA6"/>
    <w:rsid w:val="00D42EC8"/>
    <w:rsid w:val="00D52D7C"/>
    <w:rsid w:val="00D55BBB"/>
    <w:rsid w:val="00D9501F"/>
    <w:rsid w:val="00DA1C52"/>
    <w:rsid w:val="00DA2912"/>
    <w:rsid w:val="00DA754A"/>
    <w:rsid w:val="00DE4905"/>
    <w:rsid w:val="00E21278"/>
    <w:rsid w:val="00E24C4F"/>
    <w:rsid w:val="00E56475"/>
    <w:rsid w:val="00E711F3"/>
    <w:rsid w:val="00E7560B"/>
    <w:rsid w:val="00E968B5"/>
    <w:rsid w:val="00EB1AF1"/>
    <w:rsid w:val="00F1361E"/>
    <w:rsid w:val="00F1389C"/>
    <w:rsid w:val="00F173F7"/>
    <w:rsid w:val="00F451D8"/>
    <w:rsid w:val="00F5410D"/>
    <w:rsid w:val="00F57C18"/>
    <w:rsid w:val="00F86E72"/>
    <w:rsid w:val="00FA027D"/>
    <w:rsid w:val="00FA4D75"/>
    <w:rsid w:val="00FC4544"/>
    <w:rsid w:val="00FF2D9C"/>
    <w:rsid w:val="010772F7"/>
    <w:rsid w:val="02B8008B"/>
    <w:rsid w:val="0354310B"/>
    <w:rsid w:val="04E124AB"/>
    <w:rsid w:val="0622743F"/>
    <w:rsid w:val="065B44BD"/>
    <w:rsid w:val="06B425B7"/>
    <w:rsid w:val="06F21498"/>
    <w:rsid w:val="076D2BC5"/>
    <w:rsid w:val="07D65F6C"/>
    <w:rsid w:val="07D9342B"/>
    <w:rsid w:val="082751D4"/>
    <w:rsid w:val="087C3598"/>
    <w:rsid w:val="08C5502A"/>
    <w:rsid w:val="0958443C"/>
    <w:rsid w:val="096C7D03"/>
    <w:rsid w:val="09F9539C"/>
    <w:rsid w:val="0A0B6138"/>
    <w:rsid w:val="0A0C1097"/>
    <w:rsid w:val="0A9A26C8"/>
    <w:rsid w:val="0BB70626"/>
    <w:rsid w:val="0C6658D0"/>
    <w:rsid w:val="0D125AE7"/>
    <w:rsid w:val="0D4A5670"/>
    <w:rsid w:val="0D6B18C2"/>
    <w:rsid w:val="0D74306F"/>
    <w:rsid w:val="0DB64159"/>
    <w:rsid w:val="0DC34C5E"/>
    <w:rsid w:val="0DD24147"/>
    <w:rsid w:val="0DF72A95"/>
    <w:rsid w:val="0E6534C2"/>
    <w:rsid w:val="0EDA07F5"/>
    <w:rsid w:val="0F1409D8"/>
    <w:rsid w:val="0F1E5E95"/>
    <w:rsid w:val="0F427271"/>
    <w:rsid w:val="0F864554"/>
    <w:rsid w:val="0FDB6AAD"/>
    <w:rsid w:val="10BE758F"/>
    <w:rsid w:val="10C92951"/>
    <w:rsid w:val="110C1E59"/>
    <w:rsid w:val="119F00D1"/>
    <w:rsid w:val="123C6479"/>
    <w:rsid w:val="12614612"/>
    <w:rsid w:val="12ED1816"/>
    <w:rsid w:val="12ED5CBA"/>
    <w:rsid w:val="13347F43"/>
    <w:rsid w:val="13BF7CAB"/>
    <w:rsid w:val="14237DFD"/>
    <w:rsid w:val="14BF71E2"/>
    <w:rsid w:val="14CA1FE3"/>
    <w:rsid w:val="14CB6B69"/>
    <w:rsid w:val="1521478B"/>
    <w:rsid w:val="152570C3"/>
    <w:rsid w:val="158567D3"/>
    <w:rsid w:val="158F03A1"/>
    <w:rsid w:val="15D16CB3"/>
    <w:rsid w:val="15D53161"/>
    <w:rsid w:val="161737E6"/>
    <w:rsid w:val="162931E1"/>
    <w:rsid w:val="164041C8"/>
    <w:rsid w:val="172805BA"/>
    <w:rsid w:val="174E034E"/>
    <w:rsid w:val="17AF3275"/>
    <w:rsid w:val="18581279"/>
    <w:rsid w:val="18A17A0B"/>
    <w:rsid w:val="1901426D"/>
    <w:rsid w:val="191A24AF"/>
    <w:rsid w:val="19BE1623"/>
    <w:rsid w:val="1AEE4DCF"/>
    <w:rsid w:val="1B36409F"/>
    <w:rsid w:val="1B522B5E"/>
    <w:rsid w:val="1B7900EB"/>
    <w:rsid w:val="1B921DDF"/>
    <w:rsid w:val="1C1510C3"/>
    <w:rsid w:val="1E943D94"/>
    <w:rsid w:val="1E950B87"/>
    <w:rsid w:val="1F0148BD"/>
    <w:rsid w:val="1FE35702"/>
    <w:rsid w:val="1FF74F8E"/>
    <w:rsid w:val="20230F6D"/>
    <w:rsid w:val="208143B8"/>
    <w:rsid w:val="20A17B17"/>
    <w:rsid w:val="20D752E8"/>
    <w:rsid w:val="21B3786E"/>
    <w:rsid w:val="21C978F2"/>
    <w:rsid w:val="21D03D96"/>
    <w:rsid w:val="226B0733"/>
    <w:rsid w:val="22C75BE0"/>
    <w:rsid w:val="23533577"/>
    <w:rsid w:val="23BA6527"/>
    <w:rsid w:val="24870F7D"/>
    <w:rsid w:val="24D64800"/>
    <w:rsid w:val="252D146A"/>
    <w:rsid w:val="25920967"/>
    <w:rsid w:val="26680D73"/>
    <w:rsid w:val="26A33141"/>
    <w:rsid w:val="26D71DA6"/>
    <w:rsid w:val="2786250D"/>
    <w:rsid w:val="28162ADB"/>
    <w:rsid w:val="28255771"/>
    <w:rsid w:val="290C6849"/>
    <w:rsid w:val="291122AA"/>
    <w:rsid w:val="298C64C9"/>
    <w:rsid w:val="299A48F2"/>
    <w:rsid w:val="2A565492"/>
    <w:rsid w:val="2A595CD0"/>
    <w:rsid w:val="2B0943D0"/>
    <w:rsid w:val="2CFD6DB2"/>
    <w:rsid w:val="2D734AAD"/>
    <w:rsid w:val="2D835999"/>
    <w:rsid w:val="2DAA19AE"/>
    <w:rsid w:val="2DC526CA"/>
    <w:rsid w:val="2DD47592"/>
    <w:rsid w:val="2E2A33BD"/>
    <w:rsid w:val="2EC658E5"/>
    <w:rsid w:val="2ED51684"/>
    <w:rsid w:val="2F14135F"/>
    <w:rsid w:val="2F63179E"/>
    <w:rsid w:val="2FAB2D03"/>
    <w:rsid w:val="2FDA45E5"/>
    <w:rsid w:val="309E3B2D"/>
    <w:rsid w:val="30FA5C14"/>
    <w:rsid w:val="3135465C"/>
    <w:rsid w:val="31EA60C2"/>
    <w:rsid w:val="320428E3"/>
    <w:rsid w:val="32BB562C"/>
    <w:rsid w:val="32F045B9"/>
    <w:rsid w:val="33442501"/>
    <w:rsid w:val="338673F1"/>
    <w:rsid w:val="3411315F"/>
    <w:rsid w:val="346D303A"/>
    <w:rsid w:val="34924364"/>
    <w:rsid w:val="34D95509"/>
    <w:rsid w:val="35657300"/>
    <w:rsid w:val="356A38DC"/>
    <w:rsid w:val="3574562E"/>
    <w:rsid w:val="35B3610A"/>
    <w:rsid w:val="36794FEB"/>
    <w:rsid w:val="36B978CE"/>
    <w:rsid w:val="377073F0"/>
    <w:rsid w:val="379D0908"/>
    <w:rsid w:val="37B47DD4"/>
    <w:rsid w:val="37D01583"/>
    <w:rsid w:val="38B706D0"/>
    <w:rsid w:val="38D1447C"/>
    <w:rsid w:val="38E07A8A"/>
    <w:rsid w:val="390F49AC"/>
    <w:rsid w:val="39D76559"/>
    <w:rsid w:val="39D82007"/>
    <w:rsid w:val="3A426F31"/>
    <w:rsid w:val="3AA500BA"/>
    <w:rsid w:val="3AA52853"/>
    <w:rsid w:val="3B66288F"/>
    <w:rsid w:val="3C2361E5"/>
    <w:rsid w:val="3CCA034E"/>
    <w:rsid w:val="3D5424B3"/>
    <w:rsid w:val="3D5D6B10"/>
    <w:rsid w:val="3D7572F7"/>
    <w:rsid w:val="3D76438A"/>
    <w:rsid w:val="3D8A3D56"/>
    <w:rsid w:val="3E3534C1"/>
    <w:rsid w:val="3F37201A"/>
    <w:rsid w:val="3F980E7B"/>
    <w:rsid w:val="3FE31187"/>
    <w:rsid w:val="40864ED4"/>
    <w:rsid w:val="41656898"/>
    <w:rsid w:val="417138DF"/>
    <w:rsid w:val="41AF2209"/>
    <w:rsid w:val="4249761C"/>
    <w:rsid w:val="42566E71"/>
    <w:rsid w:val="42625CDA"/>
    <w:rsid w:val="42C6203C"/>
    <w:rsid w:val="42CB4E20"/>
    <w:rsid w:val="43814576"/>
    <w:rsid w:val="442C49D8"/>
    <w:rsid w:val="44435EE1"/>
    <w:rsid w:val="44B51143"/>
    <w:rsid w:val="44ED5522"/>
    <w:rsid w:val="45350C77"/>
    <w:rsid w:val="456D62B9"/>
    <w:rsid w:val="45F34DBA"/>
    <w:rsid w:val="45F42696"/>
    <w:rsid w:val="461E170B"/>
    <w:rsid w:val="46E16A5F"/>
    <w:rsid w:val="47D1799B"/>
    <w:rsid w:val="484B6BDE"/>
    <w:rsid w:val="48A44149"/>
    <w:rsid w:val="48E334ED"/>
    <w:rsid w:val="48F23F69"/>
    <w:rsid w:val="493354CD"/>
    <w:rsid w:val="49E46913"/>
    <w:rsid w:val="49F21C2A"/>
    <w:rsid w:val="4A1878A4"/>
    <w:rsid w:val="4AD86931"/>
    <w:rsid w:val="4B046389"/>
    <w:rsid w:val="4CC476A2"/>
    <w:rsid w:val="4E56172D"/>
    <w:rsid w:val="4EA05553"/>
    <w:rsid w:val="50165DB1"/>
    <w:rsid w:val="50BB64D4"/>
    <w:rsid w:val="50DB705E"/>
    <w:rsid w:val="50E72C25"/>
    <w:rsid w:val="51671B48"/>
    <w:rsid w:val="51C5229D"/>
    <w:rsid w:val="520308E4"/>
    <w:rsid w:val="52727FF2"/>
    <w:rsid w:val="52A30966"/>
    <w:rsid w:val="530E4A10"/>
    <w:rsid w:val="53166F93"/>
    <w:rsid w:val="5335540B"/>
    <w:rsid w:val="53626C1B"/>
    <w:rsid w:val="53722A3B"/>
    <w:rsid w:val="547A1194"/>
    <w:rsid w:val="54CF47EF"/>
    <w:rsid w:val="5503044A"/>
    <w:rsid w:val="557C0232"/>
    <w:rsid w:val="560C0B22"/>
    <w:rsid w:val="56B539C6"/>
    <w:rsid w:val="56CB0175"/>
    <w:rsid w:val="56DB7DAA"/>
    <w:rsid w:val="575F0152"/>
    <w:rsid w:val="5762751C"/>
    <w:rsid w:val="58403763"/>
    <w:rsid w:val="584F0FC5"/>
    <w:rsid w:val="58935F89"/>
    <w:rsid w:val="589D2963"/>
    <w:rsid w:val="58BD2E7F"/>
    <w:rsid w:val="58CC22D2"/>
    <w:rsid w:val="59B70513"/>
    <w:rsid w:val="59D10B16"/>
    <w:rsid w:val="59FA6402"/>
    <w:rsid w:val="5A5A0BD4"/>
    <w:rsid w:val="5A6A4AC7"/>
    <w:rsid w:val="5B254768"/>
    <w:rsid w:val="5B921C31"/>
    <w:rsid w:val="5B940ED8"/>
    <w:rsid w:val="5BBB41A2"/>
    <w:rsid w:val="5BD00703"/>
    <w:rsid w:val="5C8265BF"/>
    <w:rsid w:val="5CDC6150"/>
    <w:rsid w:val="5CDF7A32"/>
    <w:rsid w:val="5D42520B"/>
    <w:rsid w:val="5DEB784E"/>
    <w:rsid w:val="5E15676A"/>
    <w:rsid w:val="5E5B674D"/>
    <w:rsid w:val="5EC81B1E"/>
    <w:rsid w:val="5F0C485E"/>
    <w:rsid w:val="5F5E0A5B"/>
    <w:rsid w:val="602C4AE6"/>
    <w:rsid w:val="60D111EA"/>
    <w:rsid w:val="60D27197"/>
    <w:rsid w:val="613B7E7B"/>
    <w:rsid w:val="61783CF3"/>
    <w:rsid w:val="6217244A"/>
    <w:rsid w:val="626A5FAC"/>
    <w:rsid w:val="62F403F2"/>
    <w:rsid w:val="63251B06"/>
    <w:rsid w:val="637202DD"/>
    <w:rsid w:val="637879A9"/>
    <w:rsid w:val="63827325"/>
    <w:rsid w:val="63C52215"/>
    <w:rsid w:val="640C53CD"/>
    <w:rsid w:val="643340F4"/>
    <w:rsid w:val="647311B7"/>
    <w:rsid w:val="64AC0143"/>
    <w:rsid w:val="64E70B07"/>
    <w:rsid w:val="652A557F"/>
    <w:rsid w:val="65C42B72"/>
    <w:rsid w:val="66561BE7"/>
    <w:rsid w:val="66C157CB"/>
    <w:rsid w:val="66D72ADD"/>
    <w:rsid w:val="6759214B"/>
    <w:rsid w:val="67D143D7"/>
    <w:rsid w:val="68630D54"/>
    <w:rsid w:val="68891926"/>
    <w:rsid w:val="688B5A21"/>
    <w:rsid w:val="69054339"/>
    <w:rsid w:val="69927E5A"/>
    <w:rsid w:val="69C77840"/>
    <w:rsid w:val="6A4D41E9"/>
    <w:rsid w:val="6A89136D"/>
    <w:rsid w:val="6B1B763B"/>
    <w:rsid w:val="6C520910"/>
    <w:rsid w:val="6CF43042"/>
    <w:rsid w:val="6CF531B5"/>
    <w:rsid w:val="6D8C078C"/>
    <w:rsid w:val="6DC5678C"/>
    <w:rsid w:val="6E4C7917"/>
    <w:rsid w:val="6EA95FE7"/>
    <w:rsid w:val="6EFF1435"/>
    <w:rsid w:val="6FD068F0"/>
    <w:rsid w:val="70330C01"/>
    <w:rsid w:val="70671E2E"/>
    <w:rsid w:val="707F0E75"/>
    <w:rsid w:val="70C475F5"/>
    <w:rsid w:val="70E30E24"/>
    <w:rsid w:val="70EB579D"/>
    <w:rsid w:val="715C11B6"/>
    <w:rsid w:val="716342F2"/>
    <w:rsid w:val="716825B6"/>
    <w:rsid w:val="71793919"/>
    <w:rsid w:val="72BD3ED6"/>
    <w:rsid w:val="7372099F"/>
    <w:rsid w:val="737B2D9A"/>
    <w:rsid w:val="73814F04"/>
    <w:rsid w:val="745054B7"/>
    <w:rsid w:val="74791999"/>
    <w:rsid w:val="75170442"/>
    <w:rsid w:val="75295853"/>
    <w:rsid w:val="75F833DC"/>
    <w:rsid w:val="76746552"/>
    <w:rsid w:val="769B34C2"/>
    <w:rsid w:val="76AB6FB1"/>
    <w:rsid w:val="76CB7891"/>
    <w:rsid w:val="76E75929"/>
    <w:rsid w:val="76E77774"/>
    <w:rsid w:val="773526DE"/>
    <w:rsid w:val="775545EE"/>
    <w:rsid w:val="775E5C88"/>
    <w:rsid w:val="77752FD1"/>
    <w:rsid w:val="77B70EF4"/>
    <w:rsid w:val="79132AA2"/>
    <w:rsid w:val="794E7636"/>
    <w:rsid w:val="796E4346"/>
    <w:rsid w:val="79780A9A"/>
    <w:rsid w:val="79AE4579"/>
    <w:rsid w:val="79B643EB"/>
    <w:rsid w:val="7A2025CB"/>
    <w:rsid w:val="7A884037"/>
    <w:rsid w:val="7B7E6F57"/>
    <w:rsid w:val="7CD52A5E"/>
    <w:rsid w:val="7D5B41D7"/>
    <w:rsid w:val="7F480B71"/>
    <w:rsid w:val="7FA25E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widowControl/>
      <w:numPr>
        <w:ilvl w:val="0"/>
        <w:numId w:val="1"/>
      </w:numPr>
      <w:spacing w:before="240" w:after="240" w:line="360" w:lineRule="auto"/>
      <w:outlineLvl w:val="0"/>
    </w:pPr>
    <w:rPr>
      <w:rFonts w:ascii="仿宋_GB2312" w:hAnsi="仿宋_GB2312" w:eastAsia="黑体"/>
      <w:b/>
      <w:bCs/>
      <w:kern w:val="44"/>
      <w:sz w:val="32"/>
      <w:szCs w:val="28"/>
    </w:rPr>
  </w:style>
  <w:style w:type="paragraph" w:styleId="3">
    <w:name w:val="heading 2"/>
    <w:basedOn w:val="1"/>
    <w:next w:val="4"/>
    <w:qFormat/>
    <w:uiPriority w:val="0"/>
    <w:pPr>
      <w:keepNext/>
      <w:keepLines/>
      <w:numPr>
        <w:ilvl w:val="1"/>
        <w:numId w:val="1"/>
      </w:numPr>
      <w:tabs>
        <w:tab w:val="left" w:pos="425"/>
      </w:tabs>
      <w:spacing w:line="360" w:lineRule="auto"/>
      <w:jc w:val="left"/>
      <w:outlineLvl w:val="1"/>
    </w:pPr>
    <w:rPr>
      <w:rFonts w:ascii="仿宋_GB2312" w:hAnsi="仿宋_GB2312" w:eastAsia="仿宋_GB2312"/>
      <w:b/>
      <w:bCs/>
      <w:sz w:val="32"/>
      <w:szCs w:val="28"/>
    </w:rPr>
  </w:style>
  <w:style w:type="paragraph" w:styleId="5">
    <w:name w:val="heading 3"/>
    <w:basedOn w:val="1"/>
    <w:next w:val="1"/>
    <w:link w:val="36"/>
    <w:qFormat/>
    <w:uiPriority w:val="0"/>
    <w:pPr>
      <w:keepNext/>
      <w:keepLines/>
      <w:numPr>
        <w:ilvl w:val="2"/>
        <w:numId w:val="1"/>
      </w:numPr>
      <w:tabs>
        <w:tab w:val="left" w:pos="425"/>
      </w:tabs>
      <w:spacing w:line="415" w:lineRule="auto"/>
      <w:outlineLvl w:val="2"/>
    </w:pPr>
    <w:rPr>
      <w:rFonts w:ascii="仿宋" w:hAnsi="仿宋" w:eastAsia="仿宋_GB2312"/>
      <w:b/>
      <w:bCs/>
      <w:sz w:val="32"/>
      <w:szCs w:val="32"/>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customStyle="1" w:styleId="4">
    <w:name w:val="Normal Indent1"/>
    <w:basedOn w:val="1"/>
    <w:qFormat/>
    <w:uiPriority w:val="0"/>
    <w:pPr>
      <w:ind w:firstLine="200" w:firstLineChars="200"/>
    </w:pPr>
    <w:rPr>
      <w:sz w:val="24"/>
    </w:rPr>
  </w:style>
  <w:style w:type="paragraph" w:styleId="6">
    <w:name w:val="Normal Indent"/>
    <w:basedOn w:val="1"/>
    <w:qFormat/>
    <w:uiPriority w:val="0"/>
    <w:pPr>
      <w:spacing w:line="300" w:lineRule="auto"/>
      <w:ind w:firstLine="420"/>
    </w:pPr>
    <w:rPr>
      <w:sz w:val="24"/>
      <w:szCs w:val="20"/>
    </w:rPr>
  </w:style>
  <w:style w:type="paragraph" w:styleId="7">
    <w:name w:val="annotation text"/>
    <w:basedOn w:val="1"/>
    <w:link w:val="42"/>
    <w:qFormat/>
    <w:uiPriority w:val="0"/>
    <w:pPr>
      <w:jc w:val="left"/>
    </w:pPr>
  </w:style>
  <w:style w:type="paragraph" w:styleId="8">
    <w:name w:val="Body Text"/>
    <w:basedOn w:val="9"/>
    <w:next w:val="9"/>
    <w:link w:val="46"/>
    <w:qFormat/>
    <w:uiPriority w:val="99"/>
    <w:pPr>
      <w:spacing w:after="120"/>
      <w:ind w:firstLine="200" w:firstLineChars="200"/>
    </w:pPr>
    <w:rPr>
      <w:sz w:val="24"/>
    </w:rPr>
  </w:style>
  <w:style w:type="paragraph" w:styleId="9">
    <w:name w:val="Title"/>
    <w:basedOn w:val="1"/>
    <w:next w:val="1"/>
    <w:qFormat/>
    <w:uiPriority w:val="0"/>
    <w:pPr>
      <w:spacing w:before="240" w:after="60"/>
      <w:jc w:val="center"/>
      <w:outlineLvl w:val="0"/>
    </w:pPr>
    <w:rPr>
      <w:rFonts w:ascii="Arial" w:hAnsi="Arial"/>
      <w:b/>
      <w:sz w:val="32"/>
    </w:rPr>
  </w:style>
  <w:style w:type="paragraph" w:styleId="10">
    <w:name w:val="Body Text Indent"/>
    <w:basedOn w:val="1"/>
    <w:next w:val="11"/>
    <w:unhideWhenUsed/>
    <w:qFormat/>
    <w:uiPriority w:val="99"/>
    <w:pPr>
      <w:spacing w:after="120"/>
      <w:ind w:left="420" w:leftChars="200"/>
    </w:pPr>
    <w:rPr>
      <w:rFonts w:ascii="Times New Roman" w:hAnsi="Times New Roman"/>
      <w:szCs w:val="24"/>
    </w:rPr>
  </w:style>
  <w:style w:type="paragraph" w:styleId="11">
    <w:name w:val="envelope return"/>
    <w:basedOn w:val="1"/>
    <w:qFormat/>
    <w:uiPriority w:val="99"/>
    <w:pPr>
      <w:snapToGrid w:val="0"/>
    </w:pPr>
    <w:rPr>
      <w:rFonts w:ascii="Arial" w:hAnsi="Arial" w:cs="Arial"/>
    </w:rPr>
  </w:style>
  <w:style w:type="paragraph" w:styleId="12">
    <w:name w:val="List Continue"/>
    <w:basedOn w:val="1"/>
    <w:qFormat/>
    <w:uiPriority w:val="0"/>
    <w:pPr>
      <w:spacing w:after="120"/>
      <w:ind w:left="420" w:leftChars="200"/>
    </w:pPr>
  </w:style>
  <w:style w:type="paragraph" w:styleId="13">
    <w:name w:val="Plain Text"/>
    <w:basedOn w:val="1"/>
    <w:link w:val="45"/>
    <w:qFormat/>
    <w:uiPriority w:val="0"/>
    <w:pPr>
      <w:ind w:firstLine="200" w:firstLineChars="200"/>
    </w:pPr>
    <w:rPr>
      <w:rFonts w:ascii="宋体" w:hAnsi="Courier New"/>
      <w:sz w:val="24"/>
    </w:rPr>
  </w:style>
  <w:style w:type="paragraph" w:styleId="14">
    <w:name w:val="Balloon Text"/>
    <w:basedOn w:val="1"/>
    <w:link w:val="44"/>
    <w:qFormat/>
    <w:uiPriority w:val="0"/>
    <w:rPr>
      <w:sz w:val="18"/>
      <w:szCs w:val="18"/>
    </w:rPr>
  </w:style>
  <w:style w:type="paragraph" w:styleId="15">
    <w:name w:val="footer"/>
    <w:basedOn w:val="1"/>
    <w:qFormat/>
    <w:uiPriority w:val="99"/>
    <w:pPr>
      <w:tabs>
        <w:tab w:val="center" w:pos="4153"/>
        <w:tab w:val="right" w:pos="8306"/>
      </w:tabs>
      <w:snapToGrid w:val="0"/>
      <w:jc w:val="left"/>
    </w:pPr>
    <w:rPr>
      <w:sz w:val="18"/>
      <w:szCs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style>
  <w:style w:type="paragraph" w:styleId="18">
    <w:name w:val="toc 2"/>
    <w:basedOn w:val="1"/>
    <w:next w:val="1"/>
    <w:qFormat/>
    <w:uiPriority w:val="39"/>
    <w:pPr>
      <w:ind w:left="420" w:leftChars="200"/>
    </w:p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20">
    <w:name w:val="annotation subject"/>
    <w:basedOn w:val="7"/>
    <w:next w:val="7"/>
    <w:link w:val="43"/>
    <w:qFormat/>
    <w:uiPriority w:val="0"/>
    <w:rPr>
      <w:b/>
      <w:bCs/>
    </w:rPr>
  </w:style>
  <w:style w:type="paragraph" w:styleId="21">
    <w:name w:val="Body Text First Indent"/>
    <w:basedOn w:val="8"/>
    <w:qFormat/>
    <w:uiPriority w:val="0"/>
    <w:pPr>
      <w:adjustRightInd w:val="0"/>
      <w:spacing w:line="312" w:lineRule="atLeast"/>
      <w:ind w:firstLine="420" w:firstLineChars="100"/>
      <w:textAlignment w:val="baseline"/>
    </w:pPr>
    <w:rPr>
      <w:kern w:val="0"/>
      <w:sz w:val="21"/>
    </w:rPr>
  </w:style>
  <w:style w:type="table" w:styleId="23">
    <w:name w:val="Table Grid"/>
    <w:basedOn w:val="22"/>
    <w:qFormat/>
    <w:uiPriority w:val="0"/>
    <w:pPr>
      <w:widowControl w:val="0"/>
      <w:adjustRightInd w:val="0"/>
      <w:spacing w:line="312" w:lineRule="atLeast"/>
      <w:jc w:val="both"/>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basedOn w:val="24"/>
    <w:qFormat/>
    <w:uiPriority w:val="0"/>
  </w:style>
  <w:style w:type="character" w:styleId="26">
    <w:name w:val="FollowedHyperlink"/>
    <w:basedOn w:val="24"/>
    <w:unhideWhenUsed/>
    <w:qFormat/>
    <w:uiPriority w:val="99"/>
    <w:rPr>
      <w:color w:val="954F72"/>
      <w:u w:val="single"/>
    </w:rPr>
  </w:style>
  <w:style w:type="character" w:styleId="27">
    <w:name w:val="Hyperlink"/>
    <w:basedOn w:val="24"/>
    <w:unhideWhenUsed/>
    <w:qFormat/>
    <w:uiPriority w:val="99"/>
    <w:rPr>
      <w:color w:val="0563C1" w:themeColor="hyperlink"/>
      <w:u w:val="single"/>
      <w14:textFill>
        <w14:solidFill>
          <w14:schemeClr w14:val="hlink"/>
        </w14:solidFill>
      </w14:textFill>
    </w:rPr>
  </w:style>
  <w:style w:type="character" w:styleId="28">
    <w:name w:val="annotation reference"/>
    <w:basedOn w:val="24"/>
    <w:qFormat/>
    <w:uiPriority w:val="0"/>
    <w:rPr>
      <w:sz w:val="21"/>
      <w:szCs w:val="21"/>
    </w:rPr>
  </w:style>
  <w:style w:type="paragraph" w:customStyle="1" w:styleId="29">
    <w:name w:val="目录 21"/>
    <w:basedOn w:val="1"/>
    <w:next w:val="1"/>
    <w:qFormat/>
    <w:uiPriority w:val="0"/>
    <w:pPr>
      <w:spacing w:before="100" w:beforeAutospacing="1" w:after="100" w:afterAutospacing="1"/>
      <w:ind w:left="420" w:leftChars="200"/>
    </w:pPr>
  </w:style>
  <w:style w:type="paragraph" w:customStyle="1" w:styleId="30">
    <w:name w:val="目录 11"/>
    <w:basedOn w:val="1"/>
    <w:next w:val="1"/>
    <w:qFormat/>
    <w:uiPriority w:val="39"/>
    <w:pPr>
      <w:spacing w:before="120" w:after="120" w:line="60" w:lineRule="auto"/>
      <w:jc w:val="left"/>
    </w:pPr>
    <w:rPr>
      <w:b/>
      <w:bCs/>
      <w:caps/>
      <w:sz w:val="20"/>
      <w:szCs w:val="20"/>
    </w:rPr>
  </w:style>
  <w:style w:type="paragraph" w:customStyle="1" w:styleId="31">
    <w:name w:val="正文文本缩进1"/>
    <w:basedOn w:val="1"/>
    <w:qFormat/>
    <w:uiPriority w:val="0"/>
    <w:pPr>
      <w:spacing w:line="300" w:lineRule="auto"/>
      <w:ind w:firstLine="480"/>
    </w:pPr>
    <w:rPr>
      <w:rFonts w:ascii="宋体" w:hAnsi="宋体"/>
      <w:kern w:val="0"/>
      <w:sz w:val="24"/>
    </w:rPr>
  </w:style>
  <w:style w:type="paragraph" w:customStyle="1" w:styleId="32">
    <w:name w:val="GEDI正文样式"/>
    <w:basedOn w:val="1"/>
    <w:qFormat/>
    <w:uiPriority w:val="0"/>
    <w:pPr>
      <w:adjustRightInd w:val="0"/>
      <w:snapToGrid w:val="0"/>
      <w:spacing w:line="480" w:lineRule="atLeast"/>
      <w:ind w:firstLine="480" w:firstLineChars="200"/>
    </w:pPr>
    <w:rPr>
      <w:sz w:val="24"/>
    </w:rPr>
  </w:style>
  <w:style w:type="paragraph" w:customStyle="1" w:styleId="33">
    <w:name w:val="GEDI正文(无编号)"/>
    <w:basedOn w:val="1"/>
    <w:qFormat/>
    <w:uiPriority w:val="0"/>
    <w:pPr>
      <w:adjustRightInd w:val="0"/>
      <w:snapToGrid w:val="0"/>
      <w:ind w:left="420"/>
    </w:pPr>
    <w:rPr>
      <w:rFonts w:hAnsi="宋体"/>
      <w:szCs w:val="20"/>
    </w:rPr>
  </w:style>
  <w:style w:type="paragraph" w:styleId="34">
    <w:name w:val="List Paragraph"/>
    <w:basedOn w:val="1"/>
    <w:next w:val="12"/>
    <w:link w:val="37"/>
    <w:qFormat/>
    <w:uiPriority w:val="34"/>
    <w:pPr>
      <w:ind w:firstLine="420" w:firstLineChars="200"/>
    </w:pPr>
  </w:style>
  <w:style w:type="paragraph" w:customStyle="1" w:styleId="35">
    <w:name w:val="列出段落1"/>
    <w:basedOn w:val="1"/>
    <w:qFormat/>
    <w:uiPriority w:val="34"/>
    <w:pPr>
      <w:widowControl/>
      <w:spacing w:line="360" w:lineRule="auto"/>
      <w:ind w:firstLine="420" w:firstLineChars="200"/>
    </w:pPr>
    <w:rPr>
      <w:rFonts w:ascii="Calibri" w:hAnsi="Calibri"/>
      <w:kern w:val="0"/>
      <w:sz w:val="24"/>
    </w:rPr>
  </w:style>
  <w:style w:type="character" w:customStyle="1" w:styleId="36">
    <w:name w:val="标题 3 字符"/>
    <w:basedOn w:val="24"/>
    <w:link w:val="5"/>
    <w:qFormat/>
    <w:uiPriority w:val="0"/>
    <w:rPr>
      <w:rFonts w:ascii="仿宋" w:hAnsi="仿宋" w:eastAsia="仿宋_GB2312"/>
      <w:b/>
      <w:bCs/>
      <w:kern w:val="2"/>
      <w:sz w:val="32"/>
      <w:szCs w:val="32"/>
    </w:rPr>
  </w:style>
  <w:style w:type="character" w:customStyle="1" w:styleId="37">
    <w:name w:val="列表段落 字符"/>
    <w:link w:val="34"/>
    <w:qFormat/>
    <w:uiPriority w:val="34"/>
    <w:rPr>
      <w:kern w:val="2"/>
      <w:sz w:val="21"/>
      <w:szCs w:val="24"/>
    </w:rPr>
  </w:style>
  <w:style w:type="paragraph" w:customStyle="1" w:styleId="38">
    <w:name w:val="列表符号项目级别1"/>
    <w:basedOn w:val="1"/>
    <w:link w:val="39"/>
    <w:qFormat/>
    <w:uiPriority w:val="0"/>
    <w:pPr>
      <w:widowControl/>
      <w:numPr>
        <w:ilvl w:val="0"/>
        <w:numId w:val="2"/>
      </w:numPr>
      <w:spacing w:line="360" w:lineRule="auto"/>
    </w:pPr>
    <w:rPr>
      <w:rFonts w:ascii="Arial" w:hAnsi="Arial"/>
      <w:kern w:val="0"/>
      <w:sz w:val="24"/>
    </w:rPr>
  </w:style>
  <w:style w:type="character" w:customStyle="1" w:styleId="39">
    <w:name w:val="列表符号项目级别1 Char"/>
    <w:basedOn w:val="24"/>
    <w:link w:val="38"/>
    <w:qFormat/>
    <w:uiPriority w:val="0"/>
    <w:rPr>
      <w:rFonts w:ascii="Arial" w:hAnsi="Arial"/>
      <w:sz w:val="24"/>
      <w:szCs w:val="24"/>
    </w:rPr>
  </w:style>
  <w:style w:type="paragraph" w:customStyle="1" w:styleId="40">
    <w:name w:val="样式 正文缩进 + 首行缩进:  2 字符"/>
    <w:basedOn w:val="1"/>
    <w:link w:val="41"/>
    <w:qFormat/>
    <w:uiPriority w:val="0"/>
    <w:pPr>
      <w:widowControl/>
      <w:spacing w:line="360" w:lineRule="auto"/>
      <w:ind w:firstLine="200" w:firstLineChars="200"/>
    </w:pPr>
    <w:rPr>
      <w:rFonts w:ascii="Arial" w:hAnsi="Arial" w:cs="宋体"/>
      <w:kern w:val="0"/>
      <w:sz w:val="24"/>
      <w:szCs w:val="20"/>
    </w:rPr>
  </w:style>
  <w:style w:type="character" w:customStyle="1" w:styleId="41">
    <w:name w:val="样式 正文缩进 + 首行缩进:  2 字符 Char"/>
    <w:basedOn w:val="24"/>
    <w:link w:val="40"/>
    <w:qFormat/>
    <w:uiPriority w:val="0"/>
    <w:rPr>
      <w:rFonts w:ascii="Arial" w:hAnsi="Arial" w:cs="宋体"/>
      <w:sz w:val="24"/>
    </w:rPr>
  </w:style>
  <w:style w:type="character" w:customStyle="1" w:styleId="42">
    <w:name w:val="批注文字 字符"/>
    <w:basedOn w:val="24"/>
    <w:link w:val="7"/>
    <w:qFormat/>
    <w:uiPriority w:val="0"/>
    <w:rPr>
      <w:kern w:val="2"/>
      <w:sz w:val="21"/>
      <w:szCs w:val="24"/>
    </w:rPr>
  </w:style>
  <w:style w:type="character" w:customStyle="1" w:styleId="43">
    <w:name w:val="批注主题 字符"/>
    <w:basedOn w:val="42"/>
    <w:link w:val="20"/>
    <w:qFormat/>
    <w:uiPriority w:val="0"/>
    <w:rPr>
      <w:b/>
      <w:bCs/>
      <w:kern w:val="2"/>
      <w:sz w:val="21"/>
      <w:szCs w:val="24"/>
    </w:rPr>
  </w:style>
  <w:style w:type="character" w:customStyle="1" w:styleId="44">
    <w:name w:val="批注框文本 字符"/>
    <w:basedOn w:val="24"/>
    <w:link w:val="14"/>
    <w:qFormat/>
    <w:uiPriority w:val="0"/>
    <w:rPr>
      <w:kern w:val="2"/>
      <w:sz w:val="18"/>
      <w:szCs w:val="18"/>
    </w:rPr>
  </w:style>
  <w:style w:type="character" w:customStyle="1" w:styleId="45">
    <w:name w:val="纯文本 字符"/>
    <w:basedOn w:val="24"/>
    <w:link w:val="13"/>
    <w:qFormat/>
    <w:uiPriority w:val="0"/>
    <w:rPr>
      <w:rFonts w:ascii="宋体" w:hAnsi="Courier New"/>
      <w:kern w:val="2"/>
      <w:sz w:val="24"/>
      <w:szCs w:val="24"/>
    </w:rPr>
  </w:style>
  <w:style w:type="character" w:customStyle="1" w:styleId="46">
    <w:name w:val="正文文本 字符"/>
    <w:basedOn w:val="24"/>
    <w:link w:val="8"/>
    <w:qFormat/>
    <w:uiPriority w:val="99"/>
    <w:rPr>
      <w:kern w:val="2"/>
      <w:sz w:val="24"/>
      <w:szCs w:val="24"/>
    </w:rPr>
  </w:style>
  <w:style w:type="paragraph" w:customStyle="1" w:styleId="47">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48">
    <w:name w:val="font5"/>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49">
    <w:name w:val="font6"/>
    <w:basedOn w:val="1"/>
    <w:qFormat/>
    <w:uiPriority w:val="0"/>
    <w:pPr>
      <w:widowControl/>
      <w:spacing w:before="100" w:beforeAutospacing="1" w:after="100" w:afterAutospacing="1"/>
      <w:jc w:val="left"/>
    </w:pPr>
    <w:rPr>
      <w:rFonts w:ascii="仿宋" w:hAnsi="仿宋" w:eastAsia="仿宋" w:cs="宋体"/>
      <w:color w:val="000000"/>
      <w:kern w:val="0"/>
      <w:szCs w:val="21"/>
    </w:rPr>
  </w:style>
  <w:style w:type="paragraph" w:customStyle="1" w:styleId="50">
    <w:name w:val="xl65"/>
    <w:basedOn w:val="1"/>
    <w:qFormat/>
    <w:uiPriority w:val="0"/>
    <w:pPr>
      <w:widowControl/>
      <w:spacing w:before="100" w:beforeAutospacing="1" w:after="100" w:afterAutospacing="1"/>
      <w:jc w:val="center"/>
    </w:pPr>
    <w:rPr>
      <w:rFonts w:ascii="宋体" w:hAnsi="宋体" w:cs="宋体"/>
      <w:kern w:val="0"/>
      <w:sz w:val="24"/>
    </w:rPr>
  </w:style>
  <w:style w:type="paragraph" w:customStyle="1" w:styleId="51">
    <w:name w:val="xl66"/>
    <w:basedOn w:val="1"/>
    <w:qFormat/>
    <w:uiPriority w:val="0"/>
    <w:pPr>
      <w:widowControl/>
      <w:spacing w:before="100" w:beforeAutospacing="1" w:after="100" w:afterAutospacing="1"/>
      <w:jc w:val="center"/>
    </w:pPr>
    <w:rPr>
      <w:rFonts w:ascii="宋体" w:hAnsi="宋体" w:cs="宋体"/>
      <w:kern w:val="0"/>
      <w:sz w:val="24"/>
    </w:rPr>
  </w:style>
  <w:style w:type="paragraph" w:customStyle="1" w:styleId="52">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rPr>
  </w:style>
  <w:style w:type="paragraph" w:customStyle="1" w:styleId="53">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54">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55">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rPr>
  </w:style>
  <w:style w:type="paragraph" w:customStyle="1" w:styleId="56">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24"/>
    </w:rPr>
  </w:style>
  <w:style w:type="paragraph" w:customStyle="1" w:styleId="57">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24"/>
    </w:rPr>
  </w:style>
  <w:style w:type="paragraph" w:customStyle="1" w:styleId="58">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仿宋" w:hAnsi="仿宋" w:eastAsia="仿宋" w:cs="宋体"/>
      <w:kern w:val="0"/>
      <w:sz w:val="24"/>
    </w:rPr>
  </w:style>
  <w:style w:type="paragraph" w:customStyle="1" w:styleId="59">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24"/>
    </w:rPr>
  </w:style>
  <w:style w:type="paragraph" w:customStyle="1" w:styleId="60">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仿宋" w:hAnsi="仿宋" w:eastAsia="仿宋" w:cs="宋体"/>
      <w:kern w:val="0"/>
      <w:sz w:val="24"/>
    </w:rPr>
  </w:style>
  <w:style w:type="paragraph" w:customStyle="1" w:styleId="61">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24"/>
    </w:rPr>
  </w:style>
  <w:style w:type="paragraph" w:customStyle="1" w:styleId="62">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仿宋" w:hAnsi="仿宋" w:eastAsia="仿宋" w:cs="宋体"/>
      <w:kern w:val="0"/>
      <w:sz w:val="24"/>
    </w:rPr>
  </w:style>
  <w:style w:type="paragraph" w:customStyle="1" w:styleId="63">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rPr>
  </w:style>
  <w:style w:type="paragraph" w:customStyle="1" w:styleId="64">
    <w:name w:val="xl79"/>
    <w:basedOn w:val="1"/>
    <w:qFormat/>
    <w:uiPriority w:val="0"/>
    <w:pPr>
      <w:widowControl/>
      <w:pBdr>
        <w:top w:val="single" w:color="auto" w:sz="4" w:space="0"/>
        <w:bottom w:val="single" w:color="auto" w:sz="4" w:space="0"/>
      </w:pBdr>
      <w:spacing w:before="100" w:beforeAutospacing="1" w:after="100" w:afterAutospacing="1"/>
      <w:jc w:val="center"/>
    </w:pPr>
    <w:rPr>
      <w:rFonts w:ascii="仿宋" w:hAnsi="仿宋" w:eastAsia="仿宋" w:cs="宋体"/>
      <w:kern w:val="0"/>
      <w:sz w:val="24"/>
    </w:rPr>
  </w:style>
  <w:style w:type="paragraph" w:customStyle="1" w:styleId="65">
    <w:name w:val="xl80"/>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rPr>
  </w:style>
  <w:style w:type="paragraph" w:customStyle="1" w:styleId="66">
    <w:name w:val="xl8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pPr>
    <w:rPr>
      <w:rFonts w:ascii="仿宋" w:hAnsi="仿宋" w:eastAsia="仿宋" w:cs="宋体"/>
      <w:kern w:val="0"/>
      <w:sz w:val="24"/>
    </w:rPr>
  </w:style>
  <w:style w:type="paragraph" w:customStyle="1" w:styleId="67">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rPr>
  </w:style>
  <w:style w:type="paragraph" w:customStyle="1" w:styleId="68">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24"/>
    </w:rPr>
  </w:style>
  <w:style w:type="paragraph" w:customStyle="1" w:styleId="69">
    <w:name w:val="xl84"/>
    <w:basedOn w:val="1"/>
    <w:qFormat/>
    <w:uiPriority w:val="0"/>
    <w:pPr>
      <w:widowControl/>
      <w:spacing w:before="100" w:beforeAutospacing="1" w:after="100" w:afterAutospacing="1"/>
      <w:jc w:val="left"/>
    </w:pPr>
    <w:rPr>
      <w:rFonts w:ascii="仿宋" w:hAnsi="仿宋" w:eastAsia="仿宋" w:cs="宋体"/>
      <w:kern w:val="0"/>
      <w:sz w:val="24"/>
    </w:rPr>
  </w:style>
  <w:style w:type="paragraph" w:customStyle="1" w:styleId="70">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bottom"/>
    </w:pPr>
    <w:rPr>
      <w:rFonts w:ascii="仿宋" w:hAnsi="仿宋" w:eastAsia="仿宋" w:cs="宋体"/>
      <w:kern w:val="0"/>
      <w:sz w:val="24"/>
    </w:rPr>
  </w:style>
  <w:style w:type="paragraph" w:customStyle="1" w:styleId="71">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24"/>
    </w:rPr>
  </w:style>
  <w:style w:type="paragraph" w:customStyle="1" w:styleId="72">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bottom"/>
    </w:pPr>
    <w:rPr>
      <w:rFonts w:ascii="仿宋" w:hAnsi="仿宋" w:eastAsia="仿宋" w:cs="宋体"/>
      <w:kern w:val="0"/>
      <w:sz w:val="24"/>
    </w:rPr>
  </w:style>
  <w:style w:type="paragraph" w:customStyle="1" w:styleId="73">
    <w:name w:val="xl88"/>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74">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32"/>
      <w:szCs w:val="32"/>
    </w:rPr>
  </w:style>
  <w:style w:type="paragraph" w:customStyle="1" w:styleId="75">
    <w:name w:val="xl90"/>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76">
    <w:name w:val="xl91"/>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77">
    <w:name w:val="xl92"/>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78">
    <w:name w:val="xl93"/>
    <w:basedOn w:val="1"/>
    <w:qFormat/>
    <w:uiPriority w:val="0"/>
    <w:pPr>
      <w:widowControl/>
      <w:pBdr>
        <w:left w:val="single" w:color="auto" w:sz="4" w:space="0"/>
        <w:bottom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79">
    <w:name w:val="xl94"/>
    <w:basedOn w:val="1"/>
    <w:qFormat/>
    <w:uiPriority w:val="0"/>
    <w:pPr>
      <w:widowControl/>
      <w:pBdr>
        <w:bottom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80">
    <w:name w:val="标题 11"/>
    <w:next w:val="81"/>
    <w:qFormat/>
    <w:uiPriority w:val="0"/>
    <w:pPr>
      <w:keepNext/>
      <w:framePr w:wrap="around" w:vAnchor="margin" w:hAnchor="text" w:y="1"/>
      <w:tabs>
        <w:tab w:val="left" w:pos="432"/>
      </w:tabs>
      <w:spacing w:line="360" w:lineRule="auto"/>
      <w:outlineLvl w:val="0"/>
    </w:pPr>
    <w:rPr>
      <w:rFonts w:ascii="SimSong Bold" w:hAnsi="SimSong Bold" w:eastAsia="SimSong Bold" w:cs="SimSong Bold"/>
      <w:color w:val="000000"/>
      <w:sz w:val="32"/>
      <w:szCs w:val="32"/>
      <w:u w:color="000000"/>
      <w:lang w:val="en-US" w:eastAsia="zh-CN" w:bidi="ar-SA"/>
    </w:rPr>
  </w:style>
  <w:style w:type="paragraph" w:customStyle="1" w:styleId="81">
    <w:name w:val="正文1"/>
    <w:next w:val="82"/>
    <w:qFormat/>
    <w:uiPriority w:val="0"/>
    <w:pPr>
      <w:framePr w:wrap="around" w:vAnchor="margin" w:hAnchor="text" w:y="1"/>
      <w:spacing w:line="360" w:lineRule="auto"/>
    </w:pPr>
    <w:rPr>
      <w:rFonts w:ascii="Calibri" w:hAnsi="Calibri" w:eastAsia="Arial Unicode MS" w:cs="Arial Unicode MS"/>
      <w:color w:val="000000"/>
      <w:sz w:val="24"/>
      <w:szCs w:val="24"/>
      <w:u w:color="000000"/>
      <w:lang w:val="en-US" w:eastAsia="zh-CN" w:bidi="ar-SA"/>
    </w:rPr>
  </w:style>
  <w:style w:type="paragraph" w:customStyle="1" w:styleId="82">
    <w:name w:val="正文文本1"/>
    <w:qFormat/>
    <w:uiPriority w:val="0"/>
    <w:pPr>
      <w:framePr w:wrap="around" w:vAnchor="margin" w:hAnchor="text" w:y="1"/>
      <w:spacing w:after="120" w:line="360" w:lineRule="auto"/>
    </w:pPr>
    <w:rPr>
      <w:rFonts w:ascii="Calibri" w:hAnsi="Calibri" w:eastAsia="Arial Unicode MS" w:cs="Arial Unicode MS"/>
      <w:color w:val="000000"/>
      <w:sz w:val="24"/>
      <w:szCs w:val="24"/>
      <w:u w:color="000000"/>
      <w:lang w:val="en-US" w:eastAsia="zh-CN" w:bidi="ar-SA"/>
    </w:rPr>
  </w:style>
  <w:style w:type="paragraph" w:customStyle="1" w:styleId="83">
    <w:name w:val="正文缩进1"/>
    <w:qFormat/>
    <w:uiPriority w:val="0"/>
    <w:pPr>
      <w:framePr w:wrap="around" w:vAnchor="margin" w:hAnchor="text" w:y="1"/>
      <w:spacing w:line="360" w:lineRule="auto"/>
      <w:ind w:firstLine="420"/>
    </w:pPr>
    <w:rPr>
      <w:rFonts w:ascii="Calibri" w:hAnsi="Calibri" w:eastAsia="Calibri" w:cs="Calibri"/>
      <w:color w:val="000000"/>
      <w:sz w:val="24"/>
      <w:szCs w:val="24"/>
      <w:u w:color="000000"/>
      <w:lang w:val="en-US" w:eastAsia="zh-CN" w:bidi="ar-SA"/>
    </w:rPr>
  </w:style>
  <w:style w:type="character" w:customStyle="1" w:styleId="84">
    <w:name w:val="font21"/>
    <w:basedOn w:val="24"/>
    <w:qFormat/>
    <w:uiPriority w:val="0"/>
    <w:rPr>
      <w:rFonts w:hint="default" w:ascii="Times New Roman" w:hAnsi="Times New Roman" w:cs="Times New Roman"/>
      <w:color w:val="000000"/>
      <w:sz w:val="24"/>
      <w:szCs w:val="24"/>
      <w:u w:val="none"/>
    </w:rPr>
  </w:style>
  <w:style w:type="character" w:customStyle="1" w:styleId="85">
    <w:name w:val="font31"/>
    <w:basedOn w:val="24"/>
    <w:qFormat/>
    <w:uiPriority w:val="0"/>
    <w:rPr>
      <w:rFonts w:hint="eastAsia" w:ascii="宋体" w:hAnsi="宋体" w:eastAsia="宋体" w:cs="宋体"/>
      <w:color w:val="000000"/>
      <w:sz w:val="24"/>
      <w:szCs w:val="24"/>
      <w:u w:val="none"/>
    </w:rPr>
  </w:style>
  <w:style w:type="paragraph" w:customStyle="1" w:styleId="86">
    <w:name w:val="标题 21"/>
    <w:next w:val="81"/>
    <w:qFormat/>
    <w:uiPriority w:val="0"/>
    <w:pPr>
      <w:keepNext/>
      <w:keepLines/>
      <w:framePr w:wrap="around" w:vAnchor="margin" w:hAnchor="text" w:y="1"/>
      <w:spacing w:line="360" w:lineRule="auto"/>
      <w:ind w:left="155" w:hanging="155"/>
      <w:outlineLvl w:val="1"/>
    </w:pPr>
    <w:rPr>
      <w:rFonts w:ascii="SimSong Bold" w:hAnsi="SimSong Bold" w:eastAsia="SimSong Bold" w:cs="SimSong Bold"/>
      <w:color w:val="000000"/>
      <w:sz w:val="30"/>
      <w:szCs w:val="30"/>
      <w:u w:color="000000"/>
      <w:lang w:val="en-US" w:eastAsia="zh-CN" w:bidi="ar-SA"/>
    </w:rPr>
  </w:style>
  <w:style w:type="paragraph" w:customStyle="1" w:styleId="87">
    <w:name w:val="内容正文"/>
    <w:qFormat/>
    <w:uiPriority w:val="0"/>
    <w:pPr>
      <w:framePr w:wrap="around" w:vAnchor="margin" w:hAnchor="text" w:y="1"/>
      <w:widowControl w:val="0"/>
      <w:spacing w:line="360" w:lineRule="auto"/>
      <w:ind w:firstLine="420"/>
      <w:jc w:val="both"/>
    </w:pPr>
    <w:rPr>
      <w:rFonts w:hint="eastAsia" w:ascii="Arial Unicode MS" w:hAnsi="Arial Unicode MS" w:eastAsia="Arial" w:cs="Arial Unicode MS"/>
      <w:color w:val="000000"/>
      <w:kern w:val="2"/>
      <w:sz w:val="21"/>
      <w:szCs w:val="21"/>
      <w:u w:color="000000"/>
      <w:lang w:val="zh-TW" w:eastAsia="zh-TW" w:bidi="ar-SA"/>
    </w:rPr>
  </w:style>
  <w:style w:type="paragraph" w:customStyle="1" w:styleId="88">
    <w:name w:val="无间隔1"/>
    <w:qFormat/>
    <w:uiPriority w:val="1"/>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3150</Words>
  <Characters>3418</Characters>
  <Lines>86</Lines>
  <Paragraphs>24</Paragraphs>
  <TotalTime>1</TotalTime>
  <ScaleCrop>false</ScaleCrop>
  <LinksUpToDate>false</LinksUpToDate>
  <CharactersWithSpaces>3487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2023-03-07T21:48:00Z</dcterms:created>
  <dc:creator>SIT-JSZC</dc:creator>
  <cp:lastModifiedBy>梅冬芳</cp:lastModifiedBy>
  <dcterms:modified xsi:type="dcterms:W3CDTF">2026-06-04T02:47:11Z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ABE59D428ADA474CB503FC16BCA254CD_13</vt:lpwstr>
  </property>
  <property fmtid="{D5CDD505-2E9C-101B-9397-08002B2CF9AE}" pid="4" name="KSOTemplateDocerSaveRecord">
    <vt:lpwstr>eyJoZGlkIjoiNTc1NDNlODI4YWQ3NjQxODdlNWRjNzQ5ZjQ0Njc2ZDYiLCJ1c2VySWQiOiI0NTI5OTgzNjcifQ==</vt:lpwstr>
  </property>
</Properties>
</file>