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Toc246216323"/>
      <w:r>
        <w:drawing>
          <wp:anchor distT="0" distB="0" distL="114300" distR="114300" simplePos="0" relativeHeight="251659264" behindDoc="1" locked="0" layoutInCell="1" allowOverlap="1">
            <wp:simplePos x="0" y="0"/>
            <wp:positionH relativeFrom="column">
              <wp:posOffset>-1257300</wp:posOffset>
            </wp:positionH>
            <wp:positionV relativeFrom="paragraph">
              <wp:posOffset>-990600</wp:posOffset>
            </wp:positionV>
            <wp:extent cx="8915400" cy="2736850"/>
            <wp:effectExtent l="0" t="0" r="0" b="6350"/>
            <wp:wrapTight wrapText="bothSides">
              <wp:wrapPolygon>
                <wp:start x="0" y="0"/>
                <wp:lineTo x="0" y="21500"/>
                <wp:lineTo x="21554" y="21500"/>
                <wp:lineTo x="21554"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9"/>
                    <a:stretch>
                      <a:fillRect/>
                    </a:stretch>
                  </pic:blipFill>
                  <pic:spPr>
                    <a:xfrm>
                      <a:off x="0" y="0"/>
                      <a:ext cx="8915400" cy="2736850"/>
                    </a:xfrm>
                    <a:prstGeom prst="rect">
                      <a:avLst/>
                    </a:prstGeom>
                    <a:noFill/>
                    <a:ln w="9525">
                      <a:noFill/>
                    </a:ln>
                  </pic:spPr>
                </pic:pic>
              </a:graphicData>
            </a:graphic>
          </wp:anchor>
        </w:drawing>
      </w:r>
    </w:p>
    <w:p>
      <w:pPr>
        <w:spacing w:before="624" w:beforeLines="200"/>
        <w:jc w:val="center"/>
        <w:rPr>
          <w:rFonts w:eastAsia="黑体"/>
          <w:b/>
          <w:sz w:val="36"/>
        </w:rPr>
      </w:pPr>
      <w:r>
        <w:rPr>
          <w:rFonts w:hint="eastAsia" w:eastAsia="黑体"/>
          <w:b/>
          <w:sz w:val="52"/>
          <w:lang w:val="en-US" w:eastAsia="zh-CN"/>
        </w:rPr>
        <w:t>在线稳控系统控制子站</w:t>
      </w:r>
      <w:r>
        <w:rPr>
          <w:rFonts w:hint="eastAsia" w:eastAsia="黑体"/>
          <w:b/>
          <w:sz w:val="52"/>
        </w:rPr>
        <w:t>技术</w:t>
      </w:r>
      <w:r>
        <w:rPr>
          <w:rFonts w:hint="eastAsia" w:eastAsia="黑体"/>
          <w:b/>
          <w:sz w:val="52"/>
          <w:lang w:eastAsia="zh-CN"/>
        </w:rPr>
        <w:t>规范书</w:t>
      </w:r>
    </w:p>
    <w:p>
      <w:pPr>
        <w:spacing w:before="624" w:beforeLines="200"/>
        <w:ind w:firstLine="2873" w:firstLineChars="795"/>
        <w:jc w:val="left"/>
        <w:rPr>
          <w:rFonts w:eastAsia="黑体"/>
          <w:b/>
          <w:sz w:val="36"/>
          <w:szCs w:val="36"/>
        </w:rPr>
      </w:pPr>
    </w:p>
    <w:p>
      <w:pPr>
        <w:spacing w:before="624" w:beforeLines="200"/>
        <w:ind w:firstLine="1771" w:firstLineChars="490"/>
        <w:jc w:val="left"/>
        <w:rPr>
          <w:rFonts w:eastAsia="黑体"/>
          <w:b/>
          <w:sz w:val="36"/>
        </w:rPr>
      </w:pPr>
    </w:p>
    <w:p>
      <w:pPr>
        <w:spacing w:before="624" w:beforeLines="200"/>
        <w:ind w:firstLine="1771" w:firstLineChars="490"/>
        <w:jc w:val="left"/>
        <w:rPr>
          <w:rFonts w:eastAsia="黑体"/>
          <w:b/>
          <w:sz w:val="36"/>
        </w:rPr>
      </w:pPr>
    </w:p>
    <w:p>
      <w:pPr>
        <w:spacing w:before="624" w:beforeLines="200"/>
        <w:ind w:firstLine="1771" w:firstLineChars="490"/>
        <w:jc w:val="left"/>
        <w:rPr>
          <w:rFonts w:eastAsia="黑体"/>
          <w:b/>
          <w:sz w:val="36"/>
        </w:rPr>
      </w:pPr>
    </w:p>
    <w:p>
      <w:pPr>
        <w:spacing w:before="468" w:beforeLines="150"/>
        <w:jc w:val="center"/>
        <w:rPr>
          <w:rFonts w:ascii="黑体" w:eastAsia="黑体"/>
          <w:b/>
          <w:spacing w:val="20"/>
          <w:w w:val="135"/>
          <w:sz w:val="30"/>
        </w:rPr>
      </w:pPr>
      <w:r>
        <w:rPr>
          <w:rFonts w:hint="eastAsia" w:ascii="黑体" w:eastAsia="黑体"/>
          <w:b/>
          <w:spacing w:val="20"/>
          <w:w w:val="135"/>
          <w:sz w:val="30"/>
        </w:rPr>
        <w:t>深圳供电局有限公司</w:t>
      </w:r>
    </w:p>
    <w:p>
      <w:pPr>
        <w:spacing w:before="468" w:beforeLines="150"/>
        <w:jc w:val="center"/>
        <w:rPr>
          <w:rFonts w:hint="eastAsia" w:ascii="黑体" w:eastAsia="黑体"/>
          <w:b/>
          <w:spacing w:val="20"/>
          <w:w w:val="135"/>
          <w:sz w:val="30"/>
        </w:rPr>
        <w:sectPr>
          <w:headerReference r:id="rId4" w:type="first"/>
          <w:headerReference r:id="rId3" w:type="default"/>
          <w:footerReference r:id="rId5" w:type="default"/>
          <w:pgSz w:w="11906" w:h="16838"/>
          <w:pgMar w:top="1440" w:right="1800" w:bottom="1440" w:left="1800" w:header="851" w:footer="992" w:gutter="0"/>
          <w:pgNumType w:fmt="upperRoman" w:start="0"/>
          <w:cols w:space="425" w:num="1"/>
          <w:titlePg/>
          <w:docGrid w:type="lines" w:linePitch="312" w:charSpace="0"/>
        </w:sectPr>
      </w:pPr>
      <w:r>
        <w:rPr>
          <w:rFonts w:hint="eastAsia" w:ascii="黑体" w:eastAsia="黑体"/>
          <w:b/>
          <w:spacing w:val="20"/>
          <w:w w:val="135"/>
          <w:sz w:val="30"/>
        </w:rPr>
        <w:t>20</w:t>
      </w:r>
      <w:r>
        <w:rPr>
          <w:rFonts w:ascii="黑体" w:eastAsia="黑体"/>
          <w:b/>
          <w:spacing w:val="20"/>
          <w:w w:val="135"/>
          <w:sz w:val="30"/>
        </w:rPr>
        <w:t>2</w:t>
      </w:r>
      <w:r>
        <w:rPr>
          <w:rFonts w:hint="eastAsia" w:ascii="黑体" w:eastAsia="黑体"/>
          <w:b/>
          <w:spacing w:val="20"/>
          <w:w w:val="135"/>
          <w:sz w:val="30"/>
          <w:lang w:val="en-US" w:eastAsia="zh-CN"/>
        </w:rPr>
        <w:t>5</w:t>
      </w:r>
      <w:r>
        <w:rPr>
          <w:rFonts w:hint="eastAsia" w:ascii="黑体" w:eastAsia="黑体"/>
          <w:b/>
          <w:spacing w:val="20"/>
          <w:w w:val="135"/>
          <w:sz w:val="30"/>
        </w:rPr>
        <w:t>年</w:t>
      </w:r>
      <w:r>
        <w:rPr>
          <w:rFonts w:hint="eastAsia" w:ascii="黑体" w:eastAsia="黑体"/>
          <w:b/>
          <w:spacing w:val="20"/>
          <w:w w:val="135"/>
          <w:sz w:val="30"/>
          <w:lang w:val="en-US" w:eastAsia="zh-CN"/>
        </w:rPr>
        <w:t>9</w:t>
      </w:r>
      <w:r>
        <w:rPr>
          <w:rFonts w:hint="eastAsia" w:ascii="黑体" w:eastAsia="黑体"/>
          <w:b/>
          <w:spacing w:val="20"/>
          <w:w w:val="135"/>
          <w:sz w:val="30"/>
        </w:rPr>
        <w:t>月</w:t>
      </w:r>
    </w:p>
    <w:p>
      <w:pPr>
        <w:spacing w:before="468" w:beforeLines="150"/>
        <w:jc w:val="center"/>
        <w:rPr>
          <w:rFonts w:hint="eastAsia" w:ascii="黑体" w:eastAsia="黑体"/>
          <w:b/>
          <w:spacing w:val="20"/>
          <w:w w:val="135"/>
          <w:sz w:val="30"/>
        </w:rPr>
      </w:pPr>
    </w:p>
    <w:p>
      <w:pPr>
        <w:pStyle w:val="15"/>
        <w:adjustRightInd w:val="0"/>
        <w:snapToGrid w:val="0"/>
        <w:spacing w:line="360" w:lineRule="auto"/>
        <w:ind w:firstLine="0" w:firstLineChars="0"/>
        <w:jc w:val="center"/>
        <w:rPr>
          <w:rFonts w:ascii="黑体" w:hAnsi="黑体" w:eastAsia="黑体" w:cs="Times New Roman"/>
          <w:sz w:val="36"/>
          <w:szCs w:val="36"/>
        </w:rPr>
      </w:pPr>
      <w:r>
        <w:rPr>
          <w:rFonts w:hint="eastAsia" w:ascii="黑体" w:hAnsi="黑体" w:eastAsia="黑体" w:cs="Times New Roman"/>
          <w:sz w:val="36"/>
          <w:szCs w:val="36"/>
        </w:rPr>
        <w:t>目  录</w:t>
      </w:r>
    </w:p>
    <w:p>
      <w:pPr>
        <w:pStyle w:val="9"/>
        <w:tabs>
          <w:tab w:val="right" w:leader="dot" w:pos="8306"/>
        </w:tabs>
      </w:pPr>
      <w:r>
        <w:rPr>
          <w:b w:val="0"/>
          <w:i/>
          <w:sz w:val="21"/>
          <w:szCs w:val="21"/>
        </w:rPr>
        <w:fldChar w:fldCharType="begin"/>
      </w:r>
      <w:r>
        <w:rPr>
          <w:b w:val="0"/>
          <w:i/>
          <w:sz w:val="21"/>
          <w:szCs w:val="21"/>
        </w:rPr>
        <w:instrText xml:space="preserve"> </w:instrText>
      </w:r>
      <w:r>
        <w:rPr>
          <w:rFonts w:hint="eastAsia"/>
          <w:b w:val="0"/>
          <w:i/>
          <w:sz w:val="21"/>
          <w:szCs w:val="21"/>
        </w:rPr>
        <w:instrText xml:space="preserve">TOC \o "1-2" \h \z \u</w:instrText>
      </w:r>
      <w:r>
        <w:rPr>
          <w:b w:val="0"/>
          <w:i/>
          <w:sz w:val="21"/>
          <w:szCs w:val="21"/>
        </w:rPr>
        <w:instrText xml:space="preserve"> </w:instrText>
      </w:r>
      <w:r>
        <w:rPr>
          <w:b w:val="0"/>
          <w:i/>
          <w:sz w:val="21"/>
          <w:szCs w:val="21"/>
        </w:rPr>
        <w:fldChar w:fldCharType="separate"/>
      </w:r>
      <w:r>
        <w:fldChar w:fldCharType="begin"/>
      </w:r>
      <w:r>
        <w:instrText xml:space="preserve"> HYPERLINK \l _Toc13776 </w:instrText>
      </w:r>
      <w:r>
        <w:fldChar w:fldCharType="separate"/>
      </w:r>
      <w:r>
        <w:rPr>
          <w:rFonts w:hint="eastAsia" w:ascii="黑体" w:eastAsia="黑体"/>
        </w:rPr>
        <w:t>1 总则</w:t>
      </w:r>
      <w:r>
        <w:tab/>
      </w:r>
      <w:r>
        <w:fldChar w:fldCharType="begin"/>
      </w:r>
      <w:r>
        <w:instrText xml:space="preserve"> PAGEREF _Toc13776 \h </w:instrText>
      </w:r>
      <w:r>
        <w:fldChar w:fldCharType="separate"/>
      </w:r>
      <w:r>
        <w:t>1</w:t>
      </w:r>
      <w:r>
        <w:fldChar w:fldCharType="end"/>
      </w:r>
      <w:r>
        <w:fldChar w:fldCharType="end"/>
      </w:r>
    </w:p>
    <w:p>
      <w:pPr>
        <w:pStyle w:val="9"/>
        <w:tabs>
          <w:tab w:val="right" w:leader="dot" w:pos="8306"/>
        </w:tabs>
      </w:pPr>
      <w:r>
        <w:fldChar w:fldCharType="begin"/>
      </w:r>
      <w:r>
        <w:instrText xml:space="preserve"> HYPERLINK \l _Toc30667 </w:instrText>
      </w:r>
      <w:r>
        <w:fldChar w:fldCharType="separate"/>
      </w:r>
      <w:r>
        <w:rPr>
          <w:rFonts w:hint="eastAsia" w:ascii="黑体" w:eastAsia="黑体"/>
        </w:rPr>
        <w:t>2 工作范围</w:t>
      </w:r>
      <w:r>
        <w:tab/>
      </w:r>
      <w:r>
        <w:fldChar w:fldCharType="begin"/>
      </w:r>
      <w:r>
        <w:instrText xml:space="preserve"> PAGEREF _Toc30667 \h </w:instrText>
      </w:r>
      <w:r>
        <w:fldChar w:fldCharType="separate"/>
      </w:r>
      <w:r>
        <w:t>1</w:t>
      </w:r>
      <w:r>
        <w:fldChar w:fldCharType="end"/>
      </w:r>
      <w:r>
        <w:fldChar w:fldCharType="end"/>
      </w:r>
    </w:p>
    <w:p>
      <w:pPr>
        <w:pStyle w:val="10"/>
        <w:tabs>
          <w:tab w:val="right" w:leader="dot" w:pos="8306"/>
          <w:tab w:val="clear" w:pos="900"/>
          <w:tab w:val="clear" w:pos="8296"/>
        </w:tabs>
      </w:pPr>
      <w:r>
        <w:fldChar w:fldCharType="begin"/>
      </w:r>
      <w:r>
        <w:instrText xml:space="preserve"> HYPERLINK \l _Toc14080 </w:instrText>
      </w:r>
      <w:r>
        <w:fldChar w:fldCharType="separate"/>
      </w:r>
      <w:r>
        <w:rPr>
          <w:rFonts w:hint="eastAsia" w:ascii="黑体" w:eastAsia="黑体"/>
        </w:rPr>
        <w:t>2</w:t>
      </w:r>
      <w:r>
        <w:rPr>
          <w:rFonts w:ascii="黑体" w:eastAsia="黑体"/>
        </w:rPr>
        <w:t>.1</w:t>
      </w:r>
      <w:r>
        <w:rPr>
          <w:rFonts w:hint="eastAsia" w:ascii="黑体" w:eastAsia="黑体"/>
        </w:rPr>
        <w:t xml:space="preserve"> 工程概况</w:t>
      </w:r>
      <w:r>
        <w:tab/>
      </w:r>
      <w:r>
        <w:fldChar w:fldCharType="begin"/>
      </w:r>
      <w:r>
        <w:instrText xml:space="preserve"> PAGEREF _Toc14080 \h </w:instrText>
      </w:r>
      <w:r>
        <w:fldChar w:fldCharType="separate"/>
      </w:r>
      <w:r>
        <w:t>1</w:t>
      </w:r>
      <w:r>
        <w:fldChar w:fldCharType="end"/>
      </w:r>
      <w:r>
        <w:fldChar w:fldCharType="end"/>
      </w:r>
    </w:p>
    <w:p>
      <w:pPr>
        <w:pStyle w:val="10"/>
        <w:tabs>
          <w:tab w:val="right" w:leader="dot" w:pos="8306"/>
          <w:tab w:val="clear" w:pos="900"/>
          <w:tab w:val="clear" w:pos="8296"/>
        </w:tabs>
      </w:pPr>
      <w:r>
        <w:fldChar w:fldCharType="begin"/>
      </w:r>
      <w:r>
        <w:instrText xml:space="preserve"> HYPERLINK \l _Toc26589 </w:instrText>
      </w:r>
      <w:r>
        <w:fldChar w:fldCharType="separate"/>
      </w:r>
      <w:r>
        <w:rPr>
          <w:rFonts w:ascii="黑体" w:eastAsia="黑体"/>
        </w:rPr>
        <w:t>2.</w:t>
      </w:r>
      <w:r>
        <w:rPr>
          <w:rFonts w:hint="eastAsia" w:ascii="黑体" w:eastAsia="黑体"/>
        </w:rPr>
        <w:t>2</w:t>
      </w:r>
      <w:r>
        <w:rPr>
          <w:rFonts w:ascii="黑体" w:eastAsia="黑体"/>
        </w:rPr>
        <w:t xml:space="preserve"> 范围和界限</w:t>
      </w:r>
      <w:r>
        <w:tab/>
      </w:r>
      <w:r>
        <w:fldChar w:fldCharType="begin"/>
      </w:r>
      <w:r>
        <w:instrText xml:space="preserve"> PAGEREF _Toc26589 \h </w:instrText>
      </w:r>
      <w:r>
        <w:fldChar w:fldCharType="separate"/>
      </w:r>
      <w:r>
        <w:t>2</w:t>
      </w:r>
      <w:r>
        <w:fldChar w:fldCharType="end"/>
      </w:r>
      <w:r>
        <w:fldChar w:fldCharType="end"/>
      </w:r>
    </w:p>
    <w:p>
      <w:pPr>
        <w:pStyle w:val="10"/>
        <w:tabs>
          <w:tab w:val="right" w:leader="dot" w:pos="8306"/>
          <w:tab w:val="clear" w:pos="900"/>
          <w:tab w:val="clear" w:pos="8296"/>
        </w:tabs>
      </w:pPr>
      <w:r>
        <w:fldChar w:fldCharType="begin"/>
      </w:r>
      <w:r>
        <w:instrText xml:space="preserve"> HYPERLINK \l _Toc20483 </w:instrText>
      </w:r>
      <w:r>
        <w:fldChar w:fldCharType="separate"/>
      </w:r>
      <w:r>
        <w:rPr>
          <w:rFonts w:ascii="黑体" w:eastAsia="黑体"/>
        </w:rPr>
        <w:t>2.</w:t>
      </w:r>
      <w:r>
        <w:rPr>
          <w:rFonts w:hint="eastAsia" w:ascii="黑体" w:eastAsia="黑体"/>
        </w:rPr>
        <w:t>3</w:t>
      </w:r>
      <w:r>
        <w:rPr>
          <w:rFonts w:ascii="黑体" w:eastAsia="黑体"/>
        </w:rPr>
        <w:t xml:space="preserve"> 服务范围</w:t>
      </w:r>
      <w:r>
        <w:tab/>
      </w:r>
      <w:r>
        <w:fldChar w:fldCharType="begin"/>
      </w:r>
      <w:r>
        <w:instrText xml:space="preserve"> PAGEREF _Toc20483 \h </w:instrText>
      </w:r>
      <w:r>
        <w:fldChar w:fldCharType="separate"/>
      </w:r>
      <w:r>
        <w:t>2</w:t>
      </w:r>
      <w:r>
        <w:fldChar w:fldCharType="end"/>
      </w:r>
      <w:r>
        <w:fldChar w:fldCharType="end"/>
      </w:r>
    </w:p>
    <w:p>
      <w:pPr>
        <w:pStyle w:val="9"/>
        <w:tabs>
          <w:tab w:val="right" w:leader="dot" w:pos="8306"/>
        </w:tabs>
      </w:pPr>
      <w:r>
        <w:fldChar w:fldCharType="begin"/>
      </w:r>
      <w:r>
        <w:instrText xml:space="preserve"> HYPERLINK \l _Toc5324 </w:instrText>
      </w:r>
      <w:r>
        <w:fldChar w:fldCharType="separate"/>
      </w:r>
      <w:r>
        <w:rPr>
          <w:rFonts w:hint="eastAsia" w:ascii="黑体" w:eastAsia="黑体"/>
        </w:rPr>
        <w:t>3 应遵循的主要标准</w:t>
      </w:r>
      <w:r>
        <w:tab/>
      </w:r>
      <w:r>
        <w:fldChar w:fldCharType="begin"/>
      </w:r>
      <w:r>
        <w:instrText xml:space="preserve"> PAGEREF _Toc5324 \h </w:instrText>
      </w:r>
      <w:r>
        <w:fldChar w:fldCharType="separate"/>
      </w:r>
      <w:r>
        <w:t>4</w:t>
      </w:r>
      <w:r>
        <w:fldChar w:fldCharType="end"/>
      </w:r>
      <w:r>
        <w:fldChar w:fldCharType="end"/>
      </w:r>
    </w:p>
    <w:p>
      <w:pPr>
        <w:pStyle w:val="9"/>
        <w:tabs>
          <w:tab w:val="right" w:leader="dot" w:pos="8306"/>
        </w:tabs>
      </w:pPr>
      <w:r>
        <w:fldChar w:fldCharType="begin"/>
      </w:r>
      <w:r>
        <w:instrText xml:space="preserve"> HYPERLINK \l _Toc18035 </w:instrText>
      </w:r>
      <w:r>
        <w:fldChar w:fldCharType="separate"/>
      </w:r>
      <w:r>
        <w:rPr>
          <w:rFonts w:hint="eastAsia" w:ascii="黑体" w:eastAsia="黑体"/>
        </w:rPr>
        <w:t>4 使用条件</w:t>
      </w:r>
      <w:r>
        <w:tab/>
      </w:r>
      <w:r>
        <w:fldChar w:fldCharType="begin"/>
      </w:r>
      <w:r>
        <w:instrText xml:space="preserve"> PAGEREF _Toc18035 \h </w:instrText>
      </w:r>
      <w:r>
        <w:fldChar w:fldCharType="separate"/>
      </w:r>
      <w:r>
        <w:t>5</w:t>
      </w:r>
      <w:r>
        <w:fldChar w:fldCharType="end"/>
      </w:r>
      <w:r>
        <w:fldChar w:fldCharType="end"/>
      </w:r>
    </w:p>
    <w:p>
      <w:pPr>
        <w:pStyle w:val="10"/>
        <w:tabs>
          <w:tab w:val="right" w:leader="dot" w:pos="8306"/>
          <w:tab w:val="clear" w:pos="900"/>
          <w:tab w:val="clear" w:pos="8296"/>
        </w:tabs>
      </w:pPr>
      <w:r>
        <w:fldChar w:fldCharType="begin"/>
      </w:r>
      <w:r>
        <w:instrText xml:space="preserve"> HYPERLINK \l _Toc2665 </w:instrText>
      </w:r>
      <w:r>
        <w:fldChar w:fldCharType="separate"/>
      </w:r>
      <w:r>
        <w:rPr>
          <w:rFonts w:hint="eastAsia" w:ascii="黑体" w:eastAsia="黑体"/>
        </w:rPr>
        <w:t>4.1 正常使用条件</w:t>
      </w:r>
      <w:r>
        <w:tab/>
      </w:r>
      <w:r>
        <w:fldChar w:fldCharType="begin"/>
      </w:r>
      <w:r>
        <w:instrText xml:space="preserve"> PAGEREF _Toc2665 \h </w:instrText>
      </w:r>
      <w:r>
        <w:fldChar w:fldCharType="separate"/>
      </w:r>
      <w:r>
        <w:t>6</w:t>
      </w:r>
      <w:r>
        <w:fldChar w:fldCharType="end"/>
      </w:r>
      <w:r>
        <w:fldChar w:fldCharType="end"/>
      </w:r>
    </w:p>
    <w:p>
      <w:pPr>
        <w:pStyle w:val="10"/>
        <w:tabs>
          <w:tab w:val="right" w:leader="dot" w:pos="8306"/>
          <w:tab w:val="clear" w:pos="900"/>
          <w:tab w:val="clear" w:pos="8296"/>
        </w:tabs>
      </w:pPr>
      <w:r>
        <w:fldChar w:fldCharType="begin"/>
      </w:r>
      <w:r>
        <w:instrText xml:space="preserve"> HYPERLINK \l _Toc26869 </w:instrText>
      </w:r>
      <w:r>
        <w:fldChar w:fldCharType="separate"/>
      </w:r>
      <w:r>
        <w:rPr>
          <w:rFonts w:hint="eastAsia" w:ascii="黑体" w:eastAsia="黑体"/>
        </w:rPr>
        <w:t>4.2 特殊使用条件</w:t>
      </w:r>
      <w:r>
        <w:tab/>
      </w:r>
      <w:r>
        <w:fldChar w:fldCharType="begin"/>
      </w:r>
      <w:r>
        <w:instrText xml:space="preserve"> PAGEREF _Toc26869 \h </w:instrText>
      </w:r>
      <w:r>
        <w:fldChar w:fldCharType="separate"/>
      </w:r>
      <w:r>
        <w:t>6</w:t>
      </w:r>
      <w:r>
        <w:fldChar w:fldCharType="end"/>
      </w:r>
      <w:r>
        <w:fldChar w:fldCharType="end"/>
      </w:r>
    </w:p>
    <w:p>
      <w:pPr>
        <w:pStyle w:val="9"/>
        <w:tabs>
          <w:tab w:val="right" w:leader="dot" w:pos="8306"/>
        </w:tabs>
      </w:pPr>
      <w:r>
        <w:fldChar w:fldCharType="begin"/>
      </w:r>
      <w:r>
        <w:instrText xml:space="preserve"> HYPERLINK \l _Toc28280 </w:instrText>
      </w:r>
      <w:r>
        <w:fldChar w:fldCharType="separate"/>
      </w:r>
      <w:r>
        <w:rPr>
          <w:rFonts w:hint="eastAsia" w:ascii="黑体" w:eastAsia="黑体"/>
        </w:rPr>
        <w:t>5 技术要求</w:t>
      </w:r>
      <w:r>
        <w:tab/>
      </w:r>
      <w:r>
        <w:fldChar w:fldCharType="begin"/>
      </w:r>
      <w:r>
        <w:instrText xml:space="preserve"> PAGEREF _Toc28280 \h </w:instrText>
      </w:r>
      <w:r>
        <w:fldChar w:fldCharType="separate"/>
      </w:r>
      <w:r>
        <w:t>7</w:t>
      </w:r>
      <w:r>
        <w:fldChar w:fldCharType="end"/>
      </w:r>
      <w:r>
        <w:fldChar w:fldCharType="end"/>
      </w:r>
    </w:p>
    <w:p>
      <w:pPr>
        <w:pStyle w:val="10"/>
        <w:tabs>
          <w:tab w:val="right" w:leader="dot" w:pos="8306"/>
          <w:tab w:val="clear" w:pos="900"/>
          <w:tab w:val="clear" w:pos="8296"/>
        </w:tabs>
      </w:pPr>
      <w:r>
        <w:fldChar w:fldCharType="begin"/>
      </w:r>
      <w:r>
        <w:instrText xml:space="preserve"> HYPERLINK \l _Toc22824 </w:instrText>
      </w:r>
      <w:r>
        <w:fldChar w:fldCharType="separate"/>
      </w:r>
      <w:r>
        <w:rPr>
          <w:rFonts w:ascii="黑体" w:eastAsia="黑体"/>
        </w:rPr>
        <w:t>5.1 技术参数要求</w:t>
      </w:r>
      <w:r>
        <w:tab/>
      </w:r>
      <w:r>
        <w:fldChar w:fldCharType="begin"/>
      </w:r>
      <w:r>
        <w:instrText xml:space="preserve"> PAGEREF _Toc22824 \h </w:instrText>
      </w:r>
      <w:r>
        <w:fldChar w:fldCharType="separate"/>
      </w:r>
      <w:r>
        <w:t>7</w:t>
      </w:r>
      <w:r>
        <w:fldChar w:fldCharType="end"/>
      </w:r>
      <w:r>
        <w:fldChar w:fldCharType="end"/>
      </w:r>
    </w:p>
    <w:p>
      <w:pPr>
        <w:pStyle w:val="10"/>
        <w:tabs>
          <w:tab w:val="right" w:leader="dot" w:pos="8306"/>
          <w:tab w:val="clear" w:pos="900"/>
          <w:tab w:val="clear" w:pos="8296"/>
        </w:tabs>
      </w:pPr>
      <w:r>
        <w:fldChar w:fldCharType="begin"/>
      </w:r>
      <w:r>
        <w:instrText xml:space="preserve"> HYPERLINK \l _Toc19294 </w:instrText>
      </w:r>
      <w:r>
        <w:fldChar w:fldCharType="separate"/>
      </w:r>
      <w:r>
        <w:rPr>
          <w:rFonts w:ascii="黑体" w:eastAsia="黑体"/>
        </w:rPr>
        <w:t>5.2 设计和结构要求</w:t>
      </w:r>
      <w:r>
        <w:tab/>
      </w:r>
      <w:r>
        <w:fldChar w:fldCharType="begin"/>
      </w:r>
      <w:r>
        <w:instrText xml:space="preserve"> PAGEREF _Toc19294 \h </w:instrText>
      </w:r>
      <w:r>
        <w:fldChar w:fldCharType="separate"/>
      </w:r>
      <w:r>
        <w:t>8</w:t>
      </w:r>
      <w:r>
        <w:fldChar w:fldCharType="end"/>
      </w:r>
      <w:r>
        <w:fldChar w:fldCharType="end"/>
      </w:r>
    </w:p>
    <w:p>
      <w:pPr>
        <w:pStyle w:val="9"/>
        <w:tabs>
          <w:tab w:val="right" w:leader="dot" w:pos="8306"/>
        </w:tabs>
      </w:pPr>
      <w:r>
        <w:fldChar w:fldCharType="begin"/>
      </w:r>
      <w:r>
        <w:instrText xml:space="preserve"> HYPERLINK \l _Toc12823 </w:instrText>
      </w:r>
      <w:r>
        <w:fldChar w:fldCharType="separate"/>
      </w:r>
      <w:r>
        <w:rPr>
          <w:rFonts w:hint="eastAsia" w:ascii="黑体" w:eastAsia="黑体"/>
        </w:rPr>
        <w:t>6 试验</w:t>
      </w:r>
      <w:r>
        <w:tab/>
      </w:r>
      <w:r>
        <w:fldChar w:fldCharType="begin"/>
      </w:r>
      <w:r>
        <w:instrText xml:space="preserve"> PAGEREF _Toc12823 \h </w:instrText>
      </w:r>
      <w:r>
        <w:fldChar w:fldCharType="separate"/>
      </w:r>
      <w:r>
        <w:t>16</w:t>
      </w:r>
      <w:r>
        <w:fldChar w:fldCharType="end"/>
      </w:r>
      <w:r>
        <w:fldChar w:fldCharType="end"/>
      </w:r>
    </w:p>
    <w:p>
      <w:pPr>
        <w:pStyle w:val="10"/>
        <w:tabs>
          <w:tab w:val="right" w:leader="dot" w:pos="8306"/>
          <w:tab w:val="clear" w:pos="900"/>
          <w:tab w:val="clear" w:pos="8296"/>
        </w:tabs>
      </w:pPr>
      <w:r>
        <w:fldChar w:fldCharType="begin"/>
      </w:r>
      <w:r>
        <w:instrText xml:space="preserve"> HYPERLINK \l _Toc2384 </w:instrText>
      </w:r>
      <w:r>
        <w:fldChar w:fldCharType="separate"/>
      </w:r>
      <w:r>
        <w:rPr>
          <w:rFonts w:ascii="黑体" w:eastAsia="黑体"/>
        </w:rPr>
        <w:t>6.1 型式试验</w:t>
      </w:r>
      <w:r>
        <w:tab/>
      </w:r>
      <w:r>
        <w:fldChar w:fldCharType="begin"/>
      </w:r>
      <w:r>
        <w:instrText xml:space="preserve"> PAGEREF _Toc2384 \h </w:instrText>
      </w:r>
      <w:r>
        <w:fldChar w:fldCharType="separate"/>
      </w:r>
      <w:r>
        <w:t>16</w:t>
      </w:r>
      <w:r>
        <w:fldChar w:fldCharType="end"/>
      </w:r>
      <w:r>
        <w:fldChar w:fldCharType="end"/>
      </w:r>
    </w:p>
    <w:p>
      <w:pPr>
        <w:pStyle w:val="10"/>
        <w:tabs>
          <w:tab w:val="right" w:leader="dot" w:pos="8306"/>
          <w:tab w:val="clear" w:pos="900"/>
          <w:tab w:val="clear" w:pos="8296"/>
        </w:tabs>
      </w:pPr>
      <w:r>
        <w:fldChar w:fldCharType="begin"/>
      </w:r>
      <w:r>
        <w:instrText xml:space="preserve"> HYPERLINK \l _Toc22319 </w:instrText>
      </w:r>
      <w:r>
        <w:fldChar w:fldCharType="separate"/>
      </w:r>
      <w:r>
        <w:rPr>
          <w:rFonts w:ascii="黑体" w:eastAsia="黑体"/>
        </w:rPr>
        <w:t>6.2 出厂试验</w:t>
      </w:r>
      <w:r>
        <w:tab/>
      </w:r>
      <w:r>
        <w:fldChar w:fldCharType="begin"/>
      </w:r>
      <w:r>
        <w:instrText xml:space="preserve"> PAGEREF _Toc22319 \h </w:instrText>
      </w:r>
      <w:r>
        <w:fldChar w:fldCharType="separate"/>
      </w:r>
      <w:r>
        <w:t>17</w:t>
      </w:r>
      <w:r>
        <w:fldChar w:fldCharType="end"/>
      </w:r>
      <w:r>
        <w:fldChar w:fldCharType="end"/>
      </w:r>
    </w:p>
    <w:p>
      <w:pPr>
        <w:pStyle w:val="10"/>
        <w:tabs>
          <w:tab w:val="right" w:leader="dot" w:pos="8306"/>
          <w:tab w:val="clear" w:pos="900"/>
          <w:tab w:val="clear" w:pos="8296"/>
        </w:tabs>
      </w:pPr>
      <w:r>
        <w:fldChar w:fldCharType="begin"/>
      </w:r>
      <w:r>
        <w:instrText xml:space="preserve"> HYPERLINK \l _Toc20959 </w:instrText>
      </w:r>
      <w:r>
        <w:fldChar w:fldCharType="separate"/>
      </w:r>
      <w:r>
        <w:rPr>
          <w:rFonts w:ascii="黑体" w:eastAsia="黑体"/>
        </w:rPr>
        <w:t>6.3 现场交接试验</w:t>
      </w:r>
      <w:r>
        <w:tab/>
      </w:r>
      <w:r>
        <w:fldChar w:fldCharType="begin"/>
      </w:r>
      <w:r>
        <w:instrText xml:space="preserve"> PAGEREF _Toc20959 \h </w:instrText>
      </w:r>
      <w:r>
        <w:fldChar w:fldCharType="separate"/>
      </w:r>
      <w:r>
        <w:t>18</w:t>
      </w:r>
      <w:r>
        <w:fldChar w:fldCharType="end"/>
      </w:r>
      <w:r>
        <w:fldChar w:fldCharType="end"/>
      </w:r>
    </w:p>
    <w:p>
      <w:pPr>
        <w:pStyle w:val="9"/>
        <w:tabs>
          <w:tab w:val="right" w:leader="dot" w:pos="8306"/>
        </w:tabs>
      </w:pPr>
      <w:r>
        <w:fldChar w:fldCharType="begin"/>
      </w:r>
      <w:r>
        <w:instrText xml:space="preserve"> HYPERLINK \l _Toc22547 </w:instrText>
      </w:r>
      <w:r>
        <w:fldChar w:fldCharType="separate"/>
      </w:r>
      <w:r>
        <w:rPr>
          <w:rFonts w:hint="eastAsia" w:ascii="黑体" w:eastAsia="黑体"/>
        </w:rPr>
        <w:t>7 产品对环境的影响</w:t>
      </w:r>
      <w:r>
        <w:tab/>
      </w:r>
      <w:r>
        <w:fldChar w:fldCharType="begin"/>
      </w:r>
      <w:r>
        <w:instrText xml:space="preserve"> PAGEREF _Toc22547 \h </w:instrText>
      </w:r>
      <w:r>
        <w:fldChar w:fldCharType="separate"/>
      </w:r>
      <w:r>
        <w:t>19</w:t>
      </w:r>
      <w:r>
        <w:fldChar w:fldCharType="end"/>
      </w:r>
      <w:r>
        <w:fldChar w:fldCharType="end"/>
      </w:r>
    </w:p>
    <w:p>
      <w:pPr>
        <w:pStyle w:val="9"/>
        <w:tabs>
          <w:tab w:val="right" w:leader="dot" w:pos="8306"/>
        </w:tabs>
      </w:pPr>
      <w:r>
        <w:fldChar w:fldCharType="begin"/>
      </w:r>
      <w:r>
        <w:instrText xml:space="preserve"> HYPERLINK \l _Toc14622 </w:instrText>
      </w:r>
      <w:r>
        <w:fldChar w:fldCharType="separate"/>
      </w:r>
      <w:r>
        <w:rPr>
          <w:rFonts w:hint="eastAsia" w:ascii="黑体" w:eastAsia="黑体"/>
        </w:rPr>
        <w:t>8 企业VI标识</w:t>
      </w:r>
      <w:r>
        <w:tab/>
      </w:r>
      <w:r>
        <w:fldChar w:fldCharType="begin"/>
      </w:r>
      <w:r>
        <w:instrText xml:space="preserve"> PAGEREF _Toc14622 \h </w:instrText>
      </w:r>
      <w:r>
        <w:fldChar w:fldCharType="separate"/>
      </w:r>
      <w:r>
        <w:t>19</w:t>
      </w:r>
      <w:r>
        <w:fldChar w:fldCharType="end"/>
      </w:r>
      <w:r>
        <w:fldChar w:fldCharType="end"/>
      </w:r>
    </w:p>
    <w:p>
      <w:pPr>
        <w:pStyle w:val="9"/>
        <w:tabs>
          <w:tab w:val="right" w:leader="dot" w:pos="8306"/>
        </w:tabs>
      </w:pPr>
      <w:r>
        <w:fldChar w:fldCharType="begin"/>
      </w:r>
      <w:r>
        <w:instrText xml:space="preserve"> HYPERLINK \l _Toc30646 </w:instrText>
      </w:r>
      <w:r>
        <w:fldChar w:fldCharType="separate"/>
      </w:r>
      <w:r>
        <w:rPr>
          <w:rFonts w:hint="eastAsia" w:ascii="黑体" w:eastAsia="黑体"/>
        </w:rPr>
        <w:t>9 技术文件要求</w:t>
      </w:r>
      <w:r>
        <w:tab/>
      </w:r>
      <w:r>
        <w:fldChar w:fldCharType="begin"/>
      </w:r>
      <w:r>
        <w:instrText xml:space="preserve"> PAGEREF _Toc30646 \h </w:instrText>
      </w:r>
      <w:r>
        <w:fldChar w:fldCharType="separate"/>
      </w:r>
      <w:r>
        <w:t>19</w:t>
      </w:r>
      <w:r>
        <w:fldChar w:fldCharType="end"/>
      </w:r>
      <w:r>
        <w:fldChar w:fldCharType="end"/>
      </w:r>
    </w:p>
    <w:p>
      <w:pPr>
        <w:pStyle w:val="9"/>
        <w:tabs>
          <w:tab w:val="right" w:leader="dot" w:pos="8306"/>
        </w:tabs>
      </w:pPr>
      <w:r>
        <w:fldChar w:fldCharType="begin"/>
      </w:r>
      <w:r>
        <w:instrText xml:space="preserve"> HYPERLINK \l _Toc8369 </w:instrText>
      </w:r>
      <w:r>
        <w:fldChar w:fldCharType="separate"/>
      </w:r>
      <w:r>
        <w:rPr>
          <w:rFonts w:hint="eastAsia" w:ascii="黑体" w:eastAsia="黑体"/>
        </w:rPr>
        <w:t>10 监造、包装、运输、安装及质量保证</w:t>
      </w:r>
      <w:r>
        <w:tab/>
      </w:r>
      <w:r>
        <w:fldChar w:fldCharType="begin"/>
      </w:r>
      <w:r>
        <w:instrText xml:space="preserve"> PAGEREF _Toc8369 \h </w:instrText>
      </w:r>
      <w:r>
        <w:fldChar w:fldCharType="separate"/>
      </w:r>
      <w:r>
        <w:t>20</w:t>
      </w:r>
      <w:r>
        <w:fldChar w:fldCharType="end"/>
      </w:r>
      <w:r>
        <w:fldChar w:fldCharType="end"/>
      </w:r>
    </w:p>
    <w:p>
      <w:pPr>
        <w:pStyle w:val="10"/>
        <w:tabs>
          <w:tab w:val="right" w:leader="dot" w:pos="8306"/>
          <w:tab w:val="clear" w:pos="900"/>
          <w:tab w:val="clear" w:pos="8296"/>
        </w:tabs>
      </w:pPr>
      <w:r>
        <w:fldChar w:fldCharType="begin"/>
      </w:r>
      <w:r>
        <w:instrText xml:space="preserve"> HYPERLINK \l _Toc6567 </w:instrText>
      </w:r>
      <w:r>
        <w:fldChar w:fldCharType="separate"/>
      </w:r>
      <w:r>
        <w:rPr>
          <w:rFonts w:hint="eastAsia" w:ascii="黑体" w:eastAsia="黑体"/>
        </w:rPr>
        <w:t>10.1监造</w:t>
      </w:r>
      <w:r>
        <w:tab/>
      </w:r>
      <w:r>
        <w:fldChar w:fldCharType="begin"/>
      </w:r>
      <w:r>
        <w:instrText xml:space="preserve"> PAGEREF _Toc6567 \h </w:instrText>
      </w:r>
      <w:r>
        <w:fldChar w:fldCharType="separate"/>
      </w:r>
      <w:r>
        <w:t>20</w:t>
      </w:r>
      <w:r>
        <w:fldChar w:fldCharType="end"/>
      </w:r>
      <w:r>
        <w:fldChar w:fldCharType="end"/>
      </w:r>
    </w:p>
    <w:p>
      <w:pPr>
        <w:pStyle w:val="10"/>
        <w:tabs>
          <w:tab w:val="right" w:leader="dot" w:pos="8306"/>
          <w:tab w:val="clear" w:pos="900"/>
          <w:tab w:val="clear" w:pos="8296"/>
        </w:tabs>
      </w:pPr>
      <w:r>
        <w:fldChar w:fldCharType="begin"/>
      </w:r>
      <w:r>
        <w:instrText xml:space="preserve"> HYPERLINK \l _Toc11391 </w:instrText>
      </w:r>
      <w:r>
        <w:fldChar w:fldCharType="separate"/>
      </w:r>
      <w:r>
        <w:rPr>
          <w:rFonts w:hint="eastAsia" w:ascii="黑体" w:eastAsia="黑体"/>
        </w:rPr>
        <w:t>10.2包装</w:t>
      </w:r>
      <w:r>
        <w:tab/>
      </w:r>
      <w:r>
        <w:fldChar w:fldCharType="begin"/>
      </w:r>
      <w:r>
        <w:instrText xml:space="preserve"> PAGEREF _Toc11391 \h </w:instrText>
      </w:r>
      <w:r>
        <w:fldChar w:fldCharType="separate"/>
      </w:r>
      <w:r>
        <w:t>20</w:t>
      </w:r>
      <w:r>
        <w:fldChar w:fldCharType="end"/>
      </w:r>
      <w:r>
        <w:fldChar w:fldCharType="end"/>
      </w:r>
    </w:p>
    <w:p>
      <w:pPr>
        <w:pStyle w:val="10"/>
        <w:tabs>
          <w:tab w:val="right" w:leader="dot" w:pos="8306"/>
          <w:tab w:val="clear" w:pos="900"/>
          <w:tab w:val="clear" w:pos="8296"/>
        </w:tabs>
      </w:pPr>
      <w:r>
        <w:fldChar w:fldCharType="begin"/>
      </w:r>
      <w:r>
        <w:instrText xml:space="preserve"> HYPERLINK \l _Toc11901 </w:instrText>
      </w:r>
      <w:r>
        <w:fldChar w:fldCharType="separate"/>
      </w:r>
      <w:r>
        <w:rPr>
          <w:rFonts w:hint="eastAsia" w:ascii="黑体" w:eastAsia="黑体"/>
        </w:rPr>
        <w:t>10.3运输</w:t>
      </w:r>
      <w:r>
        <w:tab/>
      </w:r>
      <w:r>
        <w:fldChar w:fldCharType="begin"/>
      </w:r>
      <w:r>
        <w:instrText xml:space="preserve"> PAGEREF _Toc11901 \h </w:instrText>
      </w:r>
      <w:r>
        <w:fldChar w:fldCharType="separate"/>
      </w:r>
      <w:r>
        <w:t>21</w:t>
      </w:r>
      <w:r>
        <w:fldChar w:fldCharType="end"/>
      </w:r>
      <w:r>
        <w:fldChar w:fldCharType="end"/>
      </w:r>
    </w:p>
    <w:p>
      <w:pPr>
        <w:pStyle w:val="10"/>
        <w:tabs>
          <w:tab w:val="right" w:leader="dot" w:pos="8306"/>
          <w:tab w:val="clear" w:pos="900"/>
          <w:tab w:val="clear" w:pos="8296"/>
        </w:tabs>
      </w:pPr>
      <w:r>
        <w:fldChar w:fldCharType="begin"/>
      </w:r>
      <w:r>
        <w:instrText xml:space="preserve"> HYPERLINK \l _Toc7653 </w:instrText>
      </w:r>
      <w:r>
        <w:fldChar w:fldCharType="separate"/>
      </w:r>
      <w:r>
        <w:rPr>
          <w:rFonts w:hint="eastAsia" w:ascii="黑体" w:eastAsia="黑体"/>
        </w:rPr>
        <w:t>10.4安装指导</w:t>
      </w:r>
      <w:r>
        <w:tab/>
      </w:r>
      <w:r>
        <w:fldChar w:fldCharType="begin"/>
      </w:r>
      <w:r>
        <w:instrText xml:space="preserve"> PAGEREF _Toc7653 \h </w:instrText>
      </w:r>
      <w:r>
        <w:fldChar w:fldCharType="separate"/>
      </w:r>
      <w:r>
        <w:t>21</w:t>
      </w:r>
      <w:r>
        <w:fldChar w:fldCharType="end"/>
      </w:r>
      <w:r>
        <w:fldChar w:fldCharType="end"/>
      </w:r>
    </w:p>
    <w:p>
      <w:pPr>
        <w:pStyle w:val="10"/>
        <w:tabs>
          <w:tab w:val="right" w:leader="dot" w:pos="8306"/>
          <w:tab w:val="clear" w:pos="900"/>
          <w:tab w:val="clear" w:pos="8296"/>
        </w:tabs>
      </w:pPr>
      <w:r>
        <w:fldChar w:fldCharType="begin"/>
      </w:r>
      <w:r>
        <w:instrText xml:space="preserve"> HYPERLINK \l _Toc16564 </w:instrText>
      </w:r>
      <w:r>
        <w:fldChar w:fldCharType="separate"/>
      </w:r>
      <w:r>
        <w:rPr>
          <w:rFonts w:hint="eastAsia" w:ascii="黑体" w:eastAsia="黑体"/>
        </w:rPr>
        <w:t>10.5质量保证</w:t>
      </w:r>
      <w:r>
        <w:tab/>
      </w:r>
      <w:r>
        <w:fldChar w:fldCharType="begin"/>
      </w:r>
      <w:r>
        <w:instrText xml:space="preserve"> PAGEREF _Toc16564 \h </w:instrText>
      </w:r>
      <w:r>
        <w:fldChar w:fldCharType="separate"/>
      </w:r>
      <w:r>
        <w:t>21</w:t>
      </w:r>
      <w:r>
        <w:fldChar w:fldCharType="end"/>
      </w:r>
      <w:r>
        <w:fldChar w:fldCharType="end"/>
      </w:r>
    </w:p>
    <w:p>
      <w:pPr>
        <w:pStyle w:val="9"/>
        <w:tabs>
          <w:tab w:val="right" w:leader="dot" w:pos="8306"/>
        </w:tabs>
      </w:pPr>
      <w:r>
        <w:fldChar w:fldCharType="begin"/>
      </w:r>
      <w:r>
        <w:instrText xml:space="preserve"> HYPERLINK \l _Toc20895 </w:instrText>
      </w:r>
      <w:r>
        <w:fldChar w:fldCharType="separate"/>
      </w:r>
      <w:r>
        <w:rPr>
          <w:rFonts w:hint="eastAsia" w:ascii="黑体" w:eastAsia="黑体"/>
        </w:rPr>
        <w:t>11 一次、二次及土建接口要求</w:t>
      </w:r>
      <w:r>
        <w:tab/>
      </w:r>
      <w:r>
        <w:fldChar w:fldCharType="begin"/>
      </w:r>
      <w:r>
        <w:instrText xml:space="preserve"> PAGEREF _Toc20895 \h </w:instrText>
      </w:r>
      <w:r>
        <w:fldChar w:fldCharType="separate"/>
      </w:r>
      <w:r>
        <w:t>21</w:t>
      </w:r>
      <w:r>
        <w:fldChar w:fldCharType="end"/>
      </w:r>
      <w:r>
        <w:fldChar w:fldCharType="end"/>
      </w:r>
    </w:p>
    <w:p>
      <w:pPr>
        <w:pStyle w:val="9"/>
        <w:tabs>
          <w:tab w:val="right" w:leader="dot" w:pos="8306"/>
        </w:tabs>
      </w:pPr>
      <w:r>
        <w:fldChar w:fldCharType="begin"/>
      </w:r>
      <w:r>
        <w:instrText xml:space="preserve"> HYPERLINK \l _Toc3466 </w:instrText>
      </w:r>
      <w:r>
        <w:fldChar w:fldCharType="separate"/>
      </w:r>
      <w:r>
        <w:rPr>
          <w:rFonts w:hint="eastAsia" w:ascii="黑体" w:eastAsia="黑体"/>
        </w:rPr>
        <w:t>12 设备技术参数和性能要求响应表</w:t>
      </w:r>
      <w:r>
        <w:tab/>
      </w:r>
      <w:r>
        <w:fldChar w:fldCharType="begin"/>
      </w:r>
      <w:r>
        <w:instrText xml:space="preserve"> PAGEREF _Toc3466 \h </w:instrText>
      </w:r>
      <w:r>
        <w:fldChar w:fldCharType="separate"/>
      </w:r>
      <w:r>
        <w:t>21</w:t>
      </w:r>
      <w:r>
        <w:fldChar w:fldCharType="end"/>
      </w:r>
      <w:r>
        <w:fldChar w:fldCharType="end"/>
      </w:r>
    </w:p>
    <w:p>
      <w:pPr>
        <w:pStyle w:val="9"/>
        <w:tabs>
          <w:tab w:val="right" w:leader="dot" w:pos="8306"/>
        </w:tabs>
      </w:pPr>
      <w:r>
        <w:fldChar w:fldCharType="begin"/>
      </w:r>
      <w:r>
        <w:instrText xml:space="preserve"> HYPERLINK \l _Toc15800 </w:instrText>
      </w:r>
      <w:r>
        <w:fldChar w:fldCharType="separate"/>
      </w:r>
      <w:r>
        <w:rPr>
          <w:rFonts w:hint="eastAsia" w:ascii="黑体" w:eastAsia="黑体"/>
        </w:rPr>
        <w:t>13 备品备件及专用工具</w:t>
      </w:r>
      <w:r>
        <w:tab/>
      </w:r>
      <w:r>
        <w:fldChar w:fldCharType="begin"/>
      </w:r>
      <w:r>
        <w:instrText xml:space="preserve"> PAGEREF _Toc15800 \h </w:instrText>
      </w:r>
      <w:r>
        <w:fldChar w:fldCharType="separate"/>
      </w:r>
      <w:r>
        <w:t>22</w:t>
      </w:r>
      <w:r>
        <w:fldChar w:fldCharType="end"/>
      </w:r>
      <w:r>
        <w:fldChar w:fldCharType="end"/>
      </w:r>
    </w:p>
    <w:p>
      <w:pPr>
        <w:pStyle w:val="10"/>
        <w:tabs>
          <w:tab w:val="right" w:leader="dot" w:pos="8306"/>
          <w:tab w:val="clear" w:pos="900"/>
          <w:tab w:val="clear" w:pos="8296"/>
        </w:tabs>
      </w:pPr>
      <w:r>
        <w:fldChar w:fldCharType="begin"/>
      </w:r>
      <w:r>
        <w:instrText xml:space="preserve"> HYPERLINK \l _Toc12690 </w:instrText>
      </w:r>
      <w:r>
        <w:fldChar w:fldCharType="separate"/>
      </w:r>
      <w:r>
        <w:rPr>
          <w:rFonts w:hint="eastAsia" w:ascii="黑体" w:eastAsia="黑体"/>
        </w:rPr>
        <w:t>13.1必备的备品备件、专用工具和仪器仪表</w:t>
      </w:r>
      <w:r>
        <w:tab/>
      </w:r>
      <w:r>
        <w:fldChar w:fldCharType="begin"/>
      </w:r>
      <w:r>
        <w:instrText xml:space="preserve"> PAGEREF _Toc12690 \h </w:instrText>
      </w:r>
      <w:r>
        <w:fldChar w:fldCharType="separate"/>
      </w:r>
      <w:r>
        <w:t>22</w:t>
      </w:r>
      <w:r>
        <w:fldChar w:fldCharType="end"/>
      </w:r>
      <w:r>
        <w:fldChar w:fldCharType="end"/>
      </w:r>
    </w:p>
    <w:p>
      <w:pPr>
        <w:pStyle w:val="10"/>
        <w:tabs>
          <w:tab w:val="right" w:leader="dot" w:pos="8306"/>
          <w:tab w:val="clear" w:pos="900"/>
          <w:tab w:val="clear" w:pos="8296"/>
        </w:tabs>
      </w:pPr>
      <w:r>
        <w:fldChar w:fldCharType="begin"/>
      </w:r>
      <w:r>
        <w:instrText xml:space="preserve"> HYPERLINK \l _Toc30788 </w:instrText>
      </w:r>
      <w:r>
        <w:fldChar w:fldCharType="separate"/>
      </w:r>
      <w:r>
        <w:rPr>
          <w:rFonts w:hint="eastAsia" w:ascii="黑体" w:eastAsia="黑体"/>
        </w:rPr>
        <w:t>13.2 推荐的备品备件、专用工具和仪器仪表</w:t>
      </w:r>
      <w:r>
        <w:tab/>
      </w:r>
      <w:r>
        <w:fldChar w:fldCharType="begin"/>
      </w:r>
      <w:r>
        <w:instrText xml:space="preserve"> PAGEREF _Toc30788 \h </w:instrText>
      </w:r>
      <w:r>
        <w:fldChar w:fldCharType="separate"/>
      </w:r>
      <w:r>
        <w:t>23</w:t>
      </w:r>
      <w:r>
        <w:fldChar w:fldCharType="end"/>
      </w:r>
      <w:r>
        <w:fldChar w:fldCharType="end"/>
      </w:r>
    </w:p>
    <w:p>
      <w:pPr>
        <w:pStyle w:val="9"/>
        <w:tabs>
          <w:tab w:val="right" w:leader="dot" w:pos="8306"/>
        </w:tabs>
      </w:pPr>
      <w:r>
        <w:fldChar w:fldCharType="begin"/>
      </w:r>
      <w:r>
        <w:instrText xml:space="preserve"> HYPERLINK \l _Toc28445 </w:instrText>
      </w:r>
      <w:r>
        <w:fldChar w:fldCharType="separate"/>
      </w:r>
      <w:r>
        <w:rPr>
          <w:rFonts w:hint="eastAsia" w:ascii="黑体" w:eastAsia="黑体"/>
        </w:rPr>
        <w:t>14 主要元器件来源</w:t>
      </w:r>
      <w:r>
        <w:tab/>
      </w:r>
      <w:r>
        <w:fldChar w:fldCharType="begin"/>
      </w:r>
      <w:r>
        <w:instrText xml:space="preserve"> PAGEREF _Toc28445 \h </w:instrText>
      </w:r>
      <w:r>
        <w:fldChar w:fldCharType="separate"/>
      </w:r>
      <w:r>
        <w:t>23</w:t>
      </w:r>
      <w:r>
        <w:fldChar w:fldCharType="end"/>
      </w:r>
      <w:r>
        <w:fldChar w:fldCharType="end"/>
      </w:r>
    </w:p>
    <w:p>
      <w:pPr>
        <w:pStyle w:val="9"/>
        <w:tabs>
          <w:tab w:val="right" w:leader="dot" w:pos="8306"/>
        </w:tabs>
      </w:pPr>
      <w:r>
        <w:fldChar w:fldCharType="begin"/>
      </w:r>
      <w:r>
        <w:instrText xml:space="preserve"> HYPERLINK \l _Toc21687 </w:instrText>
      </w:r>
      <w:r>
        <w:fldChar w:fldCharType="separate"/>
      </w:r>
      <w:r>
        <w:rPr>
          <w:rFonts w:hint="eastAsia" w:ascii="黑体" w:eastAsia="黑体"/>
        </w:rPr>
        <w:t>15 LCC数据文件</w:t>
      </w:r>
      <w:r>
        <w:tab/>
      </w:r>
      <w:r>
        <w:fldChar w:fldCharType="begin"/>
      </w:r>
      <w:r>
        <w:instrText xml:space="preserve"> PAGEREF _Toc21687 \h </w:instrText>
      </w:r>
      <w:r>
        <w:fldChar w:fldCharType="separate"/>
      </w:r>
      <w:r>
        <w:t>24</w:t>
      </w:r>
      <w:r>
        <w:fldChar w:fldCharType="end"/>
      </w:r>
      <w:r>
        <w:fldChar w:fldCharType="end"/>
      </w:r>
    </w:p>
    <w:p>
      <w:pPr>
        <w:pStyle w:val="9"/>
        <w:tabs>
          <w:tab w:val="right" w:leader="dot" w:pos="8306"/>
        </w:tabs>
      </w:pPr>
      <w:r>
        <w:fldChar w:fldCharType="begin"/>
      </w:r>
      <w:r>
        <w:instrText xml:space="preserve"> HYPERLINK \l _Toc1191 </w:instrText>
      </w:r>
      <w:r>
        <w:fldChar w:fldCharType="separate"/>
      </w:r>
      <w:r>
        <w:rPr>
          <w:rFonts w:hint="eastAsia" w:ascii="黑体" w:eastAsia="黑体"/>
        </w:rPr>
        <w:t>16 技术差异表</w:t>
      </w:r>
      <w:r>
        <w:tab/>
      </w:r>
      <w:r>
        <w:fldChar w:fldCharType="begin"/>
      </w:r>
      <w:r>
        <w:instrText xml:space="preserve"> PAGEREF _Toc1191 \h </w:instrText>
      </w:r>
      <w:r>
        <w:fldChar w:fldCharType="separate"/>
      </w:r>
      <w:r>
        <w:t>24</w:t>
      </w:r>
      <w:r>
        <w:fldChar w:fldCharType="end"/>
      </w:r>
      <w:r>
        <w:fldChar w:fldCharType="end"/>
      </w:r>
    </w:p>
    <w:p>
      <w:pPr>
        <w:pStyle w:val="9"/>
        <w:tabs>
          <w:tab w:val="right" w:leader="dot" w:pos="8306"/>
        </w:tabs>
      </w:pPr>
      <w:r>
        <w:fldChar w:fldCharType="begin"/>
      </w:r>
      <w:r>
        <w:instrText xml:space="preserve"> HYPERLINK \l _Toc21774 </w:instrText>
      </w:r>
      <w:r>
        <w:fldChar w:fldCharType="separate"/>
      </w:r>
      <w:r>
        <w:rPr>
          <w:rFonts w:hint="eastAsia" w:ascii="黑体" w:eastAsia="黑体"/>
        </w:rPr>
        <w:t>17投标方需说明的其他问题</w:t>
      </w:r>
      <w:r>
        <w:tab/>
      </w:r>
      <w:r>
        <w:fldChar w:fldCharType="begin"/>
      </w:r>
      <w:r>
        <w:instrText xml:space="preserve"> PAGEREF _Toc21774 \h </w:instrText>
      </w:r>
      <w:r>
        <w:fldChar w:fldCharType="separate"/>
      </w:r>
      <w:r>
        <w:t>24</w:t>
      </w:r>
      <w:r>
        <w:fldChar w:fldCharType="end"/>
      </w:r>
      <w:r>
        <w:fldChar w:fldCharType="end"/>
      </w:r>
    </w:p>
    <w:p>
      <w:pPr>
        <w:adjustRightInd w:val="0"/>
        <w:snapToGrid w:val="0"/>
        <w:rPr>
          <w:rFonts w:ascii="宋体" w:hAnsi="宋体"/>
          <w:szCs w:val="21"/>
        </w:rPr>
        <w:sectPr>
          <w:pgSz w:w="11906" w:h="16838"/>
          <w:pgMar w:top="1440" w:right="1800" w:bottom="1440" w:left="1800" w:header="851" w:footer="992" w:gutter="0"/>
          <w:pgNumType w:fmt="upperRoman" w:start="0"/>
          <w:cols w:space="425" w:num="1"/>
          <w:titlePg/>
          <w:docGrid w:type="lines" w:linePitch="312" w:charSpace="0"/>
        </w:sectPr>
      </w:pPr>
      <w:r>
        <w:fldChar w:fldCharType="end"/>
      </w:r>
    </w:p>
    <w:p>
      <w:pPr>
        <w:pStyle w:val="2"/>
        <w:numPr>
          <w:ilvl w:val="0"/>
          <w:numId w:val="0"/>
        </w:numPr>
        <w:snapToGrid/>
        <w:spacing w:before="0" w:beforeLines="0" w:line="480" w:lineRule="auto"/>
        <w:rPr>
          <w:rFonts w:ascii="黑体" w:eastAsia="黑体"/>
        </w:rPr>
      </w:pPr>
      <w:bookmarkStart w:id="1" w:name="_Toc229476507"/>
      <w:bookmarkEnd w:id="1"/>
      <w:bookmarkStart w:id="2" w:name="_Toc229476588"/>
      <w:bookmarkEnd w:id="2"/>
      <w:bookmarkStart w:id="3" w:name="_Toc229476378"/>
      <w:bookmarkEnd w:id="3"/>
      <w:bookmarkStart w:id="4" w:name="_Toc229476473"/>
      <w:bookmarkEnd w:id="4"/>
      <w:bookmarkStart w:id="5" w:name="_Toc112756677"/>
      <w:bookmarkStart w:id="6" w:name="_Toc403567335"/>
      <w:bookmarkStart w:id="7" w:name="_Toc13776"/>
      <w:r>
        <w:rPr>
          <w:rFonts w:hint="eastAsia" w:ascii="黑体" w:eastAsia="黑体"/>
        </w:rPr>
        <w:t xml:space="preserve">1 </w:t>
      </w:r>
      <w:bookmarkEnd w:id="5"/>
      <w:r>
        <w:rPr>
          <w:rFonts w:hint="eastAsia" w:ascii="黑体" w:eastAsia="黑体"/>
        </w:rPr>
        <w:t>总则</w:t>
      </w:r>
      <w:bookmarkEnd w:id="6"/>
      <w:bookmarkEnd w:id="7"/>
    </w:p>
    <w:p>
      <w:pPr>
        <w:pStyle w:val="15"/>
        <w:adjustRightInd w:val="0"/>
        <w:snapToGrid w:val="0"/>
        <w:spacing w:line="360" w:lineRule="auto"/>
        <w:ind w:firstLine="0" w:firstLineChars="0"/>
        <w:rPr>
          <w:rFonts w:eastAsia="宋体" w:cs="Times New Roman"/>
          <w:szCs w:val="21"/>
        </w:rPr>
      </w:pPr>
      <w:bookmarkStart w:id="8" w:name="_Toc112756678"/>
      <w:r>
        <w:rPr>
          <w:rFonts w:ascii="黑体" w:hAnsi="黑体" w:eastAsia="黑体" w:cs="Times New Roman"/>
          <w:szCs w:val="21"/>
        </w:rPr>
        <w:t>1.1</w:t>
      </w:r>
      <w:r>
        <w:rPr>
          <w:rFonts w:eastAsia="宋体" w:cs="Times New Roman"/>
          <w:szCs w:val="21"/>
        </w:rPr>
        <w:t xml:space="preserve">  </w:t>
      </w:r>
      <w:r>
        <w:rPr>
          <w:rFonts w:hint="eastAsia" w:eastAsia="宋体" w:cs="Times New Roman"/>
          <w:szCs w:val="21"/>
        </w:rPr>
        <w:t>本招标技术文件适用于</w:t>
      </w:r>
      <w:r>
        <w:rPr>
          <w:rFonts w:hint="eastAsia"/>
          <w:szCs w:val="21"/>
        </w:rPr>
        <w:t>深圳供电局有限公司</w:t>
      </w:r>
      <w:r>
        <w:rPr>
          <w:rFonts w:hint="eastAsia" w:eastAsia="宋体" w:cs="Times New Roman"/>
          <w:szCs w:val="21"/>
        </w:rPr>
        <w:t>采购的</w:t>
      </w:r>
      <w:r>
        <w:rPr>
          <w:rFonts w:hint="eastAsia" w:eastAsia="宋体" w:cs="Times New Roman"/>
          <w:szCs w:val="21"/>
          <w:u w:val="single"/>
          <w:lang w:val="en-US" w:eastAsia="zh-CN"/>
        </w:rPr>
        <w:t>在线</w:t>
      </w:r>
      <w:r>
        <w:rPr>
          <w:rFonts w:hint="eastAsia"/>
          <w:szCs w:val="21"/>
          <w:u w:val="single"/>
          <w:lang w:val="en-US" w:eastAsia="zh-CN"/>
        </w:rPr>
        <w:t>稳控系统</w:t>
      </w:r>
      <w:r>
        <w:rPr>
          <w:rFonts w:hint="eastAsia"/>
          <w:szCs w:val="21"/>
          <w:u w:val="single"/>
        </w:rPr>
        <w:t>控制子站</w:t>
      </w:r>
      <w:r>
        <w:rPr>
          <w:rFonts w:hint="eastAsia" w:eastAsia="宋体" w:cs="Times New Roman"/>
          <w:szCs w:val="21"/>
        </w:rPr>
        <w:t>，</w:t>
      </w:r>
      <w:r>
        <w:rPr>
          <w:rFonts w:eastAsia="宋体" w:cs="Times New Roman"/>
          <w:szCs w:val="21"/>
        </w:rPr>
        <w:t xml:space="preserve"> </w:t>
      </w:r>
      <w:r>
        <w:rPr>
          <w:rFonts w:hint="eastAsia" w:eastAsia="宋体" w:cs="Times New Roman"/>
          <w:szCs w:val="21"/>
        </w:rPr>
        <w:t>它提出了该设备本体及附属设备的功能设计、结构、性能、安装和试验等方面的技术要求。</w:t>
      </w:r>
    </w:p>
    <w:p>
      <w:pPr>
        <w:pStyle w:val="15"/>
        <w:adjustRightInd w:val="0"/>
        <w:snapToGrid w:val="0"/>
        <w:spacing w:line="360" w:lineRule="auto"/>
        <w:ind w:firstLine="0" w:firstLineChars="0"/>
        <w:rPr>
          <w:rFonts w:eastAsia="宋体" w:cs="Times New Roman"/>
          <w:szCs w:val="21"/>
        </w:rPr>
      </w:pPr>
      <w:r>
        <w:rPr>
          <w:rFonts w:ascii="黑体" w:hAnsi="黑体" w:eastAsia="黑体" w:cs="Times New Roman"/>
          <w:szCs w:val="21"/>
        </w:rPr>
        <w:t>1.2</w:t>
      </w:r>
      <w:r>
        <w:rPr>
          <w:rFonts w:eastAsia="宋体" w:cs="Times New Roman"/>
          <w:szCs w:val="21"/>
        </w:rPr>
        <w:t xml:space="preserve">  </w:t>
      </w:r>
      <w:r>
        <w:rPr>
          <w:rFonts w:hint="eastAsia" w:eastAsia="宋体" w:cs="Times New Roman"/>
          <w:szCs w:val="21"/>
        </w:rPr>
        <w:t>本设备招标技术文件提出的是最低限度的技术要求。凡本招标技术文件中未规定，但在相关设备的行业标准、国家标准或</w:t>
      </w:r>
      <w:r>
        <w:rPr>
          <w:rFonts w:eastAsia="宋体" w:cs="Times New Roman"/>
          <w:szCs w:val="21"/>
        </w:rPr>
        <w:t>IEC</w:t>
      </w:r>
      <w:r>
        <w:rPr>
          <w:rFonts w:hint="eastAsia" w:eastAsia="宋体" w:cs="Times New Roman"/>
          <w:szCs w:val="21"/>
        </w:rPr>
        <w:t>标准中有规定的规范条文，投标方应按相应标准的条文进行设备设计、制造、试验和安装。对国家有关安全、环保等强制性标准，必须满足其要求</w:t>
      </w:r>
      <w:r>
        <w:rPr>
          <w:rFonts w:eastAsia="宋体" w:cs="Times New Roman"/>
          <w:szCs w:val="21"/>
        </w:rPr>
        <w:t>（如压力容器、高电压设备等）</w:t>
      </w:r>
      <w:r>
        <w:rPr>
          <w:rFonts w:hint="eastAsia" w:eastAsia="宋体" w:cs="Times New Roman"/>
          <w:szCs w:val="21"/>
        </w:rPr>
        <w:t>。</w:t>
      </w:r>
    </w:p>
    <w:p>
      <w:pPr>
        <w:pStyle w:val="15"/>
        <w:adjustRightInd w:val="0"/>
        <w:snapToGrid w:val="0"/>
        <w:spacing w:line="360" w:lineRule="auto"/>
        <w:ind w:firstLine="0" w:firstLineChars="0"/>
        <w:rPr>
          <w:rFonts w:eastAsia="宋体" w:cs="Times New Roman"/>
          <w:szCs w:val="21"/>
        </w:rPr>
      </w:pPr>
      <w:r>
        <w:rPr>
          <w:rFonts w:ascii="黑体" w:hAnsi="黑体" w:eastAsia="黑体" w:cs="Times New Roman"/>
          <w:szCs w:val="21"/>
        </w:rPr>
        <w:t>1.3</w:t>
      </w:r>
      <w:r>
        <w:rPr>
          <w:rFonts w:eastAsia="宋体" w:cs="Times New Roman"/>
          <w:szCs w:val="21"/>
        </w:rPr>
        <w:t xml:space="preserve">  </w:t>
      </w:r>
      <w:r>
        <w:rPr>
          <w:rFonts w:hint="eastAsia" w:eastAsia="宋体" w:cs="Times New Roman"/>
          <w:szCs w:val="21"/>
        </w:rPr>
        <w:t>如果投标方没有以书面形式对本招标技术文件的条文提出异议，</w:t>
      </w:r>
      <w:r>
        <w:rPr>
          <w:rFonts w:eastAsia="宋体" w:cs="Times New Roman"/>
          <w:szCs w:val="21"/>
        </w:rPr>
        <w:t xml:space="preserve"> </w:t>
      </w:r>
      <w:r>
        <w:rPr>
          <w:rFonts w:hint="eastAsia" w:eastAsia="宋体" w:cs="Times New Roman"/>
          <w:szCs w:val="21"/>
        </w:rPr>
        <w:t>则意味着投标方提供的设备完全符合本招标技术文件的要求。如有异议，不管是多么微小，都应在报价书中以“对招标技术文件的意见和同招标技术文件的差异”为标题的专门章节中加以详细描述。</w:t>
      </w:r>
    </w:p>
    <w:p>
      <w:pPr>
        <w:pStyle w:val="15"/>
        <w:adjustRightInd w:val="0"/>
        <w:snapToGrid w:val="0"/>
        <w:spacing w:line="360" w:lineRule="auto"/>
        <w:ind w:firstLine="0" w:firstLineChars="0"/>
        <w:rPr>
          <w:rFonts w:eastAsia="宋体" w:cs="Times New Roman"/>
          <w:szCs w:val="21"/>
        </w:rPr>
      </w:pPr>
      <w:r>
        <w:rPr>
          <w:rFonts w:ascii="黑体" w:hAnsi="黑体" w:eastAsia="黑体" w:cs="Times New Roman"/>
          <w:szCs w:val="21"/>
        </w:rPr>
        <w:t xml:space="preserve">1.4 </w:t>
      </w:r>
      <w:r>
        <w:rPr>
          <w:rFonts w:eastAsia="宋体" w:cs="Times New Roman"/>
          <w:szCs w:val="21"/>
        </w:rPr>
        <w:t xml:space="preserve"> </w:t>
      </w:r>
      <w:r>
        <w:rPr>
          <w:rFonts w:hint="eastAsia" w:eastAsia="宋体" w:cs="Times New Roman"/>
          <w:szCs w:val="21"/>
        </w:rPr>
        <w:t>本招标技术文件所使用的标准如遇与投标方所执行的标准不一致时，按较高标准执行。</w:t>
      </w:r>
    </w:p>
    <w:p>
      <w:pPr>
        <w:pStyle w:val="15"/>
        <w:adjustRightInd w:val="0"/>
        <w:snapToGrid w:val="0"/>
        <w:spacing w:line="360" w:lineRule="auto"/>
        <w:ind w:firstLine="0" w:firstLineChars="0"/>
        <w:rPr>
          <w:rFonts w:ascii="宋体" w:hAnsi="宋体" w:eastAsia="宋体" w:cs="Times New Roman"/>
          <w:sz w:val="24"/>
          <w:szCs w:val="24"/>
        </w:rPr>
      </w:pPr>
      <w:r>
        <w:rPr>
          <w:rFonts w:ascii="黑体" w:hAnsi="黑体" w:eastAsia="黑体" w:cs="Times New Roman"/>
          <w:szCs w:val="21"/>
        </w:rPr>
        <w:t>1.5</w:t>
      </w:r>
      <w:r>
        <w:rPr>
          <w:rFonts w:eastAsia="宋体" w:cs="Times New Roman"/>
          <w:szCs w:val="21"/>
        </w:rPr>
        <w:t xml:space="preserve">  </w:t>
      </w:r>
      <w:r>
        <w:rPr>
          <w:rFonts w:hint="eastAsia" w:eastAsia="宋体" w:cs="Times New Roman"/>
          <w:szCs w:val="21"/>
        </w:rPr>
        <w:t>本招标技术文件经招标、投标双方确认后作为订货合同的技术附件，与合同正文具有同等的法律效力。若本</w:t>
      </w:r>
      <w:r>
        <w:rPr>
          <w:rFonts w:hint="eastAsia" w:eastAsia="宋体" w:cs="Times New Roman"/>
          <w:szCs w:val="21"/>
          <w:lang w:eastAsia="zh-CN"/>
        </w:rPr>
        <w:t>规范书</w:t>
      </w:r>
      <w:r>
        <w:rPr>
          <w:rFonts w:hint="eastAsia" w:eastAsia="宋体" w:cs="Times New Roman"/>
          <w:szCs w:val="21"/>
        </w:rPr>
        <w:t>涉及有关商务方面内容，如与招标文件的商务部分矛盾时，以商务部分为准。</w:t>
      </w:r>
    </w:p>
    <w:p>
      <w:pPr>
        <w:pStyle w:val="15"/>
        <w:adjustRightInd w:val="0"/>
        <w:snapToGrid w:val="0"/>
        <w:spacing w:line="360" w:lineRule="auto"/>
        <w:ind w:firstLine="0" w:firstLineChars="0"/>
        <w:rPr>
          <w:rFonts w:eastAsia="宋体" w:cs="Times New Roman"/>
          <w:szCs w:val="21"/>
        </w:rPr>
      </w:pPr>
      <w:r>
        <w:rPr>
          <w:rFonts w:ascii="黑体" w:hAnsi="黑体" w:eastAsia="黑体" w:cs="Times New Roman"/>
          <w:szCs w:val="21"/>
        </w:rPr>
        <w:t>1.6</w:t>
      </w:r>
      <w:r>
        <w:rPr>
          <w:rFonts w:eastAsia="宋体" w:cs="Times New Roman"/>
          <w:szCs w:val="21"/>
        </w:rPr>
        <w:t xml:space="preserve">  </w:t>
      </w:r>
      <w:r>
        <w:rPr>
          <w:rFonts w:hint="eastAsia" w:eastAsia="宋体" w:cs="Times New Roman"/>
          <w:szCs w:val="21"/>
        </w:rPr>
        <w:t>本招标技术文件未尽事宜，由招标、投标双方协商确定。</w:t>
      </w:r>
    </w:p>
    <w:p>
      <w:pPr>
        <w:pStyle w:val="15"/>
        <w:adjustRightInd w:val="0"/>
        <w:snapToGrid w:val="0"/>
        <w:spacing w:line="360" w:lineRule="auto"/>
        <w:ind w:firstLine="0" w:firstLineChars="0"/>
        <w:rPr>
          <w:rFonts w:eastAsia="宋体" w:cs="Times New Roman"/>
          <w:szCs w:val="21"/>
        </w:rPr>
      </w:pPr>
      <w:r>
        <w:rPr>
          <w:rFonts w:hint="eastAsia" w:ascii="黑体" w:hAnsi="黑体" w:eastAsia="黑体" w:cs="Times New Roman"/>
          <w:szCs w:val="21"/>
        </w:rPr>
        <w:t xml:space="preserve">1.7 </w:t>
      </w:r>
      <w:r>
        <w:rPr>
          <w:rFonts w:hint="eastAsia" w:eastAsia="宋体" w:cs="Times New Roman"/>
          <w:szCs w:val="21"/>
        </w:rPr>
        <w:t xml:space="preserve">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15"/>
        <w:adjustRightInd w:val="0"/>
        <w:snapToGrid w:val="0"/>
        <w:spacing w:line="360" w:lineRule="auto"/>
        <w:ind w:firstLine="0" w:firstLineChars="0"/>
        <w:rPr>
          <w:rFonts w:eastAsia="宋体" w:cs="Times New Roman"/>
          <w:szCs w:val="21"/>
        </w:rPr>
      </w:pPr>
      <w:r>
        <w:rPr>
          <w:rFonts w:hint="eastAsia" w:ascii="黑体" w:hAnsi="黑体" w:eastAsia="黑体" w:cs="Times New Roman"/>
          <w:szCs w:val="21"/>
        </w:rPr>
        <w:t xml:space="preserve">1.8 </w:t>
      </w:r>
      <w:r>
        <w:rPr>
          <w:rFonts w:hint="eastAsia" w:eastAsia="宋体" w:cs="Times New Roman"/>
          <w:szCs w:val="21"/>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pPr>
        <w:pStyle w:val="15"/>
        <w:adjustRightInd w:val="0"/>
        <w:snapToGrid w:val="0"/>
        <w:spacing w:line="360" w:lineRule="auto"/>
        <w:ind w:firstLine="0" w:firstLineChars="0"/>
        <w:rPr>
          <w:rFonts w:eastAsia="宋体" w:cs="Times New Roman"/>
          <w:szCs w:val="21"/>
        </w:rPr>
      </w:pPr>
      <w:r>
        <w:rPr>
          <w:rFonts w:hint="eastAsia" w:ascii="黑体" w:hAnsi="黑体" w:eastAsia="黑体" w:cs="Times New Roman"/>
          <w:szCs w:val="21"/>
        </w:rPr>
        <w:t xml:space="preserve">1.9 </w:t>
      </w:r>
      <w:r>
        <w:rPr>
          <w:rFonts w:hint="eastAsia" w:eastAsia="宋体" w:cs="Times New Roman"/>
          <w:szCs w:val="21"/>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2"/>
        <w:numPr>
          <w:ilvl w:val="0"/>
          <w:numId w:val="0"/>
        </w:numPr>
        <w:snapToGrid/>
        <w:spacing w:before="0" w:beforeLines="0" w:line="480" w:lineRule="auto"/>
        <w:rPr>
          <w:rFonts w:ascii="黑体" w:eastAsia="黑体"/>
        </w:rPr>
      </w:pPr>
      <w:bookmarkStart w:id="9" w:name="_Toc30667"/>
      <w:bookmarkStart w:id="10" w:name="_Toc403567336"/>
      <w:r>
        <w:rPr>
          <w:rFonts w:hint="eastAsia" w:ascii="黑体" w:eastAsia="黑体"/>
        </w:rPr>
        <w:t>2 工作范围</w:t>
      </w:r>
      <w:bookmarkEnd w:id="9"/>
      <w:bookmarkEnd w:id="10"/>
    </w:p>
    <w:p>
      <w:pPr>
        <w:pStyle w:val="3"/>
        <w:numPr>
          <w:ilvl w:val="0"/>
          <w:numId w:val="0"/>
        </w:numPr>
        <w:rPr>
          <w:rFonts w:ascii="黑体" w:eastAsia="黑体"/>
        </w:rPr>
      </w:pPr>
      <w:bookmarkStart w:id="11" w:name="_Toc403567337"/>
      <w:bookmarkStart w:id="12" w:name="_Toc14080"/>
      <w:bookmarkStart w:id="13" w:name="_Toc290652071"/>
      <w:r>
        <w:rPr>
          <w:rFonts w:hint="eastAsia" w:ascii="黑体" w:eastAsia="黑体"/>
        </w:rPr>
        <w:t>2</w:t>
      </w:r>
      <w:r>
        <w:rPr>
          <w:rFonts w:ascii="黑体" w:eastAsia="黑体"/>
        </w:rPr>
        <w:t>.1</w:t>
      </w:r>
      <w:r>
        <w:rPr>
          <w:rFonts w:hint="eastAsia" w:ascii="黑体" w:eastAsia="黑体"/>
        </w:rPr>
        <w:t xml:space="preserve"> 工程概况</w:t>
      </w:r>
      <w:bookmarkEnd w:id="11"/>
      <w:bookmarkEnd w:id="12"/>
      <w:bookmarkEnd w:id="13"/>
    </w:p>
    <w:p>
      <w:pPr>
        <w:pStyle w:val="15"/>
        <w:adjustRightInd w:val="0"/>
        <w:snapToGrid w:val="0"/>
        <w:spacing w:line="360" w:lineRule="auto"/>
        <w:rPr>
          <w:rFonts w:eastAsia="宋体" w:cs="Times New Roman"/>
          <w:szCs w:val="21"/>
        </w:rPr>
      </w:pPr>
      <w:r>
        <w:rPr>
          <w:rFonts w:hint="eastAsia" w:eastAsia="宋体" w:cs="Times New Roman"/>
          <w:szCs w:val="21"/>
        </w:rPr>
        <w:t>本</w:t>
      </w:r>
      <w:r>
        <w:rPr>
          <w:rFonts w:hint="eastAsia" w:eastAsia="宋体" w:cs="Times New Roman"/>
          <w:szCs w:val="21"/>
          <w:lang w:eastAsia="zh-CN"/>
        </w:rPr>
        <w:t>规范书</w:t>
      </w:r>
      <w:r>
        <w:rPr>
          <w:rFonts w:hint="eastAsia" w:eastAsia="宋体" w:cs="Times New Roman"/>
          <w:szCs w:val="21"/>
        </w:rPr>
        <w:t>采购的设备适用的工程概况见表2.1：工程概况一览表。</w:t>
      </w:r>
    </w:p>
    <w:p>
      <w:pPr>
        <w:pStyle w:val="16"/>
        <w:adjustRightInd w:val="0"/>
        <w:snapToGrid w:val="0"/>
        <w:spacing w:line="360" w:lineRule="auto"/>
        <w:ind w:firstLine="0" w:firstLineChars="0"/>
        <w:jc w:val="center"/>
        <w:rPr>
          <w:rFonts w:hAnsi="宋体"/>
          <w:szCs w:val="21"/>
        </w:rPr>
      </w:pPr>
      <w:r>
        <w:rPr>
          <w:rFonts w:hint="eastAsia" w:hAnsi="宋体"/>
          <w:szCs w:val="21"/>
        </w:rPr>
        <w:t xml:space="preserve">表2.1 </w:t>
      </w:r>
      <w:r>
        <w:rPr>
          <w:rFonts w:hAnsi="宋体"/>
          <w:szCs w:val="21"/>
        </w:rPr>
        <w:t xml:space="preserve"> </w:t>
      </w:r>
      <w:r>
        <w:rPr>
          <w:rFonts w:hint="eastAsia" w:hAnsi="宋体"/>
          <w:szCs w:val="21"/>
        </w:rPr>
        <w:t>工程概况一览表 （项目单位填写）</w:t>
      </w:r>
    </w:p>
    <w:tbl>
      <w:tblPr>
        <w:tblStyle w:val="11"/>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2509"/>
        <w:gridCol w:w="5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748" w:type="dxa"/>
            <w:vAlign w:val="center"/>
          </w:tcPr>
          <w:p>
            <w:pPr>
              <w:jc w:val="center"/>
            </w:pPr>
            <w:r>
              <w:rPr>
                <w:rFonts w:hint="eastAsia"/>
              </w:rPr>
              <w:t>序号</w:t>
            </w:r>
          </w:p>
        </w:tc>
        <w:tc>
          <w:tcPr>
            <w:tcW w:w="2509" w:type="dxa"/>
            <w:vAlign w:val="center"/>
          </w:tcPr>
          <w:p>
            <w:pPr>
              <w:jc w:val="center"/>
            </w:pPr>
            <w:r>
              <w:rPr>
                <w:rFonts w:hint="eastAsia"/>
              </w:rPr>
              <w:t>名 称</w:t>
            </w:r>
          </w:p>
        </w:tc>
        <w:tc>
          <w:tcPr>
            <w:tcW w:w="5111" w:type="dxa"/>
            <w:vAlign w:val="center"/>
          </w:tcPr>
          <w:p>
            <w:pPr>
              <w:jc w:val="center"/>
            </w:pPr>
            <w:r>
              <w:rPr>
                <w:rFonts w:hint="eastAsia"/>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6" w:hRule="atLeast"/>
          <w:jc w:val="center"/>
        </w:trPr>
        <w:tc>
          <w:tcPr>
            <w:tcW w:w="748" w:type="dxa"/>
            <w:vAlign w:val="center"/>
          </w:tcPr>
          <w:p>
            <w:pPr>
              <w:jc w:val="center"/>
            </w:pPr>
            <w:r>
              <w:rPr>
                <w:rFonts w:hint="eastAsia"/>
              </w:rPr>
              <w:t>1</w:t>
            </w:r>
          </w:p>
        </w:tc>
        <w:tc>
          <w:tcPr>
            <w:tcW w:w="2509" w:type="dxa"/>
            <w:vAlign w:val="center"/>
          </w:tcPr>
          <w:p>
            <w:r>
              <w:rPr>
                <w:rFonts w:hint="eastAsia"/>
              </w:rPr>
              <w:t>工程名称</w:t>
            </w:r>
          </w:p>
        </w:tc>
        <w:tc>
          <w:tcPr>
            <w:tcW w:w="5111" w:type="dxa"/>
            <w:vAlign w:val="center"/>
          </w:tc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48" w:type="dxa"/>
            <w:vAlign w:val="center"/>
          </w:tcPr>
          <w:p>
            <w:pPr>
              <w:jc w:val="center"/>
            </w:pPr>
            <w:r>
              <w:rPr>
                <w:rFonts w:hint="eastAsia"/>
              </w:rPr>
              <w:t>2</w:t>
            </w:r>
          </w:p>
        </w:tc>
        <w:tc>
          <w:tcPr>
            <w:tcW w:w="2509" w:type="dxa"/>
            <w:vAlign w:val="center"/>
          </w:tcPr>
          <w:p>
            <w:r>
              <w:rPr>
                <w:rFonts w:hint="eastAsia"/>
              </w:rPr>
              <w:t>工程建设单位</w:t>
            </w:r>
          </w:p>
        </w:tc>
        <w:tc>
          <w:tcPr>
            <w:tcW w:w="5111" w:type="dxa"/>
            <w:vAlign w:val="center"/>
          </w:tc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48" w:type="dxa"/>
            <w:vAlign w:val="center"/>
          </w:tcPr>
          <w:p>
            <w:pPr>
              <w:jc w:val="center"/>
            </w:pPr>
            <w:r>
              <w:rPr>
                <w:rFonts w:hint="eastAsia"/>
              </w:rPr>
              <w:t>3</w:t>
            </w:r>
          </w:p>
        </w:tc>
        <w:tc>
          <w:tcPr>
            <w:tcW w:w="2509" w:type="dxa"/>
            <w:vAlign w:val="center"/>
          </w:tcPr>
          <w:p>
            <w:r>
              <w:rPr>
                <w:rFonts w:hint="eastAsia"/>
              </w:rPr>
              <w:t>工程地址</w:t>
            </w:r>
          </w:p>
        </w:tc>
        <w:tc>
          <w:tcPr>
            <w:tcW w:w="5111" w:type="dxa"/>
            <w:vAlign w:val="center"/>
          </w:tcPr>
          <w:p>
            <w:pPr>
              <w:rPr>
                <w:rFonts w:hint="default" w:eastAsia="宋体"/>
                <w:lang w:val="en-US" w:eastAsia="zh-CN"/>
              </w:rPr>
            </w:pPr>
          </w:p>
        </w:tc>
      </w:tr>
    </w:tbl>
    <w:p>
      <w:pPr>
        <w:pStyle w:val="3"/>
        <w:numPr>
          <w:ilvl w:val="0"/>
          <w:numId w:val="0"/>
        </w:numPr>
        <w:spacing w:before="156" w:beforeLines="50"/>
        <w:rPr>
          <w:rFonts w:ascii="黑体" w:eastAsia="黑体"/>
        </w:rPr>
      </w:pPr>
      <w:bookmarkStart w:id="14" w:name="_Toc26589"/>
      <w:bookmarkStart w:id="15" w:name="_Toc290652072"/>
      <w:bookmarkStart w:id="16" w:name="_Toc403567338"/>
      <w:r>
        <w:rPr>
          <w:rFonts w:ascii="黑体" w:eastAsia="黑体"/>
        </w:rPr>
        <w:t>2.</w:t>
      </w:r>
      <w:r>
        <w:rPr>
          <w:rFonts w:hint="eastAsia" w:ascii="黑体" w:eastAsia="黑体"/>
        </w:rPr>
        <w:t>2</w:t>
      </w:r>
      <w:r>
        <w:rPr>
          <w:rFonts w:ascii="黑体" w:eastAsia="黑体"/>
        </w:rPr>
        <w:t xml:space="preserve"> 范围和界限</w:t>
      </w:r>
      <w:bookmarkEnd w:id="14"/>
      <w:bookmarkEnd w:id="15"/>
      <w:bookmarkEnd w:id="16"/>
    </w:p>
    <w:p>
      <w:pPr>
        <w:pStyle w:val="15"/>
        <w:adjustRightInd w:val="0"/>
        <w:snapToGrid w:val="0"/>
        <w:spacing w:line="360" w:lineRule="auto"/>
        <w:rPr>
          <w:rFonts w:eastAsia="宋体" w:cs="Times New Roman"/>
          <w:szCs w:val="21"/>
        </w:rPr>
      </w:pPr>
      <w:r>
        <w:rPr>
          <w:rFonts w:eastAsia="宋体" w:cs="Times New Roman"/>
          <w:szCs w:val="21"/>
        </w:rPr>
        <w:t>1）本</w:t>
      </w:r>
      <w:r>
        <w:rPr>
          <w:rFonts w:hint="eastAsia" w:eastAsia="宋体" w:cs="Times New Roman"/>
          <w:szCs w:val="21"/>
          <w:lang w:eastAsia="zh-CN"/>
        </w:rPr>
        <w:t>规范书</w:t>
      </w:r>
      <w:r>
        <w:rPr>
          <w:rFonts w:eastAsia="宋体" w:cs="Times New Roman"/>
          <w:szCs w:val="21"/>
        </w:rPr>
        <w:t>适应于</w:t>
      </w:r>
      <w:r>
        <w:rPr>
          <w:rFonts w:hint="eastAsia" w:eastAsia="宋体" w:cs="Times New Roman"/>
          <w:szCs w:val="21"/>
        </w:rPr>
        <w:t>所供控制</w:t>
      </w:r>
      <w:r>
        <w:rPr>
          <w:rFonts w:eastAsia="宋体" w:cs="Times New Roman"/>
          <w:szCs w:val="21"/>
        </w:rPr>
        <w:t>子站及其附属设备的设计</w:t>
      </w:r>
      <w:r>
        <w:rPr>
          <w:rFonts w:hint="eastAsia" w:eastAsia="宋体" w:cs="Times New Roman"/>
          <w:szCs w:val="21"/>
        </w:rPr>
        <w:t>、</w:t>
      </w:r>
      <w:r>
        <w:rPr>
          <w:rFonts w:eastAsia="宋体" w:cs="Times New Roman"/>
          <w:szCs w:val="21"/>
        </w:rPr>
        <w:t>制造</w:t>
      </w:r>
      <w:r>
        <w:rPr>
          <w:rFonts w:hint="eastAsia" w:eastAsia="宋体" w:cs="Times New Roman"/>
          <w:szCs w:val="21"/>
        </w:rPr>
        <w:t>、</w:t>
      </w:r>
      <w:r>
        <w:rPr>
          <w:rFonts w:eastAsia="宋体" w:cs="Times New Roman"/>
          <w:szCs w:val="21"/>
        </w:rPr>
        <w:t>装配</w:t>
      </w:r>
      <w:r>
        <w:rPr>
          <w:rFonts w:hint="eastAsia" w:eastAsia="宋体" w:cs="Times New Roman"/>
          <w:szCs w:val="21"/>
        </w:rPr>
        <w:t>、</w:t>
      </w:r>
      <w:r>
        <w:rPr>
          <w:rFonts w:eastAsia="宋体" w:cs="Times New Roman"/>
          <w:szCs w:val="21"/>
        </w:rPr>
        <w:t>工厂试验</w:t>
      </w:r>
      <w:r>
        <w:rPr>
          <w:rFonts w:hint="eastAsia" w:eastAsia="宋体" w:cs="Times New Roman"/>
          <w:szCs w:val="21"/>
        </w:rPr>
        <w:t>、</w:t>
      </w:r>
      <w:r>
        <w:rPr>
          <w:rFonts w:eastAsia="宋体" w:cs="Times New Roman"/>
          <w:szCs w:val="21"/>
        </w:rPr>
        <w:t>交付</w:t>
      </w:r>
      <w:r>
        <w:rPr>
          <w:rFonts w:hint="eastAsia" w:eastAsia="宋体" w:cs="Times New Roman"/>
          <w:szCs w:val="21"/>
        </w:rPr>
        <w:t>、</w:t>
      </w:r>
      <w:r>
        <w:rPr>
          <w:rFonts w:eastAsia="宋体" w:cs="Times New Roman"/>
          <w:szCs w:val="21"/>
        </w:rPr>
        <w:t>现场安装和试验的指导、监督以及试运行工作。</w:t>
      </w:r>
    </w:p>
    <w:p>
      <w:pPr>
        <w:pStyle w:val="15"/>
        <w:adjustRightInd w:val="0"/>
        <w:snapToGrid w:val="0"/>
        <w:spacing w:line="360" w:lineRule="auto"/>
        <w:rPr>
          <w:rFonts w:eastAsia="宋体" w:cs="Times New Roman"/>
          <w:szCs w:val="21"/>
        </w:rPr>
      </w:pPr>
      <w:r>
        <w:rPr>
          <w:rFonts w:hint="eastAsia" w:eastAsia="宋体" w:cs="Times New Roman"/>
          <w:szCs w:val="21"/>
        </w:rPr>
        <w:t>2</w:t>
      </w:r>
      <w:r>
        <w:rPr>
          <w:rFonts w:eastAsia="宋体" w:cs="Times New Roman"/>
          <w:szCs w:val="21"/>
        </w:rPr>
        <w:t>）现场安装和试验在投标方的技术指导和监督下由招标方完成。</w:t>
      </w:r>
    </w:p>
    <w:p>
      <w:pPr>
        <w:pStyle w:val="15"/>
        <w:adjustRightInd w:val="0"/>
        <w:snapToGrid w:val="0"/>
        <w:spacing w:line="360" w:lineRule="auto"/>
        <w:rPr>
          <w:rFonts w:eastAsia="宋体" w:cs="Times New Roman"/>
          <w:szCs w:val="21"/>
        </w:rPr>
      </w:pPr>
      <w:r>
        <w:rPr>
          <w:rFonts w:hint="eastAsia" w:eastAsia="宋体" w:cs="Times New Roman"/>
          <w:szCs w:val="21"/>
        </w:rPr>
        <w:t>3）</w:t>
      </w:r>
      <w:r>
        <w:rPr>
          <w:rFonts w:eastAsia="宋体" w:cs="Times New Roman"/>
          <w:szCs w:val="21"/>
        </w:rPr>
        <w:t>本</w:t>
      </w:r>
      <w:r>
        <w:rPr>
          <w:rFonts w:hint="eastAsia" w:eastAsia="宋体" w:cs="Times New Roman"/>
          <w:szCs w:val="21"/>
          <w:lang w:eastAsia="zh-CN"/>
        </w:rPr>
        <w:t>规范书</w:t>
      </w:r>
      <w:r>
        <w:rPr>
          <w:rFonts w:eastAsia="宋体" w:cs="Times New Roman"/>
          <w:szCs w:val="21"/>
        </w:rPr>
        <w:t>未说明</w:t>
      </w:r>
      <w:r>
        <w:rPr>
          <w:rFonts w:hint="eastAsia" w:eastAsia="宋体" w:cs="Times New Roman"/>
          <w:szCs w:val="21"/>
        </w:rPr>
        <w:t>，</w:t>
      </w:r>
      <w:r>
        <w:rPr>
          <w:rFonts w:eastAsia="宋体" w:cs="Times New Roman"/>
          <w:szCs w:val="21"/>
        </w:rPr>
        <w:t>但又与设计、制造、装配、试验、运输、包装、保管、安装和运行维护有关的技术要求</w:t>
      </w:r>
      <w:r>
        <w:rPr>
          <w:rFonts w:hint="eastAsia" w:eastAsia="宋体" w:cs="Times New Roman"/>
          <w:szCs w:val="21"/>
        </w:rPr>
        <w:t>，</w:t>
      </w:r>
      <w:r>
        <w:rPr>
          <w:rFonts w:eastAsia="宋体" w:cs="Times New Roman"/>
          <w:szCs w:val="21"/>
        </w:rPr>
        <w:t>按条款</w:t>
      </w:r>
      <w:r>
        <w:rPr>
          <w:rFonts w:hint="eastAsia" w:eastAsia="宋体" w:cs="Times New Roman"/>
          <w:szCs w:val="21"/>
        </w:rPr>
        <w:t>2</w:t>
      </w:r>
      <w:r>
        <w:rPr>
          <w:rFonts w:eastAsia="宋体" w:cs="Times New Roman"/>
          <w:szCs w:val="21"/>
        </w:rPr>
        <w:t>所规定的有关标准执行。</w:t>
      </w:r>
    </w:p>
    <w:p>
      <w:pPr>
        <w:pStyle w:val="3"/>
        <w:numPr>
          <w:ilvl w:val="0"/>
          <w:numId w:val="0"/>
        </w:numPr>
        <w:rPr>
          <w:rFonts w:ascii="黑体" w:eastAsia="黑体"/>
        </w:rPr>
      </w:pPr>
      <w:bookmarkStart w:id="17" w:name="_Toc290652073"/>
      <w:bookmarkStart w:id="18" w:name="_Toc20483"/>
      <w:bookmarkStart w:id="19" w:name="_Toc403567339"/>
      <w:r>
        <w:rPr>
          <w:rFonts w:ascii="黑体" w:eastAsia="黑体"/>
        </w:rPr>
        <w:t>2.</w:t>
      </w:r>
      <w:r>
        <w:rPr>
          <w:rFonts w:hint="eastAsia" w:ascii="黑体" w:eastAsia="黑体"/>
        </w:rPr>
        <w:t>3</w:t>
      </w:r>
      <w:r>
        <w:rPr>
          <w:rFonts w:ascii="黑体" w:eastAsia="黑体"/>
        </w:rPr>
        <w:t xml:space="preserve"> 服务范围</w:t>
      </w:r>
      <w:bookmarkEnd w:id="17"/>
      <w:bookmarkEnd w:id="18"/>
      <w:bookmarkEnd w:id="19"/>
    </w:p>
    <w:p>
      <w:pPr>
        <w:pStyle w:val="15"/>
        <w:adjustRightInd w:val="0"/>
        <w:snapToGrid w:val="0"/>
        <w:spacing w:line="360" w:lineRule="auto"/>
        <w:rPr>
          <w:rFonts w:eastAsia="宋体" w:cs="Times New Roman"/>
          <w:szCs w:val="21"/>
        </w:rPr>
      </w:pPr>
      <w:r>
        <w:rPr>
          <w:rFonts w:eastAsia="宋体" w:cs="Times New Roman"/>
          <w:szCs w:val="21"/>
        </w:rPr>
        <w:t>1）投标方应按本</w:t>
      </w:r>
      <w:r>
        <w:rPr>
          <w:rFonts w:hint="eastAsia" w:eastAsia="宋体" w:cs="Times New Roman"/>
          <w:szCs w:val="21"/>
          <w:lang w:eastAsia="zh-CN"/>
        </w:rPr>
        <w:t>规范书</w:t>
      </w:r>
      <w:r>
        <w:rPr>
          <w:rFonts w:eastAsia="宋体" w:cs="Times New Roman"/>
          <w:szCs w:val="21"/>
        </w:rPr>
        <w:t>的要求提供全新的、合格的</w:t>
      </w:r>
      <w:r>
        <w:rPr>
          <w:rFonts w:hint="eastAsia" w:eastAsia="宋体" w:cs="Times New Roman"/>
          <w:szCs w:val="21"/>
        </w:rPr>
        <w:t>控制子站</w:t>
      </w:r>
      <w:r>
        <w:rPr>
          <w:rFonts w:eastAsia="宋体" w:cs="Times New Roman"/>
          <w:szCs w:val="21"/>
        </w:rPr>
        <w:t>及其附</w:t>
      </w:r>
      <w:r>
        <w:rPr>
          <w:rFonts w:hint="eastAsia" w:eastAsia="宋体" w:cs="Times New Roman"/>
          <w:szCs w:val="21"/>
        </w:rPr>
        <w:t>件</w:t>
      </w:r>
      <w:r>
        <w:rPr>
          <w:rFonts w:eastAsia="宋体" w:cs="Times New Roman"/>
          <w:szCs w:val="21"/>
        </w:rPr>
        <w:t>、备品备件、专用工具和仪器。</w:t>
      </w:r>
    </w:p>
    <w:p>
      <w:pPr>
        <w:pStyle w:val="15"/>
        <w:adjustRightInd w:val="0"/>
        <w:snapToGrid w:val="0"/>
        <w:spacing w:line="360" w:lineRule="auto"/>
        <w:rPr>
          <w:rFonts w:eastAsia="宋体" w:cs="Times New Roman"/>
          <w:szCs w:val="21"/>
        </w:rPr>
      </w:pPr>
      <w:r>
        <w:rPr>
          <w:rFonts w:eastAsia="宋体" w:cs="Times New Roman"/>
          <w:szCs w:val="21"/>
        </w:rPr>
        <w:t>投标方所提供的组件或附件如需向第三方外购时</w:t>
      </w:r>
      <w:r>
        <w:rPr>
          <w:rFonts w:hint="eastAsia" w:eastAsia="宋体" w:cs="Times New Roman"/>
          <w:szCs w:val="21"/>
        </w:rPr>
        <w:t>，投标方</w:t>
      </w:r>
      <w:r>
        <w:rPr>
          <w:rFonts w:eastAsia="宋体" w:cs="Times New Roman"/>
          <w:szCs w:val="21"/>
        </w:rPr>
        <w:t>应对</w:t>
      </w:r>
      <w:r>
        <w:rPr>
          <w:rFonts w:hint="eastAsia" w:eastAsia="宋体" w:cs="Times New Roman"/>
          <w:szCs w:val="21"/>
        </w:rPr>
        <w:t>其</w:t>
      </w:r>
      <w:r>
        <w:rPr>
          <w:rFonts w:eastAsia="宋体" w:cs="Times New Roman"/>
          <w:szCs w:val="21"/>
        </w:rPr>
        <w:t>质量向招标方负责</w:t>
      </w:r>
      <w:r>
        <w:rPr>
          <w:rFonts w:hint="eastAsia" w:eastAsia="宋体" w:cs="Times New Roman"/>
          <w:szCs w:val="21"/>
        </w:rPr>
        <w:t>，</w:t>
      </w:r>
      <w:r>
        <w:rPr>
          <w:rFonts w:eastAsia="宋体" w:cs="Times New Roman"/>
          <w:szCs w:val="21"/>
        </w:rPr>
        <w:t>并提供相应出厂和验收证明。</w:t>
      </w:r>
    </w:p>
    <w:p>
      <w:pPr>
        <w:pStyle w:val="15"/>
        <w:adjustRightInd w:val="0"/>
        <w:snapToGrid w:val="0"/>
        <w:spacing w:line="360" w:lineRule="auto"/>
        <w:rPr>
          <w:rFonts w:eastAsia="宋体" w:cs="Times New Roman"/>
          <w:szCs w:val="21"/>
        </w:rPr>
      </w:pPr>
      <w:r>
        <w:rPr>
          <w:rFonts w:hint="eastAsia" w:eastAsia="宋体" w:cs="Times New Roman"/>
          <w:szCs w:val="21"/>
        </w:rPr>
        <w:t>2）供货范围</w:t>
      </w:r>
      <w:bookmarkStart w:id="20" w:name="_Toc283011667"/>
      <w:bookmarkStart w:id="21" w:name="_Toc282433715"/>
      <w:bookmarkStart w:id="22" w:name="_Toc283142589"/>
      <w:r>
        <w:rPr>
          <w:rFonts w:hint="eastAsia" w:eastAsia="宋体" w:cs="Times New Roman"/>
          <w:szCs w:val="21"/>
        </w:rPr>
        <w:t>一览表</w:t>
      </w:r>
      <w:bookmarkEnd w:id="20"/>
      <w:bookmarkEnd w:id="21"/>
      <w:bookmarkEnd w:id="22"/>
    </w:p>
    <w:p>
      <w:pPr>
        <w:pStyle w:val="15"/>
        <w:adjustRightInd w:val="0"/>
        <w:snapToGrid w:val="0"/>
        <w:spacing w:line="360" w:lineRule="auto"/>
        <w:rPr>
          <w:rFonts w:eastAsia="宋体" w:cs="Times New Roman"/>
          <w:szCs w:val="21"/>
        </w:rPr>
      </w:pPr>
      <w:r>
        <w:rPr>
          <w:rFonts w:eastAsia="宋体" w:cs="Times New Roman"/>
          <w:szCs w:val="21"/>
        </w:rPr>
        <w:t>投标方</w:t>
      </w:r>
      <w:r>
        <w:rPr>
          <w:rFonts w:hint="eastAsia" w:eastAsia="宋体" w:cs="Times New Roman"/>
          <w:szCs w:val="21"/>
        </w:rPr>
        <w:t>提供的</w:t>
      </w:r>
      <w:r>
        <w:rPr>
          <w:rFonts w:hint="eastAsia" w:eastAsia="宋体" w:cs="Times New Roman"/>
          <w:b/>
          <w:bCs/>
          <w:szCs w:val="21"/>
        </w:rPr>
        <w:t>单个站点</w:t>
      </w:r>
      <w:r>
        <w:rPr>
          <w:rFonts w:hint="eastAsia" w:eastAsia="宋体" w:cs="Times New Roman"/>
          <w:szCs w:val="21"/>
        </w:rPr>
        <w:t>设备及其附件的具体规格、数量见表2.2：供货范围及设备技术规格一览表。投标方应如实填写“投标方保证”栏。</w:t>
      </w:r>
    </w:p>
    <w:p>
      <w:pPr>
        <w:pStyle w:val="16"/>
        <w:adjustRightInd w:val="0"/>
        <w:snapToGrid w:val="0"/>
        <w:spacing w:line="360" w:lineRule="auto"/>
        <w:ind w:firstLine="199" w:firstLineChars="95"/>
        <w:jc w:val="center"/>
        <w:rPr>
          <w:rFonts w:hAnsi="宋体"/>
          <w:szCs w:val="21"/>
        </w:rPr>
      </w:pPr>
      <w:r>
        <w:rPr>
          <w:rFonts w:hint="eastAsia" w:hAnsi="宋体"/>
          <w:szCs w:val="21"/>
        </w:rPr>
        <w:t>表2.2  供货范围及设备技术规格一览表（项目单位填写）</w:t>
      </w:r>
    </w:p>
    <w:p>
      <w:pPr>
        <w:pStyle w:val="15"/>
        <w:adjustRightInd w:val="0"/>
        <w:snapToGrid w:val="0"/>
        <w:spacing w:before="156" w:beforeLines="50" w:line="360" w:lineRule="auto"/>
        <w:ind w:right="844" w:firstLine="422"/>
        <w:jc w:val="center"/>
        <w:rPr>
          <w:rFonts w:hAnsi="宋体"/>
          <w:szCs w:val="21"/>
        </w:rPr>
      </w:pPr>
      <w:r>
        <w:rPr>
          <w:rFonts w:hint="eastAsia" w:eastAsia="宋体" w:cs="Times New Roman"/>
          <w:b/>
          <w:bCs/>
          <w:szCs w:val="21"/>
        </w:rPr>
        <w:t>注：表2-2为单个站点</w:t>
      </w:r>
      <w:r>
        <w:rPr>
          <w:rFonts w:hint="eastAsia" w:eastAsia="宋体" w:cs="Times New Roman"/>
          <w:b/>
          <w:bCs/>
          <w:szCs w:val="21"/>
          <w:lang w:val="en-US" w:eastAsia="zh-CN"/>
        </w:rPr>
        <w:t>单</w:t>
      </w:r>
      <w:r>
        <w:rPr>
          <w:rFonts w:hint="eastAsia" w:eastAsia="宋体" w:cs="Times New Roman"/>
          <w:b/>
          <w:bCs/>
          <w:szCs w:val="21"/>
        </w:rPr>
        <w:t>套配置，本项目要求按</w:t>
      </w:r>
      <w:r>
        <w:rPr>
          <w:rFonts w:hint="eastAsia" w:eastAsia="宋体" w:cs="Times New Roman"/>
          <w:b/>
          <w:bCs/>
          <w:szCs w:val="21"/>
          <w:highlight w:val="none"/>
          <w:lang w:val="en-US" w:eastAsia="zh-CN"/>
        </w:rPr>
        <w:t>X</w:t>
      </w:r>
      <w:r>
        <w:rPr>
          <w:rFonts w:hint="eastAsia" w:eastAsia="宋体" w:cs="Times New Roman"/>
          <w:b/>
          <w:bCs/>
          <w:szCs w:val="21"/>
        </w:rPr>
        <w:t>个站点配置</w:t>
      </w:r>
    </w:p>
    <w:tbl>
      <w:tblPr>
        <w:tblStyle w:val="11"/>
        <w:tblW w:w="83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498"/>
        <w:gridCol w:w="677"/>
        <w:gridCol w:w="234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343" w:type="dxa"/>
            <w:vMerge w:val="restart"/>
            <w:vAlign w:val="center"/>
          </w:tcPr>
          <w:p>
            <w:pPr>
              <w:jc w:val="center"/>
              <w:rPr>
                <w:rFonts w:ascii="宋体" w:hAnsi="宋体"/>
              </w:rPr>
            </w:pPr>
            <w:r>
              <w:rPr>
                <w:rFonts w:hint="eastAsia" w:ascii="宋体" w:hAnsi="宋体"/>
              </w:rPr>
              <w:t>序号</w:t>
            </w:r>
          </w:p>
        </w:tc>
        <w:tc>
          <w:tcPr>
            <w:tcW w:w="1498" w:type="dxa"/>
            <w:vMerge w:val="restart"/>
            <w:vAlign w:val="center"/>
          </w:tcPr>
          <w:p>
            <w:pPr>
              <w:jc w:val="cente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677" w:type="dxa"/>
            <w:vMerge w:val="restart"/>
            <w:tcBorders>
              <w:right w:val="single" w:color="auto" w:sz="4" w:space="0"/>
            </w:tcBorders>
            <w:vAlign w:val="center"/>
          </w:tcPr>
          <w:p>
            <w:pPr>
              <w:jc w:val="center"/>
              <w:rPr>
                <w:rFonts w:ascii="宋体" w:hAnsi="宋体"/>
              </w:rPr>
            </w:pPr>
            <w:r>
              <w:rPr>
                <w:rFonts w:hint="eastAsia" w:ascii="宋体" w:hAnsi="宋体"/>
              </w:rPr>
              <w:t>单位</w:t>
            </w:r>
          </w:p>
        </w:tc>
        <w:tc>
          <w:tcPr>
            <w:tcW w:w="2910" w:type="dxa"/>
            <w:gridSpan w:val="2"/>
            <w:tcBorders>
              <w:left w:val="single" w:color="auto" w:sz="4" w:space="0"/>
              <w:bottom w:val="single" w:color="auto" w:sz="4" w:space="0"/>
            </w:tcBorders>
            <w:vAlign w:val="center"/>
          </w:tcPr>
          <w:p>
            <w:pPr>
              <w:jc w:val="center"/>
              <w:rPr>
                <w:rFonts w:ascii="宋体" w:hAnsi="宋体"/>
              </w:rPr>
            </w:pPr>
            <w:r>
              <w:rPr>
                <w:rFonts w:hint="eastAsia" w:ascii="宋体" w:hAnsi="宋体"/>
              </w:rPr>
              <w:t>项目要求</w:t>
            </w:r>
          </w:p>
        </w:tc>
        <w:tc>
          <w:tcPr>
            <w:tcW w:w="2880" w:type="dxa"/>
            <w:gridSpan w:val="2"/>
            <w:tcBorders>
              <w:bottom w:val="single" w:color="auto" w:sz="4" w:space="0"/>
            </w:tcBorders>
            <w:vAlign w:val="center"/>
          </w:tcPr>
          <w:p>
            <w:pPr>
              <w:jc w:val="center"/>
              <w:rPr>
                <w:rFonts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343" w:type="dxa"/>
            <w:vMerge w:val="continue"/>
            <w:vAlign w:val="center"/>
          </w:tcPr>
          <w:p>
            <w:pPr>
              <w:jc w:val="center"/>
              <w:rPr>
                <w:rFonts w:ascii="宋体" w:hAnsi="宋体"/>
              </w:rPr>
            </w:pPr>
          </w:p>
        </w:tc>
        <w:tc>
          <w:tcPr>
            <w:tcW w:w="1498" w:type="dxa"/>
            <w:vMerge w:val="continue"/>
            <w:vAlign w:val="center"/>
          </w:tcPr>
          <w:p>
            <w:pPr>
              <w:jc w:val="center"/>
              <w:rPr>
                <w:rFonts w:ascii="宋体" w:hAnsi="宋体"/>
              </w:rPr>
            </w:pPr>
          </w:p>
        </w:tc>
        <w:tc>
          <w:tcPr>
            <w:tcW w:w="677" w:type="dxa"/>
            <w:vMerge w:val="continue"/>
            <w:tcBorders>
              <w:right w:val="single" w:color="auto" w:sz="4" w:space="0"/>
            </w:tcBorders>
            <w:vAlign w:val="center"/>
          </w:tcPr>
          <w:p>
            <w:pPr>
              <w:jc w:val="center"/>
              <w:rPr>
                <w:rFonts w:ascii="宋体" w:hAnsi="宋体"/>
              </w:rPr>
            </w:pPr>
          </w:p>
        </w:tc>
        <w:tc>
          <w:tcPr>
            <w:tcW w:w="2340" w:type="dxa"/>
            <w:tcBorders>
              <w:top w:val="single" w:color="auto" w:sz="4" w:space="0"/>
              <w:left w:val="single" w:color="auto" w:sz="4" w:space="0"/>
              <w:right w:val="single" w:color="auto" w:sz="4" w:space="0"/>
            </w:tcBorders>
            <w:vAlign w:val="center"/>
          </w:tcPr>
          <w:p>
            <w:pPr>
              <w:jc w:val="center"/>
              <w:rPr>
                <w:rFonts w:ascii="宋体" w:hAnsi="宋体"/>
              </w:rPr>
            </w:pPr>
            <w:r>
              <w:rPr>
                <w:rFonts w:hint="eastAsia" w:ascii="宋体" w:hAnsi="宋体"/>
              </w:rPr>
              <w:t>型式、规格</w:t>
            </w:r>
          </w:p>
        </w:tc>
        <w:tc>
          <w:tcPr>
            <w:tcW w:w="570" w:type="dxa"/>
            <w:tcBorders>
              <w:top w:val="single" w:color="auto" w:sz="4" w:space="0"/>
              <w:left w:val="single" w:color="auto" w:sz="4" w:space="0"/>
            </w:tcBorders>
            <w:vAlign w:val="center"/>
          </w:tcPr>
          <w:p>
            <w:pPr>
              <w:jc w:val="center"/>
              <w:rPr>
                <w:rFonts w:ascii="宋体" w:hAnsi="宋体"/>
              </w:rPr>
            </w:pPr>
            <w:r>
              <w:rPr>
                <w:rFonts w:hint="eastAsia" w:ascii="宋体" w:hAnsi="宋体"/>
              </w:rPr>
              <w:t>数量</w:t>
            </w:r>
          </w:p>
        </w:tc>
        <w:tc>
          <w:tcPr>
            <w:tcW w:w="2340" w:type="dxa"/>
            <w:tcBorders>
              <w:top w:val="single" w:color="auto" w:sz="4" w:space="0"/>
              <w:right w:val="single" w:color="auto" w:sz="4" w:space="0"/>
            </w:tcBorders>
            <w:vAlign w:val="center"/>
          </w:tcPr>
          <w:p>
            <w:pPr>
              <w:jc w:val="center"/>
              <w:rPr>
                <w:rFonts w:ascii="宋体" w:hAnsi="宋体"/>
              </w:rPr>
            </w:pPr>
            <w:r>
              <w:rPr>
                <w:rFonts w:hint="eastAsia" w:ascii="宋体" w:hAnsi="宋体"/>
              </w:rPr>
              <w:t>型式、规格</w:t>
            </w:r>
          </w:p>
        </w:tc>
        <w:tc>
          <w:tcPr>
            <w:tcW w:w="540" w:type="dxa"/>
            <w:tcBorders>
              <w:top w:val="single" w:color="auto" w:sz="4" w:space="0"/>
              <w:left w:val="single" w:color="auto" w:sz="4" w:space="0"/>
            </w:tcBorders>
            <w:vAlign w:val="center"/>
          </w:tcPr>
          <w:p>
            <w:pPr>
              <w:jc w:val="center"/>
              <w:rPr>
                <w:rFonts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eastAsia" w:ascii="宋体" w:hAnsi="宋体"/>
                <w:szCs w:val="21"/>
              </w:rPr>
              <w:t>1</w:t>
            </w:r>
          </w:p>
        </w:tc>
        <w:tc>
          <w:tcPr>
            <w:tcW w:w="1498" w:type="dxa"/>
            <w:vAlign w:val="center"/>
          </w:tcPr>
          <w:p>
            <w:pPr>
              <w:spacing w:line="360" w:lineRule="auto"/>
              <w:ind w:left="-109" w:leftChars="-52" w:right="-128" w:rightChars="-61" w:firstLine="105" w:firstLineChars="50"/>
              <w:rPr>
                <w:rFonts w:ascii="宋体" w:hAnsi="宋体"/>
                <w:szCs w:val="21"/>
              </w:rPr>
            </w:pPr>
            <w:r>
              <w:rPr>
                <w:rFonts w:hint="eastAsia" w:ascii="宋体" w:hAnsi="宋体"/>
                <w:szCs w:val="21"/>
              </w:rPr>
              <w:t>稳控装置</w:t>
            </w:r>
          </w:p>
        </w:tc>
        <w:tc>
          <w:tcPr>
            <w:tcW w:w="677" w:type="dxa"/>
            <w:tcBorders>
              <w:right w:val="single" w:color="auto" w:sz="4" w:space="0"/>
            </w:tcBorders>
            <w:vAlign w:val="center"/>
          </w:tcPr>
          <w:p>
            <w:pPr>
              <w:widowControl/>
              <w:autoSpaceDE w:val="0"/>
              <w:autoSpaceDN w:val="0"/>
              <w:jc w:val="center"/>
              <w:textAlignment w:val="bottom"/>
              <w:rPr>
                <w:rFonts w:hint="default" w:ascii="宋体" w:hAnsi="宋体" w:eastAsia="宋体"/>
                <w:szCs w:val="21"/>
                <w:lang w:val="en-US" w:eastAsia="zh-CN"/>
              </w:rPr>
            </w:pPr>
            <w:r>
              <w:rPr>
                <w:rFonts w:hint="eastAsia" w:ascii="宋体" w:hAnsi="宋体"/>
                <w:szCs w:val="21"/>
                <w:lang w:val="en-US" w:eastAsia="zh-CN"/>
              </w:rPr>
              <w:t>套</w:t>
            </w:r>
          </w:p>
        </w:tc>
        <w:tc>
          <w:tcPr>
            <w:tcW w:w="2340" w:type="dxa"/>
            <w:tcBorders>
              <w:left w:val="single" w:color="auto" w:sz="4" w:space="0"/>
              <w:right w:val="single" w:color="auto" w:sz="4" w:space="0"/>
            </w:tcBorders>
            <w:vAlign w:val="center"/>
          </w:tcPr>
          <w:p>
            <w:pPr>
              <w:jc w:val="center"/>
              <w:rPr>
                <w:rFonts w:ascii="宋体" w:hAnsi="宋体"/>
              </w:rPr>
            </w:pPr>
            <w:r>
              <w:rPr>
                <w:rFonts w:hint="eastAsia" w:ascii="宋体" w:hAnsi="宋体"/>
              </w:rPr>
              <w:t>每台装置（含从机）模拟量不少于</w:t>
            </w:r>
            <w:r>
              <w:rPr>
                <w:rFonts w:ascii="宋体" w:hAnsi="宋体"/>
              </w:rPr>
              <w:t>3</w:t>
            </w:r>
            <w:r>
              <w:rPr>
                <w:rFonts w:hint="eastAsia" w:ascii="宋体" w:hAnsi="宋体"/>
              </w:rPr>
              <w:t>6路、开入量不少于48路、开出量不少于</w:t>
            </w:r>
            <w:r>
              <w:rPr>
                <w:rFonts w:ascii="宋体" w:hAnsi="宋体"/>
              </w:rPr>
              <w:t>30</w:t>
            </w:r>
            <w:r>
              <w:rPr>
                <w:rFonts w:hint="eastAsia" w:ascii="宋体" w:hAnsi="宋体"/>
              </w:rPr>
              <w:t>路</w:t>
            </w:r>
          </w:p>
        </w:tc>
        <w:tc>
          <w:tcPr>
            <w:tcW w:w="570" w:type="dxa"/>
            <w:tcBorders>
              <w:left w:val="single" w:color="auto" w:sz="4" w:space="0"/>
            </w:tcBorders>
            <w:vAlign w:val="center"/>
          </w:tcPr>
          <w:p>
            <w:pPr>
              <w:jc w:val="center"/>
              <w:rPr>
                <w:rFonts w:ascii="宋体" w:hAnsi="宋体"/>
              </w:rPr>
            </w:pPr>
            <w:r>
              <w:rPr>
                <w:rFonts w:ascii="宋体" w:hAnsi="宋体"/>
              </w:rPr>
              <w:t>1</w:t>
            </w:r>
          </w:p>
        </w:tc>
        <w:tc>
          <w:tcPr>
            <w:tcW w:w="2340" w:type="dxa"/>
            <w:tcBorders>
              <w:right w:val="single" w:color="auto" w:sz="4" w:space="0"/>
            </w:tcBorders>
            <w:vAlign w:val="center"/>
          </w:tcPr>
          <w:p>
            <w:pPr>
              <w:jc w:val="center"/>
              <w:rPr>
                <w:rFonts w:hint="default" w:ascii="宋体" w:hAnsi="宋体"/>
                <w:lang w:val="en-US"/>
              </w:rPr>
            </w:pPr>
          </w:p>
        </w:tc>
        <w:tc>
          <w:tcPr>
            <w:tcW w:w="540" w:type="dxa"/>
            <w:tcBorders>
              <w:left w:val="single" w:color="auto" w:sz="4" w:space="0"/>
            </w:tcBorders>
          </w:tcPr>
          <w:p>
            <w:pPr>
              <w:rPr>
                <w:rFonts w:hint="default" w:ascii="宋体" w:hAnsi="宋体"/>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eastAsia" w:ascii="宋体" w:hAnsi="宋体"/>
                <w:szCs w:val="21"/>
              </w:rPr>
              <w:t>2</w:t>
            </w:r>
          </w:p>
        </w:tc>
        <w:tc>
          <w:tcPr>
            <w:tcW w:w="1498" w:type="dxa"/>
            <w:vAlign w:val="center"/>
          </w:tcPr>
          <w:p>
            <w:pPr>
              <w:spacing w:line="360" w:lineRule="auto"/>
              <w:ind w:right="28"/>
              <w:rPr>
                <w:rFonts w:ascii="宋体" w:hAnsi="宋体"/>
                <w:szCs w:val="21"/>
              </w:rPr>
            </w:pPr>
            <w:r>
              <w:rPr>
                <w:rFonts w:hint="eastAsia" w:ascii="宋体" w:hAnsi="宋体"/>
                <w:szCs w:val="21"/>
              </w:rPr>
              <w:t>复用2M光纤接口装置</w:t>
            </w:r>
          </w:p>
        </w:tc>
        <w:tc>
          <w:tcPr>
            <w:tcW w:w="677" w:type="dxa"/>
            <w:tcBorders>
              <w:right w:val="single" w:color="auto" w:sz="4" w:space="0"/>
            </w:tcBorders>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台</w:t>
            </w:r>
          </w:p>
        </w:tc>
        <w:tc>
          <w:tcPr>
            <w:tcW w:w="2340" w:type="dxa"/>
            <w:tcBorders>
              <w:left w:val="single" w:color="auto" w:sz="4" w:space="0"/>
              <w:right w:val="single" w:color="auto" w:sz="4" w:space="0"/>
            </w:tcBorders>
          </w:tcPr>
          <w:p>
            <w:pPr>
              <w:rPr>
                <w:rFonts w:ascii="宋体" w:hAnsi="宋体"/>
              </w:rPr>
            </w:pPr>
            <w:r>
              <w:rPr>
                <w:rFonts w:hint="eastAsia" w:ascii="宋体" w:hAnsi="宋体"/>
                <w:szCs w:val="21"/>
              </w:rPr>
              <w:t>符合ITU-G.703 2M/S同向接口标准），</w:t>
            </w:r>
            <w:r>
              <w:rPr>
                <w:rFonts w:ascii="宋体" w:hAnsi="宋体" w:cs="????_GBK"/>
                <w:szCs w:val="21"/>
              </w:rPr>
              <w:t>每台</w:t>
            </w:r>
            <w:r>
              <w:rPr>
                <w:rFonts w:hint="eastAsia" w:ascii="宋体" w:hAnsi="宋体"/>
              </w:rPr>
              <w:t>不少于</w:t>
            </w:r>
            <w:r>
              <w:rPr>
                <w:rFonts w:ascii="宋体" w:hAnsi="宋体" w:cs="????_GBK"/>
                <w:szCs w:val="21"/>
              </w:rPr>
              <w:t xml:space="preserve"> 8个2M口</w:t>
            </w:r>
          </w:p>
        </w:tc>
        <w:tc>
          <w:tcPr>
            <w:tcW w:w="570" w:type="dxa"/>
            <w:tcBorders>
              <w:left w:val="single" w:color="auto" w:sz="4" w:space="0"/>
            </w:tcBorders>
          </w:tcPr>
          <w:p>
            <w:pPr>
              <w:jc w:val="center"/>
              <w:rPr>
                <w:rFonts w:ascii="宋体" w:hAnsi="宋体"/>
              </w:rPr>
            </w:pPr>
            <w:r>
              <w:rPr>
                <w:rFonts w:ascii="宋体" w:hAnsi="宋体"/>
              </w:rPr>
              <w:t>1</w:t>
            </w:r>
          </w:p>
        </w:tc>
        <w:tc>
          <w:tcPr>
            <w:tcW w:w="2340" w:type="dxa"/>
            <w:tcBorders>
              <w:right w:val="single" w:color="auto" w:sz="4" w:space="0"/>
            </w:tcBorders>
          </w:tcPr>
          <w:p>
            <w:pPr>
              <w:rPr>
                <w:rFonts w:hint="default" w:ascii="宋体" w:hAnsi="宋体"/>
                <w:lang w:val="en-US"/>
              </w:rPr>
            </w:pPr>
          </w:p>
        </w:tc>
        <w:tc>
          <w:tcPr>
            <w:tcW w:w="540" w:type="dxa"/>
            <w:tcBorders>
              <w:left w:val="single" w:color="auto" w:sz="4" w:space="0"/>
            </w:tcBorders>
          </w:tcPr>
          <w:p>
            <w:pPr>
              <w:rPr>
                <w:rFonts w:hint="default" w:ascii="宋体" w:hAnsi="宋体"/>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eastAsia" w:ascii="宋体" w:hAnsi="宋体"/>
                <w:szCs w:val="21"/>
              </w:rPr>
              <w:t>3</w:t>
            </w:r>
          </w:p>
        </w:tc>
        <w:tc>
          <w:tcPr>
            <w:tcW w:w="1498" w:type="dxa"/>
            <w:vAlign w:val="center"/>
          </w:tcPr>
          <w:p>
            <w:pPr>
              <w:spacing w:line="360" w:lineRule="auto"/>
              <w:ind w:right="28"/>
              <w:rPr>
                <w:rFonts w:ascii="宋体" w:hAnsi="宋体"/>
                <w:szCs w:val="21"/>
                <w:highlight w:val="none"/>
              </w:rPr>
            </w:pPr>
            <w:r>
              <w:rPr>
                <w:rFonts w:hint="eastAsia" w:ascii="宋体" w:hAnsi="宋体"/>
                <w:szCs w:val="21"/>
                <w:highlight w:val="none"/>
              </w:rPr>
              <w:t>通信接口装置</w:t>
            </w:r>
          </w:p>
        </w:tc>
        <w:tc>
          <w:tcPr>
            <w:tcW w:w="677" w:type="dxa"/>
            <w:tcBorders>
              <w:right w:val="single" w:color="auto" w:sz="4" w:space="0"/>
            </w:tcBorders>
            <w:vAlign w:val="center"/>
          </w:tcPr>
          <w:p>
            <w:pPr>
              <w:widowControl/>
              <w:autoSpaceDE w:val="0"/>
              <w:autoSpaceDN w:val="0"/>
              <w:jc w:val="center"/>
              <w:textAlignment w:val="bottom"/>
              <w:rPr>
                <w:rFonts w:ascii="宋体" w:hAnsi="宋体"/>
                <w:sz w:val="18"/>
                <w:szCs w:val="18"/>
                <w:highlight w:val="none"/>
              </w:rPr>
            </w:pPr>
            <w:r>
              <w:rPr>
                <w:rFonts w:hint="eastAsia" w:ascii="宋体" w:hAnsi="宋体"/>
                <w:sz w:val="18"/>
                <w:szCs w:val="18"/>
                <w:highlight w:val="none"/>
              </w:rPr>
              <w:t>台</w:t>
            </w:r>
          </w:p>
        </w:tc>
        <w:tc>
          <w:tcPr>
            <w:tcW w:w="2340" w:type="dxa"/>
            <w:tcBorders>
              <w:left w:val="single" w:color="auto" w:sz="4" w:space="0"/>
              <w:right w:val="single" w:color="auto" w:sz="4" w:space="0"/>
            </w:tcBorders>
          </w:tcPr>
          <w:p>
            <w:pPr>
              <w:rPr>
                <w:rFonts w:ascii="宋体" w:hAnsi="宋体"/>
                <w:highlight w:val="none"/>
              </w:rPr>
            </w:pPr>
            <w:r>
              <w:rPr>
                <w:rFonts w:hint="eastAsia" w:ascii="宋体" w:hAnsi="宋体"/>
                <w:szCs w:val="21"/>
                <w:highlight w:val="none"/>
              </w:rPr>
              <w:t>1</w:t>
            </w:r>
            <w:r>
              <w:rPr>
                <w:rFonts w:ascii="宋体" w:hAnsi="宋体"/>
                <w:szCs w:val="21"/>
                <w:highlight w:val="none"/>
              </w:rPr>
              <w:t>55</w:t>
            </w:r>
            <w:r>
              <w:rPr>
                <w:rFonts w:hint="eastAsia" w:ascii="宋体" w:hAnsi="宋体"/>
                <w:szCs w:val="21"/>
                <w:highlight w:val="none"/>
              </w:rPr>
              <w:t>M，具备STM-1标准接口</w:t>
            </w:r>
          </w:p>
        </w:tc>
        <w:tc>
          <w:tcPr>
            <w:tcW w:w="570" w:type="dxa"/>
            <w:tcBorders>
              <w:left w:val="single" w:color="auto" w:sz="4" w:space="0"/>
            </w:tcBorders>
            <w:vAlign w:val="center"/>
          </w:tcPr>
          <w:p>
            <w:pPr>
              <w:jc w:val="center"/>
              <w:rPr>
                <w:rFonts w:ascii="宋体" w:hAnsi="宋体"/>
                <w:highlight w:val="none"/>
              </w:rPr>
            </w:pPr>
            <w:r>
              <w:rPr>
                <w:rFonts w:ascii="宋体" w:hAnsi="宋体"/>
                <w:highlight w:val="none"/>
              </w:rPr>
              <w:t>1</w:t>
            </w:r>
          </w:p>
        </w:tc>
        <w:tc>
          <w:tcPr>
            <w:tcW w:w="2340" w:type="dxa"/>
            <w:tcBorders>
              <w:right w:val="single" w:color="auto" w:sz="4" w:space="0"/>
            </w:tcBorders>
          </w:tcPr>
          <w:p>
            <w:pPr>
              <w:rPr>
                <w:rFonts w:hint="default" w:ascii="宋体" w:hAnsi="宋体"/>
                <w:lang w:val="en-US"/>
              </w:rPr>
            </w:pPr>
          </w:p>
        </w:tc>
        <w:tc>
          <w:tcPr>
            <w:tcW w:w="540" w:type="dxa"/>
            <w:tcBorders>
              <w:left w:val="single" w:color="auto" w:sz="4" w:space="0"/>
            </w:tcBorders>
          </w:tcPr>
          <w:p>
            <w:pPr>
              <w:rPr>
                <w:rFonts w:hint="default" w:ascii="宋体" w:hAnsi="宋体"/>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hint="eastAsia" w:ascii="宋体" w:hAnsi="宋体" w:eastAsia="宋体"/>
                <w:szCs w:val="21"/>
                <w:lang w:val="en-US" w:eastAsia="zh-CN"/>
              </w:rPr>
            </w:pPr>
            <w:r>
              <w:rPr>
                <w:rFonts w:hint="eastAsia" w:ascii="宋体" w:hAnsi="宋体"/>
                <w:szCs w:val="21"/>
                <w:lang w:val="en-US" w:eastAsia="zh-CN"/>
              </w:rPr>
              <w:t>4</w:t>
            </w:r>
          </w:p>
        </w:tc>
        <w:tc>
          <w:tcPr>
            <w:tcW w:w="1498" w:type="dxa"/>
            <w:vAlign w:val="center"/>
          </w:tcPr>
          <w:p>
            <w:pPr>
              <w:spacing w:line="360" w:lineRule="auto"/>
              <w:ind w:right="28"/>
              <w:rPr>
                <w:rFonts w:hint="default" w:ascii="宋体" w:hAnsi="宋体" w:eastAsia="宋体"/>
                <w:szCs w:val="21"/>
                <w:highlight w:val="none"/>
                <w:lang w:val="en-US" w:eastAsia="zh-CN"/>
              </w:rPr>
            </w:pPr>
            <w:r>
              <w:rPr>
                <w:rFonts w:hint="eastAsia" w:ascii="宋体" w:hAnsi="宋体"/>
                <w:szCs w:val="21"/>
                <w:highlight w:val="none"/>
                <w:lang w:val="en-US" w:eastAsia="zh-CN"/>
              </w:rPr>
              <w:t>无线通信网关</w:t>
            </w:r>
          </w:p>
        </w:tc>
        <w:tc>
          <w:tcPr>
            <w:tcW w:w="677" w:type="dxa"/>
            <w:tcBorders>
              <w:right w:val="single" w:color="auto" w:sz="4" w:space="0"/>
            </w:tcBorders>
            <w:vAlign w:val="center"/>
          </w:tcPr>
          <w:p>
            <w:pPr>
              <w:widowControl/>
              <w:autoSpaceDE w:val="0"/>
              <w:autoSpaceDN w:val="0"/>
              <w:jc w:val="center"/>
              <w:textAlignment w:val="bottom"/>
              <w:rPr>
                <w:rFonts w:hint="eastAsia" w:ascii="宋体" w:hAnsi="宋体" w:eastAsia="宋体"/>
                <w:sz w:val="18"/>
                <w:szCs w:val="18"/>
                <w:highlight w:val="none"/>
                <w:lang w:val="en-US" w:eastAsia="zh-CN"/>
              </w:rPr>
            </w:pPr>
            <w:r>
              <w:rPr>
                <w:rFonts w:hint="eastAsia" w:ascii="宋体" w:hAnsi="宋体"/>
                <w:sz w:val="18"/>
                <w:szCs w:val="18"/>
                <w:highlight w:val="none"/>
                <w:lang w:val="en-US" w:eastAsia="zh-CN"/>
              </w:rPr>
              <w:t>台</w:t>
            </w:r>
          </w:p>
        </w:tc>
        <w:tc>
          <w:tcPr>
            <w:tcW w:w="2340" w:type="dxa"/>
            <w:tcBorders>
              <w:left w:val="single" w:color="auto" w:sz="4" w:space="0"/>
              <w:right w:val="single" w:color="auto" w:sz="4" w:space="0"/>
            </w:tcBorders>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至少具备与200个终端的通信能力（具备加密功能，同时需配置1个无线信号放大器）</w:t>
            </w:r>
          </w:p>
        </w:tc>
        <w:tc>
          <w:tcPr>
            <w:tcW w:w="570" w:type="dxa"/>
            <w:tcBorders>
              <w:left w:val="single" w:color="auto" w:sz="4" w:space="0"/>
            </w:tcBorders>
            <w:vAlign w:val="center"/>
          </w:tcPr>
          <w:p>
            <w:pPr>
              <w:jc w:val="center"/>
              <w:rPr>
                <w:rFonts w:hint="eastAsia" w:ascii="宋体" w:hAnsi="宋体" w:eastAsia="宋体"/>
                <w:highlight w:val="none"/>
                <w:lang w:val="en-US" w:eastAsia="zh-CN"/>
              </w:rPr>
            </w:pPr>
            <w:r>
              <w:rPr>
                <w:rFonts w:hint="eastAsia" w:ascii="宋体" w:hAnsi="宋体"/>
                <w:highlight w:val="none"/>
                <w:lang w:val="en-US" w:eastAsia="zh-CN"/>
              </w:rPr>
              <w:t>1</w:t>
            </w:r>
          </w:p>
        </w:tc>
        <w:tc>
          <w:tcPr>
            <w:tcW w:w="2340" w:type="dxa"/>
            <w:tcBorders>
              <w:right w:val="single" w:color="auto" w:sz="4" w:space="0"/>
            </w:tcBorders>
          </w:tcPr>
          <w:p>
            <w:pPr>
              <w:rPr>
                <w:rFonts w:hint="default" w:ascii="宋体" w:hAnsi="宋体"/>
                <w:lang w:val="en-US"/>
              </w:rPr>
            </w:pPr>
          </w:p>
        </w:tc>
        <w:tc>
          <w:tcPr>
            <w:tcW w:w="540" w:type="dxa"/>
            <w:tcBorders>
              <w:left w:val="single" w:color="auto" w:sz="4" w:space="0"/>
            </w:tcBorders>
          </w:tcPr>
          <w:p>
            <w:pPr>
              <w:rPr>
                <w:rFonts w:hint="default" w:ascii="宋体" w:hAnsi="宋体"/>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default" w:ascii="宋体" w:hAnsi="宋体"/>
                <w:szCs w:val="21"/>
                <w:lang w:val="en-US"/>
              </w:rPr>
              <w:t>5</w:t>
            </w:r>
          </w:p>
        </w:tc>
        <w:tc>
          <w:tcPr>
            <w:tcW w:w="1498" w:type="dxa"/>
            <w:vAlign w:val="center"/>
          </w:tcPr>
          <w:p>
            <w:pPr>
              <w:spacing w:line="360" w:lineRule="auto"/>
              <w:ind w:right="28"/>
              <w:rPr>
                <w:rFonts w:ascii="宋体" w:hAnsi="宋体"/>
                <w:szCs w:val="21"/>
              </w:rPr>
            </w:pPr>
            <w:r>
              <w:rPr>
                <w:rFonts w:hint="eastAsia" w:ascii="宋体" w:hAnsi="宋体"/>
                <w:szCs w:val="21"/>
              </w:rPr>
              <w:t>打印机</w:t>
            </w:r>
          </w:p>
        </w:tc>
        <w:tc>
          <w:tcPr>
            <w:tcW w:w="677" w:type="dxa"/>
            <w:tcBorders>
              <w:right w:val="single" w:color="auto" w:sz="4" w:space="0"/>
            </w:tcBorders>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台</w:t>
            </w:r>
          </w:p>
        </w:tc>
        <w:tc>
          <w:tcPr>
            <w:tcW w:w="2340" w:type="dxa"/>
            <w:tcBorders>
              <w:left w:val="single" w:color="auto" w:sz="4" w:space="0"/>
              <w:right w:val="single" w:color="auto" w:sz="4" w:space="0"/>
            </w:tcBorders>
          </w:tcPr>
          <w:p>
            <w:pPr>
              <w:rPr>
                <w:rFonts w:ascii="宋体" w:hAnsi="宋体"/>
              </w:rPr>
            </w:pPr>
            <w:r>
              <w:rPr>
                <w:rFonts w:hint="eastAsia" w:ascii="宋体" w:hAnsi="宋体"/>
              </w:rPr>
              <w:t>交流针式打印机</w:t>
            </w:r>
          </w:p>
        </w:tc>
        <w:tc>
          <w:tcPr>
            <w:tcW w:w="570" w:type="dxa"/>
            <w:tcBorders>
              <w:left w:val="single" w:color="auto" w:sz="4" w:space="0"/>
            </w:tcBorders>
          </w:tcPr>
          <w:p>
            <w:pPr>
              <w:jc w:val="center"/>
              <w:rPr>
                <w:rFonts w:ascii="宋体" w:hAnsi="宋体"/>
              </w:rPr>
            </w:pPr>
            <w:r>
              <w:rPr>
                <w:rFonts w:ascii="宋体" w:hAnsi="宋体"/>
              </w:rPr>
              <w:t>1</w:t>
            </w:r>
          </w:p>
        </w:tc>
        <w:tc>
          <w:tcPr>
            <w:tcW w:w="2340" w:type="dxa"/>
            <w:tcBorders>
              <w:right w:val="single" w:color="auto" w:sz="4" w:space="0"/>
            </w:tcBorders>
          </w:tcPr>
          <w:p>
            <w:pPr>
              <w:rPr>
                <w:rFonts w:hint="eastAsia" w:ascii="宋体" w:hAnsi="宋体" w:eastAsia="宋体"/>
                <w:lang w:val="en-US" w:eastAsia="zh-CN"/>
              </w:rPr>
            </w:pPr>
          </w:p>
        </w:tc>
        <w:tc>
          <w:tcPr>
            <w:tcW w:w="540" w:type="dxa"/>
            <w:tcBorders>
              <w:left w:val="single" w:color="auto" w:sz="4" w:space="0"/>
            </w:tcBorders>
          </w:tcPr>
          <w:p>
            <w:pPr>
              <w:rPr>
                <w:rFonts w:hint="default" w:ascii="宋体" w:hAnsi="宋体"/>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default" w:ascii="宋体" w:hAnsi="宋体"/>
                <w:szCs w:val="21"/>
                <w:lang w:val="en-US"/>
              </w:rPr>
              <w:t>6</w:t>
            </w:r>
          </w:p>
        </w:tc>
        <w:tc>
          <w:tcPr>
            <w:tcW w:w="1498" w:type="dxa"/>
            <w:vAlign w:val="center"/>
          </w:tcPr>
          <w:p>
            <w:pPr>
              <w:spacing w:line="360" w:lineRule="auto"/>
              <w:ind w:right="28"/>
              <w:rPr>
                <w:rFonts w:ascii="宋体" w:hAnsi="宋体"/>
                <w:szCs w:val="21"/>
              </w:rPr>
            </w:pPr>
            <w:r>
              <w:rPr>
                <w:rFonts w:hint="eastAsia" w:ascii="宋体" w:hAnsi="宋体"/>
                <w:szCs w:val="21"/>
              </w:rPr>
              <w:t>屏柜（含屏内配接线、小开关、按钮、端子排、连片、光纤终端盒等）</w:t>
            </w:r>
          </w:p>
        </w:tc>
        <w:tc>
          <w:tcPr>
            <w:tcW w:w="677" w:type="dxa"/>
            <w:tcBorders>
              <w:right w:val="single" w:color="auto" w:sz="4" w:space="0"/>
            </w:tcBorders>
            <w:vAlign w:val="center"/>
          </w:tcPr>
          <w:p>
            <w:pPr>
              <w:spacing w:line="360" w:lineRule="auto"/>
              <w:ind w:left="-78" w:leftChars="-37" w:right="-78" w:rightChars="-37"/>
              <w:jc w:val="center"/>
              <w:rPr>
                <w:rFonts w:ascii="宋体" w:hAnsi="宋体"/>
                <w:szCs w:val="21"/>
              </w:rPr>
            </w:pPr>
            <w:r>
              <w:rPr>
                <w:rFonts w:hint="eastAsia" w:ascii="宋体" w:hAnsi="宋体"/>
                <w:szCs w:val="21"/>
              </w:rPr>
              <w:t>面</w:t>
            </w:r>
          </w:p>
        </w:tc>
        <w:tc>
          <w:tcPr>
            <w:tcW w:w="2340" w:type="dxa"/>
            <w:tcBorders>
              <w:left w:val="single" w:color="auto" w:sz="4" w:space="0"/>
              <w:right w:val="single" w:color="auto" w:sz="4" w:space="0"/>
            </w:tcBorders>
            <w:vAlign w:val="center"/>
          </w:tcPr>
          <w:p>
            <w:pPr>
              <w:spacing w:line="360" w:lineRule="auto"/>
              <w:ind w:left="-78" w:leftChars="-37" w:right="-78" w:rightChars="-37"/>
              <w:jc w:val="center"/>
              <w:rPr>
                <w:rFonts w:ascii="宋体" w:hAnsi="宋体"/>
                <w:szCs w:val="21"/>
              </w:rPr>
            </w:pPr>
            <w:r>
              <w:rPr>
                <w:rFonts w:hint="eastAsia" w:ascii="宋体" w:hAnsi="宋体"/>
                <w:szCs w:val="21"/>
              </w:rPr>
              <w:t>前后开门，2200×800×800mm或2200×800×600mm</w:t>
            </w:r>
          </w:p>
        </w:tc>
        <w:tc>
          <w:tcPr>
            <w:tcW w:w="570" w:type="dxa"/>
            <w:tcBorders>
              <w:left w:val="single" w:color="auto" w:sz="4" w:space="0"/>
            </w:tcBorders>
          </w:tcPr>
          <w:p>
            <w:pPr>
              <w:jc w:val="center"/>
              <w:rPr>
                <w:rFonts w:ascii="宋体" w:hAnsi="宋体"/>
              </w:rPr>
            </w:pPr>
            <w:r>
              <w:rPr>
                <w:rFonts w:ascii="宋体" w:hAnsi="宋体"/>
              </w:rPr>
              <w:t>1</w:t>
            </w:r>
          </w:p>
        </w:tc>
        <w:tc>
          <w:tcPr>
            <w:tcW w:w="2340" w:type="dxa"/>
            <w:tcBorders>
              <w:right w:val="single" w:color="auto" w:sz="4" w:space="0"/>
            </w:tcBorders>
          </w:tcPr>
          <w:p>
            <w:pPr>
              <w:rPr>
                <w:rFonts w:ascii="宋体" w:hAnsi="宋体"/>
              </w:rPr>
            </w:pPr>
          </w:p>
        </w:tc>
        <w:tc>
          <w:tcPr>
            <w:tcW w:w="540" w:type="dxa"/>
            <w:tcBorders>
              <w:left w:val="single" w:color="auto" w:sz="4" w:space="0"/>
            </w:tcBorders>
          </w:tcPr>
          <w:p>
            <w:pPr>
              <w:rPr>
                <w:rFonts w:hint="default" w:ascii="宋体" w:hAnsi="宋体"/>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default" w:ascii="宋体" w:hAnsi="宋体"/>
                <w:szCs w:val="21"/>
                <w:lang w:val="en-US"/>
              </w:rPr>
              <w:t>7</w:t>
            </w:r>
          </w:p>
        </w:tc>
        <w:tc>
          <w:tcPr>
            <w:tcW w:w="1498" w:type="dxa"/>
            <w:vAlign w:val="center"/>
          </w:tcPr>
          <w:p>
            <w:pPr>
              <w:spacing w:line="360" w:lineRule="auto"/>
              <w:ind w:right="28"/>
              <w:rPr>
                <w:rFonts w:ascii="宋体" w:hAnsi="宋体"/>
                <w:szCs w:val="21"/>
              </w:rPr>
            </w:pPr>
            <w:r>
              <w:rPr>
                <w:rFonts w:hint="eastAsia" w:ascii="宋体" w:hAnsi="宋体"/>
                <w:szCs w:val="21"/>
              </w:rPr>
              <w:t>复用接口屏柜（含屏内配接线、小开关、按钮、端子排、连片、光纤终端盒等）</w:t>
            </w:r>
          </w:p>
        </w:tc>
        <w:tc>
          <w:tcPr>
            <w:tcW w:w="677" w:type="dxa"/>
            <w:tcBorders>
              <w:right w:val="single" w:color="auto" w:sz="4" w:space="0"/>
            </w:tcBorders>
            <w:vAlign w:val="center"/>
          </w:tcPr>
          <w:p>
            <w:pPr>
              <w:spacing w:line="360" w:lineRule="auto"/>
              <w:ind w:left="-78" w:leftChars="-37" w:right="-78" w:rightChars="-37"/>
              <w:jc w:val="center"/>
              <w:rPr>
                <w:rFonts w:ascii="宋体" w:hAnsi="宋体"/>
                <w:szCs w:val="21"/>
              </w:rPr>
            </w:pPr>
            <w:r>
              <w:rPr>
                <w:rFonts w:hint="eastAsia" w:ascii="宋体" w:hAnsi="宋体"/>
                <w:szCs w:val="21"/>
              </w:rPr>
              <w:t>面</w:t>
            </w:r>
          </w:p>
        </w:tc>
        <w:tc>
          <w:tcPr>
            <w:tcW w:w="2340" w:type="dxa"/>
            <w:tcBorders>
              <w:left w:val="single" w:color="auto" w:sz="4" w:space="0"/>
              <w:right w:val="single" w:color="auto" w:sz="4" w:space="0"/>
            </w:tcBorders>
            <w:vAlign w:val="center"/>
          </w:tcPr>
          <w:p>
            <w:pPr>
              <w:spacing w:line="360" w:lineRule="auto"/>
              <w:ind w:left="-78" w:leftChars="-37" w:right="-78" w:rightChars="-37"/>
              <w:jc w:val="center"/>
              <w:rPr>
                <w:rFonts w:ascii="宋体" w:hAnsi="宋体"/>
                <w:szCs w:val="21"/>
              </w:rPr>
            </w:pPr>
            <w:r>
              <w:rPr>
                <w:rFonts w:hint="eastAsia" w:ascii="宋体" w:hAnsi="宋体"/>
                <w:szCs w:val="21"/>
              </w:rPr>
              <w:t>前后开门， 2200×600×600mm</w:t>
            </w:r>
          </w:p>
        </w:tc>
        <w:tc>
          <w:tcPr>
            <w:tcW w:w="570" w:type="dxa"/>
            <w:tcBorders>
              <w:left w:val="single" w:color="auto" w:sz="4" w:space="0"/>
            </w:tcBorders>
          </w:tcPr>
          <w:p>
            <w:pPr>
              <w:rPr>
                <w:rFonts w:ascii="宋体" w:hAnsi="宋体"/>
              </w:rPr>
            </w:pPr>
            <w:r>
              <w:rPr>
                <w:rFonts w:hint="eastAsia" w:ascii="宋体" w:hAnsi="宋体"/>
              </w:rPr>
              <w:t>1</w:t>
            </w:r>
          </w:p>
        </w:tc>
        <w:tc>
          <w:tcPr>
            <w:tcW w:w="2340" w:type="dxa"/>
            <w:tcBorders>
              <w:right w:val="single" w:color="auto" w:sz="4" w:space="0"/>
            </w:tcBorders>
          </w:tcPr>
          <w:p>
            <w:pPr>
              <w:rPr>
                <w:rFonts w:ascii="宋体" w:hAnsi="宋体"/>
              </w:rPr>
            </w:pPr>
          </w:p>
        </w:tc>
        <w:tc>
          <w:tcPr>
            <w:tcW w:w="540" w:type="dxa"/>
            <w:tcBorders>
              <w:left w:val="single" w:color="auto" w:sz="4" w:space="0"/>
            </w:tcBorders>
          </w:tcPr>
          <w:p>
            <w:pPr>
              <w:rPr>
                <w:rFonts w:hint="default" w:ascii="宋体" w:hAnsi="宋体"/>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default" w:ascii="宋体" w:hAnsi="宋体"/>
                <w:szCs w:val="21"/>
                <w:lang w:val="en-US"/>
              </w:rPr>
              <w:t>8</w:t>
            </w:r>
          </w:p>
        </w:tc>
        <w:tc>
          <w:tcPr>
            <w:tcW w:w="1498" w:type="dxa"/>
            <w:vAlign w:val="center"/>
          </w:tcPr>
          <w:p>
            <w:pPr>
              <w:spacing w:line="360" w:lineRule="auto"/>
              <w:ind w:right="28"/>
              <w:rPr>
                <w:rFonts w:ascii="宋体" w:hAnsi="宋体"/>
                <w:szCs w:val="21"/>
              </w:rPr>
            </w:pPr>
            <w:r>
              <w:rPr>
                <w:rFonts w:hint="eastAsia" w:ascii="宋体" w:hAnsi="宋体"/>
                <w:szCs w:val="21"/>
              </w:rPr>
              <w:t>尾纤（含接头）</w:t>
            </w:r>
          </w:p>
        </w:tc>
        <w:tc>
          <w:tcPr>
            <w:tcW w:w="677" w:type="dxa"/>
            <w:tcBorders>
              <w:right w:val="single" w:color="auto" w:sz="4" w:space="0"/>
            </w:tcBorders>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条</w:t>
            </w:r>
          </w:p>
        </w:tc>
        <w:tc>
          <w:tcPr>
            <w:tcW w:w="2340" w:type="dxa"/>
            <w:tcBorders>
              <w:left w:val="single" w:color="auto" w:sz="4" w:space="0"/>
              <w:right w:val="single" w:color="auto" w:sz="4" w:space="0"/>
            </w:tcBorders>
          </w:tcPr>
          <w:p>
            <w:pPr>
              <w:rPr>
                <w:rFonts w:ascii="宋体" w:hAnsi="宋体"/>
              </w:rPr>
            </w:pPr>
            <w:r>
              <w:rPr>
                <w:rFonts w:hint="eastAsia" w:ascii="宋体" w:hAnsi="宋体"/>
                <w:szCs w:val="21"/>
              </w:rPr>
              <w:t>每根30米</w:t>
            </w:r>
          </w:p>
        </w:tc>
        <w:tc>
          <w:tcPr>
            <w:tcW w:w="570" w:type="dxa"/>
            <w:tcBorders>
              <w:left w:val="single" w:color="auto" w:sz="4" w:space="0"/>
            </w:tcBorders>
          </w:tcPr>
          <w:p>
            <w:pPr>
              <w:rPr>
                <w:rFonts w:ascii="宋体" w:hAnsi="宋体"/>
              </w:rPr>
            </w:pPr>
            <w:r>
              <w:rPr>
                <w:rFonts w:ascii="宋体" w:hAnsi="宋体"/>
              </w:rPr>
              <w:t>1</w:t>
            </w:r>
            <w:r>
              <w:rPr>
                <w:rFonts w:hint="eastAsia" w:ascii="宋体" w:hAnsi="宋体"/>
              </w:rPr>
              <w:t>0</w:t>
            </w:r>
          </w:p>
        </w:tc>
        <w:tc>
          <w:tcPr>
            <w:tcW w:w="2340" w:type="dxa"/>
            <w:tcBorders>
              <w:right w:val="single" w:color="auto" w:sz="4" w:space="0"/>
            </w:tcBorders>
            <w:vAlign w:val="top"/>
          </w:tcPr>
          <w:p>
            <w:pPr>
              <w:rPr>
                <w:rFonts w:hint="eastAsia" w:ascii="宋体" w:hAnsi="宋体" w:eastAsia="宋体"/>
                <w:lang w:val="en-US" w:eastAsia="zh-CN"/>
              </w:rPr>
            </w:pPr>
          </w:p>
        </w:tc>
        <w:tc>
          <w:tcPr>
            <w:tcW w:w="540" w:type="dxa"/>
            <w:tcBorders>
              <w:left w:val="single" w:color="auto" w:sz="4" w:space="0"/>
            </w:tcBorders>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default" w:ascii="宋体" w:hAnsi="宋体"/>
                <w:szCs w:val="21"/>
                <w:lang w:val="en-US"/>
              </w:rPr>
              <w:t>9</w:t>
            </w:r>
          </w:p>
        </w:tc>
        <w:tc>
          <w:tcPr>
            <w:tcW w:w="1498" w:type="dxa"/>
            <w:vAlign w:val="center"/>
          </w:tcPr>
          <w:p>
            <w:pPr>
              <w:spacing w:line="360" w:lineRule="auto"/>
              <w:ind w:right="28"/>
              <w:rPr>
                <w:rFonts w:ascii="宋体" w:hAnsi="宋体"/>
                <w:szCs w:val="21"/>
              </w:rPr>
            </w:pPr>
            <w:r>
              <w:rPr>
                <w:rFonts w:hint="eastAsia" w:ascii="宋体" w:hAnsi="宋体"/>
                <w:szCs w:val="21"/>
              </w:rPr>
              <w:t>同轴电缆（含接头）</w:t>
            </w:r>
          </w:p>
        </w:tc>
        <w:tc>
          <w:tcPr>
            <w:tcW w:w="677" w:type="dxa"/>
            <w:tcBorders>
              <w:right w:val="single" w:color="auto" w:sz="4" w:space="0"/>
            </w:tcBorders>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条</w:t>
            </w:r>
          </w:p>
        </w:tc>
        <w:tc>
          <w:tcPr>
            <w:tcW w:w="2340" w:type="dxa"/>
            <w:tcBorders>
              <w:left w:val="single" w:color="auto" w:sz="4" w:space="0"/>
              <w:right w:val="single" w:color="auto" w:sz="4" w:space="0"/>
            </w:tcBorders>
          </w:tcPr>
          <w:p>
            <w:pPr>
              <w:rPr>
                <w:rFonts w:ascii="宋体" w:hAnsi="宋体"/>
              </w:rPr>
            </w:pPr>
            <w:r>
              <w:rPr>
                <w:rFonts w:hint="eastAsia" w:ascii="宋体" w:hAnsi="宋体"/>
                <w:szCs w:val="21"/>
              </w:rPr>
              <w:t>每根10米</w:t>
            </w:r>
          </w:p>
        </w:tc>
        <w:tc>
          <w:tcPr>
            <w:tcW w:w="570" w:type="dxa"/>
            <w:tcBorders>
              <w:left w:val="single" w:color="auto" w:sz="4" w:space="0"/>
            </w:tcBorders>
          </w:tcPr>
          <w:p>
            <w:pPr>
              <w:rPr>
                <w:rFonts w:ascii="宋体" w:hAnsi="宋体"/>
              </w:rPr>
            </w:pPr>
            <w:r>
              <w:rPr>
                <w:rFonts w:ascii="宋体" w:hAnsi="宋体"/>
              </w:rPr>
              <w:t>1</w:t>
            </w:r>
            <w:r>
              <w:rPr>
                <w:rFonts w:hint="eastAsia" w:ascii="宋体" w:hAnsi="宋体"/>
              </w:rPr>
              <w:t>0</w:t>
            </w:r>
          </w:p>
        </w:tc>
        <w:tc>
          <w:tcPr>
            <w:tcW w:w="2340" w:type="dxa"/>
            <w:tcBorders>
              <w:right w:val="single" w:color="auto" w:sz="4" w:space="0"/>
            </w:tcBorders>
            <w:vAlign w:val="top"/>
          </w:tcPr>
          <w:p>
            <w:pPr>
              <w:rPr>
                <w:rFonts w:ascii="宋体" w:hAnsi="宋体"/>
              </w:rPr>
            </w:pPr>
          </w:p>
        </w:tc>
        <w:tc>
          <w:tcPr>
            <w:tcW w:w="540" w:type="dxa"/>
            <w:tcBorders>
              <w:left w:val="single" w:color="auto" w:sz="4" w:space="0"/>
            </w:tcBorders>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hint="default" w:ascii="宋体" w:hAnsi="宋体"/>
                <w:szCs w:val="21"/>
                <w:lang w:val="en-US"/>
              </w:rPr>
            </w:pPr>
            <w:r>
              <w:rPr>
                <w:rFonts w:hint="default" w:ascii="宋体" w:hAnsi="宋体"/>
                <w:szCs w:val="21"/>
                <w:lang w:val="en-US"/>
              </w:rPr>
              <w:t>10</w:t>
            </w:r>
          </w:p>
        </w:tc>
        <w:tc>
          <w:tcPr>
            <w:tcW w:w="1498" w:type="dxa"/>
            <w:vAlign w:val="center"/>
          </w:tcPr>
          <w:p>
            <w:pPr>
              <w:spacing w:line="360" w:lineRule="auto"/>
              <w:ind w:right="28"/>
              <w:rPr>
                <w:rFonts w:ascii="宋体" w:hAnsi="宋体"/>
                <w:szCs w:val="21"/>
              </w:rPr>
            </w:pPr>
            <w:r>
              <w:rPr>
                <w:rFonts w:hint="eastAsia" w:ascii="宋体" w:hAnsi="宋体"/>
                <w:szCs w:val="21"/>
              </w:rPr>
              <w:t>铠装光缆</w:t>
            </w:r>
          </w:p>
        </w:tc>
        <w:tc>
          <w:tcPr>
            <w:tcW w:w="677" w:type="dxa"/>
            <w:tcBorders>
              <w:right w:val="single" w:color="auto" w:sz="4" w:space="0"/>
            </w:tcBorders>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米</w:t>
            </w:r>
          </w:p>
        </w:tc>
        <w:tc>
          <w:tcPr>
            <w:tcW w:w="2340" w:type="dxa"/>
            <w:tcBorders>
              <w:left w:val="single" w:color="auto" w:sz="4" w:space="0"/>
              <w:right w:val="single" w:color="auto" w:sz="4" w:space="0"/>
            </w:tcBorders>
          </w:tcPr>
          <w:p>
            <w:pPr>
              <w:rPr>
                <w:rFonts w:ascii="宋体" w:hAnsi="宋体"/>
              </w:rPr>
            </w:pPr>
            <w:r>
              <w:rPr>
                <w:rFonts w:hint="eastAsia" w:ascii="宋体" w:hAnsi="宋体"/>
                <w:szCs w:val="21"/>
              </w:rPr>
              <w:t>10芯</w:t>
            </w:r>
          </w:p>
        </w:tc>
        <w:tc>
          <w:tcPr>
            <w:tcW w:w="570" w:type="dxa"/>
            <w:tcBorders>
              <w:left w:val="single" w:color="auto" w:sz="4" w:space="0"/>
            </w:tcBorders>
          </w:tcPr>
          <w:p>
            <w:pPr>
              <w:rPr>
                <w:rFonts w:ascii="宋体" w:hAnsi="宋体"/>
              </w:rPr>
            </w:pPr>
            <w:r>
              <w:rPr>
                <w:rFonts w:ascii="宋体" w:hAnsi="宋体"/>
              </w:rPr>
              <w:t>15</w:t>
            </w:r>
            <w:r>
              <w:rPr>
                <w:rFonts w:hint="eastAsia" w:ascii="宋体" w:hAnsi="宋体"/>
              </w:rPr>
              <w:t>0</w:t>
            </w:r>
          </w:p>
        </w:tc>
        <w:tc>
          <w:tcPr>
            <w:tcW w:w="2340" w:type="dxa"/>
            <w:tcBorders>
              <w:right w:val="single" w:color="auto" w:sz="2" w:space="0"/>
            </w:tcBorders>
            <w:vAlign w:val="top"/>
          </w:tcPr>
          <w:p>
            <w:pPr>
              <w:rPr>
                <w:rFonts w:ascii="宋体" w:hAnsi="宋体"/>
              </w:rPr>
            </w:pPr>
          </w:p>
        </w:tc>
        <w:tc>
          <w:tcPr>
            <w:tcW w:w="540" w:type="dxa"/>
            <w:tcBorders>
              <w:left w:val="single" w:color="auto" w:sz="2" w:space="0"/>
            </w:tcBorders>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eastAsia" w:ascii="宋体" w:hAnsi="宋体"/>
                <w:szCs w:val="21"/>
              </w:rPr>
              <w:t>1</w:t>
            </w:r>
            <w:r>
              <w:rPr>
                <w:rFonts w:hint="default" w:ascii="宋体" w:hAnsi="宋体"/>
                <w:szCs w:val="21"/>
                <w:lang w:val="en-US"/>
              </w:rPr>
              <w:t>1</w:t>
            </w:r>
          </w:p>
        </w:tc>
        <w:tc>
          <w:tcPr>
            <w:tcW w:w="1498" w:type="dxa"/>
            <w:vAlign w:val="center"/>
          </w:tcPr>
          <w:p>
            <w:pPr>
              <w:spacing w:line="360" w:lineRule="auto"/>
              <w:ind w:right="28"/>
              <w:rPr>
                <w:rFonts w:ascii="宋体" w:hAnsi="宋体"/>
                <w:szCs w:val="21"/>
              </w:rPr>
            </w:pPr>
            <w:r>
              <w:rPr>
                <w:rFonts w:hint="eastAsia" w:ascii="宋体" w:hAnsi="宋体"/>
                <w:szCs w:val="21"/>
              </w:rPr>
              <w:t>ODF架</w:t>
            </w:r>
          </w:p>
        </w:tc>
        <w:tc>
          <w:tcPr>
            <w:tcW w:w="677" w:type="dxa"/>
            <w:tcBorders>
              <w:right w:val="single" w:color="auto" w:sz="4" w:space="0"/>
            </w:tcBorders>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个</w:t>
            </w:r>
          </w:p>
        </w:tc>
        <w:tc>
          <w:tcPr>
            <w:tcW w:w="2340" w:type="dxa"/>
            <w:tcBorders>
              <w:left w:val="single" w:color="auto" w:sz="4" w:space="0"/>
              <w:right w:val="single" w:color="auto" w:sz="4" w:space="0"/>
            </w:tcBorders>
          </w:tcPr>
          <w:p>
            <w:pPr>
              <w:rPr>
                <w:rFonts w:ascii="宋体" w:hAnsi="宋体"/>
              </w:rPr>
            </w:pPr>
            <w:r>
              <w:rPr>
                <w:rFonts w:hint="eastAsia" w:ascii="宋体" w:hAnsi="宋体"/>
              </w:rPr>
              <w:t>10路</w:t>
            </w:r>
          </w:p>
        </w:tc>
        <w:tc>
          <w:tcPr>
            <w:tcW w:w="570" w:type="dxa"/>
            <w:tcBorders>
              <w:left w:val="single" w:color="auto" w:sz="4" w:space="0"/>
            </w:tcBorders>
          </w:tcPr>
          <w:p>
            <w:pPr>
              <w:rPr>
                <w:rFonts w:ascii="宋体" w:hAnsi="宋体"/>
              </w:rPr>
            </w:pPr>
            <w:r>
              <w:rPr>
                <w:rFonts w:ascii="宋体" w:hAnsi="宋体"/>
              </w:rPr>
              <w:t>1</w:t>
            </w:r>
          </w:p>
        </w:tc>
        <w:tc>
          <w:tcPr>
            <w:tcW w:w="2340" w:type="dxa"/>
            <w:tcBorders>
              <w:right w:val="single" w:color="auto" w:sz="4" w:space="0"/>
            </w:tcBorders>
            <w:vAlign w:val="top"/>
          </w:tcPr>
          <w:p>
            <w:pPr>
              <w:rPr>
                <w:rFonts w:ascii="宋体" w:hAnsi="宋体"/>
              </w:rPr>
            </w:pPr>
          </w:p>
        </w:tc>
        <w:tc>
          <w:tcPr>
            <w:tcW w:w="540" w:type="dxa"/>
            <w:tcBorders>
              <w:left w:val="single" w:color="auto" w:sz="4" w:space="0"/>
            </w:tcBorders>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eastAsia" w:ascii="宋体" w:hAnsi="宋体"/>
                <w:szCs w:val="21"/>
              </w:rPr>
              <w:t>1</w:t>
            </w:r>
            <w:r>
              <w:rPr>
                <w:rFonts w:hint="default" w:ascii="宋体" w:hAnsi="宋体"/>
                <w:szCs w:val="21"/>
                <w:lang w:val="en-US"/>
              </w:rPr>
              <w:t>2</w:t>
            </w:r>
          </w:p>
        </w:tc>
        <w:tc>
          <w:tcPr>
            <w:tcW w:w="1498" w:type="dxa"/>
            <w:vAlign w:val="center"/>
          </w:tcPr>
          <w:p>
            <w:pPr>
              <w:spacing w:line="360" w:lineRule="auto"/>
              <w:ind w:right="28"/>
              <w:rPr>
                <w:rFonts w:ascii="宋体" w:hAnsi="宋体"/>
                <w:szCs w:val="21"/>
              </w:rPr>
            </w:pPr>
            <w:r>
              <w:rPr>
                <w:rFonts w:hint="eastAsia" w:ascii="宋体" w:hAnsi="宋体"/>
                <w:szCs w:val="21"/>
              </w:rPr>
              <w:t>DDF架</w:t>
            </w:r>
          </w:p>
        </w:tc>
        <w:tc>
          <w:tcPr>
            <w:tcW w:w="677" w:type="dxa"/>
            <w:tcBorders>
              <w:right w:val="single" w:color="auto" w:sz="4" w:space="0"/>
            </w:tcBorders>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个</w:t>
            </w:r>
          </w:p>
        </w:tc>
        <w:tc>
          <w:tcPr>
            <w:tcW w:w="2340" w:type="dxa"/>
            <w:tcBorders>
              <w:left w:val="single" w:color="auto" w:sz="4" w:space="0"/>
              <w:right w:val="single" w:color="auto" w:sz="4" w:space="0"/>
            </w:tcBorders>
          </w:tcPr>
          <w:p>
            <w:pPr>
              <w:rPr>
                <w:rFonts w:ascii="宋体" w:hAnsi="宋体"/>
              </w:rPr>
            </w:pPr>
            <w:r>
              <w:rPr>
                <w:rFonts w:hint="eastAsia" w:ascii="宋体" w:hAnsi="宋体"/>
              </w:rPr>
              <w:t>20路</w:t>
            </w:r>
          </w:p>
        </w:tc>
        <w:tc>
          <w:tcPr>
            <w:tcW w:w="570" w:type="dxa"/>
            <w:tcBorders>
              <w:left w:val="single" w:color="auto" w:sz="4" w:space="0"/>
            </w:tcBorders>
          </w:tcPr>
          <w:p>
            <w:pPr>
              <w:rPr>
                <w:rFonts w:ascii="宋体" w:hAnsi="宋体"/>
              </w:rPr>
            </w:pPr>
            <w:r>
              <w:rPr>
                <w:rFonts w:ascii="宋体" w:hAnsi="宋体"/>
              </w:rPr>
              <w:t>1</w:t>
            </w:r>
          </w:p>
        </w:tc>
        <w:tc>
          <w:tcPr>
            <w:tcW w:w="2340" w:type="dxa"/>
            <w:tcBorders>
              <w:right w:val="single" w:color="auto" w:sz="4" w:space="0"/>
            </w:tcBorders>
            <w:vAlign w:val="top"/>
          </w:tcPr>
          <w:p>
            <w:pPr>
              <w:rPr>
                <w:rFonts w:ascii="宋体" w:hAnsi="宋体"/>
              </w:rPr>
            </w:pPr>
          </w:p>
        </w:tc>
        <w:tc>
          <w:tcPr>
            <w:tcW w:w="540" w:type="dxa"/>
            <w:tcBorders>
              <w:left w:val="single" w:color="auto" w:sz="4" w:space="0"/>
            </w:tcBorders>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spacing w:line="360" w:lineRule="auto"/>
              <w:ind w:left="-109" w:leftChars="-52" w:right="-128" w:rightChars="-61"/>
              <w:jc w:val="center"/>
              <w:rPr>
                <w:rFonts w:ascii="宋体" w:hAnsi="宋体"/>
                <w:szCs w:val="21"/>
              </w:rPr>
            </w:pPr>
            <w:r>
              <w:rPr>
                <w:rFonts w:hint="eastAsia" w:ascii="宋体" w:hAnsi="宋体"/>
                <w:szCs w:val="21"/>
              </w:rPr>
              <w:t>1</w:t>
            </w:r>
            <w:r>
              <w:rPr>
                <w:rFonts w:hint="default" w:ascii="宋体" w:hAnsi="宋体"/>
                <w:szCs w:val="21"/>
                <w:lang w:val="en-US"/>
              </w:rPr>
              <w:t>3</w:t>
            </w:r>
          </w:p>
        </w:tc>
        <w:tc>
          <w:tcPr>
            <w:tcW w:w="1498" w:type="dxa"/>
            <w:vAlign w:val="center"/>
          </w:tcPr>
          <w:p>
            <w:pPr>
              <w:spacing w:line="360" w:lineRule="auto"/>
              <w:ind w:right="28"/>
              <w:rPr>
                <w:rFonts w:ascii="宋体" w:hAnsi="宋体"/>
                <w:szCs w:val="21"/>
              </w:rPr>
            </w:pPr>
            <w:r>
              <w:rPr>
                <w:rFonts w:hint="eastAsia" w:ascii="宋体" w:hAnsi="宋体"/>
                <w:szCs w:val="21"/>
              </w:rPr>
              <w:t>网络线缆</w:t>
            </w:r>
          </w:p>
        </w:tc>
        <w:tc>
          <w:tcPr>
            <w:tcW w:w="677" w:type="dxa"/>
            <w:tcBorders>
              <w:right w:val="single" w:color="auto" w:sz="4" w:space="0"/>
            </w:tcBorders>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套</w:t>
            </w:r>
          </w:p>
        </w:tc>
        <w:tc>
          <w:tcPr>
            <w:tcW w:w="2340" w:type="dxa"/>
            <w:tcBorders>
              <w:left w:val="single" w:color="auto" w:sz="4" w:space="0"/>
              <w:right w:val="single" w:color="auto" w:sz="4" w:space="0"/>
            </w:tcBorders>
          </w:tcPr>
          <w:p>
            <w:pPr>
              <w:rPr>
                <w:rFonts w:ascii="宋体" w:hAnsi="宋体"/>
              </w:rPr>
            </w:pPr>
            <w:r>
              <w:rPr>
                <w:rFonts w:hint="eastAsia" w:ascii="宋体" w:hAnsi="宋体"/>
              </w:rPr>
              <w:t>含超五类屏蔽以太网线</w:t>
            </w:r>
            <w:r>
              <w:rPr>
                <w:rFonts w:ascii="宋体" w:hAnsi="宋体"/>
              </w:rPr>
              <w:t>6</w:t>
            </w:r>
            <w:r>
              <w:rPr>
                <w:rFonts w:hint="eastAsia" w:ascii="宋体" w:hAnsi="宋体"/>
              </w:rPr>
              <w:t>00米，屏蔽双绞线</w:t>
            </w:r>
            <w:r>
              <w:rPr>
                <w:rFonts w:ascii="宋体" w:hAnsi="宋体"/>
              </w:rPr>
              <w:t>2</w:t>
            </w:r>
            <w:r>
              <w:rPr>
                <w:rFonts w:hint="eastAsia" w:ascii="宋体" w:hAnsi="宋体"/>
              </w:rPr>
              <w:t>00米</w:t>
            </w:r>
          </w:p>
        </w:tc>
        <w:tc>
          <w:tcPr>
            <w:tcW w:w="570" w:type="dxa"/>
            <w:tcBorders>
              <w:left w:val="single" w:color="auto" w:sz="4" w:space="0"/>
            </w:tcBorders>
          </w:tcPr>
          <w:p>
            <w:pPr>
              <w:rPr>
                <w:rFonts w:ascii="宋体" w:hAnsi="宋体"/>
              </w:rPr>
            </w:pPr>
            <w:r>
              <w:rPr>
                <w:rFonts w:hint="eastAsia" w:ascii="宋体" w:hAnsi="宋体"/>
              </w:rPr>
              <w:t>1</w:t>
            </w:r>
          </w:p>
        </w:tc>
        <w:tc>
          <w:tcPr>
            <w:tcW w:w="2340" w:type="dxa"/>
            <w:tcBorders>
              <w:right w:val="single" w:color="auto" w:sz="2" w:space="0"/>
            </w:tcBorders>
            <w:vAlign w:val="top"/>
          </w:tcPr>
          <w:p>
            <w:pPr>
              <w:rPr>
                <w:rFonts w:ascii="宋体" w:hAnsi="宋体"/>
              </w:rPr>
            </w:pPr>
          </w:p>
        </w:tc>
        <w:tc>
          <w:tcPr>
            <w:tcW w:w="540" w:type="dxa"/>
            <w:tcBorders>
              <w:left w:val="single" w:color="auto" w:sz="2" w:space="0"/>
            </w:tcBorders>
          </w:tcPr>
          <w:p>
            <w:pPr>
              <w:rPr>
                <w:rFonts w:ascii="宋体" w:hAnsi="宋体"/>
              </w:rPr>
            </w:pPr>
          </w:p>
        </w:tc>
      </w:tr>
    </w:tbl>
    <w:p>
      <w:pPr>
        <w:pStyle w:val="15"/>
        <w:adjustRightInd w:val="0"/>
        <w:snapToGrid w:val="0"/>
        <w:spacing w:before="156" w:beforeLines="50" w:line="360" w:lineRule="auto"/>
        <w:rPr>
          <w:rFonts w:eastAsia="宋体" w:cs="Times New Roman"/>
          <w:szCs w:val="21"/>
        </w:rPr>
      </w:pPr>
      <w:r>
        <w:rPr>
          <w:rFonts w:hint="eastAsia" w:eastAsia="宋体" w:cs="Times New Roman"/>
          <w:szCs w:val="21"/>
        </w:rPr>
        <w:t>设备</w:t>
      </w:r>
      <w:r>
        <w:rPr>
          <w:rFonts w:eastAsia="宋体" w:cs="Times New Roman"/>
          <w:szCs w:val="21"/>
        </w:rPr>
        <w:t>供货范围包括:</w:t>
      </w:r>
    </w:p>
    <w:p>
      <w:pPr>
        <w:pStyle w:val="15"/>
        <w:adjustRightInd w:val="0"/>
        <w:snapToGrid w:val="0"/>
        <w:spacing w:line="360" w:lineRule="auto"/>
        <w:ind w:firstLine="630" w:firstLineChars="300"/>
        <w:rPr>
          <w:rFonts w:eastAsia="宋体" w:cs="Times New Roman"/>
          <w:szCs w:val="21"/>
        </w:rPr>
      </w:pPr>
      <w:r>
        <w:rPr>
          <w:rFonts w:eastAsia="宋体" w:cs="Times New Roman"/>
          <w:szCs w:val="21"/>
        </w:rPr>
        <w:t>a</w:t>
      </w:r>
      <w:r>
        <w:rPr>
          <w:rFonts w:hint="eastAsia" w:eastAsia="宋体" w:cs="Times New Roman"/>
          <w:szCs w:val="21"/>
        </w:rPr>
        <w:t>.</w:t>
      </w:r>
      <w:r>
        <w:rPr>
          <w:rFonts w:eastAsia="宋体" w:cs="Times New Roman"/>
          <w:szCs w:val="21"/>
        </w:rPr>
        <w:t xml:space="preserve"> </w:t>
      </w:r>
      <w:r>
        <w:rPr>
          <w:rFonts w:hint="eastAsia" w:eastAsia="宋体" w:cs="Times New Roman"/>
          <w:szCs w:val="21"/>
        </w:rPr>
        <w:t>控制子站装置及屏柜</w:t>
      </w:r>
      <w:r>
        <w:rPr>
          <w:rFonts w:eastAsia="宋体" w:cs="Times New Roman"/>
          <w:szCs w:val="21"/>
        </w:rPr>
        <w:t>；</w:t>
      </w:r>
    </w:p>
    <w:p>
      <w:pPr>
        <w:pStyle w:val="15"/>
        <w:adjustRightInd w:val="0"/>
        <w:snapToGrid w:val="0"/>
        <w:spacing w:line="360" w:lineRule="auto"/>
        <w:ind w:firstLine="630" w:firstLineChars="300"/>
        <w:rPr>
          <w:rFonts w:eastAsia="宋体" w:cs="Times New Roman"/>
          <w:szCs w:val="21"/>
        </w:rPr>
      </w:pPr>
      <w:r>
        <w:rPr>
          <w:rFonts w:hint="eastAsia" w:eastAsia="宋体" w:cs="Times New Roman"/>
          <w:szCs w:val="21"/>
        </w:rPr>
        <w:t>b.</w:t>
      </w:r>
      <w:r>
        <w:rPr>
          <w:rFonts w:eastAsia="宋体" w:cs="Times New Roman"/>
          <w:szCs w:val="21"/>
        </w:rPr>
        <w:t xml:space="preserve"> </w:t>
      </w:r>
      <w:r>
        <w:rPr>
          <w:rFonts w:hint="eastAsia" w:eastAsia="宋体" w:cs="Times New Roman"/>
          <w:szCs w:val="21"/>
        </w:rPr>
        <w:t>通信接口装置及屏柜</w:t>
      </w:r>
      <w:r>
        <w:rPr>
          <w:rFonts w:eastAsia="宋体" w:cs="Times New Roman"/>
          <w:szCs w:val="21"/>
        </w:rPr>
        <w:t>；</w:t>
      </w:r>
    </w:p>
    <w:p>
      <w:pPr>
        <w:pStyle w:val="15"/>
        <w:adjustRightInd w:val="0"/>
        <w:snapToGrid w:val="0"/>
        <w:spacing w:line="360" w:lineRule="auto"/>
        <w:ind w:firstLine="630" w:firstLineChars="300"/>
        <w:rPr>
          <w:rFonts w:eastAsia="宋体" w:cs="Times New Roman"/>
          <w:szCs w:val="21"/>
        </w:rPr>
      </w:pPr>
      <w:r>
        <w:rPr>
          <w:rFonts w:hint="eastAsia" w:eastAsia="宋体" w:cs="Times New Roman"/>
          <w:szCs w:val="21"/>
        </w:rPr>
        <w:t>c.</w:t>
      </w:r>
      <w:r>
        <w:rPr>
          <w:rFonts w:eastAsia="宋体" w:cs="Times New Roman"/>
          <w:szCs w:val="21"/>
        </w:rPr>
        <w:t xml:space="preserve"> </w:t>
      </w:r>
      <w:r>
        <w:rPr>
          <w:rFonts w:hint="eastAsia" w:eastAsia="宋体" w:cs="Times New Roman"/>
          <w:szCs w:val="21"/>
        </w:rPr>
        <w:t>尾纤、同轴电缆</w:t>
      </w:r>
      <w:r>
        <w:rPr>
          <w:rFonts w:eastAsia="宋体" w:cs="Times New Roman"/>
          <w:szCs w:val="21"/>
        </w:rPr>
        <w:t>及</w:t>
      </w:r>
      <w:r>
        <w:rPr>
          <w:rFonts w:hint="eastAsia" w:eastAsia="宋体" w:cs="Times New Roman"/>
          <w:szCs w:val="21"/>
        </w:rPr>
        <w:t>光缆等辅助材料</w:t>
      </w:r>
      <w:r>
        <w:rPr>
          <w:rFonts w:eastAsia="宋体" w:cs="Times New Roman"/>
          <w:szCs w:val="21"/>
        </w:rPr>
        <w:t>；</w:t>
      </w:r>
    </w:p>
    <w:p>
      <w:pPr>
        <w:pStyle w:val="15"/>
        <w:adjustRightInd w:val="0"/>
        <w:snapToGrid w:val="0"/>
        <w:spacing w:line="360" w:lineRule="auto"/>
        <w:ind w:firstLine="630" w:firstLineChars="300"/>
        <w:rPr>
          <w:rFonts w:eastAsia="宋体" w:cs="Times New Roman"/>
          <w:szCs w:val="21"/>
        </w:rPr>
      </w:pPr>
      <w:r>
        <w:rPr>
          <w:rFonts w:hint="eastAsia" w:eastAsia="宋体" w:cs="Times New Roman"/>
          <w:szCs w:val="21"/>
        </w:rPr>
        <w:t>d. ODF光纤配线架、DDF数字配线架</w:t>
      </w:r>
      <w:r>
        <w:rPr>
          <w:rFonts w:eastAsia="宋体" w:cs="Times New Roman"/>
          <w:szCs w:val="21"/>
        </w:rPr>
        <w:t>；</w:t>
      </w:r>
    </w:p>
    <w:p>
      <w:pPr>
        <w:pStyle w:val="15"/>
        <w:adjustRightInd w:val="0"/>
        <w:snapToGrid w:val="0"/>
        <w:spacing w:line="360" w:lineRule="auto"/>
        <w:ind w:firstLine="630" w:firstLineChars="300"/>
        <w:rPr>
          <w:rFonts w:eastAsia="宋体" w:cs="Times New Roman"/>
          <w:szCs w:val="21"/>
        </w:rPr>
      </w:pPr>
      <w:r>
        <w:rPr>
          <w:rFonts w:hint="eastAsia" w:eastAsia="宋体" w:cs="Times New Roman"/>
          <w:szCs w:val="21"/>
        </w:rPr>
        <w:t>e.</w:t>
      </w:r>
      <w:r>
        <w:rPr>
          <w:rFonts w:eastAsia="宋体" w:cs="Times New Roman"/>
          <w:szCs w:val="21"/>
        </w:rPr>
        <w:t xml:space="preserve"> 备品备件及专用工具等</w:t>
      </w:r>
      <w:r>
        <w:rPr>
          <w:rFonts w:hint="eastAsia" w:eastAsia="宋体" w:cs="Times New Roman"/>
          <w:szCs w:val="21"/>
        </w:rPr>
        <w:t>详见表13.1和表13.2。</w:t>
      </w:r>
    </w:p>
    <w:p>
      <w:pPr>
        <w:pStyle w:val="15"/>
        <w:adjustRightInd w:val="0"/>
        <w:snapToGrid w:val="0"/>
        <w:spacing w:line="360" w:lineRule="auto"/>
        <w:rPr>
          <w:rFonts w:eastAsia="宋体" w:cs="Times New Roman"/>
          <w:szCs w:val="21"/>
        </w:rPr>
      </w:pPr>
      <w:r>
        <w:rPr>
          <w:rFonts w:hint="eastAsia" w:eastAsia="宋体" w:cs="Times New Roman"/>
          <w:szCs w:val="21"/>
        </w:rPr>
        <w:t>3）工厂试验由投标方在生产厂家内完成，但应有招标方代表参加，参加工厂验收的人数及天数等规定详见</w:t>
      </w:r>
      <w:r>
        <w:rPr>
          <w:rFonts w:hint="eastAsia" w:eastAsia="宋体" w:cs="Times New Roman"/>
          <w:szCs w:val="21"/>
          <w:lang w:eastAsia="zh-CN"/>
        </w:rPr>
        <w:t>规范书</w:t>
      </w:r>
      <w:r>
        <w:rPr>
          <w:rFonts w:hint="eastAsia" w:eastAsia="宋体" w:cs="Times New Roman"/>
          <w:szCs w:val="21"/>
        </w:rPr>
        <w:t>商务部分。</w:t>
      </w:r>
    </w:p>
    <w:p>
      <w:pPr>
        <w:pStyle w:val="15"/>
        <w:adjustRightInd w:val="0"/>
        <w:snapToGrid w:val="0"/>
        <w:spacing w:line="360" w:lineRule="auto"/>
        <w:rPr>
          <w:rFonts w:eastAsia="宋体" w:cs="Times New Roman"/>
          <w:szCs w:val="21"/>
        </w:rPr>
      </w:pPr>
      <w:r>
        <w:rPr>
          <w:rFonts w:hint="eastAsia" w:eastAsia="宋体" w:cs="Times New Roman"/>
          <w:szCs w:val="21"/>
        </w:rPr>
        <w:t>4）现场安装和试验在投标方的技术指导下由招标方完成，投标方协助招标方按标准检查安装质量，处理调试投运过程中出现的问题，并提供备品、备件，做好销售服务工作。投标方应选派有经验的技术人员，对安装和运行人员免费培训。安装督导的工作范围及人数和天数等规定详见</w:t>
      </w:r>
      <w:r>
        <w:rPr>
          <w:rFonts w:hint="eastAsia" w:eastAsia="宋体" w:cs="Times New Roman"/>
          <w:szCs w:val="21"/>
          <w:lang w:eastAsia="zh-CN"/>
        </w:rPr>
        <w:t>规范书</w:t>
      </w:r>
      <w:r>
        <w:rPr>
          <w:rFonts w:hint="eastAsia" w:eastAsia="宋体" w:cs="Times New Roman"/>
          <w:szCs w:val="21"/>
        </w:rPr>
        <w:t>商务部分。</w:t>
      </w:r>
    </w:p>
    <w:p>
      <w:pPr>
        <w:pStyle w:val="15"/>
        <w:adjustRightInd w:val="0"/>
        <w:snapToGrid w:val="0"/>
        <w:spacing w:line="360" w:lineRule="auto"/>
        <w:rPr>
          <w:rFonts w:eastAsia="宋体" w:cs="Times New Roman"/>
          <w:szCs w:val="21"/>
        </w:rPr>
      </w:pPr>
      <w:r>
        <w:rPr>
          <w:rFonts w:hint="eastAsia" w:eastAsia="宋体" w:cs="Times New Roman"/>
          <w:szCs w:val="21"/>
        </w:rPr>
        <w:t>5）投标方应协助招标方解决设备运行中出现的问题。</w:t>
      </w:r>
    </w:p>
    <w:p>
      <w:pPr>
        <w:pStyle w:val="15"/>
        <w:adjustRightInd w:val="0"/>
        <w:snapToGrid w:val="0"/>
        <w:spacing w:line="360" w:lineRule="auto"/>
        <w:rPr>
          <w:rFonts w:eastAsia="宋体" w:cs="Times New Roman"/>
          <w:szCs w:val="21"/>
        </w:rPr>
      </w:pPr>
      <w:r>
        <w:rPr>
          <w:rFonts w:hint="eastAsia" w:eastAsia="宋体" w:cs="Times New Roman"/>
          <w:szCs w:val="21"/>
          <w:lang w:val="en-US" w:eastAsia="zh-CN"/>
        </w:rPr>
        <w:t>6</w:t>
      </w:r>
      <w:r>
        <w:rPr>
          <w:rFonts w:hint="eastAsia" w:eastAsia="宋体" w:cs="Times New Roman"/>
          <w:szCs w:val="21"/>
        </w:rPr>
        <w:t>）设备安装、调试和性能试验合格后方可投运。设备投运并稳定运行后，投标方和招标方（业主）双方应根据相关法律、法规和公司管理制度签署合同设备的验收证明书。该证明书共两份，双方各执一份。</w:t>
      </w:r>
    </w:p>
    <w:p>
      <w:pPr>
        <w:pStyle w:val="15"/>
        <w:adjustRightInd w:val="0"/>
        <w:snapToGrid w:val="0"/>
        <w:spacing w:line="360" w:lineRule="auto"/>
        <w:rPr>
          <w:rFonts w:eastAsia="宋体" w:cs="Times New Roman"/>
          <w:szCs w:val="21"/>
        </w:rPr>
      </w:pPr>
      <w:r>
        <w:rPr>
          <w:rFonts w:hint="eastAsia" w:eastAsia="宋体" w:cs="Times New Roman"/>
          <w:szCs w:val="21"/>
          <w:lang w:val="en-US" w:eastAsia="zh-CN"/>
        </w:rPr>
        <w:t>7</w:t>
      </w:r>
      <w:r>
        <w:rPr>
          <w:rFonts w:hint="eastAsia" w:eastAsia="宋体" w:cs="Times New Roman"/>
          <w:szCs w:val="21"/>
        </w:rPr>
        <w:t>）如果安装、调试、性能试验、试运行及质保期内技术指标一项或多项不能满足合同技术部分要求，买卖双方共同分析原因，分清责任，如属制造方面的原因，或涉及索赔部分，按商务部分有关条款执行。</w:t>
      </w:r>
    </w:p>
    <w:bookmarkEnd w:id="8"/>
    <w:p>
      <w:pPr>
        <w:pStyle w:val="2"/>
        <w:numPr>
          <w:ilvl w:val="0"/>
          <w:numId w:val="0"/>
        </w:numPr>
        <w:snapToGrid/>
        <w:spacing w:before="0" w:beforeLines="0" w:line="480" w:lineRule="auto"/>
        <w:rPr>
          <w:rFonts w:ascii="黑体" w:eastAsia="黑体"/>
        </w:rPr>
      </w:pPr>
      <w:bookmarkStart w:id="23" w:name="_Toc403567340"/>
      <w:bookmarkStart w:id="24" w:name="_Toc5324"/>
      <w:r>
        <w:rPr>
          <w:rFonts w:hint="eastAsia" w:ascii="黑体" w:eastAsia="黑体"/>
        </w:rPr>
        <w:t>3 应遵循的主要标准</w:t>
      </w:r>
      <w:bookmarkEnd w:id="23"/>
      <w:bookmarkEnd w:id="24"/>
    </w:p>
    <w:p>
      <w:pPr>
        <w:pStyle w:val="15"/>
        <w:adjustRightInd w:val="0"/>
        <w:snapToGrid w:val="0"/>
        <w:spacing w:line="360" w:lineRule="auto"/>
        <w:rPr>
          <w:rFonts w:eastAsia="宋体" w:cs="Times New Roman"/>
          <w:szCs w:val="21"/>
        </w:rPr>
      </w:pPr>
      <w:r>
        <w:rPr>
          <w:rFonts w:eastAsia="宋体" w:cs="Times New Roman"/>
          <w:szCs w:val="21"/>
        </w:rPr>
        <w:t>除本</w:t>
      </w:r>
      <w:r>
        <w:rPr>
          <w:rFonts w:hint="eastAsia" w:eastAsia="宋体" w:cs="Times New Roman"/>
          <w:szCs w:val="21"/>
          <w:lang w:eastAsia="zh-CN"/>
        </w:rPr>
        <w:t>规范书</w:t>
      </w:r>
      <w:r>
        <w:rPr>
          <w:rFonts w:eastAsia="宋体" w:cs="Times New Roman"/>
          <w:szCs w:val="21"/>
        </w:rPr>
        <w:t>特殊规定外，投标方所提供的设备均按规定的标准和规程的最新版本进行设计、制造、试验和安装。如果这些标准内容有矛盾时，应按最高标准的条款执行或按双方商定的标准执行。如果投标方选用本</w:t>
      </w:r>
      <w:r>
        <w:rPr>
          <w:rFonts w:hint="eastAsia" w:eastAsia="宋体" w:cs="Times New Roman"/>
          <w:szCs w:val="21"/>
          <w:lang w:eastAsia="zh-CN"/>
        </w:rPr>
        <w:t>规范书</w:t>
      </w:r>
      <w:r>
        <w:rPr>
          <w:rFonts w:eastAsia="宋体" w:cs="Times New Roman"/>
          <w:szCs w:val="21"/>
        </w:rPr>
        <w:t>规定以外的标准时，则需提交这种替换标准供审查和分析。仅在投标方已证明替换标准相当或优于</w:t>
      </w:r>
      <w:r>
        <w:rPr>
          <w:rFonts w:hint="eastAsia" w:eastAsia="宋体" w:cs="Times New Roman"/>
          <w:szCs w:val="21"/>
          <w:lang w:eastAsia="zh-CN"/>
        </w:rPr>
        <w:t>规范书</w:t>
      </w:r>
      <w:r>
        <w:rPr>
          <w:rFonts w:eastAsia="宋体" w:cs="Times New Roman"/>
          <w:szCs w:val="21"/>
        </w:rPr>
        <w:t>规定的标准，并从招标方处获得书面的认可才能使用。提交供审查的标准应为中文或英文版本。</w:t>
      </w:r>
      <w:r>
        <w:rPr>
          <w:rFonts w:hint="eastAsia" w:eastAsia="宋体" w:cs="Times New Roman"/>
          <w:szCs w:val="21"/>
        </w:rPr>
        <w:t>主要引用标准如下：</w:t>
      </w:r>
    </w:p>
    <w:tbl>
      <w:tblPr>
        <w:tblStyle w:val="11"/>
        <w:tblW w:w="8820" w:type="dxa"/>
        <w:tblInd w:w="108" w:type="dxa"/>
        <w:tblLayout w:type="fixed"/>
        <w:tblCellMar>
          <w:top w:w="0" w:type="dxa"/>
          <w:left w:w="108" w:type="dxa"/>
          <w:bottom w:w="0" w:type="dxa"/>
          <w:right w:w="108" w:type="dxa"/>
        </w:tblCellMar>
      </w:tblPr>
      <w:tblGrid>
        <w:gridCol w:w="2880"/>
        <w:gridCol w:w="5940"/>
      </w:tblGrid>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GB/T2423</w:t>
            </w:r>
          </w:p>
        </w:tc>
        <w:tc>
          <w:tcPr>
            <w:tcW w:w="5940" w:type="dxa"/>
            <w:noWrap w:val="0"/>
            <w:vAlign w:val="center"/>
          </w:tcPr>
          <w:p>
            <w:pPr>
              <w:tabs>
                <w:tab w:val="left" w:pos="3480"/>
              </w:tabs>
              <w:spacing w:line="360" w:lineRule="auto"/>
              <w:rPr>
                <w:rFonts w:ascii="宋体" w:hAnsi="宋体"/>
                <w:szCs w:val="21"/>
              </w:rPr>
            </w:pPr>
            <w:r>
              <w:rPr>
                <w:rFonts w:hint="eastAsia" w:ascii="宋体" w:hAnsi="宋体"/>
                <w:szCs w:val="21"/>
              </w:rPr>
              <w:t>《电工电子产品环境试验》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《电气继电器第5部分：电气继电器的绝缘试验》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GB/T14598.9</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《电气继电器第22-3部分：量度继电器和保护装置的电气骚扰试验 辐射电磁场骚扰试验》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GB/T14598.10</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《电气继电器第22-4部分：量度继电器和保护装置的电气骚扰试验 电快速瞬变/脉冲群抗扰度试验》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GB/T14598.13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《电气继电器第22-1部分：量度继电器和保护装置的电气骚扰试验 1MHz脉冲群抗扰度试验》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GB/T14598.14</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《量度继电器和保护装置的电气干扰试验第2部分：静电放电试验》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GB/T11287</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《电气继电器第21部分：量度继电器和保护装置的振动、冲击、碰撞和地震试验第1篇振动试验（正弦）》</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GB/T7261</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《继电保护和安全自动装置基本试验方法》</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GB/T14285</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《继电保护和安全自动装置技术规程》</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GB/T18657</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《远动设备及系统 第5部分:传输规约》</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GB/T17626.2</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静电放电抗扰度试验》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射频电磁场辐射抗扰度试验》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GB/T17626.4</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电快速瞬变脉冲群抗扰度试验》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GB/T17626.5</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浪涌(冲击)抗扰度试验》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GB/T17626.6</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射频场感应的传导骚扰抗扰度》</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GB/T17626.8</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工频磁场的抗扰度试验》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GB/T191</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《包装储运图示标志》</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DL/T478</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《静态继电保护及安全自动装置通用技术条件》</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DL/T5136</w:t>
            </w:r>
          </w:p>
        </w:tc>
        <w:tc>
          <w:tcPr>
            <w:tcW w:w="5940" w:type="dxa"/>
            <w:noWrap w:val="0"/>
            <w:vAlign w:val="bottom"/>
          </w:tcPr>
          <w:p>
            <w:pPr>
              <w:tabs>
                <w:tab w:val="left" w:pos="3480"/>
              </w:tabs>
              <w:spacing w:line="360" w:lineRule="auto"/>
              <w:jc w:val="left"/>
              <w:rPr>
                <w:rFonts w:ascii="宋体" w:hAnsi="宋体"/>
                <w:szCs w:val="21"/>
              </w:rPr>
            </w:pPr>
            <w:r>
              <w:rPr>
                <w:rFonts w:hint="eastAsia" w:ascii="宋体" w:hAnsi="宋体"/>
                <w:szCs w:val="21"/>
              </w:rPr>
              <w:t>《火力发电厂、变电所二次接线设计技术规程》</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ascii="宋体" w:hAnsi="宋体"/>
                <w:szCs w:val="21"/>
              </w:rPr>
              <w:t>DL/T5147</w:t>
            </w:r>
          </w:p>
        </w:tc>
        <w:tc>
          <w:tcPr>
            <w:tcW w:w="5940" w:type="dxa"/>
            <w:noWrap w:val="0"/>
            <w:vAlign w:val="center"/>
          </w:tcPr>
          <w:p>
            <w:pPr>
              <w:tabs>
                <w:tab w:val="left" w:pos="3480"/>
              </w:tabs>
              <w:spacing w:line="360" w:lineRule="auto"/>
              <w:rPr>
                <w:rFonts w:hint="eastAsia" w:ascii="宋体" w:hAnsi="宋体"/>
                <w:szCs w:val="21"/>
              </w:rPr>
            </w:pPr>
            <w:r>
              <w:rPr>
                <w:rFonts w:ascii="宋体" w:hAnsi="宋体"/>
                <w:szCs w:val="21"/>
              </w:rPr>
              <w:t>《电力系统安全自动装置设计技术规定》</w:t>
            </w:r>
          </w:p>
        </w:tc>
      </w:tr>
      <w:tr>
        <w:tblPrEx>
          <w:tblCellMar>
            <w:top w:w="0" w:type="dxa"/>
            <w:left w:w="108" w:type="dxa"/>
            <w:bottom w:w="0" w:type="dxa"/>
            <w:right w:w="108" w:type="dxa"/>
          </w:tblCellMar>
        </w:tblPrEx>
        <w:tc>
          <w:tcPr>
            <w:tcW w:w="2880" w:type="dxa"/>
            <w:noWrap w:val="0"/>
            <w:vAlign w:val="center"/>
          </w:tcPr>
          <w:p>
            <w:pPr>
              <w:tabs>
                <w:tab w:val="left" w:pos="3480"/>
              </w:tabs>
              <w:spacing w:line="360" w:lineRule="auto"/>
              <w:rPr>
                <w:rFonts w:hint="eastAsia" w:ascii="宋体" w:hAnsi="宋体"/>
                <w:szCs w:val="21"/>
              </w:rPr>
            </w:pPr>
            <w:r>
              <w:rPr>
                <w:rFonts w:hint="eastAsia" w:ascii="宋体" w:hAnsi="宋体"/>
                <w:szCs w:val="21"/>
              </w:rPr>
              <w:t>DL/T667</w:t>
            </w:r>
          </w:p>
        </w:tc>
        <w:tc>
          <w:tcPr>
            <w:tcW w:w="5940" w:type="dxa"/>
            <w:noWrap w:val="0"/>
            <w:vAlign w:val="bottom"/>
          </w:tcPr>
          <w:p>
            <w:pPr>
              <w:tabs>
                <w:tab w:val="left" w:pos="3480"/>
              </w:tabs>
              <w:spacing w:line="360" w:lineRule="auto"/>
              <w:jc w:val="left"/>
              <w:rPr>
                <w:rFonts w:hint="eastAsia" w:ascii="宋体" w:hAnsi="宋体"/>
                <w:szCs w:val="21"/>
              </w:rPr>
            </w:pPr>
            <w:r>
              <w:rPr>
                <w:rFonts w:hint="eastAsia" w:ascii="宋体" w:hAnsi="宋体"/>
                <w:szCs w:val="21"/>
              </w:rPr>
              <w:t>《远动设备及系统 第5部分 传输规约 第103篇 继电保护设备信息接口配套标准》</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DL/T720</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《电力系统继电保护柜、屏通用技术条件》</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ascii="宋体" w:hAnsi="宋体"/>
                <w:szCs w:val="21"/>
              </w:rPr>
            </w:pPr>
            <w:r>
              <w:rPr>
                <w:rFonts w:hint="eastAsia" w:ascii="宋体" w:hAnsi="宋体"/>
                <w:szCs w:val="21"/>
              </w:rPr>
              <w:t>DL/T723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《电力系统安全稳定控制技术导则》</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ascii="宋体" w:hAnsi="宋体"/>
                <w:szCs w:val="21"/>
              </w:rPr>
              <w:t>DL</w:t>
            </w:r>
            <w:r>
              <w:rPr>
                <w:rFonts w:hint="eastAsia" w:ascii="宋体" w:hAnsi="宋体"/>
                <w:szCs w:val="21"/>
              </w:rPr>
              <w:t>/T</w:t>
            </w:r>
            <w:r>
              <w:rPr>
                <w:rFonts w:ascii="宋体" w:hAnsi="宋体"/>
                <w:szCs w:val="21"/>
              </w:rPr>
              <w:t>755</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w:t>
            </w:r>
            <w:r>
              <w:rPr>
                <w:rFonts w:hint="eastAsia"/>
              </w:rPr>
              <w:t>电力系统安全稳定导则</w:t>
            </w:r>
            <w:r>
              <w:rPr>
                <w:rFonts w:hint="eastAsia" w:ascii="宋体" w:hAnsi="宋体"/>
                <w:szCs w:val="21"/>
              </w:rPr>
              <w:t>》</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ascii="宋体" w:hAnsi="宋体"/>
                <w:szCs w:val="21"/>
              </w:rPr>
              <w:t>DL</w:t>
            </w:r>
            <w:r>
              <w:rPr>
                <w:rFonts w:hint="eastAsia" w:ascii="宋体" w:hAnsi="宋体"/>
                <w:szCs w:val="21"/>
              </w:rPr>
              <w:t>/</w:t>
            </w:r>
            <w:r>
              <w:rPr>
                <w:rFonts w:ascii="宋体" w:hAnsi="宋体"/>
                <w:szCs w:val="21"/>
              </w:rPr>
              <w:t>T_1092</w:t>
            </w:r>
          </w:p>
        </w:tc>
        <w:tc>
          <w:tcPr>
            <w:tcW w:w="5940" w:type="dxa"/>
            <w:noWrap w:val="0"/>
            <w:vAlign w:val="bottom"/>
          </w:tcPr>
          <w:p>
            <w:pPr>
              <w:tabs>
                <w:tab w:val="left" w:pos="3480"/>
              </w:tabs>
              <w:spacing w:line="360" w:lineRule="auto"/>
              <w:jc w:val="left"/>
              <w:rPr>
                <w:rFonts w:hint="eastAsia" w:ascii="宋体" w:hAnsi="宋体"/>
                <w:szCs w:val="21"/>
              </w:rPr>
            </w:pPr>
            <w:r>
              <w:rPr>
                <w:rFonts w:hint="eastAsia" w:ascii="宋体" w:hAnsi="宋体"/>
                <w:szCs w:val="21"/>
              </w:rPr>
              <w:t>《电力系统安全稳定控制系统通用技术条件》</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DL/T860/IEC 61850</w:t>
            </w:r>
          </w:p>
        </w:tc>
        <w:tc>
          <w:tcPr>
            <w:tcW w:w="5940" w:type="dxa"/>
            <w:noWrap w:val="0"/>
            <w:vAlign w:val="bottom"/>
          </w:tcPr>
          <w:p>
            <w:pPr>
              <w:tabs>
                <w:tab w:val="left" w:pos="3480"/>
              </w:tabs>
              <w:spacing w:line="360" w:lineRule="auto"/>
              <w:jc w:val="left"/>
              <w:rPr>
                <w:rFonts w:hint="eastAsia" w:ascii="宋体" w:hAnsi="宋体"/>
                <w:szCs w:val="21"/>
              </w:rPr>
            </w:pPr>
            <w:r>
              <w:rPr>
                <w:rFonts w:hint="eastAsia" w:ascii="宋体" w:hAnsi="宋体"/>
                <w:szCs w:val="21"/>
              </w:rPr>
              <w:t>《变电站通信网络和系统》</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DL/T871</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《电力系统继电保护产品动模试验》</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ascii="宋体" w:hAnsi="宋体"/>
                <w:szCs w:val="21"/>
              </w:rPr>
              <w:t>DL</w:t>
            </w:r>
            <w:r>
              <w:rPr>
                <w:rFonts w:hint="eastAsia" w:ascii="宋体" w:hAnsi="宋体"/>
                <w:szCs w:val="21"/>
              </w:rPr>
              <w:t>/T</w:t>
            </w:r>
            <w:r>
              <w:rPr>
                <w:rFonts w:ascii="宋体" w:hAnsi="宋体"/>
                <w:szCs w:val="21"/>
              </w:rPr>
              <w:t>995</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《继电保护和电网安全自动装置检验规程》</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ascii="宋体" w:hAnsi="宋体"/>
                <w:szCs w:val="21"/>
              </w:rPr>
            </w:pPr>
            <w:r>
              <w:rPr>
                <w:rFonts w:hint="eastAsia" w:ascii="宋体" w:hAnsi="宋体"/>
                <w:szCs w:val="21"/>
              </w:rPr>
              <w:t>Q</w:t>
            </w:r>
            <w:r>
              <w:rPr>
                <w:rFonts w:hint="eastAsia" w:ascii="宋体" w:hAnsi="宋体"/>
                <w:szCs w:val="21"/>
                <w:lang w:val="en-US" w:eastAsia="zh-CN"/>
              </w:rPr>
              <w:t>/</w:t>
            </w:r>
            <w:r>
              <w:rPr>
                <w:rFonts w:hint="eastAsia" w:ascii="宋体" w:hAnsi="宋体"/>
                <w:szCs w:val="21"/>
              </w:rPr>
              <w:t>CSG1204129</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《南方电网安全自动装置检验规范》</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Q</w:t>
            </w:r>
            <w:r>
              <w:rPr>
                <w:rFonts w:ascii="宋体" w:hAnsi="宋体"/>
                <w:szCs w:val="21"/>
              </w:rPr>
              <w:t xml:space="preserve">/CSG </w:t>
            </w:r>
            <w:r>
              <w:rPr>
                <w:rFonts w:hint="eastAsia" w:ascii="宋体" w:hAnsi="宋体"/>
                <w:szCs w:val="21"/>
              </w:rPr>
              <w:t xml:space="preserve">110010           </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《南方电网继电保护通用技术规范》</w:t>
            </w:r>
          </w:p>
        </w:tc>
      </w:tr>
    </w:tbl>
    <w:p>
      <w:pPr>
        <w:pStyle w:val="2"/>
        <w:numPr>
          <w:ilvl w:val="0"/>
          <w:numId w:val="0"/>
        </w:numPr>
        <w:snapToGrid/>
        <w:spacing w:before="0" w:beforeLines="0" w:line="480" w:lineRule="auto"/>
        <w:rPr>
          <w:rFonts w:ascii="黑体" w:eastAsia="黑体"/>
        </w:rPr>
      </w:pPr>
      <w:bookmarkStart w:id="25" w:name="_Toc18035"/>
      <w:bookmarkStart w:id="26" w:name="_Toc403567341"/>
      <w:bookmarkStart w:id="27" w:name="_Toc279769035"/>
      <w:r>
        <w:rPr>
          <w:rFonts w:hint="eastAsia" w:ascii="黑体" w:eastAsia="黑体"/>
        </w:rPr>
        <w:t>4 使用条件</w:t>
      </w:r>
      <w:bookmarkEnd w:id="25"/>
      <w:bookmarkEnd w:id="26"/>
      <w:bookmarkEnd w:id="27"/>
    </w:p>
    <w:p>
      <w:pPr>
        <w:pStyle w:val="15"/>
        <w:adjustRightInd w:val="0"/>
        <w:snapToGrid w:val="0"/>
        <w:spacing w:line="360" w:lineRule="auto"/>
        <w:rPr>
          <w:rFonts w:eastAsia="宋体" w:cs="Times New Roman"/>
          <w:szCs w:val="21"/>
        </w:rPr>
      </w:pPr>
      <w:bookmarkStart w:id="28" w:name="_Toc279769036"/>
      <w:r>
        <w:rPr>
          <w:rFonts w:hint="eastAsia" w:eastAsia="宋体" w:cs="Times New Roman"/>
          <w:szCs w:val="21"/>
        </w:rPr>
        <w:t>本设备招</w:t>
      </w:r>
      <w:r>
        <w:rPr>
          <w:rFonts w:hint="eastAsia" w:eastAsia="宋体" w:cs="Times New Roman"/>
          <w:szCs w:val="21"/>
          <w:lang w:eastAsia="zh-CN"/>
        </w:rPr>
        <w:t>规范书</w:t>
      </w:r>
      <w:r>
        <w:rPr>
          <w:rFonts w:hint="eastAsia" w:eastAsia="宋体" w:cs="Times New Roman"/>
          <w:szCs w:val="21"/>
        </w:rPr>
        <w:t>技术文件要采购的设备，其安装地点的实际外部条件见表4.1：设备外部条件一览表。投标方应对所提供的设备绝缘水平、温升等相关性能参数在工程实际外部条件下进行校验、核对，使所供设备满足实际外部条件要求及全工况运行要求。</w:t>
      </w:r>
    </w:p>
    <w:p>
      <w:pPr>
        <w:pStyle w:val="16"/>
        <w:adjustRightInd w:val="0"/>
        <w:snapToGrid w:val="0"/>
        <w:spacing w:line="360" w:lineRule="auto"/>
        <w:ind w:firstLine="0" w:firstLineChars="0"/>
        <w:jc w:val="center"/>
        <w:rPr>
          <w:szCs w:val="21"/>
        </w:rPr>
      </w:pPr>
      <w:r>
        <w:rPr>
          <w:rFonts w:hint="eastAsia" w:hAnsi="宋体"/>
          <w:szCs w:val="21"/>
        </w:rPr>
        <w:t xml:space="preserve">表4.1 </w:t>
      </w:r>
      <w:r>
        <w:rPr>
          <w:rFonts w:hAnsi="宋体"/>
          <w:szCs w:val="21"/>
        </w:rPr>
        <w:t xml:space="preserve"> </w:t>
      </w:r>
      <w:r>
        <w:rPr>
          <w:rFonts w:hint="eastAsia" w:hAnsi="宋体"/>
          <w:szCs w:val="21"/>
        </w:rPr>
        <w:t>设备外部条件一览表 （项目单位填写）</w:t>
      </w:r>
    </w:p>
    <w:tbl>
      <w:tblPr>
        <w:tblStyle w:val="11"/>
        <w:tblW w:w="843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44"/>
        <w:gridCol w:w="2772"/>
        <w:gridCol w:w="1078"/>
        <w:gridCol w:w="1450"/>
        <w:gridCol w:w="26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vAlign w:val="center"/>
          </w:tcPr>
          <w:p>
            <w:pPr>
              <w:rPr>
                <w:rFonts w:ascii="宋体" w:hAnsi="宋体"/>
              </w:rPr>
            </w:pPr>
            <w:r>
              <w:rPr>
                <w:rFonts w:hint="eastAsia" w:ascii="宋体" w:hAnsi="宋体"/>
              </w:rPr>
              <w:t>序号</w:t>
            </w:r>
          </w:p>
        </w:tc>
        <w:tc>
          <w:tcPr>
            <w:tcW w:w="2772" w:type="dxa"/>
            <w:vAlign w:val="center"/>
          </w:tcPr>
          <w:p>
            <w:pPr>
              <w:jc w:val="center"/>
              <w:rPr>
                <w:rFonts w:ascii="宋体" w:hAnsi="宋体"/>
              </w:rPr>
            </w:pPr>
            <w:r>
              <w:rPr>
                <w:rFonts w:hint="eastAsia" w:ascii="宋体" w:hAnsi="宋体"/>
              </w:rPr>
              <w:t>名   称</w:t>
            </w:r>
          </w:p>
        </w:tc>
        <w:tc>
          <w:tcPr>
            <w:tcW w:w="1078" w:type="dxa"/>
            <w:vAlign w:val="center"/>
          </w:tcPr>
          <w:p>
            <w:pPr>
              <w:jc w:val="center"/>
              <w:rPr>
                <w:rFonts w:ascii="宋体" w:hAnsi="宋体"/>
              </w:rPr>
            </w:pPr>
            <w:r>
              <w:rPr>
                <w:rFonts w:hint="eastAsia" w:ascii="宋体" w:hAnsi="宋体"/>
              </w:rPr>
              <w:t>单位</w:t>
            </w:r>
          </w:p>
        </w:tc>
        <w:tc>
          <w:tcPr>
            <w:tcW w:w="1450" w:type="dxa"/>
            <w:vAlign w:val="center"/>
          </w:tcPr>
          <w:p>
            <w:pPr>
              <w:ind w:firstLine="210" w:firstLineChars="100"/>
              <w:rPr>
                <w:rFonts w:ascii="宋体" w:hAnsi="宋体"/>
              </w:rPr>
            </w:pPr>
            <w:r>
              <w:rPr>
                <w:rFonts w:hint="eastAsia" w:ascii="宋体" w:hAnsi="宋体"/>
              </w:rPr>
              <w:t>数值</w:t>
            </w:r>
          </w:p>
        </w:tc>
        <w:tc>
          <w:tcPr>
            <w:tcW w:w="2692" w:type="dxa"/>
          </w:tcPr>
          <w:p>
            <w:pPr>
              <w:rPr>
                <w:rFonts w:ascii="宋体" w:hAnsi="宋体"/>
              </w:rPr>
            </w:pPr>
            <w:r>
              <w:rPr>
                <w:rFonts w:hint="eastAsia" w:ascii="宋体" w:hAnsi="宋体"/>
              </w:rPr>
              <w:t>备注（须说明本工程适用的是正常使用条件或是特殊使用条件）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444" w:type="dxa"/>
            <w:vAlign w:val="center"/>
          </w:tcPr>
          <w:p>
            <w:pPr>
              <w:jc w:val="center"/>
              <w:rPr>
                <w:rFonts w:ascii="宋体" w:hAnsi="宋体"/>
              </w:rPr>
            </w:pPr>
            <w:r>
              <w:rPr>
                <w:rFonts w:hint="eastAsia" w:ascii="宋体" w:hAnsi="宋体"/>
              </w:rPr>
              <w:t>1</w:t>
            </w:r>
          </w:p>
        </w:tc>
        <w:tc>
          <w:tcPr>
            <w:tcW w:w="2772" w:type="dxa"/>
            <w:vAlign w:val="center"/>
          </w:tcPr>
          <w:p>
            <w:pPr>
              <w:rPr>
                <w:rFonts w:ascii="宋体" w:hAnsi="宋体"/>
              </w:rPr>
            </w:pPr>
            <w:r>
              <w:rPr>
                <w:rFonts w:hint="eastAsia" w:ascii="宋体" w:hAnsi="宋体"/>
              </w:rPr>
              <w:t>环境温度</w:t>
            </w:r>
          </w:p>
        </w:tc>
        <w:tc>
          <w:tcPr>
            <w:tcW w:w="1078" w:type="dxa"/>
            <w:vAlign w:val="center"/>
          </w:tcPr>
          <w:p>
            <w:pPr>
              <w:jc w:val="center"/>
              <w:rPr>
                <w:rFonts w:ascii="宋体" w:hAnsi="宋体"/>
              </w:rPr>
            </w:pPr>
            <w:r>
              <w:rPr>
                <w:rFonts w:hint="eastAsia" w:ascii="宋体" w:hAnsi="宋体"/>
              </w:rPr>
              <w:t>℃</w:t>
            </w:r>
          </w:p>
        </w:tc>
        <w:tc>
          <w:tcPr>
            <w:tcW w:w="1450" w:type="dxa"/>
          </w:tcPr>
          <w:p>
            <w:pPr>
              <w:jc w:val="center"/>
              <w:rPr>
                <w:rFonts w:ascii="宋体" w:hAnsi="宋体" w:cs="宋体"/>
              </w:rPr>
            </w:pPr>
            <w:r>
              <w:rPr>
                <w:rFonts w:hint="eastAsia" w:ascii="宋体" w:hAnsi="宋体"/>
              </w:rPr>
              <w:t>-10～55</w:t>
            </w:r>
          </w:p>
        </w:tc>
        <w:tc>
          <w:tcPr>
            <w:tcW w:w="2692" w:type="dxa"/>
            <w:vAlign w:val="center"/>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tcPr>
          <w:p>
            <w:pPr>
              <w:jc w:val="center"/>
              <w:rPr>
                <w:rFonts w:ascii="宋体" w:hAnsi="宋体"/>
              </w:rPr>
            </w:pPr>
            <w:r>
              <w:rPr>
                <w:rFonts w:hint="eastAsia" w:ascii="宋体" w:hAnsi="宋体"/>
              </w:rPr>
              <w:t>2</w:t>
            </w:r>
          </w:p>
        </w:tc>
        <w:tc>
          <w:tcPr>
            <w:tcW w:w="2772" w:type="dxa"/>
          </w:tcPr>
          <w:p>
            <w:pPr>
              <w:rPr>
                <w:rFonts w:ascii="宋体" w:hAnsi="宋体"/>
              </w:rPr>
            </w:pPr>
            <w:r>
              <w:rPr>
                <w:rFonts w:hint="eastAsia" w:ascii="宋体" w:hAnsi="宋体"/>
              </w:rPr>
              <w:t>海拔</w:t>
            </w:r>
          </w:p>
        </w:tc>
        <w:tc>
          <w:tcPr>
            <w:tcW w:w="1078" w:type="dxa"/>
          </w:tcPr>
          <w:p>
            <w:pPr>
              <w:jc w:val="center"/>
              <w:rPr>
                <w:rFonts w:ascii="宋体" w:hAnsi="宋体"/>
              </w:rPr>
            </w:pPr>
            <w:r>
              <w:rPr>
                <w:rFonts w:hint="eastAsia" w:ascii="宋体" w:hAnsi="宋体"/>
              </w:rPr>
              <w:t>m</w:t>
            </w:r>
          </w:p>
        </w:tc>
        <w:tc>
          <w:tcPr>
            <w:tcW w:w="1450" w:type="dxa"/>
          </w:tcPr>
          <w:p>
            <w:pPr>
              <w:jc w:val="center"/>
              <w:rPr>
                <w:rFonts w:ascii="宋体" w:hAnsi="宋体"/>
              </w:rPr>
            </w:pPr>
            <w:r>
              <w:rPr>
                <w:rFonts w:hint="eastAsia" w:ascii="宋体" w:hAnsi="宋体"/>
              </w:rPr>
              <w:t>&lt;1000</w:t>
            </w:r>
          </w:p>
        </w:tc>
        <w:tc>
          <w:tcPr>
            <w:tcW w:w="2692" w:type="dxa"/>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tcPr>
          <w:p>
            <w:pPr>
              <w:jc w:val="center"/>
              <w:rPr>
                <w:rFonts w:ascii="宋体" w:hAnsi="宋体"/>
              </w:rPr>
            </w:pPr>
            <w:r>
              <w:rPr>
                <w:rFonts w:hint="eastAsia" w:ascii="宋体" w:hAnsi="宋体"/>
              </w:rPr>
              <w:t>3</w:t>
            </w:r>
          </w:p>
        </w:tc>
        <w:tc>
          <w:tcPr>
            <w:tcW w:w="2772" w:type="dxa"/>
          </w:tcPr>
          <w:p>
            <w:pPr>
              <w:rPr>
                <w:rFonts w:ascii="宋体" w:hAnsi="宋体"/>
              </w:rPr>
            </w:pPr>
            <w:r>
              <w:rPr>
                <w:rFonts w:hint="eastAsia" w:ascii="宋体" w:hAnsi="宋体"/>
              </w:rPr>
              <w:t>相对湿度</w:t>
            </w:r>
          </w:p>
        </w:tc>
        <w:tc>
          <w:tcPr>
            <w:tcW w:w="1078" w:type="dxa"/>
          </w:tcPr>
          <w:p>
            <w:pPr>
              <w:jc w:val="center"/>
              <w:rPr>
                <w:rFonts w:ascii="宋体" w:hAnsi="宋体"/>
                <w:vertAlign w:val="superscript"/>
              </w:rPr>
            </w:pPr>
            <w:r>
              <w:rPr>
                <w:rFonts w:hint="eastAsia" w:ascii="宋体" w:hAnsi="宋体"/>
              </w:rPr>
              <w:t>%</w:t>
            </w:r>
          </w:p>
        </w:tc>
        <w:tc>
          <w:tcPr>
            <w:tcW w:w="1450" w:type="dxa"/>
          </w:tcPr>
          <w:p>
            <w:pPr>
              <w:jc w:val="center"/>
              <w:rPr>
                <w:rFonts w:ascii="宋体" w:hAnsi="宋体"/>
              </w:rPr>
            </w:pPr>
            <w:r>
              <w:rPr>
                <w:rFonts w:hint="eastAsia" w:ascii="宋体" w:hAnsi="宋体"/>
              </w:rPr>
              <w:t>5～95</w:t>
            </w:r>
          </w:p>
        </w:tc>
        <w:tc>
          <w:tcPr>
            <w:tcW w:w="2692" w:type="dxa"/>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tcPr>
          <w:p>
            <w:pPr>
              <w:jc w:val="center"/>
              <w:rPr>
                <w:rFonts w:ascii="宋体" w:hAnsi="宋体"/>
              </w:rPr>
            </w:pPr>
            <w:r>
              <w:rPr>
                <w:rFonts w:hint="eastAsia" w:ascii="宋体" w:hAnsi="宋体"/>
              </w:rPr>
              <w:t>4</w:t>
            </w:r>
          </w:p>
        </w:tc>
        <w:tc>
          <w:tcPr>
            <w:tcW w:w="2772" w:type="dxa"/>
          </w:tcPr>
          <w:p>
            <w:pPr>
              <w:rPr>
                <w:rFonts w:ascii="宋体" w:hAnsi="宋体"/>
              </w:rPr>
            </w:pPr>
            <w:r>
              <w:rPr>
                <w:rFonts w:hint="eastAsia" w:ascii="宋体" w:hAnsi="宋体"/>
              </w:rPr>
              <w:t>地震烈度</w:t>
            </w:r>
          </w:p>
        </w:tc>
        <w:tc>
          <w:tcPr>
            <w:tcW w:w="1078" w:type="dxa"/>
          </w:tcPr>
          <w:p>
            <w:pPr>
              <w:ind w:firstLine="420" w:firstLineChars="200"/>
              <w:rPr>
                <w:rFonts w:ascii="宋体" w:hAnsi="宋体"/>
              </w:rPr>
            </w:pPr>
            <w:r>
              <w:rPr>
                <w:rFonts w:hint="eastAsia" w:ascii="宋体" w:hAnsi="宋体"/>
              </w:rPr>
              <w:t>度</w:t>
            </w:r>
          </w:p>
        </w:tc>
        <w:tc>
          <w:tcPr>
            <w:tcW w:w="1450" w:type="dxa"/>
          </w:tcPr>
          <w:p>
            <w:pPr>
              <w:jc w:val="center"/>
              <w:rPr>
                <w:rFonts w:ascii="宋体" w:hAnsi="宋体" w:cs="宋体"/>
              </w:rPr>
            </w:pPr>
            <w:r>
              <w:rPr>
                <w:rFonts w:hint="eastAsia" w:ascii="宋体" w:hAnsi="宋体" w:cs="宋体"/>
              </w:rPr>
              <w:t>8</w:t>
            </w:r>
          </w:p>
        </w:tc>
        <w:tc>
          <w:tcPr>
            <w:tcW w:w="2692" w:type="dxa"/>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tcPr>
          <w:p>
            <w:pPr>
              <w:jc w:val="center"/>
              <w:rPr>
                <w:rFonts w:ascii="宋体" w:hAnsi="宋体"/>
              </w:rPr>
            </w:pPr>
            <w:r>
              <w:rPr>
                <w:rFonts w:hint="eastAsia" w:ascii="宋体" w:hAnsi="宋体"/>
              </w:rPr>
              <w:t>5</w:t>
            </w:r>
          </w:p>
        </w:tc>
        <w:tc>
          <w:tcPr>
            <w:tcW w:w="2772" w:type="dxa"/>
          </w:tcPr>
          <w:p>
            <w:pPr>
              <w:rPr>
                <w:rFonts w:ascii="宋体" w:hAnsi="宋体"/>
              </w:rPr>
            </w:pPr>
            <w:r>
              <w:rPr>
                <w:rFonts w:hint="eastAsia" w:ascii="宋体" w:hAnsi="宋体"/>
              </w:rPr>
              <w:t>耐受地震能力</w:t>
            </w:r>
          </w:p>
        </w:tc>
        <w:tc>
          <w:tcPr>
            <w:tcW w:w="1078" w:type="dxa"/>
            <w:vAlign w:val="center"/>
          </w:tcPr>
          <w:p>
            <w:pPr>
              <w:jc w:val="center"/>
              <w:rPr>
                <w:rFonts w:ascii="宋体" w:hAnsi="宋体"/>
              </w:rPr>
            </w:pPr>
            <w:r>
              <w:rPr>
                <w:rFonts w:hint="eastAsia" w:ascii="宋体" w:hAnsi="宋体"/>
              </w:rPr>
              <w:t>g</w:t>
            </w:r>
          </w:p>
        </w:tc>
        <w:tc>
          <w:tcPr>
            <w:tcW w:w="1450" w:type="dxa"/>
            <w:vAlign w:val="center"/>
          </w:tcPr>
          <w:p>
            <w:pPr>
              <w:jc w:val="center"/>
              <w:rPr>
                <w:rFonts w:ascii="宋体" w:hAnsi="宋体"/>
              </w:rPr>
            </w:pPr>
            <w:r>
              <w:rPr>
                <w:rFonts w:hint="eastAsia" w:ascii="宋体" w:hAnsi="宋体"/>
              </w:rPr>
              <w:t xml:space="preserve">水平分量  </w:t>
            </w:r>
            <w:r>
              <w:rPr>
                <w:rFonts w:hint="eastAsia" w:ascii="宋体" w:hAnsi="宋体"/>
              </w:rPr>
              <w:tab/>
            </w:r>
            <w:r>
              <w:rPr>
                <w:rFonts w:hint="eastAsia" w:ascii="宋体" w:hAnsi="宋体"/>
              </w:rPr>
              <w:t>0.25g</w:t>
            </w:r>
          </w:p>
          <w:p>
            <w:pPr>
              <w:jc w:val="center"/>
              <w:rPr>
                <w:rFonts w:ascii="宋体" w:hAnsi="宋体"/>
              </w:rPr>
            </w:pPr>
            <w:r>
              <w:rPr>
                <w:rFonts w:hint="eastAsia" w:ascii="宋体" w:hAnsi="宋体"/>
              </w:rPr>
              <w:t xml:space="preserve">垂直分量  </w:t>
            </w:r>
            <w:r>
              <w:rPr>
                <w:rFonts w:hint="eastAsia" w:ascii="宋体" w:hAnsi="宋体"/>
              </w:rPr>
              <w:tab/>
            </w:r>
            <w:r>
              <w:rPr>
                <w:rFonts w:hint="eastAsia" w:ascii="宋体" w:hAnsi="宋体"/>
              </w:rPr>
              <w:t>0.125g</w:t>
            </w:r>
          </w:p>
          <w:p>
            <w:pPr>
              <w:jc w:val="center"/>
              <w:rPr>
                <w:rFonts w:ascii="宋体" w:hAnsi="宋体" w:cs="宋体"/>
              </w:rPr>
            </w:pPr>
          </w:p>
        </w:tc>
        <w:tc>
          <w:tcPr>
            <w:tcW w:w="2692" w:type="dxa"/>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tcPr>
          <w:p>
            <w:pPr>
              <w:jc w:val="center"/>
              <w:rPr>
                <w:rFonts w:ascii="宋体" w:hAnsi="宋体"/>
              </w:rPr>
            </w:pPr>
            <w:r>
              <w:rPr>
                <w:rFonts w:hint="eastAsia" w:ascii="宋体" w:hAnsi="宋体"/>
              </w:rPr>
              <w:t>6</w:t>
            </w:r>
          </w:p>
        </w:tc>
        <w:tc>
          <w:tcPr>
            <w:tcW w:w="2772" w:type="dxa"/>
          </w:tcPr>
          <w:p>
            <w:pPr>
              <w:rPr>
                <w:rFonts w:ascii="宋体" w:hAnsi="宋体"/>
              </w:rPr>
            </w:pPr>
            <w:r>
              <w:rPr>
                <w:rFonts w:hint="eastAsia" w:ascii="宋体" w:hAnsi="宋体"/>
              </w:rPr>
              <w:t>防护等级</w:t>
            </w:r>
          </w:p>
        </w:tc>
        <w:tc>
          <w:tcPr>
            <w:tcW w:w="1078" w:type="dxa"/>
          </w:tcPr>
          <w:p>
            <w:pPr>
              <w:jc w:val="center"/>
              <w:rPr>
                <w:rFonts w:ascii="宋体" w:hAnsi="宋体"/>
              </w:rPr>
            </w:pPr>
            <w:r>
              <w:rPr>
                <w:rFonts w:hint="eastAsia" w:ascii="宋体" w:hAnsi="宋体"/>
              </w:rPr>
              <w:t>\</w:t>
            </w:r>
          </w:p>
        </w:tc>
        <w:tc>
          <w:tcPr>
            <w:tcW w:w="1450" w:type="dxa"/>
          </w:tcPr>
          <w:p>
            <w:pPr>
              <w:jc w:val="center"/>
              <w:rPr>
                <w:rFonts w:ascii="宋体" w:hAnsi="宋体" w:cs="宋体"/>
              </w:rPr>
            </w:pPr>
            <w:r>
              <w:rPr>
                <w:rFonts w:hint="eastAsia" w:ascii="宋体" w:hAnsi="宋体" w:cs="宋体"/>
              </w:rPr>
              <w:t>IP30</w:t>
            </w:r>
          </w:p>
        </w:tc>
        <w:tc>
          <w:tcPr>
            <w:tcW w:w="2692" w:type="dxa"/>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1" w:hRule="atLeast"/>
          <w:jc w:val="center"/>
        </w:trPr>
        <w:tc>
          <w:tcPr>
            <w:tcW w:w="444" w:type="dxa"/>
            <w:vAlign w:val="center"/>
          </w:tcPr>
          <w:p>
            <w:pPr>
              <w:jc w:val="center"/>
              <w:rPr>
                <w:rFonts w:ascii="宋体" w:hAnsi="宋体"/>
              </w:rPr>
            </w:pPr>
            <w:r>
              <w:rPr>
                <w:rFonts w:hint="eastAsia" w:ascii="宋体" w:hAnsi="宋体"/>
              </w:rPr>
              <w:t>7</w:t>
            </w:r>
          </w:p>
        </w:tc>
        <w:tc>
          <w:tcPr>
            <w:tcW w:w="2772" w:type="dxa"/>
            <w:vAlign w:val="center"/>
          </w:tcPr>
          <w:p>
            <w:pPr>
              <w:rPr>
                <w:rFonts w:ascii="宋体" w:hAnsi="宋体"/>
              </w:rPr>
            </w:pPr>
            <w:r>
              <w:rPr>
                <w:rFonts w:hint="eastAsia" w:ascii="宋体" w:hAnsi="宋体"/>
              </w:rPr>
              <w:t>直流控制电压</w:t>
            </w:r>
          </w:p>
        </w:tc>
        <w:tc>
          <w:tcPr>
            <w:tcW w:w="1078" w:type="dxa"/>
            <w:vAlign w:val="center"/>
          </w:tcPr>
          <w:p>
            <w:pPr>
              <w:jc w:val="center"/>
              <w:rPr>
                <w:rFonts w:ascii="宋体" w:hAnsi="宋体"/>
              </w:rPr>
            </w:pPr>
            <w:r>
              <w:rPr>
                <w:rFonts w:hint="eastAsia" w:ascii="宋体" w:hAnsi="宋体"/>
              </w:rPr>
              <w:t>V</w:t>
            </w:r>
          </w:p>
        </w:tc>
        <w:tc>
          <w:tcPr>
            <w:tcW w:w="1450" w:type="dxa"/>
            <w:vAlign w:val="center"/>
          </w:tcPr>
          <w:p>
            <w:pPr>
              <w:jc w:val="center"/>
              <w:rPr>
                <w:rFonts w:ascii="宋体" w:hAnsi="宋体" w:cs="宋体"/>
              </w:rPr>
            </w:pPr>
            <w:r>
              <w:rPr>
                <w:rFonts w:hint="eastAsia" w:ascii="宋体" w:hAnsi="宋体" w:cs="宋体"/>
              </w:rPr>
              <w:t>110V/220V</w:t>
            </w:r>
          </w:p>
        </w:tc>
        <w:tc>
          <w:tcPr>
            <w:tcW w:w="2692" w:type="dxa"/>
            <w:vAlign w:val="center"/>
          </w:tcPr>
          <w:p>
            <w:pPr>
              <w:jc w:val="center"/>
              <w:rPr>
                <w:rFonts w:ascii="宋体" w:hAnsi="宋体" w:cs="宋体"/>
              </w:rPr>
            </w:pPr>
          </w:p>
        </w:tc>
      </w:tr>
    </w:tbl>
    <w:p>
      <w:pPr>
        <w:pStyle w:val="3"/>
        <w:numPr>
          <w:ilvl w:val="0"/>
          <w:numId w:val="0"/>
        </w:numPr>
        <w:spacing w:before="156" w:beforeLines="50"/>
        <w:rPr>
          <w:rFonts w:ascii="黑体" w:eastAsia="黑体"/>
        </w:rPr>
      </w:pPr>
      <w:bookmarkStart w:id="29" w:name="_Toc403567342"/>
      <w:bookmarkStart w:id="30" w:name="_Toc2665"/>
      <w:r>
        <w:rPr>
          <w:rFonts w:hint="eastAsia" w:ascii="黑体" w:eastAsia="黑体"/>
        </w:rPr>
        <w:t>4.1 正常使用条件</w:t>
      </w:r>
      <w:bookmarkEnd w:id="28"/>
      <w:bookmarkEnd w:id="29"/>
      <w:bookmarkEnd w:id="30"/>
    </w:p>
    <w:p>
      <w:pPr>
        <w:pStyle w:val="4"/>
        <w:keepNext/>
        <w:keepLines/>
        <w:numPr>
          <w:ilvl w:val="3"/>
          <w:numId w:val="0"/>
        </w:numPr>
        <w:tabs>
          <w:tab w:val="left" w:pos="864"/>
        </w:tabs>
        <w:spacing w:line="240" w:lineRule="auto"/>
      </w:pPr>
      <w:bookmarkStart w:id="31" w:name="_Toc247183330"/>
      <w:bookmarkStart w:id="32" w:name="_Toc276492375"/>
      <w:bookmarkStart w:id="33" w:name="_Toc276490903"/>
      <w:r>
        <w:rPr>
          <w:rFonts w:hint="eastAsia"/>
        </w:rPr>
        <w:t>4</w:t>
      </w:r>
      <w:r>
        <w:t>.1.1</w:t>
      </w:r>
      <w:r>
        <w:rPr>
          <w:rFonts w:hint="eastAsia"/>
        </w:rPr>
        <w:t>正常工作大气条件</w:t>
      </w:r>
      <w:bookmarkEnd w:id="31"/>
    </w:p>
    <w:p>
      <w:pPr>
        <w:numPr>
          <w:ilvl w:val="0"/>
          <w:numId w:val="2"/>
        </w:numPr>
        <w:tabs>
          <w:tab w:val="left" w:pos="0"/>
        </w:tabs>
        <w:ind w:left="0" w:firstLine="424" w:firstLineChars="202"/>
        <w:outlineLvl w:val="3"/>
        <w:rPr>
          <w:szCs w:val="21"/>
        </w:rPr>
      </w:pPr>
      <w:bookmarkStart w:id="34" w:name="OLE_LINK4"/>
      <w:bookmarkStart w:id="35" w:name="OLE_LINK5"/>
      <w:r>
        <w:rPr>
          <w:szCs w:val="21"/>
        </w:rPr>
        <w:t>环境温度：-10℃～</w:t>
      </w:r>
      <w:r>
        <w:rPr>
          <w:rFonts w:hint="eastAsia"/>
          <w:szCs w:val="21"/>
        </w:rPr>
        <w:t>+</w:t>
      </w:r>
      <w:r>
        <w:rPr>
          <w:szCs w:val="21"/>
        </w:rPr>
        <w:t>55℃；</w:t>
      </w:r>
    </w:p>
    <w:p>
      <w:pPr>
        <w:numPr>
          <w:ilvl w:val="0"/>
          <w:numId w:val="2"/>
        </w:numPr>
        <w:tabs>
          <w:tab w:val="left" w:pos="0"/>
        </w:tabs>
        <w:ind w:left="0" w:firstLine="424" w:firstLineChars="202"/>
        <w:outlineLvl w:val="3"/>
        <w:rPr>
          <w:szCs w:val="21"/>
        </w:rPr>
      </w:pPr>
      <w:r>
        <w:rPr>
          <w:szCs w:val="21"/>
        </w:rPr>
        <w:t>相对湿度：5%~95%（产品内部既不应凝露，也不应结冰）；</w:t>
      </w:r>
    </w:p>
    <w:p>
      <w:pPr>
        <w:numPr>
          <w:ilvl w:val="0"/>
          <w:numId w:val="2"/>
        </w:numPr>
        <w:tabs>
          <w:tab w:val="left" w:pos="0"/>
        </w:tabs>
        <w:ind w:left="0" w:firstLine="424" w:firstLineChars="202"/>
        <w:outlineLvl w:val="3"/>
        <w:rPr>
          <w:szCs w:val="21"/>
        </w:rPr>
      </w:pPr>
      <w:r>
        <w:rPr>
          <w:szCs w:val="21"/>
        </w:rPr>
        <w:t>大气压力：80kPa～106kPa。</w:t>
      </w:r>
    </w:p>
    <w:p>
      <w:pPr>
        <w:pStyle w:val="4"/>
        <w:keepNext/>
        <w:keepLines/>
        <w:numPr>
          <w:ilvl w:val="3"/>
          <w:numId w:val="0"/>
        </w:numPr>
        <w:tabs>
          <w:tab w:val="left" w:pos="864"/>
        </w:tabs>
        <w:spacing w:line="240" w:lineRule="auto"/>
      </w:pPr>
      <w:bookmarkStart w:id="36" w:name="_Ref236027393"/>
      <w:bookmarkStart w:id="37" w:name="_Toc247183331"/>
      <w:r>
        <w:rPr>
          <w:rFonts w:hint="eastAsia"/>
        </w:rPr>
        <w:t xml:space="preserve"> 4</w:t>
      </w:r>
      <w:r>
        <w:t>.1.</w:t>
      </w:r>
      <w:r>
        <w:rPr>
          <w:rFonts w:hint="eastAsia"/>
        </w:rPr>
        <w:t>2正常试验大气条件</w:t>
      </w:r>
      <w:bookmarkEnd w:id="36"/>
      <w:bookmarkEnd w:id="37"/>
    </w:p>
    <w:p>
      <w:pPr>
        <w:numPr>
          <w:ilvl w:val="0"/>
          <w:numId w:val="3"/>
        </w:numPr>
        <w:tabs>
          <w:tab w:val="left" w:pos="0"/>
        </w:tabs>
        <w:ind w:left="0" w:firstLine="424" w:firstLineChars="202"/>
        <w:outlineLvl w:val="3"/>
        <w:rPr>
          <w:szCs w:val="21"/>
        </w:rPr>
      </w:pPr>
      <w:r>
        <w:rPr>
          <w:szCs w:val="21"/>
        </w:rPr>
        <w:t>环境温度：</w:t>
      </w:r>
      <w:r>
        <w:rPr>
          <w:rFonts w:hint="eastAsia"/>
          <w:szCs w:val="21"/>
        </w:rPr>
        <w:t>+</w:t>
      </w:r>
      <w:r>
        <w:rPr>
          <w:szCs w:val="21"/>
        </w:rPr>
        <w:t>15℃～</w:t>
      </w:r>
      <w:r>
        <w:rPr>
          <w:rFonts w:hint="eastAsia"/>
          <w:szCs w:val="21"/>
        </w:rPr>
        <w:t>+</w:t>
      </w:r>
      <w:r>
        <w:rPr>
          <w:szCs w:val="21"/>
        </w:rPr>
        <w:t>35℃；</w:t>
      </w:r>
    </w:p>
    <w:p>
      <w:pPr>
        <w:numPr>
          <w:ilvl w:val="0"/>
          <w:numId w:val="3"/>
        </w:numPr>
        <w:tabs>
          <w:tab w:val="left" w:pos="0"/>
        </w:tabs>
        <w:ind w:left="0" w:firstLine="424" w:firstLineChars="202"/>
        <w:outlineLvl w:val="3"/>
        <w:rPr>
          <w:szCs w:val="21"/>
        </w:rPr>
      </w:pPr>
      <w:r>
        <w:rPr>
          <w:szCs w:val="21"/>
        </w:rPr>
        <w:t>相对湿度：45%~75%；</w:t>
      </w:r>
    </w:p>
    <w:p>
      <w:pPr>
        <w:numPr>
          <w:ilvl w:val="0"/>
          <w:numId w:val="3"/>
        </w:numPr>
        <w:tabs>
          <w:tab w:val="left" w:pos="0"/>
        </w:tabs>
        <w:ind w:left="0" w:firstLine="424" w:firstLineChars="202"/>
        <w:outlineLvl w:val="3"/>
        <w:rPr>
          <w:szCs w:val="21"/>
        </w:rPr>
      </w:pPr>
      <w:r>
        <w:rPr>
          <w:szCs w:val="21"/>
        </w:rPr>
        <w:t>大气压力：80kPa～106kPa。</w:t>
      </w:r>
    </w:p>
    <w:p>
      <w:pPr>
        <w:pStyle w:val="4"/>
        <w:keepNext/>
        <w:keepLines/>
        <w:numPr>
          <w:ilvl w:val="3"/>
          <w:numId w:val="0"/>
        </w:numPr>
        <w:tabs>
          <w:tab w:val="left" w:pos="864"/>
        </w:tabs>
        <w:spacing w:line="240" w:lineRule="auto"/>
      </w:pPr>
      <w:bookmarkStart w:id="38" w:name="_Toc247183332"/>
      <w:r>
        <w:rPr>
          <w:rFonts w:hint="eastAsia"/>
        </w:rPr>
        <w:t xml:space="preserve"> 4</w:t>
      </w:r>
      <w:r>
        <w:t>.1.</w:t>
      </w:r>
      <w:r>
        <w:rPr>
          <w:rFonts w:hint="eastAsia"/>
        </w:rPr>
        <w:t>3基准试验大气条件</w:t>
      </w:r>
      <w:bookmarkEnd w:id="38"/>
    </w:p>
    <w:p>
      <w:pPr>
        <w:numPr>
          <w:ilvl w:val="0"/>
          <w:numId w:val="4"/>
        </w:numPr>
        <w:tabs>
          <w:tab w:val="left" w:pos="0"/>
        </w:tabs>
        <w:ind w:left="0" w:firstLine="424" w:firstLineChars="202"/>
        <w:outlineLvl w:val="3"/>
        <w:rPr>
          <w:szCs w:val="21"/>
        </w:rPr>
      </w:pPr>
      <w:r>
        <w:rPr>
          <w:szCs w:val="21"/>
        </w:rPr>
        <w:t>环境温度：+20℃±2℃；</w:t>
      </w:r>
    </w:p>
    <w:p>
      <w:pPr>
        <w:numPr>
          <w:ilvl w:val="0"/>
          <w:numId w:val="4"/>
        </w:numPr>
        <w:tabs>
          <w:tab w:val="left" w:pos="0"/>
        </w:tabs>
        <w:ind w:left="0" w:firstLine="424" w:firstLineChars="202"/>
        <w:outlineLvl w:val="3"/>
        <w:rPr>
          <w:szCs w:val="21"/>
        </w:rPr>
      </w:pPr>
      <w:r>
        <w:rPr>
          <w:szCs w:val="21"/>
        </w:rPr>
        <w:t>相对湿度：45%~75%；</w:t>
      </w:r>
    </w:p>
    <w:p>
      <w:pPr>
        <w:numPr>
          <w:ilvl w:val="0"/>
          <w:numId w:val="4"/>
        </w:numPr>
        <w:tabs>
          <w:tab w:val="left" w:pos="0"/>
        </w:tabs>
        <w:ind w:left="0" w:firstLine="424" w:firstLineChars="202"/>
        <w:outlineLvl w:val="3"/>
        <w:rPr>
          <w:szCs w:val="21"/>
        </w:rPr>
      </w:pPr>
      <w:r>
        <w:rPr>
          <w:szCs w:val="21"/>
        </w:rPr>
        <w:t>大气压力：80kPa～106kPa。</w:t>
      </w:r>
    </w:p>
    <w:p>
      <w:pPr>
        <w:pStyle w:val="4"/>
        <w:keepNext/>
        <w:keepLines/>
        <w:numPr>
          <w:ilvl w:val="3"/>
          <w:numId w:val="0"/>
        </w:numPr>
        <w:tabs>
          <w:tab w:val="left" w:pos="864"/>
        </w:tabs>
        <w:spacing w:line="240" w:lineRule="auto"/>
      </w:pPr>
      <w:bookmarkStart w:id="39" w:name="_Ref236140581"/>
      <w:bookmarkStart w:id="40" w:name="_Ref236027599"/>
      <w:bookmarkStart w:id="41" w:name="_Toc247183333"/>
      <w:r>
        <w:rPr>
          <w:rFonts w:hint="eastAsia"/>
        </w:rPr>
        <w:t xml:space="preserve"> 4</w:t>
      </w:r>
      <w:r>
        <w:t>.1.</w:t>
      </w:r>
      <w:r>
        <w:rPr>
          <w:rFonts w:hint="eastAsia"/>
        </w:rPr>
        <w:t>4贮存、运输</w:t>
      </w:r>
      <w:bookmarkEnd w:id="39"/>
      <w:bookmarkEnd w:id="40"/>
      <w:bookmarkEnd w:id="41"/>
      <w:r>
        <w:rPr>
          <w:rFonts w:hint="eastAsia"/>
        </w:rPr>
        <w:t>环境条件</w:t>
      </w:r>
    </w:p>
    <w:p>
      <w:pPr>
        <w:numPr>
          <w:ilvl w:val="0"/>
          <w:numId w:val="5"/>
        </w:numPr>
        <w:tabs>
          <w:tab w:val="left" w:pos="0"/>
        </w:tabs>
        <w:ind w:left="0" w:firstLine="424" w:firstLineChars="202"/>
        <w:outlineLvl w:val="3"/>
        <w:rPr>
          <w:szCs w:val="21"/>
        </w:rPr>
      </w:pPr>
      <w:r>
        <w:rPr>
          <w:szCs w:val="21"/>
        </w:rPr>
        <w:t>装置在运输中允许的环境温度-40℃～＋70℃，相对湿度不大于85%；</w:t>
      </w:r>
    </w:p>
    <w:p>
      <w:pPr>
        <w:numPr>
          <w:ilvl w:val="0"/>
          <w:numId w:val="5"/>
        </w:numPr>
        <w:tabs>
          <w:tab w:val="left" w:pos="0"/>
        </w:tabs>
        <w:ind w:left="0" w:firstLine="424" w:firstLineChars="202"/>
        <w:outlineLvl w:val="3"/>
        <w:rPr>
          <w:szCs w:val="21"/>
        </w:rPr>
      </w:pPr>
      <w:r>
        <w:rPr>
          <w:szCs w:val="21"/>
        </w:rPr>
        <w:t>在贮存中允许的环境温度-25℃～＋55℃，相对湿度不大于85%，在不施加任何激励量的条件下，装置不出现不可逆变化</w:t>
      </w:r>
      <w:r>
        <w:rPr>
          <w:rFonts w:hint="eastAsia"/>
          <w:szCs w:val="21"/>
        </w:rPr>
        <w:t>。</w:t>
      </w:r>
    </w:p>
    <w:p>
      <w:pPr>
        <w:pStyle w:val="4"/>
        <w:keepNext/>
        <w:keepLines/>
        <w:numPr>
          <w:ilvl w:val="3"/>
          <w:numId w:val="0"/>
        </w:numPr>
        <w:tabs>
          <w:tab w:val="left" w:pos="864"/>
        </w:tabs>
        <w:spacing w:line="240" w:lineRule="auto"/>
      </w:pPr>
      <w:bookmarkStart w:id="42" w:name="_Toc247183334"/>
      <w:r>
        <w:rPr>
          <w:rFonts w:hint="eastAsia"/>
        </w:rPr>
        <w:t xml:space="preserve"> 4</w:t>
      </w:r>
      <w:r>
        <w:t>.1.</w:t>
      </w:r>
      <w:r>
        <w:rPr>
          <w:rFonts w:hint="eastAsia"/>
        </w:rPr>
        <w:t>5周围环境</w:t>
      </w:r>
      <w:bookmarkEnd w:id="42"/>
    </w:p>
    <w:bookmarkEnd w:id="34"/>
    <w:bookmarkEnd w:id="35"/>
    <w:p>
      <w:pPr>
        <w:numPr>
          <w:ilvl w:val="0"/>
          <w:numId w:val="6"/>
        </w:numPr>
        <w:tabs>
          <w:tab w:val="left" w:pos="0"/>
        </w:tabs>
        <w:ind w:left="0" w:firstLine="424" w:firstLineChars="202"/>
        <w:outlineLvl w:val="3"/>
        <w:rPr>
          <w:szCs w:val="21"/>
        </w:rPr>
      </w:pPr>
      <w:r>
        <w:rPr>
          <w:szCs w:val="21"/>
        </w:rPr>
        <w:t>场地应符合GB/T 9361-1988中B类安全要求；</w:t>
      </w:r>
    </w:p>
    <w:p>
      <w:pPr>
        <w:numPr>
          <w:ilvl w:val="0"/>
          <w:numId w:val="6"/>
        </w:numPr>
        <w:tabs>
          <w:tab w:val="left" w:pos="0"/>
        </w:tabs>
        <w:ind w:left="0" w:firstLine="424" w:firstLineChars="202"/>
        <w:outlineLvl w:val="3"/>
        <w:rPr>
          <w:szCs w:val="21"/>
        </w:rPr>
      </w:pPr>
      <w:r>
        <w:rPr>
          <w:szCs w:val="21"/>
        </w:rPr>
        <w:t>使用地点不应出现超过GB/T 11287规定的严酷等级为I级的振动；不发生GB/T 17742－1999规定的烈度为Ⅶ 度的地震；</w:t>
      </w:r>
    </w:p>
    <w:p>
      <w:pPr>
        <w:numPr>
          <w:ilvl w:val="0"/>
          <w:numId w:val="6"/>
        </w:numPr>
        <w:tabs>
          <w:tab w:val="left" w:pos="0"/>
        </w:tabs>
        <w:ind w:left="0" w:firstLine="424" w:firstLineChars="202"/>
        <w:outlineLvl w:val="3"/>
        <w:rPr>
          <w:szCs w:val="21"/>
        </w:rPr>
      </w:pPr>
      <w:r>
        <w:rPr>
          <w:szCs w:val="21"/>
        </w:rPr>
        <w:t>使用地点应无爆炸危险的物质，周围介质中不应含有能腐蚀金属、破坏绝缘和表面敷层的介质及导电介质，不应有严重的霉菌存在；</w:t>
      </w:r>
    </w:p>
    <w:p>
      <w:pPr>
        <w:numPr>
          <w:ilvl w:val="0"/>
          <w:numId w:val="6"/>
        </w:numPr>
        <w:tabs>
          <w:tab w:val="left" w:pos="0"/>
        </w:tabs>
        <w:ind w:left="0" w:firstLine="424" w:firstLineChars="202"/>
        <w:outlineLvl w:val="3"/>
        <w:rPr>
          <w:szCs w:val="21"/>
        </w:rPr>
      </w:pPr>
      <w:r>
        <w:rPr>
          <w:szCs w:val="21"/>
        </w:rPr>
        <w:t>应有防雨、雪、风、沙、尘埃的措施；</w:t>
      </w:r>
    </w:p>
    <w:p>
      <w:pPr>
        <w:numPr>
          <w:ilvl w:val="0"/>
          <w:numId w:val="6"/>
        </w:numPr>
        <w:tabs>
          <w:tab w:val="left" w:pos="0"/>
        </w:tabs>
        <w:ind w:left="0" w:firstLine="424" w:firstLineChars="202"/>
        <w:outlineLvl w:val="3"/>
        <w:rPr>
          <w:szCs w:val="21"/>
        </w:rPr>
      </w:pPr>
      <w:r>
        <w:rPr>
          <w:szCs w:val="21"/>
        </w:rPr>
        <w:t>接地电阻应符合GB/T 2887-2000中4.4的要求</w:t>
      </w:r>
      <w:r>
        <w:rPr>
          <w:rFonts w:hint="eastAsia"/>
          <w:szCs w:val="21"/>
        </w:rPr>
        <w:t>；</w:t>
      </w:r>
    </w:p>
    <w:p>
      <w:pPr>
        <w:numPr>
          <w:ilvl w:val="0"/>
          <w:numId w:val="6"/>
        </w:numPr>
        <w:tabs>
          <w:tab w:val="left" w:pos="0"/>
        </w:tabs>
        <w:ind w:left="0" w:firstLine="424" w:firstLineChars="202"/>
        <w:outlineLvl w:val="3"/>
        <w:rPr>
          <w:szCs w:val="21"/>
        </w:rPr>
      </w:pPr>
      <w:r>
        <w:rPr>
          <w:szCs w:val="21"/>
        </w:rPr>
        <w:t>工作位置应垂直安装于与地面垂直的立面</w:t>
      </w:r>
      <w:r>
        <w:rPr>
          <w:rFonts w:hint="eastAsia"/>
          <w:szCs w:val="21"/>
        </w:rPr>
        <w:t>。</w:t>
      </w:r>
    </w:p>
    <w:p>
      <w:pPr>
        <w:pStyle w:val="3"/>
        <w:numPr>
          <w:ilvl w:val="0"/>
          <w:numId w:val="0"/>
        </w:numPr>
        <w:spacing w:before="156" w:beforeLines="50"/>
        <w:rPr>
          <w:rFonts w:ascii="黑体" w:eastAsia="黑体"/>
        </w:rPr>
      </w:pPr>
      <w:bookmarkStart w:id="43" w:name="_Toc403567343"/>
      <w:bookmarkStart w:id="44" w:name="_Toc26869"/>
      <w:r>
        <w:rPr>
          <w:rFonts w:hint="eastAsia" w:ascii="黑体" w:eastAsia="黑体"/>
        </w:rPr>
        <w:t>4.2 特殊使用条件</w:t>
      </w:r>
      <w:bookmarkEnd w:id="43"/>
      <w:bookmarkEnd w:id="44"/>
    </w:p>
    <w:p>
      <w:pPr>
        <w:tabs>
          <w:tab w:val="left" w:pos="0"/>
        </w:tabs>
        <w:outlineLvl w:val="3"/>
        <w:rPr>
          <w:rFonts w:hint="eastAsia"/>
          <w:szCs w:val="21"/>
        </w:rPr>
      </w:pPr>
      <w:r>
        <w:rPr>
          <w:rFonts w:hint="eastAsia"/>
          <w:szCs w:val="21"/>
        </w:rPr>
        <w:tab/>
      </w:r>
      <w:r>
        <w:rPr>
          <w:rFonts w:hint="eastAsia"/>
          <w:szCs w:val="21"/>
        </w:rPr>
        <w:t>无。</w:t>
      </w:r>
    </w:p>
    <w:p>
      <w:pPr>
        <w:pStyle w:val="2"/>
        <w:numPr>
          <w:ilvl w:val="0"/>
          <w:numId w:val="0"/>
        </w:numPr>
        <w:snapToGrid/>
        <w:spacing w:before="0" w:beforeLines="0" w:line="480" w:lineRule="auto"/>
        <w:rPr>
          <w:rFonts w:ascii="黑体" w:eastAsia="黑体"/>
        </w:rPr>
      </w:pPr>
      <w:bookmarkStart w:id="45" w:name="_Toc28280"/>
      <w:bookmarkStart w:id="46" w:name="_Toc403567344"/>
      <w:r>
        <w:rPr>
          <w:rFonts w:hint="eastAsia" w:ascii="黑体" w:eastAsia="黑体"/>
        </w:rPr>
        <w:t>5 技术</w:t>
      </w:r>
      <w:bookmarkEnd w:id="32"/>
      <w:bookmarkEnd w:id="33"/>
      <w:r>
        <w:rPr>
          <w:rFonts w:hint="eastAsia" w:ascii="黑体" w:eastAsia="黑体"/>
        </w:rPr>
        <w:t>要求</w:t>
      </w:r>
      <w:bookmarkEnd w:id="45"/>
      <w:bookmarkEnd w:id="46"/>
    </w:p>
    <w:p>
      <w:pPr>
        <w:pStyle w:val="3"/>
        <w:numPr>
          <w:ilvl w:val="0"/>
          <w:numId w:val="0"/>
        </w:numPr>
        <w:rPr>
          <w:rFonts w:ascii="黑体" w:eastAsia="黑体"/>
        </w:rPr>
      </w:pPr>
      <w:bookmarkStart w:id="47" w:name="_Toc283566853"/>
      <w:bookmarkStart w:id="48" w:name="_Toc22824"/>
      <w:bookmarkStart w:id="49" w:name="_Toc403567345"/>
      <w:bookmarkStart w:id="50" w:name="_Toc277597176"/>
      <w:bookmarkStart w:id="51" w:name="_Toc276492376"/>
      <w:r>
        <w:rPr>
          <w:rFonts w:ascii="黑体" w:eastAsia="黑体"/>
        </w:rPr>
        <w:t>5.1 技术参数要求</w:t>
      </w:r>
      <w:bookmarkEnd w:id="47"/>
      <w:bookmarkEnd w:id="48"/>
      <w:bookmarkEnd w:id="49"/>
      <w:bookmarkEnd w:id="50"/>
    </w:p>
    <w:p>
      <w:pPr>
        <w:pStyle w:val="4"/>
        <w:keepNext/>
        <w:keepLines/>
        <w:numPr>
          <w:ilvl w:val="3"/>
          <w:numId w:val="0"/>
        </w:numPr>
        <w:tabs>
          <w:tab w:val="left" w:pos="864"/>
        </w:tabs>
        <w:spacing w:line="240" w:lineRule="auto"/>
      </w:pPr>
      <w:bookmarkStart w:id="52" w:name="_Toc247183337"/>
      <w:bookmarkStart w:id="53" w:name="_Toc44917104"/>
      <w:bookmarkStart w:id="54" w:name="_Toc44916792"/>
      <w:bookmarkStart w:id="55" w:name="_Toc43626547"/>
      <w:r>
        <w:rPr>
          <w:rFonts w:hint="eastAsia"/>
        </w:rPr>
        <w:t>5.1.1直流电源</w:t>
      </w:r>
      <w:bookmarkEnd w:id="52"/>
    </w:p>
    <w:bookmarkEnd w:id="53"/>
    <w:bookmarkEnd w:id="54"/>
    <w:bookmarkEnd w:id="55"/>
    <w:p>
      <w:pPr>
        <w:numPr>
          <w:ilvl w:val="0"/>
          <w:numId w:val="7"/>
        </w:numPr>
        <w:tabs>
          <w:tab w:val="left" w:pos="0"/>
        </w:tabs>
        <w:ind w:left="0" w:firstLine="426"/>
        <w:outlineLvl w:val="3"/>
        <w:rPr>
          <w:szCs w:val="21"/>
        </w:rPr>
      </w:pPr>
      <w:r>
        <w:rPr>
          <w:szCs w:val="21"/>
        </w:rPr>
        <w:t>额定电压：220V、110V、48V（放在通信机房的保护相关设备）；</w:t>
      </w:r>
    </w:p>
    <w:p>
      <w:pPr>
        <w:numPr>
          <w:ilvl w:val="0"/>
          <w:numId w:val="7"/>
        </w:numPr>
        <w:tabs>
          <w:tab w:val="left" w:pos="0"/>
        </w:tabs>
        <w:ind w:left="0" w:firstLine="424" w:firstLineChars="202"/>
        <w:outlineLvl w:val="3"/>
        <w:rPr>
          <w:szCs w:val="21"/>
        </w:rPr>
      </w:pPr>
      <w:r>
        <w:rPr>
          <w:szCs w:val="21"/>
        </w:rPr>
        <w:t>允许偏差：-20%～+15%；</w:t>
      </w:r>
    </w:p>
    <w:p>
      <w:pPr>
        <w:numPr>
          <w:ilvl w:val="0"/>
          <w:numId w:val="7"/>
        </w:numPr>
        <w:tabs>
          <w:tab w:val="left" w:pos="0"/>
        </w:tabs>
        <w:ind w:left="0" w:firstLine="424" w:firstLineChars="202"/>
        <w:outlineLvl w:val="3"/>
        <w:rPr>
          <w:szCs w:val="21"/>
        </w:rPr>
      </w:pPr>
      <w:r>
        <w:rPr>
          <w:szCs w:val="21"/>
        </w:rPr>
        <w:t>纹波系数：不大于5%</w:t>
      </w:r>
    </w:p>
    <w:p>
      <w:pPr>
        <w:numPr>
          <w:ilvl w:val="0"/>
          <w:numId w:val="7"/>
        </w:numPr>
        <w:tabs>
          <w:tab w:val="left" w:pos="0"/>
        </w:tabs>
        <w:ind w:left="0" w:firstLine="424" w:firstLineChars="202"/>
        <w:outlineLvl w:val="3"/>
        <w:rPr>
          <w:szCs w:val="21"/>
        </w:rPr>
      </w:pPr>
      <w:r>
        <w:rPr>
          <w:szCs w:val="21"/>
        </w:rPr>
        <w:t>开入电压： 弱电开入24V，强电开入220V或110V；</w:t>
      </w:r>
    </w:p>
    <w:p>
      <w:pPr>
        <w:pStyle w:val="4"/>
        <w:keepNext/>
        <w:keepLines/>
        <w:numPr>
          <w:ilvl w:val="3"/>
          <w:numId w:val="0"/>
        </w:numPr>
        <w:tabs>
          <w:tab w:val="left" w:pos="864"/>
        </w:tabs>
        <w:spacing w:line="240" w:lineRule="auto"/>
      </w:pPr>
      <w:bookmarkStart w:id="56" w:name="_Toc247183338"/>
      <w:r>
        <w:rPr>
          <w:rFonts w:hint="eastAsia"/>
        </w:rPr>
        <w:t xml:space="preserve"> 5.1.2交流回路</w:t>
      </w:r>
      <w:bookmarkEnd w:id="56"/>
    </w:p>
    <w:p>
      <w:pPr>
        <w:numPr>
          <w:ilvl w:val="0"/>
          <w:numId w:val="8"/>
        </w:numPr>
        <w:tabs>
          <w:tab w:val="left" w:pos="0"/>
        </w:tabs>
        <w:ind w:left="0" w:firstLine="425"/>
        <w:outlineLvl w:val="3"/>
        <w:rPr>
          <w:szCs w:val="21"/>
        </w:rPr>
      </w:pPr>
      <w:r>
        <w:rPr>
          <w:szCs w:val="21"/>
        </w:rPr>
        <w:t>交流电流（In）：1A或5A；</w:t>
      </w:r>
    </w:p>
    <w:p>
      <w:pPr>
        <w:numPr>
          <w:ilvl w:val="0"/>
          <w:numId w:val="8"/>
        </w:numPr>
        <w:tabs>
          <w:tab w:val="left" w:pos="0"/>
        </w:tabs>
        <w:ind w:left="0" w:firstLine="425"/>
        <w:outlineLvl w:val="3"/>
        <w:rPr>
          <w:szCs w:val="21"/>
        </w:rPr>
      </w:pPr>
      <w:r>
        <w:rPr>
          <w:szCs w:val="21"/>
        </w:rPr>
        <w:t>交流电压Un：100/</w:t>
      </w:r>
      <w:r>
        <w:rPr>
          <w:szCs w:val="21"/>
        </w:rPr>
        <w:object>
          <v:shape id="_x0000_i1025" o:spt="75" type="#_x0000_t75" style="height:15.75pt;width:15.75pt;" o:ole="t" filled="f" o:preferrelative="t" stroked="f" coordsize="21600,21600">
            <v:path/>
            <v:fill on="f" focussize="0,0"/>
            <v:stroke on="f" joinstyle="miter"/>
            <v:imagedata r:id="rId11" o:title=""/>
            <o:lock v:ext="edit" aspectratio="t"/>
            <w10:wrap type="none"/>
            <w10:anchorlock/>
          </v:shape>
          <o:OLEObject Type="Embed" ProgID="Equation.3" ShapeID="_x0000_i1025" DrawAspect="Content" ObjectID="_1468075725" r:id="rId10">
            <o:LockedField>false</o:LockedField>
          </o:OLEObject>
        </w:object>
      </w:r>
      <w:r>
        <w:rPr>
          <w:szCs w:val="21"/>
        </w:rPr>
        <w:t>V；线路抽取电压Ux：100/</w:t>
      </w:r>
      <w:r>
        <w:rPr>
          <w:szCs w:val="21"/>
        </w:rPr>
        <w:object>
          <v:shape id="_x0000_i1026" o:spt="75" type="#_x0000_t75" style="height:15.75pt;width:15.75pt;" o:ole="t" filled="f" o:preferrelative="t" stroked="f" coordsize="21600,21600">
            <v:path/>
            <v:fill on="f" focussize="0,0"/>
            <v:stroke on="f" joinstyle="miter"/>
            <v:imagedata r:id="rId11" o:title=""/>
            <o:lock v:ext="edit" aspectratio="t"/>
            <w10:wrap type="none"/>
            <w10:anchorlock/>
          </v:shape>
          <o:OLEObject Type="Embed" ProgID="Equation.3" ShapeID="_x0000_i1026" DrawAspect="Content" ObjectID="_1468075726" r:id="rId12">
            <o:LockedField>false</o:LockedField>
          </o:OLEObject>
        </w:object>
      </w:r>
      <w:r>
        <w:rPr>
          <w:szCs w:val="21"/>
        </w:rPr>
        <w:t>V或100V ；</w:t>
      </w:r>
    </w:p>
    <w:p>
      <w:pPr>
        <w:numPr>
          <w:ilvl w:val="0"/>
          <w:numId w:val="8"/>
        </w:numPr>
        <w:tabs>
          <w:tab w:val="left" w:pos="0"/>
        </w:tabs>
        <w:ind w:left="0" w:firstLine="426"/>
        <w:outlineLvl w:val="3"/>
        <w:rPr>
          <w:szCs w:val="21"/>
        </w:rPr>
      </w:pPr>
      <w:r>
        <w:rPr>
          <w:szCs w:val="21"/>
        </w:rPr>
        <w:t>频率：50Hz</w:t>
      </w:r>
      <w:r>
        <w:rPr>
          <w:rFonts w:hint="eastAsia"/>
          <w:szCs w:val="21"/>
        </w:rPr>
        <w:t>。</w:t>
      </w:r>
    </w:p>
    <w:p>
      <w:pPr>
        <w:pStyle w:val="4"/>
        <w:keepNext/>
        <w:keepLines/>
        <w:numPr>
          <w:ilvl w:val="3"/>
          <w:numId w:val="0"/>
        </w:numPr>
        <w:tabs>
          <w:tab w:val="left" w:pos="864"/>
        </w:tabs>
        <w:spacing w:line="240" w:lineRule="auto"/>
      </w:pPr>
      <w:bookmarkStart w:id="57" w:name="_Toc247183339"/>
      <w:r>
        <w:rPr>
          <w:rFonts w:hint="eastAsia"/>
        </w:rPr>
        <w:t>5.1.3交流回路精确工作范围</w:t>
      </w:r>
      <w:bookmarkEnd w:id="57"/>
    </w:p>
    <w:p>
      <w:pPr>
        <w:numPr>
          <w:ilvl w:val="0"/>
          <w:numId w:val="9"/>
        </w:numPr>
        <w:tabs>
          <w:tab w:val="left" w:pos="0"/>
        </w:tabs>
        <w:ind w:hanging="1014"/>
        <w:outlineLvl w:val="3"/>
        <w:rPr>
          <w:szCs w:val="21"/>
        </w:rPr>
      </w:pPr>
      <w:r>
        <w:rPr>
          <w:szCs w:val="21"/>
        </w:rPr>
        <w:t>相电压：（0.01～1.1）Un</w:t>
      </w:r>
      <w:r>
        <w:rPr>
          <w:rFonts w:hint="eastAsia"/>
          <w:szCs w:val="21"/>
        </w:rPr>
        <w:t>；</w:t>
      </w:r>
    </w:p>
    <w:p>
      <w:pPr>
        <w:numPr>
          <w:ilvl w:val="0"/>
          <w:numId w:val="9"/>
        </w:numPr>
        <w:tabs>
          <w:tab w:val="left" w:pos="0"/>
        </w:tabs>
        <w:ind w:left="0" w:firstLine="426"/>
        <w:outlineLvl w:val="3"/>
        <w:rPr>
          <w:szCs w:val="21"/>
        </w:rPr>
      </w:pPr>
      <w:r>
        <w:rPr>
          <w:szCs w:val="21"/>
        </w:rPr>
        <w:t>电流：（0.05～20）In</w:t>
      </w:r>
      <w:r>
        <w:rPr>
          <w:rFonts w:hint="eastAsia"/>
          <w:szCs w:val="21"/>
        </w:rPr>
        <w:t>，</w:t>
      </w:r>
      <w:r>
        <w:rPr>
          <w:szCs w:val="21"/>
        </w:rPr>
        <w:t>交流电流在（0.1～1.5）In范围内，相对误差不大于2.5%或绝对误差不大于0.01 In，实际故障电流超过电流上限20In时，保护装置不误动不拒动。</w:t>
      </w:r>
    </w:p>
    <w:p>
      <w:pPr>
        <w:pStyle w:val="4"/>
        <w:keepNext/>
        <w:keepLines/>
        <w:numPr>
          <w:ilvl w:val="3"/>
          <w:numId w:val="0"/>
        </w:numPr>
        <w:tabs>
          <w:tab w:val="left" w:pos="864"/>
        </w:tabs>
        <w:spacing w:line="240" w:lineRule="auto"/>
      </w:pPr>
      <w:r>
        <w:rPr>
          <w:rFonts w:hint="eastAsia"/>
        </w:rPr>
        <w:t>5.1.4 装置采样</w:t>
      </w:r>
    </w:p>
    <w:p>
      <w:pPr>
        <w:ind w:firstLine="420" w:firstLineChars="200"/>
        <w:rPr>
          <w:szCs w:val="21"/>
        </w:rPr>
      </w:pPr>
      <w:r>
        <w:rPr>
          <w:szCs w:val="21"/>
        </w:rPr>
        <w:t>保护装置的采样回路应使用双A/D结构（公用一个电压或电流源），应有防止单一A/D损坏导致保护不正确动作的措施，采样频率不应低于1000 Hz。</w:t>
      </w:r>
    </w:p>
    <w:p>
      <w:pPr>
        <w:pStyle w:val="4"/>
        <w:keepNext/>
        <w:keepLines/>
        <w:numPr>
          <w:ilvl w:val="3"/>
          <w:numId w:val="0"/>
        </w:numPr>
        <w:tabs>
          <w:tab w:val="left" w:pos="864"/>
        </w:tabs>
        <w:spacing w:line="240" w:lineRule="auto"/>
      </w:pPr>
      <w:r>
        <w:rPr>
          <w:rFonts w:hint="eastAsia"/>
        </w:rPr>
        <w:t>5.1.5 输出继电器触点性能</w:t>
      </w:r>
    </w:p>
    <w:p>
      <w:pPr>
        <w:numPr>
          <w:ilvl w:val="0"/>
          <w:numId w:val="10"/>
        </w:numPr>
        <w:tabs>
          <w:tab w:val="left" w:pos="0"/>
        </w:tabs>
        <w:ind w:left="0" w:firstLine="426"/>
        <w:outlineLvl w:val="3"/>
        <w:rPr>
          <w:szCs w:val="21"/>
        </w:rPr>
      </w:pPr>
      <w:r>
        <w:rPr>
          <w:szCs w:val="21"/>
        </w:rPr>
        <w:t>机械寿命：&gt;10000次；</w:t>
      </w:r>
    </w:p>
    <w:p>
      <w:pPr>
        <w:numPr>
          <w:ilvl w:val="0"/>
          <w:numId w:val="10"/>
        </w:numPr>
        <w:tabs>
          <w:tab w:val="left" w:pos="0"/>
        </w:tabs>
        <w:ind w:left="0" w:firstLine="426"/>
        <w:outlineLvl w:val="3"/>
        <w:rPr>
          <w:szCs w:val="21"/>
        </w:rPr>
      </w:pPr>
      <w:r>
        <w:rPr>
          <w:szCs w:val="21"/>
        </w:rPr>
        <w:t>触点电流：</w:t>
      </w:r>
    </w:p>
    <w:p>
      <w:pPr>
        <w:ind w:left="420" w:firstLine="420" w:firstLineChars="200"/>
        <w:rPr>
          <w:szCs w:val="21"/>
        </w:rPr>
      </w:pPr>
      <w:r>
        <w:rPr>
          <w:szCs w:val="21"/>
        </w:rPr>
        <w:t>—连续：不小于5A；</w:t>
      </w:r>
    </w:p>
    <w:p>
      <w:pPr>
        <w:ind w:left="420" w:firstLine="420" w:firstLineChars="200"/>
        <w:rPr>
          <w:szCs w:val="21"/>
        </w:rPr>
      </w:pPr>
      <w:r>
        <w:rPr>
          <w:szCs w:val="21"/>
        </w:rPr>
        <w:t>—短时：持续500ms，不小于15A；</w:t>
      </w:r>
    </w:p>
    <w:p>
      <w:pPr>
        <w:numPr>
          <w:ilvl w:val="0"/>
          <w:numId w:val="10"/>
        </w:numPr>
        <w:tabs>
          <w:tab w:val="left" w:pos="0"/>
        </w:tabs>
        <w:ind w:left="0" w:firstLine="426"/>
        <w:outlineLvl w:val="3"/>
        <w:rPr>
          <w:szCs w:val="21"/>
        </w:rPr>
      </w:pPr>
      <w:r>
        <w:rPr>
          <w:szCs w:val="21"/>
        </w:rPr>
        <w:t xml:space="preserve">最大断开能力：当L/R=40ms时，不小于30W； </w:t>
      </w:r>
    </w:p>
    <w:p>
      <w:pPr>
        <w:numPr>
          <w:ilvl w:val="0"/>
          <w:numId w:val="10"/>
        </w:numPr>
        <w:tabs>
          <w:tab w:val="left" w:pos="0"/>
        </w:tabs>
        <w:ind w:left="0" w:firstLine="426"/>
        <w:outlineLvl w:val="3"/>
        <w:rPr>
          <w:szCs w:val="21"/>
        </w:rPr>
      </w:pPr>
      <w:r>
        <w:rPr>
          <w:szCs w:val="21"/>
        </w:rPr>
        <w:t>触点电压：</w:t>
      </w:r>
      <w:r>
        <w:rPr>
          <w:rFonts w:hint="eastAsia"/>
          <w:szCs w:val="21"/>
        </w:rPr>
        <w:t>直流</w:t>
      </w:r>
      <w:r>
        <w:rPr>
          <w:szCs w:val="21"/>
        </w:rPr>
        <w:t>220V或110V；</w:t>
      </w:r>
    </w:p>
    <w:p>
      <w:pPr>
        <w:numPr>
          <w:ilvl w:val="0"/>
          <w:numId w:val="10"/>
        </w:numPr>
        <w:tabs>
          <w:tab w:val="left" w:pos="0"/>
        </w:tabs>
        <w:ind w:left="0" w:firstLine="426"/>
        <w:outlineLvl w:val="3"/>
        <w:rPr>
          <w:szCs w:val="21"/>
        </w:rPr>
      </w:pPr>
      <w:r>
        <w:rPr>
          <w:szCs w:val="21"/>
        </w:rPr>
        <w:t>介质强度：同一组触点断开时，能承受工频1000V电压，时间1min。</w:t>
      </w:r>
    </w:p>
    <w:p>
      <w:pPr>
        <w:pStyle w:val="4"/>
        <w:keepNext/>
        <w:keepLines/>
        <w:numPr>
          <w:ilvl w:val="3"/>
          <w:numId w:val="0"/>
        </w:numPr>
        <w:tabs>
          <w:tab w:val="left" w:pos="864"/>
        </w:tabs>
        <w:spacing w:line="240" w:lineRule="auto"/>
      </w:pPr>
      <w:bookmarkStart w:id="58" w:name="_Toc247183340"/>
      <w:r>
        <w:rPr>
          <w:rFonts w:hint="eastAsia"/>
        </w:rPr>
        <w:t>5.1.6功率消耗</w:t>
      </w:r>
      <w:bookmarkEnd w:id="58"/>
    </w:p>
    <w:p>
      <w:pPr>
        <w:numPr>
          <w:ilvl w:val="0"/>
          <w:numId w:val="11"/>
        </w:numPr>
        <w:tabs>
          <w:tab w:val="left" w:pos="0"/>
        </w:tabs>
        <w:ind w:left="0" w:firstLine="426"/>
        <w:outlineLvl w:val="3"/>
        <w:rPr>
          <w:szCs w:val="21"/>
        </w:rPr>
      </w:pPr>
      <w:r>
        <w:rPr>
          <w:szCs w:val="21"/>
        </w:rPr>
        <w:t xml:space="preserve">直流电源回路：正常工作时，不大于50 W；当保护动作时，不大于80 W； </w:t>
      </w:r>
    </w:p>
    <w:p>
      <w:pPr>
        <w:numPr>
          <w:ilvl w:val="0"/>
          <w:numId w:val="11"/>
        </w:numPr>
        <w:tabs>
          <w:tab w:val="left" w:pos="0"/>
        </w:tabs>
        <w:ind w:hanging="1014"/>
        <w:outlineLvl w:val="3"/>
        <w:rPr>
          <w:szCs w:val="21"/>
        </w:rPr>
      </w:pPr>
      <w:r>
        <w:rPr>
          <w:szCs w:val="21"/>
        </w:rPr>
        <w:t>交流电流回路：当In=5A时，不大于1VA/相；当In=1A时，不大于0.5VA/相；</w:t>
      </w:r>
    </w:p>
    <w:p>
      <w:pPr>
        <w:numPr>
          <w:ilvl w:val="0"/>
          <w:numId w:val="11"/>
        </w:numPr>
        <w:tabs>
          <w:tab w:val="left" w:pos="0"/>
        </w:tabs>
        <w:ind w:hanging="1014"/>
        <w:outlineLvl w:val="3"/>
        <w:rPr>
          <w:szCs w:val="21"/>
        </w:rPr>
      </w:pPr>
      <w:r>
        <w:rPr>
          <w:szCs w:val="21"/>
        </w:rPr>
        <w:t>交流电压回路：在额定电压下不大于1VA/相。</w:t>
      </w:r>
    </w:p>
    <w:p>
      <w:pPr>
        <w:pStyle w:val="4"/>
        <w:keepNext/>
        <w:keepLines/>
        <w:numPr>
          <w:ilvl w:val="3"/>
          <w:numId w:val="0"/>
        </w:numPr>
        <w:tabs>
          <w:tab w:val="left" w:pos="864"/>
        </w:tabs>
        <w:spacing w:line="240" w:lineRule="auto"/>
      </w:pPr>
      <w:bookmarkStart w:id="59" w:name="_Toc247183346"/>
      <w:bookmarkStart w:id="60" w:name="_Toc228509714"/>
      <w:bookmarkStart w:id="61" w:name="_Ref236027485"/>
      <w:r>
        <w:rPr>
          <w:rFonts w:hint="eastAsia"/>
        </w:rPr>
        <w:t xml:space="preserve"> 5.1.7过载能力</w:t>
      </w:r>
      <w:bookmarkEnd w:id="59"/>
      <w:bookmarkEnd w:id="60"/>
      <w:bookmarkEnd w:id="61"/>
    </w:p>
    <w:p>
      <w:pPr>
        <w:numPr>
          <w:ilvl w:val="0"/>
          <w:numId w:val="12"/>
        </w:numPr>
        <w:tabs>
          <w:tab w:val="left" w:pos="0"/>
        </w:tabs>
        <w:ind w:left="0" w:firstLine="424" w:firstLineChars="202"/>
        <w:outlineLvl w:val="3"/>
        <w:rPr>
          <w:szCs w:val="21"/>
        </w:rPr>
      </w:pPr>
      <w:r>
        <w:rPr>
          <w:szCs w:val="21"/>
        </w:rPr>
        <w:t>交流电流回路：2倍In时连续工作，50倍In时允许1s；</w:t>
      </w:r>
    </w:p>
    <w:p>
      <w:pPr>
        <w:numPr>
          <w:ilvl w:val="0"/>
          <w:numId w:val="12"/>
        </w:numPr>
        <w:tabs>
          <w:tab w:val="left" w:pos="0"/>
        </w:tabs>
        <w:ind w:left="0" w:firstLine="426"/>
        <w:outlineLvl w:val="3"/>
        <w:rPr>
          <w:szCs w:val="21"/>
        </w:rPr>
      </w:pPr>
      <w:r>
        <w:rPr>
          <w:szCs w:val="21"/>
        </w:rPr>
        <w:t>交流电压回路：1.2倍Un时连续工作，1.4倍Un允许10s；</w:t>
      </w:r>
    </w:p>
    <w:p>
      <w:pPr>
        <w:numPr>
          <w:ilvl w:val="0"/>
          <w:numId w:val="12"/>
        </w:numPr>
        <w:tabs>
          <w:tab w:val="left" w:pos="0"/>
        </w:tabs>
        <w:ind w:left="0" w:firstLine="426"/>
        <w:outlineLvl w:val="3"/>
        <w:rPr>
          <w:szCs w:val="21"/>
        </w:rPr>
      </w:pPr>
      <w:r>
        <w:rPr>
          <w:szCs w:val="21"/>
        </w:rPr>
        <w:t>装置经受电流电压过载后应无绝缘损坏。</w:t>
      </w:r>
    </w:p>
    <w:p>
      <w:pPr>
        <w:pStyle w:val="4"/>
        <w:keepNext/>
        <w:keepLines/>
        <w:numPr>
          <w:ilvl w:val="3"/>
          <w:numId w:val="0"/>
        </w:numPr>
        <w:tabs>
          <w:tab w:val="left" w:pos="864"/>
        </w:tabs>
        <w:spacing w:line="240" w:lineRule="auto"/>
      </w:pPr>
      <w:r>
        <w:rPr>
          <w:rFonts w:hint="eastAsia"/>
        </w:rPr>
        <w:t xml:space="preserve"> 5.1.8逆变电源</w:t>
      </w:r>
    </w:p>
    <w:p>
      <w:pPr>
        <w:ind w:firstLine="420" w:firstLineChars="200"/>
        <w:rPr>
          <w:szCs w:val="21"/>
        </w:rPr>
      </w:pPr>
      <w:r>
        <w:rPr>
          <w:szCs w:val="21"/>
        </w:rPr>
        <w:t>装置所使用的逆变电源应满足DL/T 527-2002中规定的各项要求</w:t>
      </w:r>
      <w:r>
        <w:rPr>
          <w:rFonts w:hint="eastAsia"/>
          <w:szCs w:val="21"/>
        </w:rPr>
        <w:t>。</w:t>
      </w:r>
      <w:r>
        <w:rPr>
          <w:szCs w:val="21"/>
        </w:rPr>
        <w:t>此外，同一厂家同一系列保护装置的电源模块应能互换，逆变电源故障不应导致保护误动，具有失电闭锁功能。逆变电源装置的平均无故障时间不低于100000小时</w:t>
      </w:r>
      <w:r>
        <w:rPr>
          <w:rFonts w:hint="eastAsia"/>
          <w:szCs w:val="21"/>
        </w:rPr>
        <w:t>(</w:t>
      </w:r>
      <w:r>
        <w:rPr>
          <w:szCs w:val="21"/>
        </w:rPr>
        <w:t>11.4年</w:t>
      </w:r>
      <w:r>
        <w:rPr>
          <w:rFonts w:hint="eastAsia"/>
          <w:szCs w:val="21"/>
        </w:rPr>
        <w:t>)</w:t>
      </w:r>
      <w:r>
        <w:rPr>
          <w:szCs w:val="21"/>
        </w:rPr>
        <w:t>。</w:t>
      </w:r>
    </w:p>
    <w:p>
      <w:pPr>
        <w:spacing w:line="360" w:lineRule="auto"/>
        <w:ind w:firstLine="525" w:firstLineChars="250"/>
        <w:rPr>
          <w:rFonts w:ascii="宋体" w:hAnsi="宋体"/>
          <w:szCs w:val="21"/>
        </w:rPr>
      </w:pPr>
      <w:r>
        <w:rPr>
          <w:rFonts w:hint="eastAsia" w:ascii="宋体" w:hAnsi="宋体"/>
          <w:szCs w:val="21"/>
        </w:rPr>
        <w:t>装置电源应采用优质的电源模块，投标方应明确声明其无故障连续运行时间。</w:t>
      </w:r>
    </w:p>
    <w:p>
      <w:pPr>
        <w:pStyle w:val="15"/>
        <w:adjustRightInd w:val="0"/>
        <w:snapToGrid w:val="0"/>
        <w:spacing w:line="360" w:lineRule="auto"/>
        <w:rPr>
          <w:rFonts w:eastAsia="宋体" w:cs="Times New Roman"/>
          <w:szCs w:val="21"/>
        </w:rPr>
      </w:pPr>
    </w:p>
    <w:p>
      <w:pPr>
        <w:pStyle w:val="3"/>
        <w:numPr>
          <w:ilvl w:val="0"/>
          <w:numId w:val="0"/>
        </w:numPr>
        <w:rPr>
          <w:rFonts w:ascii="黑体" w:eastAsia="黑体"/>
        </w:rPr>
      </w:pPr>
      <w:bookmarkStart w:id="62" w:name="_Toc277597196"/>
      <w:bookmarkStart w:id="63" w:name="_Toc19294"/>
      <w:bookmarkStart w:id="64" w:name="_Toc403567346"/>
      <w:bookmarkStart w:id="65" w:name="_Toc283566854"/>
      <w:r>
        <w:rPr>
          <w:rFonts w:ascii="黑体" w:eastAsia="黑体"/>
        </w:rPr>
        <w:t>5.2 设计和结构要求</w:t>
      </w:r>
      <w:bookmarkEnd w:id="62"/>
      <w:bookmarkEnd w:id="63"/>
      <w:bookmarkEnd w:id="64"/>
      <w:bookmarkEnd w:id="65"/>
    </w:p>
    <w:p>
      <w:pPr>
        <w:pStyle w:val="6"/>
        <w:adjustRightInd w:val="0"/>
        <w:spacing w:line="360" w:lineRule="auto"/>
        <w:ind w:firstLine="420" w:firstLineChars="200"/>
        <w:rPr>
          <w:rFonts w:hAnsi="宋体"/>
          <w:szCs w:val="21"/>
        </w:rPr>
      </w:pPr>
      <w:r>
        <w:rPr>
          <w:rFonts w:hAnsi="宋体"/>
          <w:szCs w:val="21"/>
        </w:rPr>
        <w:t>设计寿命全部设备必须是全新的、持久耐用的</w:t>
      </w:r>
      <w:r>
        <w:rPr>
          <w:rFonts w:hint="eastAsia" w:hAnsi="宋体"/>
          <w:szCs w:val="21"/>
        </w:rPr>
        <w:t>，</w:t>
      </w:r>
      <w:r>
        <w:rPr>
          <w:rFonts w:hAnsi="宋体"/>
          <w:szCs w:val="21"/>
        </w:rPr>
        <w:t>应满足作为一个完整产品一般所能满足的全部要求。投标方应保证设备能耐用</w:t>
      </w:r>
      <w:r>
        <w:rPr>
          <w:rFonts w:hint="eastAsia" w:hAnsi="宋体"/>
          <w:szCs w:val="21"/>
        </w:rPr>
        <w:t>12</w:t>
      </w:r>
      <w:r>
        <w:rPr>
          <w:rFonts w:hAnsi="宋体"/>
          <w:szCs w:val="21"/>
        </w:rPr>
        <w:t>年。</w:t>
      </w:r>
    </w:p>
    <w:p>
      <w:pPr>
        <w:spacing w:line="360" w:lineRule="auto"/>
        <w:rPr>
          <w:rFonts w:ascii="宋体" w:hAnsi="宋体"/>
          <w:szCs w:val="21"/>
        </w:rPr>
      </w:pPr>
      <w:bookmarkStart w:id="66" w:name="_Toc224831225"/>
      <w:r>
        <w:rPr>
          <w:rFonts w:hint="eastAsia" w:ascii="宋体" w:hAnsi="宋体"/>
          <w:szCs w:val="21"/>
        </w:rPr>
        <w:t xml:space="preserve">5.2.1  </w:t>
      </w:r>
      <w:bookmarkEnd w:id="66"/>
      <w:r>
        <w:rPr>
          <w:rFonts w:hint="eastAsia" w:ascii="宋体" w:hAnsi="宋体"/>
          <w:szCs w:val="21"/>
        </w:rPr>
        <w:t>设计要求</w:t>
      </w:r>
    </w:p>
    <w:p>
      <w:pPr>
        <w:spacing w:line="360" w:lineRule="auto"/>
        <w:rPr>
          <w:rFonts w:hint="eastAsia" w:ascii="宋体" w:hAnsi="宋体"/>
          <w:szCs w:val="21"/>
        </w:rPr>
      </w:pPr>
      <w:r>
        <w:rPr>
          <w:rFonts w:hint="eastAsia" w:ascii="宋体" w:hAnsi="宋体"/>
          <w:szCs w:val="21"/>
        </w:rPr>
        <w:t>5.2.1.1  装置的硬件组成应模块化，各模块具有良好的可扩展性，</w:t>
      </w:r>
      <w:r>
        <w:rPr>
          <w:rFonts w:hint="eastAsia"/>
          <w:szCs w:val="21"/>
        </w:rPr>
        <w:t>单台装置（含从机）可接入模拟量宜不少于</w:t>
      </w:r>
      <w:r>
        <w:rPr>
          <w:szCs w:val="21"/>
        </w:rPr>
        <w:t>3</w:t>
      </w:r>
      <w:r>
        <w:rPr>
          <w:rFonts w:hint="eastAsia"/>
          <w:szCs w:val="21"/>
        </w:rPr>
        <w:t>6路、开入量宜不少于48路、开出量宜不少于</w:t>
      </w:r>
      <w:r>
        <w:rPr>
          <w:szCs w:val="21"/>
        </w:rPr>
        <w:t>30</w:t>
      </w:r>
      <w:r>
        <w:rPr>
          <w:rFonts w:hint="eastAsia"/>
          <w:szCs w:val="21"/>
        </w:rPr>
        <w:t>路</w:t>
      </w:r>
      <w:r>
        <w:rPr>
          <w:rFonts w:hint="eastAsia" w:ascii="宋体" w:hAnsi="宋体"/>
          <w:szCs w:val="21"/>
        </w:rPr>
        <w:t>。</w:t>
      </w:r>
    </w:p>
    <w:p>
      <w:pPr>
        <w:spacing w:line="360" w:lineRule="auto"/>
        <w:rPr>
          <w:rFonts w:hint="eastAsia" w:ascii="Times New Roman" w:hAnsi="Times New Roman" w:eastAsia="宋体" w:cs="Times New Roman"/>
          <w:b/>
          <w:bCs/>
          <w:szCs w:val="21"/>
        </w:rPr>
      </w:pPr>
      <w:r>
        <w:rPr>
          <w:rFonts w:hint="eastAsia" w:ascii="宋体" w:hAnsi="宋体"/>
          <w:szCs w:val="21"/>
        </w:rPr>
        <w:t>5.2.1.2  装置在硬件上采用多重化容错措施。</w:t>
      </w:r>
    </w:p>
    <w:p>
      <w:pPr>
        <w:spacing w:line="360" w:lineRule="auto"/>
        <w:rPr>
          <w:rFonts w:hint="eastAsia" w:ascii="宋体" w:hAnsi="宋体"/>
          <w:szCs w:val="21"/>
        </w:rPr>
      </w:pPr>
      <w:r>
        <w:rPr>
          <w:rFonts w:hint="eastAsia" w:ascii="宋体" w:hAnsi="宋体"/>
          <w:szCs w:val="21"/>
        </w:rPr>
        <w:t>5.2.1.3  为防止输入回路及采样回路出错，软件需用输入量的物理含义校核输入量的正误，防止装置误动。</w:t>
      </w:r>
    </w:p>
    <w:p>
      <w:pPr>
        <w:spacing w:line="360" w:lineRule="auto"/>
        <w:rPr>
          <w:rFonts w:hint="eastAsia" w:ascii="宋体" w:hAnsi="宋体"/>
          <w:szCs w:val="21"/>
        </w:rPr>
      </w:pPr>
      <w:r>
        <w:rPr>
          <w:rFonts w:hint="eastAsia" w:ascii="宋体" w:hAnsi="宋体"/>
          <w:szCs w:val="21"/>
        </w:rPr>
        <w:t>5.2.1.4  装置出口动作回路应使用硬件和软件的多重防误判据以提高安全性。装置应采取高可靠性的校验方式，使传送故障信息、动作命令的报文误码通过校验的概率小于通道设备的误码率（如光纤通道为10</w:t>
      </w:r>
      <w:r>
        <w:rPr>
          <w:rFonts w:hint="eastAsia" w:ascii="宋体" w:hAnsi="宋体"/>
          <w:szCs w:val="21"/>
          <w:vertAlign w:val="superscript"/>
        </w:rPr>
        <w:t>-9</w:t>
      </w:r>
      <w:r>
        <w:rPr>
          <w:rFonts w:hint="eastAsia" w:ascii="宋体" w:hAnsi="宋体"/>
          <w:szCs w:val="21"/>
        </w:rPr>
        <w:t>），且不得低于10</w:t>
      </w:r>
      <w:r>
        <w:rPr>
          <w:rFonts w:hint="eastAsia" w:ascii="宋体" w:hAnsi="宋体"/>
          <w:szCs w:val="21"/>
          <w:vertAlign w:val="superscript"/>
        </w:rPr>
        <w:t>-8</w:t>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5.2.1.5  系统软硬件设计和制造时应尽量减少通过通道传送故障信息、动作命令。</w:t>
      </w:r>
    </w:p>
    <w:p>
      <w:pPr>
        <w:spacing w:line="360" w:lineRule="auto"/>
        <w:rPr>
          <w:rFonts w:hint="eastAsia" w:ascii="宋体" w:hAnsi="宋体"/>
          <w:szCs w:val="21"/>
        </w:rPr>
      </w:pPr>
      <w:r>
        <w:rPr>
          <w:rFonts w:hint="eastAsia" w:ascii="宋体" w:hAnsi="宋体"/>
          <w:szCs w:val="21"/>
        </w:rPr>
        <w:t>5.2.1.6  软件在判别和动作过程中一般设有多个动作标志，装置应确保及时全部清零，需要记录的信息应保留在另外的记录区。</w:t>
      </w:r>
    </w:p>
    <w:p>
      <w:pPr>
        <w:spacing w:line="360" w:lineRule="auto"/>
        <w:rPr>
          <w:rFonts w:hint="eastAsia" w:ascii="宋体" w:hAnsi="宋体"/>
          <w:szCs w:val="21"/>
        </w:rPr>
      </w:pPr>
      <w:r>
        <w:rPr>
          <w:rFonts w:hint="eastAsia" w:ascii="宋体" w:hAnsi="宋体"/>
          <w:szCs w:val="21"/>
        </w:rPr>
        <w:t>5.2.1.7  装置应具备允许修改定值的安全校验，以防止误改定值。装置在正确输入定值后、下次修改前，不管发生任何情况，应确保装置定值保持不变。装置应可采用小键盘和PC 机进行定值整定，对超出定值整定范围的定值不予接受。</w:t>
      </w:r>
    </w:p>
    <w:p>
      <w:pPr>
        <w:spacing w:line="360" w:lineRule="auto"/>
        <w:rPr>
          <w:rFonts w:hint="eastAsia" w:ascii="宋体" w:hAnsi="宋体"/>
          <w:szCs w:val="21"/>
        </w:rPr>
      </w:pPr>
      <w:r>
        <w:rPr>
          <w:rFonts w:hint="eastAsia" w:ascii="宋体" w:hAnsi="宋体"/>
          <w:szCs w:val="21"/>
        </w:rPr>
        <w:t>5.2.1.8  在电流互感器暂态过程中以及饱和情况下</w:t>
      </w:r>
      <w:r>
        <w:rPr>
          <w:rFonts w:ascii="宋体" w:hAnsi="宋体"/>
          <w:szCs w:val="21"/>
        </w:rPr>
        <w:t xml:space="preserve">, </w:t>
      </w:r>
      <w:r>
        <w:rPr>
          <w:rFonts w:hint="eastAsia" w:ascii="宋体" w:hAnsi="宋体"/>
          <w:szCs w:val="21"/>
        </w:rPr>
        <w:t>装置应能正确动作。</w:t>
      </w:r>
    </w:p>
    <w:p>
      <w:pPr>
        <w:spacing w:line="360" w:lineRule="auto"/>
        <w:rPr>
          <w:rFonts w:hint="eastAsia" w:ascii="宋体" w:hAnsi="宋体"/>
          <w:szCs w:val="21"/>
        </w:rPr>
      </w:pPr>
      <w:r>
        <w:rPr>
          <w:rFonts w:hint="eastAsia" w:ascii="宋体" w:hAnsi="宋体"/>
          <w:szCs w:val="21"/>
        </w:rPr>
        <w:t>5.2.1.9  装置应人机界面友好，应具有就地显示功能和打印机接口。应可以显示包括需切除线路（机组）、可切线路的负荷（机组的出力）、已切除线路（机组）及切除的负荷（机组的出力）等信息，并可以输出以上信息至打印机。装置动作信号在直流电源断开和恢复后仍然可以保持。</w:t>
      </w:r>
    </w:p>
    <w:p>
      <w:pPr>
        <w:spacing w:line="360" w:lineRule="auto"/>
        <w:rPr>
          <w:rFonts w:hint="eastAsia" w:ascii="宋体" w:hAnsi="宋体"/>
          <w:szCs w:val="21"/>
        </w:rPr>
      </w:pPr>
      <w:r>
        <w:rPr>
          <w:rFonts w:hint="eastAsia" w:ascii="宋体" w:hAnsi="宋体"/>
          <w:szCs w:val="21"/>
        </w:rPr>
        <w:t>5.2.1.10  装置应配备专门的信号板卡，提供充足的分类信号接点以便向运行人员提供清晰的装置信息；通道告警信号必须按通道分别给出告警信号接点。装置应提供足够的输出接点供跳闸、信号、远方起信等使用。</w:t>
      </w:r>
    </w:p>
    <w:p>
      <w:pPr>
        <w:spacing w:line="360" w:lineRule="auto"/>
        <w:rPr>
          <w:rFonts w:hint="eastAsia" w:ascii="宋体" w:hAnsi="宋体"/>
          <w:szCs w:val="21"/>
        </w:rPr>
      </w:pPr>
      <w:r>
        <w:rPr>
          <w:rFonts w:hint="eastAsia" w:ascii="宋体" w:hAnsi="宋体"/>
          <w:szCs w:val="21"/>
        </w:rPr>
        <w:t>5.2.1.11  装置应使用硬件和软件的多重防误判据。</w:t>
      </w:r>
    </w:p>
    <w:p>
      <w:pPr>
        <w:spacing w:line="360" w:lineRule="auto"/>
        <w:rPr>
          <w:rFonts w:hint="eastAsia" w:ascii="宋体" w:hAnsi="宋体"/>
          <w:szCs w:val="21"/>
        </w:rPr>
      </w:pPr>
      <w:r>
        <w:rPr>
          <w:rFonts w:hint="eastAsia" w:ascii="宋体" w:hAnsi="宋体"/>
          <w:szCs w:val="21"/>
        </w:rPr>
        <w:t>5.2.1.11.1  当装置需要执行其它厂站远方命令时，应对远方命令进行有效范围确认，应尽量辅以就地或其它站信息作防误判断。远方命令必须至少连续确认</w:t>
      </w:r>
      <w:r>
        <w:rPr>
          <w:rFonts w:ascii="宋体" w:hAnsi="宋体"/>
          <w:szCs w:val="21"/>
        </w:rPr>
        <w:t xml:space="preserve">3 </w:t>
      </w:r>
      <w:r>
        <w:rPr>
          <w:rFonts w:hint="eastAsia" w:ascii="宋体" w:hAnsi="宋体"/>
          <w:szCs w:val="21"/>
        </w:rPr>
        <w:t>帧。</w:t>
      </w:r>
    </w:p>
    <w:p>
      <w:pPr>
        <w:spacing w:line="360" w:lineRule="auto"/>
        <w:rPr>
          <w:rFonts w:hint="eastAsia" w:ascii="宋体" w:hAnsi="宋体"/>
          <w:szCs w:val="21"/>
        </w:rPr>
      </w:pPr>
      <w:r>
        <w:rPr>
          <w:rFonts w:hint="eastAsia" w:ascii="宋体" w:hAnsi="宋体"/>
          <w:szCs w:val="21"/>
        </w:rPr>
        <w:t>5.2.1.11.2  就地判断故障，就地执行策略前，应尽量选取与主判据不同的电气量或开关量进行防误校验。</w:t>
      </w:r>
    </w:p>
    <w:p>
      <w:pPr>
        <w:spacing w:line="360" w:lineRule="auto"/>
        <w:rPr>
          <w:rFonts w:hint="eastAsia" w:ascii="宋体" w:hAnsi="宋体"/>
          <w:szCs w:val="21"/>
        </w:rPr>
      </w:pPr>
      <w:r>
        <w:rPr>
          <w:rFonts w:hint="eastAsia" w:ascii="宋体" w:hAnsi="宋体"/>
          <w:szCs w:val="21"/>
        </w:rPr>
        <w:t>5.2.1.11.3  判重要线路跳闸宜采用开关量信号加电气量信号综合判断，防止误判。</w:t>
      </w:r>
    </w:p>
    <w:p>
      <w:pPr>
        <w:spacing w:line="360" w:lineRule="auto"/>
        <w:rPr>
          <w:rFonts w:hint="eastAsia" w:ascii="宋体" w:hAnsi="宋体"/>
          <w:szCs w:val="21"/>
        </w:rPr>
      </w:pPr>
      <w:r>
        <w:rPr>
          <w:rFonts w:hint="eastAsia" w:ascii="宋体" w:hAnsi="宋体"/>
          <w:szCs w:val="21"/>
        </w:rPr>
        <w:t>5.2.1.12 装置应具有在线自检、异常报警与防误闭锁功能：</w:t>
      </w:r>
    </w:p>
    <w:p>
      <w:pPr>
        <w:spacing w:line="360" w:lineRule="auto"/>
        <w:rPr>
          <w:rFonts w:hint="eastAsia" w:ascii="宋体" w:hAnsi="宋体"/>
          <w:szCs w:val="21"/>
        </w:rPr>
      </w:pPr>
      <w:r>
        <w:rPr>
          <w:rFonts w:hint="eastAsia" w:ascii="宋体" w:hAnsi="宋体"/>
          <w:szCs w:val="21"/>
        </w:rPr>
        <w:t>5.2.1.12.1  装置应具有在线自检、事故记录、数据记录（录波）、就地和远方信息变位记录、自动打印等功能。装置自检包括硬件损坏、功能失效和二次回路异常、通道异常等功能。当任一元件（出口继电器可除外）损坏后，能及时发现异常状态，发出警告指示，不导致误动。</w:t>
      </w:r>
    </w:p>
    <w:p>
      <w:pPr>
        <w:spacing w:line="360" w:lineRule="auto"/>
        <w:rPr>
          <w:rFonts w:hint="eastAsia" w:ascii="宋体" w:hAnsi="宋体"/>
          <w:szCs w:val="21"/>
        </w:rPr>
      </w:pPr>
      <w:r>
        <w:rPr>
          <w:rFonts w:hint="eastAsia" w:ascii="宋体" w:hAnsi="宋体"/>
          <w:szCs w:val="21"/>
        </w:rPr>
        <w:t>5.2.1.12.2  异常报告应说明异常类型、异常开始时间、异常消失时间及损坏的插件、板卡或某一具体通道等。直流电源消失等无法给出详细事件记录的异常,至少应给出接点信号至监控系统。</w:t>
      </w:r>
    </w:p>
    <w:p>
      <w:pPr>
        <w:spacing w:line="360" w:lineRule="auto"/>
        <w:rPr>
          <w:rFonts w:hint="eastAsia" w:ascii="宋体" w:hAnsi="宋体"/>
          <w:szCs w:val="21"/>
        </w:rPr>
      </w:pPr>
      <w:r>
        <w:rPr>
          <w:rFonts w:hint="eastAsia" w:ascii="宋体" w:hAnsi="宋体"/>
          <w:szCs w:val="21"/>
        </w:rPr>
        <w:t>5.2.1.12.3  CT、PT 断线、直流电源消失等严重影响装置功能的异常发生后，装置应有防止误动作的措施并闭锁相关功能，异常期间装置面板上的异常闭锁信号灯保持，异常消失后自动熄灭，并自动解除闭锁（直流电源消失除外），同时装置应留有相应记录并自动打印异常报告。</w:t>
      </w:r>
    </w:p>
    <w:p>
      <w:pPr>
        <w:spacing w:line="360" w:lineRule="auto"/>
        <w:rPr>
          <w:rFonts w:hint="eastAsia" w:ascii="宋体" w:hAnsi="宋体"/>
          <w:szCs w:val="21"/>
        </w:rPr>
      </w:pPr>
      <w:r>
        <w:rPr>
          <w:rFonts w:hint="eastAsia" w:ascii="宋体" w:hAnsi="宋体"/>
          <w:szCs w:val="21"/>
        </w:rPr>
        <w:t>5.2.1.12.4  装置应实现告警信号详细分类，并在当前屏幕上显示详细报文，并能自动输出至打印机。</w:t>
      </w:r>
    </w:p>
    <w:p>
      <w:pPr>
        <w:spacing w:line="360" w:lineRule="auto"/>
        <w:rPr>
          <w:rFonts w:hint="eastAsia" w:ascii="宋体" w:hAnsi="宋体"/>
          <w:szCs w:val="21"/>
        </w:rPr>
      </w:pPr>
      <w:r>
        <w:rPr>
          <w:rFonts w:hint="eastAsia" w:ascii="宋体" w:hAnsi="宋体"/>
          <w:szCs w:val="21"/>
        </w:rPr>
        <w:t>5.2.1.12.5  通道告警信号必须按通道分别给出告警信号接点。</w:t>
      </w:r>
    </w:p>
    <w:p>
      <w:pPr>
        <w:spacing w:line="360" w:lineRule="auto"/>
        <w:rPr>
          <w:rFonts w:hint="eastAsia" w:ascii="宋体" w:hAnsi="宋体"/>
          <w:szCs w:val="21"/>
        </w:rPr>
      </w:pPr>
      <w:r>
        <w:rPr>
          <w:rFonts w:hint="eastAsia" w:ascii="宋体" w:hAnsi="宋体"/>
          <w:szCs w:val="21"/>
        </w:rPr>
        <w:t>5.2.1.12.6  装置应严格执行中国南方电网有关反事故措施要求。</w:t>
      </w:r>
    </w:p>
    <w:p>
      <w:pPr>
        <w:spacing w:line="360" w:lineRule="auto"/>
        <w:rPr>
          <w:rFonts w:ascii="宋体" w:hAnsi="宋体"/>
          <w:szCs w:val="21"/>
        </w:rPr>
      </w:pPr>
      <w:r>
        <w:rPr>
          <w:rFonts w:hint="eastAsia" w:ascii="宋体" w:hAnsi="宋体"/>
          <w:szCs w:val="21"/>
        </w:rPr>
        <w:t>5.2.1.13  装置必须具备动作数据记录（录波）功能：</w:t>
      </w:r>
    </w:p>
    <w:p>
      <w:pPr>
        <w:spacing w:line="360" w:lineRule="auto"/>
        <w:rPr>
          <w:rFonts w:hint="eastAsia" w:ascii="宋体" w:hAnsi="宋体"/>
          <w:szCs w:val="21"/>
        </w:rPr>
      </w:pPr>
      <w:r>
        <w:rPr>
          <w:rFonts w:hint="eastAsia" w:ascii="宋体" w:hAnsi="宋体"/>
          <w:szCs w:val="21"/>
        </w:rPr>
        <w:t>5.2.1.13.1  单次记录应能连续记录从本次动作启动前200ms开始到整组复归完成之间装置的详细信息。至少能存储5次动作数据记录。装置启动和动作前后200ms的数据记录，采样频率不应低于200Hz。</w:t>
      </w:r>
    </w:p>
    <w:p>
      <w:pPr>
        <w:spacing w:line="360" w:lineRule="auto"/>
        <w:rPr>
          <w:rFonts w:hint="eastAsia" w:ascii="宋体" w:hAnsi="宋体"/>
          <w:szCs w:val="21"/>
        </w:rPr>
      </w:pPr>
      <w:r>
        <w:rPr>
          <w:rFonts w:hint="eastAsia" w:ascii="宋体" w:hAnsi="宋体"/>
          <w:szCs w:val="21"/>
        </w:rPr>
        <w:t>5.2.1.13.2  动作数据记录应至少包含装置在上述记录持续时间内输入电气量（电压、电流、功率、频率、开关量等）、本地判断的故障及类型、装置内部关键数字继电器的动作情况、计算控制量、实际控制量和控制对象、通道接收或发送的系统方式、故障信息、动作命令。</w:t>
      </w:r>
    </w:p>
    <w:p>
      <w:pPr>
        <w:spacing w:line="360" w:lineRule="auto"/>
        <w:rPr>
          <w:rFonts w:hint="eastAsia" w:ascii="宋体" w:hAnsi="宋体"/>
          <w:szCs w:val="21"/>
        </w:rPr>
      </w:pPr>
      <w:r>
        <w:rPr>
          <w:rFonts w:hint="eastAsia" w:ascii="宋体" w:hAnsi="宋体"/>
          <w:szCs w:val="21"/>
        </w:rPr>
        <w:t>5.2.1.13.3  动作数据记录中的变量名称应与软硬件框图等技术资料中名称一致。装置应具有离线软件供分析、打印动作数据记录，并可将记录数据转换为comtrade格式。离线分析时可将功率、电压等电气量的数据记录用波形表示，远方命令、出口跳闸、内部数字继电器动作情况等二进制信息用方波图表示。</w:t>
      </w:r>
    </w:p>
    <w:p>
      <w:pPr>
        <w:spacing w:line="360" w:lineRule="auto"/>
        <w:rPr>
          <w:rFonts w:hint="eastAsia" w:ascii="宋体" w:hAnsi="宋体"/>
          <w:szCs w:val="21"/>
        </w:rPr>
      </w:pPr>
      <w:r>
        <w:rPr>
          <w:rFonts w:hint="eastAsia" w:ascii="宋体" w:hAnsi="宋体"/>
          <w:szCs w:val="21"/>
        </w:rPr>
        <w:t>5.2.1.13.4并要求能通过USB口或串口调取录波数据、动作报文。</w:t>
      </w:r>
    </w:p>
    <w:p>
      <w:pPr>
        <w:spacing w:line="360" w:lineRule="auto"/>
        <w:rPr>
          <w:rFonts w:ascii="宋体" w:hAnsi="宋体"/>
          <w:szCs w:val="21"/>
        </w:rPr>
      </w:pPr>
      <w:r>
        <w:rPr>
          <w:rFonts w:hint="eastAsia" w:ascii="宋体" w:hAnsi="宋体"/>
          <w:szCs w:val="21"/>
        </w:rPr>
        <w:t>5.2.1.14  装置必须具备通道录波功能：</w:t>
      </w:r>
    </w:p>
    <w:p>
      <w:pPr>
        <w:spacing w:line="360" w:lineRule="auto"/>
        <w:rPr>
          <w:rFonts w:hint="default" w:ascii="宋体" w:hAnsi="宋体" w:eastAsia="宋体"/>
          <w:szCs w:val="21"/>
          <w:lang w:val="en-US" w:eastAsia="zh-CN"/>
        </w:rPr>
      </w:pPr>
      <w:r>
        <w:rPr>
          <w:rFonts w:hint="eastAsia" w:ascii="宋体" w:hAnsi="宋体"/>
          <w:szCs w:val="21"/>
        </w:rPr>
        <w:t>投标方应提供独立的通道录波装置，用于记录装置的通信接口设备与通信系统设备之间的收信、发信报文。录波装置可由装置动作接点启动录波，或检测到指定通道收信、发信报文指定位有变位时启动录波。投标方所提供的录波装置及其接口设备不得因任何原因影响装</w:t>
      </w:r>
    </w:p>
    <w:p>
      <w:pPr>
        <w:spacing w:line="360" w:lineRule="auto"/>
        <w:rPr>
          <w:rFonts w:ascii="宋体" w:hAnsi="宋体"/>
          <w:szCs w:val="21"/>
        </w:rPr>
      </w:pPr>
      <w:r>
        <w:rPr>
          <w:rFonts w:hint="eastAsia" w:ascii="宋体" w:hAnsi="宋体"/>
          <w:szCs w:val="21"/>
        </w:rPr>
        <w:t>5.2.1.15  装置死机后具备自动复归功能：</w:t>
      </w:r>
    </w:p>
    <w:p>
      <w:pPr>
        <w:spacing w:line="360" w:lineRule="auto"/>
        <w:ind w:firstLine="420" w:firstLineChars="200"/>
        <w:rPr>
          <w:rFonts w:hint="eastAsia" w:ascii="宋体" w:hAnsi="宋体"/>
          <w:szCs w:val="21"/>
        </w:rPr>
      </w:pPr>
      <w:r>
        <w:rPr>
          <w:rFonts w:hint="eastAsia" w:ascii="宋体" w:hAnsi="宋体"/>
          <w:szCs w:val="21"/>
        </w:rPr>
        <w:t>当装置软件进入死循环或“死” 机后，应由硬件看门狗检查出该异常，并发出装置复归信号， 让装置在10ms内重新进入正常工作状态。同时装置应具备看门狗动作记录功能。</w:t>
      </w:r>
    </w:p>
    <w:p>
      <w:pPr>
        <w:spacing w:line="360" w:lineRule="auto"/>
        <w:rPr>
          <w:rFonts w:hint="eastAsia" w:ascii="宋体" w:hAnsi="宋体"/>
          <w:szCs w:val="21"/>
        </w:rPr>
      </w:pPr>
      <w:r>
        <w:rPr>
          <w:rFonts w:hint="eastAsia" w:ascii="宋体" w:hAnsi="宋体"/>
          <w:szCs w:val="21"/>
        </w:rPr>
        <w:t>5.2.1.16  低通滤波：装置交流模拟量输入回路应加低通滤波，把高频分量滤除；并可进一步采取数字滤波。</w:t>
      </w:r>
    </w:p>
    <w:p>
      <w:pPr>
        <w:spacing w:line="360" w:lineRule="auto"/>
        <w:rPr>
          <w:rFonts w:hint="eastAsia" w:ascii="宋体" w:hAnsi="宋体"/>
          <w:szCs w:val="21"/>
        </w:rPr>
      </w:pPr>
      <w:r>
        <w:rPr>
          <w:rFonts w:hint="eastAsia" w:ascii="宋体" w:hAnsi="宋体"/>
          <w:szCs w:val="21"/>
        </w:rPr>
        <w:t>5.2.1.17  装置具有对交直流系统操作和大气过电压以及系统谐波有抗干扰能力。在暂态谐波分量影响下, 装置不应出现误动、拒动、动作时间延长、测量精度降低等情况。</w:t>
      </w:r>
    </w:p>
    <w:p>
      <w:pPr>
        <w:spacing w:line="360" w:lineRule="auto"/>
        <w:rPr>
          <w:rFonts w:ascii="宋体" w:hAnsi="宋体"/>
          <w:szCs w:val="21"/>
        </w:rPr>
      </w:pPr>
      <w:r>
        <w:rPr>
          <w:rFonts w:hint="eastAsia" w:ascii="宋体" w:hAnsi="宋体"/>
          <w:szCs w:val="21"/>
        </w:rPr>
        <w:t xml:space="preserve">5.2.1.18  </w:t>
      </w:r>
      <w:r>
        <w:rPr>
          <w:rFonts w:ascii="宋体" w:hAnsi="宋体"/>
          <w:szCs w:val="21"/>
        </w:rPr>
        <w:t>装置应在系统出现扰动和不对称分量，电流、电压或功率突变等条件满足时可靠启动。</w:t>
      </w:r>
    </w:p>
    <w:p>
      <w:pPr>
        <w:spacing w:line="360" w:lineRule="auto"/>
        <w:rPr>
          <w:rFonts w:hint="eastAsia" w:ascii="宋体" w:hAnsi="宋体"/>
          <w:szCs w:val="21"/>
        </w:rPr>
      </w:pPr>
      <w:r>
        <w:rPr>
          <w:rFonts w:hint="eastAsia" w:ascii="宋体" w:hAnsi="宋体"/>
          <w:szCs w:val="21"/>
        </w:rPr>
        <w:t>5.2.1.19  对装置接点的要求：除满足本技术条件书3.2.10的要求外，装置的直流逻辑输入回路必须通过光电耦合元件或转换继电器以便与外部回路相隔离，防止干扰引入装置内；所有输出接点必须是无压常开或常闭接点以便与其它设备相连。</w:t>
      </w:r>
    </w:p>
    <w:p>
      <w:pPr>
        <w:spacing w:line="360" w:lineRule="auto"/>
        <w:rPr>
          <w:rFonts w:hint="eastAsia" w:ascii="宋体" w:hAnsi="宋体"/>
          <w:szCs w:val="21"/>
        </w:rPr>
      </w:pPr>
      <w:r>
        <w:rPr>
          <w:rFonts w:hint="eastAsia" w:ascii="宋体" w:hAnsi="宋体"/>
          <w:szCs w:val="21"/>
        </w:rPr>
        <w:t>5.2.1.20  装置强电跳闸出口</w:t>
      </w:r>
      <w:r>
        <w:rPr>
          <w:rFonts w:ascii="宋体" w:hAnsi="宋体"/>
          <w:szCs w:val="21"/>
        </w:rPr>
        <w:t>回路</w:t>
      </w:r>
      <w:r>
        <w:rPr>
          <w:rFonts w:hint="eastAsia" w:ascii="宋体" w:hAnsi="宋体"/>
          <w:szCs w:val="21"/>
        </w:rPr>
        <w:t>应设置硬压板；装置投退具备软压板功能和硬压板功能。</w:t>
      </w:r>
    </w:p>
    <w:p>
      <w:pPr>
        <w:spacing w:line="360" w:lineRule="auto"/>
        <w:rPr>
          <w:rFonts w:hint="eastAsia" w:ascii="宋体" w:hAnsi="宋体"/>
          <w:szCs w:val="21"/>
        </w:rPr>
      </w:pPr>
      <w:r>
        <w:rPr>
          <w:rFonts w:hint="eastAsia" w:ascii="宋体" w:hAnsi="宋体"/>
          <w:szCs w:val="21"/>
        </w:rPr>
        <w:t>5.2.1.21  应设置通道压板和通道投退开关，压板投入和开关合上时维持信息正常收发功能，</w:t>
      </w:r>
    </w:p>
    <w:p>
      <w:pPr>
        <w:spacing w:line="360" w:lineRule="auto"/>
        <w:rPr>
          <w:rFonts w:hint="eastAsia" w:ascii="宋体" w:hAnsi="宋体"/>
          <w:szCs w:val="21"/>
        </w:rPr>
      </w:pPr>
      <w:r>
        <w:rPr>
          <w:rFonts w:hint="eastAsia" w:ascii="宋体" w:hAnsi="宋体"/>
          <w:szCs w:val="21"/>
        </w:rPr>
        <w:t>5.2.1.22  应设置硬件总出口压板，只有在总出口压板投入后，才可能给出口继电器提供电源，及通过通道向外发送命令信号。总出口压板退出后，装置所有出口继电器的电源回路可靠断开，并且硬件上可靠闭锁通过通道向外发送的远方动作命令，装置其余功能保持正常。</w:t>
      </w:r>
    </w:p>
    <w:p>
      <w:pPr>
        <w:spacing w:line="360" w:lineRule="auto"/>
        <w:rPr>
          <w:rFonts w:ascii="宋体" w:hAnsi="宋体"/>
          <w:szCs w:val="21"/>
        </w:rPr>
      </w:pPr>
      <w:r>
        <w:rPr>
          <w:rFonts w:hint="eastAsia" w:ascii="宋体" w:hAnsi="宋体"/>
          <w:szCs w:val="21"/>
        </w:rPr>
        <w:t>5.2.1.23  控制子站装置的通信功能：</w:t>
      </w:r>
    </w:p>
    <w:p>
      <w:pPr>
        <w:spacing w:line="360" w:lineRule="auto"/>
        <w:rPr>
          <w:rFonts w:hint="eastAsia" w:ascii="宋体" w:hAnsi="宋体"/>
          <w:szCs w:val="21"/>
        </w:rPr>
      </w:pPr>
      <w:r>
        <w:rPr>
          <w:rFonts w:hint="eastAsia" w:ascii="宋体" w:hAnsi="宋体"/>
          <w:szCs w:val="21"/>
        </w:rPr>
        <w:t xml:space="preserve">5.2.1.23.1  </w:t>
      </w:r>
      <w:r>
        <w:rPr>
          <w:rFonts w:ascii="宋体" w:hAnsi="宋体"/>
          <w:szCs w:val="21"/>
        </w:rPr>
        <w:t>满足</w:t>
      </w:r>
      <w:r>
        <w:rPr>
          <w:rFonts w:hint="eastAsia" w:ascii="宋体" w:hAnsi="宋体"/>
          <w:szCs w:val="21"/>
        </w:rPr>
        <w:t>不少于</w:t>
      </w:r>
      <w:r>
        <w:rPr>
          <w:rFonts w:ascii="宋体" w:hAnsi="宋体"/>
          <w:szCs w:val="21"/>
        </w:rPr>
        <w:t>200</w:t>
      </w:r>
      <w:r>
        <w:rPr>
          <w:rFonts w:hint="eastAsia" w:ascii="宋体" w:hAnsi="宋体"/>
          <w:szCs w:val="21"/>
        </w:rPr>
        <w:t xml:space="preserve">个负控终端的接入要求。 </w:t>
      </w:r>
    </w:p>
    <w:p>
      <w:pPr>
        <w:spacing w:line="360" w:lineRule="auto"/>
        <w:rPr>
          <w:rFonts w:hint="eastAsia" w:ascii="宋体" w:hAnsi="宋体"/>
          <w:szCs w:val="21"/>
        </w:rPr>
      </w:pPr>
      <w:r>
        <w:rPr>
          <w:rFonts w:hint="eastAsia" w:ascii="宋体" w:hAnsi="宋体"/>
          <w:szCs w:val="21"/>
        </w:rPr>
        <w:t>5.2.1.23.</w:t>
      </w:r>
      <w:r>
        <w:rPr>
          <w:rFonts w:ascii="宋体" w:hAnsi="宋体"/>
          <w:szCs w:val="21"/>
        </w:rPr>
        <w:t>2</w:t>
      </w:r>
      <w:r>
        <w:rPr>
          <w:rFonts w:hint="eastAsia" w:ascii="宋体" w:hAnsi="宋体"/>
          <w:szCs w:val="21"/>
        </w:rPr>
        <w:t xml:space="preserve">  复用2</w:t>
      </w:r>
      <w:r>
        <w:rPr>
          <w:rFonts w:ascii="宋体" w:hAnsi="宋体"/>
          <w:szCs w:val="21"/>
        </w:rPr>
        <w:t>M</w:t>
      </w:r>
      <w:r>
        <w:rPr>
          <w:rFonts w:hint="eastAsia" w:ascii="宋体" w:hAnsi="宋体"/>
          <w:szCs w:val="21"/>
        </w:rPr>
        <w:t>通信</w:t>
      </w:r>
      <w:r>
        <w:rPr>
          <w:rFonts w:ascii="宋体" w:hAnsi="宋体"/>
          <w:szCs w:val="21"/>
        </w:rPr>
        <w:t>接口</w:t>
      </w:r>
      <w:r>
        <w:rPr>
          <w:rFonts w:hint="eastAsia" w:ascii="宋体" w:hAnsi="宋体"/>
          <w:szCs w:val="21"/>
        </w:rPr>
        <w:t>装置应具备全双工高速数字通道接口，用于与协控主站间或本站两套装置间交换信息。接口标准符合CCITT.G703 2Mbit/s同向接口要求。</w:t>
      </w:r>
    </w:p>
    <w:p>
      <w:pPr>
        <w:spacing w:line="360" w:lineRule="auto"/>
        <w:rPr>
          <w:rFonts w:hint="eastAsia" w:ascii="宋体" w:hAnsi="宋体"/>
          <w:szCs w:val="21"/>
        </w:rPr>
      </w:pPr>
      <w:r>
        <w:rPr>
          <w:rFonts w:hint="eastAsia" w:ascii="宋体" w:hAnsi="宋体"/>
          <w:szCs w:val="21"/>
        </w:rPr>
        <w:t>5.2.1.23.</w:t>
      </w:r>
      <w:r>
        <w:rPr>
          <w:rFonts w:ascii="宋体" w:hAnsi="宋体"/>
          <w:szCs w:val="21"/>
        </w:rPr>
        <w:t>3</w:t>
      </w:r>
      <w:r>
        <w:rPr>
          <w:rFonts w:hint="eastAsia" w:ascii="宋体" w:hAnsi="宋体"/>
          <w:szCs w:val="21"/>
        </w:rPr>
        <w:t xml:space="preserve">  </w:t>
      </w:r>
      <w:r>
        <w:rPr>
          <w:rFonts w:ascii="宋体" w:hAnsi="宋体"/>
          <w:szCs w:val="21"/>
        </w:rPr>
        <w:t>155M</w:t>
      </w:r>
      <w:r>
        <w:rPr>
          <w:rFonts w:hint="eastAsia" w:ascii="宋体" w:hAnsi="宋体"/>
          <w:szCs w:val="21"/>
        </w:rPr>
        <w:t>通信</w:t>
      </w:r>
      <w:r>
        <w:rPr>
          <w:rFonts w:ascii="宋体" w:hAnsi="宋体"/>
          <w:szCs w:val="21"/>
        </w:rPr>
        <w:t>接口</w:t>
      </w:r>
      <w:r>
        <w:rPr>
          <w:rFonts w:hint="eastAsia" w:ascii="宋体" w:hAnsi="宋体"/>
          <w:szCs w:val="21"/>
        </w:rPr>
        <w:t>装置应具备至少1个STM-1光纤接口，应支持HDLC协议及SDH标准，通过光纤接口与控制子站装置通信。</w:t>
      </w:r>
    </w:p>
    <w:p>
      <w:pPr>
        <w:spacing w:line="360" w:lineRule="auto"/>
        <w:rPr>
          <w:rFonts w:hint="eastAsia" w:ascii="宋体" w:hAnsi="宋体"/>
          <w:szCs w:val="21"/>
        </w:rPr>
      </w:pPr>
      <w:r>
        <w:rPr>
          <w:rFonts w:hint="eastAsia" w:ascii="宋体" w:hAnsi="宋体"/>
          <w:szCs w:val="21"/>
        </w:rPr>
        <w:t>5.2.1.23.</w:t>
      </w:r>
      <w:r>
        <w:rPr>
          <w:rFonts w:ascii="宋体" w:hAnsi="宋体"/>
          <w:szCs w:val="21"/>
        </w:rPr>
        <w:t>4</w:t>
      </w:r>
      <w:r>
        <w:rPr>
          <w:rFonts w:hint="eastAsia" w:ascii="宋体" w:hAnsi="宋体"/>
          <w:szCs w:val="21"/>
        </w:rPr>
        <w:t xml:space="preserve">  装置通信软硬件应具备四级以上不同原理的校验，确保错误报文通过校验的概率小于10</w:t>
      </w:r>
      <w:r>
        <w:rPr>
          <w:rFonts w:hint="eastAsia" w:ascii="宋体" w:hAnsi="宋体"/>
          <w:szCs w:val="21"/>
          <w:vertAlign w:val="superscript"/>
        </w:rPr>
        <w:t>-6</w:t>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5.2.1.23.</w:t>
      </w:r>
      <w:r>
        <w:rPr>
          <w:rFonts w:ascii="宋体" w:hAnsi="宋体"/>
          <w:szCs w:val="21"/>
        </w:rPr>
        <w:t>5</w:t>
      </w:r>
      <w:r>
        <w:rPr>
          <w:rFonts w:hint="eastAsia" w:ascii="宋体" w:hAnsi="宋体"/>
          <w:szCs w:val="21"/>
        </w:rPr>
        <w:t xml:space="preserve">  装置使用帧信号来传送和接收信号和信息。帧信号的内容包括：地址码、冗余码（或奇偶校对码）、要传送的信息内容（如：切负荷数、上传的线路负荷等）。</w:t>
      </w:r>
    </w:p>
    <w:p>
      <w:pPr>
        <w:spacing w:line="360" w:lineRule="auto"/>
        <w:rPr>
          <w:rFonts w:hint="eastAsia" w:ascii="宋体" w:hAnsi="宋体"/>
          <w:szCs w:val="21"/>
        </w:rPr>
      </w:pPr>
      <w:r>
        <w:rPr>
          <w:rFonts w:hint="eastAsia" w:ascii="宋体" w:hAnsi="宋体"/>
          <w:szCs w:val="21"/>
        </w:rPr>
        <w:t>5.2.1.23.</w:t>
      </w:r>
      <w:r>
        <w:rPr>
          <w:rFonts w:ascii="宋体" w:hAnsi="宋体"/>
          <w:szCs w:val="21"/>
        </w:rPr>
        <w:t>6</w:t>
      </w:r>
      <w:r>
        <w:rPr>
          <w:rFonts w:hint="eastAsia" w:ascii="宋体" w:hAnsi="宋体"/>
          <w:szCs w:val="21"/>
        </w:rPr>
        <w:t xml:space="preserve">  装置应带有本地通信接口与外接设备通信，以实现就地查询故障信息、装置信息和修改定值等。</w:t>
      </w:r>
    </w:p>
    <w:p>
      <w:pPr>
        <w:spacing w:line="360" w:lineRule="auto"/>
        <w:rPr>
          <w:rFonts w:hint="eastAsia" w:ascii="宋体" w:hAnsi="宋体"/>
          <w:szCs w:val="21"/>
        </w:rPr>
      </w:pPr>
      <w:r>
        <w:rPr>
          <w:rFonts w:hint="eastAsia" w:ascii="宋体" w:hAnsi="宋体"/>
          <w:szCs w:val="21"/>
        </w:rPr>
        <w:t>5.2.1.23.</w:t>
      </w:r>
      <w:r>
        <w:rPr>
          <w:rFonts w:ascii="宋体" w:hAnsi="宋体"/>
          <w:szCs w:val="21"/>
        </w:rPr>
        <w:t>7</w:t>
      </w:r>
      <w:r>
        <w:rPr>
          <w:rFonts w:hint="eastAsia" w:ascii="宋体" w:hAnsi="宋体"/>
          <w:szCs w:val="21"/>
        </w:rPr>
        <w:t xml:space="preserve"> 装置应带有远方通信接口与管理主站通信，装置与管理主站交互的信息并满足</w:t>
      </w:r>
      <w:r>
        <w:rPr>
          <w:rFonts w:hint="eastAsia" w:ascii="宋体" w:hAnsi="宋体" w:cs="宋体"/>
          <w:szCs w:val="21"/>
        </w:rPr>
        <w:t>深圳中调最新要求</w:t>
      </w:r>
      <w:r>
        <w:rPr>
          <w:rFonts w:hint="eastAsia" w:ascii="宋体" w:hAnsi="宋体"/>
          <w:szCs w:val="21"/>
        </w:rPr>
        <w:t>，实现远方查询装置状态、故障信息、装置信息和修改定值等。</w:t>
      </w:r>
    </w:p>
    <w:p>
      <w:pPr>
        <w:spacing w:line="360" w:lineRule="auto"/>
        <w:rPr>
          <w:rFonts w:hint="eastAsia" w:ascii="宋体" w:hAnsi="宋体"/>
          <w:szCs w:val="21"/>
        </w:rPr>
      </w:pPr>
      <w:r>
        <w:rPr>
          <w:rFonts w:hint="eastAsia" w:ascii="宋体" w:hAnsi="宋体"/>
          <w:szCs w:val="21"/>
        </w:rPr>
        <w:t>5.2.1.23.</w:t>
      </w:r>
      <w:r>
        <w:rPr>
          <w:rFonts w:ascii="宋体" w:hAnsi="宋体"/>
          <w:szCs w:val="21"/>
        </w:rPr>
        <w:t>8</w:t>
      </w:r>
      <w:r>
        <w:rPr>
          <w:rFonts w:hint="eastAsia" w:ascii="宋体" w:hAnsi="宋体"/>
          <w:szCs w:val="21"/>
        </w:rPr>
        <w:t xml:space="preserve">  装置应能直接联入站内监控计算机以太网，数据应带有时标。装置提供无源接点和通信接</w:t>
      </w:r>
      <w:r>
        <w:rPr>
          <w:rFonts w:ascii="宋体" w:hAnsi="宋体"/>
          <w:szCs w:val="21"/>
        </w:rPr>
        <w:t>口</w:t>
      </w:r>
      <w:r>
        <w:rPr>
          <w:rFonts w:hint="eastAsia" w:ascii="宋体" w:hAnsi="宋体"/>
          <w:szCs w:val="21"/>
        </w:rPr>
        <w:t>（不少于</w:t>
      </w:r>
      <w:r>
        <w:rPr>
          <w:rFonts w:hint="eastAsia" w:ascii="宋体" w:hAnsi="宋体"/>
          <w:szCs w:val="21"/>
          <w:lang w:val="en-US" w:eastAsia="zh-CN"/>
        </w:rPr>
        <w:t>4</w:t>
      </w:r>
      <w:r>
        <w:rPr>
          <w:rFonts w:hint="eastAsia" w:ascii="宋体" w:hAnsi="宋体"/>
          <w:szCs w:val="21"/>
        </w:rPr>
        <w:t>个以太网接口）进行信号传送</w:t>
      </w:r>
      <w:r>
        <w:rPr>
          <w:rFonts w:ascii="宋体" w:hAnsi="宋体"/>
          <w:szCs w:val="21"/>
        </w:rPr>
        <w:t>。</w:t>
      </w:r>
      <w:r>
        <w:rPr>
          <w:rFonts w:hint="eastAsia" w:ascii="宋体" w:hAnsi="宋体"/>
          <w:szCs w:val="21"/>
        </w:rPr>
        <w:t>通信规约采用DL/T60870-5-103（IEC60870-5-103）、符合</w:t>
      </w:r>
      <w:r>
        <w:rPr>
          <w:rFonts w:ascii="宋体" w:hAnsi="宋体"/>
          <w:szCs w:val="21"/>
        </w:rPr>
        <w:t>DL/</w:t>
      </w:r>
      <w:r>
        <w:rPr>
          <w:rFonts w:hint="eastAsia" w:ascii="宋体" w:hAnsi="宋体"/>
          <w:szCs w:val="21"/>
        </w:rPr>
        <w:t>T</w:t>
      </w:r>
      <w:r>
        <w:rPr>
          <w:rFonts w:ascii="宋体" w:hAnsi="宋体"/>
          <w:szCs w:val="21"/>
        </w:rPr>
        <w:t>860</w:t>
      </w:r>
      <w:r>
        <w:rPr>
          <w:rFonts w:hint="eastAsia" w:ascii="宋体" w:hAnsi="宋体"/>
          <w:szCs w:val="21"/>
        </w:rPr>
        <w:t>（</w:t>
      </w:r>
      <w:r>
        <w:rPr>
          <w:rFonts w:ascii="宋体" w:hAnsi="宋体"/>
          <w:szCs w:val="21"/>
        </w:rPr>
        <w:t>IEC61850)</w:t>
      </w:r>
      <w:r>
        <w:rPr>
          <w:rFonts w:hint="eastAsia" w:ascii="宋体" w:hAnsi="宋体"/>
          <w:szCs w:val="21"/>
        </w:rPr>
        <w:t>标准的规约。当采用</w:t>
      </w:r>
      <w:r>
        <w:rPr>
          <w:rFonts w:ascii="宋体" w:hAnsi="宋体"/>
          <w:szCs w:val="21"/>
        </w:rPr>
        <w:t>IEC</w:t>
      </w:r>
      <w:r>
        <w:rPr>
          <w:rFonts w:hint="eastAsia" w:ascii="宋体" w:hAnsi="宋体"/>
          <w:szCs w:val="21"/>
        </w:rPr>
        <w:t xml:space="preserve"> </w:t>
      </w:r>
      <w:r>
        <w:rPr>
          <w:rFonts w:ascii="宋体" w:hAnsi="宋体"/>
          <w:szCs w:val="21"/>
        </w:rPr>
        <w:t>61850</w:t>
      </w:r>
      <w:r>
        <w:rPr>
          <w:rFonts w:hint="eastAsia" w:ascii="宋体" w:hAnsi="宋体"/>
          <w:szCs w:val="21"/>
        </w:rPr>
        <w:t>时装置应按</w:t>
      </w:r>
      <w:r>
        <w:rPr>
          <w:rFonts w:ascii="宋体" w:hAnsi="宋体"/>
          <w:szCs w:val="21"/>
        </w:rPr>
        <w:t>IEC61850</w:t>
      </w:r>
      <w:r>
        <w:rPr>
          <w:rFonts w:hint="eastAsia" w:ascii="宋体" w:hAnsi="宋体"/>
          <w:szCs w:val="21"/>
        </w:rPr>
        <w:t>标准建模，并具有完善的自我描述功能，厂家应提供</w:t>
      </w:r>
      <w:r>
        <w:rPr>
          <w:rFonts w:ascii="宋体" w:hAnsi="宋体"/>
          <w:szCs w:val="21"/>
        </w:rPr>
        <w:t>ICD</w:t>
      </w:r>
      <w:r>
        <w:rPr>
          <w:rFonts w:hint="eastAsia" w:ascii="宋体" w:hAnsi="宋体"/>
          <w:szCs w:val="21"/>
        </w:rPr>
        <w:t>文件，完整的装置说明文档，包括模型一致性说明文档、协议一致性说明文档、协议补充信息说明文档等。</w:t>
      </w:r>
    </w:p>
    <w:p>
      <w:pPr>
        <w:spacing w:line="360" w:lineRule="auto"/>
        <w:rPr>
          <w:rFonts w:hint="eastAsia" w:ascii="宋体" w:hAnsi="宋体"/>
          <w:szCs w:val="21"/>
        </w:rPr>
      </w:pPr>
      <w:r>
        <w:rPr>
          <w:rFonts w:hint="eastAsia" w:ascii="宋体" w:hAnsi="宋体"/>
          <w:szCs w:val="21"/>
        </w:rPr>
        <w:t>5.2.1.2</w:t>
      </w:r>
      <w:r>
        <w:rPr>
          <w:rFonts w:ascii="宋体" w:hAnsi="宋体"/>
          <w:szCs w:val="21"/>
        </w:rPr>
        <w:t>4</w:t>
      </w:r>
      <w:r>
        <w:rPr>
          <w:rFonts w:hint="eastAsia" w:ascii="宋体" w:hAnsi="宋体"/>
          <w:szCs w:val="21"/>
        </w:rPr>
        <w:t xml:space="preserve">  装置在光纤通道自动切换期间不应出现异常或误动。</w:t>
      </w:r>
    </w:p>
    <w:p>
      <w:pPr>
        <w:spacing w:line="360" w:lineRule="auto"/>
        <w:rPr>
          <w:rFonts w:ascii="宋体" w:hAnsi="宋体"/>
          <w:szCs w:val="21"/>
        </w:rPr>
      </w:pPr>
      <w:r>
        <w:rPr>
          <w:rFonts w:hint="eastAsia" w:ascii="宋体" w:hAnsi="宋体"/>
          <w:szCs w:val="21"/>
        </w:rPr>
        <w:t>5.2.1.2</w:t>
      </w:r>
      <w:r>
        <w:rPr>
          <w:rFonts w:ascii="宋体" w:hAnsi="宋体"/>
          <w:szCs w:val="21"/>
        </w:rPr>
        <w:t>5</w:t>
      </w:r>
      <w:r>
        <w:rPr>
          <w:rFonts w:hint="eastAsia" w:ascii="宋体" w:hAnsi="宋体"/>
          <w:szCs w:val="21"/>
        </w:rPr>
        <w:t xml:space="preserve">  </w:t>
      </w:r>
      <w:r>
        <w:rPr>
          <w:rFonts w:ascii="宋体" w:hAnsi="宋体"/>
          <w:szCs w:val="21"/>
        </w:rPr>
        <w:t>装置应具有与</w:t>
      </w:r>
      <w:r>
        <w:rPr>
          <w:rFonts w:hint="eastAsia" w:ascii="宋体" w:hAnsi="宋体"/>
          <w:szCs w:val="21"/>
        </w:rPr>
        <w:t>站内独立组网的GPS同步对时系统的对时接口，应采用IRIG－B（DC）对时方式，误差应不大于1毫秒。如对时信号消失则采用装置自身时钟，24小时误差不大于±5秒。</w:t>
      </w:r>
      <w:r>
        <w:rPr>
          <w:rFonts w:ascii="宋体" w:hAnsi="宋体"/>
          <w:szCs w:val="21"/>
        </w:rPr>
        <w:t xml:space="preserve"> </w:t>
      </w:r>
    </w:p>
    <w:p>
      <w:pPr>
        <w:spacing w:line="360" w:lineRule="auto"/>
        <w:rPr>
          <w:rFonts w:ascii="宋体" w:hAnsi="宋体"/>
          <w:szCs w:val="21"/>
        </w:rPr>
      </w:pPr>
      <w:bookmarkStart w:id="67" w:name="_Toc224831226"/>
      <w:r>
        <w:rPr>
          <w:rFonts w:hint="eastAsia" w:ascii="宋体" w:hAnsi="宋体"/>
          <w:szCs w:val="21"/>
        </w:rPr>
        <w:t>5.2.2  装置的功能要求</w:t>
      </w:r>
      <w:bookmarkEnd w:id="67"/>
    </w:p>
    <w:p>
      <w:pPr>
        <w:spacing w:line="360" w:lineRule="auto"/>
        <w:rPr>
          <w:rFonts w:ascii="宋体" w:hAnsi="宋体"/>
          <w:szCs w:val="21"/>
        </w:rPr>
      </w:pPr>
      <w:r>
        <w:rPr>
          <w:rFonts w:hint="eastAsia" w:ascii="宋体" w:hAnsi="宋体"/>
          <w:szCs w:val="21"/>
        </w:rPr>
        <w:t>5.2.2.1  装置硬件应由主控单元、输入/输出单元、交流变换单元、管理单元、通信单元等组成。装置应具有智能化功能：应能根据各站稳控措施的执行情况和结果及时调整，以完善实施稳控措施，并尽量使用优化原则切除负荷（或机组）。</w:t>
      </w:r>
    </w:p>
    <w:p>
      <w:pPr>
        <w:spacing w:line="360" w:lineRule="auto"/>
        <w:rPr>
          <w:rFonts w:ascii="宋体" w:hAnsi="宋体"/>
          <w:szCs w:val="21"/>
        </w:rPr>
      </w:pPr>
      <w:r>
        <w:rPr>
          <w:rFonts w:hint="eastAsia" w:ascii="宋体" w:hAnsi="宋体"/>
          <w:szCs w:val="21"/>
        </w:rPr>
        <w:t>5.2.2.2  装置应满足标准化、规范化的要求，可以按功能策略模块实现对装置程序的版本号管理。装置逻辑功能应符合招标方提出的要求。</w:t>
      </w:r>
    </w:p>
    <w:p>
      <w:pPr>
        <w:spacing w:line="360" w:lineRule="auto"/>
        <w:rPr>
          <w:rFonts w:ascii="宋体" w:hAnsi="宋体"/>
          <w:szCs w:val="21"/>
        </w:rPr>
      </w:pPr>
      <w:r>
        <w:rPr>
          <w:rFonts w:hint="eastAsia" w:ascii="宋体" w:hAnsi="宋体"/>
          <w:szCs w:val="21"/>
        </w:rPr>
        <w:t>5.2.2.3  装置应能正确判别本站内接入装置的线路、变压器的运行和故障情况。</w:t>
      </w:r>
    </w:p>
    <w:p>
      <w:pPr>
        <w:spacing w:line="360" w:lineRule="auto"/>
        <w:rPr>
          <w:rFonts w:ascii="宋体" w:hAnsi="宋体"/>
          <w:szCs w:val="21"/>
        </w:rPr>
      </w:pPr>
      <w:r>
        <w:rPr>
          <w:rFonts w:hint="eastAsia" w:ascii="宋体" w:hAnsi="宋体"/>
          <w:szCs w:val="21"/>
        </w:rPr>
        <w:t>5.2.2.4  具有接收、转发、发送命令和信息功能。</w:t>
      </w:r>
    </w:p>
    <w:p>
      <w:pPr>
        <w:spacing w:line="360" w:lineRule="auto"/>
        <w:rPr>
          <w:rFonts w:ascii="宋体" w:hAnsi="宋体"/>
          <w:szCs w:val="21"/>
        </w:rPr>
      </w:pPr>
      <w:r>
        <w:rPr>
          <w:rFonts w:hint="eastAsia" w:ascii="宋体" w:hAnsi="宋体"/>
          <w:szCs w:val="21"/>
        </w:rPr>
        <w:t>5.2.2.5  装置故障或动作时应能自动将相关动作信息传送到管理主站，并发出报警信号。</w:t>
      </w:r>
    </w:p>
    <w:p>
      <w:pPr>
        <w:spacing w:line="360" w:lineRule="auto"/>
        <w:rPr>
          <w:rFonts w:ascii="宋体" w:hAnsi="宋体"/>
          <w:szCs w:val="21"/>
        </w:rPr>
      </w:pPr>
      <w:r>
        <w:rPr>
          <w:rFonts w:hint="eastAsia" w:ascii="宋体" w:hAnsi="宋体"/>
          <w:szCs w:val="21"/>
        </w:rPr>
        <w:t>5.2.2.6  动作报告应有启动时间及相关电气量、动作时间及相关电气量、事故原因、要切除的负荷量、可切负荷量、实际切除的负荷量等。</w:t>
      </w:r>
    </w:p>
    <w:p>
      <w:pPr>
        <w:spacing w:line="360" w:lineRule="auto"/>
        <w:rPr>
          <w:rFonts w:ascii="宋体" w:hAnsi="宋体"/>
          <w:szCs w:val="21"/>
        </w:rPr>
      </w:pPr>
      <w:r>
        <w:rPr>
          <w:rFonts w:hint="eastAsia" w:ascii="宋体" w:hAnsi="宋体"/>
          <w:szCs w:val="21"/>
        </w:rPr>
        <w:t xml:space="preserve">5.2.2.7 </w:t>
      </w:r>
      <w:r>
        <w:rPr>
          <w:rFonts w:ascii="宋体" w:hAnsi="宋体"/>
          <w:szCs w:val="21"/>
        </w:rPr>
        <w:t xml:space="preserve"> </w:t>
      </w:r>
      <w:r>
        <w:rPr>
          <w:rFonts w:hint="eastAsia" w:ascii="宋体" w:hAnsi="宋体"/>
          <w:szCs w:val="21"/>
        </w:rPr>
        <w:t>装置应具备检测相关联络线和主变过流、三跳联切负荷的功能。</w:t>
      </w:r>
    </w:p>
    <w:p>
      <w:pPr>
        <w:spacing w:line="360" w:lineRule="auto"/>
        <w:rPr>
          <w:rFonts w:ascii="宋体" w:hAnsi="宋体"/>
          <w:szCs w:val="21"/>
        </w:rPr>
      </w:pPr>
      <w:r>
        <w:rPr>
          <w:rFonts w:hint="eastAsia" w:ascii="宋体" w:hAnsi="宋体" w:cs="宋体"/>
          <w:szCs w:val="21"/>
        </w:rPr>
        <w:t>5.2.2.</w:t>
      </w:r>
      <w:r>
        <w:rPr>
          <w:rFonts w:ascii="宋体" w:hAnsi="宋体" w:cs="宋体"/>
          <w:szCs w:val="21"/>
        </w:rPr>
        <w:t>8</w:t>
      </w:r>
      <w:r>
        <w:rPr>
          <w:rFonts w:hint="eastAsia" w:ascii="宋体" w:hAnsi="宋体" w:cs="宋体"/>
          <w:szCs w:val="21"/>
        </w:rPr>
        <w:t xml:space="preserve">  装置应能</w:t>
      </w:r>
      <w:r>
        <w:rPr>
          <w:rFonts w:hint="eastAsia" w:ascii="宋体" w:hAnsi="宋体"/>
          <w:szCs w:val="21"/>
        </w:rPr>
        <w:t>根据检测情况形成负荷控制序位表。</w:t>
      </w:r>
    </w:p>
    <w:p>
      <w:pPr>
        <w:spacing w:line="360" w:lineRule="auto"/>
        <w:rPr>
          <w:rFonts w:ascii="宋体" w:hAnsi="宋体"/>
          <w:szCs w:val="21"/>
        </w:rPr>
      </w:pPr>
      <w:r>
        <w:rPr>
          <w:rFonts w:hint="eastAsia" w:ascii="宋体" w:hAnsi="宋体"/>
          <w:szCs w:val="21"/>
        </w:rPr>
        <w:t>5.2.2.</w:t>
      </w:r>
      <w:r>
        <w:rPr>
          <w:rFonts w:ascii="宋体" w:hAnsi="宋体"/>
          <w:szCs w:val="21"/>
        </w:rPr>
        <w:t>9</w:t>
      </w:r>
      <w:r>
        <w:rPr>
          <w:rFonts w:hint="eastAsia" w:ascii="宋体" w:hAnsi="宋体"/>
          <w:szCs w:val="21"/>
        </w:rPr>
        <w:t xml:space="preserve">  复用2M通信接口装置的功能要求：</w:t>
      </w:r>
    </w:p>
    <w:p>
      <w:pPr>
        <w:spacing w:line="360" w:lineRule="auto"/>
        <w:rPr>
          <w:rFonts w:ascii="宋体" w:hAnsi="宋体"/>
          <w:szCs w:val="21"/>
        </w:rPr>
      </w:pPr>
      <w:r>
        <w:rPr>
          <w:rFonts w:hint="eastAsia" w:ascii="宋体" w:hAnsi="宋体"/>
          <w:szCs w:val="21"/>
        </w:rPr>
        <w:t>5.2.2.</w:t>
      </w:r>
      <w:r>
        <w:rPr>
          <w:rFonts w:ascii="宋体" w:hAnsi="宋体"/>
          <w:szCs w:val="21"/>
        </w:rPr>
        <w:t>9</w:t>
      </w:r>
      <w:r>
        <w:rPr>
          <w:rFonts w:hint="eastAsia" w:ascii="宋体" w:hAnsi="宋体"/>
          <w:szCs w:val="21"/>
        </w:rPr>
        <w:t>.1  复用2M通信通信口时需配置接口装置，该装置通过光纤与放在保护室的控制装置连接，通过同轴电缆与通信设备的2048kbit/s终端口连接。</w:t>
      </w:r>
    </w:p>
    <w:p>
      <w:pPr>
        <w:spacing w:line="360" w:lineRule="auto"/>
        <w:rPr>
          <w:rFonts w:ascii="宋体" w:hAnsi="宋体"/>
          <w:szCs w:val="21"/>
        </w:rPr>
      </w:pPr>
      <w:r>
        <w:rPr>
          <w:rFonts w:hint="eastAsia" w:ascii="宋体" w:hAnsi="宋体"/>
          <w:szCs w:val="21"/>
        </w:rPr>
        <w:t>5.2.2.</w:t>
      </w:r>
      <w:r>
        <w:rPr>
          <w:rFonts w:ascii="宋体" w:hAnsi="宋体"/>
          <w:szCs w:val="21"/>
        </w:rPr>
        <w:t>9</w:t>
      </w:r>
      <w:r>
        <w:rPr>
          <w:rFonts w:hint="eastAsia" w:ascii="宋体" w:hAnsi="宋体"/>
          <w:szCs w:val="21"/>
        </w:rPr>
        <w:t>.2  复用2M通信接口装置应满足我国部颁标准</w:t>
      </w:r>
      <w:r>
        <w:rPr>
          <w:rFonts w:ascii="宋体" w:hAnsi="宋体"/>
          <w:szCs w:val="21"/>
        </w:rPr>
        <w:t>2M</w:t>
      </w:r>
      <w:r>
        <w:rPr>
          <w:rFonts w:hint="eastAsia" w:ascii="宋体" w:hAnsi="宋体"/>
          <w:szCs w:val="21"/>
        </w:rPr>
        <w:t>/s数字接口的技术要求。</w:t>
      </w:r>
    </w:p>
    <w:p>
      <w:pPr>
        <w:spacing w:line="360" w:lineRule="auto"/>
        <w:rPr>
          <w:rFonts w:ascii="宋体" w:hAnsi="宋体"/>
          <w:szCs w:val="21"/>
        </w:rPr>
      </w:pPr>
      <w:r>
        <w:rPr>
          <w:rFonts w:hint="eastAsia" w:ascii="宋体" w:hAnsi="宋体"/>
          <w:szCs w:val="21"/>
        </w:rPr>
        <w:t>5.2.2.</w:t>
      </w:r>
      <w:r>
        <w:rPr>
          <w:rFonts w:ascii="宋体" w:hAnsi="宋体"/>
          <w:szCs w:val="21"/>
        </w:rPr>
        <w:t>9</w:t>
      </w:r>
      <w:r>
        <w:rPr>
          <w:rFonts w:hint="eastAsia" w:ascii="宋体" w:hAnsi="宋体"/>
          <w:szCs w:val="21"/>
        </w:rPr>
        <w:t>.3  复用2M通信接口装置与光端机的数字电气接口应符合下列要求：</w:t>
      </w:r>
    </w:p>
    <w:p>
      <w:pPr>
        <w:spacing w:line="360" w:lineRule="auto"/>
        <w:rPr>
          <w:rFonts w:ascii="宋体" w:hAnsi="宋体"/>
          <w:szCs w:val="21"/>
        </w:rPr>
      </w:pPr>
      <w:r>
        <w:rPr>
          <w:rFonts w:hint="eastAsia" w:ascii="宋体" w:hAnsi="宋体" w:cs="宋体"/>
          <w:szCs w:val="21"/>
        </w:rPr>
        <w:t></w:t>
      </w:r>
      <w:r>
        <w:rPr>
          <w:rFonts w:hint="eastAsia" w:ascii="宋体" w:hAnsi="宋体"/>
          <w:szCs w:val="21"/>
        </w:rPr>
        <w:t xml:space="preserve">       2048</w:t>
      </w:r>
      <w:r>
        <w:rPr>
          <w:rFonts w:ascii="宋体" w:hAnsi="宋体"/>
          <w:szCs w:val="21"/>
        </w:rPr>
        <w:t xml:space="preserve">kb/s    </w:t>
      </w:r>
      <w:r>
        <w:rPr>
          <w:rFonts w:hint="eastAsia" w:ascii="宋体" w:hAnsi="宋体"/>
          <w:szCs w:val="21"/>
        </w:rPr>
        <w:t>ITU.-</w:t>
      </w:r>
      <w:r>
        <w:rPr>
          <w:rFonts w:ascii="宋体" w:hAnsi="宋体"/>
          <w:szCs w:val="21"/>
        </w:rPr>
        <w:t>G703</w:t>
      </w:r>
    </w:p>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 负载阻抗：75欧姆</w:t>
      </w:r>
    </w:p>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 电平：应符合ITU.-</w:t>
      </w:r>
      <w:r>
        <w:rPr>
          <w:rFonts w:ascii="宋体" w:hAnsi="宋体"/>
          <w:szCs w:val="21"/>
        </w:rPr>
        <w:t>G703</w:t>
      </w:r>
      <w:r>
        <w:rPr>
          <w:rFonts w:hint="eastAsia" w:ascii="宋体" w:hAnsi="宋体"/>
          <w:szCs w:val="21"/>
        </w:rPr>
        <w:t>规定</w:t>
      </w:r>
    </w:p>
    <w:p>
      <w:pPr>
        <w:spacing w:line="360" w:lineRule="auto"/>
        <w:rPr>
          <w:rFonts w:ascii="宋体" w:hAnsi="宋体"/>
          <w:szCs w:val="21"/>
        </w:rPr>
      </w:pPr>
      <w:r>
        <w:rPr>
          <w:rFonts w:hint="eastAsia" w:ascii="宋体" w:hAnsi="宋体"/>
          <w:szCs w:val="21"/>
        </w:rPr>
        <w:t>5.2.2.</w:t>
      </w:r>
      <w:r>
        <w:rPr>
          <w:rFonts w:ascii="宋体" w:hAnsi="宋体"/>
          <w:szCs w:val="21"/>
        </w:rPr>
        <w:t>9</w:t>
      </w:r>
      <w:r>
        <w:rPr>
          <w:rFonts w:hint="eastAsia" w:ascii="宋体" w:hAnsi="宋体"/>
          <w:szCs w:val="21"/>
        </w:rPr>
        <w:t>.4  复用2M通信接口装置采用48V直流电源。</w:t>
      </w:r>
    </w:p>
    <w:p>
      <w:pPr>
        <w:spacing w:line="360" w:lineRule="auto"/>
        <w:rPr>
          <w:rFonts w:ascii="宋体" w:hAnsi="宋体"/>
          <w:szCs w:val="21"/>
        </w:rPr>
      </w:pPr>
      <w:r>
        <w:rPr>
          <w:rFonts w:hint="eastAsia" w:ascii="宋体" w:hAnsi="宋体"/>
          <w:szCs w:val="21"/>
        </w:rPr>
        <w:t>5.2.2.</w:t>
      </w:r>
      <w:r>
        <w:rPr>
          <w:rFonts w:ascii="宋体" w:hAnsi="宋体"/>
          <w:szCs w:val="21"/>
        </w:rPr>
        <w:t>10</w:t>
      </w:r>
      <w:r>
        <w:rPr>
          <w:rFonts w:hint="eastAsia" w:ascii="宋体" w:hAnsi="宋体"/>
          <w:szCs w:val="21"/>
        </w:rPr>
        <w:t xml:space="preserve">  1</w:t>
      </w:r>
      <w:r>
        <w:rPr>
          <w:rFonts w:ascii="宋体" w:hAnsi="宋体"/>
          <w:szCs w:val="21"/>
        </w:rPr>
        <w:t>55</w:t>
      </w:r>
      <w:r>
        <w:rPr>
          <w:rFonts w:hint="eastAsia" w:ascii="宋体" w:hAnsi="宋体"/>
          <w:szCs w:val="21"/>
        </w:rPr>
        <w:t>M通信接口装置的功能要求：</w:t>
      </w:r>
    </w:p>
    <w:p>
      <w:pPr>
        <w:spacing w:line="360" w:lineRule="auto"/>
        <w:rPr>
          <w:rFonts w:ascii="宋体" w:hAnsi="宋体"/>
          <w:szCs w:val="21"/>
        </w:rPr>
      </w:pPr>
      <w:r>
        <w:rPr>
          <w:rFonts w:hint="eastAsia" w:ascii="宋体" w:hAnsi="宋体"/>
          <w:szCs w:val="21"/>
        </w:rPr>
        <w:t>5.2.2.</w:t>
      </w:r>
      <w:r>
        <w:rPr>
          <w:rFonts w:ascii="宋体" w:hAnsi="宋体"/>
          <w:szCs w:val="21"/>
        </w:rPr>
        <w:t>10</w:t>
      </w:r>
      <w:r>
        <w:rPr>
          <w:rFonts w:hint="eastAsia" w:ascii="宋体" w:hAnsi="宋体"/>
          <w:szCs w:val="21"/>
        </w:rPr>
        <w:t>.1  1</w:t>
      </w:r>
      <w:r>
        <w:rPr>
          <w:rFonts w:ascii="宋体" w:hAnsi="宋体"/>
          <w:szCs w:val="21"/>
        </w:rPr>
        <w:t>55</w:t>
      </w:r>
      <w:r>
        <w:rPr>
          <w:rFonts w:hint="eastAsia" w:ascii="宋体" w:hAnsi="宋体"/>
          <w:szCs w:val="21"/>
        </w:rPr>
        <w:t>M通信接口装置应具备至少1个STM-1光纤接口，应支持HDLC协议及SDH标准。</w:t>
      </w:r>
    </w:p>
    <w:p>
      <w:pPr>
        <w:spacing w:line="360" w:lineRule="auto"/>
        <w:rPr>
          <w:rFonts w:ascii="宋体" w:hAnsi="宋体"/>
          <w:szCs w:val="21"/>
        </w:rPr>
      </w:pPr>
      <w:r>
        <w:rPr>
          <w:rFonts w:hint="eastAsia" w:ascii="宋体" w:hAnsi="宋体"/>
          <w:szCs w:val="21"/>
        </w:rPr>
        <w:t>5.2.2.</w:t>
      </w:r>
      <w:r>
        <w:rPr>
          <w:rFonts w:ascii="宋体" w:hAnsi="宋体"/>
          <w:szCs w:val="21"/>
        </w:rPr>
        <w:t>10</w:t>
      </w:r>
      <w:r>
        <w:rPr>
          <w:rFonts w:hint="eastAsia" w:ascii="宋体" w:hAnsi="宋体"/>
          <w:szCs w:val="21"/>
        </w:rPr>
        <w:t>.2  1</w:t>
      </w:r>
      <w:r>
        <w:rPr>
          <w:rFonts w:ascii="宋体" w:hAnsi="宋体"/>
          <w:szCs w:val="21"/>
        </w:rPr>
        <w:t>55</w:t>
      </w:r>
      <w:r>
        <w:rPr>
          <w:rFonts w:hint="eastAsia" w:ascii="宋体" w:hAnsi="宋体"/>
          <w:szCs w:val="21"/>
        </w:rPr>
        <w:t>M通信接口装置应通过光纤接口与控制子站装置通信。</w:t>
      </w:r>
    </w:p>
    <w:p>
      <w:pPr>
        <w:spacing w:line="360" w:lineRule="auto"/>
        <w:rPr>
          <w:rFonts w:ascii="宋体" w:hAnsi="宋体"/>
          <w:szCs w:val="21"/>
        </w:rPr>
      </w:pPr>
      <w:r>
        <w:rPr>
          <w:rFonts w:hint="eastAsia" w:ascii="宋体" w:hAnsi="宋体"/>
          <w:szCs w:val="21"/>
        </w:rPr>
        <w:t>5.2.2.</w:t>
      </w:r>
      <w:r>
        <w:rPr>
          <w:rFonts w:ascii="宋体" w:hAnsi="宋体"/>
          <w:szCs w:val="21"/>
        </w:rPr>
        <w:t>10</w:t>
      </w:r>
      <w:r>
        <w:rPr>
          <w:rFonts w:hint="eastAsia" w:ascii="宋体" w:hAnsi="宋体"/>
          <w:szCs w:val="21"/>
        </w:rPr>
        <w:t>.</w:t>
      </w:r>
      <w:r>
        <w:rPr>
          <w:rFonts w:ascii="宋体" w:hAnsi="宋体"/>
          <w:szCs w:val="21"/>
        </w:rPr>
        <w:t>3</w:t>
      </w:r>
      <w:r>
        <w:rPr>
          <w:rFonts w:hint="eastAsia" w:ascii="宋体" w:hAnsi="宋体"/>
          <w:szCs w:val="21"/>
        </w:rPr>
        <w:t xml:space="preserve">  1</w:t>
      </w:r>
      <w:r>
        <w:rPr>
          <w:rFonts w:ascii="宋体" w:hAnsi="宋体"/>
          <w:szCs w:val="21"/>
        </w:rPr>
        <w:t>55</w:t>
      </w:r>
      <w:r>
        <w:rPr>
          <w:rFonts w:hint="eastAsia" w:ascii="宋体" w:hAnsi="宋体"/>
          <w:szCs w:val="21"/>
        </w:rPr>
        <w:t>M通信接口装置应能对SDH的VC12接口数据进行实时编码及解码。</w:t>
      </w:r>
    </w:p>
    <w:p>
      <w:pPr>
        <w:spacing w:line="360" w:lineRule="auto"/>
        <w:rPr>
          <w:rFonts w:ascii="宋体" w:hAnsi="宋体"/>
          <w:szCs w:val="21"/>
        </w:rPr>
      </w:pPr>
      <w:r>
        <w:rPr>
          <w:rFonts w:hint="eastAsia" w:ascii="宋体" w:hAnsi="宋体"/>
          <w:szCs w:val="21"/>
        </w:rPr>
        <w:t>5.2.2.</w:t>
      </w:r>
      <w:r>
        <w:rPr>
          <w:rFonts w:ascii="宋体" w:hAnsi="宋体"/>
          <w:szCs w:val="21"/>
        </w:rPr>
        <w:t>10</w:t>
      </w:r>
      <w:r>
        <w:rPr>
          <w:rFonts w:hint="eastAsia" w:ascii="宋体" w:hAnsi="宋体"/>
          <w:szCs w:val="21"/>
        </w:rPr>
        <w:t>.</w:t>
      </w:r>
      <w:r>
        <w:rPr>
          <w:rFonts w:ascii="宋体" w:hAnsi="宋体"/>
          <w:szCs w:val="21"/>
        </w:rPr>
        <w:t>4</w:t>
      </w:r>
      <w:r>
        <w:rPr>
          <w:rFonts w:hint="eastAsia" w:ascii="宋体" w:hAnsi="宋体"/>
          <w:szCs w:val="21"/>
        </w:rPr>
        <w:t xml:space="preserve">  1</w:t>
      </w:r>
      <w:r>
        <w:rPr>
          <w:rFonts w:ascii="宋体" w:hAnsi="宋体"/>
          <w:szCs w:val="21"/>
        </w:rPr>
        <w:t>55</w:t>
      </w:r>
      <w:r>
        <w:rPr>
          <w:rFonts w:hint="eastAsia" w:ascii="宋体" w:hAnsi="宋体"/>
          <w:szCs w:val="21"/>
        </w:rPr>
        <w:t>M通信接口装置应具备独立的管理接口。</w:t>
      </w:r>
    </w:p>
    <w:p>
      <w:pPr>
        <w:spacing w:line="360" w:lineRule="auto"/>
        <w:rPr>
          <w:rFonts w:ascii="宋体" w:hAnsi="宋体"/>
          <w:szCs w:val="21"/>
        </w:rPr>
      </w:pPr>
      <w:r>
        <w:rPr>
          <w:rFonts w:hint="eastAsia" w:ascii="宋体" w:hAnsi="宋体"/>
          <w:szCs w:val="21"/>
        </w:rPr>
        <w:t>5.2.2.</w:t>
      </w:r>
      <w:r>
        <w:rPr>
          <w:rFonts w:ascii="宋体" w:hAnsi="宋体"/>
          <w:szCs w:val="21"/>
        </w:rPr>
        <w:t>11</w:t>
      </w:r>
      <w:r>
        <w:rPr>
          <w:rFonts w:hint="eastAsia" w:ascii="宋体" w:hAnsi="宋体"/>
          <w:szCs w:val="21"/>
        </w:rPr>
        <w:t xml:space="preserve">  </w:t>
      </w:r>
      <w:r>
        <w:rPr>
          <w:rFonts w:hint="eastAsia" w:ascii="宋体" w:hAnsi="宋体"/>
          <w:szCs w:val="21"/>
          <w:lang w:val="en-US" w:eastAsia="zh-CN"/>
        </w:rPr>
        <w:t>装置应具备与控制终端进行无线通信功能</w:t>
      </w:r>
      <w:r>
        <w:rPr>
          <w:rFonts w:ascii="宋体" w:hAnsi="宋体"/>
          <w:szCs w:val="21"/>
        </w:rPr>
        <w:t>。</w:t>
      </w:r>
    </w:p>
    <w:p>
      <w:pPr>
        <w:spacing w:line="360" w:lineRule="auto"/>
        <w:rPr>
          <w:rFonts w:hint="eastAsia" w:ascii="宋体" w:hAnsi="宋体"/>
          <w:szCs w:val="21"/>
          <w:highlight w:val="none"/>
        </w:rPr>
      </w:pPr>
      <w:r>
        <w:rPr>
          <w:rFonts w:hint="eastAsia" w:ascii="宋体" w:hAnsi="宋体"/>
          <w:szCs w:val="21"/>
          <w:highlight w:val="none"/>
        </w:rPr>
        <w:t>5.2.2.</w:t>
      </w:r>
      <w:r>
        <w:rPr>
          <w:rFonts w:ascii="宋体" w:hAnsi="宋体"/>
          <w:szCs w:val="21"/>
          <w:highlight w:val="none"/>
        </w:rPr>
        <w:t>1</w:t>
      </w:r>
      <w:r>
        <w:rPr>
          <w:rFonts w:hint="eastAsia" w:ascii="宋体" w:hAnsi="宋体"/>
          <w:szCs w:val="21"/>
          <w:highlight w:val="none"/>
          <w:lang w:val="en-US" w:eastAsia="zh-CN"/>
        </w:rPr>
        <w:t>2</w:t>
      </w:r>
      <w:r>
        <w:rPr>
          <w:rFonts w:hint="eastAsia" w:ascii="宋体" w:hAnsi="宋体"/>
          <w:szCs w:val="21"/>
          <w:highlight w:val="none"/>
        </w:rPr>
        <w:t xml:space="preserve"> 装置应具备在线功能，具有独立的在线功能区，可接收</w:t>
      </w:r>
      <w:r>
        <w:rPr>
          <w:rFonts w:hint="eastAsia" w:ascii="宋体" w:hAnsi="宋体"/>
          <w:szCs w:val="21"/>
          <w:highlight w:val="none"/>
          <w:lang w:val="en-US" w:eastAsia="zh-CN"/>
        </w:rPr>
        <w:t>管理主站</w:t>
      </w:r>
      <w:r>
        <w:rPr>
          <w:rFonts w:hint="eastAsia" w:ascii="宋体" w:hAnsi="宋体"/>
          <w:szCs w:val="21"/>
          <w:highlight w:val="none"/>
        </w:rPr>
        <w:t>在线下发策略，基于</w:t>
      </w:r>
      <w:r>
        <w:rPr>
          <w:rFonts w:hint="eastAsia" w:ascii="宋体" w:hAnsi="宋体"/>
          <w:szCs w:val="21"/>
          <w:highlight w:val="none"/>
          <w:lang w:val="en-US" w:eastAsia="zh-CN"/>
        </w:rPr>
        <w:t>管理主站下发的策略</w:t>
      </w:r>
      <w:r>
        <w:rPr>
          <w:rFonts w:hint="eastAsia" w:ascii="宋体" w:hAnsi="宋体"/>
          <w:szCs w:val="21"/>
          <w:highlight w:val="none"/>
        </w:rPr>
        <w:t>，利用电子化策略表</w:t>
      </w:r>
      <w:r>
        <w:rPr>
          <w:rFonts w:hint="eastAsia" w:ascii="宋体" w:hAnsi="宋体"/>
          <w:szCs w:val="21"/>
          <w:highlight w:val="none"/>
          <w:lang w:val="en-US" w:eastAsia="zh-CN"/>
        </w:rPr>
        <w:t>规则自动</w:t>
      </w:r>
      <w:r>
        <w:rPr>
          <w:rFonts w:hint="eastAsia" w:ascii="宋体" w:hAnsi="宋体"/>
          <w:szCs w:val="21"/>
          <w:highlight w:val="none"/>
        </w:rPr>
        <w:t>转化生成装置</w:t>
      </w:r>
      <w:r>
        <w:rPr>
          <w:rFonts w:hint="eastAsia" w:ascii="宋体" w:hAnsi="宋体"/>
          <w:szCs w:val="21"/>
          <w:highlight w:val="none"/>
          <w:lang w:val="en-US" w:eastAsia="zh-CN"/>
        </w:rPr>
        <w:t>软件，实现在线策略的及时、有序更新，</w:t>
      </w:r>
      <w:r>
        <w:rPr>
          <w:rFonts w:hint="eastAsia" w:ascii="宋体" w:hAnsi="宋体"/>
          <w:szCs w:val="21"/>
          <w:highlight w:val="none"/>
        </w:rPr>
        <w:t>并根据运行方式等匹配条件确定执行在线还是离线策略。</w:t>
      </w:r>
    </w:p>
    <w:p>
      <w:pPr>
        <w:spacing w:line="360" w:lineRule="auto"/>
        <w:rPr>
          <w:rFonts w:ascii="宋体" w:hAnsi="宋体"/>
          <w:szCs w:val="21"/>
        </w:rPr>
      </w:pPr>
      <w:bookmarkStart w:id="68" w:name="_Toc224831227"/>
      <w:r>
        <w:rPr>
          <w:rFonts w:hint="eastAsia" w:ascii="宋体" w:hAnsi="宋体"/>
          <w:szCs w:val="21"/>
        </w:rPr>
        <w:t>5.2.3  制造工艺的一般要求</w:t>
      </w:r>
      <w:bookmarkEnd w:id="68"/>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  对结构的要求：</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1.1  所有的设备应该是新造的、能够经久耐用。</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1.2  所有的设备在结构上应该便于拆装、检查和安装。</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1.3  制造设备用的材料应是对其性能经过严格检查后所挑选出的材料。</w:t>
      </w:r>
      <w:r>
        <w:rPr>
          <w:rFonts w:ascii="宋体" w:hAnsi="宋体"/>
          <w:szCs w:val="21"/>
        </w:rPr>
        <w:t xml:space="preserve">   </w:t>
      </w:r>
    </w:p>
    <w:p>
      <w:pPr>
        <w:spacing w:line="360" w:lineRule="auto"/>
        <w:rPr>
          <w:rFonts w:ascii="宋体" w:hAnsi="宋体"/>
          <w:szCs w:val="21"/>
        </w:rPr>
      </w:pPr>
      <w:r>
        <w:rPr>
          <w:rFonts w:hint="eastAsia" w:ascii="宋体" w:hAnsi="宋体"/>
          <w:szCs w:val="21"/>
        </w:rPr>
        <w:t>5.2.3</w:t>
      </w:r>
      <w:r>
        <w:rPr>
          <w:rFonts w:ascii="宋体" w:hAnsi="宋体"/>
          <w:szCs w:val="21"/>
        </w:rPr>
        <w:t>.2</w:t>
      </w:r>
      <w:r>
        <w:rPr>
          <w:rFonts w:hint="eastAsia" w:ascii="宋体" w:hAnsi="宋体"/>
          <w:szCs w:val="21"/>
        </w:rPr>
        <w:t xml:space="preserve">  涂漆和防锈：</w:t>
      </w:r>
    </w:p>
    <w:p>
      <w:pPr>
        <w:spacing w:line="360" w:lineRule="auto"/>
        <w:rPr>
          <w:rFonts w:ascii="宋体" w:hAnsi="宋体"/>
          <w:szCs w:val="21"/>
        </w:rPr>
      </w:pPr>
      <w:r>
        <w:rPr>
          <w:rFonts w:hint="eastAsia" w:ascii="宋体" w:hAnsi="宋体"/>
          <w:szCs w:val="21"/>
        </w:rPr>
        <w:t>5.2.3</w:t>
      </w:r>
      <w:r>
        <w:rPr>
          <w:rFonts w:ascii="宋体" w:hAnsi="宋体"/>
          <w:szCs w:val="21"/>
        </w:rPr>
        <w:t>.2</w:t>
      </w:r>
      <w:r>
        <w:rPr>
          <w:rFonts w:hint="eastAsia" w:ascii="宋体" w:hAnsi="宋体"/>
          <w:szCs w:val="21"/>
        </w:rPr>
        <w:t>.1 除了有色金属零件、镀锌钢件和机械精加工面以外, 其他所有的外露金属零部件应该先经过除锈处理后立即涂一层底漆。在金属零件的表面涂一道底漆以形成厚度为0.04毫米到0.1毫米的干膜。在这之后接着涂两道外用调合罩面漆, 使干膜的厚度达到0.127毫米到0.178毫米。底漆和罩面漆应该是同一厂家生产的。</w:t>
      </w:r>
    </w:p>
    <w:p>
      <w:pPr>
        <w:spacing w:line="360" w:lineRule="auto"/>
        <w:rPr>
          <w:rFonts w:ascii="宋体" w:hAnsi="宋体"/>
          <w:szCs w:val="21"/>
        </w:rPr>
      </w:pPr>
      <w:r>
        <w:rPr>
          <w:rFonts w:hint="eastAsia" w:ascii="宋体" w:hAnsi="宋体"/>
          <w:szCs w:val="21"/>
        </w:rPr>
        <w:t xml:space="preserve"> 5.2.3</w:t>
      </w:r>
      <w:r>
        <w:rPr>
          <w:rFonts w:ascii="宋体" w:hAnsi="宋体"/>
          <w:szCs w:val="21"/>
        </w:rPr>
        <w:t>.2</w:t>
      </w:r>
      <w:r>
        <w:rPr>
          <w:rFonts w:hint="eastAsia" w:ascii="宋体" w:hAnsi="宋体"/>
          <w:szCs w:val="21"/>
        </w:rPr>
        <w:t>.2所有的涂漆应能经受得住机械振动以及热和油的作用而不致会出现划痕或者变软。</w:t>
      </w:r>
    </w:p>
    <w:p>
      <w:pPr>
        <w:spacing w:line="360" w:lineRule="auto"/>
        <w:rPr>
          <w:rFonts w:ascii="宋体" w:hAnsi="宋体"/>
          <w:szCs w:val="21"/>
        </w:rPr>
      </w:pPr>
      <w:r>
        <w:rPr>
          <w:rFonts w:hint="eastAsia" w:ascii="宋体" w:hAnsi="宋体"/>
          <w:szCs w:val="21"/>
        </w:rPr>
        <w:t xml:space="preserve"> 5.2.3</w:t>
      </w:r>
      <w:r>
        <w:rPr>
          <w:rFonts w:ascii="宋体" w:hAnsi="宋体"/>
          <w:szCs w:val="21"/>
        </w:rPr>
        <w:t>.2</w:t>
      </w:r>
      <w:r>
        <w:rPr>
          <w:rFonts w:hint="eastAsia" w:ascii="宋体" w:hAnsi="宋体"/>
          <w:szCs w:val="21"/>
        </w:rPr>
        <w:t>.3  屏上的涂漆应该使用合成树脂化合物喷涂成具有亚光的表面层。</w:t>
      </w:r>
    </w:p>
    <w:p>
      <w:pPr>
        <w:spacing w:line="360" w:lineRule="auto"/>
        <w:rPr>
          <w:rFonts w:ascii="宋体" w:hAnsi="宋体"/>
          <w:szCs w:val="21"/>
        </w:rPr>
      </w:pPr>
      <w:r>
        <w:rPr>
          <w:rFonts w:hint="eastAsia" w:ascii="宋体" w:hAnsi="宋体"/>
          <w:szCs w:val="21"/>
        </w:rPr>
        <w:t xml:space="preserve"> 5.2.3</w:t>
      </w:r>
      <w:r>
        <w:rPr>
          <w:rFonts w:ascii="宋体" w:hAnsi="宋体"/>
          <w:szCs w:val="21"/>
        </w:rPr>
        <w:t>.2</w:t>
      </w:r>
      <w:r>
        <w:rPr>
          <w:rFonts w:hint="eastAsia" w:ascii="宋体" w:hAnsi="宋体"/>
          <w:szCs w:val="21"/>
        </w:rPr>
        <w:t>.4  屏上的涂漆应有良好附着力，不低于 GB/T 1720规定的2级。</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  控制子站屏：</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3.1  控制子站屏采用柜式、前后开门结构，正面应带玻璃的防护门，门轴在屏正面左侧，背面设钢板防护门</w:t>
      </w:r>
      <w:r>
        <w:rPr>
          <w:rFonts w:ascii="宋体" w:hAnsi="宋体"/>
          <w:szCs w:val="21"/>
        </w:rPr>
        <w:t>。</w:t>
      </w:r>
      <w:r>
        <w:rPr>
          <w:rFonts w:hint="eastAsia" w:ascii="宋体" w:hAnsi="宋体"/>
          <w:szCs w:val="21"/>
        </w:rPr>
        <w:t>此外还应包括安装所必须的槽钢底座、支架、顶板和侧板。门与屏体之间应采用截面不小于4mm</w:t>
      </w:r>
      <w:r>
        <w:rPr>
          <w:rFonts w:hint="eastAsia" w:ascii="宋体" w:hAnsi="宋体"/>
          <w:szCs w:val="21"/>
          <w:vertAlign w:val="superscript"/>
        </w:rPr>
        <w:t>2</w:t>
      </w:r>
      <w:r>
        <w:rPr>
          <w:rFonts w:hint="eastAsia" w:ascii="宋体" w:hAnsi="宋体"/>
          <w:szCs w:val="21"/>
        </w:rPr>
        <w:t>的多股软铜线可靠连接。</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3.2  控制子站屏采用前后开门结构时，后门双开，屏门应开闭灵活，开启角不小于90</w:t>
      </w:r>
      <w:r>
        <w:rPr>
          <w:rFonts w:ascii="宋体" w:hAnsi="宋体"/>
          <w:szCs w:val="21"/>
        </w:rPr>
        <w:t>°</w:t>
      </w:r>
      <w:r>
        <w:rPr>
          <w:rFonts w:hint="eastAsia" w:ascii="宋体" w:hAnsi="宋体"/>
          <w:szCs w:val="21"/>
        </w:rPr>
        <w:t>，前门旋转轴位于左侧，门锁可靠。控制子站屏采用前开门旋转式结构时，装置装于旋转面板上，旋转面板的旋转角度不小于</w:t>
      </w:r>
      <w:r>
        <w:rPr>
          <w:rFonts w:ascii="宋体" w:hAnsi="宋体"/>
          <w:szCs w:val="21"/>
        </w:rPr>
        <w:t>135°</w:t>
      </w:r>
      <w:r>
        <w:rPr>
          <w:rFonts w:hint="eastAsia" w:ascii="宋体" w:hAnsi="宋体"/>
          <w:szCs w:val="21"/>
        </w:rPr>
        <w:t>，旋转轴位于左侧。外引接线端子排置于柜内两侧，端子排距屏后框架距离不得小于150毫米。端子排应有序号，端子排应便于更换且接线方便；离地高度宜大于350毫米。</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3.3  前后开门结构屏体是用厚度为2.5毫米的钢板制作的。</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3.4  屏体设计成封闭的、带有开启门的、垂直自立式</w:t>
      </w:r>
      <w:r>
        <w:rPr>
          <w:rFonts w:ascii="宋体" w:hAnsi="宋体"/>
          <w:szCs w:val="21"/>
        </w:rPr>
        <w:t xml:space="preserve">, </w:t>
      </w:r>
      <w:r>
        <w:rPr>
          <w:rFonts w:hint="eastAsia" w:ascii="宋体" w:hAnsi="宋体"/>
          <w:szCs w:val="21"/>
        </w:rPr>
        <w:t>并且要安装容易，控制电缆的进出连接、检查和维护要方便。</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3.5  为了提高运行的可靠性</w:t>
      </w:r>
      <w:r>
        <w:rPr>
          <w:rFonts w:ascii="宋体" w:hAnsi="宋体"/>
          <w:szCs w:val="21"/>
        </w:rPr>
        <w:t xml:space="preserve">, </w:t>
      </w:r>
      <w:r>
        <w:rPr>
          <w:rFonts w:hint="eastAsia" w:ascii="宋体" w:hAnsi="宋体"/>
          <w:szCs w:val="21"/>
        </w:rPr>
        <w:t>设备将采用成套插入式结构。</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3.6  控制子站屏采用前后开门结构，屏体尺寸: 2260mm×800mm×600mm或2260mm×800mm×800mm。屏体防护等级不低于IP30。</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w:t>
      </w:r>
      <w:r>
        <w:rPr>
          <w:rFonts w:hint="eastAsia" w:ascii="宋体" w:hAnsi="宋体"/>
          <w:szCs w:val="21"/>
          <w:lang w:val="en-US" w:eastAsia="zh-CN"/>
        </w:rPr>
        <w:t>7</w:t>
      </w:r>
      <w:r>
        <w:rPr>
          <w:rFonts w:hint="eastAsia" w:ascii="宋体" w:hAnsi="宋体"/>
          <w:szCs w:val="21"/>
        </w:rPr>
        <w:t xml:space="preserve">  </w:t>
      </w:r>
      <w:r>
        <w:rPr>
          <w:rFonts w:ascii="宋体" w:hAnsi="宋体"/>
          <w:szCs w:val="21"/>
        </w:rPr>
        <w:t>连接片的开口端应装在上方，</w:t>
      </w:r>
      <w:r>
        <w:rPr>
          <w:rFonts w:hint="eastAsia" w:ascii="宋体" w:hAnsi="宋体"/>
          <w:szCs w:val="21"/>
        </w:rPr>
        <w:t>并</w:t>
      </w:r>
      <w:r>
        <w:rPr>
          <w:rFonts w:ascii="宋体" w:hAnsi="宋体"/>
          <w:szCs w:val="21"/>
        </w:rPr>
        <w:t>满足：连接片在落下过程中必须和相邻连接片有足够的距离，保证在操作连接片时不会碰到相邻的连接片；连接片在扭紧螺栓后能可靠地接通回路；穿过屏</w:t>
      </w:r>
      <w:r>
        <w:rPr>
          <w:rFonts w:hint="eastAsia" w:ascii="宋体" w:hAnsi="宋体"/>
          <w:szCs w:val="21"/>
        </w:rPr>
        <w:t>的</w:t>
      </w:r>
      <w:r>
        <w:rPr>
          <w:rFonts w:ascii="宋体" w:hAnsi="宋体"/>
          <w:szCs w:val="21"/>
        </w:rPr>
        <w:t>连接片导电杆必须有绝缘套，并距屏孔有明显距离；连接片在拧紧后不会接地。</w:t>
      </w:r>
      <w:r>
        <w:rPr>
          <w:rFonts w:hint="eastAsia" w:ascii="宋体" w:hAnsi="宋体"/>
          <w:szCs w:val="21"/>
        </w:rPr>
        <w:t>跳闸出口连接片采用红色。</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w:t>
      </w:r>
      <w:r>
        <w:rPr>
          <w:rFonts w:hint="eastAsia" w:ascii="宋体" w:hAnsi="宋体"/>
          <w:szCs w:val="21"/>
          <w:lang w:val="en-US" w:eastAsia="zh-CN"/>
        </w:rPr>
        <w:t>8</w:t>
      </w:r>
      <w:r>
        <w:rPr>
          <w:rFonts w:hint="eastAsia" w:ascii="宋体" w:hAnsi="宋体"/>
          <w:szCs w:val="21"/>
        </w:rPr>
        <w:t xml:space="preserve">  试验部件、连接片、切换片，安装中心线离地面不宜低于300毫米。</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w:t>
      </w:r>
      <w:r>
        <w:rPr>
          <w:rFonts w:hint="eastAsia" w:hAnsi="宋体"/>
          <w:lang w:val="en-US" w:eastAsia="zh-CN"/>
        </w:rPr>
        <w:t>9</w:t>
      </w:r>
      <w:r>
        <w:rPr>
          <w:rFonts w:hint="eastAsia" w:ascii="宋体" w:hAnsi="MS Gothic" w:eastAsia="MS Gothic" w:cs="MS Gothic"/>
          <w:b/>
        </w:rPr>
        <w:t> </w:t>
      </w:r>
      <w:r>
        <w:rPr>
          <w:rFonts w:hint="eastAsia" w:ascii="宋体" w:hAnsi="宋体"/>
          <w:szCs w:val="21"/>
        </w:rPr>
        <w:t>各类按钮、开关等操作件的操作寿命不应少于10000次。</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3.1</w:t>
      </w:r>
      <w:r>
        <w:rPr>
          <w:rFonts w:hint="eastAsia" w:ascii="宋体" w:hAnsi="宋体"/>
          <w:szCs w:val="21"/>
          <w:lang w:val="en-US" w:eastAsia="zh-CN"/>
        </w:rPr>
        <w:t>0</w:t>
      </w:r>
      <w:r>
        <w:rPr>
          <w:rFonts w:hint="eastAsia" w:ascii="宋体" w:hAnsi="宋体"/>
          <w:szCs w:val="21"/>
        </w:rPr>
        <w:t> 对于具有整定机构的元器件的操作寿命不少于10000次，整定操作时不应出现发卡或操作失灵等现象。</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w:t>
      </w:r>
      <w:r>
        <w:rPr>
          <w:rFonts w:ascii="宋体" w:hAnsi="宋体"/>
          <w:szCs w:val="21"/>
        </w:rPr>
        <w:t xml:space="preserve"> </w:t>
      </w:r>
      <w:r>
        <w:rPr>
          <w:rFonts w:hint="eastAsia" w:ascii="宋体" w:hAnsi="宋体"/>
          <w:szCs w:val="21"/>
        </w:rPr>
        <w:t>低压回路的布线：</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4.1  布线：内部配线的额定电压为1000V, 应采用防潮隔热和防火的交联聚乙烯绝缘铜绞线, 其最小截面不小于1.5</w:t>
      </w:r>
      <w:r>
        <w:rPr>
          <w:rFonts w:ascii="宋体" w:hAnsi="宋体"/>
          <w:szCs w:val="21"/>
        </w:rPr>
        <w:t xml:space="preserve"> mm</w:t>
      </w:r>
      <w:r>
        <w:rPr>
          <w:rFonts w:hint="eastAsia" w:ascii="宋体" w:hAnsi="宋体"/>
          <w:szCs w:val="21"/>
          <w:vertAlign w:val="superscript"/>
        </w:rPr>
        <w:t>2</w:t>
      </w:r>
      <w:r>
        <w:rPr>
          <w:rFonts w:hint="eastAsia" w:ascii="宋体" w:hAnsi="宋体"/>
          <w:szCs w:val="21"/>
        </w:rPr>
        <w:t xml:space="preserve"> , 但对于CT、PT回路的截面应不小于2.5</w:t>
      </w:r>
      <w:r>
        <w:rPr>
          <w:rFonts w:ascii="宋体" w:hAnsi="宋体"/>
          <w:szCs w:val="21"/>
        </w:rPr>
        <w:t xml:space="preserve"> mm</w:t>
      </w:r>
      <w:r>
        <w:rPr>
          <w:rFonts w:hint="eastAsia" w:ascii="宋体" w:hAnsi="宋体"/>
          <w:szCs w:val="21"/>
          <w:vertAlign w:val="superscript"/>
        </w:rPr>
        <w:t>2</w:t>
      </w:r>
      <w:r>
        <w:rPr>
          <w:rFonts w:hint="eastAsia" w:ascii="宋体" w:hAnsi="宋体"/>
          <w:szCs w:val="21"/>
        </w:rPr>
        <w:t xml:space="preserve"> 。导线应无划痕和损伤。投标方应提供配线槽以便于固定电缆, 并将电缆连接到端子排。投标方应对所供设备的内部配线、设备的特性和功能的正确性全面负责。所有连接于端子排的内部配线, 应以标志条和有标志的线套加以识别。</w:t>
      </w:r>
      <w:r>
        <w:rPr>
          <w:rFonts w:ascii="宋体" w:hAnsi="宋体"/>
          <w:szCs w:val="21"/>
        </w:rPr>
        <w:t>若屏内具有加热器, 端子和电加热器或电阻器之间的连接引线不能使用非耐热绝缘铜线。由于电加热器或电阻器附近的温度高，因此, 应该采用瓷管套着的裸导线, 或使用耐热的导线。</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4.2  在进行屏的内部布线时</w:t>
      </w:r>
      <w:r>
        <w:rPr>
          <w:rFonts w:ascii="宋体" w:hAnsi="宋体"/>
          <w:szCs w:val="21"/>
        </w:rPr>
        <w:t xml:space="preserve">, </w:t>
      </w:r>
      <w:r>
        <w:rPr>
          <w:rFonts w:hint="eastAsia" w:ascii="宋体" w:hAnsi="宋体"/>
          <w:szCs w:val="21"/>
        </w:rPr>
        <w:t>不应该布置得使接点处于不利的角度或者温度升高的地方。</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4.3  在可运动的地方布线，如跨越门或翻板的连接导线，必须采用多股铜芯绝缘软导线，要留有一定长度裕量，并采用缠绕带等予以保护，以免产生任何机械损伤，同时还应有固定线束的措施。</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4.4  投标方应完成各装置对时接口的屏内配线，且端子排上应有明确的标识，以方便外部对时信号缆线的接入。</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 xml:space="preserve">4.5  接线端子：所有端子的额定值为1000V、10A, </w:t>
      </w:r>
      <w:r>
        <w:rPr>
          <w:rFonts w:ascii="宋体" w:hAnsi="宋体"/>
          <w:szCs w:val="21"/>
        </w:rPr>
        <w:t>压接型阻燃端子</w:t>
      </w:r>
      <w:r>
        <w:rPr>
          <w:rFonts w:hint="eastAsia" w:ascii="宋体" w:hAnsi="宋体"/>
          <w:szCs w:val="21"/>
        </w:rPr>
        <w:t>,元器件与端子、端子与端子之间的连接用多股绝缘导线时应采用冷压接端头；冷压连接要求牢靠、接触良好。电流电压回路的端子应能接不小于4</w:t>
      </w:r>
      <w:r>
        <w:rPr>
          <w:rFonts w:ascii="宋体" w:hAnsi="宋体"/>
          <w:szCs w:val="21"/>
        </w:rPr>
        <w:t>mm</w:t>
      </w:r>
      <w:r>
        <w:rPr>
          <w:rFonts w:hint="eastAsia" w:ascii="宋体" w:hAnsi="宋体"/>
          <w:szCs w:val="21"/>
          <w:vertAlign w:val="superscript"/>
        </w:rPr>
        <w:t>2</w:t>
      </w:r>
      <w:r>
        <w:rPr>
          <w:rFonts w:hint="eastAsia" w:ascii="宋体" w:hAnsi="宋体"/>
          <w:szCs w:val="21"/>
        </w:rPr>
        <w:t>的电缆芯线。CT和PT的二次回路应提供标准的试验端子, 便于断开或短接装置的输入与输出回路。一个端子只允许接入一根导线。端子应有明显的编号，端子排间应有足够的绝缘, 端子排应根据功能分段排列 ，并应至少留有20%的备用端子，且留有备用端子排以供设计时作转接或过渡用。各回路之间、正负电源之间、电源回路与其它端子之间要设置空端子隔离，跳、合闸引出端子与正电源适当隔开，至少间隔1个端子。端子排间应留有足够的空间, 便于外部电缆的连接。端子排应牢固固定，使其不致于振动、发热等而变松，同时还应能方便地进行检查和维护。</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4.6  颜色代号：导线的颜色代号基本上应该与制造厂的标准一致。投标方应提交制造厂的颜色代码标准</w:t>
      </w:r>
      <w:r>
        <w:rPr>
          <w:rFonts w:ascii="宋体" w:hAnsi="宋体"/>
          <w:szCs w:val="21"/>
        </w:rPr>
        <w:t xml:space="preserve">, </w:t>
      </w:r>
      <w:r>
        <w:rPr>
          <w:rFonts w:hint="eastAsia" w:ascii="宋体" w:hAnsi="宋体"/>
          <w:szCs w:val="21"/>
        </w:rPr>
        <w:t>导线颜色在合同签订后由招标方最终决定。引线应该加套</w:t>
      </w:r>
      <w:r>
        <w:rPr>
          <w:rFonts w:ascii="宋体" w:hAnsi="宋体"/>
          <w:szCs w:val="21"/>
        </w:rPr>
        <w:t xml:space="preserve">, </w:t>
      </w:r>
      <w:r>
        <w:rPr>
          <w:rFonts w:hint="eastAsia" w:ascii="宋体" w:hAnsi="宋体"/>
          <w:szCs w:val="21"/>
        </w:rPr>
        <w:t>这些套的颜色就作为相序的代号。</w:t>
      </w:r>
    </w:p>
    <w:p>
      <w:pPr>
        <w:spacing w:line="360" w:lineRule="auto"/>
        <w:rPr>
          <w:rFonts w:ascii="宋体" w:hAnsi="宋体"/>
          <w:szCs w:val="21"/>
        </w:rPr>
      </w:pPr>
      <w:r>
        <w:rPr>
          <w:rFonts w:hint="eastAsia" w:ascii="宋体" w:hAnsi="宋体"/>
          <w:szCs w:val="21"/>
        </w:rPr>
        <w:t>交流回路中的相序是：</w:t>
      </w:r>
    </w:p>
    <w:p>
      <w:pPr>
        <w:spacing w:line="360" w:lineRule="auto"/>
        <w:rPr>
          <w:rFonts w:ascii="宋体" w:hAnsi="宋体"/>
          <w:szCs w:val="21"/>
        </w:rPr>
      </w:pPr>
      <w:r>
        <w:rPr>
          <w:rFonts w:ascii="宋体" w:hAnsi="宋体"/>
          <w:szCs w:val="21"/>
        </w:rPr>
        <w:t xml:space="preserve"> A</w:t>
      </w:r>
      <w:r>
        <w:rPr>
          <w:rFonts w:hint="eastAsia" w:ascii="宋体" w:hAnsi="宋体"/>
          <w:szCs w:val="21"/>
        </w:rPr>
        <w:t>相</w:t>
      </w:r>
      <w:r>
        <w:rPr>
          <w:rFonts w:ascii="宋体" w:hAnsi="宋体"/>
          <w:szCs w:val="21"/>
        </w:rPr>
        <w:t xml:space="preserve">        </w:t>
      </w:r>
      <w:r>
        <w:rPr>
          <w:rFonts w:hint="eastAsia" w:ascii="宋体" w:hAnsi="宋体"/>
          <w:szCs w:val="21"/>
        </w:rPr>
        <w:t>黄色</w:t>
      </w:r>
    </w:p>
    <w:p>
      <w:pPr>
        <w:spacing w:line="360" w:lineRule="auto"/>
        <w:rPr>
          <w:rFonts w:ascii="宋体" w:hAnsi="宋体"/>
          <w:szCs w:val="21"/>
        </w:rPr>
      </w:pPr>
      <w:r>
        <w:rPr>
          <w:rFonts w:ascii="宋体" w:hAnsi="宋体"/>
          <w:szCs w:val="21"/>
        </w:rPr>
        <w:t xml:space="preserve"> B</w:t>
      </w:r>
      <w:r>
        <w:rPr>
          <w:rFonts w:hint="eastAsia" w:ascii="宋体" w:hAnsi="宋体"/>
          <w:szCs w:val="21"/>
        </w:rPr>
        <w:t>相</w:t>
      </w:r>
      <w:r>
        <w:rPr>
          <w:rFonts w:ascii="宋体" w:hAnsi="宋体"/>
          <w:szCs w:val="21"/>
        </w:rPr>
        <w:t xml:space="preserve">        </w:t>
      </w:r>
      <w:r>
        <w:rPr>
          <w:rFonts w:hint="eastAsia" w:ascii="宋体" w:hAnsi="宋体"/>
          <w:szCs w:val="21"/>
        </w:rPr>
        <w:t>绿色</w:t>
      </w:r>
    </w:p>
    <w:p>
      <w:pPr>
        <w:spacing w:line="360" w:lineRule="auto"/>
        <w:rPr>
          <w:rFonts w:ascii="宋体" w:hAnsi="宋体"/>
          <w:szCs w:val="21"/>
        </w:rPr>
      </w:pPr>
      <w:r>
        <w:rPr>
          <w:rFonts w:ascii="宋体" w:hAnsi="宋体"/>
          <w:szCs w:val="21"/>
        </w:rPr>
        <w:t xml:space="preserve"> C</w:t>
      </w:r>
      <w:r>
        <w:rPr>
          <w:rFonts w:hint="eastAsia" w:ascii="宋体" w:hAnsi="宋体"/>
          <w:szCs w:val="21"/>
        </w:rPr>
        <w:t>相</w:t>
      </w:r>
      <w:r>
        <w:rPr>
          <w:rFonts w:ascii="宋体" w:hAnsi="宋体"/>
          <w:szCs w:val="21"/>
        </w:rPr>
        <w:t xml:space="preserve">        </w:t>
      </w:r>
      <w:r>
        <w:rPr>
          <w:rFonts w:hint="eastAsia" w:ascii="宋体" w:hAnsi="宋体"/>
          <w:szCs w:val="21"/>
        </w:rPr>
        <w:t>红色</w:t>
      </w:r>
    </w:p>
    <w:p>
      <w:pPr>
        <w:spacing w:line="360" w:lineRule="auto"/>
        <w:rPr>
          <w:rFonts w:ascii="宋体" w:hAnsi="宋体"/>
          <w:szCs w:val="21"/>
        </w:rPr>
      </w:pPr>
      <w:r>
        <w:rPr>
          <w:rFonts w:ascii="宋体" w:hAnsi="宋体"/>
          <w:szCs w:val="21"/>
        </w:rPr>
        <w:t xml:space="preserve"> </w:t>
      </w:r>
      <w:r>
        <w:rPr>
          <w:rFonts w:hint="eastAsia" w:ascii="宋体" w:hAnsi="宋体"/>
          <w:szCs w:val="21"/>
        </w:rPr>
        <w:t>中性线</w:t>
      </w:r>
      <w:r>
        <w:rPr>
          <w:rFonts w:ascii="宋体" w:hAnsi="宋体"/>
          <w:szCs w:val="21"/>
        </w:rPr>
        <w:t xml:space="preserve">      </w:t>
      </w:r>
      <w:r>
        <w:rPr>
          <w:rFonts w:hint="eastAsia" w:ascii="宋体" w:hAnsi="宋体"/>
          <w:szCs w:val="21"/>
        </w:rPr>
        <w:t>淡蓝色</w:t>
      </w:r>
    </w:p>
    <w:p>
      <w:pPr>
        <w:spacing w:line="360" w:lineRule="auto"/>
        <w:rPr>
          <w:rFonts w:ascii="宋体" w:hAnsi="宋体"/>
          <w:szCs w:val="21"/>
        </w:rPr>
      </w:pPr>
      <w:r>
        <w:rPr>
          <w:rFonts w:hint="eastAsia" w:ascii="宋体" w:hAnsi="宋体"/>
          <w:szCs w:val="21"/>
        </w:rPr>
        <w:t>在直流回路中：</w:t>
      </w:r>
    </w:p>
    <w:p>
      <w:pPr>
        <w:spacing w:line="360" w:lineRule="auto"/>
        <w:rPr>
          <w:rFonts w:ascii="宋体" w:hAnsi="宋体"/>
          <w:szCs w:val="21"/>
        </w:rPr>
      </w:pPr>
      <w:r>
        <w:rPr>
          <w:rFonts w:ascii="宋体" w:hAnsi="宋体"/>
          <w:szCs w:val="21"/>
        </w:rPr>
        <w:t xml:space="preserve"> ＋（正极）    棕色</w:t>
      </w:r>
    </w:p>
    <w:p>
      <w:pPr>
        <w:spacing w:line="360" w:lineRule="auto"/>
        <w:ind w:firstLine="105" w:firstLineChars="50"/>
        <w:rPr>
          <w:rFonts w:ascii="宋体" w:hAnsi="宋体"/>
          <w:szCs w:val="21"/>
        </w:rPr>
      </w:pPr>
      <w:r>
        <w:rPr>
          <w:rFonts w:ascii="宋体" w:hAnsi="宋体"/>
          <w:szCs w:val="21"/>
        </w:rPr>
        <w:t>－（负极）    蓝色</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 保护压板、转换开关及按钮布置</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5.1保护出口回路和起动回路均应经压板才连至端子排上，压板应装在保护屏正面。</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5.2如采用分立式连接片，连接片的开口端应装在上方，接到断路器的跳闸线圈回路。并满足：连接片在落下过程中必须和相邻连接片有足够的距离，保证在操作连接片时不会碰到相邻的连接片；连接片在扭紧螺栓后能可靠地接通回路；穿过保护屏的连接片导电杆必须有绝缘套，并距屏孔有明显距离；连接片在拧紧后不会接地。</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5.3压板及按钮的布置主要以前、后开门结构的屏为例，其它结构形式的屏柜参照执行。</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5.4压板布置应遵循“按装置分排，按功能分区”的原则，并适当简化。</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w:t>
      </w:r>
      <w:r>
        <w:rPr>
          <w:rFonts w:hint="eastAsia" w:ascii="宋体" w:hAnsi="宋体"/>
          <w:szCs w:val="21"/>
          <w:lang w:val="en-US" w:eastAsia="zh-CN"/>
        </w:rPr>
        <w:t>5</w:t>
      </w:r>
      <w:r>
        <w:rPr>
          <w:rFonts w:hint="eastAsia" w:ascii="宋体" w:hAnsi="宋体"/>
          <w:szCs w:val="21"/>
        </w:rPr>
        <w:t>跳合闸出口压板采用红色，功能压板采用黄色，备用压板采用浅驼色。为了便于区分正常运行时压板的投退，正常运行退出的压板（如保护检修状态压板）可采用与备用压板一致的颜色，宜将备用压板拆下或封死。其中红、黄分别推荐国标GSB05-1426-2001中R02 朱红和Y08深黄。</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w:t>
      </w:r>
      <w:r>
        <w:rPr>
          <w:rFonts w:hint="eastAsia" w:ascii="宋体" w:hAnsi="宋体"/>
          <w:szCs w:val="21"/>
          <w:lang w:val="en-US" w:eastAsia="zh-CN"/>
        </w:rPr>
        <w:t>6</w:t>
      </w:r>
      <w:r>
        <w:rPr>
          <w:rFonts w:hint="eastAsia" w:ascii="宋体" w:hAnsi="宋体"/>
          <w:szCs w:val="21"/>
        </w:rPr>
        <w:t>压板可采用普通分立式、线簧式和其他样式。普通分立式和其他样式压板的底座色采用浅驼色，压板头采用红、黄色，禁止取下压板头以防混淆颜色。线簧式压板颜色通过压板上内嵌的标签纸底色来体现。</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w:t>
      </w:r>
      <w:r>
        <w:rPr>
          <w:rFonts w:hint="eastAsia" w:ascii="宋体" w:hAnsi="宋体"/>
          <w:szCs w:val="21"/>
          <w:lang w:val="en-US" w:eastAsia="zh-CN"/>
        </w:rPr>
        <w:t>7</w:t>
      </w:r>
      <w:r>
        <w:rPr>
          <w:rFonts w:hint="eastAsia" w:ascii="宋体" w:hAnsi="宋体"/>
          <w:szCs w:val="21"/>
        </w:rPr>
        <w:t>标签宜设置在压板下方，同一个站内标签设置的位置应统一。压板按装置设置分隔框，边框线宽3～5mm。为了便于分辨，也可每排端子之间加一个分隔线，分隔线与分隔框线宽应一致。同一个站内分隔框的颜色应一致。</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w:t>
      </w:r>
      <w:r>
        <w:rPr>
          <w:rFonts w:hint="eastAsia" w:ascii="宋体" w:hAnsi="宋体"/>
          <w:szCs w:val="21"/>
          <w:lang w:val="en-US" w:eastAsia="zh-CN"/>
        </w:rPr>
        <w:t>8</w:t>
      </w:r>
      <w:r>
        <w:rPr>
          <w:rFonts w:hint="eastAsia" w:ascii="宋体" w:hAnsi="宋体"/>
          <w:szCs w:val="21"/>
        </w:rPr>
        <w:t>同一面保护屏上的保护压板分装置自上而下排列。</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w:t>
      </w:r>
      <w:r>
        <w:rPr>
          <w:rFonts w:hint="eastAsia" w:ascii="宋体" w:hAnsi="宋体"/>
          <w:szCs w:val="21"/>
          <w:lang w:val="en-US" w:eastAsia="zh-CN"/>
        </w:rPr>
        <w:t>9</w:t>
      </w:r>
      <w:r>
        <w:rPr>
          <w:rFonts w:hint="eastAsia" w:ascii="宋体" w:hAnsi="宋体"/>
          <w:szCs w:val="21"/>
        </w:rPr>
        <w:t>功能压板设置遵循必要和适当简化的原则, 每种功能宜设置一块总功能压板。</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5.1</w:t>
      </w:r>
      <w:r>
        <w:rPr>
          <w:rFonts w:hint="eastAsia" w:ascii="宋体" w:hAnsi="宋体"/>
          <w:szCs w:val="21"/>
          <w:lang w:val="en-US" w:eastAsia="zh-CN"/>
        </w:rPr>
        <w:t>0</w:t>
      </w:r>
      <w:r>
        <w:rPr>
          <w:rFonts w:hint="eastAsia" w:ascii="宋体" w:hAnsi="宋体"/>
          <w:szCs w:val="21"/>
        </w:rPr>
        <w:t>按钮宜布置在保护屏正面前门打开时方便操作的一侧，转换开关宜布置在屏正面另一侧。</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w:t>
      </w:r>
      <w:r>
        <w:rPr>
          <w:rFonts w:ascii="宋体" w:hAnsi="宋体"/>
          <w:szCs w:val="21"/>
        </w:rPr>
        <w:t xml:space="preserve"> </w:t>
      </w:r>
      <w:r>
        <w:rPr>
          <w:rFonts w:hint="eastAsia" w:ascii="宋体" w:hAnsi="宋体"/>
          <w:szCs w:val="21"/>
        </w:rPr>
        <w:t>电子回路：</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6.1</w:t>
      </w:r>
      <w:r>
        <w:rPr>
          <w:rFonts w:ascii="宋体" w:hAnsi="宋体"/>
          <w:szCs w:val="21"/>
        </w:rPr>
        <w:t xml:space="preserve"> </w:t>
      </w:r>
      <w:r>
        <w:rPr>
          <w:rFonts w:hint="eastAsia" w:ascii="宋体" w:hAnsi="宋体"/>
          <w:szCs w:val="21"/>
        </w:rPr>
        <w:t>为了预防外部和</w:t>
      </w:r>
      <w:r>
        <w:rPr>
          <w:rFonts w:ascii="宋体" w:hAnsi="宋体"/>
          <w:szCs w:val="21"/>
        </w:rPr>
        <w:t>/</w:t>
      </w:r>
      <w:r>
        <w:rPr>
          <w:rFonts w:hint="eastAsia" w:ascii="宋体" w:hAnsi="宋体"/>
          <w:szCs w:val="21"/>
        </w:rPr>
        <w:t>或内部的过电压引起误动作</w:t>
      </w:r>
      <w:r>
        <w:rPr>
          <w:rFonts w:ascii="宋体" w:hAnsi="宋体"/>
          <w:szCs w:val="21"/>
        </w:rPr>
        <w:t xml:space="preserve">, </w:t>
      </w:r>
      <w:r>
        <w:rPr>
          <w:rFonts w:hint="eastAsia" w:ascii="宋体" w:hAnsi="宋体"/>
          <w:szCs w:val="21"/>
        </w:rPr>
        <w:t>在电子电路中应该使用金属护套带屏蔽层的电缆或绞合电缆。</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6.2  电子电路和电气回路之间在路径上应该保持合理的间隙。</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6.3  电子电路的外部连接应该用连接器进行。</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6.4  应该用电线槽进行布线</w:t>
      </w:r>
      <w:r>
        <w:rPr>
          <w:rFonts w:ascii="宋体" w:hAnsi="宋体"/>
          <w:szCs w:val="21"/>
        </w:rPr>
        <w:t xml:space="preserve">, </w:t>
      </w:r>
      <w:r>
        <w:rPr>
          <w:rFonts w:hint="eastAsia" w:ascii="宋体" w:hAnsi="宋体"/>
          <w:szCs w:val="21"/>
        </w:rPr>
        <w:t>如果采用其他的布线系统则应由招标方审批这种布线系统。</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6.5  为了防止误动作和</w:t>
      </w:r>
      <w:r>
        <w:rPr>
          <w:rFonts w:ascii="宋体" w:hAnsi="宋体"/>
          <w:szCs w:val="21"/>
        </w:rPr>
        <w:t>/</w:t>
      </w:r>
      <w:r>
        <w:rPr>
          <w:rFonts w:hint="eastAsia" w:ascii="宋体" w:hAnsi="宋体"/>
          <w:szCs w:val="21"/>
        </w:rPr>
        <w:t>或拒动</w:t>
      </w:r>
      <w:r>
        <w:rPr>
          <w:rFonts w:ascii="宋体" w:hAnsi="宋体"/>
          <w:szCs w:val="21"/>
        </w:rPr>
        <w:t xml:space="preserve">, </w:t>
      </w:r>
      <w:r>
        <w:rPr>
          <w:rFonts w:hint="eastAsia" w:ascii="宋体" w:hAnsi="宋体"/>
          <w:szCs w:val="21"/>
        </w:rPr>
        <w:t>在屏内应该有消除过电压发生的电路</w:t>
      </w:r>
      <w:r>
        <w:rPr>
          <w:rFonts w:ascii="宋体" w:hAnsi="宋体"/>
          <w:szCs w:val="21"/>
        </w:rPr>
        <w:t xml:space="preserve">, </w:t>
      </w:r>
      <w:r>
        <w:rPr>
          <w:rFonts w:hint="eastAsia" w:ascii="宋体" w:hAnsi="宋体"/>
          <w:szCs w:val="21"/>
        </w:rPr>
        <w:t>交流回路和直流回路都应该有预防外部过电压和电磁干扰或接地的措施。</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6.6  每块印刷电路板应该经防潮气和灰尘侵入处理。</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7  接</w:t>
      </w:r>
      <w:r>
        <w:rPr>
          <w:rFonts w:ascii="宋体" w:hAnsi="宋体"/>
          <w:szCs w:val="21"/>
        </w:rPr>
        <w:t xml:space="preserve"> </w:t>
      </w:r>
      <w:r>
        <w:rPr>
          <w:rFonts w:hint="eastAsia" w:ascii="宋体" w:hAnsi="宋体"/>
          <w:szCs w:val="21"/>
        </w:rPr>
        <w:t>地：</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7.1  交流电源输入的二次屏柜应有工作接零,供电电缆中应含有中性线芯。中性线芯不应与二次屏柜的金属外壳相连接。</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7.2  当采用三相五线制交流电源向二次屏柜供电时，供电电缆中应含有中性线芯和保护接地线芯。接地线芯应与二次屏柜的金属外壳相连接。接地线芯材料和截面应符合现行相关规范的要求。</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7.3  二次屏柜下部应设有截面不小于</w:t>
      </w:r>
      <w:r>
        <w:rPr>
          <w:rFonts w:ascii="宋体" w:hAnsi="宋体"/>
          <w:szCs w:val="21"/>
        </w:rPr>
        <w:t>100</w:t>
      </w:r>
      <w:r>
        <w:rPr>
          <w:rFonts w:hint="eastAsia" w:ascii="宋体" w:hAnsi="宋体"/>
          <w:szCs w:val="21"/>
        </w:rPr>
        <w:t>mm</w:t>
      </w:r>
      <w:r>
        <w:rPr>
          <w:rFonts w:hint="eastAsia" w:ascii="宋体" w:hAnsi="宋体"/>
          <w:szCs w:val="21"/>
          <w:vertAlign w:val="superscript"/>
        </w:rPr>
        <w:t>2</w:t>
      </w:r>
      <w:r>
        <w:rPr>
          <w:rFonts w:hint="eastAsia" w:ascii="宋体" w:hAnsi="宋体"/>
          <w:szCs w:val="21"/>
        </w:rPr>
        <w:t>的专用的接地铜排母线，二次屏柜上的设备或装置应有接地端子，并用截面不小于4</w:t>
      </w:r>
      <w:r>
        <w:rPr>
          <w:rFonts w:ascii="宋体" w:hAnsi="宋体"/>
          <w:szCs w:val="21"/>
        </w:rPr>
        <w:t>mm</w:t>
      </w:r>
      <w:r>
        <w:rPr>
          <w:rFonts w:ascii="宋体" w:hAnsi="宋体"/>
          <w:szCs w:val="21"/>
          <w:vertAlign w:val="superscript"/>
        </w:rPr>
        <w:t>2</w:t>
      </w:r>
      <w:r>
        <w:rPr>
          <w:rFonts w:hint="eastAsia" w:ascii="宋体" w:hAnsi="宋体"/>
          <w:szCs w:val="21"/>
        </w:rPr>
        <w:t>的多股绝缘铜绞线或电缆接至专用的接地铜排母线，达到“一点接地”的要求。</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8</w:t>
      </w:r>
      <w:r>
        <w:rPr>
          <w:rFonts w:ascii="宋体" w:hAnsi="宋体"/>
          <w:szCs w:val="21"/>
        </w:rPr>
        <w:t xml:space="preserve">  </w:t>
      </w:r>
      <w:r>
        <w:rPr>
          <w:rFonts w:hint="eastAsia" w:ascii="宋体" w:hAnsi="宋体"/>
          <w:szCs w:val="21"/>
        </w:rPr>
        <w:t>铭</w:t>
      </w:r>
      <w:r>
        <w:rPr>
          <w:rFonts w:ascii="宋体" w:hAnsi="宋体"/>
          <w:szCs w:val="21"/>
        </w:rPr>
        <w:t xml:space="preserve"> </w:t>
      </w:r>
      <w:r>
        <w:rPr>
          <w:rFonts w:hint="eastAsia" w:ascii="宋体" w:hAnsi="宋体"/>
          <w:szCs w:val="21"/>
        </w:rPr>
        <w:t>牌</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8.1  控制子站屏的铭牌应该固定在屏的表面或屏内醒目的地方</w:t>
      </w:r>
      <w:r>
        <w:rPr>
          <w:rFonts w:ascii="宋体" w:hAnsi="宋体"/>
          <w:szCs w:val="21"/>
        </w:rPr>
        <w:t>,</w:t>
      </w:r>
      <w:r>
        <w:rPr>
          <w:rFonts w:hint="eastAsia" w:ascii="宋体" w:hAnsi="宋体"/>
          <w:szCs w:val="21"/>
        </w:rPr>
        <w:t>铭牌为白底</w:t>
      </w:r>
      <w:r>
        <w:rPr>
          <w:rFonts w:ascii="宋体" w:hAnsi="宋体"/>
          <w:szCs w:val="21"/>
        </w:rPr>
        <w:t xml:space="preserve">, </w:t>
      </w:r>
      <w:r>
        <w:rPr>
          <w:rFonts w:hint="eastAsia" w:ascii="宋体" w:hAnsi="宋体"/>
          <w:szCs w:val="21"/>
        </w:rPr>
        <w:t>其上为黑色的粗体字</w:t>
      </w:r>
      <w:r>
        <w:rPr>
          <w:rFonts w:ascii="宋体" w:hAnsi="宋体"/>
          <w:szCs w:val="21"/>
        </w:rPr>
        <w:t xml:space="preserve">, </w:t>
      </w:r>
      <w:r>
        <w:rPr>
          <w:rFonts w:hint="eastAsia" w:ascii="宋体" w:hAnsi="宋体"/>
          <w:szCs w:val="21"/>
        </w:rPr>
        <w:t>并用中文标注。</w:t>
      </w:r>
    </w:p>
    <w:p>
      <w:pPr>
        <w:pStyle w:val="15"/>
        <w:adjustRightInd w:val="0"/>
        <w:snapToGrid w:val="0"/>
        <w:spacing w:line="360" w:lineRule="auto"/>
        <w:ind w:firstLine="0" w:firstLineChars="0"/>
        <w:rPr>
          <w:rFonts w:eastAsia="宋体" w:cs="Times New Roman"/>
          <w:szCs w:val="21"/>
        </w:rPr>
      </w:pPr>
    </w:p>
    <w:bookmarkEnd w:id="0"/>
    <w:bookmarkEnd w:id="51"/>
    <w:p>
      <w:pPr>
        <w:pStyle w:val="2"/>
        <w:numPr>
          <w:ilvl w:val="0"/>
          <w:numId w:val="0"/>
        </w:numPr>
        <w:snapToGrid/>
        <w:spacing w:before="0" w:beforeLines="0" w:line="480" w:lineRule="auto"/>
        <w:rPr>
          <w:rFonts w:ascii="黑体" w:eastAsia="黑体"/>
        </w:rPr>
      </w:pPr>
      <w:bookmarkStart w:id="69" w:name="_Toc403567347"/>
      <w:bookmarkStart w:id="70" w:name="_Toc12823"/>
      <w:r>
        <w:rPr>
          <w:rFonts w:hint="eastAsia" w:ascii="黑体" w:eastAsia="黑体"/>
        </w:rPr>
        <w:t xml:space="preserve">6 </w:t>
      </w:r>
      <w:bookmarkStart w:id="71" w:name="_Toc387858465"/>
      <w:bookmarkStart w:id="72" w:name="_Toc276490905"/>
      <w:bookmarkStart w:id="73" w:name="_Toc276492417"/>
      <w:bookmarkStart w:id="74" w:name="_Toc271281212"/>
      <w:r>
        <w:rPr>
          <w:rFonts w:hint="eastAsia" w:ascii="黑体" w:eastAsia="黑体"/>
        </w:rPr>
        <w:t>试验</w:t>
      </w:r>
      <w:bookmarkEnd w:id="69"/>
      <w:bookmarkEnd w:id="70"/>
      <w:bookmarkEnd w:id="71"/>
      <w:bookmarkEnd w:id="72"/>
      <w:bookmarkEnd w:id="73"/>
      <w:bookmarkEnd w:id="74"/>
    </w:p>
    <w:p>
      <w:pPr>
        <w:pStyle w:val="15"/>
        <w:adjustRightInd w:val="0"/>
        <w:snapToGrid w:val="0"/>
        <w:spacing w:line="360" w:lineRule="auto"/>
        <w:rPr>
          <w:ins w:id="0" w:author="陈择栖" w:date="2026-06-08T14:16:53Z"/>
          <w:rFonts w:eastAsia="宋体" w:cs="Times New Roman"/>
          <w:color w:val="FF0000"/>
          <w:szCs w:val="21"/>
          <w:highlight w:val="none"/>
        </w:rPr>
      </w:pPr>
      <w:ins w:id="1" w:author="陈择栖" w:date="2026-06-08T14:16:53Z">
        <w:r>
          <w:rPr>
            <w:rFonts w:eastAsia="宋体" w:cs="Times New Roman"/>
            <w:szCs w:val="21"/>
          </w:rPr>
          <w:t>根据相关国标和行标等有关标准及其补充说明进行各项试验，有关条款的特殊要求和补充应在试验期间遵守并执行。</w:t>
        </w:r>
      </w:ins>
    </w:p>
    <w:p>
      <w:pPr>
        <w:pStyle w:val="3"/>
        <w:numPr>
          <w:ilvl w:val="0"/>
          <w:numId w:val="0"/>
        </w:numPr>
        <w:rPr>
          <w:ins w:id="2" w:author="陈择栖" w:date="2026-06-08T14:16:53Z"/>
          <w:rFonts w:ascii="黑体" w:eastAsia="黑体"/>
        </w:rPr>
      </w:pPr>
      <w:ins w:id="3" w:author="陈择栖" w:date="2026-06-08T14:16:53Z">
        <w:r>
          <w:rPr>
            <w:rFonts w:ascii="黑体" w:eastAsia="黑体"/>
          </w:rPr>
          <w:t>6.1 型式试验</w:t>
        </w:r>
      </w:ins>
    </w:p>
    <w:p>
      <w:pPr>
        <w:tabs>
          <w:tab w:val="left" w:pos="1440"/>
          <w:tab w:val="left" w:pos="3960"/>
        </w:tabs>
        <w:spacing w:line="360" w:lineRule="auto"/>
        <w:ind w:firstLine="420" w:firstLineChars="200"/>
        <w:rPr>
          <w:ins w:id="4" w:author="陈择栖" w:date="2026-06-08T14:16:53Z"/>
          <w:rFonts w:hint="eastAsia" w:ascii="宋体" w:hAnsi="宋体"/>
          <w:szCs w:val="21"/>
        </w:rPr>
      </w:pPr>
      <w:ins w:id="5" w:author="陈择栖" w:date="2026-06-08T14:16:53Z">
        <w:r>
          <w:rPr>
            <w:rFonts w:hint="eastAsia" w:ascii="宋体" w:hAnsi="宋体"/>
            <w:szCs w:val="21"/>
          </w:rPr>
          <w:t>投标方应提供投标产品的型式试验报告, 并在下列任一情况下, 装置须进行型式试验。</w:t>
        </w:r>
      </w:ins>
    </w:p>
    <w:p>
      <w:pPr>
        <w:tabs>
          <w:tab w:val="left" w:pos="1440"/>
          <w:tab w:val="left" w:pos="3960"/>
        </w:tabs>
        <w:spacing w:line="360" w:lineRule="auto"/>
        <w:ind w:firstLine="420" w:firstLineChars="200"/>
        <w:rPr>
          <w:ins w:id="6" w:author="陈择栖" w:date="2026-06-08T14:16:53Z"/>
          <w:rFonts w:hint="eastAsia" w:ascii="宋体" w:hAnsi="宋体"/>
          <w:szCs w:val="21"/>
        </w:rPr>
      </w:pPr>
      <w:ins w:id="7" w:author="陈择栖" w:date="2026-06-08T14:16:53Z">
        <w:r>
          <w:rPr>
            <w:rFonts w:hint="eastAsia" w:ascii="宋体" w:hAnsi="宋体"/>
            <w:szCs w:val="21"/>
          </w:rPr>
          <w:t>6.1.1  新设计投产的成套装置(包括转厂生产), 在出厂前应进行新产品定型的型式试验。</w:t>
        </w:r>
      </w:ins>
    </w:p>
    <w:p>
      <w:pPr>
        <w:tabs>
          <w:tab w:val="left" w:pos="1440"/>
          <w:tab w:val="left" w:pos="3960"/>
        </w:tabs>
        <w:spacing w:line="360" w:lineRule="auto"/>
        <w:ind w:firstLine="420" w:firstLineChars="200"/>
        <w:rPr>
          <w:ins w:id="8" w:author="陈择栖" w:date="2026-06-08T14:16:53Z"/>
          <w:rFonts w:hint="eastAsia" w:ascii="宋体" w:hAnsi="宋体"/>
          <w:szCs w:val="21"/>
        </w:rPr>
      </w:pPr>
      <w:ins w:id="9" w:author="陈择栖" w:date="2026-06-08T14:16:53Z">
        <w:r>
          <w:rPr>
            <w:rFonts w:hint="eastAsia" w:ascii="宋体" w:hAnsi="宋体"/>
            <w:szCs w:val="21"/>
          </w:rPr>
          <w:t>6.1.2  连续生产的装置, 应按要求对出厂检验合格的装置进行型式试验。</w:t>
        </w:r>
      </w:ins>
    </w:p>
    <w:p>
      <w:pPr>
        <w:spacing w:line="360" w:lineRule="auto"/>
        <w:ind w:firstLine="420" w:firstLineChars="200"/>
        <w:rPr>
          <w:ins w:id="10" w:author="陈择栖" w:date="2026-06-08T14:16:53Z"/>
          <w:rFonts w:hint="eastAsia" w:ascii="宋体" w:hAnsi="宋体"/>
          <w:szCs w:val="21"/>
        </w:rPr>
      </w:pPr>
      <w:ins w:id="11" w:author="陈择栖" w:date="2026-06-08T14:16:53Z">
        <w:r>
          <w:rPr>
            <w:rFonts w:hint="eastAsia" w:ascii="宋体" w:hAnsi="宋体"/>
            <w:szCs w:val="21"/>
          </w:rPr>
          <w:t>6.1.3  当改变制造工艺或主要元件导致影响装置的性能时, 应对首批投入生产的合格品进行型式试验。</w:t>
        </w:r>
      </w:ins>
    </w:p>
    <w:p>
      <w:pPr>
        <w:pStyle w:val="3"/>
        <w:numPr>
          <w:ilvl w:val="0"/>
          <w:numId w:val="0"/>
        </w:numPr>
        <w:rPr>
          <w:ins w:id="12" w:author="陈择栖" w:date="2026-06-08T14:16:53Z"/>
          <w:rFonts w:hint="eastAsia" w:ascii="黑体" w:eastAsia="黑体"/>
        </w:rPr>
      </w:pPr>
      <w:ins w:id="13" w:author="陈择栖" w:date="2026-06-08T14:16:53Z">
        <w:bookmarkStart w:id="75" w:name="_Toc28254"/>
        <w:bookmarkStart w:id="76" w:name="_Toc183444021"/>
        <w:r>
          <w:rPr>
            <w:rFonts w:hint="eastAsia" w:ascii="黑体" w:eastAsia="黑体"/>
          </w:rPr>
          <w:t>6.2  动模试验</w:t>
        </w:r>
        <w:bookmarkEnd w:id="75"/>
        <w:bookmarkEnd w:id="76"/>
      </w:ins>
    </w:p>
    <w:p>
      <w:pPr>
        <w:spacing w:line="360" w:lineRule="auto"/>
        <w:ind w:firstLine="420" w:firstLineChars="200"/>
        <w:rPr>
          <w:ins w:id="14" w:author="陈择栖" w:date="2026-06-08T14:16:53Z"/>
          <w:rFonts w:hint="eastAsia" w:ascii="宋体" w:hAnsi="宋体"/>
          <w:szCs w:val="21"/>
        </w:rPr>
      </w:pPr>
      <w:ins w:id="15" w:author="陈择栖" w:date="2026-06-08T14:16:53Z">
        <w:r>
          <w:rPr>
            <w:rFonts w:hint="eastAsia" w:ascii="宋体" w:hAnsi="宋体"/>
            <w:szCs w:val="21"/>
          </w:rPr>
          <w:t>卖方应根据买方提出的动模试验项目内容，在行业级或国家级检测机构处开展投标产品的动模试验，且试验前应通知买方到场见证。</w:t>
        </w:r>
      </w:ins>
    </w:p>
    <w:p>
      <w:pPr>
        <w:spacing w:line="360" w:lineRule="auto"/>
        <w:ind w:firstLine="420" w:firstLineChars="200"/>
        <w:rPr>
          <w:ins w:id="16" w:author="陈择栖" w:date="2026-06-08T14:16:53Z"/>
          <w:rFonts w:hint="eastAsia" w:ascii="宋体" w:hAnsi="宋体"/>
          <w:szCs w:val="21"/>
        </w:rPr>
      </w:pPr>
      <w:ins w:id="17" w:author="陈择栖" w:date="2026-06-08T14:16:53Z">
        <w:r>
          <w:rPr>
            <w:rFonts w:hint="eastAsia" w:ascii="宋体" w:hAnsi="宋体"/>
            <w:szCs w:val="21"/>
          </w:rPr>
          <w:t>卖方应提供投标产品的动模试验（例如RTDS）报告, 并在下列任一情况下, 装置须根据买方要求进行动模试验。</w:t>
        </w:r>
      </w:ins>
    </w:p>
    <w:p>
      <w:pPr>
        <w:spacing w:line="360" w:lineRule="auto"/>
        <w:ind w:firstLine="420" w:firstLineChars="200"/>
        <w:rPr>
          <w:ins w:id="18" w:author="陈择栖" w:date="2026-06-08T14:16:53Z"/>
          <w:rFonts w:hint="eastAsia" w:ascii="宋体" w:hAnsi="宋体"/>
          <w:szCs w:val="21"/>
        </w:rPr>
      </w:pPr>
      <w:ins w:id="19" w:author="陈择栖" w:date="2026-06-08T14:16:53Z">
        <w:r>
          <w:rPr>
            <w:rFonts w:hint="eastAsia" w:ascii="宋体" w:hAnsi="宋体"/>
            <w:szCs w:val="21"/>
          </w:rPr>
          <w:t>6.2.1  新设计投产的成套装置(包括转厂生产), 在鉴定前应进行新产品定型的动模试验。</w:t>
        </w:r>
      </w:ins>
    </w:p>
    <w:p>
      <w:pPr>
        <w:spacing w:line="360" w:lineRule="auto"/>
        <w:ind w:firstLine="420" w:firstLineChars="200"/>
        <w:rPr>
          <w:ins w:id="20" w:author="陈择栖" w:date="2026-06-08T14:16:53Z"/>
          <w:rFonts w:hint="eastAsia" w:ascii="宋体" w:hAnsi="宋体"/>
          <w:szCs w:val="21"/>
        </w:rPr>
      </w:pPr>
      <w:ins w:id="21" w:author="陈择栖" w:date="2026-06-08T14:16:53Z">
        <w:r>
          <w:rPr>
            <w:rFonts w:hint="eastAsia" w:ascii="宋体" w:hAnsi="宋体"/>
            <w:szCs w:val="21"/>
          </w:rPr>
          <w:t>6.2.2  连续生产的装置, 在标准软件程序作了有影响逻辑功能方面改动后应进行一次动模试验。</w:t>
        </w:r>
      </w:ins>
    </w:p>
    <w:p>
      <w:pPr>
        <w:spacing w:line="360" w:lineRule="auto"/>
        <w:ind w:firstLine="420" w:firstLineChars="200"/>
        <w:rPr>
          <w:ins w:id="22" w:author="陈择栖" w:date="2026-06-08T14:16:53Z"/>
          <w:rFonts w:hint="eastAsia" w:eastAsia="宋体" w:cs="Times New Roman"/>
          <w:szCs w:val="21"/>
        </w:rPr>
      </w:pPr>
      <w:ins w:id="23" w:author="陈择栖" w:date="2026-06-08T14:16:53Z">
        <w:r>
          <w:rPr>
            <w:rFonts w:hint="eastAsia" w:ascii="宋体" w:hAnsi="宋体"/>
            <w:szCs w:val="21"/>
          </w:rPr>
          <w:t>6.2.3  当改变制造工艺或主要元件导致影响装置的性能时, 应对首批投入生产的合格品进行动模试验。</w:t>
        </w:r>
      </w:ins>
    </w:p>
    <w:p>
      <w:pPr>
        <w:pStyle w:val="3"/>
        <w:numPr>
          <w:ilvl w:val="0"/>
          <w:numId w:val="0"/>
        </w:numPr>
        <w:rPr>
          <w:ins w:id="24" w:author="陈择栖" w:date="2026-06-08T14:16:53Z"/>
          <w:rFonts w:ascii="黑体" w:eastAsia="黑体"/>
        </w:rPr>
      </w:pPr>
      <w:ins w:id="25" w:author="陈择栖" w:date="2026-06-08T14:16:53Z">
        <w:r>
          <w:rPr>
            <w:rFonts w:ascii="黑体" w:eastAsia="黑体"/>
          </w:rPr>
          <w:t>6.</w:t>
        </w:r>
      </w:ins>
      <w:ins w:id="26" w:author="陈择栖" w:date="2026-06-08T14:16:53Z">
        <w:r>
          <w:rPr>
            <w:rFonts w:hint="eastAsia" w:ascii="黑体" w:eastAsia="黑体"/>
            <w:lang w:val="en-US" w:eastAsia="zh-CN"/>
          </w:rPr>
          <w:t>3</w:t>
        </w:r>
      </w:ins>
      <w:ins w:id="27" w:author="陈择栖" w:date="2026-06-08T14:16:53Z">
        <w:r>
          <w:rPr>
            <w:rFonts w:ascii="黑体" w:eastAsia="黑体"/>
          </w:rPr>
          <w:t xml:space="preserve"> 出厂试验</w:t>
        </w:r>
      </w:ins>
    </w:p>
    <w:p>
      <w:pPr>
        <w:tabs>
          <w:tab w:val="left" w:pos="3960"/>
        </w:tabs>
        <w:spacing w:line="360" w:lineRule="auto"/>
        <w:ind w:firstLine="420" w:firstLineChars="200"/>
        <w:rPr>
          <w:ins w:id="28" w:author="陈择栖" w:date="2026-06-08T14:16:53Z"/>
          <w:rFonts w:hint="eastAsia" w:ascii="宋体" w:hAnsi="宋体"/>
          <w:szCs w:val="21"/>
        </w:rPr>
      </w:pPr>
      <w:ins w:id="29" w:author="陈择栖" w:date="2026-06-08T14:16:53Z">
        <w:r>
          <w:rPr>
            <w:rFonts w:hint="eastAsia" w:ascii="宋体" w:hAnsi="宋体"/>
            <w:szCs w:val="21"/>
          </w:rPr>
          <w:t>每套装置均应进行出厂试验, 经质量检验部门确认合格后方能出厂, 并应具有证明产品合格的出厂证明书。</w:t>
        </w:r>
      </w:ins>
    </w:p>
    <w:p>
      <w:pPr>
        <w:tabs>
          <w:tab w:val="left" w:pos="3960"/>
        </w:tabs>
        <w:spacing w:line="360" w:lineRule="auto"/>
        <w:ind w:firstLine="420" w:firstLineChars="200"/>
        <w:rPr>
          <w:ins w:id="30" w:author="陈择栖" w:date="2026-06-08T14:16:53Z"/>
          <w:rFonts w:ascii="宋体" w:hAnsi="宋体"/>
          <w:szCs w:val="21"/>
        </w:rPr>
      </w:pPr>
      <w:ins w:id="31" w:author="陈择栖" w:date="2026-06-08T14:16:53Z">
        <w:r>
          <w:rPr>
            <w:rFonts w:ascii="宋体" w:hAnsi="宋体"/>
            <w:szCs w:val="21"/>
          </w:rPr>
          <w:t>在设备交货之前在投标方厂内进行下列工厂试验项目, 以表明设备符合本技术条件书规定的要求。招标方代表参加作为试验见证。</w:t>
        </w:r>
      </w:ins>
    </w:p>
    <w:p>
      <w:pPr>
        <w:tabs>
          <w:tab w:val="left" w:pos="3960"/>
        </w:tabs>
        <w:spacing w:line="360" w:lineRule="auto"/>
        <w:ind w:firstLine="420" w:firstLineChars="200"/>
        <w:rPr>
          <w:ins w:id="32" w:author="陈择栖" w:date="2026-06-08T14:16:53Z"/>
          <w:rFonts w:hint="eastAsia" w:ascii="宋体" w:hAnsi="宋体"/>
          <w:szCs w:val="21"/>
        </w:rPr>
      </w:pPr>
      <w:ins w:id="33" w:author="陈择栖" w:date="2026-06-08T14:16:53Z">
        <w:r>
          <w:rPr>
            <w:rFonts w:hint="eastAsia" w:ascii="宋体" w:hAnsi="宋体"/>
            <w:szCs w:val="21"/>
          </w:rPr>
          <w:t>投标方应具备齐全、灵活的测试程序和手段，并应提供设备硬件、软件功能、通信通道、防误措施等方面的测试报告。</w:t>
        </w:r>
      </w:ins>
    </w:p>
    <w:p>
      <w:pPr>
        <w:tabs>
          <w:tab w:val="left" w:pos="3960"/>
        </w:tabs>
        <w:spacing w:line="360" w:lineRule="auto"/>
        <w:ind w:firstLine="420" w:firstLineChars="200"/>
        <w:rPr>
          <w:ins w:id="34" w:author="陈择栖" w:date="2026-06-08T14:16:53Z"/>
          <w:rFonts w:ascii="宋体" w:hAnsi="宋体"/>
          <w:szCs w:val="21"/>
        </w:rPr>
      </w:pPr>
      <w:ins w:id="35" w:author="陈择栖" w:date="2026-06-08T14:16:53Z">
        <w:r>
          <w:rPr>
            <w:rFonts w:hint="eastAsia" w:ascii="宋体" w:hAnsi="宋体"/>
            <w:szCs w:val="21"/>
          </w:rPr>
          <w:t>6.3.1  装置的外部检查、有关二次回路的绝缘和耐压检验、有关操作信号设备及其回路的检验、逆变电源的检验。</w:t>
        </w:r>
      </w:ins>
    </w:p>
    <w:p>
      <w:pPr>
        <w:tabs>
          <w:tab w:val="left" w:pos="3960"/>
        </w:tabs>
        <w:spacing w:line="360" w:lineRule="auto"/>
        <w:ind w:firstLine="420" w:firstLineChars="200"/>
        <w:rPr>
          <w:ins w:id="36" w:author="陈择栖" w:date="2026-06-08T14:16:53Z"/>
          <w:rFonts w:ascii="宋体" w:hAnsi="宋体"/>
          <w:szCs w:val="21"/>
        </w:rPr>
      </w:pPr>
      <w:ins w:id="37" w:author="陈择栖" w:date="2026-06-08T14:16:53Z">
        <w:r>
          <w:rPr>
            <w:rFonts w:hint="eastAsia" w:ascii="宋体" w:hAnsi="宋体"/>
            <w:szCs w:val="21"/>
          </w:rPr>
          <w:t>6.3.2  定值检验还应核实装置在断电或故障重启后定值不会发生变化。</w:t>
        </w:r>
      </w:ins>
    </w:p>
    <w:p>
      <w:pPr>
        <w:tabs>
          <w:tab w:val="left" w:pos="3960"/>
        </w:tabs>
        <w:spacing w:line="360" w:lineRule="auto"/>
        <w:ind w:firstLine="420" w:firstLineChars="200"/>
        <w:rPr>
          <w:ins w:id="38" w:author="陈择栖" w:date="2026-06-08T14:16:53Z"/>
          <w:rFonts w:ascii="宋体" w:hAnsi="宋体"/>
          <w:szCs w:val="21"/>
        </w:rPr>
      </w:pPr>
      <w:ins w:id="39" w:author="陈择栖" w:date="2026-06-08T14:16:53Z">
        <w:r>
          <w:rPr>
            <w:rFonts w:hint="eastAsia" w:ascii="宋体" w:hAnsi="宋体"/>
            <w:szCs w:val="21"/>
          </w:rPr>
          <w:t>6.3.3  装置测量精度测试。</w:t>
        </w:r>
      </w:ins>
    </w:p>
    <w:p>
      <w:pPr>
        <w:tabs>
          <w:tab w:val="left" w:pos="3960"/>
        </w:tabs>
        <w:spacing w:line="360" w:lineRule="auto"/>
        <w:ind w:firstLine="420" w:firstLineChars="200"/>
        <w:rPr>
          <w:ins w:id="40" w:author="陈择栖" w:date="2026-06-08T14:16:53Z"/>
          <w:rFonts w:ascii="宋体" w:hAnsi="宋体"/>
          <w:szCs w:val="21"/>
        </w:rPr>
      </w:pPr>
      <w:ins w:id="41" w:author="陈择栖" w:date="2026-06-08T14:16:53Z">
        <w:r>
          <w:rPr>
            <w:rFonts w:hint="eastAsia" w:ascii="宋体" w:hAnsi="宋体"/>
            <w:szCs w:val="21"/>
          </w:rPr>
          <w:t>6.3.4  装置自检和防误闭锁措施测试。</w:t>
        </w:r>
      </w:ins>
    </w:p>
    <w:p>
      <w:pPr>
        <w:tabs>
          <w:tab w:val="left" w:pos="3960"/>
        </w:tabs>
        <w:spacing w:line="360" w:lineRule="auto"/>
        <w:ind w:firstLine="420" w:firstLineChars="200"/>
        <w:rPr>
          <w:ins w:id="42" w:author="陈择栖" w:date="2026-06-08T14:16:53Z"/>
          <w:rFonts w:ascii="宋体" w:hAnsi="宋体"/>
          <w:szCs w:val="21"/>
        </w:rPr>
      </w:pPr>
      <w:ins w:id="43" w:author="陈择栖" w:date="2026-06-08T14:16:53Z">
        <w:r>
          <w:rPr>
            <w:rFonts w:hint="eastAsia" w:ascii="宋体" w:hAnsi="宋体"/>
            <w:szCs w:val="21"/>
          </w:rPr>
          <w:t>6.3.5  装置故障判据测试。</w:t>
        </w:r>
      </w:ins>
    </w:p>
    <w:p>
      <w:pPr>
        <w:tabs>
          <w:tab w:val="left" w:pos="3960"/>
        </w:tabs>
        <w:spacing w:line="360" w:lineRule="auto"/>
        <w:ind w:firstLine="420" w:firstLineChars="200"/>
        <w:rPr>
          <w:ins w:id="44" w:author="陈择栖" w:date="2026-06-08T14:16:53Z"/>
          <w:rFonts w:ascii="宋体" w:hAnsi="宋体"/>
          <w:szCs w:val="21"/>
        </w:rPr>
      </w:pPr>
      <w:ins w:id="45" w:author="陈择栖" w:date="2026-06-08T14:16:53Z">
        <w:r>
          <w:rPr>
            <w:rFonts w:hint="eastAsia" w:ascii="宋体" w:hAnsi="宋体"/>
            <w:szCs w:val="21"/>
          </w:rPr>
          <w:t>6.3.6  装置报文校验测试。</w:t>
        </w:r>
      </w:ins>
    </w:p>
    <w:p>
      <w:pPr>
        <w:tabs>
          <w:tab w:val="left" w:pos="3960"/>
        </w:tabs>
        <w:spacing w:line="360" w:lineRule="auto"/>
        <w:ind w:firstLine="420" w:firstLineChars="200"/>
        <w:rPr>
          <w:ins w:id="46" w:author="陈择栖" w:date="2026-06-08T14:16:53Z"/>
          <w:rFonts w:ascii="宋体" w:hAnsi="宋体"/>
          <w:szCs w:val="21"/>
        </w:rPr>
      </w:pPr>
      <w:ins w:id="47" w:author="陈择栖" w:date="2026-06-08T14:16:53Z">
        <w:r>
          <w:rPr>
            <w:rFonts w:hint="eastAsia" w:ascii="宋体" w:hAnsi="宋体"/>
            <w:szCs w:val="21"/>
          </w:rPr>
          <w:t>6.3.7  装置报告完整性测试。</w:t>
        </w:r>
      </w:ins>
    </w:p>
    <w:p>
      <w:pPr>
        <w:tabs>
          <w:tab w:val="left" w:pos="3960"/>
        </w:tabs>
        <w:spacing w:line="360" w:lineRule="auto"/>
        <w:ind w:firstLine="420" w:firstLineChars="200"/>
        <w:rPr>
          <w:ins w:id="48" w:author="陈择栖" w:date="2026-06-08T14:16:53Z"/>
          <w:rFonts w:ascii="宋体" w:hAnsi="宋体"/>
          <w:szCs w:val="21"/>
        </w:rPr>
      </w:pPr>
      <w:ins w:id="49" w:author="陈择栖" w:date="2026-06-08T14:16:53Z">
        <w:r>
          <w:rPr>
            <w:rFonts w:hint="eastAsia" w:ascii="宋体" w:hAnsi="宋体"/>
            <w:szCs w:val="21"/>
          </w:rPr>
          <w:t>6.3.8  软件版本测试。</w:t>
        </w:r>
      </w:ins>
    </w:p>
    <w:p>
      <w:pPr>
        <w:tabs>
          <w:tab w:val="left" w:pos="3960"/>
        </w:tabs>
        <w:spacing w:line="360" w:lineRule="auto"/>
        <w:ind w:firstLine="420" w:firstLineChars="200"/>
        <w:rPr>
          <w:ins w:id="50" w:author="陈择栖" w:date="2026-06-08T14:16:53Z"/>
          <w:rFonts w:hint="eastAsia" w:ascii="宋体" w:hAnsi="宋体"/>
          <w:szCs w:val="21"/>
        </w:rPr>
      </w:pPr>
      <w:ins w:id="51" w:author="陈择栖" w:date="2026-06-08T14:16:53Z">
        <w:r>
          <w:rPr>
            <w:rFonts w:hint="eastAsia" w:ascii="宋体" w:hAnsi="宋体"/>
            <w:szCs w:val="21"/>
          </w:rPr>
          <w:t>6.3.9  装置图纸资料检查。</w:t>
        </w:r>
      </w:ins>
    </w:p>
    <w:p>
      <w:pPr>
        <w:tabs>
          <w:tab w:val="left" w:pos="3960"/>
        </w:tabs>
        <w:spacing w:line="360" w:lineRule="auto"/>
        <w:ind w:firstLine="420" w:firstLineChars="200"/>
        <w:rPr>
          <w:ins w:id="52" w:author="陈择栖" w:date="2026-06-08T14:16:53Z"/>
          <w:rFonts w:hint="eastAsia" w:ascii="宋体" w:hAnsi="宋体"/>
          <w:szCs w:val="21"/>
        </w:rPr>
      </w:pPr>
      <w:ins w:id="53" w:author="陈择栖" w:date="2026-06-08T14:16:53Z">
        <w:r>
          <w:rPr>
            <w:rFonts w:hint="eastAsia" w:ascii="宋体" w:hAnsi="宋体"/>
            <w:szCs w:val="21"/>
          </w:rPr>
          <w:t>6.3.10  切负荷逻辑测试。</w:t>
        </w:r>
      </w:ins>
    </w:p>
    <w:p>
      <w:pPr>
        <w:tabs>
          <w:tab w:val="left" w:pos="3960"/>
        </w:tabs>
        <w:spacing w:line="360" w:lineRule="auto"/>
        <w:ind w:firstLine="420" w:firstLineChars="200"/>
        <w:rPr>
          <w:ins w:id="54" w:author="陈择栖" w:date="2026-06-08T14:16:53Z"/>
          <w:rFonts w:hint="eastAsia" w:ascii="宋体" w:hAnsi="宋体"/>
          <w:szCs w:val="21"/>
        </w:rPr>
      </w:pPr>
      <w:ins w:id="55" w:author="陈择栖" w:date="2026-06-08T14:16:53Z">
        <w:r>
          <w:rPr>
            <w:rFonts w:hint="eastAsia" w:ascii="宋体" w:hAnsi="宋体"/>
            <w:szCs w:val="21"/>
          </w:rPr>
          <w:t>6.3.11  总的</w:t>
        </w:r>
      </w:ins>
      <w:ins w:id="56" w:author="陈择栖" w:date="2026-06-08T14:16:53Z">
        <w:r>
          <w:rPr>
            <w:rFonts w:hint="eastAsia" w:ascii="宋体" w:hAnsi="宋体"/>
            <w:szCs w:val="21"/>
            <w:lang w:val="en-US" w:eastAsia="zh-CN"/>
          </w:rPr>
          <w:t>切负荷</w:t>
        </w:r>
      </w:ins>
      <w:ins w:id="57" w:author="陈择栖" w:date="2026-06-08T14:16:53Z">
        <w:r>
          <w:rPr>
            <w:rFonts w:hint="eastAsia" w:ascii="宋体" w:hAnsi="宋体"/>
            <w:szCs w:val="21"/>
          </w:rPr>
          <w:t>时间测量。</w:t>
        </w:r>
      </w:ins>
    </w:p>
    <w:p>
      <w:pPr>
        <w:tabs>
          <w:tab w:val="left" w:pos="3960"/>
        </w:tabs>
        <w:spacing w:line="360" w:lineRule="auto"/>
        <w:ind w:firstLine="420" w:firstLineChars="200"/>
        <w:rPr>
          <w:ins w:id="58" w:author="陈择栖" w:date="2026-06-08T14:16:53Z"/>
          <w:rFonts w:hint="eastAsia" w:eastAsia="宋体" w:cs="Times New Roman"/>
          <w:szCs w:val="21"/>
        </w:rPr>
      </w:pPr>
      <w:ins w:id="59" w:author="陈择栖" w:date="2026-06-08T14:16:53Z">
        <w:r>
          <w:rPr>
            <w:rFonts w:hint="eastAsia" w:ascii="宋体" w:hAnsi="宋体"/>
            <w:szCs w:val="21"/>
          </w:rPr>
          <w:t>6.3.12  通电试验。</w:t>
        </w:r>
      </w:ins>
    </w:p>
    <w:p>
      <w:pPr>
        <w:pStyle w:val="3"/>
        <w:numPr>
          <w:ilvl w:val="0"/>
          <w:numId w:val="0"/>
        </w:numPr>
        <w:rPr>
          <w:ins w:id="60" w:author="陈择栖" w:date="2026-06-08T14:16:53Z"/>
          <w:rFonts w:ascii="黑体" w:eastAsia="黑体"/>
        </w:rPr>
      </w:pPr>
      <w:ins w:id="61" w:author="陈择栖" w:date="2026-06-08T14:16:53Z">
        <w:r>
          <w:rPr>
            <w:rFonts w:ascii="黑体" w:eastAsia="黑体"/>
          </w:rPr>
          <w:t>6.</w:t>
        </w:r>
      </w:ins>
      <w:ins w:id="62" w:author="陈择栖" w:date="2026-06-08T14:16:53Z">
        <w:r>
          <w:rPr>
            <w:rFonts w:hint="eastAsia" w:ascii="黑体" w:eastAsia="黑体"/>
            <w:lang w:val="en-US" w:eastAsia="zh-CN"/>
          </w:rPr>
          <w:t>4</w:t>
        </w:r>
      </w:ins>
      <w:ins w:id="63" w:author="陈择栖" w:date="2026-06-08T14:16:53Z">
        <w:r>
          <w:rPr>
            <w:rFonts w:ascii="黑体" w:eastAsia="黑体"/>
          </w:rPr>
          <w:t xml:space="preserve"> 现场交接试验</w:t>
        </w:r>
      </w:ins>
    </w:p>
    <w:p>
      <w:pPr>
        <w:tabs>
          <w:tab w:val="left" w:pos="1440"/>
          <w:tab w:val="left" w:pos="3960"/>
        </w:tabs>
        <w:spacing w:line="360" w:lineRule="auto"/>
        <w:ind w:firstLine="420" w:firstLineChars="200"/>
        <w:rPr>
          <w:ins w:id="64" w:author="陈择栖" w:date="2026-06-08T14:16:53Z"/>
          <w:rFonts w:hint="eastAsia" w:ascii="宋体" w:hAnsi="宋体"/>
          <w:szCs w:val="21"/>
        </w:rPr>
      </w:pPr>
      <w:ins w:id="65" w:author="陈择栖" w:date="2026-06-08T14:16:53Z">
        <w:r>
          <w:rPr>
            <w:rFonts w:hint="eastAsia"/>
            <w:szCs w:val="21"/>
          </w:rPr>
          <w:t>安全稳定控制站</w:t>
        </w:r>
      </w:ins>
      <w:ins w:id="66" w:author="陈择栖" w:date="2026-06-08T14:16:53Z">
        <w:r>
          <w:rPr>
            <w:szCs w:val="21"/>
          </w:rPr>
          <w:t>安装完好并完成所有的连接后，应进行现场交接试验。交接试验是为了确认</w:t>
        </w:r>
      </w:ins>
      <w:ins w:id="67" w:author="陈择栖" w:date="2026-06-08T14:16:53Z">
        <w:r>
          <w:rPr>
            <w:rFonts w:hint="eastAsia"/>
            <w:szCs w:val="21"/>
          </w:rPr>
          <w:t>安全稳定控制站</w:t>
        </w:r>
      </w:ins>
      <w:ins w:id="68" w:author="陈择栖" w:date="2026-06-08T14:16:53Z">
        <w:r>
          <w:rPr>
            <w:szCs w:val="21"/>
          </w:rPr>
          <w:t>设备在经过运输、储存、现场安装和/或调整等过程后是否存在损坏、各个单元的兼容性、装配是否正确。</w:t>
        </w:r>
      </w:ins>
    </w:p>
    <w:p>
      <w:pPr>
        <w:tabs>
          <w:tab w:val="left" w:pos="1440"/>
          <w:tab w:val="left" w:pos="3960"/>
        </w:tabs>
        <w:spacing w:line="360" w:lineRule="auto"/>
        <w:ind w:firstLine="420" w:firstLineChars="200"/>
        <w:rPr>
          <w:ins w:id="69" w:author="陈择栖" w:date="2026-06-08T14:16:53Z"/>
          <w:rFonts w:hint="eastAsia" w:ascii="宋体" w:hAnsi="宋体"/>
          <w:szCs w:val="21"/>
        </w:rPr>
      </w:pPr>
      <w:ins w:id="70" w:author="陈择栖" w:date="2026-06-08T14:16:53Z">
        <w:r>
          <w:rPr>
            <w:rFonts w:hint="eastAsia" w:ascii="宋体" w:hAnsi="宋体"/>
            <w:szCs w:val="21"/>
          </w:rPr>
          <w:t>6.3.1  现场安装</w:t>
        </w:r>
      </w:ins>
    </w:p>
    <w:p>
      <w:pPr>
        <w:tabs>
          <w:tab w:val="left" w:pos="1440"/>
          <w:tab w:val="left" w:pos="3960"/>
        </w:tabs>
        <w:spacing w:line="360" w:lineRule="auto"/>
        <w:ind w:firstLine="420" w:firstLineChars="200"/>
        <w:rPr>
          <w:ins w:id="71" w:author="陈择栖" w:date="2026-06-08T14:16:53Z"/>
          <w:rFonts w:hint="eastAsia" w:ascii="宋体" w:hAnsi="宋体"/>
          <w:szCs w:val="21"/>
        </w:rPr>
      </w:pPr>
      <w:ins w:id="72" w:author="陈择栖" w:date="2026-06-08T14:16:53Z">
        <w:r>
          <w:rPr>
            <w:rFonts w:hint="eastAsia" w:ascii="宋体" w:hAnsi="宋体"/>
            <w:szCs w:val="21"/>
          </w:rPr>
          <w:t>设备运到安装现场后，投标方应有有关专业技术人员至现场进行技术指导和安全监督。</w:t>
        </w:r>
      </w:ins>
    </w:p>
    <w:p>
      <w:pPr>
        <w:tabs>
          <w:tab w:val="left" w:pos="1440"/>
          <w:tab w:val="left" w:pos="3960"/>
        </w:tabs>
        <w:spacing w:line="360" w:lineRule="auto"/>
        <w:ind w:firstLine="420" w:firstLineChars="200"/>
        <w:rPr>
          <w:ins w:id="73" w:author="陈择栖" w:date="2026-06-08T14:16:53Z"/>
          <w:rFonts w:hint="eastAsia" w:ascii="宋体" w:hAnsi="宋体"/>
          <w:szCs w:val="21"/>
        </w:rPr>
      </w:pPr>
      <w:ins w:id="74" w:author="陈择栖" w:date="2026-06-08T14:16:53Z">
        <w:r>
          <w:rPr>
            <w:rFonts w:hint="eastAsia" w:ascii="宋体" w:hAnsi="宋体"/>
            <w:szCs w:val="21"/>
          </w:rPr>
          <w:t>6.3.2  现场调试</w:t>
        </w:r>
      </w:ins>
    </w:p>
    <w:p>
      <w:pPr>
        <w:tabs>
          <w:tab w:val="left" w:pos="1440"/>
          <w:tab w:val="left" w:pos="3960"/>
        </w:tabs>
        <w:spacing w:line="360" w:lineRule="auto"/>
        <w:ind w:firstLine="420" w:firstLineChars="200"/>
        <w:rPr>
          <w:ins w:id="75" w:author="陈择栖" w:date="2026-06-08T14:16:53Z"/>
          <w:rFonts w:hint="eastAsia" w:ascii="宋体" w:hAnsi="宋体"/>
          <w:szCs w:val="21"/>
        </w:rPr>
      </w:pPr>
      <w:ins w:id="76" w:author="陈择栖" w:date="2026-06-08T14:16:53Z">
        <w:r>
          <w:rPr>
            <w:rFonts w:hint="eastAsia" w:ascii="宋体" w:hAnsi="宋体"/>
            <w:szCs w:val="21"/>
          </w:rPr>
          <w:t>安装完毕后投标方专家到场参加设备调试, 处理调试中的技术问题。投标方按该策略表进行调试工作, 并进行模拟故障时开关传动试验, 证实装置与其他设备工作正常。</w:t>
        </w:r>
      </w:ins>
    </w:p>
    <w:p>
      <w:pPr>
        <w:tabs>
          <w:tab w:val="left" w:pos="1440"/>
          <w:tab w:val="left" w:pos="3960"/>
        </w:tabs>
        <w:spacing w:line="360" w:lineRule="auto"/>
        <w:ind w:firstLine="420" w:firstLineChars="200"/>
        <w:rPr>
          <w:ins w:id="77" w:author="陈择栖" w:date="2026-06-08T14:16:53Z"/>
          <w:rFonts w:hint="eastAsia" w:ascii="宋体" w:hAnsi="宋体"/>
          <w:szCs w:val="21"/>
        </w:rPr>
      </w:pPr>
      <w:ins w:id="78" w:author="陈择栖" w:date="2026-06-08T14:16:53Z">
        <w:r>
          <w:rPr>
            <w:rFonts w:hint="eastAsia" w:ascii="宋体" w:hAnsi="宋体"/>
            <w:szCs w:val="21"/>
          </w:rPr>
          <w:t>在调试过程中, 若发现设备存在元器件损坏或不正常工作情况、机械结构的损坏等，投标方应负责更换及修理。</w:t>
        </w:r>
      </w:ins>
    </w:p>
    <w:p>
      <w:pPr>
        <w:tabs>
          <w:tab w:val="left" w:pos="1440"/>
          <w:tab w:val="left" w:pos="3960"/>
        </w:tabs>
        <w:spacing w:line="360" w:lineRule="auto"/>
        <w:ind w:firstLine="420" w:firstLineChars="200"/>
        <w:rPr>
          <w:ins w:id="79" w:author="陈择栖" w:date="2026-06-08T14:16:53Z"/>
          <w:rFonts w:hint="eastAsia" w:ascii="宋体" w:hAnsi="宋体"/>
          <w:szCs w:val="21"/>
        </w:rPr>
      </w:pPr>
      <w:ins w:id="80" w:author="陈择栖" w:date="2026-06-08T14:16:53Z">
        <w:r>
          <w:rPr>
            <w:rFonts w:hint="eastAsia" w:ascii="宋体" w:hAnsi="宋体"/>
            <w:szCs w:val="21"/>
          </w:rPr>
          <w:t>各站稳定装置之间、新安全稳定控制装置与已有安全稳定控制装置之间应进行联合调试。</w:t>
        </w:r>
      </w:ins>
    </w:p>
    <w:p>
      <w:pPr>
        <w:tabs>
          <w:tab w:val="left" w:pos="1440"/>
          <w:tab w:val="left" w:pos="3960"/>
        </w:tabs>
        <w:spacing w:line="360" w:lineRule="auto"/>
        <w:ind w:firstLine="420" w:firstLineChars="200"/>
        <w:rPr>
          <w:ins w:id="81" w:author="陈择栖" w:date="2026-06-08T14:16:53Z"/>
          <w:rFonts w:hint="eastAsia" w:eastAsia="宋体" w:cs="Times New Roman"/>
          <w:szCs w:val="21"/>
        </w:rPr>
      </w:pPr>
      <w:ins w:id="82" w:author="陈择栖" w:date="2026-06-08T14:16:53Z">
        <w:r>
          <w:rPr>
            <w:rFonts w:hint="eastAsia" w:ascii="宋体" w:hAnsi="宋体"/>
            <w:szCs w:val="21"/>
          </w:rPr>
          <w:t>调试完毕后, 投标方应向招标方提供设备调试报告。</w:t>
        </w:r>
      </w:ins>
    </w:p>
    <w:p>
      <w:pPr>
        <w:pStyle w:val="15"/>
        <w:adjustRightInd w:val="0"/>
        <w:snapToGrid w:val="0"/>
        <w:spacing w:line="360" w:lineRule="auto"/>
        <w:rPr>
          <w:del w:id="83" w:author="陈择栖" w:date="2026-06-08T14:16:53Z"/>
          <w:rFonts w:eastAsia="宋体" w:cs="Times New Roman"/>
          <w:szCs w:val="21"/>
        </w:rPr>
      </w:pPr>
      <w:del w:id="84" w:author="陈择栖" w:date="2026-06-08T14:16:53Z">
        <w:r>
          <w:rPr>
            <w:rFonts w:eastAsia="宋体" w:cs="Times New Roman"/>
            <w:szCs w:val="21"/>
          </w:rPr>
          <w:delText>根据相关国标和行标等有关标准及其补充说明进行各项试验，有关条款的特殊要求和补充应在试验期间遵守并执行。</w:delText>
        </w:r>
      </w:del>
    </w:p>
    <w:p>
      <w:pPr>
        <w:pStyle w:val="3"/>
        <w:numPr>
          <w:ilvl w:val="0"/>
          <w:numId w:val="0"/>
        </w:numPr>
        <w:rPr>
          <w:del w:id="85" w:author="陈择栖" w:date="2026-06-08T14:16:53Z"/>
          <w:rFonts w:ascii="黑体" w:eastAsia="黑体"/>
        </w:rPr>
      </w:pPr>
      <w:del w:id="86" w:author="陈择栖" w:date="2026-06-08T14:16:53Z">
        <w:bookmarkStart w:id="77" w:name="_Toc2384"/>
        <w:bookmarkStart w:id="78" w:name="_Toc403567348"/>
        <w:bookmarkStart w:id="79" w:name="_Toc283566856"/>
        <w:r>
          <w:rPr>
            <w:rFonts w:ascii="黑体" w:eastAsia="黑体"/>
          </w:rPr>
          <w:delText>6.1 型式试验</w:delText>
        </w:r>
        <w:bookmarkEnd w:id="77"/>
        <w:bookmarkEnd w:id="78"/>
        <w:bookmarkEnd w:id="79"/>
      </w:del>
    </w:p>
    <w:p>
      <w:pPr>
        <w:pStyle w:val="4"/>
        <w:keepNext/>
        <w:keepLines/>
        <w:numPr>
          <w:ilvl w:val="3"/>
          <w:numId w:val="0"/>
        </w:numPr>
        <w:tabs>
          <w:tab w:val="left" w:pos="864"/>
        </w:tabs>
        <w:spacing w:line="240" w:lineRule="auto"/>
        <w:rPr>
          <w:del w:id="87" w:author="陈择栖" w:date="2026-06-08T14:16:53Z"/>
        </w:rPr>
      </w:pPr>
      <w:del w:id="88" w:author="陈择栖" w:date="2026-06-08T14:16:53Z">
        <w:r>
          <w:rPr>
            <w:rFonts w:hint="eastAsia"/>
          </w:rPr>
          <w:delText>6.1.1型式检验规定</w:delText>
        </w:r>
      </w:del>
    </w:p>
    <w:p>
      <w:pPr>
        <w:ind w:firstLine="420" w:firstLineChars="200"/>
        <w:rPr>
          <w:del w:id="89" w:author="陈择栖" w:date="2026-06-08T14:16:53Z"/>
          <w:szCs w:val="21"/>
        </w:rPr>
      </w:pPr>
      <w:del w:id="90" w:author="陈择栖" w:date="2026-06-08T14:16:53Z">
        <w:r>
          <w:rPr>
            <w:szCs w:val="21"/>
          </w:rPr>
          <w:delText>凡遇下列情况之一，需进行型式检验：</w:delText>
        </w:r>
      </w:del>
    </w:p>
    <w:p>
      <w:pPr>
        <w:numPr>
          <w:ilvl w:val="0"/>
          <w:numId w:val="13"/>
        </w:numPr>
        <w:tabs>
          <w:tab w:val="left" w:pos="0"/>
        </w:tabs>
        <w:ind w:left="0" w:firstLine="426"/>
        <w:outlineLvl w:val="3"/>
        <w:rPr>
          <w:del w:id="91" w:author="陈择栖" w:date="2026-06-08T14:16:53Z"/>
          <w:szCs w:val="21"/>
        </w:rPr>
      </w:pPr>
      <w:del w:id="92" w:author="陈择栖" w:date="2026-06-08T14:16:53Z">
        <w:r>
          <w:rPr>
            <w:szCs w:val="21"/>
          </w:rPr>
          <w:delText>新装置定型鉴定前；</w:delText>
        </w:r>
      </w:del>
    </w:p>
    <w:p>
      <w:pPr>
        <w:numPr>
          <w:ilvl w:val="0"/>
          <w:numId w:val="13"/>
        </w:numPr>
        <w:tabs>
          <w:tab w:val="left" w:pos="0"/>
        </w:tabs>
        <w:ind w:left="0" w:firstLine="426"/>
        <w:outlineLvl w:val="3"/>
        <w:rPr>
          <w:del w:id="93" w:author="陈择栖" w:date="2026-06-08T14:16:53Z"/>
          <w:szCs w:val="21"/>
        </w:rPr>
      </w:pPr>
      <w:del w:id="94" w:author="陈择栖" w:date="2026-06-08T14:16:53Z">
        <w:r>
          <w:rPr>
            <w:szCs w:val="21"/>
          </w:rPr>
          <w:delText>装置转厂生产定型鉴定前；</w:delText>
        </w:r>
      </w:del>
    </w:p>
    <w:p>
      <w:pPr>
        <w:numPr>
          <w:ilvl w:val="0"/>
          <w:numId w:val="13"/>
        </w:numPr>
        <w:tabs>
          <w:tab w:val="left" w:pos="0"/>
        </w:tabs>
        <w:ind w:left="0" w:firstLine="426"/>
        <w:outlineLvl w:val="3"/>
        <w:rPr>
          <w:del w:id="95" w:author="陈择栖" w:date="2026-06-08T14:16:53Z"/>
          <w:szCs w:val="21"/>
        </w:rPr>
      </w:pPr>
      <w:del w:id="96" w:author="陈择栖" w:date="2026-06-08T14:16:53Z">
        <w:r>
          <w:rPr>
            <w:szCs w:val="21"/>
          </w:rPr>
          <w:delText>装置停产二年以上又重新恢复生产时；</w:delText>
        </w:r>
      </w:del>
    </w:p>
    <w:p>
      <w:pPr>
        <w:numPr>
          <w:ilvl w:val="0"/>
          <w:numId w:val="13"/>
        </w:numPr>
        <w:tabs>
          <w:tab w:val="left" w:pos="0"/>
        </w:tabs>
        <w:ind w:left="0" w:firstLine="426"/>
        <w:outlineLvl w:val="3"/>
        <w:rPr>
          <w:del w:id="97" w:author="陈择栖" w:date="2026-06-08T14:16:53Z"/>
          <w:szCs w:val="21"/>
        </w:rPr>
      </w:pPr>
      <w:del w:id="98" w:author="陈择栖" w:date="2026-06-08T14:16:53Z">
        <w:r>
          <w:rPr>
            <w:szCs w:val="21"/>
          </w:rPr>
          <w:delText>连续批量生产的装置每四年一次；</w:delText>
        </w:r>
      </w:del>
    </w:p>
    <w:p>
      <w:pPr>
        <w:numPr>
          <w:ilvl w:val="0"/>
          <w:numId w:val="13"/>
        </w:numPr>
        <w:tabs>
          <w:tab w:val="left" w:pos="0"/>
        </w:tabs>
        <w:ind w:left="0" w:firstLine="426"/>
        <w:outlineLvl w:val="3"/>
        <w:rPr>
          <w:del w:id="99" w:author="陈择栖" w:date="2026-06-08T14:16:53Z"/>
          <w:szCs w:val="21"/>
        </w:rPr>
      </w:pPr>
      <w:del w:id="100" w:author="陈择栖" w:date="2026-06-08T14:16:53Z">
        <w:r>
          <w:rPr>
            <w:szCs w:val="21"/>
          </w:rPr>
          <w:delText>正式投产后，如果设计、工艺、材料、元器件有较大改变，可能影响产品性能时；</w:delText>
        </w:r>
      </w:del>
    </w:p>
    <w:p>
      <w:pPr>
        <w:numPr>
          <w:ilvl w:val="0"/>
          <w:numId w:val="13"/>
        </w:numPr>
        <w:tabs>
          <w:tab w:val="left" w:pos="0"/>
        </w:tabs>
        <w:ind w:left="0" w:firstLine="426"/>
        <w:outlineLvl w:val="3"/>
        <w:rPr>
          <w:del w:id="101" w:author="陈择栖" w:date="2026-06-08T14:16:53Z"/>
          <w:szCs w:val="21"/>
        </w:rPr>
      </w:pPr>
      <w:del w:id="102" w:author="陈择栖" w:date="2026-06-08T14:16:53Z">
        <w:r>
          <w:rPr>
            <w:szCs w:val="21"/>
          </w:rPr>
          <w:delText>国家质量技术监督机构或受其委托的质量技术检验部门提出型式检验要求时；</w:delText>
        </w:r>
      </w:del>
    </w:p>
    <w:p>
      <w:pPr>
        <w:numPr>
          <w:ilvl w:val="0"/>
          <w:numId w:val="13"/>
        </w:numPr>
        <w:tabs>
          <w:tab w:val="left" w:pos="0"/>
        </w:tabs>
        <w:ind w:left="0" w:firstLine="426"/>
        <w:outlineLvl w:val="3"/>
        <w:rPr>
          <w:del w:id="103" w:author="陈择栖" w:date="2026-06-08T14:16:53Z"/>
          <w:szCs w:val="21"/>
        </w:rPr>
      </w:pPr>
      <w:del w:id="104" w:author="陈择栖" w:date="2026-06-08T14:16:53Z">
        <w:r>
          <w:rPr>
            <w:szCs w:val="21"/>
          </w:rPr>
          <w:delText>出厂检验结果与上批装置有较大差异时；</w:delText>
        </w:r>
      </w:del>
    </w:p>
    <w:p>
      <w:pPr>
        <w:numPr>
          <w:ilvl w:val="0"/>
          <w:numId w:val="13"/>
        </w:numPr>
        <w:tabs>
          <w:tab w:val="left" w:pos="0"/>
        </w:tabs>
        <w:ind w:left="0" w:firstLine="426"/>
        <w:outlineLvl w:val="3"/>
        <w:rPr>
          <w:del w:id="105" w:author="陈择栖" w:date="2026-06-08T14:16:53Z"/>
          <w:szCs w:val="21"/>
        </w:rPr>
      </w:pPr>
      <w:del w:id="106" w:author="陈择栖" w:date="2026-06-08T14:16:53Z">
        <w:r>
          <w:rPr>
            <w:szCs w:val="21"/>
          </w:rPr>
          <w:delText>合同规定时。</w:delText>
        </w:r>
      </w:del>
    </w:p>
    <w:p>
      <w:pPr>
        <w:pStyle w:val="4"/>
        <w:keepNext/>
        <w:keepLines/>
        <w:numPr>
          <w:ilvl w:val="3"/>
          <w:numId w:val="0"/>
        </w:numPr>
        <w:tabs>
          <w:tab w:val="left" w:pos="864"/>
        </w:tabs>
        <w:spacing w:line="240" w:lineRule="auto"/>
        <w:rPr>
          <w:del w:id="107" w:author="陈择栖" w:date="2026-06-08T14:16:53Z"/>
        </w:rPr>
      </w:pPr>
      <w:del w:id="108" w:author="陈择栖" w:date="2026-06-08T14:16:53Z">
        <w:r>
          <w:rPr>
            <w:rFonts w:hint="eastAsia"/>
          </w:rPr>
          <w:delText xml:space="preserve"> 6.1.2型式检验项目</w:delText>
        </w:r>
      </w:del>
    </w:p>
    <w:p>
      <w:pPr>
        <w:ind w:firstLine="420" w:firstLineChars="200"/>
        <w:rPr>
          <w:del w:id="109" w:author="陈择栖" w:date="2026-06-08T14:16:53Z"/>
          <w:szCs w:val="21"/>
        </w:rPr>
      </w:pPr>
      <w:del w:id="110" w:author="陈择栖" w:date="2026-06-08T14:16:53Z">
        <w:r>
          <w:rPr>
            <w:szCs w:val="21"/>
          </w:rPr>
          <w:delText>对如下项目逐条进行型式检验，</w:delText>
        </w:r>
      </w:del>
    </w:p>
    <w:p>
      <w:pPr>
        <w:numPr>
          <w:ilvl w:val="0"/>
          <w:numId w:val="14"/>
        </w:numPr>
        <w:tabs>
          <w:tab w:val="left" w:pos="0"/>
        </w:tabs>
        <w:ind w:left="0" w:firstLine="426"/>
        <w:outlineLvl w:val="3"/>
        <w:rPr>
          <w:del w:id="111" w:author="陈择栖" w:date="2026-06-08T14:16:53Z"/>
          <w:szCs w:val="21"/>
        </w:rPr>
      </w:pPr>
      <w:del w:id="112" w:author="陈择栖" w:date="2026-06-08T14:16:53Z">
        <w:r>
          <w:rPr>
            <w:szCs w:val="21"/>
          </w:rPr>
          <w:delText>温度影响；</w:delText>
        </w:r>
      </w:del>
    </w:p>
    <w:p>
      <w:pPr>
        <w:numPr>
          <w:ilvl w:val="0"/>
          <w:numId w:val="14"/>
        </w:numPr>
        <w:tabs>
          <w:tab w:val="left" w:pos="0"/>
        </w:tabs>
        <w:ind w:left="0" w:firstLine="426"/>
        <w:outlineLvl w:val="3"/>
        <w:rPr>
          <w:del w:id="113" w:author="陈择栖" w:date="2026-06-08T14:16:53Z"/>
          <w:szCs w:val="21"/>
        </w:rPr>
      </w:pPr>
      <w:del w:id="114" w:author="陈择栖" w:date="2026-06-08T14:16:53Z">
        <w:r>
          <w:rPr>
            <w:szCs w:val="21"/>
          </w:rPr>
          <w:delText>温度贮存；</w:delText>
        </w:r>
      </w:del>
    </w:p>
    <w:p>
      <w:pPr>
        <w:numPr>
          <w:ilvl w:val="0"/>
          <w:numId w:val="14"/>
        </w:numPr>
        <w:tabs>
          <w:tab w:val="left" w:pos="0"/>
        </w:tabs>
        <w:ind w:left="0" w:firstLine="426"/>
        <w:outlineLvl w:val="3"/>
        <w:rPr>
          <w:del w:id="115" w:author="陈择栖" w:date="2026-06-08T14:16:53Z"/>
          <w:szCs w:val="21"/>
        </w:rPr>
      </w:pPr>
      <w:del w:id="116" w:author="陈择栖" w:date="2026-06-08T14:16:53Z">
        <w:r>
          <w:rPr>
            <w:szCs w:val="21"/>
          </w:rPr>
          <w:delText>功率消耗；</w:delText>
        </w:r>
      </w:del>
    </w:p>
    <w:p>
      <w:pPr>
        <w:numPr>
          <w:ilvl w:val="0"/>
          <w:numId w:val="14"/>
        </w:numPr>
        <w:tabs>
          <w:tab w:val="left" w:pos="0"/>
        </w:tabs>
        <w:ind w:left="0" w:firstLine="426"/>
        <w:outlineLvl w:val="3"/>
        <w:rPr>
          <w:del w:id="117" w:author="陈择栖" w:date="2026-06-08T14:16:53Z"/>
          <w:szCs w:val="21"/>
        </w:rPr>
      </w:pPr>
      <w:del w:id="118" w:author="陈择栖" w:date="2026-06-08T14:16:53Z">
        <w:r>
          <w:rPr>
            <w:szCs w:val="21"/>
          </w:rPr>
          <w:delText>过载能力；</w:delText>
        </w:r>
      </w:del>
    </w:p>
    <w:p>
      <w:pPr>
        <w:numPr>
          <w:ilvl w:val="0"/>
          <w:numId w:val="14"/>
        </w:numPr>
        <w:tabs>
          <w:tab w:val="left" w:pos="0"/>
        </w:tabs>
        <w:ind w:left="0" w:firstLine="426"/>
        <w:outlineLvl w:val="3"/>
        <w:rPr>
          <w:del w:id="119" w:author="陈择栖" w:date="2026-06-08T14:16:53Z"/>
          <w:szCs w:val="21"/>
        </w:rPr>
      </w:pPr>
      <w:del w:id="120" w:author="陈择栖" w:date="2026-06-08T14:16:53Z">
        <w:r>
          <w:rPr>
            <w:szCs w:val="21"/>
          </w:rPr>
          <w:delText>主要功能、技术性能；</w:delText>
        </w:r>
      </w:del>
    </w:p>
    <w:p>
      <w:pPr>
        <w:numPr>
          <w:ilvl w:val="0"/>
          <w:numId w:val="14"/>
        </w:numPr>
        <w:tabs>
          <w:tab w:val="left" w:pos="0"/>
        </w:tabs>
        <w:ind w:left="0" w:firstLine="426"/>
        <w:outlineLvl w:val="3"/>
        <w:rPr>
          <w:del w:id="121" w:author="陈择栖" w:date="2026-06-08T14:16:53Z"/>
          <w:szCs w:val="21"/>
        </w:rPr>
      </w:pPr>
      <w:del w:id="122" w:author="陈择栖" w:date="2026-06-08T14:16:53Z">
        <w:r>
          <w:rPr>
            <w:szCs w:val="21"/>
          </w:rPr>
          <w:delText>静态模拟；</w:delText>
        </w:r>
      </w:del>
    </w:p>
    <w:p>
      <w:pPr>
        <w:numPr>
          <w:ilvl w:val="0"/>
          <w:numId w:val="14"/>
        </w:numPr>
        <w:tabs>
          <w:tab w:val="left" w:pos="0"/>
        </w:tabs>
        <w:ind w:left="0" w:firstLine="426"/>
        <w:outlineLvl w:val="3"/>
        <w:rPr>
          <w:del w:id="123" w:author="陈择栖" w:date="2026-06-08T14:16:53Z"/>
          <w:szCs w:val="21"/>
        </w:rPr>
      </w:pPr>
      <w:del w:id="124" w:author="陈择栖" w:date="2026-06-08T14:16:53Z">
        <w:r>
          <w:rPr>
            <w:szCs w:val="21"/>
          </w:rPr>
          <w:delText>动态模拟；</w:delText>
        </w:r>
      </w:del>
    </w:p>
    <w:p>
      <w:pPr>
        <w:numPr>
          <w:ilvl w:val="0"/>
          <w:numId w:val="14"/>
        </w:numPr>
        <w:tabs>
          <w:tab w:val="left" w:pos="0"/>
        </w:tabs>
        <w:ind w:left="0" w:firstLine="426"/>
        <w:outlineLvl w:val="3"/>
        <w:rPr>
          <w:del w:id="125" w:author="陈择栖" w:date="2026-06-08T14:16:53Z"/>
          <w:szCs w:val="21"/>
        </w:rPr>
      </w:pPr>
      <w:del w:id="126" w:author="陈择栖" w:date="2026-06-08T14:16:53Z">
        <w:r>
          <w:rPr>
            <w:szCs w:val="21"/>
          </w:rPr>
          <w:delText>电磁兼容性能；</w:delText>
        </w:r>
      </w:del>
    </w:p>
    <w:p>
      <w:pPr>
        <w:numPr>
          <w:ilvl w:val="0"/>
          <w:numId w:val="14"/>
        </w:numPr>
        <w:tabs>
          <w:tab w:val="left" w:pos="0"/>
        </w:tabs>
        <w:ind w:left="0" w:firstLine="426"/>
        <w:outlineLvl w:val="3"/>
        <w:rPr>
          <w:del w:id="127" w:author="陈择栖" w:date="2026-06-08T14:16:53Z"/>
          <w:szCs w:val="21"/>
        </w:rPr>
      </w:pPr>
      <w:del w:id="128" w:author="陈择栖" w:date="2026-06-08T14:16:53Z">
        <w:r>
          <w:rPr>
            <w:szCs w:val="21"/>
          </w:rPr>
          <w:delText>直流电源影响；</w:delText>
        </w:r>
      </w:del>
    </w:p>
    <w:p>
      <w:pPr>
        <w:numPr>
          <w:ilvl w:val="0"/>
          <w:numId w:val="14"/>
        </w:numPr>
        <w:tabs>
          <w:tab w:val="left" w:pos="0"/>
        </w:tabs>
        <w:ind w:left="0" w:firstLine="426"/>
        <w:outlineLvl w:val="3"/>
        <w:rPr>
          <w:del w:id="129" w:author="陈择栖" w:date="2026-06-08T14:16:53Z"/>
          <w:szCs w:val="21"/>
        </w:rPr>
      </w:pPr>
      <w:del w:id="130" w:author="陈择栖" w:date="2026-06-08T14:16:53Z">
        <w:r>
          <w:rPr>
            <w:szCs w:val="21"/>
          </w:rPr>
          <w:delText>绝缘性能；</w:delText>
        </w:r>
      </w:del>
    </w:p>
    <w:p>
      <w:pPr>
        <w:numPr>
          <w:ilvl w:val="0"/>
          <w:numId w:val="14"/>
        </w:numPr>
        <w:tabs>
          <w:tab w:val="left" w:pos="0"/>
        </w:tabs>
        <w:ind w:left="0" w:firstLine="426"/>
        <w:outlineLvl w:val="3"/>
        <w:rPr>
          <w:del w:id="131" w:author="陈择栖" w:date="2026-06-08T14:16:53Z"/>
          <w:szCs w:val="21"/>
        </w:rPr>
      </w:pPr>
      <w:del w:id="132" w:author="陈择栖" w:date="2026-06-08T14:16:53Z">
        <w:r>
          <w:rPr>
            <w:szCs w:val="21"/>
          </w:rPr>
          <w:delText>耐湿热性能；</w:delText>
        </w:r>
      </w:del>
    </w:p>
    <w:p>
      <w:pPr>
        <w:numPr>
          <w:ilvl w:val="0"/>
          <w:numId w:val="14"/>
        </w:numPr>
        <w:tabs>
          <w:tab w:val="left" w:pos="0"/>
        </w:tabs>
        <w:ind w:left="0" w:firstLine="426"/>
        <w:outlineLvl w:val="3"/>
        <w:rPr>
          <w:del w:id="133" w:author="陈择栖" w:date="2026-06-08T14:16:53Z"/>
          <w:szCs w:val="21"/>
        </w:rPr>
      </w:pPr>
      <w:del w:id="134" w:author="陈择栖" w:date="2026-06-08T14:16:53Z">
        <w:r>
          <w:rPr>
            <w:szCs w:val="21"/>
          </w:rPr>
          <w:delText>连续通电；</w:delText>
        </w:r>
      </w:del>
    </w:p>
    <w:p>
      <w:pPr>
        <w:numPr>
          <w:ilvl w:val="0"/>
          <w:numId w:val="14"/>
        </w:numPr>
        <w:tabs>
          <w:tab w:val="left" w:pos="0"/>
        </w:tabs>
        <w:ind w:left="0" w:firstLine="426"/>
        <w:outlineLvl w:val="3"/>
        <w:rPr>
          <w:del w:id="135" w:author="陈择栖" w:date="2026-06-08T14:16:53Z"/>
          <w:szCs w:val="21"/>
        </w:rPr>
      </w:pPr>
      <w:del w:id="136" w:author="陈择栖" w:date="2026-06-08T14:16:53Z">
        <w:r>
          <w:rPr>
            <w:szCs w:val="21"/>
          </w:rPr>
          <w:delText>机械性能；</w:delText>
        </w:r>
      </w:del>
    </w:p>
    <w:p>
      <w:pPr>
        <w:numPr>
          <w:ilvl w:val="0"/>
          <w:numId w:val="14"/>
        </w:numPr>
        <w:tabs>
          <w:tab w:val="left" w:pos="0"/>
        </w:tabs>
        <w:ind w:left="0" w:firstLine="426"/>
        <w:outlineLvl w:val="3"/>
        <w:rPr>
          <w:del w:id="137" w:author="陈择栖" w:date="2026-06-08T14:16:53Z"/>
          <w:szCs w:val="21"/>
        </w:rPr>
      </w:pPr>
      <w:del w:id="138" w:author="陈择栖" w:date="2026-06-08T14:16:53Z">
        <w:r>
          <w:rPr>
            <w:szCs w:val="21"/>
          </w:rPr>
          <w:delText>结构与外观；</w:delText>
        </w:r>
      </w:del>
    </w:p>
    <w:p>
      <w:pPr>
        <w:numPr>
          <w:ilvl w:val="0"/>
          <w:numId w:val="14"/>
        </w:numPr>
        <w:tabs>
          <w:tab w:val="left" w:pos="0"/>
        </w:tabs>
        <w:ind w:left="0" w:firstLine="426"/>
        <w:outlineLvl w:val="3"/>
        <w:rPr>
          <w:del w:id="139" w:author="陈择栖" w:date="2026-06-08T14:16:53Z"/>
          <w:szCs w:val="21"/>
        </w:rPr>
      </w:pPr>
      <w:del w:id="140" w:author="陈择栖" w:date="2026-06-08T14:16:53Z">
        <w:r>
          <w:rPr>
            <w:szCs w:val="21"/>
          </w:rPr>
          <w:delText>安全。</w:delText>
        </w:r>
      </w:del>
    </w:p>
    <w:p>
      <w:pPr>
        <w:ind w:firstLine="420" w:firstLineChars="200"/>
        <w:rPr>
          <w:del w:id="141" w:author="陈择栖" w:date="2026-06-08T14:16:53Z"/>
          <w:szCs w:val="21"/>
        </w:rPr>
      </w:pPr>
      <w:del w:id="142" w:author="陈择栖" w:date="2026-06-08T14:16:53Z">
        <w:r>
          <w:rPr>
            <w:szCs w:val="21"/>
          </w:rPr>
          <w:delText>其中</w:delText>
        </w:r>
      </w:del>
      <w:del w:id="143" w:author="陈择栖" w:date="2026-06-08T14:16:53Z">
        <w:r>
          <w:rPr>
            <w:rFonts w:hint="eastAsia"/>
            <w:szCs w:val="21"/>
          </w:rPr>
          <w:delText>“o）</w:delText>
        </w:r>
      </w:del>
      <w:del w:id="144" w:author="陈择栖" w:date="2026-06-08T14:16:53Z">
        <w:r>
          <w:rPr>
            <w:szCs w:val="21"/>
          </w:rPr>
          <w:delText>安全</w:delText>
        </w:r>
      </w:del>
      <w:del w:id="145" w:author="陈择栖" w:date="2026-06-08T14:16:53Z">
        <w:r>
          <w:rPr>
            <w:rFonts w:hint="eastAsia"/>
            <w:szCs w:val="21"/>
          </w:rPr>
          <w:delText>”</w:delText>
        </w:r>
      </w:del>
      <w:del w:id="146" w:author="陈择栖" w:date="2026-06-08T14:16:53Z">
        <w:r>
          <w:rPr>
            <w:szCs w:val="21"/>
          </w:rPr>
          <w:delText>检验仅测量保护接地连续性和安全标志检查。</w:delText>
        </w:r>
      </w:del>
    </w:p>
    <w:p>
      <w:pPr>
        <w:pStyle w:val="4"/>
        <w:keepNext/>
        <w:keepLines/>
        <w:numPr>
          <w:ilvl w:val="3"/>
          <w:numId w:val="0"/>
        </w:numPr>
        <w:tabs>
          <w:tab w:val="left" w:pos="864"/>
        </w:tabs>
        <w:spacing w:line="240" w:lineRule="auto"/>
        <w:rPr>
          <w:del w:id="147" w:author="陈择栖" w:date="2026-06-08T14:16:53Z"/>
        </w:rPr>
      </w:pPr>
      <w:del w:id="148" w:author="陈择栖" w:date="2026-06-08T14:16:53Z">
        <w:r>
          <w:rPr>
            <w:rFonts w:hint="eastAsia"/>
          </w:rPr>
          <w:delText xml:space="preserve"> 6.1.3 型式检验的抽样与判定规则</w:delText>
        </w:r>
      </w:del>
    </w:p>
    <w:p>
      <w:pPr>
        <w:numPr>
          <w:ilvl w:val="0"/>
          <w:numId w:val="15"/>
        </w:numPr>
        <w:tabs>
          <w:tab w:val="left" w:pos="0"/>
        </w:tabs>
        <w:ind w:left="0" w:firstLine="426"/>
        <w:outlineLvl w:val="3"/>
        <w:rPr>
          <w:del w:id="149" w:author="陈择栖" w:date="2026-06-08T14:16:53Z"/>
          <w:szCs w:val="21"/>
        </w:rPr>
      </w:pPr>
      <w:del w:id="150" w:author="陈择栖" w:date="2026-06-08T14:16:53Z">
        <w:r>
          <w:rPr>
            <w:szCs w:val="21"/>
          </w:rPr>
          <w:delText>型式检验从出厂检验合格的产品中任意抽取两台作为样品，然后分A、B两组进行：A组样品按</w:delText>
        </w:r>
      </w:del>
      <w:del w:id="151" w:author="陈择栖" w:date="2026-06-08T14:16:53Z">
        <w:r>
          <w:rPr>
            <w:rFonts w:hint="eastAsia"/>
            <w:szCs w:val="21"/>
          </w:rPr>
          <w:delText>6.1.2</w:delText>
        </w:r>
      </w:del>
      <w:del w:id="152" w:author="陈择栖" w:date="2026-06-08T14:16:53Z">
        <w:r>
          <w:rPr>
            <w:szCs w:val="21"/>
          </w:rPr>
          <w:delText>中规定的a</w:delText>
        </w:r>
      </w:del>
      <w:del w:id="153" w:author="陈择栖" w:date="2026-06-08T14:16:53Z">
        <w:r>
          <w:rPr>
            <w:rFonts w:hint="eastAsia"/>
            <w:szCs w:val="21"/>
          </w:rPr>
          <w:delText>）</w:delText>
        </w:r>
      </w:del>
      <w:del w:id="154" w:author="陈择栖" w:date="2026-06-08T14:16:53Z">
        <w:r>
          <w:rPr>
            <w:szCs w:val="21"/>
          </w:rPr>
          <w:delText>、c</w:delText>
        </w:r>
      </w:del>
      <w:del w:id="155" w:author="陈择栖" w:date="2026-06-08T14:16:53Z">
        <w:r>
          <w:rPr>
            <w:rFonts w:hint="eastAsia"/>
            <w:szCs w:val="21"/>
          </w:rPr>
          <w:delText>）</w:delText>
        </w:r>
      </w:del>
      <w:del w:id="156" w:author="陈择栖" w:date="2026-06-08T14:16:53Z">
        <w:r>
          <w:rPr>
            <w:szCs w:val="21"/>
          </w:rPr>
          <w:delText>、i</w:delText>
        </w:r>
      </w:del>
      <w:del w:id="157" w:author="陈择栖" w:date="2026-06-08T14:16:53Z">
        <w:r>
          <w:rPr>
            <w:rFonts w:hint="eastAsia"/>
            <w:szCs w:val="21"/>
          </w:rPr>
          <w:delText>）</w:delText>
        </w:r>
      </w:del>
      <w:del w:id="158" w:author="陈择栖" w:date="2026-06-08T14:16:53Z">
        <w:r>
          <w:rPr>
            <w:szCs w:val="21"/>
          </w:rPr>
          <w:delText>、e</w:delText>
        </w:r>
      </w:del>
      <w:del w:id="159" w:author="陈择栖" w:date="2026-06-08T14:16:53Z">
        <w:r>
          <w:rPr>
            <w:rFonts w:hint="eastAsia"/>
            <w:szCs w:val="21"/>
          </w:rPr>
          <w:delText>）</w:delText>
        </w:r>
      </w:del>
      <w:del w:id="160" w:author="陈择栖" w:date="2026-06-08T14:16:53Z">
        <w:r>
          <w:rPr>
            <w:szCs w:val="21"/>
          </w:rPr>
          <w:delText>、f</w:delText>
        </w:r>
      </w:del>
      <w:del w:id="161" w:author="陈择栖" w:date="2026-06-08T14:16:53Z">
        <w:r>
          <w:rPr>
            <w:rFonts w:hint="eastAsia"/>
            <w:szCs w:val="21"/>
          </w:rPr>
          <w:delText>）</w:delText>
        </w:r>
      </w:del>
      <w:del w:id="162" w:author="陈择栖" w:date="2026-06-08T14:16:53Z">
        <w:r>
          <w:rPr>
            <w:szCs w:val="21"/>
          </w:rPr>
          <w:delText>、g</w:delText>
        </w:r>
      </w:del>
      <w:del w:id="163" w:author="陈择栖" w:date="2026-06-08T14:16:53Z">
        <w:r>
          <w:rPr>
            <w:rFonts w:hint="eastAsia"/>
            <w:szCs w:val="21"/>
          </w:rPr>
          <w:delText>）</w:delText>
        </w:r>
      </w:del>
      <w:del w:id="164" w:author="陈择栖" w:date="2026-06-08T14:16:53Z">
        <w:r>
          <w:rPr>
            <w:szCs w:val="21"/>
          </w:rPr>
          <w:delText>、h</w:delText>
        </w:r>
      </w:del>
      <w:del w:id="165" w:author="陈择栖" w:date="2026-06-08T14:16:53Z">
        <w:r>
          <w:rPr>
            <w:rFonts w:hint="eastAsia"/>
            <w:szCs w:val="21"/>
          </w:rPr>
          <w:delText>）</w:delText>
        </w:r>
      </w:del>
      <w:del w:id="166" w:author="陈择栖" w:date="2026-06-08T14:16:53Z">
        <w:r>
          <w:rPr>
            <w:szCs w:val="21"/>
          </w:rPr>
          <w:delText>、l</w:delText>
        </w:r>
      </w:del>
      <w:del w:id="167" w:author="陈择栖" w:date="2026-06-08T14:16:53Z">
        <w:r>
          <w:rPr>
            <w:rFonts w:hint="eastAsia"/>
            <w:szCs w:val="21"/>
          </w:rPr>
          <w:delText>）</w:delText>
        </w:r>
      </w:del>
      <w:del w:id="168" w:author="陈择栖" w:date="2026-06-08T14:16:53Z">
        <w:r>
          <w:rPr>
            <w:szCs w:val="21"/>
          </w:rPr>
          <w:delText>各项进行检验；B组样品按</w:delText>
        </w:r>
      </w:del>
      <w:del w:id="169" w:author="陈择栖" w:date="2026-06-08T14:16:53Z">
        <w:r>
          <w:rPr>
            <w:rFonts w:hint="eastAsia"/>
            <w:szCs w:val="21"/>
          </w:rPr>
          <w:delText>6.1.2</w:delText>
        </w:r>
      </w:del>
      <w:del w:id="170" w:author="陈择栖" w:date="2026-06-08T14:16:53Z">
        <w:r>
          <w:rPr>
            <w:szCs w:val="21"/>
          </w:rPr>
          <w:delText>中规定的b</w:delText>
        </w:r>
      </w:del>
      <w:del w:id="171" w:author="陈择栖" w:date="2026-06-08T14:16:53Z">
        <w:r>
          <w:rPr>
            <w:rFonts w:hint="eastAsia"/>
            <w:szCs w:val="21"/>
          </w:rPr>
          <w:delText>）</w:delText>
        </w:r>
      </w:del>
      <w:del w:id="172" w:author="陈择栖" w:date="2026-06-08T14:16:53Z">
        <w:r>
          <w:rPr>
            <w:szCs w:val="21"/>
          </w:rPr>
          <w:delText>、d</w:delText>
        </w:r>
      </w:del>
      <w:del w:id="173" w:author="陈择栖" w:date="2026-06-08T14:16:53Z">
        <w:r>
          <w:rPr>
            <w:rFonts w:hint="eastAsia"/>
            <w:szCs w:val="21"/>
          </w:rPr>
          <w:delText>）</w:delText>
        </w:r>
      </w:del>
      <w:del w:id="174" w:author="陈择栖" w:date="2026-06-08T14:16:53Z">
        <w:r>
          <w:rPr>
            <w:szCs w:val="21"/>
          </w:rPr>
          <w:delText>、j</w:delText>
        </w:r>
      </w:del>
      <w:del w:id="175" w:author="陈择栖" w:date="2026-06-08T14:16:53Z">
        <w:r>
          <w:rPr>
            <w:rFonts w:hint="eastAsia"/>
            <w:szCs w:val="21"/>
          </w:rPr>
          <w:delText>）</w:delText>
        </w:r>
      </w:del>
      <w:del w:id="176" w:author="陈择栖" w:date="2026-06-08T14:16:53Z">
        <w:r>
          <w:rPr>
            <w:szCs w:val="21"/>
          </w:rPr>
          <w:delText>、k</w:delText>
        </w:r>
      </w:del>
      <w:del w:id="177" w:author="陈择栖" w:date="2026-06-08T14:16:53Z">
        <w:r>
          <w:rPr>
            <w:rFonts w:hint="eastAsia"/>
            <w:szCs w:val="21"/>
          </w:rPr>
          <w:delText>）</w:delText>
        </w:r>
      </w:del>
      <w:del w:id="178" w:author="陈择栖" w:date="2026-06-08T14:16:53Z">
        <w:r>
          <w:rPr>
            <w:szCs w:val="21"/>
          </w:rPr>
          <w:delText>、m</w:delText>
        </w:r>
      </w:del>
      <w:del w:id="179" w:author="陈择栖" w:date="2026-06-08T14:16:53Z">
        <w:r>
          <w:rPr>
            <w:rFonts w:hint="eastAsia"/>
            <w:szCs w:val="21"/>
          </w:rPr>
          <w:delText>）</w:delText>
        </w:r>
      </w:del>
      <w:del w:id="180" w:author="陈择栖" w:date="2026-06-08T14:16:53Z">
        <w:r>
          <w:rPr>
            <w:szCs w:val="21"/>
          </w:rPr>
          <w:delText>、n</w:delText>
        </w:r>
      </w:del>
      <w:del w:id="181" w:author="陈择栖" w:date="2026-06-08T14:16:53Z">
        <w:r>
          <w:rPr>
            <w:rFonts w:hint="eastAsia"/>
            <w:szCs w:val="21"/>
          </w:rPr>
          <w:delText>）</w:delText>
        </w:r>
      </w:del>
      <w:del w:id="182" w:author="陈择栖" w:date="2026-06-08T14:16:53Z">
        <w:r>
          <w:rPr>
            <w:szCs w:val="21"/>
          </w:rPr>
          <w:delText>各项进行检验；</w:delText>
        </w:r>
      </w:del>
    </w:p>
    <w:p>
      <w:pPr>
        <w:numPr>
          <w:ilvl w:val="0"/>
          <w:numId w:val="15"/>
        </w:numPr>
        <w:tabs>
          <w:tab w:val="left" w:pos="0"/>
        </w:tabs>
        <w:ind w:left="0" w:firstLine="426"/>
        <w:outlineLvl w:val="3"/>
        <w:rPr>
          <w:del w:id="183" w:author="陈择栖" w:date="2026-06-08T14:16:53Z"/>
          <w:szCs w:val="21"/>
        </w:rPr>
      </w:pPr>
      <w:del w:id="184" w:author="陈择栖" w:date="2026-06-08T14:16:53Z">
        <w:r>
          <w:rPr>
            <w:szCs w:val="21"/>
          </w:rPr>
          <w:delText>样品经过型式检验，未发现主要缺陷，则判定产品本次型式检验合格。检验中如发现有一个主要缺陷，则进行第二次抽样，重复进行型式试验，如果未发现主要缺陷，仍判定该产品本次型式检验合格。如第二次抽取的样品仍存在此缺陷，则判定该产品本次型式检验不合格；</w:delText>
        </w:r>
      </w:del>
    </w:p>
    <w:p>
      <w:pPr>
        <w:numPr>
          <w:ilvl w:val="0"/>
          <w:numId w:val="15"/>
        </w:numPr>
        <w:tabs>
          <w:tab w:val="left" w:pos="0"/>
        </w:tabs>
        <w:ind w:left="0" w:firstLine="426"/>
        <w:outlineLvl w:val="3"/>
        <w:rPr>
          <w:del w:id="185" w:author="陈择栖" w:date="2026-06-08T14:16:53Z"/>
          <w:szCs w:val="21"/>
        </w:rPr>
      </w:pPr>
      <w:del w:id="186" w:author="陈择栖" w:date="2026-06-08T14:16:53Z">
        <w:r>
          <w:rPr>
            <w:szCs w:val="21"/>
          </w:rPr>
          <w:delText>样品型式检验结果达不到</w:delText>
        </w:r>
      </w:del>
      <w:del w:id="187" w:author="陈择栖" w:date="2026-06-08T14:16:53Z">
        <w:r>
          <w:rPr>
            <w:rFonts w:hint="eastAsia"/>
            <w:szCs w:val="21"/>
          </w:rPr>
          <w:delText>条件书中的</w:delText>
        </w:r>
      </w:del>
      <w:del w:id="188" w:author="陈择栖" w:date="2026-06-08T14:16:53Z">
        <w:r>
          <w:rPr>
            <w:szCs w:val="21"/>
          </w:rPr>
          <w:delText>要求中任一条时，均按存在主要缺陷判定；</w:delText>
        </w:r>
      </w:del>
    </w:p>
    <w:p>
      <w:pPr>
        <w:numPr>
          <w:ilvl w:val="0"/>
          <w:numId w:val="15"/>
        </w:numPr>
        <w:tabs>
          <w:tab w:val="left" w:pos="0"/>
        </w:tabs>
        <w:ind w:left="0" w:firstLine="426"/>
        <w:outlineLvl w:val="3"/>
        <w:rPr>
          <w:del w:id="189" w:author="陈择栖" w:date="2026-06-08T14:16:53Z"/>
          <w:szCs w:val="21"/>
        </w:rPr>
      </w:pPr>
      <w:del w:id="190" w:author="陈择栖" w:date="2026-06-08T14:16:53Z">
        <w:r>
          <w:rPr>
            <w:szCs w:val="21"/>
          </w:rPr>
          <w:delText>检验中样品出现故障允许进行修复。修复内容，如对已做过检验项目的检验结果没有影响，可继续往下进行检验。反之，受影响的检验项目应重做。</w:delText>
        </w:r>
      </w:del>
    </w:p>
    <w:p>
      <w:pPr>
        <w:pStyle w:val="15"/>
        <w:adjustRightInd w:val="0"/>
        <w:snapToGrid w:val="0"/>
        <w:spacing w:line="360" w:lineRule="auto"/>
        <w:rPr>
          <w:del w:id="191" w:author="陈择栖" w:date="2026-06-08T14:16:53Z"/>
          <w:rFonts w:eastAsia="宋体" w:cs="Times New Roman"/>
          <w:szCs w:val="21"/>
        </w:rPr>
      </w:pPr>
    </w:p>
    <w:p>
      <w:pPr>
        <w:pStyle w:val="3"/>
        <w:numPr>
          <w:ilvl w:val="0"/>
          <w:numId w:val="0"/>
        </w:numPr>
        <w:rPr>
          <w:del w:id="192" w:author="陈择栖" w:date="2026-06-08T14:16:53Z"/>
          <w:rFonts w:ascii="黑体" w:eastAsia="黑体"/>
        </w:rPr>
      </w:pPr>
      <w:del w:id="193" w:author="陈择栖" w:date="2026-06-08T14:16:53Z">
        <w:bookmarkStart w:id="80" w:name="_Toc403567349"/>
        <w:bookmarkStart w:id="81" w:name="_Toc22319"/>
        <w:bookmarkStart w:id="82" w:name="_Toc283566857"/>
        <w:r>
          <w:rPr>
            <w:rFonts w:ascii="黑体" w:eastAsia="黑体"/>
          </w:rPr>
          <w:delText>6.2 出厂试验</w:delText>
        </w:r>
        <w:bookmarkEnd w:id="80"/>
        <w:bookmarkEnd w:id="81"/>
        <w:bookmarkEnd w:id="82"/>
      </w:del>
    </w:p>
    <w:p>
      <w:pPr>
        <w:tabs>
          <w:tab w:val="left" w:pos="1440"/>
          <w:tab w:val="left" w:pos="3960"/>
        </w:tabs>
        <w:spacing w:line="360" w:lineRule="auto"/>
        <w:ind w:firstLine="420" w:firstLineChars="200"/>
        <w:rPr>
          <w:del w:id="194" w:author="陈择栖" w:date="2026-06-08T14:16:53Z"/>
          <w:rFonts w:ascii="宋体" w:hAnsi="宋体"/>
          <w:szCs w:val="21"/>
        </w:rPr>
      </w:pPr>
      <w:del w:id="195" w:author="陈择栖" w:date="2026-06-08T14:16:53Z">
        <w:r>
          <w:rPr>
            <w:szCs w:val="21"/>
          </w:rPr>
          <w:delText>出厂试验是为了发现产品所用材料和制造中的缺陷，它不应损伤产品的性能和可靠性。出厂试验应在整体组装后进行，应该对每台成品进行检验，以确保每台产品与已经通过型式试验的产品相一致。</w:delText>
        </w:r>
      </w:del>
      <w:del w:id="196" w:author="陈择栖" w:date="2026-06-08T14:16:53Z">
        <w:r>
          <w:rPr>
            <w:rFonts w:hint="eastAsia" w:ascii="宋体" w:hAnsi="宋体"/>
            <w:szCs w:val="21"/>
          </w:rPr>
          <w:delText>每套装置均应进行出厂试验, 经质量检验部门确认合格后方能出厂, 并应具有证明产品合格的出厂证明书。</w:delText>
        </w:r>
      </w:del>
    </w:p>
    <w:p>
      <w:pPr>
        <w:tabs>
          <w:tab w:val="left" w:pos="1440"/>
          <w:tab w:val="left" w:pos="3960"/>
        </w:tabs>
        <w:spacing w:line="360" w:lineRule="auto"/>
        <w:ind w:firstLine="420" w:firstLineChars="200"/>
        <w:rPr>
          <w:del w:id="197" w:author="陈择栖" w:date="2026-06-08T14:16:53Z"/>
          <w:rFonts w:ascii="宋体" w:hAnsi="宋体"/>
          <w:szCs w:val="21"/>
        </w:rPr>
      </w:pPr>
      <w:del w:id="198" w:author="陈择栖" w:date="2026-06-08T14:16:53Z">
        <w:r>
          <w:rPr>
            <w:rFonts w:ascii="宋体" w:hAnsi="宋体"/>
            <w:szCs w:val="21"/>
          </w:rPr>
          <w:delText>在设备交货之前在投标方厂内进行下列工厂试验项目, 以表明设备符合本技术条件书规定的要求。招标方代表参加作为试验见证。</w:delText>
        </w:r>
      </w:del>
    </w:p>
    <w:p>
      <w:pPr>
        <w:tabs>
          <w:tab w:val="left" w:pos="1440"/>
          <w:tab w:val="left" w:pos="3960"/>
        </w:tabs>
        <w:spacing w:line="360" w:lineRule="auto"/>
        <w:ind w:firstLine="420" w:firstLineChars="200"/>
        <w:rPr>
          <w:del w:id="199" w:author="陈择栖" w:date="2026-06-08T14:16:53Z"/>
          <w:rFonts w:ascii="宋体" w:hAnsi="宋体"/>
          <w:szCs w:val="21"/>
        </w:rPr>
      </w:pPr>
      <w:del w:id="200" w:author="陈择栖" w:date="2026-06-08T14:16:53Z">
        <w:r>
          <w:rPr>
            <w:rFonts w:hint="eastAsia" w:ascii="宋体" w:hAnsi="宋体"/>
            <w:szCs w:val="21"/>
          </w:rPr>
          <w:delText>投标方应具备齐全、灵活的测试程序和手段，并应提供设备硬件、软件功能、通信通道、防误措施等方面的测试报告。</w:delText>
        </w:r>
      </w:del>
    </w:p>
    <w:p>
      <w:pPr>
        <w:tabs>
          <w:tab w:val="left" w:pos="1440"/>
          <w:tab w:val="left" w:pos="3960"/>
        </w:tabs>
        <w:spacing w:line="360" w:lineRule="auto"/>
        <w:ind w:firstLine="420" w:firstLineChars="200"/>
        <w:rPr>
          <w:del w:id="201" w:author="陈择栖" w:date="2026-06-08T14:16:53Z"/>
          <w:rFonts w:ascii="宋体" w:hAnsi="宋体"/>
          <w:szCs w:val="21"/>
        </w:rPr>
      </w:pPr>
      <w:del w:id="202" w:author="陈择栖" w:date="2026-06-08T14:16:53Z">
        <w:r>
          <w:rPr>
            <w:rFonts w:hint="eastAsia" w:ascii="宋体" w:hAnsi="宋体"/>
            <w:szCs w:val="21"/>
          </w:rPr>
          <w:delText>6.2.1  检验仪器、仪表必须满足《中国南方电网继电保护及安全自动装置检验条例（试行）》的规定。</w:delText>
        </w:r>
      </w:del>
    </w:p>
    <w:p>
      <w:pPr>
        <w:tabs>
          <w:tab w:val="left" w:pos="1440"/>
          <w:tab w:val="left" w:pos="3960"/>
        </w:tabs>
        <w:spacing w:line="360" w:lineRule="auto"/>
        <w:ind w:firstLine="420" w:firstLineChars="200"/>
        <w:rPr>
          <w:del w:id="203" w:author="陈择栖" w:date="2026-06-08T14:16:53Z"/>
          <w:rFonts w:ascii="宋体" w:hAnsi="宋体"/>
          <w:szCs w:val="21"/>
        </w:rPr>
      </w:pPr>
      <w:del w:id="204" w:author="陈择栖" w:date="2026-06-08T14:16:53Z">
        <w:r>
          <w:rPr>
            <w:rFonts w:hint="eastAsia" w:ascii="宋体" w:hAnsi="宋体"/>
            <w:szCs w:val="21"/>
          </w:rPr>
          <w:delText>6.2.2  装置的外部检查、有关二次回路的绝缘和耐压检验、有关操作信号设备及其回路的检验、逆变电源的检验。</w:delText>
        </w:r>
      </w:del>
    </w:p>
    <w:p>
      <w:pPr>
        <w:tabs>
          <w:tab w:val="left" w:pos="1440"/>
          <w:tab w:val="left" w:pos="3960"/>
        </w:tabs>
        <w:spacing w:line="360" w:lineRule="auto"/>
        <w:ind w:firstLine="420" w:firstLineChars="200"/>
        <w:rPr>
          <w:del w:id="205" w:author="陈择栖" w:date="2026-06-08T14:16:53Z"/>
          <w:rFonts w:ascii="宋体" w:hAnsi="宋体"/>
          <w:szCs w:val="21"/>
        </w:rPr>
      </w:pPr>
      <w:del w:id="206" w:author="陈择栖" w:date="2026-06-08T14:16:53Z">
        <w:r>
          <w:rPr>
            <w:rFonts w:hint="eastAsia" w:ascii="宋体" w:hAnsi="宋体"/>
            <w:szCs w:val="21"/>
          </w:rPr>
          <w:delText>6.2.3  定值检验还应核实装置在断电或故障重启后定值不会发生变化。</w:delText>
        </w:r>
      </w:del>
    </w:p>
    <w:p>
      <w:pPr>
        <w:tabs>
          <w:tab w:val="left" w:pos="1440"/>
          <w:tab w:val="left" w:pos="3960"/>
        </w:tabs>
        <w:spacing w:line="360" w:lineRule="auto"/>
        <w:ind w:firstLine="420" w:firstLineChars="200"/>
        <w:rPr>
          <w:del w:id="207" w:author="陈择栖" w:date="2026-06-08T14:16:53Z"/>
          <w:rFonts w:ascii="宋体" w:hAnsi="宋体"/>
          <w:szCs w:val="21"/>
        </w:rPr>
      </w:pPr>
      <w:del w:id="208" w:author="陈择栖" w:date="2026-06-08T14:16:53Z">
        <w:r>
          <w:rPr>
            <w:rFonts w:hint="eastAsia" w:ascii="宋体" w:hAnsi="宋体"/>
            <w:szCs w:val="21"/>
          </w:rPr>
          <w:delText>6.2.4  装置测量精度测试。</w:delText>
        </w:r>
      </w:del>
    </w:p>
    <w:p>
      <w:pPr>
        <w:tabs>
          <w:tab w:val="left" w:pos="1440"/>
          <w:tab w:val="left" w:pos="3960"/>
        </w:tabs>
        <w:spacing w:line="360" w:lineRule="auto"/>
        <w:ind w:firstLine="420" w:firstLineChars="200"/>
        <w:rPr>
          <w:del w:id="209" w:author="陈择栖" w:date="2026-06-08T14:16:53Z"/>
          <w:rFonts w:ascii="宋体" w:hAnsi="宋体"/>
          <w:szCs w:val="21"/>
        </w:rPr>
      </w:pPr>
      <w:del w:id="210" w:author="陈择栖" w:date="2026-06-08T14:16:53Z">
        <w:r>
          <w:rPr>
            <w:rFonts w:hint="eastAsia" w:ascii="宋体" w:hAnsi="宋体"/>
            <w:szCs w:val="21"/>
          </w:rPr>
          <w:delText>6.2.5  装置自检和防误闭锁措施测试。</w:delText>
        </w:r>
      </w:del>
    </w:p>
    <w:p>
      <w:pPr>
        <w:tabs>
          <w:tab w:val="left" w:pos="1440"/>
          <w:tab w:val="left" w:pos="3960"/>
        </w:tabs>
        <w:spacing w:line="360" w:lineRule="auto"/>
        <w:ind w:firstLine="420" w:firstLineChars="200"/>
        <w:rPr>
          <w:del w:id="211" w:author="陈择栖" w:date="2026-06-08T14:16:53Z"/>
          <w:rFonts w:ascii="宋体" w:hAnsi="宋体"/>
          <w:szCs w:val="21"/>
        </w:rPr>
      </w:pPr>
      <w:del w:id="212" w:author="陈择栖" w:date="2026-06-08T14:16:53Z">
        <w:r>
          <w:rPr>
            <w:rFonts w:hint="eastAsia" w:ascii="宋体" w:hAnsi="宋体"/>
            <w:szCs w:val="21"/>
          </w:rPr>
          <w:delText>6.2.6  装置故障判据测试。</w:delText>
        </w:r>
      </w:del>
    </w:p>
    <w:p>
      <w:pPr>
        <w:tabs>
          <w:tab w:val="left" w:pos="1440"/>
          <w:tab w:val="left" w:pos="3960"/>
        </w:tabs>
        <w:spacing w:line="360" w:lineRule="auto"/>
        <w:ind w:firstLine="420" w:firstLineChars="200"/>
        <w:rPr>
          <w:del w:id="213" w:author="陈择栖" w:date="2026-06-08T14:16:53Z"/>
          <w:rFonts w:ascii="宋体" w:hAnsi="宋体"/>
          <w:szCs w:val="21"/>
        </w:rPr>
      </w:pPr>
      <w:del w:id="214" w:author="陈择栖" w:date="2026-06-08T14:16:53Z">
        <w:r>
          <w:rPr>
            <w:rFonts w:hint="eastAsia" w:ascii="宋体" w:hAnsi="宋体"/>
            <w:szCs w:val="21"/>
          </w:rPr>
          <w:delText>6.2.7  装置通信测试。</w:delText>
        </w:r>
      </w:del>
    </w:p>
    <w:p>
      <w:pPr>
        <w:tabs>
          <w:tab w:val="left" w:pos="1440"/>
          <w:tab w:val="left" w:pos="3960"/>
        </w:tabs>
        <w:spacing w:line="360" w:lineRule="auto"/>
        <w:ind w:firstLine="420" w:firstLineChars="200"/>
        <w:rPr>
          <w:del w:id="215" w:author="陈择栖" w:date="2026-06-08T14:16:53Z"/>
          <w:rFonts w:ascii="宋体" w:hAnsi="宋体"/>
          <w:szCs w:val="21"/>
        </w:rPr>
      </w:pPr>
      <w:del w:id="216" w:author="陈择栖" w:date="2026-06-08T14:16:53Z">
        <w:r>
          <w:rPr>
            <w:rFonts w:hint="eastAsia" w:ascii="宋体" w:hAnsi="宋体"/>
            <w:szCs w:val="21"/>
          </w:rPr>
          <w:delText>6.2.8  装置报文校验测试。</w:delText>
        </w:r>
      </w:del>
    </w:p>
    <w:p>
      <w:pPr>
        <w:tabs>
          <w:tab w:val="left" w:pos="1440"/>
          <w:tab w:val="left" w:pos="3960"/>
        </w:tabs>
        <w:spacing w:line="360" w:lineRule="auto"/>
        <w:ind w:firstLine="420" w:firstLineChars="200"/>
        <w:rPr>
          <w:del w:id="217" w:author="陈择栖" w:date="2026-06-08T14:16:53Z"/>
          <w:rFonts w:ascii="宋体" w:hAnsi="宋体"/>
          <w:szCs w:val="21"/>
        </w:rPr>
      </w:pPr>
      <w:del w:id="218" w:author="陈择栖" w:date="2026-06-08T14:16:53Z">
        <w:r>
          <w:rPr>
            <w:rFonts w:hint="eastAsia" w:ascii="宋体" w:hAnsi="宋体"/>
            <w:szCs w:val="21"/>
          </w:rPr>
          <w:delText>6.2.9  装置报告完整性测试。</w:delText>
        </w:r>
      </w:del>
    </w:p>
    <w:p>
      <w:pPr>
        <w:tabs>
          <w:tab w:val="left" w:pos="1440"/>
          <w:tab w:val="left" w:pos="3960"/>
        </w:tabs>
        <w:spacing w:line="360" w:lineRule="auto"/>
        <w:ind w:firstLine="420" w:firstLineChars="200"/>
        <w:rPr>
          <w:del w:id="219" w:author="陈择栖" w:date="2026-06-08T14:16:53Z"/>
          <w:rFonts w:ascii="宋体" w:hAnsi="宋体"/>
          <w:szCs w:val="21"/>
        </w:rPr>
      </w:pPr>
      <w:del w:id="220" w:author="陈择栖" w:date="2026-06-08T14:16:53Z">
        <w:r>
          <w:rPr>
            <w:rFonts w:hint="eastAsia" w:ascii="宋体" w:hAnsi="宋体"/>
            <w:szCs w:val="21"/>
          </w:rPr>
          <w:delText>6.2.10  策略表测试。</w:delText>
        </w:r>
      </w:del>
    </w:p>
    <w:p>
      <w:pPr>
        <w:tabs>
          <w:tab w:val="left" w:pos="1440"/>
          <w:tab w:val="left" w:pos="3960"/>
        </w:tabs>
        <w:spacing w:line="360" w:lineRule="auto"/>
        <w:ind w:firstLine="420" w:firstLineChars="200"/>
        <w:rPr>
          <w:del w:id="221" w:author="陈择栖" w:date="2026-06-08T14:16:53Z"/>
          <w:rFonts w:ascii="宋体" w:hAnsi="宋体"/>
          <w:szCs w:val="21"/>
        </w:rPr>
      </w:pPr>
      <w:del w:id="222" w:author="陈择栖" w:date="2026-06-08T14:16:53Z">
        <w:r>
          <w:rPr>
            <w:rFonts w:hint="eastAsia" w:ascii="宋体" w:hAnsi="宋体"/>
            <w:szCs w:val="21"/>
          </w:rPr>
          <w:delText>6.2.1</w:delText>
        </w:r>
      </w:del>
      <w:del w:id="223" w:author="陈择栖" w:date="2026-06-08T14:16:53Z">
        <w:r>
          <w:rPr>
            <w:rFonts w:hint="eastAsia" w:ascii="宋体" w:hAnsi="宋体"/>
            <w:szCs w:val="21"/>
            <w:lang w:val="en-US" w:eastAsia="zh-CN"/>
          </w:rPr>
          <w:delText>1</w:delText>
        </w:r>
      </w:del>
      <w:del w:id="224" w:author="陈择栖" w:date="2026-06-08T14:16:53Z">
        <w:r>
          <w:rPr>
            <w:rFonts w:hint="eastAsia" w:ascii="宋体" w:hAnsi="宋体"/>
            <w:szCs w:val="21"/>
          </w:rPr>
          <w:delText xml:space="preserve">  软件版本测试。</w:delText>
        </w:r>
      </w:del>
    </w:p>
    <w:p>
      <w:pPr>
        <w:tabs>
          <w:tab w:val="left" w:pos="1440"/>
          <w:tab w:val="left" w:pos="3960"/>
        </w:tabs>
        <w:spacing w:line="360" w:lineRule="auto"/>
        <w:ind w:firstLine="420" w:firstLineChars="200"/>
        <w:rPr>
          <w:del w:id="225" w:author="陈择栖" w:date="2026-06-08T14:16:53Z"/>
          <w:rFonts w:ascii="宋体" w:hAnsi="宋体"/>
          <w:szCs w:val="21"/>
        </w:rPr>
      </w:pPr>
      <w:del w:id="226" w:author="陈择栖" w:date="2026-06-08T14:16:53Z">
        <w:r>
          <w:rPr>
            <w:rFonts w:hint="eastAsia" w:ascii="宋体" w:hAnsi="宋体"/>
            <w:szCs w:val="21"/>
          </w:rPr>
          <w:delText>6.2.1</w:delText>
        </w:r>
      </w:del>
      <w:del w:id="227" w:author="陈择栖" w:date="2026-06-08T14:16:53Z">
        <w:r>
          <w:rPr>
            <w:rFonts w:hint="eastAsia" w:ascii="宋体" w:hAnsi="宋体"/>
            <w:szCs w:val="21"/>
            <w:lang w:val="en-US" w:eastAsia="zh-CN"/>
          </w:rPr>
          <w:delText>2</w:delText>
        </w:r>
      </w:del>
      <w:del w:id="228" w:author="陈择栖" w:date="2026-06-08T14:16:53Z">
        <w:r>
          <w:rPr>
            <w:rFonts w:hint="eastAsia" w:ascii="宋体" w:hAnsi="宋体"/>
            <w:szCs w:val="21"/>
          </w:rPr>
          <w:delText xml:space="preserve">  装置图纸资料检查。</w:delText>
        </w:r>
      </w:del>
    </w:p>
    <w:p>
      <w:pPr>
        <w:tabs>
          <w:tab w:val="left" w:pos="1440"/>
          <w:tab w:val="left" w:pos="3960"/>
        </w:tabs>
        <w:spacing w:line="360" w:lineRule="auto"/>
        <w:ind w:firstLine="420" w:firstLineChars="200"/>
        <w:rPr>
          <w:del w:id="229" w:author="陈择栖" w:date="2026-06-08T14:16:53Z"/>
          <w:rFonts w:ascii="宋体" w:hAnsi="宋体"/>
          <w:szCs w:val="21"/>
        </w:rPr>
      </w:pPr>
      <w:del w:id="230" w:author="陈择栖" w:date="2026-06-08T14:16:53Z">
        <w:r>
          <w:rPr>
            <w:rFonts w:hint="eastAsia" w:ascii="宋体" w:hAnsi="宋体"/>
            <w:szCs w:val="21"/>
          </w:rPr>
          <w:delText>6.2.1</w:delText>
        </w:r>
      </w:del>
      <w:del w:id="231" w:author="陈择栖" w:date="2026-06-08T14:16:53Z">
        <w:r>
          <w:rPr>
            <w:rFonts w:hint="eastAsia" w:ascii="宋体" w:hAnsi="宋体"/>
            <w:szCs w:val="21"/>
            <w:lang w:val="en-US" w:eastAsia="zh-CN"/>
          </w:rPr>
          <w:delText>3</w:delText>
        </w:r>
      </w:del>
      <w:del w:id="232" w:author="陈择栖" w:date="2026-06-08T14:16:53Z">
        <w:r>
          <w:rPr>
            <w:rFonts w:hint="eastAsia" w:ascii="宋体" w:hAnsi="宋体"/>
            <w:szCs w:val="21"/>
          </w:rPr>
          <w:delText xml:space="preserve"> 总的切负荷时间测量。</w:delText>
        </w:r>
      </w:del>
    </w:p>
    <w:p>
      <w:pPr>
        <w:tabs>
          <w:tab w:val="left" w:pos="1440"/>
          <w:tab w:val="left" w:pos="3960"/>
        </w:tabs>
        <w:spacing w:line="360" w:lineRule="auto"/>
        <w:ind w:firstLine="420" w:firstLineChars="200"/>
        <w:rPr>
          <w:del w:id="233" w:author="陈择栖" w:date="2026-06-08T14:16:53Z"/>
          <w:rFonts w:ascii="宋体" w:hAnsi="宋体"/>
          <w:szCs w:val="21"/>
        </w:rPr>
      </w:pPr>
      <w:del w:id="234" w:author="陈择栖" w:date="2026-06-08T14:16:53Z">
        <w:r>
          <w:rPr>
            <w:rFonts w:hint="eastAsia" w:ascii="宋体" w:hAnsi="宋体"/>
            <w:szCs w:val="21"/>
          </w:rPr>
          <w:delText>6.2.1</w:delText>
        </w:r>
      </w:del>
      <w:del w:id="235" w:author="陈择栖" w:date="2026-06-08T14:16:53Z">
        <w:r>
          <w:rPr>
            <w:rFonts w:hint="eastAsia" w:ascii="宋体" w:hAnsi="宋体"/>
            <w:szCs w:val="21"/>
            <w:lang w:val="en-US" w:eastAsia="zh-CN"/>
          </w:rPr>
          <w:delText>4</w:delText>
        </w:r>
      </w:del>
      <w:del w:id="236" w:author="陈择栖" w:date="2026-06-08T14:16:53Z">
        <w:r>
          <w:rPr>
            <w:rFonts w:hint="eastAsia" w:ascii="宋体" w:hAnsi="宋体"/>
            <w:szCs w:val="21"/>
          </w:rPr>
          <w:delText xml:space="preserve">  通电试验。</w:delText>
        </w:r>
      </w:del>
    </w:p>
    <w:p>
      <w:pPr>
        <w:pStyle w:val="3"/>
        <w:numPr>
          <w:ilvl w:val="0"/>
          <w:numId w:val="0"/>
        </w:numPr>
        <w:rPr>
          <w:del w:id="237" w:author="陈择栖" w:date="2026-06-08T14:16:53Z"/>
          <w:rFonts w:ascii="黑体" w:eastAsia="黑体"/>
        </w:rPr>
      </w:pPr>
      <w:del w:id="238" w:author="陈择栖" w:date="2026-06-08T14:16:53Z">
        <w:bookmarkStart w:id="83" w:name="_Toc283566858"/>
        <w:bookmarkStart w:id="84" w:name="_Toc20959"/>
        <w:bookmarkStart w:id="85" w:name="_Toc403567350"/>
        <w:r>
          <w:rPr>
            <w:rFonts w:ascii="黑体" w:eastAsia="黑体"/>
          </w:rPr>
          <w:delText>6.3 现场交接试验</w:delText>
        </w:r>
        <w:bookmarkEnd w:id="83"/>
        <w:bookmarkEnd w:id="84"/>
        <w:bookmarkEnd w:id="85"/>
      </w:del>
    </w:p>
    <w:p>
      <w:pPr>
        <w:tabs>
          <w:tab w:val="left" w:pos="1440"/>
          <w:tab w:val="left" w:pos="3960"/>
        </w:tabs>
        <w:spacing w:line="360" w:lineRule="auto"/>
        <w:ind w:firstLine="420" w:firstLineChars="200"/>
        <w:rPr>
          <w:del w:id="239" w:author="陈择栖" w:date="2026-06-08T14:16:53Z"/>
          <w:rFonts w:ascii="宋体" w:hAnsi="宋体"/>
          <w:szCs w:val="21"/>
        </w:rPr>
      </w:pPr>
      <w:del w:id="240" w:author="陈择栖" w:date="2026-06-08T14:16:53Z">
        <w:r>
          <w:rPr>
            <w:rFonts w:hint="eastAsia"/>
            <w:szCs w:val="21"/>
          </w:rPr>
          <w:delText>控制子站装置</w:delText>
        </w:r>
      </w:del>
      <w:del w:id="241" w:author="陈择栖" w:date="2026-06-08T14:16:53Z">
        <w:r>
          <w:rPr>
            <w:szCs w:val="21"/>
          </w:rPr>
          <w:delText>安装完好并完成所有的连接后，应进行现场交接试验。交接试验是为了确认</w:delText>
        </w:r>
      </w:del>
      <w:del w:id="242" w:author="陈择栖" w:date="2026-06-08T14:16:53Z">
        <w:r>
          <w:rPr>
            <w:rFonts w:hint="eastAsia"/>
            <w:szCs w:val="21"/>
          </w:rPr>
          <w:delText>控制子站</w:delText>
        </w:r>
      </w:del>
      <w:del w:id="243" w:author="陈择栖" w:date="2026-06-08T14:16:53Z">
        <w:r>
          <w:rPr>
            <w:szCs w:val="21"/>
          </w:rPr>
          <w:delText>设备在经过运输、储存、现场安装和/或调整等过程后是否存在损坏、各个单元的兼容性、装配是否正确。</w:delText>
        </w:r>
      </w:del>
    </w:p>
    <w:p>
      <w:pPr>
        <w:tabs>
          <w:tab w:val="left" w:pos="1440"/>
          <w:tab w:val="left" w:pos="3960"/>
        </w:tabs>
        <w:spacing w:line="360" w:lineRule="auto"/>
        <w:ind w:firstLine="420" w:firstLineChars="200"/>
        <w:rPr>
          <w:del w:id="244" w:author="陈择栖" w:date="2026-06-08T14:16:53Z"/>
          <w:rFonts w:ascii="宋体" w:hAnsi="宋体"/>
          <w:szCs w:val="21"/>
        </w:rPr>
      </w:pPr>
      <w:del w:id="245" w:author="陈择栖" w:date="2026-06-08T14:16:53Z">
        <w:r>
          <w:rPr>
            <w:rFonts w:hint="eastAsia" w:ascii="宋体" w:hAnsi="宋体"/>
            <w:szCs w:val="21"/>
          </w:rPr>
          <w:delText>6.3.1  现场安装</w:delText>
        </w:r>
      </w:del>
    </w:p>
    <w:p>
      <w:pPr>
        <w:tabs>
          <w:tab w:val="left" w:pos="1440"/>
          <w:tab w:val="left" w:pos="3960"/>
        </w:tabs>
        <w:spacing w:line="360" w:lineRule="auto"/>
        <w:ind w:firstLine="420" w:firstLineChars="200"/>
        <w:rPr>
          <w:del w:id="246" w:author="陈择栖" w:date="2026-06-08T14:16:53Z"/>
          <w:rFonts w:ascii="宋体" w:hAnsi="宋体"/>
          <w:szCs w:val="21"/>
        </w:rPr>
      </w:pPr>
      <w:del w:id="247" w:author="陈择栖" w:date="2026-06-08T14:16:53Z">
        <w:r>
          <w:rPr>
            <w:rFonts w:hint="eastAsia" w:ascii="宋体" w:hAnsi="宋体"/>
            <w:szCs w:val="21"/>
          </w:rPr>
          <w:delText>设备运到安装现场后，投标方应有有关专业技术人员至现场进行技术指导和安全监督。</w:delText>
        </w:r>
      </w:del>
    </w:p>
    <w:p>
      <w:pPr>
        <w:tabs>
          <w:tab w:val="left" w:pos="1440"/>
          <w:tab w:val="left" w:pos="3960"/>
        </w:tabs>
        <w:spacing w:line="360" w:lineRule="auto"/>
        <w:ind w:firstLine="420" w:firstLineChars="200"/>
        <w:rPr>
          <w:del w:id="248" w:author="陈择栖" w:date="2026-06-08T14:16:53Z"/>
          <w:rFonts w:ascii="宋体" w:hAnsi="宋体"/>
          <w:szCs w:val="21"/>
        </w:rPr>
      </w:pPr>
      <w:del w:id="249" w:author="陈择栖" w:date="2026-06-08T14:16:53Z">
        <w:r>
          <w:rPr>
            <w:rFonts w:hint="eastAsia" w:ascii="宋体" w:hAnsi="宋体"/>
            <w:szCs w:val="21"/>
          </w:rPr>
          <w:delText>6.3.2  现场调试</w:delText>
        </w:r>
      </w:del>
    </w:p>
    <w:p>
      <w:pPr>
        <w:tabs>
          <w:tab w:val="left" w:pos="1440"/>
          <w:tab w:val="left" w:pos="3960"/>
        </w:tabs>
        <w:spacing w:line="360" w:lineRule="auto"/>
        <w:ind w:firstLine="420" w:firstLineChars="200"/>
        <w:rPr>
          <w:del w:id="250" w:author="陈择栖" w:date="2026-06-08T14:16:53Z"/>
          <w:rFonts w:ascii="宋体" w:hAnsi="宋体"/>
          <w:szCs w:val="21"/>
        </w:rPr>
      </w:pPr>
      <w:del w:id="251" w:author="陈择栖" w:date="2026-06-08T14:16:53Z">
        <w:r>
          <w:rPr>
            <w:rFonts w:hint="eastAsia" w:ascii="宋体" w:hAnsi="宋体"/>
            <w:szCs w:val="21"/>
          </w:rPr>
          <w:delText>安装完毕后投标方专家到场参加设备调试, 处理调试中的技术问题。投标方按该策略表进行调试工作, 并进行模拟故障时开关传动试验, 证实装置与其他设备工作正常。</w:delText>
        </w:r>
      </w:del>
    </w:p>
    <w:p>
      <w:pPr>
        <w:tabs>
          <w:tab w:val="left" w:pos="1440"/>
          <w:tab w:val="left" w:pos="3960"/>
        </w:tabs>
        <w:spacing w:line="360" w:lineRule="auto"/>
        <w:ind w:firstLine="420" w:firstLineChars="200"/>
        <w:rPr>
          <w:del w:id="252" w:author="陈择栖" w:date="2026-06-08T14:16:53Z"/>
          <w:rFonts w:ascii="宋体" w:hAnsi="宋体"/>
          <w:szCs w:val="21"/>
        </w:rPr>
      </w:pPr>
      <w:del w:id="253" w:author="陈择栖" w:date="2026-06-08T14:16:53Z">
        <w:r>
          <w:rPr>
            <w:rFonts w:hint="eastAsia" w:ascii="宋体" w:hAnsi="宋体"/>
            <w:szCs w:val="21"/>
          </w:rPr>
          <w:delText>在调试过程中, 若发现设备存在元器件损坏或不正常工作情况、机械结构的损坏等，投标方应负责更换及修理。</w:delText>
        </w:r>
      </w:del>
    </w:p>
    <w:p>
      <w:pPr>
        <w:tabs>
          <w:tab w:val="left" w:pos="1440"/>
          <w:tab w:val="left" w:pos="3960"/>
        </w:tabs>
        <w:spacing w:line="360" w:lineRule="auto"/>
        <w:ind w:firstLine="420" w:firstLineChars="200"/>
        <w:rPr>
          <w:del w:id="254" w:author="陈择栖" w:date="2026-06-08T14:16:53Z"/>
          <w:rFonts w:ascii="宋体" w:hAnsi="宋体"/>
          <w:szCs w:val="21"/>
        </w:rPr>
      </w:pPr>
      <w:del w:id="255" w:author="陈择栖" w:date="2026-06-08T14:16:53Z">
        <w:r>
          <w:rPr>
            <w:rFonts w:hint="eastAsia" w:ascii="宋体" w:hAnsi="宋体"/>
            <w:szCs w:val="21"/>
          </w:rPr>
          <w:delText>各站控制装置之间、新控制装置与已有安全稳定控制装置之间应进行联合调试。</w:delText>
        </w:r>
      </w:del>
    </w:p>
    <w:p>
      <w:pPr>
        <w:tabs>
          <w:tab w:val="left" w:pos="1440"/>
          <w:tab w:val="left" w:pos="3960"/>
        </w:tabs>
        <w:spacing w:line="360" w:lineRule="auto"/>
        <w:ind w:firstLine="420" w:firstLineChars="200"/>
        <w:rPr>
          <w:del w:id="256" w:author="陈择栖" w:date="2026-06-08T14:16:53Z"/>
          <w:rFonts w:ascii="宋体" w:hAnsi="宋体"/>
          <w:szCs w:val="21"/>
        </w:rPr>
      </w:pPr>
      <w:del w:id="257" w:author="陈择栖" w:date="2026-06-08T14:16:53Z">
        <w:r>
          <w:rPr>
            <w:rFonts w:hint="eastAsia" w:ascii="宋体" w:hAnsi="宋体"/>
            <w:szCs w:val="21"/>
          </w:rPr>
          <w:delText>调试完毕后, 投标方应向招标方提供设备调试报告。</w:delText>
        </w:r>
      </w:del>
    </w:p>
    <w:p>
      <w:pPr>
        <w:pStyle w:val="2"/>
        <w:numPr>
          <w:ilvl w:val="0"/>
          <w:numId w:val="0"/>
        </w:numPr>
        <w:snapToGrid/>
        <w:spacing w:before="0" w:beforeLines="0" w:line="480" w:lineRule="auto"/>
        <w:rPr>
          <w:rFonts w:ascii="黑体" w:eastAsia="黑体"/>
        </w:rPr>
      </w:pPr>
      <w:bookmarkStart w:id="169" w:name="_GoBack"/>
      <w:bookmarkEnd w:id="169"/>
      <w:bookmarkStart w:id="86" w:name="_Toc22547"/>
      <w:bookmarkStart w:id="87" w:name="_Toc276492422"/>
      <w:bookmarkStart w:id="88" w:name="_Toc276490910"/>
      <w:bookmarkStart w:id="89" w:name="_Toc403567351"/>
      <w:r>
        <w:rPr>
          <w:rFonts w:hint="eastAsia" w:ascii="黑体" w:eastAsia="黑体"/>
        </w:rPr>
        <w:t>7 产品对环境的影响</w:t>
      </w:r>
      <w:bookmarkEnd w:id="86"/>
      <w:bookmarkEnd w:id="87"/>
      <w:bookmarkEnd w:id="88"/>
      <w:bookmarkEnd w:id="89"/>
    </w:p>
    <w:p>
      <w:pPr>
        <w:pStyle w:val="15"/>
        <w:adjustRightInd w:val="0"/>
        <w:snapToGrid w:val="0"/>
        <w:spacing w:line="360" w:lineRule="auto"/>
        <w:rPr>
          <w:rFonts w:eastAsia="宋体" w:cs="Times New Roman"/>
          <w:szCs w:val="21"/>
        </w:rPr>
      </w:pPr>
      <w:bookmarkStart w:id="90" w:name="_Toc276490915"/>
      <w:bookmarkStart w:id="91" w:name="_Toc276492433"/>
      <w:r>
        <w:rPr>
          <w:rFonts w:eastAsia="宋体" w:cs="Times New Roman"/>
          <w:szCs w:val="21"/>
        </w:rPr>
        <w:t>制造厂应该提供有关设备对环境影响所需要的材料。任何已知的化学危险和环境危害应在手册或使用说明中明确。</w:t>
      </w:r>
    </w:p>
    <w:p>
      <w:pPr>
        <w:pStyle w:val="15"/>
        <w:adjustRightInd w:val="0"/>
        <w:snapToGrid w:val="0"/>
        <w:spacing w:line="360" w:lineRule="auto"/>
        <w:rPr>
          <w:rFonts w:eastAsia="宋体" w:cs="Times New Roman"/>
          <w:szCs w:val="21"/>
        </w:rPr>
      </w:pPr>
      <w:r>
        <w:rPr>
          <w:rFonts w:eastAsia="宋体" w:cs="Times New Roman"/>
          <w:szCs w:val="21"/>
        </w:rPr>
        <w:t>制造厂应该对有关设备的不同材料的使用寿命和拆除的程序给予必要的指导，对再循环使用的可能性给予简要说明。</w:t>
      </w:r>
    </w:p>
    <w:p>
      <w:pPr>
        <w:pStyle w:val="15"/>
        <w:adjustRightInd w:val="0"/>
        <w:snapToGrid w:val="0"/>
        <w:spacing w:line="360" w:lineRule="auto"/>
        <w:rPr>
          <w:rFonts w:ascii="黑体" w:eastAsia="黑体"/>
          <w:b/>
          <w:bCs/>
        </w:rPr>
      </w:pPr>
      <w:bookmarkStart w:id="92" w:name="_Toc14622"/>
      <w:bookmarkStart w:id="93" w:name="_Toc403567352"/>
      <w:r>
        <w:rPr>
          <w:rFonts w:hint="eastAsia" w:ascii="黑体" w:eastAsia="黑体"/>
        </w:rPr>
        <w:t xml:space="preserve">8 </w:t>
      </w:r>
      <w:bookmarkEnd w:id="90"/>
      <w:bookmarkEnd w:id="91"/>
      <w:bookmarkEnd w:id="92"/>
      <w:bookmarkEnd w:id="93"/>
      <w:bookmarkStart w:id="94" w:name="_Toc279695206"/>
      <w:bookmarkStart w:id="95" w:name="_Toc403567353"/>
      <w:bookmarkStart w:id="96" w:name="_Toc30646"/>
      <w:r>
        <w:rPr>
          <w:rFonts w:hint="eastAsia" w:ascii="黑体" w:eastAsia="黑体"/>
          <w:b/>
          <w:bCs/>
        </w:rPr>
        <w:t>技术文件</w:t>
      </w:r>
      <w:bookmarkEnd w:id="94"/>
      <w:r>
        <w:rPr>
          <w:rFonts w:hint="eastAsia" w:ascii="黑体" w:eastAsia="黑体"/>
          <w:b/>
          <w:bCs/>
        </w:rPr>
        <w:t>要求</w:t>
      </w:r>
      <w:bookmarkEnd w:id="95"/>
      <w:bookmarkEnd w:id="96"/>
    </w:p>
    <w:p>
      <w:pPr>
        <w:adjustRightInd w:val="0"/>
        <w:snapToGrid w:val="0"/>
        <w:spacing w:line="360" w:lineRule="auto"/>
        <w:ind w:firstLine="420" w:firstLineChars="200"/>
        <w:rPr>
          <w:szCs w:val="21"/>
        </w:rPr>
      </w:pPr>
      <w:r>
        <w:rPr>
          <w:rFonts w:hint="eastAsia"/>
        </w:rPr>
        <w:t>投标方应承诺在签订合同</w:t>
      </w:r>
      <w:r>
        <w:rPr>
          <w:rFonts w:hint="eastAsia"/>
          <w:u w:val="single"/>
        </w:rPr>
        <w:t xml:space="preserve"> 一个月 </w:t>
      </w:r>
      <w:r>
        <w:rPr>
          <w:rFonts w:hint="eastAsia"/>
        </w:rPr>
        <w:t>内（项目单位填写</w:t>
      </w:r>
      <w:r>
        <w:t>）</w:t>
      </w:r>
      <w:r>
        <w:rPr>
          <w:rFonts w:hint="eastAsia"/>
        </w:rPr>
        <w:t>提供以下所列（但不限于下列资料、</w:t>
      </w:r>
      <w:r>
        <w:rPr>
          <w:rFonts w:hint="eastAsia"/>
          <w:szCs w:val="21"/>
        </w:rPr>
        <w:t>图纸、文件，投标方应承诺提供招标方提出的所有所需资料、图纸、文件供工程设计、安装、运维使用）的图纸、资料、文件纸质版6套，电子版光盘2套（含AutoCAD图）。投标方提供的所有资料均应为中文版或中英文对照版。</w:t>
      </w:r>
    </w:p>
    <w:p>
      <w:pPr>
        <w:ind w:firstLine="420" w:firstLineChars="200"/>
        <w:rPr>
          <w:szCs w:val="21"/>
        </w:rPr>
      </w:pPr>
      <w:r>
        <w:rPr>
          <w:szCs w:val="21"/>
        </w:rPr>
        <w:t>出厂装置应配套供应以下文件：</w:t>
      </w:r>
    </w:p>
    <w:p>
      <w:pPr>
        <w:numPr>
          <w:ilvl w:val="0"/>
          <w:numId w:val="16"/>
        </w:numPr>
        <w:tabs>
          <w:tab w:val="left" w:pos="0"/>
        </w:tabs>
        <w:ind w:left="0" w:firstLine="426"/>
        <w:outlineLvl w:val="3"/>
        <w:rPr>
          <w:szCs w:val="21"/>
        </w:rPr>
      </w:pPr>
      <w:r>
        <w:rPr>
          <w:szCs w:val="21"/>
        </w:rPr>
        <w:t>质量证明文件，应附出厂检验记录；</w:t>
      </w:r>
    </w:p>
    <w:p>
      <w:pPr>
        <w:numPr>
          <w:ilvl w:val="0"/>
          <w:numId w:val="16"/>
        </w:numPr>
        <w:tabs>
          <w:tab w:val="left" w:pos="0"/>
        </w:tabs>
        <w:ind w:left="0" w:firstLine="426"/>
        <w:outlineLvl w:val="3"/>
        <w:rPr>
          <w:szCs w:val="21"/>
        </w:rPr>
      </w:pPr>
      <w:r>
        <w:rPr>
          <w:szCs w:val="21"/>
        </w:rPr>
        <w:t>装置说明书</w:t>
      </w:r>
      <w:r>
        <w:rPr>
          <w:rFonts w:hint="eastAsia"/>
          <w:szCs w:val="21"/>
        </w:rPr>
        <w:t>（</w:t>
      </w:r>
      <w:r>
        <w:rPr>
          <w:szCs w:val="21"/>
        </w:rPr>
        <w:t>可按供货批次提供</w:t>
      </w:r>
      <w:r>
        <w:rPr>
          <w:rFonts w:hint="eastAsia"/>
          <w:szCs w:val="21"/>
        </w:rPr>
        <w:t>）</w:t>
      </w:r>
      <w:r>
        <w:rPr>
          <w:szCs w:val="21"/>
        </w:rPr>
        <w:t>；</w:t>
      </w:r>
    </w:p>
    <w:p>
      <w:pPr>
        <w:numPr>
          <w:ilvl w:val="0"/>
          <w:numId w:val="16"/>
        </w:numPr>
        <w:tabs>
          <w:tab w:val="left" w:pos="0"/>
        </w:tabs>
        <w:ind w:left="0" w:firstLine="426"/>
        <w:outlineLvl w:val="3"/>
        <w:rPr>
          <w:szCs w:val="21"/>
        </w:rPr>
      </w:pPr>
      <w:r>
        <w:rPr>
          <w:szCs w:val="21"/>
        </w:rPr>
        <w:t>装置安装图</w:t>
      </w:r>
      <w:r>
        <w:rPr>
          <w:rFonts w:hint="eastAsia"/>
          <w:szCs w:val="21"/>
        </w:rPr>
        <w:t>（</w:t>
      </w:r>
      <w:r>
        <w:rPr>
          <w:szCs w:val="21"/>
        </w:rPr>
        <w:t>可含在装置说明书中</w:t>
      </w:r>
      <w:r>
        <w:rPr>
          <w:rFonts w:hint="eastAsia"/>
          <w:szCs w:val="21"/>
        </w:rPr>
        <w:t>）</w:t>
      </w:r>
      <w:r>
        <w:rPr>
          <w:szCs w:val="21"/>
        </w:rPr>
        <w:t>；</w:t>
      </w:r>
    </w:p>
    <w:p>
      <w:pPr>
        <w:numPr>
          <w:ilvl w:val="0"/>
          <w:numId w:val="16"/>
        </w:numPr>
        <w:tabs>
          <w:tab w:val="left" w:pos="0"/>
        </w:tabs>
        <w:ind w:left="0" w:firstLine="426"/>
        <w:outlineLvl w:val="3"/>
        <w:rPr>
          <w:szCs w:val="21"/>
        </w:rPr>
      </w:pPr>
      <w:r>
        <w:rPr>
          <w:szCs w:val="21"/>
        </w:rPr>
        <w:t>装置原理图和接线图</w:t>
      </w:r>
    </w:p>
    <w:p>
      <w:pPr>
        <w:numPr>
          <w:ilvl w:val="0"/>
          <w:numId w:val="16"/>
        </w:numPr>
        <w:tabs>
          <w:tab w:val="left" w:pos="0"/>
        </w:tabs>
        <w:ind w:left="0" w:firstLine="426"/>
        <w:outlineLvl w:val="3"/>
        <w:rPr>
          <w:szCs w:val="21"/>
        </w:rPr>
      </w:pPr>
      <w:r>
        <w:rPr>
          <w:szCs w:val="21"/>
        </w:rPr>
        <w:t>装箱单。</w:t>
      </w:r>
    </w:p>
    <w:p>
      <w:pPr>
        <w:adjustRightInd w:val="0"/>
        <w:snapToGrid w:val="0"/>
        <w:spacing w:line="360" w:lineRule="auto"/>
        <w:ind w:firstLine="420" w:firstLineChars="200"/>
        <w:rPr>
          <w:szCs w:val="21"/>
        </w:rPr>
      </w:pPr>
    </w:p>
    <w:p>
      <w:pPr>
        <w:ind w:firstLine="420" w:firstLineChars="200"/>
        <w:rPr>
          <w:szCs w:val="21"/>
        </w:rPr>
      </w:pPr>
      <w:bookmarkStart w:id="97" w:name="_Toc283011675"/>
      <w:bookmarkStart w:id="98" w:name="_Toc282433723"/>
      <w:bookmarkStart w:id="99" w:name="_Toc282428315"/>
      <w:bookmarkStart w:id="100" w:name="_Toc283142581"/>
      <w:r>
        <w:rPr>
          <w:rFonts w:hint="eastAsia"/>
          <w:szCs w:val="21"/>
        </w:rPr>
        <w:t>装置</w:t>
      </w:r>
      <w:r>
        <w:rPr>
          <w:szCs w:val="21"/>
        </w:rPr>
        <w:t>说明书一般应提供以下信息：</w:t>
      </w:r>
    </w:p>
    <w:p>
      <w:pPr>
        <w:numPr>
          <w:ilvl w:val="0"/>
          <w:numId w:val="17"/>
        </w:numPr>
        <w:tabs>
          <w:tab w:val="left" w:pos="0"/>
        </w:tabs>
        <w:ind w:left="0" w:firstLine="426"/>
        <w:outlineLvl w:val="3"/>
        <w:rPr>
          <w:szCs w:val="21"/>
        </w:rPr>
      </w:pPr>
      <w:r>
        <w:rPr>
          <w:szCs w:val="21"/>
        </w:rPr>
        <w:t>装置型号及名称；</w:t>
      </w:r>
    </w:p>
    <w:p>
      <w:pPr>
        <w:numPr>
          <w:ilvl w:val="0"/>
          <w:numId w:val="17"/>
        </w:numPr>
        <w:tabs>
          <w:tab w:val="left" w:pos="0"/>
        </w:tabs>
        <w:ind w:left="0" w:firstLine="426"/>
        <w:outlineLvl w:val="3"/>
        <w:rPr>
          <w:szCs w:val="21"/>
        </w:rPr>
      </w:pPr>
      <w:r>
        <w:rPr>
          <w:szCs w:val="21"/>
        </w:rPr>
        <w:t>装置执行的标准代号及名称；</w:t>
      </w:r>
    </w:p>
    <w:p>
      <w:pPr>
        <w:numPr>
          <w:ilvl w:val="0"/>
          <w:numId w:val="17"/>
        </w:numPr>
        <w:tabs>
          <w:tab w:val="left" w:pos="0"/>
        </w:tabs>
        <w:ind w:left="0" w:firstLine="426"/>
        <w:outlineLvl w:val="3"/>
        <w:rPr>
          <w:szCs w:val="21"/>
        </w:rPr>
      </w:pPr>
      <w:r>
        <w:rPr>
          <w:szCs w:val="21"/>
        </w:rPr>
        <w:t>主要用途及适用范围；</w:t>
      </w:r>
    </w:p>
    <w:p>
      <w:pPr>
        <w:numPr>
          <w:ilvl w:val="0"/>
          <w:numId w:val="17"/>
        </w:numPr>
        <w:tabs>
          <w:tab w:val="left" w:pos="0"/>
        </w:tabs>
        <w:ind w:left="0" w:firstLine="426"/>
        <w:outlineLvl w:val="3"/>
        <w:rPr>
          <w:szCs w:val="21"/>
        </w:rPr>
      </w:pPr>
      <w:r>
        <w:rPr>
          <w:szCs w:val="21"/>
        </w:rPr>
        <w:t>使用条件；</w:t>
      </w:r>
    </w:p>
    <w:p>
      <w:pPr>
        <w:numPr>
          <w:ilvl w:val="0"/>
          <w:numId w:val="17"/>
        </w:numPr>
        <w:tabs>
          <w:tab w:val="left" w:pos="0"/>
        </w:tabs>
        <w:ind w:left="0" w:firstLine="426"/>
        <w:outlineLvl w:val="3"/>
        <w:rPr>
          <w:szCs w:val="21"/>
        </w:rPr>
      </w:pPr>
      <w:r>
        <w:rPr>
          <w:szCs w:val="21"/>
        </w:rPr>
        <w:t>装置主要特点；</w:t>
      </w:r>
    </w:p>
    <w:p>
      <w:pPr>
        <w:numPr>
          <w:ilvl w:val="0"/>
          <w:numId w:val="17"/>
        </w:numPr>
        <w:tabs>
          <w:tab w:val="left" w:pos="0"/>
        </w:tabs>
        <w:ind w:left="0" w:firstLine="426"/>
        <w:outlineLvl w:val="3"/>
        <w:rPr>
          <w:szCs w:val="21"/>
        </w:rPr>
      </w:pPr>
      <w:r>
        <w:rPr>
          <w:szCs w:val="21"/>
        </w:rPr>
        <w:t>装置原理、结构及工作特性；</w:t>
      </w:r>
    </w:p>
    <w:p>
      <w:pPr>
        <w:numPr>
          <w:ilvl w:val="0"/>
          <w:numId w:val="17"/>
        </w:numPr>
        <w:tabs>
          <w:tab w:val="left" w:pos="0"/>
        </w:tabs>
        <w:ind w:left="0" w:firstLine="426"/>
        <w:outlineLvl w:val="3"/>
        <w:rPr>
          <w:szCs w:val="21"/>
        </w:rPr>
      </w:pPr>
      <w:r>
        <w:rPr>
          <w:szCs w:val="21"/>
        </w:rPr>
        <w:t>激励量及辅助激励量的额定值；</w:t>
      </w:r>
    </w:p>
    <w:p>
      <w:pPr>
        <w:numPr>
          <w:ilvl w:val="0"/>
          <w:numId w:val="17"/>
        </w:numPr>
        <w:tabs>
          <w:tab w:val="left" w:pos="0"/>
        </w:tabs>
        <w:ind w:left="0" w:firstLine="426"/>
        <w:outlineLvl w:val="3"/>
        <w:rPr>
          <w:szCs w:val="21"/>
        </w:rPr>
      </w:pPr>
      <w:r>
        <w:rPr>
          <w:szCs w:val="21"/>
        </w:rPr>
        <w:t>主要性能及技术参数；</w:t>
      </w:r>
    </w:p>
    <w:p>
      <w:pPr>
        <w:numPr>
          <w:ilvl w:val="0"/>
          <w:numId w:val="17"/>
        </w:numPr>
        <w:tabs>
          <w:tab w:val="left" w:pos="0"/>
        </w:tabs>
        <w:ind w:left="0" w:firstLine="426"/>
        <w:outlineLvl w:val="3"/>
        <w:rPr>
          <w:szCs w:val="21"/>
        </w:rPr>
      </w:pPr>
      <w:r>
        <w:rPr>
          <w:szCs w:val="21"/>
        </w:rPr>
        <w:t>安装、接线、调试方法；</w:t>
      </w:r>
    </w:p>
    <w:p>
      <w:pPr>
        <w:numPr>
          <w:ilvl w:val="0"/>
          <w:numId w:val="17"/>
        </w:numPr>
        <w:tabs>
          <w:tab w:val="left" w:pos="0"/>
        </w:tabs>
        <w:ind w:left="0" w:firstLine="426"/>
        <w:outlineLvl w:val="3"/>
        <w:rPr>
          <w:szCs w:val="21"/>
        </w:rPr>
      </w:pPr>
      <w:r>
        <w:rPr>
          <w:szCs w:val="21"/>
        </w:rPr>
        <w:t>运行前的准备及操作方法；</w:t>
      </w:r>
    </w:p>
    <w:p>
      <w:pPr>
        <w:numPr>
          <w:ilvl w:val="0"/>
          <w:numId w:val="17"/>
        </w:numPr>
        <w:tabs>
          <w:tab w:val="left" w:pos="0"/>
        </w:tabs>
        <w:ind w:left="0" w:firstLine="426"/>
        <w:outlineLvl w:val="3"/>
        <w:rPr>
          <w:szCs w:val="21"/>
        </w:rPr>
      </w:pPr>
      <w:r>
        <w:rPr>
          <w:szCs w:val="21"/>
        </w:rPr>
        <w:t>软件的安装、操作及维护；</w:t>
      </w:r>
    </w:p>
    <w:p>
      <w:pPr>
        <w:numPr>
          <w:ilvl w:val="0"/>
          <w:numId w:val="17"/>
        </w:numPr>
        <w:tabs>
          <w:tab w:val="left" w:pos="0"/>
        </w:tabs>
        <w:ind w:left="0" w:firstLine="426"/>
        <w:outlineLvl w:val="3"/>
        <w:rPr>
          <w:szCs w:val="21"/>
        </w:rPr>
      </w:pPr>
      <w:r>
        <w:rPr>
          <w:szCs w:val="21"/>
        </w:rPr>
        <w:t>故障分析及排除方法；</w:t>
      </w:r>
    </w:p>
    <w:p>
      <w:pPr>
        <w:numPr>
          <w:ilvl w:val="0"/>
          <w:numId w:val="17"/>
        </w:numPr>
        <w:tabs>
          <w:tab w:val="left" w:pos="0"/>
        </w:tabs>
        <w:ind w:left="0" w:firstLine="426"/>
        <w:outlineLvl w:val="3"/>
        <w:rPr>
          <w:szCs w:val="21"/>
        </w:rPr>
      </w:pPr>
      <w:r>
        <w:rPr>
          <w:szCs w:val="21"/>
        </w:rPr>
        <w:t>有关安全事项的说明；</w:t>
      </w:r>
    </w:p>
    <w:p>
      <w:pPr>
        <w:numPr>
          <w:ilvl w:val="0"/>
          <w:numId w:val="17"/>
        </w:numPr>
        <w:tabs>
          <w:tab w:val="left" w:pos="0"/>
        </w:tabs>
        <w:ind w:left="0" w:firstLine="426"/>
        <w:outlineLvl w:val="3"/>
        <w:rPr>
          <w:szCs w:val="21"/>
        </w:rPr>
      </w:pPr>
      <w:r>
        <w:rPr>
          <w:szCs w:val="21"/>
        </w:rPr>
        <w:t>装置接口、附件及配套情况</w:t>
      </w:r>
      <w:r>
        <w:rPr>
          <w:rFonts w:hint="eastAsia"/>
          <w:szCs w:val="21"/>
        </w:rPr>
        <w:t>（采用南网103规范时应对装置点表进行说明）</w:t>
      </w:r>
      <w:r>
        <w:rPr>
          <w:szCs w:val="21"/>
        </w:rPr>
        <w:t>；</w:t>
      </w:r>
    </w:p>
    <w:p>
      <w:pPr>
        <w:numPr>
          <w:ilvl w:val="0"/>
          <w:numId w:val="17"/>
        </w:numPr>
        <w:tabs>
          <w:tab w:val="left" w:pos="0"/>
        </w:tabs>
        <w:ind w:left="0" w:firstLine="426"/>
        <w:outlineLvl w:val="3"/>
        <w:rPr>
          <w:szCs w:val="21"/>
        </w:rPr>
      </w:pPr>
      <w:r>
        <w:rPr>
          <w:szCs w:val="21"/>
        </w:rPr>
        <w:t>维护与保养；</w:t>
      </w:r>
    </w:p>
    <w:p>
      <w:pPr>
        <w:numPr>
          <w:ilvl w:val="0"/>
          <w:numId w:val="17"/>
        </w:numPr>
        <w:tabs>
          <w:tab w:val="left" w:pos="0"/>
        </w:tabs>
        <w:ind w:left="0" w:firstLine="426"/>
        <w:outlineLvl w:val="3"/>
        <w:rPr>
          <w:szCs w:val="21"/>
        </w:rPr>
      </w:pPr>
      <w:r>
        <w:rPr>
          <w:szCs w:val="21"/>
        </w:rPr>
        <w:t>运输及贮存；</w:t>
      </w:r>
    </w:p>
    <w:p>
      <w:pPr>
        <w:numPr>
          <w:ilvl w:val="0"/>
          <w:numId w:val="17"/>
        </w:numPr>
        <w:tabs>
          <w:tab w:val="left" w:pos="0"/>
        </w:tabs>
        <w:ind w:left="0" w:firstLine="426"/>
        <w:outlineLvl w:val="3"/>
        <w:rPr>
          <w:szCs w:val="21"/>
        </w:rPr>
      </w:pPr>
      <w:r>
        <w:rPr>
          <w:szCs w:val="21"/>
        </w:rPr>
        <w:t>开箱及检查；</w:t>
      </w:r>
    </w:p>
    <w:p>
      <w:pPr>
        <w:numPr>
          <w:ilvl w:val="0"/>
          <w:numId w:val="17"/>
        </w:numPr>
        <w:tabs>
          <w:tab w:val="left" w:pos="0"/>
        </w:tabs>
        <w:ind w:left="0" w:firstLine="426"/>
        <w:outlineLvl w:val="3"/>
        <w:rPr>
          <w:szCs w:val="21"/>
        </w:rPr>
      </w:pPr>
      <w:r>
        <w:rPr>
          <w:szCs w:val="21"/>
        </w:rPr>
        <w:t>附图：外形图、安装图、开孔图、原理图、接线图；</w:t>
      </w:r>
    </w:p>
    <w:p>
      <w:pPr>
        <w:numPr>
          <w:ilvl w:val="0"/>
          <w:numId w:val="17"/>
        </w:numPr>
        <w:tabs>
          <w:tab w:val="left" w:pos="0"/>
        </w:tabs>
        <w:ind w:left="0" w:firstLine="426"/>
        <w:outlineLvl w:val="3"/>
        <w:rPr>
          <w:szCs w:val="21"/>
        </w:rPr>
      </w:pPr>
      <w:r>
        <w:rPr>
          <w:szCs w:val="21"/>
        </w:rPr>
        <w:t>其他必要的说明。</w:t>
      </w:r>
    </w:p>
    <w:p>
      <w:pPr>
        <w:pStyle w:val="15"/>
        <w:adjustRightInd w:val="0"/>
        <w:snapToGrid w:val="0"/>
        <w:spacing w:line="360" w:lineRule="auto"/>
        <w:ind w:firstLine="0" w:firstLineChars="0"/>
        <w:rPr>
          <w:rFonts w:ascii="黑体" w:hAnsi="黑体" w:eastAsia="黑体" w:cs="Times New Roman"/>
          <w:b/>
          <w:bCs/>
          <w:szCs w:val="21"/>
        </w:rPr>
      </w:pPr>
      <w:r>
        <w:rPr>
          <w:rFonts w:hint="eastAsia" w:ascii="黑体" w:hAnsi="黑体" w:eastAsia="黑体" w:cs="Times New Roman"/>
          <w:b/>
          <w:bCs/>
          <w:szCs w:val="21"/>
        </w:rPr>
        <w:t>9</w:t>
      </w:r>
      <w:bookmarkEnd w:id="97"/>
      <w:bookmarkEnd w:id="98"/>
      <w:bookmarkEnd w:id="99"/>
      <w:bookmarkEnd w:id="100"/>
      <w:bookmarkStart w:id="101" w:name="_Toc277686885"/>
      <w:bookmarkStart w:id="102" w:name="_Toc283011676"/>
      <w:bookmarkStart w:id="103" w:name="_Toc283142582"/>
      <w:bookmarkStart w:id="104" w:name="_Toc282428316"/>
      <w:bookmarkStart w:id="105" w:name="_Toc282433724"/>
      <w:r>
        <w:rPr>
          <w:rFonts w:hint="eastAsia" w:ascii="黑体" w:hAnsi="黑体" w:eastAsia="黑体" w:cs="Times New Roman"/>
          <w:b/>
          <w:bCs/>
          <w:szCs w:val="21"/>
        </w:rPr>
        <w:t xml:space="preserve"> 设计联络</w:t>
      </w:r>
      <w:bookmarkEnd w:id="101"/>
      <w:bookmarkEnd w:id="102"/>
      <w:bookmarkEnd w:id="103"/>
      <w:bookmarkEnd w:id="104"/>
      <w:bookmarkEnd w:id="105"/>
    </w:p>
    <w:p>
      <w:pPr>
        <w:pStyle w:val="15"/>
        <w:adjustRightInd w:val="0"/>
        <w:snapToGrid w:val="0"/>
        <w:spacing w:line="360" w:lineRule="auto"/>
        <w:rPr>
          <w:rFonts w:eastAsia="宋体" w:cs="Times New Roman"/>
          <w:szCs w:val="21"/>
        </w:rPr>
      </w:pPr>
      <w:r>
        <w:rPr>
          <w:rFonts w:hint="eastAsia"/>
          <w:szCs w:val="21"/>
        </w:rPr>
        <w:t>1）投标方应在技术协议签订后的</w:t>
      </w:r>
      <w:r>
        <w:rPr>
          <w:rFonts w:hint="eastAsia"/>
          <w:szCs w:val="21"/>
          <w:u w:val="single"/>
        </w:rPr>
        <w:t xml:space="preserve"> 10 </w:t>
      </w:r>
      <w:r>
        <w:rPr>
          <w:rFonts w:hint="eastAsia"/>
          <w:szCs w:val="21"/>
        </w:rPr>
        <w:t>天内（项目单位填写）向招标方提供正式版的用</w:t>
      </w:r>
      <w:r>
        <w:rPr>
          <w:rFonts w:hint="eastAsia" w:eastAsia="宋体" w:cs="Times New Roman"/>
          <w:szCs w:val="21"/>
        </w:rPr>
        <w:t>于设计、设备监造和检验、现场安装和调试以及运行维护方面的图纸、说明书和有关技术资料，同时向招标方设计代表提供拷贝磁盘</w:t>
      </w:r>
      <w:r>
        <w:rPr>
          <w:rFonts w:eastAsia="宋体" w:cs="Times New Roman"/>
          <w:szCs w:val="21"/>
        </w:rPr>
        <w:t>2</w:t>
      </w:r>
      <w:r>
        <w:rPr>
          <w:rFonts w:hint="eastAsia" w:eastAsia="宋体" w:cs="Times New Roman"/>
          <w:szCs w:val="21"/>
        </w:rPr>
        <w:t>份（图纸为A</w:t>
      </w:r>
      <w:r>
        <w:rPr>
          <w:rFonts w:eastAsia="宋体" w:cs="Times New Roman"/>
          <w:szCs w:val="21"/>
        </w:rPr>
        <w:t>utoCAD R</w:t>
      </w:r>
      <w:r>
        <w:rPr>
          <w:rFonts w:hint="eastAsia" w:eastAsia="宋体" w:cs="Times New Roman"/>
          <w:szCs w:val="21"/>
        </w:rPr>
        <w:t>2000版、文字资料为Word97版）。</w:t>
      </w:r>
    </w:p>
    <w:p>
      <w:pPr>
        <w:pStyle w:val="15"/>
        <w:adjustRightInd w:val="0"/>
        <w:snapToGrid w:val="0"/>
        <w:spacing w:line="360" w:lineRule="auto"/>
        <w:rPr>
          <w:rFonts w:eastAsia="宋体" w:cs="Times New Roman"/>
          <w:szCs w:val="21"/>
        </w:rPr>
      </w:pPr>
      <w:r>
        <w:rPr>
          <w:rFonts w:hint="eastAsia" w:eastAsia="宋体" w:cs="Times New Roman"/>
          <w:szCs w:val="21"/>
        </w:rPr>
        <w:t>2）投标方应按设计需要随时开展设计联络工作，提供设计所需的相关资料，以保证招标方工期要求。</w:t>
      </w:r>
    </w:p>
    <w:p>
      <w:pPr>
        <w:pStyle w:val="15"/>
        <w:adjustRightInd w:val="0"/>
        <w:snapToGrid w:val="0"/>
        <w:spacing w:line="360" w:lineRule="auto"/>
        <w:rPr>
          <w:rFonts w:hint="eastAsia" w:eastAsia="宋体" w:cs="Times New Roman"/>
          <w:szCs w:val="21"/>
        </w:rPr>
      </w:pPr>
      <w:r>
        <w:rPr>
          <w:rFonts w:hint="eastAsia" w:eastAsia="宋体" w:cs="Times New Roman"/>
          <w:szCs w:val="21"/>
        </w:rPr>
        <w:t>3）投标方提供的图纸必须经招标方代表确认。</w:t>
      </w:r>
    </w:p>
    <w:p>
      <w:pPr>
        <w:pStyle w:val="2"/>
        <w:numPr>
          <w:ilvl w:val="0"/>
          <w:numId w:val="0"/>
        </w:numPr>
        <w:snapToGrid/>
        <w:spacing w:before="0" w:beforeLines="0" w:line="480" w:lineRule="auto"/>
        <w:rPr>
          <w:rFonts w:ascii="黑体" w:eastAsia="黑体"/>
        </w:rPr>
      </w:pPr>
      <w:bookmarkStart w:id="106" w:name="_Toc279695207"/>
      <w:bookmarkStart w:id="107" w:name="_Toc276492435"/>
      <w:bookmarkStart w:id="108" w:name="_Toc276490917"/>
      <w:bookmarkStart w:id="109" w:name="_Toc403567354"/>
      <w:bookmarkStart w:id="110" w:name="_Toc8369"/>
      <w:r>
        <w:rPr>
          <w:rFonts w:hint="eastAsia" w:ascii="黑体" w:eastAsia="黑体"/>
        </w:rPr>
        <w:t>10 监造、包装、运输、安装</w:t>
      </w:r>
      <w:bookmarkEnd w:id="106"/>
      <w:bookmarkEnd w:id="107"/>
      <w:bookmarkEnd w:id="108"/>
      <w:r>
        <w:rPr>
          <w:rFonts w:hint="eastAsia" w:ascii="黑体" w:eastAsia="黑体"/>
        </w:rPr>
        <w:t>及质量保证</w:t>
      </w:r>
      <w:bookmarkEnd w:id="109"/>
      <w:bookmarkEnd w:id="110"/>
    </w:p>
    <w:p>
      <w:pPr>
        <w:pStyle w:val="3"/>
        <w:numPr>
          <w:ilvl w:val="0"/>
          <w:numId w:val="0"/>
        </w:numPr>
        <w:rPr>
          <w:rFonts w:ascii="黑体" w:eastAsia="黑体"/>
        </w:rPr>
      </w:pPr>
      <w:bookmarkStart w:id="111" w:name="_Toc403567355"/>
      <w:bookmarkStart w:id="112" w:name="_Toc6567"/>
      <w:bookmarkStart w:id="113" w:name="_Toc276492370"/>
      <w:bookmarkStart w:id="114" w:name="_Toc276490898"/>
      <w:bookmarkStart w:id="115" w:name="_Toc279695208"/>
      <w:bookmarkStart w:id="116" w:name="_Toc471528253"/>
      <w:bookmarkStart w:id="117" w:name="_Toc200531202"/>
      <w:bookmarkStart w:id="118" w:name="_Toc53672785"/>
      <w:bookmarkStart w:id="119" w:name="_Toc472997247"/>
      <w:r>
        <w:rPr>
          <w:rFonts w:hint="eastAsia" w:ascii="黑体" w:eastAsia="黑体"/>
        </w:rPr>
        <w:t>10.1监造</w:t>
      </w:r>
      <w:bookmarkEnd w:id="111"/>
      <w:bookmarkEnd w:id="112"/>
      <w:bookmarkEnd w:id="113"/>
      <w:bookmarkEnd w:id="114"/>
      <w:bookmarkEnd w:id="115"/>
    </w:p>
    <w:p>
      <w:pPr>
        <w:pStyle w:val="15"/>
        <w:adjustRightInd w:val="0"/>
        <w:snapToGrid w:val="0"/>
        <w:spacing w:line="360" w:lineRule="auto"/>
        <w:rPr>
          <w:rFonts w:eastAsia="宋体" w:cs="Times New Roman"/>
          <w:szCs w:val="21"/>
        </w:rPr>
      </w:pPr>
      <w:r>
        <w:rPr>
          <w:rFonts w:hint="eastAsia" w:eastAsia="宋体" w:cs="Times New Roman"/>
          <w:szCs w:val="21"/>
        </w:rPr>
        <w:t>1）</w:t>
      </w:r>
      <w:r>
        <w:rPr>
          <w:rFonts w:eastAsia="宋体" w:cs="Times New Roman"/>
          <w:szCs w:val="21"/>
        </w:rPr>
        <w:t>投标方必须在签订合同后10天之内以书面形式提供</w:t>
      </w:r>
      <w:r>
        <w:rPr>
          <w:rFonts w:hint="eastAsia" w:eastAsia="宋体" w:cs="Times New Roman"/>
          <w:szCs w:val="21"/>
        </w:rPr>
        <w:t>所供设备的</w:t>
      </w:r>
      <w:r>
        <w:rPr>
          <w:rFonts w:eastAsia="宋体" w:cs="Times New Roman"/>
          <w:szCs w:val="21"/>
        </w:rPr>
        <w:t>制造进度表。按照DL/T586-</w:t>
      </w:r>
      <w:r>
        <w:rPr>
          <w:rFonts w:hint="eastAsia" w:eastAsia="宋体" w:cs="Times New Roman"/>
          <w:szCs w:val="21"/>
        </w:rPr>
        <w:t>2008</w:t>
      </w:r>
      <w:r>
        <w:rPr>
          <w:rFonts w:eastAsia="宋体" w:cs="Times New Roman"/>
          <w:szCs w:val="21"/>
        </w:rPr>
        <w:t>《电力设备用户监造导则》的要求，招标方可随时进厂监造。监造和检验人员有权了解生产过程、查询质量记录和参加各种试验。</w:t>
      </w:r>
    </w:p>
    <w:p>
      <w:pPr>
        <w:pStyle w:val="15"/>
        <w:adjustRightInd w:val="0"/>
        <w:snapToGrid w:val="0"/>
        <w:spacing w:line="360" w:lineRule="auto"/>
        <w:rPr>
          <w:rFonts w:eastAsia="宋体" w:cs="Times New Roman"/>
          <w:szCs w:val="21"/>
        </w:rPr>
      </w:pPr>
      <w:r>
        <w:rPr>
          <w:rFonts w:hint="eastAsia" w:eastAsia="宋体" w:cs="Times New Roman"/>
          <w:szCs w:val="21"/>
        </w:rPr>
        <w:t>2）监造范围包括设备的设计、加工、制造、储运、材料采购、组装和试验等重要过程，关键部件的质量控制，进行见证、检验和审核。</w:t>
      </w:r>
    </w:p>
    <w:p>
      <w:pPr>
        <w:pStyle w:val="15"/>
        <w:adjustRightInd w:val="0"/>
        <w:snapToGrid w:val="0"/>
        <w:spacing w:line="360" w:lineRule="auto"/>
        <w:rPr>
          <w:rFonts w:eastAsia="宋体" w:cs="Times New Roman"/>
          <w:szCs w:val="21"/>
        </w:rPr>
      </w:pPr>
      <w:r>
        <w:rPr>
          <w:rFonts w:hint="eastAsia" w:eastAsia="宋体" w:cs="Times New Roman"/>
          <w:szCs w:val="21"/>
        </w:rPr>
        <w:t>3）运行单位的工厂监造和检验工作，不减少投标方对产品的质量责任，监造和检验人员不签署任何质量证明。</w:t>
      </w:r>
    </w:p>
    <w:p>
      <w:pPr>
        <w:pStyle w:val="15"/>
        <w:adjustRightInd w:val="0"/>
        <w:snapToGrid w:val="0"/>
        <w:spacing w:line="360" w:lineRule="auto"/>
        <w:rPr>
          <w:rFonts w:eastAsia="宋体" w:cs="Times New Roman"/>
          <w:szCs w:val="21"/>
        </w:rPr>
      </w:pPr>
      <w:r>
        <w:rPr>
          <w:rFonts w:hint="eastAsia" w:eastAsia="宋体" w:cs="Times New Roman"/>
          <w:szCs w:val="21"/>
        </w:rPr>
        <w:t>4）投标方应在出厂前提前至少5个工作日书面通知招标方进行出厂试验监督。</w:t>
      </w:r>
    </w:p>
    <w:p>
      <w:pPr>
        <w:pStyle w:val="3"/>
        <w:numPr>
          <w:ilvl w:val="0"/>
          <w:numId w:val="0"/>
        </w:numPr>
        <w:rPr>
          <w:rFonts w:ascii="黑体" w:eastAsia="黑体"/>
        </w:rPr>
      </w:pPr>
      <w:bookmarkStart w:id="120" w:name="_Toc276301528"/>
      <w:bookmarkStart w:id="121" w:name="_Toc276490918"/>
      <w:bookmarkStart w:id="122" w:name="_Toc403567356"/>
      <w:bookmarkStart w:id="123" w:name="_Toc276492436"/>
      <w:bookmarkStart w:id="124" w:name="_Toc11391"/>
      <w:bookmarkStart w:id="125" w:name="_Toc279695209"/>
      <w:r>
        <w:rPr>
          <w:rFonts w:hint="eastAsia" w:ascii="黑体" w:eastAsia="黑体"/>
        </w:rPr>
        <w:t>10.2包装</w:t>
      </w:r>
      <w:bookmarkEnd w:id="116"/>
      <w:bookmarkEnd w:id="117"/>
      <w:bookmarkEnd w:id="118"/>
      <w:bookmarkEnd w:id="119"/>
      <w:bookmarkEnd w:id="120"/>
      <w:bookmarkEnd w:id="121"/>
      <w:bookmarkEnd w:id="122"/>
      <w:bookmarkEnd w:id="123"/>
      <w:bookmarkEnd w:id="124"/>
      <w:bookmarkEnd w:id="125"/>
    </w:p>
    <w:p>
      <w:pPr>
        <w:pStyle w:val="15"/>
        <w:adjustRightInd w:val="0"/>
        <w:snapToGrid w:val="0"/>
        <w:spacing w:line="360" w:lineRule="auto"/>
        <w:rPr>
          <w:rFonts w:eastAsia="宋体" w:cs="Times New Roman"/>
          <w:szCs w:val="21"/>
        </w:rPr>
      </w:pPr>
      <w:bookmarkStart w:id="126" w:name="_Toc276301529"/>
      <w:bookmarkStart w:id="127" w:name="_Toc276490919"/>
      <w:bookmarkStart w:id="128" w:name="_Toc276492437"/>
      <w:r>
        <w:rPr>
          <w:rFonts w:hint="eastAsia" w:eastAsia="宋体" w:cs="Times New Roman"/>
          <w:szCs w:val="21"/>
        </w:rPr>
        <w:t>1）</w:t>
      </w:r>
      <w:r>
        <w:rPr>
          <w:rFonts w:eastAsia="宋体" w:cs="Times New Roman"/>
          <w:szCs w:val="21"/>
        </w:rPr>
        <w:t>要严格按照制造厂给出的说明书对设备进行包装、运输和储存。制造厂应在交货前的适当时间提供设备的运输和储存说明书。</w:t>
      </w:r>
    </w:p>
    <w:p>
      <w:pPr>
        <w:pStyle w:val="15"/>
        <w:adjustRightInd w:val="0"/>
        <w:snapToGrid w:val="0"/>
        <w:spacing w:line="360" w:lineRule="auto"/>
        <w:rPr>
          <w:rFonts w:eastAsia="宋体" w:cs="Times New Roman"/>
          <w:szCs w:val="21"/>
        </w:rPr>
      </w:pPr>
      <w:r>
        <w:rPr>
          <w:rFonts w:hint="eastAsia" w:eastAsia="宋体" w:cs="Times New Roman"/>
          <w:szCs w:val="21"/>
        </w:rPr>
        <w:t>2）设备</w:t>
      </w:r>
      <w:r>
        <w:rPr>
          <w:rFonts w:eastAsia="宋体" w:cs="Times New Roman"/>
          <w:szCs w:val="21"/>
        </w:rPr>
        <w:t>制造完成并通过试验后应及时包装， 否则应得到切实的保护。其包装也应符合铁路、公路和海运部门的有关规定。</w:t>
      </w:r>
    </w:p>
    <w:p>
      <w:pPr>
        <w:pStyle w:val="15"/>
        <w:adjustRightInd w:val="0"/>
        <w:snapToGrid w:val="0"/>
        <w:spacing w:line="360" w:lineRule="auto"/>
        <w:rPr>
          <w:rFonts w:eastAsia="宋体" w:cs="Times New Roman"/>
          <w:szCs w:val="21"/>
        </w:rPr>
      </w:pPr>
      <w:r>
        <w:rPr>
          <w:rFonts w:hint="eastAsia" w:eastAsia="宋体" w:cs="Times New Roman"/>
          <w:szCs w:val="21"/>
        </w:rPr>
        <w:t>3）</w:t>
      </w:r>
      <w:r>
        <w:rPr>
          <w:rFonts w:eastAsia="宋体" w:cs="Times New Roman"/>
          <w:szCs w:val="21"/>
        </w:rPr>
        <w:t>包装箱上应有明显的包装储运图示标志， 并应标明招标方的订货号和发货号。</w:t>
      </w:r>
    </w:p>
    <w:p>
      <w:pPr>
        <w:pStyle w:val="15"/>
        <w:adjustRightInd w:val="0"/>
        <w:snapToGrid w:val="0"/>
        <w:spacing w:line="360" w:lineRule="auto"/>
        <w:rPr>
          <w:rFonts w:eastAsia="宋体" w:cs="Times New Roman"/>
          <w:szCs w:val="21"/>
        </w:rPr>
      </w:pPr>
      <w:r>
        <w:rPr>
          <w:rFonts w:hint="eastAsia" w:eastAsia="宋体" w:cs="Times New Roman"/>
          <w:szCs w:val="21"/>
        </w:rPr>
        <w:t>4）设备</w:t>
      </w:r>
      <w:r>
        <w:rPr>
          <w:rFonts w:eastAsia="宋体" w:cs="Times New Roman"/>
          <w:szCs w:val="21"/>
        </w:rPr>
        <w:t>的包装应能保证</w:t>
      </w:r>
      <w:r>
        <w:rPr>
          <w:rFonts w:hint="eastAsia" w:eastAsia="宋体" w:cs="Times New Roman"/>
          <w:szCs w:val="21"/>
        </w:rPr>
        <w:t>设备</w:t>
      </w:r>
      <w:r>
        <w:rPr>
          <w:rFonts w:eastAsia="宋体" w:cs="Times New Roman"/>
          <w:szCs w:val="21"/>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3"/>
        <w:numPr>
          <w:ilvl w:val="0"/>
          <w:numId w:val="0"/>
        </w:numPr>
        <w:rPr>
          <w:rFonts w:ascii="黑体" w:eastAsia="黑体"/>
        </w:rPr>
      </w:pPr>
      <w:bookmarkStart w:id="129" w:name="_Toc279695210"/>
      <w:bookmarkStart w:id="130" w:name="_Toc11901"/>
      <w:bookmarkStart w:id="131" w:name="_Toc403567357"/>
      <w:r>
        <w:rPr>
          <w:rFonts w:hint="eastAsia" w:ascii="黑体" w:eastAsia="黑体"/>
        </w:rPr>
        <w:t>10.3运输</w:t>
      </w:r>
      <w:bookmarkEnd w:id="126"/>
      <w:bookmarkEnd w:id="127"/>
      <w:bookmarkEnd w:id="128"/>
      <w:bookmarkEnd w:id="129"/>
      <w:bookmarkEnd w:id="130"/>
      <w:bookmarkEnd w:id="131"/>
    </w:p>
    <w:p>
      <w:pPr>
        <w:pStyle w:val="15"/>
        <w:adjustRightInd w:val="0"/>
        <w:snapToGrid w:val="0"/>
        <w:spacing w:line="360" w:lineRule="auto"/>
        <w:rPr>
          <w:rFonts w:eastAsia="宋体" w:cs="Times New Roman"/>
          <w:szCs w:val="21"/>
        </w:rPr>
      </w:pPr>
      <w:r>
        <w:rPr>
          <w:rFonts w:hint="eastAsia" w:eastAsia="宋体" w:cs="Times New Roman"/>
          <w:szCs w:val="21"/>
        </w:rPr>
        <w:t>1）设备</w:t>
      </w:r>
      <w:r>
        <w:rPr>
          <w:rFonts w:eastAsia="宋体" w:cs="Times New Roman"/>
          <w:szCs w:val="21"/>
        </w:rPr>
        <w:t>单独运输的零部件应有标志，便于用户安装装配。</w:t>
      </w:r>
    </w:p>
    <w:p>
      <w:pPr>
        <w:pStyle w:val="15"/>
        <w:adjustRightInd w:val="0"/>
        <w:snapToGrid w:val="0"/>
        <w:spacing w:line="360" w:lineRule="auto"/>
        <w:rPr>
          <w:rFonts w:eastAsia="宋体" w:cs="Times New Roman"/>
          <w:szCs w:val="21"/>
        </w:rPr>
      </w:pPr>
      <w:r>
        <w:rPr>
          <w:rFonts w:hint="eastAsia" w:eastAsia="宋体" w:cs="Times New Roman"/>
          <w:szCs w:val="21"/>
        </w:rPr>
        <w:t>2）</w:t>
      </w:r>
      <w:r>
        <w:rPr>
          <w:rFonts w:eastAsia="宋体" w:cs="Times New Roman"/>
          <w:szCs w:val="21"/>
        </w:rPr>
        <w:t>整体产品或分别运输的部件，都要适合于运输及装卸的要求。</w:t>
      </w:r>
    </w:p>
    <w:p>
      <w:pPr>
        <w:pStyle w:val="15"/>
        <w:adjustRightInd w:val="0"/>
        <w:snapToGrid w:val="0"/>
        <w:spacing w:line="360" w:lineRule="auto"/>
        <w:rPr>
          <w:rFonts w:eastAsia="宋体" w:cs="Times New Roman"/>
          <w:szCs w:val="21"/>
        </w:rPr>
      </w:pPr>
      <w:r>
        <w:rPr>
          <w:rFonts w:hint="eastAsia" w:eastAsia="宋体" w:cs="Times New Roman"/>
          <w:szCs w:val="21"/>
        </w:rPr>
        <w:t>3）</w:t>
      </w:r>
      <w:r>
        <w:rPr>
          <w:rFonts w:eastAsia="宋体" w:cs="Times New Roman"/>
          <w:szCs w:val="21"/>
        </w:rPr>
        <w:t>制造厂应提供按全部解体检修用的备品备件和装用机具，随同产品发运。</w:t>
      </w:r>
    </w:p>
    <w:p>
      <w:pPr>
        <w:pStyle w:val="15"/>
        <w:adjustRightInd w:val="0"/>
        <w:snapToGrid w:val="0"/>
        <w:spacing w:line="360" w:lineRule="auto"/>
        <w:rPr>
          <w:rFonts w:eastAsia="宋体" w:cs="Times New Roman"/>
          <w:szCs w:val="21"/>
        </w:rPr>
      </w:pPr>
      <w:r>
        <w:rPr>
          <w:rFonts w:hint="eastAsia" w:eastAsia="宋体" w:cs="Times New Roman"/>
          <w:szCs w:val="21"/>
        </w:rPr>
        <w:t>4）</w:t>
      </w:r>
      <w:r>
        <w:rPr>
          <w:rFonts w:eastAsia="宋体" w:cs="Times New Roman"/>
          <w:szCs w:val="21"/>
        </w:rPr>
        <w:t>随同运输的产品应附有装箱清单，产品所需提供的技术资料应完整无缺。</w:t>
      </w:r>
    </w:p>
    <w:p>
      <w:pPr>
        <w:pStyle w:val="3"/>
        <w:numPr>
          <w:ilvl w:val="0"/>
          <w:numId w:val="0"/>
        </w:numPr>
        <w:rPr>
          <w:rFonts w:ascii="黑体" w:eastAsia="黑体"/>
        </w:rPr>
      </w:pPr>
      <w:bookmarkStart w:id="132" w:name="_Toc276492438"/>
      <w:bookmarkStart w:id="133" w:name="_Toc276301530"/>
      <w:bookmarkStart w:id="134" w:name="_Toc276490920"/>
      <w:bookmarkStart w:id="135" w:name="_Toc279695211"/>
      <w:bookmarkStart w:id="136" w:name="_Toc7653"/>
      <w:bookmarkStart w:id="137" w:name="_Toc403567358"/>
      <w:r>
        <w:rPr>
          <w:rFonts w:hint="eastAsia" w:ascii="黑体" w:eastAsia="黑体"/>
        </w:rPr>
        <w:t>10.4安装</w:t>
      </w:r>
      <w:bookmarkEnd w:id="132"/>
      <w:bookmarkEnd w:id="133"/>
      <w:bookmarkEnd w:id="134"/>
      <w:r>
        <w:rPr>
          <w:rFonts w:hint="eastAsia" w:ascii="黑体" w:eastAsia="黑体"/>
        </w:rPr>
        <w:t>指导</w:t>
      </w:r>
      <w:bookmarkEnd w:id="135"/>
      <w:bookmarkEnd w:id="136"/>
      <w:bookmarkEnd w:id="137"/>
    </w:p>
    <w:p>
      <w:pPr>
        <w:pStyle w:val="15"/>
        <w:adjustRightInd w:val="0"/>
        <w:snapToGrid w:val="0"/>
        <w:spacing w:line="360" w:lineRule="auto"/>
        <w:rPr>
          <w:rFonts w:eastAsia="宋体" w:cs="Times New Roman"/>
          <w:szCs w:val="21"/>
        </w:rPr>
      </w:pPr>
      <w:r>
        <w:rPr>
          <w:rFonts w:hint="eastAsia" w:eastAsia="宋体" w:cs="Times New Roman"/>
          <w:szCs w:val="21"/>
        </w:rPr>
        <w:t>制造厂在安装和启动时应安排技术人员提供现场安装指导服务，提出技术建议。</w:t>
      </w:r>
    </w:p>
    <w:p>
      <w:pPr>
        <w:pStyle w:val="15"/>
        <w:adjustRightInd w:val="0"/>
        <w:snapToGrid w:val="0"/>
        <w:spacing w:line="360" w:lineRule="auto"/>
        <w:rPr>
          <w:rFonts w:eastAsia="宋体" w:cs="Times New Roman"/>
          <w:szCs w:val="21"/>
        </w:rPr>
      </w:pPr>
      <w:r>
        <w:rPr>
          <w:rFonts w:hint="eastAsia" w:eastAsia="宋体" w:cs="Times New Roman"/>
          <w:szCs w:val="21"/>
        </w:rPr>
        <w:t>设备在现场搬运、吊装就位和安装时，应按照GB 26164.1《电业安全工作规程 第1部分：热力和机械》的要求进行。</w:t>
      </w:r>
    </w:p>
    <w:p>
      <w:pPr>
        <w:pStyle w:val="3"/>
        <w:numPr>
          <w:ilvl w:val="0"/>
          <w:numId w:val="0"/>
        </w:numPr>
        <w:rPr>
          <w:rFonts w:ascii="黑体" w:eastAsia="黑体"/>
        </w:rPr>
      </w:pPr>
      <w:bookmarkStart w:id="138" w:name="_Toc16564"/>
      <w:bookmarkStart w:id="139" w:name="_Toc403567359"/>
      <w:r>
        <w:rPr>
          <w:rFonts w:hint="eastAsia" w:ascii="黑体" w:eastAsia="黑体"/>
        </w:rPr>
        <w:t>10.5质量保证</w:t>
      </w:r>
      <w:bookmarkEnd w:id="138"/>
      <w:bookmarkEnd w:id="139"/>
    </w:p>
    <w:p>
      <w:pPr>
        <w:pStyle w:val="15"/>
        <w:adjustRightInd w:val="0"/>
        <w:snapToGrid w:val="0"/>
        <w:spacing w:line="360" w:lineRule="auto"/>
        <w:rPr>
          <w:rFonts w:eastAsia="宋体" w:cs="Times New Roman"/>
          <w:szCs w:val="21"/>
        </w:rPr>
      </w:pPr>
      <w:r>
        <w:rPr>
          <w:rFonts w:hint="eastAsia" w:eastAsia="宋体" w:cs="Times New Roman"/>
          <w:szCs w:val="21"/>
        </w:rPr>
        <w:t>1）全部设备必须是全新的， 持久耐用的，应满足作为一个完整产品所能满足的全部要求。投标方应保证设备在规定的使用条件下运行、并按使用说明书进行安装和维护、预期寿命应不少于</w:t>
      </w:r>
      <w:r>
        <w:rPr>
          <w:rFonts w:hint="eastAsia" w:eastAsia="宋体" w:cs="Times New Roman"/>
          <w:szCs w:val="21"/>
          <w:lang w:val="en-US" w:eastAsia="zh-CN"/>
        </w:rPr>
        <w:t>15</w:t>
      </w:r>
      <w:r>
        <w:rPr>
          <w:rFonts w:hint="eastAsia" w:eastAsia="宋体" w:cs="Times New Roman"/>
          <w:szCs w:val="21"/>
        </w:rPr>
        <w:t>年</w:t>
      </w:r>
      <w:r>
        <w:rPr>
          <w:rFonts w:eastAsia="宋体" w:cs="Times New Roman"/>
          <w:szCs w:val="21"/>
        </w:rPr>
        <w:t>。</w:t>
      </w:r>
    </w:p>
    <w:p>
      <w:pPr>
        <w:pStyle w:val="15"/>
        <w:adjustRightInd w:val="0"/>
        <w:snapToGrid w:val="0"/>
        <w:spacing w:line="360" w:lineRule="auto"/>
        <w:rPr>
          <w:rFonts w:eastAsia="宋体" w:cs="Times New Roman"/>
          <w:szCs w:val="21"/>
        </w:rPr>
      </w:pPr>
      <w:r>
        <w:rPr>
          <w:rFonts w:hint="eastAsia" w:eastAsia="宋体" w:cs="Times New Roman"/>
          <w:szCs w:val="21"/>
        </w:rPr>
        <w:t>2）投标方应对其整组设备在到货后提供不少于</w:t>
      </w:r>
      <w:r>
        <w:rPr>
          <w:rFonts w:hint="eastAsia" w:eastAsia="宋体" w:cs="Times New Roman"/>
          <w:szCs w:val="21"/>
          <w:lang w:val="en-US" w:eastAsia="zh-CN"/>
        </w:rPr>
        <w:t>三</w:t>
      </w:r>
      <w:r>
        <w:rPr>
          <w:rFonts w:hint="eastAsia" w:eastAsia="宋体" w:cs="Times New Roman"/>
          <w:szCs w:val="21"/>
        </w:rPr>
        <w:t>年的“三包”质量保证。之后如发生产品损坏，投标方应及时为本组装置提供维修部件，并按最近的投标价提供。</w:t>
      </w:r>
    </w:p>
    <w:p>
      <w:pPr>
        <w:pStyle w:val="15"/>
        <w:adjustRightInd w:val="0"/>
        <w:snapToGrid w:val="0"/>
        <w:spacing w:line="360" w:lineRule="auto"/>
        <w:rPr>
          <w:rFonts w:eastAsia="宋体" w:cs="Times New Roman"/>
          <w:szCs w:val="21"/>
        </w:rPr>
      </w:pPr>
      <w:r>
        <w:rPr>
          <w:rFonts w:hint="eastAsia" w:eastAsia="宋体" w:cs="Times New Roman"/>
          <w:szCs w:val="21"/>
        </w:rPr>
        <w:t>3）订购的新型产品除应满足本标准外</w:t>
      </w:r>
      <w:r>
        <w:rPr>
          <w:rFonts w:eastAsia="宋体" w:cs="Times New Roman"/>
          <w:szCs w:val="21"/>
        </w:rPr>
        <w:t xml:space="preserve">， </w:t>
      </w:r>
      <w:r>
        <w:rPr>
          <w:rFonts w:hint="eastAsia" w:eastAsia="宋体" w:cs="Times New Roman"/>
          <w:szCs w:val="21"/>
        </w:rPr>
        <w:t>投标方还应提供该产品的鉴定证书。</w:t>
      </w:r>
    </w:p>
    <w:p>
      <w:pPr>
        <w:pStyle w:val="15"/>
        <w:adjustRightInd w:val="0"/>
        <w:snapToGrid w:val="0"/>
        <w:spacing w:line="360" w:lineRule="auto"/>
        <w:rPr>
          <w:rFonts w:hint="eastAsia" w:eastAsia="宋体" w:cs="Times New Roman"/>
          <w:szCs w:val="21"/>
        </w:rPr>
      </w:pPr>
      <w:r>
        <w:rPr>
          <w:rFonts w:hint="eastAsia" w:eastAsia="宋体" w:cs="Times New Roman"/>
          <w:szCs w:val="21"/>
        </w:rPr>
        <w:t>4）投标方应保证制造过程中的所有工艺、材料试验等</w:t>
      </w:r>
      <w:r>
        <w:rPr>
          <w:rFonts w:eastAsia="宋体" w:cs="Times New Roman"/>
          <w:szCs w:val="21"/>
        </w:rPr>
        <w:t>（</w:t>
      </w:r>
      <w:r>
        <w:rPr>
          <w:rFonts w:hint="eastAsia" w:eastAsia="宋体" w:cs="Times New Roman"/>
          <w:szCs w:val="21"/>
        </w:rPr>
        <w:t>包括投标方的外购件在内</w:t>
      </w:r>
      <w:r>
        <w:rPr>
          <w:rFonts w:eastAsia="宋体" w:cs="Times New Roman"/>
          <w:szCs w:val="21"/>
        </w:rPr>
        <w:t>）</w:t>
      </w:r>
      <w:r>
        <w:rPr>
          <w:rFonts w:hint="eastAsia" w:eastAsia="宋体" w:cs="Times New Roman"/>
          <w:szCs w:val="21"/>
        </w:rPr>
        <w:t>均应符合本标准的规定。</w:t>
      </w:r>
    </w:p>
    <w:p>
      <w:pPr>
        <w:pStyle w:val="15"/>
        <w:adjustRightInd w:val="0"/>
        <w:snapToGrid w:val="0"/>
        <w:spacing w:line="360" w:lineRule="auto"/>
        <w:rPr>
          <w:rFonts w:eastAsia="宋体" w:cs="Times New Roman"/>
          <w:szCs w:val="21"/>
        </w:rPr>
      </w:pPr>
      <w:r>
        <w:rPr>
          <w:rFonts w:hint="eastAsia" w:eastAsia="宋体" w:cs="Times New Roman"/>
          <w:szCs w:val="21"/>
        </w:rPr>
        <w:t>5）附属及配套设备必须满足有关行业标准的要求</w:t>
      </w:r>
      <w:r>
        <w:rPr>
          <w:rFonts w:eastAsia="宋体" w:cs="Times New Roman"/>
          <w:szCs w:val="21"/>
        </w:rPr>
        <w:t xml:space="preserve">， </w:t>
      </w:r>
      <w:r>
        <w:rPr>
          <w:rFonts w:hint="eastAsia" w:eastAsia="宋体" w:cs="Times New Roman"/>
          <w:szCs w:val="21"/>
        </w:rPr>
        <w:t>并提供试验报告和产品合格证。</w:t>
      </w:r>
    </w:p>
    <w:p>
      <w:pPr>
        <w:pStyle w:val="15"/>
        <w:adjustRightInd w:val="0"/>
        <w:snapToGrid w:val="0"/>
        <w:spacing w:line="360" w:lineRule="auto"/>
        <w:rPr>
          <w:rFonts w:hint="eastAsia" w:eastAsia="宋体" w:cs="Times New Roman"/>
          <w:szCs w:val="21"/>
        </w:rPr>
      </w:pPr>
      <w:r>
        <w:rPr>
          <w:rFonts w:hint="eastAsia" w:eastAsia="宋体" w:cs="Times New Roman"/>
          <w:szCs w:val="21"/>
        </w:rPr>
        <w:t>6）投标方应有遵守本标准中各条款和工作项目的</w:t>
      </w:r>
      <w:r>
        <w:rPr>
          <w:rFonts w:eastAsia="宋体" w:cs="Times New Roman"/>
          <w:szCs w:val="21"/>
        </w:rPr>
        <w:t>ISO900</w:t>
      </w:r>
      <w:r>
        <w:rPr>
          <w:rFonts w:hint="eastAsia" w:eastAsia="宋体" w:cs="Times New Roman"/>
          <w:szCs w:val="21"/>
        </w:rPr>
        <w:t>0-</w:t>
      </w:r>
      <w:r>
        <w:rPr>
          <w:rFonts w:eastAsia="宋体" w:cs="Times New Roman"/>
          <w:szCs w:val="21"/>
        </w:rPr>
        <w:t>GB/T1900</w:t>
      </w:r>
      <w:r>
        <w:rPr>
          <w:rFonts w:hint="eastAsia" w:eastAsia="宋体" w:cs="Times New Roman"/>
          <w:szCs w:val="21"/>
        </w:rPr>
        <w:t>0质量保证体系</w:t>
      </w:r>
      <w:r>
        <w:rPr>
          <w:rFonts w:eastAsia="宋体" w:cs="Times New Roman"/>
          <w:szCs w:val="21"/>
        </w:rPr>
        <w:t xml:space="preserve">， </w:t>
      </w:r>
      <w:r>
        <w:rPr>
          <w:rFonts w:hint="eastAsia" w:eastAsia="宋体" w:cs="Times New Roman"/>
          <w:szCs w:val="21"/>
        </w:rPr>
        <w:t>该质量保证体系已经通过国家认证并在正常运转。</w:t>
      </w:r>
    </w:p>
    <w:p>
      <w:pPr>
        <w:pStyle w:val="2"/>
        <w:numPr>
          <w:ilvl w:val="0"/>
          <w:numId w:val="0"/>
        </w:numPr>
        <w:snapToGrid/>
        <w:spacing w:before="0" w:beforeLines="0" w:line="480" w:lineRule="auto"/>
        <w:rPr>
          <w:rFonts w:ascii="黑体" w:eastAsia="黑体"/>
        </w:rPr>
      </w:pPr>
      <w:bookmarkStart w:id="140" w:name="_Toc20895"/>
      <w:bookmarkStart w:id="141" w:name="_Toc403567360"/>
      <w:r>
        <w:rPr>
          <w:rFonts w:hint="eastAsia" w:ascii="黑体" w:eastAsia="黑体"/>
        </w:rPr>
        <w:t>11 一次、二次及土建接口要求</w:t>
      </w:r>
      <w:bookmarkEnd w:id="140"/>
      <w:bookmarkEnd w:id="141"/>
    </w:p>
    <w:p>
      <w:r>
        <w:rPr>
          <w:rFonts w:hint="eastAsia"/>
        </w:rPr>
        <w:t>无要求</w:t>
      </w:r>
    </w:p>
    <w:p>
      <w:pPr>
        <w:pStyle w:val="2"/>
        <w:numPr>
          <w:ilvl w:val="0"/>
          <w:numId w:val="0"/>
        </w:numPr>
        <w:snapToGrid/>
        <w:spacing w:before="0" w:beforeLines="0" w:line="480" w:lineRule="auto"/>
        <w:rPr>
          <w:rFonts w:ascii="黑体" w:eastAsia="黑体"/>
        </w:rPr>
      </w:pPr>
      <w:bookmarkStart w:id="142" w:name="_Toc403567361"/>
      <w:bookmarkStart w:id="143" w:name="_Toc3466"/>
      <w:r>
        <w:rPr>
          <w:rFonts w:hint="eastAsia" w:ascii="黑体" w:eastAsia="黑体"/>
        </w:rPr>
        <w:t>12 设备技术参数和性能要求响应表</w:t>
      </w:r>
      <w:bookmarkEnd w:id="142"/>
      <w:bookmarkEnd w:id="143"/>
    </w:p>
    <w:p>
      <w:pPr>
        <w:pStyle w:val="15"/>
        <w:adjustRightInd w:val="0"/>
        <w:snapToGrid w:val="0"/>
        <w:spacing w:line="360" w:lineRule="auto"/>
        <w:rPr>
          <w:rFonts w:eastAsia="宋体" w:cs="Times New Roman"/>
          <w:szCs w:val="21"/>
        </w:rPr>
      </w:pPr>
      <w:r>
        <w:rPr>
          <w:rFonts w:hint="eastAsia" w:eastAsia="宋体" w:cs="Times New Roman"/>
          <w:szCs w:val="21"/>
        </w:rPr>
        <w:t>投标方应认真逐项填写所供设备技术参数和性能要求响应表（见表12）中“投标方保证值”栏，不能空格，也不能以“响应”两字代替，不允许改动本表内 “投标方保证值”栏之外的数值。如有差异，请填写表16：技术差异表。</w:t>
      </w:r>
    </w:p>
    <w:p>
      <w:pPr>
        <w:adjustRightInd w:val="0"/>
        <w:snapToGrid w:val="0"/>
        <w:spacing w:line="360" w:lineRule="auto"/>
        <w:jc w:val="center"/>
        <w:rPr>
          <w:rFonts w:ascii="宋体" w:hAnsi="宋体"/>
          <w:szCs w:val="21"/>
        </w:rPr>
      </w:pPr>
      <w:r>
        <w:rPr>
          <w:rFonts w:hint="eastAsia" w:ascii="宋体" w:hAnsi="宋体"/>
          <w:szCs w:val="21"/>
        </w:rPr>
        <w:t>表12   技术参数和性能要求响应表（项目单位填写）</w:t>
      </w:r>
    </w:p>
    <w:tbl>
      <w:tblPr>
        <w:tblStyle w:val="11"/>
        <w:tblW w:w="862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79"/>
        <w:gridCol w:w="2278"/>
        <w:gridCol w:w="3060"/>
        <w:gridCol w:w="1440"/>
        <w:gridCol w:w="126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12" w:space="0"/>
              <w:left w:val="single" w:color="auto" w:sz="12" w:space="0"/>
              <w:bottom w:val="single" w:color="auto" w:sz="6" w:space="0"/>
              <w:right w:val="single" w:color="auto" w:sz="6" w:space="0"/>
            </w:tcBorders>
            <w:vAlign w:val="center"/>
          </w:tcPr>
          <w:p>
            <w:pPr>
              <w:jc w:val="center"/>
              <w:rPr>
                <w:szCs w:val="21"/>
              </w:rPr>
            </w:pPr>
            <w:r>
              <w:rPr>
                <w:rFonts w:hint="eastAsia" w:hAnsi="宋体"/>
                <w:szCs w:val="21"/>
              </w:rPr>
              <w:t>序号</w:t>
            </w:r>
          </w:p>
        </w:tc>
        <w:tc>
          <w:tcPr>
            <w:tcW w:w="2278" w:type="dxa"/>
            <w:tcBorders>
              <w:top w:val="single" w:color="auto" w:sz="12" w:space="0"/>
              <w:left w:val="single" w:color="auto" w:sz="6" w:space="0"/>
              <w:bottom w:val="single" w:color="auto" w:sz="6" w:space="0"/>
              <w:right w:val="single" w:color="auto" w:sz="6" w:space="0"/>
            </w:tcBorders>
            <w:vAlign w:val="center"/>
          </w:tcPr>
          <w:p>
            <w:pPr>
              <w:jc w:val="center"/>
              <w:rPr>
                <w:szCs w:val="21"/>
              </w:rPr>
            </w:pPr>
            <w:r>
              <w:rPr>
                <w:rFonts w:hint="eastAsia"/>
                <w:kern w:val="0"/>
                <w:szCs w:val="21"/>
              </w:rPr>
              <w:t>名</w:t>
            </w:r>
            <w:r>
              <w:rPr>
                <w:kern w:val="0"/>
                <w:szCs w:val="21"/>
              </w:rPr>
              <w:t xml:space="preserve">  </w:t>
            </w:r>
            <w:r>
              <w:rPr>
                <w:rFonts w:hint="eastAsia"/>
                <w:kern w:val="0"/>
                <w:szCs w:val="21"/>
              </w:rPr>
              <w:t>称</w:t>
            </w:r>
          </w:p>
        </w:tc>
        <w:tc>
          <w:tcPr>
            <w:tcW w:w="3060" w:type="dxa"/>
            <w:tcBorders>
              <w:top w:val="single" w:color="auto" w:sz="12" w:space="0"/>
              <w:left w:val="single" w:color="auto" w:sz="6" w:space="0"/>
              <w:bottom w:val="single" w:color="auto" w:sz="6" w:space="0"/>
              <w:right w:val="single" w:color="auto" w:sz="6" w:space="0"/>
            </w:tcBorders>
            <w:vAlign w:val="center"/>
          </w:tcPr>
          <w:p>
            <w:pPr>
              <w:pStyle w:val="17"/>
              <w:widowControl w:val="0"/>
              <w:spacing w:before="0" w:line="240" w:lineRule="auto"/>
              <w:rPr>
                <w:rFonts w:ascii="Times New Roman"/>
                <w:kern w:val="2"/>
                <w:szCs w:val="21"/>
              </w:rPr>
            </w:pPr>
            <w:r>
              <w:rPr>
                <w:rFonts w:hint="eastAsia" w:ascii="Times New Roman"/>
                <w:szCs w:val="21"/>
              </w:rPr>
              <w:t>标准参数值</w:t>
            </w:r>
          </w:p>
        </w:tc>
        <w:tc>
          <w:tcPr>
            <w:tcW w:w="1440" w:type="dxa"/>
            <w:tcBorders>
              <w:top w:val="single" w:color="auto" w:sz="12" w:space="0"/>
              <w:left w:val="single" w:color="auto" w:sz="6" w:space="0"/>
              <w:bottom w:val="single" w:color="auto" w:sz="6" w:space="0"/>
              <w:right w:val="single" w:color="auto" w:sz="4" w:space="0"/>
            </w:tcBorders>
            <w:vAlign w:val="center"/>
          </w:tcPr>
          <w:p>
            <w:pPr>
              <w:jc w:val="center"/>
              <w:rPr>
                <w:szCs w:val="21"/>
              </w:rPr>
            </w:pPr>
            <w:r>
              <w:rPr>
                <w:rFonts w:hint="eastAsia"/>
                <w:szCs w:val="21"/>
              </w:rPr>
              <w:t>项目要求值</w:t>
            </w:r>
          </w:p>
        </w:tc>
        <w:tc>
          <w:tcPr>
            <w:tcW w:w="1268" w:type="dxa"/>
            <w:tcBorders>
              <w:top w:val="single" w:color="auto" w:sz="12" w:space="0"/>
              <w:left w:val="single" w:color="auto" w:sz="4" w:space="0"/>
              <w:bottom w:val="single" w:color="auto" w:sz="6" w:space="0"/>
              <w:right w:val="single" w:color="auto" w:sz="12" w:space="0"/>
            </w:tcBorders>
            <w:vAlign w:val="center"/>
          </w:tcPr>
          <w:p>
            <w:pPr>
              <w:jc w:val="center"/>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8" w:hRule="atLeast"/>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1</w:t>
            </w: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rFonts w:eastAsia="宋体" w:cs="Times New Roman"/>
                <w:szCs w:val="21"/>
              </w:rPr>
            </w:pPr>
            <w:r>
              <w:rPr>
                <w:rFonts w:hint="eastAsia" w:eastAsia="宋体" w:cs="Times New Roman"/>
                <w:szCs w:val="21"/>
              </w:rPr>
              <w:t>交流二次电压</w:t>
            </w:r>
          </w:p>
        </w:tc>
        <w:tc>
          <w:tcPr>
            <w:tcW w:w="30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Cs w:val="21"/>
              </w:rPr>
            </w:pPr>
            <w:r>
              <w:rPr>
                <w:rFonts w:hint="eastAsia" w:ascii="宋体" w:hAnsi="宋体"/>
                <w:szCs w:val="21"/>
              </w:rPr>
              <w:t>57.7V/100V</w:t>
            </w:r>
          </w:p>
        </w:tc>
        <w:tc>
          <w:tcPr>
            <w:tcW w:w="1440"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szCs w:val="21"/>
              </w:rPr>
            </w:pPr>
            <w:r>
              <w:rPr>
                <w:rFonts w:hint="eastAsia" w:ascii="宋体" w:hAnsi="宋体"/>
                <w:szCs w:val="21"/>
              </w:rPr>
              <w:t>57.7V/100V</w:t>
            </w:r>
          </w:p>
        </w:tc>
        <w:tc>
          <w:tcPr>
            <w:tcW w:w="1268" w:type="dxa"/>
            <w:tcBorders>
              <w:top w:val="single" w:color="auto" w:sz="6" w:space="0"/>
              <w:left w:val="single" w:color="auto" w:sz="4" w:space="0"/>
              <w:bottom w:val="single" w:color="auto" w:sz="6" w:space="0"/>
              <w:right w:val="single" w:color="auto" w:sz="12" w:space="0"/>
            </w:tcBorders>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2</w:t>
            </w: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rFonts w:eastAsia="宋体" w:cs="Times New Roman"/>
                <w:szCs w:val="21"/>
              </w:rPr>
            </w:pPr>
            <w:r>
              <w:rPr>
                <w:rFonts w:hint="eastAsia" w:eastAsia="宋体" w:cs="Times New Roman"/>
                <w:szCs w:val="21"/>
              </w:rPr>
              <w:t>交流二次电流</w:t>
            </w:r>
          </w:p>
        </w:tc>
        <w:tc>
          <w:tcPr>
            <w:tcW w:w="30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rPr>
            </w:pPr>
            <w:r>
              <w:rPr>
                <w:rFonts w:hint="eastAsia" w:ascii="宋体" w:hAnsi="宋体"/>
              </w:rPr>
              <w:t>1A/5A</w:t>
            </w:r>
          </w:p>
        </w:tc>
        <w:tc>
          <w:tcPr>
            <w:tcW w:w="1440"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szCs w:val="21"/>
              </w:rPr>
            </w:pPr>
          </w:p>
        </w:tc>
        <w:tc>
          <w:tcPr>
            <w:tcW w:w="1268" w:type="dxa"/>
            <w:tcBorders>
              <w:top w:val="single" w:color="auto" w:sz="6" w:space="0"/>
              <w:left w:val="single" w:color="auto" w:sz="4" w:space="0"/>
              <w:bottom w:val="single" w:color="auto" w:sz="6" w:space="0"/>
              <w:right w:val="single" w:color="auto" w:sz="12" w:space="0"/>
            </w:tcBorders>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3</w:t>
            </w: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rFonts w:eastAsia="宋体" w:cs="Times New Roman"/>
                <w:szCs w:val="21"/>
              </w:rPr>
            </w:pPr>
            <w:r>
              <w:rPr>
                <w:rFonts w:hint="eastAsia" w:eastAsia="宋体" w:cs="Times New Roman"/>
                <w:szCs w:val="21"/>
              </w:rPr>
              <w:t>频率</w:t>
            </w:r>
          </w:p>
        </w:tc>
        <w:tc>
          <w:tcPr>
            <w:tcW w:w="30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Cs w:val="21"/>
              </w:rPr>
            </w:pPr>
            <w:r>
              <w:rPr>
                <w:rFonts w:hint="eastAsia" w:ascii="宋体" w:hAnsi="宋体"/>
                <w:szCs w:val="21"/>
              </w:rPr>
              <w:t>50Hz</w:t>
            </w:r>
          </w:p>
        </w:tc>
        <w:tc>
          <w:tcPr>
            <w:tcW w:w="1440"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szCs w:val="21"/>
              </w:rPr>
            </w:pPr>
            <w:r>
              <w:rPr>
                <w:rFonts w:hint="eastAsia" w:ascii="宋体" w:hAnsi="宋体"/>
                <w:szCs w:val="21"/>
              </w:rPr>
              <w:t>50Hz</w:t>
            </w:r>
          </w:p>
        </w:tc>
        <w:tc>
          <w:tcPr>
            <w:tcW w:w="1268" w:type="dxa"/>
            <w:tcBorders>
              <w:top w:val="single" w:color="auto" w:sz="6" w:space="0"/>
              <w:left w:val="single" w:color="auto" w:sz="4" w:space="0"/>
              <w:bottom w:val="single" w:color="auto" w:sz="6" w:space="0"/>
              <w:right w:val="single" w:color="auto" w:sz="12" w:space="0"/>
            </w:tcBorders>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4</w:t>
            </w: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rFonts w:eastAsia="宋体" w:cs="Times New Roman"/>
                <w:szCs w:val="21"/>
              </w:rPr>
            </w:pPr>
            <w:r>
              <w:rPr>
                <w:rFonts w:hint="eastAsia" w:eastAsia="宋体" w:cs="Times New Roman"/>
                <w:szCs w:val="21"/>
              </w:rPr>
              <w:t>直流电压</w:t>
            </w:r>
          </w:p>
        </w:tc>
        <w:tc>
          <w:tcPr>
            <w:tcW w:w="30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Cs w:val="21"/>
              </w:rPr>
            </w:pPr>
            <w:r>
              <w:rPr>
                <w:rFonts w:hint="eastAsia" w:ascii="宋体" w:hAnsi="宋体"/>
                <w:szCs w:val="21"/>
              </w:rPr>
              <w:t>220V/110V/48V</w:t>
            </w:r>
          </w:p>
        </w:tc>
        <w:tc>
          <w:tcPr>
            <w:tcW w:w="1440"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szCs w:val="21"/>
              </w:rPr>
            </w:pPr>
          </w:p>
        </w:tc>
        <w:tc>
          <w:tcPr>
            <w:tcW w:w="1268" w:type="dxa"/>
            <w:tcBorders>
              <w:top w:val="single" w:color="auto" w:sz="6" w:space="0"/>
              <w:left w:val="single" w:color="auto" w:sz="4" w:space="0"/>
              <w:bottom w:val="single" w:color="auto" w:sz="6" w:space="0"/>
              <w:right w:val="single" w:color="auto" w:sz="12" w:space="0"/>
            </w:tcBorders>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szCs w:val="21"/>
              </w:rPr>
            </w:pPr>
            <w:r>
              <w:rPr>
                <w:rFonts w:hint="eastAsia"/>
                <w:szCs w:val="21"/>
              </w:rPr>
              <w:t>直流电源回路功耗</w:t>
            </w:r>
          </w:p>
        </w:tc>
        <w:tc>
          <w:tcPr>
            <w:tcW w:w="3060"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rFonts w:eastAsia="宋体" w:cs="Times New Roman"/>
                <w:szCs w:val="21"/>
              </w:rPr>
            </w:pPr>
            <w:r>
              <w:rPr>
                <w:rFonts w:eastAsia="宋体" w:cs="Times New Roman"/>
                <w:szCs w:val="21"/>
              </w:rPr>
              <w:t xml:space="preserve">正常工作时，不大于50 W；当保护动作时，不大于80 W； </w:t>
            </w:r>
          </w:p>
        </w:tc>
        <w:tc>
          <w:tcPr>
            <w:tcW w:w="1440"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szCs w:val="21"/>
              </w:rPr>
            </w:pPr>
          </w:p>
        </w:tc>
        <w:tc>
          <w:tcPr>
            <w:tcW w:w="1268" w:type="dxa"/>
            <w:tcBorders>
              <w:top w:val="single" w:color="auto" w:sz="6" w:space="0"/>
              <w:left w:val="single" w:color="auto" w:sz="4" w:space="0"/>
              <w:bottom w:val="single" w:color="auto" w:sz="6" w:space="0"/>
              <w:right w:val="single" w:color="auto" w:sz="12" w:space="0"/>
            </w:tcBorders>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5</w:t>
            </w: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rFonts w:eastAsia="宋体" w:cs="Times New Roman"/>
                <w:szCs w:val="21"/>
              </w:rPr>
            </w:pPr>
            <w:r>
              <w:rPr>
                <w:rFonts w:hint="eastAsia" w:eastAsia="宋体" w:cs="Times New Roman"/>
                <w:szCs w:val="21"/>
              </w:rPr>
              <w:t>交流电压回路功耗</w:t>
            </w:r>
          </w:p>
        </w:tc>
        <w:tc>
          <w:tcPr>
            <w:tcW w:w="306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Cs w:val="21"/>
              </w:rPr>
            </w:pPr>
            <w:r>
              <w:rPr>
                <w:rFonts w:hint="eastAsia" w:ascii="宋体" w:hAnsi="宋体"/>
                <w:szCs w:val="21"/>
              </w:rPr>
              <w:t>不大于1VA</w:t>
            </w:r>
          </w:p>
        </w:tc>
        <w:tc>
          <w:tcPr>
            <w:tcW w:w="1440"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szCs w:val="21"/>
              </w:rPr>
            </w:pPr>
            <w:r>
              <w:rPr>
                <w:rFonts w:hint="eastAsia" w:ascii="宋体" w:hAnsi="宋体"/>
                <w:szCs w:val="21"/>
              </w:rPr>
              <w:t>不大于1VA</w:t>
            </w:r>
          </w:p>
        </w:tc>
        <w:tc>
          <w:tcPr>
            <w:tcW w:w="1268" w:type="dxa"/>
            <w:tcBorders>
              <w:top w:val="single" w:color="auto" w:sz="6" w:space="0"/>
              <w:left w:val="single" w:color="auto" w:sz="4" w:space="0"/>
              <w:bottom w:val="single" w:color="auto" w:sz="6" w:space="0"/>
              <w:right w:val="single" w:color="auto" w:sz="12" w:space="0"/>
            </w:tcBorders>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rFonts w:eastAsia="宋体" w:cs="Times New Roman"/>
                <w:szCs w:val="21"/>
              </w:rPr>
            </w:pPr>
            <w:r>
              <w:rPr>
                <w:rFonts w:hint="eastAsia" w:eastAsia="宋体" w:cs="Times New Roman"/>
                <w:szCs w:val="21"/>
              </w:rPr>
              <w:t>交流电流回路功耗</w:t>
            </w:r>
          </w:p>
        </w:tc>
        <w:tc>
          <w:tcPr>
            <w:tcW w:w="3060"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rFonts w:eastAsia="宋体" w:cs="Times New Roman"/>
                <w:szCs w:val="21"/>
              </w:rPr>
            </w:pPr>
            <w:r>
              <w:rPr>
                <w:rFonts w:eastAsia="宋体" w:cs="Times New Roman"/>
                <w:szCs w:val="21"/>
              </w:rPr>
              <w:t>当In=5A时，不大于1VA/相；当In=1A时，不大于0.5VA/相；</w:t>
            </w:r>
          </w:p>
        </w:tc>
        <w:tc>
          <w:tcPr>
            <w:tcW w:w="1440" w:type="dxa"/>
            <w:tcBorders>
              <w:top w:val="single" w:color="auto" w:sz="6" w:space="0"/>
              <w:left w:val="single" w:color="auto" w:sz="6" w:space="0"/>
              <w:bottom w:val="single" w:color="auto" w:sz="6" w:space="0"/>
              <w:right w:val="single" w:color="auto" w:sz="4" w:space="0"/>
            </w:tcBorders>
            <w:vAlign w:val="center"/>
          </w:tcPr>
          <w:p>
            <w:pPr>
              <w:jc w:val="center"/>
              <w:rPr>
                <w:rFonts w:ascii="宋体" w:hAnsi="宋体"/>
                <w:szCs w:val="21"/>
              </w:rPr>
            </w:pPr>
          </w:p>
        </w:tc>
        <w:tc>
          <w:tcPr>
            <w:tcW w:w="1268" w:type="dxa"/>
            <w:tcBorders>
              <w:top w:val="single" w:color="auto" w:sz="6" w:space="0"/>
              <w:left w:val="single" w:color="auto" w:sz="4" w:space="0"/>
              <w:bottom w:val="single" w:color="auto" w:sz="6" w:space="0"/>
              <w:right w:val="single" w:color="auto" w:sz="12" w:space="0"/>
            </w:tcBorders>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rFonts w:eastAsia="宋体" w:cs="Times New Roman"/>
                <w:szCs w:val="21"/>
              </w:rPr>
            </w:pPr>
            <w:r>
              <w:rPr>
                <w:rFonts w:hint="eastAsia" w:eastAsia="宋体" w:cs="Times New Roman"/>
                <w:szCs w:val="21"/>
              </w:rPr>
              <w:t>最大允许电流</w:t>
            </w:r>
          </w:p>
        </w:tc>
        <w:tc>
          <w:tcPr>
            <w:tcW w:w="3060" w:type="dxa"/>
            <w:tcBorders>
              <w:top w:val="single" w:color="auto" w:sz="6" w:space="0"/>
              <w:left w:val="single" w:color="auto" w:sz="6" w:space="0"/>
              <w:bottom w:val="single" w:color="auto" w:sz="6" w:space="0"/>
              <w:right w:val="single" w:color="auto" w:sz="6" w:space="0"/>
            </w:tcBorders>
            <w:vAlign w:val="center"/>
          </w:tcPr>
          <w:p>
            <w:pPr>
              <w:jc w:val="center"/>
              <w:rPr>
                <w:szCs w:val="21"/>
              </w:rPr>
            </w:pPr>
            <w:r>
              <w:rPr>
                <w:rFonts w:hint="eastAsia" w:ascii="宋体" w:hAnsi="宋体"/>
                <w:szCs w:val="21"/>
              </w:rPr>
              <w:t>连续：2倍额定电流</w:t>
            </w:r>
          </w:p>
          <w:p>
            <w:pPr>
              <w:jc w:val="center"/>
              <w:rPr>
                <w:szCs w:val="21"/>
              </w:rPr>
            </w:pPr>
            <w:r>
              <w:rPr>
                <w:rFonts w:hint="eastAsia" w:ascii="宋体" w:hAnsi="宋体"/>
                <w:szCs w:val="21"/>
              </w:rPr>
              <w:t>10秒：10倍额定电</w:t>
            </w:r>
          </w:p>
          <w:p>
            <w:pPr>
              <w:jc w:val="center"/>
              <w:rPr>
                <w:rFonts w:ascii="宋体" w:hAnsi="宋体"/>
                <w:szCs w:val="21"/>
              </w:rPr>
            </w:pPr>
            <w:r>
              <w:rPr>
                <w:rFonts w:hint="eastAsia" w:ascii="宋体" w:hAnsi="宋体"/>
                <w:szCs w:val="21"/>
              </w:rPr>
              <w:t>1秒：40倍额定电流</w:t>
            </w:r>
          </w:p>
        </w:tc>
        <w:tc>
          <w:tcPr>
            <w:tcW w:w="1440" w:type="dxa"/>
            <w:tcBorders>
              <w:top w:val="single" w:color="auto" w:sz="6" w:space="0"/>
              <w:left w:val="single" w:color="auto" w:sz="6" w:space="0"/>
              <w:bottom w:val="single" w:color="auto" w:sz="6" w:space="0"/>
              <w:right w:val="single" w:color="auto" w:sz="4" w:space="0"/>
            </w:tcBorders>
            <w:vAlign w:val="center"/>
          </w:tcPr>
          <w:p>
            <w:pPr>
              <w:jc w:val="center"/>
              <w:rPr>
                <w:szCs w:val="21"/>
              </w:rPr>
            </w:pPr>
            <w:r>
              <w:rPr>
                <w:rFonts w:hint="eastAsia" w:ascii="宋体" w:hAnsi="宋体"/>
                <w:szCs w:val="21"/>
              </w:rPr>
              <w:t>连续：2倍额定电流</w:t>
            </w:r>
          </w:p>
          <w:p>
            <w:pPr>
              <w:jc w:val="center"/>
              <w:rPr>
                <w:szCs w:val="21"/>
              </w:rPr>
            </w:pPr>
            <w:r>
              <w:rPr>
                <w:rFonts w:hint="eastAsia" w:ascii="宋体" w:hAnsi="宋体"/>
                <w:szCs w:val="21"/>
              </w:rPr>
              <w:t>10秒：10倍额定电</w:t>
            </w:r>
          </w:p>
          <w:p>
            <w:pPr>
              <w:jc w:val="center"/>
              <w:rPr>
                <w:rFonts w:ascii="宋体" w:hAnsi="宋体"/>
                <w:szCs w:val="21"/>
              </w:rPr>
            </w:pPr>
            <w:r>
              <w:rPr>
                <w:rFonts w:hint="eastAsia" w:ascii="宋体" w:hAnsi="宋体"/>
                <w:szCs w:val="21"/>
              </w:rPr>
              <w:t>1秒：40倍额定电流</w:t>
            </w:r>
          </w:p>
        </w:tc>
        <w:tc>
          <w:tcPr>
            <w:tcW w:w="1268" w:type="dxa"/>
            <w:tcBorders>
              <w:top w:val="single" w:color="auto" w:sz="6" w:space="0"/>
              <w:left w:val="single" w:color="auto" w:sz="4" w:space="0"/>
              <w:bottom w:val="single" w:color="auto" w:sz="6" w:space="0"/>
              <w:right w:val="single" w:color="auto" w:sz="12" w:space="0"/>
            </w:tcBorders>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rFonts w:eastAsia="宋体" w:cs="Times New Roman"/>
                <w:szCs w:val="21"/>
              </w:rPr>
            </w:pPr>
            <w:r>
              <w:rPr>
                <w:rFonts w:hint="eastAsia" w:eastAsia="宋体" w:cs="Times New Roman"/>
                <w:szCs w:val="21"/>
              </w:rPr>
              <w:t>最大允许交流电压</w:t>
            </w:r>
          </w:p>
        </w:tc>
        <w:tc>
          <w:tcPr>
            <w:tcW w:w="3060" w:type="dxa"/>
            <w:tcBorders>
              <w:top w:val="single" w:color="auto" w:sz="6" w:space="0"/>
              <w:left w:val="single" w:color="auto" w:sz="6" w:space="0"/>
              <w:bottom w:val="single" w:color="auto" w:sz="6" w:space="0"/>
              <w:right w:val="single" w:color="auto" w:sz="6" w:space="0"/>
            </w:tcBorders>
            <w:vAlign w:val="center"/>
          </w:tcPr>
          <w:p>
            <w:pPr>
              <w:jc w:val="center"/>
              <w:rPr>
                <w:szCs w:val="21"/>
              </w:rPr>
            </w:pPr>
            <w:r>
              <w:rPr>
                <w:rFonts w:hint="eastAsia" w:ascii="宋体" w:hAnsi="宋体"/>
                <w:szCs w:val="21"/>
              </w:rPr>
              <w:t>连续：1.2倍额定电压</w:t>
            </w:r>
          </w:p>
          <w:p>
            <w:pPr>
              <w:jc w:val="center"/>
              <w:rPr>
                <w:rFonts w:ascii="宋体" w:hAnsi="宋体"/>
                <w:szCs w:val="21"/>
              </w:rPr>
            </w:pPr>
            <w:r>
              <w:rPr>
                <w:rFonts w:hint="eastAsia" w:ascii="宋体" w:hAnsi="宋体"/>
                <w:szCs w:val="21"/>
              </w:rPr>
              <w:t>10秒：1.4倍额定电压</w:t>
            </w:r>
          </w:p>
        </w:tc>
        <w:tc>
          <w:tcPr>
            <w:tcW w:w="1440" w:type="dxa"/>
            <w:tcBorders>
              <w:top w:val="single" w:color="auto" w:sz="6" w:space="0"/>
              <w:left w:val="single" w:color="auto" w:sz="6" w:space="0"/>
              <w:bottom w:val="single" w:color="auto" w:sz="6" w:space="0"/>
              <w:right w:val="single" w:color="auto" w:sz="4" w:space="0"/>
            </w:tcBorders>
            <w:vAlign w:val="center"/>
          </w:tcPr>
          <w:p>
            <w:pPr>
              <w:jc w:val="center"/>
              <w:rPr>
                <w:szCs w:val="21"/>
              </w:rPr>
            </w:pPr>
            <w:r>
              <w:rPr>
                <w:rFonts w:hint="eastAsia" w:ascii="宋体" w:hAnsi="宋体"/>
                <w:szCs w:val="21"/>
              </w:rPr>
              <w:t>连续：1.2倍额定电压</w:t>
            </w:r>
          </w:p>
          <w:p>
            <w:pPr>
              <w:jc w:val="center"/>
              <w:rPr>
                <w:rFonts w:ascii="宋体" w:hAnsi="宋体"/>
                <w:szCs w:val="21"/>
              </w:rPr>
            </w:pPr>
            <w:r>
              <w:rPr>
                <w:rFonts w:hint="eastAsia" w:ascii="宋体" w:hAnsi="宋体"/>
                <w:szCs w:val="21"/>
              </w:rPr>
              <w:t>10秒：1.4倍额定电压</w:t>
            </w:r>
          </w:p>
        </w:tc>
        <w:tc>
          <w:tcPr>
            <w:tcW w:w="1268" w:type="dxa"/>
            <w:tcBorders>
              <w:top w:val="single" w:color="auto" w:sz="6" w:space="0"/>
              <w:left w:val="single" w:color="auto" w:sz="4" w:space="0"/>
              <w:bottom w:val="single" w:color="auto" w:sz="6" w:space="0"/>
              <w:right w:val="single" w:color="auto" w:sz="12" w:space="0"/>
            </w:tcBorders>
            <w:vAlign w:val="center"/>
          </w:tcPr>
          <w:p>
            <w:pPr>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szCs w:val="21"/>
              </w:rPr>
            </w:pPr>
            <w:r>
              <w:rPr>
                <w:rFonts w:hint="eastAsia"/>
                <w:szCs w:val="21"/>
              </w:rPr>
              <w:t>模拟量</w:t>
            </w:r>
          </w:p>
        </w:tc>
        <w:tc>
          <w:tcPr>
            <w:tcW w:w="3060" w:type="dxa"/>
            <w:tcBorders>
              <w:top w:val="single" w:color="auto" w:sz="6" w:space="0"/>
              <w:left w:val="single" w:color="auto" w:sz="6" w:space="0"/>
              <w:bottom w:val="single" w:color="auto" w:sz="6" w:space="0"/>
              <w:right w:val="single" w:color="auto" w:sz="6" w:space="0"/>
            </w:tcBorders>
            <w:vAlign w:val="center"/>
          </w:tcPr>
          <w:p>
            <w:pPr>
              <w:rPr>
                <w:rFonts w:ascii="宋体" w:hAnsi="宋体"/>
                <w:szCs w:val="21"/>
              </w:rPr>
            </w:pPr>
            <w:r>
              <w:rPr>
                <w:rFonts w:hint="eastAsia" w:ascii="宋体" w:hAnsi="宋体"/>
                <w:szCs w:val="21"/>
              </w:rPr>
              <w:t>不少于</w:t>
            </w:r>
            <w:r>
              <w:rPr>
                <w:rFonts w:ascii="宋体" w:hAnsi="宋体"/>
                <w:szCs w:val="21"/>
              </w:rPr>
              <w:t>3</w:t>
            </w:r>
            <w:r>
              <w:rPr>
                <w:rFonts w:hint="eastAsia" w:ascii="宋体" w:hAnsi="宋体"/>
                <w:szCs w:val="21"/>
              </w:rPr>
              <w:t>6路</w:t>
            </w:r>
          </w:p>
        </w:tc>
        <w:tc>
          <w:tcPr>
            <w:tcW w:w="1440" w:type="dxa"/>
            <w:tcBorders>
              <w:top w:val="single" w:color="auto" w:sz="6" w:space="0"/>
              <w:left w:val="single" w:color="auto" w:sz="6" w:space="0"/>
              <w:bottom w:val="single" w:color="auto" w:sz="6" w:space="0"/>
              <w:right w:val="single" w:color="auto" w:sz="4" w:space="0"/>
            </w:tcBorders>
            <w:vAlign w:val="center"/>
          </w:tcPr>
          <w:p>
            <w:pPr>
              <w:rPr>
                <w:rFonts w:ascii="宋体" w:hAnsi="宋体"/>
                <w:szCs w:val="21"/>
              </w:rPr>
            </w:pPr>
            <w:r>
              <w:rPr>
                <w:rFonts w:hint="eastAsia" w:ascii="宋体" w:hAnsi="宋体"/>
                <w:szCs w:val="21"/>
              </w:rPr>
              <w:t>不少于</w:t>
            </w:r>
            <w:r>
              <w:rPr>
                <w:rFonts w:ascii="宋体" w:hAnsi="宋体"/>
                <w:szCs w:val="21"/>
              </w:rPr>
              <w:t>3</w:t>
            </w:r>
            <w:r>
              <w:rPr>
                <w:rFonts w:hint="eastAsia" w:ascii="宋体" w:hAnsi="宋体"/>
                <w:szCs w:val="21"/>
              </w:rPr>
              <w:t>6路</w:t>
            </w:r>
          </w:p>
        </w:tc>
        <w:tc>
          <w:tcPr>
            <w:tcW w:w="1268" w:type="dxa"/>
            <w:tcBorders>
              <w:top w:val="single" w:color="auto" w:sz="6" w:space="0"/>
              <w:left w:val="single" w:color="auto" w:sz="4" w:space="0"/>
              <w:bottom w:val="single" w:color="auto" w:sz="6" w:space="0"/>
              <w:right w:val="single" w:color="auto" w:sz="12" w:space="0"/>
            </w:tcBorders>
            <w:vAlign w:val="center"/>
          </w:tcPr>
          <w:p>
            <w:pP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szCs w:val="21"/>
              </w:rPr>
            </w:pPr>
            <w:r>
              <w:rPr>
                <w:rFonts w:hint="eastAsia"/>
                <w:szCs w:val="21"/>
              </w:rPr>
              <w:t>开入量</w:t>
            </w:r>
          </w:p>
        </w:tc>
        <w:tc>
          <w:tcPr>
            <w:tcW w:w="3060" w:type="dxa"/>
            <w:tcBorders>
              <w:top w:val="single" w:color="auto" w:sz="6" w:space="0"/>
              <w:left w:val="single" w:color="auto" w:sz="6" w:space="0"/>
              <w:bottom w:val="single" w:color="auto" w:sz="6" w:space="0"/>
              <w:right w:val="single" w:color="auto" w:sz="6" w:space="0"/>
            </w:tcBorders>
            <w:vAlign w:val="center"/>
          </w:tcPr>
          <w:p>
            <w:pPr>
              <w:rPr>
                <w:rFonts w:ascii="宋体" w:hAnsi="宋体"/>
                <w:szCs w:val="21"/>
              </w:rPr>
            </w:pPr>
            <w:r>
              <w:rPr>
                <w:rFonts w:hint="eastAsia" w:ascii="宋体" w:hAnsi="宋体"/>
                <w:szCs w:val="21"/>
              </w:rPr>
              <w:t>不少于48路</w:t>
            </w:r>
          </w:p>
        </w:tc>
        <w:tc>
          <w:tcPr>
            <w:tcW w:w="1440" w:type="dxa"/>
            <w:tcBorders>
              <w:top w:val="single" w:color="auto" w:sz="6" w:space="0"/>
              <w:left w:val="single" w:color="auto" w:sz="6" w:space="0"/>
              <w:bottom w:val="single" w:color="auto" w:sz="6" w:space="0"/>
              <w:right w:val="single" w:color="auto" w:sz="4" w:space="0"/>
            </w:tcBorders>
            <w:vAlign w:val="center"/>
          </w:tcPr>
          <w:p>
            <w:pPr>
              <w:rPr>
                <w:rFonts w:ascii="宋体" w:hAnsi="宋体"/>
                <w:szCs w:val="21"/>
              </w:rPr>
            </w:pPr>
            <w:r>
              <w:rPr>
                <w:rFonts w:hint="eastAsia" w:ascii="宋体" w:hAnsi="宋体"/>
                <w:szCs w:val="21"/>
              </w:rPr>
              <w:t>不少于48路</w:t>
            </w:r>
          </w:p>
        </w:tc>
        <w:tc>
          <w:tcPr>
            <w:tcW w:w="1268" w:type="dxa"/>
            <w:tcBorders>
              <w:top w:val="single" w:color="auto" w:sz="6" w:space="0"/>
              <w:left w:val="single" w:color="auto" w:sz="4" w:space="0"/>
              <w:bottom w:val="single" w:color="auto" w:sz="6" w:space="0"/>
              <w:right w:val="single" w:color="auto" w:sz="12" w:space="0"/>
            </w:tcBorders>
            <w:vAlign w:val="center"/>
          </w:tcPr>
          <w:p>
            <w:pP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vAlign w:val="center"/>
          </w:tcPr>
          <w:p>
            <w:pPr>
              <w:pStyle w:val="15"/>
              <w:adjustRightInd w:val="0"/>
              <w:snapToGrid w:val="0"/>
              <w:spacing w:line="360" w:lineRule="auto"/>
              <w:ind w:firstLine="0" w:firstLineChars="0"/>
              <w:rPr>
                <w:szCs w:val="21"/>
              </w:rPr>
            </w:pPr>
            <w:r>
              <w:rPr>
                <w:rFonts w:hint="eastAsia"/>
                <w:szCs w:val="21"/>
              </w:rPr>
              <w:t>开出量</w:t>
            </w:r>
          </w:p>
        </w:tc>
        <w:tc>
          <w:tcPr>
            <w:tcW w:w="3060" w:type="dxa"/>
            <w:tcBorders>
              <w:top w:val="single" w:color="auto" w:sz="6" w:space="0"/>
              <w:left w:val="single" w:color="auto" w:sz="6" w:space="0"/>
              <w:bottom w:val="single" w:color="auto" w:sz="6" w:space="0"/>
              <w:right w:val="single" w:color="auto" w:sz="6" w:space="0"/>
            </w:tcBorders>
            <w:vAlign w:val="center"/>
          </w:tcPr>
          <w:p>
            <w:pPr>
              <w:rPr>
                <w:rFonts w:ascii="宋体" w:hAnsi="宋体"/>
                <w:szCs w:val="21"/>
              </w:rPr>
            </w:pPr>
            <w:r>
              <w:rPr>
                <w:rFonts w:hint="eastAsia" w:ascii="宋体" w:hAnsi="宋体"/>
                <w:szCs w:val="21"/>
              </w:rPr>
              <w:t>不少于</w:t>
            </w:r>
            <w:r>
              <w:rPr>
                <w:rFonts w:ascii="宋体" w:hAnsi="宋体"/>
                <w:szCs w:val="21"/>
              </w:rPr>
              <w:t>30</w:t>
            </w:r>
            <w:r>
              <w:rPr>
                <w:rFonts w:hint="eastAsia" w:ascii="宋体" w:hAnsi="宋体"/>
                <w:szCs w:val="21"/>
              </w:rPr>
              <w:t>路</w:t>
            </w:r>
          </w:p>
        </w:tc>
        <w:tc>
          <w:tcPr>
            <w:tcW w:w="1440" w:type="dxa"/>
            <w:tcBorders>
              <w:top w:val="single" w:color="auto" w:sz="6" w:space="0"/>
              <w:left w:val="single" w:color="auto" w:sz="6" w:space="0"/>
              <w:bottom w:val="single" w:color="auto" w:sz="6" w:space="0"/>
              <w:right w:val="single" w:color="auto" w:sz="4" w:space="0"/>
            </w:tcBorders>
            <w:vAlign w:val="center"/>
          </w:tcPr>
          <w:p>
            <w:pPr>
              <w:rPr>
                <w:rFonts w:ascii="宋体" w:hAnsi="宋体"/>
                <w:szCs w:val="21"/>
              </w:rPr>
            </w:pPr>
            <w:r>
              <w:rPr>
                <w:rFonts w:hint="eastAsia" w:ascii="宋体" w:hAnsi="宋体"/>
                <w:szCs w:val="21"/>
              </w:rPr>
              <w:t>不少于</w:t>
            </w:r>
            <w:r>
              <w:rPr>
                <w:rFonts w:ascii="宋体" w:hAnsi="宋体"/>
                <w:szCs w:val="21"/>
              </w:rPr>
              <w:t>30</w:t>
            </w:r>
            <w:r>
              <w:rPr>
                <w:rFonts w:hint="eastAsia" w:ascii="宋体" w:hAnsi="宋体"/>
                <w:szCs w:val="21"/>
              </w:rPr>
              <w:t>路</w:t>
            </w:r>
          </w:p>
        </w:tc>
        <w:tc>
          <w:tcPr>
            <w:tcW w:w="1268" w:type="dxa"/>
            <w:tcBorders>
              <w:top w:val="single" w:color="auto" w:sz="6" w:space="0"/>
              <w:left w:val="single" w:color="auto" w:sz="4" w:space="0"/>
              <w:bottom w:val="single" w:color="auto" w:sz="6" w:space="0"/>
              <w:right w:val="single" w:color="auto" w:sz="12" w:space="0"/>
            </w:tcBorders>
            <w:vAlign w:val="center"/>
          </w:tcPr>
          <w:p>
            <w:pP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12" w:space="0"/>
              <w:right w:val="single" w:color="auto" w:sz="6" w:space="0"/>
            </w:tcBorders>
            <w:vAlign w:val="center"/>
          </w:tcPr>
          <w:p>
            <w:pPr>
              <w:pStyle w:val="15"/>
              <w:numPr>
                <w:ilvl w:val="0"/>
                <w:numId w:val="18"/>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12" w:space="0"/>
              <w:right w:val="single" w:color="auto" w:sz="6" w:space="0"/>
            </w:tcBorders>
            <w:vAlign w:val="center"/>
          </w:tcPr>
          <w:p>
            <w:pPr>
              <w:pStyle w:val="15"/>
              <w:adjustRightInd w:val="0"/>
              <w:snapToGrid w:val="0"/>
              <w:spacing w:line="360" w:lineRule="auto"/>
              <w:ind w:firstLine="0" w:firstLineChars="0"/>
              <w:rPr>
                <w:szCs w:val="21"/>
              </w:rPr>
            </w:pPr>
            <w:r>
              <w:rPr>
                <w:rFonts w:hint="eastAsia"/>
                <w:szCs w:val="21"/>
              </w:rPr>
              <w:t>端子排</w:t>
            </w:r>
          </w:p>
        </w:tc>
        <w:tc>
          <w:tcPr>
            <w:tcW w:w="3060" w:type="dxa"/>
            <w:tcBorders>
              <w:top w:val="single" w:color="auto" w:sz="6" w:space="0"/>
              <w:left w:val="single" w:color="auto" w:sz="6" w:space="0"/>
              <w:bottom w:val="single" w:color="auto" w:sz="12" w:space="0"/>
              <w:right w:val="single" w:color="auto" w:sz="6" w:space="0"/>
            </w:tcBorders>
            <w:vAlign w:val="center"/>
          </w:tcPr>
          <w:p>
            <w:pPr>
              <w:rPr>
                <w:rFonts w:ascii="宋体" w:hAnsi="宋体"/>
                <w:szCs w:val="21"/>
              </w:rPr>
            </w:pPr>
            <w:r>
              <w:rPr>
                <w:rFonts w:hint="eastAsia" w:ascii="宋体" w:hAnsi="宋体"/>
                <w:szCs w:val="21"/>
              </w:rPr>
              <w:t>所有端子的额定值为1000V、10A, 螺丝压接型阻燃端子,元器件与端子、端子与端子之间的连接用多股绝缘导线时应采用冷压接端头；不同功能的端子要用不同颜色区分，跳合闸出口回路端子用红色。</w:t>
            </w:r>
          </w:p>
        </w:tc>
        <w:tc>
          <w:tcPr>
            <w:tcW w:w="1440" w:type="dxa"/>
            <w:tcBorders>
              <w:top w:val="single" w:color="auto" w:sz="6" w:space="0"/>
              <w:left w:val="single" w:color="auto" w:sz="6" w:space="0"/>
              <w:bottom w:val="single" w:color="auto" w:sz="12" w:space="0"/>
              <w:right w:val="single" w:color="auto" w:sz="4" w:space="0"/>
            </w:tcBorders>
            <w:vAlign w:val="center"/>
          </w:tcPr>
          <w:p>
            <w:pPr>
              <w:rPr>
                <w:rFonts w:ascii="宋体" w:hAnsi="宋体"/>
                <w:szCs w:val="21"/>
              </w:rPr>
            </w:pPr>
            <w:r>
              <w:rPr>
                <w:rFonts w:hint="eastAsia" w:ascii="宋体" w:hAnsi="宋体"/>
                <w:szCs w:val="21"/>
              </w:rPr>
              <w:t>1000V、10A</w:t>
            </w:r>
          </w:p>
        </w:tc>
        <w:tc>
          <w:tcPr>
            <w:tcW w:w="1268" w:type="dxa"/>
            <w:tcBorders>
              <w:top w:val="single" w:color="auto" w:sz="6" w:space="0"/>
              <w:left w:val="single" w:color="auto" w:sz="4" w:space="0"/>
              <w:bottom w:val="single" w:color="auto" w:sz="12" w:space="0"/>
              <w:right w:val="single" w:color="auto" w:sz="12" w:space="0"/>
            </w:tcBorders>
            <w:vAlign w:val="center"/>
          </w:tcPr>
          <w:p>
            <w:pPr>
              <w:jc w:val="center"/>
              <w:rPr>
                <w:rFonts w:ascii="宋体" w:hAnsi="宋体"/>
                <w:szCs w:val="21"/>
              </w:rPr>
            </w:pPr>
          </w:p>
        </w:tc>
      </w:tr>
    </w:tbl>
    <w:p>
      <w:pPr>
        <w:adjustRightInd w:val="0"/>
        <w:snapToGrid w:val="0"/>
        <w:spacing w:line="360" w:lineRule="auto"/>
        <w:jc w:val="center"/>
        <w:rPr>
          <w:rFonts w:ascii="宋体" w:hAnsi="宋体"/>
          <w:szCs w:val="21"/>
        </w:rPr>
      </w:pPr>
    </w:p>
    <w:p>
      <w:pPr>
        <w:pStyle w:val="2"/>
        <w:numPr>
          <w:ilvl w:val="0"/>
          <w:numId w:val="0"/>
        </w:numPr>
        <w:snapToGrid/>
        <w:spacing w:before="0" w:beforeLines="0" w:line="480" w:lineRule="auto"/>
        <w:rPr>
          <w:rFonts w:ascii="黑体" w:eastAsia="黑体"/>
        </w:rPr>
      </w:pPr>
      <w:bookmarkStart w:id="144" w:name="_Toc15800"/>
      <w:bookmarkStart w:id="145" w:name="_Toc287602840"/>
      <w:bookmarkStart w:id="146" w:name="_Toc403567362"/>
      <w:r>
        <w:rPr>
          <w:rFonts w:hint="eastAsia" w:ascii="黑体" w:eastAsia="黑体"/>
        </w:rPr>
        <w:t>13 备品备件及专用工具</w:t>
      </w:r>
      <w:bookmarkEnd w:id="144"/>
      <w:bookmarkEnd w:id="145"/>
      <w:bookmarkEnd w:id="146"/>
    </w:p>
    <w:p>
      <w:pPr>
        <w:pStyle w:val="3"/>
        <w:numPr>
          <w:ilvl w:val="0"/>
          <w:numId w:val="0"/>
        </w:numPr>
        <w:rPr>
          <w:rFonts w:ascii="黑体" w:eastAsia="黑体"/>
        </w:rPr>
      </w:pPr>
      <w:bookmarkStart w:id="147" w:name="_Toc287602841"/>
      <w:bookmarkStart w:id="148" w:name="_Toc12690"/>
      <w:bookmarkStart w:id="149" w:name="_Toc403567363"/>
      <w:r>
        <w:rPr>
          <w:rFonts w:hint="eastAsia" w:ascii="黑体" w:eastAsia="黑体"/>
        </w:rPr>
        <w:t>13.1必备的备品备件、专用工具和仪器仪表</w:t>
      </w:r>
      <w:bookmarkEnd w:id="147"/>
      <w:bookmarkEnd w:id="148"/>
      <w:bookmarkEnd w:id="149"/>
    </w:p>
    <w:p>
      <w:pPr>
        <w:pStyle w:val="15"/>
        <w:adjustRightInd w:val="0"/>
        <w:snapToGrid w:val="0"/>
        <w:spacing w:line="360" w:lineRule="auto"/>
        <w:rPr>
          <w:rFonts w:eastAsia="宋体" w:cs="Times New Roman"/>
          <w:szCs w:val="21"/>
        </w:rPr>
      </w:pPr>
      <w:r>
        <w:rPr>
          <w:rFonts w:hint="eastAsia" w:eastAsia="宋体" w:cs="Times New Roman"/>
          <w:szCs w:val="21"/>
        </w:rPr>
        <w:t>投标方应向招标方提供必备的备品备件、专用工具和仪器仪表清单见表13.1， 要求提供的备品备件、专用工具和仪器仪表应是新品， 与设备同型号、同工艺。</w:t>
      </w:r>
    </w:p>
    <w:p>
      <w:pPr>
        <w:adjustRightInd w:val="0"/>
        <w:snapToGrid w:val="0"/>
        <w:spacing w:line="360" w:lineRule="auto"/>
        <w:jc w:val="center"/>
        <w:rPr>
          <w:rFonts w:ascii="宋体" w:hAnsi="宋体"/>
          <w:szCs w:val="21"/>
        </w:rPr>
      </w:pPr>
      <w:r>
        <w:rPr>
          <w:rFonts w:hint="eastAsia" w:ascii="宋体" w:hAnsi="宋体"/>
          <w:szCs w:val="21"/>
        </w:rPr>
        <w:t>表13.1</w:t>
      </w:r>
      <w:r>
        <w:rPr>
          <w:rFonts w:hint="eastAsia" w:ascii="宋体" w:hAnsi="宋体"/>
          <w:szCs w:val="21"/>
        </w:rPr>
        <w:tab/>
      </w:r>
      <w:r>
        <w:rPr>
          <w:rFonts w:hint="eastAsia" w:ascii="宋体" w:hAnsi="宋体"/>
          <w:szCs w:val="21"/>
        </w:rPr>
        <w:t>必备的备品备件、专用工具和仪器仪表清单 （项目单位填写）</w:t>
      </w:r>
    </w:p>
    <w:tbl>
      <w:tblPr>
        <w:tblStyle w:val="11"/>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4"/>
        <w:gridCol w:w="1514"/>
        <w:gridCol w:w="3675"/>
        <w:gridCol w:w="420"/>
        <w:gridCol w:w="630"/>
        <w:gridCol w:w="945"/>
        <w:gridCol w:w="7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blHeader/>
          <w:jc w:val="center"/>
        </w:trPr>
        <w:tc>
          <w:tcPr>
            <w:tcW w:w="484" w:type="dxa"/>
            <w:vAlign w:val="center"/>
          </w:tcPr>
          <w:p>
            <w:pPr>
              <w:pStyle w:val="6"/>
              <w:jc w:val="center"/>
              <w:rPr>
                <w:rFonts w:hAnsi="宋体"/>
                <w:szCs w:val="21"/>
              </w:rPr>
            </w:pPr>
            <w:r>
              <w:rPr>
                <w:rFonts w:hint="eastAsia" w:hAnsi="宋体"/>
                <w:szCs w:val="21"/>
              </w:rPr>
              <w:t>序号</w:t>
            </w:r>
          </w:p>
        </w:tc>
        <w:tc>
          <w:tcPr>
            <w:tcW w:w="1514" w:type="dxa"/>
            <w:vAlign w:val="center"/>
          </w:tcPr>
          <w:p>
            <w:pPr>
              <w:pStyle w:val="6"/>
              <w:jc w:val="center"/>
              <w:rPr>
                <w:rFonts w:hAnsi="宋体"/>
                <w:szCs w:val="21"/>
              </w:rPr>
            </w:pPr>
            <w:r>
              <w:rPr>
                <w:rFonts w:hint="eastAsia" w:hAnsi="宋体"/>
                <w:szCs w:val="21"/>
              </w:rPr>
              <w:t>名称</w:t>
            </w:r>
          </w:p>
        </w:tc>
        <w:tc>
          <w:tcPr>
            <w:tcW w:w="3675" w:type="dxa"/>
            <w:vAlign w:val="center"/>
          </w:tcPr>
          <w:p>
            <w:pPr>
              <w:pStyle w:val="6"/>
              <w:jc w:val="center"/>
              <w:rPr>
                <w:rFonts w:hAnsi="宋体"/>
                <w:szCs w:val="21"/>
              </w:rPr>
            </w:pPr>
            <w:r>
              <w:rPr>
                <w:rFonts w:hint="eastAsia" w:hAnsi="宋体"/>
                <w:szCs w:val="21"/>
              </w:rPr>
              <w:t>型号及规格</w:t>
            </w:r>
          </w:p>
        </w:tc>
        <w:tc>
          <w:tcPr>
            <w:tcW w:w="420" w:type="dxa"/>
            <w:vAlign w:val="center"/>
          </w:tcPr>
          <w:p>
            <w:pPr>
              <w:pStyle w:val="6"/>
              <w:jc w:val="center"/>
              <w:rPr>
                <w:rFonts w:hAnsi="宋体"/>
                <w:szCs w:val="21"/>
              </w:rPr>
            </w:pPr>
            <w:r>
              <w:rPr>
                <w:rFonts w:hint="eastAsia" w:hAnsi="宋体"/>
                <w:szCs w:val="21"/>
              </w:rPr>
              <w:t>单位</w:t>
            </w:r>
          </w:p>
        </w:tc>
        <w:tc>
          <w:tcPr>
            <w:tcW w:w="630" w:type="dxa"/>
            <w:vAlign w:val="center"/>
          </w:tcPr>
          <w:p>
            <w:pPr>
              <w:pStyle w:val="6"/>
              <w:jc w:val="center"/>
              <w:rPr>
                <w:rFonts w:hAnsi="宋体"/>
                <w:szCs w:val="21"/>
              </w:rPr>
            </w:pPr>
            <w:r>
              <w:rPr>
                <w:rFonts w:hint="eastAsia" w:hAnsi="宋体"/>
                <w:szCs w:val="21"/>
              </w:rPr>
              <w:t>数量</w:t>
            </w:r>
          </w:p>
        </w:tc>
        <w:tc>
          <w:tcPr>
            <w:tcW w:w="945" w:type="dxa"/>
            <w:vAlign w:val="center"/>
          </w:tcPr>
          <w:p>
            <w:pPr>
              <w:pStyle w:val="6"/>
              <w:jc w:val="center"/>
              <w:rPr>
                <w:rFonts w:hAnsi="宋体"/>
                <w:szCs w:val="21"/>
              </w:rPr>
            </w:pPr>
            <w:r>
              <w:rPr>
                <w:rFonts w:hint="eastAsia" w:hAnsi="宋体"/>
                <w:szCs w:val="21"/>
              </w:rPr>
              <w:t>使用处</w:t>
            </w:r>
          </w:p>
        </w:tc>
        <w:tc>
          <w:tcPr>
            <w:tcW w:w="720" w:type="dxa"/>
            <w:vAlign w:val="center"/>
          </w:tcPr>
          <w:p>
            <w:pPr>
              <w:pStyle w:val="6"/>
              <w:jc w:val="center"/>
              <w:rPr>
                <w:rFonts w:hAnsi="宋体"/>
                <w:szCs w:val="21"/>
              </w:rPr>
            </w:pPr>
            <w:r>
              <w:rPr>
                <w:rFonts w:hint="eastAsia" w:hAnsi="宋体"/>
                <w:szCs w:val="21"/>
              </w:rPr>
              <w:t>备  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6"/>
              <w:jc w:val="center"/>
              <w:rPr>
                <w:rFonts w:hAnsi="宋体"/>
                <w:szCs w:val="21"/>
              </w:rPr>
            </w:pPr>
            <w:r>
              <w:rPr>
                <w:rFonts w:hint="eastAsia" w:hAnsi="宋体"/>
                <w:szCs w:val="21"/>
              </w:rPr>
              <w:t>1</w:t>
            </w:r>
          </w:p>
        </w:tc>
        <w:tc>
          <w:tcPr>
            <w:tcW w:w="1514" w:type="dxa"/>
          </w:tcPr>
          <w:p>
            <w:pPr>
              <w:pStyle w:val="6"/>
              <w:jc w:val="center"/>
              <w:rPr>
                <w:rFonts w:hAnsi="宋体"/>
                <w:szCs w:val="21"/>
              </w:rPr>
            </w:pPr>
            <w:r>
              <w:rPr>
                <w:rFonts w:hint="eastAsia" w:hAnsi="宋体"/>
                <w:szCs w:val="21"/>
              </w:rPr>
              <w:t>液晶板</w:t>
            </w:r>
          </w:p>
        </w:tc>
        <w:tc>
          <w:tcPr>
            <w:tcW w:w="3675" w:type="dxa"/>
          </w:tcPr>
          <w:p>
            <w:pPr>
              <w:pStyle w:val="6"/>
              <w:jc w:val="center"/>
              <w:rPr>
                <w:rFonts w:hAnsi="宋体"/>
                <w:szCs w:val="21"/>
              </w:rPr>
            </w:pPr>
          </w:p>
        </w:tc>
        <w:tc>
          <w:tcPr>
            <w:tcW w:w="420" w:type="dxa"/>
          </w:tcPr>
          <w:p>
            <w:pPr>
              <w:pStyle w:val="6"/>
              <w:jc w:val="center"/>
              <w:rPr>
                <w:rFonts w:hAnsi="宋体"/>
                <w:szCs w:val="21"/>
              </w:rPr>
            </w:pPr>
            <w:r>
              <w:rPr>
                <w:rFonts w:hint="eastAsia" w:hAnsi="宋体"/>
                <w:szCs w:val="21"/>
              </w:rPr>
              <w:t>块</w:t>
            </w:r>
          </w:p>
        </w:tc>
        <w:tc>
          <w:tcPr>
            <w:tcW w:w="630" w:type="dxa"/>
          </w:tcPr>
          <w:p>
            <w:pPr>
              <w:pStyle w:val="6"/>
              <w:jc w:val="center"/>
              <w:rPr>
                <w:rFonts w:hAnsi="宋体"/>
                <w:szCs w:val="21"/>
              </w:rPr>
            </w:pPr>
            <w:r>
              <w:rPr>
                <w:rFonts w:hint="eastAsia" w:hAnsi="宋体"/>
                <w:szCs w:val="21"/>
              </w:rPr>
              <w:t>1</w:t>
            </w:r>
          </w:p>
        </w:tc>
        <w:tc>
          <w:tcPr>
            <w:tcW w:w="945" w:type="dxa"/>
          </w:tcPr>
          <w:p>
            <w:pPr>
              <w:pStyle w:val="6"/>
              <w:jc w:val="center"/>
              <w:rPr>
                <w:rFonts w:hAnsi="宋体"/>
                <w:szCs w:val="21"/>
              </w:rPr>
            </w:pPr>
          </w:p>
        </w:tc>
        <w:tc>
          <w:tcPr>
            <w:tcW w:w="720" w:type="dxa"/>
          </w:tcPr>
          <w:p>
            <w:pPr>
              <w:pStyle w:val="6"/>
              <w:jc w:val="center"/>
              <w:rPr>
                <w:rFonts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6"/>
              <w:jc w:val="center"/>
              <w:rPr>
                <w:rFonts w:hAnsi="宋体"/>
                <w:szCs w:val="21"/>
              </w:rPr>
            </w:pPr>
            <w:r>
              <w:rPr>
                <w:rFonts w:hint="eastAsia" w:hAnsi="宋体"/>
                <w:szCs w:val="21"/>
              </w:rPr>
              <w:t>2</w:t>
            </w:r>
          </w:p>
        </w:tc>
        <w:tc>
          <w:tcPr>
            <w:tcW w:w="1514" w:type="dxa"/>
          </w:tcPr>
          <w:p>
            <w:pPr>
              <w:pStyle w:val="6"/>
              <w:jc w:val="center"/>
              <w:rPr>
                <w:rFonts w:hAnsi="宋体"/>
                <w:szCs w:val="21"/>
              </w:rPr>
            </w:pPr>
            <w:r>
              <w:rPr>
                <w:rFonts w:hint="eastAsia" w:hAnsi="宋体"/>
                <w:szCs w:val="21"/>
              </w:rPr>
              <w:t>CPU板</w:t>
            </w:r>
          </w:p>
        </w:tc>
        <w:tc>
          <w:tcPr>
            <w:tcW w:w="3675" w:type="dxa"/>
          </w:tcPr>
          <w:p>
            <w:pPr>
              <w:pStyle w:val="6"/>
              <w:jc w:val="center"/>
              <w:rPr>
                <w:rFonts w:hAnsi="宋体"/>
                <w:szCs w:val="21"/>
              </w:rPr>
            </w:pPr>
          </w:p>
        </w:tc>
        <w:tc>
          <w:tcPr>
            <w:tcW w:w="420" w:type="dxa"/>
          </w:tcPr>
          <w:p>
            <w:pPr>
              <w:pStyle w:val="6"/>
              <w:jc w:val="center"/>
              <w:rPr>
                <w:rFonts w:hAnsi="宋体"/>
                <w:szCs w:val="21"/>
              </w:rPr>
            </w:pPr>
            <w:r>
              <w:rPr>
                <w:rFonts w:hint="eastAsia" w:hAnsi="宋体"/>
                <w:szCs w:val="21"/>
              </w:rPr>
              <w:t>块</w:t>
            </w:r>
          </w:p>
        </w:tc>
        <w:tc>
          <w:tcPr>
            <w:tcW w:w="630" w:type="dxa"/>
          </w:tcPr>
          <w:p>
            <w:pPr>
              <w:pStyle w:val="6"/>
              <w:jc w:val="center"/>
              <w:rPr>
                <w:rFonts w:hAnsi="宋体"/>
                <w:szCs w:val="21"/>
              </w:rPr>
            </w:pPr>
            <w:r>
              <w:rPr>
                <w:rFonts w:hint="eastAsia" w:hAnsi="宋体"/>
                <w:szCs w:val="21"/>
              </w:rPr>
              <w:t>1</w:t>
            </w:r>
          </w:p>
        </w:tc>
        <w:tc>
          <w:tcPr>
            <w:tcW w:w="945" w:type="dxa"/>
          </w:tcPr>
          <w:p>
            <w:pPr>
              <w:pStyle w:val="6"/>
              <w:jc w:val="center"/>
              <w:rPr>
                <w:rFonts w:hAnsi="宋体"/>
                <w:szCs w:val="21"/>
              </w:rPr>
            </w:pPr>
          </w:p>
        </w:tc>
        <w:tc>
          <w:tcPr>
            <w:tcW w:w="720" w:type="dxa"/>
          </w:tcPr>
          <w:p>
            <w:pPr>
              <w:pStyle w:val="6"/>
              <w:jc w:val="center"/>
              <w:rPr>
                <w:rFonts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6"/>
              <w:jc w:val="center"/>
              <w:rPr>
                <w:rFonts w:hAnsi="宋体"/>
                <w:szCs w:val="21"/>
              </w:rPr>
            </w:pPr>
            <w:r>
              <w:rPr>
                <w:rFonts w:hint="eastAsia" w:hAnsi="宋体"/>
                <w:szCs w:val="21"/>
              </w:rPr>
              <w:t>3</w:t>
            </w:r>
          </w:p>
        </w:tc>
        <w:tc>
          <w:tcPr>
            <w:tcW w:w="1514" w:type="dxa"/>
          </w:tcPr>
          <w:p>
            <w:pPr>
              <w:pStyle w:val="6"/>
              <w:jc w:val="center"/>
              <w:rPr>
                <w:rFonts w:hAnsi="宋体"/>
                <w:szCs w:val="21"/>
              </w:rPr>
            </w:pPr>
            <w:r>
              <w:rPr>
                <w:rFonts w:hint="eastAsia" w:hAnsi="宋体"/>
                <w:szCs w:val="21"/>
              </w:rPr>
              <w:t>电源板</w:t>
            </w:r>
          </w:p>
        </w:tc>
        <w:tc>
          <w:tcPr>
            <w:tcW w:w="3675" w:type="dxa"/>
          </w:tcPr>
          <w:p>
            <w:pPr>
              <w:pStyle w:val="6"/>
              <w:jc w:val="center"/>
              <w:rPr>
                <w:rFonts w:hAnsi="宋体"/>
                <w:szCs w:val="21"/>
              </w:rPr>
            </w:pPr>
            <w:r>
              <w:rPr>
                <w:rFonts w:hint="eastAsia" w:hAnsi="宋体"/>
                <w:szCs w:val="21"/>
              </w:rPr>
              <w:t>DC110V/220V</w:t>
            </w:r>
          </w:p>
        </w:tc>
        <w:tc>
          <w:tcPr>
            <w:tcW w:w="420" w:type="dxa"/>
          </w:tcPr>
          <w:p>
            <w:pPr>
              <w:pStyle w:val="6"/>
              <w:jc w:val="center"/>
              <w:rPr>
                <w:rFonts w:hAnsi="宋体"/>
                <w:szCs w:val="21"/>
              </w:rPr>
            </w:pPr>
            <w:r>
              <w:rPr>
                <w:rFonts w:hint="eastAsia" w:hAnsi="宋体"/>
                <w:szCs w:val="21"/>
              </w:rPr>
              <w:t>块</w:t>
            </w:r>
          </w:p>
        </w:tc>
        <w:tc>
          <w:tcPr>
            <w:tcW w:w="630" w:type="dxa"/>
          </w:tcPr>
          <w:p>
            <w:pPr>
              <w:pStyle w:val="6"/>
              <w:jc w:val="center"/>
              <w:rPr>
                <w:rFonts w:hAnsi="宋体"/>
                <w:szCs w:val="21"/>
              </w:rPr>
            </w:pPr>
            <w:r>
              <w:rPr>
                <w:rFonts w:hint="eastAsia" w:hAnsi="宋体"/>
                <w:szCs w:val="21"/>
              </w:rPr>
              <w:t>1</w:t>
            </w:r>
          </w:p>
        </w:tc>
        <w:tc>
          <w:tcPr>
            <w:tcW w:w="945" w:type="dxa"/>
          </w:tcPr>
          <w:p>
            <w:pPr>
              <w:pStyle w:val="6"/>
              <w:jc w:val="center"/>
              <w:rPr>
                <w:rFonts w:hAnsi="宋体"/>
                <w:szCs w:val="21"/>
              </w:rPr>
            </w:pPr>
          </w:p>
        </w:tc>
        <w:tc>
          <w:tcPr>
            <w:tcW w:w="720" w:type="dxa"/>
          </w:tcPr>
          <w:p>
            <w:pPr>
              <w:pStyle w:val="6"/>
              <w:jc w:val="center"/>
              <w:rPr>
                <w:rFonts w:hAnsi="宋体"/>
                <w:szCs w:val="21"/>
              </w:rPr>
            </w:pPr>
          </w:p>
        </w:tc>
      </w:tr>
    </w:tbl>
    <w:p>
      <w:pPr>
        <w:pStyle w:val="3"/>
        <w:numPr>
          <w:ilvl w:val="0"/>
          <w:numId w:val="0"/>
        </w:numPr>
        <w:spacing w:before="156" w:beforeLines="50"/>
        <w:rPr>
          <w:rFonts w:ascii="黑体" w:eastAsia="黑体"/>
        </w:rPr>
      </w:pPr>
      <w:bookmarkStart w:id="150" w:name="_Toc224641197"/>
      <w:bookmarkStart w:id="151" w:name="_Toc30788"/>
      <w:bookmarkStart w:id="152" w:name="_Toc287602842"/>
      <w:bookmarkStart w:id="153" w:name="_Toc403567364"/>
      <w:r>
        <w:rPr>
          <w:rFonts w:hint="eastAsia" w:ascii="黑体" w:eastAsia="黑体"/>
        </w:rPr>
        <w:t>13.2 推荐的</w:t>
      </w:r>
      <w:bookmarkEnd w:id="150"/>
      <w:r>
        <w:rPr>
          <w:rFonts w:hint="eastAsia" w:ascii="黑体" w:eastAsia="黑体"/>
        </w:rPr>
        <w:t>备品备件、专用工具和仪器仪表</w:t>
      </w:r>
      <w:bookmarkEnd w:id="151"/>
      <w:bookmarkEnd w:id="152"/>
      <w:bookmarkEnd w:id="153"/>
    </w:p>
    <w:p>
      <w:pPr>
        <w:pStyle w:val="15"/>
        <w:adjustRightInd w:val="0"/>
        <w:snapToGrid w:val="0"/>
        <w:spacing w:line="360" w:lineRule="auto"/>
        <w:rPr>
          <w:rFonts w:eastAsia="宋体" w:cs="Times New Roman"/>
          <w:szCs w:val="21"/>
        </w:rPr>
      </w:pPr>
      <w:r>
        <w:rPr>
          <w:rFonts w:hint="eastAsia" w:eastAsia="宋体" w:cs="Times New Roman"/>
          <w:szCs w:val="21"/>
        </w:rPr>
        <w:t>投标方向招标方推荐另购的备品备件、专用工具和仪器仪表见表13.2。</w:t>
      </w:r>
    </w:p>
    <w:p>
      <w:pPr>
        <w:adjustRightInd w:val="0"/>
        <w:snapToGrid w:val="0"/>
        <w:spacing w:line="360" w:lineRule="auto"/>
        <w:ind w:firstLine="1680"/>
        <w:jc w:val="center"/>
        <w:rPr>
          <w:rFonts w:ascii="宋体" w:hAnsi="宋体"/>
          <w:szCs w:val="21"/>
        </w:rPr>
      </w:pPr>
      <w:r>
        <w:rPr>
          <w:rFonts w:hint="eastAsia" w:ascii="宋体" w:hAnsi="宋体"/>
          <w:szCs w:val="21"/>
        </w:rPr>
        <w:t xml:space="preserve">表13.2   推荐的备品备件、专用工具和仪器仪表清单 </w:t>
      </w:r>
      <w:r>
        <w:rPr>
          <w:rFonts w:hint="eastAsia" w:hAnsi="宋体"/>
          <w:szCs w:val="21"/>
        </w:rPr>
        <w:t xml:space="preserve"> （投标方填写）</w:t>
      </w:r>
    </w:p>
    <w:tbl>
      <w:tblPr>
        <w:tblStyle w:val="11"/>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4"/>
        <w:gridCol w:w="1504"/>
        <w:gridCol w:w="3685"/>
        <w:gridCol w:w="420"/>
        <w:gridCol w:w="816"/>
        <w:gridCol w:w="759"/>
        <w:gridCol w:w="7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vAlign w:val="center"/>
          </w:tcPr>
          <w:p>
            <w:pPr>
              <w:pStyle w:val="6"/>
              <w:jc w:val="center"/>
              <w:rPr>
                <w:rFonts w:hAnsi="宋体"/>
                <w:szCs w:val="21"/>
              </w:rPr>
            </w:pPr>
            <w:r>
              <w:rPr>
                <w:rFonts w:hint="eastAsia" w:hAnsi="宋体"/>
                <w:szCs w:val="21"/>
              </w:rPr>
              <w:t>序号</w:t>
            </w:r>
          </w:p>
        </w:tc>
        <w:tc>
          <w:tcPr>
            <w:tcW w:w="1504" w:type="dxa"/>
            <w:vAlign w:val="center"/>
          </w:tcPr>
          <w:p>
            <w:pPr>
              <w:pStyle w:val="6"/>
              <w:jc w:val="center"/>
              <w:rPr>
                <w:rFonts w:hAnsi="宋体"/>
                <w:szCs w:val="21"/>
              </w:rPr>
            </w:pPr>
            <w:r>
              <w:rPr>
                <w:rFonts w:hint="eastAsia" w:hAnsi="宋体"/>
                <w:szCs w:val="21"/>
              </w:rPr>
              <w:t>名称</w:t>
            </w:r>
          </w:p>
        </w:tc>
        <w:tc>
          <w:tcPr>
            <w:tcW w:w="3685" w:type="dxa"/>
            <w:vAlign w:val="center"/>
          </w:tcPr>
          <w:p>
            <w:pPr>
              <w:pStyle w:val="6"/>
              <w:jc w:val="center"/>
              <w:rPr>
                <w:rFonts w:hAnsi="宋体"/>
                <w:szCs w:val="21"/>
              </w:rPr>
            </w:pPr>
            <w:r>
              <w:rPr>
                <w:rFonts w:hint="eastAsia" w:hAnsi="宋体"/>
                <w:szCs w:val="21"/>
              </w:rPr>
              <w:t>型号及规格</w:t>
            </w:r>
          </w:p>
        </w:tc>
        <w:tc>
          <w:tcPr>
            <w:tcW w:w="420" w:type="dxa"/>
            <w:vAlign w:val="center"/>
          </w:tcPr>
          <w:p>
            <w:pPr>
              <w:pStyle w:val="6"/>
              <w:jc w:val="center"/>
              <w:rPr>
                <w:rFonts w:hAnsi="宋体"/>
                <w:szCs w:val="21"/>
              </w:rPr>
            </w:pPr>
            <w:r>
              <w:rPr>
                <w:rFonts w:hint="eastAsia" w:hAnsi="宋体"/>
                <w:szCs w:val="21"/>
              </w:rPr>
              <w:t>单位</w:t>
            </w:r>
          </w:p>
        </w:tc>
        <w:tc>
          <w:tcPr>
            <w:tcW w:w="816" w:type="dxa"/>
            <w:vAlign w:val="center"/>
          </w:tcPr>
          <w:p>
            <w:pPr>
              <w:pStyle w:val="6"/>
              <w:jc w:val="center"/>
              <w:rPr>
                <w:rFonts w:hAnsi="宋体"/>
                <w:szCs w:val="21"/>
              </w:rPr>
            </w:pPr>
            <w:r>
              <w:rPr>
                <w:rFonts w:hint="eastAsia" w:hAnsi="宋体"/>
                <w:szCs w:val="21"/>
              </w:rPr>
              <w:t>数量</w:t>
            </w:r>
          </w:p>
        </w:tc>
        <w:tc>
          <w:tcPr>
            <w:tcW w:w="759" w:type="dxa"/>
            <w:vAlign w:val="center"/>
          </w:tcPr>
          <w:p>
            <w:pPr>
              <w:pStyle w:val="6"/>
              <w:jc w:val="center"/>
              <w:rPr>
                <w:rFonts w:hAnsi="宋体"/>
                <w:szCs w:val="21"/>
              </w:rPr>
            </w:pPr>
            <w:r>
              <w:rPr>
                <w:rFonts w:hint="eastAsia" w:hAnsi="宋体"/>
                <w:szCs w:val="21"/>
              </w:rPr>
              <w:t>用 途</w:t>
            </w:r>
          </w:p>
        </w:tc>
        <w:tc>
          <w:tcPr>
            <w:tcW w:w="720" w:type="dxa"/>
            <w:vAlign w:val="center"/>
          </w:tcPr>
          <w:p>
            <w:pPr>
              <w:pStyle w:val="6"/>
              <w:jc w:val="center"/>
              <w:rPr>
                <w:rFonts w:hAnsi="宋体"/>
                <w:szCs w:val="21"/>
              </w:rPr>
            </w:pPr>
            <w:r>
              <w:rPr>
                <w:rFonts w:hint="eastAsia" w:hAnsi="宋体"/>
                <w:szCs w:val="21"/>
              </w:rPr>
              <w:t>备  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6"/>
              <w:jc w:val="center"/>
              <w:rPr>
                <w:rFonts w:hAnsi="宋体"/>
                <w:szCs w:val="21"/>
              </w:rPr>
            </w:pPr>
          </w:p>
        </w:tc>
        <w:tc>
          <w:tcPr>
            <w:tcW w:w="1504" w:type="dxa"/>
            <w:vAlign w:val="top"/>
          </w:tcPr>
          <w:p>
            <w:pPr>
              <w:spacing w:line="360" w:lineRule="auto"/>
              <w:jc w:val="center"/>
              <w:rPr>
                <w:rFonts w:hAnsi="宋体"/>
                <w:szCs w:val="21"/>
              </w:rPr>
            </w:pPr>
            <w:r>
              <w:rPr>
                <w:rFonts w:ascii="宋体" w:hAnsi="宋体"/>
                <w:sz w:val="22"/>
              </w:rPr>
              <w:t>DSP</w:t>
            </w:r>
            <w:r>
              <w:rPr>
                <w:rFonts w:hint="eastAsia" w:ascii="宋体" w:hAnsi="宋体"/>
                <w:sz w:val="22"/>
              </w:rPr>
              <w:t>版</w:t>
            </w:r>
          </w:p>
        </w:tc>
        <w:tc>
          <w:tcPr>
            <w:tcW w:w="3685" w:type="dxa"/>
            <w:vAlign w:val="top"/>
          </w:tcPr>
          <w:p>
            <w:pPr>
              <w:spacing w:line="360" w:lineRule="auto"/>
              <w:jc w:val="center"/>
              <w:rPr>
                <w:rFonts w:hAnsi="宋体"/>
                <w:szCs w:val="21"/>
              </w:rPr>
            </w:pPr>
            <w:r>
              <w:rPr>
                <w:rFonts w:ascii="宋体" w:hAnsi="宋体"/>
                <w:sz w:val="22"/>
              </w:rPr>
              <w:t>CJ</w:t>
            </w:r>
            <w:r>
              <w:rPr>
                <w:rFonts w:hint="eastAsia" w:ascii="宋体" w:hAnsi="宋体"/>
                <w:sz w:val="22"/>
              </w:rPr>
              <w:t>1</w:t>
            </w:r>
            <w:r>
              <w:rPr>
                <w:rFonts w:ascii="宋体" w:hAnsi="宋体"/>
                <w:sz w:val="22"/>
              </w:rPr>
              <w:t>1</w:t>
            </w:r>
            <w:r>
              <w:rPr>
                <w:rFonts w:hint="default" w:ascii="宋体" w:hAnsi="宋体"/>
                <w:sz w:val="22"/>
                <w:lang w:val="en-US"/>
              </w:rPr>
              <w:t>66</w:t>
            </w:r>
          </w:p>
        </w:tc>
        <w:tc>
          <w:tcPr>
            <w:tcW w:w="420" w:type="dxa"/>
          </w:tcPr>
          <w:p>
            <w:pPr>
              <w:pStyle w:val="6"/>
              <w:jc w:val="center"/>
              <w:rPr>
                <w:rFonts w:hint="eastAsia" w:hAnsi="宋体" w:eastAsia="宋体"/>
                <w:szCs w:val="21"/>
                <w:lang w:val="en-US" w:eastAsia="zh-CN"/>
              </w:rPr>
            </w:pPr>
            <w:r>
              <w:rPr>
                <w:rFonts w:hint="eastAsia" w:hAnsi="宋体"/>
                <w:szCs w:val="21"/>
                <w:lang w:val="en-US" w:eastAsia="zh-CN"/>
              </w:rPr>
              <w:t>块</w:t>
            </w:r>
          </w:p>
        </w:tc>
        <w:tc>
          <w:tcPr>
            <w:tcW w:w="816" w:type="dxa"/>
          </w:tcPr>
          <w:p>
            <w:pPr>
              <w:pStyle w:val="6"/>
              <w:jc w:val="center"/>
              <w:rPr>
                <w:rFonts w:hint="default" w:hAnsi="宋体"/>
                <w:szCs w:val="21"/>
                <w:lang w:val="en-US"/>
              </w:rPr>
            </w:pPr>
            <w:r>
              <w:rPr>
                <w:rFonts w:hint="default" w:hAnsi="宋体"/>
                <w:szCs w:val="21"/>
                <w:lang w:val="en-US"/>
              </w:rPr>
              <w:t>1</w:t>
            </w:r>
          </w:p>
        </w:tc>
        <w:tc>
          <w:tcPr>
            <w:tcW w:w="759" w:type="dxa"/>
          </w:tcPr>
          <w:p>
            <w:pPr>
              <w:pStyle w:val="6"/>
              <w:jc w:val="center"/>
              <w:rPr>
                <w:rFonts w:hAnsi="宋体"/>
                <w:szCs w:val="21"/>
              </w:rPr>
            </w:pPr>
          </w:p>
        </w:tc>
        <w:tc>
          <w:tcPr>
            <w:tcW w:w="720" w:type="dxa"/>
          </w:tcPr>
          <w:p>
            <w:pPr>
              <w:pStyle w:val="6"/>
              <w:jc w:val="center"/>
              <w:rPr>
                <w:rFonts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6"/>
              <w:jc w:val="center"/>
              <w:rPr>
                <w:rFonts w:hAnsi="宋体"/>
                <w:szCs w:val="21"/>
              </w:rPr>
            </w:pPr>
          </w:p>
        </w:tc>
        <w:tc>
          <w:tcPr>
            <w:tcW w:w="1504" w:type="dxa"/>
            <w:vAlign w:val="top"/>
          </w:tcPr>
          <w:p>
            <w:pPr>
              <w:spacing w:line="360" w:lineRule="auto"/>
              <w:jc w:val="center"/>
              <w:rPr>
                <w:rFonts w:hAnsi="宋体"/>
                <w:szCs w:val="21"/>
              </w:rPr>
            </w:pPr>
            <w:r>
              <w:rPr>
                <w:rFonts w:hint="eastAsia" w:ascii="宋体" w:hAnsi="宋体"/>
                <w:sz w:val="22"/>
              </w:rPr>
              <w:t>电源板</w:t>
            </w:r>
          </w:p>
        </w:tc>
        <w:tc>
          <w:tcPr>
            <w:tcW w:w="3685" w:type="dxa"/>
            <w:vAlign w:val="top"/>
          </w:tcPr>
          <w:p>
            <w:pPr>
              <w:spacing w:line="360" w:lineRule="auto"/>
              <w:jc w:val="center"/>
              <w:rPr>
                <w:rFonts w:hAnsi="宋体"/>
                <w:szCs w:val="21"/>
              </w:rPr>
            </w:pPr>
            <w:r>
              <w:rPr>
                <w:rFonts w:ascii="宋体" w:hAnsi="宋体"/>
                <w:sz w:val="22"/>
              </w:rPr>
              <w:t>CJ1301</w:t>
            </w:r>
          </w:p>
        </w:tc>
        <w:tc>
          <w:tcPr>
            <w:tcW w:w="420" w:type="dxa"/>
          </w:tcPr>
          <w:p>
            <w:pPr>
              <w:pStyle w:val="6"/>
              <w:jc w:val="center"/>
              <w:rPr>
                <w:rFonts w:hAnsi="宋体"/>
                <w:szCs w:val="21"/>
              </w:rPr>
            </w:pPr>
            <w:r>
              <w:rPr>
                <w:rFonts w:hint="eastAsia" w:hAnsi="宋体"/>
                <w:szCs w:val="21"/>
                <w:lang w:val="en-US" w:eastAsia="zh-CN"/>
              </w:rPr>
              <w:t>块</w:t>
            </w:r>
          </w:p>
        </w:tc>
        <w:tc>
          <w:tcPr>
            <w:tcW w:w="816" w:type="dxa"/>
          </w:tcPr>
          <w:p>
            <w:pPr>
              <w:pStyle w:val="6"/>
              <w:jc w:val="center"/>
              <w:rPr>
                <w:rFonts w:hint="default" w:hAnsi="宋体"/>
                <w:szCs w:val="21"/>
                <w:lang w:val="en-US"/>
              </w:rPr>
            </w:pPr>
            <w:r>
              <w:rPr>
                <w:rFonts w:hint="default" w:hAnsi="宋体"/>
                <w:szCs w:val="21"/>
                <w:lang w:val="en-US"/>
              </w:rPr>
              <w:t>1</w:t>
            </w:r>
          </w:p>
        </w:tc>
        <w:tc>
          <w:tcPr>
            <w:tcW w:w="759" w:type="dxa"/>
          </w:tcPr>
          <w:p>
            <w:pPr>
              <w:pStyle w:val="6"/>
              <w:jc w:val="center"/>
              <w:rPr>
                <w:rFonts w:hAnsi="宋体"/>
                <w:szCs w:val="21"/>
              </w:rPr>
            </w:pPr>
          </w:p>
        </w:tc>
        <w:tc>
          <w:tcPr>
            <w:tcW w:w="720" w:type="dxa"/>
          </w:tcPr>
          <w:p>
            <w:pPr>
              <w:pStyle w:val="6"/>
              <w:jc w:val="center"/>
              <w:rPr>
                <w:rFonts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6"/>
              <w:jc w:val="center"/>
              <w:rPr>
                <w:rFonts w:hAnsi="宋体"/>
                <w:szCs w:val="21"/>
              </w:rPr>
            </w:pPr>
          </w:p>
        </w:tc>
        <w:tc>
          <w:tcPr>
            <w:tcW w:w="1504" w:type="dxa"/>
          </w:tcPr>
          <w:p>
            <w:pPr>
              <w:pStyle w:val="6"/>
              <w:jc w:val="center"/>
              <w:rPr>
                <w:rFonts w:hAnsi="宋体"/>
                <w:szCs w:val="21"/>
              </w:rPr>
            </w:pPr>
          </w:p>
        </w:tc>
        <w:tc>
          <w:tcPr>
            <w:tcW w:w="3685" w:type="dxa"/>
          </w:tcPr>
          <w:p>
            <w:pPr>
              <w:pStyle w:val="6"/>
              <w:jc w:val="center"/>
              <w:rPr>
                <w:rFonts w:hAnsi="宋体"/>
                <w:szCs w:val="21"/>
              </w:rPr>
            </w:pPr>
          </w:p>
        </w:tc>
        <w:tc>
          <w:tcPr>
            <w:tcW w:w="420" w:type="dxa"/>
          </w:tcPr>
          <w:p>
            <w:pPr>
              <w:pStyle w:val="6"/>
              <w:jc w:val="center"/>
              <w:rPr>
                <w:rFonts w:hAnsi="宋体"/>
                <w:szCs w:val="21"/>
              </w:rPr>
            </w:pPr>
          </w:p>
        </w:tc>
        <w:tc>
          <w:tcPr>
            <w:tcW w:w="816" w:type="dxa"/>
          </w:tcPr>
          <w:p>
            <w:pPr>
              <w:pStyle w:val="6"/>
              <w:jc w:val="center"/>
              <w:rPr>
                <w:rFonts w:hAnsi="宋体"/>
                <w:szCs w:val="21"/>
              </w:rPr>
            </w:pPr>
          </w:p>
        </w:tc>
        <w:tc>
          <w:tcPr>
            <w:tcW w:w="759" w:type="dxa"/>
          </w:tcPr>
          <w:p>
            <w:pPr>
              <w:pStyle w:val="6"/>
              <w:jc w:val="center"/>
              <w:rPr>
                <w:rFonts w:hAnsi="宋体"/>
                <w:szCs w:val="21"/>
              </w:rPr>
            </w:pPr>
          </w:p>
        </w:tc>
        <w:tc>
          <w:tcPr>
            <w:tcW w:w="720" w:type="dxa"/>
          </w:tcPr>
          <w:p>
            <w:pPr>
              <w:pStyle w:val="6"/>
              <w:jc w:val="center"/>
              <w:rPr>
                <w:rFonts w:hAnsi="宋体"/>
                <w:szCs w:val="21"/>
              </w:rPr>
            </w:pPr>
          </w:p>
        </w:tc>
      </w:tr>
    </w:tbl>
    <w:p>
      <w:pPr>
        <w:pStyle w:val="2"/>
        <w:numPr>
          <w:ilvl w:val="0"/>
          <w:numId w:val="0"/>
        </w:numPr>
        <w:snapToGrid/>
        <w:spacing w:before="0" w:beforeLines="0" w:line="480" w:lineRule="auto"/>
        <w:rPr>
          <w:rFonts w:ascii="黑体" w:eastAsia="黑体"/>
        </w:rPr>
      </w:pPr>
      <w:bookmarkStart w:id="154" w:name="_Toc287602843"/>
      <w:bookmarkStart w:id="155" w:name="_Toc403567365"/>
      <w:bookmarkStart w:id="156" w:name="_Toc28445"/>
      <w:r>
        <w:rPr>
          <w:rFonts w:hint="eastAsia" w:ascii="黑体" w:eastAsia="黑体"/>
        </w:rPr>
        <w:t>14 主要元器件来源</w:t>
      </w:r>
      <w:bookmarkEnd w:id="154"/>
      <w:bookmarkEnd w:id="155"/>
      <w:bookmarkEnd w:id="156"/>
    </w:p>
    <w:p>
      <w:pPr>
        <w:pStyle w:val="15"/>
        <w:adjustRightInd w:val="0"/>
        <w:snapToGrid w:val="0"/>
        <w:spacing w:line="360" w:lineRule="auto"/>
        <w:rPr>
          <w:rFonts w:eastAsia="宋体" w:cs="Times New Roman"/>
          <w:szCs w:val="21"/>
        </w:rPr>
      </w:pPr>
      <w:r>
        <w:rPr>
          <w:rFonts w:hint="eastAsia" w:eastAsia="宋体" w:cs="Times New Roman"/>
          <w:szCs w:val="21"/>
        </w:rPr>
        <w:t>投标方应按表14如实填写主要元器件来源。</w:t>
      </w:r>
    </w:p>
    <w:p>
      <w:pPr>
        <w:adjustRightInd w:val="0"/>
        <w:snapToGrid w:val="0"/>
        <w:spacing w:line="360" w:lineRule="auto"/>
        <w:ind w:firstLine="2205"/>
        <w:jc w:val="center"/>
        <w:rPr>
          <w:rFonts w:ascii="宋体" w:hAnsi="宋体"/>
          <w:szCs w:val="21"/>
        </w:rPr>
      </w:pPr>
      <w:r>
        <w:rPr>
          <w:rFonts w:hint="eastAsia" w:ascii="宋体" w:hAnsi="宋体"/>
          <w:szCs w:val="21"/>
        </w:rPr>
        <w:t>表14    主要元器件来源一览表  （投标方填写）</w:t>
      </w:r>
    </w:p>
    <w:tbl>
      <w:tblPr>
        <w:tblStyle w:val="11"/>
        <w:tblW w:w="83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4"/>
        <w:gridCol w:w="1189"/>
        <w:gridCol w:w="814"/>
        <w:gridCol w:w="1951"/>
        <w:gridCol w:w="1951"/>
        <w:gridCol w:w="178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4"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序号</w:t>
            </w:r>
          </w:p>
        </w:tc>
        <w:tc>
          <w:tcPr>
            <w:tcW w:w="1189" w:type="dxa"/>
            <w:tcBorders>
              <w:right w:val="single" w:color="auto" w:sz="4" w:space="0"/>
            </w:tcBorders>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元器件名称</w:t>
            </w:r>
          </w:p>
        </w:tc>
        <w:tc>
          <w:tcPr>
            <w:tcW w:w="814" w:type="dxa"/>
            <w:tcBorders>
              <w:left w:val="single" w:color="auto" w:sz="4" w:space="0"/>
            </w:tcBorders>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型号</w:t>
            </w:r>
          </w:p>
        </w:tc>
        <w:tc>
          <w:tcPr>
            <w:tcW w:w="1951"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生产厂家名称</w:t>
            </w:r>
          </w:p>
        </w:tc>
        <w:tc>
          <w:tcPr>
            <w:tcW w:w="1951"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生产厂家地址</w:t>
            </w:r>
          </w:p>
        </w:tc>
        <w:tc>
          <w:tcPr>
            <w:tcW w:w="1780"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生产厂家联系方式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top"/>
          </w:tcPr>
          <w:p>
            <w:pPr>
              <w:spacing w:line="360" w:lineRule="auto"/>
              <w:jc w:val="center"/>
              <w:rPr>
                <w:rFonts w:hint="eastAsia" w:ascii="宋体" w:hAnsi="宋体" w:eastAsia="宋体"/>
                <w:szCs w:val="21"/>
                <w:lang w:val="en-US" w:eastAsia="zh-CN"/>
              </w:rPr>
            </w:pPr>
          </w:p>
        </w:tc>
        <w:tc>
          <w:tcPr>
            <w:tcW w:w="814" w:type="dxa"/>
            <w:tcBorders>
              <w:left w:val="single" w:color="auto" w:sz="4" w:space="0"/>
            </w:tcBorders>
            <w:vAlign w:val="top"/>
          </w:tcPr>
          <w:p>
            <w:pPr>
              <w:spacing w:line="360" w:lineRule="auto"/>
              <w:jc w:val="center"/>
              <w:rPr>
                <w:rFonts w:ascii="宋体" w:hAnsi="宋体"/>
                <w:szCs w:val="21"/>
              </w:rPr>
            </w:pPr>
          </w:p>
        </w:tc>
        <w:tc>
          <w:tcPr>
            <w:tcW w:w="1951" w:type="dxa"/>
            <w:vAlign w:val="center"/>
          </w:tcPr>
          <w:p>
            <w:pPr>
              <w:widowControl/>
              <w:autoSpaceDE w:val="0"/>
              <w:autoSpaceDN w:val="0"/>
              <w:spacing w:line="360" w:lineRule="auto"/>
              <w:jc w:val="center"/>
              <w:textAlignment w:val="bottom"/>
              <w:rPr>
                <w:rFonts w:ascii="宋体" w:hAnsi="宋体"/>
                <w:szCs w:val="21"/>
              </w:rPr>
            </w:pPr>
          </w:p>
        </w:tc>
        <w:tc>
          <w:tcPr>
            <w:tcW w:w="1951" w:type="dxa"/>
            <w:vAlign w:val="center"/>
          </w:tcPr>
          <w:p>
            <w:pPr>
              <w:widowControl/>
              <w:autoSpaceDE w:val="0"/>
              <w:autoSpaceDN w:val="0"/>
              <w:spacing w:line="360" w:lineRule="auto"/>
              <w:jc w:val="center"/>
              <w:textAlignment w:val="bottom"/>
              <w:rPr>
                <w:rFonts w:ascii="宋体" w:hAnsi="宋体"/>
                <w:szCs w:val="21"/>
              </w:rPr>
            </w:pPr>
          </w:p>
        </w:tc>
        <w:tc>
          <w:tcPr>
            <w:tcW w:w="1780" w:type="dxa"/>
            <w:vAlign w:val="center"/>
          </w:tcPr>
          <w:p>
            <w:pPr>
              <w:widowControl/>
              <w:autoSpaceDE w:val="0"/>
              <w:autoSpaceDN w:val="0"/>
              <w:jc w:val="center"/>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top"/>
          </w:tcPr>
          <w:p>
            <w:pPr>
              <w:spacing w:line="360" w:lineRule="auto"/>
              <w:jc w:val="center"/>
              <w:rPr>
                <w:rFonts w:ascii="宋体" w:hAnsi="宋体"/>
                <w:szCs w:val="21"/>
              </w:rPr>
            </w:pPr>
          </w:p>
        </w:tc>
        <w:tc>
          <w:tcPr>
            <w:tcW w:w="814" w:type="dxa"/>
            <w:tcBorders>
              <w:left w:val="single" w:color="auto" w:sz="4" w:space="0"/>
            </w:tcBorders>
            <w:vAlign w:val="top"/>
          </w:tcPr>
          <w:p>
            <w:pPr>
              <w:spacing w:line="360" w:lineRule="auto"/>
              <w:jc w:val="center"/>
              <w:rPr>
                <w:rFonts w:ascii="宋体" w:hAnsi="宋体"/>
                <w:sz w:val="18"/>
                <w:szCs w:val="18"/>
              </w:rPr>
            </w:pPr>
          </w:p>
        </w:tc>
        <w:tc>
          <w:tcPr>
            <w:tcW w:w="1951" w:type="dxa"/>
            <w:vAlign w:val="center"/>
          </w:tcPr>
          <w:p>
            <w:pPr>
              <w:widowControl/>
              <w:autoSpaceDE w:val="0"/>
              <w:autoSpaceDN w:val="0"/>
              <w:spacing w:line="360" w:lineRule="auto"/>
              <w:jc w:val="center"/>
              <w:textAlignment w:val="bottom"/>
              <w:rPr>
                <w:rFonts w:ascii="宋体" w:hAnsi="宋体"/>
                <w:sz w:val="18"/>
                <w:szCs w:val="18"/>
              </w:rPr>
            </w:pPr>
          </w:p>
        </w:tc>
        <w:tc>
          <w:tcPr>
            <w:tcW w:w="1951" w:type="dxa"/>
            <w:vAlign w:val="center"/>
          </w:tcPr>
          <w:p>
            <w:pPr>
              <w:widowControl/>
              <w:autoSpaceDE w:val="0"/>
              <w:autoSpaceDN w:val="0"/>
              <w:spacing w:line="360" w:lineRule="auto"/>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center"/>
          </w:tcPr>
          <w:p>
            <w:pPr>
              <w:spacing w:line="360" w:lineRule="auto"/>
              <w:ind w:right="28"/>
              <w:rPr>
                <w:rFonts w:ascii="宋体" w:hAnsi="宋体"/>
                <w:szCs w:val="21"/>
              </w:rPr>
            </w:pPr>
          </w:p>
        </w:tc>
        <w:tc>
          <w:tcPr>
            <w:tcW w:w="814" w:type="dxa"/>
            <w:tcBorders>
              <w:left w:val="single" w:color="auto" w:sz="4" w:space="0"/>
            </w:tcBorders>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center"/>
          </w:tcPr>
          <w:p>
            <w:pPr>
              <w:spacing w:line="360" w:lineRule="auto"/>
              <w:ind w:right="28"/>
              <w:rPr>
                <w:rFonts w:ascii="宋体" w:hAnsi="宋体"/>
                <w:szCs w:val="21"/>
              </w:rPr>
            </w:pPr>
          </w:p>
        </w:tc>
        <w:tc>
          <w:tcPr>
            <w:tcW w:w="814" w:type="dxa"/>
            <w:tcBorders>
              <w:left w:val="single" w:color="auto" w:sz="4" w:space="0"/>
            </w:tcBorders>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center"/>
          </w:tcPr>
          <w:p>
            <w:pPr>
              <w:spacing w:line="360" w:lineRule="auto"/>
              <w:ind w:right="28"/>
              <w:rPr>
                <w:rFonts w:ascii="宋体" w:hAnsi="宋体"/>
                <w:szCs w:val="21"/>
              </w:rPr>
            </w:pPr>
          </w:p>
        </w:tc>
        <w:tc>
          <w:tcPr>
            <w:tcW w:w="814" w:type="dxa"/>
            <w:tcBorders>
              <w:left w:val="single" w:color="auto" w:sz="4" w:space="0"/>
            </w:tcBorders>
            <w:vAlign w:val="center"/>
          </w:tcPr>
          <w:p>
            <w:pPr>
              <w:spacing w:line="360" w:lineRule="auto"/>
              <w:ind w:left="-78" w:leftChars="-37" w:right="-78" w:rightChars="-37"/>
              <w:jc w:val="center"/>
              <w:rPr>
                <w:rFonts w:ascii="宋体" w:hAnsi="宋体"/>
                <w:szCs w:val="21"/>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center"/>
          </w:tcPr>
          <w:p>
            <w:pPr>
              <w:spacing w:line="360" w:lineRule="auto"/>
              <w:ind w:right="28"/>
              <w:rPr>
                <w:rFonts w:ascii="宋体" w:hAnsi="宋体"/>
                <w:szCs w:val="21"/>
              </w:rPr>
            </w:pPr>
          </w:p>
        </w:tc>
        <w:tc>
          <w:tcPr>
            <w:tcW w:w="814" w:type="dxa"/>
            <w:tcBorders>
              <w:left w:val="single" w:color="auto" w:sz="4" w:space="0"/>
            </w:tcBorders>
            <w:vAlign w:val="center"/>
          </w:tcPr>
          <w:p>
            <w:pPr>
              <w:spacing w:line="360" w:lineRule="auto"/>
              <w:ind w:left="-78" w:leftChars="-37" w:right="-78" w:rightChars="-37"/>
              <w:jc w:val="center"/>
              <w:rPr>
                <w:rFonts w:ascii="宋体" w:hAnsi="宋体"/>
                <w:szCs w:val="21"/>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center"/>
          </w:tcPr>
          <w:p>
            <w:pPr>
              <w:spacing w:line="360" w:lineRule="auto"/>
              <w:ind w:right="28"/>
              <w:rPr>
                <w:rFonts w:ascii="宋体" w:hAnsi="宋体"/>
                <w:szCs w:val="21"/>
              </w:rPr>
            </w:pPr>
          </w:p>
        </w:tc>
        <w:tc>
          <w:tcPr>
            <w:tcW w:w="814" w:type="dxa"/>
            <w:tcBorders>
              <w:left w:val="single" w:color="auto" w:sz="4" w:space="0"/>
            </w:tcBorders>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center"/>
          </w:tcPr>
          <w:p>
            <w:pPr>
              <w:spacing w:line="360" w:lineRule="auto"/>
              <w:ind w:right="28"/>
              <w:rPr>
                <w:rFonts w:ascii="宋体" w:hAnsi="宋体"/>
                <w:szCs w:val="21"/>
              </w:rPr>
            </w:pPr>
          </w:p>
        </w:tc>
        <w:tc>
          <w:tcPr>
            <w:tcW w:w="814" w:type="dxa"/>
            <w:tcBorders>
              <w:left w:val="single" w:color="auto" w:sz="4" w:space="0"/>
            </w:tcBorders>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center"/>
          </w:tcPr>
          <w:p>
            <w:pPr>
              <w:spacing w:line="360" w:lineRule="auto"/>
              <w:ind w:right="28"/>
              <w:rPr>
                <w:rFonts w:ascii="宋体" w:hAnsi="宋体"/>
                <w:szCs w:val="21"/>
              </w:rPr>
            </w:pPr>
          </w:p>
        </w:tc>
        <w:tc>
          <w:tcPr>
            <w:tcW w:w="814" w:type="dxa"/>
            <w:tcBorders>
              <w:left w:val="single" w:color="auto" w:sz="4" w:space="0"/>
            </w:tcBorders>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center"/>
          </w:tcPr>
          <w:p>
            <w:pPr>
              <w:spacing w:line="360" w:lineRule="auto"/>
              <w:ind w:right="28"/>
              <w:rPr>
                <w:rFonts w:ascii="宋体" w:hAnsi="宋体"/>
                <w:szCs w:val="21"/>
              </w:rPr>
            </w:pPr>
          </w:p>
        </w:tc>
        <w:tc>
          <w:tcPr>
            <w:tcW w:w="814" w:type="dxa"/>
            <w:tcBorders>
              <w:left w:val="single" w:color="auto" w:sz="4" w:space="0"/>
            </w:tcBorders>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center"/>
          </w:tcPr>
          <w:p>
            <w:pPr>
              <w:spacing w:line="360" w:lineRule="auto"/>
              <w:ind w:right="28"/>
              <w:rPr>
                <w:rFonts w:ascii="宋体" w:hAnsi="宋体"/>
                <w:szCs w:val="21"/>
              </w:rPr>
            </w:pPr>
          </w:p>
        </w:tc>
        <w:tc>
          <w:tcPr>
            <w:tcW w:w="814" w:type="dxa"/>
            <w:tcBorders>
              <w:left w:val="single" w:color="auto" w:sz="4" w:space="0"/>
            </w:tcBorders>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spacing w:line="360" w:lineRule="auto"/>
              <w:ind w:left="-109" w:leftChars="-52" w:right="-128" w:rightChars="-61"/>
              <w:jc w:val="center"/>
              <w:rPr>
                <w:rFonts w:ascii="宋体" w:hAnsi="宋体"/>
                <w:szCs w:val="21"/>
              </w:rPr>
            </w:pPr>
          </w:p>
        </w:tc>
        <w:tc>
          <w:tcPr>
            <w:tcW w:w="1189" w:type="dxa"/>
            <w:tcBorders>
              <w:right w:val="single" w:color="auto" w:sz="4" w:space="0"/>
            </w:tcBorders>
            <w:vAlign w:val="center"/>
          </w:tcPr>
          <w:p>
            <w:pPr>
              <w:spacing w:line="360" w:lineRule="auto"/>
              <w:ind w:right="28"/>
              <w:rPr>
                <w:rFonts w:ascii="宋体" w:hAnsi="宋体"/>
                <w:szCs w:val="21"/>
              </w:rPr>
            </w:pPr>
          </w:p>
        </w:tc>
        <w:tc>
          <w:tcPr>
            <w:tcW w:w="814" w:type="dxa"/>
            <w:tcBorders>
              <w:left w:val="single" w:color="auto" w:sz="4" w:space="0"/>
            </w:tcBorders>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vAlign w:val="center"/>
          </w:tcPr>
          <w:p>
            <w:pPr>
              <w:widowControl/>
              <w:autoSpaceDE w:val="0"/>
              <w:autoSpaceDN w:val="0"/>
              <w:jc w:val="center"/>
              <w:textAlignment w:val="bottom"/>
              <w:rPr>
                <w:rFonts w:ascii="宋体" w:hAnsi="宋体"/>
                <w:sz w:val="18"/>
                <w:szCs w:val="18"/>
              </w:rPr>
            </w:pPr>
          </w:p>
        </w:tc>
        <w:tc>
          <w:tcPr>
            <w:tcW w:w="1189" w:type="dxa"/>
            <w:tcBorders>
              <w:right w:val="single" w:color="auto" w:sz="4" w:space="0"/>
            </w:tcBorders>
            <w:vAlign w:val="center"/>
          </w:tcPr>
          <w:p>
            <w:pPr>
              <w:widowControl/>
              <w:autoSpaceDE w:val="0"/>
              <w:autoSpaceDN w:val="0"/>
              <w:jc w:val="center"/>
              <w:textAlignment w:val="bottom"/>
              <w:rPr>
                <w:rFonts w:ascii="宋体" w:hAnsi="宋体"/>
                <w:sz w:val="18"/>
                <w:szCs w:val="18"/>
              </w:rPr>
            </w:pPr>
          </w:p>
        </w:tc>
        <w:tc>
          <w:tcPr>
            <w:tcW w:w="814" w:type="dxa"/>
            <w:tcBorders>
              <w:left w:val="single" w:color="auto" w:sz="4" w:space="0"/>
            </w:tcBorders>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3" w:hRule="atLeast"/>
          <w:jc w:val="center"/>
        </w:trPr>
        <w:tc>
          <w:tcPr>
            <w:tcW w:w="674" w:type="dxa"/>
            <w:vAlign w:val="center"/>
          </w:tcPr>
          <w:p>
            <w:pPr>
              <w:widowControl/>
              <w:autoSpaceDE w:val="0"/>
              <w:autoSpaceDN w:val="0"/>
              <w:jc w:val="center"/>
              <w:textAlignment w:val="bottom"/>
              <w:rPr>
                <w:rFonts w:ascii="宋体" w:hAnsi="宋体"/>
                <w:sz w:val="18"/>
                <w:szCs w:val="18"/>
              </w:rPr>
            </w:pPr>
          </w:p>
        </w:tc>
        <w:tc>
          <w:tcPr>
            <w:tcW w:w="1189" w:type="dxa"/>
            <w:tcBorders>
              <w:right w:val="single" w:color="auto" w:sz="4" w:space="0"/>
            </w:tcBorders>
            <w:vAlign w:val="center"/>
          </w:tcPr>
          <w:p>
            <w:pPr>
              <w:widowControl/>
              <w:autoSpaceDE w:val="0"/>
              <w:autoSpaceDN w:val="0"/>
              <w:jc w:val="center"/>
              <w:textAlignment w:val="bottom"/>
              <w:rPr>
                <w:rFonts w:ascii="宋体" w:hAnsi="宋体"/>
                <w:sz w:val="18"/>
                <w:szCs w:val="18"/>
              </w:rPr>
            </w:pPr>
          </w:p>
        </w:tc>
        <w:tc>
          <w:tcPr>
            <w:tcW w:w="814" w:type="dxa"/>
            <w:tcBorders>
              <w:left w:val="single" w:color="auto" w:sz="4" w:space="0"/>
            </w:tcBorders>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951" w:type="dxa"/>
            <w:vAlign w:val="center"/>
          </w:tcPr>
          <w:p>
            <w:pPr>
              <w:widowControl/>
              <w:autoSpaceDE w:val="0"/>
              <w:autoSpaceDN w:val="0"/>
              <w:jc w:val="center"/>
              <w:textAlignment w:val="bottom"/>
              <w:rPr>
                <w:rFonts w:ascii="宋体" w:hAnsi="宋体"/>
                <w:sz w:val="18"/>
                <w:szCs w:val="18"/>
              </w:rPr>
            </w:pPr>
          </w:p>
        </w:tc>
        <w:tc>
          <w:tcPr>
            <w:tcW w:w="1780" w:type="dxa"/>
            <w:vAlign w:val="center"/>
          </w:tcPr>
          <w:p>
            <w:pPr>
              <w:widowControl/>
              <w:autoSpaceDE w:val="0"/>
              <w:autoSpaceDN w:val="0"/>
              <w:jc w:val="center"/>
              <w:textAlignment w:val="bottom"/>
              <w:rPr>
                <w:rFonts w:ascii="宋体" w:hAnsi="宋体"/>
                <w:sz w:val="18"/>
                <w:szCs w:val="18"/>
              </w:rPr>
            </w:pPr>
          </w:p>
        </w:tc>
      </w:tr>
    </w:tbl>
    <w:p>
      <w:pPr>
        <w:pStyle w:val="2"/>
        <w:numPr>
          <w:ilvl w:val="0"/>
          <w:numId w:val="0"/>
        </w:numPr>
        <w:snapToGrid/>
        <w:spacing w:before="0" w:beforeLines="0" w:line="480" w:lineRule="auto"/>
        <w:rPr>
          <w:rFonts w:ascii="黑体" w:eastAsia="黑体"/>
        </w:rPr>
      </w:pPr>
      <w:bookmarkStart w:id="157" w:name="_Toc403567366"/>
      <w:bookmarkStart w:id="158" w:name="_Toc21687"/>
      <w:bookmarkStart w:id="159" w:name="_Toc287602848"/>
      <w:r>
        <w:rPr>
          <w:rFonts w:hint="eastAsia" w:ascii="黑体" w:eastAsia="黑体"/>
        </w:rPr>
        <w:t>15 LCC数据文件</w:t>
      </w:r>
      <w:bookmarkEnd w:id="157"/>
      <w:bookmarkEnd w:id="158"/>
      <w:bookmarkEnd w:id="159"/>
    </w:p>
    <w:p>
      <w:pPr>
        <w:pStyle w:val="15"/>
        <w:adjustRightInd w:val="0"/>
        <w:snapToGrid w:val="0"/>
        <w:spacing w:line="360" w:lineRule="auto"/>
        <w:rPr>
          <w:rFonts w:eastAsia="宋体" w:cs="Times New Roman"/>
          <w:szCs w:val="21"/>
        </w:rPr>
      </w:pPr>
      <w:r>
        <w:rPr>
          <w:rFonts w:hint="eastAsia" w:eastAsia="宋体" w:cs="Times New Roman"/>
          <w:szCs w:val="21"/>
        </w:rPr>
        <w:t>根据设备</w:t>
      </w:r>
      <w:r>
        <w:rPr>
          <w:rFonts w:eastAsia="宋体" w:cs="Times New Roman"/>
          <w:szCs w:val="21"/>
        </w:rPr>
        <w:t>全生命周期成本（LCC）</w:t>
      </w:r>
      <w:r>
        <w:rPr>
          <w:rFonts w:hint="eastAsia" w:eastAsia="宋体" w:cs="Times New Roman"/>
          <w:szCs w:val="21"/>
        </w:rPr>
        <w:t>管理</w:t>
      </w:r>
      <w:r>
        <w:rPr>
          <w:rFonts w:eastAsia="宋体" w:cs="Times New Roman"/>
          <w:szCs w:val="21"/>
        </w:rPr>
        <w:t>要求</w:t>
      </w:r>
      <w:r>
        <w:rPr>
          <w:rFonts w:hint="eastAsia" w:eastAsia="宋体" w:cs="Times New Roman"/>
          <w:szCs w:val="21"/>
        </w:rPr>
        <w:t>，投标方应如实填写</w:t>
      </w:r>
      <w:r>
        <w:rPr>
          <w:rFonts w:eastAsia="宋体" w:cs="Times New Roman"/>
          <w:szCs w:val="21"/>
        </w:rPr>
        <w:t>表</w:t>
      </w:r>
      <w:r>
        <w:rPr>
          <w:rFonts w:hint="eastAsia" w:eastAsia="宋体" w:cs="Times New Roman"/>
          <w:szCs w:val="21"/>
        </w:rPr>
        <w:t>15</w:t>
      </w:r>
      <w:r>
        <w:rPr>
          <w:rFonts w:eastAsia="宋体" w:cs="Times New Roman"/>
          <w:szCs w:val="21"/>
        </w:rPr>
        <w:t xml:space="preserve"> </w:t>
      </w:r>
      <w:r>
        <w:rPr>
          <w:rFonts w:hint="eastAsia" w:eastAsia="宋体" w:cs="Times New Roman"/>
          <w:szCs w:val="21"/>
        </w:rPr>
        <w:t>：设备</w:t>
      </w:r>
      <w:r>
        <w:rPr>
          <w:rFonts w:eastAsia="宋体" w:cs="Times New Roman"/>
          <w:szCs w:val="21"/>
        </w:rPr>
        <w:t>投资成本费用表</w:t>
      </w:r>
      <w:r>
        <w:rPr>
          <w:rFonts w:hint="eastAsia" w:eastAsia="宋体" w:cs="Times New Roman"/>
          <w:szCs w:val="21"/>
        </w:rPr>
        <w:t>。同时投标方还应</w:t>
      </w:r>
      <w:r>
        <w:rPr>
          <w:rFonts w:eastAsia="宋体" w:cs="Times New Roman"/>
          <w:szCs w:val="21"/>
        </w:rPr>
        <w:t>提供专用工具、备品备件的详细清单。</w:t>
      </w:r>
    </w:p>
    <w:p>
      <w:pPr>
        <w:adjustRightInd w:val="0"/>
        <w:snapToGrid w:val="0"/>
        <w:spacing w:line="360" w:lineRule="auto"/>
        <w:ind w:firstLine="199"/>
        <w:jc w:val="center"/>
        <w:rPr>
          <w:rFonts w:ascii="宋体" w:hAnsi="宋体"/>
          <w:szCs w:val="21"/>
        </w:rPr>
      </w:pPr>
      <w:r>
        <w:rPr>
          <w:rFonts w:ascii="宋体" w:hAnsi="宋体"/>
          <w:szCs w:val="21"/>
        </w:rPr>
        <w:t>表</w:t>
      </w:r>
      <w:r>
        <w:rPr>
          <w:rFonts w:hint="eastAsia" w:ascii="宋体" w:hAnsi="宋体"/>
          <w:szCs w:val="21"/>
        </w:rPr>
        <w:t>15   设备</w:t>
      </w:r>
      <w:r>
        <w:rPr>
          <w:rFonts w:ascii="宋体" w:hAnsi="宋体"/>
          <w:szCs w:val="21"/>
        </w:rPr>
        <w:t>投资成本费用表</w:t>
      </w:r>
      <w:r>
        <w:rPr>
          <w:rFonts w:hint="eastAsia" w:ascii="宋体" w:hAnsi="宋体"/>
          <w:szCs w:val="21"/>
        </w:rPr>
        <w:t xml:space="preserve"> （投标方填写）</w:t>
      </w:r>
    </w:p>
    <w:tbl>
      <w:tblPr>
        <w:tblStyle w:val="11"/>
        <w:tblW w:w="714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72"/>
        <w:gridCol w:w="1080"/>
        <w:gridCol w:w="531"/>
        <w:gridCol w:w="531"/>
        <w:gridCol w:w="1097"/>
        <w:gridCol w:w="898"/>
        <w:gridCol w:w="900"/>
        <w:gridCol w:w="900"/>
        <w:gridCol w:w="7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Align w:val="center"/>
          </w:tcPr>
          <w:p>
            <w:pPr>
              <w:autoSpaceDE w:val="0"/>
              <w:autoSpaceDN w:val="0"/>
              <w:adjustRightInd w:val="0"/>
              <w:snapToGrid w:val="0"/>
              <w:spacing w:line="360" w:lineRule="auto"/>
              <w:jc w:val="center"/>
              <w:rPr>
                <w:kern w:val="0"/>
                <w:szCs w:val="21"/>
              </w:rPr>
            </w:pPr>
            <w:r>
              <w:rPr>
                <w:kern w:val="0"/>
                <w:szCs w:val="21"/>
              </w:rPr>
              <w:t>序号</w:t>
            </w:r>
          </w:p>
        </w:tc>
        <w:tc>
          <w:tcPr>
            <w:tcW w:w="1080" w:type="dxa"/>
            <w:vAlign w:val="center"/>
          </w:tcPr>
          <w:p>
            <w:pPr>
              <w:autoSpaceDE w:val="0"/>
              <w:autoSpaceDN w:val="0"/>
              <w:adjustRightInd w:val="0"/>
              <w:snapToGrid w:val="0"/>
              <w:spacing w:line="360" w:lineRule="auto"/>
              <w:jc w:val="center"/>
              <w:rPr>
                <w:kern w:val="0"/>
                <w:szCs w:val="21"/>
              </w:rPr>
            </w:pPr>
            <w:r>
              <w:rPr>
                <w:rFonts w:hint="eastAsia"/>
                <w:kern w:val="0"/>
                <w:szCs w:val="21"/>
              </w:rPr>
              <w:t>设备</w:t>
            </w:r>
            <w:r>
              <w:rPr>
                <w:kern w:val="0"/>
                <w:szCs w:val="21"/>
              </w:rPr>
              <w:t>型号</w:t>
            </w:r>
          </w:p>
        </w:tc>
        <w:tc>
          <w:tcPr>
            <w:tcW w:w="531" w:type="dxa"/>
            <w:vAlign w:val="center"/>
          </w:tcPr>
          <w:p>
            <w:pPr>
              <w:autoSpaceDE w:val="0"/>
              <w:autoSpaceDN w:val="0"/>
              <w:adjustRightInd w:val="0"/>
              <w:snapToGrid w:val="0"/>
              <w:spacing w:line="360" w:lineRule="auto"/>
              <w:jc w:val="center"/>
              <w:rPr>
                <w:kern w:val="0"/>
                <w:szCs w:val="21"/>
              </w:rPr>
            </w:pPr>
            <w:r>
              <w:rPr>
                <w:rFonts w:hint="eastAsia"/>
                <w:kern w:val="0"/>
                <w:szCs w:val="21"/>
              </w:rPr>
              <w:t>数量</w:t>
            </w:r>
          </w:p>
        </w:tc>
        <w:tc>
          <w:tcPr>
            <w:tcW w:w="531" w:type="dxa"/>
            <w:vAlign w:val="center"/>
          </w:tcPr>
          <w:p>
            <w:pPr>
              <w:autoSpaceDE w:val="0"/>
              <w:autoSpaceDN w:val="0"/>
              <w:adjustRightInd w:val="0"/>
              <w:snapToGrid w:val="0"/>
              <w:spacing w:line="360" w:lineRule="auto"/>
              <w:jc w:val="center"/>
              <w:rPr>
                <w:kern w:val="0"/>
                <w:szCs w:val="21"/>
              </w:rPr>
            </w:pPr>
            <w:r>
              <w:rPr>
                <w:kern w:val="0"/>
                <w:szCs w:val="21"/>
              </w:rPr>
              <w:t>单价</w:t>
            </w:r>
          </w:p>
        </w:tc>
        <w:tc>
          <w:tcPr>
            <w:tcW w:w="1097" w:type="dxa"/>
            <w:vAlign w:val="center"/>
          </w:tcPr>
          <w:p>
            <w:pPr>
              <w:autoSpaceDE w:val="0"/>
              <w:autoSpaceDN w:val="0"/>
              <w:adjustRightInd w:val="0"/>
              <w:snapToGrid w:val="0"/>
              <w:spacing w:line="360" w:lineRule="auto"/>
              <w:jc w:val="center"/>
              <w:rPr>
                <w:kern w:val="0"/>
                <w:szCs w:val="21"/>
              </w:rPr>
            </w:pPr>
            <w:r>
              <w:rPr>
                <w:kern w:val="0"/>
                <w:szCs w:val="21"/>
              </w:rPr>
              <w:t>专用工具费</w:t>
            </w:r>
          </w:p>
        </w:tc>
        <w:tc>
          <w:tcPr>
            <w:tcW w:w="898" w:type="dxa"/>
            <w:vAlign w:val="center"/>
          </w:tcPr>
          <w:p>
            <w:pPr>
              <w:autoSpaceDE w:val="0"/>
              <w:autoSpaceDN w:val="0"/>
              <w:adjustRightInd w:val="0"/>
              <w:snapToGrid w:val="0"/>
              <w:spacing w:line="360" w:lineRule="auto"/>
              <w:jc w:val="center"/>
              <w:rPr>
                <w:kern w:val="0"/>
                <w:szCs w:val="21"/>
              </w:rPr>
            </w:pPr>
            <w:r>
              <w:rPr>
                <w:kern w:val="0"/>
                <w:szCs w:val="21"/>
              </w:rPr>
              <w:t>备品备件费</w:t>
            </w:r>
          </w:p>
        </w:tc>
        <w:tc>
          <w:tcPr>
            <w:tcW w:w="900" w:type="dxa"/>
            <w:vAlign w:val="center"/>
          </w:tcPr>
          <w:p>
            <w:pPr>
              <w:autoSpaceDE w:val="0"/>
              <w:autoSpaceDN w:val="0"/>
              <w:adjustRightInd w:val="0"/>
              <w:snapToGrid w:val="0"/>
              <w:spacing w:line="360" w:lineRule="auto"/>
              <w:jc w:val="center"/>
              <w:rPr>
                <w:kern w:val="0"/>
                <w:szCs w:val="21"/>
              </w:rPr>
            </w:pPr>
            <w:r>
              <w:rPr>
                <w:kern w:val="0"/>
                <w:szCs w:val="21"/>
              </w:rPr>
              <w:t>现场服务费</w:t>
            </w:r>
          </w:p>
        </w:tc>
        <w:tc>
          <w:tcPr>
            <w:tcW w:w="900" w:type="dxa"/>
            <w:vAlign w:val="center"/>
          </w:tcPr>
          <w:p>
            <w:pPr>
              <w:autoSpaceDE w:val="0"/>
              <w:autoSpaceDN w:val="0"/>
              <w:adjustRightInd w:val="0"/>
              <w:snapToGrid w:val="0"/>
              <w:spacing w:line="360" w:lineRule="auto"/>
              <w:jc w:val="center"/>
              <w:rPr>
                <w:kern w:val="0"/>
                <w:szCs w:val="21"/>
              </w:rPr>
            </w:pPr>
            <w:r>
              <w:rPr>
                <w:kern w:val="0"/>
                <w:szCs w:val="21"/>
              </w:rPr>
              <w:t>投标方运输费</w:t>
            </w:r>
          </w:p>
        </w:tc>
        <w:tc>
          <w:tcPr>
            <w:tcW w:w="740" w:type="dxa"/>
            <w:vAlign w:val="center"/>
          </w:tcPr>
          <w:p>
            <w:pPr>
              <w:autoSpaceDE w:val="0"/>
              <w:autoSpaceDN w:val="0"/>
              <w:adjustRightInd w:val="0"/>
              <w:snapToGrid w:val="0"/>
              <w:spacing w:line="360" w:lineRule="auto"/>
              <w:jc w:val="center"/>
              <w:rPr>
                <w:kern w:val="0"/>
                <w:szCs w:val="21"/>
              </w:rPr>
            </w:pPr>
            <w:r>
              <w:rPr>
                <w:kern w:val="0"/>
                <w:szCs w:val="21"/>
              </w:rPr>
              <w:t>合计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Align w:val="center"/>
          </w:tcPr>
          <w:p>
            <w:pPr>
              <w:autoSpaceDE w:val="0"/>
              <w:autoSpaceDN w:val="0"/>
              <w:adjustRightInd w:val="0"/>
              <w:snapToGrid w:val="0"/>
              <w:spacing w:line="360" w:lineRule="auto"/>
              <w:jc w:val="center"/>
              <w:rPr>
                <w:kern w:val="0"/>
                <w:szCs w:val="21"/>
              </w:rPr>
            </w:pPr>
          </w:p>
        </w:tc>
        <w:tc>
          <w:tcPr>
            <w:tcW w:w="1080" w:type="dxa"/>
            <w:vAlign w:val="center"/>
          </w:tcPr>
          <w:p>
            <w:pPr>
              <w:autoSpaceDE w:val="0"/>
              <w:autoSpaceDN w:val="0"/>
              <w:adjustRightInd w:val="0"/>
              <w:snapToGrid w:val="0"/>
              <w:spacing w:line="360" w:lineRule="auto"/>
              <w:jc w:val="center"/>
              <w:rPr>
                <w:kern w:val="0"/>
                <w:szCs w:val="21"/>
              </w:rPr>
            </w:pPr>
          </w:p>
        </w:tc>
        <w:tc>
          <w:tcPr>
            <w:tcW w:w="531" w:type="dxa"/>
            <w:vAlign w:val="center"/>
          </w:tcPr>
          <w:p>
            <w:pPr>
              <w:autoSpaceDE w:val="0"/>
              <w:autoSpaceDN w:val="0"/>
              <w:adjustRightInd w:val="0"/>
              <w:snapToGrid w:val="0"/>
              <w:spacing w:line="360" w:lineRule="auto"/>
              <w:jc w:val="center"/>
              <w:rPr>
                <w:kern w:val="0"/>
                <w:szCs w:val="21"/>
              </w:rPr>
            </w:pPr>
          </w:p>
        </w:tc>
        <w:tc>
          <w:tcPr>
            <w:tcW w:w="531" w:type="dxa"/>
            <w:vAlign w:val="center"/>
          </w:tcPr>
          <w:p>
            <w:pPr>
              <w:autoSpaceDE w:val="0"/>
              <w:autoSpaceDN w:val="0"/>
              <w:adjustRightInd w:val="0"/>
              <w:snapToGrid w:val="0"/>
              <w:spacing w:line="360" w:lineRule="auto"/>
              <w:jc w:val="center"/>
              <w:rPr>
                <w:kern w:val="0"/>
                <w:szCs w:val="21"/>
              </w:rPr>
            </w:pPr>
          </w:p>
        </w:tc>
        <w:tc>
          <w:tcPr>
            <w:tcW w:w="1097" w:type="dxa"/>
            <w:vAlign w:val="center"/>
          </w:tcPr>
          <w:p>
            <w:pPr>
              <w:autoSpaceDE w:val="0"/>
              <w:autoSpaceDN w:val="0"/>
              <w:adjustRightInd w:val="0"/>
              <w:snapToGrid w:val="0"/>
              <w:spacing w:line="360" w:lineRule="auto"/>
              <w:jc w:val="center"/>
              <w:rPr>
                <w:kern w:val="0"/>
                <w:szCs w:val="21"/>
              </w:rPr>
            </w:pPr>
          </w:p>
        </w:tc>
        <w:tc>
          <w:tcPr>
            <w:tcW w:w="898" w:type="dxa"/>
            <w:vAlign w:val="center"/>
          </w:tcPr>
          <w:p>
            <w:pPr>
              <w:autoSpaceDE w:val="0"/>
              <w:autoSpaceDN w:val="0"/>
              <w:adjustRightInd w:val="0"/>
              <w:snapToGrid w:val="0"/>
              <w:spacing w:line="360" w:lineRule="auto"/>
              <w:jc w:val="center"/>
              <w:rPr>
                <w:kern w:val="0"/>
                <w:szCs w:val="21"/>
              </w:rPr>
            </w:pPr>
          </w:p>
        </w:tc>
        <w:tc>
          <w:tcPr>
            <w:tcW w:w="900" w:type="dxa"/>
            <w:vAlign w:val="center"/>
          </w:tcPr>
          <w:p>
            <w:pPr>
              <w:autoSpaceDE w:val="0"/>
              <w:autoSpaceDN w:val="0"/>
              <w:adjustRightInd w:val="0"/>
              <w:snapToGrid w:val="0"/>
              <w:spacing w:line="360" w:lineRule="auto"/>
              <w:jc w:val="center"/>
              <w:rPr>
                <w:kern w:val="0"/>
                <w:szCs w:val="21"/>
              </w:rPr>
            </w:pPr>
          </w:p>
        </w:tc>
        <w:tc>
          <w:tcPr>
            <w:tcW w:w="900" w:type="dxa"/>
            <w:vAlign w:val="center"/>
          </w:tcPr>
          <w:p>
            <w:pPr>
              <w:autoSpaceDE w:val="0"/>
              <w:autoSpaceDN w:val="0"/>
              <w:adjustRightInd w:val="0"/>
              <w:snapToGrid w:val="0"/>
              <w:spacing w:line="360" w:lineRule="auto"/>
              <w:jc w:val="center"/>
              <w:rPr>
                <w:kern w:val="0"/>
                <w:szCs w:val="21"/>
              </w:rPr>
            </w:pPr>
          </w:p>
        </w:tc>
        <w:tc>
          <w:tcPr>
            <w:tcW w:w="740" w:type="dxa"/>
            <w:vAlign w:val="center"/>
          </w:tcPr>
          <w:p>
            <w:pPr>
              <w:autoSpaceDE w:val="0"/>
              <w:autoSpaceDN w:val="0"/>
              <w:adjustRightInd w:val="0"/>
              <w:snapToGrid w:val="0"/>
              <w:spacing w:line="360" w:lineRule="auto"/>
              <w:jc w:val="center"/>
              <w:rPr>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Align w:val="center"/>
          </w:tcPr>
          <w:p>
            <w:pPr>
              <w:autoSpaceDE w:val="0"/>
              <w:autoSpaceDN w:val="0"/>
              <w:adjustRightInd w:val="0"/>
              <w:snapToGrid w:val="0"/>
              <w:spacing w:line="360" w:lineRule="auto"/>
              <w:jc w:val="center"/>
              <w:rPr>
                <w:kern w:val="0"/>
                <w:szCs w:val="21"/>
              </w:rPr>
            </w:pPr>
          </w:p>
        </w:tc>
        <w:tc>
          <w:tcPr>
            <w:tcW w:w="1080" w:type="dxa"/>
            <w:vAlign w:val="center"/>
          </w:tcPr>
          <w:p>
            <w:pPr>
              <w:autoSpaceDE w:val="0"/>
              <w:autoSpaceDN w:val="0"/>
              <w:adjustRightInd w:val="0"/>
              <w:snapToGrid w:val="0"/>
              <w:spacing w:line="360" w:lineRule="auto"/>
              <w:jc w:val="center"/>
              <w:rPr>
                <w:kern w:val="0"/>
                <w:szCs w:val="21"/>
              </w:rPr>
            </w:pPr>
          </w:p>
        </w:tc>
        <w:tc>
          <w:tcPr>
            <w:tcW w:w="531" w:type="dxa"/>
            <w:vAlign w:val="center"/>
          </w:tcPr>
          <w:p>
            <w:pPr>
              <w:autoSpaceDE w:val="0"/>
              <w:autoSpaceDN w:val="0"/>
              <w:adjustRightInd w:val="0"/>
              <w:snapToGrid w:val="0"/>
              <w:spacing w:line="360" w:lineRule="auto"/>
              <w:jc w:val="center"/>
              <w:rPr>
                <w:kern w:val="0"/>
                <w:szCs w:val="21"/>
              </w:rPr>
            </w:pPr>
          </w:p>
        </w:tc>
        <w:tc>
          <w:tcPr>
            <w:tcW w:w="531" w:type="dxa"/>
            <w:vAlign w:val="center"/>
          </w:tcPr>
          <w:p>
            <w:pPr>
              <w:autoSpaceDE w:val="0"/>
              <w:autoSpaceDN w:val="0"/>
              <w:adjustRightInd w:val="0"/>
              <w:snapToGrid w:val="0"/>
              <w:spacing w:line="360" w:lineRule="auto"/>
              <w:jc w:val="center"/>
              <w:rPr>
                <w:kern w:val="0"/>
                <w:szCs w:val="21"/>
              </w:rPr>
            </w:pPr>
          </w:p>
        </w:tc>
        <w:tc>
          <w:tcPr>
            <w:tcW w:w="1097" w:type="dxa"/>
            <w:vAlign w:val="center"/>
          </w:tcPr>
          <w:p>
            <w:pPr>
              <w:autoSpaceDE w:val="0"/>
              <w:autoSpaceDN w:val="0"/>
              <w:adjustRightInd w:val="0"/>
              <w:snapToGrid w:val="0"/>
              <w:spacing w:line="360" w:lineRule="auto"/>
              <w:jc w:val="center"/>
              <w:rPr>
                <w:kern w:val="0"/>
                <w:szCs w:val="21"/>
              </w:rPr>
            </w:pPr>
          </w:p>
        </w:tc>
        <w:tc>
          <w:tcPr>
            <w:tcW w:w="898" w:type="dxa"/>
            <w:vAlign w:val="center"/>
          </w:tcPr>
          <w:p>
            <w:pPr>
              <w:autoSpaceDE w:val="0"/>
              <w:autoSpaceDN w:val="0"/>
              <w:adjustRightInd w:val="0"/>
              <w:snapToGrid w:val="0"/>
              <w:spacing w:line="360" w:lineRule="auto"/>
              <w:jc w:val="center"/>
              <w:rPr>
                <w:kern w:val="0"/>
                <w:szCs w:val="21"/>
              </w:rPr>
            </w:pPr>
          </w:p>
        </w:tc>
        <w:tc>
          <w:tcPr>
            <w:tcW w:w="900" w:type="dxa"/>
            <w:vAlign w:val="center"/>
          </w:tcPr>
          <w:p>
            <w:pPr>
              <w:autoSpaceDE w:val="0"/>
              <w:autoSpaceDN w:val="0"/>
              <w:adjustRightInd w:val="0"/>
              <w:snapToGrid w:val="0"/>
              <w:spacing w:line="360" w:lineRule="auto"/>
              <w:jc w:val="center"/>
              <w:rPr>
                <w:kern w:val="0"/>
                <w:szCs w:val="21"/>
              </w:rPr>
            </w:pPr>
          </w:p>
        </w:tc>
        <w:tc>
          <w:tcPr>
            <w:tcW w:w="900" w:type="dxa"/>
            <w:vAlign w:val="center"/>
          </w:tcPr>
          <w:p>
            <w:pPr>
              <w:autoSpaceDE w:val="0"/>
              <w:autoSpaceDN w:val="0"/>
              <w:adjustRightInd w:val="0"/>
              <w:snapToGrid w:val="0"/>
              <w:spacing w:line="360" w:lineRule="auto"/>
              <w:jc w:val="center"/>
              <w:rPr>
                <w:kern w:val="0"/>
                <w:szCs w:val="21"/>
              </w:rPr>
            </w:pPr>
          </w:p>
        </w:tc>
        <w:tc>
          <w:tcPr>
            <w:tcW w:w="740" w:type="dxa"/>
            <w:vAlign w:val="center"/>
          </w:tcPr>
          <w:p>
            <w:pPr>
              <w:autoSpaceDE w:val="0"/>
              <w:autoSpaceDN w:val="0"/>
              <w:adjustRightInd w:val="0"/>
              <w:snapToGrid w:val="0"/>
              <w:spacing w:line="360" w:lineRule="auto"/>
              <w:jc w:val="center"/>
              <w:rPr>
                <w:kern w:val="0"/>
                <w:szCs w:val="21"/>
              </w:rPr>
            </w:pPr>
          </w:p>
        </w:tc>
      </w:tr>
    </w:tbl>
    <w:p>
      <w:pPr>
        <w:pStyle w:val="2"/>
        <w:numPr>
          <w:ilvl w:val="0"/>
          <w:numId w:val="0"/>
        </w:numPr>
        <w:snapToGrid/>
        <w:spacing w:before="0" w:beforeLines="0" w:line="480" w:lineRule="auto"/>
        <w:rPr>
          <w:rFonts w:ascii="黑体" w:eastAsia="黑体"/>
        </w:rPr>
      </w:pPr>
      <w:bookmarkStart w:id="160" w:name="_Toc287602849"/>
      <w:bookmarkStart w:id="161" w:name="_Toc1191"/>
      <w:bookmarkStart w:id="162" w:name="_Toc403567367"/>
      <w:r>
        <w:rPr>
          <w:rFonts w:hint="eastAsia" w:ascii="黑体" w:eastAsia="黑体"/>
        </w:rPr>
        <w:t>16 技术差异表</w:t>
      </w:r>
      <w:bookmarkEnd w:id="160"/>
      <w:bookmarkEnd w:id="161"/>
      <w:bookmarkEnd w:id="162"/>
    </w:p>
    <w:p>
      <w:pPr>
        <w:pStyle w:val="15"/>
        <w:adjustRightInd w:val="0"/>
        <w:snapToGrid w:val="0"/>
        <w:spacing w:line="360" w:lineRule="auto"/>
        <w:rPr>
          <w:rFonts w:eastAsia="宋体" w:cs="Times New Roman"/>
          <w:szCs w:val="21"/>
        </w:rPr>
      </w:pPr>
      <w:bookmarkStart w:id="163" w:name="_Toc226362579"/>
      <w:r>
        <w:rPr>
          <w:rFonts w:hint="eastAsia" w:eastAsia="宋体" w:cs="Times New Roman"/>
          <w:szCs w:val="21"/>
        </w:rPr>
        <w:t>投标方应将所供设备与本招</w:t>
      </w:r>
      <w:r>
        <w:rPr>
          <w:rFonts w:hint="eastAsia" w:eastAsia="宋体" w:cs="Times New Roman"/>
          <w:szCs w:val="21"/>
          <w:lang w:eastAsia="zh-CN"/>
        </w:rPr>
        <w:t>规范书</w:t>
      </w:r>
      <w:r>
        <w:rPr>
          <w:rFonts w:hint="eastAsia" w:eastAsia="宋体" w:cs="Times New Roman"/>
          <w:szCs w:val="21"/>
        </w:rPr>
        <w:t>技术文件有差异之处，无论优于或劣于本招</w:t>
      </w:r>
      <w:r>
        <w:rPr>
          <w:rFonts w:hint="eastAsia" w:eastAsia="宋体" w:cs="Times New Roman"/>
          <w:szCs w:val="21"/>
          <w:lang w:eastAsia="zh-CN"/>
        </w:rPr>
        <w:t>规范书</w:t>
      </w:r>
      <w:r>
        <w:rPr>
          <w:rFonts w:hint="eastAsia" w:eastAsia="宋体" w:cs="Times New Roman"/>
          <w:szCs w:val="21"/>
        </w:rPr>
        <w:t>技术文件要求，均汇集至表16。</w:t>
      </w:r>
    </w:p>
    <w:p>
      <w:pPr>
        <w:adjustRightInd w:val="0"/>
        <w:snapToGrid w:val="0"/>
        <w:spacing w:line="360" w:lineRule="auto"/>
        <w:ind w:firstLine="199"/>
        <w:jc w:val="center"/>
        <w:rPr>
          <w:rFonts w:ascii="宋体" w:hAnsi="宋体"/>
          <w:szCs w:val="21"/>
        </w:rPr>
      </w:pPr>
      <w:r>
        <w:rPr>
          <w:rFonts w:hint="eastAsia" w:ascii="宋体" w:hAnsi="宋体"/>
          <w:szCs w:val="21"/>
        </w:rPr>
        <w:t>表16   技术差异表</w:t>
      </w:r>
      <w:bookmarkEnd w:id="163"/>
      <w:r>
        <w:rPr>
          <w:rFonts w:hint="eastAsia" w:ascii="宋体" w:hAnsi="宋体"/>
          <w:szCs w:val="21"/>
        </w:rPr>
        <w:t xml:space="preserve">  （投标方填写）</w:t>
      </w:r>
    </w:p>
    <w:tbl>
      <w:tblPr>
        <w:tblStyle w:val="11"/>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w:t>
            </w:r>
          </w:p>
          <w:p>
            <w:pPr>
              <w:autoSpaceDE w:val="0"/>
              <w:autoSpaceDN w:val="0"/>
              <w:spacing w:before="40"/>
              <w:jc w:val="center"/>
              <w:textAlignment w:val="bottom"/>
              <w:rPr>
                <w:rFonts w:ascii="宋体" w:hAnsi="宋体"/>
                <w:szCs w:val="21"/>
              </w:rPr>
            </w:pPr>
            <w:r>
              <w:rPr>
                <w:rFonts w:hint="eastAsia" w:ascii="宋体" w:hAnsi="宋体"/>
                <w:szCs w:val="21"/>
              </w:rPr>
              <w:t>号</w:t>
            </w:r>
          </w:p>
        </w:tc>
        <w:tc>
          <w:tcPr>
            <w:tcW w:w="3876" w:type="dxa"/>
            <w:gridSpan w:val="2"/>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招 标 文 件</w:t>
            </w:r>
          </w:p>
        </w:tc>
        <w:tc>
          <w:tcPr>
            <w:tcW w:w="3833" w:type="dxa"/>
            <w:gridSpan w:val="2"/>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pPr>
              <w:widowControl/>
              <w:autoSpaceDE w:val="0"/>
              <w:autoSpaceDN w:val="0"/>
              <w:spacing w:before="40"/>
              <w:jc w:val="center"/>
              <w:textAlignment w:val="bottom"/>
              <w:rPr>
                <w:rFonts w:ascii="宋体" w:hAnsi="宋体"/>
                <w:szCs w:val="21"/>
              </w:rPr>
            </w:pPr>
          </w:p>
        </w:tc>
        <w:tc>
          <w:tcPr>
            <w:tcW w:w="1163"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  目</w:t>
            </w:r>
          </w:p>
        </w:tc>
        <w:tc>
          <w:tcPr>
            <w:tcW w:w="2713"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  要  内  容</w:t>
            </w:r>
          </w:p>
        </w:tc>
        <w:tc>
          <w:tcPr>
            <w:tcW w:w="1258"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  目</w:t>
            </w:r>
          </w:p>
        </w:tc>
        <w:tc>
          <w:tcPr>
            <w:tcW w:w="2575"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ascii="宋体" w:hAnsi="宋体"/>
                <w:sz w:val="18"/>
                <w:szCs w:val="18"/>
              </w:rPr>
            </w:pPr>
          </w:p>
        </w:tc>
        <w:tc>
          <w:tcPr>
            <w:tcW w:w="1163" w:type="dxa"/>
            <w:vAlign w:val="center"/>
          </w:tcPr>
          <w:p>
            <w:pPr>
              <w:widowControl/>
              <w:autoSpaceDE w:val="0"/>
              <w:autoSpaceDN w:val="0"/>
              <w:jc w:val="center"/>
              <w:textAlignment w:val="bottom"/>
              <w:rPr>
                <w:rFonts w:ascii="宋体" w:hAnsi="宋体"/>
                <w:sz w:val="18"/>
                <w:szCs w:val="18"/>
              </w:rPr>
            </w:pPr>
          </w:p>
        </w:tc>
        <w:tc>
          <w:tcPr>
            <w:tcW w:w="2713" w:type="dxa"/>
            <w:vAlign w:val="center"/>
          </w:tcPr>
          <w:p>
            <w:pPr>
              <w:widowControl/>
              <w:autoSpaceDE w:val="0"/>
              <w:autoSpaceDN w:val="0"/>
              <w:jc w:val="center"/>
              <w:textAlignment w:val="bottom"/>
              <w:rPr>
                <w:rFonts w:ascii="宋体" w:hAnsi="宋体"/>
                <w:sz w:val="18"/>
                <w:szCs w:val="18"/>
              </w:rPr>
            </w:pPr>
          </w:p>
        </w:tc>
        <w:tc>
          <w:tcPr>
            <w:tcW w:w="1258" w:type="dxa"/>
            <w:vAlign w:val="center"/>
          </w:tcPr>
          <w:p>
            <w:pPr>
              <w:widowControl/>
              <w:autoSpaceDE w:val="0"/>
              <w:autoSpaceDN w:val="0"/>
              <w:jc w:val="center"/>
              <w:textAlignment w:val="bottom"/>
              <w:rPr>
                <w:rFonts w:ascii="宋体" w:hAnsi="宋体"/>
                <w:sz w:val="18"/>
                <w:szCs w:val="18"/>
              </w:rPr>
            </w:pPr>
          </w:p>
        </w:tc>
        <w:tc>
          <w:tcPr>
            <w:tcW w:w="2575" w:type="dxa"/>
            <w:vAlign w:val="center"/>
          </w:tcPr>
          <w:p>
            <w:pPr>
              <w:widowControl/>
              <w:autoSpaceDE w:val="0"/>
              <w:autoSpaceDN w:val="0"/>
              <w:jc w:val="center"/>
              <w:textAlignment w:val="bottom"/>
              <w:rPr>
                <w:rFonts w:hint="eastAsia" w:ascii="宋体" w:hAnsi="宋体" w:eastAsia="宋体"/>
                <w:sz w:val="18"/>
                <w:szCs w:val="18"/>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ascii="宋体" w:hAnsi="宋体"/>
                <w:sz w:val="18"/>
                <w:szCs w:val="18"/>
              </w:rPr>
            </w:pPr>
          </w:p>
        </w:tc>
        <w:tc>
          <w:tcPr>
            <w:tcW w:w="1163" w:type="dxa"/>
            <w:vAlign w:val="center"/>
          </w:tcPr>
          <w:p>
            <w:pPr>
              <w:widowControl/>
              <w:autoSpaceDE w:val="0"/>
              <w:autoSpaceDN w:val="0"/>
              <w:jc w:val="center"/>
              <w:textAlignment w:val="bottom"/>
              <w:rPr>
                <w:rFonts w:ascii="宋体" w:hAnsi="宋体"/>
                <w:sz w:val="18"/>
                <w:szCs w:val="18"/>
              </w:rPr>
            </w:pPr>
          </w:p>
        </w:tc>
        <w:tc>
          <w:tcPr>
            <w:tcW w:w="2713" w:type="dxa"/>
            <w:vAlign w:val="center"/>
          </w:tcPr>
          <w:p>
            <w:pPr>
              <w:widowControl/>
              <w:autoSpaceDE w:val="0"/>
              <w:autoSpaceDN w:val="0"/>
              <w:jc w:val="center"/>
              <w:textAlignment w:val="bottom"/>
              <w:rPr>
                <w:rFonts w:ascii="宋体" w:hAnsi="宋体"/>
                <w:sz w:val="18"/>
                <w:szCs w:val="18"/>
              </w:rPr>
            </w:pPr>
          </w:p>
        </w:tc>
        <w:tc>
          <w:tcPr>
            <w:tcW w:w="1258" w:type="dxa"/>
            <w:vAlign w:val="center"/>
          </w:tcPr>
          <w:p>
            <w:pPr>
              <w:widowControl/>
              <w:autoSpaceDE w:val="0"/>
              <w:autoSpaceDN w:val="0"/>
              <w:jc w:val="center"/>
              <w:textAlignment w:val="bottom"/>
              <w:rPr>
                <w:rFonts w:ascii="宋体" w:hAnsi="宋体"/>
                <w:sz w:val="18"/>
                <w:szCs w:val="18"/>
              </w:rPr>
            </w:pPr>
          </w:p>
        </w:tc>
        <w:tc>
          <w:tcPr>
            <w:tcW w:w="2575"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ascii="宋体" w:hAnsi="宋体"/>
                <w:sz w:val="18"/>
                <w:szCs w:val="18"/>
              </w:rPr>
            </w:pPr>
          </w:p>
        </w:tc>
        <w:tc>
          <w:tcPr>
            <w:tcW w:w="1163" w:type="dxa"/>
            <w:vAlign w:val="center"/>
          </w:tcPr>
          <w:p>
            <w:pPr>
              <w:widowControl/>
              <w:autoSpaceDE w:val="0"/>
              <w:autoSpaceDN w:val="0"/>
              <w:jc w:val="center"/>
              <w:textAlignment w:val="bottom"/>
              <w:rPr>
                <w:rFonts w:ascii="宋体" w:hAnsi="宋体"/>
                <w:sz w:val="18"/>
                <w:szCs w:val="18"/>
              </w:rPr>
            </w:pPr>
          </w:p>
        </w:tc>
        <w:tc>
          <w:tcPr>
            <w:tcW w:w="2713" w:type="dxa"/>
            <w:vAlign w:val="center"/>
          </w:tcPr>
          <w:p>
            <w:pPr>
              <w:widowControl/>
              <w:autoSpaceDE w:val="0"/>
              <w:autoSpaceDN w:val="0"/>
              <w:jc w:val="center"/>
              <w:textAlignment w:val="bottom"/>
              <w:rPr>
                <w:rFonts w:ascii="宋体" w:hAnsi="宋体"/>
                <w:sz w:val="18"/>
                <w:szCs w:val="18"/>
              </w:rPr>
            </w:pPr>
          </w:p>
        </w:tc>
        <w:tc>
          <w:tcPr>
            <w:tcW w:w="1258" w:type="dxa"/>
            <w:vAlign w:val="center"/>
          </w:tcPr>
          <w:p>
            <w:pPr>
              <w:widowControl/>
              <w:autoSpaceDE w:val="0"/>
              <w:autoSpaceDN w:val="0"/>
              <w:jc w:val="center"/>
              <w:textAlignment w:val="bottom"/>
              <w:rPr>
                <w:rFonts w:ascii="宋体" w:hAnsi="宋体"/>
                <w:sz w:val="18"/>
                <w:szCs w:val="18"/>
              </w:rPr>
            </w:pPr>
          </w:p>
        </w:tc>
        <w:tc>
          <w:tcPr>
            <w:tcW w:w="2575"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ascii="宋体" w:hAnsi="宋体"/>
                <w:sz w:val="18"/>
                <w:szCs w:val="18"/>
              </w:rPr>
            </w:pPr>
          </w:p>
        </w:tc>
        <w:tc>
          <w:tcPr>
            <w:tcW w:w="1163" w:type="dxa"/>
            <w:vAlign w:val="center"/>
          </w:tcPr>
          <w:p>
            <w:pPr>
              <w:widowControl/>
              <w:autoSpaceDE w:val="0"/>
              <w:autoSpaceDN w:val="0"/>
              <w:jc w:val="center"/>
              <w:textAlignment w:val="bottom"/>
              <w:rPr>
                <w:rFonts w:ascii="宋体" w:hAnsi="宋体"/>
                <w:sz w:val="18"/>
                <w:szCs w:val="18"/>
              </w:rPr>
            </w:pPr>
          </w:p>
        </w:tc>
        <w:tc>
          <w:tcPr>
            <w:tcW w:w="2713" w:type="dxa"/>
            <w:vAlign w:val="center"/>
          </w:tcPr>
          <w:p>
            <w:pPr>
              <w:widowControl/>
              <w:autoSpaceDE w:val="0"/>
              <w:autoSpaceDN w:val="0"/>
              <w:jc w:val="center"/>
              <w:textAlignment w:val="bottom"/>
              <w:rPr>
                <w:rFonts w:ascii="宋体" w:hAnsi="宋体"/>
                <w:sz w:val="18"/>
                <w:szCs w:val="18"/>
              </w:rPr>
            </w:pPr>
          </w:p>
        </w:tc>
        <w:tc>
          <w:tcPr>
            <w:tcW w:w="1258" w:type="dxa"/>
            <w:vAlign w:val="center"/>
          </w:tcPr>
          <w:p>
            <w:pPr>
              <w:widowControl/>
              <w:autoSpaceDE w:val="0"/>
              <w:autoSpaceDN w:val="0"/>
              <w:jc w:val="center"/>
              <w:textAlignment w:val="bottom"/>
              <w:rPr>
                <w:rFonts w:ascii="宋体" w:hAnsi="宋体"/>
                <w:sz w:val="18"/>
                <w:szCs w:val="18"/>
              </w:rPr>
            </w:pPr>
          </w:p>
        </w:tc>
        <w:tc>
          <w:tcPr>
            <w:tcW w:w="2575"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ascii="宋体" w:hAnsi="宋体"/>
                <w:sz w:val="18"/>
                <w:szCs w:val="18"/>
              </w:rPr>
            </w:pPr>
          </w:p>
        </w:tc>
        <w:tc>
          <w:tcPr>
            <w:tcW w:w="1163" w:type="dxa"/>
            <w:vAlign w:val="center"/>
          </w:tcPr>
          <w:p>
            <w:pPr>
              <w:widowControl/>
              <w:autoSpaceDE w:val="0"/>
              <w:autoSpaceDN w:val="0"/>
              <w:jc w:val="center"/>
              <w:textAlignment w:val="bottom"/>
              <w:rPr>
                <w:rFonts w:ascii="宋体" w:hAnsi="宋体"/>
                <w:sz w:val="18"/>
                <w:szCs w:val="18"/>
              </w:rPr>
            </w:pPr>
          </w:p>
        </w:tc>
        <w:tc>
          <w:tcPr>
            <w:tcW w:w="2713" w:type="dxa"/>
            <w:vAlign w:val="center"/>
          </w:tcPr>
          <w:p>
            <w:pPr>
              <w:widowControl/>
              <w:autoSpaceDE w:val="0"/>
              <w:autoSpaceDN w:val="0"/>
              <w:jc w:val="center"/>
              <w:textAlignment w:val="bottom"/>
              <w:rPr>
                <w:rFonts w:ascii="宋体" w:hAnsi="宋体"/>
                <w:sz w:val="18"/>
                <w:szCs w:val="18"/>
              </w:rPr>
            </w:pPr>
          </w:p>
        </w:tc>
        <w:tc>
          <w:tcPr>
            <w:tcW w:w="1258" w:type="dxa"/>
            <w:vAlign w:val="center"/>
          </w:tcPr>
          <w:p>
            <w:pPr>
              <w:widowControl/>
              <w:autoSpaceDE w:val="0"/>
              <w:autoSpaceDN w:val="0"/>
              <w:jc w:val="center"/>
              <w:textAlignment w:val="bottom"/>
              <w:rPr>
                <w:rFonts w:ascii="宋体" w:hAnsi="宋体"/>
                <w:sz w:val="18"/>
                <w:szCs w:val="18"/>
              </w:rPr>
            </w:pPr>
          </w:p>
        </w:tc>
        <w:tc>
          <w:tcPr>
            <w:tcW w:w="2575" w:type="dxa"/>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pPr>
              <w:widowControl/>
              <w:autoSpaceDE w:val="0"/>
              <w:autoSpaceDN w:val="0"/>
              <w:jc w:val="center"/>
              <w:textAlignment w:val="bottom"/>
              <w:rPr>
                <w:rFonts w:ascii="宋体" w:hAnsi="宋体"/>
                <w:sz w:val="18"/>
                <w:szCs w:val="18"/>
              </w:rPr>
            </w:pPr>
          </w:p>
        </w:tc>
        <w:tc>
          <w:tcPr>
            <w:tcW w:w="1163" w:type="dxa"/>
            <w:vAlign w:val="center"/>
          </w:tcPr>
          <w:p>
            <w:pPr>
              <w:widowControl/>
              <w:autoSpaceDE w:val="0"/>
              <w:autoSpaceDN w:val="0"/>
              <w:jc w:val="center"/>
              <w:textAlignment w:val="bottom"/>
              <w:rPr>
                <w:rFonts w:ascii="宋体" w:hAnsi="宋体"/>
                <w:sz w:val="18"/>
                <w:szCs w:val="18"/>
              </w:rPr>
            </w:pPr>
          </w:p>
        </w:tc>
        <w:tc>
          <w:tcPr>
            <w:tcW w:w="2713" w:type="dxa"/>
            <w:vAlign w:val="center"/>
          </w:tcPr>
          <w:p>
            <w:pPr>
              <w:widowControl/>
              <w:autoSpaceDE w:val="0"/>
              <w:autoSpaceDN w:val="0"/>
              <w:jc w:val="center"/>
              <w:textAlignment w:val="bottom"/>
              <w:rPr>
                <w:rFonts w:ascii="宋体" w:hAnsi="宋体"/>
                <w:sz w:val="18"/>
                <w:szCs w:val="18"/>
              </w:rPr>
            </w:pPr>
          </w:p>
        </w:tc>
        <w:tc>
          <w:tcPr>
            <w:tcW w:w="1258" w:type="dxa"/>
            <w:vAlign w:val="center"/>
          </w:tcPr>
          <w:p>
            <w:pPr>
              <w:widowControl/>
              <w:autoSpaceDE w:val="0"/>
              <w:autoSpaceDN w:val="0"/>
              <w:jc w:val="center"/>
              <w:textAlignment w:val="bottom"/>
              <w:rPr>
                <w:rFonts w:ascii="宋体" w:hAnsi="宋体"/>
                <w:sz w:val="18"/>
                <w:szCs w:val="18"/>
              </w:rPr>
            </w:pPr>
          </w:p>
        </w:tc>
        <w:tc>
          <w:tcPr>
            <w:tcW w:w="2575" w:type="dxa"/>
            <w:vAlign w:val="center"/>
          </w:tcPr>
          <w:p>
            <w:pPr>
              <w:widowControl/>
              <w:autoSpaceDE w:val="0"/>
              <w:autoSpaceDN w:val="0"/>
              <w:jc w:val="center"/>
              <w:textAlignment w:val="bottom"/>
              <w:rPr>
                <w:rFonts w:ascii="宋体" w:hAnsi="宋体"/>
                <w:sz w:val="18"/>
                <w:szCs w:val="18"/>
              </w:rPr>
            </w:pPr>
          </w:p>
        </w:tc>
      </w:tr>
    </w:tbl>
    <w:p>
      <w:pPr>
        <w:pStyle w:val="6"/>
        <w:adjustRightInd w:val="0"/>
        <w:snapToGrid w:val="0"/>
        <w:spacing w:before="156" w:beforeLines="50" w:line="360" w:lineRule="auto"/>
        <w:rPr>
          <w:rFonts w:hAnsi="宋体"/>
          <w:szCs w:val="21"/>
        </w:rPr>
      </w:pPr>
      <w:r>
        <w:rPr>
          <w:rFonts w:hAnsi="宋体"/>
          <w:szCs w:val="21"/>
        </w:rPr>
        <w:t>投标</w:t>
      </w:r>
      <w:r>
        <w:rPr>
          <w:rFonts w:hint="eastAsia" w:hAnsi="宋体"/>
          <w:szCs w:val="21"/>
        </w:rPr>
        <w:t>方</w:t>
      </w:r>
      <w:r>
        <w:rPr>
          <w:rFonts w:hAnsi="宋体"/>
          <w:szCs w:val="21"/>
        </w:rPr>
        <w:t>：</w:t>
      </w:r>
      <w:r>
        <w:rPr>
          <w:rFonts w:hAnsi="宋体"/>
          <w:szCs w:val="21"/>
          <w:u w:val="single"/>
        </w:rPr>
        <w:t xml:space="preserve">             </w:t>
      </w:r>
      <w:r>
        <w:rPr>
          <w:rFonts w:hAnsi="宋体"/>
          <w:szCs w:val="21"/>
        </w:rPr>
        <w:t xml:space="preserve">   盖章：</w:t>
      </w:r>
    </w:p>
    <w:p>
      <w:pPr>
        <w:pStyle w:val="2"/>
        <w:numPr>
          <w:ilvl w:val="0"/>
          <w:numId w:val="0"/>
        </w:numPr>
        <w:snapToGrid/>
        <w:spacing w:before="0" w:beforeLines="0" w:line="480" w:lineRule="auto"/>
        <w:rPr>
          <w:rFonts w:ascii="黑体" w:eastAsia="黑体"/>
        </w:rPr>
      </w:pPr>
      <w:bookmarkStart w:id="164" w:name="_Toc403567368"/>
      <w:bookmarkStart w:id="165" w:name="_Toc282420857"/>
      <w:bookmarkStart w:id="166" w:name="_Toc21774"/>
      <w:bookmarkStart w:id="167" w:name="_Toc287602850"/>
      <w:bookmarkStart w:id="168" w:name="_Toc282421446"/>
      <w:r>
        <w:rPr>
          <w:rFonts w:hint="eastAsia" w:ascii="黑体" w:eastAsia="黑体"/>
        </w:rPr>
        <w:t>17投标方需说明的其他问题</w:t>
      </w:r>
      <w:bookmarkEnd w:id="164"/>
      <w:bookmarkEnd w:id="165"/>
      <w:bookmarkEnd w:id="166"/>
      <w:bookmarkEnd w:id="167"/>
      <w:bookmarkEnd w:id="168"/>
    </w:p>
    <w:p>
      <w:pPr>
        <w:pStyle w:val="15"/>
        <w:adjustRightInd w:val="0"/>
        <w:snapToGrid w:val="0"/>
        <w:spacing w:line="360" w:lineRule="auto"/>
        <w:rPr>
          <w:rFonts w:eastAsia="宋体" w:cs="Times New Roman"/>
          <w:szCs w:val="21"/>
        </w:rPr>
      </w:pPr>
      <w:r>
        <w:rPr>
          <w:rFonts w:hint="eastAsia" w:eastAsia="宋体" w:cs="Times New Roman"/>
          <w:szCs w:val="21"/>
        </w:rPr>
        <w:t>如有需说明的其他问题，投标方应通过书面形式提交，并加盖公章。</w:t>
      </w:r>
    </w:p>
    <w:p/>
    <w:sectPr>
      <w:headerReference r:id="rId6" w:type="default"/>
      <w:footerReference r:id="rId7" w:type="default"/>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_GBK">
    <w:altName w:val="Times New Roman"/>
    <w:panose1 w:val="00000000000000000000"/>
    <w:charset w:val="00"/>
    <w:family w:val="auto"/>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r>
      <w:fldChar w:fldCharType="begin"/>
    </w:r>
    <w:r>
      <w:instrText xml:space="preserve"> PAGE   \* MERGEFORMAT </w:instrText>
    </w:r>
    <w:r>
      <w:fldChar w:fldCharType="separate"/>
    </w:r>
    <w:r>
      <w:rPr>
        <w:lang w:val="zh-CN"/>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rFonts w:hint="eastAsia"/>
        <w:lang w:val="en-US" w:eastAsia="zh-CN"/>
      </w:rPr>
      <w:t>深圳供电局有限公司在线稳控系统控制子站</w:t>
    </w:r>
    <w:r>
      <w:rPr>
        <w:rFonts w:hint="eastAsia"/>
      </w:rPr>
      <w:t>技术</w:t>
    </w:r>
    <w:r>
      <w:rPr>
        <w:rFonts w:hint="eastAsia"/>
        <w:lang w:eastAsia="zh-CN"/>
      </w:rPr>
      <w:t>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default"/>
        <w:lang w:val="en-US" w:eastAsia="zh-CN"/>
      </w:rPr>
      <w:t>深圳供电局有限公司在线稳控系统</w:t>
    </w:r>
    <w:r>
      <w:rPr>
        <w:rFonts w:hint="eastAsia"/>
        <w:lang w:val="en-US" w:eastAsia="zh-CN"/>
      </w:rPr>
      <w:t>控制子站</w:t>
    </w:r>
    <w:r>
      <w:rPr>
        <w:rFonts w:hint="eastAsia"/>
      </w:rPr>
      <w:t>技术</w:t>
    </w:r>
    <w:r>
      <w:rPr>
        <w:rFonts w:hint="eastAsia"/>
        <w:lang w:eastAsia="zh-CN"/>
      </w:rPr>
      <w:t>规范书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rFonts w:hint="eastAsia"/>
        <w:lang w:val="en-US" w:eastAsia="zh-CN"/>
      </w:rPr>
      <w:t>深圳供电局有限公司在线稳控系统控制子站</w:t>
    </w:r>
    <w:r>
      <w:rPr>
        <w:rFonts w:hint="eastAsia"/>
      </w:rPr>
      <w:t>技术</w:t>
    </w:r>
    <w:r>
      <w:rPr>
        <w:rFonts w:hint="eastAsia"/>
        <w:lang w:eastAsia="zh-CN"/>
      </w:rPr>
      <w:t>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544C82"/>
    <w:multiLevelType w:val="multilevel"/>
    <w:tmpl w:val="03544C82"/>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
    <w:nsid w:val="046A132E"/>
    <w:multiLevelType w:val="multilevel"/>
    <w:tmpl w:val="046A132E"/>
    <w:lvl w:ilvl="0" w:tentative="0">
      <w:start w:val="1"/>
      <w:numFmt w:val="decimal"/>
      <w:pStyle w:val="2"/>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15FD4B93"/>
    <w:multiLevelType w:val="multilevel"/>
    <w:tmpl w:val="15FD4B93"/>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3">
    <w:nsid w:val="23FA73CF"/>
    <w:multiLevelType w:val="multilevel"/>
    <w:tmpl w:val="23FA73CF"/>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4">
    <w:nsid w:val="2CBB49DE"/>
    <w:multiLevelType w:val="multilevel"/>
    <w:tmpl w:val="2CBB49DE"/>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5">
    <w:nsid w:val="2F0469DD"/>
    <w:multiLevelType w:val="multilevel"/>
    <w:tmpl w:val="2F0469DD"/>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6">
    <w:nsid w:val="34C93A55"/>
    <w:multiLevelType w:val="multilevel"/>
    <w:tmpl w:val="34C93A55"/>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7">
    <w:nsid w:val="3F765D20"/>
    <w:multiLevelType w:val="multilevel"/>
    <w:tmpl w:val="3F765D20"/>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8">
    <w:nsid w:val="47C21C51"/>
    <w:multiLevelType w:val="multilevel"/>
    <w:tmpl w:val="47C21C51"/>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9">
    <w:nsid w:val="4CA924D3"/>
    <w:multiLevelType w:val="multilevel"/>
    <w:tmpl w:val="4CA924D3"/>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0">
    <w:nsid w:val="4E2D68A3"/>
    <w:multiLevelType w:val="multilevel"/>
    <w:tmpl w:val="4E2D68A3"/>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1">
    <w:nsid w:val="4FE41277"/>
    <w:multiLevelType w:val="multilevel"/>
    <w:tmpl w:val="4FE41277"/>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2">
    <w:nsid w:val="608E73A1"/>
    <w:multiLevelType w:val="multilevel"/>
    <w:tmpl w:val="608E73A1"/>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3">
    <w:nsid w:val="62B15E6D"/>
    <w:multiLevelType w:val="multilevel"/>
    <w:tmpl w:val="62B15E6D"/>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4">
    <w:nsid w:val="6A186FE8"/>
    <w:multiLevelType w:val="multilevel"/>
    <w:tmpl w:val="6A186FE8"/>
    <w:lvl w:ilvl="0" w:tentative="0">
      <w:start w:val="1"/>
      <w:numFmt w:val="decimal"/>
      <w:lvlText w:val="%1"/>
      <w:lvlJc w:val="left"/>
      <w:pPr>
        <w:tabs>
          <w:tab w:val="left" w:pos="780"/>
        </w:tabs>
        <w:ind w:left="78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6A840DCE"/>
    <w:multiLevelType w:val="multilevel"/>
    <w:tmpl w:val="6A840DCE"/>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6">
    <w:nsid w:val="6C007AC5"/>
    <w:multiLevelType w:val="multilevel"/>
    <w:tmpl w:val="6C007AC5"/>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7">
    <w:nsid w:val="75BF69C2"/>
    <w:multiLevelType w:val="multilevel"/>
    <w:tmpl w:val="75BF69C2"/>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num w:numId="1">
    <w:abstractNumId w:val="1"/>
  </w:num>
  <w:num w:numId="2">
    <w:abstractNumId w:val="16"/>
  </w:num>
  <w:num w:numId="3">
    <w:abstractNumId w:val="4"/>
  </w:num>
  <w:num w:numId="4">
    <w:abstractNumId w:val="7"/>
  </w:num>
  <w:num w:numId="5">
    <w:abstractNumId w:val="9"/>
  </w:num>
  <w:num w:numId="6">
    <w:abstractNumId w:val="5"/>
  </w:num>
  <w:num w:numId="7">
    <w:abstractNumId w:val="17"/>
  </w:num>
  <w:num w:numId="8">
    <w:abstractNumId w:val="13"/>
  </w:num>
  <w:num w:numId="9">
    <w:abstractNumId w:val="6"/>
  </w:num>
  <w:num w:numId="10">
    <w:abstractNumId w:val="3"/>
  </w:num>
  <w:num w:numId="11">
    <w:abstractNumId w:val="2"/>
  </w:num>
  <w:num w:numId="12">
    <w:abstractNumId w:val="15"/>
  </w:num>
  <w:num w:numId="13">
    <w:abstractNumId w:val="10"/>
  </w:num>
  <w:num w:numId="14">
    <w:abstractNumId w:val="8"/>
  </w:num>
  <w:num w:numId="15">
    <w:abstractNumId w:val="12"/>
  </w:num>
  <w:num w:numId="16">
    <w:abstractNumId w:val="11"/>
  </w:num>
  <w:num w:numId="17">
    <w:abstractNumId w:val="0"/>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陈择栖">
    <w15:presenceInfo w15:providerId="None" w15:userId="陈择栖"/>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708"/>
    <w:rsid w:val="001D556E"/>
    <w:rsid w:val="005E4708"/>
    <w:rsid w:val="00833FDC"/>
    <w:rsid w:val="00D403D5"/>
    <w:rsid w:val="00EB6BB2"/>
    <w:rsid w:val="00FC7B8D"/>
    <w:rsid w:val="0634078B"/>
    <w:rsid w:val="066F57D8"/>
    <w:rsid w:val="08462016"/>
    <w:rsid w:val="08DA6ACC"/>
    <w:rsid w:val="0B9611AE"/>
    <w:rsid w:val="128A001B"/>
    <w:rsid w:val="13CC58CF"/>
    <w:rsid w:val="1AF6046A"/>
    <w:rsid w:val="1C880772"/>
    <w:rsid w:val="27684B2C"/>
    <w:rsid w:val="276B4050"/>
    <w:rsid w:val="29354D5D"/>
    <w:rsid w:val="29874594"/>
    <w:rsid w:val="2C1318B2"/>
    <w:rsid w:val="31357699"/>
    <w:rsid w:val="31D3558E"/>
    <w:rsid w:val="326A0250"/>
    <w:rsid w:val="35494C74"/>
    <w:rsid w:val="39525326"/>
    <w:rsid w:val="39727BA4"/>
    <w:rsid w:val="3AF31487"/>
    <w:rsid w:val="3D18360A"/>
    <w:rsid w:val="3EB07126"/>
    <w:rsid w:val="40276530"/>
    <w:rsid w:val="415125D9"/>
    <w:rsid w:val="42FD6FE9"/>
    <w:rsid w:val="43004B7A"/>
    <w:rsid w:val="48D05B9D"/>
    <w:rsid w:val="48E90B2B"/>
    <w:rsid w:val="49055BF3"/>
    <w:rsid w:val="4B5E47CE"/>
    <w:rsid w:val="4C15172E"/>
    <w:rsid w:val="4DBE3852"/>
    <w:rsid w:val="4E85078A"/>
    <w:rsid w:val="4F205A66"/>
    <w:rsid w:val="54115C54"/>
    <w:rsid w:val="54DC2150"/>
    <w:rsid w:val="556B508D"/>
    <w:rsid w:val="5DE83E9E"/>
    <w:rsid w:val="6ACF17E1"/>
    <w:rsid w:val="6ECB415A"/>
    <w:rsid w:val="721A3F5E"/>
    <w:rsid w:val="77270C09"/>
    <w:rsid w:val="78E4670F"/>
    <w:rsid w:val="7AF753A2"/>
    <w:rsid w:val="7E481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unhideWhenUsed/>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4"/>
    <w:basedOn w:val="1"/>
    <w:next w:val="1"/>
    <w:unhideWhenUsed/>
    <w:qFormat/>
    <w:uiPriority w:val="0"/>
    <w:pPr>
      <w:spacing w:line="360" w:lineRule="auto"/>
      <w:outlineLvl w:val="3"/>
    </w:pPr>
    <w:rPr>
      <w:rFonts w:ascii="宋体"/>
      <w:bCs/>
      <w:szCs w:val="21"/>
    </w:rPr>
  </w:style>
  <w:style w:type="character" w:default="1" w:styleId="12">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Plain Text"/>
    <w:basedOn w:val="1"/>
    <w:qFormat/>
    <w:uiPriority w:val="0"/>
    <w:rPr>
      <w:rFonts w:ascii="宋体" w:hAnsi="Courier New"/>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pPr>
      <w:spacing w:before="120" w:after="120"/>
      <w:jc w:val="left"/>
    </w:pPr>
    <w:rPr>
      <w:b/>
      <w:bCs/>
      <w:caps/>
      <w:sz w:val="20"/>
      <w:szCs w:val="20"/>
    </w:rPr>
  </w:style>
  <w:style w:type="paragraph" w:styleId="10">
    <w:name w:val="toc 2"/>
    <w:basedOn w:val="1"/>
    <w:next w:val="1"/>
    <w:qFormat/>
    <w:uiPriority w:val="0"/>
    <w:pPr>
      <w:tabs>
        <w:tab w:val="left" w:pos="900"/>
        <w:tab w:val="right" w:leader="dot" w:pos="8296"/>
      </w:tabs>
      <w:ind w:left="420" w:leftChars="200"/>
    </w:pPr>
  </w:style>
  <w:style w:type="character" w:styleId="13">
    <w:name w:val="Hyperlink"/>
    <w:qFormat/>
    <w:uiPriority w:val="0"/>
    <w:rPr>
      <w:color w:val="0000FF"/>
      <w:u w:val="single"/>
    </w:rPr>
  </w:style>
  <w:style w:type="character" w:styleId="14">
    <w:name w:val="annotation reference"/>
    <w:qFormat/>
    <w:uiPriority w:val="0"/>
    <w:rPr>
      <w:sz w:val="21"/>
      <w:szCs w:val="21"/>
    </w:rPr>
  </w:style>
  <w:style w:type="paragraph" w:customStyle="1" w:styleId="15">
    <w:name w:val="首行缩进"/>
    <w:basedOn w:val="1"/>
    <w:qFormat/>
    <w:uiPriority w:val="0"/>
    <w:pPr>
      <w:spacing w:line="300" w:lineRule="auto"/>
      <w:ind w:firstLine="420" w:firstLineChars="200"/>
    </w:pPr>
    <w:rPr>
      <w:rFonts w:eastAsia="方正书宋简体" w:cs="宋体"/>
      <w:szCs w:val="20"/>
    </w:rPr>
  </w:style>
  <w:style w:type="paragraph" w:customStyle="1" w:styleId="16">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oleObject" Target="embeddings/oleObject2.bin"/><Relationship Id="rId11" Type="http://schemas.openxmlformats.org/officeDocument/2006/relationships/image" Target="media/image2.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26</Pages>
  <Words>3489</Words>
  <Characters>19892</Characters>
  <Lines>165</Lines>
  <Paragraphs>46</Paragraphs>
  <TotalTime>1</TotalTime>
  <ScaleCrop>false</ScaleCrop>
  <LinksUpToDate>false</LinksUpToDate>
  <CharactersWithSpaces>23335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chenzeqi</dc:creator>
  <cp:lastModifiedBy>陈择栖</cp:lastModifiedBy>
  <dcterms:modified xsi:type="dcterms:W3CDTF">2026-06-08T06:17:01Z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9AF238D791EB4CA79031760546504209</vt:lpwstr>
  </property>
</Properties>
</file>