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5BCCDF">
      <w:pPr>
        <w:spacing w:line="360" w:lineRule="auto"/>
        <w:jc w:val="center"/>
        <w:outlineLvl w:val="9"/>
        <w:rPr>
          <w:rFonts w:hint="default" w:ascii="Times New Roman" w:hAnsi="Times New Roman" w:cs="Times New Roman"/>
          <w:b/>
          <w:sz w:val="48"/>
          <w:szCs w:val="48"/>
          <w:highlight w:val="none"/>
        </w:rPr>
      </w:pPr>
      <w:r>
        <w:rPr>
          <w:rFonts w:hint="default" w:ascii="Times New Roman" w:hAnsi="Times New Roman" w:cs="Times New Roman"/>
          <w:highlight w:val="none"/>
        </w:rPr>
        <w:drawing>
          <wp:anchor distT="0" distB="0" distL="114300" distR="114300" simplePos="0" relativeHeight="251660288" behindDoc="0" locked="0" layoutInCell="1" allowOverlap="1">
            <wp:simplePos x="0" y="0"/>
            <wp:positionH relativeFrom="column">
              <wp:posOffset>-1230630</wp:posOffset>
            </wp:positionH>
            <wp:positionV relativeFrom="paragraph">
              <wp:posOffset>-990600</wp:posOffset>
            </wp:positionV>
            <wp:extent cx="7772400" cy="2381250"/>
            <wp:effectExtent l="0" t="0" r="0" b="0"/>
            <wp:wrapNone/>
            <wp:docPr id="2"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模板-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772400" cy="2381250"/>
                    </a:xfrm>
                    <a:prstGeom prst="rect">
                      <a:avLst/>
                    </a:prstGeom>
                    <a:noFill/>
                    <a:ln>
                      <a:noFill/>
                    </a:ln>
                  </pic:spPr>
                </pic:pic>
              </a:graphicData>
            </a:graphic>
          </wp:anchor>
        </w:drawing>
      </w:r>
    </w:p>
    <w:p w14:paraId="4B2583A3">
      <w:pPr>
        <w:spacing w:line="360" w:lineRule="auto"/>
        <w:jc w:val="center"/>
        <w:outlineLvl w:val="9"/>
        <w:rPr>
          <w:rFonts w:hint="default" w:ascii="Times New Roman" w:hAnsi="Times New Roman" w:cs="Times New Roman"/>
          <w:b/>
          <w:sz w:val="48"/>
          <w:szCs w:val="48"/>
          <w:highlight w:val="none"/>
        </w:rPr>
      </w:pPr>
    </w:p>
    <w:p w14:paraId="1F645C4D">
      <w:pPr>
        <w:spacing w:line="360" w:lineRule="auto"/>
        <w:jc w:val="center"/>
        <w:outlineLvl w:val="9"/>
        <w:rPr>
          <w:rFonts w:hint="default" w:ascii="Times New Roman" w:hAnsi="Times New Roman" w:cs="Times New Roman"/>
          <w:b/>
          <w:sz w:val="48"/>
          <w:szCs w:val="48"/>
          <w:highlight w:val="none"/>
        </w:rPr>
      </w:pPr>
    </w:p>
    <w:p w14:paraId="4E8C685C">
      <w:pPr>
        <w:spacing w:line="360" w:lineRule="auto"/>
        <w:jc w:val="both"/>
        <w:outlineLvl w:val="9"/>
        <w:rPr>
          <w:rFonts w:hint="default" w:ascii="Times New Roman" w:hAnsi="Times New Roman" w:cs="Times New Roman"/>
          <w:b/>
          <w:sz w:val="48"/>
          <w:szCs w:val="48"/>
          <w:highlight w:val="none"/>
        </w:rPr>
      </w:pPr>
    </w:p>
    <w:p w14:paraId="25EC78B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default" w:ascii="Times New Roman" w:hAnsi="Times New Roman" w:cs="Times New Roman"/>
          <w:b/>
          <w:sz w:val="48"/>
          <w:szCs w:val="48"/>
          <w:highlight w:val="none"/>
          <w:lang w:val="en-US" w:eastAsia="zh-CN"/>
        </w:rPr>
      </w:pPr>
    </w:p>
    <w:p w14:paraId="71F797D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default" w:ascii="Times New Roman" w:hAnsi="Times New Roman" w:cs="Times New Roman"/>
          <w:b/>
          <w:sz w:val="48"/>
          <w:szCs w:val="48"/>
          <w:highlight w:val="none"/>
          <w:lang w:val="en-US" w:eastAsia="zh-CN"/>
        </w:rPr>
      </w:pPr>
    </w:p>
    <w:p w14:paraId="1650DB3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0"/>
        <w:rPr>
          <w:rFonts w:hint="default" w:ascii="Times New Roman" w:hAnsi="Times New Roman" w:cs="Times New Roman"/>
          <w:b/>
          <w:sz w:val="48"/>
          <w:szCs w:val="48"/>
          <w:highlight w:val="none"/>
          <w:lang w:val="en-US" w:eastAsia="zh-CN"/>
        </w:rPr>
      </w:pPr>
      <w:r>
        <w:rPr>
          <w:rFonts w:hint="default" w:ascii="Times New Roman" w:hAnsi="Times New Roman" w:cs="Times New Roman"/>
          <w:b/>
          <w:sz w:val="48"/>
          <w:szCs w:val="48"/>
          <w:highlight w:val="none"/>
          <w:lang w:val="en-US" w:eastAsia="zh-CN"/>
        </w:rPr>
        <w:t>启鸣数智公司</w:t>
      </w:r>
      <w:r>
        <w:rPr>
          <w:rFonts w:hint="eastAsia" w:cs="Times New Roman"/>
          <w:b/>
          <w:sz w:val="48"/>
          <w:szCs w:val="48"/>
          <w:highlight w:val="none"/>
          <w:lang w:val="en-US" w:eastAsia="zh-CN"/>
        </w:rPr>
        <w:t>贸易业务</w:t>
      </w:r>
      <w:r>
        <w:rPr>
          <w:rFonts w:hint="default" w:ascii="Times New Roman" w:hAnsi="Times New Roman" w:cs="Times New Roman"/>
          <w:b/>
          <w:sz w:val="48"/>
          <w:szCs w:val="48"/>
          <w:highlight w:val="none"/>
          <w:lang w:val="en-US" w:eastAsia="zh-CN"/>
        </w:rPr>
        <w:t>专项审计</w:t>
      </w:r>
    </w:p>
    <w:p w14:paraId="47661F8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0"/>
        <w:rPr>
          <w:rFonts w:hint="default" w:ascii="Times New Roman" w:hAnsi="Times New Roman" w:cs="Times New Roman"/>
          <w:b/>
          <w:sz w:val="48"/>
          <w:szCs w:val="48"/>
          <w:highlight w:val="none"/>
          <w:lang w:val="en-US" w:eastAsia="zh-CN"/>
        </w:rPr>
      </w:pPr>
      <w:r>
        <w:rPr>
          <w:rFonts w:hint="eastAsia" w:cs="Times New Roman"/>
          <w:b/>
          <w:sz w:val="48"/>
          <w:szCs w:val="48"/>
          <w:highlight w:val="none"/>
          <w:lang w:val="en-US" w:eastAsia="zh-CN"/>
        </w:rPr>
        <w:t>技术规范书</w:t>
      </w:r>
    </w:p>
    <w:p w14:paraId="71EDDB1A">
      <w:pPr>
        <w:spacing w:line="360" w:lineRule="auto"/>
        <w:jc w:val="center"/>
        <w:outlineLvl w:val="9"/>
        <w:rPr>
          <w:rFonts w:hint="default" w:ascii="Times New Roman" w:hAnsi="Times New Roman" w:eastAsia="楷体_GB2312" w:cs="Times New Roman"/>
          <w:sz w:val="32"/>
          <w:szCs w:val="32"/>
          <w:highlight w:val="none"/>
        </w:rPr>
      </w:pPr>
    </w:p>
    <w:p w14:paraId="5180E4DF">
      <w:pPr>
        <w:rPr>
          <w:rFonts w:hint="default" w:ascii="Times New Roman" w:hAnsi="Times New Roman" w:cs="Times New Roman"/>
          <w:highlight w:val="none"/>
        </w:rPr>
      </w:pPr>
    </w:p>
    <w:p w14:paraId="25ECC923">
      <w:pPr>
        <w:rPr>
          <w:rFonts w:hint="default" w:ascii="Times New Roman" w:hAnsi="Times New Roman" w:cs="Times New Roman"/>
          <w:highlight w:val="none"/>
        </w:rPr>
      </w:pPr>
    </w:p>
    <w:p w14:paraId="37FBFA6C">
      <w:pPr>
        <w:spacing w:line="360" w:lineRule="auto"/>
        <w:jc w:val="center"/>
        <w:outlineLvl w:val="9"/>
        <w:rPr>
          <w:rFonts w:hint="default" w:ascii="Times New Roman" w:hAnsi="Times New Roman" w:cs="Times New Roman"/>
          <w:b/>
          <w:sz w:val="72"/>
          <w:szCs w:val="72"/>
          <w:highlight w:val="none"/>
        </w:rPr>
      </w:pPr>
    </w:p>
    <w:p w14:paraId="7A39537A">
      <w:pPr>
        <w:jc w:val="center"/>
        <w:rPr>
          <w:rFonts w:hint="default" w:ascii="Times New Roman" w:hAnsi="Times New Roman" w:cs="Times New Roman"/>
          <w:i/>
          <w:color w:val="0070C0"/>
          <w:sz w:val="24"/>
          <w:szCs w:val="24"/>
          <w:highlight w:val="none"/>
        </w:rPr>
      </w:pPr>
    </w:p>
    <w:p w14:paraId="55C9392F">
      <w:pPr>
        <w:spacing w:line="360" w:lineRule="auto"/>
        <w:ind w:left="-27" w:leftChars="-85" w:right="-300" w:rightChars="-125" w:hanging="177" w:hangingChars="34"/>
        <w:jc w:val="center"/>
        <w:rPr>
          <w:rFonts w:hint="default" w:ascii="Times New Roman" w:hAnsi="Times New Roman" w:cs="Times New Roman"/>
          <w:b/>
          <w:sz w:val="52"/>
          <w:szCs w:val="52"/>
          <w:highlight w:val="none"/>
        </w:rPr>
      </w:pPr>
    </w:p>
    <w:p w14:paraId="5189C91A">
      <w:pPr>
        <w:spacing w:line="360" w:lineRule="auto"/>
        <w:jc w:val="center"/>
        <w:rPr>
          <w:rFonts w:hint="default" w:ascii="Times New Roman" w:hAnsi="Times New Roman" w:eastAsia="楷体_GB2312" w:cs="Times New Roman"/>
          <w:sz w:val="32"/>
          <w:szCs w:val="32"/>
          <w:highlight w:val="none"/>
        </w:rPr>
      </w:pPr>
    </w:p>
    <w:p w14:paraId="68E15D6E">
      <w:pPr>
        <w:spacing w:line="360" w:lineRule="auto"/>
        <w:jc w:val="center"/>
        <w:rPr>
          <w:rFonts w:hint="default" w:ascii="Times New Roman" w:hAnsi="Times New Roman" w:eastAsia="楷体_GB2312" w:cs="Times New Roman"/>
          <w:sz w:val="32"/>
          <w:szCs w:val="32"/>
          <w:highlight w:val="none"/>
        </w:rPr>
      </w:pPr>
    </w:p>
    <w:p w14:paraId="22D0B553">
      <w:pPr>
        <w:pStyle w:val="2"/>
        <w:rPr>
          <w:rFonts w:hint="default" w:ascii="Times New Roman" w:hAnsi="Times New Roman" w:eastAsia="楷体_GB2312" w:cs="Times New Roman"/>
          <w:sz w:val="32"/>
          <w:szCs w:val="32"/>
          <w:highlight w:val="none"/>
        </w:rPr>
      </w:pPr>
    </w:p>
    <w:p w14:paraId="0A938190">
      <w:pPr>
        <w:rPr>
          <w:rFonts w:hint="default" w:ascii="Times New Roman" w:hAnsi="Times New Roman" w:eastAsia="楷体_GB2312" w:cs="Times New Roman"/>
          <w:sz w:val="32"/>
          <w:szCs w:val="32"/>
          <w:highlight w:val="none"/>
        </w:rPr>
      </w:pPr>
    </w:p>
    <w:p w14:paraId="57C9DCC3">
      <w:pPr>
        <w:pStyle w:val="2"/>
        <w:rPr>
          <w:rFonts w:hint="default" w:ascii="Times New Roman" w:hAnsi="Times New Roman" w:eastAsia="楷体_GB2312" w:cs="Times New Roman"/>
          <w:sz w:val="32"/>
          <w:szCs w:val="32"/>
          <w:highlight w:val="none"/>
        </w:rPr>
      </w:pPr>
    </w:p>
    <w:p w14:paraId="419D287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b/>
          <w:sz w:val="36"/>
          <w:szCs w:val="36"/>
          <w:highlight w:val="none"/>
          <w:lang w:val="en-US" w:eastAsia="zh-CN"/>
        </w:rPr>
      </w:pPr>
      <w:r>
        <w:rPr>
          <w:rFonts w:hint="default" w:ascii="Times New Roman" w:hAnsi="Times New Roman" w:cs="Times New Roman"/>
          <w:b/>
          <w:sz w:val="36"/>
          <w:szCs w:val="36"/>
          <w:highlight w:val="none"/>
          <w:lang w:val="en-US" w:eastAsia="zh-CN"/>
        </w:rPr>
        <w:t>广州</w:t>
      </w:r>
      <w:r>
        <w:rPr>
          <w:rFonts w:hint="eastAsia" w:cs="Times New Roman"/>
          <w:b/>
          <w:sz w:val="36"/>
          <w:szCs w:val="36"/>
          <w:highlight w:val="none"/>
          <w:lang w:val="en-US" w:eastAsia="zh-CN"/>
        </w:rPr>
        <w:t>启鸣数智能源科技有限责任公司</w:t>
      </w:r>
    </w:p>
    <w:p w14:paraId="755CA6C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b/>
          <w:sz w:val="36"/>
          <w:szCs w:val="36"/>
          <w:highlight w:val="none"/>
        </w:rPr>
      </w:pPr>
      <w:r>
        <w:rPr>
          <w:rFonts w:hint="default" w:ascii="Times New Roman" w:hAnsi="Times New Roman" w:cs="Times New Roman"/>
          <w:b/>
          <w:sz w:val="36"/>
          <w:szCs w:val="36"/>
          <w:highlight w:val="none"/>
        </w:rPr>
        <w:t>20</w:t>
      </w:r>
      <w:r>
        <w:rPr>
          <w:rFonts w:hint="default" w:ascii="Times New Roman" w:hAnsi="Times New Roman" w:cs="Times New Roman"/>
          <w:b/>
          <w:sz w:val="36"/>
          <w:szCs w:val="36"/>
          <w:highlight w:val="none"/>
          <w:lang w:val="en-US" w:eastAsia="zh-CN"/>
        </w:rPr>
        <w:t>26</w:t>
      </w:r>
      <w:r>
        <w:rPr>
          <w:rFonts w:hint="default" w:ascii="Times New Roman" w:hAnsi="Times New Roman" w:cs="Times New Roman"/>
          <w:b/>
          <w:sz w:val="36"/>
          <w:szCs w:val="36"/>
          <w:highlight w:val="none"/>
        </w:rPr>
        <w:t>年</w:t>
      </w:r>
      <w:r>
        <w:rPr>
          <w:rFonts w:hint="eastAsia" w:cs="Times New Roman"/>
          <w:b/>
          <w:sz w:val="36"/>
          <w:szCs w:val="36"/>
          <w:highlight w:val="none"/>
          <w:lang w:val="en-US" w:eastAsia="zh-CN"/>
        </w:rPr>
        <w:t>6</w:t>
      </w:r>
      <w:r>
        <w:rPr>
          <w:rFonts w:hint="default" w:ascii="Times New Roman" w:hAnsi="Times New Roman" w:cs="Times New Roman"/>
          <w:b/>
          <w:sz w:val="36"/>
          <w:szCs w:val="36"/>
          <w:highlight w:val="none"/>
        </w:rPr>
        <w:t>月</w:t>
      </w:r>
    </w:p>
    <w:p w14:paraId="006F5C41">
      <w:pPr>
        <w:widowControl w:val="0"/>
        <w:numPr>
          <w:ilvl w:val="0"/>
          <w:numId w:val="1"/>
        </w:numPr>
        <w:tabs>
          <w:tab w:val="left" w:pos="312"/>
          <w:tab w:val="clear" w:pos="420"/>
        </w:tabs>
        <w:jc w:val="both"/>
        <w:rPr>
          <w:rFonts w:hint="default" w:ascii="Times New Roman" w:hAnsi="Times New Roman" w:cs="Times New Roman"/>
          <w:b/>
          <w:bCs/>
          <w:sz w:val="28"/>
          <w:szCs w:val="28"/>
          <w:highlight w:val="none"/>
          <w:lang w:val="en-US" w:eastAsia="zh-CN"/>
        </w:rPr>
        <w:sectPr>
          <w:pgSz w:w="11906" w:h="16838"/>
          <w:pgMar w:top="1440" w:right="1800" w:bottom="1440" w:left="1800" w:header="851" w:footer="992" w:gutter="0"/>
          <w:pgNumType w:fmt="decimal"/>
          <w:cols w:space="425" w:num="1"/>
          <w:docGrid w:type="lines" w:linePitch="312" w:charSpace="0"/>
        </w:sectPr>
      </w:pPr>
    </w:p>
    <w:p w14:paraId="199AFC79">
      <w:pPr>
        <w:ind w:firstLine="643" w:firstLineChars="200"/>
        <w:outlineLvl w:val="0"/>
        <w:rPr>
          <w:rFonts w:hint="default" w:ascii="Times New Roman" w:hAnsi="Times New Roman" w:eastAsia="宋体" w:cs="Times New Roman"/>
          <w:b/>
          <w:bCs/>
          <w:sz w:val="32"/>
          <w:szCs w:val="32"/>
          <w:lang w:val="en-US"/>
        </w:rPr>
      </w:pPr>
      <w:r>
        <w:rPr>
          <w:rFonts w:hint="default" w:ascii="Times New Roman" w:hAnsi="Times New Roman" w:eastAsia="宋体" w:cs="Times New Roman"/>
          <w:b/>
          <w:bCs/>
          <w:sz w:val="32"/>
          <w:szCs w:val="32"/>
        </w:rPr>
        <w:t>一、</w:t>
      </w:r>
      <w:r>
        <w:rPr>
          <w:rFonts w:hint="eastAsia" w:cs="Times New Roman"/>
          <w:b/>
          <w:bCs/>
          <w:sz w:val="32"/>
          <w:szCs w:val="32"/>
          <w:lang w:val="en-US" w:eastAsia="zh-CN"/>
        </w:rPr>
        <w:t>项目概况</w:t>
      </w:r>
    </w:p>
    <w:p w14:paraId="659390F8">
      <w:pPr>
        <w:ind w:firstLine="560" w:firstLineChars="200"/>
        <w:rPr>
          <w:rFonts w:hint="default" w:ascii="Times New Roman" w:hAnsi="Times New Roman" w:eastAsia="宋体" w:cs="Times New Roman"/>
          <w:b w:val="0"/>
          <w:bCs w:val="0"/>
          <w:sz w:val="28"/>
          <w:szCs w:val="28"/>
          <w:lang w:val="en-US" w:eastAsia="zh-CN"/>
        </w:rPr>
      </w:pPr>
      <w:r>
        <w:rPr>
          <w:rFonts w:hint="default" w:ascii="Times New Roman" w:hAnsi="Times New Roman" w:eastAsia="宋体" w:cs="Times New Roman"/>
          <w:b w:val="0"/>
          <w:bCs w:val="0"/>
          <w:sz w:val="28"/>
          <w:szCs w:val="28"/>
          <w:lang w:val="en-US" w:eastAsia="zh-CN"/>
        </w:rPr>
        <w:t>为满足公司</w:t>
      </w:r>
      <w:r>
        <w:rPr>
          <w:rFonts w:hint="eastAsia" w:cs="Times New Roman"/>
          <w:b w:val="0"/>
          <w:bCs w:val="0"/>
          <w:sz w:val="28"/>
          <w:szCs w:val="28"/>
          <w:lang w:val="en-US" w:eastAsia="zh-CN"/>
        </w:rPr>
        <w:t>贸易业务专项审计</w:t>
      </w:r>
      <w:r>
        <w:rPr>
          <w:rFonts w:hint="default" w:ascii="Times New Roman" w:hAnsi="Times New Roman" w:eastAsia="宋体" w:cs="Times New Roman"/>
          <w:b w:val="0"/>
          <w:bCs w:val="0"/>
          <w:sz w:val="28"/>
          <w:szCs w:val="28"/>
          <w:lang w:val="en-US" w:eastAsia="zh-CN"/>
        </w:rPr>
        <w:t>要求，需要对广州启鸣数智能源科技有限</w:t>
      </w:r>
      <w:r>
        <w:rPr>
          <w:rFonts w:hint="eastAsia" w:cs="Times New Roman"/>
          <w:b w:val="0"/>
          <w:bCs w:val="0"/>
          <w:sz w:val="28"/>
          <w:szCs w:val="28"/>
          <w:lang w:val="en-US" w:eastAsia="zh-CN"/>
        </w:rPr>
        <w:t>责任</w:t>
      </w:r>
      <w:r>
        <w:rPr>
          <w:rFonts w:hint="default" w:ascii="Times New Roman" w:hAnsi="Times New Roman" w:eastAsia="宋体" w:cs="Times New Roman"/>
          <w:b w:val="0"/>
          <w:bCs w:val="0"/>
          <w:sz w:val="28"/>
          <w:szCs w:val="28"/>
          <w:lang w:val="en-US" w:eastAsia="zh-CN"/>
        </w:rPr>
        <w:t>公司（以下简称“采购人”）引入第三方专业机构，聚焦贸易业务内控设计、执行有效性及潜在风险点，开展独立审计与合规指导，借助外部视角精准识别管理盲区并要求出具审计报告并提供整改建议，以提升贸易业务风险防控能力。</w:t>
      </w:r>
    </w:p>
    <w:p w14:paraId="491788B0">
      <w:pPr>
        <w:ind w:firstLine="643" w:firstLineChars="200"/>
        <w:outlineLvl w:val="0"/>
        <w:rPr>
          <w:rFonts w:hint="default" w:ascii="Times New Roman" w:hAnsi="Times New Roman" w:eastAsia="宋体" w:cs="Times New Roman"/>
          <w:b/>
          <w:bCs/>
          <w:sz w:val="32"/>
          <w:szCs w:val="32"/>
          <w:lang w:val="en-US" w:eastAsia="zh-CN"/>
        </w:rPr>
      </w:pPr>
      <w:r>
        <w:rPr>
          <w:rFonts w:hint="default" w:ascii="Times New Roman" w:hAnsi="Times New Roman" w:eastAsia="宋体" w:cs="Times New Roman"/>
          <w:b/>
          <w:bCs/>
          <w:sz w:val="32"/>
          <w:szCs w:val="32"/>
          <w:lang w:val="en-US" w:eastAsia="zh-CN"/>
        </w:rPr>
        <w:t>二、服务</w:t>
      </w:r>
      <w:r>
        <w:rPr>
          <w:rFonts w:hint="eastAsia" w:cs="Times New Roman"/>
          <w:b/>
          <w:bCs/>
          <w:sz w:val="32"/>
          <w:szCs w:val="32"/>
          <w:lang w:val="en-US" w:eastAsia="zh-CN"/>
        </w:rPr>
        <w:t>范围</w:t>
      </w:r>
    </w:p>
    <w:p w14:paraId="4BB0090B">
      <w:pPr>
        <w:ind w:firstLine="560" w:firstLineChars="200"/>
        <w:rPr>
          <w:rFonts w:hint="eastAsia" w:cs="Times New Roman"/>
          <w:sz w:val="28"/>
          <w:szCs w:val="28"/>
          <w:lang w:val="en-US" w:eastAsia="zh-CN"/>
        </w:rPr>
      </w:pPr>
      <w:r>
        <w:rPr>
          <w:rFonts w:hint="default" w:cs="Times New Roman"/>
          <w:sz w:val="28"/>
          <w:szCs w:val="28"/>
          <w:lang w:val="en-US" w:eastAsia="zh-CN"/>
        </w:rPr>
        <w:t>供应商</w:t>
      </w:r>
      <w:r>
        <w:rPr>
          <w:rFonts w:hint="default" w:ascii="Times New Roman" w:hAnsi="Times New Roman" w:eastAsia="宋体" w:cs="Times New Roman"/>
          <w:sz w:val="28"/>
          <w:szCs w:val="28"/>
        </w:rPr>
        <w:t>应对采购人</w:t>
      </w:r>
      <w:r>
        <w:rPr>
          <w:rFonts w:hint="eastAsia" w:cs="Times New Roman"/>
          <w:sz w:val="28"/>
          <w:szCs w:val="28"/>
          <w:lang w:val="en-US" w:eastAsia="zh-CN"/>
        </w:rPr>
        <w:t>要求具体工作内容如下：</w:t>
      </w:r>
    </w:p>
    <w:p w14:paraId="19F512AD">
      <w:pPr>
        <w:ind w:firstLine="560" w:firstLineChars="200"/>
        <w:rPr>
          <w:rFonts w:hint="eastAsia" w:cs="Times New Roman"/>
          <w:sz w:val="28"/>
          <w:szCs w:val="28"/>
          <w:lang w:val="en-US" w:eastAsia="zh-CN"/>
        </w:rPr>
      </w:pPr>
      <w:r>
        <w:rPr>
          <w:rFonts w:hint="eastAsia" w:cs="Times New Roman"/>
          <w:sz w:val="28"/>
          <w:szCs w:val="28"/>
          <w:lang w:val="en-US" w:eastAsia="zh-CN"/>
        </w:rPr>
        <w:t>1.检视内控设计：对照国资委、南方电网、储能公司贸易相关制度要求，全面评估检查启鸣数智</w:t>
      </w:r>
      <w:bookmarkStart w:id="0" w:name="_GoBack"/>
      <w:bookmarkEnd w:id="0"/>
      <w:r>
        <w:rPr>
          <w:rFonts w:hint="eastAsia" w:cs="Times New Roman"/>
          <w:sz w:val="28"/>
          <w:szCs w:val="28"/>
          <w:lang w:val="en-US" w:eastAsia="zh-CN"/>
        </w:rPr>
        <w:t>公司贸易内控指导书的合理性，检查贸易内控执行的相关表单格式的合理性。</w:t>
      </w:r>
    </w:p>
    <w:p w14:paraId="7A7D7B42">
      <w:pPr>
        <w:ind w:firstLine="560" w:firstLineChars="200"/>
        <w:rPr>
          <w:rFonts w:hint="eastAsia" w:cs="Times New Roman"/>
          <w:sz w:val="28"/>
          <w:szCs w:val="28"/>
          <w:lang w:val="en-US" w:eastAsia="zh-CN"/>
        </w:rPr>
      </w:pPr>
      <w:r>
        <w:rPr>
          <w:rFonts w:hint="eastAsia" w:cs="Times New Roman"/>
          <w:sz w:val="28"/>
          <w:szCs w:val="28"/>
          <w:lang w:val="en-US" w:eastAsia="zh-CN"/>
        </w:rPr>
        <w:t>2.识别潜在风险点：梳理约25个贸易业务合同清单，检查以往贸易业务的合规性、有效性，重点排查项目立项、投标、采购、合同订立、货权转移、资金收付等环节的隐患。</w:t>
      </w:r>
    </w:p>
    <w:p w14:paraId="037AECFF">
      <w:pPr>
        <w:ind w:firstLine="560" w:firstLineChars="200"/>
        <w:rPr>
          <w:rFonts w:hint="eastAsia" w:cs="Times New Roman"/>
          <w:sz w:val="28"/>
          <w:szCs w:val="28"/>
          <w:lang w:val="en-US" w:eastAsia="zh-CN"/>
        </w:rPr>
      </w:pPr>
      <w:r>
        <w:rPr>
          <w:rFonts w:hint="eastAsia" w:cs="Times New Roman"/>
          <w:sz w:val="28"/>
          <w:szCs w:val="28"/>
          <w:lang w:val="en-US" w:eastAsia="zh-CN"/>
        </w:rPr>
        <w:t>3.验证执行有效性：通过抽样等方式检验关键控制活动在实际操作中是否得到有效执行。</w:t>
      </w:r>
    </w:p>
    <w:p w14:paraId="2E6CD1BB">
      <w:pPr>
        <w:ind w:firstLine="560" w:firstLineChars="200"/>
        <w:rPr>
          <w:rFonts w:hint="default" w:ascii="Times New Roman" w:hAnsi="Times New Roman" w:eastAsia="宋体" w:cs="Times New Roman"/>
          <w:sz w:val="28"/>
          <w:szCs w:val="28"/>
        </w:rPr>
      </w:pPr>
      <w:r>
        <w:rPr>
          <w:rFonts w:hint="eastAsia" w:cs="Times New Roman"/>
          <w:sz w:val="28"/>
          <w:szCs w:val="28"/>
          <w:lang w:val="en-US" w:eastAsia="zh-CN"/>
        </w:rPr>
        <w:t>4.提供整改指导：出具检查审计报告，并配套提出提出可落地的内控优化建议与合规整改方案。</w:t>
      </w:r>
    </w:p>
    <w:p w14:paraId="6E758AD2">
      <w:pPr>
        <w:ind w:firstLine="643" w:firstLineChars="200"/>
        <w:outlineLvl w:val="0"/>
        <w:rPr>
          <w:rFonts w:hint="default" w:ascii="Times New Roman" w:hAnsi="Times New Roman" w:eastAsia="宋体" w:cs="Times New Roman"/>
          <w:b/>
          <w:bCs/>
          <w:sz w:val="32"/>
          <w:szCs w:val="32"/>
        </w:rPr>
      </w:pPr>
      <w:r>
        <w:rPr>
          <w:rFonts w:hint="default" w:ascii="Times New Roman" w:hAnsi="Times New Roman" w:cs="Times New Roman"/>
          <w:b/>
          <w:bCs/>
          <w:sz w:val="32"/>
          <w:szCs w:val="32"/>
          <w:lang w:val="en-US" w:eastAsia="zh-CN"/>
        </w:rPr>
        <w:t>三</w:t>
      </w:r>
      <w:r>
        <w:rPr>
          <w:rFonts w:hint="default" w:ascii="Times New Roman" w:hAnsi="Times New Roman" w:eastAsia="宋体" w:cs="Times New Roman"/>
          <w:b/>
          <w:bCs/>
          <w:sz w:val="32"/>
          <w:szCs w:val="32"/>
        </w:rPr>
        <w:t>、</w:t>
      </w:r>
      <w:r>
        <w:rPr>
          <w:rFonts w:hint="default" w:ascii="Times New Roman" w:hAnsi="Times New Roman" w:eastAsia="宋体" w:cs="Times New Roman"/>
          <w:b/>
          <w:bCs/>
          <w:sz w:val="32"/>
          <w:szCs w:val="32"/>
          <w:lang w:val="en-US" w:eastAsia="zh-CN"/>
        </w:rPr>
        <w:t>项目交付物及进度要求</w:t>
      </w:r>
      <w:r>
        <w:rPr>
          <w:rFonts w:hint="default" w:ascii="Times New Roman" w:hAnsi="Times New Roman" w:eastAsia="宋体" w:cs="Times New Roman"/>
          <w:b/>
          <w:bCs/>
          <w:sz w:val="32"/>
          <w:szCs w:val="32"/>
        </w:rPr>
        <w:t>：</w:t>
      </w:r>
    </w:p>
    <w:tbl>
      <w:tblPr>
        <w:tblStyle w:val="11"/>
        <w:tblW w:w="88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1"/>
        <w:gridCol w:w="3410"/>
        <w:gridCol w:w="2800"/>
        <w:gridCol w:w="1825"/>
      </w:tblGrid>
      <w:tr w14:paraId="11536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vAlign w:val="top"/>
          </w:tcPr>
          <w:p w14:paraId="4BB9F0AD">
            <w:pPr>
              <w:pStyle w:val="4"/>
              <w:numPr>
                <w:ilvl w:val="0"/>
                <w:numId w:val="0"/>
              </w:numPr>
              <w:bidi w:val="0"/>
              <w:jc w:val="center"/>
              <w:rPr>
                <w:rFonts w:hint="default"/>
                <w:b w:val="0"/>
                <w:bCs w:val="0"/>
                <w:sz w:val="21"/>
                <w:szCs w:val="21"/>
                <w:vertAlign w:val="baseline"/>
                <w:lang w:val="en-US" w:eastAsia="zh-CN"/>
              </w:rPr>
            </w:pPr>
            <w:r>
              <w:rPr>
                <w:rFonts w:hint="eastAsia"/>
                <w:b w:val="0"/>
                <w:bCs w:val="0"/>
                <w:sz w:val="21"/>
                <w:szCs w:val="21"/>
                <w:vertAlign w:val="baseline"/>
                <w:lang w:val="en-US" w:eastAsia="zh-CN"/>
              </w:rPr>
              <w:t>序号</w:t>
            </w:r>
          </w:p>
        </w:tc>
        <w:tc>
          <w:tcPr>
            <w:tcW w:w="3410" w:type="dxa"/>
            <w:vAlign w:val="top"/>
          </w:tcPr>
          <w:p w14:paraId="6ACB037A">
            <w:pPr>
              <w:pStyle w:val="4"/>
              <w:numPr>
                <w:ilvl w:val="0"/>
                <w:numId w:val="0"/>
              </w:numPr>
              <w:bidi w:val="0"/>
              <w:jc w:val="center"/>
              <w:rPr>
                <w:rFonts w:hint="default"/>
                <w:b w:val="0"/>
                <w:bCs w:val="0"/>
                <w:sz w:val="21"/>
                <w:szCs w:val="21"/>
                <w:vertAlign w:val="baseline"/>
                <w:lang w:val="en-US" w:eastAsia="zh-CN"/>
              </w:rPr>
            </w:pPr>
            <w:r>
              <w:rPr>
                <w:rFonts w:hint="eastAsia"/>
                <w:b w:val="0"/>
                <w:bCs w:val="0"/>
                <w:sz w:val="21"/>
                <w:szCs w:val="21"/>
                <w:vertAlign w:val="baseline"/>
                <w:lang w:val="en-US" w:eastAsia="zh-CN"/>
              </w:rPr>
              <w:t>交付物</w:t>
            </w:r>
          </w:p>
        </w:tc>
        <w:tc>
          <w:tcPr>
            <w:tcW w:w="2800" w:type="dxa"/>
            <w:vAlign w:val="top"/>
          </w:tcPr>
          <w:p w14:paraId="7E0CC060">
            <w:pPr>
              <w:pStyle w:val="4"/>
              <w:numPr>
                <w:ilvl w:val="0"/>
                <w:numId w:val="0"/>
              </w:numPr>
              <w:bidi w:val="0"/>
              <w:jc w:val="center"/>
              <w:rPr>
                <w:rFonts w:hint="default"/>
                <w:b w:val="0"/>
                <w:bCs w:val="0"/>
                <w:sz w:val="21"/>
                <w:szCs w:val="21"/>
                <w:vertAlign w:val="baseline"/>
                <w:lang w:val="en-US" w:eastAsia="zh-CN"/>
              </w:rPr>
            </w:pPr>
            <w:r>
              <w:rPr>
                <w:rFonts w:hint="eastAsia"/>
                <w:b w:val="0"/>
                <w:bCs w:val="0"/>
                <w:sz w:val="21"/>
                <w:szCs w:val="21"/>
                <w:vertAlign w:val="baseline"/>
                <w:lang w:val="en-US" w:eastAsia="zh-CN"/>
              </w:rPr>
              <w:t>完成时间</w:t>
            </w:r>
          </w:p>
        </w:tc>
        <w:tc>
          <w:tcPr>
            <w:tcW w:w="1825" w:type="dxa"/>
            <w:vAlign w:val="top"/>
          </w:tcPr>
          <w:p w14:paraId="57F351AC">
            <w:pPr>
              <w:pStyle w:val="4"/>
              <w:numPr>
                <w:ilvl w:val="0"/>
                <w:numId w:val="0"/>
              </w:numPr>
              <w:bidi w:val="0"/>
              <w:jc w:val="center"/>
              <w:rPr>
                <w:rFonts w:hint="default"/>
                <w:b w:val="0"/>
                <w:bCs w:val="0"/>
                <w:sz w:val="21"/>
                <w:szCs w:val="21"/>
                <w:vertAlign w:val="baseline"/>
                <w:lang w:val="en-US" w:eastAsia="zh-CN"/>
              </w:rPr>
            </w:pPr>
            <w:r>
              <w:rPr>
                <w:rFonts w:hint="eastAsia"/>
                <w:b w:val="0"/>
                <w:bCs w:val="0"/>
                <w:sz w:val="21"/>
                <w:szCs w:val="21"/>
                <w:vertAlign w:val="baseline"/>
                <w:lang w:val="en-US" w:eastAsia="zh-CN"/>
              </w:rPr>
              <w:t>交付形式</w:t>
            </w:r>
          </w:p>
        </w:tc>
      </w:tr>
      <w:tr w14:paraId="54941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vAlign w:val="center"/>
          </w:tcPr>
          <w:p w14:paraId="053179B3">
            <w:pPr>
              <w:pStyle w:val="4"/>
              <w:numPr>
                <w:ilvl w:val="0"/>
                <w:numId w:val="0"/>
              </w:numPr>
              <w:bidi w:val="0"/>
              <w:jc w:val="center"/>
              <w:rPr>
                <w:rFonts w:hint="default"/>
                <w:b w:val="0"/>
                <w:bCs w:val="0"/>
                <w:sz w:val="21"/>
                <w:szCs w:val="21"/>
                <w:vertAlign w:val="baseline"/>
                <w:lang w:val="en-US" w:eastAsia="zh-CN"/>
              </w:rPr>
            </w:pPr>
            <w:r>
              <w:rPr>
                <w:rFonts w:hint="eastAsia"/>
                <w:b w:val="0"/>
                <w:bCs w:val="0"/>
                <w:sz w:val="21"/>
                <w:szCs w:val="21"/>
                <w:vertAlign w:val="baseline"/>
                <w:lang w:val="en-US" w:eastAsia="zh-CN"/>
              </w:rPr>
              <w:t>1</w:t>
            </w:r>
          </w:p>
        </w:tc>
        <w:tc>
          <w:tcPr>
            <w:tcW w:w="3410" w:type="dxa"/>
            <w:vAlign w:val="top"/>
          </w:tcPr>
          <w:p w14:paraId="4C24C692">
            <w:pPr>
              <w:pStyle w:val="4"/>
              <w:numPr>
                <w:ilvl w:val="0"/>
                <w:numId w:val="0"/>
              </w:numPr>
              <w:bidi w:val="0"/>
              <w:jc w:val="left"/>
              <w:rPr>
                <w:rFonts w:hint="default"/>
                <w:b w:val="0"/>
                <w:bCs w:val="0"/>
                <w:sz w:val="21"/>
                <w:szCs w:val="21"/>
                <w:vertAlign w:val="baseline"/>
                <w:lang w:val="en-US" w:eastAsia="zh-CN"/>
              </w:rPr>
            </w:pPr>
            <w:r>
              <w:rPr>
                <w:rFonts w:hint="eastAsia"/>
                <w:b w:val="0"/>
                <w:bCs w:val="0"/>
                <w:sz w:val="21"/>
                <w:szCs w:val="21"/>
                <w:vertAlign w:val="baseline"/>
                <w:lang w:val="en-US" w:eastAsia="zh-CN"/>
              </w:rPr>
              <w:t>问题清单</w:t>
            </w:r>
          </w:p>
        </w:tc>
        <w:tc>
          <w:tcPr>
            <w:tcW w:w="2800" w:type="dxa"/>
            <w:vAlign w:val="center"/>
          </w:tcPr>
          <w:p w14:paraId="6B393A5F">
            <w:pPr>
              <w:pStyle w:val="4"/>
              <w:numPr>
                <w:ilvl w:val="0"/>
                <w:numId w:val="0"/>
              </w:numPr>
              <w:bidi w:val="0"/>
              <w:jc w:val="center"/>
              <w:rPr>
                <w:rFonts w:hint="default"/>
                <w:b w:val="0"/>
                <w:bCs w:val="0"/>
                <w:sz w:val="21"/>
                <w:szCs w:val="21"/>
                <w:vertAlign w:val="baseline"/>
                <w:lang w:val="en-US" w:eastAsia="zh-CN"/>
              </w:rPr>
            </w:pPr>
            <w:r>
              <w:rPr>
                <w:rFonts w:hint="default"/>
                <w:b w:val="0"/>
                <w:bCs w:val="0"/>
                <w:sz w:val="21"/>
                <w:szCs w:val="21"/>
                <w:vertAlign w:val="baseline"/>
                <w:lang w:val="en-US" w:eastAsia="zh-CN"/>
              </w:rPr>
              <w:t>合同签订后</w:t>
            </w:r>
            <w:r>
              <w:rPr>
                <w:rFonts w:hint="eastAsia"/>
                <w:b w:val="0"/>
                <w:bCs w:val="0"/>
                <w:sz w:val="21"/>
                <w:szCs w:val="21"/>
                <w:vertAlign w:val="baseline"/>
                <w:lang w:val="en-US" w:eastAsia="zh-CN"/>
              </w:rPr>
              <w:t>15</w:t>
            </w:r>
            <w:r>
              <w:rPr>
                <w:rFonts w:hint="default"/>
                <w:b w:val="0"/>
                <w:bCs w:val="0"/>
                <w:sz w:val="21"/>
                <w:szCs w:val="21"/>
                <w:vertAlign w:val="baseline"/>
                <w:lang w:val="en-US" w:eastAsia="zh-CN"/>
              </w:rPr>
              <w:t>个工作日内</w:t>
            </w:r>
          </w:p>
        </w:tc>
        <w:tc>
          <w:tcPr>
            <w:tcW w:w="1825" w:type="dxa"/>
            <w:vAlign w:val="center"/>
          </w:tcPr>
          <w:p w14:paraId="2B57A907">
            <w:pPr>
              <w:pStyle w:val="4"/>
              <w:numPr>
                <w:ilvl w:val="0"/>
                <w:numId w:val="0"/>
              </w:numPr>
              <w:bidi w:val="0"/>
              <w:jc w:val="center"/>
              <w:rPr>
                <w:rFonts w:hint="eastAsia"/>
                <w:b w:val="0"/>
                <w:bCs w:val="0"/>
                <w:sz w:val="21"/>
                <w:szCs w:val="21"/>
                <w:vertAlign w:val="baseline"/>
                <w:lang w:val="en-US" w:eastAsia="zh-CN"/>
              </w:rPr>
            </w:pPr>
            <w:r>
              <w:rPr>
                <w:rFonts w:hint="eastAsia"/>
                <w:b w:val="0"/>
                <w:bCs w:val="0"/>
                <w:sz w:val="21"/>
                <w:szCs w:val="21"/>
                <w:vertAlign w:val="baseline"/>
                <w:lang w:val="en-US" w:eastAsia="zh-CN"/>
              </w:rPr>
              <w:t>电子版</w:t>
            </w:r>
          </w:p>
        </w:tc>
      </w:tr>
      <w:tr w14:paraId="55DC5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vAlign w:val="center"/>
          </w:tcPr>
          <w:p w14:paraId="445CAB4D">
            <w:pPr>
              <w:pStyle w:val="4"/>
              <w:numPr>
                <w:ilvl w:val="0"/>
                <w:numId w:val="0"/>
              </w:numPr>
              <w:bidi w:val="0"/>
              <w:jc w:val="center"/>
              <w:rPr>
                <w:rFonts w:hint="default"/>
                <w:b w:val="0"/>
                <w:bCs w:val="0"/>
                <w:sz w:val="21"/>
                <w:szCs w:val="21"/>
                <w:vertAlign w:val="baseline"/>
                <w:lang w:val="en-US" w:eastAsia="zh-CN"/>
              </w:rPr>
            </w:pPr>
            <w:r>
              <w:rPr>
                <w:rFonts w:hint="eastAsia"/>
                <w:b w:val="0"/>
                <w:bCs w:val="0"/>
                <w:sz w:val="21"/>
                <w:szCs w:val="21"/>
                <w:vertAlign w:val="baseline"/>
                <w:lang w:val="en-US" w:eastAsia="zh-CN"/>
              </w:rPr>
              <w:t>2</w:t>
            </w:r>
          </w:p>
        </w:tc>
        <w:tc>
          <w:tcPr>
            <w:tcW w:w="3410" w:type="dxa"/>
            <w:vAlign w:val="top"/>
          </w:tcPr>
          <w:p w14:paraId="30FF4AA2">
            <w:pPr>
              <w:pStyle w:val="4"/>
              <w:numPr>
                <w:ilvl w:val="0"/>
                <w:numId w:val="0"/>
              </w:numPr>
              <w:bidi w:val="0"/>
              <w:jc w:val="left"/>
              <w:rPr>
                <w:rFonts w:hint="default"/>
                <w:b w:val="0"/>
                <w:bCs w:val="0"/>
                <w:sz w:val="21"/>
                <w:szCs w:val="21"/>
                <w:vertAlign w:val="baseline"/>
                <w:lang w:val="en-US" w:eastAsia="zh-CN"/>
              </w:rPr>
            </w:pPr>
            <w:r>
              <w:rPr>
                <w:rFonts w:hint="eastAsia"/>
                <w:b w:val="0"/>
                <w:bCs w:val="0"/>
                <w:sz w:val="21"/>
                <w:szCs w:val="21"/>
                <w:vertAlign w:val="baseline"/>
                <w:lang w:val="en-US" w:eastAsia="zh-CN"/>
              </w:rPr>
              <w:t>专项贸易审计报告正本及副本</w:t>
            </w:r>
          </w:p>
        </w:tc>
        <w:tc>
          <w:tcPr>
            <w:tcW w:w="2800" w:type="dxa"/>
            <w:vAlign w:val="center"/>
          </w:tcPr>
          <w:p w14:paraId="25C937CB">
            <w:pPr>
              <w:pStyle w:val="4"/>
              <w:numPr>
                <w:ilvl w:val="0"/>
                <w:numId w:val="0"/>
              </w:numPr>
              <w:bidi w:val="0"/>
              <w:jc w:val="center"/>
              <w:rPr>
                <w:rFonts w:hint="default"/>
                <w:b w:val="0"/>
                <w:bCs w:val="0"/>
                <w:sz w:val="21"/>
                <w:szCs w:val="21"/>
                <w:vertAlign w:val="baseline"/>
                <w:lang w:val="en-US" w:eastAsia="zh-CN"/>
              </w:rPr>
            </w:pPr>
            <w:r>
              <w:rPr>
                <w:rFonts w:hint="default"/>
                <w:b w:val="0"/>
                <w:bCs w:val="0"/>
                <w:sz w:val="21"/>
                <w:szCs w:val="21"/>
                <w:vertAlign w:val="baseline"/>
                <w:lang w:val="en-US" w:eastAsia="zh-CN"/>
              </w:rPr>
              <w:t>合同签订后</w:t>
            </w:r>
            <w:r>
              <w:rPr>
                <w:rFonts w:hint="eastAsia"/>
                <w:b w:val="0"/>
                <w:bCs w:val="0"/>
                <w:sz w:val="21"/>
                <w:szCs w:val="21"/>
                <w:vertAlign w:val="baseline"/>
                <w:lang w:val="en-US" w:eastAsia="zh-CN"/>
              </w:rPr>
              <w:t>1</w:t>
            </w:r>
            <w:r>
              <w:rPr>
                <w:rFonts w:hint="default"/>
                <w:b w:val="0"/>
                <w:bCs w:val="0"/>
                <w:sz w:val="21"/>
                <w:szCs w:val="21"/>
                <w:vertAlign w:val="baseline"/>
                <w:lang w:val="en-US" w:eastAsia="zh-CN"/>
              </w:rPr>
              <w:t>个</w:t>
            </w:r>
            <w:r>
              <w:rPr>
                <w:rFonts w:hint="eastAsia"/>
                <w:b w:val="0"/>
                <w:bCs w:val="0"/>
                <w:sz w:val="21"/>
                <w:szCs w:val="21"/>
                <w:vertAlign w:val="baseline"/>
                <w:lang w:val="en-US" w:eastAsia="zh-CN"/>
              </w:rPr>
              <w:t>月</w:t>
            </w:r>
            <w:r>
              <w:rPr>
                <w:rFonts w:hint="default"/>
                <w:b w:val="0"/>
                <w:bCs w:val="0"/>
                <w:sz w:val="21"/>
                <w:szCs w:val="21"/>
                <w:vertAlign w:val="baseline"/>
                <w:lang w:val="en-US" w:eastAsia="zh-CN"/>
              </w:rPr>
              <w:t>内</w:t>
            </w:r>
          </w:p>
        </w:tc>
        <w:tc>
          <w:tcPr>
            <w:tcW w:w="1825" w:type="dxa"/>
            <w:vAlign w:val="center"/>
          </w:tcPr>
          <w:p w14:paraId="05669DAE">
            <w:pPr>
              <w:pStyle w:val="4"/>
              <w:numPr>
                <w:ilvl w:val="0"/>
                <w:numId w:val="0"/>
              </w:numPr>
              <w:bidi w:val="0"/>
              <w:jc w:val="center"/>
              <w:rPr>
                <w:rFonts w:hint="default"/>
                <w:b w:val="0"/>
                <w:bCs w:val="0"/>
                <w:sz w:val="21"/>
                <w:szCs w:val="21"/>
                <w:vertAlign w:val="baseline"/>
                <w:lang w:val="en-US" w:eastAsia="zh-CN"/>
              </w:rPr>
            </w:pPr>
            <w:r>
              <w:rPr>
                <w:rFonts w:hint="eastAsia"/>
                <w:b w:val="0"/>
                <w:bCs w:val="0"/>
                <w:sz w:val="21"/>
                <w:szCs w:val="21"/>
                <w:vertAlign w:val="baseline"/>
                <w:lang w:val="en-US" w:eastAsia="zh-CN"/>
              </w:rPr>
              <w:t>纸质版+电子版</w:t>
            </w:r>
          </w:p>
        </w:tc>
      </w:tr>
      <w:tr w14:paraId="1176B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vAlign w:val="center"/>
          </w:tcPr>
          <w:p w14:paraId="71E661D8">
            <w:pPr>
              <w:pStyle w:val="4"/>
              <w:numPr>
                <w:ilvl w:val="0"/>
                <w:numId w:val="0"/>
              </w:numPr>
              <w:bidi w:val="0"/>
              <w:jc w:val="center"/>
              <w:rPr>
                <w:rFonts w:hint="default"/>
                <w:b w:val="0"/>
                <w:bCs w:val="0"/>
                <w:sz w:val="21"/>
                <w:szCs w:val="21"/>
                <w:vertAlign w:val="baseline"/>
                <w:lang w:val="en-US" w:eastAsia="zh-CN"/>
              </w:rPr>
            </w:pPr>
            <w:r>
              <w:rPr>
                <w:rFonts w:hint="eastAsia"/>
                <w:b w:val="0"/>
                <w:bCs w:val="0"/>
                <w:sz w:val="21"/>
                <w:szCs w:val="21"/>
                <w:vertAlign w:val="baseline"/>
                <w:lang w:val="en-US" w:eastAsia="zh-CN"/>
              </w:rPr>
              <w:t>3</w:t>
            </w:r>
          </w:p>
        </w:tc>
        <w:tc>
          <w:tcPr>
            <w:tcW w:w="3410" w:type="dxa"/>
            <w:vAlign w:val="center"/>
          </w:tcPr>
          <w:p w14:paraId="2B4A6CA3">
            <w:pPr>
              <w:pStyle w:val="4"/>
              <w:numPr>
                <w:ilvl w:val="0"/>
                <w:numId w:val="0"/>
              </w:numPr>
              <w:bidi w:val="0"/>
              <w:jc w:val="left"/>
              <w:rPr>
                <w:rFonts w:hint="default"/>
                <w:b w:val="0"/>
                <w:bCs w:val="0"/>
                <w:sz w:val="21"/>
                <w:szCs w:val="21"/>
                <w:vertAlign w:val="baseline"/>
                <w:lang w:val="en-US" w:eastAsia="zh-CN"/>
              </w:rPr>
            </w:pPr>
            <w:r>
              <w:rPr>
                <w:rFonts w:hint="eastAsia"/>
                <w:b w:val="0"/>
                <w:bCs w:val="0"/>
                <w:sz w:val="21"/>
                <w:szCs w:val="21"/>
                <w:vertAlign w:val="baseline"/>
                <w:lang w:val="en-US" w:eastAsia="zh-CN"/>
              </w:rPr>
              <w:t>内控优化建议与合规整改方案</w:t>
            </w:r>
          </w:p>
        </w:tc>
        <w:tc>
          <w:tcPr>
            <w:tcW w:w="2800" w:type="dxa"/>
            <w:vAlign w:val="center"/>
          </w:tcPr>
          <w:p w14:paraId="4BC3FBD1">
            <w:pPr>
              <w:pStyle w:val="4"/>
              <w:numPr>
                <w:ilvl w:val="0"/>
                <w:numId w:val="0"/>
              </w:numPr>
              <w:bidi w:val="0"/>
              <w:jc w:val="center"/>
              <w:rPr>
                <w:rFonts w:hint="default"/>
                <w:b w:val="0"/>
                <w:bCs w:val="0"/>
                <w:sz w:val="21"/>
                <w:szCs w:val="21"/>
                <w:vertAlign w:val="baseline"/>
                <w:lang w:val="en-US" w:eastAsia="zh-CN"/>
              </w:rPr>
            </w:pPr>
            <w:r>
              <w:rPr>
                <w:rFonts w:hint="default"/>
                <w:b w:val="0"/>
                <w:bCs w:val="0"/>
                <w:sz w:val="21"/>
                <w:szCs w:val="21"/>
                <w:vertAlign w:val="baseline"/>
                <w:lang w:val="en-US" w:eastAsia="zh-CN"/>
              </w:rPr>
              <w:t>合同签订后</w:t>
            </w:r>
            <w:r>
              <w:rPr>
                <w:rFonts w:hint="eastAsia"/>
                <w:b w:val="0"/>
                <w:bCs w:val="0"/>
                <w:sz w:val="21"/>
                <w:szCs w:val="21"/>
                <w:vertAlign w:val="baseline"/>
                <w:lang w:val="en-US" w:eastAsia="zh-CN"/>
              </w:rPr>
              <w:t>1</w:t>
            </w:r>
            <w:r>
              <w:rPr>
                <w:rFonts w:hint="default"/>
                <w:b w:val="0"/>
                <w:bCs w:val="0"/>
                <w:sz w:val="21"/>
                <w:szCs w:val="21"/>
                <w:vertAlign w:val="baseline"/>
                <w:lang w:val="en-US" w:eastAsia="zh-CN"/>
              </w:rPr>
              <w:t>个</w:t>
            </w:r>
            <w:r>
              <w:rPr>
                <w:rFonts w:hint="eastAsia"/>
                <w:b w:val="0"/>
                <w:bCs w:val="0"/>
                <w:sz w:val="21"/>
                <w:szCs w:val="21"/>
                <w:vertAlign w:val="baseline"/>
                <w:lang w:val="en-US" w:eastAsia="zh-CN"/>
              </w:rPr>
              <w:t>月</w:t>
            </w:r>
            <w:r>
              <w:rPr>
                <w:rFonts w:hint="default"/>
                <w:b w:val="0"/>
                <w:bCs w:val="0"/>
                <w:sz w:val="21"/>
                <w:szCs w:val="21"/>
                <w:vertAlign w:val="baseline"/>
                <w:lang w:val="en-US" w:eastAsia="zh-CN"/>
              </w:rPr>
              <w:t>内</w:t>
            </w:r>
          </w:p>
        </w:tc>
        <w:tc>
          <w:tcPr>
            <w:tcW w:w="1825" w:type="dxa"/>
            <w:vAlign w:val="center"/>
          </w:tcPr>
          <w:p w14:paraId="2026E618">
            <w:pPr>
              <w:pStyle w:val="4"/>
              <w:numPr>
                <w:ilvl w:val="0"/>
                <w:numId w:val="0"/>
              </w:numPr>
              <w:bidi w:val="0"/>
              <w:jc w:val="center"/>
              <w:rPr>
                <w:rFonts w:hint="eastAsia"/>
                <w:b w:val="0"/>
                <w:bCs w:val="0"/>
                <w:sz w:val="21"/>
                <w:szCs w:val="21"/>
                <w:vertAlign w:val="baseline"/>
                <w:lang w:val="en-US" w:eastAsia="zh-CN"/>
              </w:rPr>
            </w:pPr>
            <w:r>
              <w:rPr>
                <w:rFonts w:hint="eastAsia"/>
                <w:b w:val="0"/>
                <w:bCs w:val="0"/>
                <w:sz w:val="21"/>
                <w:szCs w:val="21"/>
                <w:vertAlign w:val="baseline"/>
                <w:lang w:val="en-US" w:eastAsia="zh-CN"/>
              </w:rPr>
              <w:t>纸质版+电子版</w:t>
            </w:r>
          </w:p>
        </w:tc>
      </w:tr>
    </w:tbl>
    <w:p w14:paraId="65BDCA88">
      <w:pPr>
        <w:ind w:firstLine="643" w:firstLineChars="200"/>
        <w:outlineLvl w:val="0"/>
        <w:rPr>
          <w:rFonts w:hint="default" w:ascii="Times New Roman" w:hAnsi="Times New Roman" w:eastAsia="宋体" w:cs="Times New Roman"/>
          <w:b/>
          <w:bCs/>
          <w:sz w:val="32"/>
          <w:szCs w:val="32"/>
        </w:rPr>
      </w:pPr>
      <w:r>
        <w:rPr>
          <w:rFonts w:hint="default" w:ascii="Times New Roman" w:hAnsi="Times New Roman" w:cs="Times New Roman"/>
          <w:b/>
          <w:bCs/>
          <w:sz w:val="32"/>
          <w:szCs w:val="32"/>
          <w:lang w:val="en-US" w:eastAsia="zh-CN"/>
        </w:rPr>
        <w:t>四</w:t>
      </w:r>
      <w:r>
        <w:rPr>
          <w:rFonts w:hint="default" w:ascii="Times New Roman" w:hAnsi="Times New Roman" w:eastAsia="宋体" w:cs="Times New Roman"/>
          <w:b/>
          <w:bCs/>
          <w:sz w:val="32"/>
          <w:szCs w:val="32"/>
        </w:rPr>
        <w:t>、</w:t>
      </w:r>
      <w:r>
        <w:rPr>
          <w:rFonts w:hint="eastAsia" w:cs="Times New Roman"/>
          <w:b/>
          <w:bCs/>
          <w:sz w:val="32"/>
          <w:szCs w:val="32"/>
          <w:lang w:val="en-US" w:eastAsia="zh-CN"/>
        </w:rPr>
        <w:t>其他</w:t>
      </w:r>
      <w:r>
        <w:rPr>
          <w:rFonts w:hint="default" w:ascii="Times New Roman" w:hAnsi="Times New Roman" w:eastAsia="宋体" w:cs="Times New Roman"/>
          <w:b/>
          <w:bCs/>
          <w:sz w:val="32"/>
          <w:szCs w:val="32"/>
        </w:rPr>
        <w:t>要求</w:t>
      </w:r>
    </w:p>
    <w:p w14:paraId="17DB81AA">
      <w:pPr>
        <w:numPr>
          <w:ilvl w:val="-1"/>
          <w:numId w:val="0"/>
        </w:numPr>
        <w:ind w:leftChars="0" w:firstLine="640"/>
        <w:outlineLvl w:val="1"/>
        <w:rPr>
          <w:rFonts w:hint="eastAsia" w:cs="Times New Roman"/>
          <w:sz w:val="32"/>
          <w:szCs w:val="32"/>
          <w:lang w:val="en-US" w:eastAsia="zh-CN"/>
        </w:rPr>
      </w:pPr>
      <w:r>
        <w:rPr>
          <w:rFonts w:hint="eastAsia" w:cs="Times New Roman"/>
          <w:sz w:val="32"/>
          <w:szCs w:val="32"/>
          <w:lang w:val="en-US" w:eastAsia="zh-CN"/>
        </w:rPr>
        <w:t>1.保密要求</w:t>
      </w:r>
    </w:p>
    <w:p w14:paraId="6A706C4F">
      <w:pPr>
        <w:numPr>
          <w:ilvl w:val="-1"/>
          <w:numId w:val="0"/>
        </w:numPr>
        <w:ind w:leftChars="0" w:firstLine="640"/>
        <w:rPr>
          <w:rFonts w:hint="default" w:cs="Times New Roman"/>
          <w:sz w:val="28"/>
          <w:szCs w:val="28"/>
          <w:lang w:val="en-US" w:eastAsia="zh-CN"/>
        </w:rPr>
      </w:pPr>
      <w:r>
        <w:rPr>
          <w:rFonts w:hint="default" w:cs="Times New Roman"/>
          <w:sz w:val="28"/>
          <w:szCs w:val="28"/>
          <w:lang w:val="en-US" w:eastAsia="zh-CN"/>
        </w:rPr>
        <w:t>（1）供应商在服务过程中接触到的采购人的商业秘密、财务信息、研发技术资料等信息，均负有保密义务。</w:t>
      </w:r>
    </w:p>
    <w:p w14:paraId="1BE2D922">
      <w:pPr>
        <w:numPr>
          <w:ilvl w:val="-1"/>
          <w:numId w:val="0"/>
        </w:numPr>
        <w:ind w:leftChars="0" w:firstLine="640"/>
        <w:rPr>
          <w:rFonts w:hint="default" w:cs="Times New Roman"/>
          <w:sz w:val="28"/>
          <w:szCs w:val="28"/>
          <w:lang w:val="en-US" w:eastAsia="zh-CN"/>
        </w:rPr>
      </w:pPr>
      <w:r>
        <w:rPr>
          <w:rFonts w:hint="default" w:cs="Times New Roman"/>
          <w:sz w:val="28"/>
          <w:szCs w:val="28"/>
          <w:lang w:val="en-US" w:eastAsia="zh-CN"/>
        </w:rPr>
        <w:t>（2）供应商应在服务开始前与采购人签订保密协议，明确保密范围、保密期限及违约责任。</w:t>
      </w:r>
    </w:p>
    <w:p w14:paraId="07F30DC8">
      <w:pPr>
        <w:numPr>
          <w:ilvl w:val="-1"/>
          <w:numId w:val="0"/>
        </w:numPr>
        <w:ind w:leftChars="0" w:firstLine="640"/>
        <w:rPr>
          <w:rFonts w:hint="eastAsia" w:ascii="Times New Roman" w:hAnsi="Times New Roman" w:eastAsia="宋体" w:cs="Times New Roman"/>
          <w:sz w:val="28"/>
          <w:szCs w:val="28"/>
          <w:lang w:val="en-US" w:eastAsia="zh-CN"/>
        </w:rPr>
      </w:pPr>
      <w:r>
        <w:rPr>
          <w:rFonts w:hint="default" w:cs="Times New Roman"/>
          <w:sz w:val="28"/>
          <w:szCs w:val="28"/>
          <w:lang w:val="en-US" w:eastAsia="zh-CN"/>
        </w:rPr>
        <w:t>（3）未经采购人事先书面同意，供应商不得向任何第三方泄露本项目相关信息，不得将本项目相关资料用于本协议约定之外的任何其他目的。</w:t>
      </w:r>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DF7028">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DD4278">
                          <w:pPr>
                            <w:pStyle w:val="7"/>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CDD4278">
                    <w:pPr>
                      <w:pStyle w:val="7"/>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2</w:t>
                    </w:r>
                    <w:r>
                      <w:t xml:space="preserve"> 页</w:t>
                    </w:r>
                  </w:p>
                </w:txbxContent>
              </v:textbox>
            </v:shape>
          </w:pict>
        </mc:Fallback>
      </mc:AlternateContent>
    </w:r>
    <w:r>
      <w:rPr>
        <w:rFonts w:hint="eastAsia"/>
        <w:lang w:eastAsia="zh-CN"/>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D8DEB5"/>
    <w:multiLevelType w:val="singleLevel"/>
    <w:tmpl w:val="E2D8DEB5"/>
    <w:lvl w:ilvl="0" w:tentative="0">
      <w:start w:val="1"/>
      <w:numFmt w:val="decimal"/>
      <w:pStyle w:val="4"/>
      <w:suff w:val="nothing"/>
      <w:lvlText w:val="%1、"/>
      <w:lvlJc w:val="left"/>
    </w:lvl>
  </w:abstractNum>
  <w:abstractNum w:abstractNumId="1">
    <w:nsid w:val="07745DAF"/>
    <w:multiLevelType w:val="singleLevel"/>
    <w:tmpl w:val="07745DAF"/>
    <w:lvl w:ilvl="0" w:tentative="0">
      <w:start w:val="1"/>
      <w:numFmt w:val="chineseCounting"/>
      <w:pStyle w:val="3"/>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VjZThjODY4ZWFlODcyNTAzNDA1NGM0NzgyNTU0Y2IifQ=="/>
    <w:docVar w:name="KSO_WPS_MARK_KEY" w:val="931bd31d-f54a-486a-8564-ace32279d7fc"/>
  </w:docVars>
  <w:rsids>
    <w:rsidRoot w:val="00172A27"/>
    <w:rsid w:val="000150CC"/>
    <w:rsid w:val="00017CEC"/>
    <w:rsid w:val="000C12EE"/>
    <w:rsid w:val="000F2A6C"/>
    <w:rsid w:val="00146911"/>
    <w:rsid w:val="001C7417"/>
    <w:rsid w:val="00221FB6"/>
    <w:rsid w:val="0044402C"/>
    <w:rsid w:val="004853C2"/>
    <w:rsid w:val="00490DFF"/>
    <w:rsid w:val="004D0D25"/>
    <w:rsid w:val="00567DF1"/>
    <w:rsid w:val="00652718"/>
    <w:rsid w:val="00801BA5"/>
    <w:rsid w:val="008A270E"/>
    <w:rsid w:val="008F5B33"/>
    <w:rsid w:val="00977034"/>
    <w:rsid w:val="00A06C21"/>
    <w:rsid w:val="00A66AF3"/>
    <w:rsid w:val="00AD40E0"/>
    <w:rsid w:val="00B57127"/>
    <w:rsid w:val="00B61E80"/>
    <w:rsid w:val="00D66187"/>
    <w:rsid w:val="00D769AA"/>
    <w:rsid w:val="00E93F1D"/>
    <w:rsid w:val="00ED6FD2"/>
    <w:rsid w:val="00EE6E0D"/>
    <w:rsid w:val="00F12DB9"/>
    <w:rsid w:val="00FA2CE9"/>
    <w:rsid w:val="011949CD"/>
    <w:rsid w:val="018657EF"/>
    <w:rsid w:val="02E35D31"/>
    <w:rsid w:val="02ED7A9B"/>
    <w:rsid w:val="050009B9"/>
    <w:rsid w:val="05293F2B"/>
    <w:rsid w:val="05C6445E"/>
    <w:rsid w:val="064637C8"/>
    <w:rsid w:val="069F5290"/>
    <w:rsid w:val="080908CF"/>
    <w:rsid w:val="096821CF"/>
    <w:rsid w:val="0A6D2A84"/>
    <w:rsid w:val="0AAD670C"/>
    <w:rsid w:val="0AB42938"/>
    <w:rsid w:val="0B5B4A20"/>
    <w:rsid w:val="0B5C4865"/>
    <w:rsid w:val="0C367E67"/>
    <w:rsid w:val="0CA81959"/>
    <w:rsid w:val="0CFF3AC2"/>
    <w:rsid w:val="0DC352A5"/>
    <w:rsid w:val="0E564D6F"/>
    <w:rsid w:val="0F0F78AA"/>
    <w:rsid w:val="11245C92"/>
    <w:rsid w:val="11A06830"/>
    <w:rsid w:val="12B847E9"/>
    <w:rsid w:val="143715D5"/>
    <w:rsid w:val="15B17B82"/>
    <w:rsid w:val="15E82615"/>
    <w:rsid w:val="17761622"/>
    <w:rsid w:val="18397C4D"/>
    <w:rsid w:val="18B01A81"/>
    <w:rsid w:val="19E1020E"/>
    <w:rsid w:val="1A902FD7"/>
    <w:rsid w:val="1B9035C2"/>
    <w:rsid w:val="1BEF6CB9"/>
    <w:rsid w:val="1C4C5F45"/>
    <w:rsid w:val="1DC97098"/>
    <w:rsid w:val="1E720CBE"/>
    <w:rsid w:val="1F98348C"/>
    <w:rsid w:val="1FB90833"/>
    <w:rsid w:val="202D3B9A"/>
    <w:rsid w:val="21124CCD"/>
    <w:rsid w:val="21702240"/>
    <w:rsid w:val="21763C26"/>
    <w:rsid w:val="22B7505D"/>
    <w:rsid w:val="22FF75A7"/>
    <w:rsid w:val="236A398B"/>
    <w:rsid w:val="23CB2D69"/>
    <w:rsid w:val="26033C5F"/>
    <w:rsid w:val="26262939"/>
    <w:rsid w:val="26812549"/>
    <w:rsid w:val="29933C19"/>
    <w:rsid w:val="29A92C94"/>
    <w:rsid w:val="29D92575"/>
    <w:rsid w:val="2A7B5790"/>
    <w:rsid w:val="2AFF7C0E"/>
    <w:rsid w:val="2B043017"/>
    <w:rsid w:val="2B2A18BB"/>
    <w:rsid w:val="2B814558"/>
    <w:rsid w:val="2C884473"/>
    <w:rsid w:val="2DEB54B7"/>
    <w:rsid w:val="2EC33928"/>
    <w:rsid w:val="2EE4145F"/>
    <w:rsid w:val="3128481F"/>
    <w:rsid w:val="32A33145"/>
    <w:rsid w:val="334E5EA9"/>
    <w:rsid w:val="33C65A3F"/>
    <w:rsid w:val="33E841BB"/>
    <w:rsid w:val="33EE6343"/>
    <w:rsid w:val="356535C2"/>
    <w:rsid w:val="36654775"/>
    <w:rsid w:val="39674039"/>
    <w:rsid w:val="39D91AF6"/>
    <w:rsid w:val="3A113645"/>
    <w:rsid w:val="3A120472"/>
    <w:rsid w:val="3B85272C"/>
    <w:rsid w:val="3C067F26"/>
    <w:rsid w:val="3C16395B"/>
    <w:rsid w:val="3C1B3596"/>
    <w:rsid w:val="3D5C1D6F"/>
    <w:rsid w:val="3E3E7C35"/>
    <w:rsid w:val="3E8844C8"/>
    <w:rsid w:val="3F7606B9"/>
    <w:rsid w:val="3FDC51C7"/>
    <w:rsid w:val="40042908"/>
    <w:rsid w:val="40B24ABE"/>
    <w:rsid w:val="42C8134F"/>
    <w:rsid w:val="431B3938"/>
    <w:rsid w:val="43210D19"/>
    <w:rsid w:val="434322F0"/>
    <w:rsid w:val="443D736F"/>
    <w:rsid w:val="44536440"/>
    <w:rsid w:val="44E36200"/>
    <w:rsid w:val="463E7C9E"/>
    <w:rsid w:val="46B96C27"/>
    <w:rsid w:val="47E61BAD"/>
    <w:rsid w:val="489F7DDB"/>
    <w:rsid w:val="48A0610E"/>
    <w:rsid w:val="48B73267"/>
    <w:rsid w:val="48EF26A1"/>
    <w:rsid w:val="497917A5"/>
    <w:rsid w:val="49C53756"/>
    <w:rsid w:val="4A3634C7"/>
    <w:rsid w:val="4ADA6487"/>
    <w:rsid w:val="4C5A67BF"/>
    <w:rsid w:val="4C660E39"/>
    <w:rsid w:val="4EF73AE6"/>
    <w:rsid w:val="4FFB094B"/>
    <w:rsid w:val="509B42D3"/>
    <w:rsid w:val="52B017A5"/>
    <w:rsid w:val="52F04E5B"/>
    <w:rsid w:val="53E2457D"/>
    <w:rsid w:val="53FA5F80"/>
    <w:rsid w:val="54207A00"/>
    <w:rsid w:val="554119FB"/>
    <w:rsid w:val="55F30835"/>
    <w:rsid w:val="562D0BC2"/>
    <w:rsid w:val="56616643"/>
    <w:rsid w:val="568C7F6A"/>
    <w:rsid w:val="56C77324"/>
    <w:rsid w:val="577455C6"/>
    <w:rsid w:val="584D2E2E"/>
    <w:rsid w:val="58837C6A"/>
    <w:rsid w:val="59BA764F"/>
    <w:rsid w:val="59F62404"/>
    <w:rsid w:val="5A85035D"/>
    <w:rsid w:val="5B9B2BAA"/>
    <w:rsid w:val="5BC75801"/>
    <w:rsid w:val="5C624DE8"/>
    <w:rsid w:val="5C8E2CEF"/>
    <w:rsid w:val="5C9A4411"/>
    <w:rsid w:val="5CDC2748"/>
    <w:rsid w:val="5DA80174"/>
    <w:rsid w:val="5DFF5B2A"/>
    <w:rsid w:val="604F78EF"/>
    <w:rsid w:val="60893C75"/>
    <w:rsid w:val="60B32B8C"/>
    <w:rsid w:val="61CD7ABA"/>
    <w:rsid w:val="62717307"/>
    <w:rsid w:val="627B2D6E"/>
    <w:rsid w:val="62B2148E"/>
    <w:rsid w:val="62CF2AA8"/>
    <w:rsid w:val="62FD3B8E"/>
    <w:rsid w:val="657C17FF"/>
    <w:rsid w:val="657D2425"/>
    <w:rsid w:val="65CD2ADA"/>
    <w:rsid w:val="65DE614E"/>
    <w:rsid w:val="66804BE9"/>
    <w:rsid w:val="69CF3E1B"/>
    <w:rsid w:val="6A2B7BB7"/>
    <w:rsid w:val="6B270B4E"/>
    <w:rsid w:val="6B49248C"/>
    <w:rsid w:val="6B6819E7"/>
    <w:rsid w:val="6BF00916"/>
    <w:rsid w:val="6D0E7B09"/>
    <w:rsid w:val="6DE81B60"/>
    <w:rsid w:val="6EB07CAC"/>
    <w:rsid w:val="6ED10099"/>
    <w:rsid w:val="6FB94876"/>
    <w:rsid w:val="6FC4387A"/>
    <w:rsid w:val="70345CBA"/>
    <w:rsid w:val="72D67FC3"/>
    <w:rsid w:val="74804F9F"/>
    <w:rsid w:val="75EA2DB1"/>
    <w:rsid w:val="76BD4724"/>
    <w:rsid w:val="772B34FD"/>
    <w:rsid w:val="77E30DA9"/>
    <w:rsid w:val="78202E72"/>
    <w:rsid w:val="7906443B"/>
    <w:rsid w:val="7B475E73"/>
    <w:rsid w:val="7C766C77"/>
    <w:rsid w:val="7CCF5003"/>
    <w:rsid w:val="7FE71A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eepNext w:val="0"/>
      <w:keepLines w:val="0"/>
      <w:pageBreakBefore w:val="0"/>
      <w:widowControl w:val="0"/>
      <w:numPr>
        <w:ilvl w:val="0"/>
        <w:numId w:val="0"/>
      </w:numPr>
      <w:tabs>
        <w:tab w:val="left" w:pos="420"/>
      </w:tabs>
      <w:kinsoku/>
      <w:wordWrap/>
      <w:overflowPunct/>
      <w:topLinePunct w:val="0"/>
      <w:autoSpaceDE/>
      <w:autoSpaceDN/>
      <w:bidi w:val="0"/>
      <w:adjustRightInd/>
      <w:snapToGrid/>
      <w:spacing w:line="360" w:lineRule="auto"/>
      <w:ind w:left="0" w:leftChars="0" w:firstLine="480" w:firstLineChars="200"/>
      <w:jc w:val="left"/>
      <w:textAlignment w:val="auto"/>
    </w:pPr>
    <w:rPr>
      <w:rFonts w:ascii="Times New Roman" w:hAnsi="Times New Roman" w:eastAsia="宋体" w:cs="Times New Roman"/>
      <w:kern w:val="2"/>
      <w:sz w:val="24"/>
      <w:szCs w:val="24"/>
      <w:highlight w:val="none"/>
      <w:lang w:val="en-US" w:eastAsia="zh-CN" w:bidi="ar-SA"/>
    </w:rPr>
  </w:style>
  <w:style w:type="paragraph" w:styleId="3">
    <w:name w:val="heading 1"/>
    <w:basedOn w:val="1"/>
    <w:next w:val="1"/>
    <w:qFormat/>
    <w:uiPriority w:val="9"/>
    <w:pPr>
      <w:numPr>
        <w:numId w:val="1"/>
      </w:numPr>
      <w:tabs>
        <w:tab w:val="left" w:pos="312"/>
        <w:tab w:val="clear" w:pos="420"/>
      </w:tabs>
      <w:ind w:firstLine="0" w:firstLineChars="0"/>
      <w:outlineLvl w:val="0"/>
    </w:pPr>
    <w:rPr>
      <w:rFonts w:ascii="黑体" w:hAnsi="黑体" w:eastAsia="黑体" w:cs="黑体"/>
      <w:b/>
      <w:bCs/>
      <w:sz w:val="28"/>
      <w:szCs w:val="28"/>
    </w:rPr>
  </w:style>
  <w:style w:type="paragraph" w:styleId="4">
    <w:name w:val="heading 2"/>
    <w:basedOn w:val="1"/>
    <w:next w:val="1"/>
    <w:unhideWhenUsed/>
    <w:qFormat/>
    <w:uiPriority w:val="9"/>
    <w:pPr>
      <w:numPr>
        <w:numId w:val="2"/>
      </w:numPr>
      <w:ind w:firstLine="0" w:firstLineChars="0"/>
      <w:outlineLvl w:val="1"/>
    </w:pPr>
    <w:rPr>
      <w:b/>
      <w:bCs/>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99"/>
    <w:pPr>
      <w:spacing w:after="120" w:afterLines="0"/>
    </w:pPr>
  </w:style>
  <w:style w:type="paragraph" w:styleId="5">
    <w:name w:val="annotation text"/>
    <w:basedOn w:val="1"/>
    <w:semiHidden/>
    <w:unhideWhenUsed/>
    <w:qFormat/>
    <w:uiPriority w:val="99"/>
    <w:pPr>
      <w:jc w:val="left"/>
    </w:pPr>
  </w:style>
  <w:style w:type="paragraph" w:styleId="6">
    <w:name w:val="Date"/>
    <w:basedOn w:val="1"/>
    <w:next w:val="1"/>
    <w:link w:val="15"/>
    <w:qFormat/>
    <w:uiPriority w:val="99"/>
    <w:pPr>
      <w:ind w:left="100" w:leftChars="2500"/>
    </w:pPr>
    <w:rPr>
      <w:rFonts w:ascii="Times New Roman" w:hAnsi="Times New Roman"/>
      <w:sz w:val="24"/>
      <w:szCs w:val="24"/>
    </w:rPr>
  </w:style>
  <w:style w:type="paragraph" w:styleId="7">
    <w:name w:val="footer"/>
    <w:basedOn w:val="1"/>
    <w:link w:val="14"/>
    <w:unhideWhenUsed/>
    <w:qFormat/>
    <w:uiPriority w:val="99"/>
    <w:pPr>
      <w:tabs>
        <w:tab w:val="center" w:pos="4153"/>
        <w:tab w:val="right" w:pos="8306"/>
        <w:tab w:val="clear" w:pos="420"/>
      </w:tabs>
      <w:snapToGrid w:val="0"/>
      <w:jc w:val="left"/>
    </w:pPr>
    <w:rPr>
      <w:rFonts w:asciiTheme="minorHAnsi" w:hAnsiTheme="minorHAnsi" w:eastAsiaTheme="minorEastAsia" w:cstheme="minorBidi"/>
      <w:sz w:val="18"/>
      <w:szCs w:val="18"/>
    </w:rPr>
  </w:style>
  <w:style w:type="paragraph" w:styleId="8">
    <w:name w:val="header"/>
    <w:basedOn w:val="1"/>
    <w:link w:val="13"/>
    <w:unhideWhenUsed/>
    <w:qFormat/>
    <w:uiPriority w:val="99"/>
    <w:pPr>
      <w:pBdr>
        <w:bottom w:val="single" w:color="auto" w:sz="6" w:space="1"/>
      </w:pBdr>
      <w:tabs>
        <w:tab w:val="center" w:pos="4153"/>
        <w:tab w:val="right" w:pos="8306"/>
        <w:tab w:val="clear" w:pos="420"/>
      </w:tabs>
      <w:snapToGrid w:val="0"/>
      <w:jc w:val="center"/>
    </w:pPr>
    <w:rPr>
      <w:rFonts w:asciiTheme="minorHAnsi" w:hAnsiTheme="minorHAnsi" w:eastAsiaTheme="minorEastAsia" w:cstheme="minorBidi"/>
      <w:sz w:val="18"/>
      <w:szCs w:val="18"/>
    </w:rPr>
  </w:style>
  <w:style w:type="paragraph" w:styleId="9">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11">
    <w:name w:val="Table Grid"/>
    <w:basedOn w:val="1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页眉 Char"/>
    <w:basedOn w:val="12"/>
    <w:link w:val="8"/>
    <w:qFormat/>
    <w:uiPriority w:val="99"/>
    <w:rPr>
      <w:sz w:val="18"/>
      <w:szCs w:val="18"/>
    </w:rPr>
  </w:style>
  <w:style w:type="character" w:customStyle="1" w:styleId="14">
    <w:name w:val="页脚 Char"/>
    <w:basedOn w:val="12"/>
    <w:link w:val="7"/>
    <w:qFormat/>
    <w:uiPriority w:val="99"/>
    <w:rPr>
      <w:sz w:val="18"/>
      <w:szCs w:val="18"/>
    </w:rPr>
  </w:style>
  <w:style w:type="character" w:customStyle="1" w:styleId="15">
    <w:name w:val="日期 Char"/>
    <w:basedOn w:val="12"/>
    <w:link w:val="6"/>
    <w:qFormat/>
    <w:uiPriority w:val="99"/>
    <w:rPr>
      <w:rFonts w:ascii="Times New Roman" w:hAnsi="Times New Roman" w:eastAsia="宋体"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3</Pages>
  <Words>705</Words>
  <Characters>715</Characters>
  <Lines>15</Lines>
  <Paragraphs>4</Paragraphs>
  <TotalTime>0</TotalTime>
  <ScaleCrop>false</ScaleCrop>
  <LinksUpToDate>false</LinksUpToDate>
  <CharactersWithSpaces>715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2013-11-11T02:56:00Z</dcterms:created>
  <dc:creator>微软用户</dc:creator>
  <cp:lastModifiedBy>Administrator</cp:lastModifiedBy>
  <cp:lastPrinted>2023-03-06T01:34:00Z</cp:lastPrinted>
  <dcterms:modified xsi:type="dcterms:W3CDTF">2026-06-11T07:14:58Z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3465ADBFF9F448DCBAF9EC458F291D7F</vt:lpwstr>
  </property>
  <property fmtid="{D5CDD505-2E9C-101B-9397-08002B2CF9AE}" pid="4" name="KSOTemplateDocerSaveRecord">
    <vt:lpwstr>eyJoZGlkIjoiZjIyZTZjNGI1ZWNkNzE1MzZmYzVkNGZjYmE4OWM3NzAiLCJ1c2VySWQiOiIxODI0MDg5MjEzIn0=</vt:lpwstr>
  </property>
</Properties>
</file>