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93B29FA">
      <w:pPr>
        <w:spacing w:before="624" w:beforeLines="200" w:line="360" w:lineRule="auto"/>
        <w:jc w:val="center"/>
        <w:rPr>
          <w:rFonts w:ascii="宋体" w:hAnsi="宋体" w:cs="宋体"/>
          <w:szCs w:val="21"/>
        </w:rPr>
      </w:pPr>
      <w:r>
        <w:rPr>
          <w:rFonts w:hint="eastAsia" w:ascii="宋体" w:hAnsi="宋体" w:cs="宋体"/>
          <w:b/>
          <w:sz w:val="52"/>
        </w:rPr>
        <w:drawing>
          <wp:anchor distT="0" distB="0" distL="114300" distR="114300" simplePos="0" relativeHeight="251659264" behindDoc="1" locked="0" layoutInCell="1" allowOverlap="1">
            <wp:simplePos x="0" y="0"/>
            <wp:positionH relativeFrom="column">
              <wp:posOffset>-685800</wp:posOffset>
            </wp:positionH>
            <wp:positionV relativeFrom="paragraph">
              <wp:posOffset>-907415</wp:posOffset>
            </wp:positionV>
            <wp:extent cx="7983220" cy="2820670"/>
            <wp:effectExtent l="0" t="0" r="2540" b="13970"/>
            <wp:wrapTight wrapText="bothSides">
              <wp:wrapPolygon>
                <wp:start x="-52" y="0"/>
                <wp:lineTo x="-52" y="21444"/>
                <wp:lineTo x="21597" y="21444"/>
                <wp:lineTo x="21597" y="0"/>
                <wp:lineTo x="-52" y="0"/>
              </wp:wrapPolygon>
            </wp:wrapTight>
            <wp:docPr id="1" name="图片 2"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模板-3"/>
                    <pic:cNvPicPr>
                      <a:picLocks noChangeAspect="1"/>
                    </pic:cNvPicPr>
                  </pic:nvPicPr>
                  <pic:blipFill>
                    <a:blip r:embed="rId11"/>
                    <a:stretch>
                      <a:fillRect/>
                    </a:stretch>
                  </pic:blipFill>
                  <pic:spPr>
                    <a:xfrm>
                      <a:off x="0" y="0"/>
                      <a:ext cx="7983220" cy="2820670"/>
                    </a:xfrm>
                    <a:prstGeom prst="rect">
                      <a:avLst/>
                    </a:prstGeom>
                    <a:noFill/>
                    <a:ln w="9525">
                      <a:noFill/>
                    </a:ln>
                  </pic:spPr>
                </pic:pic>
              </a:graphicData>
            </a:graphic>
          </wp:anchor>
        </w:drawing>
      </w:r>
    </w:p>
    <w:p w14:paraId="430E8DF6">
      <w:pPr>
        <w:spacing w:before="624" w:beforeLines="200" w:line="360" w:lineRule="auto"/>
        <w:jc w:val="center"/>
        <w:rPr>
          <w:rFonts w:ascii="宋体" w:hAnsi="宋体" w:cs="宋体"/>
          <w:b/>
          <w:sz w:val="48"/>
          <w:szCs w:val="48"/>
        </w:rPr>
      </w:pPr>
      <w:r>
        <w:rPr>
          <w:rFonts w:hint="eastAsia" w:ascii="宋体" w:hAnsi="宋体" w:cs="宋体"/>
          <w:szCs w:val="21"/>
        </w:rPr>
        <w:t xml:space="preserve"> </w:t>
      </w:r>
      <w:r>
        <w:rPr>
          <w:rFonts w:hint="eastAsia" w:ascii="宋体" w:hAnsi="宋体" w:cs="宋体"/>
          <w:b/>
          <w:sz w:val="48"/>
          <w:szCs w:val="48"/>
        </w:rPr>
        <w:t>通信蓄电池在线核容装置技术规范书</w:t>
      </w:r>
    </w:p>
    <w:p w14:paraId="4343EBAB">
      <w:pPr>
        <w:spacing w:before="624" w:beforeLines="200" w:line="360" w:lineRule="auto"/>
        <w:jc w:val="center"/>
        <w:rPr>
          <w:rFonts w:ascii="宋体" w:hAnsi="宋体" w:cs="宋体"/>
          <w:b/>
          <w:sz w:val="48"/>
          <w:szCs w:val="48"/>
        </w:rPr>
      </w:pPr>
      <w:r>
        <w:rPr>
          <w:rFonts w:hint="eastAsia" w:ascii="宋体" w:hAnsi="宋体" w:cs="宋体"/>
          <w:b/>
          <w:sz w:val="48"/>
          <w:szCs w:val="48"/>
        </w:rPr>
        <w:t>（通用部分）</w:t>
      </w:r>
    </w:p>
    <w:p w14:paraId="3E98FB43">
      <w:pPr>
        <w:spacing w:before="624" w:beforeLines="200" w:line="360" w:lineRule="auto"/>
        <w:jc w:val="center"/>
        <w:rPr>
          <w:rFonts w:ascii="宋体" w:hAnsi="宋体" w:cs="宋体"/>
          <w:b/>
          <w:sz w:val="36"/>
        </w:rPr>
      </w:pPr>
    </w:p>
    <w:p w14:paraId="3E84345F">
      <w:pPr>
        <w:spacing w:line="360" w:lineRule="auto"/>
        <w:rPr>
          <w:rFonts w:ascii="宋体" w:hAnsi="宋体" w:cs="宋体"/>
          <w:b/>
          <w:sz w:val="36"/>
        </w:rPr>
      </w:pPr>
    </w:p>
    <w:p w14:paraId="6BC9B8ED">
      <w:pPr>
        <w:spacing w:line="360" w:lineRule="auto"/>
        <w:rPr>
          <w:rFonts w:ascii="宋体" w:hAnsi="宋体" w:cs="宋体"/>
          <w:b/>
          <w:sz w:val="36"/>
        </w:rPr>
      </w:pPr>
    </w:p>
    <w:p w14:paraId="1D8A39ED">
      <w:pPr>
        <w:spacing w:line="360" w:lineRule="auto"/>
        <w:rPr>
          <w:rFonts w:ascii="宋体" w:hAnsi="宋体" w:cs="宋体"/>
          <w:b/>
          <w:sz w:val="36"/>
        </w:rPr>
      </w:pPr>
    </w:p>
    <w:p w14:paraId="03D70686">
      <w:pPr>
        <w:spacing w:line="360" w:lineRule="auto"/>
        <w:rPr>
          <w:rFonts w:ascii="宋体" w:hAnsi="宋体" w:cs="宋体"/>
          <w:b/>
          <w:sz w:val="36"/>
        </w:rPr>
      </w:pPr>
    </w:p>
    <w:p w14:paraId="4235629D">
      <w:pPr>
        <w:spacing w:line="360" w:lineRule="auto"/>
        <w:rPr>
          <w:rFonts w:ascii="宋体" w:hAnsi="宋体" w:cs="宋体"/>
          <w:b/>
          <w:sz w:val="36"/>
        </w:rPr>
      </w:pPr>
    </w:p>
    <w:p w14:paraId="5EBE8F6A">
      <w:pPr>
        <w:spacing w:line="360" w:lineRule="auto"/>
        <w:rPr>
          <w:rFonts w:ascii="宋体" w:hAnsi="宋体" w:cs="宋体"/>
          <w:b/>
          <w:sz w:val="36"/>
        </w:rPr>
      </w:pPr>
    </w:p>
    <w:p w14:paraId="0B160BB3">
      <w:pPr>
        <w:spacing w:before="624" w:beforeLines="200" w:line="360" w:lineRule="auto"/>
        <w:jc w:val="center"/>
        <w:rPr>
          <w:rFonts w:ascii="宋体" w:hAnsi="宋体" w:cs="宋体"/>
          <w:b/>
          <w:spacing w:val="20"/>
          <w:w w:val="135"/>
          <w:sz w:val="30"/>
        </w:rPr>
      </w:pPr>
      <w:r>
        <w:rPr>
          <w:rFonts w:hint="eastAsia" w:ascii="宋体" w:hAnsi="宋体" w:cs="宋体"/>
          <w:b/>
          <w:spacing w:val="20"/>
          <w:w w:val="135"/>
          <w:sz w:val="30"/>
        </w:rPr>
        <w:t>深圳供电局</w:t>
      </w:r>
    </w:p>
    <w:p w14:paraId="6B94E5A0">
      <w:pPr>
        <w:spacing w:line="360" w:lineRule="auto"/>
        <w:jc w:val="center"/>
        <w:rPr>
          <w:rFonts w:ascii="宋体" w:hAnsi="宋体" w:cs="宋体"/>
          <w:b/>
          <w:spacing w:val="20"/>
          <w:w w:val="135"/>
          <w:sz w:val="30"/>
        </w:rPr>
      </w:pPr>
      <w:r>
        <w:rPr>
          <w:rFonts w:hint="eastAsia" w:ascii="宋体" w:hAnsi="宋体" w:cs="宋体"/>
          <w:b/>
          <w:spacing w:val="20"/>
          <w:w w:val="135"/>
          <w:sz w:val="30"/>
        </w:rPr>
        <w:t>202</w:t>
      </w:r>
      <w:r>
        <w:rPr>
          <w:rFonts w:hint="eastAsia" w:ascii="宋体" w:hAnsi="宋体" w:cs="宋体"/>
          <w:b/>
          <w:spacing w:val="20"/>
          <w:w w:val="135"/>
          <w:sz w:val="30"/>
          <w:lang w:val="en-US" w:eastAsia="zh-CN"/>
        </w:rPr>
        <w:t>6</w:t>
      </w:r>
      <w:r>
        <w:rPr>
          <w:rFonts w:hint="eastAsia" w:ascii="宋体" w:hAnsi="宋体" w:cs="宋体"/>
          <w:b/>
          <w:spacing w:val="20"/>
          <w:w w:val="135"/>
          <w:sz w:val="30"/>
        </w:rPr>
        <w:t>年</w:t>
      </w:r>
      <w:r>
        <w:rPr>
          <w:rFonts w:hint="eastAsia" w:ascii="宋体" w:hAnsi="宋体" w:cs="宋体"/>
          <w:b/>
          <w:spacing w:val="20"/>
          <w:w w:val="135"/>
          <w:sz w:val="30"/>
          <w:lang w:val="en-US" w:eastAsia="zh-CN"/>
        </w:rPr>
        <w:t>5</w:t>
      </w:r>
      <w:r>
        <w:rPr>
          <w:rFonts w:hint="eastAsia" w:ascii="宋体" w:hAnsi="宋体" w:cs="宋体"/>
          <w:b/>
          <w:spacing w:val="20"/>
          <w:w w:val="135"/>
          <w:sz w:val="30"/>
        </w:rPr>
        <w:t>月</w:t>
      </w:r>
    </w:p>
    <w:p w14:paraId="0D170B1D">
      <w:pPr>
        <w:spacing w:line="360" w:lineRule="auto"/>
        <w:rPr>
          <w:rFonts w:ascii="宋体" w:hAnsi="宋体" w:cs="宋体"/>
        </w:rPr>
      </w:pPr>
    </w:p>
    <w:p w14:paraId="73A31044">
      <w:pPr>
        <w:pStyle w:val="170"/>
        <w:pageBreakBefore/>
        <w:spacing w:line="360" w:lineRule="auto"/>
        <w:ind w:firstLine="0" w:firstLineChars="0"/>
        <w:jc w:val="center"/>
        <w:rPr>
          <w:rFonts w:cs="宋体"/>
        </w:rPr>
      </w:pPr>
      <w:r>
        <w:rPr>
          <w:rFonts w:hint="eastAsia" w:cs="宋体"/>
          <w:sz w:val="36"/>
          <w:szCs w:val="36"/>
        </w:rPr>
        <w:t>目  录</w:t>
      </w:r>
    </w:p>
    <w:p w14:paraId="6285C067">
      <w:pPr>
        <w:pStyle w:val="56"/>
        <w:tabs>
          <w:tab w:val="right" w:leader="dot" w:pos="9746"/>
        </w:tabs>
      </w:pPr>
      <w:bookmarkStart w:id="0" w:name="_Toc241911990"/>
      <w:r>
        <w:rPr>
          <w:rFonts w:ascii="宋体" w:hAnsi="宋体" w:cs="宋体"/>
        </w:rPr>
        <w:fldChar w:fldCharType="begin"/>
      </w:r>
      <w:r>
        <w:rPr>
          <w:rFonts w:ascii="宋体" w:hAnsi="宋体" w:cs="宋体"/>
        </w:rPr>
        <w:instrText xml:space="preserve"> </w:instrText>
      </w:r>
      <w:r>
        <w:rPr>
          <w:rFonts w:hint="eastAsia" w:ascii="宋体" w:hAnsi="宋体" w:cs="宋体"/>
        </w:rPr>
        <w:instrText xml:space="preserve">TOC \o "1-3" \u</w:instrText>
      </w:r>
      <w:r>
        <w:rPr>
          <w:rFonts w:ascii="宋体" w:hAnsi="宋体" w:cs="宋体"/>
        </w:rPr>
        <w:instrText xml:space="preserve"> </w:instrText>
      </w:r>
      <w:r>
        <w:rPr>
          <w:rFonts w:ascii="宋体" w:hAnsi="宋体" w:cs="宋体"/>
        </w:rPr>
        <w:fldChar w:fldCharType="separate"/>
      </w:r>
      <w:r>
        <w:rPr>
          <w:rFonts w:hint="default" w:ascii="宋体" w:hAnsi="宋体" w:eastAsia="宋体" w:cs="宋体"/>
        </w:rPr>
        <w:t xml:space="preserve">1. </w:t>
      </w:r>
      <w:r>
        <w:rPr>
          <w:rFonts w:hint="eastAsia" w:ascii="宋体" w:hAnsi="宋体" w:cs="宋体"/>
        </w:rPr>
        <w:t>总则</w:t>
      </w:r>
      <w:r>
        <w:tab/>
      </w:r>
      <w:r>
        <w:fldChar w:fldCharType="begin"/>
      </w:r>
      <w:r>
        <w:instrText xml:space="preserve"> PAGEREF _Toc15097 \h </w:instrText>
      </w:r>
      <w:r>
        <w:fldChar w:fldCharType="separate"/>
      </w:r>
      <w:r>
        <w:t>1</w:t>
      </w:r>
      <w:r>
        <w:fldChar w:fldCharType="end"/>
      </w:r>
    </w:p>
    <w:p w14:paraId="22D790C0">
      <w:pPr>
        <w:pStyle w:val="56"/>
        <w:tabs>
          <w:tab w:val="right" w:leader="dot" w:pos="9746"/>
        </w:tabs>
      </w:pPr>
      <w:r>
        <w:rPr>
          <w:rFonts w:hint="default" w:ascii="宋体" w:hAnsi="宋体" w:eastAsia="宋体" w:cs="宋体"/>
        </w:rPr>
        <w:t xml:space="preserve">2. </w:t>
      </w:r>
      <w:r>
        <w:rPr>
          <w:rFonts w:hint="eastAsia" w:ascii="宋体" w:hAnsi="宋体" w:cs="宋体"/>
        </w:rPr>
        <w:t>工作范围</w:t>
      </w:r>
      <w:r>
        <w:tab/>
      </w:r>
      <w:r>
        <w:fldChar w:fldCharType="begin"/>
      </w:r>
      <w:r>
        <w:instrText xml:space="preserve"> PAGEREF _Toc21714 \h </w:instrText>
      </w:r>
      <w:r>
        <w:fldChar w:fldCharType="separate"/>
      </w:r>
      <w:r>
        <w:t>2</w:t>
      </w:r>
      <w:r>
        <w:fldChar w:fldCharType="end"/>
      </w:r>
    </w:p>
    <w:p w14:paraId="07436296">
      <w:pPr>
        <w:pStyle w:val="70"/>
        <w:tabs>
          <w:tab w:val="right" w:leader="dot" w:pos="9746"/>
        </w:tabs>
      </w:pPr>
      <w:r>
        <w:rPr>
          <w:rFonts w:hint="default" w:ascii="宋体" w:hAnsi="宋体" w:eastAsia="宋体" w:cs="宋体"/>
        </w:rPr>
        <w:t xml:space="preserve">2.1. </w:t>
      </w:r>
      <w:r>
        <w:rPr>
          <w:rFonts w:hint="eastAsia" w:ascii="宋体" w:hAnsi="宋体" w:cs="宋体"/>
        </w:rPr>
        <w:t>工程概况</w:t>
      </w:r>
      <w:r>
        <w:tab/>
      </w:r>
      <w:r>
        <w:fldChar w:fldCharType="begin"/>
      </w:r>
      <w:r>
        <w:instrText xml:space="preserve"> PAGEREF _Toc31181 \h </w:instrText>
      </w:r>
      <w:r>
        <w:fldChar w:fldCharType="separate"/>
      </w:r>
      <w:r>
        <w:t>2</w:t>
      </w:r>
      <w:r>
        <w:fldChar w:fldCharType="end"/>
      </w:r>
    </w:p>
    <w:p w14:paraId="35081E16">
      <w:pPr>
        <w:pStyle w:val="70"/>
        <w:tabs>
          <w:tab w:val="right" w:leader="dot" w:pos="9746"/>
        </w:tabs>
      </w:pPr>
      <w:r>
        <w:rPr>
          <w:rFonts w:hint="default" w:ascii="宋体" w:hAnsi="宋体" w:eastAsia="宋体" w:cs="宋体"/>
        </w:rPr>
        <w:t xml:space="preserve">2.2. </w:t>
      </w:r>
      <w:r>
        <w:rPr>
          <w:rFonts w:hint="eastAsia" w:ascii="宋体" w:hAnsi="宋体" w:cs="宋体"/>
        </w:rPr>
        <w:t>范围和界限</w:t>
      </w:r>
      <w:r>
        <w:tab/>
      </w:r>
      <w:r>
        <w:fldChar w:fldCharType="begin"/>
      </w:r>
      <w:r>
        <w:instrText xml:space="preserve"> PAGEREF _Toc13244 \h </w:instrText>
      </w:r>
      <w:r>
        <w:fldChar w:fldCharType="separate"/>
      </w:r>
      <w:r>
        <w:t>2</w:t>
      </w:r>
      <w:r>
        <w:fldChar w:fldCharType="end"/>
      </w:r>
    </w:p>
    <w:p w14:paraId="03527284">
      <w:pPr>
        <w:pStyle w:val="70"/>
        <w:tabs>
          <w:tab w:val="right" w:leader="dot" w:pos="9746"/>
        </w:tabs>
      </w:pPr>
      <w:r>
        <w:rPr>
          <w:rFonts w:hint="default" w:ascii="宋体" w:hAnsi="宋体" w:eastAsia="宋体" w:cs="宋体"/>
        </w:rPr>
        <w:t xml:space="preserve">2.3. </w:t>
      </w:r>
      <w:r>
        <w:rPr>
          <w:rFonts w:hint="eastAsia" w:ascii="宋体" w:hAnsi="宋体" w:cs="宋体"/>
        </w:rPr>
        <w:t>服务范围</w:t>
      </w:r>
      <w:r>
        <w:tab/>
      </w:r>
      <w:r>
        <w:fldChar w:fldCharType="begin"/>
      </w:r>
      <w:r>
        <w:instrText xml:space="preserve"> PAGEREF _Toc18943 \h </w:instrText>
      </w:r>
      <w:r>
        <w:fldChar w:fldCharType="separate"/>
      </w:r>
      <w:r>
        <w:t>2</w:t>
      </w:r>
      <w:r>
        <w:fldChar w:fldCharType="end"/>
      </w:r>
    </w:p>
    <w:p w14:paraId="7FD87E44">
      <w:pPr>
        <w:pStyle w:val="56"/>
        <w:tabs>
          <w:tab w:val="right" w:leader="dot" w:pos="9746"/>
        </w:tabs>
      </w:pPr>
      <w:r>
        <w:rPr>
          <w:rFonts w:hint="default" w:ascii="宋体" w:hAnsi="宋体" w:eastAsia="宋体" w:cs="宋体"/>
        </w:rPr>
        <w:t xml:space="preserve">3. </w:t>
      </w:r>
      <w:r>
        <w:rPr>
          <w:rFonts w:hint="eastAsia" w:ascii="宋体" w:hAnsi="宋体" w:cs="宋体"/>
        </w:rPr>
        <w:t>应遵循的主要标准</w:t>
      </w:r>
      <w:r>
        <w:tab/>
      </w:r>
      <w:r>
        <w:fldChar w:fldCharType="begin"/>
      </w:r>
      <w:r>
        <w:instrText xml:space="preserve"> PAGEREF _Toc16116 \h </w:instrText>
      </w:r>
      <w:r>
        <w:fldChar w:fldCharType="separate"/>
      </w:r>
      <w:r>
        <w:t>2</w:t>
      </w:r>
      <w:r>
        <w:fldChar w:fldCharType="end"/>
      </w:r>
    </w:p>
    <w:p w14:paraId="4A9C0C18">
      <w:pPr>
        <w:pStyle w:val="56"/>
        <w:tabs>
          <w:tab w:val="right" w:leader="dot" w:pos="9746"/>
        </w:tabs>
      </w:pPr>
      <w:r>
        <w:rPr>
          <w:rFonts w:hint="default" w:ascii="宋体" w:hAnsi="宋体" w:eastAsia="宋体" w:cs="宋体"/>
        </w:rPr>
        <w:t xml:space="preserve">4. </w:t>
      </w:r>
      <w:r>
        <w:rPr>
          <w:rFonts w:hint="eastAsia" w:ascii="宋体" w:hAnsi="宋体" w:cs="宋体"/>
        </w:rPr>
        <w:t>术语和定义</w:t>
      </w:r>
      <w:r>
        <w:tab/>
      </w:r>
      <w:r>
        <w:fldChar w:fldCharType="begin"/>
      </w:r>
      <w:r>
        <w:instrText xml:space="preserve"> PAGEREF _Toc27911 \h </w:instrText>
      </w:r>
      <w:r>
        <w:fldChar w:fldCharType="separate"/>
      </w:r>
      <w:r>
        <w:t>3</w:t>
      </w:r>
      <w:r>
        <w:fldChar w:fldCharType="end"/>
      </w:r>
    </w:p>
    <w:p w14:paraId="03F5C8F0">
      <w:pPr>
        <w:pStyle w:val="70"/>
        <w:tabs>
          <w:tab w:val="right" w:leader="dot" w:pos="9746"/>
        </w:tabs>
      </w:pPr>
      <w:r>
        <w:rPr>
          <w:rFonts w:hint="default" w:ascii="宋体" w:hAnsi="宋体" w:eastAsia="宋体" w:cs="宋体"/>
        </w:rPr>
        <w:t xml:space="preserve">4.1. </w:t>
      </w:r>
      <w:r>
        <w:rPr>
          <w:rFonts w:hint="eastAsia" w:ascii="宋体" w:hAnsi="宋体" w:cs="宋体"/>
        </w:rPr>
        <w:t>通信电源</w:t>
      </w:r>
      <w:r>
        <w:tab/>
      </w:r>
      <w:r>
        <w:fldChar w:fldCharType="begin"/>
      </w:r>
      <w:r>
        <w:instrText xml:space="preserve"> PAGEREF _Toc24423 \h </w:instrText>
      </w:r>
      <w:r>
        <w:fldChar w:fldCharType="separate"/>
      </w:r>
      <w:r>
        <w:t>3</w:t>
      </w:r>
      <w:r>
        <w:fldChar w:fldCharType="end"/>
      </w:r>
    </w:p>
    <w:p w14:paraId="0C5BA607">
      <w:pPr>
        <w:pStyle w:val="70"/>
        <w:tabs>
          <w:tab w:val="right" w:leader="dot" w:pos="9746"/>
        </w:tabs>
      </w:pPr>
      <w:r>
        <w:rPr>
          <w:rFonts w:hint="default" w:ascii="宋体" w:hAnsi="宋体" w:eastAsia="宋体" w:cs="宋体"/>
        </w:rPr>
        <w:t xml:space="preserve">4.2. </w:t>
      </w:r>
      <w:r>
        <w:rPr>
          <w:rFonts w:hint="eastAsia" w:ascii="宋体" w:hAnsi="宋体" w:cs="宋体"/>
        </w:rPr>
        <w:t>通信交流供电系统</w:t>
      </w:r>
      <w:r>
        <w:tab/>
      </w:r>
      <w:r>
        <w:fldChar w:fldCharType="begin"/>
      </w:r>
      <w:r>
        <w:instrText xml:space="preserve"> PAGEREF _Toc26666 \h </w:instrText>
      </w:r>
      <w:r>
        <w:fldChar w:fldCharType="separate"/>
      </w:r>
      <w:r>
        <w:t>3</w:t>
      </w:r>
      <w:r>
        <w:fldChar w:fldCharType="end"/>
      </w:r>
    </w:p>
    <w:p w14:paraId="1267B6CC">
      <w:pPr>
        <w:pStyle w:val="70"/>
        <w:tabs>
          <w:tab w:val="right" w:leader="dot" w:pos="9746"/>
        </w:tabs>
      </w:pPr>
      <w:r>
        <w:rPr>
          <w:rFonts w:hint="default" w:ascii="宋体" w:hAnsi="宋体" w:eastAsia="宋体" w:cs="宋体"/>
        </w:rPr>
        <w:t xml:space="preserve">4.3. </w:t>
      </w:r>
      <w:r>
        <w:rPr>
          <w:rFonts w:hint="eastAsia" w:ascii="宋体" w:hAnsi="宋体" w:cs="宋体"/>
        </w:rPr>
        <w:t>通信直流供电系统</w:t>
      </w:r>
      <w:r>
        <w:tab/>
      </w:r>
      <w:r>
        <w:fldChar w:fldCharType="begin"/>
      </w:r>
      <w:r>
        <w:instrText xml:space="preserve"> PAGEREF _Toc27946 \h </w:instrText>
      </w:r>
      <w:r>
        <w:fldChar w:fldCharType="separate"/>
      </w:r>
      <w:r>
        <w:t>3</w:t>
      </w:r>
      <w:r>
        <w:fldChar w:fldCharType="end"/>
      </w:r>
    </w:p>
    <w:p w14:paraId="0B0F8D78">
      <w:pPr>
        <w:pStyle w:val="70"/>
        <w:tabs>
          <w:tab w:val="right" w:leader="dot" w:pos="9746"/>
        </w:tabs>
      </w:pPr>
      <w:r>
        <w:rPr>
          <w:rFonts w:hint="default" w:ascii="宋体" w:hAnsi="宋体" w:eastAsia="宋体" w:cs="宋体"/>
        </w:rPr>
        <w:t xml:space="preserve">4.4. </w:t>
      </w:r>
      <w:r>
        <w:rPr>
          <w:rFonts w:hint="eastAsia" w:ascii="宋体" w:hAnsi="宋体" w:cs="宋体"/>
        </w:rPr>
        <w:t>"四遥"功能</w:t>
      </w:r>
      <w:r>
        <w:tab/>
      </w:r>
      <w:r>
        <w:fldChar w:fldCharType="begin"/>
      </w:r>
      <w:r>
        <w:instrText xml:space="preserve"> PAGEREF _Toc900 \h </w:instrText>
      </w:r>
      <w:r>
        <w:fldChar w:fldCharType="separate"/>
      </w:r>
      <w:r>
        <w:t>3</w:t>
      </w:r>
      <w:r>
        <w:fldChar w:fldCharType="end"/>
      </w:r>
    </w:p>
    <w:p w14:paraId="56CD1A2A">
      <w:pPr>
        <w:pStyle w:val="70"/>
        <w:tabs>
          <w:tab w:val="right" w:leader="dot" w:pos="9746"/>
        </w:tabs>
      </w:pPr>
      <w:r>
        <w:rPr>
          <w:rFonts w:hint="default" w:ascii="宋体" w:hAnsi="宋体" w:eastAsia="宋体" w:cs="宋体"/>
        </w:rPr>
        <w:t xml:space="preserve">4.5. </w:t>
      </w:r>
      <w:r>
        <w:rPr>
          <w:rFonts w:hint="eastAsia" w:ascii="宋体" w:hAnsi="宋体" w:cs="宋体"/>
        </w:rPr>
        <w:t>蓄电池容量</w:t>
      </w:r>
      <w:r>
        <w:tab/>
      </w:r>
      <w:r>
        <w:fldChar w:fldCharType="begin"/>
      </w:r>
      <w:r>
        <w:instrText xml:space="preserve"> PAGEREF _Toc1751 \h </w:instrText>
      </w:r>
      <w:r>
        <w:fldChar w:fldCharType="separate"/>
      </w:r>
      <w:r>
        <w:t>3</w:t>
      </w:r>
      <w:r>
        <w:fldChar w:fldCharType="end"/>
      </w:r>
    </w:p>
    <w:p w14:paraId="3DD7464E">
      <w:pPr>
        <w:pStyle w:val="70"/>
        <w:tabs>
          <w:tab w:val="right" w:leader="dot" w:pos="9746"/>
        </w:tabs>
      </w:pPr>
      <w:r>
        <w:rPr>
          <w:rFonts w:hint="default" w:ascii="宋体" w:hAnsi="宋体" w:eastAsia="宋体" w:cs="宋体"/>
        </w:rPr>
        <w:t xml:space="preserve">4.6. </w:t>
      </w:r>
      <w:r>
        <w:rPr>
          <w:rFonts w:hint="eastAsia" w:ascii="宋体" w:hAnsi="宋体" w:cs="宋体"/>
        </w:rPr>
        <w:t>放电电流符号</w:t>
      </w:r>
      <w:r>
        <w:tab/>
      </w:r>
      <w:r>
        <w:fldChar w:fldCharType="begin"/>
      </w:r>
      <w:r>
        <w:instrText xml:space="preserve"> PAGEREF _Toc18030 \h </w:instrText>
      </w:r>
      <w:r>
        <w:fldChar w:fldCharType="separate"/>
      </w:r>
      <w:r>
        <w:t>4</w:t>
      </w:r>
      <w:r>
        <w:fldChar w:fldCharType="end"/>
      </w:r>
    </w:p>
    <w:p w14:paraId="5A1F0867">
      <w:pPr>
        <w:pStyle w:val="70"/>
        <w:tabs>
          <w:tab w:val="right" w:leader="dot" w:pos="9746"/>
        </w:tabs>
      </w:pPr>
      <w:r>
        <w:rPr>
          <w:rFonts w:hint="default" w:ascii="宋体" w:hAnsi="宋体" w:eastAsia="宋体" w:cs="宋体"/>
        </w:rPr>
        <w:t xml:space="preserve">4.7. </w:t>
      </w:r>
      <w:r>
        <w:rPr>
          <w:rFonts w:hint="eastAsia" w:ascii="宋体" w:hAnsi="宋体" w:cs="宋体"/>
        </w:rPr>
        <w:t>高频开关整流器</w:t>
      </w:r>
      <w:r>
        <w:tab/>
      </w:r>
      <w:r>
        <w:fldChar w:fldCharType="begin"/>
      </w:r>
      <w:r>
        <w:instrText xml:space="preserve"> PAGEREF _Toc5346 \h </w:instrText>
      </w:r>
      <w:r>
        <w:fldChar w:fldCharType="separate"/>
      </w:r>
      <w:r>
        <w:t>4</w:t>
      </w:r>
      <w:r>
        <w:fldChar w:fldCharType="end"/>
      </w:r>
    </w:p>
    <w:p w14:paraId="62D99BAC">
      <w:pPr>
        <w:pStyle w:val="70"/>
        <w:tabs>
          <w:tab w:val="right" w:leader="dot" w:pos="9746"/>
        </w:tabs>
      </w:pPr>
      <w:r>
        <w:rPr>
          <w:rFonts w:hint="default" w:ascii="宋体" w:hAnsi="宋体" w:eastAsia="宋体" w:cs="宋体"/>
        </w:rPr>
        <w:t xml:space="preserve">4.8. </w:t>
      </w:r>
      <w:r>
        <w:rPr>
          <w:rFonts w:hint="eastAsia" w:ascii="宋体" w:hAnsi="宋体" w:cs="宋体"/>
        </w:rPr>
        <w:t>系统主机</w:t>
      </w:r>
      <w:r>
        <w:tab/>
      </w:r>
      <w:r>
        <w:fldChar w:fldCharType="begin"/>
      </w:r>
      <w:r>
        <w:instrText xml:space="preserve"> PAGEREF _Toc1030 \h </w:instrText>
      </w:r>
      <w:r>
        <w:fldChar w:fldCharType="separate"/>
      </w:r>
      <w:r>
        <w:t>4</w:t>
      </w:r>
      <w:r>
        <w:fldChar w:fldCharType="end"/>
      </w:r>
    </w:p>
    <w:p w14:paraId="6441E59C">
      <w:pPr>
        <w:pStyle w:val="70"/>
        <w:tabs>
          <w:tab w:val="right" w:leader="dot" w:pos="9746"/>
        </w:tabs>
      </w:pPr>
      <w:r>
        <w:rPr>
          <w:rFonts w:hint="default" w:ascii="宋体" w:hAnsi="宋体" w:eastAsia="宋体" w:cs="宋体"/>
        </w:rPr>
        <w:t xml:space="preserve">4.9. </w:t>
      </w:r>
      <w:r>
        <w:rPr>
          <w:rFonts w:hint="eastAsia" w:ascii="宋体" w:hAnsi="宋体" w:cs="宋体"/>
        </w:rPr>
        <w:t>电池采集模块</w:t>
      </w:r>
      <w:r>
        <w:tab/>
      </w:r>
      <w:r>
        <w:fldChar w:fldCharType="begin"/>
      </w:r>
      <w:r>
        <w:instrText xml:space="preserve"> PAGEREF _Toc24717 \h </w:instrText>
      </w:r>
      <w:r>
        <w:fldChar w:fldCharType="separate"/>
      </w:r>
      <w:r>
        <w:t>4</w:t>
      </w:r>
      <w:r>
        <w:fldChar w:fldCharType="end"/>
      </w:r>
    </w:p>
    <w:p w14:paraId="7D50A1A7">
      <w:pPr>
        <w:pStyle w:val="70"/>
        <w:tabs>
          <w:tab w:val="right" w:leader="dot" w:pos="9746"/>
        </w:tabs>
      </w:pPr>
      <w:r>
        <w:rPr>
          <w:rFonts w:hint="default" w:ascii="宋体" w:hAnsi="宋体" w:eastAsia="宋体" w:cs="宋体"/>
        </w:rPr>
        <w:t xml:space="preserve">4.10. </w:t>
      </w:r>
      <w:r>
        <w:rPr>
          <w:rFonts w:hint="eastAsia" w:ascii="宋体" w:hAnsi="宋体" w:cs="宋体"/>
        </w:rPr>
        <w:t>蓄电池组预充电</w:t>
      </w:r>
      <w:r>
        <w:tab/>
      </w:r>
      <w:r>
        <w:fldChar w:fldCharType="begin"/>
      </w:r>
      <w:r>
        <w:instrText xml:space="preserve"> PAGEREF _Toc24790 \h </w:instrText>
      </w:r>
      <w:r>
        <w:fldChar w:fldCharType="separate"/>
      </w:r>
      <w:r>
        <w:t>4</w:t>
      </w:r>
      <w:r>
        <w:fldChar w:fldCharType="end"/>
      </w:r>
    </w:p>
    <w:p w14:paraId="34D77E62">
      <w:pPr>
        <w:pStyle w:val="70"/>
        <w:tabs>
          <w:tab w:val="right" w:leader="dot" w:pos="9746"/>
        </w:tabs>
      </w:pPr>
      <w:r>
        <w:rPr>
          <w:rFonts w:hint="default" w:ascii="宋体" w:hAnsi="宋体" w:eastAsia="宋体" w:cs="宋体"/>
        </w:rPr>
        <w:t xml:space="preserve">4.11. </w:t>
      </w:r>
      <w:r>
        <w:rPr>
          <w:rFonts w:hint="eastAsia" w:ascii="宋体" w:hAnsi="宋体" w:cs="宋体"/>
        </w:rPr>
        <w:t>蓄电池组自由充电</w:t>
      </w:r>
      <w:r>
        <w:tab/>
      </w:r>
      <w:r>
        <w:fldChar w:fldCharType="begin"/>
      </w:r>
      <w:r>
        <w:instrText xml:space="preserve"> PAGEREF _Toc9045 \h </w:instrText>
      </w:r>
      <w:r>
        <w:fldChar w:fldCharType="separate"/>
      </w:r>
      <w:r>
        <w:t>4</w:t>
      </w:r>
      <w:r>
        <w:fldChar w:fldCharType="end"/>
      </w:r>
    </w:p>
    <w:p w14:paraId="1B92FBEE">
      <w:pPr>
        <w:pStyle w:val="70"/>
        <w:tabs>
          <w:tab w:val="right" w:leader="dot" w:pos="9746"/>
        </w:tabs>
      </w:pPr>
      <w:r>
        <w:rPr>
          <w:rFonts w:hint="default" w:ascii="宋体" w:hAnsi="宋体" w:eastAsia="宋体" w:cs="宋体"/>
        </w:rPr>
        <w:t xml:space="preserve">4.12. </w:t>
      </w:r>
      <w:r>
        <w:rPr>
          <w:rFonts w:hint="eastAsia" w:ascii="宋体" w:hAnsi="宋体" w:cs="宋体"/>
        </w:rPr>
        <w:t>蓄电池组自由放电</w:t>
      </w:r>
      <w:r>
        <w:tab/>
      </w:r>
      <w:r>
        <w:fldChar w:fldCharType="begin"/>
      </w:r>
      <w:r>
        <w:instrText xml:space="preserve"> PAGEREF _Toc17144 \h </w:instrText>
      </w:r>
      <w:r>
        <w:fldChar w:fldCharType="separate"/>
      </w:r>
      <w:r>
        <w:t>4</w:t>
      </w:r>
      <w:r>
        <w:fldChar w:fldCharType="end"/>
      </w:r>
    </w:p>
    <w:p w14:paraId="2E1E8ACA">
      <w:pPr>
        <w:pStyle w:val="56"/>
        <w:tabs>
          <w:tab w:val="right" w:leader="dot" w:pos="9746"/>
        </w:tabs>
      </w:pPr>
      <w:r>
        <w:rPr>
          <w:rFonts w:hint="default" w:ascii="宋体" w:hAnsi="宋体" w:eastAsia="宋体" w:cs="宋体"/>
        </w:rPr>
        <w:t xml:space="preserve">5. </w:t>
      </w:r>
      <w:r>
        <w:rPr>
          <w:rFonts w:hint="eastAsia"/>
        </w:rPr>
        <w:t>缩略语</w:t>
      </w:r>
      <w:r>
        <w:tab/>
      </w:r>
      <w:r>
        <w:fldChar w:fldCharType="begin"/>
      </w:r>
      <w:r>
        <w:instrText xml:space="preserve"> PAGEREF _Toc23326 \h </w:instrText>
      </w:r>
      <w:r>
        <w:fldChar w:fldCharType="separate"/>
      </w:r>
      <w:r>
        <w:t>4</w:t>
      </w:r>
      <w:r>
        <w:fldChar w:fldCharType="end"/>
      </w:r>
    </w:p>
    <w:p w14:paraId="46611CC3">
      <w:pPr>
        <w:pStyle w:val="70"/>
        <w:tabs>
          <w:tab w:val="right" w:leader="dot" w:pos="9746"/>
        </w:tabs>
      </w:pPr>
      <w:r>
        <w:rPr>
          <w:rFonts w:hint="default" w:ascii="宋体" w:hAnsi="宋体" w:eastAsia="宋体" w:cs="宋体"/>
        </w:rPr>
        <w:t xml:space="preserve">5.1. </w:t>
      </w:r>
      <w:r>
        <w:rPr>
          <w:rFonts w:hint="eastAsia" w:ascii="宋体" w:hAnsi="宋体" w:cs="宋体"/>
        </w:rPr>
        <w:t>MTBF</w:t>
      </w:r>
      <w:r>
        <w:tab/>
      </w:r>
      <w:r>
        <w:fldChar w:fldCharType="begin"/>
      </w:r>
      <w:r>
        <w:instrText xml:space="preserve"> PAGEREF _Toc26669 \h </w:instrText>
      </w:r>
      <w:r>
        <w:fldChar w:fldCharType="separate"/>
      </w:r>
      <w:r>
        <w:t>4</w:t>
      </w:r>
      <w:r>
        <w:fldChar w:fldCharType="end"/>
      </w:r>
    </w:p>
    <w:p w14:paraId="06E4C35C">
      <w:pPr>
        <w:pStyle w:val="56"/>
        <w:tabs>
          <w:tab w:val="right" w:leader="dot" w:pos="9746"/>
        </w:tabs>
      </w:pPr>
      <w:r>
        <w:rPr>
          <w:rFonts w:hint="default" w:ascii="宋体" w:hAnsi="宋体" w:eastAsia="宋体" w:cs="宋体"/>
        </w:rPr>
        <w:t xml:space="preserve">6. </w:t>
      </w:r>
      <w:r>
        <w:rPr>
          <w:rFonts w:hint="eastAsia" w:ascii="宋体" w:hAnsi="宋体" w:cs="宋体"/>
        </w:rPr>
        <w:t>使用条件</w:t>
      </w:r>
      <w:r>
        <w:tab/>
      </w:r>
      <w:r>
        <w:fldChar w:fldCharType="begin"/>
      </w:r>
      <w:r>
        <w:instrText xml:space="preserve"> PAGEREF _Toc20582 \h </w:instrText>
      </w:r>
      <w:r>
        <w:fldChar w:fldCharType="separate"/>
      </w:r>
      <w:r>
        <w:t>4</w:t>
      </w:r>
      <w:r>
        <w:fldChar w:fldCharType="end"/>
      </w:r>
    </w:p>
    <w:p w14:paraId="56954004">
      <w:pPr>
        <w:pStyle w:val="70"/>
        <w:tabs>
          <w:tab w:val="right" w:leader="dot" w:pos="9746"/>
        </w:tabs>
      </w:pPr>
      <w:r>
        <w:rPr>
          <w:rFonts w:hint="default" w:ascii="宋体" w:hAnsi="宋体" w:eastAsia="宋体" w:cs="宋体"/>
        </w:rPr>
        <w:t xml:space="preserve">6.1. </w:t>
      </w:r>
      <w:r>
        <w:rPr>
          <w:rFonts w:hint="eastAsia" w:ascii="宋体" w:hAnsi="宋体" w:cs="宋体"/>
        </w:rPr>
        <w:t>工作环境条件</w:t>
      </w:r>
      <w:r>
        <w:tab/>
      </w:r>
      <w:r>
        <w:fldChar w:fldCharType="begin"/>
      </w:r>
      <w:r>
        <w:instrText xml:space="preserve"> PAGEREF _Toc31161 \h </w:instrText>
      </w:r>
      <w:r>
        <w:fldChar w:fldCharType="separate"/>
      </w:r>
      <w:r>
        <w:t>4</w:t>
      </w:r>
      <w:r>
        <w:fldChar w:fldCharType="end"/>
      </w:r>
    </w:p>
    <w:p w14:paraId="5CC426A9">
      <w:pPr>
        <w:pStyle w:val="70"/>
        <w:tabs>
          <w:tab w:val="right" w:leader="dot" w:pos="9746"/>
        </w:tabs>
      </w:pPr>
      <w:r>
        <w:rPr>
          <w:rFonts w:hint="default" w:ascii="宋体" w:hAnsi="宋体" w:eastAsia="宋体" w:cs="宋体"/>
        </w:rPr>
        <w:t xml:space="preserve">6.2. </w:t>
      </w:r>
      <w:r>
        <w:rPr>
          <w:rFonts w:hint="eastAsia" w:ascii="宋体" w:hAnsi="宋体" w:cs="宋体"/>
        </w:rPr>
        <w:t>贮存、运输极限环境温度</w:t>
      </w:r>
      <w:r>
        <w:tab/>
      </w:r>
      <w:r>
        <w:fldChar w:fldCharType="begin"/>
      </w:r>
      <w:r>
        <w:instrText xml:space="preserve"> PAGEREF _Toc26425 \h </w:instrText>
      </w:r>
      <w:r>
        <w:fldChar w:fldCharType="separate"/>
      </w:r>
      <w:r>
        <w:t>4</w:t>
      </w:r>
      <w:r>
        <w:fldChar w:fldCharType="end"/>
      </w:r>
    </w:p>
    <w:p w14:paraId="69055D7F">
      <w:pPr>
        <w:pStyle w:val="70"/>
        <w:tabs>
          <w:tab w:val="right" w:leader="dot" w:pos="9746"/>
        </w:tabs>
      </w:pPr>
      <w:r>
        <w:rPr>
          <w:rFonts w:hint="default" w:ascii="宋体" w:hAnsi="宋体" w:eastAsia="宋体" w:cs="宋体"/>
        </w:rPr>
        <w:t xml:space="preserve">6.3. </w:t>
      </w:r>
      <w:r>
        <w:rPr>
          <w:rFonts w:hint="eastAsia" w:ascii="宋体" w:hAnsi="宋体" w:cs="宋体"/>
        </w:rPr>
        <w:t>运行电气条件</w:t>
      </w:r>
      <w:r>
        <w:tab/>
      </w:r>
      <w:r>
        <w:fldChar w:fldCharType="begin"/>
      </w:r>
      <w:r>
        <w:instrText xml:space="preserve"> PAGEREF _Toc29694 \h </w:instrText>
      </w:r>
      <w:r>
        <w:fldChar w:fldCharType="separate"/>
      </w:r>
      <w:r>
        <w:t>5</w:t>
      </w:r>
      <w:r>
        <w:fldChar w:fldCharType="end"/>
      </w:r>
    </w:p>
    <w:p w14:paraId="2A86A73F">
      <w:pPr>
        <w:pStyle w:val="56"/>
        <w:tabs>
          <w:tab w:val="right" w:leader="dot" w:pos="9746"/>
        </w:tabs>
      </w:pPr>
      <w:r>
        <w:rPr>
          <w:rFonts w:hint="eastAsia" w:ascii="宋体" w:hAnsi="宋体" w:cs="宋体"/>
        </w:rPr>
        <w:t>系统技术要求</w:t>
      </w:r>
      <w:r>
        <w:tab/>
      </w:r>
      <w:r>
        <w:fldChar w:fldCharType="begin"/>
      </w:r>
      <w:r>
        <w:instrText xml:space="preserve"> PAGEREF _Toc22733 \h </w:instrText>
      </w:r>
      <w:r>
        <w:fldChar w:fldCharType="separate"/>
      </w:r>
      <w:r>
        <w:t>5</w:t>
      </w:r>
      <w:r>
        <w:fldChar w:fldCharType="end"/>
      </w:r>
    </w:p>
    <w:p w14:paraId="444D46A2">
      <w:pPr>
        <w:pStyle w:val="56"/>
        <w:tabs>
          <w:tab w:val="right" w:leader="dot" w:pos="9746"/>
        </w:tabs>
      </w:pPr>
      <w:r>
        <w:rPr>
          <w:rFonts w:hint="default" w:ascii="宋体" w:hAnsi="宋体" w:eastAsia="宋体" w:cs="宋体"/>
        </w:rPr>
        <w:t xml:space="preserve">7. </w:t>
      </w:r>
      <w:r>
        <w:tab/>
      </w:r>
      <w:r>
        <w:fldChar w:fldCharType="begin"/>
      </w:r>
      <w:r>
        <w:instrText xml:space="preserve"> PAGEREF _Toc10296 \h </w:instrText>
      </w:r>
      <w:r>
        <w:fldChar w:fldCharType="separate"/>
      </w:r>
      <w:r>
        <w:t>5</w:t>
      </w:r>
      <w:r>
        <w:fldChar w:fldCharType="end"/>
      </w:r>
    </w:p>
    <w:p w14:paraId="7E9B0DEE">
      <w:pPr>
        <w:pStyle w:val="70"/>
        <w:tabs>
          <w:tab w:val="right" w:leader="dot" w:pos="9746"/>
        </w:tabs>
      </w:pPr>
      <w:r>
        <w:rPr>
          <w:rFonts w:hint="default" w:ascii="宋体" w:hAnsi="宋体" w:eastAsia="宋体" w:cs="宋体"/>
        </w:rPr>
        <w:t xml:space="preserve">7.1. </w:t>
      </w:r>
      <w:r>
        <w:rPr>
          <w:rFonts w:hint="eastAsia" w:ascii="宋体" w:hAnsi="宋体" w:cs="宋体"/>
        </w:rPr>
        <w:t>系统硬件组成</w:t>
      </w:r>
      <w:r>
        <w:tab/>
      </w:r>
      <w:r>
        <w:fldChar w:fldCharType="begin"/>
      </w:r>
      <w:r>
        <w:instrText xml:space="preserve"> PAGEREF _Toc8934 \h </w:instrText>
      </w:r>
      <w:r>
        <w:fldChar w:fldCharType="separate"/>
      </w:r>
      <w:r>
        <w:t>5</w:t>
      </w:r>
      <w:r>
        <w:fldChar w:fldCharType="end"/>
      </w:r>
    </w:p>
    <w:p w14:paraId="208FB0BF">
      <w:pPr>
        <w:pStyle w:val="70"/>
        <w:tabs>
          <w:tab w:val="right" w:leader="dot" w:pos="9746"/>
        </w:tabs>
      </w:pPr>
      <w:r>
        <w:rPr>
          <w:rFonts w:hint="default" w:ascii="宋体" w:hAnsi="宋体" w:eastAsia="宋体" w:cs="宋体"/>
        </w:rPr>
        <w:t xml:space="preserve">7.2. </w:t>
      </w:r>
      <w:r>
        <w:rPr>
          <w:rFonts w:hint="eastAsia" w:ascii="宋体" w:hAnsi="宋体" w:cs="宋体"/>
        </w:rPr>
        <w:t>通信蓄电池在线核容装置</w:t>
      </w:r>
      <w:r>
        <w:rPr>
          <w:rFonts w:hint="eastAsia" w:ascii="宋体" w:hAnsi="宋体" w:cs="宋体"/>
          <w:lang w:val="en-US" w:eastAsia="zh-CN"/>
        </w:rPr>
        <w:t>主机</w:t>
      </w:r>
      <w:r>
        <w:rPr>
          <w:rFonts w:hint="eastAsia" w:ascii="宋体" w:hAnsi="宋体" w:cs="宋体"/>
        </w:rPr>
        <w:t>技术要求</w:t>
      </w:r>
      <w:r>
        <w:tab/>
      </w:r>
      <w:r>
        <w:fldChar w:fldCharType="begin"/>
      </w:r>
      <w:r>
        <w:instrText xml:space="preserve"> PAGEREF _Toc4288 \h </w:instrText>
      </w:r>
      <w:r>
        <w:fldChar w:fldCharType="separate"/>
      </w:r>
      <w:r>
        <w:t>6</w:t>
      </w:r>
      <w:r>
        <w:fldChar w:fldCharType="end"/>
      </w:r>
    </w:p>
    <w:p w14:paraId="554DBF7D">
      <w:pPr>
        <w:pStyle w:val="42"/>
        <w:tabs>
          <w:tab w:val="right" w:leader="dot" w:pos="9746"/>
        </w:tabs>
      </w:pPr>
      <w:r>
        <w:rPr>
          <w:rFonts w:hint="default" w:ascii="宋体" w:hAnsi="宋体" w:eastAsia="宋体" w:cs="宋体"/>
        </w:rPr>
        <w:t xml:space="preserve">7.2.1. </w:t>
      </w:r>
      <w:r>
        <w:rPr>
          <w:rFonts w:hint="eastAsia"/>
        </w:rPr>
        <w:t>通信蓄电池在线核容装置系统主机</w:t>
      </w:r>
      <w:r>
        <w:tab/>
      </w:r>
      <w:r>
        <w:fldChar w:fldCharType="begin"/>
      </w:r>
      <w:r>
        <w:instrText xml:space="preserve"> PAGEREF _Toc9076 \h </w:instrText>
      </w:r>
      <w:r>
        <w:fldChar w:fldCharType="separate"/>
      </w:r>
      <w:r>
        <w:t>6</w:t>
      </w:r>
      <w:r>
        <w:fldChar w:fldCharType="end"/>
      </w:r>
    </w:p>
    <w:p w14:paraId="7B0B5B17">
      <w:pPr>
        <w:pStyle w:val="42"/>
        <w:tabs>
          <w:tab w:val="right" w:leader="dot" w:pos="9746"/>
        </w:tabs>
      </w:pPr>
      <w:r>
        <w:rPr>
          <w:rFonts w:hint="default" w:ascii="宋体" w:hAnsi="宋体" w:eastAsia="宋体" w:cs="宋体"/>
        </w:rPr>
        <w:t xml:space="preserve">7.2.2. </w:t>
      </w:r>
      <w:r>
        <w:rPr>
          <w:rFonts w:hint="eastAsia" w:ascii="宋体" w:hAnsi="宋体" w:cs="宋体"/>
        </w:rPr>
        <w:t>系统主机外观</w:t>
      </w:r>
      <w:r>
        <w:tab/>
      </w:r>
      <w:r>
        <w:fldChar w:fldCharType="begin"/>
      </w:r>
      <w:r>
        <w:instrText xml:space="preserve"> PAGEREF _Toc13505 \h </w:instrText>
      </w:r>
      <w:r>
        <w:fldChar w:fldCharType="separate"/>
      </w:r>
      <w:r>
        <w:t>7</w:t>
      </w:r>
      <w:r>
        <w:fldChar w:fldCharType="end"/>
      </w:r>
    </w:p>
    <w:p w14:paraId="79FC3D56">
      <w:pPr>
        <w:pStyle w:val="42"/>
        <w:tabs>
          <w:tab w:val="right" w:leader="dot" w:pos="9746"/>
        </w:tabs>
      </w:pPr>
      <w:r>
        <w:rPr>
          <w:rFonts w:hint="default" w:ascii="宋体" w:hAnsi="宋体" w:eastAsia="宋体" w:cs="宋体"/>
        </w:rPr>
        <w:t xml:space="preserve">7.2.3. </w:t>
      </w:r>
      <w:r>
        <w:rPr>
          <w:rFonts w:hint="eastAsia" w:ascii="宋体" w:hAnsi="宋体" w:cs="宋体"/>
        </w:rPr>
        <w:t>系统主机功能</w:t>
      </w:r>
      <w:r>
        <w:tab/>
      </w:r>
      <w:r>
        <w:fldChar w:fldCharType="begin"/>
      </w:r>
      <w:r>
        <w:instrText xml:space="preserve"> PAGEREF _Toc18956 \h </w:instrText>
      </w:r>
      <w:r>
        <w:fldChar w:fldCharType="separate"/>
      </w:r>
      <w:r>
        <w:t>7</w:t>
      </w:r>
      <w:r>
        <w:fldChar w:fldCharType="end"/>
      </w:r>
    </w:p>
    <w:p w14:paraId="39EACEC9">
      <w:pPr>
        <w:pStyle w:val="42"/>
        <w:tabs>
          <w:tab w:val="right" w:leader="dot" w:pos="9746"/>
        </w:tabs>
      </w:pPr>
      <w:r>
        <w:rPr>
          <w:rFonts w:hint="default" w:ascii="宋体" w:hAnsi="宋体" w:eastAsia="宋体" w:cs="宋体"/>
        </w:rPr>
        <w:t xml:space="preserve">7.2.4. </w:t>
      </w:r>
      <w:r>
        <w:rPr>
          <w:rFonts w:hint="eastAsia" w:ascii="宋体" w:hAnsi="宋体" w:cs="宋体"/>
        </w:rPr>
        <w:t>系统主机性能指标</w:t>
      </w:r>
      <w:r>
        <w:tab/>
      </w:r>
      <w:r>
        <w:fldChar w:fldCharType="begin"/>
      </w:r>
      <w:r>
        <w:instrText xml:space="preserve"> PAGEREF _Toc32330 \h </w:instrText>
      </w:r>
      <w:r>
        <w:fldChar w:fldCharType="separate"/>
      </w:r>
      <w:r>
        <w:t>10</w:t>
      </w:r>
      <w:r>
        <w:fldChar w:fldCharType="end"/>
      </w:r>
    </w:p>
    <w:p w14:paraId="61D850E3">
      <w:pPr>
        <w:pStyle w:val="42"/>
        <w:tabs>
          <w:tab w:val="right" w:leader="dot" w:pos="9746"/>
        </w:tabs>
      </w:pPr>
      <w:r>
        <w:rPr>
          <w:rFonts w:hint="default" w:ascii="宋体" w:hAnsi="宋体" w:eastAsia="宋体" w:cs="宋体"/>
        </w:rPr>
        <w:t xml:space="preserve">7.2.5. </w:t>
      </w:r>
      <w:r>
        <w:rPr>
          <w:rFonts w:hint="eastAsia" w:ascii="宋体" w:hAnsi="宋体" w:cs="宋体"/>
        </w:rPr>
        <w:t>系统主机后台通信</w:t>
      </w:r>
      <w:r>
        <w:tab/>
      </w:r>
      <w:r>
        <w:fldChar w:fldCharType="begin"/>
      </w:r>
      <w:r>
        <w:instrText xml:space="preserve"> PAGEREF _Toc22049 \h </w:instrText>
      </w:r>
      <w:r>
        <w:fldChar w:fldCharType="separate"/>
      </w:r>
      <w:r>
        <w:t>11</w:t>
      </w:r>
      <w:r>
        <w:fldChar w:fldCharType="end"/>
      </w:r>
    </w:p>
    <w:p w14:paraId="1816EA2C">
      <w:pPr>
        <w:pStyle w:val="42"/>
        <w:tabs>
          <w:tab w:val="right" w:leader="dot" w:pos="9746"/>
        </w:tabs>
      </w:pPr>
      <w:r>
        <w:rPr>
          <w:rFonts w:hint="default" w:ascii="宋体" w:hAnsi="宋体" w:eastAsia="宋体" w:cs="宋体"/>
        </w:rPr>
        <w:t xml:space="preserve">7.2.6. </w:t>
      </w:r>
      <w:r>
        <w:rPr>
          <w:rFonts w:hint="eastAsia" w:ascii="宋体" w:hAnsi="宋体" w:cs="宋体"/>
        </w:rPr>
        <w:t>系统主机安装施工</w:t>
      </w:r>
      <w:r>
        <w:tab/>
      </w:r>
      <w:r>
        <w:fldChar w:fldCharType="begin"/>
      </w:r>
      <w:r>
        <w:instrText xml:space="preserve"> PAGEREF _Toc15894 \h </w:instrText>
      </w:r>
      <w:r>
        <w:fldChar w:fldCharType="separate"/>
      </w:r>
      <w:r>
        <w:t>11</w:t>
      </w:r>
      <w:r>
        <w:fldChar w:fldCharType="end"/>
      </w:r>
    </w:p>
    <w:p w14:paraId="59346759">
      <w:pPr>
        <w:pStyle w:val="70"/>
        <w:tabs>
          <w:tab w:val="right" w:leader="dot" w:pos="9746"/>
        </w:tabs>
      </w:pPr>
      <w:r>
        <w:rPr>
          <w:rFonts w:hint="default" w:ascii="宋体" w:hAnsi="宋体" w:eastAsia="宋体" w:cs="宋体"/>
        </w:rPr>
        <w:t xml:space="preserve">7.3. </w:t>
      </w:r>
      <w:r>
        <w:rPr>
          <w:rFonts w:hint="eastAsia" w:ascii="宋体" w:hAnsi="宋体" w:cs="宋体"/>
        </w:rPr>
        <w:t>系统单体、汇集器模块技术要求</w:t>
      </w:r>
      <w:r>
        <w:tab/>
      </w:r>
      <w:r>
        <w:fldChar w:fldCharType="begin"/>
      </w:r>
      <w:r>
        <w:instrText xml:space="preserve"> PAGEREF _Toc4150 \h </w:instrText>
      </w:r>
      <w:r>
        <w:fldChar w:fldCharType="separate"/>
      </w:r>
      <w:r>
        <w:t>12</w:t>
      </w:r>
      <w:r>
        <w:fldChar w:fldCharType="end"/>
      </w:r>
    </w:p>
    <w:p w14:paraId="7D9134CD">
      <w:pPr>
        <w:pStyle w:val="42"/>
        <w:tabs>
          <w:tab w:val="right" w:leader="dot" w:pos="9746"/>
        </w:tabs>
      </w:pPr>
      <w:r>
        <w:rPr>
          <w:rFonts w:hint="default" w:ascii="宋体" w:hAnsi="宋体" w:eastAsia="宋体" w:cs="宋体"/>
        </w:rPr>
        <w:t xml:space="preserve">7.3.1. </w:t>
      </w:r>
      <w:r>
        <w:rPr>
          <w:rFonts w:hint="eastAsia" w:ascii="宋体" w:hAnsi="宋体" w:cs="宋体"/>
        </w:rPr>
        <w:t>汇集器功能</w:t>
      </w:r>
      <w:r>
        <w:tab/>
      </w:r>
      <w:r>
        <w:fldChar w:fldCharType="begin"/>
      </w:r>
      <w:r>
        <w:instrText xml:space="preserve"> PAGEREF _Toc12941 \h </w:instrText>
      </w:r>
      <w:r>
        <w:fldChar w:fldCharType="separate"/>
      </w:r>
      <w:r>
        <w:t>12</w:t>
      </w:r>
      <w:r>
        <w:fldChar w:fldCharType="end"/>
      </w:r>
    </w:p>
    <w:p w14:paraId="6A003221">
      <w:pPr>
        <w:pStyle w:val="42"/>
        <w:tabs>
          <w:tab w:val="right" w:leader="dot" w:pos="9746"/>
        </w:tabs>
      </w:pPr>
      <w:r>
        <w:rPr>
          <w:rFonts w:hint="default" w:ascii="宋体" w:hAnsi="宋体" w:eastAsia="宋体" w:cs="宋体"/>
        </w:rPr>
        <w:t xml:space="preserve">7.3.2. </w:t>
      </w:r>
      <w:r>
        <w:rPr>
          <w:rFonts w:hint="eastAsia" w:ascii="宋体" w:hAnsi="宋体" w:cs="宋体"/>
        </w:rPr>
        <w:t>汇集器性能参数</w:t>
      </w:r>
      <w:r>
        <w:tab/>
      </w:r>
      <w:r>
        <w:fldChar w:fldCharType="begin"/>
      </w:r>
      <w:r>
        <w:instrText xml:space="preserve"> PAGEREF _Toc7510 \h </w:instrText>
      </w:r>
      <w:r>
        <w:fldChar w:fldCharType="separate"/>
      </w:r>
      <w:r>
        <w:t>12</w:t>
      </w:r>
      <w:r>
        <w:fldChar w:fldCharType="end"/>
      </w:r>
    </w:p>
    <w:p w14:paraId="73E9C13B">
      <w:pPr>
        <w:pStyle w:val="42"/>
        <w:tabs>
          <w:tab w:val="right" w:leader="dot" w:pos="9746"/>
        </w:tabs>
      </w:pPr>
      <w:r>
        <w:rPr>
          <w:rFonts w:hint="default" w:ascii="宋体" w:hAnsi="宋体" w:eastAsia="宋体" w:cs="宋体"/>
        </w:rPr>
        <w:t xml:space="preserve">7.3.3. </w:t>
      </w:r>
      <w:r>
        <w:rPr>
          <w:rFonts w:hint="eastAsia" w:ascii="宋体" w:hAnsi="宋体" w:cs="宋体"/>
        </w:rPr>
        <w:t>汇集器安装施工</w:t>
      </w:r>
      <w:r>
        <w:tab/>
      </w:r>
      <w:r>
        <w:fldChar w:fldCharType="begin"/>
      </w:r>
      <w:r>
        <w:instrText xml:space="preserve"> PAGEREF _Toc21442 \h </w:instrText>
      </w:r>
      <w:r>
        <w:fldChar w:fldCharType="separate"/>
      </w:r>
      <w:r>
        <w:t>12</w:t>
      </w:r>
      <w:r>
        <w:fldChar w:fldCharType="end"/>
      </w:r>
    </w:p>
    <w:p w14:paraId="6D87B28C">
      <w:pPr>
        <w:pStyle w:val="70"/>
        <w:tabs>
          <w:tab w:val="right" w:leader="dot" w:pos="9746"/>
        </w:tabs>
      </w:pPr>
      <w:r>
        <w:rPr>
          <w:rFonts w:hint="default" w:ascii="宋体" w:hAnsi="宋体" w:eastAsia="宋体" w:cs="宋体"/>
        </w:rPr>
        <w:t xml:space="preserve">7.4. </w:t>
      </w:r>
      <w:r>
        <w:rPr>
          <w:rFonts w:hint="eastAsia" w:ascii="宋体" w:hAnsi="宋体" w:cs="宋体"/>
        </w:rPr>
        <w:t>单体采集模块技术要求</w:t>
      </w:r>
      <w:r>
        <w:tab/>
      </w:r>
      <w:r>
        <w:fldChar w:fldCharType="begin"/>
      </w:r>
      <w:r>
        <w:instrText xml:space="preserve"> PAGEREF _Toc18326 \h </w:instrText>
      </w:r>
      <w:r>
        <w:fldChar w:fldCharType="separate"/>
      </w:r>
      <w:r>
        <w:t>12</w:t>
      </w:r>
      <w:r>
        <w:fldChar w:fldCharType="end"/>
      </w:r>
    </w:p>
    <w:p w14:paraId="7746F564">
      <w:pPr>
        <w:pStyle w:val="42"/>
        <w:tabs>
          <w:tab w:val="right" w:leader="dot" w:pos="9746"/>
        </w:tabs>
      </w:pPr>
      <w:r>
        <w:rPr>
          <w:rFonts w:hint="default" w:ascii="宋体" w:hAnsi="宋体" w:eastAsia="宋体" w:cs="宋体"/>
        </w:rPr>
        <w:t xml:space="preserve">7.4.1. </w:t>
      </w:r>
      <w:r>
        <w:rPr>
          <w:rFonts w:hint="eastAsia" w:ascii="宋体" w:hAnsi="宋体" w:cs="宋体"/>
        </w:rPr>
        <w:t>单体采集模块功能</w:t>
      </w:r>
      <w:r>
        <w:tab/>
      </w:r>
      <w:r>
        <w:fldChar w:fldCharType="begin"/>
      </w:r>
      <w:r>
        <w:instrText xml:space="preserve"> PAGEREF _Toc29825 \h </w:instrText>
      </w:r>
      <w:r>
        <w:fldChar w:fldCharType="separate"/>
      </w:r>
      <w:r>
        <w:t>12</w:t>
      </w:r>
      <w:r>
        <w:fldChar w:fldCharType="end"/>
      </w:r>
    </w:p>
    <w:p w14:paraId="4B7B6367">
      <w:pPr>
        <w:pStyle w:val="42"/>
        <w:tabs>
          <w:tab w:val="right" w:leader="dot" w:pos="9746"/>
        </w:tabs>
      </w:pPr>
      <w:r>
        <w:rPr>
          <w:rFonts w:hint="default" w:ascii="宋体" w:hAnsi="宋体" w:eastAsia="宋体" w:cs="宋体"/>
        </w:rPr>
        <w:t xml:space="preserve">7.4.2. </w:t>
      </w:r>
      <w:r>
        <w:rPr>
          <w:rFonts w:hint="eastAsia" w:ascii="宋体" w:hAnsi="宋体" w:cs="宋体"/>
        </w:rPr>
        <w:t>单体采集模块性能参数</w:t>
      </w:r>
      <w:r>
        <w:tab/>
      </w:r>
      <w:r>
        <w:fldChar w:fldCharType="begin"/>
      </w:r>
      <w:r>
        <w:instrText xml:space="preserve"> PAGEREF _Toc11126 \h </w:instrText>
      </w:r>
      <w:r>
        <w:fldChar w:fldCharType="separate"/>
      </w:r>
      <w:r>
        <w:t>12</w:t>
      </w:r>
      <w:r>
        <w:fldChar w:fldCharType="end"/>
      </w:r>
    </w:p>
    <w:p w14:paraId="3D356EE1">
      <w:pPr>
        <w:pStyle w:val="42"/>
        <w:tabs>
          <w:tab w:val="right" w:leader="dot" w:pos="9746"/>
        </w:tabs>
      </w:pPr>
      <w:r>
        <w:rPr>
          <w:rFonts w:hint="default" w:ascii="宋体" w:hAnsi="宋体" w:eastAsia="宋体" w:cs="宋体"/>
        </w:rPr>
        <w:t xml:space="preserve">7.4.3. </w:t>
      </w:r>
      <w:r>
        <w:rPr>
          <w:rFonts w:hint="eastAsia" w:ascii="宋体" w:hAnsi="宋体" w:cs="宋体"/>
        </w:rPr>
        <w:t>采集模块安装施工</w:t>
      </w:r>
      <w:r>
        <w:tab/>
      </w:r>
      <w:r>
        <w:fldChar w:fldCharType="begin"/>
      </w:r>
      <w:r>
        <w:instrText xml:space="preserve"> PAGEREF _Toc2218 \h </w:instrText>
      </w:r>
      <w:r>
        <w:fldChar w:fldCharType="separate"/>
      </w:r>
      <w:r>
        <w:t>13</w:t>
      </w:r>
      <w:r>
        <w:fldChar w:fldCharType="end"/>
      </w:r>
    </w:p>
    <w:p w14:paraId="1DBF0E74">
      <w:pPr>
        <w:pStyle w:val="70"/>
        <w:tabs>
          <w:tab w:val="right" w:leader="dot" w:pos="9746"/>
        </w:tabs>
      </w:pPr>
      <w:r>
        <w:rPr>
          <w:rFonts w:hint="default" w:ascii="宋体" w:hAnsi="宋体" w:eastAsia="宋体" w:cs="宋体"/>
          <w:bCs/>
          <w:szCs w:val="21"/>
          <w:lang w:val="zh-TW" w:eastAsia="zh-TW"/>
        </w:rPr>
        <w:t xml:space="preserve">7.5. </w:t>
      </w:r>
      <w:r>
        <w:rPr>
          <w:rFonts w:hint="eastAsia" w:ascii="宋体" w:hAnsi="宋体" w:cs="宋体"/>
          <w:snapToGrid/>
          <w:szCs w:val="21"/>
        </w:rPr>
        <w:t>★</w:t>
      </w:r>
      <w:r>
        <w:rPr>
          <w:rFonts w:hint="default" w:ascii="宋体" w:hAnsi="宋体" w:eastAsia="宋体" w:cs="宋体"/>
          <w:bCs/>
          <w:szCs w:val="21"/>
          <w:lang w:val="zh-TW" w:eastAsia="zh-TW"/>
        </w:rPr>
        <w:t>安全加密技术要求</w:t>
      </w:r>
      <w:r>
        <w:tab/>
      </w:r>
      <w:r>
        <w:fldChar w:fldCharType="begin"/>
      </w:r>
      <w:r>
        <w:instrText xml:space="preserve"> PAGEREF _Toc31051 \h </w:instrText>
      </w:r>
      <w:r>
        <w:fldChar w:fldCharType="separate"/>
      </w:r>
      <w:r>
        <w:t>13</w:t>
      </w:r>
      <w:r>
        <w:fldChar w:fldCharType="end"/>
      </w:r>
    </w:p>
    <w:p w14:paraId="18C21CB9">
      <w:pPr>
        <w:pStyle w:val="70"/>
        <w:tabs>
          <w:tab w:val="right" w:leader="dot" w:pos="9746"/>
        </w:tabs>
      </w:pPr>
      <w:r>
        <w:rPr>
          <w:rFonts w:hint="default" w:ascii="宋体" w:hAnsi="宋体" w:eastAsia="宋体" w:cs="宋体"/>
        </w:rPr>
        <w:t xml:space="preserve">7.6. </w:t>
      </w:r>
      <w:r>
        <w:rPr>
          <w:rFonts w:hint="eastAsia"/>
        </w:rPr>
        <w:t>系统主机性能参数一览表</w:t>
      </w:r>
      <w:r>
        <w:tab/>
      </w:r>
      <w:r>
        <w:fldChar w:fldCharType="begin"/>
      </w:r>
      <w:r>
        <w:instrText xml:space="preserve"> PAGEREF _Toc9056 \h </w:instrText>
      </w:r>
      <w:r>
        <w:fldChar w:fldCharType="separate"/>
      </w:r>
      <w:r>
        <w:t>13</w:t>
      </w:r>
      <w:r>
        <w:fldChar w:fldCharType="end"/>
      </w:r>
    </w:p>
    <w:p w14:paraId="5111B135">
      <w:pPr>
        <w:pStyle w:val="70"/>
        <w:tabs>
          <w:tab w:val="right" w:leader="dot" w:pos="9746"/>
        </w:tabs>
      </w:pPr>
      <w:r>
        <w:rPr>
          <w:rFonts w:hint="default" w:ascii="宋体" w:hAnsi="宋体" w:eastAsia="宋体" w:cs="宋体"/>
        </w:rPr>
        <w:t xml:space="preserve">7.7. </w:t>
      </w:r>
      <w:r>
        <w:rPr>
          <w:rFonts w:hint="eastAsia" w:ascii="宋体" w:hAnsi="宋体" w:cs="宋体"/>
        </w:rPr>
        <w:t>监控性能</w:t>
      </w:r>
      <w:r>
        <w:tab/>
      </w:r>
      <w:r>
        <w:fldChar w:fldCharType="begin"/>
      </w:r>
      <w:r>
        <w:instrText xml:space="preserve"> PAGEREF _Toc13096 \h </w:instrText>
      </w:r>
      <w:r>
        <w:fldChar w:fldCharType="separate"/>
      </w:r>
      <w:r>
        <w:t>14</w:t>
      </w:r>
      <w:r>
        <w:fldChar w:fldCharType="end"/>
      </w:r>
    </w:p>
    <w:p w14:paraId="0E32ACB5">
      <w:pPr>
        <w:pStyle w:val="70"/>
        <w:tabs>
          <w:tab w:val="right" w:leader="dot" w:pos="9746"/>
        </w:tabs>
      </w:pPr>
      <w:r>
        <w:rPr>
          <w:rFonts w:hint="default" w:ascii="宋体" w:hAnsi="宋体" w:eastAsia="宋体" w:cs="宋体"/>
        </w:rPr>
        <w:t xml:space="preserve">7.8. </w:t>
      </w:r>
      <w:r>
        <w:rPr>
          <w:rFonts w:hint="eastAsia" w:ascii="宋体" w:hAnsi="宋体" w:cs="宋体"/>
        </w:rPr>
        <w:t>制造工艺的一般要求</w:t>
      </w:r>
      <w:r>
        <w:tab/>
      </w:r>
      <w:r>
        <w:fldChar w:fldCharType="begin"/>
      </w:r>
      <w:r>
        <w:instrText xml:space="preserve"> PAGEREF _Toc5093 \h </w:instrText>
      </w:r>
      <w:r>
        <w:fldChar w:fldCharType="separate"/>
      </w:r>
      <w:r>
        <w:t>14</w:t>
      </w:r>
      <w:r>
        <w:fldChar w:fldCharType="end"/>
      </w:r>
    </w:p>
    <w:p w14:paraId="34AC50E7">
      <w:pPr>
        <w:pStyle w:val="42"/>
        <w:tabs>
          <w:tab w:val="right" w:leader="dot" w:pos="9746"/>
        </w:tabs>
      </w:pPr>
      <w:r>
        <w:rPr>
          <w:rFonts w:hint="default" w:ascii="宋体" w:hAnsi="宋体" w:eastAsia="宋体" w:cs="宋体"/>
        </w:rPr>
        <w:t xml:space="preserve">7.8.1. </w:t>
      </w:r>
      <w:r>
        <w:rPr>
          <w:rFonts w:hint="eastAsia" w:ascii="宋体" w:hAnsi="宋体" w:cs="宋体"/>
        </w:rPr>
        <w:t>布线工艺</w:t>
      </w:r>
      <w:r>
        <w:tab/>
      </w:r>
      <w:r>
        <w:fldChar w:fldCharType="begin"/>
      </w:r>
      <w:r>
        <w:instrText xml:space="preserve"> PAGEREF _Toc21215 \h </w:instrText>
      </w:r>
      <w:r>
        <w:fldChar w:fldCharType="separate"/>
      </w:r>
      <w:r>
        <w:t>15</w:t>
      </w:r>
      <w:r>
        <w:fldChar w:fldCharType="end"/>
      </w:r>
    </w:p>
    <w:p w14:paraId="2945EC47">
      <w:pPr>
        <w:pStyle w:val="42"/>
        <w:tabs>
          <w:tab w:val="right" w:leader="dot" w:pos="9746"/>
        </w:tabs>
      </w:pPr>
      <w:r>
        <w:rPr>
          <w:rFonts w:hint="default" w:ascii="宋体" w:hAnsi="宋体" w:eastAsia="宋体" w:cs="宋体"/>
        </w:rPr>
        <w:t xml:space="preserve">7.8.2. </w:t>
      </w:r>
      <w:r>
        <w:rPr>
          <w:rFonts w:hint="eastAsia" w:ascii="宋体" w:hAnsi="宋体" w:cs="宋体"/>
        </w:rPr>
        <w:t>导线固定工艺</w:t>
      </w:r>
      <w:r>
        <w:tab/>
      </w:r>
      <w:r>
        <w:fldChar w:fldCharType="begin"/>
      </w:r>
      <w:r>
        <w:instrText xml:space="preserve"> PAGEREF _Toc32275 \h </w:instrText>
      </w:r>
      <w:r>
        <w:fldChar w:fldCharType="separate"/>
      </w:r>
      <w:r>
        <w:t>15</w:t>
      </w:r>
      <w:r>
        <w:fldChar w:fldCharType="end"/>
      </w:r>
    </w:p>
    <w:p w14:paraId="3E9C0CD0">
      <w:pPr>
        <w:pStyle w:val="42"/>
        <w:tabs>
          <w:tab w:val="right" w:leader="dot" w:pos="9746"/>
        </w:tabs>
      </w:pPr>
      <w:r>
        <w:rPr>
          <w:rFonts w:hint="default" w:ascii="宋体" w:hAnsi="宋体" w:eastAsia="宋体" w:cs="宋体"/>
        </w:rPr>
        <w:t xml:space="preserve">7.8.3. </w:t>
      </w:r>
      <w:r>
        <w:rPr>
          <w:rFonts w:hint="eastAsia" w:ascii="宋体" w:hAnsi="宋体" w:cs="宋体"/>
        </w:rPr>
        <w:t>端接工艺</w:t>
      </w:r>
      <w:r>
        <w:tab/>
      </w:r>
      <w:r>
        <w:fldChar w:fldCharType="begin"/>
      </w:r>
      <w:r>
        <w:instrText xml:space="preserve"> PAGEREF _Toc24832 \h </w:instrText>
      </w:r>
      <w:r>
        <w:fldChar w:fldCharType="separate"/>
      </w:r>
      <w:r>
        <w:t>15</w:t>
      </w:r>
      <w:r>
        <w:fldChar w:fldCharType="end"/>
      </w:r>
    </w:p>
    <w:p w14:paraId="782E8F42">
      <w:pPr>
        <w:pStyle w:val="42"/>
        <w:tabs>
          <w:tab w:val="right" w:leader="dot" w:pos="9746"/>
        </w:tabs>
      </w:pPr>
      <w:r>
        <w:rPr>
          <w:rFonts w:hint="default" w:ascii="宋体" w:hAnsi="宋体" w:eastAsia="宋体" w:cs="宋体"/>
        </w:rPr>
        <w:t xml:space="preserve">7.8.4. </w:t>
      </w:r>
      <w:r>
        <w:rPr>
          <w:rFonts w:hint="eastAsia" w:ascii="宋体" w:hAnsi="宋体" w:cs="宋体"/>
        </w:rPr>
        <w:t>紧固件</w:t>
      </w:r>
      <w:r>
        <w:tab/>
      </w:r>
      <w:r>
        <w:fldChar w:fldCharType="begin"/>
      </w:r>
      <w:r>
        <w:instrText xml:space="preserve"> PAGEREF _Toc29645 \h </w:instrText>
      </w:r>
      <w:r>
        <w:fldChar w:fldCharType="separate"/>
      </w:r>
      <w:r>
        <w:t>15</w:t>
      </w:r>
      <w:r>
        <w:fldChar w:fldCharType="end"/>
      </w:r>
    </w:p>
    <w:p w14:paraId="76472ABB">
      <w:pPr>
        <w:pStyle w:val="42"/>
        <w:tabs>
          <w:tab w:val="right" w:leader="dot" w:pos="9746"/>
        </w:tabs>
      </w:pPr>
      <w:r>
        <w:rPr>
          <w:rFonts w:hint="default" w:ascii="宋体" w:hAnsi="宋体" w:eastAsia="宋体" w:cs="宋体"/>
        </w:rPr>
        <w:t xml:space="preserve">7.8.5. </w:t>
      </w:r>
      <w:r>
        <w:rPr>
          <w:rFonts w:hint="eastAsia" w:ascii="宋体" w:hAnsi="宋体" w:cs="宋体"/>
        </w:rPr>
        <w:t>号码管</w:t>
      </w:r>
      <w:r>
        <w:tab/>
      </w:r>
      <w:r>
        <w:fldChar w:fldCharType="begin"/>
      </w:r>
      <w:r>
        <w:instrText xml:space="preserve"> PAGEREF _Toc3348 \h </w:instrText>
      </w:r>
      <w:r>
        <w:fldChar w:fldCharType="separate"/>
      </w:r>
      <w:r>
        <w:t>16</w:t>
      </w:r>
      <w:r>
        <w:fldChar w:fldCharType="end"/>
      </w:r>
    </w:p>
    <w:p w14:paraId="660CD058">
      <w:pPr>
        <w:pStyle w:val="70"/>
        <w:tabs>
          <w:tab w:val="right" w:leader="dot" w:pos="9746"/>
        </w:tabs>
      </w:pPr>
      <w:r>
        <w:rPr>
          <w:rFonts w:hint="default" w:ascii="宋体" w:hAnsi="宋体" w:eastAsia="宋体" w:cs="宋体"/>
        </w:rPr>
        <w:t xml:space="preserve">7.9. </w:t>
      </w:r>
      <w:r>
        <w:rPr>
          <w:rFonts w:hint="eastAsia" w:ascii="宋体" w:hAnsi="宋体" w:cs="宋体"/>
        </w:rPr>
        <w:t>元器件的要求</w:t>
      </w:r>
      <w:r>
        <w:tab/>
      </w:r>
      <w:r>
        <w:fldChar w:fldCharType="begin"/>
      </w:r>
      <w:r>
        <w:instrText xml:space="preserve"> PAGEREF _Toc32489 \h </w:instrText>
      </w:r>
      <w:r>
        <w:fldChar w:fldCharType="separate"/>
      </w:r>
      <w:r>
        <w:t>16</w:t>
      </w:r>
      <w:r>
        <w:fldChar w:fldCharType="end"/>
      </w:r>
    </w:p>
    <w:p w14:paraId="07720FFA">
      <w:pPr>
        <w:pStyle w:val="70"/>
        <w:tabs>
          <w:tab w:val="right" w:leader="dot" w:pos="9746"/>
        </w:tabs>
      </w:pPr>
      <w:r>
        <w:rPr>
          <w:rFonts w:hint="default" w:ascii="宋体" w:hAnsi="宋体" w:eastAsia="宋体" w:cs="宋体"/>
        </w:rPr>
        <w:t xml:space="preserve">7.10. </w:t>
      </w:r>
      <w:r>
        <w:rPr>
          <w:rFonts w:hint="eastAsia" w:ascii="宋体" w:hAnsi="宋体" w:cs="宋体"/>
        </w:rPr>
        <w:t>质量追溯</w:t>
      </w:r>
      <w:r>
        <w:tab/>
      </w:r>
      <w:r>
        <w:fldChar w:fldCharType="begin"/>
      </w:r>
      <w:r>
        <w:instrText xml:space="preserve"> PAGEREF _Toc6237 \h </w:instrText>
      </w:r>
      <w:r>
        <w:fldChar w:fldCharType="separate"/>
      </w:r>
      <w:r>
        <w:t>16</w:t>
      </w:r>
      <w:r>
        <w:fldChar w:fldCharType="end"/>
      </w:r>
    </w:p>
    <w:p w14:paraId="5FC3DB8E">
      <w:pPr>
        <w:pStyle w:val="56"/>
        <w:tabs>
          <w:tab w:val="right" w:leader="dot" w:pos="9746"/>
        </w:tabs>
      </w:pPr>
      <w:r>
        <w:rPr>
          <w:rFonts w:hint="default" w:ascii="宋体" w:hAnsi="宋体" w:eastAsia="宋体" w:cs="宋体"/>
        </w:rPr>
        <w:t xml:space="preserve">8. </w:t>
      </w:r>
      <w:r>
        <w:rPr>
          <w:rFonts w:hint="eastAsia" w:ascii="宋体" w:hAnsi="宋体" w:cs="宋体"/>
        </w:rPr>
        <w:t>试验</w:t>
      </w:r>
      <w:r>
        <w:tab/>
      </w:r>
      <w:r>
        <w:fldChar w:fldCharType="begin"/>
      </w:r>
      <w:r>
        <w:instrText xml:space="preserve"> PAGEREF _Toc18262 \h </w:instrText>
      </w:r>
      <w:r>
        <w:fldChar w:fldCharType="separate"/>
      </w:r>
      <w:r>
        <w:t>16</w:t>
      </w:r>
      <w:r>
        <w:fldChar w:fldCharType="end"/>
      </w:r>
    </w:p>
    <w:p w14:paraId="626DD903">
      <w:pPr>
        <w:pStyle w:val="70"/>
        <w:tabs>
          <w:tab w:val="right" w:leader="dot" w:pos="9746"/>
        </w:tabs>
      </w:pPr>
      <w:r>
        <w:rPr>
          <w:rFonts w:hint="default" w:ascii="宋体" w:hAnsi="宋体" w:eastAsia="宋体" w:cs="宋体"/>
        </w:rPr>
        <w:t xml:space="preserve">8.1. </w:t>
      </w:r>
      <w:r>
        <w:rPr>
          <w:rFonts w:hint="eastAsia" w:ascii="宋体" w:hAnsi="宋体" w:cs="宋体"/>
        </w:rPr>
        <w:t>试验</w:t>
      </w:r>
      <w:r>
        <w:tab/>
      </w:r>
      <w:r>
        <w:fldChar w:fldCharType="begin"/>
      </w:r>
      <w:r>
        <w:instrText xml:space="preserve"> PAGEREF _Toc12256 \h </w:instrText>
      </w:r>
      <w:r>
        <w:fldChar w:fldCharType="separate"/>
      </w:r>
      <w:r>
        <w:t>16</w:t>
      </w:r>
      <w:r>
        <w:fldChar w:fldCharType="end"/>
      </w:r>
    </w:p>
    <w:p w14:paraId="05A69DD9">
      <w:pPr>
        <w:pStyle w:val="42"/>
        <w:tabs>
          <w:tab w:val="right" w:leader="dot" w:pos="9746"/>
        </w:tabs>
      </w:pPr>
      <w:r>
        <w:rPr>
          <w:rFonts w:hint="default" w:ascii="宋体" w:hAnsi="宋体" w:eastAsia="宋体" w:cs="宋体"/>
        </w:rPr>
        <w:t xml:space="preserve">8.1.1. </w:t>
      </w:r>
      <w:r>
        <w:rPr>
          <w:rFonts w:hint="eastAsia" w:ascii="宋体" w:hAnsi="宋体" w:cs="宋体"/>
        </w:rPr>
        <w:t>工厂验收</w:t>
      </w:r>
      <w:r>
        <w:tab/>
      </w:r>
      <w:r>
        <w:fldChar w:fldCharType="begin"/>
      </w:r>
      <w:r>
        <w:instrText xml:space="preserve"> PAGEREF _Toc8079 \h </w:instrText>
      </w:r>
      <w:r>
        <w:fldChar w:fldCharType="separate"/>
      </w:r>
      <w:r>
        <w:t>16</w:t>
      </w:r>
      <w:r>
        <w:fldChar w:fldCharType="end"/>
      </w:r>
    </w:p>
    <w:p w14:paraId="3A741B1A">
      <w:pPr>
        <w:pStyle w:val="42"/>
        <w:tabs>
          <w:tab w:val="right" w:leader="dot" w:pos="9746"/>
        </w:tabs>
      </w:pPr>
      <w:r>
        <w:rPr>
          <w:rFonts w:hint="default" w:ascii="宋体" w:hAnsi="宋体" w:eastAsia="宋体" w:cs="宋体"/>
        </w:rPr>
        <w:t xml:space="preserve">8.1.2. </w:t>
      </w:r>
      <w:r>
        <w:rPr>
          <w:rFonts w:hint="eastAsia" w:ascii="宋体" w:hAnsi="宋体" w:cs="宋体"/>
        </w:rPr>
        <w:t>功能试验</w:t>
      </w:r>
      <w:r>
        <w:tab/>
      </w:r>
      <w:r>
        <w:fldChar w:fldCharType="begin"/>
      </w:r>
      <w:r>
        <w:instrText xml:space="preserve"> PAGEREF _Toc30605 \h </w:instrText>
      </w:r>
      <w:r>
        <w:fldChar w:fldCharType="separate"/>
      </w:r>
      <w:r>
        <w:t>16</w:t>
      </w:r>
      <w:r>
        <w:fldChar w:fldCharType="end"/>
      </w:r>
    </w:p>
    <w:p w14:paraId="1660E403">
      <w:pPr>
        <w:pStyle w:val="42"/>
        <w:tabs>
          <w:tab w:val="right" w:leader="dot" w:pos="9746"/>
        </w:tabs>
      </w:pPr>
      <w:r>
        <w:rPr>
          <w:rFonts w:hint="default" w:ascii="宋体" w:hAnsi="宋体" w:eastAsia="宋体" w:cs="宋体"/>
        </w:rPr>
        <w:t xml:space="preserve">8.1.3. </w:t>
      </w:r>
      <w:r>
        <w:rPr>
          <w:rFonts w:hint="eastAsia" w:ascii="宋体" w:hAnsi="宋体" w:cs="宋体"/>
        </w:rPr>
        <w:t>现场试验</w:t>
      </w:r>
      <w:r>
        <w:tab/>
      </w:r>
      <w:r>
        <w:fldChar w:fldCharType="begin"/>
      </w:r>
      <w:r>
        <w:instrText xml:space="preserve"> PAGEREF _Toc20895 \h </w:instrText>
      </w:r>
      <w:r>
        <w:fldChar w:fldCharType="separate"/>
      </w:r>
      <w:r>
        <w:t>17</w:t>
      </w:r>
      <w:r>
        <w:fldChar w:fldCharType="end"/>
      </w:r>
    </w:p>
    <w:p w14:paraId="599373E7">
      <w:pPr>
        <w:pStyle w:val="70"/>
        <w:tabs>
          <w:tab w:val="right" w:leader="dot" w:pos="9746"/>
        </w:tabs>
      </w:pPr>
      <w:r>
        <w:rPr>
          <w:rFonts w:hint="default" w:ascii="宋体" w:hAnsi="宋体" w:eastAsia="宋体" w:cs="宋体"/>
        </w:rPr>
        <w:t xml:space="preserve">8.2. </w:t>
      </w:r>
      <w:r>
        <w:rPr>
          <w:rFonts w:hint="eastAsia" w:ascii="宋体" w:hAnsi="宋体" w:cs="宋体"/>
        </w:rPr>
        <w:t>验收计划、报告和设备</w:t>
      </w:r>
      <w:r>
        <w:tab/>
      </w:r>
      <w:r>
        <w:fldChar w:fldCharType="begin"/>
      </w:r>
      <w:r>
        <w:instrText xml:space="preserve"> PAGEREF _Toc22454 \h </w:instrText>
      </w:r>
      <w:r>
        <w:fldChar w:fldCharType="separate"/>
      </w:r>
      <w:r>
        <w:t>17</w:t>
      </w:r>
      <w:r>
        <w:fldChar w:fldCharType="end"/>
      </w:r>
    </w:p>
    <w:p w14:paraId="243925AD">
      <w:pPr>
        <w:pStyle w:val="42"/>
        <w:tabs>
          <w:tab w:val="right" w:leader="dot" w:pos="9746"/>
        </w:tabs>
      </w:pPr>
      <w:r>
        <w:rPr>
          <w:rFonts w:hint="default" w:ascii="宋体" w:hAnsi="宋体" w:eastAsia="宋体" w:cs="宋体"/>
        </w:rPr>
        <w:t xml:space="preserve">8.2.1. </w:t>
      </w:r>
      <w:r>
        <w:rPr>
          <w:rFonts w:hint="eastAsia" w:ascii="宋体" w:hAnsi="宋体" w:cs="宋体"/>
        </w:rPr>
        <w:t>初步验收</w:t>
      </w:r>
      <w:r>
        <w:tab/>
      </w:r>
      <w:r>
        <w:fldChar w:fldCharType="begin"/>
      </w:r>
      <w:r>
        <w:instrText xml:space="preserve"> PAGEREF _Toc6461 \h </w:instrText>
      </w:r>
      <w:r>
        <w:fldChar w:fldCharType="separate"/>
      </w:r>
      <w:r>
        <w:t>17</w:t>
      </w:r>
      <w:r>
        <w:fldChar w:fldCharType="end"/>
      </w:r>
    </w:p>
    <w:p w14:paraId="5D448F6C">
      <w:pPr>
        <w:pStyle w:val="42"/>
        <w:tabs>
          <w:tab w:val="right" w:leader="dot" w:pos="9746"/>
        </w:tabs>
      </w:pPr>
      <w:r>
        <w:rPr>
          <w:rFonts w:hint="default" w:ascii="宋体" w:hAnsi="宋体" w:eastAsia="宋体" w:cs="宋体"/>
        </w:rPr>
        <w:t xml:space="preserve">8.2.2. </w:t>
      </w:r>
      <w:r>
        <w:rPr>
          <w:rFonts w:hint="eastAsia" w:ascii="宋体" w:hAnsi="宋体" w:cs="宋体"/>
        </w:rPr>
        <w:t>试运行</w:t>
      </w:r>
      <w:r>
        <w:tab/>
      </w:r>
      <w:r>
        <w:fldChar w:fldCharType="begin"/>
      </w:r>
      <w:r>
        <w:instrText xml:space="preserve"> PAGEREF _Toc26424 \h </w:instrText>
      </w:r>
      <w:r>
        <w:fldChar w:fldCharType="separate"/>
      </w:r>
      <w:r>
        <w:t>17</w:t>
      </w:r>
      <w:r>
        <w:fldChar w:fldCharType="end"/>
      </w:r>
    </w:p>
    <w:p w14:paraId="62C9D7EF">
      <w:pPr>
        <w:pStyle w:val="42"/>
        <w:tabs>
          <w:tab w:val="right" w:leader="dot" w:pos="9746"/>
        </w:tabs>
      </w:pPr>
      <w:r>
        <w:rPr>
          <w:rFonts w:hint="default" w:ascii="宋体" w:hAnsi="宋体" w:eastAsia="宋体" w:cs="宋体"/>
        </w:rPr>
        <w:t xml:space="preserve">8.2.3. </w:t>
      </w:r>
      <w:r>
        <w:rPr>
          <w:rFonts w:hint="eastAsia" w:ascii="宋体" w:hAnsi="宋体" w:cs="宋体"/>
        </w:rPr>
        <w:t>竣工验收</w:t>
      </w:r>
      <w:r>
        <w:tab/>
      </w:r>
      <w:r>
        <w:fldChar w:fldCharType="begin"/>
      </w:r>
      <w:r>
        <w:instrText xml:space="preserve"> PAGEREF _Toc23495 \h </w:instrText>
      </w:r>
      <w:r>
        <w:fldChar w:fldCharType="separate"/>
      </w:r>
      <w:r>
        <w:t>17</w:t>
      </w:r>
      <w:r>
        <w:fldChar w:fldCharType="end"/>
      </w:r>
    </w:p>
    <w:p w14:paraId="44B989B7">
      <w:pPr>
        <w:pStyle w:val="56"/>
        <w:tabs>
          <w:tab w:val="right" w:leader="dot" w:pos="9746"/>
        </w:tabs>
      </w:pPr>
      <w:r>
        <w:rPr>
          <w:rFonts w:hint="default" w:ascii="宋体" w:hAnsi="宋体" w:eastAsia="宋体" w:cs="宋体"/>
        </w:rPr>
        <w:t xml:space="preserve">9. </w:t>
      </w:r>
      <w:r>
        <w:rPr>
          <w:rFonts w:hint="eastAsia" w:ascii="宋体" w:hAnsi="宋体" w:cs="宋体"/>
        </w:rPr>
        <w:t>产品对环境的影响</w:t>
      </w:r>
      <w:r>
        <w:tab/>
      </w:r>
      <w:r>
        <w:fldChar w:fldCharType="begin"/>
      </w:r>
      <w:r>
        <w:instrText xml:space="preserve"> PAGEREF _Toc24583 \h </w:instrText>
      </w:r>
      <w:r>
        <w:fldChar w:fldCharType="separate"/>
      </w:r>
      <w:r>
        <w:t>17</w:t>
      </w:r>
      <w:r>
        <w:fldChar w:fldCharType="end"/>
      </w:r>
    </w:p>
    <w:p w14:paraId="0162D459">
      <w:pPr>
        <w:pStyle w:val="56"/>
        <w:tabs>
          <w:tab w:val="right" w:leader="dot" w:pos="9746"/>
        </w:tabs>
      </w:pPr>
      <w:r>
        <w:rPr>
          <w:rFonts w:hint="default" w:ascii="宋体" w:hAnsi="宋体" w:eastAsia="宋体" w:cs="宋体"/>
        </w:rPr>
        <w:t xml:space="preserve">10. </w:t>
      </w:r>
      <w:r>
        <w:rPr>
          <w:rFonts w:hint="eastAsia" w:ascii="宋体" w:hAnsi="宋体" w:cs="宋体"/>
        </w:rPr>
        <w:t>技术文件要求</w:t>
      </w:r>
      <w:r>
        <w:tab/>
      </w:r>
      <w:r>
        <w:fldChar w:fldCharType="begin"/>
      </w:r>
      <w:r>
        <w:instrText xml:space="preserve"> PAGEREF _Toc29997 \h </w:instrText>
      </w:r>
      <w:r>
        <w:fldChar w:fldCharType="separate"/>
      </w:r>
      <w:r>
        <w:t>18</w:t>
      </w:r>
      <w:r>
        <w:fldChar w:fldCharType="end"/>
      </w:r>
    </w:p>
    <w:p w14:paraId="1E87935D">
      <w:pPr>
        <w:pStyle w:val="70"/>
        <w:tabs>
          <w:tab w:val="right" w:leader="dot" w:pos="9746"/>
        </w:tabs>
      </w:pPr>
      <w:r>
        <w:rPr>
          <w:rFonts w:hint="default" w:ascii="宋体" w:hAnsi="宋体" w:eastAsia="宋体" w:cs="宋体"/>
        </w:rPr>
        <w:t xml:space="preserve">10.1. </w:t>
      </w:r>
      <w:r>
        <w:rPr>
          <w:rFonts w:hint="eastAsia" w:ascii="宋体" w:hAnsi="宋体" w:cs="宋体"/>
        </w:rPr>
        <w:t>一般要求</w:t>
      </w:r>
      <w:r>
        <w:tab/>
      </w:r>
      <w:r>
        <w:fldChar w:fldCharType="begin"/>
      </w:r>
      <w:r>
        <w:instrText xml:space="preserve"> PAGEREF _Toc14587 \h </w:instrText>
      </w:r>
      <w:r>
        <w:fldChar w:fldCharType="separate"/>
      </w:r>
      <w:r>
        <w:t>18</w:t>
      </w:r>
      <w:r>
        <w:fldChar w:fldCharType="end"/>
      </w:r>
    </w:p>
    <w:p w14:paraId="3894EF11">
      <w:pPr>
        <w:pStyle w:val="70"/>
        <w:tabs>
          <w:tab w:val="right" w:leader="dot" w:pos="9746"/>
        </w:tabs>
      </w:pPr>
      <w:r>
        <w:rPr>
          <w:rFonts w:hint="default" w:ascii="宋体" w:hAnsi="宋体" w:eastAsia="宋体" w:cs="宋体"/>
        </w:rPr>
        <w:t xml:space="preserve">10.2. </w:t>
      </w:r>
      <w:r>
        <w:rPr>
          <w:rFonts w:hint="eastAsia" w:ascii="宋体" w:hAnsi="宋体" w:cs="宋体"/>
        </w:rPr>
        <w:t>投标方提交资料及说明</w:t>
      </w:r>
      <w:r>
        <w:tab/>
      </w:r>
      <w:r>
        <w:fldChar w:fldCharType="begin"/>
      </w:r>
      <w:r>
        <w:instrText xml:space="preserve"> PAGEREF _Toc26882 \h </w:instrText>
      </w:r>
      <w:r>
        <w:fldChar w:fldCharType="separate"/>
      </w:r>
      <w:r>
        <w:t>18</w:t>
      </w:r>
      <w:r>
        <w:fldChar w:fldCharType="end"/>
      </w:r>
    </w:p>
    <w:p w14:paraId="507F626A">
      <w:pPr>
        <w:pStyle w:val="70"/>
        <w:tabs>
          <w:tab w:val="right" w:leader="dot" w:pos="9746"/>
        </w:tabs>
      </w:pPr>
      <w:r>
        <w:rPr>
          <w:rFonts w:hint="default" w:ascii="宋体" w:hAnsi="宋体" w:eastAsia="宋体" w:cs="宋体"/>
        </w:rPr>
        <w:t xml:space="preserve">10.3. </w:t>
      </w:r>
      <w:r>
        <w:rPr>
          <w:rFonts w:hint="eastAsia" w:ascii="宋体" w:hAnsi="宋体" w:cs="宋体"/>
        </w:rPr>
        <w:t>设计联络</w:t>
      </w:r>
      <w:r>
        <w:tab/>
      </w:r>
      <w:r>
        <w:fldChar w:fldCharType="begin"/>
      </w:r>
      <w:r>
        <w:instrText xml:space="preserve"> PAGEREF _Toc5897 \h </w:instrText>
      </w:r>
      <w:r>
        <w:fldChar w:fldCharType="separate"/>
      </w:r>
      <w:r>
        <w:t>18</w:t>
      </w:r>
      <w:r>
        <w:fldChar w:fldCharType="end"/>
      </w:r>
    </w:p>
    <w:p w14:paraId="4A7B0BDE">
      <w:pPr>
        <w:pStyle w:val="56"/>
        <w:tabs>
          <w:tab w:val="right" w:leader="dot" w:pos="9746"/>
        </w:tabs>
      </w:pPr>
      <w:r>
        <w:rPr>
          <w:rFonts w:hint="default" w:ascii="宋体" w:hAnsi="宋体" w:eastAsia="宋体" w:cs="宋体"/>
        </w:rPr>
        <w:t xml:space="preserve">11. </w:t>
      </w:r>
      <w:r>
        <w:rPr>
          <w:rFonts w:hint="eastAsia" w:ascii="宋体" w:hAnsi="宋体" w:cs="宋体"/>
        </w:rPr>
        <w:t>包装、储存、运输、安装及质量保证</w:t>
      </w:r>
      <w:r>
        <w:tab/>
      </w:r>
      <w:r>
        <w:fldChar w:fldCharType="begin"/>
      </w:r>
      <w:r>
        <w:instrText xml:space="preserve"> PAGEREF _Toc337 \h </w:instrText>
      </w:r>
      <w:r>
        <w:fldChar w:fldCharType="separate"/>
      </w:r>
      <w:r>
        <w:t>18</w:t>
      </w:r>
      <w:r>
        <w:fldChar w:fldCharType="end"/>
      </w:r>
    </w:p>
    <w:p w14:paraId="2DA6B97B">
      <w:pPr>
        <w:pStyle w:val="56"/>
        <w:tabs>
          <w:tab w:val="right" w:leader="dot" w:pos="9746"/>
        </w:tabs>
      </w:pPr>
      <w:r>
        <w:rPr>
          <w:rFonts w:hint="eastAsia" w:ascii="宋体" w:hAnsi="宋体" w:cs="宋体"/>
          <w:szCs w:val="21"/>
        </w:rPr>
        <w:t>附录A （规范性附录） 蓄电池远程核容监控信息表</w:t>
      </w:r>
      <w:r>
        <w:tab/>
      </w:r>
      <w:r>
        <w:fldChar w:fldCharType="begin"/>
      </w:r>
      <w:r>
        <w:instrText xml:space="preserve"> PAGEREF _Toc6483 \h </w:instrText>
      </w:r>
      <w:r>
        <w:fldChar w:fldCharType="separate"/>
      </w:r>
      <w:r>
        <w:t>20</w:t>
      </w:r>
      <w:r>
        <w:fldChar w:fldCharType="end"/>
      </w:r>
    </w:p>
    <w:p w14:paraId="31F50726">
      <w:pPr>
        <w:pStyle w:val="56"/>
        <w:tabs>
          <w:tab w:val="right" w:leader="dot" w:pos="9746"/>
        </w:tabs>
      </w:pPr>
      <w:r>
        <w:rPr>
          <w:rFonts w:hint="eastAsia" w:ascii="宋体" w:hAnsi="宋体" w:cs="宋体"/>
          <w:szCs w:val="21"/>
        </w:rPr>
        <w:t>附录</w:t>
      </w:r>
      <w:r>
        <w:rPr>
          <w:rFonts w:hint="eastAsia" w:ascii="宋体" w:hAnsi="宋体" w:cs="宋体"/>
          <w:szCs w:val="21"/>
          <w:lang w:val="en-US" w:eastAsia="zh-CN"/>
        </w:rPr>
        <w:t>B</w:t>
      </w:r>
      <w:r>
        <w:rPr>
          <w:rFonts w:hint="eastAsia" w:ascii="宋体" w:hAnsi="宋体" w:cs="宋体"/>
          <w:szCs w:val="21"/>
        </w:rPr>
        <w:t xml:space="preserve"> （</w:t>
      </w:r>
      <w:r>
        <w:rPr>
          <w:rFonts w:hint="eastAsia" w:ascii="宋体" w:hAnsi="宋体" w:cs="宋体"/>
          <w:szCs w:val="21"/>
          <w:lang w:val="en-US" w:eastAsia="zh-CN"/>
        </w:rPr>
        <w:t>承诺函格式</w:t>
      </w:r>
      <w:r>
        <w:rPr>
          <w:rFonts w:hint="eastAsia" w:ascii="宋体" w:hAnsi="宋体" w:cs="宋体"/>
          <w:szCs w:val="21"/>
        </w:rPr>
        <w:t>）</w:t>
      </w:r>
      <w:r>
        <w:tab/>
      </w:r>
      <w:r>
        <w:fldChar w:fldCharType="begin"/>
      </w:r>
      <w:r>
        <w:instrText xml:space="preserve"> PAGEREF _Toc28908 \h </w:instrText>
      </w:r>
      <w:r>
        <w:fldChar w:fldCharType="separate"/>
      </w:r>
      <w:r>
        <w:t>23</w:t>
      </w:r>
      <w:r>
        <w:fldChar w:fldCharType="end"/>
      </w:r>
    </w:p>
    <w:p w14:paraId="0CCD584D">
      <w:pPr>
        <w:spacing w:line="360" w:lineRule="auto"/>
        <w:jc w:val="right"/>
        <w:rPr>
          <w:rFonts w:ascii="宋体" w:hAnsi="宋体" w:cs="宋体"/>
        </w:rPr>
        <w:sectPr>
          <w:headerReference r:id="rId4" w:type="first"/>
          <w:footerReference r:id="rId7" w:type="first"/>
          <w:headerReference r:id="rId3" w:type="default"/>
          <w:footerReference r:id="rId5" w:type="default"/>
          <w:footerReference r:id="rId6" w:type="even"/>
          <w:pgSz w:w="11906" w:h="16838"/>
          <w:pgMar w:top="1440" w:right="1080" w:bottom="1440" w:left="1080" w:header="851" w:footer="992" w:gutter="0"/>
          <w:pgNumType w:start="0"/>
          <w:cols w:space="720" w:num="1"/>
          <w:titlePg/>
          <w:docGrid w:type="lines" w:linePitch="312" w:charSpace="0"/>
        </w:sectPr>
      </w:pPr>
      <w:r>
        <w:rPr>
          <w:rFonts w:ascii="宋体" w:hAnsi="宋体" w:cs="宋体"/>
        </w:rPr>
        <w:fldChar w:fldCharType="end"/>
      </w:r>
    </w:p>
    <w:p w14:paraId="2F260C2B">
      <w:pPr>
        <w:pStyle w:val="2"/>
        <w:rPr>
          <w:rFonts w:ascii="宋体" w:hAnsi="宋体" w:cs="宋体"/>
        </w:rPr>
      </w:pPr>
      <w:bookmarkStart w:id="1" w:name="_Toc30867"/>
      <w:bookmarkStart w:id="2" w:name="_Toc97405475"/>
      <w:bookmarkStart w:id="3" w:name="_Toc384340975"/>
      <w:bookmarkStart w:id="4" w:name="_Toc843"/>
      <w:bookmarkStart w:id="5" w:name="_Toc486476776"/>
      <w:bookmarkStart w:id="6" w:name="_Toc514407899"/>
      <w:bookmarkStart w:id="7" w:name="_Toc15097"/>
      <w:r>
        <w:rPr>
          <w:rFonts w:hint="eastAsia" w:ascii="宋体" w:hAnsi="宋体" w:cs="宋体"/>
        </w:rPr>
        <w:t>总则</w:t>
      </w:r>
      <w:bookmarkEnd w:id="1"/>
      <w:bookmarkEnd w:id="2"/>
      <w:bookmarkEnd w:id="3"/>
      <w:bookmarkEnd w:id="4"/>
      <w:bookmarkEnd w:id="5"/>
      <w:bookmarkEnd w:id="6"/>
      <w:bookmarkEnd w:id="7"/>
    </w:p>
    <w:p w14:paraId="796414AD">
      <w:pPr>
        <w:spacing w:line="360" w:lineRule="auto"/>
        <w:ind w:firstLine="420" w:firstLineChars="200"/>
        <w:rPr>
          <w:rFonts w:ascii="宋体" w:hAnsi="宋体" w:cs="宋体"/>
        </w:rPr>
      </w:pPr>
      <w:r>
        <w:rPr>
          <w:rFonts w:hint="eastAsia" w:ascii="宋体" w:hAnsi="宋体" w:cs="宋体"/>
        </w:rPr>
        <w:t>1.1  本招标技术文件适用于</w:t>
      </w:r>
      <w:r>
        <w:rPr>
          <w:rFonts w:hint="eastAsia" w:ascii="宋体" w:hAnsi="宋体" w:cs="宋体"/>
          <w:lang w:eastAsia="zh-CN"/>
        </w:rPr>
        <w:t>通信蓄电池在线核容装置</w:t>
      </w:r>
      <w:r>
        <w:rPr>
          <w:rFonts w:hint="eastAsia" w:ascii="宋体" w:hAnsi="宋体" w:cs="宋体"/>
        </w:rPr>
        <w:t>供货的功能设计、结构、性能、安装和试验等方面的技术要求。</w:t>
      </w:r>
    </w:p>
    <w:p w14:paraId="511423F5">
      <w:pPr>
        <w:spacing w:line="360" w:lineRule="auto"/>
        <w:ind w:firstLine="420" w:firstLineChars="200"/>
        <w:rPr>
          <w:rFonts w:ascii="宋体" w:hAnsi="宋体" w:cs="宋体"/>
        </w:rPr>
      </w:pPr>
      <w:r>
        <w:rPr>
          <w:rFonts w:hint="eastAsia" w:ascii="宋体" w:hAnsi="宋体" w:cs="宋体"/>
        </w:rPr>
        <w:t xml:space="preserve">1.2  本次设备招标范围包括深圳供电局内变电站通信电源蓄电组远程智能维护主设备及其技术督导服务，主设备包括远程智能维护系统主机、蓄电池监测模块，清册见物资定货范围； </w:t>
      </w:r>
    </w:p>
    <w:p w14:paraId="4BA1F94F">
      <w:pPr>
        <w:spacing w:line="360" w:lineRule="auto"/>
        <w:ind w:firstLine="420" w:firstLineChars="200"/>
        <w:rPr>
          <w:rFonts w:ascii="宋体" w:hAnsi="宋体" w:cs="宋体"/>
        </w:rPr>
      </w:pPr>
      <w:r>
        <w:rPr>
          <w:rFonts w:hint="eastAsia" w:ascii="宋体" w:hAnsi="宋体" w:cs="宋体"/>
        </w:rPr>
        <w:t>1.3  投标方提供的通信蓄电池在线核容装置必须具有国家认证或国际权威认证的检测机构出具的检验证明及其产品注册证书。</w:t>
      </w:r>
    </w:p>
    <w:p w14:paraId="23A08B31">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lang w:val="en-US" w:eastAsia="zh-CN"/>
        </w:rPr>
        <w:t>4</w:t>
      </w:r>
      <w:r>
        <w:rPr>
          <w:rFonts w:hint="eastAsia" w:ascii="宋体" w:hAnsi="宋体" w:cs="宋体"/>
        </w:rPr>
        <w:t xml:space="preserve">  本招标技术文件提出的是最低限度的技术要求，并未对一切技术细节作出规定，也未充分引述有关标准和规范的条文，投标方应提供符合本招标技术文件及本招标技术文件引用的国家标准和行业标准的优质产品。</w:t>
      </w:r>
    </w:p>
    <w:p w14:paraId="7146BD94">
      <w:pPr>
        <w:spacing w:line="360" w:lineRule="auto"/>
        <w:ind w:firstLine="420" w:firstLineChars="200"/>
        <w:rPr>
          <w:rFonts w:ascii="宋体" w:hAnsi="宋体" w:cs="宋体"/>
          <w:sz w:val="18"/>
          <w:szCs w:val="18"/>
        </w:rPr>
      </w:pPr>
      <w:r>
        <w:rPr>
          <w:rFonts w:ascii="宋体" w:hAnsi="宋体" w:cs="宋体"/>
        </w:rPr>
        <w:t>1.</w:t>
      </w:r>
      <w:r>
        <w:rPr>
          <w:rFonts w:hint="eastAsia" w:ascii="宋体" w:hAnsi="宋体" w:cs="宋体"/>
          <w:lang w:val="en-US" w:eastAsia="zh-CN"/>
        </w:rPr>
        <w:t>5</w:t>
      </w:r>
      <w:r>
        <w:rPr>
          <w:rFonts w:ascii="宋体" w:hAnsi="宋体" w:cs="宋体"/>
        </w:rPr>
        <w:t xml:space="preserve">  </w:t>
      </w:r>
      <w:r>
        <w:rPr>
          <w:rFonts w:hint="eastAsia" w:ascii="宋体" w:hAnsi="宋体" w:cs="宋体"/>
        </w:rPr>
        <w:t>投标方所提供的设备应保证是最新生产的设备，并应对涉及专利、知识产权等法律条款承担义务，招标方对此不承</w:t>
      </w:r>
      <w:r>
        <w:rPr>
          <w:rFonts w:hint="eastAsia" w:ascii="宋体" w:hAnsi="宋体" w:cs="宋体"/>
          <w:sz w:val="18"/>
          <w:szCs w:val="18"/>
        </w:rPr>
        <w:t>担任何责任。</w:t>
      </w:r>
    </w:p>
    <w:p w14:paraId="74517DE1">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lang w:val="en-US" w:eastAsia="zh-CN"/>
        </w:rPr>
        <w:t>6</w:t>
      </w:r>
      <w:r>
        <w:rPr>
          <w:rFonts w:hint="eastAsia" w:ascii="宋体" w:hAnsi="宋体" w:cs="宋体"/>
        </w:rPr>
        <w:t xml:space="preserve">  第三方产品的技术、性能参数、测试数据应由产品生产厂商直接提供和确认，并由投标方对系统整体性能负责。</w:t>
      </w:r>
    </w:p>
    <w:p w14:paraId="0A16B15F">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lang w:val="en-US" w:eastAsia="zh-CN"/>
        </w:rPr>
        <w:t>7</w:t>
      </w:r>
      <w:r>
        <w:rPr>
          <w:rFonts w:hint="eastAsia" w:ascii="宋体" w:hAnsi="宋体" w:cs="宋体"/>
        </w:rPr>
        <w:t xml:space="preserve">  投标方应对</w:t>
      </w:r>
      <w:r>
        <w:rPr>
          <w:rFonts w:hint="eastAsia" w:ascii="宋体" w:hAnsi="宋体" w:cs="宋体"/>
          <w:lang w:eastAsia="zh-CN"/>
        </w:rPr>
        <w:t>通信蓄电池在线核容装置</w:t>
      </w:r>
      <w:r>
        <w:rPr>
          <w:rFonts w:hint="eastAsia" w:ascii="宋体" w:hAnsi="宋体" w:cs="宋体"/>
        </w:rPr>
        <w:t>的整体性能负责，而不是只对个别设备负责。在系统调测和试运行期间，如果发现由于投标方设计、配置不合理或缺少设备（含部件）而造成整个系统功能不能满足本技术规范书的要求，投标方应负全部责任。系统投入运行后，如果招标方需修改或增加系统的功能，投标方有义务提供性能的修改和增加，免费提供软件版本的升级。</w:t>
      </w:r>
    </w:p>
    <w:p w14:paraId="4C25193B">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lang w:val="en-US" w:eastAsia="zh-CN"/>
        </w:rPr>
        <w:t>8</w:t>
      </w:r>
      <w:r>
        <w:rPr>
          <w:rFonts w:hint="eastAsia" w:ascii="宋体" w:hAnsi="宋体" w:cs="宋体"/>
        </w:rPr>
        <w:t xml:space="preserve">  如果投标方没有以书面形式对本招标技术文件的条文提出异议，则意味着投标方提供的设备（或系统）完全符合本招标技术文件的要求。如有异议，不管是如何微小，都应在报价书中以“对招标技术文件的意见和同招标技术文件的差异”为标题的专门章节中加以详细描述并论述其理由。</w:t>
      </w:r>
    </w:p>
    <w:p w14:paraId="0DCA9991">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lang w:val="en-US" w:eastAsia="zh-CN"/>
        </w:rPr>
        <w:t>9</w:t>
      </w:r>
      <w:r>
        <w:rPr>
          <w:rFonts w:hint="eastAsia" w:ascii="宋体" w:hAnsi="宋体" w:cs="宋体"/>
        </w:rPr>
        <w:t xml:space="preserve">  本招标技术文件所使用的标准如与投标方所执行的标准不一致时，按较高标准执行。卖方为本工程提供的设备应是按最新工艺制造的、全新的、符合国际、国内标准的，以确保系统的安全稳定运行。</w:t>
      </w:r>
    </w:p>
    <w:p w14:paraId="05676300">
      <w:pPr>
        <w:spacing w:line="360" w:lineRule="auto"/>
        <w:ind w:firstLine="420" w:firstLineChars="200"/>
        <w:rPr>
          <w:rFonts w:ascii="宋体" w:hAnsi="宋体" w:cs="宋体"/>
        </w:rPr>
      </w:pPr>
      <w:r>
        <w:rPr>
          <w:rFonts w:hint="eastAsia" w:ascii="宋体" w:hAnsi="宋体" w:cs="宋体"/>
        </w:rPr>
        <w:t>1.1</w:t>
      </w:r>
      <w:r>
        <w:rPr>
          <w:rFonts w:hint="eastAsia" w:ascii="宋体" w:hAnsi="宋体" w:cs="宋体"/>
          <w:lang w:val="en-US" w:eastAsia="zh-CN"/>
        </w:rPr>
        <w:t>0</w:t>
      </w:r>
      <w:r>
        <w:rPr>
          <w:rFonts w:hint="eastAsia" w:ascii="宋体" w:hAnsi="宋体" w:cs="宋体"/>
        </w:rPr>
        <w:t xml:space="preserve">  本招标技术文件经买、卖双方确认后作为订货合同的技术附件，与合同正文具有同等法律效力。</w:t>
      </w:r>
    </w:p>
    <w:p w14:paraId="17DBD74D">
      <w:pPr>
        <w:spacing w:line="360" w:lineRule="auto"/>
        <w:ind w:firstLine="420" w:firstLineChars="200"/>
        <w:rPr>
          <w:rFonts w:ascii="宋体" w:hAnsi="宋体" w:cs="宋体"/>
        </w:rPr>
      </w:pPr>
      <w:r>
        <w:rPr>
          <w:rFonts w:hint="eastAsia" w:ascii="宋体" w:hAnsi="宋体" w:cs="宋体"/>
        </w:rPr>
        <w:t>1.1</w:t>
      </w:r>
      <w:r>
        <w:rPr>
          <w:rFonts w:hint="eastAsia" w:ascii="宋体" w:hAnsi="宋体" w:cs="宋体"/>
          <w:lang w:val="en-US" w:eastAsia="zh-CN"/>
        </w:rPr>
        <w:t>1</w:t>
      </w:r>
      <w:r>
        <w:rPr>
          <w:rFonts w:hint="eastAsia" w:ascii="宋体" w:hAnsi="宋体" w:cs="宋体"/>
        </w:rPr>
        <w:t xml:space="preserve">  投标方在应标技术文件中应如实反映应标产品与本招标技术文件的技术差异，对本招标技术文件中的条款逐项回答。如果投标方没有提出技术差异，而在执行合同的过程中，招标方发现投标方提供的产品与其应标技术文件的条文存在差异，招标方有权利要求退货。</w:t>
      </w:r>
    </w:p>
    <w:p w14:paraId="132AFA5D">
      <w:pPr>
        <w:spacing w:line="360" w:lineRule="auto"/>
        <w:ind w:firstLine="420" w:firstLineChars="200"/>
        <w:rPr>
          <w:rFonts w:ascii="宋体" w:hAnsi="宋体" w:cs="宋体"/>
        </w:rPr>
      </w:pPr>
      <w:r>
        <w:rPr>
          <w:rFonts w:hint="eastAsia" w:ascii="宋体" w:hAnsi="宋体" w:cs="宋体"/>
        </w:rPr>
        <w:t>1.1</w:t>
      </w:r>
      <w:r>
        <w:rPr>
          <w:rFonts w:hint="eastAsia" w:ascii="宋体" w:hAnsi="宋体" w:cs="宋体"/>
          <w:lang w:val="en-US" w:eastAsia="zh-CN"/>
        </w:rPr>
        <w:t>2</w:t>
      </w:r>
      <w:r>
        <w:rPr>
          <w:rFonts w:hint="eastAsia" w:ascii="宋体" w:hAnsi="宋体" w:cs="宋体"/>
        </w:rPr>
        <w:t xml:space="preserve">  投标方应在应标技术部分按本招标技术文件的要求如实详细的填写应标设备的标准配置表，并在应标商务部分按此标准配置进行报价，二者配置须保持一致。</w:t>
      </w:r>
    </w:p>
    <w:p w14:paraId="710E256B">
      <w:pPr>
        <w:spacing w:line="360" w:lineRule="auto"/>
        <w:ind w:firstLine="420" w:firstLineChars="200"/>
        <w:rPr>
          <w:rFonts w:ascii="宋体" w:hAnsi="宋体" w:cs="宋体"/>
        </w:rPr>
      </w:pPr>
      <w:r>
        <w:rPr>
          <w:rFonts w:hint="eastAsia" w:ascii="宋体" w:hAnsi="宋体" w:cs="宋体"/>
        </w:rPr>
        <w:t>1.1</w:t>
      </w:r>
      <w:r>
        <w:rPr>
          <w:rFonts w:hint="eastAsia" w:ascii="宋体" w:hAnsi="宋体" w:cs="宋体"/>
          <w:lang w:val="en-US" w:eastAsia="zh-CN"/>
        </w:rPr>
        <w:t>3</w:t>
      </w:r>
      <w:r>
        <w:rPr>
          <w:rFonts w:hint="eastAsia" w:ascii="宋体" w:hAnsi="宋体" w:cs="宋体"/>
        </w:rPr>
        <w:t xml:space="preserve">  投标方应充分理解本招标技术文件并按本招标技术文件的具体条款、格式要求填写应标的技术文件。</w:t>
      </w:r>
    </w:p>
    <w:p w14:paraId="759791AF">
      <w:pPr>
        <w:spacing w:line="360" w:lineRule="auto"/>
        <w:ind w:firstLine="420" w:firstLineChars="200"/>
        <w:rPr>
          <w:rFonts w:ascii="宋体" w:hAnsi="宋体" w:cs="宋体"/>
        </w:rPr>
      </w:pPr>
      <w:r>
        <w:rPr>
          <w:rFonts w:hint="eastAsia" w:ascii="宋体" w:hAnsi="宋体" w:cs="宋体"/>
        </w:rPr>
        <w:t>1.1</w:t>
      </w:r>
      <w:r>
        <w:rPr>
          <w:rFonts w:hint="eastAsia" w:ascii="宋体" w:hAnsi="宋体" w:cs="宋体"/>
          <w:lang w:val="en-US" w:eastAsia="zh-CN"/>
        </w:rPr>
        <w:t>4</w:t>
      </w:r>
      <w:r>
        <w:rPr>
          <w:rFonts w:hint="eastAsia" w:ascii="宋体" w:hAnsi="宋体" w:cs="宋体"/>
        </w:rPr>
        <w:t xml:space="preserve">  本招标技术文件未尽事宜，由买卖双方协商确定。</w:t>
      </w:r>
    </w:p>
    <w:p w14:paraId="4BE3C0AB">
      <w:pPr>
        <w:spacing w:line="360" w:lineRule="auto"/>
        <w:ind w:firstLine="420" w:firstLineChars="200"/>
      </w:pPr>
      <w:r>
        <w:rPr>
          <w:rFonts w:hint="eastAsia" w:ascii="宋体" w:hAnsi="宋体" w:cs="宋体"/>
        </w:rPr>
        <w:t>1.1</w:t>
      </w:r>
      <w:r>
        <w:rPr>
          <w:rFonts w:hint="eastAsia" w:ascii="宋体" w:hAnsi="宋体" w:cs="宋体"/>
          <w:lang w:val="en-US" w:eastAsia="zh-CN"/>
        </w:rPr>
        <w:t>5</w:t>
      </w:r>
      <w:r>
        <w:rPr>
          <w:rFonts w:hint="eastAsia" w:ascii="宋体" w:hAnsi="宋体" w:cs="宋体"/>
        </w:rPr>
        <w:t xml:space="preserve">  </w:t>
      </w:r>
      <w:r>
        <w:rPr>
          <w:rFonts w:hint="eastAsia"/>
          <w:bCs/>
        </w:rPr>
        <w:t>本招标书技术指标要求中，凡加“</w:t>
      </w:r>
      <w:r>
        <w:rPr>
          <w:bCs/>
        </w:rPr>
        <w:t>★</w:t>
      </w:r>
      <w:r>
        <w:rPr>
          <w:rFonts w:hint="eastAsia"/>
          <w:bCs/>
        </w:rPr>
        <w:t>”的地方均被视为重要的技术指标要求或性能要求。投标方必须重视这些要求并提供证明材料。</w:t>
      </w:r>
    </w:p>
    <w:bookmarkEnd w:id="0"/>
    <w:p w14:paraId="35CADFA4">
      <w:pPr>
        <w:pStyle w:val="2"/>
        <w:rPr>
          <w:rFonts w:ascii="宋体" w:hAnsi="宋体" w:cs="宋体"/>
        </w:rPr>
      </w:pPr>
      <w:bookmarkStart w:id="8" w:name="_Toc271281204"/>
      <w:bookmarkStart w:id="9" w:name="_Toc384340976"/>
      <w:bookmarkStart w:id="10" w:name="_Toc514407900"/>
      <w:bookmarkStart w:id="11" w:name="_Toc13683"/>
      <w:bookmarkStart w:id="12" w:name="_Toc21714"/>
      <w:bookmarkStart w:id="13" w:name="_Toc279695347"/>
      <w:bookmarkStart w:id="14" w:name="_Toc276490890"/>
      <w:bookmarkStart w:id="15" w:name="_Toc744930103"/>
      <w:bookmarkStart w:id="16" w:name="_Toc246216316"/>
      <w:bookmarkStart w:id="17" w:name="_Toc97405476"/>
      <w:bookmarkStart w:id="18" w:name="_Toc29293"/>
      <w:bookmarkStart w:id="19" w:name="_Toc112756677"/>
      <w:bookmarkStart w:id="20" w:name="_Toc276492358"/>
      <w:bookmarkStart w:id="21" w:name="_Toc241911995"/>
      <w:bookmarkStart w:id="22" w:name="_Toc155114607"/>
      <w:r>
        <w:rPr>
          <w:rFonts w:hint="eastAsia" w:ascii="宋体" w:hAnsi="宋体" w:cs="宋体"/>
        </w:rPr>
        <w:t>工作范围</w:t>
      </w:r>
      <w:bookmarkEnd w:id="8"/>
      <w:bookmarkEnd w:id="9"/>
      <w:bookmarkEnd w:id="10"/>
      <w:bookmarkEnd w:id="11"/>
      <w:bookmarkEnd w:id="12"/>
      <w:bookmarkEnd w:id="13"/>
      <w:bookmarkEnd w:id="14"/>
      <w:bookmarkEnd w:id="15"/>
      <w:bookmarkEnd w:id="16"/>
      <w:bookmarkEnd w:id="17"/>
      <w:bookmarkEnd w:id="18"/>
      <w:bookmarkEnd w:id="19"/>
      <w:bookmarkEnd w:id="20"/>
    </w:p>
    <w:p w14:paraId="3E8308ED">
      <w:pPr>
        <w:pStyle w:val="3"/>
        <w:rPr>
          <w:rFonts w:ascii="宋体" w:hAnsi="宋体" w:cs="宋体"/>
        </w:rPr>
      </w:pPr>
      <w:bookmarkStart w:id="23" w:name="_Toc97405477"/>
      <w:bookmarkStart w:id="24" w:name="_Toc514407901"/>
      <w:bookmarkStart w:id="25" w:name="_Toc474"/>
      <w:bookmarkStart w:id="26" w:name="_Toc30931"/>
      <w:bookmarkStart w:id="27" w:name="_Toc31181"/>
      <w:bookmarkStart w:id="28" w:name="_Toc384340977"/>
      <w:bookmarkStart w:id="29" w:name="_Toc210579111"/>
      <w:r>
        <w:rPr>
          <w:rFonts w:hint="eastAsia" w:ascii="宋体" w:hAnsi="宋体" w:cs="宋体"/>
        </w:rPr>
        <w:t>工程概况</w:t>
      </w:r>
      <w:bookmarkEnd w:id="23"/>
      <w:bookmarkEnd w:id="24"/>
      <w:bookmarkEnd w:id="25"/>
      <w:bookmarkEnd w:id="26"/>
      <w:bookmarkEnd w:id="27"/>
      <w:bookmarkEnd w:id="28"/>
      <w:bookmarkEnd w:id="29"/>
    </w:p>
    <w:p w14:paraId="635CF7AE">
      <w:pPr>
        <w:spacing w:line="360" w:lineRule="auto"/>
        <w:ind w:firstLine="420" w:firstLineChars="200"/>
        <w:rPr>
          <w:rFonts w:ascii="宋体" w:hAnsi="宋体" w:cs="宋体"/>
        </w:rPr>
      </w:pPr>
      <w:r>
        <w:rPr>
          <w:rFonts w:hint="eastAsia" w:ascii="宋体" w:hAnsi="宋体" w:cs="宋体"/>
        </w:rPr>
        <w:t>本技术规范书采购的设备适用的工程概况详见专用部分。</w:t>
      </w:r>
    </w:p>
    <w:p w14:paraId="1FB61EF2">
      <w:pPr>
        <w:pStyle w:val="3"/>
        <w:rPr>
          <w:rFonts w:ascii="宋体" w:hAnsi="宋体" w:cs="宋体"/>
        </w:rPr>
      </w:pPr>
      <w:bookmarkStart w:id="30" w:name="_Toc150068321"/>
      <w:bookmarkStart w:id="31" w:name="_Toc97405478"/>
      <w:bookmarkStart w:id="32" w:name="_Toc19602"/>
      <w:bookmarkStart w:id="33" w:name="_Toc10973"/>
      <w:bookmarkStart w:id="34" w:name="_Toc384340978"/>
      <w:bookmarkStart w:id="35" w:name="_Toc514407902"/>
      <w:bookmarkStart w:id="36" w:name="_Toc13244"/>
      <w:r>
        <w:rPr>
          <w:rFonts w:hint="eastAsia" w:ascii="宋体" w:hAnsi="宋体" w:cs="宋体"/>
        </w:rPr>
        <w:t>范围和界限</w:t>
      </w:r>
      <w:bookmarkEnd w:id="30"/>
      <w:bookmarkEnd w:id="31"/>
      <w:bookmarkEnd w:id="32"/>
      <w:bookmarkEnd w:id="33"/>
      <w:bookmarkEnd w:id="34"/>
      <w:bookmarkEnd w:id="35"/>
      <w:bookmarkEnd w:id="36"/>
    </w:p>
    <w:p w14:paraId="6CBBC768">
      <w:pPr>
        <w:numPr>
          <w:ilvl w:val="0"/>
          <w:numId w:val="19"/>
        </w:numPr>
        <w:spacing w:line="360" w:lineRule="auto"/>
        <w:ind w:left="0" w:firstLine="420" w:firstLineChars="200"/>
        <w:rPr>
          <w:rFonts w:ascii="宋体" w:hAnsi="宋体" w:cs="宋体"/>
        </w:rPr>
      </w:pPr>
      <w:r>
        <w:rPr>
          <w:rFonts w:hint="eastAsia" w:ascii="宋体" w:hAnsi="宋体" w:cs="宋体"/>
        </w:rPr>
        <w:t>本规范书适应于深圳供电局所属变电站（发电厂）新建、扩建及改造工程，</w:t>
      </w:r>
      <w:r>
        <w:rPr>
          <w:rFonts w:hint="eastAsia"/>
          <w:lang w:eastAsia="zh-CN"/>
        </w:rPr>
        <w:t>通信蓄电池在线核容装置</w:t>
      </w:r>
      <w:r>
        <w:rPr>
          <w:rFonts w:hint="eastAsia" w:ascii="宋体" w:hAnsi="宋体" w:cs="宋体"/>
        </w:rPr>
        <w:t>的设计，制造，装配，工厂试验，交付，现场安装和试验的指导、监督以及试运行工作。</w:t>
      </w:r>
    </w:p>
    <w:p w14:paraId="2D0E3321">
      <w:pPr>
        <w:numPr>
          <w:ilvl w:val="0"/>
          <w:numId w:val="19"/>
        </w:numPr>
        <w:spacing w:line="360" w:lineRule="auto"/>
        <w:ind w:left="0" w:firstLine="420" w:firstLineChars="200"/>
        <w:rPr>
          <w:rFonts w:ascii="宋体" w:hAnsi="宋体" w:cs="宋体"/>
        </w:rPr>
      </w:pPr>
      <w:r>
        <w:rPr>
          <w:rFonts w:hint="eastAsia" w:ascii="宋体" w:hAnsi="宋体" w:cs="宋体"/>
        </w:rPr>
        <w:t>运输</w:t>
      </w:r>
    </w:p>
    <w:p w14:paraId="02BE5AE7">
      <w:pPr>
        <w:spacing w:line="360" w:lineRule="auto"/>
        <w:ind w:firstLine="420" w:firstLineChars="200"/>
        <w:rPr>
          <w:rFonts w:ascii="宋体" w:hAnsi="宋体" w:cs="宋体"/>
        </w:rPr>
      </w:pPr>
      <w:r>
        <w:rPr>
          <w:rFonts w:hint="eastAsia" w:ascii="宋体" w:hAnsi="宋体" w:cs="宋体"/>
        </w:rPr>
        <w:t>运输条件详见专用部分。</w:t>
      </w:r>
    </w:p>
    <w:p w14:paraId="09D7F8EA">
      <w:pPr>
        <w:numPr>
          <w:ilvl w:val="0"/>
          <w:numId w:val="19"/>
        </w:numPr>
        <w:spacing w:line="360" w:lineRule="auto"/>
        <w:ind w:left="0" w:firstLine="420" w:firstLineChars="200"/>
        <w:rPr>
          <w:rFonts w:ascii="宋体" w:hAnsi="宋体" w:cs="宋体"/>
        </w:rPr>
      </w:pPr>
      <w:r>
        <w:rPr>
          <w:rFonts w:hint="eastAsia" w:ascii="宋体" w:hAnsi="宋体" w:cs="宋体"/>
        </w:rPr>
        <w:t>现场安装和试验在投标方的技术指导和监督下由招标方完成。</w:t>
      </w:r>
    </w:p>
    <w:p w14:paraId="5923126B">
      <w:pPr>
        <w:numPr>
          <w:ilvl w:val="0"/>
          <w:numId w:val="19"/>
        </w:numPr>
        <w:spacing w:line="360" w:lineRule="auto"/>
        <w:ind w:left="0" w:firstLine="420" w:firstLineChars="200"/>
        <w:rPr>
          <w:rFonts w:ascii="宋体" w:hAnsi="宋体" w:cs="宋体"/>
        </w:rPr>
      </w:pPr>
      <w:r>
        <w:rPr>
          <w:rFonts w:hint="eastAsia" w:ascii="宋体" w:hAnsi="宋体" w:cs="宋体"/>
        </w:rPr>
        <w:t>本规范书未说明，但又与设计、制造、装配、试验、运输、包装、保管、安装和运行维护有关的技术要求，按条款3所规定的有关标准执行。</w:t>
      </w:r>
    </w:p>
    <w:p w14:paraId="7B4FBF98">
      <w:pPr>
        <w:pStyle w:val="3"/>
        <w:rPr>
          <w:rFonts w:ascii="宋体" w:hAnsi="宋体" w:cs="宋体"/>
        </w:rPr>
      </w:pPr>
      <w:bookmarkStart w:id="37" w:name="_Toc514407903"/>
      <w:bookmarkStart w:id="38" w:name="_Toc29087"/>
      <w:bookmarkStart w:id="39" w:name="_Toc384340979"/>
      <w:bookmarkStart w:id="40" w:name="_Toc97405479"/>
      <w:bookmarkStart w:id="41" w:name="_Toc1052469469"/>
      <w:bookmarkStart w:id="42" w:name="_Toc17196"/>
      <w:bookmarkStart w:id="43" w:name="_Toc18943"/>
      <w:r>
        <w:rPr>
          <w:rFonts w:hint="eastAsia" w:ascii="宋体" w:hAnsi="宋体" w:cs="宋体"/>
        </w:rPr>
        <w:t>服务范围</w:t>
      </w:r>
      <w:bookmarkEnd w:id="37"/>
      <w:bookmarkEnd w:id="38"/>
      <w:bookmarkEnd w:id="39"/>
      <w:bookmarkEnd w:id="40"/>
      <w:bookmarkEnd w:id="41"/>
      <w:bookmarkEnd w:id="42"/>
      <w:bookmarkEnd w:id="43"/>
    </w:p>
    <w:p w14:paraId="7C0FD03B">
      <w:pPr>
        <w:numPr>
          <w:ilvl w:val="0"/>
          <w:numId w:val="20"/>
        </w:numPr>
        <w:spacing w:line="360" w:lineRule="auto"/>
        <w:ind w:left="0" w:firstLine="420" w:firstLineChars="200"/>
        <w:rPr>
          <w:rFonts w:ascii="宋体" w:hAnsi="宋体" w:cs="宋体"/>
        </w:rPr>
      </w:pPr>
      <w:r>
        <w:rPr>
          <w:rFonts w:hint="eastAsia" w:ascii="宋体" w:hAnsi="宋体" w:cs="宋体"/>
        </w:rPr>
        <w:t>投标方应按本规范书的要求提供台全新的、合格的变电站</w:t>
      </w:r>
      <w:r>
        <w:rPr>
          <w:rFonts w:hint="eastAsia" w:ascii="宋体" w:hAnsi="宋体" w:cs="宋体"/>
          <w:lang w:eastAsia="zh-CN"/>
        </w:rPr>
        <w:t>通信蓄电池在线核容装置</w:t>
      </w:r>
      <w:r>
        <w:rPr>
          <w:rFonts w:hint="eastAsia" w:ascii="宋体" w:hAnsi="宋体" w:cs="宋体"/>
        </w:rPr>
        <w:t>、备品备件、专用工具和仪器。投标方所提供的组件或附件如需向第三方外购时，投标方应对质量向招标方负责，并提供相应出厂和验收证明。</w:t>
      </w:r>
    </w:p>
    <w:p w14:paraId="34864ABE">
      <w:pPr>
        <w:numPr>
          <w:ilvl w:val="0"/>
          <w:numId w:val="20"/>
        </w:numPr>
        <w:spacing w:line="360" w:lineRule="auto"/>
        <w:ind w:left="0" w:firstLine="420" w:firstLineChars="200"/>
        <w:rPr>
          <w:rFonts w:ascii="宋体" w:hAnsi="宋体" w:cs="宋体"/>
        </w:rPr>
      </w:pPr>
      <w:r>
        <w:rPr>
          <w:rFonts w:hint="eastAsia" w:ascii="宋体" w:hAnsi="宋体" w:cs="宋体"/>
        </w:rPr>
        <w:t>供货范围</w:t>
      </w:r>
      <w:bookmarkStart w:id="44" w:name="_Toc283142589"/>
      <w:bookmarkStart w:id="45" w:name="_Toc283011667"/>
      <w:bookmarkStart w:id="46" w:name="_Toc282433715"/>
      <w:r>
        <w:rPr>
          <w:rFonts w:hint="eastAsia" w:ascii="宋体" w:hAnsi="宋体" w:cs="宋体"/>
        </w:rPr>
        <w:t>一览表</w:t>
      </w:r>
      <w:bookmarkEnd w:id="44"/>
      <w:bookmarkEnd w:id="45"/>
      <w:bookmarkEnd w:id="46"/>
    </w:p>
    <w:p w14:paraId="351F73DB">
      <w:pPr>
        <w:spacing w:line="360" w:lineRule="auto"/>
        <w:ind w:firstLine="420" w:firstLineChars="200"/>
        <w:rPr>
          <w:rFonts w:ascii="宋体" w:hAnsi="宋体" w:cs="宋体"/>
        </w:rPr>
      </w:pPr>
      <w:r>
        <w:rPr>
          <w:rFonts w:hint="eastAsia" w:ascii="宋体" w:hAnsi="宋体" w:cs="宋体"/>
        </w:rPr>
        <w:t>供货设备技术规格一览表详见专用部分。</w:t>
      </w:r>
    </w:p>
    <w:p w14:paraId="03BF6FA2">
      <w:pPr>
        <w:numPr>
          <w:ilvl w:val="0"/>
          <w:numId w:val="20"/>
        </w:numPr>
        <w:spacing w:line="360" w:lineRule="auto"/>
        <w:ind w:left="0" w:firstLine="420" w:firstLineChars="200"/>
        <w:rPr>
          <w:rFonts w:ascii="宋体" w:hAnsi="宋体" w:cs="宋体"/>
        </w:rPr>
      </w:pPr>
      <w:r>
        <w:rPr>
          <w:rFonts w:hint="eastAsia" w:ascii="宋体" w:hAnsi="宋体" w:cs="宋体"/>
        </w:rPr>
        <w:t>工厂试验由投标方在生产厂家内完成，但应有招标方代表参加，参加工厂验收的人数及天数等规定详见规范书商务部分。</w:t>
      </w:r>
    </w:p>
    <w:p w14:paraId="30E7B88F">
      <w:pPr>
        <w:numPr>
          <w:ilvl w:val="0"/>
          <w:numId w:val="20"/>
        </w:numPr>
        <w:spacing w:line="360" w:lineRule="auto"/>
        <w:ind w:left="0" w:firstLine="420" w:firstLineChars="200"/>
        <w:rPr>
          <w:rFonts w:ascii="宋体" w:hAnsi="宋体" w:cs="宋体"/>
        </w:rPr>
      </w:pPr>
      <w:r>
        <w:rPr>
          <w:rFonts w:hint="eastAsia" w:ascii="宋体" w:hAnsi="宋体" w:cs="宋体"/>
        </w:rPr>
        <w:t>现场安装和试验在投标方的技术指导下由招标方完成，投标方协助招标方按标准检查安装质量，处理调试投运过程中出现的问题，并提供备品、备件，做好销售服务工作。投标方应选派有经验的技术人员，对安装和运行人员免费培训。安装督导的工作范围及人数和天数等规定详见规范书商务部分。</w:t>
      </w:r>
    </w:p>
    <w:p w14:paraId="42C1E77B">
      <w:pPr>
        <w:numPr>
          <w:ilvl w:val="0"/>
          <w:numId w:val="20"/>
        </w:numPr>
        <w:spacing w:line="360" w:lineRule="auto"/>
        <w:ind w:left="0" w:firstLine="420" w:firstLineChars="200"/>
        <w:rPr>
          <w:rFonts w:ascii="宋体" w:hAnsi="宋体" w:cs="宋体"/>
        </w:rPr>
      </w:pPr>
      <w:r>
        <w:rPr>
          <w:rFonts w:hint="eastAsia" w:ascii="宋体" w:hAnsi="宋体" w:cs="宋体"/>
        </w:rPr>
        <w:t>投标方应协助招标方解决设备运行中出现的问题。</w:t>
      </w:r>
    </w:p>
    <w:p w14:paraId="70C09D41">
      <w:pPr>
        <w:numPr>
          <w:ilvl w:val="0"/>
          <w:numId w:val="20"/>
        </w:numPr>
        <w:spacing w:line="360" w:lineRule="auto"/>
        <w:ind w:left="0" w:firstLine="420" w:firstLineChars="200"/>
        <w:rPr>
          <w:rFonts w:ascii="宋体" w:hAnsi="宋体" w:cs="宋体"/>
        </w:rPr>
      </w:pPr>
      <w:r>
        <w:rPr>
          <w:rFonts w:hint="eastAsia" w:ascii="宋体" w:hAnsi="宋体" w:cs="宋体"/>
        </w:rPr>
        <w:t>产品零整比不大于3，供货商零部件总成本不应超过变电站</w:t>
      </w:r>
      <w:r>
        <w:rPr>
          <w:rFonts w:hint="eastAsia" w:ascii="宋体" w:hAnsi="宋体" w:cs="宋体"/>
          <w:lang w:eastAsia="zh-CN"/>
        </w:rPr>
        <w:t>通信蓄电池在线核容装置</w:t>
      </w:r>
      <w:r>
        <w:rPr>
          <w:rFonts w:hint="eastAsia" w:ascii="宋体" w:hAnsi="宋体" w:cs="宋体"/>
        </w:rPr>
        <w:t>本体成本3倍。</w:t>
      </w:r>
    </w:p>
    <w:p w14:paraId="5300B0B9">
      <w:pPr>
        <w:numPr>
          <w:ilvl w:val="0"/>
          <w:numId w:val="20"/>
        </w:numPr>
        <w:spacing w:line="360" w:lineRule="auto"/>
        <w:ind w:left="0" w:firstLine="420" w:firstLineChars="200"/>
        <w:rPr>
          <w:rFonts w:ascii="宋体" w:hAnsi="宋体" w:cs="宋体"/>
        </w:rPr>
      </w:pPr>
      <w:r>
        <w:rPr>
          <w:rFonts w:hint="eastAsia" w:ascii="宋体" w:hAnsi="宋体" w:cs="宋体"/>
        </w:rPr>
        <w:t>设计联络会议的地点及招标方参加人员的人数和天数等规定详见规范书商务部分。</w:t>
      </w:r>
    </w:p>
    <w:p w14:paraId="1DD56B3A">
      <w:pPr>
        <w:numPr>
          <w:ilvl w:val="0"/>
          <w:numId w:val="20"/>
        </w:numPr>
        <w:spacing w:line="360" w:lineRule="auto"/>
        <w:ind w:left="0" w:firstLine="420" w:firstLineChars="200"/>
        <w:rPr>
          <w:rFonts w:ascii="宋体" w:hAnsi="宋体" w:cs="宋体"/>
        </w:rPr>
      </w:pPr>
      <w:r>
        <w:rPr>
          <w:rFonts w:hint="eastAsia" w:ascii="宋体" w:hAnsi="宋体" w:cs="宋体"/>
        </w:rPr>
        <w:t>设备安装、调试和性能试验合格后方可投运。设备投运并稳定运行后，投标方和招标方（业主）双方应根据相关法律、法规和公司管理制度签署合同设备的验收证明书。该证明书共两份，双方各执一份。</w:t>
      </w:r>
    </w:p>
    <w:p w14:paraId="6C3129DA">
      <w:pPr>
        <w:numPr>
          <w:ilvl w:val="0"/>
          <w:numId w:val="20"/>
        </w:numPr>
        <w:spacing w:line="360" w:lineRule="auto"/>
        <w:ind w:left="0" w:firstLine="420" w:firstLineChars="200"/>
        <w:rPr>
          <w:rFonts w:ascii="宋体" w:hAnsi="宋体" w:cs="宋体"/>
        </w:rPr>
      </w:pPr>
      <w:r>
        <w:rPr>
          <w:rFonts w:hint="eastAsia" w:ascii="宋体" w:hAnsi="宋体" w:cs="宋体"/>
        </w:rPr>
        <w:t>如果安装、调试、性能试验、试运行及质保期内技术指标一项或多项不能满足合同技术部分要求，买卖双方共同分析原因，分清责任，如属制造方面的原因，或涉及索赔部分，按商务部分有关条款执行。</w:t>
      </w:r>
    </w:p>
    <w:p w14:paraId="139C3A59">
      <w:pPr>
        <w:numPr>
          <w:ilvl w:val="0"/>
          <w:numId w:val="20"/>
        </w:numPr>
        <w:spacing w:line="360" w:lineRule="auto"/>
        <w:ind w:left="0" w:firstLine="420" w:firstLineChars="200"/>
        <w:rPr>
          <w:rFonts w:ascii="宋体" w:hAnsi="宋体" w:cs="宋体"/>
        </w:rPr>
      </w:pPr>
      <w:r>
        <w:rPr>
          <w:rFonts w:hint="eastAsia" w:ascii="宋体" w:hAnsi="宋体" w:cs="宋体"/>
        </w:rPr>
        <w:t>配合招标方将主站系统数据从网络安全</w:t>
      </w:r>
      <w:r>
        <w:rPr>
          <w:rFonts w:ascii="宋体" w:hAnsi="宋体" w:cs="宋体"/>
        </w:rPr>
        <w:t>II区传输到</w:t>
      </w:r>
      <w:r>
        <w:rPr>
          <w:rFonts w:hint="eastAsia" w:ascii="宋体" w:hAnsi="宋体" w:cs="宋体"/>
        </w:rPr>
        <w:t>网络安全</w:t>
      </w:r>
      <w:r>
        <w:rPr>
          <w:rFonts w:ascii="宋体" w:hAnsi="宋体" w:cs="宋体"/>
        </w:rPr>
        <w:t>III区呈现提供技术支持服务</w:t>
      </w:r>
      <w:r>
        <w:rPr>
          <w:rFonts w:hint="eastAsia" w:ascii="宋体" w:hAnsi="宋体" w:cs="宋体"/>
        </w:rPr>
        <w:t>。</w:t>
      </w:r>
    </w:p>
    <w:bookmarkEnd w:id="21"/>
    <w:bookmarkEnd w:id="22"/>
    <w:p w14:paraId="00C05C5C">
      <w:pPr>
        <w:pStyle w:val="2"/>
        <w:tabs>
          <w:tab w:val="left" w:pos="1134"/>
          <w:tab w:val="clear" w:pos="425"/>
        </w:tabs>
        <w:rPr>
          <w:rFonts w:ascii="宋体" w:hAnsi="宋体" w:cs="宋体"/>
        </w:rPr>
      </w:pPr>
      <w:bookmarkStart w:id="47" w:name="_Toc384340980"/>
      <w:r>
        <w:rPr>
          <w:rFonts w:hint="eastAsia" w:ascii="宋体" w:hAnsi="宋体" w:cs="宋体"/>
        </w:rPr>
        <w:t xml:space="preserve"> </w:t>
      </w:r>
      <w:bookmarkStart w:id="48" w:name="_Toc514407904"/>
      <w:bookmarkStart w:id="49" w:name="_Toc97405480"/>
      <w:bookmarkStart w:id="50" w:name="_Toc31565144"/>
      <w:bookmarkStart w:id="51" w:name="_Toc16116"/>
      <w:bookmarkStart w:id="52" w:name="_Toc25162"/>
      <w:bookmarkStart w:id="53" w:name="_Toc17963"/>
      <w:r>
        <w:rPr>
          <w:rFonts w:hint="eastAsia" w:ascii="宋体" w:hAnsi="宋体" w:cs="宋体"/>
        </w:rPr>
        <w:t>应遵循的主要标准</w:t>
      </w:r>
      <w:bookmarkEnd w:id="47"/>
      <w:bookmarkEnd w:id="48"/>
      <w:bookmarkEnd w:id="49"/>
      <w:bookmarkEnd w:id="50"/>
      <w:bookmarkEnd w:id="51"/>
      <w:bookmarkEnd w:id="52"/>
      <w:bookmarkEnd w:id="53"/>
    </w:p>
    <w:p w14:paraId="446D63F6">
      <w:pPr>
        <w:spacing w:line="360" w:lineRule="auto"/>
        <w:ind w:firstLine="420" w:firstLineChars="200"/>
        <w:rPr>
          <w:rFonts w:ascii="宋体" w:hAnsi="宋体" w:cs="宋体"/>
        </w:rPr>
      </w:pPr>
      <w:bookmarkStart w:id="54" w:name="_Toc457979127"/>
      <w:bookmarkStart w:id="55" w:name="_Toc155114612"/>
      <w:bookmarkStart w:id="56" w:name="_Toc241912000"/>
      <w:bookmarkStart w:id="57" w:name="_Toc114253693"/>
      <w:bookmarkStart w:id="58" w:name="_Toc146182538"/>
      <w:bookmarkStart w:id="59" w:name="_Toc457986926"/>
      <w:bookmarkStart w:id="60" w:name="_Toc448828694"/>
      <w:bookmarkStart w:id="61" w:name="_Toc482581219"/>
      <w:bookmarkStart w:id="62" w:name="_Toc459534976"/>
      <w:bookmarkStart w:id="63" w:name="_Toc455373921"/>
      <w:bookmarkStart w:id="64" w:name="_Toc455543289"/>
      <w:r>
        <w:rPr>
          <w:rFonts w:hint="eastAsia" w:ascii="宋体" w:hAnsi="宋体" w:cs="宋体"/>
        </w:rPr>
        <w:t>下列标准所包含的条文，通过在本招标技术文件中引用而构成本招标技术文件的基本条文，此外，还应遵照最新版本的国际电工委员会标准(IEC)、国际公制(SI)、中华人民共和国国家标准(GB)及行业标准，这是对设备的最低要求。在本招标技术文件出版时，所示版本均为有效。所有标准都会被修订，使用本招标技术文件的各方应探讨使用下列标准最新版本的可能性。按标准号顺序排列标准，如果各标准要求有所不同，满足更高的标准要求。主要引用标准如下：</w:t>
      </w:r>
    </w:p>
    <w:p w14:paraId="554523A9">
      <w:pPr>
        <w:spacing w:line="360" w:lineRule="auto"/>
        <w:ind w:left="420" w:leftChars="200"/>
        <w:rPr>
          <w:rFonts w:ascii="宋体" w:hAnsi="宋体" w:cs="宋体"/>
        </w:rPr>
      </w:pPr>
      <w:r>
        <w:rPr>
          <w:rFonts w:hint="eastAsia" w:ascii="宋体" w:hAnsi="宋体" w:cs="宋体"/>
        </w:rPr>
        <w:t xml:space="preserve">GB 9254-2008 </w:t>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信息技术设备的无线电骚扰限值和测量方法</w:t>
      </w:r>
    </w:p>
    <w:p w14:paraId="2E65F16E">
      <w:pPr>
        <w:spacing w:line="360" w:lineRule="auto"/>
        <w:ind w:left="420" w:leftChars="200"/>
        <w:rPr>
          <w:rFonts w:ascii="宋体" w:hAnsi="宋体" w:cs="宋体"/>
        </w:rPr>
      </w:pPr>
      <w:r>
        <w:rPr>
          <w:rFonts w:hint="eastAsia" w:ascii="宋体" w:hAnsi="宋体" w:cs="宋体"/>
        </w:rPr>
        <w:t>DL/T 781-2001</w:t>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电力用高频开关整流模块</w:t>
      </w:r>
    </w:p>
    <w:p w14:paraId="011D675D">
      <w:pPr>
        <w:spacing w:line="360" w:lineRule="auto"/>
        <w:ind w:left="420" w:leftChars="200"/>
        <w:rPr>
          <w:rFonts w:ascii="宋体" w:hAnsi="宋体" w:cs="宋体"/>
        </w:rPr>
      </w:pPr>
      <w:r>
        <w:rPr>
          <w:rFonts w:hint="eastAsia" w:ascii="宋体" w:hAnsi="宋体" w:cs="宋体"/>
        </w:rPr>
        <w:t>DL/T 5044-2014</w:t>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电力工程直流电源系统设计技术规程</w:t>
      </w:r>
    </w:p>
    <w:p w14:paraId="332FAFB4">
      <w:pPr>
        <w:spacing w:line="360" w:lineRule="auto"/>
        <w:ind w:left="420" w:leftChars="200"/>
        <w:rPr>
          <w:rFonts w:ascii="宋体" w:hAnsi="宋体" w:cs="宋体"/>
        </w:rPr>
      </w:pPr>
      <w:r>
        <w:rPr>
          <w:rFonts w:hint="eastAsia" w:ascii="宋体" w:hAnsi="宋体" w:cs="宋体"/>
        </w:rPr>
        <w:t>DL/T 724-2000</w:t>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电力系统用蓄电池直流电源装置运行与维护技术规程</w:t>
      </w:r>
    </w:p>
    <w:p w14:paraId="7BAA9229">
      <w:pPr>
        <w:spacing w:line="360" w:lineRule="auto"/>
        <w:ind w:left="420" w:leftChars="200"/>
        <w:rPr>
          <w:rFonts w:ascii="宋体" w:hAnsi="宋体" w:cs="宋体"/>
        </w:rPr>
      </w:pPr>
      <w:r>
        <w:rPr>
          <w:rFonts w:hint="eastAsia" w:ascii="宋体" w:hAnsi="宋体" w:cs="宋体"/>
        </w:rPr>
        <w:t>YD/T 1051-2010</w:t>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通信局（站）电源系统总技术要求</w:t>
      </w:r>
    </w:p>
    <w:p w14:paraId="14EB9185">
      <w:pPr>
        <w:spacing w:line="360" w:lineRule="auto"/>
        <w:ind w:left="420" w:leftChars="200"/>
        <w:rPr>
          <w:rFonts w:ascii="宋体" w:hAnsi="宋体" w:cs="宋体"/>
        </w:rPr>
      </w:pPr>
      <w:r>
        <w:rPr>
          <w:rFonts w:hint="eastAsia" w:ascii="宋体" w:hAnsi="宋体" w:cs="宋体"/>
        </w:rPr>
        <w:t>YD/T 1058-2015</w:t>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通信用高频开关电源系统</w:t>
      </w:r>
    </w:p>
    <w:p w14:paraId="520FD13C">
      <w:pPr>
        <w:spacing w:line="360" w:lineRule="auto"/>
        <w:ind w:left="420" w:leftChars="200"/>
        <w:rPr>
          <w:rFonts w:ascii="宋体" w:hAnsi="宋体" w:cs="宋体"/>
        </w:rPr>
      </w:pPr>
      <w:r>
        <w:rPr>
          <w:rFonts w:hint="eastAsia" w:ascii="宋体" w:hAnsi="宋体" w:cs="宋体"/>
        </w:rPr>
        <w:t>YD/T 585-2010</w:t>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通信用配电设备</w:t>
      </w:r>
    </w:p>
    <w:p w14:paraId="75E86783">
      <w:pPr>
        <w:spacing w:line="360" w:lineRule="auto"/>
        <w:ind w:left="420" w:leftChars="200"/>
        <w:rPr>
          <w:rFonts w:ascii="宋体" w:hAnsi="宋体" w:cs="宋体"/>
        </w:rPr>
      </w:pPr>
      <w:r>
        <w:rPr>
          <w:rFonts w:hint="eastAsia" w:ascii="宋体" w:hAnsi="宋体" w:cs="宋体"/>
        </w:rPr>
        <w:t>YD/T 731-2008</w:t>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通信用高频开关整流器</w:t>
      </w:r>
    </w:p>
    <w:p w14:paraId="5C5EB593">
      <w:pPr>
        <w:spacing w:line="360" w:lineRule="auto"/>
        <w:ind w:left="420" w:leftChars="200"/>
        <w:rPr>
          <w:rFonts w:ascii="宋体" w:hAnsi="宋体" w:cs="宋体"/>
        </w:rPr>
      </w:pPr>
      <w:r>
        <w:rPr>
          <w:rFonts w:hint="eastAsia" w:ascii="宋体" w:hAnsi="宋体" w:cs="宋体"/>
        </w:rPr>
        <w:t>YD/T 944-2007</w:t>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通信电源设备的防雷技术要求和测试方法</w:t>
      </w:r>
    </w:p>
    <w:p w14:paraId="221E598A">
      <w:pPr>
        <w:spacing w:line="360" w:lineRule="auto"/>
        <w:ind w:left="420" w:leftChars="200"/>
        <w:rPr>
          <w:rFonts w:ascii="宋体" w:hAnsi="宋体" w:cs="宋体"/>
        </w:rPr>
      </w:pPr>
      <w:r>
        <w:rPr>
          <w:rFonts w:hint="eastAsia" w:ascii="宋体" w:hAnsi="宋体" w:cs="宋体"/>
        </w:rPr>
        <w:t>YD/T 983-2013</w:t>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通信电源设备电磁兼容性限值及测量方法</w:t>
      </w:r>
    </w:p>
    <w:p w14:paraId="5CFCD92A">
      <w:pPr>
        <w:spacing w:line="360" w:lineRule="auto"/>
        <w:ind w:left="420" w:leftChars="200"/>
        <w:rPr>
          <w:rFonts w:ascii="宋体" w:hAnsi="宋体" w:cs="宋体"/>
        </w:rPr>
      </w:pPr>
      <w:r>
        <w:rPr>
          <w:rFonts w:hint="eastAsia" w:ascii="宋体" w:hAnsi="宋体" w:cs="宋体"/>
        </w:rPr>
        <w:t>YD/T 799-2010</w:t>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通信用阀控式密封铅酸蓄电池</w:t>
      </w:r>
    </w:p>
    <w:p w14:paraId="5CA07E95">
      <w:pPr>
        <w:spacing w:line="360" w:lineRule="auto"/>
        <w:ind w:left="420" w:leftChars="200"/>
        <w:rPr>
          <w:rFonts w:ascii="宋体" w:hAnsi="宋体" w:cs="宋体"/>
        </w:rPr>
      </w:pPr>
      <w:r>
        <w:rPr>
          <w:rFonts w:hint="eastAsia" w:ascii="宋体" w:hAnsi="宋体" w:cs="宋体"/>
        </w:rPr>
        <w:t>Q/CSG1204081-2020       南方电网通信电源技术规范</w:t>
      </w:r>
    </w:p>
    <w:p w14:paraId="28D180E1">
      <w:pPr>
        <w:spacing w:line="360" w:lineRule="auto"/>
        <w:ind w:left="420" w:leftChars="200"/>
        <w:rPr>
          <w:rFonts w:ascii="宋体" w:hAnsi="宋体" w:cs="宋体"/>
        </w:rPr>
      </w:pPr>
      <w:r>
        <w:rPr>
          <w:rFonts w:hint="eastAsia" w:ascii="宋体" w:hAnsi="宋体" w:cs="宋体"/>
        </w:rPr>
        <w:t>QCSG1204027-2018        南方电网通信电源监控系统技术规范</w:t>
      </w:r>
    </w:p>
    <w:p w14:paraId="1202508A">
      <w:pPr>
        <w:spacing w:line="360" w:lineRule="auto"/>
        <w:ind w:left="420" w:leftChars="200"/>
        <w:rPr>
          <w:rFonts w:ascii="宋体" w:hAnsi="宋体" w:cs="宋体"/>
        </w:rPr>
      </w:pPr>
      <w:r>
        <w:rPr>
          <w:rFonts w:hint="eastAsia" w:ascii="宋体" w:hAnsi="宋体" w:cs="宋体"/>
        </w:rPr>
        <w:t>TL 9000</w:t>
      </w:r>
      <w:r>
        <w:rPr>
          <w:rFonts w:hint="eastAsia" w:ascii="宋体" w:hAnsi="宋体" w:cs="宋体"/>
        </w:rPr>
        <w:tab/>
      </w:r>
      <w:r>
        <w:rPr>
          <w:rFonts w:hint="eastAsia" w:ascii="宋体" w:hAnsi="宋体" w:cs="宋体"/>
        </w:rPr>
        <w:t>Telecom Leadership 9000</w:t>
      </w:r>
    </w:p>
    <w:p w14:paraId="5D14167A">
      <w:pPr>
        <w:spacing w:line="360" w:lineRule="auto"/>
        <w:ind w:firstLine="420" w:firstLineChars="200"/>
        <w:rPr>
          <w:rFonts w:ascii="宋体" w:hAnsi="宋体" w:cs="宋体"/>
        </w:rPr>
      </w:pPr>
      <w:r>
        <w:rPr>
          <w:rFonts w:hint="eastAsia" w:ascii="宋体" w:hAnsi="宋体" w:cs="宋体"/>
        </w:rPr>
        <w:t>如果投标方有自己的标准或规范经招标方同意方可采用，但原则上均不能低于上述标准的有关规定，特别是这些规定或规程中互相矛盾的地方，应先征得买方同意后，才能制造。</w:t>
      </w:r>
    </w:p>
    <w:p w14:paraId="37C35CC7">
      <w:pPr>
        <w:pStyle w:val="2"/>
        <w:rPr>
          <w:rFonts w:ascii="宋体" w:hAnsi="宋体" w:cs="宋体"/>
        </w:rPr>
      </w:pPr>
      <w:bookmarkStart w:id="65" w:name="_Toc86914399"/>
      <w:bookmarkStart w:id="66" w:name="_Toc32260"/>
      <w:bookmarkStart w:id="67" w:name="_Toc25223"/>
      <w:bookmarkStart w:id="68" w:name="_Toc514407905"/>
      <w:bookmarkStart w:id="69" w:name="_Toc97405481"/>
      <w:bookmarkStart w:id="70" w:name="_Toc5082"/>
      <w:bookmarkStart w:id="71" w:name="_Toc11433"/>
      <w:bookmarkStart w:id="72" w:name="_Toc27911"/>
      <w:r>
        <w:rPr>
          <w:rFonts w:hint="eastAsia" w:ascii="宋体" w:hAnsi="宋体" w:cs="宋体"/>
        </w:rPr>
        <w:t>术语和定义</w:t>
      </w:r>
      <w:bookmarkEnd w:id="65"/>
      <w:bookmarkEnd w:id="66"/>
      <w:bookmarkEnd w:id="67"/>
      <w:bookmarkEnd w:id="68"/>
      <w:bookmarkEnd w:id="69"/>
      <w:bookmarkEnd w:id="70"/>
      <w:bookmarkEnd w:id="71"/>
      <w:bookmarkEnd w:id="72"/>
    </w:p>
    <w:p w14:paraId="55E21184">
      <w:pPr>
        <w:spacing w:line="360" w:lineRule="auto"/>
        <w:ind w:firstLine="420" w:firstLineChars="200"/>
        <w:rPr>
          <w:rFonts w:ascii="宋体" w:hAnsi="宋体" w:cs="宋体"/>
        </w:rPr>
      </w:pPr>
      <w:r>
        <w:rPr>
          <w:rFonts w:hint="eastAsia" w:ascii="宋体" w:hAnsi="宋体" w:cs="宋体"/>
        </w:rPr>
        <w:t>除引用标准 GB 2900.11 外，再增补以下术语和定义：（没涉及的设备不用体现）</w:t>
      </w:r>
    </w:p>
    <w:p w14:paraId="3F2E60CC">
      <w:pPr>
        <w:pStyle w:val="3"/>
        <w:rPr>
          <w:rFonts w:ascii="宋体" w:hAnsi="宋体" w:cs="宋体"/>
        </w:rPr>
      </w:pPr>
      <w:bookmarkStart w:id="73" w:name="_Toc481424033"/>
      <w:bookmarkStart w:id="74" w:name="_Toc23490"/>
      <w:bookmarkStart w:id="75" w:name="_Toc24423"/>
      <w:bookmarkStart w:id="76" w:name="_Toc97405482"/>
      <w:bookmarkStart w:id="77" w:name="_Toc514407906"/>
      <w:bookmarkStart w:id="78" w:name="_Toc14199"/>
      <w:bookmarkStart w:id="79" w:name="_Toc22023"/>
      <w:r>
        <w:rPr>
          <w:rFonts w:hint="eastAsia" w:ascii="宋体" w:hAnsi="宋体" w:cs="宋体"/>
        </w:rPr>
        <w:t>通信电源</w:t>
      </w:r>
      <w:bookmarkEnd w:id="73"/>
      <w:bookmarkEnd w:id="74"/>
      <w:bookmarkEnd w:id="75"/>
      <w:bookmarkEnd w:id="76"/>
      <w:bookmarkEnd w:id="77"/>
      <w:bookmarkEnd w:id="78"/>
      <w:bookmarkEnd w:id="79"/>
    </w:p>
    <w:p w14:paraId="12AE3B16">
      <w:pPr>
        <w:spacing w:line="360" w:lineRule="auto"/>
        <w:ind w:firstLine="420" w:firstLineChars="200"/>
        <w:rPr>
          <w:rFonts w:ascii="宋体" w:hAnsi="宋体" w:cs="宋体"/>
        </w:rPr>
      </w:pPr>
      <w:r>
        <w:rPr>
          <w:rFonts w:hint="eastAsia" w:ascii="宋体" w:hAnsi="宋体" w:cs="宋体"/>
        </w:rPr>
        <w:t>为通信设备供电的装置。包括通信交流供电系统、通信直流供电系统、太阳能电池组等。</w:t>
      </w:r>
    </w:p>
    <w:p w14:paraId="69C95028">
      <w:pPr>
        <w:pStyle w:val="3"/>
        <w:rPr>
          <w:rFonts w:ascii="宋体" w:hAnsi="宋体" w:cs="宋体"/>
        </w:rPr>
      </w:pPr>
      <w:bookmarkStart w:id="80" w:name="_Toc1722824382"/>
      <w:bookmarkStart w:id="81" w:name="_Toc7700"/>
      <w:bookmarkStart w:id="82" w:name="_Toc97405483"/>
      <w:bookmarkStart w:id="83" w:name="_Toc514407907"/>
      <w:bookmarkStart w:id="84" w:name="_Toc13457"/>
      <w:bookmarkStart w:id="85" w:name="_Toc26666"/>
      <w:bookmarkStart w:id="86" w:name="_Toc30765"/>
      <w:r>
        <w:rPr>
          <w:rFonts w:hint="eastAsia" w:ascii="宋体" w:hAnsi="宋体" w:cs="宋体"/>
        </w:rPr>
        <w:t>通信交流供电系统</w:t>
      </w:r>
      <w:bookmarkEnd w:id="80"/>
      <w:bookmarkEnd w:id="81"/>
      <w:bookmarkEnd w:id="82"/>
      <w:bookmarkEnd w:id="83"/>
      <w:bookmarkEnd w:id="84"/>
      <w:bookmarkEnd w:id="85"/>
      <w:bookmarkEnd w:id="86"/>
    </w:p>
    <w:p w14:paraId="7D198DE5">
      <w:pPr>
        <w:spacing w:line="360" w:lineRule="auto"/>
        <w:ind w:firstLine="420" w:firstLineChars="200"/>
      </w:pPr>
      <w:r>
        <w:rPr>
          <w:rFonts w:hint="eastAsia"/>
        </w:rPr>
        <w:t>主要由交流配电柜、不间断电源设备（简称 UPS）、逆变器、电源监控等设备组成，通信中继站还包括油机发电机组等部分，为通信设备提供交流电源。</w:t>
      </w:r>
    </w:p>
    <w:p w14:paraId="43277CD8">
      <w:pPr>
        <w:pStyle w:val="3"/>
        <w:rPr>
          <w:rFonts w:ascii="宋体" w:hAnsi="宋体" w:cs="宋体"/>
        </w:rPr>
      </w:pPr>
      <w:bookmarkStart w:id="87" w:name="_Toc514407908"/>
      <w:bookmarkStart w:id="88" w:name="_Toc987375773"/>
      <w:bookmarkStart w:id="89" w:name="_Toc8371"/>
      <w:bookmarkStart w:id="90" w:name="_Toc18812"/>
      <w:bookmarkStart w:id="91" w:name="_Toc27946"/>
      <w:bookmarkStart w:id="92" w:name="_Toc97405484"/>
      <w:bookmarkStart w:id="93" w:name="_Toc7077"/>
      <w:r>
        <w:rPr>
          <w:rFonts w:hint="eastAsia" w:ascii="宋体" w:hAnsi="宋体" w:cs="宋体"/>
        </w:rPr>
        <w:t>通信直流供电系统</w:t>
      </w:r>
      <w:bookmarkEnd w:id="87"/>
      <w:bookmarkEnd w:id="88"/>
      <w:bookmarkEnd w:id="89"/>
      <w:bookmarkEnd w:id="90"/>
      <w:bookmarkEnd w:id="91"/>
      <w:bookmarkEnd w:id="92"/>
      <w:bookmarkEnd w:id="93"/>
    </w:p>
    <w:p w14:paraId="57550B6E">
      <w:pPr>
        <w:spacing w:line="360" w:lineRule="auto"/>
        <w:ind w:firstLine="420" w:firstLineChars="200"/>
      </w:pPr>
      <w:r>
        <w:rPr>
          <w:rFonts w:hint="eastAsia"/>
        </w:rPr>
        <w:t>主要由高频开关电源、蓄电池组、直流配电、电源监控等设备组成，为通信设备提供-48V直流电源。</w:t>
      </w:r>
    </w:p>
    <w:p w14:paraId="7993D58A">
      <w:pPr>
        <w:pStyle w:val="3"/>
        <w:rPr>
          <w:rFonts w:ascii="宋体" w:hAnsi="宋体" w:cs="宋体"/>
        </w:rPr>
      </w:pPr>
      <w:bookmarkStart w:id="94" w:name="_Toc14029"/>
      <w:r>
        <w:rPr>
          <w:rFonts w:ascii="宋体" w:hAnsi="宋体" w:cs="宋体"/>
        </w:rPr>
        <w:t xml:space="preserve"> </w:t>
      </w:r>
      <w:bookmarkStart w:id="95" w:name="_Toc514407909"/>
      <w:bookmarkStart w:id="96" w:name="_Toc18615"/>
      <w:bookmarkStart w:id="97" w:name="_Toc1218476442"/>
      <w:bookmarkStart w:id="98" w:name="_Toc308"/>
      <w:bookmarkStart w:id="99" w:name="_Toc97405485"/>
      <w:bookmarkStart w:id="100" w:name="_Toc900"/>
      <w:r>
        <w:rPr>
          <w:rFonts w:hint="eastAsia" w:ascii="宋体" w:hAnsi="宋体" w:cs="宋体"/>
        </w:rPr>
        <w:t>"四遥"功能</w:t>
      </w:r>
      <w:bookmarkEnd w:id="94"/>
      <w:bookmarkEnd w:id="95"/>
      <w:bookmarkEnd w:id="96"/>
      <w:bookmarkEnd w:id="97"/>
      <w:bookmarkEnd w:id="98"/>
      <w:bookmarkEnd w:id="99"/>
      <w:bookmarkEnd w:id="100"/>
    </w:p>
    <w:p w14:paraId="441900D5">
      <w:pPr>
        <w:spacing w:line="360" w:lineRule="auto"/>
        <w:ind w:firstLine="420" w:firstLineChars="200"/>
      </w:pPr>
      <w:r>
        <w:rPr>
          <w:rFonts w:hint="eastAsia"/>
        </w:rPr>
        <w:t>遥信功能、遥测功能、遥调功能、遥控功能的简称。</w:t>
      </w:r>
    </w:p>
    <w:p w14:paraId="6DD88406">
      <w:pPr>
        <w:pStyle w:val="3"/>
        <w:rPr>
          <w:rFonts w:ascii="宋体" w:hAnsi="宋体" w:cs="宋体"/>
        </w:rPr>
      </w:pPr>
      <w:bookmarkStart w:id="101" w:name="_Toc1751"/>
      <w:bookmarkStart w:id="102" w:name="_Toc97405486"/>
      <w:bookmarkStart w:id="103" w:name="_Toc514407910"/>
      <w:bookmarkStart w:id="104" w:name="_Toc25158"/>
      <w:bookmarkStart w:id="105" w:name="_Toc31882"/>
      <w:bookmarkStart w:id="106" w:name="_Toc3151"/>
      <w:bookmarkStart w:id="107" w:name="_Toc529502902"/>
      <w:r>
        <w:rPr>
          <w:rFonts w:hint="eastAsia" w:ascii="宋体" w:hAnsi="宋体" w:cs="宋体"/>
        </w:rPr>
        <w:t>蓄电池容量</w:t>
      </w:r>
      <w:bookmarkEnd w:id="101"/>
      <w:bookmarkEnd w:id="102"/>
      <w:bookmarkEnd w:id="103"/>
      <w:bookmarkEnd w:id="104"/>
      <w:bookmarkEnd w:id="105"/>
      <w:bookmarkEnd w:id="106"/>
      <w:bookmarkEnd w:id="107"/>
    </w:p>
    <w:p w14:paraId="4F00CF58">
      <w:pPr>
        <w:spacing w:line="360" w:lineRule="auto"/>
        <w:ind w:firstLine="420" w:firstLineChars="200"/>
      </w:pPr>
      <w:r>
        <w:rPr>
          <w:rFonts w:hint="eastAsia"/>
        </w:rPr>
        <w:t>C10：10 小时率放电额定容量，单位：安时（Ah）。</w:t>
      </w:r>
    </w:p>
    <w:p w14:paraId="38DE2DB8">
      <w:pPr>
        <w:pStyle w:val="3"/>
        <w:rPr>
          <w:rFonts w:ascii="宋体" w:hAnsi="宋体" w:cs="宋体"/>
        </w:rPr>
      </w:pPr>
      <w:bookmarkStart w:id="108" w:name="_Toc514407911"/>
      <w:bookmarkStart w:id="109" w:name="_Toc183040746"/>
      <w:bookmarkStart w:id="110" w:name="_Toc7224"/>
      <w:bookmarkStart w:id="111" w:name="_Toc29224"/>
      <w:bookmarkStart w:id="112" w:name="_Toc18030"/>
      <w:bookmarkStart w:id="113" w:name="_Toc97405487"/>
      <w:bookmarkStart w:id="114" w:name="_Toc12251"/>
      <w:r>
        <w:rPr>
          <w:rFonts w:hint="eastAsia" w:ascii="宋体" w:hAnsi="宋体" w:cs="宋体"/>
        </w:rPr>
        <w:t>放电电流符号</w:t>
      </w:r>
      <w:bookmarkEnd w:id="108"/>
      <w:bookmarkEnd w:id="109"/>
      <w:bookmarkEnd w:id="110"/>
      <w:bookmarkEnd w:id="111"/>
      <w:bookmarkEnd w:id="112"/>
      <w:bookmarkEnd w:id="113"/>
      <w:bookmarkEnd w:id="114"/>
    </w:p>
    <w:p w14:paraId="482A3D6D">
      <w:pPr>
        <w:spacing w:line="360" w:lineRule="auto"/>
        <w:ind w:firstLine="420" w:firstLineChars="200"/>
      </w:pPr>
      <w:r>
        <w:rPr>
          <w:rFonts w:hint="eastAsia"/>
        </w:rPr>
        <w:t>I10：10 小时率放电电流，数值 0.1C10，单位：A。</w:t>
      </w:r>
    </w:p>
    <w:p w14:paraId="78DD122C">
      <w:pPr>
        <w:pStyle w:val="3"/>
        <w:rPr>
          <w:rFonts w:ascii="宋体" w:hAnsi="宋体" w:cs="宋体"/>
        </w:rPr>
      </w:pPr>
      <w:bookmarkStart w:id="115" w:name="_Toc24499"/>
      <w:bookmarkStart w:id="116" w:name="_Toc1169235518"/>
      <w:bookmarkStart w:id="117" w:name="_Toc5346"/>
      <w:bookmarkStart w:id="118" w:name="_Toc97405488"/>
      <w:bookmarkStart w:id="119" w:name="_Toc9133"/>
      <w:bookmarkStart w:id="120" w:name="_Toc24535"/>
      <w:bookmarkStart w:id="121" w:name="_Toc514407912"/>
      <w:r>
        <w:rPr>
          <w:rFonts w:hint="eastAsia" w:ascii="宋体" w:hAnsi="宋体" w:cs="宋体"/>
        </w:rPr>
        <w:t>高频开关整流器</w:t>
      </w:r>
      <w:bookmarkEnd w:id="115"/>
      <w:bookmarkEnd w:id="116"/>
      <w:bookmarkEnd w:id="117"/>
      <w:bookmarkEnd w:id="118"/>
      <w:bookmarkEnd w:id="119"/>
      <w:bookmarkEnd w:id="120"/>
      <w:bookmarkEnd w:id="121"/>
    </w:p>
    <w:p w14:paraId="5D00770E">
      <w:pPr>
        <w:spacing w:line="360" w:lineRule="auto"/>
        <w:ind w:firstLine="420" w:firstLineChars="200"/>
      </w:pPr>
      <w:r>
        <w:rPr>
          <w:rFonts w:hint="eastAsia"/>
        </w:rPr>
        <w:t>采用功率半导体器件作为高频变换开关，经高频变压器隔离，组成将交流转变成直流的主电路，且采用输出自动反馈控制并设有保护环节的开关变换器。</w:t>
      </w:r>
    </w:p>
    <w:p w14:paraId="165E31D3">
      <w:pPr>
        <w:pStyle w:val="3"/>
        <w:rPr>
          <w:rFonts w:ascii="宋体" w:hAnsi="宋体" w:cs="宋体"/>
        </w:rPr>
      </w:pPr>
      <w:bookmarkStart w:id="122" w:name="_Toc97405489"/>
      <w:bookmarkStart w:id="123" w:name="_Toc514407913"/>
      <w:bookmarkStart w:id="124" w:name="_Toc29117"/>
      <w:bookmarkStart w:id="125" w:name="_Toc3265"/>
      <w:bookmarkStart w:id="126" w:name="_Toc1030"/>
      <w:bookmarkStart w:id="127" w:name="_Toc1865980976"/>
      <w:bookmarkStart w:id="128" w:name="_Toc23266"/>
      <w:r>
        <w:rPr>
          <w:rFonts w:hint="eastAsia" w:ascii="宋体" w:hAnsi="宋体" w:cs="宋体"/>
        </w:rPr>
        <w:t>系统主机</w:t>
      </w:r>
      <w:bookmarkEnd w:id="122"/>
      <w:bookmarkEnd w:id="123"/>
      <w:bookmarkEnd w:id="124"/>
      <w:bookmarkEnd w:id="125"/>
      <w:bookmarkEnd w:id="126"/>
      <w:bookmarkEnd w:id="127"/>
      <w:bookmarkEnd w:id="128"/>
    </w:p>
    <w:p w14:paraId="090D44D2">
      <w:pPr>
        <w:spacing w:line="360" w:lineRule="auto"/>
        <w:ind w:firstLine="420" w:firstLineChars="200"/>
      </w:pPr>
      <w:r>
        <w:rPr>
          <w:rFonts w:hint="eastAsia"/>
          <w:lang w:eastAsia="zh-CN"/>
        </w:rPr>
        <w:t>通信蓄电池在线核容装置</w:t>
      </w:r>
      <w:r>
        <w:rPr>
          <w:rFonts w:hint="eastAsia"/>
        </w:rPr>
        <w:t>主机。</w:t>
      </w:r>
    </w:p>
    <w:p w14:paraId="00150340">
      <w:pPr>
        <w:pStyle w:val="3"/>
        <w:rPr>
          <w:rFonts w:ascii="宋体" w:hAnsi="宋体" w:cs="宋体"/>
        </w:rPr>
      </w:pPr>
      <w:bookmarkStart w:id="129" w:name="_Toc9239"/>
      <w:bookmarkStart w:id="130" w:name="_Toc24717"/>
      <w:bookmarkStart w:id="131" w:name="_Toc1838566491"/>
      <w:bookmarkStart w:id="132" w:name="_Toc21723"/>
      <w:bookmarkStart w:id="133" w:name="_Toc514407914"/>
      <w:bookmarkStart w:id="134" w:name="_Toc20074"/>
      <w:bookmarkStart w:id="135" w:name="_Toc97405490"/>
      <w:r>
        <w:rPr>
          <w:rFonts w:hint="eastAsia" w:ascii="宋体" w:hAnsi="宋体" w:cs="宋体"/>
        </w:rPr>
        <w:t>电池采集模块</w:t>
      </w:r>
      <w:bookmarkEnd w:id="129"/>
      <w:bookmarkEnd w:id="130"/>
      <w:bookmarkEnd w:id="131"/>
      <w:bookmarkEnd w:id="132"/>
      <w:bookmarkEnd w:id="133"/>
      <w:bookmarkEnd w:id="134"/>
      <w:bookmarkEnd w:id="135"/>
    </w:p>
    <w:p w14:paraId="68CEED00">
      <w:pPr>
        <w:spacing w:line="360" w:lineRule="auto"/>
        <w:ind w:firstLine="420" w:firstLineChars="200"/>
      </w:pPr>
      <w:r>
        <w:rPr>
          <w:rFonts w:hint="eastAsia"/>
        </w:rPr>
        <w:t>与</w:t>
      </w:r>
      <w:r>
        <w:rPr>
          <w:rFonts w:hint="eastAsia"/>
          <w:lang w:eastAsia="zh-CN"/>
        </w:rPr>
        <w:t>通信蓄电池在线核容装置</w:t>
      </w:r>
      <w:r>
        <w:rPr>
          <w:rFonts w:hint="eastAsia"/>
        </w:rPr>
        <w:t>主机配套的，包含采集汇集器、单体数据采集模块。</w:t>
      </w:r>
    </w:p>
    <w:p w14:paraId="533AE6B9">
      <w:pPr>
        <w:pStyle w:val="3"/>
        <w:rPr>
          <w:rFonts w:ascii="宋体" w:hAnsi="宋体" w:cs="宋体"/>
        </w:rPr>
      </w:pPr>
      <w:bookmarkStart w:id="136" w:name="_Toc24790"/>
      <w:bookmarkStart w:id="137" w:name="_Toc97405491"/>
      <w:bookmarkStart w:id="138" w:name="_Toc514407915"/>
      <w:bookmarkStart w:id="139" w:name="_Toc5054"/>
      <w:bookmarkStart w:id="140" w:name="_Toc29445"/>
      <w:bookmarkStart w:id="141" w:name="_Toc644817554"/>
      <w:r>
        <w:rPr>
          <w:rFonts w:hint="eastAsia" w:ascii="宋体" w:hAnsi="宋体" w:cs="宋体"/>
        </w:rPr>
        <w:t>蓄电池组预充电</w:t>
      </w:r>
      <w:bookmarkEnd w:id="136"/>
      <w:bookmarkEnd w:id="137"/>
      <w:bookmarkEnd w:id="138"/>
      <w:bookmarkEnd w:id="139"/>
      <w:bookmarkEnd w:id="140"/>
      <w:bookmarkEnd w:id="141"/>
    </w:p>
    <w:p w14:paraId="44F4E24E">
      <w:pPr>
        <w:spacing w:line="360" w:lineRule="auto"/>
        <w:ind w:firstLine="420" w:firstLineChars="200"/>
      </w:pPr>
      <w:r>
        <w:rPr>
          <w:rFonts w:hint="eastAsia"/>
        </w:rPr>
        <w:t>在蓄电池组放电核容结束或者交流失电</w:t>
      </w:r>
      <w:r>
        <w:t>时放电</w:t>
      </w:r>
      <w:r>
        <w:rPr>
          <w:rFonts w:hint="eastAsia"/>
        </w:rPr>
        <w:t>交流恢复后，整流器对蓄电池进行充电时，由于母线电压与电池组压差过大，当检测到充电电流大于</w:t>
      </w:r>
      <w:r>
        <w:t>I</w:t>
      </w:r>
      <w:r>
        <w:rPr>
          <w:vertAlign w:val="subscript"/>
        </w:rPr>
        <w:t>10</w:t>
      </w:r>
      <w:r>
        <w:rPr>
          <w:rFonts w:hint="eastAsia"/>
        </w:rPr>
        <w:t>时，而必须使用</w:t>
      </w:r>
      <w:r>
        <w:rPr>
          <w:rFonts w:hint="eastAsia"/>
          <w:lang w:eastAsia="zh-CN"/>
        </w:rPr>
        <w:t>通信蓄电池在线核容装置</w:t>
      </w:r>
      <w:r>
        <w:rPr>
          <w:rFonts w:hint="eastAsia"/>
        </w:rPr>
        <w:t>主机来进行预充电（不需额外增加充电机，只进行二次限流），控制充电电流在</w:t>
      </w:r>
      <w:r>
        <w:t>I</w:t>
      </w:r>
      <w:r>
        <w:rPr>
          <w:vertAlign w:val="subscript"/>
        </w:rPr>
        <w:t>10</w:t>
      </w:r>
      <w:r>
        <w:rPr>
          <w:rFonts w:hint="eastAsia"/>
        </w:rPr>
        <w:t>以内，防止大电流冲击电池。</w:t>
      </w:r>
    </w:p>
    <w:p w14:paraId="0180AA5B">
      <w:pPr>
        <w:pStyle w:val="3"/>
        <w:rPr>
          <w:rFonts w:ascii="宋体" w:hAnsi="宋体" w:cs="宋体"/>
        </w:rPr>
      </w:pPr>
      <w:r>
        <w:rPr>
          <w:rFonts w:ascii="宋体" w:hAnsi="宋体" w:cs="宋体"/>
        </w:rPr>
        <w:t xml:space="preserve"> </w:t>
      </w:r>
      <w:bookmarkStart w:id="142" w:name="_Toc17043"/>
      <w:bookmarkStart w:id="143" w:name="_Toc97405492"/>
      <w:bookmarkStart w:id="144" w:name="_Toc1246147316"/>
      <w:bookmarkStart w:id="145" w:name="_Toc514407916"/>
      <w:bookmarkStart w:id="146" w:name="_Toc9045"/>
      <w:bookmarkStart w:id="147" w:name="_Toc16394"/>
      <w:r>
        <w:rPr>
          <w:rFonts w:hint="eastAsia" w:ascii="宋体" w:hAnsi="宋体" w:cs="宋体"/>
        </w:rPr>
        <w:t>蓄电池组自由充电</w:t>
      </w:r>
      <w:bookmarkEnd w:id="142"/>
      <w:bookmarkEnd w:id="143"/>
      <w:bookmarkEnd w:id="144"/>
      <w:bookmarkEnd w:id="145"/>
      <w:bookmarkEnd w:id="146"/>
      <w:bookmarkEnd w:id="147"/>
    </w:p>
    <w:p w14:paraId="542B70E5">
      <w:pPr>
        <w:spacing w:line="360" w:lineRule="auto"/>
        <w:ind w:firstLine="420" w:firstLineChars="200"/>
      </w:pPr>
      <w:r>
        <w:rPr>
          <w:rFonts w:hint="eastAsia"/>
        </w:rPr>
        <w:t>将</w:t>
      </w:r>
      <w:r>
        <w:rPr>
          <w:rFonts w:hint="eastAsia"/>
          <w:lang w:eastAsia="zh-CN"/>
        </w:rPr>
        <w:t>通信蓄电池在线核容装置</w:t>
      </w:r>
      <w:r>
        <w:rPr>
          <w:rFonts w:hint="eastAsia"/>
        </w:rPr>
        <w:t>主机的常闭接触器闭合，蓄电池组直接使用整流器充电。</w:t>
      </w:r>
    </w:p>
    <w:p w14:paraId="29A21B03">
      <w:pPr>
        <w:pStyle w:val="3"/>
        <w:rPr>
          <w:rFonts w:ascii="宋体" w:hAnsi="宋体" w:cs="宋体"/>
        </w:rPr>
      </w:pPr>
      <w:r>
        <w:rPr>
          <w:rFonts w:ascii="宋体" w:hAnsi="宋体" w:cs="宋体"/>
        </w:rPr>
        <w:t xml:space="preserve"> </w:t>
      </w:r>
      <w:bookmarkStart w:id="148" w:name="_Toc1737414468"/>
      <w:bookmarkStart w:id="149" w:name="_Toc514407917"/>
      <w:bookmarkStart w:id="150" w:name="_Toc16170"/>
      <w:bookmarkStart w:id="151" w:name="_Toc18187"/>
      <w:bookmarkStart w:id="152" w:name="_Toc17144"/>
      <w:bookmarkStart w:id="153" w:name="_Toc97405493"/>
      <w:r>
        <w:rPr>
          <w:rFonts w:hint="eastAsia" w:ascii="宋体" w:hAnsi="宋体" w:cs="宋体"/>
        </w:rPr>
        <w:t>蓄电池组自由放电</w:t>
      </w:r>
      <w:bookmarkEnd w:id="148"/>
      <w:bookmarkEnd w:id="149"/>
      <w:bookmarkEnd w:id="150"/>
      <w:bookmarkEnd w:id="151"/>
      <w:bookmarkEnd w:id="152"/>
      <w:bookmarkEnd w:id="153"/>
    </w:p>
    <w:p w14:paraId="4C1013A3">
      <w:pPr>
        <w:spacing w:line="360" w:lineRule="auto"/>
        <w:ind w:firstLine="420" w:firstLineChars="200"/>
      </w:pPr>
      <w:r>
        <w:rPr>
          <w:rFonts w:hint="eastAsia"/>
        </w:rPr>
        <w:t>将</w:t>
      </w:r>
      <w:r>
        <w:rPr>
          <w:rFonts w:hint="eastAsia"/>
          <w:lang w:eastAsia="zh-CN"/>
        </w:rPr>
        <w:t>通信蓄电池在线核容装置</w:t>
      </w:r>
      <w:r>
        <w:rPr>
          <w:rFonts w:hint="eastAsia"/>
        </w:rPr>
        <w:t>主机的常闭接触器闭合，蓄电池组直接走常闭接触器为母线负载供电。</w:t>
      </w:r>
    </w:p>
    <w:p w14:paraId="1748D760">
      <w:pPr>
        <w:pStyle w:val="2"/>
        <w:tabs>
          <w:tab w:val="left" w:pos="0"/>
          <w:tab w:val="clear" w:pos="425"/>
        </w:tabs>
      </w:pPr>
      <w:bookmarkStart w:id="154" w:name="_Toc1389815417"/>
      <w:bookmarkStart w:id="155" w:name="_Toc441063626"/>
      <w:bookmarkStart w:id="156" w:name="_Toc19569"/>
      <w:bookmarkStart w:id="157" w:name="_Toc23326"/>
      <w:bookmarkStart w:id="158" w:name="_Toc97405494"/>
      <w:bookmarkStart w:id="159" w:name="_Toc2864"/>
      <w:bookmarkStart w:id="160" w:name="_Toc412536693"/>
      <w:bookmarkStart w:id="161" w:name="_Toc514407918"/>
      <w:r>
        <w:rPr>
          <w:rFonts w:hint="eastAsia"/>
        </w:rPr>
        <w:t>缩略语</w:t>
      </w:r>
      <w:bookmarkEnd w:id="154"/>
      <w:bookmarkEnd w:id="155"/>
      <w:bookmarkEnd w:id="156"/>
      <w:bookmarkEnd w:id="157"/>
      <w:bookmarkEnd w:id="158"/>
      <w:bookmarkEnd w:id="159"/>
      <w:bookmarkEnd w:id="160"/>
      <w:bookmarkEnd w:id="161"/>
    </w:p>
    <w:p w14:paraId="544595CD">
      <w:pPr>
        <w:pStyle w:val="3"/>
        <w:rPr>
          <w:rFonts w:ascii="宋体" w:hAnsi="宋体" w:cs="宋体"/>
        </w:rPr>
      </w:pPr>
      <w:bookmarkStart w:id="162" w:name="_Toc412536694"/>
      <w:bookmarkStart w:id="163" w:name="_Toc314749392"/>
      <w:bookmarkStart w:id="164" w:name="_Toc314749453"/>
      <w:r>
        <w:rPr>
          <w:rFonts w:hint="eastAsia" w:ascii="宋体" w:hAnsi="宋体" w:cs="宋体"/>
        </w:rPr>
        <w:t xml:space="preserve"> </w:t>
      </w:r>
      <w:bookmarkStart w:id="165" w:name="_Toc514407919"/>
      <w:bookmarkStart w:id="166" w:name="_Toc29376"/>
      <w:bookmarkStart w:id="167" w:name="_Toc5917"/>
      <w:bookmarkStart w:id="168" w:name="_Toc26669"/>
      <w:bookmarkStart w:id="169" w:name="_Toc448085100"/>
      <w:bookmarkStart w:id="170" w:name="_Toc97405495"/>
      <w:r>
        <w:rPr>
          <w:rFonts w:hint="eastAsia" w:ascii="宋体" w:hAnsi="宋体" w:cs="宋体"/>
        </w:rPr>
        <w:t>MTBF</w:t>
      </w:r>
      <w:bookmarkEnd w:id="162"/>
      <w:bookmarkEnd w:id="163"/>
      <w:bookmarkEnd w:id="164"/>
      <w:bookmarkEnd w:id="165"/>
      <w:bookmarkEnd w:id="166"/>
      <w:bookmarkEnd w:id="167"/>
      <w:bookmarkEnd w:id="168"/>
      <w:bookmarkEnd w:id="169"/>
      <w:bookmarkEnd w:id="170"/>
    </w:p>
    <w:p w14:paraId="0326714E">
      <w:pPr>
        <w:spacing w:line="360" w:lineRule="auto"/>
        <w:ind w:firstLine="420" w:firstLineChars="200"/>
      </w:pPr>
      <w:r>
        <w:rPr>
          <w:rFonts w:hint="eastAsia"/>
        </w:rPr>
        <w:t>平均失效间隔时间</w:t>
      </w:r>
    </w:p>
    <w:p w14:paraId="4EA083DA">
      <w:pPr>
        <w:pStyle w:val="2"/>
        <w:rPr>
          <w:rFonts w:ascii="宋体" w:hAnsi="宋体" w:cs="宋体"/>
        </w:rPr>
      </w:pPr>
      <w:bookmarkStart w:id="171" w:name="_Toc20582"/>
      <w:bookmarkStart w:id="172" w:name="_Toc3749"/>
      <w:bookmarkStart w:id="173" w:name="_Toc282993250"/>
      <w:bookmarkStart w:id="174" w:name="_Toc514407925"/>
      <w:bookmarkStart w:id="175" w:name="_Toc16585"/>
      <w:bookmarkStart w:id="176" w:name="_Toc1888609318"/>
      <w:bookmarkStart w:id="177" w:name="_Toc384340981"/>
      <w:bookmarkStart w:id="178" w:name="_Toc97405496"/>
      <w:r>
        <w:rPr>
          <w:rFonts w:hint="eastAsia" w:ascii="宋体" w:hAnsi="宋体" w:cs="宋体"/>
        </w:rPr>
        <w:t>使用条件</w:t>
      </w:r>
      <w:bookmarkEnd w:id="171"/>
      <w:bookmarkEnd w:id="172"/>
      <w:bookmarkEnd w:id="173"/>
      <w:bookmarkEnd w:id="174"/>
      <w:bookmarkEnd w:id="175"/>
      <w:bookmarkEnd w:id="176"/>
      <w:bookmarkEnd w:id="177"/>
      <w:bookmarkEnd w:id="178"/>
    </w:p>
    <w:p w14:paraId="071BDD9B">
      <w:pPr>
        <w:pStyle w:val="3"/>
        <w:rPr>
          <w:rFonts w:ascii="宋体" w:hAnsi="宋体" w:cs="宋体"/>
        </w:rPr>
      </w:pPr>
      <w:bookmarkStart w:id="179" w:name="_Toc31161"/>
      <w:bookmarkStart w:id="180" w:name="_Toc514407926"/>
      <w:bookmarkStart w:id="181" w:name="_Toc2048504966"/>
      <w:bookmarkStart w:id="182" w:name="_Toc97405497"/>
      <w:bookmarkStart w:id="183" w:name="_Toc24545"/>
      <w:bookmarkStart w:id="184" w:name="_Toc22877"/>
      <w:r>
        <w:rPr>
          <w:rFonts w:hint="eastAsia" w:ascii="宋体" w:hAnsi="宋体" w:cs="宋体"/>
        </w:rPr>
        <w:t>工作环境条件</w:t>
      </w:r>
      <w:bookmarkEnd w:id="179"/>
      <w:bookmarkEnd w:id="180"/>
      <w:bookmarkEnd w:id="181"/>
      <w:bookmarkEnd w:id="182"/>
      <w:bookmarkEnd w:id="183"/>
      <w:bookmarkEnd w:id="184"/>
    </w:p>
    <w:p w14:paraId="78C7D081">
      <w:pPr>
        <w:numPr>
          <w:ilvl w:val="0"/>
          <w:numId w:val="21"/>
        </w:numPr>
        <w:spacing w:line="360" w:lineRule="auto"/>
        <w:ind w:left="420" w:leftChars="200"/>
        <w:rPr>
          <w:rFonts w:ascii="宋体" w:hAnsi="宋体" w:cs="宋体"/>
        </w:rPr>
      </w:pPr>
      <w:r>
        <w:rPr>
          <w:rFonts w:hint="eastAsia" w:ascii="宋体" w:hAnsi="宋体" w:cs="宋体"/>
        </w:rPr>
        <w:t>环境温度：-5℃～+40℃；</w:t>
      </w:r>
    </w:p>
    <w:p w14:paraId="7F8D4EC5">
      <w:pPr>
        <w:numPr>
          <w:ilvl w:val="0"/>
          <w:numId w:val="21"/>
        </w:numPr>
        <w:spacing w:line="360" w:lineRule="auto"/>
        <w:ind w:left="420" w:leftChars="200"/>
        <w:rPr>
          <w:rFonts w:ascii="宋体" w:hAnsi="宋体" w:cs="宋体"/>
        </w:rPr>
      </w:pPr>
      <w:r>
        <w:rPr>
          <w:rFonts w:hint="eastAsia" w:ascii="宋体" w:hAnsi="宋体" w:cs="宋体"/>
        </w:rPr>
        <w:t>相对湿度：不高于90％（装置内部应无凝露，也不结冰）；</w:t>
      </w:r>
    </w:p>
    <w:p w14:paraId="19C7744C">
      <w:pPr>
        <w:numPr>
          <w:ilvl w:val="0"/>
          <w:numId w:val="21"/>
        </w:numPr>
        <w:spacing w:line="360" w:lineRule="auto"/>
        <w:ind w:left="420" w:leftChars="200"/>
        <w:rPr>
          <w:rFonts w:ascii="宋体" w:hAnsi="宋体" w:cs="宋体"/>
        </w:rPr>
      </w:pPr>
      <w:r>
        <w:rPr>
          <w:rFonts w:hint="eastAsia" w:ascii="宋体" w:hAnsi="宋体" w:cs="宋体"/>
        </w:rPr>
        <w:t>大气压力：70kPa～106kPa；</w:t>
      </w:r>
    </w:p>
    <w:p w14:paraId="79599341">
      <w:pPr>
        <w:numPr>
          <w:ilvl w:val="0"/>
          <w:numId w:val="21"/>
        </w:numPr>
        <w:spacing w:line="360" w:lineRule="auto"/>
        <w:ind w:left="420" w:leftChars="200"/>
        <w:rPr>
          <w:rFonts w:ascii="宋体" w:hAnsi="宋体" w:cs="宋体"/>
        </w:rPr>
      </w:pPr>
      <w:r>
        <w:rPr>
          <w:rFonts w:hint="eastAsia" w:ascii="宋体" w:hAnsi="宋体" w:cs="宋体"/>
        </w:rPr>
        <w:t>无强烈振动和冲击，无强电磁干扰，不得有爆炸危险介质，周围介质不含有腐蚀金属和破坏绝缘的有害气体及导电介质；</w:t>
      </w:r>
    </w:p>
    <w:p w14:paraId="632CDC59">
      <w:pPr>
        <w:numPr>
          <w:ilvl w:val="0"/>
          <w:numId w:val="21"/>
        </w:numPr>
        <w:spacing w:line="360" w:lineRule="auto"/>
        <w:ind w:left="420" w:leftChars="200"/>
        <w:rPr>
          <w:rFonts w:ascii="宋体" w:hAnsi="宋体" w:cs="宋体"/>
        </w:rPr>
      </w:pPr>
      <w:r>
        <w:rPr>
          <w:rFonts w:hint="eastAsia" w:ascii="宋体" w:hAnsi="宋体" w:cs="宋体"/>
        </w:rPr>
        <w:t>满足满负荷使用时的通风散热要求。</w:t>
      </w:r>
    </w:p>
    <w:p w14:paraId="5774FD40">
      <w:pPr>
        <w:pStyle w:val="3"/>
        <w:rPr>
          <w:rFonts w:ascii="宋体" w:hAnsi="宋体" w:cs="宋体"/>
        </w:rPr>
      </w:pPr>
      <w:bookmarkStart w:id="185" w:name="_Toc97405498"/>
      <w:bookmarkStart w:id="186" w:name="_Toc26425"/>
      <w:bookmarkStart w:id="187" w:name="_Toc13643"/>
      <w:bookmarkStart w:id="188" w:name="_Toc18150"/>
      <w:bookmarkStart w:id="189" w:name="_Toc514407927"/>
      <w:bookmarkStart w:id="190" w:name="_Toc765134858"/>
      <w:r>
        <w:rPr>
          <w:rFonts w:hint="eastAsia" w:ascii="宋体" w:hAnsi="宋体" w:cs="宋体"/>
        </w:rPr>
        <w:t>贮存、运输极限环境温度</w:t>
      </w:r>
      <w:bookmarkEnd w:id="185"/>
      <w:bookmarkEnd w:id="186"/>
      <w:bookmarkEnd w:id="187"/>
      <w:bookmarkEnd w:id="188"/>
      <w:bookmarkEnd w:id="189"/>
      <w:bookmarkEnd w:id="190"/>
    </w:p>
    <w:p w14:paraId="291EF586">
      <w:pPr>
        <w:spacing w:line="360" w:lineRule="auto"/>
        <w:ind w:firstLine="420" w:firstLineChars="200"/>
        <w:rPr>
          <w:rFonts w:ascii="宋体" w:hAnsi="宋体" w:cs="宋体"/>
        </w:rPr>
      </w:pPr>
      <w:r>
        <w:rPr>
          <w:rFonts w:hint="eastAsia" w:ascii="宋体" w:hAnsi="宋体" w:cs="宋体"/>
        </w:rPr>
        <w:t>贮存、运输环境温度极限值为-25℃～+70℃，储存相对湿度：≤96％，在不施加任何激励量的条件下，装置应不出现不可逆变化。温度恢复正常后，装置的性能应仍符合本部分中的有关要求。</w:t>
      </w:r>
    </w:p>
    <w:p w14:paraId="75FF0468">
      <w:pPr>
        <w:pStyle w:val="3"/>
        <w:rPr>
          <w:rFonts w:ascii="宋体" w:hAnsi="宋体" w:cs="宋体"/>
        </w:rPr>
      </w:pPr>
      <w:bookmarkStart w:id="191" w:name="_Toc514407928"/>
      <w:bookmarkStart w:id="192" w:name="_Toc13917"/>
      <w:bookmarkStart w:id="193" w:name="_Toc489480170"/>
      <w:bookmarkStart w:id="194" w:name="_Toc29694"/>
      <w:bookmarkStart w:id="195" w:name="_Toc97405499"/>
      <w:bookmarkStart w:id="196" w:name="_Toc271903553"/>
      <w:bookmarkStart w:id="197" w:name="_Toc277174570"/>
      <w:bookmarkStart w:id="198" w:name="_Toc3693"/>
      <w:r>
        <w:rPr>
          <w:rFonts w:hint="eastAsia" w:ascii="宋体" w:hAnsi="宋体" w:cs="宋体"/>
        </w:rPr>
        <w:t>运行电气条件</w:t>
      </w:r>
      <w:bookmarkEnd w:id="191"/>
      <w:bookmarkEnd w:id="192"/>
      <w:bookmarkEnd w:id="193"/>
      <w:bookmarkEnd w:id="194"/>
      <w:bookmarkEnd w:id="195"/>
      <w:bookmarkEnd w:id="196"/>
      <w:bookmarkEnd w:id="197"/>
      <w:bookmarkEnd w:id="198"/>
      <w:r>
        <w:rPr>
          <w:rFonts w:hint="eastAsia" w:ascii="宋体" w:hAnsi="宋体" w:cs="宋体"/>
        </w:rPr>
        <w:t xml:space="preserve"> </w:t>
      </w:r>
    </w:p>
    <w:p w14:paraId="1AF6B43B">
      <w:pPr>
        <w:numPr>
          <w:ilvl w:val="0"/>
          <w:numId w:val="22"/>
        </w:numPr>
        <w:spacing w:line="360" w:lineRule="auto"/>
        <w:ind w:left="420" w:leftChars="200"/>
        <w:rPr>
          <w:rFonts w:ascii="宋体" w:hAnsi="宋体" w:cs="宋体"/>
        </w:rPr>
      </w:pPr>
      <w:r>
        <w:rPr>
          <w:rFonts w:hint="eastAsia" w:ascii="宋体" w:hAnsi="宋体" w:cs="宋体"/>
        </w:rPr>
        <w:t xml:space="preserve">主机工作电压波动范围 </w:t>
      </w:r>
    </w:p>
    <w:p w14:paraId="5EE7332B">
      <w:pPr>
        <w:numPr>
          <w:ilvl w:val="0"/>
          <w:numId w:val="22"/>
        </w:numPr>
        <w:spacing w:line="360" w:lineRule="auto"/>
        <w:ind w:left="420" w:leftChars="200"/>
        <w:rPr>
          <w:rFonts w:ascii="宋体" w:hAnsi="宋体" w:cs="宋体"/>
        </w:rPr>
      </w:pPr>
      <w:r>
        <w:rPr>
          <w:rFonts w:hint="eastAsia" w:ascii="宋体" w:hAnsi="宋体" w:cs="宋体"/>
        </w:rPr>
        <w:t>设备供电工作电压：40—60V DC</w:t>
      </w:r>
    </w:p>
    <w:p w14:paraId="5D998462">
      <w:pPr>
        <w:numPr>
          <w:ilvl w:val="0"/>
          <w:numId w:val="22"/>
        </w:numPr>
        <w:spacing w:line="360" w:lineRule="auto"/>
        <w:ind w:left="420" w:leftChars="200"/>
        <w:rPr>
          <w:rFonts w:ascii="宋体" w:hAnsi="宋体" w:cs="宋体"/>
        </w:rPr>
      </w:pPr>
      <w:r>
        <w:rPr>
          <w:rFonts w:hint="eastAsia" w:ascii="宋体" w:hAnsi="宋体" w:cs="宋体"/>
        </w:rPr>
        <w:t>设备充放电测试电压：40—57V DC</w:t>
      </w:r>
    </w:p>
    <w:p w14:paraId="10F1BF7C">
      <w:pPr>
        <w:pStyle w:val="2"/>
      </w:pPr>
      <w:bookmarkStart w:id="199" w:name="_Toc26130"/>
      <w:bookmarkStart w:id="200" w:name="_Toc282993253"/>
      <w:bookmarkStart w:id="201" w:name="_Toc514407929"/>
      <w:bookmarkStart w:id="202" w:name="_Toc6323"/>
      <w:bookmarkStart w:id="203" w:name="_Toc97405500"/>
      <w:bookmarkStart w:id="204" w:name="_Toc1830849180"/>
      <w:bookmarkStart w:id="205" w:name="_Toc22733"/>
      <w:bookmarkStart w:id="206" w:name="_Toc384340984"/>
      <w:r>
        <w:rPr>
          <w:rFonts w:hint="eastAsia" w:ascii="宋体" w:hAnsi="宋体" w:cs="宋体"/>
        </w:rPr>
        <w:t>系统技术要求</w:t>
      </w:r>
      <w:bookmarkEnd w:id="199"/>
      <w:bookmarkEnd w:id="200"/>
      <w:bookmarkEnd w:id="201"/>
      <w:bookmarkEnd w:id="202"/>
      <w:bookmarkEnd w:id="203"/>
      <w:bookmarkEnd w:id="204"/>
      <w:bookmarkEnd w:id="205"/>
      <w:bookmarkEnd w:id="206"/>
      <w:bookmarkStart w:id="207" w:name="_Toc1936474044"/>
      <w:bookmarkEnd w:id="207"/>
      <w:bookmarkStart w:id="208" w:name="_Toc10296"/>
      <w:bookmarkEnd w:id="208"/>
    </w:p>
    <w:p w14:paraId="4303526D">
      <w:pPr>
        <w:pStyle w:val="3"/>
        <w:rPr>
          <w:rFonts w:ascii="宋体" w:hAnsi="宋体" w:cs="宋体"/>
        </w:rPr>
      </w:pPr>
      <w:bookmarkStart w:id="209" w:name="_Toc97405505"/>
      <w:bookmarkStart w:id="210" w:name="_Toc18509"/>
      <w:bookmarkStart w:id="211" w:name="_Toc8934"/>
      <w:bookmarkStart w:id="212" w:name="_Toc1204587223"/>
      <w:bookmarkStart w:id="213" w:name="_Toc514407934"/>
      <w:bookmarkStart w:id="214" w:name="_Toc314580853"/>
      <w:bookmarkStart w:id="215" w:name="_Toc16427"/>
      <w:r>
        <w:rPr>
          <w:rFonts w:hint="eastAsia" w:ascii="宋体" w:hAnsi="宋体" w:cs="宋体"/>
        </w:rPr>
        <w:t>系统硬件组成</w:t>
      </w:r>
      <w:bookmarkEnd w:id="209"/>
      <w:bookmarkEnd w:id="210"/>
      <w:bookmarkEnd w:id="211"/>
      <w:bookmarkEnd w:id="212"/>
      <w:bookmarkEnd w:id="213"/>
      <w:bookmarkEnd w:id="214"/>
      <w:bookmarkEnd w:id="215"/>
    </w:p>
    <w:p w14:paraId="2C5382DF">
      <w:pPr>
        <w:numPr>
          <w:ilvl w:val="0"/>
          <w:numId w:val="18"/>
        </w:numPr>
        <w:spacing w:line="360" w:lineRule="auto"/>
        <w:ind w:left="420" w:leftChars="200"/>
        <w:rPr>
          <w:rFonts w:ascii="宋体" w:hAnsi="宋体" w:cs="宋体"/>
        </w:rPr>
      </w:pPr>
      <w:bookmarkStart w:id="216" w:name="_Toc1137"/>
      <w:r>
        <w:rPr>
          <w:rFonts w:hint="eastAsia" w:ascii="宋体" w:hAnsi="宋体" w:cs="宋体"/>
          <w:lang w:eastAsia="zh-CN"/>
        </w:rPr>
        <w:t>通信蓄电池在线核容装置</w:t>
      </w:r>
      <w:r>
        <w:rPr>
          <w:rFonts w:hint="eastAsia" w:ascii="宋体" w:hAnsi="宋体" w:cs="宋体"/>
        </w:rPr>
        <w:t>主机</w:t>
      </w:r>
      <w:bookmarkEnd w:id="216"/>
      <w:r>
        <w:rPr>
          <w:rFonts w:hint="eastAsia" w:ascii="宋体" w:hAnsi="宋体" w:cs="宋体"/>
        </w:rPr>
        <w:t xml:space="preserve">； </w:t>
      </w:r>
    </w:p>
    <w:p w14:paraId="074CF71E">
      <w:pPr>
        <w:numPr>
          <w:ilvl w:val="0"/>
          <w:numId w:val="18"/>
        </w:numPr>
        <w:spacing w:line="360" w:lineRule="auto"/>
        <w:ind w:left="420" w:leftChars="200"/>
        <w:rPr>
          <w:rFonts w:ascii="宋体" w:hAnsi="宋体" w:cs="宋体"/>
          <w:spacing w:val="2"/>
          <w:szCs w:val="21"/>
        </w:rPr>
      </w:pPr>
      <w:bookmarkStart w:id="217" w:name="_Toc4508"/>
      <w:r>
        <w:rPr>
          <w:rFonts w:hint="eastAsia" w:ascii="宋体" w:hAnsi="宋体" w:cs="宋体"/>
        </w:rPr>
        <w:t>通信蓄电池在线核容装置蓄电池采集模块</w:t>
      </w:r>
      <w:bookmarkEnd w:id="217"/>
      <w:r>
        <w:rPr>
          <w:rFonts w:hint="eastAsia" w:ascii="宋体" w:hAnsi="宋体" w:cs="宋体"/>
        </w:rPr>
        <w:t>；</w:t>
      </w:r>
    </w:p>
    <w:p w14:paraId="7E147550">
      <w:pPr>
        <w:numPr>
          <w:ilvl w:val="0"/>
          <w:numId w:val="18"/>
        </w:numPr>
        <w:spacing w:line="360" w:lineRule="auto"/>
        <w:ind w:left="420" w:leftChars="200"/>
        <w:rPr>
          <w:rFonts w:hAnsi="宋体" w:cs="宋体"/>
          <w:spacing w:val="2"/>
          <w:szCs w:val="21"/>
        </w:rPr>
      </w:pPr>
      <w:r>
        <w:rPr>
          <w:rFonts w:hint="eastAsia" w:hAnsi="宋体" w:cs="宋体"/>
          <w:spacing w:val="2"/>
          <w:szCs w:val="21"/>
        </w:rPr>
        <w:t>通信电源不同工作模式的配置原则，主要接线方式有两种，图1：同一变电站内属于同一套通信电源设备的同一条直流母线连接的两组及以上蓄电池组，配置同一个品牌的</w:t>
      </w:r>
      <w:r>
        <w:rPr>
          <w:rFonts w:hint="eastAsia" w:hAnsi="宋体" w:cs="宋体"/>
          <w:spacing w:val="2"/>
          <w:szCs w:val="21"/>
          <w:lang w:eastAsia="zh-CN"/>
        </w:rPr>
        <w:t>通信蓄电池在线核容装置</w:t>
      </w:r>
      <w:r>
        <w:rPr>
          <w:rFonts w:hint="eastAsia" w:hAnsi="宋体" w:cs="宋体"/>
          <w:spacing w:val="2"/>
          <w:szCs w:val="21"/>
        </w:rPr>
        <w:t>主机；图2：同一变电站内属于不同的通信电源设备的直流母线连接的蓄电池组，可配置不同品牌的蓄电池组远程智能维护系统主机设备。</w:t>
      </w:r>
    </w:p>
    <w:p w14:paraId="64712CD8">
      <w:pPr>
        <w:spacing w:line="360" w:lineRule="auto"/>
        <w:jc w:val="center"/>
        <w:rPr>
          <w:sz w:val="20"/>
        </w:rPr>
      </w:pPr>
      <w:r>
        <w:rPr>
          <w:sz w:val="20"/>
        </w:rPr>
        <w:drawing>
          <wp:inline distT="0" distB="0" distL="0" distR="0">
            <wp:extent cx="5098415" cy="2237105"/>
            <wp:effectExtent l="0" t="0" r="6985" b="10795"/>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png"/>
                    <pic:cNvPicPr>
                      <a:picLocks noChangeAspect="1"/>
                    </pic:cNvPicPr>
                  </pic:nvPicPr>
                  <pic:blipFill>
                    <a:blip r:embed="rId12" cstate="print"/>
                    <a:stretch>
                      <a:fillRect/>
                    </a:stretch>
                  </pic:blipFill>
                  <pic:spPr>
                    <a:xfrm>
                      <a:off x="0" y="0"/>
                      <a:ext cx="5098491" cy="2237422"/>
                    </a:xfrm>
                    <a:prstGeom prst="rect">
                      <a:avLst/>
                    </a:prstGeom>
                  </pic:spPr>
                </pic:pic>
              </a:graphicData>
            </a:graphic>
          </wp:inline>
        </w:drawing>
      </w:r>
    </w:p>
    <w:p w14:paraId="084A3DC7">
      <w:pPr>
        <w:spacing w:line="360" w:lineRule="auto"/>
        <w:jc w:val="center"/>
        <w:rPr>
          <w:sz w:val="20"/>
        </w:rPr>
      </w:pPr>
      <w:r>
        <w:rPr>
          <w:rFonts w:hint="eastAsia"/>
          <w:sz w:val="20"/>
        </w:rPr>
        <w:t>图1</w:t>
      </w:r>
    </w:p>
    <w:p w14:paraId="455DB5AB">
      <w:pPr>
        <w:spacing w:line="360" w:lineRule="auto"/>
        <w:jc w:val="center"/>
        <w:rPr>
          <w:rFonts w:ascii="宋体" w:hAnsi="宋体" w:cs="宋体"/>
          <w:spacing w:val="2"/>
          <w:szCs w:val="21"/>
        </w:rPr>
      </w:pPr>
      <w:r>
        <w:rPr>
          <w:rFonts w:hint="eastAsia"/>
          <w:sz w:val="24"/>
        </w:rPr>
        <w:drawing>
          <wp:inline distT="0" distB="0" distL="0" distR="0">
            <wp:extent cx="5619750" cy="2817495"/>
            <wp:effectExtent l="0" t="0" r="0" b="1905"/>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4.png"/>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619750" cy="2817495"/>
                    </a:xfrm>
                    <a:prstGeom prst="rect">
                      <a:avLst/>
                    </a:prstGeom>
                  </pic:spPr>
                </pic:pic>
              </a:graphicData>
            </a:graphic>
          </wp:inline>
        </w:drawing>
      </w:r>
    </w:p>
    <w:p w14:paraId="74EF9461">
      <w:pPr>
        <w:spacing w:line="360" w:lineRule="auto"/>
        <w:ind w:firstLine="436"/>
        <w:jc w:val="center"/>
        <w:rPr>
          <w:rFonts w:ascii="宋体" w:hAnsi="宋体" w:cs="宋体"/>
          <w:spacing w:val="2"/>
          <w:szCs w:val="21"/>
        </w:rPr>
      </w:pPr>
      <w:r>
        <w:rPr>
          <w:rFonts w:ascii="宋体" w:hAnsi="宋体" w:cs="宋体"/>
          <w:spacing w:val="2"/>
          <w:szCs w:val="21"/>
        </w:rPr>
        <w:t>图</w:t>
      </w:r>
      <w:r>
        <w:rPr>
          <w:rFonts w:hint="eastAsia" w:ascii="宋体" w:hAnsi="宋体" w:cs="宋体"/>
          <w:spacing w:val="2"/>
          <w:szCs w:val="21"/>
        </w:rPr>
        <w:t>2</w:t>
      </w:r>
    </w:p>
    <w:p w14:paraId="649002DA">
      <w:pPr>
        <w:pStyle w:val="3"/>
        <w:rPr>
          <w:rFonts w:ascii="宋体" w:hAnsi="宋体" w:cs="宋体"/>
        </w:rPr>
      </w:pPr>
      <w:bookmarkStart w:id="218" w:name="_Toc97405506"/>
      <w:bookmarkStart w:id="219" w:name="_Toc1263"/>
      <w:bookmarkStart w:id="220" w:name="_Toc31758"/>
      <w:bookmarkStart w:id="221" w:name="_Toc3317"/>
      <w:bookmarkStart w:id="222" w:name="_Toc514407935"/>
      <w:bookmarkStart w:id="223" w:name="_Toc1169116692"/>
      <w:bookmarkStart w:id="224" w:name="_Toc19815"/>
      <w:bookmarkStart w:id="225" w:name="_Toc4288"/>
      <w:r>
        <w:rPr>
          <w:rFonts w:hint="eastAsia" w:ascii="宋体" w:hAnsi="宋体" w:cs="宋体"/>
        </w:rPr>
        <w:t>通信蓄电池在线核容装置</w:t>
      </w:r>
      <w:r>
        <w:rPr>
          <w:rFonts w:hint="eastAsia" w:ascii="宋体" w:hAnsi="宋体" w:cs="宋体"/>
          <w:lang w:val="en-US" w:eastAsia="zh-CN"/>
        </w:rPr>
        <w:t>主机</w:t>
      </w:r>
      <w:r>
        <w:rPr>
          <w:rFonts w:hint="eastAsia" w:ascii="宋体" w:hAnsi="宋体" w:cs="宋体"/>
        </w:rPr>
        <w:t>技术要求</w:t>
      </w:r>
      <w:bookmarkEnd w:id="218"/>
      <w:bookmarkEnd w:id="219"/>
      <w:bookmarkEnd w:id="220"/>
      <w:bookmarkEnd w:id="221"/>
      <w:bookmarkEnd w:id="222"/>
      <w:bookmarkEnd w:id="223"/>
      <w:bookmarkEnd w:id="224"/>
      <w:bookmarkEnd w:id="225"/>
    </w:p>
    <w:p w14:paraId="08F18AC7">
      <w:pPr>
        <w:pStyle w:val="4"/>
        <w:spacing w:before="120"/>
        <w:jc w:val="both"/>
      </w:pPr>
      <w:bookmarkStart w:id="226" w:name="_Toc9076"/>
      <w:bookmarkStart w:id="227" w:name="_Toc97405507"/>
      <w:bookmarkStart w:id="228" w:name="_Toc2016356041"/>
      <w:r>
        <w:rPr>
          <w:rFonts w:hint="eastAsia"/>
        </w:rPr>
        <w:t>通信蓄电池在线核容装置系统主机</w:t>
      </w:r>
      <w:bookmarkEnd w:id="226"/>
      <w:bookmarkEnd w:id="227"/>
      <w:bookmarkEnd w:id="228"/>
    </w:p>
    <w:p w14:paraId="2910FBD7">
      <w:pPr>
        <w:numPr>
          <w:ilvl w:val="0"/>
          <w:numId w:val="23"/>
        </w:numPr>
        <w:spacing w:line="360" w:lineRule="auto"/>
        <w:ind w:left="0" w:firstLine="0"/>
        <w:rPr>
          <w:rFonts w:hint="eastAsia" w:ascii="Times New Roman" w:hAnsi="Times New Roman" w:cs="Times New Roman"/>
          <w:snapToGrid w:val="0"/>
          <w:szCs w:val="21"/>
          <w:highlight w:val="none"/>
        </w:rPr>
      </w:pPr>
      <w:r>
        <w:rPr>
          <w:rFonts w:hint="eastAsia" w:ascii="Times New Roman" w:hAnsi="Times New Roman" w:cs="Times New Roman"/>
          <w:snapToGrid w:val="0"/>
          <w:szCs w:val="21"/>
          <w:highlight w:val="none"/>
        </w:rPr>
        <w:t xml:space="preserve">远程核容装置独立的DC/DC升压放电模块，通过主站对蓄电池进行远程放电操作，并对放电过程全程进行参数检测记录，以达到测定蓄电池容量的目的。 </w:t>
      </w:r>
    </w:p>
    <w:p w14:paraId="131F3980">
      <w:pPr>
        <w:numPr>
          <w:ilvl w:val="0"/>
          <w:numId w:val="23"/>
        </w:numPr>
        <w:spacing w:line="360" w:lineRule="auto"/>
        <w:rPr>
          <w:rFonts w:hint="eastAsia" w:ascii="Times New Roman" w:hAnsi="Times New Roman" w:cs="Times New Roman"/>
          <w:snapToGrid w:val="0"/>
          <w:sz w:val="21"/>
          <w:szCs w:val="21"/>
          <w:highlight w:val="none"/>
          <w:u w:val="none"/>
          <w:shd w:val="clear"/>
          <w:lang w:val="en-US" w:eastAsia="zh-CN" w:bidi="zh-TW"/>
        </w:rPr>
      </w:pPr>
      <w:r>
        <w:rPr>
          <w:rFonts w:hint="eastAsia"/>
          <w:snapToGrid w:val="0"/>
          <w:szCs w:val="21"/>
          <w:highlight w:val="none"/>
        </w:rPr>
        <w:t>★</w:t>
      </w:r>
      <w:r>
        <w:rPr>
          <w:rFonts w:hint="eastAsia" w:ascii="Times New Roman" w:hAnsi="Times New Roman" w:cs="Times New Roman"/>
          <w:snapToGrid w:val="0"/>
          <w:sz w:val="21"/>
          <w:szCs w:val="21"/>
          <w:highlight w:val="none"/>
          <w:u w:val="none"/>
          <w:shd w:val="clear"/>
          <w:lang w:val="en-US" w:eastAsia="zh-CN" w:bidi="zh-TW"/>
        </w:rPr>
        <w:t>DC/DC模块为模块化可插拔设计</w:t>
      </w:r>
      <w:r>
        <w:rPr>
          <w:rFonts w:hint="eastAsia" w:cs="Times New Roman"/>
          <w:snapToGrid w:val="0"/>
          <w:sz w:val="21"/>
          <w:szCs w:val="21"/>
          <w:highlight w:val="none"/>
          <w:u w:val="none"/>
          <w:shd w:val="clear"/>
          <w:lang w:val="en-US" w:eastAsia="zh-CN" w:bidi="zh-TW"/>
        </w:rPr>
        <w:t>，</w:t>
      </w:r>
      <w:r>
        <w:rPr>
          <w:rFonts w:hint="eastAsia" w:ascii="Times New Roman" w:hAnsi="Times New Roman" w:cs="Times New Roman"/>
          <w:snapToGrid w:val="0"/>
          <w:sz w:val="21"/>
          <w:szCs w:val="21"/>
          <w:highlight w:val="none"/>
          <w:u w:val="none"/>
          <w:shd w:val="clear"/>
          <w:lang w:val="en-US" w:eastAsia="zh-CN" w:bidi="zh-TW"/>
        </w:rPr>
        <w:t>无须拆除通信线缆和供电线缆即可进行插拔维护操作</w:t>
      </w:r>
      <w:r>
        <w:rPr>
          <w:rFonts w:hint="eastAsia" w:cs="Times New Roman"/>
          <w:snapToGrid w:val="0"/>
          <w:sz w:val="21"/>
          <w:szCs w:val="21"/>
          <w:highlight w:val="none"/>
          <w:u w:val="none"/>
          <w:shd w:val="clear"/>
          <w:lang w:val="en-US" w:eastAsia="zh-CN" w:bidi="zh-TW"/>
        </w:rPr>
        <w:t>；</w:t>
      </w:r>
      <w:r>
        <w:rPr>
          <w:rFonts w:hint="eastAsia" w:ascii="Times New Roman" w:hAnsi="Times New Roman" w:cs="Times New Roman"/>
          <w:snapToGrid w:val="0"/>
          <w:sz w:val="21"/>
          <w:szCs w:val="21"/>
          <w:highlight w:val="none"/>
          <w:u w:val="none"/>
          <w:shd w:val="clear"/>
          <w:lang w:val="en-US" w:eastAsia="zh-CN" w:bidi="zh-TW"/>
        </w:rPr>
        <w:t>DC/DC模块可在待机状态下进行热插拔</w:t>
      </w:r>
      <w:r>
        <w:rPr>
          <w:rFonts w:hint="eastAsia" w:cs="Times New Roman"/>
          <w:snapToGrid w:val="0"/>
          <w:sz w:val="21"/>
          <w:szCs w:val="21"/>
          <w:highlight w:val="none"/>
          <w:u w:val="none"/>
          <w:shd w:val="clear"/>
          <w:lang w:val="en-US" w:eastAsia="zh-CN" w:bidi="zh-TW"/>
        </w:rPr>
        <w:t>，</w:t>
      </w:r>
      <w:r>
        <w:rPr>
          <w:rFonts w:hint="eastAsia" w:ascii="Times New Roman" w:hAnsi="Times New Roman" w:cs="Times New Roman"/>
          <w:snapToGrid w:val="0"/>
          <w:sz w:val="21"/>
          <w:szCs w:val="21"/>
          <w:highlight w:val="none"/>
          <w:u w:val="none"/>
          <w:shd w:val="clear"/>
          <w:lang w:val="en-US" w:eastAsia="zh-CN" w:bidi="zh-TW"/>
        </w:rPr>
        <w:t>插拔后DC/DC模块可正常工作</w:t>
      </w:r>
      <w:r>
        <w:rPr>
          <w:rFonts w:hint="eastAsia" w:cs="Times New Roman"/>
          <w:snapToGrid w:val="0"/>
          <w:sz w:val="21"/>
          <w:szCs w:val="21"/>
          <w:highlight w:val="none"/>
          <w:u w:val="none"/>
          <w:shd w:val="clear"/>
          <w:lang w:val="en-US" w:eastAsia="zh-CN" w:bidi="zh-TW"/>
        </w:rPr>
        <w:t>，</w:t>
      </w:r>
      <w:r>
        <w:rPr>
          <w:rFonts w:hint="eastAsia" w:ascii="Times New Roman" w:hAnsi="Times New Roman" w:cs="Times New Roman"/>
          <w:snapToGrid w:val="0"/>
          <w:sz w:val="21"/>
          <w:szCs w:val="21"/>
          <w:highlight w:val="none"/>
          <w:u w:val="none"/>
          <w:shd w:val="clear"/>
          <w:lang w:val="en-US" w:eastAsia="zh-CN" w:bidi="zh-TW"/>
        </w:rPr>
        <w:t>为了防止模块误动作，DC/DC模块应物理区分为充电模块和放电模块，不应为双向混合功能的模块。</w:t>
      </w:r>
    </w:p>
    <w:p w14:paraId="0CABE985">
      <w:pPr>
        <w:numPr>
          <w:ilvl w:val="0"/>
          <w:numId w:val="23"/>
        </w:numPr>
        <w:spacing w:line="360" w:lineRule="auto"/>
        <w:rPr>
          <w:rFonts w:hint="eastAsia" w:ascii="Times New Roman" w:hAnsi="Times New Roman" w:cs="Times New Roman"/>
          <w:snapToGrid w:val="0"/>
          <w:sz w:val="21"/>
          <w:szCs w:val="21"/>
          <w:highlight w:val="none"/>
          <w:u w:val="none"/>
          <w:shd w:val="clear"/>
          <w:lang w:val="en-US" w:eastAsia="zh-CN" w:bidi="zh-TW"/>
        </w:rPr>
      </w:pPr>
      <w:r>
        <w:rPr>
          <w:rFonts w:hint="eastAsia"/>
          <w:snapToGrid w:val="0"/>
          <w:szCs w:val="21"/>
          <w:highlight w:val="none"/>
        </w:rPr>
        <w:t>★</w:t>
      </w:r>
      <w:r>
        <w:rPr>
          <w:rFonts w:hint="eastAsia" w:ascii="Times New Roman" w:hAnsi="Times New Roman" w:cs="Times New Roman"/>
          <w:snapToGrid w:val="0"/>
          <w:sz w:val="21"/>
          <w:szCs w:val="21"/>
          <w:highlight w:val="none"/>
          <w:u w:val="none"/>
          <w:shd w:val="clear"/>
          <w:lang w:val="en-US" w:eastAsia="zh-CN" w:bidi="zh-TW"/>
        </w:rPr>
        <w:t>DC模块输出侧应配备保护开关。</w:t>
      </w:r>
    </w:p>
    <w:p w14:paraId="2B789F29">
      <w:pPr>
        <w:numPr>
          <w:ilvl w:val="0"/>
          <w:numId w:val="23"/>
        </w:numPr>
        <w:spacing w:line="360" w:lineRule="auto"/>
        <w:ind w:left="425" w:hanging="425"/>
        <w:rPr>
          <w:rFonts w:hint="eastAsia" w:ascii="Times New Roman" w:hAnsi="Times New Roman" w:cs="Times New Roman"/>
          <w:snapToGrid w:val="0"/>
          <w:sz w:val="21"/>
          <w:szCs w:val="21"/>
          <w:highlight w:val="none"/>
          <w:u w:val="none"/>
          <w:shd w:val="clear"/>
          <w:lang w:val="en-US" w:eastAsia="zh-CN" w:bidi="zh-TW"/>
        </w:rPr>
      </w:pPr>
      <w:r>
        <w:rPr>
          <w:rFonts w:hint="eastAsia" w:ascii="Times New Roman" w:hAnsi="Times New Roman" w:cs="Times New Roman"/>
          <w:snapToGrid w:val="0"/>
          <w:sz w:val="21"/>
          <w:szCs w:val="21"/>
          <w:highlight w:val="none"/>
          <w:u w:val="none"/>
          <w:shd w:val="clear"/>
          <w:lang w:val="en-US" w:eastAsia="zh-CN" w:bidi="zh-TW"/>
        </w:rPr>
        <w:t>采用便携式工控一体机触摸屏调试工作，集成远程核容调试APP，具备核容主机、汇集器、单节监测模块、加密模块的调试设置以及验收功能。</w:t>
      </w:r>
    </w:p>
    <w:p w14:paraId="3D2E13F3">
      <w:pPr>
        <w:numPr>
          <w:ilvl w:val="0"/>
          <w:numId w:val="23"/>
        </w:numPr>
        <w:spacing w:line="360" w:lineRule="auto"/>
        <w:rPr>
          <w:rFonts w:ascii="宋体" w:hAnsi="宋体" w:cs="宋体"/>
        </w:rPr>
      </w:pPr>
      <w:r>
        <w:rPr>
          <w:rFonts w:hint="eastAsia"/>
          <w:snapToGrid w:val="0"/>
          <w:szCs w:val="21"/>
          <w:highlight w:val="none"/>
        </w:rPr>
        <w:t>★</w:t>
      </w:r>
      <w:r>
        <w:rPr>
          <w:rFonts w:hint="eastAsia" w:ascii="宋体" w:hAnsi="宋体" w:cs="宋体"/>
          <w:highlight w:val="none"/>
        </w:rPr>
        <w:t>远程核容装置利用用户实际直流负载对蓄电池进行整组充放电(充放电模块要求组端输入标称电压DC48V，电源在线端输出DC44V-56.4V)，</w:t>
      </w:r>
      <w:r>
        <w:rPr>
          <w:rFonts w:hint="eastAsia" w:ascii="宋体" w:hAnsi="宋体" w:cs="宋体"/>
        </w:rPr>
        <w:t>以达到电池组节能充放电目的。</w:t>
      </w:r>
    </w:p>
    <w:p w14:paraId="22C7BAFD">
      <w:pPr>
        <w:numPr>
          <w:ilvl w:val="0"/>
          <w:numId w:val="23"/>
        </w:numPr>
        <w:spacing w:line="360" w:lineRule="auto"/>
      </w:pPr>
      <w:r>
        <w:rPr>
          <w:rFonts w:hint="eastAsia"/>
          <w:snapToGrid w:val="0"/>
          <w:szCs w:val="21"/>
        </w:rPr>
        <w:t>★</w:t>
      </w:r>
      <w:r>
        <w:rPr>
          <w:rFonts w:hint="eastAsia" w:ascii="宋体" w:hAnsi="宋体" w:cs="宋体"/>
        </w:rPr>
        <w:t>为保证在线升压核容安全性，其升压</w:t>
      </w:r>
      <w:r>
        <w:rPr>
          <w:rFonts w:ascii="宋体" w:hAnsi="宋体" w:cs="宋体"/>
        </w:rPr>
        <w:t>DC/DC</w:t>
      </w:r>
      <w:r>
        <w:rPr>
          <w:rFonts w:hint="eastAsia" w:ascii="宋体" w:hAnsi="宋体" w:cs="宋体"/>
        </w:rPr>
        <w:t>应使用输入输出变压器隔离型的</w:t>
      </w:r>
      <w:r>
        <w:rPr>
          <w:rFonts w:ascii="宋体" w:hAnsi="宋体" w:cs="宋体"/>
        </w:rPr>
        <w:t>DC/DC</w:t>
      </w:r>
      <w:r>
        <w:rPr>
          <w:rFonts w:hint="eastAsia" w:ascii="宋体" w:hAnsi="宋体" w:cs="宋体"/>
        </w:rPr>
        <w:t>技术，其输出的电压由变压器决定了控制在安全范围内，保证系统设备的安全，避免出现</w:t>
      </w:r>
      <w:r>
        <w:rPr>
          <w:rFonts w:ascii="宋体" w:hAnsi="宋体" w:cs="宋体"/>
        </w:rPr>
        <w:t>DC/DC</w:t>
      </w:r>
      <w:r>
        <w:rPr>
          <w:rFonts w:hint="eastAsia" w:ascii="宋体" w:hAnsi="宋体" w:cs="宋体"/>
        </w:rPr>
        <w:t>电路故障导致过压损坏系统设备的情况。</w:t>
      </w:r>
    </w:p>
    <w:p w14:paraId="0BE01247">
      <w:pPr>
        <w:numPr>
          <w:ilvl w:val="0"/>
          <w:numId w:val="23"/>
        </w:numPr>
        <w:spacing w:line="360" w:lineRule="auto"/>
      </w:pPr>
      <w:r>
        <w:rPr>
          <w:rFonts w:hint="eastAsia"/>
          <w:snapToGrid w:val="0"/>
          <w:szCs w:val="21"/>
        </w:rPr>
        <w:t>★</w:t>
      </w:r>
      <w:r>
        <w:rPr>
          <w:rFonts w:hint="eastAsia"/>
        </w:rPr>
        <w:t>系统应满足南网通信电源技术规范蓄电池远程核容装置系统连接图接线要求，不得增加系统安装复杂程度，扩大系统运行的风险。</w:t>
      </w:r>
    </w:p>
    <w:p w14:paraId="606784FB">
      <w:pPr>
        <w:jc w:val="center"/>
      </w:pPr>
      <w:r>
        <w:drawing>
          <wp:inline distT="0" distB="0" distL="114300" distR="114300">
            <wp:extent cx="4479925" cy="2093595"/>
            <wp:effectExtent l="0" t="0" r="15875" b="190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4"/>
                    <a:stretch>
                      <a:fillRect/>
                    </a:stretch>
                  </pic:blipFill>
                  <pic:spPr>
                    <a:xfrm>
                      <a:off x="0" y="0"/>
                      <a:ext cx="4479925" cy="2093595"/>
                    </a:xfrm>
                    <a:prstGeom prst="rect">
                      <a:avLst/>
                    </a:prstGeom>
                    <a:noFill/>
                    <a:ln>
                      <a:noFill/>
                    </a:ln>
                  </pic:spPr>
                </pic:pic>
              </a:graphicData>
            </a:graphic>
          </wp:inline>
        </w:drawing>
      </w:r>
    </w:p>
    <w:p w14:paraId="5DA4B4A7">
      <w:pPr>
        <w:widowControl/>
        <w:jc w:val="center"/>
        <w:rPr>
          <w:rFonts w:ascii="黑体" w:hAnsi="宋体" w:eastAsia="黑体" w:cs="黑体"/>
          <w:kern w:val="0"/>
          <w:sz w:val="20"/>
          <w:szCs w:val="20"/>
          <w:lang w:bidi="ar"/>
        </w:rPr>
      </w:pPr>
      <w:r>
        <w:rPr>
          <w:rFonts w:ascii="黑体" w:hAnsi="宋体" w:eastAsia="黑体" w:cs="黑体"/>
          <w:kern w:val="0"/>
          <w:sz w:val="20"/>
          <w:szCs w:val="20"/>
          <w:lang w:bidi="ar"/>
        </w:rPr>
        <w:t xml:space="preserve">图 </w:t>
      </w:r>
      <w:r>
        <w:rPr>
          <w:rFonts w:hint="eastAsia" w:ascii="黑体" w:hAnsi="宋体" w:eastAsia="黑体" w:cs="黑体"/>
          <w:kern w:val="0"/>
          <w:sz w:val="20"/>
          <w:szCs w:val="20"/>
          <w:lang w:bidi="ar"/>
        </w:rPr>
        <w:t>3</w:t>
      </w:r>
      <w:r>
        <w:rPr>
          <w:rFonts w:ascii="黑体" w:hAnsi="宋体" w:eastAsia="黑体" w:cs="黑体"/>
          <w:kern w:val="0"/>
          <w:sz w:val="20"/>
          <w:szCs w:val="20"/>
          <w:lang w:bidi="ar"/>
        </w:rPr>
        <w:t xml:space="preserve"> 远程核容装置系统示意图</w:t>
      </w:r>
    </w:p>
    <w:p w14:paraId="51C98D3C">
      <w:pPr>
        <w:numPr>
          <w:ilvl w:val="0"/>
          <w:numId w:val="23"/>
        </w:numPr>
        <w:spacing w:line="360" w:lineRule="auto"/>
        <w:ind w:left="340"/>
        <w:rPr>
          <w:rFonts w:hint="eastAsia" w:ascii="Times New Roman" w:hAnsi="Times New Roman" w:eastAsia="宋体" w:cs="Times New Roman"/>
          <w:b w:val="0"/>
          <w:bCs w:val="0"/>
          <w:snapToGrid w:val="0"/>
          <w:color w:val="auto"/>
          <w:sz w:val="21"/>
          <w:szCs w:val="21"/>
          <w:highlight w:val="none"/>
          <w:lang w:val="zh-TW" w:eastAsia="zh-TW"/>
        </w:rPr>
      </w:pPr>
      <w:r>
        <w:rPr>
          <w:rFonts w:hint="eastAsia" w:ascii="Times New Roman" w:hAnsi="Times New Roman" w:eastAsia="宋体" w:cs="Times New Roman"/>
          <w:b w:val="0"/>
          <w:bCs w:val="0"/>
          <w:snapToGrid w:val="0"/>
          <w:color w:val="auto"/>
          <w:sz w:val="21"/>
          <w:szCs w:val="21"/>
          <w:highlight w:val="none"/>
          <w:lang w:val="zh-TW" w:eastAsia="zh-TW"/>
        </w:rPr>
        <w:t>国产化</w:t>
      </w:r>
      <w:r>
        <w:rPr>
          <w:rFonts w:hint="eastAsia" w:cs="Times New Roman"/>
          <w:b w:val="0"/>
          <w:bCs w:val="0"/>
          <w:snapToGrid w:val="0"/>
          <w:sz w:val="21"/>
          <w:szCs w:val="21"/>
          <w:highlight w:val="none"/>
          <w:lang w:val="en-US" w:eastAsia="zh-CN"/>
        </w:rPr>
        <w:t>要求</w:t>
      </w:r>
    </w:p>
    <w:p w14:paraId="11E5A1C1">
      <w:pPr>
        <w:numPr>
          <w:ilvl w:val="-1"/>
          <w:numId w:val="0"/>
        </w:numPr>
        <w:spacing w:line="360" w:lineRule="auto"/>
        <w:ind w:left="0" w:firstLine="420" w:firstLineChars="200"/>
        <w:rPr>
          <w:rFonts w:hint="eastAsia" w:ascii="Times New Roman" w:hAnsi="Times New Roman" w:eastAsia="宋体" w:cs="Times New Roman"/>
          <w:snapToGrid w:val="0"/>
          <w:color w:val="auto"/>
          <w:sz w:val="21"/>
          <w:szCs w:val="21"/>
          <w:highlight w:val="none"/>
          <w:u w:val="none"/>
          <w:shd w:val="clear" w:color="auto" w:fill="auto"/>
          <w:lang w:val="zh-TW" w:eastAsia="zh-TW" w:bidi="zh-TW"/>
        </w:rPr>
      </w:pPr>
      <w:r>
        <w:rPr>
          <w:rFonts w:hint="eastAsia" w:ascii="Times New Roman" w:hAnsi="Times New Roman" w:eastAsia="宋体" w:cs="Times New Roman"/>
          <w:snapToGrid w:val="0"/>
          <w:color w:val="auto"/>
          <w:sz w:val="21"/>
          <w:szCs w:val="21"/>
          <w:highlight w:val="none"/>
          <w:u w:val="none"/>
          <w:shd w:val="clear" w:color="auto" w:fill="auto"/>
          <w:lang w:val="zh-TW" w:eastAsia="zh-TW" w:bidi="zh-TW"/>
        </w:rPr>
        <w:t>投标方提供的</w:t>
      </w:r>
      <w:r>
        <w:rPr>
          <w:rFonts w:hint="eastAsia" w:cs="Times New Roman"/>
          <w:snapToGrid w:val="0"/>
          <w:sz w:val="21"/>
          <w:szCs w:val="21"/>
          <w:u w:val="none"/>
          <w:shd w:val="clear"/>
          <w:lang w:val="en-US" w:eastAsia="zh-CN" w:bidi="zh-TW"/>
        </w:rPr>
        <w:t>远程核容</w:t>
      </w:r>
      <w:r>
        <w:rPr>
          <w:rFonts w:hint="eastAsia" w:ascii="Times New Roman" w:hAnsi="Times New Roman" w:eastAsia="宋体" w:cs="Times New Roman"/>
          <w:snapToGrid w:val="0"/>
          <w:color w:val="auto"/>
          <w:sz w:val="21"/>
          <w:szCs w:val="21"/>
          <w:highlight w:val="none"/>
          <w:u w:val="none"/>
          <w:shd w:val="clear" w:color="auto" w:fill="auto"/>
          <w:lang w:val="zh-TW" w:eastAsia="zh-TW" w:bidi="zh-TW"/>
        </w:rPr>
        <w:t>设备应提供</w:t>
      </w:r>
      <w:r>
        <w:rPr>
          <w:rFonts w:hint="eastAsia" w:cs="Times New Roman"/>
          <w:snapToGrid w:val="0"/>
          <w:color w:val="auto"/>
          <w:sz w:val="21"/>
          <w:szCs w:val="21"/>
          <w:highlight w:val="none"/>
          <w:u w:val="none"/>
          <w:shd w:val="clear" w:color="auto" w:fill="auto"/>
          <w:lang w:val="en-US" w:eastAsia="zh-CN" w:bidi="zh-TW"/>
        </w:rPr>
        <w:t>第三方检测</w:t>
      </w:r>
      <w:r>
        <w:rPr>
          <w:rFonts w:hint="eastAsia" w:ascii="宋体" w:hAnsi="宋体" w:cs="宋体"/>
          <w:color w:val="auto"/>
          <w:szCs w:val="24"/>
          <w:highlight w:val="none"/>
        </w:rPr>
        <w:t>机构出具的产品主要元器件安全自主可控检测报告</w:t>
      </w:r>
      <w:r>
        <w:rPr>
          <w:rFonts w:hint="eastAsia" w:cs="Times New Roman"/>
          <w:snapToGrid w:val="0"/>
          <w:color w:val="auto"/>
          <w:sz w:val="21"/>
          <w:szCs w:val="21"/>
          <w:highlight w:val="none"/>
          <w:u w:val="none"/>
          <w:shd w:val="clear" w:color="auto" w:fill="auto"/>
          <w:lang w:val="zh-TW" w:eastAsia="zh-CN" w:bidi="zh-TW"/>
        </w:rPr>
        <w:t>，</w:t>
      </w:r>
      <w:r>
        <w:rPr>
          <w:rFonts w:hint="eastAsia" w:ascii="Times New Roman" w:hAnsi="Times New Roman" w:eastAsia="宋体" w:cs="Times New Roman"/>
          <w:snapToGrid w:val="0"/>
          <w:color w:val="auto"/>
          <w:sz w:val="21"/>
          <w:szCs w:val="21"/>
          <w:highlight w:val="none"/>
          <w:u w:val="none"/>
          <w:shd w:val="clear" w:color="auto" w:fill="auto"/>
          <w:lang w:val="zh-TW" w:eastAsia="zh-TW" w:bidi="zh-TW"/>
        </w:rPr>
        <w:t>确保核心芯片全部国产化。</w:t>
      </w:r>
      <w:r>
        <w:rPr>
          <w:rFonts w:hint="eastAsia" w:ascii="Times New Roman" w:hAnsi="Times New Roman" w:eastAsia="宋体" w:cs="Times New Roman"/>
          <w:b w:val="0"/>
          <w:bCs w:val="0"/>
          <w:snapToGrid w:val="0"/>
          <w:color w:val="auto"/>
          <w:sz w:val="21"/>
          <w:szCs w:val="21"/>
          <w:highlight w:val="none"/>
          <w:u w:val="none"/>
          <w:shd w:val="clear" w:color="auto" w:fill="auto"/>
          <w:lang w:val="zh-TW" w:eastAsia="zh-TW" w:bidi="zh-TW"/>
        </w:rPr>
        <w:t>智能蓄电池远程核容装置</w:t>
      </w:r>
      <w:r>
        <w:rPr>
          <w:rFonts w:hint="eastAsia" w:ascii="Times New Roman" w:hAnsi="Times New Roman" w:eastAsia="宋体" w:cs="Times New Roman"/>
          <w:snapToGrid w:val="0"/>
          <w:color w:val="auto"/>
          <w:sz w:val="21"/>
          <w:szCs w:val="21"/>
          <w:highlight w:val="none"/>
          <w:u w:val="none"/>
          <w:shd w:val="clear" w:color="auto" w:fill="auto"/>
          <w:lang w:val="zh-TW" w:eastAsia="zh-TW" w:bidi="zh-TW"/>
        </w:rPr>
        <w:t>主板芯片要求如下：</w:t>
      </w:r>
    </w:p>
    <w:tbl>
      <w:tblPr>
        <w:tblStyle w:val="83"/>
        <w:tblW w:w="9580" w:type="dxa"/>
        <w:tblInd w:w="113" w:type="dxa"/>
        <w:tblLayout w:type="autofit"/>
        <w:tblCellMar>
          <w:top w:w="0" w:type="dxa"/>
          <w:left w:w="108" w:type="dxa"/>
          <w:bottom w:w="0" w:type="dxa"/>
          <w:right w:w="108" w:type="dxa"/>
        </w:tblCellMar>
      </w:tblPr>
      <w:tblGrid>
        <w:gridCol w:w="1080"/>
        <w:gridCol w:w="2380"/>
        <w:gridCol w:w="6120"/>
      </w:tblGrid>
      <w:tr w14:paraId="2D0DF534">
        <w:tblPrEx>
          <w:tblCellMar>
            <w:top w:w="0" w:type="dxa"/>
            <w:left w:w="108" w:type="dxa"/>
            <w:bottom w:w="0" w:type="dxa"/>
            <w:right w:w="108" w:type="dxa"/>
          </w:tblCellMar>
        </w:tblPrEx>
        <w:trPr>
          <w:trHeight w:val="436"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14:paraId="6D42C39C">
            <w:pPr>
              <w:spacing w:before="0" w:after="0" w:line="240" w:lineRule="auto"/>
              <w:ind w:firstLine="0" w:firstLineChars="0"/>
              <w:jc w:val="center"/>
              <w:rPr>
                <w:rFonts w:ascii="宋体" w:hAnsi="宋体" w:eastAsia="宋体" w:cs="Times New Roman"/>
                <w:b w:val="0"/>
                <w:bCs w:val="0"/>
                <w:color w:val="000000"/>
                <w:kern w:val="0"/>
                <w:sz w:val="21"/>
                <w:szCs w:val="21"/>
                <w:highlight w:val="none"/>
                <w:u w:val="none"/>
                <w:shd w:val="clear" w:color="auto" w:fill="auto"/>
                <w:lang w:val="zh-TW" w:eastAsia="zh-TW" w:bidi="zh-TW"/>
              </w:rPr>
            </w:pPr>
            <w:r>
              <w:rPr>
                <w:rFonts w:hint="default" w:ascii="宋体" w:hAnsi="宋体" w:eastAsia="宋体" w:cs="宋体"/>
                <w:b w:val="0"/>
                <w:bCs w:val="0"/>
                <w:color w:val="000000"/>
                <w:kern w:val="0"/>
                <w:sz w:val="21"/>
                <w:szCs w:val="21"/>
                <w:highlight w:val="none"/>
                <w:u w:val="none"/>
                <w:shd w:val="clear" w:color="auto" w:fill="auto"/>
                <w:lang w:val="zh-TW" w:eastAsia="zh-TW" w:bidi="zh-TW"/>
              </w:rPr>
              <w:t>序号</w:t>
            </w:r>
          </w:p>
        </w:tc>
        <w:tc>
          <w:tcPr>
            <w:tcW w:w="2380" w:type="dxa"/>
            <w:tcBorders>
              <w:top w:val="single" w:color="auto" w:sz="4" w:space="0"/>
              <w:left w:val="nil"/>
              <w:bottom w:val="single" w:color="auto" w:sz="4" w:space="0"/>
              <w:right w:val="single" w:color="auto" w:sz="4" w:space="0"/>
            </w:tcBorders>
            <w:noWrap w:val="0"/>
            <w:vAlign w:val="center"/>
          </w:tcPr>
          <w:p w14:paraId="79FE5FC0">
            <w:pPr>
              <w:spacing w:before="0" w:after="0" w:line="240" w:lineRule="auto"/>
              <w:ind w:firstLine="0"/>
              <w:jc w:val="center"/>
              <w:rPr>
                <w:rFonts w:hint="default" w:ascii="宋体" w:hAnsi="宋体" w:eastAsia="宋体" w:cs="Times New Roman"/>
                <w:b w:val="0"/>
                <w:bCs w:val="0"/>
                <w:color w:val="000000"/>
                <w:kern w:val="0"/>
                <w:sz w:val="21"/>
                <w:szCs w:val="21"/>
                <w:highlight w:val="none"/>
                <w:u w:val="none"/>
                <w:shd w:val="clear" w:color="auto" w:fill="auto"/>
                <w:lang w:val="zh-TW" w:eastAsia="zh-TW" w:bidi="zh-TW"/>
              </w:rPr>
            </w:pPr>
            <w:r>
              <w:rPr>
                <w:rFonts w:hint="default" w:ascii="宋体" w:hAnsi="宋体" w:eastAsia="宋体" w:cs="宋体"/>
                <w:b w:val="0"/>
                <w:bCs w:val="0"/>
                <w:color w:val="000000"/>
                <w:kern w:val="0"/>
                <w:sz w:val="21"/>
                <w:szCs w:val="21"/>
                <w:highlight w:val="none"/>
                <w:u w:val="none"/>
                <w:shd w:val="clear" w:color="auto" w:fill="auto"/>
                <w:lang w:val="zh-TW" w:eastAsia="zh-TW" w:bidi="zh-TW"/>
              </w:rPr>
              <w:t>名称</w:t>
            </w:r>
          </w:p>
        </w:tc>
        <w:tc>
          <w:tcPr>
            <w:tcW w:w="6120" w:type="dxa"/>
            <w:tcBorders>
              <w:top w:val="single" w:color="auto" w:sz="4" w:space="0"/>
              <w:left w:val="nil"/>
              <w:bottom w:val="single" w:color="auto" w:sz="4" w:space="0"/>
              <w:right w:val="single" w:color="auto" w:sz="4" w:space="0"/>
            </w:tcBorders>
            <w:noWrap w:val="0"/>
            <w:vAlign w:val="center"/>
          </w:tcPr>
          <w:p w14:paraId="4E6B51D2">
            <w:pPr>
              <w:spacing w:before="0" w:after="0" w:line="240" w:lineRule="auto"/>
              <w:ind w:firstLine="0"/>
              <w:jc w:val="center"/>
              <w:rPr>
                <w:rFonts w:hint="default" w:ascii="宋体" w:hAnsi="宋体" w:eastAsia="宋体" w:cs="Times New Roman"/>
                <w:b w:val="0"/>
                <w:bCs w:val="0"/>
                <w:color w:val="000000"/>
                <w:kern w:val="0"/>
                <w:sz w:val="21"/>
                <w:szCs w:val="21"/>
                <w:highlight w:val="none"/>
                <w:u w:val="none"/>
                <w:shd w:val="clear" w:color="auto" w:fill="auto"/>
                <w:lang w:val="zh-TW" w:eastAsia="zh-TW" w:bidi="zh-TW"/>
              </w:rPr>
            </w:pPr>
            <w:r>
              <w:rPr>
                <w:rFonts w:hint="default" w:ascii="宋体" w:hAnsi="宋体" w:eastAsia="宋体" w:cs="宋体"/>
                <w:b w:val="0"/>
                <w:bCs w:val="0"/>
                <w:color w:val="000000"/>
                <w:kern w:val="0"/>
                <w:sz w:val="21"/>
                <w:szCs w:val="21"/>
                <w:highlight w:val="none"/>
                <w:u w:val="none"/>
                <w:shd w:val="clear" w:color="auto" w:fill="auto"/>
                <w:lang w:val="zh-TW" w:eastAsia="zh-TW" w:bidi="zh-TW"/>
              </w:rPr>
              <w:t>标准参数值</w:t>
            </w:r>
          </w:p>
        </w:tc>
      </w:tr>
      <w:tr w14:paraId="2D4752E4">
        <w:tblPrEx>
          <w:tblCellMar>
            <w:top w:w="0" w:type="dxa"/>
            <w:left w:w="108" w:type="dxa"/>
            <w:bottom w:w="0" w:type="dxa"/>
            <w:right w:w="108" w:type="dxa"/>
          </w:tblCellMar>
        </w:tblPrEx>
        <w:trPr>
          <w:trHeight w:val="570" w:hRule="atLeast"/>
        </w:trPr>
        <w:tc>
          <w:tcPr>
            <w:tcW w:w="1080" w:type="dxa"/>
            <w:tcBorders>
              <w:top w:val="nil"/>
              <w:left w:val="single" w:color="auto" w:sz="4" w:space="0"/>
              <w:bottom w:val="single" w:color="auto" w:sz="4" w:space="0"/>
              <w:right w:val="single" w:color="auto" w:sz="4" w:space="0"/>
            </w:tcBorders>
            <w:noWrap/>
            <w:vAlign w:val="center"/>
          </w:tcPr>
          <w:p w14:paraId="55C25719">
            <w:pPr>
              <w:spacing w:before="0" w:after="0" w:line="240" w:lineRule="auto"/>
              <w:ind w:firstLine="0"/>
              <w:jc w:val="center"/>
              <w:rPr>
                <w:rFonts w:hint="default" w:ascii="宋体" w:hAnsi="Times New Roman" w:eastAsia="宋体" w:cs="Times New Roman"/>
                <w:color w:val="000000"/>
                <w:kern w:val="0"/>
                <w:sz w:val="21"/>
                <w:szCs w:val="21"/>
                <w:highlight w:val="none"/>
                <w:u w:val="none"/>
                <w:shd w:val="clear" w:color="auto" w:fill="auto"/>
                <w:lang w:val="zh-TW" w:eastAsia="zh-TW" w:bidi="zh-TW"/>
              </w:rPr>
            </w:pPr>
            <w:r>
              <w:rPr>
                <w:rFonts w:hint="default" w:ascii="宋体" w:hAnsi="宋体" w:eastAsia="宋体" w:cs="宋体"/>
                <w:color w:val="000000"/>
                <w:kern w:val="0"/>
                <w:sz w:val="21"/>
                <w:szCs w:val="21"/>
                <w:highlight w:val="none"/>
                <w:u w:val="none"/>
                <w:shd w:val="clear" w:color="auto" w:fill="auto"/>
                <w:lang w:val="zh-TW" w:eastAsia="zh-TW" w:bidi="zh-TW"/>
              </w:rPr>
              <w:t>1</w:t>
            </w:r>
          </w:p>
        </w:tc>
        <w:tc>
          <w:tcPr>
            <w:tcW w:w="2380" w:type="dxa"/>
            <w:tcBorders>
              <w:top w:val="nil"/>
              <w:left w:val="nil"/>
              <w:bottom w:val="single" w:color="auto" w:sz="4" w:space="0"/>
              <w:right w:val="single" w:color="auto" w:sz="4" w:space="0"/>
            </w:tcBorders>
            <w:noWrap w:val="0"/>
            <w:vAlign w:val="center"/>
          </w:tcPr>
          <w:p w14:paraId="2B85DA03">
            <w:pPr>
              <w:spacing w:before="0" w:after="0" w:line="240" w:lineRule="auto"/>
              <w:ind w:firstLine="0"/>
              <w:jc w:val="center"/>
              <w:rPr>
                <w:rFonts w:hint="default" w:ascii="宋体" w:hAnsi="Times New Roman" w:eastAsia="宋体" w:cs="Times New Roman"/>
                <w:color w:val="000000"/>
                <w:kern w:val="0"/>
                <w:sz w:val="21"/>
                <w:szCs w:val="21"/>
                <w:highlight w:val="none"/>
                <w:u w:val="none"/>
                <w:shd w:val="clear" w:color="auto" w:fill="auto"/>
                <w:lang w:val="zh-TW" w:eastAsia="zh-TW" w:bidi="zh-TW"/>
              </w:rPr>
            </w:pPr>
            <w:r>
              <w:rPr>
                <w:rFonts w:hint="default" w:ascii="宋体" w:hAnsi="宋体" w:eastAsia="宋体" w:cs="宋体"/>
                <w:color w:val="000000"/>
                <w:kern w:val="0"/>
                <w:sz w:val="21"/>
                <w:szCs w:val="21"/>
                <w:highlight w:val="none"/>
                <w:u w:val="none"/>
                <w:shd w:val="clear" w:color="auto" w:fill="auto"/>
                <w:lang w:val="zh-TW" w:eastAsia="zh-TW" w:bidi="zh-TW"/>
              </w:rPr>
              <w:t>主板CPU</w:t>
            </w:r>
          </w:p>
        </w:tc>
        <w:tc>
          <w:tcPr>
            <w:tcW w:w="6120" w:type="dxa"/>
            <w:tcBorders>
              <w:top w:val="nil"/>
              <w:left w:val="nil"/>
              <w:bottom w:val="single" w:color="auto" w:sz="4" w:space="0"/>
              <w:right w:val="single" w:color="auto" w:sz="4" w:space="0"/>
            </w:tcBorders>
            <w:noWrap w:val="0"/>
            <w:vAlign w:val="center"/>
          </w:tcPr>
          <w:p w14:paraId="405E15F9">
            <w:pPr>
              <w:spacing w:before="0" w:after="0" w:line="240" w:lineRule="auto"/>
              <w:ind w:firstLine="0"/>
              <w:jc w:val="center"/>
              <w:rPr>
                <w:rFonts w:hint="default" w:ascii="宋体" w:hAnsi="Times New Roman" w:eastAsia="宋体" w:cs="Times New Roman"/>
                <w:color w:val="000000"/>
                <w:kern w:val="0"/>
                <w:sz w:val="21"/>
                <w:szCs w:val="21"/>
                <w:highlight w:val="none"/>
                <w:u w:val="none"/>
                <w:shd w:val="clear" w:color="auto" w:fill="auto"/>
                <w:lang w:val="zh-TW" w:eastAsia="zh-TW" w:bidi="zh-TW"/>
              </w:rPr>
            </w:pPr>
            <w:r>
              <w:rPr>
                <w:rFonts w:hint="default" w:ascii="宋体" w:hAnsi="宋体" w:eastAsia="宋体" w:cs="宋体"/>
                <w:color w:val="000000"/>
                <w:kern w:val="0"/>
                <w:sz w:val="21"/>
                <w:szCs w:val="21"/>
                <w:highlight w:val="none"/>
                <w:u w:val="none"/>
                <w:shd w:val="clear" w:color="auto" w:fill="auto"/>
                <w:lang w:val="zh-TW" w:eastAsia="zh-TW" w:bidi="zh-TW"/>
              </w:rPr>
              <w:t>国产化工业级，核数≥4核，主频≥1.6GHz；</w:t>
            </w:r>
          </w:p>
        </w:tc>
      </w:tr>
      <w:tr w14:paraId="7B83E18D">
        <w:tblPrEx>
          <w:tblCellMar>
            <w:top w:w="0" w:type="dxa"/>
            <w:left w:w="108" w:type="dxa"/>
            <w:bottom w:w="0" w:type="dxa"/>
            <w:right w:w="108" w:type="dxa"/>
          </w:tblCellMar>
        </w:tblPrEx>
        <w:trPr>
          <w:trHeight w:val="570" w:hRule="atLeast"/>
        </w:trPr>
        <w:tc>
          <w:tcPr>
            <w:tcW w:w="1080" w:type="dxa"/>
            <w:tcBorders>
              <w:top w:val="nil"/>
              <w:left w:val="single" w:color="auto" w:sz="4" w:space="0"/>
              <w:bottom w:val="single" w:color="auto" w:sz="4" w:space="0"/>
              <w:right w:val="single" w:color="auto" w:sz="4" w:space="0"/>
            </w:tcBorders>
            <w:noWrap/>
            <w:vAlign w:val="center"/>
          </w:tcPr>
          <w:p w14:paraId="23996837">
            <w:pPr>
              <w:spacing w:before="0" w:after="0" w:line="240" w:lineRule="auto"/>
              <w:ind w:firstLine="0"/>
              <w:jc w:val="center"/>
              <w:rPr>
                <w:rFonts w:hint="default" w:ascii="宋体" w:hAnsi="Times New Roman" w:eastAsia="宋体" w:cs="Times New Roman"/>
                <w:color w:val="000000"/>
                <w:kern w:val="0"/>
                <w:sz w:val="21"/>
                <w:szCs w:val="21"/>
                <w:highlight w:val="none"/>
                <w:u w:val="none"/>
                <w:shd w:val="clear" w:color="auto" w:fill="auto"/>
                <w:lang w:val="zh-TW" w:eastAsia="zh-TW" w:bidi="zh-TW"/>
              </w:rPr>
            </w:pPr>
            <w:r>
              <w:rPr>
                <w:rFonts w:hint="default" w:ascii="宋体" w:hAnsi="宋体" w:eastAsia="宋体" w:cs="宋体"/>
                <w:color w:val="000000"/>
                <w:kern w:val="0"/>
                <w:sz w:val="21"/>
                <w:szCs w:val="21"/>
                <w:highlight w:val="none"/>
                <w:u w:val="none"/>
                <w:shd w:val="clear" w:color="auto" w:fill="auto"/>
                <w:lang w:val="zh-TW" w:eastAsia="zh-TW" w:bidi="zh-TW"/>
              </w:rPr>
              <w:t>2</w:t>
            </w:r>
          </w:p>
        </w:tc>
        <w:tc>
          <w:tcPr>
            <w:tcW w:w="2380" w:type="dxa"/>
            <w:tcBorders>
              <w:top w:val="nil"/>
              <w:left w:val="nil"/>
              <w:bottom w:val="single" w:color="auto" w:sz="4" w:space="0"/>
              <w:right w:val="single" w:color="auto" w:sz="4" w:space="0"/>
            </w:tcBorders>
            <w:noWrap w:val="0"/>
            <w:vAlign w:val="center"/>
          </w:tcPr>
          <w:p w14:paraId="4344ADBB">
            <w:pPr>
              <w:spacing w:before="0" w:after="0" w:line="240" w:lineRule="auto"/>
              <w:ind w:firstLine="0"/>
              <w:jc w:val="center"/>
              <w:rPr>
                <w:rFonts w:hint="default" w:ascii="宋体" w:hAnsi="Times New Roman" w:eastAsia="宋体" w:cs="Times New Roman"/>
                <w:color w:val="000000"/>
                <w:kern w:val="0"/>
                <w:sz w:val="21"/>
                <w:szCs w:val="21"/>
                <w:highlight w:val="none"/>
                <w:u w:val="none"/>
                <w:shd w:val="clear" w:color="auto" w:fill="auto"/>
                <w:lang w:val="zh-TW" w:eastAsia="zh-TW" w:bidi="zh-TW"/>
              </w:rPr>
            </w:pPr>
            <w:r>
              <w:rPr>
                <w:rFonts w:hint="default" w:ascii="宋体" w:hAnsi="宋体" w:eastAsia="宋体" w:cs="宋体"/>
                <w:color w:val="000000"/>
                <w:kern w:val="0"/>
                <w:sz w:val="21"/>
                <w:szCs w:val="21"/>
                <w:highlight w:val="none"/>
                <w:u w:val="none"/>
                <w:shd w:val="clear" w:color="auto" w:fill="auto"/>
                <w:lang w:val="zh-TW" w:eastAsia="zh-TW" w:bidi="zh-TW"/>
              </w:rPr>
              <w:t>主板内存</w:t>
            </w:r>
          </w:p>
        </w:tc>
        <w:tc>
          <w:tcPr>
            <w:tcW w:w="6120" w:type="dxa"/>
            <w:tcBorders>
              <w:top w:val="nil"/>
              <w:left w:val="nil"/>
              <w:bottom w:val="single" w:color="auto" w:sz="4" w:space="0"/>
              <w:right w:val="single" w:color="auto" w:sz="4" w:space="0"/>
            </w:tcBorders>
            <w:noWrap w:val="0"/>
            <w:vAlign w:val="center"/>
          </w:tcPr>
          <w:p w14:paraId="64D8B280">
            <w:pPr>
              <w:spacing w:before="0" w:after="0" w:line="240" w:lineRule="auto"/>
              <w:ind w:firstLine="0"/>
              <w:jc w:val="center"/>
              <w:rPr>
                <w:rFonts w:hint="default" w:ascii="宋体" w:hAnsi="Times New Roman" w:eastAsia="宋体" w:cs="Times New Roman"/>
                <w:color w:val="000000"/>
                <w:kern w:val="0"/>
                <w:sz w:val="21"/>
                <w:szCs w:val="21"/>
                <w:highlight w:val="none"/>
                <w:u w:val="none"/>
                <w:shd w:val="clear" w:color="auto" w:fill="auto"/>
                <w:lang w:val="zh-TW" w:eastAsia="zh-TW" w:bidi="zh-TW"/>
              </w:rPr>
            </w:pPr>
            <w:r>
              <w:rPr>
                <w:rFonts w:hint="default" w:ascii="宋体" w:hAnsi="宋体" w:eastAsia="宋体" w:cs="宋体"/>
                <w:color w:val="000000"/>
                <w:kern w:val="0"/>
                <w:sz w:val="21"/>
                <w:szCs w:val="21"/>
                <w:highlight w:val="none"/>
                <w:u w:val="none"/>
                <w:shd w:val="clear" w:color="auto" w:fill="auto"/>
                <w:lang w:val="zh-TW" w:eastAsia="zh-TW" w:bidi="zh-TW"/>
              </w:rPr>
              <w:t>国产化，容量≥1GB；</w:t>
            </w:r>
          </w:p>
        </w:tc>
      </w:tr>
      <w:tr w14:paraId="3D43841D">
        <w:tblPrEx>
          <w:tblCellMar>
            <w:top w:w="0" w:type="dxa"/>
            <w:left w:w="108" w:type="dxa"/>
            <w:bottom w:w="0" w:type="dxa"/>
            <w:right w:w="108" w:type="dxa"/>
          </w:tblCellMar>
        </w:tblPrEx>
        <w:trPr>
          <w:trHeight w:val="570" w:hRule="atLeast"/>
        </w:trPr>
        <w:tc>
          <w:tcPr>
            <w:tcW w:w="1080" w:type="dxa"/>
            <w:tcBorders>
              <w:top w:val="single" w:color="auto" w:sz="4" w:space="0"/>
              <w:left w:val="single" w:color="auto" w:sz="4" w:space="0"/>
              <w:bottom w:val="single" w:color="auto" w:sz="4" w:space="0"/>
              <w:right w:val="single" w:color="auto" w:sz="4" w:space="0"/>
            </w:tcBorders>
            <w:noWrap/>
            <w:vAlign w:val="center"/>
          </w:tcPr>
          <w:p w14:paraId="0564962C">
            <w:pPr>
              <w:spacing w:before="0" w:after="0" w:line="240" w:lineRule="auto"/>
              <w:ind w:firstLine="0"/>
              <w:jc w:val="center"/>
              <w:rPr>
                <w:rFonts w:hint="default" w:ascii="宋体" w:hAnsi="Times New Roman" w:eastAsia="宋体" w:cs="Times New Roman"/>
                <w:color w:val="000000"/>
                <w:kern w:val="0"/>
                <w:sz w:val="21"/>
                <w:szCs w:val="21"/>
                <w:highlight w:val="none"/>
                <w:u w:val="none"/>
                <w:shd w:val="clear" w:color="auto" w:fill="auto"/>
                <w:lang w:val="zh-TW" w:eastAsia="zh-TW" w:bidi="zh-TW"/>
              </w:rPr>
            </w:pPr>
            <w:r>
              <w:rPr>
                <w:rFonts w:hint="default" w:ascii="宋体" w:hAnsi="宋体" w:eastAsia="宋体" w:cs="宋体"/>
                <w:color w:val="000000"/>
                <w:kern w:val="0"/>
                <w:sz w:val="21"/>
                <w:szCs w:val="21"/>
                <w:highlight w:val="none"/>
                <w:u w:val="none"/>
                <w:shd w:val="clear" w:color="auto" w:fill="auto"/>
                <w:lang w:val="zh-TW" w:eastAsia="zh-TW" w:bidi="zh-TW"/>
              </w:rPr>
              <w:t>3</w:t>
            </w:r>
          </w:p>
        </w:tc>
        <w:tc>
          <w:tcPr>
            <w:tcW w:w="2380" w:type="dxa"/>
            <w:tcBorders>
              <w:top w:val="single" w:color="auto" w:sz="4" w:space="0"/>
              <w:left w:val="single" w:color="auto" w:sz="4" w:space="0"/>
              <w:bottom w:val="single" w:color="auto" w:sz="4" w:space="0"/>
              <w:right w:val="single" w:color="auto" w:sz="4" w:space="0"/>
            </w:tcBorders>
            <w:noWrap w:val="0"/>
            <w:vAlign w:val="center"/>
          </w:tcPr>
          <w:p w14:paraId="6652F178">
            <w:pPr>
              <w:spacing w:before="0" w:after="0" w:line="240" w:lineRule="auto"/>
              <w:ind w:firstLine="0"/>
              <w:jc w:val="center"/>
              <w:rPr>
                <w:rFonts w:hint="default" w:ascii="宋体" w:hAnsi="Times New Roman" w:eastAsia="宋体" w:cs="Times New Roman"/>
                <w:color w:val="000000"/>
                <w:kern w:val="0"/>
                <w:sz w:val="21"/>
                <w:szCs w:val="21"/>
                <w:highlight w:val="none"/>
                <w:u w:val="none"/>
                <w:shd w:val="clear" w:color="auto" w:fill="auto"/>
                <w:lang w:val="zh-TW" w:eastAsia="zh-TW" w:bidi="zh-TW"/>
              </w:rPr>
            </w:pPr>
            <w:r>
              <w:rPr>
                <w:rFonts w:hint="default" w:ascii="宋体" w:hAnsi="宋体" w:eastAsia="宋体" w:cs="宋体"/>
                <w:color w:val="000000"/>
                <w:kern w:val="0"/>
                <w:sz w:val="21"/>
                <w:szCs w:val="21"/>
                <w:highlight w:val="none"/>
                <w:u w:val="none"/>
                <w:shd w:val="clear" w:color="auto" w:fill="auto"/>
                <w:lang w:val="zh-TW" w:eastAsia="zh-TW" w:bidi="zh-TW"/>
              </w:rPr>
              <w:t>主板硬盘</w:t>
            </w:r>
          </w:p>
        </w:tc>
        <w:tc>
          <w:tcPr>
            <w:tcW w:w="6120" w:type="dxa"/>
            <w:tcBorders>
              <w:top w:val="single" w:color="auto" w:sz="4" w:space="0"/>
              <w:left w:val="single" w:color="auto" w:sz="4" w:space="0"/>
              <w:bottom w:val="single" w:color="auto" w:sz="4" w:space="0"/>
              <w:right w:val="single" w:color="auto" w:sz="4" w:space="0"/>
            </w:tcBorders>
            <w:noWrap w:val="0"/>
            <w:vAlign w:val="center"/>
          </w:tcPr>
          <w:p w14:paraId="44EF8484">
            <w:pPr>
              <w:spacing w:before="0" w:after="0" w:line="240" w:lineRule="auto"/>
              <w:ind w:firstLine="0"/>
              <w:jc w:val="center"/>
              <w:rPr>
                <w:rFonts w:hint="default" w:ascii="宋体" w:hAnsi="Times New Roman" w:eastAsia="宋体" w:cs="Times New Roman"/>
                <w:color w:val="000000"/>
                <w:kern w:val="0"/>
                <w:sz w:val="21"/>
                <w:szCs w:val="21"/>
                <w:highlight w:val="none"/>
                <w:u w:val="none"/>
                <w:shd w:val="clear" w:color="auto" w:fill="auto"/>
                <w:lang w:val="zh-TW" w:eastAsia="zh-TW" w:bidi="zh-TW"/>
              </w:rPr>
            </w:pPr>
            <w:r>
              <w:rPr>
                <w:rFonts w:hint="default" w:ascii="宋体" w:hAnsi="宋体" w:eastAsia="宋体" w:cs="宋体"/>
                <w:color w:val="000000"/>
                <w:kern w:val="0"/>
                <w:sz w:val="21"/>
                <w:szCs w:val="21"/>
                <w:highlight w:val="none"/>
                <w:u w:val="none"/>
                <w:shd w:val="clear" w:color="auto" w:fill="auto"/>
                <w:lang w:val="zh-TW" w:eastAsia="zh-TW" w:bidi="zh-TW"/>
              </w:rPr>
              <w:t>国产化，容量≥8GB；</w:t>
            </w:r>
          </w:p>
        </w:tc>
      </w:tr>
      <w:tr w14:paraId="450447D8">
        <w:tblPrEx>
          <w:tblCellMar>
            <w:top w:w="0" w:type="dxa"/>
            <w:left w:w="108" w:type="dxa"/>
            <w:bottom w:w="0" w:type="dxa"/>
            <w:right w:w="108" w:type="dxa"/>
          </w:tblCellMar>
        </w:tblPrEx>
        <w:trPr>
          <w:trHeight w:val="570" w:hRule="atLeast"/>
        </w:trPr>
        <w:tc>
          <w:tcPr>
            <w:tcW w:w="1080" w:type="dxa"/>
            <w:tcBorders>
              <w:top w:val="single" w:color="auto" w:sz="4" w:space="0"/>
              <w:left w:val="single" w:color="auto" w:sz="4" w:space="0"/>
              <w:bottom w:val="single" w:color="auto" w:sz="4" w:space="0"/>
              <w:right w:val="single" w:color="auto" w:sz="4" w:space="0"/>
            </w:tcBorders>
            <w:noWrap/>
            <w:vAlign w:val="center"/>
          </w:tcPr>
          <w:p w14:paraId="5B730598">
            <w:pPr>
              <w:spacing w:before="0" w:after="0" w:line="240" w:lineRule="auto"/>
              <w:ind w:firstLine="0"/>
              <w:jc w:val="center"/>
              <w:rPr>
                <w:rFonts w:hint="default" w:ascii="宋体" w:hAnsi="Times New Roman" w:eastAsia="宋体" w:cs="Times New Roman"/>
                <w:color w:val="000000"/>
                <w:kern w:val="0"/>
                <w:sz w:val="21"/>
                <w:szCs w:val="21"/>
                <w:highlight w:val="none"/>
                <w:u w:val="none"/>
                <w:shd w:val="clear" w:color="auto" w:fill="auto"/>
                <w:lang w:val="zh-TW" w:eastAsia="zh-TW" w:bidi="zh-TW"/>
              </w:rPr>
            </w:pPr>
            <w:r>
              <w:rPr>
                <w:rFonts w:hint="default" w:ascii="宋体" w:hAnsi="宋体" w:eastAsia="宋体" w:cs="宋体"/>
                <w:color w:val="000000"/>
                <w:kern w:val="0"/>
                <w:sz w:val="21"/>
                <w:szCs w:val="21"/>
                <w:highlight w:val="none"/>
                <w:u w:val="none"/>
                <w:shd w:val="clear" w:color="auto" w:fill="auto"/>
                <w:lang w:val="zh-TW" w:eastAsia="zh-TW" w:bidi="zh-TW"/>
              </w:rPr>
              <w:t>4</w:t>
            </w:r>
          </w:p>
        </w:tc>
        <w:tc>
          <w:tcPr>
            <w:tcW w:w="2380" w:type="dxa"/>
            <w:vMerge w:val="restart"/>
            <w:tcBorders>
              <w:top w:val="single" w:color="auto" w:sz="4" w:space="0"/>
              <w:left w:val="single" w:color="auto" w:sz="4" w:space="0"/>
              <w:right w:val="single" w:color="auto" w:sz="4" w:space="0"/>
            </w:tcBorders>
            <w:noWrap w:val="0"/>
            <w:vAlign w:val="center"/>
          </w:tcPr>
          <w:p w14:paraId="6B516409">
            <w:pPr>
              <w:spacing w:before="0" w:after="0" w:line="240" w:lineRule="auto"/>
              <w:ind w:firstLine="0"/>
              <w:jc w:val="center"/>
              <w:rPr>
                <w:rFonts w:hint="default" w:ascii="宋体" w:hAnsi="Times New Roman" w:eastAsia="宋体" w:cs="Times New Roman"/>
                <w:color w:val="000000"/>
                <w:kern w:val="0"/>
                <w:sz w:val="21"/>
                <w:szCs w:val="21"/>
                <w:highlight w:val="none"/>
                <w:u w:val="none"/>
                <w:shd w:val="clear" w:color="auto" w:fill="auto"/>
                <w:lang w:val="zh-TW" w:eastAsia="zh-TW" w:bidi="zh-TW"/>
              </w:rPr>
            </w:pPr>
            <w:r>
              <w:rPr>
                <w:rFonts w:hint="default" w:ascii="宋体" w:hAnsi="宋体" w:eastAsia="宋体" w:cs="宋体"/>
                <w:color w:val="000000"/>
                <w:kern w:val="0"/>
                <w:sz w:val="21"/>
                <w:szCs w:val="21"/>
                <w:highlight w:val="none"/>
                <w:u w:val="none"/>
                <w:shd w:val="clear" w:color="auto" w:fill="auto"/>
                <w:lang w:val="zh-TW" w:eastAsia="zh-TW" w:bidi="zh-TW"/>
              </w:rPr>
              <w:t>主板接口</w:t>
            </w:r>
          </w:p>
        </w:tc>
        <w:tc>
          <w:tcPr>
            <w:tcW w:w="6120" w:type="dxa"/>
            <w:tcBorders>
              <w:top w:val="single" w:color="auto" w:sz="4" w:space="0"/>
              <w:left w:val="single" w:color="auto" w:sz="4" w:space="0"/>
              <w:bottom w:val="single" w:color="auto" w:sz="4" w:space="0"/>
              <w:right w:val="single" w:color="auto" w:sz="4" w:space="0"/>
            </w:tcBorders>
            <w:noWrap w:val="0"/>
            <w:vAlign w:val="center"/>
          </w:tcPr>
          <w:p w14:paraId="66F7F57E">
            <w:pPr>
              <w:spacing w:before="0" w:after="0" w:line="240" w:lineRule="auto"/>
              <w:ind w:firstLine="0"/>
              <w:jc w:val="center"/>
              <w:rPr>
                <w:rFonts w:hint="default" w:ascii="宋体" w:hAnsi="Times New Roman" w:eastAsia="宋体" w:cs="Times New Roman"/>
                <w:color w:val="000000"/>
                <w:kern w:val="0"/>
                <w:sz w:val="21"/>
                <w:szCs w:val="21"/>
                <w:highlight w:val="none"/>
                <w:u w:val="none"/>
                <w:shd w:val="clear" w:color="auto" w:fill="auto"/>
                <w:lang w:val="zh-TW" w:eastAsia="zh-TW" w:bidi="zh-TW"/>
              </w:rPr>
            </w:pPr>
            <w:r>
              <w:rPr>
                <w:rFonts w:hint="default" w:ascii="宋体" w:hAnsi="宋体" w:eastAsia="宋体" w:cs="宋体"/>
                <w:color w:val="000000"/>
                <w:kern w:val="0"/>
                <w:sz w:val="21"/>
                <w:szCs w:val="21"/>
                <w:highlight w:val="none"/>
                <w:u w:val="none"/>
                <w:shd w:val="clear" w:color="auto" w:fill="auto"/>
                <w:lang w:val="zh-TW" w:eastAsia="zh-TW" w:bidi="zh-TW"/>
              </w:rPr>
              <w:t>支持至少4路隔离型RS485接口；</w:t>
            </w:r>
          </w:p>
        </w:tc>
      </w:tr>
      <w:tr w14:paraId="698EAD9E">
        <w:tblPrEx>
          <w:tblCellMar>
            <w:top w:w="0" w:type="dxa"/>
            <w:left w:w="108" w:type="dxa"/>
            <w:bottom w:w="0" w:type="dxa"/>
            <w:right w:w="108" w:type="dxa"/>
          </w:tblCellMar>
        </w:tblPrEx>
        <w:trPr>
          <w:trHeight w:val="570" w:hRule="atLeast"/>
        </w:trPr>
        <w:tc>
          <w:tcPr>
            <w:tcW w:w="1080" w:type="dxa"/>
            <w:tcBorders>
              <w:top w:val="single" w:color="auto" w:sz="4" w:space="0"/>
              <w:left w:val="single" w:color="auto" w:sz="4" w:space="0"/>
              <w:bottom w:val="single" w:color="auto" w:sz="4" w:space="0"/>
              <w:right w:val="single" w:color="auto" w:sz="4" w:space="0"/>
            </w:tcBorders>
            <w:noWrap/>
            <w:vAlign w:val="center"/>
          </w:tcPr>
          <w:p w14:paraId="562EA1A4">
            <w:pPr>
              <w:spacing w:before="0" w:after="0" w:line="240" w:lineRule="auto"/>
              <w:ind w:firstLine="0"/>
              <w:jc w:val="center"/>
              <w:rPr>
                <w:rFonts w:hint="default" w:ascii="宋体" w:hAnsi="Times New Roman" w:eastAsia="宋体" w:cs="Times New Roman"/>
                <w:color w:val="000000"/>
                <w:kern w:val="0"/>
                <w:sz w:val="21"/>
                <w:szCs w:val="21"/>
                <w:highlight w:val="none"/>
                <w:u w:val="none"/>
                <w:shd w:val="clear" w:color="auto" w:fill="auto"/>
                <w:lang w:val="zh-TW" w:eastAsia="zh-TW" w:bidi="zh-TW"/>
              </w:rPr>
            </w:pPr>
            <w:r>
              <w:rPr>
                <w:rFonts w:hint="default" w:ascii="宋体" w:hAnsi="宋体" w:eastAsia="宋体" w:cs="宋体"/>
                <w:color w:val="000000"/>
                <w:kern w:val="0"/>
                <w:sz w:val="21"/>
                <w:szCs w:val="21"/>
                <w:highlight w:val="none"/>
                <w:u w:val="none"/>
                <w:shd w:val="clear" w:color="auto" w:fill="auto"/>
                <w:lang w:val="zh-TW" w:eastAsia="zh-TW" w:bidi="zh-TW"/>
              </w:rPr>
              <w:t>5</w:t>
            </w:r>
          </w:p>
        </w:tc>
        <w:tc>
          <w:tcPr>
            <w:tcW w:w="2380" w:type="dxa"/>
            <w:vMerge w:val="continue"/>
            <w:tcBorders>
              <w:left w:val="single" w:color="auto" w:sz="4" w:space="0"/>
              <w:right w:val="single" w:color="auto" w:sz="4" w:space="0"/>
            </w:tcBorders>
            <w:noWrap w:val="0"/>
            <w:vAlign w:val="center"/>
          </w:tcPr>
          <w:p w14:paraId="0087C9A5">
            <w:pPr>
              <w:spacing w:before="0" w:after="0" w:line="240" w:lineRule="auto"/>
              <w:ind w:firstLine="0"/>
              <w:jc w:val="center"/>
              <w:rPr>
                <w:rFonts w:hint="default" w:ascii="宋体" w:hAnsi="Times New Roman" w:eastAsia="宋体" w:cs="Times New Roman"/>
                <w:color w:val="000000"/>
                <w:kern w:val="0"/>
                <w:sz w:val="21"/>
                <w:szCs w:val="21"/>
                <w:highlight w:val="none"/>
                <w:u w:val="none"/>
                <w:shd w:val="clear" w:color="auto" w:fill="auto"/>
                <w:lang w:val="zh-TW" w:eastAsia="zh-TW" w:bidi="zh-TW"/>
              </w:rPr>
            </w:pPr>
          </w:p>
        </w:tc>
        <w:tc>
          <w:tcPr>
            <w:tcW w:w="6120" w:type="dxa"/>
            <w:tcBorders>
              <w:top w:val="single" w:color="auto" w:sz="4" w:space="0"/>
              <w:left w:val="single" w:color="auto" w:sz="4" w:space="0"/>
              <w:bottom w:val="single" w:color="auto" w:sz="4" w:space="0"/>
              <w:right w:val="single" w:color="auto" w:sz="4" w:space="0"/>
            </w:tcBorders>
            <w:noWrap w:val="0"/>
            <w:vAlign w:val="center"/>
          </w:tcPr>
          <w:p w14:paraId="33491C11">
            <w:pPr>
              <w:spacing w:before="0" w:after="0" w:line="240" w:lineRule="auto"/>
              <w:ind w:firstLine="0"/>
              <w:jc w:val="center"/>
              <w:rPr>
                <w:rFonts w:hint="default" w:ascii="宋体" w:hAnsi="Times New Roman" w:eastAsia="宋体" w:cs="Times New Roman"/>
                <w:color w:val="000000"/>
                <w:kern w:val="0"/>
                <w:sz w:val="21"/>
                <w:szCs w:val="21"/>
                <w:highlight w:val="none"/>
                <w:u w:val="none"/>
                <w:shd w:val="clear" w:color="auto" w:fill="auto"/>
                <w:lang w:val="zh-TW" w:eastAsia="zh-TW" w:bidi="zh-TW"/>
              </w:rPr>
            </w:pPr>
            <w:r>
              <w:rPr>
                <w:rFonts w:hint="default" w:ascii="宋体" w:hAnsi="宋体" w:eastAsia="宋体" w:cs="宋体"/>
                <w:color w:val="000000"/>
                <w:kern w:val="0"/>
                <w:sz w:val="21"/>
                <w:szCs w:val="21"/>
                <w:highlight w:val="none"/>
                <w:u w:val="none"/>
                <w:shd w:val="clear" w:color="auto" w:fill="auto"/>
                <w:lang w:val="zh-TW" w:eastAsia="zh-TW" w:bidi="zh-TW"/>
              </w:rPr>
              <w:t>支持至少4路DI接口；</w:t>
            </w:r>
          </w:p>
        </w:tc>
      </w:tr>
      <w:tr w14:paraId="56F84745">
        <w:tblPrEx>
          <w:tblCellMar>
            <w:top w:w="0" w:type="dxa"/>
            <w:left w:w="108" w:type="dxa"/>
            <w:bottom w:w="0" w:type="dxa"/>
            <w:right w:w="108" w:type="dxa"/>
          </w:tblCellMar>
        </w:tblPrEx>
        <w:trPr>
          <w:trHeight w:val="570" w:hRule="atLeast"/>
        </w:trPr>
        <w:tc>
          <w:tcPr>
            <w:tcW w:w="1080" w:type="dxa"/>
            <w:tcBorders>
              <w:top w:val="single" w:color="auto" w:sz="4" w:space="0"/>
              <w:left w:val="single" w:color="auto" w:sz="4" w:space="0"/>
              <w:bottom w:val="single" w:color="auto" w:sz="4" w:space="0"/>
              <w:right w:val="single" w:color="auto" w:sz="4" w:space="0"/>
            </w:tcBorders>
            <w:noWrap/>
            <w:vAlign w:val="center"/>
          </w:tcPr>
          <w:p w14:paraId="381246AA">
            <w:pPr>
              <w:spacing w:before="0" w:after="0" w:line="240" w:lineRule="auto"/>
              <w:ind w:firstLine="0"/>
              <w:jc w:val="center"/>
              <w:rPr>
                <w:rFonts w:hint="default" w:ascii="宋体" w:hAnsi="Times New Roman" w:eastAsia="宋体" w:cs="Times New Roman"/>
                <w:color w:val="000000"/>
                <w:kern w:val="0"/>
                <w:sz w:val="21"/>
                <w:szCs w:val="21"/>
                <w:highlight w:val="none"/>
                <w:u w:val="none"/>
                <w:shd w:val="clear" w:color="auto" w:fill="auto"/>
                <w:lang w:val="zh-TW" w:eastAsia="zh-TW" w:bidi="zh-TW"/>
              </w:rPr>
            </w:pPr>
            <w:r>
              <w:rPr>
                <w:rFonts w:hint="default" w:ascii="宋体" w:hAnsi="宋体" w:eastAsia="宋体" w:cs="宋体"/>
                <w:color w:val="000000"/>
                <w:kern w:val="0"/>
                <w:sz w:val="21"/>
                <w:szCs w:val="21"/>
                <w:highlight w:val="none"/>
                <w:u w:val="none"/>
                <w:shd w:val="clear" w:color="auto" w:fill="auto"/>
                <w:lang w:val="zh-TW" w:eastAsia="zh-TW" w:bidi="zh-TW"/>
              </w:rPr>
              <w:t>6</w:t>
            </w:r>
          </w:p>
        </w:tc>
        <w:tc>
          <w:tcPr>
            <w:tcW w:w="2380" w:type="dxa"/>
            <w:vMerge w:val="continue"/>
            <w:tcBorders>
              <w:left w:val="single" w:color="auto" w:sz="4" w:space="0"/>
              <w:bottom w:val="single" w:color="auto" w:sz="4" w:space="0"/>
              <w:right w:val="single" w:color="auto" w:sz="4" w:space="0"/>
            </w:tcBorders>
            <w:noWrap w:val="0"/>
            <w:vAlign w:val="center"/>
          </w:tcPr>
          <w:p w14:paraId="1C1B8AC0">
            <w:pPr>
              <w:spacing w:before="0" w:after="0" w:line="240" w:lineRule="auto"/>
              <w:ind w:firstLine="0"/>
              <w:jc w:val="center"/>
              <w:rPr>
                <w:rFonts w:hint="default" w:ascii="宋体" w:hAnsi="Times New Roman" w:eastAsia="宋体" w:cs="Times New Roman"/>
                <w:color w:val="000000"/>
                <w:kern w:val="0"/>
                <w:sz w:val="21"/>
                <w:szCs w:val="21"/>
                <w:highlight w:val="none"/>
                <w:u w:val="none"/>
                <w:shd w:val="clear" w:color="auto" w:fill="auto"/>
                <w:lang w:val="zh-TW" w:eastAsia="zh-TW" w:bidi="zh-TW"/>
              </w:rPr>
            </w:pPr>
          </w:p>
        </w:tc>
        <w:tc>
          <w:tcPr>
            <w:tcW w:w="6120" w:type="dxa"/>
            <w:tcBorders>
              <w:top w:val="single" w:color="auto" w:sz="4" w:space="0"/>
              <w:left w:val="single" w:color="auto" w:sz="4" w:space="0"/>
              <w:bottom w:val="single" w:color="auto" w:sz="4" w:space="0"/>
              <w:right w:val="single" w:color="auto" w:sz="4" w:space="0"/>
            </w:tcBorders>
            <w:noWrap w:val="0"/>
            <w:vAlign w:val="center"/>
          </w:tcPr>
          <w:p w14:paraId="03ABE2D2">
            <w:pPr>
              <w:spacing w:before="0" w:after="0" w:line="240" w:lineRule="auto"/>
              <w:ind w:firstLine="0"/>
              <w:jc w:val="center"/>
              <w:rPr>
                <w:rFonts w:hint="default" w:ascii="宋体" w:hAnsi="Times New Roman" w:eastAsia="宋体" w:cs="Times New Roman"/>
                <w:color w:val="000000"/>
                <w:kern w:val="0"/>
                <w:sz w:val="21"/>
                <w:szCs w:val="21"/>
                <w:highlight w:val="none"/>
                <w:u w:val="none"/>
                <w:shd w:val="clear" w:color="auto" w:fill="auto"/>
                <w:lang w:val="zh-TW" w:eastAsia="zh-TW" w:bidi="zh-TW"/>
              </w:rPr>
            </w:pPr>
            <w:r>
              <w:rPr>
                <w:rFonts w:hint="default" w:ascii="宋体" w:hAnsi="宋体" w:eastAsia="宋体" w:cs="宋体"/>
                <w:color w:val="000000"/>
                <w:kern w:val="0"/>
                <w:sz w:val="21"/>
                <w:szCs w:val="21"/>
                <w:highlight w:val="none"/>
                <w:u w:val="none"/>
                <w:shd w:val="clear" w:color="auto" w:fill="auto"/>
                <w:lang w:val="zh-TW" w:eastAsia="zh-TW" w:bidi="zh-TW"/>
              </w:rPr>
              <w:t>支持至少4路DO接口；</w:t>
            </w:r>
          </w:p>
        </w:tc>
      </w:tr>
    </w:tbl>
    <w:p w14:paraId="22CEF851">
      <w:pPr>
        <w:numPr>
          <w:ilvl w:val="-1"/>
          <w:numId w:val="0"/>
        </w:numPr>
        <w:spacing w:line="360" w:lineRule="auto"/>
        <w:ind w:left="0" w:firstLine="0"/>
        <w:rPr>
          <w:rFonts w:hint="eastAsia" w:ascii="Times New Roman" w:hAnsi="Times New Roman" w:eastAsia="宋体" w:cs="Times New Roman"/>
          <w:b w:val="0"/>
          <w:snapToGrid w:val="0"/>
          <w:sz w:val="21"/>
          <w:szCs w:val="21"/>
          <w:highlight w:val="none"/>
          <w:lang w:val="zh-TW" w:eastAsia="zh-TW" w:bidi="zh-TW"/>
        </w:rPr>
      </w:pPr>
    </w:p>
    <w:p w14:paraId="1EAED8F5">
      <w:pPr>
        <w:numPr>
          <w:ilvl w:val="0"/>
          <w:numId w:val="23"/>
        </w:numPr>
        <w:spacing w:line="360" w:lineRule="auto"/>
        <w:ind w:left="340"/>
        <w:rPr>
          <w:rFonts w:hint="eastAsia" w:ascii="Times New Roman" w:hAnsi="Times New Roman" w:eastAsia="宋体" w:cs="Times New Roman"/>
          <w:b w:val="0"/>
          <w:snapToGrid w:val="0"/>
          <w:color w:val="auto"/>
          <w:sz w:val="21"/>
          <w:szCs w:val="21"/>
          <w:highlight w:val="none"/>
          <w:lang w:val="zh-TW" w:eastAsia="zh-TW" w:bidi="zh-TW"/>
        </w:rPr>
      </w:pPr>
      <w:r>
        <w:rPr>
          <w:rFonts w:hint="eastAsia" w:ascii="Times New Roman" w:hAnsi="Times New Roman" w:eastAsia="宋体" w:cs="Times New Roman"/>
          <w:b w:val="0"/>
          <w:snapToGrid w:val="0"/>
          <w:color w:val="auto"/>
          <w:sz w:val="21"/>
          <w:szCs w:val="21"/>
          <w:highlight w:val="none"/>
          <w:lang w:val="zh-TW" w:eastAsia="zh-TW" w:bidi="zh-TW"/>
        </w:rPr>
        <w:t>电鸿化</w:t>
      </w:r>
      <w:r>
        <w:rPr>
          <w:rFonts w:hint="eastAsia" w:cs="Times New Roman"/>
          <w:b w:val="0"/>
          <w:snapToGrid w:val="0"/>
          <w:sz w:val="21"/>
          <w:szCs w:val="21"/>
          <w:highlight w:val="none"/>
          <w:lang w:val="en-US" w:eastAsia="zh-CN" w:bidi="zh-TW"/>
        </w:rPr>
        <w:t>要求</w:t>
      </w:r>
    </w:p>
    <w:p w14:paraId="5EFCB605">
      <w:pPr>
        <w:numPr>
          <w:ilvl w:val="0"/>
          <w:numId w:val="0"/>
        </w:numPr>
        <w:spacing w:line="360" w:lineRule="auto"/>
        <w:ind w:firstLine="420" w:firstLineChars="200"/>
      </w:pPr>
      <w:r>
        <w:rPr>
          <w:rFonts w:hint="eastAsia" w:ascii="Times New Roman" w:hAnsi="Times New Roman" w:eastAsia="宋体" w:cs="Times New Roman"/>
          <w:snapToGrid w:val="0"/>
          <w:color w:val="000000"/>
          <w:sz w:val="21"/>
          <w:szCs w:val="21"/>
          <w:highlight w:val="none"/>
          <w:u w:val="none"/>
          <w:shd w:val="clear" w:color="auto" w:fill="auto"/>
          <w:lang w:val="zh-TW" w:eastAsia="zh-TW" w:bidi="zh-TW"/>
        </w:rPr>
        <w:t>投标方提供的设备</w:t>
      </w:r>
      <w:r>
        <w:rPr>
          <w:rFonts w:hint="eastAsia" w:cs="Times New Roman"/>
          <w:snapToGrid w:val="0"/>
          <w:color w:val="000000"/>
          <w:sz w:val="21"/>
          <w:szCs w:val="21"/>
          <w:highlight w:val="none"/>
          <w:u w:val="none"/>
          <w:shd w:val="clear" w:color="auto" w:fill="auto"/>
          <w:lang w:val="en-US" w:eastAsia="zh-CN" w:bidi="zh-TW"/>
        </w:rPr>
        <w:t>应选用电鸿操作系统，</w:t>
      </w:r>
      <w:r>
        <w:rPr>
          <w:rFonts w:hint="eastAsia" w:ascii="Times New Roman" w:hAnsi="Times New Roman" w:eastAsia="宋体" w:cs="Times New Roman"/>
          <w:snapToGrid w:val="0"/>
          <w:color w:val="000000"/>
          <w:sz w:val="21"/>
          <w:szCs w:val="21"/>
          <w:highlight w:val="none"/>
          <w:u w:val="none"/>
          <w:shd w:val="clear" w:color="auto" w:fill="auto"/>
          <w:lang w:val="zh-TW" w:eastAsia="zh-TW" w:bidi="zh-TW"/>
        </w:rPr>
        <w:t>出具电鸿物联操作系统生态产品认证证书及测试报告。</w:t>
      </w:r>
    </w:p>
    <w:p w14:paraId="41A719CC">
      <w:pPr>
        <w:pStyle w:val="4"/>
        <w:spacing w:before="120"/>
        <w:jc w:val="both"/>
        <w:rPr>
          <w:rFonts w:ascii="宋体" w:hAnsi="宋体" w:cs="宋体"/>
        </w:rPr>
      </w:pPr>
      <w:bookmarkStart w:id="229" w:name="_Toc13505"/>
      <w:bookmarkStart w:id="230" w:name="_Toc97405508"/>
      <w:bookmarkStart w:id="231" w:name="_Toc26318"/>
      <w:bookmarkStart w:id="232" w:name="_Toc13752"/>
      <w:bookmarkStart w:id="233" w:name="_Toc1604031427"/>
      <w:bookmarkStart w:id="234" w:name="_Toc14039"/>
      <w:bookmarkStart w:id="235" w:name="_Toc514407936"/>
      <w:r>
        <w:rPr>
          <w:rFonts w:hint="eastAsia" w:ascii="宋体" w:hAnsi="宋体" w:cs="宋体"/>
        </w:rPr>
        <w:t>系统主机外观</w:t>
      </w:r>
      <w:bookmarkEnd w:id="229"/>
      <w:bookmarkEnd w:id="230"/>
      <w:bookmarkEnd w:id="231"/>
      <w:bookmarkEnd w:id="232"/>
      <w:bookmarkEnd w:id="233"/>
      <w:bookmarkEnd w:id="234"/>
      <w:bookmarkEnd w:id="235"/>
    </w:p>
    <w:p w14:paraId="0E048A38">
      <w:pPr>
        <w:numPr>
          <w:ilvl w:val="0"/>
          <w:numId w:val="24"/>
        </w:numPr>
        <w:spacing w:line="360" w:lineRule="auto"/>
        <w:ind w:left="840" w:leftChars="0"/>
        <w:rPr>
          <w:rFonts w:hint="eastAsia" w:ascii="Times New Roman" w:hAnsi="Times New Roman" w:cs="Times New Roman"/>
          <w:snapToGrid w:val="0"/>
          <w:szCs w:val="21"/>
          <w:highlight w:val="none"/>
        </w:rPr>
      </w:pPr>
      <w:r>
        <w:rPr>
          <w:rFonts w:hint="eastAsia" w:ascii="Times New Roman" w:hAnsi="Times New Roman" w:cs="Times New Roman"/>
          <w:snapToGrid w:val="0"/>
          <w:szCs w:val="21"/>
          <w:highlight w:val="none"/>
        </w:rPr>
        <w:t>主机整体尺寸为满足19英寸机柜安装的机箱；</w:t>
      </w:r>
    </w:p>
    <w:p w14:paraId="59527904">
      <w:pPr>
        <w:numPr>
          <w:ilvl w:val="0"/>
          <w:numId w:val="24"/>
        </w:numPr>
        <w:spacing w:line="360" w:lineRule="auto"/>
        <w:ind w:left="840" w:leftChars="0"/>
        <w:rPr>
          <w:rFonts w:hint="eastAsia" w:ascii="Times New Roman" w:hAnsi="Times New Roman" w:cs="Times New Roman"/>
          <w:snapToGrid w:val="0"/>
          <w:szCs w:val="21"/>
          <w:highlight w:val="none"/>
        </w:rPr>
      </w:pPr>
      <w:r>
        <w:rPr>
          <w:rFonts w:hint="eastAsia" w:ascii="Times New Roman" w:hAnsi="Times New Roman" w:cs="Times New Roman"/>
          <w:snapToGrid w:val="0"/>
          <w:szCs w:val="21"/>
          <w:highlight w:val="none"/>
        </w:rPr>
        <w:t>前面板分布有电源指示灯、</w:t>
      </w:r>
      <w:r>
        <w:rPr>
          <w:rFonts w:hint="eastAsia"/>
          <w:snapToGrid w:val="0"/>
          <w:color w:val="auto"/>
          <w:sz w:val="21"/>
          <w:szCs w:val="21"/>
          <w:highlight w:val="none"/>
        </w:rPr>
        <w:t>运行指示灯</w:t>
      </w:r>
      <w:r>
        <w:rPr>
          <w:rFonts w:hint="eastAsia"/>
          <w:snapToGrid w:val="0"/>
          <w:color w:val="auto"/>
          <w:sz w:val="21"/>
          <w:szCs w:val="21"/>
          <w:highlight w:val="none"/>
          <w:lang w:eastAsia="zh-CN"/>
        </w:rPr>
        <w:t>；</w:t>
      </w:r>
      <w:r>
        <w:rPr>
          <w:rFonts w:hint="eastAsia"/>
          <w:snapToGrid w:val="0"/>
          <w:color w:val="auto"/>
          <w:sz w:val="21"/>
          <w:szCs w:val="21"/>
          <w:highlight w:val="none"/>
          <w:lang w:val="en-US" w:eastAsia="zh-CN"/>
        </w:rPr>
        <w:t>在线浮充</w:t>
      </w:r>
      <w:r>
        <w:rPr>
          <w:rFonts w:hint="eastAsia"/>
          <w:snapToGrid w:val="0"/>
          <w:color w:val="auto"/>
          <w:sz w:val="21"/>
          <w:szCs w:val="21"/>
          <w:highlight w:val="none"/>
        </w:rPr>
        <w:t>、</w:t>
      </w:r>
      <w:r>
        <w:rPr>
          <w:rFonts w:hint="eastAsia"/>
          <w:snapToGrid w:val="0"/>
          <w:color w:val="auto"/>
          <w:sz w:val="21"/>
          <w:szCs w:val="21"/>
          <w:highlight w:val="none"/>
          <w:lang w:val="en-US" w:eastAsia="zh-CN"/>
        </w:rPr>
        <w:t>停电放电</w:t>
      </w:r>
      <w:r>
        <w:rPr>
          <w:rFonts w:hint="eastAsia"/>
          <w:snapToGrid w:val="0"/>
          <w:color w:val="auto"/>
          <w:sz w:val="21"/>
          <w:szCs w:val="21"/>
          <w:highlight w:val="none"/>
        </w:rPr>
        <w:t>、</w:t>
      </w:r>
      <w:r>
        <w:rPr>
          <w:rFonts w:hint="eastAsia"/>
          <w:snapToGrid w:val="0"/>
          <w:color w:val="auto"/>
          <w:sz w:val="21"/>
          <w:szCs w:val="21"/>
          <w:highlight w:val="none"/>
          <w:lang w:val="en-US" w:eastAsia="zh-CN"/>
        </w:rPr>
        <w:t>内阻测试、预充电、K/D测试、核容测试</w:t>
      </w:r>
      <w:r>
        <w:rPr>
          <w:rFonts w:hint="eastAsia"/>
          <w:snapToGrid w:val="0"/>
          <w:color w:val="auto"/>
          <w:sz w:val="21"/>
          <w:szCs w:val="21"/>
          <w:highlight w:val="none"/>
        </w:rPr>
        <w:t>状态指示灯等；</w:t>
      </w:r>
    </w:p>
    <w:p w14:paraId="051092E9">
      <w:pPr>
        <w:numPr>
          <w:ilvl w:val="0"/>
          <w:numId w:val="24"/>
        </w:numPr>
        <w:spacing w:line="360" w:lineRule="auto"/>
        <w:ind w:left="840" w:leftChars="0"/>
        <w:rPr>
          <w:rFonts w:hint="eastAsia" w:ascii="Times New Roman" w:hAnsi="Times New Roman" w:cs="Times New Roman"/>
          <w:snapToGrid w:val="0"/>
          <w:szCs w:val="21"/>
          <w:highlight w:val="none"/>
        </w:rPr>
      </w:pPr>
      <w:r>
        <w:rPr>
          <w:rFonts w:hint="eastAsia" w:ascii="Times New Roman" w:hAnsi="Times New Roman" w:cs="Times New Roman"/>
          <w:snapToGrid w:val="0"/>
          <w:szCs w:val="21"/>
          <w:highlight w:val="none"/>
        </w:rPr>
        <w:t>配置工作电源开关。</w:t>
      </w:r>
    </w:p>
    <w:p w14:paraId="2F52F01A">
      <w:pPr>
        <w:pStyle w:val="4"/>
        <w:tabs>
          <w:tab w:val="clear" w:pos="0"/>
        </w:tabs>
        <w:spacing w:before="120"/>
        <w:rPr>
          <w:rFonts w:ascii="宋体" w:hAnsi="宋体" w:cs="宋体"/>
        </w:rPr>
      </w:pPr>
      <w:bookmarkStart w:id="236" w:name="_Toc97405509"/>
      <w:bookmarkStart w:id="237" w:name="_Toc22769"/>
      <w:bookmarkStart w:id="238" w:name="_Toc8313"/>
      <w:bookmarkStart w:id="239" w:name="_Toc514407937"/>
      <w:bookmarkStart w:id="240" w:name="_Toc18956"/>
      <w:bookmarkStart w:id="241" w:name="_Toc1593972798"/>
      <w:bookmarkStart w:id="242" w:name="_Toc21349"/>
      <w:r>
        <w:rPr>
          <w:rFonts w:hint="eastAsia" w:ascii="宋体" w:hAnsi="宋体" w:cs="宋体"/>
        </w:rPr>
        <w:t>系统主机功能</w:t>
      </w:r>
      <w:bookmarkEnd w:id="236"/>
      <w:bookmarkEnd w:id="237"/>
      <w:bookmarkEnd w:id="238"/>
      <w:bookmarkEnd w:id="239"/>
      <w:bookmarkEnd w:id="240"/>
      <w:bookmarkEnd w:id="241"/>
      <w:bookmarkEnd w:id="242"/>
    </w:p>
    <w:p w14:paraId="314BC180">
      <w:pPr>
        <w:pStyle w:val="5"/>
        <w:spacing w:before="120"/>
        <w:rPr>
          <w:rFonts w:ascii="宋体" w:hAnsi="宋体" w:cs="宋体"/>
          <w:bCs w:val="0"/>
        </w:rPr>
      </w:pPr>
      <w:r>
        <w:rPr>
          <w:rFonts w:hint="eastAsia" w:ascii="宋体" w:hAnsi="宋体" w:cs="宋体"/>
          <w:bCs w:val="0"/>
        </w:rPr>
        <w:t>基本功能</w:t>
      </w:r>
    </w:p>
    <w:p w14:paraId="2864F77F">
      <w:pPr>
        <w:pStyle w:val="6"/>
        <w:spacing w:before="120"/>
        <w:rPr>
          <w:rFonts w:ascii="宋体" w:hAnsi="宋体" w:eastAsia="宋体" w:cs="宋体"/>
        </w:rPr>
      </w:pPr>
      <w:r>
        <w:rPr>
          <w:rFonts w:hint="eastAsia" w:ascii="宋体" w:hAnsi="宋体" w:eastAsia="宋体" w:cs="宋体"/>
        </w:rPr>
        <w:t>数据存储功能</w:t>
      </w:r>
    </w:p>
    <w:p w14:paraId="7DAF12E1">
      <w:pPr>
        <w:numPr>
          <w:ilvl w:val="0"/>
          <w:numId w:val="25"/>
        </w:numPr>
        <w:spacing w:line="360" w:lineRule="auto"/>
        <w:ind w:left="420" w:leftChars="200"/>
        <w:rPr>
          <w:rFonts w:ascii="宋体" w:hAnsi="宋体" w:cs="宋体"/>
          <w:sz w:val="22"/>
        </w:rPr>
      </w:pPr>
      <w:r>
        <w:rPr>
          <w:rFonts w:hint="eastAsia" w:ascii="宋体" w:hAnsi="宋体" w:cs="宋体"/>
          <w:sz w:val="22"/>
        </w:rPr>
        <w:t>支持充放电过程数据记录与存储；</w:t>
      </w:r>
    </w:p>
    <w:p w14:paraId="348E966C">
      <w:pPr>
        <w:numPr>
          <w:ilvl w:val="0"/>
          <w:numId w:val="25"/>
        </w:numPr>
        <w:spacing w:line="360" w:lineRule="auto"/>
        <w:ind w:left="420" w:leftChars="200"/>
        <w:rPr>
          <w:rFonts w:ascii="宋体" w:hAnsi="宋体" w:cs="宋体"/>
          <w:sz w:val="22"/>
        </w:rPr>
      </w:pPr>
      <w:r>
        <w:rPr>
          <w:rFonts w:hint="eastAsia" w:ascii="宋体" w:hAnsi="宋体" w:cs="宋体"/>
          <w:sz w:val="22"/>
        </w:rPr>
        <w:t>充放电数据存储次数不少于</w:t>
      </w:r>
      <w:r>
        <w:rPr>
          <w:rFonts w:ascii="宋体" w:hAnsi="宋体" w:cs="宋体"/>
          <w:sz w:val="22"/>
        </w:rPr>
        <w:t>32</w:t>
      </w:r>
      <w:r>
        <w:rPr>
          <w:rFonts w:hint="eastAsia" w:ascii="宋体" w:hAnsi="宋体" w:cs="宋体"/>
          <w:sz w:val="22"/>
        </w:rPr>
        <w:t>个</w:t>
      </w:r>
      <w:r>
        <w:rPr>
          <w:rFonts w:ascii="宋体" w:hAnsi="宋体" w:cs="宋体"/>
          <w:sz w:val="22"/>
        </w:rPr>
        <w:t>/组电池；</w:t>
      </w:r>
    </w:p>
    <w:p w14:paraId="3B2E9575">
      <w:pPr>
        <w:numPr>
          <w:ilvl w:val="0"/>
          <w:numId w:val="25"/>
        </w:numPr>
        <w:spacing w:line="360" w:lineRule="auto"/>
        <w:ind w:left="420" w:leftChars="200"/>
        <w:rPr>
          <w:rFonts w:ascii="宋体" w:hAnsi="宋体" w:cs="宋体"/>
          <w:sz w:val="22"/>
        </w:rPr>
      </w:pPr>
      <w:r>
        <w:rPr>
          <w:rFonts w:hint="eastAsia" w:ascii="宋体" w:hAnsi="宋体" w:cs="宋体"/>
          <w:sz w:val="22"/>
        </w:rPr>
        <w:t>单个充放电文件数据大小上限不小于50MB；</w:t>
      </w:r>
    </w:p>
    <w:p w14:paraId="6CB88D29">
      <w:pPr>
        <w:numPr>
          <w:ilvl w:val="0"/>
          <w:numId w:val="25"/>
        </w:numPr>
        <w:spacing w:line="360" w:lineRule="auto"/>
        <w:ind w:left="420" w:leftChars="200"/>
        <w:rPr>
          <w:rFonts w:ascii="宋体" w:hAnsi="宋体" w:cs="宋体"/>
          <w:sz w:val="22"/>
        </w:rPr>
      </w:pPr>
      <w:r>
        <w:rPr>
          <w:rFonts w:hint="eastAsia" w:ascii="宋体" w:hAnsi="宋体" w:cs="宋体"/>
          <w:sz w:val="22"/>
        </w:rPr>
        <w:t>支持存储设备配置工作参数（变更时间，参数名称，远程或本地区分）操作日志数据，不少于1000条；</w:t>
      </w:r>
    </w:p>
    <w:p w14:paraId="428B73D2">
      <w:pPr>
        <w:numPr>
          <w:ilvl w:val="0"/>
          <w:numId w:val="25"/>
        </w:numPr>
        <w:spacing w:line="360" w:lineRule="auto"/>
        <w:ind w:left="420" w:leftChars="200"/>
        <w:rPr>
          <w:rFonts w:ascii="宋体" w:hAnsi="宋体" w:cs="宋体"/>
          <w:sz w:val="22"/>
        </w:rPr>
      </w:pPr>
      <w:r>
        <w:rPr>
          <w:rFonts w:hint="eastAsia" w:ascii="宋体" w:hAnsi="宋体" w:cs="宋体"/>
          <w:sz w:val="22"/>
        </w:rPr>
        <w:t>实时的电源电压、电池组端电压、设备工作状态数据不小于2个小时，采集间隔时间不大于1分钟。</w:t>
      </w:r>
    </w:p>
    <w:p w14:paraId="0F9EFA96">
      <w:pPr>
        <w:pStyle w:val="6"/>
        <w:spacing w:before="120"/>
      </w:pPr>
      <w:r>
        <w:rPr>
          <w:rFonts w:hint="eastAsia"/>
        </w:rPr>
        <w:t>控制功能</w:t>
      </w:r>
    </w:p>
    <w:p w14:paraId="6EE942AE">
      <w:pPr>
        <w:numPr>
          <w:ilvl w:val="0"/>
          <w:numId w:val="26"/>
        </w:numPr>
        <w:spacing w:line="360" w:lineRule="auto"/>
        <w:ind w:left="420" w:leftChars="200"/>
        <w:rPr>
          <w:rFonts w:ascii="宋体" w:hAnsi="宋体" w:cs="宋体"/>
          <w:sz w:val="22"/>
        </w:rPr>
      </w:pPr>
      <w:r>
        <w:rPr>
          <w:rFonts w:hint="eastAsia" w:ascii="宋体" w:hAnsi="宋体" w:cs="宋体"/>
          <w:sz w:val="22"/>
        </w:rPr>
        <w:t>支持蓄电池组在线放电后自动转预充电（</w:t>
      </w:r>
      <w:r>
        <w:rPr>
          <w:rFonts w:hint="eastAsia"/>
        </w:rPr>
        <w:t>不需额外增加充电机，只进行二次限流,</w:t>
      </w:r>
      <w:r>
        <w:rPr>
          <w:rFonts w:hint="eastAsia" w:ascii="宋体" w:hAnsi="宋体" w:cs="宋体"/>
          <w:sz w:val="22"/>
        </w:rPr>
        <w:t>预充电电流大小本地可设置），当充电电流小于预充电流阀值（5-10A本地可设置）下限时转浮充；</w:t>
      </w:r>
    </w:p>
    <w:p w14:paraId="0F3EC470">
      <w:pPr>
        <w:numPr>
          <w:ilvl w:val="0"/>
          <w:numId w:val="26"/>
        </w:numPr>
        <w:spacing w:line="360" w:lineRule="auto"/>
        <w:ind w:left="420" w:leftChars="200"/>
        <w:rPr>
          <w:rFonts w:ascii="宋体" w:hAnsi="宋体" w:cs="宋体"/>
          <w:sz w:val="22"/>
        </w:rPr>
      </w:pPr>
      <w:r>
        <w:rPr>
          <w:rFonts w:hint="eastAsia" w:ascii="宋体" w:hAnsi="宋体" w:cs="宋体"/>
          <w:sz w:val="22"/>
        </w:rPr>
        <w:t>在设备额定的充放电电流值范围内，能根据设定的电流值大小进行充放电；</w:t>
      </w:r>
    </w:p>
    <w:p w14:paraId="31D04852">
      <w:pPr>
        <w:numPr>
          <w:ilvl w:val="0"/>
          <w:numId w:val="26"/>
        </w:numPr>
        <w:spacing w:line="360" w:lineRule="auto"/>
        <w:ind w:left="420" w:leftChars="200"/>
        <w:rPr>
          <w:rFonts w:ascii="宋体" w:hAnsi="宋体" w:cs="宋体"/>
          <w:sz w:val="22"/>
        </w:rPr>
      </w:pPr>
      <w:r>
        <w:rPr>
          <w:rFonts w:hint="eastAsia" w:ascii="宋体" w:hAnsi="宋体" w:cs="宋体"/>
          <w:sz w:val="22"/>
        </w:rPr>
        <w:t>在充放电过程中超过设定的门限阀值应自动执行停止放电/停止充电；</w:t>
      </w:r>
    </w:p>
    <w:p w14:paraId="55CF250B">
      <w:pPr>
        <w:numPr>
          <w:ilvl w:val="0"/>
          <w:numId w:val="26"/>
        </w:numPr>
        <w:spacing w:line="360" w:lineRule="auto"/>
        <w:ind w:left="420" w:leftChars="200"/>
        <w:rPr>
          <w:rFonts w:ascii="宋体" w:hAnsi="宋体" w:cs="宋体"/>
          <w:sz w:val="22"/>
        </w:rPr>
      </w:pPr>
      <w:r>
        <w:rPr>
          <w:rFonts w:hint="eastAsia" w:ascii="宋体" w:hAnsi="宋体" w:cs="宋体"/>
          <w:sz w:val="22"/>
        </w:rPr>
        <w:t>在核容过程中，遇到停止核容的条件满足，能自动停止核容转充电，充电完成再转恢复系统等电位连接，并在放电记录中给出停止放电原因（备注：如果市电恢复，则不继续放电）；</w:t>
      </w:r>
    </w:p>
    <w:p w14:paraId="5F59BCD1">
      <w:pPr>
        <w:numPr>
          <w:ilvl w:val="0"/>
          <w:numId w:val="26"/>
        </w:numPr>
        <w:spacing w:line="360" w:lineRule="auto"/>
        <w:ind w:left="420" w:leftChars="200"/>
        <w:rPr>
          <w:rFonts w:ascii="宋体" w:hAnsi="宋体" w:cs="宋体"/>
          <w:sz w:val="22"/>
        </w:rPr>
      </w:pPr>
      <w:r>
        <w:rPr>
          <w:rFonts w:hint="eastAsia" w:ascii="宋体" w:hAnsi="宋体" w:cs="宋体"/>
          <w:sz w:val="22"/>
        </w:rPr>
        <w:t>在核容过程中，遇到系统故障、交流失电，设备直接将蓄电池组恢复系统等电位连接，并在放电记录中给出停止放电原因（备注：如果市电恢复，则不继续放电）；</w:t>
      </w:r>
    </w:p>
    <w:p w14:paraId="5D3C3F44">
      <w:pPr>
        <w:numPr>
          <w:ilvl w:val="0"/>
          <w:numId w:val="26"/>
        </w:numPr>
        <w:spacing w:line="360" w:lineRule="auto"/>
        <w:ind w:left="420" w:leftChars="200"/>
        <w:rPr>
          <w:rFonts w:ascii="宋体" w:hAnsi="宋体" w:cs="宋体"/>
          <w:sz w:val="22"/>
        </w:rPr>
      </w:pPr>
      <w:r>
        <w:rPr>
          <w:rFonts w:hint="eastAsia" w:ascii="宋体" w:hAnsi="宋体" w:cs="宋体"/>
          <w:sz w:val="22"/>
        </w:rPr>
        <w:t>支持核容前远程启动测试一次电池单体内阻，温度，电压，并上报主站系统；</w:t>
      </w:r>
    </w:p>
    <w:p w14:paraId="2D3DA156">
      <w:pPr>
        <w:numPr>
          <w:ilvl w:val="0"/>
          <w:numId w:val="26"/>
        </w:numPr>
        <w:spacing w:line="360" w:lineRule="auto"/>
        <w:ind w:left="420" w:leftChars="200"/>
        <w:rPr>
          <w:rFonts w:ascii="宋体" w:hAnsi="宋体" w:cs="宋体"/>
          <w:sz w:val="22"/>
        </w:rPr>
      </w:pPr>
      <w:r>
        <w:rPr>
          <w:rFonts w:hint="eastAsia" w:ascii="宋体" w:hAnsi="宋体" w:cs="宋体"/>
          <w:sz w:val="22"/>
        </w:rPr>
        <w:t>支持定期自动测试内阻，测试间隔周期可设置（本地设置）。</w:t>
      </w:r>
    </w:p>
    <w:p w14:paraId="5B08B33F">
      <w:pPr>
        <w:numPr>
          <w:ilvl w:val="0"/>
          <w:numId w:val="26"/>
        </w:numPr>
        <w:spacing w:line="360" w:lineRule="auto"/>
        <w:ind w:left="420" w:leftChars="200" w:firstLine="0"/>
        <w:rPr>
          <w:rFonts w:ascii="宋体" w:hAnsi="宋体" w:cs="宋体"/>
          <w:sz w:val="22"/>
        </w:rPr>
      </w:pPr>
      <w:r>
        <w:rPr>
          <w:rFonts w:hint="eastAsia" w:ascii="宋体" w:hAnsi="宋体" w:cs="宋体"/>
          <w:sz w:val="22"/>
        </w:rPr>
        <w:t>系统应具备以下保护功能：核容测试前，对放电设备进行自检，需具备在线常闭接触器K1和在线二极管D1的测试功能，其测试应具备通过不低于60A的电流的内部测试环路，并能准确测量常闭接触器的接触电阻和在线二极管的导通压降。同时不影响到在线系统电压的波动和系统设备的正常工作。如有异常不能进行核容测试；当出现放电模块温度过高、电池极柱温度过高、站点交流停电、网络通讯故障情况时，设备应自动停止放电。</w:t>
      </w:r>
    </w:p>
    <w:p w14:paraId="396036E1">
      <w:pPr>
        <w:numPr>
          <w:ilvl w:val="0"/>
          <w:numId w:val="26"/>
        </w:numPr>
        <w:spacing w:line="360" w:lineRule="auto"/>
        <w:ind w:left="420" w:leftChars="200"/>
        <w:rPr>
          <w:rFonts w:ascii="宋体" w:hAnsi="宋体" w:cs="宋体"/>
          <w:sz w:val="22"/>
        </w:rPr>
      </w:pPr>
      <w:r>
        <w:rPr>
          <w:rFonts w:hint="eastAsia" w:ascii="宋体" w:hAnsi="宋体" w:cs="宋体"/>
          <w:sz w:val="22"/>
        </w:rPr>
        <w:t>交直流检测和控制功能</w:t>
      </w:r>
    </w:p>
    <w:p w14:paraId="36A02A53">
      <w:pPr>
        <w:numPr>
          <w:ilvl w:val="0"/>
          <w:numId w:val="8"/>
        </w:numPr>
        <w:adjustRightInd w:val="0"/>
        <w:spacing w:line="276" w:lineRule="auto"/>
        <w:ind w:left="1200"/>
        <w:jc w:val="left"/>
        <w:textAlignment w:val="baseline"/>
        <w:rPr>
          <w:rFonts w:ascii="宋体" w:hAnsi="宋体" w:cs="宋体"/>
          <w:szCs w:val="21"/>
        </w:rPr>
      </w:pPr>
      <w:r>
        <w:rPr>
          <w:rFonts w:hint="eastAsia" w:ascii="宋体" w:hAnsi="宋体" w:cs="宋体"/>
          <w:szCs w:val="21"/>
        </w:rPr>
        <w:t>对于站点有多组蓄电池运行的情况，应能对每组电池进行分别放电，并对每组电池的容量进行分别核定。</w:t>
      </w:r>
    </w:p>
    <w:p w14:paraId="6EE84269">
      <w:pPr>
        <w:numPr>
          <w:ilvl w:val="0"/>
          <w:numId w:val="8"/>
        </w:numPr>
        <w:adjustRightInd w:val="0"/>
        <w:spacing w:line="360" w:lineRule="auto"/>
        <w:ind w:left="1200"/>
        <w:jc w:val="left"/>
        <w:textAlignment w:val="baseline"/>
        <w:rPr>
          <w:rFonts w:ascii="宋体" w:hAnsi="宋体"/>
          <w:szCs w:val="21"/>
        </w:rPr>
      </w:pPr>
      <w:r>
        <w:rPr>
          <w:rFonts w:hint="eastAsia" w:ascii="宋体" w:hAnsi="宋体"/>
          <w:szCs w:val="21"/>
        </w:rPr>
        <w:t>具备断电保护功能，即在放电过程中一旦遇到交流或直流断电情况，蓄电池能无缝隙对站点直流负载进行供电，确保直流负载没有失电的风险。</w:t>
      </w:r>
    </w:p>
    <w:p w14:paraId="0CDF43D4">
      <w:pPr>
        <w:numPr>
          <w:ilvl w:val="0"/>
          <w:numId w:val="8"/>
        </w:numPr>
        <w:adjustRightInd w:val="0"/>
        <w:spacing w:line="360" w:lineRule="auto"/>
        <w:ind w:left="1200"/>
        <w:jc w:val="left"/>
        <w:textAlignment w:val="baseline"/>
      </w:pPr>
      <w:r>
        <w:rPr>
          <w:rFonts w:hint="eastAsia" w:ascii="宋体" w:hAnsi="宋体"/>
          <w:szCs w:val="21"/>
        </w:rPr>
        <w:t>应设置独立的监督保护模块，监督模块应保证不断电，随时监督系统的功能，若本套系统控制失效或系统完全失效，该模块能够进行正确的动作确保直流负载没有失电风险。</w:t>
      </w:r>
    </w:p>
    <w:p w14:paraId="6E9E6CD5">
      <w:pPr>
        <w:pStyle w:val="6"/>
        <w:spacing w:before="120"/>
        <w:rPr>
          <w:rFonts w:ascii="宋体" w:hAnsi="宋体" w:eastAsia="宋体" w:cs="宋体"/>
        </w:rPr>
      </w:pPr>
      <w:r>
        <w:rPr>
          <w:rFonts w:hint="eastAsia" w:ascii="宋体" w:hAnsi="宋体" w:eastAsia="宋体" w:cs="宋体"/>
        </w:rPr>
        <w:t>现场人工管理功能</w:t>
      </w:r>
    </w:p>
    <w:p w14:paraId="0706A7C6">
      <w:pPr>
        <w:numPr>
          <w:ilvl w:val="0"/>
          <w:numId w:val="27"/>
        </w:numPr>
        <w:spacing w:line="360" w:lineRule="auto"/>
        <w:ind w:left="420" w:leftChars="200"/>
        <w:rPr>
          <w:rFonts w:ascii="宋体" w:hAnsi="宋体" w:cs="宋体"/>
          <w:sz w:val="22"/>
        </w:rPr>
      </w:pPr>
      <w:r>
        <w:rPr>
          <w:rFonts w:hint="eastAsia" w:ascii="宋体" w:hAnsi="宋体" w:cs="宋体"/>
          <w:sz w:val="22"/>
        </w:rPr>
        <w:t>本地设备支持对参数进行设置及保存；</w:t>
      </w:r>
    </w:p>
    <w:p w14:paraId="739B353D">
      <w:pPr>
        <w:numPr>
          <w:ilvl w:val="0"/>
          <w:numId w:val="27"/>
        </w:numPr>
        <w:spacing w:line="360" w:lineRule="auto"/>
        <w:ind w:left="420" w:leftChars="200"/>
        <w:rPr>
          <w:rFonts w:ascii="宋体" w:hAnsi="宋体" w:cs="宋体"/>
          <w:sz w:val="22"/>
        </w:rPr>
      </w:pPr>
      <w:r>
        <w:rPr>
          <w:rFonts w:hint="eastAsia" w:ascii="宋体" w:hAnsi="宋体" w:cs="宋体"/>
          <w:sz w:val="22"/>
        </w:rPr>
        <w:t>本地设备支持手动启动核容测试；</w:t>
      </w:r>
    </w:p>
    <w:p w14:paraId="4FD5DE23">
      <w:pPr>
        <w:numPr>
          <w:ilvl w:val="0"/>
          <w:numId w:val="27"/>
        </w:numPr>
        <w:spacing w:line="360" w:lineRule="auto"/>
        <w:ind w:left="420" w:leftChars="200"/>
        <w:rPr>
          <w:rFonts w:ascii="宋体" w:hAnsi="宋体" w:cs="宋体"/>
          <w:sz w:val="22"/>
        </w:rPr>
      </w:pPr>
      <w:r>
        <w:rPr>
          <w:rFonts w:hint="eastAsia" w:ascii="宋体" w:hAnsi="宋体" w:cs="宋体"/>
          <w:sz w:val="22"/>
        </w:rPr>
        <w:t>本地设备支持手动启动内阻测试；</w:t>
      </w:r>
    </w:p>
    <w:p w14:paraId="5B4BA196">
      <w:pPr>
        <w:numPr>
          <w:ilvl w:val="0"/>
          <w:numId w:val="27"/>
        </w:numPr>
        <w:spacing w:line="360" w:lineRule="auto"/>
        <w:ind w:left="420" w:leftChars="200"/>
        <w:rPr>
          <w:rFonts w:ascii="宋体" w:hAnsi="宋体" w:cs="宋体"/>
          <w:sz w:val="22"/>
        </w:rPr>
      </w:pPr>
      <w:r>
        <w:rPr>
          <w:rFonts w:hint="eastAsia" w:ascii="宋体" w:hAnsi="宋体" w:cs="宋体"/>
          <w:sz w:val="22"/>
        </w:rPr>
        <w:t>设备支持本地参数的查看：单节电压、电池极柱温度、内阻、端电压、电流。</w:t>
      </w:r>
    </w:p>
    <w:p w14:paraId="194E2E5D">
      <w:pPr>
        <w:pStyle w:val="6"/>
        <w:spacing w:before="120"/>
        <w:rPr>
          <w:rFonts w:ascii="宋体" w:hAnsi="宋体" w:eastAsia="宋体" w:cs="宋体"/>
        </w:rPr>
      </w:pPr>
      <w:r>
        <w:rPr>
          <w:rFonts w:hint="eastAsia" w:ascii="宋体" w:hAnsi="宋体" w:eastAsia="宋体" w:cs="宋体"/>
        </w:rPr>
        <w:t>校准功能</w:t>
      </w:r>
    </w:p>
    <w:p w14:paraId="33D14236">
      <w:pPr>
        <w:spacing w:line="360" w:lineRule="auto"/>
        <w:ind w:firstLine="440" w:firstLineChars="200"/>
        <w:rPr>
          <w:rFonts w:ascii="宋体" w:hAnsi="宋体" w:cs="宋体"/>
          <w:sz w:val="22"/>
        </w:rPr>
      </w:pPr>
      <w:r>
        <w:rPr>
          <w:rFonts w:hint="eastAsia" w:ascii="宋体" w:hAnsi="宋体" w:cs="宋体"/>
          <w:sz w:val="22"/>
        </w:rPr>
        <w:t>能对母线电压、组端电压以及充放电电流进行现场校准。</w:t>
      </w:r>
    </w:p>
    <w:p w14:paraId="0371BE5F">
      <w:pPr>
        <w:pStyle w:val="6"/>
        <w:spacing w:before="120"/>
        <w:rPr>
          <w:rFonts w:ascii="宋体" w:hAnsi="宋体" w:eastAsia="宋体" w:cs="宋体"/>
        </w:rPr>
      </w:pPr>
      <w:r>
        <w:rPr>
          <w:rFonts w:hint="eastAsia" w:ascii="宋体" w:hAnsi="宋体" w:eastAsia="宋体" w:cs="宋体"/>
        </w:rPr>
        <w:t>保护和故障管理</w:t>
      </w:r>
    </w:p>
    <w:p w14:paraId="52B2B4D0">
      <w:pPr>
        <w:numPr>
          <w:ilvl w:val="0"/>
          <w:numId w:val="28"/>
        </w:numPr>
        <w:spacing w:line="360" w:lineRule="auto"/>
        <w:ind w:left="420" w:leftChars="200"/>
        <w:rPr>
          <w:rFonts w:ascii="宋体" w:hAnsi="宋体" w:cs="宋体"/>
          <w:sz w:val="22"/>
        </w:rPr>
      </w:pPr>
      <w:r>
        <w:rPr>
          <w:rFonts w:hint="eastAsia" w:ascii="宋体" w:hAnsi="宋体" w:cs="宋体"/>
          <w:sz w:val="22"/>
        </w:rPr>
        <w:t>输入过压保护，提示告警信息并禁止启动核容测试；</w:t>
      </w:r>
    </w:p>
    <w:p w14:paraId="6789BD5A">
      <w:pPr>
        <w:numPr>
          <w:ilvl w:val="0"/>
          <w:numId w:val="28"/>
        </w:numPr>
        <w:spacing w:line="360" w:lineRule="auto"/>
        <w:ind w:left="420" w:leftChars="200"/>
        <w:rPr>
          <w:rFonts w:ascii="宋体" w:hAnsi="宋体" w:cs="宋体"/>
          <w:sz w:val="22"/>
        </w:rPr>
      </w:pPr>
      <w:r>
        <w:rPr>
          <w:rFonts w:hint="eastAsia" w:ascii="宋体" w:hAnsi="宋体" w:cs="宋体"/>
          <w:sz w:val="22"/>
        </w:rPr>
        <w:t>输入欠压保护，提示告警信息并禁止启动核容测试；</w:t>
      </w:r>
    </w:p>
    <w:p w14:paraId="12EBCD7D">
      <w:pPr>
        <w:numPr>
          <w:ilvl w:val="0"/>
          <w:numId w:val="28"/>
        </w:numPr>
        <w:spacing w:line="360" w:lineRule="auto"/>
        <w:ind w:left="420" w:leftChars="200"/>
        <w:rPr>
          <w:rFonts w:ascii="宋体" w:hAnsi="宋体" w:cs="宋体"/>
          <w:sz w:val="22"/>
        </w:rPr>
      </w:pPr>
      <w:r>
        <w:rPr>
          <w:rFonts w:hint="eastAsia" w:ascii="宋体" w:hAnsi="宋体" w:cs="宋体"/>
          <w:sz w:val="22"/>
        </w:rPr>
        <w:t>过温保护，核容测试过程中停止核容测试，提示相应告警信息；</w:t>
      </w:r>
    </w:p>
    <w:p w14:paraId="28FE8D34">
      <w:pPr>
        <w:numPr>
          <w:ilvl w:val="0"/>
          <w:numId w:val="28"/>
        </w:numPr>
        <w:spacing w:line="360" w:lineRule="auto"/>
        <w:ind w:left="420" w:leftChars="200"/>
        <w:rPr>
          <w:rFonts w:ascii="宋体" w:hAnsi="宋体" w:cs="宋体"/>
          <w:sz w:val="22"/>
        </w:rPr>
      </w:pPr>
      <w:r>
        <w:rPr>
          <w:rFonts w:hint="eastAsia" w:ascii="宋体" w:hAnsi="宋体" w:cs="宋体"/>
          <w:sz w:val="22"/>
        </w:rPr>
        <w:t>硬件失效保护，提示告警信息并禁止启动放电测试，蓄电池组不离线；</w:t>
      </w:r>
    </w:p>
    <w:p w14:paraId="03DC2BDD">
      <w:pPr>
        <w:numPr>
          <w:ilvl w:val="0"/>
          <w:numId w:val="28"/>
        </w:numPr>
        <w:spacing w:line="360" w:lineRule="auto"/>
        <w:ind w:left="420" w:leftChars="200"/>
        <w:rPr>
          <w:rFonts w:ascii="宋体" w:hAnsi="宋体" w:cs="宋体"/>
          <w:sz w:val="22"/>
        </w:rPr>
      </w:pPr>
      <w:r>
        <w:rPr>
          <w:rFonts w:hint="eastAsia" w:ascii="宋体" w:hAnsi="宋体" w:cs="宋体"/>
          <w:sz w:val="22"/>
        </w:rPr>
        <w:t>软件失效保护，提示告警信息并禁止启动放电测试，蓄电池组不离线；</w:t>
      </w:r>
    </w:p>
    <w:p w14:paraId="03ED245A">
      <w:pPr>
        <w:numPr>
          <w:ilvl w:val="0"/>
          <w:numId w:val="28"/>
        </w:numPr>
        <w:spacing w:line="360" w:lineRule="auto"/>
        <w:ind w:left="420" w:leftChars="200"/>
        <w:rPr>
          <w:rFonts w:ascii="宋体" w:hAnsi="宋体" w:cs="宋体"/>
          <w:sz w:val="22"/>
        </w:rPr>
      </w:pPr>
      <w:r>
        <w:rPr>
          <w:rFonts w:hint="eastAsia" w:ascii="宋体" w:hAnsi="宋体" w:cs="宋体"/>
          <w:sz w:val="22"/>
        </w:rPr>
        <w:t>非正常停电保护，提示告警信息并禁止启动放电测试，蓄电池组不离线。</w:t>
      </w:r>
    </w:p>
    <w:p w14:paraId="60BB842D">
      <w:pPr>
        <w:pStyle w:val="6"/>
        <w:spacing w:before="120"/>
        <w:rPr>
          <w:rFonts w:ascii="宋体" w:hAnsi="宋体" w:eastAsia="宋体" w:cs="宋体"/>
        </w:rPr>
      </w:pPr>
      <w:r>
        <w:rPr>
          <w:rFonts w:hint="eastAsia" w:ascii="宋体" w:hAnsi="宋体" w:eastAsia="宋体" w:cs="宋体"/>
        </w:rPr>
        <w:t>通信功能</w:t>
      </w:r>
    </w:p>
    <w:p w14:paraId="7F10F91A">
      <w:pPr>
        <w:numPr>
          <w:ilvl w:val="0"/>
          <w:numId w:val="29"/>
        </w:numPr>
        <w:spacing w:line="360" w:lineRule="auto"/>
        <w:ind w:left="420" w:leftChars="200"/>
        <w:rPr>
          <w:rFonts w:ascii="宋体" w:hAnsi="宋体" w:cs="宋体"/>
          <w:sz w:val="22"/>
        </w:rPr>
      </w:pPr>
      <w:r>
        <w:rPr>
          <w:rFonts w:hint="eastAsia" w:ascii="宋体" w:hAnsi="宋体" w:cs="宋体"/>
          <w:sz w:val="22"/>
        </w:rPr>
        <w:t>设备应具有RS-</w:t>
      </w:r>
      <w:r>
        <w:rPr>
          <w:rFonts w:hint="eastAsia" w:ascii="宋体" w:hAnsi="宋体" w:cs="宋体"/>
          <w:sz w:val="22"/>
          <w:lang w:val="en-US" w:eastAsia="zh-CN"/>
        </w:rPr>
        <w:t>485</w:t>
      </w:r>
      <w:r>
        <w:rPr>
          <w:rFonts w:hint="eastAsia" w:ascii="宋体" w:hAnsi="宋体" w:cs="宋体"/>
          <w:sz w:val="22"/>
        </w:rPr>
        <w:t>接口、RJ45网络接口和USB接口，用于设备采集到的各项参数的本地和网络化传输，支持IEC61850协议</w:t>
      </w:r>
      <w:r>
        <w:rPr>
          <w:rFonts w:hint="eastAsia" w:ascii="宋体" w:hAnsi="宋体" w:cs="宋体"/>
          <w:sz w:val="22"/>
          <w:lang w:eastAsia="zh-CN"/>
        </w:rPr>
        <w:t>。</w:t>
      </w:r>
      <w:r>
        <w:rPr>
          <w:rFonts w:hint="eastAsia" w:ascii="宋体" w:hAnsi="宋体" w:cs="宋体"/>
          <w:sz w:val="22"/>
        </w:rPr>
        <w:t>详见附录A（规范性附录）蓄电池远程核容监控信息表表</w:t>
      </w:r>
      <w:r>
        <w:rPr>
          <w:rFonts w:hint="eastAsia" w:ascii="宋体" w:hAnsi="宋体" w:cs="宋体"/>
          <w:sz w:val="22"/>
          <w:lang w:val="en-US" w:eastAsia="zh-CN"/>
        </w:rPr>
        <w:t>1至表4</w:t>
      </w:r>
      <w:r>
        <w:rPr>
          <w:rFonts w:hint="eastAsia" w:ascii="宋体" w:hAnsi="宋体" w:cs="宋体"/>
          <w:sz w:val="22"/>
          <w:lang w:eastAsia="zh-CN"/>
        </w:rPr>
        <w:t>。</w:t>
      </w:r>
    </w:p>
    <w:p w14:paraId="0502CFB9">
      <w:pPr>
        <w:pStyle w:val="6"/>
        <w:spacing w:before="120"/>
        <w:rPr>
          <w:rFonts w:ascii="宋体" w:hAnsi="宋体" w:eastAsia="宋体" w:cs="宋体"/>
        </w:rPr>
      </w:pPr>
      <w:r>
        <w:rPr>
          <w:rFonts w:hint="eastAsia" w:ascii="宋体" w:hAnsi="宋体" w:eastAsia="宋体" w:cs="宋体"/>
        </w:rPr>
        <w:t>蓄电池组保持全在线后备功能</w:t>
      </w:r>
    </w:p>
    <w:p w14:paraId="11DF392A">
      <w:pPr>
        <w:spacing w:line="360" w:lineRule="auto"/>
        <w:ind w:firstLine="440" w:firstLineChars="200"/>
        <w:rPr>
          <w:rFonts w:ascii="宋体" w:hAnsi="宋体" w:cs="宋体"/>
          <w:sz w:val="22"/>
        </w:rPr>
      </w:pPr>
      <w:r>
        <w:rPr>
          <w:rFonts w:hint="eastAsia" w:ascii="宋体" w:hAnsi="宋体" w:cs="宋体"/>
          <w:sz w:val="22"/>
        </w:rPr>
        <w:t>任何时候，任何情况下，包括充放电测试过程中、充放电过程市电中断、正常监测工作过程中市电中断、主机自身工作电源故障关机、充放电测试过程中工作电源故障关机</w:t>
      </w:r>
      <w:r>
        <w:rPr>
          <w:rFonts w:hint="eastAsia" w:ascii="宋体" w:hAnsi="宋体" w:cs="宋体"/>
          <w:sz w:val="22"/>
          <w:lang w:eastAsia="zh-CN"/>
        </w:rPr>
        <w:t>、核容装置故障、断电、模块热插拔时</w:t>
      </w:r>
      <w:r>
        <w:rPr>
          <w:rFonts w:hint="eastAsia" w:ascii="宋体" w:hAnsi="宋体" w:cs="宋体"/>
          <w:sz w:val="22"/>
        </w:rPr>
        <w:t>等</w:t>
      </w:r>
      <w:r>
        <w:rPr>
          <w:rFonts w:hint="eastAsia" w:ascii="宋体" w:hAnsi="宋体" w:cs="宋体"/>
          <w:sz w:val="22"/>
          <w:lang w:eastAsia="zh-CN"/>
        </w:rPr>
        <w:t>，</w:t>
      </w:r>
      <w:r>
        <w:rPr>
          <w:rFonts w:hint="eastAsia" w:ascii="宋体" w:hAnsi="宋体" w:cs="宋体"/>
          <w:sz w:val="22"/>
          <w:lang w:val="en-US" w:eastAsia="zh-CN"/>
        </w:rPr>
        <w:t>核容装置的</w:t>
      </w:r>
      <w:r>
        <w:rPr>
          <w:rFonts w:hint="eastAsia" w:ascii="宋体" w:hAnsi="宋体" w:cs="宋体"/>
          <w:sz w:val="22"/>
          <w:lang w:eastAsia="zh-CN"/>
        </w:rPr>
        <w:t>二极管自动导通，强制蓄电池直连负载，</w:t>
      </w:r>
      <w:r>
        <w:rPr>
          <w:rFonts w:hint="eastAsia" w:ascii="宋体" w:hAnsi="宋体" w:cs="宋体"/>
          <w:sz w:val="22"/>
        </w:rPr>
        <w:t>保证蓄电池组对实际负载不间断供电</w:t>
      </w:r>
      <w:r>
        <w:rPr>
          <w:rFonts w:hint="eastAsia" w:ascii="宋体" w:hAnsi="宋体" w:cs="宋体"/>
          <w:sz w:val="22"/>
          <w:lang w:eastAsia="zh-CN"/>
        </w:rPr>
        <w:t>。</w:t>
      </w:r>
    </w:p>
    <w:p w14:paraId="699511A0">
      <w:pPr>
        <w:pStyle w:val="6"/>
        <w:spacing w:before="120"/>
        <w:rPr>
          <w:rFonts w:ascii="宋体" w:hAnsi="宋体" w:eastAsia="宋体" w:cs="宋体"/>
        </w:rPr>
      </w:pPr>
      <w:r>
        <w:rPr>
          <w:rFonts w:hint="eastAsia" w:ascii="宋体" w:hAnsi="宋体" w:eastAsia="宋体" w:cs="宋体"/>
        </w:rPr>
        <w:t xml:space="preserve"> "四遥"功能</w:t>
      </w:r>
    </w:p>
    <w:p w14:paraId="46B80D4D">
      <w:pPr>
        <w:spacing w:line="360" w:lineRule="auto"/>
        <w:ind w:firstLine="420" w:firstLineChars="200"/>
        <w:rPr>
          <w:rFonts w:ascii="宋体" w:hAnsi="宋体" w:cs="宋体"/>
        </w:rPr>
      </w:pPr>
      <w:r>
        <w:rPr>
          <w:rFonts w:hint="eastAsia" w:ascii="宋体" w:hAnsi="宋体" w:cs="宋体"/>
        </w:rPr>
        <w:t>具备遥信功能、遥测功能、遥调功能、遥控功能。</w:t>
      </w:r>
    </w:p>
    <w:p w14:paraId="52BDF05F">
      <w:pPr>
        <w:pStyle w:val="6"/>
        <w:spacing w:before="120"/>
        <w:rPr>
          <w:rFonts w:ascii="宋体" w:hAnsi="宋体" w:eastAsia="宋体" w:cs="宋体"/>
        </w:rPr>
      </w:pPr>
      <w:r>
        <w:rPr>
          <w:rFonts w:hint="eastAsia" w:ascii="宋体" w:hAnsi="宋体" w:eastAsia="宋体" w:cs="宋体"/>
        </w:rPr>
        <w:t>程序升级功能</w:t>
      </w:r>
    </w:p>
    <w:p w14:paraId="0845C7E7">
      <w:pPr>
        <w:numPr>
          <w:ilvl w:val="0"/>
          <w:numId w:val="30"/>
        </w:numPr>
        <w:spacing w:line="360" w:lineRule="auto"/>
        <w:ind w:left="420" w:leftChars="200"/>
        <w:rPr>
          <w:rFonts w:ascii="宋体" w:hAnsi="宋体" w:cs="宋体"/>
        </w:rPr>
      </w:pPr>
      <w:r>
        <w:rPr>
          <w:rFonts w:hint="eastAsia" w:ascii="宋体" w:hAnsi="宋体" w:cs="宋体"/>
        </w:rPr>
        <w:t>支持本地升级设备程序；</w:t>
      </w:r>
    </w:p>
    <w:p w14:paraId="39FDE37E">
      <w:pPr>
        <w:numPr>
          <w:ilvl w:val="0"/>
          <w:numId w:val="30"/>
        </w:numPr>
        <w:spacing w:line="360" w:lineRule="auto"/>
        <w:ind w:left="420" w:leftChars="200"/>
        <w:rPr>
          <w:rFonts w:ascii="宋体" w:hAnsi="宋体" w:cs="宋体"/>
        </w:rPr>
      </w:pPr>
      <w:r>
        <w:rPr>
          <w:rFonts w:hint="eastAsia" w:ascii="宋体" w:hAnsi="宋体" w:cs="宋体"/>
        </w:rPr>
        <w:t>支持远程进行程序升级。</w:t>
      </w:r>
    </w:p>
    <w:p w14:paraId="1BBD12A1">
      <w:pPr>
        <w:pStyle w:val="6"/>
        <w:spacing w:before="120"/>
        <w:rPr>
          <w:rFonts w:ascii="宋体" w:hAnsi="宋体" w:eastAsia="宋体" w:cs="宋体"/>
        </w:rPr>
      </w:pPr>
      <w:r>
        <w:rPr>
          <w:rFonts w:hint="eastAsia" w:ascii="宋体" w:hAnsi="宋体" w:eastAsia="宋体" w:cs="宋体"/>
        </w:rPr>
        <w:t>远程故障诊断功能</w:t>
      </w:r>
    </w:p>
    <w:p w14:paraId="39DBC2F9">
      <w:pPr>
        <w:numPr>
          <w:ilvl w:val="0"/>
          <w:numId w:val="31"/>
        </w:numPr>
        <w:spacing w:line="360" w:lineRule="auto"/>
        <w:ind w:left="420" w:leftChars="200"/>
        <w:rPr>
          <w:rFonts w:ascii="宋体" w:hAnsi="宋体" w:cs="宋体"/>
        </w:rPr>
      </w:pPr>
      <w:r>
        <w:rPr>
          <w:rFonts w:hint="eastAsia" w:ascii="宋体" w:hAnsi="宋体" w:cs="宋体"/>
        </w:rPr>
        <w:t>支持远程对设备各项功能故障进行诊断；</w:t>
      </w:r>
    </w:p>
    <w:p w14:paraId="7DB55201">
      <w:pPr>
        <w:numPr>
          <w:ilvl w:val="0"/>
          <w:numId w:val="31"/>
        </w:numPr>
        <w:spacing w:line="360" w:lineRule="auto"/>
        <w:ind w:left="420" w:leftChars="200"/>
        <w:rPr>
          <w:rFonts w:ascii="宋体" w:hAnsi="宋体" w:cs="宋体"/>
        </w:rPr>
      </w:pPr>
      <w:r>
        <w:rPr>
          <w:rFonts w:hint="eastAsia" w:ascii="宋体" w:hAnsi="宋体" w:cs="宋体"/>
        </w:rPr>
        <w:t>支持远程查看设备内部充放电模块的工作参数、工作状态、是否故障等；</w:t>
      </w:r>
    </w:p>
    <w:p w14:paraId="44988E34">
      <w:pPr>
        <w:numPr>
          <w:ilvl w:val="0"/>
          <w:numId w:val="31"/>
        </w:numPr>
        <w:spacing w:line="360" w:lineRule="auto"/>
        <w:ind w:left="420" w:leftChars="200"/>
        <w:rPr>
          <w:rFonts w:ascii="宋体" w:hAnsi="宋体" w:cs="宋体"/>
        </w:rPr>
      </w:pPr>
      <w:r>
        <w:rPr>
          <w:rFonts w:hint="eastAsia" w:ascii="宋体" w:hAnsi="宋体" w:cs="宋体"/>
        </w:rPr>
        <w:t>支持远程对电池组各种故障进行诊断。</w:t>
      </w:r>
    </w:p>
    <w:p w14:paraId="3B91F1ED">
      <w:pPr>
        <w:pStyle w:val="5"/>
        <w:spacing w:before="120"/>
        <w:rPr>
          <w:rFonts w:ascii="宋体" w:hAnsi="宋体" w:cs="宋体"/>
        </w:rPr>
      </w:pPr>
      <w:r>
        <w:rPr>
          <w:rFonts w:hint="eastAsia" w:ascii="宋体" w:hAnsi="宋体" w:cs="宋体"/>
        </w:rPr>
        <w:t>节能全在线核容测试功能</w:t>
      </w:r>
    </w:p>
    <w:p w14:paraId="5FC15D7F">
      <w:pPr>
        <w:numPr>
          <w:ilvl w:val="0"/>
          <w:numId w:val="32"/>
        </w:numPr>
        <w:spacing w:line="360" w:lineRule="auto"/>
        <w:ind w:left="420" w:leftChars="200"/>
        <w:rPr>
          <w:rFonts w:ascii="宋体" w:hAnsi="宋体" w:cs="宋体"/>
          <w:sz w:val="22"/>
        </w:rPr>
      </w:pPr>
      <w:r>
        <w:rPr>
          <w:rFonts w:hint="eastAsia" w:ascii="宋体" w:hAnsi="宋体" w:cs="宋体"/>
          <w:sz w:val="22"/>
        </w:rPr>
        <w:t>节能全在线放充电功能：设备对被测蓄电池组放电的同时保持与直流系统的实时在线连接状态；放电结束后，自动启动在线充电功能，预充电结束后，自动恢复与直流系统等电位连接状态，无需人员干预。</w:t>
      </w:r>
    </w:p>
    <w:p w14:paraId="3E9540C7">
      <w:pPr>
        <w:numPr>
          <w:ilvl w:val="0"/>
          <w:numId w:val="32"/>
        </w:numPr>
        <w:spacing w:line="360" w:lineRule="auto"/>
        <w:ind w:left="420" w:leftChars="200"/>
        <w:rPr>
          <w:rFonts w:ascii="宋体" w:hAnsi="宋体" w:cs="宋体"/>
          <w:sz w:val="22"/>
        </w:rPr>
      </w:pPr>
      <w:r>
        <w:rPr>
          <w:rFonts w:hint="eastAsia" w:ascii="宋体" w:hAnsi="宋体" w:cs="宋体"/>
          <w:sz w:val="22"/>
        </w:rPr>
        <w:t>节能放电功能：设备利用用户实际直流负载对电池组进行放电，以达到电池组节能放电目的，</w:t>
      </w:r>
    </w:p>
    <w:p w14:paraId="053BDCE4">
      <w:pPr>
        <w:numPr>
          <w:ilvl w:val="0"/>
          <w:numId w:val="32"/>
        </w:numPr>
        <w:spacing w:line="360" w:lineRule="auto"/>
        <w:ind w:left="420" w:leftChars="200"/>
        <w:rPr>
          <w:rFonts w:ascii="宋体" w:hAnsi="宋体" w:cs="宋体"/>
          <w:sz w:val="22"/>
        </w:rPr>
      </w:pPr>
      <w:r>
        <w:rPr>
          <w:rFonts w:hint="eastAsia" w:ascii="宋体" w:hAnsi="宋体" w:cs="宋体"/>
          <w:sz w:val="22"/>
        </w:rPr>
        <w:t>电池组端电压下限终止核容功能:设置一定组端电压门限，放电到该数值时自动停止放电测试并显示停止核容原因为组端电压下限到的原因；</w:t>
      </w:r>
    </w:p>
    <w:p w14:paraId="7AACE1BE">
      <w:pPr>
        <w:numPr>
          <w:ilvl w:val="0"/>
          <w:numId w:val="32"/>
        </w:numPr>
        <w:spacing w:line="360" w:lineRule="auto"/>
        <w:ind w:left="420" w:leftChars="200"/>
        <w:rPr>
          <w:rFonts w:ascii="宋体" w:hAnsi="宋体" w:cs="宋体"/>
          <w:sz w:val="22"/>
        </w:rPr>
      </w:pPr>
      <w:r>
        <w:rPr>
          <w:rFonts w:hint="eastAsia" w:ascii="宋体" w:hAnsi="宋体" w:cs="宋体"/>
          <w:sz w:val="22"/>
        </w:rPr>
        <w:t>电池单体电压下限终止核容功能: 设置一定单体电压门限，放电到该数值时自动停止放电测试并显示终止核容原因为单体电压下限到的原因；</w:t>
      </w:r>
    </w:p>
    <w:p w14:paraId="7A5EA898">
      <w:pPr>
        <w:numPr>
          <w:ilvl w:val="0"/>
          <w:numId w:val="32"/>
        </w:numPr>
        <w:spacing w:line="360" w:lineRule="auto"/>
        <w:ind w:left="420" w:leftChars="200"/>
        <w:rPr>
          <w:rFonts w:ascii="宋体" w:hAnsi="宋体" w:cs="宋体"/>
          <w:sz w:val="22"/>
        </w:rPr>
      </w:pPr>
      <w:r>
        <w:rPr>
          <w:rFonts w:hint="eastAsia" w:ascii="宋体" w:hAnsi="宋体" w:cs="宋体"/>
          <w:sz w:val="22"/>
        </w:rPr>
        <w:t>到达预设容量终止核容功能：设置一定预放容量门限，放电到该数值时自动停止放电测试并显示终止核容原因为放电容量到达的原因；</w:t>
      </w:r>
    </w:p>
    <w:p w14:paraId="0F70E3B8">
      <w:pPr>
        <w:numPr>
          <w:ilvl w:val="0"/>
          <w:numId w:val="32"/>
        </w:numPr>
        <w:spacing w:line="360" w:lineRule="auto"/>
        <w:ind w:left="420" w:leftChars="200"/>
        <w:rPr>
          <w:rFonts w:ascii="宋体" w:hAnsi="宋体" w:cs="宋体"/>
          <w:sz w:val="22"/>
        </w:rPr>
      </w:pPr>
      <w:r>
        <w:rPr>
          <w:rFonts w:hint="eastAsia" w:ascii="宋体" w:hAnsi="宋体" w:cs="宋体"/>
          <w:sz w:val="22"/>
        </w:rPr>
        <w:t>到达预设时间终止核容功能：设置一定测试时间，放电到该时间时自动停止放电测试并显示终止核容原因为放电时间到达的原因；</w:t>
      </w:r>
    </w:p>
    <w:p w14:paraId="76F0D9B5">
      <w:pPr>
        <w:numPr>
          <w:ilvl w:val="0"/>
          <w:numId w:val="32"/>
        </w:numPr>
        <w:spacing w:line="360" w:lineRule="auto"/>
        <w:ind w:left="420" w:leftChars="200"/>
        <w:rPr>
          <w:rFonts w:ascii="宋体" w:hAnsi="宋体" w:cs="宋体"/>
          <w:sz w:val="22"/>
        </w:rPr>
      </w:pPr>
      <w:r>
        <w:rPr>
          <w:rFonts w:hint="eastAsia" w:ascii="宋体" w:hAnsi="宋体" w:cs="宋体"/>
          <w:sz w:val="22"/>
        </w:rPr>
        <w:t>到达预设温度阈值终止核容功能：设置一定单体电池温度门限，放电到该数值时自动停止放电测试并显示终止核容原因为单体温度过高的原因</w:t>
      </w:r>
      <w:r>
        <w:rPr>
          <w:rFonts w:hint="eastAsia" w:asciiTheme="minorEastAsia" w:hAnsiTheme="minorEastAsia" w:eastAsiaTheme="minorEastAsia" w:cstheme="minorEastAsia"/>
          <w:b w:val="0"/>
          <w:bCs w:val="0"/>
          <w:color w:val="000000"/>
          <w:sz w:val="21"/>
          <w:szCs w:val="21"/>
          <w:u w:val="none"/>
          <w:lang w:val="en-US" w:eastAsia="zh-CN"/>
        </w:rPr>
        <w:t>。</w:t>
      </w:r>
    </w:p>
    <w:p w14:paraId="2D919943">
      <w:pPr>
        <w:numPr>
          <w:ilvl w:val="0"/>
          <w:numId w:val="32"/>
        </w:numPr>
        <w:spacing w:line="360" w:lineRule="auto"/>
        <w:ind w:left="420" w:leftChars="200"/>
        <w:rPr>
          <w:rFonts w:ascii="宋体" w:hAnsi="宋体" w:cs="宋体"/>
          <w:sz w:val="22"/>
        </w:rPr>
      </w:pPr>
      <w:r>
        <w:rPr>
          <w:rFonts w:hint="eastAsia" w:ascii="宋体" w:hAnsi="宋体" w:cs="宋体"/>
          <w:sz w:val="22"/>
        </w:rPr>
        <w:t>在线电压低(市电中断)终止核容功能：放电测试过程中遇到市电中断，自动停止放电测试，立即将被测电池组恢复与系统等电位连接状态，并显示终止核容原因为线电压低的原因。</w:t>
      </w:r>
    </w:p>
    <w:p w14:paraId="2436F237">
      <w:pPr>
        <w:pStyle w:val="31"/>
        <w:keepNext w:val="0"/>
        <w:keepLines w:val="0"/>
        <w:pageBreakBefore w:val="0"/>
        <w:widowControl w:val="0"/>
        <w:numPr>
          <w:ilvl w:val="0"/>
          <w:numId w:val="32"/>
        </w:numPr>
        <w:kinsoku/>
        <w:wordWrap/>
        <w:overflowPunct/>
        <w:topLinePunct w:val="0"/>
        <w:autoSpaceDE/>
        <w:autoSpaceDN/>
        <w:bidi w:val="0"/>
        <w:adjustRightInd/>
        <w:snapToGrid/>
        <w:spacing w:line="360" w:lineRule="auto"/>
        <w:ind w:left="845" w:leftChars="200" w:hanging="425" w:firstLineChars="0"/>
        <w:textAlignment w:val="auto"/>
        <w:rPr>
          <w:rFonts w:hint="eastAsia" w:ascii="宋体" w:hAnsi="宋体" w:eastAsia="宋体" w:cs="宋体"/>
          <w:kern w:val="2"/>
          <w:sz w:val="22"/>
          <w:szCs w:val="24"/>
          <w:highlight w:val="none"/>
          <w:lang w:val="en-US" w:eastAsia="zh-CN" w:bidi="ar-SA"/>
        </w:rPr>
      </w:pPr>
      <w:r>
        <w:rPr>
          <w:rFonts w:hint="eastAsia" w:ascii="宋体" w:hAnsi="宋体" w:eastAsia="宋体" w:cs="宋体"/>
          <w:kern w:val="2"/>
          <w:sz w:val="22"/>
          <w:szCs w:val="24"/>
          <w:highlight w:val="none"/>
          <w:lang w:val="en-US" w:eastAsia="zh-CN" w:bidi="ar-SA"/>
        </w:rPr>
        <w:t>通信中断终止核容功能：放电测试过程中遇到核容主机与核容主站通信中断，自动停止放电测试，立即将被测电池组恢复与系统等电位连接状态，并显示终止核容原因为通信中断的原因。</w:t>
      </w:r>
    </w:p>
    <w:p w14:paraId="76C9FF9C">
      <w:pPr>
        <w:pStyle w:val="31"/>
        <w:numPr>
          <w:ilvl w:val="0"/>
          <w:numId w:val="32"/>
        </w:numPr>
        <w:spacing w:line="360" w:lineRule="auto"/>
        <w:ind w:left="845" w:leftChars="200" w:hanging="425"/>
        <w:rPr>
          <w:rFonts w:hint="eastAsia"/>
          <w:lang w:val="en-US" w:eastAsia="zh-CN"/>
        </w:rPr>
      </w:pPr>
      <w:r>
        <w:rPr>
          <w:rFonts w:hint="eastAsia"/>
          <w:snapToGrid w:val="0"/>
          <w:szCs w:val="21"/>
        </w:rPr>
        <w:t>★</w:t>
      </w:r>
      <w:r>
        <w:rPr>
          <w:rFonts w:hint="eastAsia" w:ascii="宋体" w:hAnsi="宋体" w:eastAsia="宋体" w:cs="宋体"/>
          <w:color w:val="000000"/>
          <w:sz w:val="22"/>
          <w:szCs w:val="24"/>
          <w:highlight w:val="none"/>
          <w:lang w:val="en-US" w:eastAsia="zh-CN"/>
        </w:rPr>
        <w:t>设备内置蓄电池 SOH算法，能够基于蓄电池不同放电倍率及不同放电深度的核容数据分析蓄电池容量衰减程度，准确评估蓄电池健康状态，通过61850上的扩展节点，将相关数据推送至现有主站系统。详见</w:t>
      </w:r>
      <w:r>
        <w:rPr>
          <w:rFonts w:hint="eastAsia" w:ascii="宋体" w:hAnsi="宋体" w:eastAsia="宋体" w:cs="宋体"/>
          <w:sz w:val="22"/>
          <w:highlight w:val="none"/>
        </w:rPr>
        <w:t>附录A（规范性附录）蓄电池远程核容监控信息表</w:t>
      </w:r>
      <w:r>
        <w:rPr>
          <w:rFonts w:hint="eastAsia" w:ascii="宋体" w:hAnsi="宋体" w:eastAsia="宋体" w:cs="宋体"/>
          <w:color w:val="000000"/>
          <w:sz w:val="22"/>
          <w:szCs w:val="24"/>
          <w:highlight w:val="none"/>
          <w:lang w:val="en-US" w:eastAsia="zh-CN"/>
        </w:rPr>
        <w:t>表</w:t>
      </w:r>
      <w:r>
        <w:rPr>
          <w:rFonts w:hint="eastAsia" w:ascii="宋体" w:hAnsi="宋体" w:eastAsia="宋体" w:cs="宋体"/>
          <w:sz w:val="22"/>
          <w:szCs w:val="24"/>
          <w:highlight w:val="none"/>
          <w:lang w:val="en-US" w:eastAsia="zh-CN"/>
        </w:rPr>
        <w:t>5</w:t>
      </w:r>
      <w:r>
        <w:rPr>
          <w:rFonts w:hint="eastAsia" w:ascii="宋体" w:hAnsi="宋体" w:eastAsia="宋体" w:cs="宋体"/>
          <w:color w:val="000000"/>
          <w:sz w:val="22"/>
          <w:szCs w:val="24"/>
          <w:highlight w:val="none"/>
          <w:lang w:val="en-US" w:eastAsia="zh-CN"/>
        </w:rPr>
        <w:t xml:space="preserve"> SOH扩展字段说明</w:t>
      </w:r>
      <w:r>
        <w:rPr>
          <w:rFonts w:hint="eastAsia" w:ascii="宋体" w:hAnsi="宋体" w:cs="宋体"/>
          <w:color w:val="000000"/>
          <w:sz w:val="22"/>
          <w:szCs w:val="24"/>
          <w:highlight w:val="none"/>
          <w:lang w:val="en-US" w:eastAsia="zh-CN"/>
        </w:rPr>
        <w:t>。</w:t>
      </w:r>
    </w:p>
    <w:p w14:paraId="11BA3252">
      <w:pPr>
        <w:pStyle w:val="5"/>
        <w:tabs>
          <w:tab w:val="clear" w:pos="0"/>
        </w:tabs>
        <w:spacing w:before="120"/>
        <w:rPr>
          <w:rFonts w:ascii="宋体" w:hAnsi="宋体" w:cs="宋体"/>
        </w:rPr>
      </w:pPr>
      <w:r>
        <w:rPr>
          <w:rFonts w:hint="eastAsia" w:ascii="宋体" w:hAnsi="宋体" w:cs="宋体"/>
        </w:rPr>
        <w:t>节能全在线充电功能</w:t>
      </w:r>
    </w:p>
    <w:p w14:paraId="0B8B9526">
      <w:pPr>
        <w:numPr>
          <w:ilvl w:val="0"/>
          <w:numId w:val="33"/>
        </w:numPr>
        <w:spacing w:line="360" w:lineRule="auto"/>
        <w:ind w:left="420" w:leftChars="200"/>
        <w:rPr>
          <w:rFonts w:ascii="宋体" w:hAnsi="宋体" w:cs="宋体"/>
          <w:sz w:val="22"/>
        </w:rPr>
      </w:pPr>
      <w:r>
        <w:rPr>
          <w:rFonts w:hint="eastAsia" w:ascii="宋体" w:hAnsi="宋体" w:cs="宋体"/>
          <w:sz w:val="22"/>
        </w:rPr>
        <w:t>节能全在线放电结束后，自动将被测电池组静置30秒至1分钟，同时保持其在线后备状态，然后自动启动在线预充电功能；</w:t>
      </w:r>
    </w:p>
    <w:p w14:paraId="45C6E29C">
      <w:pPr>
        <w:numPr>
          <w:ilvl w:val="0"/>
          <w:numId w:val="33"/>
        </w:numPr>
        <w:spacing w:line="360" w:lineRule="auto"/>
        <w:ind w:left="420" w:leftChars="200"/>
        <w:rPr>
          <w:rFonts w:ascii="宋体" w:hAnsi="宋体" w:cs="宋体"/>
          <w:sz w:val="22"/>
        </w:rPr>
      </w:pPr>
      <w:r>
        <w:rPr>
          <w:rFonts w:hint="eastAsia" w:ascii="宋体" w:hAnsi="宋体" w:cs="宋体"/>
          <w:sz w:val="22"/>
        </w:rPr>
        <w:t>充电结束后，自动将被测电池组恢复与直流系统等电位连接状态，无需人员干预；</w:t>
      </w:r>
    </w:p>
    <w:p w14:paraId="7288CBAF">
      <w:pPr>
        <w:numPr>
          <w:ilvl w:val="0"/>
          <w:numId w:val="33"/>
        </w:numPr>
        <w:spacing w:line="360" w:lineRule="auto"/>
        <w:ind w:left="420" w:leftChars="200"/>
        <w:rPr>
          <w:rFonts w:ascii="宋体" w:hAnsi="宋体" w:cs="宋体"/>
          <w:sz w:val="22"/>
        </w:rPr>
      </w:pPr>
      <w:r>
        <w:rPr>
          <w:rFonts w:hint="eastAsia" w:ascii="宋体" w:hAnsi="宋体" w:cs="宋体"/>
          <w:sz w:val="22"/>
        </w:rPr>
        <w:t>充电电流大小可通过测试参数进行设置；</w:t>
      </w:r>
    </w:p>
    <w:p w14:paraId="518E867E">
      <w:pPr>
        <w:numPr>
          <w:ilvl w:val="0"/>
          <w:numId w:val="33"/>
        </w:numPr>
        <w:spacing w:line="360" w:lineRule="auto"/>
        <w:ind w:left="420" w:leftChars="200"/>
        <w:rPr>
          <w:rFonts w:ascii="宋体" w:hAnsi="宋体" w:cs="宋体"/>
          <w:sz w:val="22"/>
        </w:rPr>
      </w:pPr>
      <w:r>
        <w:rPr>
          <w:rFonts w:hint="eastAsia" w:ascii="宋体" w:hAnsi="宋体" w:cs="宋体"/>
          <w:sz w:val="22"/>
        </w:rPr>
        <w:t>充电过程为先恒流充电，后恒压充电。</w:t>
      </w:r>
    </w:p>
    <w:p w14:paraId="1206AC46">
      <w:pPr>
        <w:pStyle w:val="5"/>
        <w:tabs>
          <w:tab w:val="clear" w:pos="0"/>
        </w:tabs>
        <w:spacing w:before="120"/>
        <w:rPr>
          <w:rFonts w:ascii="宋体" w:hAnsi="宋体" w:cs="宋体"/>
        </w:rPr>
      </w:pPr>
      <w:r>
        <w:rPr>
          <w:rFonts w:hint="eastAsia" w:ascii="宋体" w:hAnsi="宋体" w:cs="宋体"/>
        </w:rPr>
        <w:t>全在线电池电压、电流监测功能</w:t>
      </w:r>
    </w:p>
    <w:p w14:paraId="3D3CCA70">
      <w:pPr>
        <w:numPr>
          <w:ilvl w:val="0"/>
          <w:numId w:val="34"/>
        </w:numPr>
        <w:spacing w:line="360" w:lineRule="auto"/>
        <w:ind w:left="420" w:leftChars="200"/>
        <w:rPr>
          <w:rFonts w:ascii="宋体" w:hAnsi="宋体" w:cs="宋体"/>
          <w:sz w:val="22"/>
        </w:rPr>
      </w:pPr>
      <w:r>
        <w:rPr>
          <w:rFonts w:hint="eastAsia" w:ascii="宋体" w:hAnsi="宋体" w:cs="宋体"/>
          <w:sz w:val="22"/>
        </w:rPr>
        <w:t>能在线监测蓄电池组的工作状态、系统在线电压、组端电压、电池电流等。</w:t>
      </w:r>
    </w:p>
    <w:p w14:paraId="417D39B3">
      <w:pPr>
        <w:numPr>
          <w:ilvl w:val="0"/>
          <w:numId w:val="34"/>
        </w:numPr>
        <w:spacing w:line="360" w:lineRule="auto"/>
        <w:ind w:left="420" w:leftChars="200"/>
        <w:rPr>
          <w:rFonts w:ascii="宋体" w:hAnsi="宋体" w:cs="宋体"/>
        </w:rPr>
      </w:pPr>
      <w:r>
        <w:rPr>
          <w:rFonts w:hint="eastAsia" w:ascii="宋体" w:hAnsi="宋体" w:cs="宋体"/>
          <w:sz w:val="22"/>
        </w:rPr>
        <w:t>蓄电池组的工作状态、端电压、电流等数据能在本机显示屏上显示，同时能实时上传中心监控主站。</w:t>
      </w:r>
    </w:p>
    <w:p w14:paraId="36302FEE">
      <w:pPr>
        <w:pStyle w:val="5"/>
        <w:tabs>
          <w:tab w:val="clear" w:pos="0"/>
        </w:tabs>
        <w:spacing w:before="120"/>
        <w:rPr>
          <w:rFonts w:ascii="宋体" w:hAnsi="宋体" w:cs="宋体"/>
        </w:rPr>
      </w:pPr>
      <w:r>
        <w:rPr>
          <w:rFonts w:hint="eastAsia" w:ascii="宋体" w:hAnsi="宋体" w:cs="宋体"/>
        </w:rPr>
        <w:t>全在线电池单体电压、内阻、极柱温度测量功能</w:t>
      </w:r>
    </w:p>
    <w:p w14:paraId="4185ED9D">
      <w:pPr>
        <w:numPr>
          <w:ilvl w:val="0"/>
          <w:numId w:val="35"/>
        </w:numPr>
        <w:spacing w:line="360" w:lineRule="auto"/>
        <w:ind w:left="420" w:leftChars="200"/>
        <w:rPr>
          <w:rFonts w:ascii="宋体" w:hAnsi="宋体" w:cs="宋体"/>
          <w:sz w:val="22"/>
        </w:rPr>
      </w:pPr>
      <w:r>
        <w:rPr>
          <w:rFonts w:hint="eastAsia" w:ascii="宋体" w:hAnsi="宋体" w:cs="宋体"/>
          <w:sz w:val="22"/>
        </w:rPr>
        <w:t>能通过RS485总线获取来自单体采集模块的单体电压、内阻、极柱温度等数据。</w:t>
      </w:r>
    </w:p>
    <w:p w14:paraId="3E553EFB">
      <w:pPr>
        <w:numPr>
          <w:ilvl w:val="0"/>
          <w:numId w:val="34"/>
        </w:numPr>
        <w:spacing w:line="360" w:lineRule="auto"/>
        <w:ind w:left="420" w:leftChars="200"/>
        <w:rPr>
          <w:rFonts w:ascii="宋体" w:hAnsi="宋体" w:cs="宋体"/>
        </w:rPr>
      </w:pPr>
      <w:r>
        <w:rPr>
          <w:rFonts w:hint="eastAsia" w:ascii="宋体" w:hAnsi="宋体" w:cs="宋体"/>
          <w:sz w:val="22"/>
        </w:rPr>
        <w:t>获取到的单体电压、内阻、极柱温度等数据能在本机显示屏上显示，同时能实时上传中心监控主站。</w:t>
      </w:r>
    </w:p>
    <w:p w14:paraId="11BA1F7B">
      <w:pPr>
        <w:pStyle w:val="5"/>
        <w:tabs>
          <w:tab w:val="clear" w:pos="0"/>
        </w:tabs>
        <w:spacing w:before="120"/>
        <w:rPr>
          <w:rFonts w:ascii="宋体" w:hAnsi="宋体" w:cs="宋体"/>
        </w:rPr>
      </w:pPr>
      <w:r>
        <w:rPr>
          <w:rFonts w:hint="eastAsia" w:ascii="宋体" w:hAnsi="宋体" w:cs="宋体"/>
        </w:rPr>
        <w:t>短路电流</w:t>
      </w:r>
    </w:p>
    <w:p w14:paraId="04A7DEB5">
      <w:pPr>
        <w:spacing w:line="360" w:lineRule="auto"/>
        <w:ind w:left="425"/>
        <w:rPr>
          <w:rFonts w:ascii="宋体" w:hAnsi="宋体" w:cs="宋体"/>
        </w:rPr>
      </w:pPr>
      <w:r>
        <w:rPr>
          <w:rFonts w:hint="eastAsia" w:ascii="宋体" w:hAnsi="宋体" w:cs="宋体"/>
        </w:rPr>
        <w:t>设备应支持直流输入侧短路电流1000A至少1ms</w:t>
      </w:r>
      <w:r>
        <w:rPr>
          <w:rFonts w:hint="eastAsia" w:ascii="宋体" w:hAnsi="宋体" w:cs="宋体"/>
          <w:lang w:eastAsia="zh-CN"/>
        </w:rPr>
        <w:t>，按专用部分分档执行</w:t>
      </w:r>
      <w:r>
        <w:rPr>
          <w:rFonts w:hint="eastAsia" w:ascii="宋体" w:hAnsi="宋体" w:cs="宋体"/>
        </w:rPr>
        <w:t>。</w:t>
      </w:r>
    </w:p>
    <w:p w14:paraId="656C50EE">
      <w:pPr>
        <w:pStyle w:val="4"/>
        <w:spacing w:before="120"/>
        <w:rPr>
          <w:rFonts w:ascii="宋体" w:hAnsi="宋体" w:cs="宋体"/>
        </w:rPr>
      </w:pPr>
      <w:bookmarkStart w:id="243" w:name="_Toc14790"/>
      <w:bookmarkStart w:id="244" w:name="_Toc17459"/>
      <w:bookmarkStart w:id="245" w:name="_Toc514407938"/>
      <w:bookmarkStart w:id="246" w:name="_Toc32330"/>
      <w:bookmarkStart w:id="247" w:name="_Toc27103"/>
      <w:bookmarkStart w:id="248" w:name="_Toc97405510"/>
      <w:bookmarkStart w:id="249" w:name="_Toc42319661"/>
      <w:r>
        <w:rPr>
          <w:rFonts w:hint="eastAsia" w:ascii="宋体" w:hAnsi="宋体" w:cs="宋体"/>
        </w:rPr>
        <w:t>系统主机性能指标</w:t>
      </w:r>
      <w:bookmarkEnd w:id="243"/>
      <w:bookmarkEnd w:id="244"/>
      <w:bookmarkEnd w:id="245"/>
      <w:bookmarkEnd w:id="246"/>
      <w:bookmarkEnd w:id="247"/>
      <w:bookmarkEnd w:id="248"/>
      <w:bookmarkEnd w:id="249"/>
    </w:p>
    <w:p w14:paraId="04E428E5">
      <w:pPr>
        <w:pStyle w:val="5"/>
        <w:tabs>
          <w:tab w:val="clear" w:pos="0"/>
        </w:tabs>
        <w:spacing w:before="120"/>
        <w:rPr>
          <w:rFonts w:ascii="宋体" w:hAnsi="宋体" w:cs="宋体"/>
        </w:rPr>
      </w:pPr>
      <w:r>
        <w:rPr>
          <w:rFonts w:hint="eastAsia" w:ascii="宋体" w:hAnsi="宋体" w:cs="宋体"/>
        </w:rPr>
        <w:t>支持电池组规格</w:t>
      </w:r>
    </w:p>
    <w:p w14:paraId="2B0A5BB5">
      <w:pPr>
        <w:numPr>
          <w:ilvl w:val="0"/>
          <w:numId w:val="36"/>
        </w:numPr>
        <w:spacing w:line="360" w:lineRule="auto"/>
        <w:ind w:left="420" w:leftChars="200"/>
        <w:jc w:val="left"/>
        <w:rPr>
          <w:rFonts w:ascii="宋体" w:hAnsi="宋体" w:cs="宋体"/>
          <w:sz w:val="22"/>
        </w:rPr>
      </w:pPr>
      <w:r>
        <w:rPr>
          <w:rFonts w:hint="eastAsia" w:ascii="宋体" w:hAnsi="宋体" w:cs="宋体"/>
          <w:sz w:val="22"/>
        </w:rPr>
        <w:t>支持标称组端电压48V铅酸蓄电池组；</w:t>
      </w:r>
    </w:p>
    <w:p w14:paraId="4213240D">
      <w:pPr>
        <w:numPr>
          <w:ilvl w:val="0"/>
          <w:numId w:val="36"/>
        </w:numPr>
        <w:spacing w:line="360" w:lineRule="auto"/>
        <w:ind w:left="420" w:leftChars="200"/>
        <w:jc w:val="left"/>
        <w:rPr>
          <w:rFonts w:ascii="宋体" w:hAnsi="宋体" w:cs="宋体"/>
          <w:sz w:val="22"/>
        </w:rPr>
      </w:pPr>
      <w:r>
        <w:rPr>
          <w:rFonts w:hint="eastAsia" w:ascii="宋体" w:hAnsi="宋体" w:cs="宋体"/>
          <w:sz w:val="22"/>
        </w:rPr>
        <w:t>支持</w:t>
      </w:r>
      <w:r>
        <w:rPr>
          <w:rFonts w:ascii="宋体" w:hAnsi="宋体" w:cs="宋体"/>
          <w:sz w:val="22"/>
        </w:rPr>
        <w:t>2V单体</w:t>
      </w:r>
      <w:r>
        <w:rPr>
          <w:rFonts w:hint="eastAsia" w:ascii="宋体" w:hAnsi="宋体" w:cs="宋体"/>
          <w:sz w:val="22"/>
        </w:rPr>
        <w:t>蓄</w:t>
      </w:r>
      <w:r>
        <w:rPr>
          <w:rFonts w:ascii="宋体" w:hAnsi="宋体" w:cs="宋体"/>
          <w:sz w:val="22"/>
        </w:rPr>
        <w:t>电池</w:t>
      </w:r>
      <w:r>
        <w:rPr>
          <w:rFonts w:hint="eastAsia" w:ascii="宋体" w:hAnsi="宋体" w:cs="宋体"/>
          <w:sz w:val="22"/>
        </w:rPr>
        <w:t>,容量</w:t>
      </w:r>
      <w:r>
        <w:rPr>
          <w:rFonts w:ascii="宋体" w:hAnsi="宋体" w:cs="宋体"/>
          <w:sz w:val="22"/>
        </w:rPr>
        <w:t>50-2000AH</w:t>
      </w:r>
      <w:r>
        <w:rPr>
          <w:rFonts w:hint="eastAsia" w:ascii="宋体" w:hAnsi="宋体" w:cs="宋体"/>
          <w:sz w:val="22"/>
        </w:rPr>
        <w:t>。</w:t>
      </w:r>
    </w:p>
    <w:p w14:paraId="03AEAE37">
      <w:pPr>
        <w:pStyle w:val="5"/>
        <w:tabs>
          <w:tab w:val="clear" w:pos="0"/>
        </w:tabs>
        <w:spacing w:before="120"/>
        <w:rPr>
          <w:rFonts w:ascii="宋体" w:hAnsi="宋体" w:cs="宋体"/>
        </w:rPr>
      </w:pPr>
      <w:r>
        <w:rPr>
          <w:rFonts w:hint="eastAsia" w:ascii="宋体" w:hAnsi="宋体" w:cs="宋体"/>
        </w:rPr>
        <w:t>主机工作电压范围</w:t>
      </w:r>
    </w:p>
    <w:p w14:paraId="35F6C6BF">
      <w:pPr>
        <w:numPr>
          <w:ilvl w:val="0"/>
          <w:numId w:val="37"/>
        </w:numPr>
        <w:spacing w:line="360" w:lineRule="auto"/>
        <w:ind w:left="420" w:leftChars="200"/>
        <w:jc w:val="left"/>
        <w:rPr>
          <w:rFonts w:ascii="宋体" w:hAnsi="宋体" w:cs="宋体"/>
          <w:sz w:val="22"/>
        </w:rPr>
      </w:pPr>
      <w:r>
        <w:rPr>
          <w:rFonts w:hint="eastAsia" w:ascii="宋体" w:hAnsi="宋体" w:cs="宋体"/>
          <w:sz w:val="22"/>
        </w:rPr>
        <w:t>设备供电工作电压：35—60V DC</w:t>
      </w:r>
    </w:p>
    <w:p w14:paraId="784E5FBB">
      <w:pPr>
        <w:numPr>
          <w:ilvl w:val="0"/>
          <w:numId w:val="37"/>
        </w:numPr>
        <w:spacing w:line="360" w:lineRule="auto"/>
        <w:ind w:left="420" w:leftChars="200"/>
        <w:jc w:val="left"/>
        <w:rPr>
          <w:rFonts w:ascii="宋体" w:hAnsi="宋体" w:cs="宋体"/>
          <w:sz w:val="22"/>
        </w:rPr>
      </w:pPr>
      <w:r>
        <w:rPr>
          <w:rFonts w:hint="eastAsia" w:ascii="宋体" w:hAnsi="宋体" w:cs="宋体"/>
          <w:sz w:val="22"/>
        </w:rPr>
        <w:t>设备充放电测试电压：40—57V DC</w:t>
      </w:r>
    </w:p>
    <w:p w14:paraId="3A22EE02">
      <w:pPr>
        <w:pStyle w:val="5"/>
        <w:tabs>
          <w:tab w:val="clear" w:pos="0"/>
        </w:tabs>
        <w:spacing w:before="120"/>
        <w:rPr>
          <w:rFonts w:ascii="宋体" w:hAnsi="宋体" w:cs="宋体"/>
        </w:rPr>
      </w:pPr>
      <w:r>
        <w:rPr>
          <w:rFonts w:hint="eastAsia" w:ascii="宋体" w:hAnsi="宋体" w:cs="宋体"/>
        </w:rPr>
        <w:t>充放电电流范围</w:t>
      </w:r>
    </w:p>
    <w:p w14:paraId="004C269A">
      <w:pPr>
        <w:numPr>
          <w:ilvl w:val="0"/>
          <w:numId w:val="38"/>
        </w:numPr>
        <w:spacing w:line="360" w:lineRule="auto"/>
        <w:ind w:left="420" w:leftChars="200"/>
        <w:jc w:val="left"/>
        <w:rPr>
          <w:rFonts w:ascii="宋体" w:hAnsi="宋体" w:cs="宋体"/>
          <w:sz w:val="22"/>
        </w:rPr>
      </w:pPr>
      <w:r>
        <w:rPr>
          <w:rFonts w:hint="eastAsia" w:ascii="宋体" w:hAnsi="宋体" w:cs="宋体"/>
          <w:sz w:val="22"/>
        </w:rPr>
        <w:t>放电核容电流范围为1-200A连续可调并稳流；</w:t>
      </w:r>
    </w:p>
    <w:p w14:paraId="173B43F2">
      <w:pPr>
        <w:numPr>
          <w:ilvl w:val="0"/>
          <w:numId w:val="38"/>
        </w:numPr>
        <w:spacing w:line="360" w:lineRule="auto"/>
        <w:ind w:left="420" w:leftChars="200"/>
        <w:jc w:val="left"/>
        <w:rPr>
          <w:rFonts w:ascii="宋体" w:hAnsi="宋体" w:cs="宋体"/>
          <w:sz w:val="22"/>
        </w:rPr>
      </w:pPr>
      <w:r>
        <w:rPr>
          <w:rFonts w:hint="eastAsia" w:ascii="宋体" w:hAnsi="宋体" w:cs="宋体"/>
          <w:sz w:val="22"/>
        </w:rPr>
        <w:t>预充电电流范围为1-</w:t>
      </w:r>
      <w:r>
        <w:rPr>
          <w:rFonts w:hint="eastAsia" w:ascii="宋体" w:hAnsi="宋体" w:cs="宋体"/>
          <w:sz w:val="22"/>
          <w:lang w:val="en-US" w:eastAsia="zh-CN"/>
        </w:rPr>
        <w:t>20</w:t>
      </w:r>
      <w:r>
        <w:rPr>
          <w:rFonts w:hint="eastAsia" w:ascii="宋体" w:hAnsi="宋体" w:cs="宋体"/>
          <w:sz w:val="22"/>
        </w:rPr>
        <w:t>0A连续可调并稳流；</w:t>
      </w:r>
    </w:p>
    <w:p w14:paraId="746C9E89">
      <w:pPr>
        <w:numPr>
          <w:ilvl w:val="0"/>
          <w:numId w:val="38"/>
        </w:numPr>
        <w:spacing w:line="360" w:lineRule="auto"/>
        <w:ind w:left="420" w:leftChars="200"/>
        <w:jc w:val="left"/>
        <w:rPr>
          <w:rFonts w:ascii="宋体" w:hAnsi="宋体" w:cs="宋体"/>
          <w:sz w:val="22"/>
        </w:rPr>
      </w:pPr>
      <w:r>
        <w:rPr>
          <w:rFonts w:hint="eastAsia" w:ascii="宋体" w:hAnsi="宋体" w:cs="宋体"/>
          <w:sz w:val="22"/>
        </w:rPr>
        <w:t>保证蓄电池组在线二极管和常闭接触器配置要求带载能力要求如下：</w:t>
      </w:r>
    </w:p>
    <w:p w14:paraId="0CDC446A">
      <w:pPr>
        <w:spacing w:line="360" w:lineRule="auto"/>
        <w:ind w:left="420" w:leftChars="200" w:firstLine="440" w:firstLineChars="200"/>
        <w:jc w:val="left"/>
        <w:rPr>
          <w:rFonts w:ascii="宋体" w:hAnsi="宋体" w:cs="宋体"/>
          <w:sz w:val="22"/>
        </w:rPr>
      </w:pPr>
      <w:r>
        <w:rPr>
          <w:rFonts w:hint="eastAsia" w:ascii="宋体" w:hAnsi="宋体" w:cs="宋体"/>
          <w:sz w:val="22"/>
        </w:rPr>
        <w:t>（电源120A，200A）：带载能力不小于200A，核容电流不小于100A。</w:t>
      </w:r>
    </w:p>
    <w:p w14:paraId="14EA19AE">
      <w:pPr>
        <w:spacing w:line="360" w:lineRule="auto"/>
        <w:ind w:left="420" w:leftChars="200" w:firstLine="440" w:firstLineChars="200"/>
        <w:jc w:val="left"/>
        <w:rPr>
          <w:rFonts w:ascii="宋体" w:hAnsi="宋体" w:cs="宋体"/>
          <w:sz w:val="22"/>
        </w:rPr>
      </w:pPr>
      <w:r>
        <w:rPr>
          <w:rFonts w:hint="eastAsia" w:ascii="宋体" w:hAnsi="宋体" w:cs="宋体"/>
          <w:sz w:val="22"/>
        </w:rPr>
        <w:t>（电源300A，400A）：带载能力不小于400A，核容电流不小于100A。</w:t>
      </w:r>
    </w:p>
    <w:p w14:paraId="744F8DE1">
      <w:pPr>
        <w:spacing w:line="360" w:lineRule="auto"/>
        <w:ind w:left="420" w:leftChars="200" w:firstLine="440" w:firstLineChars="200"/>
        <w:jc w:val="left"/>
        <w:rPr>
          <w:rFonts w:ascii="宋体" w:hAnsi="宋体" w:cs="宋体"/>
          <w:sz w:val="22"/>
        </w:rPr>
      </w:pPr>
      <w:r>
        <w:rPr>
          <w:rFonts w:hint="eastAsia" w:ascii="宋体" w:hAnsi="宋体" w:cs="宋体"/>
          <w:sz w:val="22"/>
        </w:rPr>
        <w:t>（电源500A，600A）：带载能力不小于600A，核容电流不小于200A。</w:t>
      </w:r>
    </w:p>
    <w:p w14:paraId="0C57FE47">
      <w:pPr>
        <w:pStyle w:val="5"/>
        <w:tabs>
          <w:tab w:val="clear" w:pos="0"/>
        </w:tabs>
        <w:spacing w:before="120"/>
        <w:rPr>
          <w:rFonts w:ascii="宋体" w:hAnsi="宋体" w:cs="宋体"/>
        </w:rPr>
      </w:pPr>
      <w:r>
        <w:rPr>
          <w:rFonts w:hint="eastAsia" w:ascii="宋体" w:hAnsi="宋体" w:cs="宋体"/>
        </w:rPr>
        <w:t>测量分辨率</w:t>
      </w:r>
    </w:p>
    <w:p w14:paraId="5E7BF4AE">
      <w:pPr>
        <w:numPr>
          <w:ilvl w:val="0"/>
          <w:numId w:val="39"/>
        </w:numPr>
        <w:spacing w:line="360" w:lineRule="auto"/>
        <w:ind w:left="420" w:leftChars="200"/>
        <w:jc w:val="left"/>
        <w:rPr>
          <w:rFonts w:ascii="宋体" w:hAnsi="宋体" w:cs="宋体"/>
          <w:sz w:val="22"/>
        </w:rPr>
      </w:pPr>
      <w:r>
        <w:rPr>
          <w:rFonts w:hint="eastAsia" w:ascii="宋体" w:hAnsi="宋体" w:cs="宋体"/>
          <w:sz w:val="22"/>
        </w:rPr>
        <w:t>直流系统母线电压：不大于0.01V</w:t>
      </w:r>
    </w:p>
    <w:p w14:paraId="2E6B3AB2">
      <w:pPr>
        <w:numPr>
          <w:ilvl w:val="0"/>
          <w:numId w:val="39"/>
        </w:numPr>
        <w:spacing w:line="360" w:lineRule="auto"/>
        <w:ind w:left="420" w:leftChars="200"/>
        <w:jc w:val="left"/>
        <w:rPr>
          <w:rFonts w:ascii="宋体" w:hAnsi="宋体" w:cs="宋体"/>
          <w:sz w:val="22"/>
        </w:rPr>
      </w:pPr>
      <w:r>
        <w:rPr>
          <w:rFonts w:hint="eastAsia" w:ascii="宋体" w:hAnsi="宋体" w:cs="宋体"/>
          <w:sz w:val="22"/>
        </w:rPr>
        <w:t>组端电压：不大于0.01V</w:t>
      </w:r>
    </w:p>
    <w:p w14:paraId="301558DC">
      <w:pPr>
        <w:numPr>
          <w:ilvl w:val="0"/>
          <w:numId w:val="39"/>
        </w:numPr>
        <w:spacing w:line="360" w:lineRule="auto"/>
        <w:ind w:left="420" w:leftChars="200"/>
        <w:jc w:val="left"/>
        <w:rPr>
          <w:rFonts w:ascii="宋体" w:hAnsi="宋体" w:cs="宋体"/>
          <w:sz w:val="22"/>
        </w:rPr>
      </w:pPr>
      <w:r>
        <w:rPr>
          <w:rFonts w:hint="eastAsia" w:ascii="宋体" w:hAnsi="宋体" w:cs="宋体"/>
          <w:sz w:val="22"/>
        </w:rPr>
        <w:t>充放电电流：不大于0.1A</w:t>
      </w:r>
    </w:p>
    <w:p w14:paraId="41D73903">
      <w:pPr>
        <w:pStyle w:val="5"/>
        <w:tabs>
          <w:tab w:val="clear" w:pos="0"/>
        </w:tabs>
        <w:spacing w:before="120"/>
        <w:rPr>
          <w:rFonts w:ascii="宋体" w:hAnsi="宋体" w:cs="宋体"/>
        </w:rPr>
      </w:pPr>
      <w:r>
        <w:rPr>
          <w:rFonts w:hint="eastAsia" w:ascii="宋体" w:hAnsi="宋体" w:cs="宋体"/>
        </w:rPr>
        <w:t>测量误差</w:t>
      </w:r>
    </w:p>
    <w:p w14:paraId="05049DBA">
      <w:pPr>
        <w:numPr>
          <w:ilvl w:val="0"/>
          <w:numId w:val="40"/>
        </w:numPr>
        <w:spacing w:line="360" w:lineRule="auto"/>
        <w:ind w:left="420" w:leftChars="200"/>
        <w:jc w:val="left"/>
        <w:rPr>
          <w:rFonts w:ascii="宋体" w:hAnsi="宋体" w:cs="宋体"/>
          <w:sz w:val="22"/>
        </w:rPr>
      </w:pPr>
      <w:r>
        <w:rPr>
          <w:rFonts w:hint="eastAsia" w:ascii="宋体" w:hAnsi="宋体" w:cs="宋体"/>
          <w:sz w:val="22"/>
        </w:rPr>
        <w:t>直流系统母线电压：</w:t>
      </w:r>
      <w:r>
        <w:rPr>
          <w:rFonts w:hint="eastAsia" w:ascii="宋体" w:hAnsi="宋体" w:cs="宋体"/>
        </w:rPr>
        <w:t>±</w:t>
      </w:r>
      <w:r>
        <w:rPr>
          <w:rFonts w:hint="eastAsia" w:ascii="宋体" w:hAnsi="宋体" w:cs="宋体"/>
          <w:sz w:val="22"/>
        </w:rPr>
        <w:t>0.5% * 标称直流系统母线电压</w:t>
      </w:r>
    </w:p>
    <w:p w14:paraId="2C621FB0">
      <w:pPr>
        <w:numPr>
          <w:ilvl w:val="0"/>
          <w:numId w:val="40"/>
        </w:numPr>
        <w:spacing w:line="360" w:lineRule="auto"/>
        <w:ind w:left="420" w:leftChars="200"/>
        <w:jc w:val="left"/>
        <w:rPr>
          <w:rFonts w:ascii="宋体" w:hAnsi="宋体" w:cs="宋体"/>
          <w:sz w:val="22"/>
        </w:rPr>
      </w:pPr>
      <w:r>
        <w:rPr>
          <w:rFonts w:hint="eastAsia" w:ascii="宋体" w:hAnsi="宋体" w:cs="宋体"/>
          <w:sz w:val="22"/>
        </w:rPr>
        <w:t>电池组端电压：</w:t>
      </w:r>
      <w:r>
        <w:rPr>
          <w:rFonts w:hint="eastAsia" w:ascii="宋体" w:hAnsi="宋体" w:cs="宋体"/>
        </w:rPr>
        <w:t>±</w:t>
      </w:r>
      <w:r>
        <w:rPr>
          <w:rFonts w:hint="eastAsia" w:ascii="宋体" w:hAnsi="宋体" w:cs="宋体"/>
          <w:sz w:val="22"/>
        </w:rPr>
        <w:t>0.5% * 标称电池组端电压</w:t>
      </w:r>
    </w:p>
    <w:p w14:paraId="040B2845">
      <w:pPr>
        <w:numPr>
          <w:ilvl w:val="0"/>
          <w:numId w:val="40"/>
        </w:numPr>
        <w:spacing w:line="360" w:lineRule="auto"/>
        <w:ind w:left="420" w:leftChars="200"/>
        <w:jc w:val="left"/>
        <w:rPr>
          <w:rFonts w:ascii="宋体" w:hAnsi="宋体" w:cs="宋体"/>
          <w:sz w:val="22"/>
        </w:rPr>
      </w:pPr>
      <w:r>
        <w:rPr>
          <w:rFonts w:hint="eastAsia" w:ascii="宋体" w:hAnsi="宋体" w:cs="宋体"/>
          <w:sz w:val="22"/>
        </w:rPr>
        <w:t>充放电电流：</w:t>
      </w:r>
      <w:r>
        <w:rPr>
          <w:rFonts w:hint="eastAsia" w:ascii="宋体" w:hAnsi="宋体" w:cs="宋体"/>
        </w:rPr>
        <w:t>±</w:t>
      </w:r>
      <w:r>
        <w:rPr>
          <w:rFonts w:hint="eastAsia" w:ascii="宋体" w:hAnsi="宋体" w:cs="宋体"/>
          <w:sz w:val="22"/>
        </w:rPr>
        <w:t>1% * 电流量程</w:t>
      </w:r>
    </w:p>
    <w:p w14:paraId="78F0F490">
      <w:pPr>
        <w:pStyle w:val="5"/>
        <w:tabs>
          <w:tab w:val="clear" w:pos="0"/>
        </w:tabs>
        <w:spacing w:before="120"/>
        <w:rPr>
          <w:rFonts w:ascii="宋体" w:hAnsi="宋体" w:cs="宋体"/>
        </w:rPr>
      </w:pPr>
      <w:r>
        <w:rPr>
          <w:rFonts w:hint="eastAsia" w:ascii="宋体" w:hAnsi="宋体" w:cs="宋体"/>
        </w:rPr>
        <w:t>节能充放电测试效率</w:t>
      </w:r>
    </w:p>
    <w:p w14:paraId="6345C630">
      <w:pPr>
        <w:spacing w:line="360" w:lineRule="auto"/>
        <w:ind w:firstLine="440" w:firstLineChars="200"/>
        <w:jc w:val="left"/>
        <w:rPr>
          <w:rFonts w:ascii="宋体" w:hAnsi="宋体" w:cs="宋体"/>
          <w:sz w:val="22"/>
        </w:rPr>
      </w:pPr>
      <w:r>
        <w:rPr>
          <w:rFonts w:hint="eastAsia" w:ascii="宋体" w:hAnsi="宋体" w:cs="宋体"/>
          <w:sz w:val="22"/>
        </w:rPr>
        <w:t>额定条件下，充放电的效率不小于90%</w:t>
      </w:r>
    </w:p>
    <w:p w14:paraId="53386EA0">
      <w:pPr>
        <w:pStyle w:val="5"/>
        <w:tabs>
          <w:tab w:val="clear" w:pos="0"/>
        </w:tabs>
        <w:spacing w:before="120"/>
        <w:rPr>
          <w:rFonts w:ascii="宋体" w:hAnsi="宋体" w:cs="宋体"/>
          <w:szCs w:val="21"/>
        </w:rPr>
      </w:pPr>
      <w:r>
        <w:rPr>
          <w:rFonts w:hint="eastAsia" w:ascii="宋体" w:hAnsi="宋体" w:cs="宋体"/>
          <w:sz w:val="22"/>
        </w:rPr>
        <w:t>平均无故障间隔时间（可靠性）</w:t>
      </w:r>
    </w:p>
    <w:p w14:paraId="2E48D3B5">
      <w:pPr>
        <w:spacing w:before="120"/>
        <w:ind w:firstLine="420"/>
        <w:rPr>
          <w:rFonts w:ascii="宋体" w:hAnsi="宋体" w:cs="宋体"/>
          <w:szCs w:val="21"/>
        </w:rPr>
      </w:pPr>
      <w:r>
        <w:rPr>
          <w:rFonts w:hint="eastAsia" w:ascii="宋体" w:hAnsi="宋体" w:cs="宋体"/>
          <w:spacing w:val="-1"/>
          <w:szCs w:val="21"/>
        </w:rPr>
        <w:t>M</w:t>
      </w:r>
      <w:r>
        <w:rPr>
          <w:rFonts w:hint="eastAsia" w:ascii="宋体" w:hAnsi="宋体" w:cs="宋体"/>
          <w:spacing w:val="2"/>
          <w:szCs w:val="21"/>
        </w:rPr>
        <w:t>T</w:t>
      </w:r>
      <w:r>
        <w:rPr>
          <w:rFonts w:hint="eastAsia" w:ascii="宋体" w:hAnsi="宋体" w:cs="宋体"/>
          <w:szCs w:val="21"/>
        </w:rPr>
        <w:t>B</w:t>
      </w:r>
      <w:r>
        <w:rPr>
          <w:rFonts w:hint="eastAsia" w:ascii="宋体" w:hAnsi="宋体" w:cs="宋体"/>
          <w:spacing w:val="1"/>
          <w:szCs w:val="21"/>
        </w:rPr>
        <w:t>F</w:t>
      </w:r>
      <w:r>
        <w:rPr>
          <w:rFonts w:hint="eastAsia" w:ascii="宋体" w:hAnsi="宋体" w:cs="宋体"/>
          <w:spacing w:val="2"/>
          <w:szCs w:val="21"/>
        </w:rPr>
        <w:t>≥</w:t>
      </w:r>
      <w:r>
        <w:rPr>
          <w:rFonts w:hint="eastAsia" w:ascii="宋体" w:hAnsi="宋体" w:cs="宋体"/>
          <w:spacing w:val="1"/>
          <w:szCs w:val="21"/>
        </w:rPr>
        <w:t>2</w:t>
      </w:r>
      <w:r>
        <w:rPr>
          <w:rFonts w:ascii="宋体" w:hAnsi="宋体" w:cs="宋体"/>
          <w:spacing w:val="1"/>
          <w:szCs w:val="21"/>
        </w:rPr>
        <w:t>0000</w:t>
      </w:r>
      <w:r>
        <w:rPr>
          <w:rFonts w:hint="eastAsia" w:ascii="宋体" w:hAnsi="宋体" w:cs="宋体"/>
          <w:spacing w:val="2"/>
          <w:szCs w:val="21"/>
        </w:rPr>
        <w:t>小</w:t>
      </w:r>
      <w:r>
        <w:rPr>
          <w:rFonts w:hint="eastAsia" w:ascii="宋体" w:hAnsi="宋体" w:cs="宋体"/>
          <w:szCs w:val="21"/>
        </w:rPr>
        <w:t>时。</w:t>
      </w:r>
    </w:p>
    <w:p w14:paraId="5F245A4A">
      <w:pPr>
        <w:pStyle w:val="5"/>
        <w:spacing w:before="120"/>
        <w:rPr>
          <w:rFonts w:ascii="宋体" w:hAnsi="宋体" w:cs="宋体"/>
        </w:rPr>
      </w:pPr>
      <w:r>
        <w:rPr>
          <w:rFonts w:hint="eastAsia" w:ascii="宋体" w:hAnsi="宋体" w:cs="宋体"/>
        </w:rPr>
        <w:t>设备要支持防雷</w:t>
      </w:r>
    </w:p>
    <w:p w14:paraId="7565E392">
      <w:pPr>
        <w:spacing w:line="360" w:lineRule="auto"/>
        <w:ind w:firstLine="440" w:firstLineChars="200"/>
        <w:jc w:val="left"/>
        <w:rPr>
          <w:rFonts w:ascii="宋体" w:hAnsi="宋体" w:cs="宋体"/>
          <w:sz w:val="22"/>
        </w:rPr>
      </w:pPr>
      <w:r>
        <w:rPr>
          <w:rFonts w:hint="eastAsia" w:ascii="宋体" w:hAnsi="宋体" w:cs="宋体"/>
          <w:sz w:val="22"/>
        </w:rPr>
        <w:t>满足</w:t>
      </w:r>
      <w:r>
        <w:rPr>
          <w:rFonts w:ascii="宋体" w:hAnsi="宋体" w:cs="宋体"/>
          <w:sz w:val="22"/>
        </w:rPr>
        <w:t>三级防雷保护</w:t>
      </w:r>
      <w:r>
        <w:rPr>
          <w:rFonts w:hint="eastAsia" w:ascii="宋体" w:hAnsi="宋体" w:cs="宋体"/>
          <w:sz w:val="22"/>
        </w:rPr>
        <w:t>要求</w:t>
      </w:r>
    </w:p>
    <w:p w14:paraId="56FED57E">
      <w:pPr>
        <w:pStyle w:val="4"/>
        <w:tabs>
          <w:tab w:val="clear" w:pos="0"/>
        </w:tabs>
        <w:spacing w:before="120"/>
        <w:rPr>
          <w:rFonts w:ascii="宋体" w:hAnsi="宋体" w:cs="宋体"/>
        </w:rPr>
      </w:pPr>
      <w:bookmarkStart w:id="250" w:name="_Toc1822"/>
      <w:bookmarkStart w:id="251" w:name="_Toc514407939"/>
      <w:bookmarkStart w:id="252" w:name="_Toc6451"/>
      <w:bookmarkStart w:id="253" w:name="_Toc22049"/>
      <w:bookmarkStart w:id="254" w:name="_Toc1887"/>
      <w:bookmarkStart w:id="255" w:name="_Toc449455270"/>
      <w:bookmarkStart w:id="256" w:name="_Toc97405511"/>
      <w:r>
        <w:rPr>
          <w:rFonts w:hint="eastAsia" w:ascii="宋体" w:hAnsi="宋体" w:cs="宋体"/>
        </w:rPr>
        <w:t>系统主机后台通信</w:t>
      </w:r>
      <w:bookmarkEnd w:id="250"/>
      <w:bookmarkEnd w:id="251"/>
      <w:bookmarkEnd w:id="252"/>
      <w:bookmarkEnd w:id="253"/>
      <w:bookmarkEnd w:id="254"/>
      <w:bookmarkEnd w:id="255"/>
      <w:bookmarkEnd w:id="256"/>
    </w:p>
    <w:p w14:paraId="3CE99A34">
      <w:pPr>
        <w:numPr>
          <w:ilvl w:val="0"/>
          <w:numId w:val="41"/>
        </w:numPr>
        <w:spacing w:line="360" w:lineRule="auto"/>
        <w:ind w:left="420" w:leftChars="200"/>
        <w:rPr>
          <w:rFonts w:ascii="宋体" w:hAnsi="宋体" w:cs="宋体"/>
        </w:rPr>
      </w:pPr>
      <w:r>
        <w:rPr>
          <w:rFonts w:hint="eastAsia" w:ascii="宋体" w:hAnsi="宋体" w:cs="宋体"/>
        </w:rPr>
        <w:t>后台通信接口为RS485、以太网等</w:t>
      </w:r>
    </w:p>
    <w:p w14:paraId="04EF2C2A">
      <w:pPr>
        <w:numPr>
          <w:ilvl w:val="0"/>
          <w:numId w:val="41"/>
        </w:numPr>
        <w:spacing w:line="360" w:lineRule="auto"/>
        <w:ind w:left="420" w:leftChars="200"/>
        <w:rPr>
          <w:rFonts w:ascii="宋体" w:hAnsi="宋体" w:cs="宋体"/>
        </w:rPr>
      </w:pPr>
      <w:r>
        <w:rPr>
          <w:rFonts w:hint="eastAsia" w:ascii="宋体" w:hAnsi="宋体" w:cs="宋体"/>
        </w:rPr>
        <w:t>与后台通信状态可以在显示屏或者面板的指示灯提示。</w:t>
      </w:r>
    </w:p>
    <w:p w14:paraId="1EC743D2">
      <w:pPr>
        <w:pStyle w:val="4"/>
        <w:tabs>
          <w:tab w:val="clear" w:pos="0"/>
        </w:tabs>
        <w:spacing w:before="120"/>
        <w:rPr>
          <w:rFonts w:ascii="宋体" w:hAnsi="宋体" w:cs="宋体"/>
        </w:rPr>
      </w:pPr>
      <w:bookmarkStart w:id="257" w:name="_Toc97405512"/>
      <w:bookmarkStart w:id="258" w:name="_Toc19805"/>
      <w:bookmarkStart w:id="259" w:name="_Toc4402"/>
      <w:bookmarkStart w:id="260" w:name="_Toc1294736391"/>
      <w:bookmarkStart w:id="261" w:name="_Toc514407940"/>
      <w:bookmarkStart w:id="262" w:name="_Toc15894"/>
      <w:bookmarkStart w:id="263" w:name="_Toc8590"/>
      <w:r>
        <w:rPr>
          <w:rFonts w:hint="eastAsia" w:ascii="宋体" w:hAnsi="宋体" w:cs="宋体"/>
        </w:rPr>
        <w:t>系统主机安装施工</w:t>
      </w:r>
      <w:bookmarkEnd w:id="257"/>
      <w:bookmarkEnd w:id="258"/>
      <w:bookmarkEnd w:id="259"/>
      <w:bookmarkEnd w:id="260"/>
      <w:bookmarkEnd w:id="261"/>
      <w:bookmarkEnd w:id="262"/>
      <w:bookmarkEnd w:id="263"/>
    </w:p>
    <w:p w14:paraId="76091748">
      <w:pPr>
        <w:numPr>
          <w:ilvl w:val="0"/>
          <w:numId w:val="42"/>
        </w:numPr>
        <w:spacing w:line="360" w:lineRule="auto"/>
        <w:ind w:left="420" w:leftChars="200"/>
        <w:rPr>
          <w:rFonts w:ascii="宋体" w:hAnsi="宋体" w:cs="宋体"/>
        </w:rPr>
      </w:pPr>
      <w:r>
        <w:rPr>
          <w:rFonts w:hint="eastAsia" w:ascii="宋体" w:hAnsi="宋体" w:cs="宋体"/>
        </w:rPr>
        <w:t>安装与19英寸机柜里面。</w:t>
      </w:r>
    </w:p>
    <w:p w14:paraId="2C54575C">
      <w:pPr>
        <w:numPr>
          <w:ilvl w:val="0"/>
          <w:numId w:val="42"/>
        </w:numPr>
        <w:spacing w:line="360" w:lineRule="auto"/>
        <w:ind w:left="420" w:leftChars="200"/>
        <w:rPr>
          <w:rFonts w:ascii="宋体" w:hAnsi="宋体" w:cs="宋体"/>
        </w:rPr>
      </w:pPr>
      <w:r>
        <w:rPr>
          <w:rFonts w:hint="eastAsia" w:ascii="宋体" w:hAnsi="宋体" w:cs="宋体"/>
        </w:rPr>
        <w:t>与电池连接端子使用标准大电流单级连接器。</w:t>
      </w:r>
    </w:p>
    <w:p w14:paraId="5EB8886B">
      <w:pPr>
        <w:pStyle w:val="3"/>
        <w:tabs>
          <w:tab w:val="clear" w:pos="0"/>
        </w:tabs>
        <w:rPr>
          <w:rFonts w:ascii="宋体" w:hAnsi="宋体" w:cs="宋体"/>
        </w:rPr>
      </w:pPr>
      <w:bookmarkStart w:id="264" w:name="_Toc4150"/>
      <w:bookmarkStart w:id="265" w:name="_Toc4899"/>
      <w:bookmarkStart w:id="266" w:name="_Toc182728486"/>
      <w:bookmarkStart w:id="267" w:name="_Toc6795"/>
      <w:bookmarkStart w:id="268" w:name="_Toc514407941"/>
      <w:bookmarkStart w:id="269" w:name="_Toc97405513"/>
      <w:bookmarkStart w:id="270" w:name="_Toc23330"/>
      <w:bookmarkStart w:id="271" w:name="_Toc8266"/>
      <w:r>
        <w:rPr>
          <w:rFonts w:hint="eastAsia" w:ascii="宋体" w:hAnsi="宋体" w:cs="宋体"/>
        </w:rPr>
        <w:t>系统单体、汇集器模块技术要求</w:t>
      </w:r>
      <w:bookmarkEnd w:id="264"/>
      <w:bookmarkEnd w:id="265"/>
      <w:bookmarkEnd w:id="266"/>
      <w:bookmarkEnd w:id="267"/>
      <w:bookmarkEnd w:id="268"/>
      <w:bookmarkEnd w:id="269"/>
      <w:bookmarkEnd w:id="270"/>
      <w:bookmarkEnd w:id="271"/>
    </w:p>
    <w:p w14:paraId="65DEC8D9">
      <w:pPr>
        <w:pStyle w:val="4"/>
        <w:tabs>
          <w:tab w:val="clear" w:pos="0"/>
        </w:tabs>
        <w:spacing w:before="120"/>
        <w:rPr>
          <w:rFonts w:ascii="宋体" w:hAnsi="宋体" w:cs="宋体"/>
        </w:rPr>
      </w:pPr>
      <w:bookmarkStart w:id="272" w:name="_Toc12941"/>
      <w:bookmarkStart w:id="273" w:name="_Toc97405514"/>
      <w:bookmarkStart w:id="274" w:name="_Toc31136"/>
      <w:bookmarkStart w:id="275" w:name="_Toc8442"/>
      <w:bookmarkStart w:id="276" w:name="_Toc6262"/>
      <w:bookmarkStart w:id="277" w:name="_Toc216048992"/>
      <w:bookmarkStart w:id="278" w:name="_Toc514407942"/>
      <w:r>
        <w:rPr>
          <w:rFonts w:hint="eastAsia" w:ascii="宋体" w:hAnsi="宋体" w:cs="宋体"/>
        </w:rPr>
        <w:t>汇集器功能</w:t>
      </w:r>
      <w:bookmarkEnd w:id="272"/>
      <w:bookmarkEnd w:id="273"/>
      <w:bookmarkEnd w:id="274"/>
      <w:bookmarkEnd w:id="275"/>
      <w:bookmarkEnd w:id="276"/>
      <w:bookmarkEnd w:id="277"/>
      <w:bookmarkEnd w:id="278"/>
    </w:p>
    <w:p w14:paraId="4ED292FE">
      <w:pPr>
        <w:numPr>
          <w:ilvl w:val="0"/>
          <w:numId w:val="43"/>
        </w:numPr>
        <w:spacing w:line="360" w:lineRule="auto"/>
        <w:ind w:left="420" w:leftChars="200"/>
        <w:rPr>
          <w:rFonts w:ascii="宋体" w:hAnsi="宋体" w:cs="宋体"/>
        </w:rPr>
      </w:pPr>
      <w:r>
        <w:rPr>
          <w:rFonts w:hint="eastAsia" w:ascii="宋体" w:hAnsi="宋体" w:cs="宋体"/>
        </w:rPr>
        <w:t>能实时采集各单体模块的电压、内阻、极柱温度等数据。</w:t>
      </w:r>
    </w:p>
    <w:p w14:paraId="3235C56B">
      <w:pPr>
        <w:numPr>
          <w:ilvl w:val="0"/>
          <w:numId w:val="43"/>
        </w:numPr>
        <w:spacing w:line="360" w:lineRule="auto"/>
        <w:ind w:left="420" w:leftChars="200"/>
        <w:rPr>
          <w:rFonts w:ascii="宋体" w:hAnsi="宋体" w:cs="宋体"/>
        </w:rPr>
      </w:pPr>
      <w:r>
        <w:rPr>
          <w:rFonts w:hint="eastAsia" w:ascii="宋体" w:hAnsi="宋体" w:cs="宋体"/>
        </w:rPr>
        <w:t>通过RS485总线接口与系统主机进行数据传输通信，接受控制等</w:t>
      </w:r>
    </w:p>
    <w:p w14:paraId="12496A58">
      <w:pPr>
        <w:numPr>
          <w:ilvl w:val="0"/>
          <w:numId w:val="43"/>
        </w:numPr>
        <w:spacing w:line="360" w:lineRule="auto"/>
        <w:ind w:left="420" w:leftChars="200"/>
        <w:rPr>
          <w:rFonts w:ascii="宋体" w:hAnsi="宋体" w:cs="宋体"/>
        </w:rPr>
      </w:pPr>
      <w:r>
        <w:rPr>
          <w:rFonts w:hint="eastAsia" w:ascii="宋体" w:hAnsi="宋体" w:cs="宋体"/>
        </w:rPr>
        <w:t>支持现场程序的更新升级。</w:t>
      </w:r>
    </w:p>
    <w:p w14:paraId="365966AD">
      <w:pPr>
        <w:numPr>
          <w:ilvl w:val="0"/>
          <w:numId w:val="43"/>
        </w:numPr>
        <w:spacing w:line="360" w:lineRule="auto"/>
        <w:ind w:left="420" w:leftChars="200"/>
        <w:rPr>
          <w:rFonts w:ascii="宋体" w:hAnsi="宋体" w:cs="宋体"/>
        </w:rPr>
      </w:pPr>
      <w:r>
        <w:rPr>
          <w:rFonts w:hint="eastAsia" w:ascii="宋体" w:hAnsi="宋体" w:cs="宋体"/>
        </w:rPr>
        <w:t>能自动定期启动内阻测试。</w:t>
      </w:r>
    </w:p>
    <w:p w14:paraId="4A023F6E">
      <w:pPr>
        <w:numPr>
          <w:ilvl w:val="0"/>
          <w:numId w:val="43"/>
        </w:numPr>
        <w:spacing w:line="360" w:lineRule="auto"/>
        <w:ind w:left="420" w:leftChars="200"/>
        <w:rPr>
          <w:rFonts w:ascii="宋体" w:hAnsi="宋体" w:cs="宋体"/>
        </w:rPr>
      </w:pPr>
      <w:r>
        <w:rPr>
          <w:rFonts w:hint="eastAsia" w:ascii="宋体" w:hAnsi="宋体" w:cs="宋体"/>
        </w:rPr>
        <w:t>不从单体电池取电，从48V母线电压上取电。</w:t>
      </w:r>
    </w:p>
    <w:p w14:paraId="3EC0720C">
      <w:pPr>
        <w:pStyle w:val="4"/>
        <w:tabs>
          <w:tab w:val="clear" w:pos="0"/>
        </w:tabs>
        <w:spacing w:before="120"/>
        <w:rPr>
          <w:rFonts w:ascii="宋体" w:hAnsi="宋体" w:cs="宋体"/>
        </w:rPr>
      </w:pPr>
      <w:bookmarkStart w:id="279" w:name="_Toc1888045114"/>
      <w:bookmarkStart w:id="280" w:name="_Toc514407943"/>
      <w:bookmarkStart w:id="281" w:name="_Toc97405515"/>
      <w:bookmarkStart w:id="282" w:name="_Toc30762"/>
      <w:bookmarkStart w:id="283" w:name="_Toc7510"/>
      <w:bookmarkStart w:id="284" w:name="_Toc23255"/>
      <w:bookmarkStart w:id="285" w:name="_Toc28140"/>
      <w:r>
        <w:rPr>
          <w:rFonts w:hint="eastAsia" w:ascii="宋体" w:hAnsi="宋体" w:cs="宋体"/>
        </w:rPr>
        <w:t>汇集器性能参数</w:t>
      </w:r>
      <w:bookmarkEnd w:id="279"/>
      <w:bookmarkEnd w:id="280"/>
      <w:bookmarkEnd w:id="281"/>
      <w:bookmarkEnd w:id="282"/>
      <w:bookmarkEnd w:id="283"/>
      <w:bookmarkEnd w:id="284"/>
      <w:bookmarkEnd w:id="285"/>
    </w:p>
    <w:p w14:paraId="4A18AEE4">
      <w:pPr>
        <w:numPr>
          <w:ilvl w:val="0"/>
          <w:numId w:val="44"/>
        </w:numPr>
        <w:spacing w:line="360" w:lineRule="auto"/>
        <w:ind w:left="420" w:leftChars="200"/>
        <w:rPr>
          <w:rFonts w:ascii="宋体" w:hAnsi="宋体" w:cs="宋体"/>
        </w:rPr>
      </w:pPr>
      <w:r>
        <w:rPr>
          <w:rFonts w:hint="eastAsia" w:ascii="宋体" w:hAnsi="宋体" w:cs="宋体"/>
        </w:rPr>
        <w:t>工作电压：</w:t>
      </w:r>
      <w:r>
        <w:fldChar w:fldCharType="begin"/>
      </w:r>
      <w:r>
        <w:instrText xml:space="preserve"> HYPERLINK "mailto:8-18VDC@2A。单机自身功耗小于1W" </w:instrText>
      </w:r>
      <w:r>
        <w:fldChar w:fldCharType="separate"/>
      </w:r>
      <w:r>
        <w:rPr>
          <w:rFonts w:hint="eastAsia" w:ascii="宋体" w:hAnsi="宋体" w:cs="宋体"/>
        </w:rPr>
        <w:t>35-60VDC；单机自身功耗小于2W</w:t>
      </w:r>
      <w:r>
        <w:rPr>
          <w:rFonts w:hint="eastAsia" w:ascii="宋体" w:hAnsi="宋体" w:cs="宋体"/>
        </w:rPr>
        <w:fldChar w:fldCharType="end"/>
      </w:r>
      <w:r>
        <w:rPr>
          <w:rFonts w:hint="eastAsia" w:ascii="宋体" w:hAnsi="宋体" w:cs="宋体"/>
        </w:rPr>
        <w:t>。</w:t>
      </w:r>
    </w:p>
    <w:p w14:paraId="7E76E99B">
      <w:pPr>
        <w:numPr>
          <w:ilvl w:val="0"/>
          <w:numId w:val="44"/>
        </w:numPr>
        <w:spacing w:line="360" w:lineRule="auto"/>
        <w:ind w:left="420" w:leftChars="200"/>
        <w:rPr>
          <w:rFonts w:ascii="宋体" w:hAnsi="宋体" w:cs="宋体"/>
        </w:rPr>
      </w:pPr>
      <w:r>
        <w:rPr>
          <w:rFonts w:hint="eastAsia" w:ascii="宋体" w:hAnsi="宋体" w:cs="宋体"/>
        </w:rPr>
        <w:t>支持单体通信端口、支持适量的单体采集模块。</w:t>
      </w:r>
    </w:p>
    <w:p w14:paraId="717798AE">
      <w:pPr>
        <w:numPr>
          <w:ilvl w:val="0"/>
          <w:numId w:val="44"/>
        </w:numPr>
        <w:spacing w:line="360" w:lineRule="auto"/>
        <w:ind w:left="420" w:leftChars="200"/>
        <w:rPr>
          <w:rFonts w:ascii="宋体" w:hAnsi="宋体" w:cs="宋体"/>
        </w:rPr>
      </w:pPr>
      <w:r>
        <w:rPr>
          <w:rFonts w:hint="eastAsia" w:ascii="宋体" w:hAnsi="宋体" w:cs="宋体"/>
        </w:rPr>
        <w:t>支持独立隔离的RS485接口与主机通信；</w:t>
      </w:r>
    </w:p>
    <w:p w14:paraId="4C4C52F5">
      <w:pPr>
        <w:numPr>
          <w:ilvl w:val="0"/>
          <w:numId w:val="44"/>
        </w:numPr>
        <w:spacing w:line="360" w:lineRule="auto"/>
        <w:ind w:left="420" w:leftChars="200"/>
        <w:rPr>
          <w:rFonts w:ascii="宋体" w:hAnsi="宋体" w:cs="宋体"/>
        </w:rPr>
      </w:pPr>
      <w:r>
        <w:rPr>
          <w:rFonts w:hint="eastAsia" w:ascii="宋体" w:hAnsi="宋体" w:cs="宋体"/>
        </w:rPr>
        <w:t>支持组端电压测量，测量范围：40-60V，分辨率0.1V，精度：±0.5%。</w:t>
      </w:r>
    </w:p>
    <w:p w14:paraId="754240F2">
      <w:pPr>
        <w:pStyle w:val="4"/>
        <w:tabs>
          <w:tab w:val="clear" w:pos="0"/>
        </w:tabs>
        <w:spacing w:before="120"/>
        <w:rPr>
          <w:rFonts w:ascii="宋体" w:hAnsi="宋体" w:cs="宋体"/>
        </w:rPr>
      </w:pPr>
      <w:bookmarkStart w:id="286" w:name="_Toc13754"/>
      <w:bookmarkStart w:id="287" w:name="_Toc1155862926"/>
      <w:bookmarkStart w:id="288" w:name="_Toc97405516"/>
      <w:bookmarkStart w:id="289" w:name="_Toc21984"/>
      <w:bookmarkStart w:id="290" w:name="_Toc19791"/>
      <w:bookmarkStart w:id="291" w:name="_Toc514407944"/>
      <w:bookmarkStart w:id="292" w:name="_Toc21442"/>
      <w:r>
        <w:rPr>
          <w:rFonts w:hint="eastAsia" w:ascii="宋体" w:hAnsi="宋体" w:cs="宋体"/>
        </w:rPr>
        <w:t>汇集器安装施工</w:t>
      </w:r>
      <w:bookmarkEnd w:id="286"/>
      <w:bookmarkEnd w:id="287"/>
      <w:bookmarkEnd w:id="288"/>
      <w:bookmarkEnd w:id="289"/>
      <w:bookmarkEnd w:id="290"/>
      <w:bookmarkEnd w:id="291"/>
      <w:bookmarkEnd w:id="292"/>
    </w:p>
    <w:p w14:paraId="77CE2FCB">
      <w:pPr>
        <w:numPr>
          <w:ilvl w:val="0"/>
          <w:numId w:val="45"/>
        </w:numPr>
        <w:spacing w:line="360" w:lineRule="auto"/>
        <w:ind w:left="420" w:leftChars="200"/>
        <w:rPr>
          <w:rFonts w:ascii="宋体" w:hAnsi="宋体" w:cs="宋体"/>
        </w:rPr>
      </w:pPr>
      <w:r>
        <w:rPr>
          <w:rFonts w:hint="eastAsia" w:ascii="宋体" w:hAnsi="宋体" w:cs="宋体"/>
        </w:rPr>
        <w:t>安装于电池架上。</w:t>
      </w:r>
    </w:p>
    <w:p w14:paraId="3ADC02E4">
      <w:pPr>
        <w:numPr>
          <w:ilvl w:val="0"/>
          <w:numId w:val="45"/>
        </w:numPr>
        <w:spacing w:line="360" w:lineRule="auto"/>
        <w:ind w:left="420" w:leftChars="200"/>
        <w:rPr>
          <w:rFonts w:ascii="宋体" w:hAnsi="宋体" w:cs="宋体"/>
        </w:rPr>
      </w:pPr>
      <w:r>
        <w:rPr>
          <w:rFonts w:hint="eastAsia" w:ascii="宋体" w:hAnsi="宋体" w:cs="宋体"/>
        </w:rPr>
        <w:t>汇集器通过RS485与单体采集模块进行连接通信。</w:t>
      </w:r>
    </w:p>
    <w:p w14:paraId="5143F328">
      <w:pPr>
        <w:numPr>
          <w:ilvl w:val="0"/>
          <w:numId w:val="45"/>
        </w:numPr>
        <w:spacing w:line="360" w:lineRule="auto"/>
        <w:ind w:left="420" w:leftChars="200"/>
        <w:rPr>
          <w:rFonts w:ascii="宋体" w:hAnsi="宋体" w:cs="宋体"/>
        </w:rPr>
      </w:pPr>
      <w:r>
        <w:rPr>
          <w:rFonts w:hint="eastAsia" w:ascii="宋体" w:hAnsi="宋体" w:cs="宋体"/>
        </w:rPr>
        <w:t>汇集器通过RS485与</w:t>
      </w:r>
      <w:r>
        <w:rPr>
          <w:rFonts w:hint="eastAsia" w:ascii="宋体" w:hAnsi="宋体" w:cs="宋体"/>
          <w:szCs w:val="21"/>
        </w:rPr>
        <w:t>系统</w:t>
      </w:r>
      <w:r>
        <w:rPr>
          <w:rFonts w:hint="eastAsia" w:ascii="宋体" w:hAnsi="宋体" w:cs="宋体"/>
        </w:rPr>
        <w:t>主机进行连接通信。</w:t>
      </w:r>
    </w:p>
    <w:p w14:paraId="53987FAD">
      <w:pPr>
        <w:pStyle w:val="3"/>
        <w:tabs>
          <w:tab w:val="clear" w:pos="0"/>
        </w:tabs>
        <w:rPr>
          <w:rFonts w:ascii="宋体" w:hAnsi="宋体" w:cs="宋体"/>
        </w:rPr>
      </w:pPr>
      <w:bookmarkStart w:id="293" w:name="_Toc451126520"/>
      <w:bookmarkStart w:id="294" w:name="_Toc22955"/>
      <w:bookmarkStart w:id="295" w:name="_Toc514407945"/>
      <w:bookmarkStart w:id="296" w:name="_Toc97405517"/>
      <w:bookmarkStart w:id="297" w:name="_Toc18326"/>
      <w:bookmarkStart w:id="298" w:name="_Toc705"/>
      <w:bookmarkStart w:id="299" w:name="_Toc18056"/>
      <w:bookmarkStart w:id="300" w:name="_Toc15002"/>
      <w:r>
        <w:rPr>
          <w:rFonts w:hint="eastAsia" w:ascii="宋体" w:hAnsi="宋体" w:cs="宋体"/>
        </w:rPr>
        <w:t>单体采集模块技术要求</w:t>
      </w:r>
      <w:bookmarkEnd w:id="293"/>
      <w:bookmarkEnd w:id="294"/>
      <w:bookmarkEnd w:id="295"/>
      <w:bookmarkEnd w:id="296"/>
      <w:bookmarkEnd w:id="297"/>
      <w:bookmarkEnd w:id="298"/>
      <w:bookmarkEnd w:id="299"/>
      <w:bookmarkEnd w:id="300"/>
    </w:p>
    <w:p w14:paraId="7D32E719">
      <w:pPr>
        <w:pStyle w:val="4"/>
        <w:tabs>
          <w:tab w:val="clear" w:pos="0"/>
        </w:tabs>
        <w:spacing w:before="120"/>
        <w:rPr>
          <w:rFonts w:ascii="宋体" w:hAnsi="宋体" w:cs="宋体"/>
        </w:rPr>
      </w:pPr>
      <w:bookmarkStart w:id="301" w:name="_Toc1466147730"/>
      <w:bookmarkStart w:id="302" w:name="_Toc97405518"/>
      <w:bookmarkStart w:id="303" w:name="_Toc514407946"/>
      <w:bookmarkStart w:id="304" w:name="_Toc29825"/>
      <w:bookmarkStart w:id="305" w:name="_Toc23492"/>
      <w:bookmarkStart w:id="306" w:name="_Toc1766"/>
      <w:bookmarkStart w:id="307" w:name="_Toc3659"/>
      <w:r>
        <w:rPr>
          <w:rFonts w:hint="eastAsia" w:ascii="宋体" w:hAnsi="宋体" w:cs="宋体"/>
        </w:rPr>
        <w:t>单体采集模块功能</w:t>
      </w:r>
      <w:bookmarkEnd w:id="301"/>
      <w:bookmarkEnd w:id="302"/>
      <w:bookmarkEnd w:id="303"/>
      <w:bookmarkEnd w:id="304"/>
      <w:bookmarkEnd w:id="305"/>
      <w:bookmarkEnd w:id="306"/>
      <w:bookmarkEnd w:id="307"/>
    </w:p>
    <w:p w14:paraId="39BA4B54">
      <w:pPr>
        <w:numPr>
          <w:ilvl w:val="0"/>
          <w:numId w:val="46"/>
        </w:numPr>
        <w:spacing w:line="360" w:lineRule="auto"/>
        <w:ind w:left="420" w:leftChars="200"/>
        <w:rPr>
          <w:rFonts w:ascii="宋体" w:hAnsi="宋体" w:cs="宋体"/>
        </w:rPr>
      </w:pPr>
      <w:r>
        <w:rPr>
          <w:rFonts w:hint="eastAsia" w:ascii="宋体" w:hAnsi="宋体" w:cs="宋体"/>
        </w:rPr>
        <w:t>支持2V单体电池的电压、内阻、以及电池极柱温度在线监测。</w:t>
      </w:r>
    </w:p>
    <w:p w14:paraId="4E3A29EA">
      <w:pPr>
        <w:numPr>
          <w:ilvl w:val="0"/>
          <w:numId w:val="46"/>
        </w:numPr>
        <w:spacing w:line="360" w:lineRule="auto"/>
        <w:ind w:left="420" w:leftChars="200"/>
        <w:rPr>
          <w:rFonts w:ascii="宋体" w:hAnsi="宋体" w:cs="宋体"/>
        </w:rPr>
      </w:pPr>
      <w:r>
        <w:rPr>
          <w:rFonts w:hint="eastAsia" w:ascii="宋体" w:hAnsi="宋体" w:cs="宋体"/>
        </w:rPr>
        <w:t>支持从50-2000AH容量单体电池的电压、内阻、以及电池极柱温度在线监测。</w:t>
      </w:r>
    </w:p>
    <w:p w14:paraId="4755872F">
      <w:pPr>
        <w:numPr>
          <w:ilvl w:val="0"/>
          <w:numId w:val="46"/>
        </w:numPr>
        <w:spacing w:line="360" w:lineRule="auto"/>
        <w:ind w:left="420" w:leftChars="200"/>
        <w:rPr>
          <w:rFonts w:ascii="宋体" w:hAnsi="宋体" w:cs="宋体"/>
        </w:rPr>
      </w:pPr>
      <w:r>
        <w:rPr>
          <w:rFonts w:hint="eastAsia" w:ascii="宋体" w:hAnsi="宋体" w:cs="宋体"/>
        </w:rPr>
        <w:t>使用隔离的RS485通信接口进行和汇集器通信。</w:t>
      </w:r>
    </w:p>
    <w:p w14:paraId="0FACBF50">
      <w:pPr>
        <w:numPr>
          <w:ilvl w:val="0"/>
          <w:numId w:val="46"/>
        </w:numPr>
        <w:spacing w:line="360" w:lineRule="auto"/>
        <w:ind w:left="420" w:leftChars="200"/>
        <w:rPr>
          <w:rFonts w:ascii="宋体" w:hAnsi="宋体" w:cs="宋体"/>
        </w:rPr>
      </w:pPr>
      <w:r>
        <w:rPr>
          <w:rFonts w:hint="eastAsia" w:ascii="宋体" w:hAnsi="宋体" w:cs="宋体"/>
        </w:rPr>
        <w:t>对电池进行内阻测试使用小电流放电法，测试峰值电流不超过1.5A。</w:t>
      </w:r>
    </w:p>
    <w:p w14:paraId="6EFA3FF1">
      <w:pPr>
        <w:numPr>
          <w:ilvl w:val="0"/>
          <w:numId w:val="46"/>
        </w:numPr>
        <w:spacing w:line="360" w:lineRule="auto"/>
        <w:ind w:left="420" w:leftChars="200"/>
        <w:rPr>
          <w:rFonts w:ascii="宋体" w:hAnsi="宋体" w:cs="宋体"/>
        </w:rPr>
      </w:pPr>
      <w:r>
        <w:rPr>
          <w:rFonts w:hint="eastAsia" w:ascii="宋体" w:hAnsi="宋体" w:cs="宋体"/>
        </w:rPr>
        <w:t>支持工作故障自动重启恢复功能。</w:t>
      </w:r>
    </w:p>
    <w:p w14:paraId="6933D546">
      <w:pPr>
        <w:numPr>
          <w:ilvl w:val="0"/>
          <w:numId w:val="46"/>
        </w:numPr>
        <w:spacing w:line="360" w:lineRule="auto"/>
        <w:ind w:left="420" w:leftChars="200"/>
      </w:pPr>
      <w:r>
        <w:rPr>
          <w:rFonts w:hint="eastAsia" w:ascii="宋体" w:hAnsi="宋体" w:cs="宋体"/>
        </w:rPr>
        <w:t>单体电池监测模块禁止从电池上取电。</w:t>
      </w:r>
    </w:p>
    <w:p w14:paraId="37FBFB73">
      <w:pPr>
        <w:pStyle w:val="4"/>
        <w:tabs>
          <w:tab w:val="clear" w:pos="0"/>
        </w:tabs>
        <w:spacing w:before="120"/>
        <w:rPr>
          <w:rFonts w:ascii="宋体" w:hAnsi="宋体" w:cs="宋体"/>
        </w:rPr>
      </w:pPr>
      <w:bookmarkStart w:id="308" w:name="_Toc28529"/>
      <w:bookmarkStart w:id="309" w:name="_Toc13323"/>
      <w:bookmarkStart w:id="310" w:name="_Toc1317532432"/>
      <w:bookmarkStart w:id="311" w:name="_Toc13303"/>
      <w:bookmarkStart w:id="312" w:name="_Toc97405519"/>
      <w:bookmarkStart w:id="313" w:name="_Toc514407947"/>
      <w:bookmarkStart w:id="314" w:name="_Toc11126"/>
      <w:r>
        <w:rPr>
          <w:rFonts w:hint="eastAsia" w:ascii="宋体" w:hAnsi="宋体" w:cs="宋体"/>
        </w:rPr>
        <w:t>单体采集模块性能参数</w:t>
      </w:r>
      <w:bookmarkEnd w:id="308"/>
      <w:bookmarkEnd w:id="309"/>
      <w:bookmarkEnd w:id="310"/>
      <w:bookmarkEnd w:id="311"/>
      <w:bookmarkEnd w:id="312"/>
      <w:bookmarkEnd w:id="313"/>
      <w:bookmarkEnd w:id="314"/>
    </w:p>
    <w:p w14:paraId="2F88B51D">
      <w:pPr>
        <w:pStyle w:val="5"/>
        <w:tabs>
          <w:tab w:val="clear" w:pos="0"/>
        </w:tabs>
        <w:spacing w:before="120"/>
        <w:rPr>
          <w:rFonts w:ascii="宋体" w:hAnsi="宋体" w:cs="宋体"/>
        </w:rPr>
      </w:pPr>
      <w:r>
        <w:rPr>
          <w:rFonts w:hint="eastAsia" w:ascii="宋体" w:hAnsi="宋体" w:cs="宋体"/>
        </w:rPr>
        <w:t>支持电池组规格</w:t>
      </w:r>
    </w:p>
    <w:p w14:paraId="552C391B">
      <w:pPr>
        <w:spacing w:line="360" w:lineRule="auto"/>
        <w:ind w:firstLine="220" w:firstLineChars="100"/>
        <w:jc w:val="left"/>
        <w:rPr>
          <w:rFonts w:ascii="宋体" w:hAnsi="宋体" w:cs="宋体"/>
          <w:sz w:val="22"/>
        </w:rPr>
      </w:pPr>
      <w:r>
        <w:rPr>
          <w:rFonts w:hint="eastAsia" w:ascii="宋体" w:hAnsi="宋体" w:cs="宋体"/>
          <w:sz w:val="22"/>
        </w:rPr>
        <w:tab/>
      </w:r>
      <w:r>
        <w:rPr>
          <w:rFonts w:hint="eastAsia" w:ascii="宋体" w:hAnsi="宋体" w:cs="宋体"/>
          <w:sz w:val="22"/>
        </w:rPr>
        <w:t>支持2V单体蓄电池,容量50-2000AH。</w:t>
      </w:r>
    </w:p>
    <w:p w14:paraId="2B263DE3">
      <w:pPr>
        <w:pStyle w:val="5"/>
        <w:tabs>
          <w:tab w:val="clear" w:pos="0"/>
        </w:tabs>
        <w:spacing w:before="120"/>
        <w:rPr>
          <w:rFonts w:ascii="宋体" w:hAnsi="宋体" w:cs="宋体"/>
        </w:rPr>
      </w:pPr>
      <w:r>
        <w:rPr>
          <w:rFonts w:hint="eastAsia" w:ascii="宋体" w:hAnsi="宋体" w:cs="宋体"/>
        </w:rPr>
        <w:t>工作电压范围</w:t>
      </w:r>
    </w:p>
    <w:p w14:paraId="6419FEFE">
      <w:pPr>
        <w:numPr>
          <w:ilvl w:val="0"/>
          <w:numId w:val="47"/>
        </w:numPr>
        <w:spacing w:line="360" w:lineRule="auto"/>
        <w:ind w:left="420" w:leftChars="200"/>
        <w:jc w:val="left"/>
        <w:rPr>
          <w:rFonts w:ascii="宋体" w:hAnsi="宋体" w:cs="宋体"/>
          <w:sz w:val="22"/>
        </w:rPr>
      </w:pPr>
      <w:r>
        <w:rPr>
          <w:rFonts w:hint="eastAsia" w:ascii="宋体" w:hAnsi="宋体" w:cs="宋体"/>
          <w:sz w:val="22"/>
        </w:rPr>
        <w:t>工作电压：9—18V DC</w:t>
      </w:r>
    </w:p>
    <w:p w14:paraId="7256E79C">
      <w:pPr>
        <w:numPr>
          <w:ilvl w:val="0"/>
          <w:numId w:val="47"/>
        </w:numPr>
        <w:spacing w:line="360" w:lineRule="auto"/>
        <w:ind w:left="420" w:leftChars="200"/>
        <w:jc w:val="left"/>
        <w:rPr>
          <w:rFonts w:ascii="宋体" w:hAnsi="宋体" w:cs="宋体"/>
          <w:sz w:val="22"/>
        </w:rPr>
      </w:pPr>
      <w:r>
        <w:rPr>
          <w:rFonts w:hint="eastAsia" w:ascii="宋体" w:hAnsi="宋体" w:cs="宋体"/>
          <w:sz w:val="22"/>
        </w:rPr>
        <w:t>工作功耗：小于2W。</w:t>
      </w:r>
    </w:p>
    <w:p w14:paraId="04D1D8B0">
      <w:pPr>
        <w:pStyle w:val="5"/>
        <w:tabs>
          <w:tab w:val="clear" w:pos="0"/>
        </w:tabs>
        <w:spacing w:before="120"/>
        <w:rPr>
          <w:rFonts w:ascii="宋体" w:hAnsi="宋体" w:cs="宋体"/>
        </w:rPr>
      </w:pPr>
      <w:r>
        <w:rPr>
          <w:rFonts w:hint="eastAsia" w:ascii="宋体" w:hAnsi="宋体" w:cs="宋体"/>
        </w:rPr>
        <w:t>电池单体参数测量范围</w:t>
      </w:r>
    </w:p>
    <w:p w14:paraId="6CF5BFE8">
      <w:pPr>
        <w:numPr>
          <w:ilvl w:val="0"/>
          <w:numId w:val="48"/>
        </w:numPr>
        <w:spacing w:line="360" w:lineRule="auto"/>
        <w:ind w:left="420" w:leftChars="200"/>
        <w:jc w:val="left"/>
        <w:rPr>
          <w:rFonts w:ascii="宋体" w:hAnsi="宋体" w:cs="宋体"/>
          <w:sz w:val="22"/>
        </w:rPr>
      </w:pPr>
      <w:r>
        <w:rPr>
          <w:rFonts w:hint="eastAsia" w:ascii="宋体" w:hAnsi="宋体" w:cs="宋体"/>
          <w:sz w:val="22"/>
        </w:rPr>
        <w:t>2</w:t>
      </w:r>
      <w:r>
        <w:rPr>
          <w:rFonts w:ascii="宋体" w:hAnsi="宋体" w:cs="宋体"/>
          <w:sz w:val="22"/>
        </w:rPr>
        <w:t>V</w:t>
      </w:r>
      <w:r>
        <w:rPr>
          <w:rFonts w:hint="eastAsia" w:ascii="宋体" w:hAnsi="宋体" w:cs="宋体"/>
          <w:sz w:val="22"/>
        </w:rPr>
        <w:t>单体电压：0.2</w:t>
      </w:r>
      <w:r>
        <w:rPr>
          <w:rFonts w:ascii="宋体" w:hAnsi="宋体" w:cs="宋体"/>
          <w:sz w:val="22"/>
        </w:rPr>
        <w:t>—2.6V，</w:t>
      </w:r>
    </w:p>
    <w:p w14:paraId="1F0B1832">
      <w:pPr>
        <w:numPr>
          <w:ilvl w:val="0"/>
          <w:numId w:val="48"/>
        </w:numPr>
        <w:spacing w:line="360" w:lineRule="auto"/>
        <w:ind w:left="420" w:leftChars="200"/>
        <w:jc w:val="left"/>
        <w:rPr>
          <w:rFonts w:ascii="宋体" w:hAnsi="宋体" w:cs="宋体"/>
          <w:sz w:val="22"/>
        </w:rPr>
      </w:pPr>
      <w:r>
        <w:rPr>
          <w:rFonts w:hint="eastAsia" w:ascii="宋体" w:hAnsi="宋体" w:cs="宋体"/>
          <w:sz w:val="22"/>
        </w:rPr>
        <w:t>2</w:t>
      </w:r>
      <w:r>
        <w:rPr>
          <w:rFonts w:ascii="宋体" w:hAnsi="宋体" w:cs="宋体"/>
          <w:sz w:val="22"/>
        </w:rPr>
        <w:t>V</w:t>
      </w:r>
      <w:r>
        <w:rPr>
          <w:rFonts w:hint="eastAsia" w:ascii="宋体" w:hAnsi="宋体" w:cs="宋体"/>
          <w:sz w:val="22"/>
        </w:rPr>
        <w:t xml:space="preserve">单体内阻： </w:t>
      </w:r>
      <w:r>
        <w:rPr>
          <w:rFonts w:ascii="宋体" w:hAnsi="宋体" w:cs="宋体"/>
          <w:sz w:val="22"/>
        </w:rPr>
        <w:t xml:space="preserve">10-4000μΩ； </w:t>
      </w:r>
    </w:p>
    <w:p w14:paraId="094BB64D">
      <w:pPr>
        <w:numPr>
          <w:ilvl w:val="0"/>
          <w:numId w:val="48"/>
        </w:numPr>
        <w:spacing w:line="360" w:lineRule="auto"/>
        <w:ind w:left="420" w:leftChars="200"/>
        <w:jc w:val="left"/>
        <w:rPr>
          <w:rFonts w:ascii="宋体" w:hAnsi="宋体" w:cs="宋体"/>
          <w:sz w:val="22"/>
        </w:rPr>
      </w:pPr>
      <w:r>
        <w:rPr>
          <w:rFonts w:hint="eastAsia" w:ascii="宋体" w:hAnsi="宋体" w:cs="宋体"/>
          <w:sz w:val="22"/>
        </w:rPr>
        <w:t>单体温度：-10—70℃。</w:t>
      </w:r>
    </w:p>
    <w:p w14:paraId="0AA0A098">
      <w:pPr>
        <w:pStyle w:val="5"/>
        <w:tabs>
          <w:tab w:val="clear" w:pos="0"/>
        </w:tabs>
        <w:spacing w:before="120"/>
        <w:rPr>
          <w:rFonts w:ascii="宋体" w:hAnsi="宋体" w:cs="宋体"/>
        </w:rPr>
      </w:pPr>
      <w:r>
        <w:rPr>
          <w:rFonts w:hint="eastAsia" w:ascii="宋体" w:hAnsi="宋体" w:cs="宋体"/>
        </w:rPr>
        <w:t>测量分辨率</w:t>
      </w:r>
    </w:p>
    <w:p w14:paraId="719D6D66">
      <w:pPr>
        <w:numPr>
          <w:ilvl w:val="0"/>
          <w:numId w:val="49"/>
        </w:numPr>
        <w:spacing w:line="360" w:lineRule="auto"/>
        <w:ind w:left="420" w:leftChars="200"/>
        <w:jc w:val="left"/>
        <w:rPr>
          <w:rFonts w:ascii="宋体" w:hAnsi="宋体" w:cs="宋体"/>
          <w:sz w:val="22"/>
        </w:rPr>
      </w:pPr>
      <w:r>
        <w:rPr>
          <w:rFonts w:hint="eastAsia" w:ascii="宋体" w:hAnsi="宋体" w:cs="宋体"/>
          <w:sz w:val="22"/>
        </w:rPr>
        <w:t>单体电压：0.001V</w:t>
      </w:r>
    </w:p>
    <w:p w14:paraId="51C271BA">
      <w:pPr>
        <w:numPr>
          <w:ilvl w:val="0"/>
          <w:numId w:val="49"/>
        </w:numPr>
        <w:spacing w:line="360" w:lineRule="auto"/>
        <w:ind w:left="420" w:leftChars="200"/>
        <w:jc w:val="left"/>
        <w:rPr>
          <w:rFonts w:ascii="宋体" w:hAnsi="宋体" w:cs="宋体"/>
          <w:sz w:val="22"/>
        </w:rPr>
      </w:pPr>
      <w:r>
        <w:rPr>
          <w:rFonts w:hint="eastAsia" w:ascii="宋体" w:hAnsi="宋体" w:cs="宋体"/>
          <w:sz w:val="22"/>
        </w:rPr>
        <w:t>单体内阻：0.001mΩ</w:t>
      </w:r>
    </w:p>
    <w:p w14:paraId="64860BFC">
      <w:pPr>
        <w:numPr>
          <w:ilvl w:val="0"/>
          <w:numId w:val="49"/>
        </w:numPr>
        <w:spacing w:line="360" w:lineRule="auto"/>
        <w:ind w:left="420" w:leftChars="200"/>
        <w:jc w:val="left"/>
        <w:rPr>
          <w:rFonts w:ascii="宋体" w:hAnsi="宋体" w:cs="宋体"/>
          <w:sz w:val="22"/>
        </w:rPr>
      </w:pPr>
      <w:r>
        <w:rPr>
          <w:rFonts w:hint="eastAsia" w:ascii="宋体" w:hAnsi="宋体" w:cs="宋体"/>
          <w:sz w:val="22"/>
        </w:rPr>
        <w:t>单体温度：0.1℃</w:t>
      </w:r>
    </w:p>
    <w:p w14:paraId="745B34B9">
      <w:pPr>
        <w:pStyle w:val="5"/>
        <w:tabs>
          <w:tab w:val="clear" w:pos="0"/>
        </w:tabs>
        <w:spacing w:before="120"/>
        <w:rPr>
          <w:rFonts w:ascii="宋体" w:hAnsi="宋体" w:cs="宋体"/>
        </w:rPr>
      </w:pPr>
      <w:r>
        <w:rPr>
          <w:rFonts w:hint="eastAsia" w:ascii="宋体" w:hAnsi="宋体" w:cs="宋体"/>
        </w:rPr>
        <w:t>测量误差</w:t>
      </w:r>
    </w:p>
    <w:p w14:paraId="6CAC4951">
      <w:pPr>
        <w:numPr>
          <w:ilvl w:val="0"/>
          <w:numId w:val="50"/>
        </w:numPr>
        <w:spacing w:line="360" w:lineRule="auto"/>
        <w:ind w:left="420" w:leftChars="200"/>
        <w:jc w:val="left"/>
        <w:rPr>
          <w:rFonts w:ascii="宋体" w:hAnsi="宋体" w:cs="宋体"/>
          <w:sz w:val="22"/>
        </w:rPr>
      </w:pPr>
      <w:r>
        <w:rPr>
          <w:rFonts w:hint="eastAsia" w:ascii="宋体" w:hAnsi="宋体" w:cs="宋体"/>
          <w:sz w:val="22"/>
        </w:rPr>
        <w:t>单体电压：±5mv</w:t>
      </w:r>
    </w:p>
    <w:p w14:paraId="0F4B0383">
      <w:pPr>
        <w:numPr>
          <w:ilvl w:val="0"/>
          <w:numId w:val="50"/>
        </w:numPr>
        <w:spacing w:line="360" w:lineRule="auto"/>
        <w:ind w:left="420" w:leftChars="200"/>
        <w:jc w:val="left"/>
        <w:rPr>
          <w:rFonts w:ascii="宋体" w:hAnsi="宋体" w:cs="宋体"/>
          <w:sz w:val="22"/>
        </w:rPr>
      </w:pPr>
      <w:r>
        <w:rPr>
          <w:rFonts w:hint="eastAsia" w:ascii="宋体" w:hAnsi="宋体" w:cs="宋体"/>
          <w:sz w:val="22"/>
        </w:rPr>
        <w:t>单体内阻：重复精度小于3%</w:t>
      </w:r>
    </w:p>
    <w:p w14:paraId="391BCCB4">
      <w:pPr>
        <w:numPr>
          <w:ilvl w:val="0"/>
          <w:numId w:val="50"/>
        </w:numPr>
        <w:spacing w:line="360" w:lineRule="auto"/>
        <w:ind w:left="420" w:leftChars="200"/>
        <w:jc w:val="left"/>
        <w:rPr>
          <w:rFonts w:ascii="宋体" w:hAnsi="宋体" w:cs="宋体"/>
          <w:sz w:val="22"/>
        </w:rPr>
      </w:pPr>
      <w:r>
        <w:rPr>
          <w:rFonts w:hint="eastAsia" w:ascii="宋体" w:hAnsi="宋体" w:cs="宋体"/>
          <w:sz w:val="22"/>
        </w:rPr>
        <w:t>单体温度：±1℃</w:t>
      </w:r>
    </w:p>
    <w:p w14:paraId="2BCFC7C4">
      <w:pPr>
        <w:pStyle w:val="4"/>
        <w:tabs>
          <w:tab w:val="clear" w:pos="0"/>
        </w:tabs>
        <w:spacing w:before="120"/>
        <w:rPr>
          <w:rFonts w:ascii="宋体" w:hAnsi="宋体" w:cs="宋体"/>
        </w:rPr>
      </w:pPr>
      <w:bookmarkStart w:id="315" w:name="_Toc514407948"/>
      <w:bookmarkStart w:id="316" w:name="_Toc17993"/>
      <w:bookmarkStart w:id="317" w:name="_Toc2218"/>
      <w:bookmarkStart w:id="318" w:name="_Toc1063700407"/>
      <w:bookmarkStart w:id="319" w:name="_Toc6266"/>
      <w:bookmarkStart w:id="320" w:name="_Toc97405520"/>
      <w:bookmarkStart w:id="321" w:name="_Toc24415"/>
      <w:r>
        <w:rPr>
          <w:rFonts w:hint="eastAsia" w:ascii="宋体" w:hAnsi="宋体" w:cs="宋体"/>
        </w:rPr>
        <w:t>采集模块安装施工</w:t>
      </w:r>
      <w:bookmarkEnd w:id="315"/>
      <w:bookmarkEnd w:id="316"/>
      <w:bookmarkEnd w:id="317"/>
      <w:bookmarkEnd w:id="318"/>
      <w:bookmarkEnd w:id="319"/>
      <w:bookmarkEnd w:id="320"/>
      <w:bookmarkEnd w:id="321"/>
    </w:p>
    <w:p w14:paraId="10DD506B">
      <w:pPr>
        <w:numPr>
          <w:ilvl w:val="0"/>
          <w:numId w:val="51"/>
        </w:numPr>
        <w:spacing w:line="360" w:lineRule="auto"/>
        <w:ind w:left="420" w:leftChars="200"/>
        <w:rPr>
          <w:rFonts w:ascii="宋体" w:hAnsi="宋体" w:cs="宋体"/>
        </w:rPr>
      </w:pPr>
      <w:r>
        <w:rPr>
          <w:rFonts w:hint="eastAsia" w:ascii="宋体" w:hAnsi="宋体" w:cs="宋体"/>
        </w:rPr>
        <w:t>安装于电池架上。</w:t>
      </w:r>
    </w:p>
    <w:p w14:paraId="4B46C8BA">
      <w:pPr>
        <w:numPr>
          <w:ilvl w:val="0"/>
          <w:numId w:val="51"/>
        </w:numPr>
        <w:spacing w:line="360" w:lineRule="auto"/>
        <w:ind w:left="420" w:leftChars="200"/>
        <w:rPr>
          <w:rFonts w:ascii="宋体" w:hAnsi="宋体" w:cs="宋体"/>
        </w:rPr>
      </w:pPr>
      <w:r>
        <w:rPr>
          <w:rFonts w:hint="eastAsia" w:ascii="宋体" w:hAnsi="宋体" w:cs="宋体"/>
        </w:rPr>
        <w:t>单采集模块通过</w:t>
      </w:r>
      <w:r>
        <w:rPr>
          <w:rFonts w:ascii="宋体" w:hAnsi="宋体" w:cs="宋体"/>
        </w:rPr>
        <w:t>RS485与</w:t>
      </w:r>
      <w:r>
        <w:rPr>
          <w:rFonts w:hint="eastAsia" w:ascii="宋体" w:hAnsi="宋体" w:cs="宋体"/>
        </w:rPr>
        <w:t>汇集器进行连接通信。</w:t>
      </w:r>
    </w:p>
    <w:p w14:paraId="790F469A">
      <w:pPr>
        <w:numPr>
          <w:ilvl w:val="0"/>
          <w:numId w:val="51"/>
        </w:numPr>
        <w:spacing w:line="360" w:lineRule="auto"/>
        <w:ind w:left="420" w:leftChars="200"/>
        <w:rPr>
          <w:rFonts w:ascii="宋体" w:hAnsi="宋体" w:cs="宋体"/>
          <w:szCs w:val="21"/>
        </w:rPr>
      </w:pPr>
      <w:r>
        <w:rPr>
          <w:rFonts w:hint="eastAsia" w:ascii="宋体" w:hAnsi="宋体" w:cs="宋体"/>
        </w:rPr>
        <w:t>从母线上取电或者由汇集器供电。</w:t>
      </w:r>
      <w:bookmarkStart w:id="322" w:name="_Toc198697502"/>
      <w:bookmarkStart w:id="323" w:name="_Toc181073198"/>
      <w:bookmarkStart w:id="324" w:name="_Toc294889442"/>
      <w:bookmarkStart w:id="325" w:name="_Toc181075738"/>
    </w:p>
    <w:p w14:paraId="7F59271C">
      <w:pPr>
        <w:pStyle w:val="3"/>
        <w:numPr>
          <w:ilvl w:val="1"/>
          <w:numId w:val="1"/>
        </w:numPr>
        <w:tabs>
          <w:tab w:val="clear" w:pos="0"/>
        </w:tabs>
        <w:spacing w:line="240" w:lineRule="auto"/>
        <w:rPr>
          <w:rFonts w:hint="default" w:ascii="宋体" w:hAnsi="宋体" w:eastAsia="宋体" w:cs="宋体"/>
          <w:b/>
          <w:bCs/>
          <w:sz w:val="24"/>
          <w:szCs w:val="21"/>
          <w:lang w:val="zh-TW" w:eastAsia="zh-TW"/>
        </w:rPr>
      </w:pPr>
      <w:bookmarkStart w:id="326" w:name="_Toc1958862821"/>
      <w:bookmarkStart w:id="327" w:name="_Toc31051"/>
      <w:bookmarkStart w:id="328" w:name="_Toc97405521"/>
      <w:bookmarkStart w:id="329" w:name="_Toc7528"/>
      <w:bookmarkStart w:id="330" w:name="_Toc12485"/>
      <w:bookmarkStart w:id="331" w:name="_Toc514407949"/>
      <w:r>
        <w:rPr>
          <w:rFonts w:hint="eastAsia" w:ascii="宋体" w:hAnsi="宋体" w:cs="宋体"/>
          <w:snapToGrid/>
          <w:szCs w:val="21"/>
        </w:rPr>
        <w:t>★</w:t>
      </w:r>
      <w:r>
        <w:rPr>
          <w:rFonts w:hint="default" w:ascii="宋体" w:hAnsi="宋体" w:eastAsia="宋体" w:cs="宋体"/>
          <w:b/>
          <w:bCs/>
          <w:sz w:val="24"/>
          <w:szCs w:val="21"/>
          <w:lang w:val="zh-TW" w:eastAsia="zh-TW"/>
        </w:rPr>
        <w:t>安全加密技术要求</w:t>
      </w:r>
      <w:bookmarkEnd w:id="326"/>
      <w:bookmarkEnd w:id="327"/>
    </w:p>
    <w:p w14:paraId="1FE12018">
      <w:pPr>
        <w:numPr>
          <w:ilvl w:val="0"/>
          <w:numId w:val="52"/>
        </w:numPr>
        <w:spacing w:line="360" w:lineRule="auto"/>
        <w:ind w:left="420" w:leftChars="200"/>
        <w:rPr>
          <w:rFonts w:ascii="宋体" w:hAnsi="宋体" w:cs="宋体"/>
        </w:rPr>
      </w:pPr>
      <w:bookmarkStart w:id="332" w:name="bookmark347"/>
      <w:bookmarkEnd w:id="332"/>
      <w:r>
        <w:rPr>
          <w:rFonts w:hint="eastAsia" w:ascii="宋体" w:hAnsi="宋体" w:cs="宋体"/>
          <w:snapToGrid/>
          <w:szCs w:val="21"/>
        </w:rPr>
        <w:t>★</w:t>
      </w:r>
      <w:r>
        <w:rPr>
          <w:rFonts w:hint="eastAsia" w:ascii="Times New Roman" w:hAnsi="Times New Roman" w:eastAsia="宋体" w:cs="Times New Roman"/>
          <w:snapToGrid w:val="0"/>
          <w:sz w:val="21"/>
          <w:szCs w:val="21"/>
          <w:u w:val="none"/>
          <w:shd w:val="clear"/>
          <w:lang w:val="zh-TW" w:eastAsia="zh-TW" w:bidi="zh-TW"/>
        </w:rPr>
        <w:t>蓄电池远程核容装置应具有双向验签安全机制，支持主站与核容装置间双向身份认证、报文加密及签名校验；下行控制指令由主站签名下发，装置校验通过后方可执行核容操作，上行数据经装置签名加密上传，主站完成合法性验签解析，有效防范恶意篡改、非法入侵与误操作，保障整个远程核容业务链路安全可控</w:t>
      </w:r>
      <w:r>
        <w:rPr>
          <w:rFonts w:hint="eastAsia" w:cs="Times New Roman"/>
          <w:snapToGrid w:val="0"/>
          <w:sz w:val="21"/>
          <w:szCs w:val="21"/>
          <w:u w:val="none"/>
          <w:shd w:val="clear"/>
          <w:lang w:val="zh-TW" w:eastAsia="zh-CN" w:bidi="zh-TW"/>
        </w:rPr>
        <w:t>。</w:t>
      </w:r>
    </w:p>
    <w:p w14:paraId="5B80D0E1">
      <w:pPr>
        <w:numPr>
          <w:ilvl w:val="0"/>
          <w:numId w:val="52"/>
        </w:numPr>
        <w:spacing w:line="360" w:lineRule="auto"/>
        <w:ind w:left="420" w:leftChars="200"/>
        <w:rPr>
          <w:rFonts w:hint="eastAsia" w:ascii="Times New Roman" w:hAnsi="Times New Roman" w:cs="Times New Roman"/>
        </w:rPr>
      </w:pPr>
      <w:r>
        <w:rPr>
          <w:rFonts w:hint="eastAsia" w:ascii="宋体" w:hAnsi="宋体" w:cs="宋体"/>
          <w:snapToGrid/>
          <w:szCs w:val="21"/>
        </w:rPr>
        <w:t>★</w:t>
      </w:r>
      <w:r>
        <w:rPr>
          <w:rFonts w:hint="eastAsia"/>
          <w:snapToGrid w:val="0"/>
          <w:sz w:val="21"/>
          <w:szCs w:val="21"/>
          <w:highlight w:val="none"/>
        </w:rPr>
        <w:t>安全认证加密过程应采用SM2国密算法</w:t>
      </w:r>
      <w:r>
        <w:rPr>
          <w:rFonts w:hint="eastAsia"/>
          <w:snapToGrid w:val="0"/>
          <w:sz w:val="21"/>
          <w:szCs w:val="21"/>
          <w:highlight w:val="none"/>
          <w:lang w:eastAsia="zh-CN"/>
        </w:rPr>
        <w:t>。</w:t>
      </w:r>
    </w:p>
    <w:p w14:paraId="573DCCAC">
      <w:pPr>
        <w:pStyle w:val="3"/>
      </w:pPr>
      <w:bookmarkStart w:id="333" w:name="_Toc1683124037"/>
      <w:bookmarkStart w:id="334" w:name="_Toc9056"/>
      <w:r>
        <w:rPr>
          <w:rFonts w:hint="eastAsia"/>
        </w:rPr>
        <w:t>系统主机性能参数一览表</w:t>
      </w:r>
      <w:bookmarkEnd w:id="328"/>
      <w:bookmarkEnd w:id="329"/>
      <w:bookmarkEnd w:id="330"/>
      <w:bookmarkEnd w:id="331"/>
      <w:bookmarkEnd w:id="333"/>
      <w:bookmarkEnd w:id="334"/>
    </w:p>
    <w:p w14:paraId="2CDD453D">
      <w:pPr>
        <w:spacing w:line="360" w:lineRule="auto"/>
      </w:pPr>
      <w:r>
        <w:rPr>
          <w:rFonts w:hint="eastAsia"/>
        </w:rPr>
        <w:t xml:space="preserve">   下表为100A型号的技术参数（参考），更大电流等级的设备使用更高的配置设备实现。</w:t>
      </w:r>
    </w:p>
    <w:tbl>
      <w:tblPr>
        <w:tblStyle w:val="83"/>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5720"/>
      </w:tblGrid>
      <w:tr w14:paraId="7FAAB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02" w:type="dxa"/>
          </w:tcPr>
          <w:p w14:paraId="341E7E1B">
            <w:pPr>
              <w:jc w:val="center"/>
              <w:rPr>
                <w:rFonts w:ascii="宋体" w:hAnsi="宋体" w:cs="宋体"/>
              </w:rPr>
            </w:pPr>
            <w:r>
              <w:rPr>
                <w:rFonts w:hint="eastAsia" w:ascii="宋体" w:hAnsi="宋体" w:cs="宋体"/>
              </w:rPr>
              <w:t>机型</w:t>
            </w:r>
          </w:p>
        </w:tc>
        <w:tc>
          <w:tcPr>
            <w:tcW w:w="5720" w:type="dxa"/>
          </w:tcPr>
          <w:p w14:paraId="1478D084">
            <w:pPr>
              <w:jc w:val="center"/>
              <w:rPr>
                <w:rFonts w:ascii="宋体" w:hAnsi="宋体" w:cs="宋体"/>
              </w:rPr>
            </w:pPr>
            <w:r>
              <w:rPr>
                <w:rFonts w:hint="eastAsia" w:ascii="宋体" w:hAnsi="宋体" w:cs="宋体"/>
              </w:rPr>
              <w:t>100A规格</w:t>
            </w:r>
          </w:p>
        </w:tc>
      </w:tr>
      <w:tr w14:paraId="72F00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2" w:type="dxa"/>
          </w:tcPr>
          <w:p w14:paraId="24479B6F">
            <w:pPr>
              <w:jc w:val="left"/>
              <w:rPr>
                <w:rFonts w:ascii="宋体" w:hAnsi="宋体" w:cs="宋体"/>
              </w:rPr>
            </w:pPr>
            <w:r>
              <w:rPr>
                <w:rFonts w:hint="eastAsia" w:ascii="宋体" w:hAnsi="宋体" w:cs="宋体"/>
                <w:sz w:val="22"/>
              </w:rPr>
              <w:t>工作电压范围（V）</w:t>
            </w:r>
          </w:p>
        </w:tc>
        <w:tc>
          <w:tcPr>
            <w:tcW w:w="5720" w:type="dxa"/>
          </w:tcPr>
          <w:p w14:paraId="10C5D871">
            <w:pPr>
              <w:jc w:val="center"/>
              <w:rPr>
                <w:rFonts w:ascii="宋体" w:hAnsi="宋体" w:cs="宋体"/>
              </w:rPr>
            </w:pPr>
            <w:r>
              <w:rPr>
                <w:rFonts w:hint="eastAsia" w:ascii="宋体" w:hAnsi="宋体" w:cs="宋体"/>
                <w:sz w:val="22"/>
              </w:rPr>
              <w:t>40—60V</w:t>
            </w:r>
          </w:p>
        </w:tc>
      </w:tr>
      <w:tr w14:paraId="72AF6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2" w:type="dxa"/>
          </w:tcPr>
          <w:p w14:paraId="1AB197EB">
            <w:pPr>
              <w:jc w:val="left"/>
              <w:rPr>
                <w:rFonts w:ascii="宋体" w:hAnsi="宋体" w:cs="宋体"/>
                <w:sz w:val="22"/>
              </w:rPr>
            </w:pPr>
            <w:r>
              <w:rPr>
                <w:rFonts w:hint="eastAsia" w:ascii="宋体" w:hAnsi="宋体" w:cs="宋体"/>
                <w:sz w:val="22"/>
              </w:rPr>
              <w:t>充放电测试电压范围（V）</w:t>
            </w:r>
          </w:p>
        </w:tc>
        <w:tc>
          <w:tcPr>
            <w:tcW w:w="5720" w:type="dxa"/>
          </w:tcPr>
          <w:p w14:paraId="501EF205">
            <w:pPr>
              <w:jc w:val="center"/>
              <w:rPr>
                <w:rFonts w:ascii="宋体" w:hAnsi="宋体" w:cs="宋体"/>
              </w:rPr>
            </w:pPr>
            <w:r>
              <w:rPr>
                <w:rFonts w:hint="eastAsia" w:ascii="宋体" w:hAnsi="宋体" w:cs="宋体"/>
                <w:sz w:val="22"/>
              </w:rPr>
              <w:t>40—57V</w:t>
            </w:r>
          </w:p>
        </w:tc>
      </w:tr>
      <w:tr w14:paraId="1042D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2" w:type="dxa"/>
          </w:tcPr>
          <w:p w14:paraId="3A1FEA04">
            <w:pPr>
              <w:rPr>
                <w:rFonts w:ascii="宋体" w:hAnsi="宋体" w:cs="宋体"/>
              </w:rPr>
            </w:pPr>
            <w:r>
              <w:rPr>
                <w:rFonts w:hint="eastAsia" w:ascii="宋体" w:hAnsi="宋体" w:cs="宋体"/>
              </w:rPr>
              <w:t>放电测试电流范围（A）</w:t>
            </w:r>
          </w:p>
        </w:tc>
        <w:tc>
          <w:tcPr>
            <w:tcW w:w="5720" w:type="dxa"/>
          </w:tcPr>
          <w:p w14:paraId="5DB6BF0E">
            <w:pPr>
              <w:rPr>
                <w:rFonts w:ascii="宋体" w:hAnsi="宋体" w:cs="宋体"/>
              </w:rPr>
            </w:pPr>
            <w:r>
              <w:rPr>
                <w:rFonts w:hint="eastAsia" w:ascii="宋体" w:hAnsi="宋体" w:cs="宋体"/>
              </w:rPr>
              <w:t>1</w:t>
            </w:r>
            <w:r>
              <w:rPr>
                <w:rFonts w:hint="eastAsia" w:ascii="宋体" w:hAnsi="宋体" w:cs="宋体"/>
                <w:sz w:val="22"/>
              </w:rPr>
              <w:t>—</w:t>
            </w:r>
            <w:r>
              <w:rPr>
                <w:rFonts w:hint="eastAsia" w:ascii="宋体" w:hAnsi="宋体" w:cs="宋体"/>
              </w:rPr>
              <w:t>100</w:t>
            </w:r>
          </w:p>
        </w:tc>
      </w:tr>
      <w:tr w14:paraId="58C51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2" w:type="dxa"/>
          </w:tcPr>
          <w:p w14:paraId="72C5B41A">
            <w:pPr>
              <w:rPr>
                <w:rFonts w:ascii="宋体" w:hAnsi="宋体" w:cs="宋体"/>
              </w:rPr>
            </w:pPr>
            <w:r>
              <w:rPr>
                <w:rFonts w:hint="eastAsia" w:ascii="宋体" w:hAnsi="宋体" w:cs="宋体"/>
              </w:rPr>
              <w:t>限流充电稳流范围（A）</w:t>
            </w:r>
          </w:p>
        </w:tc>
        <w:tc>
          <w:tcPr>
            <w:tcW w:w="5720" w:type="dxa"/>
          </w:tcPr>
          <w:p w14:paraId="1CFEEFFE">
            <w:pPr>
              <w:rPr>
                <w:rFonts w:ascii="宋体" w:hAnsi="宋体" w:cs="宋体"/>
              </w:rPr>
            </w:pPr>
            <w:r>
              <w:rPr>
                <w:rFonts w:hint="eastAsia" w:ascii="宋体" w:hAnsi="宋体" w:cs="宋体"/>
              </w:rPr>
              <w:t>1</w:t>
            </w:r>
            <w:r>
              <w:rPr>
                <w:rFonts w:hint="eastAsia" w:ascii="宋体" w:hAnsi="宋体" w:cs="宋体"/>
                <w:sz w:val="22"/>
              </w:rPr>
              <w:t>—100</w:t>
            </w:r>
          </w:p>
        </w:tc>
      </w:tr>
      <w:tr w14:paraId="7E732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2" w:type="dxa"/>
          </w:tcPr>
          <w:p w14:paraId="191146E6">
            <w:pPr>
              <w:rPr>
                <w:rFonts w:ascii="宋体" w:hAnsi="宋体" w:cs="宋体"/>
              </w:rPr>
            </w:pPr>
            <w:r>
              <w:rPr>
                <w:rFonts w:hint="eastAsia" w:ascii="宋体" w:hAnsi="宋体" w:cs="宋体"/>
              </w:rPr>
              <w:t>系统电源电压测量范围（V）</w:t>
            </w:r>
          </w:p>
        </w:tc>
        <w:tc>
          <w:tcPr>
            <w:tcW w:w="5720" w:type="dxa"/>
          </w:tcPr>
          <w:p w14:paraId="5A13A103">
            <w:pPr>
              <w:rPr>
                <w:rFonts w:ascii="宋体" w:hAnsi="宋体" w:cs="宋体"/>
              </w:rPr>
            </w:pPr>
            <w:r>
              <w:rPr>
                <w:rFonts w:hint="eastAsia" w:ascii="宋体" w:hAnsi="宋体" w:cs="宋体"/>
                <w:sz w:val="22"/>
              </w:rPr>
              <w:t>0—60</w:t>
            </w:r>
          </w:p>
        </w:tc>
      </w:tr>
      <w:tr w14:paraId="6F681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2" w:type="dxa"/>
          </w:tcPr>
          <w:p w14:paraId="4E341F15">
            <w:pPr>
              <w:rPr>
                <w:rFonts w:ascii="宋体" w:hAnsi="宋体" w:cs="宋体"/>
              </w:rPr>
            </w:pPr>
            <w:r>
              <w:rPr>
                <w:rFonts w:hint="eastAsia" w:ascii="宋体" w:hAnsi="宋体" w:cs="宋体"/>
              </w:rPr>
              <w:t>系统电源电压测量精度</w:t>
            </w:r>
          </w:p>
        </w:tc>
        <w:tc>
          <w:tcPr>
            <w:tcW w:w="5720" w:type="dxa"/>
          </w:tcPr>
          <w:p w14:paraId="3692D403">
            <w:pPr>
              <w:rPr>
                <w:rFonts w:ascii="宋体" w:hAnsi="宋体" w:cs="宋体"/>
                <w:sz w:val="22"/>
              </w:rPr>
            </w:pPr>
            <w:r>
              <w:rPr>
                <w:rFonts w:hint="eastAsia" w:ascii="宋体" w:hAnsi="宋体" w:cs="宋体"/>
              </w:rPr>
              <w:t>分辨率：0.01V，测量误差±0.5%*标称直流系统电源电压</w:t>
            </w:r>
          </w:p>
        </w:tc>
      </w:tr>
      <w:tr w14:paraId="138D9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2" w:type="dxa"/>
          </w:tcPr>
          <w:p w14:paraId="657279BD">
            <w:pPr>
              <w:rPr>
                <w:rFonts w:ascii="宋体" w:hAnsi="宋体" w:cs="宋体"/>
              </w:rPr>
            </w:pPr>
            <w:r>
              <w:rPr>
                <w:rFonts w:hint="eastAsia" w:ascii="宋体" w:hAnsi="宋体" w:cs="宋体"/>
                <w:sz w:val="22"/>
              </w:rPr>
              <w:t>电池组端电压测量</w:t>
            </w:r>
            <w:r>
              <w:rPr>
                <w:rFonts w:hint="eastAsia" w:ascii="宋体" w:hAnsi="宋体" w:cs="宋体"/>
              </w:rPr>
              <w:t>范围（V）</w:t>
            </w:r>
          </w:p>
        </w:tc>
        <w:tc>
          <w:tcPr>
            <w:tcW w:w="5720" w:type="dxa"/>
          </w:tcPr>
          <w:p w14:paraId="77D011C3">
            <w:pPr>
              <w:rPr>
                <w:rFonts w:ascii="宋体" w:hAnsi="宋体" w:cs="宋体"/>
              </w:rPr>
            </w:pPr>
            <w:r>
              <w:rPr>
                <w:rFonts w:hint="eastAsia" w:ascii="宋体" w:hAnsi="宋体" w:cs="宋体"/>
                <w:sz w:val="22"/>
              </w:rPr>
              <w:t>0—60</w:t>
            </w:r>
          </w:p>
        </w:tc>
      </w:tr>
      <w:tr w14:paraId="54B17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2" w:type="dxa"/>
          </w:tcPr>
          <w:p w14:paraId="67E16437">
            <w:pPr>
              <w:rPr>
                <w:rFonts w:ascii="宋体" w:hAnsi="宋体" w:cs="宋体"/>
              </w:rPr>
            </w:pPr>
            <w:r>
              <w:rPr>
                <w:rFonts w:hint="eastAsia" w:ascii="宋体" w:hAnsi="宋体" w:cs="宋体"/>
                <w:sz w:val="22"/>
              </w:rPr>
              <w:t>电池组端电压测量精度</w:t>
            </w:r>
          </w:p>
        </w:tc>
        <w:tc>
          <w:tcPr>
            <w:tcW w:w="5720" w:type="dxa"/>
          </w:tcPr>
          <w:p w14:paraId="5F0061CC">
            <w:pPr>
              <w:rPr>
                <w:rFonts w:ascii="宋体" w:hAnsi="宋体" w:cs="宋体"/>
              </w:rPr>
            </w:pPr>
            <w:r>
              <w:rPr>
                <w:rFonts w:hint="eastAsia" w:ascii="宋体" w:hAnsi="宋体" w:cs="宋体"/>
              </w:rPr>
              <w:t>分辨率：0.01V，测量误差±0.5%*标称电池组端电压</w:t>
            </w:r>
          </w:p>
        </w:tc>
      </w:tr>
      <w:tr w14:paraId="05154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2802" w:type="dxa"/>
          </w:tcPr>
          <w:p w14:paraId="2C3EDCCC">
            <w:pPr>
              <w:rPr>
                <w:rFonts w:ascii="宋体" w:hAnsi="宋体" w:cs="宋体"/>
                <w:sz w:val="22"/>
              </w:rPr>
            </w:pPr>
            <w:r>
              <w:rPr>
                <w:rFonts w:hint="eastAsia" w:ascii="宋体" w:hAnsi="宋体" w:cs="宋体"/>
                <w:sz w:val="22"/>
              </w:rPr>
              <w:t>单体电压测量范围（V）</w:t>
            </w:r>
          </w:p>
        </w:tc>
        <w:tc>
          <w:tcPr>
            <w:tcW w:w="5720" w:type="dxa"/>
          </w:tcPr>
          <w:p w14:paraId="491D0938">
            <w:pPr>
              <w:numPr>
                <w:ilvl w:val="255"/>
                <w:numId w:val="0"/>
              </w:numPr>
              <w:spacing w:line="360" w:lineRule="auto"/>
              <w:jc w:val="left"/>
              <w:rPr>
                <w:rFonts w:ascii="宋体" w:hAnsi="宋体" w:cs="宋体"/>
              </w:rPr>
            </w:pPr>
            <w:r>
              <w:rPr>
                <w:rFonts w:hint="eastAsia" w:ascii="宋体" w:hAnsi="宋体" w:cs="宋体"/>
                <w:sz w:val="22"/>
              </w:rPr>
              <w:t>2</w:t>
            </w:r>
            <w:r>
              <w:rPr>
                <w:rFonts w:ascii="宋体" w:hAnsi="宋体" w:cs="宋体"/>
                <w:sz w:val="22"/>
              </w:rPr>
              <w:t>V</w:t>
            </w:r>
            <w:r>
              <w:rPr>
                <w:rFonts w:hint="eastAsia" w:ascii="宋体" w:hAnsi="宋体" w:cs="宋体"/>
                <w:sz w:val="22"/>
              </w:rPr>
              <w:t>：0.2-</w:t>
            </w:r>
            <w:r>
              <w:rPr>
                <w:rFonts w:ascii="宋体" w:hAnsi="宋体" w:cs="宋体"/>
                <w:sz w:val="22"/>
              </w:rPr>
              <w:t>2.6</w:t>
            </w:r>
            <w:r>
              <w:rPr>
                <w:rFonts w:hint="eastAsia" w:ascii="宋体" w:hAnsi="宋体" w:cs="宋体"/>
                <w:sz w:val="22"/>
              </w:rPr>
              <w:t>;</w:t>
            </w:r>
          </w:p>
        </w:tc>
      </w:tr>
      <w:tr w14:paraId="62A67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2" w:type="dxa"/>
          </w:tcPr>
          <w:p w14:paraId="0BFEBD60">
            <w:pPr>
              <w:rPr>
                <w:rFonts w:ascii="宋体" w:hAnsi="宋体" w:cs="宋体"/>
              </w:rPr>
            </w:pPr>
            <w:r>
              <w:rPr>
                <w:rFonts w:hint="eastAsia" w:ascii="宋体" w:hAnsi="宋体" w:cs="宋体"/>
                <w:sz w:val="22"/>
              </w:rPr>
              <w:t>单体电压测量精度</w:t>
            </w:r>
          </w:p>
        </w:tc>
        <w:tc>
          <w:tcPr>
            <w:tcW w:w="5720" w:type="dxa"/>
          </w:tcPr>
          <w:p w14:paraId="2037FFE6">
            <w:pPr>
              <w:rPr>
                <w:rFonts w:ascii="宋体" w:hAnsi="宋体" w:cs="宋体"/>
              </w:rPr>
            </w:pPr>
            <w:r>
              <w:rPr>
                <w:rFonts w:hint="eastAsia" w:ascii="宋体" w:hAnsi="宋体" w:cs="宋体"/>
              </w:rPr>
              <w:t>分辨率：0.001V，测量误差±5mv</w:t>
            </w:r>
          </w:p>
        </w:tc>
      </w:tr>
      <w:tr w14:paraId="18BF1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2" w:type="dxa"/>
          </w:tcPr>
          <w:p w14:paraId="3BFAA8EB">
            <w:pPr>
              <w:rPr>
                <w:rFonts w:ascii="宋体" w:hAnsi="宋体" w:cs="宋体"/>
                <w:sz w:val="22"/>
              </w:rPr>
            </w:pPr>
            <w:r>
              <w:rPr>
                <w:rFonts w:hint="eastAsia" w:ascii="宋体" w:hAnsi="宋体" w:cs="宋体"/>
                <w:sz w:val="22"/>
              </w:rPr>
              <w:t>单体内阻测量范围（</w:t>
            </w:r>
            <w:r>
              <w:rPr>
                <w:rFonts w:ascii="宋体" w:hAnsi="宋体" w:cs="宋体"/>
                <w:sz w:val="22"/>
              </w:rPr>
              <w:t>μ</w:t>
            </w:r>
            <w:r>
              <w:rPr>
                <w:rFonts w:hint="eastAsia" w:ascii="宋体" w:hAnsi="宋体" w:cs="宋体"/>
                <w:sz w:val="22"/>
              </w:rPr>
              <w:t>Ω）</w:t>
            </w:r>
          </w:p>
        </w:tc>
        <w:tc>
          <w:tcPr>
            <w:tcW w:w="5720" w:type="dxa"/>
          </w:tcPr>
          <w:p w14:paraId="5FA077B4">
            <w:pPr>
              <w:numPr>
                <w:ilvl w:val="255"/>
                <w:numId w:val="0"/>
              </w:numPr>
              <w:spacing w:line="360" w:lineRule="auto"/>
              <w:jc w:val="left"/>
              <w:rPr>
                <w:rFonts w:ascii="宋体" w:hAnsi="宋体" w:cs="宋体"/>
              </w:rPr>
            </w:pPr>
            <w:r>
              <w:rPr>
                <w:rFonts w:hint="eastAsia" w:ascii="宋体" w:hAnsi="宋体" w:cs="宋体"/>
                <w:sz w:val="22"/>
              </w:rPr>
              <w:t>2</w:t>
            </w:r>
            <w:r>
              <w:rPr>
                <w:rFonts w:ascii="宋体" w:hAnsi="宋体" w:cs="宋体"/>
                <w:sz w:val="22"/>
              </w:rPr>
              <w:t>V</w:t>
            </w:r>
            <w:r>
              <w:rPr>
                <w:rFonts w:hint="eastAsia" w:ascii="宋体" w:hAnsi="宋体" w:cs="宋体"/>
                <w:sz w:val="22"/>
              </w:rPr>
              <w:t>：</w:t>
            </w:r>
            <w:r>
              <w:rPr>
                <w:rFonts w:ascii="宋体" w:hAnsi="宋体" w:cs="宋体"/>
                <w:sz w:val="22"/>
              </w:rPr>
              <w:t xml:space="preserve">10-4000； </w:t>
            </w:r>
          </w:p>
        </w:tc>
      </w:tr>
      <w:tr w14:paraId="027BB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2" w:type="dxa"/>
          </w:tcPr>
          <w:p w14:paraId="7EFB55CD">
            <w:pPr>
              <w:rPr>
                <w:rFonts w:ascii="宋体" w:hAnsi="宋体" w:cs="宋体"/>
              </w:rPr>
            </w:pPr>
            <w:r>
              <w:rPr>
                <w:rFonts w:hint="eastAsia" w:ascii="宋体" w:hAnsi="宋体" w:cs="宋体"/>
              </w:rPr>
              <w:t>单体内阻测量精度</w:t>
            </w:r>
          </w:p>
        </w:tc>
        <w:tc>
          <w:tcPr>
            <w:tcW w:w="5720" w:type="dxa"/>
          </w:tcPr>
          <w:p w14:paraId="24AE3896">
            <w:pPr>
              <w:rPr>
                <w:rFonts w:ascii="宋体" w:hAnsi="宋体" w:cs="宋体"/>
              </w:rPr>
            </w:pPr>
            <w:r>
              <w:rPr>
                <w:rFonts w:hint="eastAsia" w:ascii="宋体" w:hAnsi="宋体" w:cs="宋体"/>
              </w:rPr>
              <w:t>分辨率：0.001mΩ，重复精度±3%</w:t>
            </w:r>
          </w:p>
        </w:tc>
      </w:tr>
      <w:tr w14:paraId="1C1F6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2" w:type="dxa"/>
          </w:tcPr>
          <w:p w14:paraId="1D63A941">
            <w:pPr>
              <w:rPr>
                <w:rFonts w:ascii="宋体" w:hAnsi="宋体" w:cs="宋体"/>
              </w:rPr>
            </w:pPr>
            <w:r>
              <w:rPr>
                <w:rFonts w:hint="eastAsia" w:ascii="宋体" w:hAnsi="宋体" w:cs="宋体"/>
              </w:rPr>
              <w:t>单体温度测量范围（℃）</w:t>
            </w:r>
          </w:p>
        </w:tc>
        <w:tc>
          <w:tcPr>
            <w:tcW w:w="5720" w:type="dxa"/>
          </w:tcPr>
          <w:p w14:paraId="1D8C8D1C">
            <w:pPr>
              <w:rPr>
                <w:rFonts w:ascii="宋体" w:hAnsi="宋体" w:cs="宋体"/>
              </w:rPr>
            </w:pPr>
            <w:r>
              <w:rPr>
                <w:rFonts w:hint="eastAsia" w:ascii="宋体" w:hAnsi="宋体" w:cs="宋体"/>
              </w:rPr>
              <w:t>-10</w:t>
            </w:r>
            <w:r>
              <w:rPr>
                <w:rFonts w:hint="eastAsia" w:ascii="宋体" w:hAnsi="宋体" w:cs="宋体"/>
                <w:sz w:val="22"/>
              </w:rPr>
              <w:t>—70</w:t>
            </w:r>
          </w:p>
        </w:tc>
      </w:tr>
      <w:tr w14:paraId="745E4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2" w:type="dxa"/>
          </w:tcPr>
          <w:p w14:paraId="52361A56">
            <w:pPr>
              <w:rPr>
                <w:rFonts w:ascii="宋体" w:hAnsi="宋体" w:cs="宋体"/>
              </w:rPr>
            </w:pPr>
            <w:r>
              <w:rPr>
                <w:rFonts w:hint="eastAsia" w:ascii="宋体" w:hAnsi="宋体" w:cs="宋体"/>
              </w:rPr>
              <w:t>单体温度测量精度</w:t>
            </w:r>
          </w:p>
        </w:tc>
        <w:tc>
          <w:tcPr>
            <w:tcW w:w="5720" w:type="dxa"/>
          </w:tcPr>
          <w:p w14:paraId="1047090C">
            <w:pPr>
              <w:rPr>
                <w:rFonts w:ascii="宋体" w:hAnsi="宋体" w:cs="宋体"/>
              </w:rPr>
            </w:pPr>
            <w:r>
              <w:rPr>
                <w:rFonts w:hint="eastAsia" w:ascii="宋体" w:hAnsi="宋体" w:cs="宋体"/>
              </w:rPr>
              <w:t>分辨率：0.1℃，测量误差±1℃</w:t>
            </w:r>
          </w:p>
        </w:tc>
      </w:tr>
    </w:tbl>
    <w:p w14:paraId="1401E1D3">
      <w:pPr>
        <w:pStyle w:val="3"/>
        <w:rPr>
          <w:rFonts w:ascii="宋体" w:hAnsi="宋体" w:cs="宋体"/>
        </w:rPr>
      </w:pPr>
      <w:bookmarkStart w:id="335" w:name="_Toc514407950"/>
      <w:bookmarkStart w:id="336" w:name="_Toc19905"/>
      <w:bookmarkStart w:id="337" w:name="_Toc13096"/>
      <w:bookmarkStart w:id="338" w:name="_Toc1611091575"/>
      <w:bookmarkStart w:id="339" w:name="_Toc19110"/>
      <w:bookmarkStart w:id="340" w:name="_Toc97405522"/>
      <w:r>
        <w:rPr>
          <w:rFonts w:hint="eastAsia" w:ascii="宋体" w:hAnsi="宋体" w:cs="宋体"/>
        </w:rPr>
        <w:t>监控性能</w:t>
      </w:r>
      <w:bookmarkEnd w:id="335"/>
      <w:bookmarkEnd w:id="336"/>
      <w:bookmarkEnd w:id="337"/>
      <w:bookmarkEnd w:id="338"/>
      <w:bookmarkEnd w:id="339"/>
      <w:bookmarkEnd w:id="340"/>
    </w:p>
    <w:p w14:paraId="06084F13">
      <w:pPr>
        <w:spacing w:line="360" w:lineRule="auto"/>
        <w:ind w:firstLine="420" w:firstLineChars="200"/>
        <w:rPr>
          <w:rFonts w:hint="eastAsia" w:ascii="宋体" w:hAnsi="宋体" w:cs="宋体"/>
          <w:szCs w:val="21"/>
          <w:lang w:eastAsia="zh-CN"/>
        </w:rPr>
      </w:pPr>
      <w:r>
        <w:rPr>
          <w:rFonts w:hint="eastAsia" w:ascii="宋体" w:hAnsi="宋体" w:cs="宋体"/>
          <w:snapToGrid/>
          <w:szCs w:val="21"/>
        </w:rPr>
        <w:t>★</w:t>
      </w:r>
      <w:r>
        <w:rPr>
          <w:rFonts w:hint="eastAsia" w:ascii="宋体" w:hAnsi="宋体" w:cs="宋体"/>
          <w:szCs w:val="21"/>
        </w:rPr>
        <w:t>本次招标</w:t>
      </w:r>
      <w:r>
        <w:rPr>
          <w:rFonts w:hint="eastAsia" w:ascii="宋体" w:hAnsi="宋体" w:cs="宋体"/>
          <w:szCs w:val="21"/>
          <w:highlight w:val="none"/>
        </w:rPr>
        <w:t>的</w:t>
      </w:r>
      <w:r>
        <w:rPr>
          <w:rFonts w:hint="eastAsia" w:ascii="Times New Roman" w:hAnsi="Times New Roman" w:eastAsia="宋体" w:cs="Times New Roman"/>
          <w:snapToGrid w:val="0"/>
          <w:sz w:val="21"/>
          <w:szCs w:val="21"/>
          <w:highlight w:val="none"/>
          <w:u w:val="none"/>
          <w:shd w:val="clear"/>
          <w:lang w:val="zh-TW" w:eastAsia="zh-CN" w:bidi="zh-TW"/>
        </w:rPr>
        <w:t>蓄电池远程核容装置</w:t>
      </w:r>
      <w:r>
        <w:rPr>
          <w:rFonts w:hint="eastAsia" w:ascii="宋体" w:hAnsi="宋体" w:cs="宋体"/>
          <w:szCs w:val="21"/>
          <w:highlight w:val="none"/>
          <w:lang w:val="zh-TW" w:eastAsia="zh-CN"/>
        </w:rPr>
        <w:t>须</w:t>
      </w:r>
      <w:r>
        <w:rPr>
          <w:rFonts w:hint="eastAsia" w:ascii="宋体" w:hAnsi="宋体" w:cs="宋体"/>
          <w:szCs w:val="21"/>
          <w:lang w:val="zh-TW" w:eastAsia="zh-CN"/>
        </w:rPr>
        <w:t>无条件接入深圳供电局现有通信电源远程核容监控主站系统。投标人须签署附录B承诺函，未签署者将被视为未响应招标文件要求</w:t>
      </w:r>
      <w:r>
        <w:rPr>
          <w:rFonts w:hint="eastAsia" w:ascii="宋体" w:hAnsi="宋体" w:cs="宋体"/>
          <w:szCs w:val="21"/>
          <w:lang w:eastAsia="zh-CN"/>
        </w:rPr>
        <w:t>。</w:t>
      </w:r>
      <w:bookmarkStart w:id="606" w:name="_GoBack"/>
      <w:bookmarkEnd w:id="606"/>
    </w:p>
    <w:p w14:paraId="62C0C7F9">
      <w:pPr>
        <w:spacing w:line="360" w:lineRule="auto"/>
        <w:ind w:firstLine="420" w:firstLineChars="200"/>
        <w:rPr>
          <w:rFonts w:ascii="宋体" w:hAnsi="宋体" w:cs="宋体"/>
          <w:szCs w:val="21"/>
        </w:rPr>
      </w:pPr>
      <w:r>
        <w:rPr>
          <w:rFonts w:hint="eastAsia" w:ascii="宋体" w:hAnsi="宋体" w:cs="宋体"/>
          <w:szCs w:val="21"/>
        </w:rPr>
        <w:t>提供满足《南方电网通信电源技术规范》等南方电网相关企业标准的远程核容监控主站系统（含License）对本期所投标的远程核容装置进行管理，并跟已有的远程核容监控主站系统进行对接。系统与监控系统通信之间采用DL/T860标准（IEC61850）上报数据，具体遥测、遥信、遥调、遥控量参照技术规范的要求，使用统一的监控名称及逻辑名称。蓄电池监控遥测量要求</w:t>
      </w:r>
      <w:r>
        <w:rPr>
          <w:rFonts w:hint="eastAsia" w:ascii="宋体" w:hAnsi="宋体" w:cs="宋体"/>
          <w:sz w:val="22"/>
        </w:rPr>
        <w:t>详见附录A（规范性附录）蓄电池远程核容监控信息表表</w:t>
      </w:r>
      <w:r>
        <w:rPr>
          <w:rFonts w:hint="eastAsia" w:ascii="宋体" w:hAnsi="宋体" w:cs="宋体"/>
          <w:sz w:val="22"/>
          <w:lang w:val="en-US" w:eastAsia="zh-CN"/>
        </w:rPr>
        <w:t>1</w:t>
      </w:r>
      <w:r>
        <w:rPr>
          <w:rFonts w:hint="eastAsia" w:ascii="宋体" w:hAnsi="宋体" w:cs="宋体"/>
          <w:szCs w:val="21"/>
        </w:rPr>
        <w:t>所示，蓄电池监控遥信量要求</w:t>
      </w:r>
      <w:r>
        <w:rPr>
          <w:rFonts w:hint="eastAsia" w:ascii="宋体" w:hAnsi="宋体" w:cs="宋体"/>
          <w:sz w:val="22"/>
        </w:rPr>
        <w:t>详见附录A（规范性附录）蓄电池远程核容监控信息表</w:t>
      </w:r>
      <w:r>
        <w:rPr>
          <w:rFonts w:hint="eastAsia" w:ascii="宋体" w:hAnsi="宋体" w:cs="宋体"/>
          <w:sz w:val="22"/>
          <w:lang w:val="en-US" w:eastAsia="zh-CN"/>
        </w:rPr>
        <w:t>表</w:t>
      </w:r>
      <w:r>
        <w:rPr>
          <w:rFonts w:hint="eastAsia" w:ascii="宋体" w:hAnsi="宋体" w:cs="宋体"/>
          <w:szCs w:val="21"/>
        </w:rPr>
        <w:t>2所示，蓄电池监控遥控量要求</w:t>
      </w:r>
      <w:r>
        <w:rPr>
          <w:rFonts w:hint="eastAsia" w:ascii="宋体" w:hAnsi="宋体" w:cs="宋体"/>
          <w:sz w:val="22"/>
        </w:rPr>
        <w:t>详见附录A（规范性附录）蓄电池远程核容监控信息表</w:t>
      </w:r>
      <w:r>
        <w:rPr>
          <w:rFonts w:hint="eastAsia" w:ascii="宋体" w:hAnsi="宋体" w:cs="宋体"/>
          <w:bCs/>
          <w:szCs w:val="21"/>
        </w:rPr>
        <w:t>表</w:t>
      </w:r>
      <w:r>
        <w:rPr>
          <w:rFonts w:hint="eastAsia" w:ascii="宋体" w:hAnsi="宋体" w:cs="宋体"/>
          <w:szCs w:val="21"/>
        </w:rPr>
        <w:t>3所示，蓄电池监控遥调量要求</w:t>
      </w:r>
      <w:r>
        <w:rPr>
          <w:rFonts w:hint="eastAsia" w:ascii="宋体" w:hAnsi="宋体" w:cs="宋体"/>
          <w:sz w:val="22"/>
        </w:rPr>
        <w:t>详见附录A（规范性附录）蓄电池远程核容监控信息表</w:t>
      </w:r>
      <w:r>
        <w:rPr>
          <w:rFonts w:hint="eastAsia" w:ascii="宋体" w:hAnsi="宋体" w:cs="宋体"/>
          <w:bCs/>
          <w:szCs w:val="21"/>
        </w:rPr>
        <w:t>表</w:t>
      </w:r>
      <w:r>
        <w:rPr>
          <w:rFonts w:hint="eastAsia" w:ascii="宋体" w:hAnsi="宋体" w:cs="宋体"/>
          <w:szCs w:val="21"/>
        </w:rPr>
        <w:t>4所示。</w:t>
      </w:r>
    </w:p>
    <w:bookmarkEnd w:id="322"/>
    <w:bookmarkEnd w:id="323"/>
    <w:bookmarkEnd w:id="324"/>
    <w:bookmarkEnd w:id="325"/>
    <w:p w14:paraId="5B03ABBE">
      <w:pPr>
        <w:pStyle w:val="3"/>
        <w:rPr>
          <w:rFonts w:ascii="宋体" w:hAnsi="宋体" w:cs="宋体"/>
        </w:rPr>
      </w:pPr>
      <w:bookmarkStart w:id="341" w:name="_Toc441063633"/>
      <w:bookmarkStart w:id="342" w:name="_Toc10855"/>
      <w:bookmarkStart w:id="343" w:name="_Toc97405525"/>
      <w:bookmarkStart w:id="344" w:name="_Toc583235141"/>
      <w:bookmarkStart w:id="345" w:name="_Toc19229"/>
      <w:bookmarkStart w:id="346" w:name="_Toc514407951"/>
      <w:bookmarkStart w:id="347" w:name="_Toc5093"/>
      <w:r>
        <w:rPr>
          <w:rFonts w:hint="eastAsia" w:ascii="宋体" w:hAnsi="宋体" w:cs="宋体"/>
        </w:rPr>
        <w:t>制造工艺的一般要求</w:t>
      </w:r>
      <w:bookmarkEnd w:id="341"/>
      <w:bookmarkEnd w:id="342"/>
      <w:bookmarkEnd w:id="343"/>
      <w:bookmarkEnd w:id="344"/>
      <w:bookmarkEnd w:id="345"/>
      <w:bookmarkEnd w:id="346"/>
      <w:bookmarkEnd w:id="347"/>
    </w:p>
    <w:p w14:paraId="69E753C7">
      <w:pPr>
        <w:numPr>
          <w:ilvl w:val="0"/>
          <w:numId w:val="53"/>
        </w:numPr>
        <w:spacing w:line="360" w:lineRule="auto"/>
        <w:ind w:left="420" w:leftChars="200"/>
        <w:rPr>
          <w:rFonts w:ascii="宋体" w:hAnsi="宋体" w:cs="宋体"/>
        </w:rPr>
      </w:pPr>
      <w:bookmarkStart w:id="348" w:name="_Toc187218708"/>
      <w:bookmarkStart w:id="349" w:name="_Toc92785321"/>
      <w:r>
        <w:rPr>
          <w:rFonts w:hint="eastAsia" w:ascii="宋体" w:hAnsi="宋体" w:cs="宋体"/>
        </w:rPr>
        <w:t>设备的总体机械结构充分考虑安装、维护的方便和扩充容量灵活性。设备的各种插板或模块采用嵌入式的，不装插板、模块的槽位提供装饰性盖板。</w:t>
      </w:r>
    </w:p>
    <w:p w14:paraId="7CFB4123">
      <w:pPr>
        <w:numPr>
          <w:ilvl w:val="0"/>
          <w:numId w:val="53"/>
        </w:numPr>
        <w:spacing w:line="360" w:lineRule="auto"/>
        <w:ind w:left="420" w:leftChars="200"/>
        <w:rPr>
          <w:rFonts w:ascii="宋体" w:hAnsi="宋体" w:cs="宋体"/>
        </w:rPr>
      </w:pPr>
      <w:r>
        <w:rPr>
          <w:rFonts w:hint="eastAsia" w:ascii="宋体" w:hAnsi="宋体" w:cs="宋体"/>
        </w:rPr>
        <w:t>所有设备的工厂预安装深度要求达到机架级，以尽量减少现场安装工作量。</w:t>
      </w:r>
    </w:p>
    <w:p w14:paraId="1FF83AA7">
      <w:pPr>
        <w:numPr>
          <w:ilvl w:val="0"/>
          <w:numId w:val="53"/>
        </w:numPr>
        <w:spacing w:line="360" w:lineRule="auto"/>
        <w:ind w:left="420" w:leftChars="200"/>
        <w:rPr>
          <w:rFonts w:ascii="宋体" w:hAnsi="宋体" w:cs="宋体"/>
        </w:rPr>
      </w:pPr>
      <w:r>
        <w:rPr>
          <w:rFonts w:hint="eastAsia" w:ascii="宋体" w:hAnsi="宋体" w:cs="宋体"/>
        </w:rPr>
        <w:t>设备有足够的机械强度和刚度，设备的安装固定方式具有抗震性和防震能力。</w:t>
      </w:r>
    </w:p>
    <w:p w14:paraId="7639585F">
      <w:pPr>
        <w:numPr>
          <w:ilvl w:val="0"/>
          <w:numId w:val="53"/>
        </w:numPr>
        <w:spacing w:line="360" w:lineRule="auto"/>
        <w:ind w:left="420" w:leftChars="200"/>
        <w:rPr>
          <w:rFonts w:ascii="宋体" w:hAnsi="宋体" w:cs="宋体"/>
        </w:rPr>
      </w:pPr>
      <w:r>
        <w:rPr>
          <w:rFonts w:hint="eastAsia" w:ascii="宋体" w:hAnsi="宋体" w:cs="宋体"/>
        </w:rPr>
        <w:t>设备在加电运行期间，插入或拔出机盘时，任何元件不受到损坏和缩短使用寿命。设备接插件必须接触可靠，结构坚固，易于插拔。接插件有定位和锁定装置。</w:t>
      </w:r>
    </w:p>
    <w:p w14:paraId="41D1190C">
      <w:pPr>
        <w:numPr>
          <w:ilvl w:val="0"/>
          <w:numId w:val="53"/>
        </w:numPr>
        <w:spacing w:line="360" w:lineRule="auto"/>
        <w:ind w:left="420" w:leftChars="200"/>
        <w:rPr>
          <w:rFonts w:ascii="宋体" w:hAnsi="宋体" w:cs="宋体"/>
        </w:rPr>
      </w:pPr>
      <w:r>
        <w:rPr>
          <w:rFonts w:hint="eastAsia" w:ascii="宋体" w:hAnsi="宋体" w:cs="宋体"/>
        </w:rPr>
        <w:t>设备内所有元器件应全部经过老化处理，组装过程有严格的质量控制，确保长期使用的高可靠性。设备印刷电路板平整，并有防霉喷涂层。</w:t>
      </w:r>
    </w:p>
    <w:p w14:paraId="0724B69A">
      <w:pPr>
        <w:numPr>
          <w:ilvl w:val="0"/>
          <w:numId w:val="53"/>
        </w:numPr>
        <w:spacing w:line="360" w:lineRule="auto"/>
        <w:ind w:left="420" w:leftChars="200"/>
        <w:rPr>
          <w:rFonts w:ascii="宋体" w:hAnsi="宋体" w:cs="宋体"/>
        </w:rPr>
      </w:pPr>
      <w:r>
        <w:rPr>
          <w:rFonts w:hint="eastAsia" w:ascii="宋体" w:hAnsi="宋体" w:cs="宋体"/>
        </w:rPr>
        <w:t>设备电路插板在明显位置标出名称或代号，安装在电路插板上的器件有明显的标志。同一品种的电路插板有完全的互换性，不同品种的电路插板有错插保护及防错插功能。</w:t>
      </w:r>
    </w:p>
    <w:p w14:paraId="73D0AEA7">
      <w:pPr>
        <w:numPr>
          <w:ilvl w:val="0"/>
          <w:numId w:val="53"/>
        </w:numPr>
        <w:spacing w:line="360" w:lineRule="auto"/>
        <w:ind w:left="420" w:leftChars="200"/>
        <w:rPr>
          <w:rFonts w:ascii="宋体" w:hAnsi="宋体" w:cs="宋体"/>
        </w:rPr>
      </w:pPr>
      <w:r>
        <w:rPr>
          <w:rFonts w:hint="eastAsia" w:ascii="宋体" w:hAnsi="宋体" w:cs="宋体"/>
        </w:rPr>
        <w:t>设备电路插板、模块有状态显示功能。</w:t>
      </w:r>
    </w:p>
    <w:p w14:paraId="522DCC24">
      <w:pPr>
        <w:numPr>
          <w:ilvl w:val="0"/>
          <w:numId w:val="53"/>
        </w:numPr>
        <w:spacing w:line="360" w:lineRule="auto"/>
        <w:ind w:left="420" w:leftChars="200"/>
        <w:rPr>
          <w:rFonts w:ascii="宋体" w:hAnsi="宋体" w:cs="宋体"/>
        </w:rPr>
      </w:pPr>
      <w:r>
        <w:rPr>
          <w:rFonts w:hint="eastAsia" w:ascii="宋体" w:hAnsi="宋体" w:cs="宋体"/>
        </w:rPr>
        <w:t>设备表面的涂敷满足防腐防蛀的要求。所有机架、子架、单元及器件的表面光滑平整、色泽一致，不应有划痕、裂纹和斑等破损现象。</w:t>
      </w:r>
    </w:p>
    <w:p w14:paraId="4B299CED">
      <w:pPr>
        <w:numPr>
          <w:ilvl w:val="0"/>
          <w:numId w:val="53"/>
        </w:numPr>
        <w:spacing w:line="360" w:lineRule="auto"/>
        <w:ind w:left="420" w:leftChars="200"/>
        <w:rPr>
          <w:rFonts w:ascii="宋体" w:hAnsi="宋体" w:cs="宋体"/>
        </w:rPr>
      </w:pPr>
      <w:r>
        <w:rPr>
          <w:rFonts w:hint="eastAsia" w:ascii="宋体" w:hAnsi="宋体" w:cs="宋体"/>
        </w:rPr>
        <w:t>设备的冷却优选自然通风散热方式。</w:t>
      </w:r>
    </w:p>
    <w:p w14:paraId="7B3228A7">
      <w:pPr>
        <w:numPr>
          <w:ilvl w:val="0"/>
          <w:numId w:val="53"/>
        </w:numPr>
        <w:spacing w:line="360" w:lineRule="auto"/>
        <w:ind w:left="420" w:leftChars="200"/>
        <w:rPr>
          <w:rFonts w:ascii="宋体" w:hAnsi="宋体" w:cs="宋体"/>
        </w:rPr>
      </w:pPr>
      <w:r>
        <w:rPr>
          <w:rFonts w:hint="eastAsia" w:ascii="宋体" w:hAnsi="宋体" w:cs="宋体"/>
        </w:rPr>
        <w:t>设备的平均故障间隔时间(MTBF)如下：</w:t>
      </w:r>
    </w:p>
    <w:p w14:paraId="15532D88">
      <w:pPr>
        <w:numPr>
          <w:ilvl w:val="0"/>
          <w:numId w:val="53"/>
        </w:numPr>
        <w:spacing w:line="360" w:lineRule="auto"/>
        <w:ind w:left="420" w:leftChars="200"/>
        <w:rPr>
          <w:rFonts w:ascii="宋体" w:hAnsi="宋体" w:cs="宋体"/>
        </w:rPr>
      </w:pPr>
      <w:r>
        <w:rPr>
          <w:rFonts w:hint="eastAsia" w:ascii="宋体" w:hAnsi="宋体" w:cs="宋体"/>
        </w:rPr>
        <w:t>主机设备：MTBF≥10</w:t>
      </w:r>
      <w:r>
        <w:rPr>
          <w:rFonts w:hint="eastAsia" w:ascii="宋体" w:hAnsi="宋体" w:cs="宋体"/>
          <w:vertAlign w:val="superscript"/>
        </w:rPr>
        <w:t>5</w:t>
      </w:r>
      <w:r>
        <w:rPr>
          <w:rFonts w:hint="eastAsia" w:ascii="宋体" w:hAnsi="宋体" w:cs="宋体"/>
        </w:rPr>
        <w:t>h。</w:t>
      </w:r>
    </w:p>
    <w:p w14:paraId="44764E73">
      <w:pPr>
        <w:spacing w:line="360" w:lineRule="auto"/>
        <w:ind w:firstLine="420" w:firstLineChars="200"/>
        <w:rPr>
          <w:rFonts w:ascii="宋体" w:hAnsi="宋体" w:cs="宋体"/>
        </w:rPr>
      </w:pPr>
      <w:r>
        <w:rPr>
          <w:rFonts w:hint="eastAsia" w:ascii="宋体" w:hAnsi="宋体" w:cs="宋体"/>
        </w:rPr>
        <w:t>本节中，各指标的定义及统计方法参见TL 9000标准。</w:t>
      </w:r>
    </w:p>
    <w:p w14:paraId="46EDE8AE">
      <w:pPr>
        <w:spacing w:line="360" w:lineRule="auto"/>
        <w:ind w:firstLine="420" w:firstLineChars="200"/>
        <w:rPr>
          <w:rFonts w:ascii="宋体" w:hAnsi="宋体" w:cs="宋体"/>
        </w:rPr>
      </w:pPr>
      <w:r>
        <w:rPr>
          <w:rFonts w:hint="eastAsia" w:ascii="宋体" w:hAnsi="宋体" w:cs="宋体"/>
        </w:rPr>
        <w:t>早期返还指数（Early Return Index，厂家发货时间到统计截止时间点不满半年的不可拆分组件在统计周期内的年度返修率（按时间折合））&lt;1%/年。</w:t>
      </w:r>
    </w:p>
    <w:p w14:paraId="28847BD7">
      <w:pPr>
        <w:spacing w:line="360" w:lineRule="auto"/>
        <w:ind w:firstLine="420" w:firstLineChars="200"/>
        <w:rPr>
          <w:rFonts w:ascii="宋体" w:hAnsi="宋体" w:cs="宋体"/>
        </w:rPr>
      </w:pPr>
      <w:r>
        <w:rPr>
          <w:rFonts w:hint="eastAsia" w:ascii="宋体" w:hAnsi="宋体" w:cs="宋体"/>
        </w:rPr>
        <w:t>第一年返还率（One-Year Return Rate，厂家发货时间到统计截止时间点前7-18个月内的不可拆分组件在统计周期内的年度返修率（按时间折合））&lt;1%/年。</w:t>
      </w:r>
    </w:p>
    <w:p w14:paraId="705E3EC6">
      <w:pPr>
        <w:spacing w:line="360" w:lineRule="auto"/>
        <w:ind w:firstLine="420" w:firstLineChars="200"/>
        <w:rPr>
          <w:rFonts w:ascii="宋体" w:hAnsi="宋体" w:cs="宋体"/>
        </w:rPr>
      </w:pPr>
      <w:r>
        <w:rPr>
          <w:rFonts w:hint="eastAsia" w:ascii="宋体" w:hAnsi="宋体" w:cs="宋体"/>
        </w:rPr>
        <w:t>长期返还率（Long-Term Return Rate，厂家发货时间到统计截止时间点18个月以上的不可拆分组件在统计周期内的年度返修率（按时间折合））&lt;1%/年。</w:t>
      </w:r>
    </w:p>
    <w:p w14:paraId="542F2EA3">
      <w:pPr>
        <w:spacing w:line="360" w:lineRule="auto"/>
        <w:ind w:firstLine="420" w:firstLineChars="200"/>
        <w:rPr>
          <w:rFonts w:ascii="宋体" w:hAnsi="宋体" w:cs="宋体"/>
        </w:rPr>
      </w:pPr>
      <w:r>
        <w:rPr>
          <w:rFonts w:hint="eastAsia" w:ascii="宋体" w:hAnsi="宋体" w:cs="宋体"/>
        </w:rPr>
        <w:t>正常化的一年返还率（Normalized YRR，厂家发货时间到统计截止时间点前7-18个月内标准化单位的返还率）&lt;1%/标准化单位。</w:t>
      </w:r>
      <w:bookmarkEnd w:id="348"/>
      <w:bookmarkEnd w:id="349"/>
    </w:p>
    <w:p w14:paraId="459B9BA0">
      <w:pPr>
        <w:pStyle w:val="4"/>
        <w:spacing w:before="120"/>
        <w:rPr>
          <w:rFonts w:ascii="宋体" w:hAnsi="宋体" w:cs="宋体"/>
        </w:rPr>
      </w:pPr>
      <w:bookmarkStart w:id="350" w:name="_Toc25933"/>
      <w:bookmarkStart w:id="351" w:name="_Toc21215"/>
      <w:bookmarkStart w:id="352" w:name="_Toc514407952"/>
      <w:bookmarkStart w:id="353" w:name="_Toc8807"/>
      <w:bookmarkStart w:id="354" w:name="_Toc97405526"/>
      <w:bookmarkStart w:id="355" w:name="_Toc1317649879"/>
      <w:r>
        <w:rPr>
          <w:rFonts w:hint="eastAsia" w:ascii="宋体" w:hAnsi="宋体" w:cs="宋体"/>
        </w:rPr>
        <w:t>布线工艺</w:t>
      </w:r>
      <w:bookmarkEnd w:id="350"/>
      <w:bookmarkEnd w:id="351"/>
      <w:bookmarkEnd w:id="352"/>
      <w:bookmarkEnd w:id="353"/>
      <w:bookmarkEnd w:id="354"/>
      <w:bookmarkEnd w:id="355"/>
    </w:p>
    <w:p w14:paraId="62DFA7F2">
      <w:pPr>
        <w:numPr>
          <w:ilvl w:val="0"/>
          <w:numId w:val="53"/>
        </w:numPr>
        <w:spacing w:line="360" w:lineRule="auto"/>
        <w:ind w:left="420" w:leftChars="200"/>
        <w:rPr>
          <w:rFonts w:ascii="宋体" w:hAnsi="宋体" w:cs="宋体"/>
        </w:rPr>
      </w:pPr>
      <w:r>
        <w:rPr>
          <w:rFonts w:hint="eastAsia" w:ascii="宋体" w:hAnsi="宋体" w:cs="宋体"/>
        </w:rPr>
        <w:t>交、直流导线应分开捆绑、走线。</w:t>
      </w:r>
    </w:p>
    <w:p w14:paraId="26952538">
      <w:pPr>
        <w:numPr>
          <w:ilvl w:val="0"/>
          <w:numId w:val="53"/>
        </w:numPr>
        <w:spacing w:line="360" w:lineRule="auto"/>
        <w:ind w:left="420" w:leftChars="200"/>
        <w:rPr>
          <w:rFonts w:ascii="宋体" w:hAnsi="宋体" w:cs="宋体"/>
        </w:rPr>
      </w:pPr>
      <w:r>
        <w:rPr>
          <w:rFonts w:hint="eastAsia" w:ascii="宋体" w:hAnsi="宋体" w:cs="宋体"/>
        </w:rPr>
        <w:t>信号线应使用螺旋套管包裹或置于独立线槽之内，不应与交、直流导线捆绑在一起。</w:t>
      </w:r>
    </w:p>
    <w:p w14:paraId="4A7E6E9C">
      <w:pPr>
        <w:numPr>
          <w:ilvl w:val="0"/>
          <w:numId w:val="53"/>
        </w:numPr>
        <w:spacing w:line="360" w:lineRule="auto"/>
        <w:ind w:left="420" w:leftChars="200"/>
        <w:rPr>
          <w:rFonts w:ascii="宋体" w:hAnsi="宋体" w:cs="宋体"/>
        </w:rPr>
      </w:pPr>
      <w:r>
        <w:rPr>
          <w:rFonts w:hint="eastAsia" w:ascii="宋体" w:hAnsi="宋体" w:cs="宋体"/>
        </w:rPr>
        <w:t>走线应横平竖直、有棱有角，弯曲半径以线外径的3-5倍为宜。</w:t>
      </w:r>
    </w:p>
    <w:p w14:paraId="4E86DCB1">
      <w:pPr>
        <w:numPr>
          <w:ilvl w:val="0"/>
          <w:numId w:val="53"/>
        </w:numPr>
        <w:spacing w:line="360" w:lineRule="auto"/>
        <w:ind w:left="420" w:leftChars="200"/>
        <w:rPr>
          <w:rFonts w:ascii="宋体" w:hAnsi="宋体" w:cs="宋体"/>
        </w:rPr>
      </w:pPr>
      <w:r>
        <w:rPr>
          <w:rFonts w:hint="eastAsia" w:ascii="宋体" w:hAnsi="宋体" w:cs="宋体"/>
        </w:rPr>
        <w:t>同一方向并排的线路应平行排列，不得产生扭绞、打圈、接头等现象。不应受到外力的挤压和损伤。</w:t>
      </w:r>
    </w:p>
    <w:p w14:paraId="633FDC97">
      <w:pPr>
        <w:numPr>
          <w:ilvl w:val="0"/>
          <w:numId w:val="53"/>
        </w:numPr>
        <w:spacing w:line="360" w:lineRule="auto"/>
        <w:ind w:left="420" w:leftChars="200"/>
        <w:rPr>
          <w:rFonts w:ascii="宋体" w:hAnsi="宋体" w:cs="宋体"/>
        </w:rPr>
      </w:pPr>
      <w:r>
        <w:rPr>
          <w:rFonts w:hint="eastAsia" w:ascii="宋体" w:hAnsi="宋体" w:cs="宋体"/>
        </w:rPr>
        <w:t>绝缘导线穿越金属结构件时，应在穿过点设置绝缘物（如胶圈等）或套热缩套管，以防止导线的绝缘层损坏。</w:t>
      </w:r>
    </w:p>
    <w:p w14:paraId="5E974F69">
      <w:pPr>
        <w:numPr>
          <w:ilvl w:val="0"/>
          <w:numId w:val="53"/>
        </w:numPr>
        <w:spacing w:line="360" w:lineRule="auto"/>
        <w:ind w:left="420" w:leftChars="200"/>
        <w:rPr>
          <w:rFonts w:ascii="宋体" w:hAnsi="宋体" w:cs="宋体"/>
        </w:rPr>
      </w:pPr>
      <w:r>
        <w:rPr>
          <w:rFonts w:hint="eastAsia" w:ascii="宋体" w:hAnsi="宋体" w:cs="宋体"/>
        </w:rPr>
        <w:t>铜排穿越金属结构件时，应在穿越处套热缩套管。热缩套管长度为铜排宽度的3～5倍。</w:t>
      </w:r>
    </w:p>
    <w:p w14:paraId="5A687B4C">
      <w:pPr>
        <w:numPr>
          <w:ilvl w:val="0"/>
          <w:numId w:val="53"/>
        </w:numPr>
        <w:spacing w:line="360" w:lineRule="auto"/>
        <w:ind w:left="420" w:leftChars="200"/>
        <w:rPr>
          <w:rFonts w:ascii="宋体" w:hAnsi="宋体" w:cs="宋体"/>
        </w:rPr>
      </w:pPr>
      <w:r>
        <w:rPr>
          <w:rFonts w:hint="eastAsia" w:ascii="宋体" w:hAnsi="宋体" w:cs="宋体"/>
        </w:rPr>
        <w:t>机框要用地线可靠连接。</w:t>
      </w:r>
    </w:p>
    <w:p w14:paraId="538C2A34">
      <w:pPr>
        <w:pStyle w:val="4"/>
        <w:spacing w:before="120"/>
        <w:rPr>
          <w:rFonts w:ascii="宋体" w:hAnsi="宋体" w:cs="宋体"/>
        </w:rPr>
      </w:pPr>
      <w:bookmarkStart w:id="356" w:name="_Toc247"/>
      <w:bookmarkStart w:id="357" w:name="_Toc32275"/>
      <w:bookmarkStart w:id="358" w:name="_Toc4364"/>
      <w:bookmarkStart w:id="359" w:name="_Toc890148489"/>
      <w:bookmarkStart w:id="360" w:name="_Toc97405527"/>
      <w:bookmarkStart w:id="361" w:name="_Toc514407953"/>
      <w:r>
        <w:rPr>
          <w:rFonts w:hint="eastAsia" w:ascii="宋体" w:hAnsi="宋体" w:cs="宋体"/>
        </w:rPr>
        <w:t>导线固定工艺</w:t>
      </w:r>
      <w:bookmarkEnd w:id="356"/>
      <w:bookmarkEnd w:id="357"/>
      <w:bookmarkEnd w:id="358"/>
      <w:bookmarkEnd w:id="359"/>
      <w:bookmarkEnd w:id="360"/>
      <w:bookmarkEnd w:id="361"/>
    </w:p>
    <w:p w14:paraId="55B16E43">
      <w:pPr>
        <w:numPr>
          <w:ilvl w:val="0"/>
          <w:numId w:val="54"/>
        </w:numPr>
        <w:spacing w:line="360" w:lineRule="auto"/>
        <w:ind w:left="420" w:leftChars="200"/>
        <w:rPr>
          <w:rFonts w:ascii="宋体" w:hAnsi="宋体" w:cs="宋体"/>
        </w:rPr>
      </w:pPr>
      <w:r>
        <w:rPr>
          <w:rFonts w:hint="eastAsia" w:ascii="宋体" w:hAnsi="宋体" w:cs="宋体"/>
        </w:rPr>
        <w:t>在线束始末两端、折弯处、分线前后，使用扎带。</w:t>
      </w:r>
    </w:p>
    <w:p w14:paraId="275D5ACB">
      <w:pPr>
        <w:numPr>
          <w:ilvl w:val="0"/>
          <w:numId w:val="54"/>
        </w:numPr>
        <w:spacing w:line="360" w:lineRule="auto"/>
        <w:ind w:left="420" w:leftChars="200"/>
        <w:rPr>
          <w:rFonts w:ascii="宋体" w:hAnsi="宋体" w:cs="宋体"/>
        </w:rPr>
      </w:pPr>
      <w:r>
        <w:rPr>
          <w:rFonts w:hint="eastAsia" w:ascii="宋体" w:hAnsi="宋体" w:cs="宋体"/>
        </w:rPr>
        <w:t>线束每隔50-150㎜须用扎带扎紧，距离应均匀一致。</w:t>
      </w:r>
    </w:p>
    <w:p w14:paraId="24C8A563">
      <w:pPr>
        <w:numPr>
          <w:ilvl w:val="0"/>
          <w:numId w:val="54"/>
        </w:numPr>
        <w:spacing w:line="360" w:lineRule="auto"/>
        <w:ind w:left="420" w:leftChars="200"/>
        <w:rPr>
          <w:rFonts w:ascii="宋体" w:hAnsi="宋体" w:cs="宋体"/>
        </w:rPr>
      </w:pPr>
      <w:r>
        <w:rPr>
          <w:rFonts w:hint="eastAsia" w:ascii="宋体" w:hAnsi="宋体" w:cs="宋体"/>
        </w:rPr>
        <w:t>多余扎带应剪平处理。</w:t>
      </w:r>
    </w:p>
    <w:p w14:paraId="14D40460">
      <w:pPr>
        <w:numPr>
          <w:ilvl w:val="0"/>
          <w:numId w:val="54"/>
        </w:numPr>
        <w:spacing w:line="360" w:lineRule="auto"/>
        <w:ind w:left="420" w:leftChars="200"/>
        <w:rPr>
          <w:rFonts w:ascii="宋体" w:hAnsi="宋体" w:cs="宋体"/>
        </w:rPr>
      </w:pPr>
      <w:r>
        <w:rPr>
          <w:rFonts w:hint="eastAsia" w:ascii="宋体" w:hAnsi="宋体" w:cs="宋体"/>
        </w:rPr>
        <w:t>每一排输出端子应配置一个接线端子扎线杆。</w:t>
      </w:r>
    </w:p>
    <w:p w14:paraId="7587C509">
      <w:pPr>
        <w:pStyle w:val="4"/>
        <w:spacing w:before="120"/>
        <w:rPr>
          <w:rFonts w:ascii="宋体" w:hAnsi="宋体" w:cs="宋体"/>
        </w:rPr>
      </w:pPr>
      <w:bookmarkStart w:id="362" w:name="_Toc1354569621"/>
      <w:bookmarkStart w:id="363" w:name="_Toc514407954"/>
      <w:bookmarkStart w:id="364" w:name="_Toc17016"/>
      <w:bookmarkStart w:id="365" w:name="_Toc29473"/>
      <w:bookmarkStart w:id="366" w:name="_Toc24832"/>
      <w:bookmarkStart w:id="367" w:name="_Toc97405528"/>
      <w:r>
        <w:rPr>
          <w:rFonts w:hint="eastAsia" w:ascii="宋体" w:hAnsi="宋体" w:cs="宋体"/>
        </w:rPr>
        <w:t>端接工艺</w:t>
      </w:r>
      <w:bookmarkEnd w:id="362"/>
      <w:bookmarkEnd w:id="363"/>
      <w:bookmarkEnd w:id="364"/>
      <w:bookmarkEnd w:id="365"/>
      <w:bookmarkEnd w:id="366"/>
      <w:bookmarkEnd w:id="367"/>
    </w:p>
    <w:p w14:paraId="77A8E0E0">
      <w:pPr>
        <w:numPr>
          <w:ilvl w:val="0"/>
          <w:numId w:val="55"/>
        </w:numPr>
        <w:spacing w:line="360" w:lineRule="auto"/>
        <w:ind w:left="420" w:leftChars="200"/>
        <w:rPr>
          <w:rFonts w:ascii="宋体" w:hAnsi="宋体" w:cs="宋体"/>
        </w:rPr>
      </w:pPr>
      <w:r>
        <w:rPr>
          <w:rFonts w:hint="eastAsia" w:ascii="宋体" w:hAnsi="宋体" w:cs="宋体"/>
        </w:rPr>
        <w:t>同一线耳原则上只接一根导线，如果超过2根导线，则必须采用焊接方式，以确保连接牢固可靠，保证直接接触的面积满足载流需求。</w:t>
      </w:r>
    </w:p>
    <w:p w14:paraId="358F5A33">
      <w:pPr>
        <w:numPr>
          <w:ilvl w:val="0"/>
          <w:numId w:val="55"/>
        </w:numPr>
        <w:spacing w:line="360" w:lineRule="auto"/>
        <w:ind w:left="420" w:leftChars="200"/>
        <w:rPr>
          <w:rFonts w:ascii="宋体" w:hAnsi="宋体" w:cs="宋体"/>
        </w:rPr>
      </w:pPr>
      <w:r>
        <w:rPr>
          <w:rFonts w:hint="eastAsia" w:ascii="宋体" w:hAnsi="宋体" w:cs="宋体"/>
        </w:rPr>
        <w:t>接线线耳没有绝缘套或护线套的，须使用热缩套管。</w:t>
      </w:r>
    </w:p>
    <w:p w14:paraId="3C8A0EAE">
      <w:pPr>
        <w:numPr>
          <w:ilvl w:val="0"/>
          <w:numId w:val="55"/>
        </w:numPr>
        <w:spacing w:line="360" w:lineRule="auto"/>
        <w:ind w:left="420" w:leftChars="200"/>
        <w:rPr>
          <w:rFonts w:ascii="宋体" w:hAnsi="宋体" w:cs="宋体"/>
        </w:rPr>
      </w:pPr>
      <w:r>
        <w:rPr>
          <w:rFonts w:hint="eastAsia" w:ascii="宋体" w:hAnsi="宋体" w:cs="宋体"/>
        </w:rPr>
        <w:t>连接线缆使用铜鼻线耳时，须压紧、并焊接牢固。</w:t>
      </w:r>
    </w:p>
    <w:p w14:paraId="2E923104">
      <w:pPr>
        <w:pStyle w:val="4"/>
        <w:spacing w:before="120"/>
        <w:rPr>
          <w:rFonts w:ascii="宋体" w:hAnsi="宋体" w:cs="宋体"/>
        </w:rPr>
      </w:pPr>
      <w:bookmarkStart w:id="368" w:name="_Toc1769"/>
      <w:bookmarkStart w:id="369" w:name="_Toc777478300"/>
      <w:bookmarkStart w:id="370" w:name="_Toc27908"/>
      <w:bookmarkStart w:id="371" w:name="_Toc29645"/>
      <w:bookmarkStart w:id="372" w:name="_Toc514407955"/>
      <w:bookmarkStart w:id="373" w:name="_Toc97405529"/>
      <w:r>
        <w:rPr>
          <w:rFonts w:hint="eastAsia" w:ascii="宋体" w:hAnsi="宋体" w:cs="宋体"/>
        </w:rPr>
        <w:t>紧固件</w:t>
      </w:r>
      <w:bookmarkEnd w:id="368"/>
      <w:bookmarkEnd w:id="369"/>
      <w:bookmarkEnd w:id="370"/>
      <w:bookmarkEnd w:id="371"/>
      <w:bookmarkEnd w:id="372"/>
      <w:bookmarkEnd w:id="373"/>
    </w:p>
    <w:p w14:paraId="3E13EC3C">
      <w:pPr>
        <w:numPr>
          <w:ilvl w:val="0"/>
          <w:numId w:val="56"/>
        </w:numPr>
        <w:spacing w:line="360" w:lineRule="auto"/>
        <w:ind w:left="420" w:leftChars="200"/>
        <w:rPr>
          <w:rFonts w:ascii="宋体" w:hAnsi="宋体" w:cs="宋体"/>
        </w:rPr>
      </w:pPr>
      <w:r>
        <w:rPr>
          <w:rFonts w:hint="eastAsia" w:ascii="宋体" w:hAnsi="宋体" w:cs="宋体"/>
        </w:rPr>
        <w:t>螺钉长度的选择要适中。</w:t>
      </w:r>
    </w:p>
    <w:p w14:paraId="723D1137">
      <w:pPr>
        <w:numPr>
          <w:ilvl w:val="0"/>
          <w:numId w:val="56"/>
        </w:numPr>
        <w:spacing w:line="360" w:lineRule="auto"/>
        <w:ind w:left="420" w:leftChars="200"/>
        <w:rPr>
          <w:rFonts w:ascii="宋体" w:hAnsi="宋体" w:cs="宋体"/>
        </w:rPr>
      </w:pPr>
      <w:r>
        <w:rPr>
          <w:rFonts w:hint="eastAsia" w:ascii="宋体" w:hAnsi="宋体" w:cs="宋体"/>
        </w:rPr>
        <w:t>同类型固定点要选用同类型螺钉，螺钉的颜色要一致。</w:t>
      </w:r>
    </w:p>
    <w:p w14:paraId="6803AD61">
      <w:pPr>
        <w:numPr>
          <w:ilvl w:val="0"/>
          <w:numId w:val="56"/>
        </w:numPr>
        <w:spacing w:line="360" w:lineRule="auto"/>
        <w:ind w:left="420" w:leftChars="200"/>
        <w:rPr>
          <w:rFonts w:ascii="宋体" w:hAnsi="宋体" w:cs="宋体"/>
        </w:rPr>
      </w:pPr>
      <w:r>
        <w:rPr>
          <w:rFonts w:hint="eastAsia" w:ascii="宋体" w:hAnsi="宋体" w:cs="宋体"/>
        </w:rPr>
        <w:t>未接线的备用螺钉应拧紧。</w:t>
      </w:r>
    </w:p>
    <w:p w14:paraId="26B1305B">
      <w:pPr>
        <w:numPr>
          <w:ilvl w:val="0"/>
          <w:numId w:val="56"/>
        </w:numPr>
        <w:spacing w:line="360" w:lineRule="auto"/>
        <w:ind w:left="420" w:leftChars="200"/>
        <w:rPr>
          <w:rFonts w:ascii="宋体" w:hAnsi="宋体" w:cs="宋体"/>
        </w:rPr>
      </w:pPr>
      <w:r>
        <w:rPr>
          <w:rFonts w:hint="eastAsia" w:ascii="宋体" w:hAnsi="宋体" w:cs="宋体"/>
        </w:rPr>
        <w:t>用紧固件连接的电气连接点，应作紧固标志。</w:t>
      </w:r>
    </w:p>
    <w:p w14:paraId="68B0FB6F">
      <w:pPr>
        <w:numPr>
          <w:ilvl w:val="0"/>
          <w:numId w:val="56"/>
        </w:numPr>
        <w:spacing w:line="360" w:lineRule="auto"/>
        <w:ind w:left="420" w:leftChars="200"/>
        <w:rPr>
          <w:rFonts w:ascii="宋体" w:hAnsi="宋体" w:cs="宋体"/>
        </w:rPr>
      </w:pPr>
      <w:r>
        <w:rPr>
          <w:rFonts w:hint="eastAsia" w:ascii="宋体" w:hAnsi="宋体" w:cs="宋体"/>
        </w:rPr>
        <w:t>紧固标志：以红色油性笔，划出最短的线，将螺钉头、弹垫、平垫、紧固面连接起来。紧固标志应能判断紧固件有无松动。</w:t>
      </w:r>
    </w:p>
    <w:p w14:paraId="64B1E522">
      <w:pPr>
        <w:numPr>
          <w:ilvl w:val="0"/>
          <w:numId w:val="56"/>
        </w:numPr>
        <w:spacing w:line="360" w:lineRule="auto"/>
        <w:ind w:left="420" w:leftChars="200"/>
        <w:rPr>
          <w:rFonts w:ascii="宋体" w:hAnsi="宋体" w:cs="宋体"/>
        </w:rPr>
      </w:pPr>
      <w:r>
        <w:rPr>
          <w:rFonts w:hint="eastAsia" w:ascii="宋体" w:hAnsi="宋体" w:cs="宋体"/>
        </w:rPr>
        <w:t>标识应格式统一、颜色鲜明、机打、整齐粘贴且不影响器件的正常使用和工作。</w:t>
      </w:r>
    </w:p>
    <w:p w14:paraId="493326A5">
      <w:pPr>
        <w:pStyle w:val="4"/>
        <w:spacing w:before="120"/>
        <w:rPr>
          <w:rFonts w:ascii="宋体" w:hAnsi="宋体" w:cs="宋体"/>
        </w:rPr>
      </w:pPr>
      <w:bookmarkStart w:id="374" w:name="_Toc3348"/>
      <w:bookmarkStart w:id="375" w:name="_Toc1787279752"/>
      <w:bookmarkStart w:id="376" w:name="_Toc2924"/>
      <w:bookmarkStart w:id="377" w:name="_Toc24679"/>
      <w:bookmarkStart w:id="378" w:name="_Toc97405530"/>
      <w:bookmarkStart w:id="379" w:name="_Toc514407956"/>
      <w:r>
        <w:rPr>
          <w:rFonts w:hint="eastAsia" w:ascii="宋体" w:hAnsi="宋体" w:cs="宋体"/>
        </w:rPr>
        <w:t>号码管</w:t>
      </w:r>
      <w:bookmarkEnd w:id="374"/>
      <w:bookmarkEnd w:id="375"/>
      <w:bookmarkEnd w:id="376"/>
      <w:bookmarkEnd w:id="377"/>
      <w:bookmarkEnd w:id="378"/>
      <w:bookmarkEnd w:id="379"/>
    </w:p>
    <w:p w14:paraId="1817E7DF">
      <w:pPr>
        <w:numPr>
          <w:ilvl w:val="0"/>
          <w:numId w:val="57"/>
        </w:numPr>
        <w:spacing w:line="360" w:lineRule="auto"/>
        <w:ind w:left="210" w:leftChars="100"/>
        <w:rPr>
          <w:rFonts w:ascii="宋体" w:hAnsi="宋体" w:cs="宋体"/>
        </w:rPr>
      </w:pPr>
      <w:r>
        <w:rPr>
          <w:rFonts w:hint="eastAsia" w:ascii="宋体" w:hAnsi="宋体" w:cs="宋体"/>
        </w:rPr>
        <w:t>所有连接到输入端子、输出端子、输出熔断器、输出开关的导线，其靠近输入、输出侧需要安装号码管。</w:t>
      </w:r>
    </w:p>
    <w:p w14:paraId="5B46B615">
      <w:pPr>
        <w:numPr>
          <w:ilvl w:val="0"/>
          <w:numId w:val="57"/>
        </w:numPr>
        <w:spacing w:line="360" w:lineRule="auto"/>
        <w:ind w:left="210" w:leftChars="100"/>
        <w:rPr>
          <w:rFonts w:ascii="宋体" w:hAnsi="宋体" w:cs="宋体"/>
        </w:rPr>
      </w:pPr>
      <w:r>
        <w:rPr>
          <w:rFonts w:hint="eastAsia" w:ascii="宋体" w:hAnsi="宋体" w:cs="宋体"/>
        </w:rPr>
        <w:t>号码管上丝印要明确描述导线对端连接器件的正确位置。</w:t>
      </w:r>
    </w:p>
    <w:p w14:paraId="51FE11C4">
      <w:pPr>
        <w:numPr>
          <w:ilvl w:val="0"/>
          <w:numId w:val="57"/>
        </w:numPr>
        <w:spacing w:line="360" w:lineRule="auto"/>
        <w:ind w:left="210" w:leftChars="100"/>
        <w:rPr>
          <w:rFonts w:ascii="宋体" w:hAnsi="宋体" w:cs="宋体"/>
        </w:rPr>
      </w:pPr>
      <w:r>
        <w:rPr>
          <w:rFonts w:hint="eastAsia" w:ascii="宋体" w:hAnsi="宋体" w:cs="宋体"/>
        </w:rPr>
        <w:t>馈线回路输出端子侧号码管要明确描述回路代号及极性。</w:t>
      </w:r>
    </w:p>
    <w:p w14:paraId="799F2A11">
      <w:pPr>
        <w:numPr>
          <w:ilvl w:val="0"/>
          <w:numId w:val="57"/>
        </w:numPr>
        <w:spacing w:line="360" w:lineRule="auto"/>
        <w:ind w:left="210" w:leftChars="100"/>
        <w:rPr>
          <w:rFonts w:ascii="宋体" w:hAnsi="宋体" w:cs="宋体"/>
        </w:rPr>
      </w:pPr>
      <w:r>
        <w:rPr>
          <w:rFonts w:hint="eastAsia" w:ascii="宋体" w:hAnsi="宋体" w:cs="宋体"/>
        </w:rPr>
        <w:t>号码管要求机打。</w:t>
      </w:r>
    </w:p>
    <w:p w14:paraId="6D1EB671">
      <w:pPr>
        <w:pStyle w:val="3"/>
        <w:rPr>
          <w:rFonts w:ascii="宋体" w:hAnsi="宋体" w:cs="宋体"/>
        </w:rPr>
      </w:pPr>
      <w:bookmarkStart w:id="380" w:name="_Toc1957021275"/>
      <w:bookmarkStart w:id="381" w:name="_Toc32489"/>
      <w:bookmarkStart w:id="382" w:name="_Toc97405531"/>
      <w:bookmarkStart w:id="383" w:name="_Toc514407957"/>
      <w:bookmarkStart w:id="384" w:name="_Toc412536728"/>
      <w:bookmarkStart w:id="385" w:name="_Toc592"/>
      <w:bookmarkStart w:id="386" w:name="_Toc24267"/>
      <w:r>
        <w:rPr>
          <w:rFonts w:hint="eastAsia" w:ascii="宋体" w:hAnsi="宋体" w:cs="宋体"/>
        </w:rPr>
        <w:t>元器件的要求</w:t>
      </w:r>
      <w:bookmarkEnd w:id="380"/>
      <w:bookmarkEnd w:id="381"/>
      <w:bookmarkEnd w:id="382"/>
      <w:bookmarkEnd w:id="383"/>
      <w:bookmarkEnd w:id="384"/>
      <w:bookmarkEnd w:id="385"/>
      <w:bookmarkEnd w:id="386"/>
    </w:p>
    <w:p w14:paraId="62CC2A39">
      <w:pPr>
        <w:numPr>
          <w:ilvl w:val="0"/>
          <w:numId w:val="58"/>
        </w:numPr>
        <w:spacing w:line="360" w:lineRule="auto"/>
        <w:ind w:left="420" w:leftChars="200"/>
        <w:rPr>
          <w:rFonts w:ascii="宋体" w:hAnsi="宋体" w:cs="宋体"/>
        </w:rPr>
      </w:pPr>
      <w:r>
        <w:rPr>
          <w:rFonts w:hint="eastAsia" w:ascii="宋体" w:hAnsi="宋体" w:cs="宋体"/>
        </w:rPr>
        <w:t>设备内安装的元器件均有产品合格证或证明质量合格的文件，不得选用淘汰的、落后的元器件。</w:t>
      </w:r>
    </w:p>
    <w:p w14:paraId="2D178CFC">
      <w:pPr>
        <w:numPr>
          <w:ilvl w:val="0"/>
          <w:numId w:val="58"/>
        </w:numPr>
        <w:spacing w:line="360" w:lineRule="auto"/>
        <w:ind w:left="420" w:leftChars="200"/>
        <w:rPr>
          <w:rFonts w:ascii="宋体" w:hAnsi="宋体" w:cs="宋体"/>
        </w:rPr>
      </w:pPr>
      <w:r>
        <w:rPr>
          <w:rFonts w:hint="eastAsia" w:ascii="宋体" w:hAnsi="宋体" w:cs="宋体"/>
        </w:rPr>
        <w:t>导线、导线颜色、指示灯、按钮、行线槽、涂漆，均符合国家或行业现行有关标准的规定。</w:t>
      </w:r>
    </w:p>
    <w:p w14:paraId="15AC32DA">
      <w:pPr>
        <w:numPr>
          <w:ilvl w:val="0"/>
          <w:numId w:val="58"/>
        </w:numPr>
        <w:spacing w:line="360" w:lineRule="auto"/>
        <w:ind w:left="420" w:leftChars="200"/>
        <w:rPr>
          <w:rFonts w:ascii="宋体" w:hAnsi="宋体" w:cs="宋体"/>
        </w:rPr>
      </w:pPr>
      <w:r>
        <w:rPr>
          <w:rFonts w:hint="eastAsia" w:ascii="宋体" w:hAnsi="宋体" w:cs="宋体"/>
        </w:rPr>
        <w:t>同类元器件的接插件具有通用性和互换性，接触可靠、插拔方便。插接件的接触电阻、插拔力、允许电流及寿命，均符合有关国家及行业现行标准要求。</w:t>
      </w:r>
    </w:p>
    <w:p w14:paraId="53BEA496">
      <w:pPr>
        <w:numPr>
          <w:ilvl w:val="0"/>
          <w:numId w:val="58"/>
        </w:numPr>
        <w:spacing w:line="360" w:lineRule="auto"/>
        <w:ind w:left="420" w:leftChars="200"/>
        <w:rPr>
          <w:rFonts w:ascii="宋体" w:hAnsi="宋体" w:cs="宋体"/>
        </w:rPr>
      </w:pPr>
      <w:r>
        <w:rPr>
          <w:rFonts w:hint="eastAsia" w:ascii="宋体" w:hAnsi="宋体" w:cs="宋体"/>
        </w:rPr>
        <w:t>元件和端子排列整齐、层次分明、不重叠，便于维护拆装。长期带电发热元件的安装位置在柜内上方。</w:t>
      </w:r>
    </w:p>
    <w:p w14:paraId="124359FB">
      <w:pPr>
        <w:numPr>
          <w:ilvl w:val="0"/>
          <w:numId w:val="58"/>
        </w:numPr>
        <w:spacing w:line="360" w:lineRule="auto"/>
        <w:ind w:left="420" w:leftChars="200"/>
        <w:rPr>
          <w:rFonts w:ascii="宋体" w:hAnsi="宋体" w:cs="宋体"/>
        </w:rPr>
      </w:pPr>
      <w:r>
        <w:rPr>
          <w:rFonts w:hint="eastAsia" w:ascii="宋体" w:hAnsi="宋体" w:cs="宋体"/>
        </w:rPr>
        <w:t>设备内的所有母排必须进行绝缘保护，并用不同颜色区分正负极。</w:t>
      </w:r>
    </w:p>
    <w:p w14:paraId="7A8587D2">
      <w:pPr>
        <w:pStyle w:val="3"/>
        <w:rPr>
          <w:rFonts w:ascii="宋体" w:hAnsi="宋体" w:cs="宋体"/>
        </w:rPr>
      </w:pPr>
      <w:bookmarkStart w:id="387" w:name="_Toc514407958"/>
      <w:bookmarkStart w:id="388" w:name="_Toc25225"/>
      <w:bookmarkStart w:id="389" w:name="_Toc6237"/>
      <w:bookmarkStart w:id="390" w:name="_Toc9956"/>
      <w:bookmarkStart w:id="391" w:name="_Toc97405532"/>
      <w:bookmarkStart w:id="392" w:name="_Toc797031473"/>
      <w:r>
        <w:rPr>
          <w:rFonts w:hint="eastAsia" w:ascii="宋体" w:hAnsi="宋体" w:cs="宋体"/>
        </w:rPr>
        <w:t>质量追溯</w:t>
      </w:r>
      <w:bookmarkEnd w:id="387"/>
      <w:bookmarkEnd w:id="388"/>
      <w:bookmarkEnd w:id="389"/>
      <w:bookmarkEnd w:id="390"/>
      <w:bookmarkEnd w:id="391"/>
      <w:bookmarkEnd w:id="392"/>
    </w:p>
    <w:p w14:paraId="51FEBB8D">
      <w:pPr>
        <w:spacing w:line="360" w:lineRule="auto"/>
        <w:ind w:firstLine="420" w:firstLineChars="200"/>
        <w:rPr>
          <w:rFonts w:ascii="宋体" w:hAnsi="宋体" w:cs="宋体"/>
        </w:rPr>
      </w:pPr>
      <w:r>
        <w:rPr>
          <w:rFonts w:hint="eastAsia" w:ascii="宋体" w:hAnsi="宋体" w:cs="宋体"/>
        </w:rPr>
        <w:t>产品制造过程中的重要环节应有详细记录，便于质量过程可追溯。</w:t>
      </w:r>
    </w:p>
    <w:bookmarkEnd w:id="54"/>
    <w:bookmarkEnd w:id="55"/>
    <w:bookmarkEnd w:id="56"/>
    <w:bookmarkEnd w:id="57"/>
    <w:bookmarkEnd w:id="58"/>
    <w:bookmarkEnd w:id="59"/>
    <w:bookmarkEnd w:id="60"/>
    <w:bookmarkEnd w:id="61"/>
    <w:bookmarkEnd w:id="62"/>
    <w:bookmarkEnd w:id="63"/>
    <w:bookmarkEnd w:id="64"/>
    <w:p w14:paraId="3C82DF12">
      <w:pPr>
        <w:pStyle w:val="2"/>
        <w:rPr>
          <w:rFonts w:ascii="宋体" w:hAnsi="宋体" w:cs="宋体"/>
        </w:rPr>
      </w:pPr>
      <w:bookmarkStart w:id="393" w:name="_Toc384340930"/>
      <w:bookmarkEnd w:id="393"/>
      <w:bookmarkStart w:id="394" w:name="_Toc384341002"/>
      <w:bookmarkEnd w:id="394"/>
      <w:bookmarkStart w:id="395" w:name="_Toc384341015"/>
      <w:bookmarkEnd w:id="395"/>
      <w:bookmarkStart w:id="396" w:name="_Toc384340928"/>
      <w:bookmarkEnd w:id="396"/>
      <w:bookmarkStart w:id="397" w:name="_Toc384340939"/>
      <w:bookmarkEnd w:id="397"/>
      <w:bookmarkStart w:id="398" w:name="_Toc384340926"/>
      <w:bookmarkEnd w:id="398"/>
      <w:bookmarkStart w:id="399" w:name="_Toc384340915"/>
      <w:bookmarkEnd w:id="399"/>
      <w:bookmarkStart w:id="400" w:name="_Toc384340993"/>
      <w:bookmarkEnd w:id="400"/>
      <w:bookmarkStart w:id="401" w:name="_Toc384340922"/>
      <w:bookmarkEnd w:id="401"/>
      <w:bookmarkStart w:id="402" w:name="_Toc384341012"/>
      <w:bookmarkEnd w:id="402"/>
      <w:bookmarkStart w:id="403" w:name="_Toc384340923"/>
      <w:bookmarkEnd w:id="403"/>
      <w:bookmarkStart w:id="404" w:name="_Toc384340937"/>
      <w:bookmarkEnd w:id="404"/>
      <w:bookmarkStart w:id="405" w:name="_Toc384340997"/>
      <w:bookmarkEnd w:id="405"/>
      <w:bookmarkStart w:id="406" w:name="_Toc384340995"/>
      <w:bookmarkEnd w:id="406"/>
      <w:bookmarkStart w:id="407" w:name="_Toc384340911"/>
      <w:bookmarkEnd w:id="407"/>
      <w:bookmarkStart w:id="408" w:name="_Toc384340990"/>
      <w:bookmarkEnd w:id="408"/>
      <w:bookmarkStart w:id="409" w:name="_Toc384340920"/>
      <w:bookmarkEnd w:id="409"/>
      <w:bookmarkStart w:id="410" w:name="_Toc384340999"/>
      <w:bookmarkEnd w:id="410"/>
      <w:bookmarkStart w:id="411" w:name="_Toc384340919"/>
      <w:bookmarkEnd w:id="411"/>
      <w:bookmarkStart w:id="412" w:name="_Toc384340921"/>
      <w:bookmarkEnd w:id="412"/>
      <w:bookmarkStart w:id="413" w:name="_Toc384340932"/>
      <w:bookmarkEnd w:id="413"/>
      <w:bookmarkStart w:id="414" w:name="_Toc384340917"/>
      <w:bookmarkEnd w:id="414"/>
      <w:bookmarkStart w:id="415" w:name="_Toc384341005"/>
      <w:bookmarkEnd w:id="415"/>
      <w:bookmarkStart w:id="416" w:name="_Toc384340929"/>
      <w:bookmarkEnd w:id="416"/>
      <w:bookmarkStart w:id="417" w:name="_Toc384341014"/>
      <w:bookmarkEnd w:id="417"/>
      <w:bookmarkStart w:id="418" w:name="_Toc384340989"/>
      <w:bookmarkEnd w:id="418"/>
      <w:bookmarkStart w:id="419" w:name="_Toc384340935"/>
      <w:bookmarkEnd w:id="419"/>
      <w:bookmarkStart w:id="420" w:name="_Toc384340996"/>
      <w:bookmarkEnd w:id="420"/>
      <w:bookmarkStart w:id="421" w:name="_Toc384341000"/>
      <w:bookmarkEnd w:id="421"/>
      <w:bookmarkStart w:id="422" w:name="_Toc384341004"/>
      <w:bookmarkEnd w:id="422"/>
      <w:bookmarkStart w:id="423" w:name="_Toc384341003"/>
      <w:bookmarkEnd w:id="423"/>
      <w:bookmarkStart w:id="424" w:name="_Toc384340927"/>
      <w:bookmarkEnd w:id="424"/>
      <w:bookmarkStart w:id="425" w:name="_Toc384340998"/>
      <w:bookmarkEnd w:id="425"/>
      <w:bookmarkStart w:id="426" w:name="_Toc384340988"/>
      <w:bookmarkEnd w:id="426"/>
      <w:bookmarkStart w:id="427" w:name="_Toc384340913"/>
      <w:bookmarkEnd w:id="427"/>
      <w:bookmarkStart w:id="428" w:name="_Toc384341011"/>
      <w:bookmarkEnd w:id="428"/>
      <w:bookmarkStart w:id="429" w:name="_Toc384341007"/>
      <w:bookmarkEnd w:id="429"/>
      <w:bookmarkStart w:id="430" w:name="_Toc384340924"/>
      <w:bookmarkEnd w:id="430"/>
      <w:bookmarkStart w:id="431" w:name="_Toc384341009"/>
      <w:bookmarkEnd w:id="431"/>
      <w:bookmarkStart w:id="432" w:name="_Toc384340934"/>
      <w:bookmarkEnd w:id="432"/>
      <w:bookmarkStart w:id="433" w:name="_Toc384341008"/>
      <w:bookmarkEnd w:id="433"/>
      <w:bookmarkStart w:id="434" w:name="_Toc384340987"/>
      <w:bookmarkEnd w:id="434"/>
      <w:bookmarkStart w:id="435" w:name="_Toc384340938"/>
      <w:bookmarkEnd w:id="435"/>
      <w:bookmarkStart w:id="436" w:name="_Toc384340933"/>
      <w:bookmarkEnd w:id="436"/>
      <w:bookmarkStart w:id="437" w:name="_Toc384340931"/>
      <w:bookmarkEnd w:id="437"/>
      <w:bookmarkStart w:id="438" w:name="_Toc384340914"/>
      <w:bookmarkEnd w:id="438"/>
      <w:bookmarkStart w:id="439" w:name="_Toc384341013"/>
      <w:bookmarkEnd w:id="439"/>
      <w:bookmarkStart w:id="440" w:name="_Toc384340925"/>
      <w:bookmarkEnd w:id="440"/>
      <w:bookmarkStart w:id="441" w:name="_Toc384341006"/>
      <w:bookmarkEnd w:id="441"/>
      <w:bookmarkStart w:id="442" w:name="_Toc384340936"/>
      <w:bookmarkEnd w:id="442"/>
      <w:bookmarkStart w:id="443" w:name="_Toc384341010"/>
      <w:bookmarkEnd w:id="443"/>
      <w:bookmarkStart w:id="444" w:name="_Toc384340994"/>
      <w:bookmarkEnd w:id="444"/>
      <w:bookmarkStart w:id="445" w:name="_Toc384340991"/>
      <w:bookmarkEnd w:id="445"/>
      <w:bookmarkStart w:id="446" w:name="_Toc384340918"/>
      <w:bookmarkEnd w:id="446"/>
      <w:bookmarkStart w:id="447" w:name="_Toc384340912"/>
      <w:bookmarkEnd w:id="447"/>
      <w:bookmarkStart w:id="448" w:name="_Toc384341001"/>
      <w:bookmarkEnd w:id="448"/>
      <w:bookmarkStart w:id="449" w:name="_Toc384341016"/>
      <w:bookmarkStart w:id="450" w:name="_Toc276492417"/>
      <w:bookmarkStart w:id="451" w:name="_Toc276490905"/>
      <w:bookmarkStart w:id="452" w:name="_Toc15521"/>
      <w:bookmarkStart w:id="453" w:name="_Toc514407959"/>
      <w:bookmarkStart w:id="454" w:name="_Toc1852460372"/>
      <w:bookmarkStart w:id="455" w:name="_Toc24061"/>
      <w:bookmarkStart w:id="456" w:name="_Toc388022579"/>
      <w:bookmarkStart w:id="457" w:name="_Toc18262"/>
      <w:bookmarkStart w:id="458" w:name="_Toc279695721"/>
      <w:bookmarkStart w:id="459" w:name="_Toc271281212"/>
      <w:bookmarkStart w:id="460" w:name="_Toc97405533"/>
      <w:bookmarkStart w:id="461" w:name="_Toc282993301"/>
      <w:r>
        <w:rPr>
          <w:rFonts w:hint="eastAsia" w:ascii="宋体" w:hAnsi="宋体" w:cs="宋体"/>
        </w:rPr>
        <w:t>试验</w:t>
      </w:r>
      <w:bookmarkEnd w:id="449"/>
      <w:bookmarkEnd w:id="450"/>
      <w:bookmarkEnd w:id="451"/>
      <w:bookmarkEnd w:id="452"/>
      <w:bookmarkEnd w:id="453"/>
      <w:bookmarkEnd w:id="454"/>
      <w:bookmarkEnd w:id="455"/>
      <w:bookmarkEnd w:id="456"/>
      <w:bookmarkEnd w:id="457"/>
      <w:bookmarkEnd w:id="458"/>
      <w:bookmarkEnd w:id="459"/>
      <w:bookmarkEnd w:id="460"/>
      <w:bookmarkEnd w:id="461"/>
    </w:p>
    <w:p w14:paraId="49898730">
      <w:pPr>
        <w:pStyle w:val="3"/>
        <w:rPr>
          <w:rFonts w:ascii="宋体" w:hAnsi="宋体" w:cs="宋体"/>
        </w:rPr>
      </w:pPr>
      <w:bookmarkStart w:id="462" w:name="_Toc8634"/>
      <w:bookmarkStart w:id="463" w:name="_Toc83557998"/>
      <w:bookmarkStart w:id="464" w:name="_Toc514407960"/>
      <w:bookmarkStart w:id="465" w:name="_Toc97405534"/>
      <w:bookmarkStart w:id="466" w:name="_Toc16122"/>
      <w:bookmarkStart w:id="467" w:name="_Toc12256"/>
      <w:r>
        <w:rPr>
          <w:rFonts w:hint="eastAsia" w:ascii="宋体" w:hAnsi="宋体" w:cs="宋体"/>
        </w:rPr>
        <w:t>试验</w:t>
      </w:r>
      <w:bookmarkEnd w:id="462"/>
      <w:bookmarkEnd w:id="463"/>
      <w:bookmarkEnd w:id="464"/>
      <w:bookmarkEnd w:id="465"/>
      <w:bookmarkEnd w:id="466"/>
      <w:bookmarkEnd w:id="467"/>
    </w:p>
    <w:p w14:paraId="6040755A">
      <w:pPr>
        <w:spacing w:line="360" w:lineRule="auto"/>
        <w:ind w:firstLine="420" w:firstLineChars="200"/>
        <w:rPr>
          <w:rFonts w:ascii="宋体" w:hAnsi="宋体" w:cs="宋体"/>
        </w:rPr>
      </w:pPr>
      <w:r>
        <w:rPr>
          <w:rFonts w:hint="eastAsia" w:ascii="宋体" w:hAnsi="宋体" w:cs="宋体"/>
        </w:rPr>
        <w:t>本项目的试验内容应包括：工厂试验、现场试验两部分组成，只有都完全通过招标方委托的测试单位以及建设单位参与的验收测试后，方能认为本项目的设备验收合格。</w:t>
      </w:r>
    </w:p>
    <w:p w14:paraId="65178C8B">
      <w:pPr>
        <w:pStyle w:val="4"/>
        <w:spacing w:before="120"/>
        <w:rPr>
          <w:rFonts w:ascii="宋体" w:hAnsi="宋体" w:cs="宋体"/>
        </w:rPr>
      </w:pPr>
      <w:bookmarkStart w:id="468" w:name="_Toc2052450895"/>
      <w:bookmarkStart w:id="469" w:name="_Toc514407961"/>
      <w:bookmarkStart w:id="470" w:name="_Toc8079"/>
      <w:bookmarkStart w:id="471" w:name="_Toc97405535"/>
      <w:bookmarkStart w:id="472" w:name="_Toc11224"/>
      <w:bookmarkStart w:id="473" w:name="_Toc11583"/>
      <w:r>
        <w:rPr>
          <w:rFonts w:hint="eastAsia" w:ascii="宋体" w:hAnsi="宋体" w:cs="宋体"/>
        </w:rPr>
        <w:t>工厂验收</w:t>
      </w:r>
      <w:bookmarkEnd w:id="468"/>
      <w:bookmarkEnd w:id="469"/>
      <w:bookmarkEnd w:id="470"/>
      <w:bookmarkEnd w:id="471"/>
      <w:bookmarkEnd w:id="472"/>
      <w:bookmarkEnd w:id="473"/>
    </w:p>
    <w:p w14:paraId="3649A00D">
      <w:pPr>
        <w:numPr>
          <w:ilvl w:val="0"/>
          <w:numId w:val="59"/>
        </w:numPr>
        <w:spacing w:line="360" w:lineRule="auto"/>
        <w:ind w:left="420" w:leftChars="200"/>
        <w:rPr>
          <w:rFonts w:ascii="宋体" w:hAnsi="宋体" w:cs="宋体"/>
        </w:rPr>
      </w:pPr>
      <w:r>
        <w:rPr>
          <w:rFonts w:hint="eastAsia" w:ascii="宋体" w:hAnsi="宋体" w:cs="宋体"/>
        </w:rPr>
        <w:t>工厂验收试验应按照招标方确认的试验大纲进行，包括功能试验和稳定性试验。单个设备的试验可由投标方自行完成，并向招标方提交试验报告。全系统的试验招标方有权在场见证。</w:t>
      </w:r>
    </w:p>
    <w:p w14:paraId="16D4775E">
      <w:pPr>
        <w:numPr>
          <w:ilvl w:val="0"/>
          <w:numId w:val="59"/>
        </w:numPr>
        <w:spacing w:line="360" w:lineRule="auto"/>
        <w:ind w:left="420" w:leftChars="200"/>
        <w:rPr>
          <w:rFonts w:ascii="宋体" w:hAnsi="宋体" w:cs="宋体"/>
        </w:rPr>
      </w:pPr>
      <w:r>
        <w:rPr>
          <w:rFonts w:hint="eastAsia" w:ascii="宋体" w:hAnsi="宋体" w:cs="宋体"/>
        </w:rPr>
        <w:t>在工厂验收试验期间，投标方应提供所需的检验、维护、测量、试验和记录的设备。</w:t>
      </w:r>
    </w:p>
    <w:p w14:paraId="5DA1D302">
      <w:pPr>
        <w:pStyle w:val="4"/>
        <w:spacing w:before="120"/>
        <w:rPr>
          <w:rFonts w:ascii="宋体" w:hAnsi="宋体" w:cs="宋体"/>
        </w:rPr>
      </w:pPr>
      <w:bookmarkStart w:id="474" w:name="_Toc514407962"/>
      <w:bookmarkStart w:id="475" w:name="_Toc97405536"/>
      <w:bookmarkStart w:id="476" w:name="_Toc3502"/>
      <w:bookmarkStart w:id="477" w:name="_Toc512370504"/>
      <w:bookmarkStart w:id="478" w:name="_Toc23412"/>
      <w:bookmarkStart w:id="479" w:name="_Toc30605"/>
      <w:r>
        <w:rPr>
          <w:rFonts w:hint="eastAsia" w:ascii="宋体" w:hAnsi="宋体" w:cs="宋体"/>
        </w:rPr>
        <w:t>功能试验</w:t>
      </w:r>
      <w:bookmarkEnd w:id="474"/>
      <w:bookmarkEnd w:id="475"/>
      <w:bookmarkEnd w:id="476"/>
      <w:bookmarkEnd w:id="477"/>
      <w:bookmarkEnd w:id="478"/>
      <w:bookmarkEnd w:id="479"/>
    </w:p>
    <w:p w14:paraId="62AF0170">
      <w:pPr>
        <w:numPr>
          <w:ilvl w:val="0"/>
          <w:numId w:val="60"/>
        </w:numPr>
        <w:spacing w:line="360" w:lineRule="auto"/>
        <w:ind w:left="420" w:leftChars="200"/>
        <w:rPr>
          <w:rFonts w:ascii="宋体" w:hAnsi="宋体" w:cs="宋体"/>
        </w:rPr>
      </w:pPr>
      <w:r>
        <w:rPr>
          <w:rFonts w:hint="eastAsia" w:ascii="宋体" w:hAnsi="宋体" w:cs="宋体"/>
        </w:rPr>
        <w:t>该试验主要是对本条件书中所描述的设备的功能和技术要求的测试，检查是否满足所规定的要求；</w:t>
      </w:r>
    </w:p>
    <w:p w14:paraId="025F22DB">
      <w:pPr>
        <w:numPr>
          <w:ilvl w:val="0"/>
          <w:numId w:val="60"/>
        </w:numPr>
        <w:spacing w:line="360" w:lineRule="auto"/>
        <w:ind w:left="420" w:leftChars="200"/>
        <w:rPr>
          <w:rFonts w:ascii="宋体" w:hAnsi="宋体" w:cs="宋体"/>
        </w:rPr>
      </w:pPr>
      <w:r>
        <w:rPr>
          <w:rFonts w:hint="eastAsia" w:ascii="宋体" w:hAnsi="宋体" w:cs="宋体"/>
        </w:rPr>
        <w:t>试验内容主要包括设备的系统启动、电源切换等。</w:t>
      </w:r>
    </w:p>
    <w:p w14:paraId="273148B1">
      <w:pPr>
        <w:pStyle w:val="4"/>
        <w:spacing w:before="120"/>
        <w:rPr>
          <w:rFonts w:ascii="宋体" w:hAnsi="宋体" w:cs="宋体"/>
        </w:rPr>
      </w:pPr>
      <w:bookmarkStart w:id="480" w:name="_Toc6905"/>
      <w:bookmarkStart w:id="481" w:name="_Toc514407963"/>
      <w:bookmarkStart w:id="482" w:name="_Toc20895"/>
      <w:bookmarkStart w:id="483" w:name="_Toc1636258"/>
      <w:bookmarkStart w:id="484" w:name="_Toc9994"/>
      <w:bookmarkStart w:id="485" w:name="_Toc97405537"/>
      <w:r>
        <w:rPr>
          <w:rFonts w:hint="eastAsia" w:ascii="宋体" w:hAnsi="宋体" w:cs="宋体"/>
        </w:rPr>
        <w:t>现场试验</w:t>
      </w:r>
      <w:bookmarkEnd w:id="480"/>
      <w:bookmarkEnd w:id="481"/>
      <w:bookmarkEnd w:id="482"/>
      <w:bookmarkEnd w:id="483"/>
      <w:bookmarkEnd w:id="484"/>
      <w:bookmarkEnd w:id="485"/>
    </w:p>
    <w:p w14:paraId="719099F7">
      <w:pPr>
        <w:numPr>
          <w:ilvl w:val="0"/>
          <w:numId w:val="61"/>
        </w:numPr>
        <w:spacing w:line="360" w:lineRule="auto"/>
        <w:ind w:left="420" w:leftChars="200"/>
        <w:rPr>
          <w:rFonts w:ascii="宋体" w:hAnsi="宋体" w:cs="宋体"/>
        </w:rPr>
      </w:pPr>
      <w:r>
        <w:rPr>
          <w:rFonts w:hint="eastAsia" w:ascii="宋体" w:hAnsi="宋体" w:cs="宋体"/>
        </w:rPr>
        <w:t>在所有设备安装调试完毕，且设备准备投入试运行前须进行现场试验，必须按通信蓄电池在线核容装置智能维护相关技术规范要求进行验收测试，并出具书面测试报告。</w:t>
      </w:r>
    </w:p>
    <w:p w14:paraId="60D3C9A0">
      <w:pPr>
        <w:numPr>
          <w:ilvl w:val="0"/>
          <w:numId w:val="61"/>
        </w:numPr>
        <w:spacing w:line="360" w:lineRule="auto"/>
        <w:ind w:left="420" w:leftChars="200"/>
        <w:rPr>
          <w:rFonts w:ascii="宋体" w:hAnsi="宋体" w:cs="宋体"/>
        </w:rPr>
      </w:pPr>
      <w:r>
        <w:rPr>
          <w:rFonts w:hint="eastAsia" w:ascii="宋体" w:hAnsi="宋体" w:cs="宋体"/>
        </w:rPr>
        <w:t>现场试验应在工厂系统试验完全完成的基础上进行。</w:t>
      </w:r>
    </w:p>
    <w:p w14:paraId="01488C8D">
      <w:pPr>
        <w:numPr>
          <w:ilvl w:val="0"/>
          <w:numId w:val="61"/>
        </w:numPr>
        <w:spacing w:line="360" w:lineRule="auto"/>
        <w:ind w:left="420" w:leftChars="200"/>
        <w:rPr>
          <w:rFonts w:ascii="宋体" w:hAnsi="宋体" w:cs="宋体"/>
        </w:rPr>
      </w:pPr>
      <w:r>
        <w:rPr>
          <w:rFonts w:hint="eastAsia" w:ascii="宋体" w:hAnsi="宋体" w:cs="宋体"/>
        </w:rPr>
        <w:t>在验收开始前二周应提出现场试验方案供招标方认可。</w:t>
      </w:r>
    </w:p>
    <w:p w14:paraId="1CD363B5">
      <w:pPr>
        <w:pStyle w:val="3"/>
        <w:rPr>
          <w:rFonts w:ascii="宋体" w:hAnsi="宋体" w:cs="宋体"/>
        </w:rPr>
      </w:pPr>
      <w:bookmarkStart w:id="486" w:name="_Toc514407964"/>
      <w:bookmarkStart w:id="487" w:name="_Toc13770"/>
      <w:bookmarkStart w:id="488" w:name="_Toc1730784442"/>
      <w:bookmarkStart w:id="489" w:name="_Toc22454"/>
      <w:bookmarkStart w:id="490" w:name="_Toc97405538"/>
      <w:bookmarkStart w:id="491" w:name="_Toc2224"/>
      <w:r>
        <w:rPr>
          <w:rFonts w:hint="eastAsia" w:ascii="宋体" w:hAnsi="宋体" w:cs="宋体"/>
        </w:rPr>
        <w:t>验收计划、报告和设备</w:t>
      </w:r>
      <w:bookmarkEnd w:id="486"/>
      <w:bookmarkEnd w:id="487"/>
      <w:bookmarkEnd w:id="488"/>
      <w:bookmarkEnd w:id="489"/>
      <w:bookmarkEnd w:id="490"/>
      <w:bookmarkEnd w:id="491"/>
    </w:p>
    <w:p w14:paraId="3970946C">
      <w:pPr>
        <w:spacing w:line="360" w:lineRule="auto"/>
        <w:ind w:firstLine="420" w:firstLineChars="200"/>
        <w:rPr>
          <w:rFonts w:ascii="宋体" w:hAnsi="宋体" w:cs="宋体"/>
        </w:rPr>
      </w:pPr>
      <w:r>
        <w:rPr>
          <w:rFonts w:hint="eastAsia" w:ascii="宋体" w:hAnsi="宋体" w:cs="宋体"/>
        </w:rPr>
        <w:t>验收包括初步验收、试运行、竣工验收3个阶段。</w:t>
      </w:r>
    </w:p>
    <w:p w14:paraId="4F2305B7">
      <w:pPr>
        <w:pStyle w:val="4"/>
        <w:spacing w:before="120"/>
        <w:rPr>
          <w:rFonts w:ascii="宋体" w:hAnsi="宋体" w:cs="宋体"/>
        </w:rPr>
      </w:pPr>
      <w:bookmarkStart w:id="492" w:name="_Toc514407965"/>
      <w:bookmarkStart w:id="493" w:name="_Toc29377"/>
      <w:bookmarkStart w:id="494" w:name="_Toc23206"/>
      <w:bookmarkStart w:id="495" w:name="_Toc1628118079"/>
      <w:bookmarkStart w:id="496" w:name="_Toc6461"/>
      <w:bookmarkStart w:id="497" w:name="_Toc97405539"/>
      <w:r>
        <w:rPr>
          <w:rFonts w:hint="eastAsia" w:ascii="宋体" w:hAnsi="宋体" w:cs="宋体"/>
        </w:rPr>
        <w:t>初步验收</w:t>
      </w:r>
      <w:bookmarkEnd w:id="492"/>
      <w:bookmarkEnd w:id="493"/>
      <w:bookmarkEnd w:id="494"/>
      <w:bookmarkEnd w:id="495"/>
      <w:bookmarkEnd w:id="496"/>
      <w:bookmarkEnd w:id="497"/>
    </w:p>
    <w:p w14:paraId="7262958C">
      <w:pPr>
        <w:numPr>
          <w:ilvl w:val="0"/>
          <w:numId w:val="62"/>
        </w:numPr>
        <w:spacing w:line="360" w:lineRule="auto"/>
        <w:ind w:left="420" w:leftChars="200"/>
        <w:rPr>
          <w:rFonts w:ascii="宋体" w:hAnsi="宋体" w:cs="宋体"/>
        </w:rPr>
      </w:pPr>
      <w:r>
        <w:rPr>
          <w:rFonts w:hint="eastAsia" w:ascii="宋体" w:hAnsi="宋体" w:cs="宋体"/>
        </w:rPr>
        <w:t>在系统试运行前，必须进行初验测试，用以检验系统及其相关设备是否符合运转要求。</w:t>
      </w:r>
    </w:p>
    <w:p w14:paraId="6EC9B1ED">
      <w:pPr>
        <w:numPr>
          <w:ilvl w:val="0"/>
          <w:numId w:val="62"/>
        </w:numPr>
        <w:spacing w:line="360" w:lineRule="auto"/>
        <w:ind w:left="420" w:leftChars="200"/>
        <w:rPr>
          <w:rFonts w:ascii="宋体" w:hAnsi="宋体" w:cs="宋体"/>
        </w:rPr>
      </w:pPr>
      <w:r>
        <w:rPr>
          <w:rFonts w:hint="eastAsia" w:ascii="宋体" w:hAnsi="宋体" w:cs="宋体"/>
        </w:rPr>
        <w:t>初验测试应在设备系统测试合格后进行。初验测试要求各种设备处于工作状态。</w:t>
      </w:r>
    </w:p>
    <w:p w14:paraId="44B75429">
      <w:pPr>
        <w:numPr>
          <w:ilvl w:val="0"/>
          <w:numId w:val="62"/>
        </w:numPr>
        <w:spacing w:line="360" w:lineRule="auto"/>
        <w:ind w:left="420" w:leftChars="200"/>
        <w:rPr>
          <w:rFonts w:ascii="宋体" w:hAnsi="宋体" w:cs="宋体"/>
        </w:rPr>
      </w:pPr>
      <w:r>
        <w:rPr>
          <w:rFonts w:hint="eastAsia" w:ascii="宋体" w:hAnsi="宋体" w:cs="宋体"/>
        </w:rPr>
        <w:t>初验测试的计划和内容应从设备系统测试的内容中抽取，具体内容可根据设备系统测试的结果确定。</w:t>
      </w:r>
    </w:p>
    <w:p w14:paraId="0E2A48D0">
      <w:pPr>
        <w:numPr>
          <w:ilvl w:val="0"/>
          <w:numId w:val="62"/>
        </w:numPr>
        <w:spacing w:line="360" w:lineRule="auto"/>
        <w:ind w:left="420" w:leftChars="200"/>
        <w:rPr>
          <w:rFonts w:ascii="宋体" w:hAnsi="宋体" w:cs="宋体"/>
        </w:rPr>
      </w:pPr>
      <w:r>
        <w:rPr>
          <w:rFonts w:hint="eastAsia" w:ascii="宋体" w:hAnsi="宋体" w:cs="宋体"/>
        </w:rPr>
        <w:t>初验测试的主要指标和性能达不到要求时，应重新进行系统调测。</w:t>
      </w:r>
    </w:p>
    <w:p w14:paraId="45246D0B">
      <w:pPr>
        <w:numPr>
          <w:ilvl w:val="0"/>
          <w:numId w:val="62"/>
        </w:numPr>
        <w:spacing w:line="360" w:lineRule="auto"/>
        <w:ind w:left="420" w:leftChars="200"/>
        <w:rPr>
          <w:rFonts w:ascii="宋体" w:hAnsi="宋体" w:cs="宋体"/>
        </w:rPr>
      </w:pPr>
      <w:r>
        <w:rPr>
          <w:rFonts w:hint="eastAsia" w:ascii="宋体" w:hAnsi="宋体" w:cs="宋体"/>
        </w:rPr>
        <w:t>所有初验测试都应在建设单位为主的条件下进行测试，承建单位技术人员协作。初验不合格，所有因设备问题引起的费用应由投标方承担，承建单位负责及时解决产生的问题，直至验收合格。</w:t>
      </w:r>
    </w:p>
    <w:p w14:paraId="553F76DE">
      <w:pPr>
        <w:pStyle w:val="4"/>
        <w:spacing w:before="120"/>
        <w:rPr>
          <w:rFonts w:ascii="宋体" w:hAnsi="宋体" w:cs="宋体"/>
        </w:rPr>
      </w:pPr>
      <w:bookmarkStart w:id="498" w:name="_Toc26424"/>
      <w:bookmarkStart w:id="499" w:name="_Toc29603"/>
      <w:bookmarkStart w:id="500" w:name="_Toc97405540"/>
      <w:bookmarkStart w:id="501" w:name="_Toc514407966"/>
      <w:bookmarkStart w:id="502" w:name="_Toc543923679"/>
      <w:bookmarkStart w:id="503" w:name="_Toc21286"/>
      <w:r>
        <w:rPr>
          <w:rFonts w:hint="eastAsia" w:ascii="宋体" w:hAnsi="宋体" w:cs="宋体"/>
        </w:rPr>
        <w:t>试运行</w:t>
      </w:r>
      <w:bookmarkEnd w:id="498"/>
      <w:bookmarkEnd w:id="499"/>
      <w:bookmarkEnd w:id="500"/>
      <w:bookmarkEnd w:id="501"/>
      <w:bookmarkEnd w:id="502"/>
      <w:bookmarkEnd w:id="503"/>
    </w:p>
    <w:p w14:paraId="0BE46DE7">
      <w:pPr>
        <w:numPr>
          <w:ilvl w:val="0"/>
          <w:numId w:val="63"/>
        </w:numPr>
        <w:spacing w:line="360" w:lineRule="auto"/>
        <w:ind w:left="420" w:leftChars="200"/>
        <w:rPr>
          <w:rFonts w:ascii="宋体" w:hAnsi="宋体" w:cs="宋体"/>
        </w:rPr>
      </w:pPr>
      <w:r>
        <w:rPr>
          <w:rFonts w:hint="eastAsia" w:ascii="宋体" w:hAnsi="宋体" w:cs="宋体"/>
        </w:rPr>
        <w:t>初步验收合格后，系统进入试运行阶段。</w:t>
      </w:r>
    </w:p>
    <w:p w14:paraId="3378BDCC">
      <w:pPr>
        <w:numPr>
          <w:ilvl w:val="0"/>
          <w:numId w:val="63"/>
        </w:numPr>
        <w:spacing w:line="360" w:lineRule="auto"/>
        <w:ind w:left="420" w:leftChars="200"/>
        <w:rPr>
          <w:rFonts w:ascii="宋体" w:hAnsi="宋体" w:cs="宋体"/>
        </w:rPr>
      </w:pPr>
      <w:r>
        <w:rPr>
          <w:rFonts w:hint="eastAsia" w:ascii="宋体" w:hAnsi="宋体" w:cs="宋体"/>
        </w:rPr>
        <w:t>试运行期间如果设备发生故障或某一项指标不能达到技术规格书要求时，允许投标方立即修复或调整设备、使其达到技术规格书的要求，但试运行应从修复或调整完毕之日起重新开始。</w:t>
      </w:r>
    </w:p>
    <w:p w14:paraId="0CC9B183">
      <w:pPr>
        <w:pStyle w:val="4"/>
        <w:spacing w:before="120"/>
        <w:rPr>
          <w:rFonts w:ascii="宋体" w:hAnsi="宋体" w:cs="宋体"/>
        </w:rPr>
      </w:pPr>
      <w:bookmarkStart w:id="504" w:name="_Toc23495"/>
      <w:bookmarkStart w:id="505" w:name="_Toc514407967"/>
      <w:bookmarkStart w:id="506" w:name="_Toc2034871321"/>
      <w:bookmarkStart w:id="507" w:name="_Toc13134"/>
      <w:bookmarkStart w:id="508" w:name="_Toc7033"/>
      <w:bookmarkStart w:id="509" w:name="_Toc97405541"/>
      <w:r>
        <w:rPr>
          <w:rFonts w:hint="eastAsia" w:ascii="宋体" w:hAnsi="宋体" w:cs="宋体"/>
        </w:rPr>
        <w:t>竣工验收</w:t>
      </w:r>
      <w:bookmarkEnd w:id="504"/>
      <w:bookmarkEnd w:id="505"/>
      <w:bookmarkEnd w:id="506"/>
      <w:bookmarkEnd w:id="507"/>
      <w:bookmarkEnd w:id="508"/>
      <w:bookmarkEnd w:id="509"/>
    </w:p>
    <w:p w14:paraId="7980D5AB">
      <w:pPr>
        <w:numPr>
          <w:ilvl w:val="0"/>
          <w:numId w:val="64"/>
        </w:numPr>
        <w:spacing w:line="360" w:lineRule="auto"/>
        <w:ind w:left="420" w:leftChars="200"/>
        <w:rPr>
          <w:rFonts w:ascii="宋体" w:hAnsi="宋体" w:cs="宋体"/>
        </w:rPr>
      </w:pPr>
      <w:r>
        <w:rPr>
          <w:rFonts w:hint="eastAsia" w:ascii="宋体" w:hAnsi="宋体" w:cs="宋体"/>
        </w:rPr>
        <w:t>试运行期满即可进行竣工验收测试，投标方应提前1个月提供竣工验收测试详细内容，测试方法，必要的仪器及测试指标等。</w:t>
      </w:r>
    </w:p>
    <w:p w14:paraId="75C5EBFD">
      <w:pPr>
        <w:numPr>
          <w:ilvl w:val="0"/>
          <w:numId w:val="64"/>
        </w:numPr>
        <w:spacing w:line="360" w:lineRule="auto"/>
        <w:ind w:left="420" w:leftChars="200"/>
        <w:rPr>
          <w:rFonts w:ascii="宋体" w:hAnsi="宋体" w:cs="宋体"/>
        </w:rPr>
      </w:pPr>
      <w:r>
        <w:rPr>
          <w:rFonts w:hint="eastAsia" w:ascii="宋体" w:hAnsi="宋体" w:cs="宋体"/>
        </w:rPr>
        <w:t>竣工验收测试的各项具体内容和指标要求至少应满足中国南方电网有限责任公司通信蓄电池在线核容装置验收规范相关验收标准。</w:t>
      </w:r>
    </w:p>
    <w:p w14:paraId="0C7911BC">
      <w:pPr>
        <w:numPr>
          <w:ilvl w:val="0"/>
          <w:numId w:val="64"/>
        </w:numPr>
        <w:spacing w:line="360" w:lineRule="auto"/>
        <w:ind w:left="420" w:leftChars="200"/>
        <w:rPr>
          <w:rFonts w:ascii="宋体" w:hAnsi="宋体" w:cs="宋体"/>
        </w:rPr>
      </w:pPr>
      <w:r>
        <w:rPr>
          <w:rFonts w:hint="eastAsia" w:ascii="宋体" w:hAnsi="宋体" w:cs="宋体"/>
        </w:rPr>
        <w:t>达到验收相关要求，经双方认可即可签署验收文件。签署竣工验收文件日期即为工程通过最终验收日期。</w:t>
      </w:r>
    </w:p>
    <w:p w14:paraId="1941BA7A">
      <w:pPr>
        <w:pStyle w:val="2"/>
        <w:rPr>
          <w:rFonts w:ascii="宋体" w:hAnsi="宋体" w:cs="宋体"/>
        </w:rPr>
      </w:pPr>
      <w:bookmarkStart w:id="510" w:name="_Toc11587"/>
      <w:bookmarkStart w:id="511" w:name="_Toc514407968"/>
      <w:bookmarkStart w:id="512" w:name="_Toc24583"/>
      <w:bookmarkStart w:id="513" w:name="_Toc276490910"/>
      <w:bookmarkStart w:id="514" w:name="_Toc279696001"/>
      <w:bookmarkStart w:id="515" w:name="_Toc384341024"/>
      <w:bookmarkStart w:id="516" w:name="_Toc1405213572"/>
      <w:bookmarkStart w:id="517" w:name="_Toc97405542"/>
      <w:bookmarkStart w:id="518" w:name="_Toc276492422"/>
      <w:bookmarkStart w:id="519" w:name="_Toc31039"/>
      <w:bookmarkStart w:id="520" w:name="_Toc282993354"/>
      <w:r>
        <w:rPr>
          <w:rFonts w:hint="eastAsia" w:ascii="宋体" w:hAnsi="宋体" w:cs="宋体"/>
        </w:rPr>
        <w:t>产品对环境的影响</w:t>
      </w:r>
      <w:bookmarkEnd w:id="510"/>
      <w:bookmarkEnd w:id="511"/>
      <w:bookmarkEnd w:id="512"/>
      <w:bookmarkEnd w:id="513"/>
      <w:bookmarkEnd w:id="514"/>
      <w:bookmarkEnd w:id="515"/>
      <w:bookmarkEnd w:id="516"/>
      <w:bookmarkEnd w:id="517"/>
      <w:bookmarkEnd w:id="518"/>
      <w:bookmarkEnd w:id="519"/>
      <w:bookmarkEnd w:id="520"/>
    </w:p>
    <w:p w14:paraId="79CE5638">
      <w:pPr>
        <w:numPr>
          <w:ilvl w:val="0"/>
          <w:numId w:val="65"/>
        </w:numPr>
        <w:spacing w:line="360" w:lineRule="auto"/>
        <w:ind w:left="420" w:leftChars="200"/>
        <w:rPr>
          <w:rFonts w:ascii="宋体" w:hAnsi="宋体" w:cs="宋体"/>
        </w:rPr>
      </w:pPr>
      <w:r>
        <w:rPr>
          <w:rFonts w:hint="eastAsia" w:ascii="宋体" w:hAnsi="宋体" w:cs="宋体"/>
        </w:rPr>
        <w:t>坚持以资源节约型和环境友好型的原则，同时应考虑降低投资成本和提高运行经济性。</w:t>
      </w:r>
    </w:p>
    <w:p w14:paraId="35D0FF99">
      <w:pPr>
        <w:numPr>
          <w:ilvl w:val="0"/>
          <w:numId w:val="65"/>
        </w:numPr>
        <w:spacing w:line="360" w:lineRule="auto"/>
        <w:ind w:left="420" w:leftChars="200"/>
        <w:rPr>
          <w:rFonts w:ascii="宋体" w:hAnsi="宋体" w:cs="宋体"/>
        </w:rPr>
      </w:pPr>
      <w:r>
        <w:rPr>
          <w:rFonts w:hint="eastAsia" w:ascii="宋体" w:hAnsi="宋体" w:cs="宋体"/>
        </w:rPr>
        <w:t>应对噪声、工频电场和磁场、高频电磁波、通信干扰等方面采取必要的防治措施，并满足国家相关标准的要求。</w:t>
      </w:r>
    </w:p>
    <w:p w14:paraId="406B6448">
      <w:pPr>
        <w:numPr>
          <w:ilvl w:val="0"/>
          <w:numId w:val="65"/>
        </w:numPr>
        <w:spacing w:line="360" w:lineRule="auto"/>
        <w:ind w:left="420" w:leftChars="200"/>
        <w:rPr>
          <w:rFonts w:ascii="宋体" w:hAnsi="宋体" w:cs="宋体"/>
        </w:rPr>
      </w:pPr>
      <w:r>
        <w:rPr>
          <w:rFonts w:hint="eastAsia" w:ascii="宋体" w:hAnsi="宋体" w:cs="宋体"/>
        </w:rPr>
        <w:t>推广采用高可靠性、小型化和节能型设备。</w:t>
      </w:r>
    </w:p>
    <w:p w14:paraId="7B0F1B17">
      <w:pPr>
        <w:spacing w:line="360" w:lineRule="auto"/>
        <w:ind w:firstLine="420" w:firstLineChars="200"/>
        <w:rPr>
          <w:rFonts w:ascii="宋体" w:hAnsi="宋体" w:cs="宋体"/>
        </w:rPr>
      </w:pPr>
      <w:r>
        <w:rPr>
          <w:rFonts w:hint="eastAsia" w:ascii="宋体" w:hAnsi="宋体" w:cs="宋体"/>
        </w:rPr>
        <w:t>优先选用损耗低的产品。</w:t>
      </w:r>
    </w:p>
    <w:p w14:paraId="6D11FBB7">
      <w:pPr>
        <w:pStyle w:val="2"/>
        <w:rPr>
          <w:rFonts w:ascii="宋体" w:hAnsi="宋体" w:cs="宋体"/>
        </w:rPr>
      </w:pPr>
      <w:bookmarkStart w:id="521" w:name="_Toc279695206"/>
      <w:bookmarkStart w:id="522" w:name="_Toc282433757"/>
      <w:bookmarkStart w:id="523" w:name="_Toc282993358"/>
      <w:bookmarkStart w:id="524" w:name="_Toc29922"/>
      <w:bookmarkStart w:id="525" w:name="_Toc97405543"/>
      <w:bookmarkStart w:id="526" w:name="_Toc1546838545"/>
      <w:bookmarkStart w:id="527" w:name="_Toc384341028"/>
      <w:bookmarkStart w:id="528" w:name="_Toc29997"/>
      <w:bookmarkStart w:id="529" w:name="_Toc514407969"/>
      <w:bookmarkStart w:id="530" w:name="_Toc30456"/>
      <w:r>
        <w:rPr>
          <w:rFonts w:hint="eastAsia" w:ascii="宋体" w:hAnsi="宋体" w:cs="宋体"/>
        </w:rPr>
        <w:t>技术文件</w:t>
      </w:r>
      <w:bookmarkEnd w:id="521"/>
      <w:bookmarkEnd w:id="522"/>
      <w:bookmarkEnd w:id="523"/>
      <w:r>
        <w:rPr>
          <w:rFonts w:hint="eastAsia" w:ascii="宋体" w:hAnsi="宋体" w:cs="宋体"/>
        </w:rPr>
        <w:t>要求</w:t>
      </w:r>
      <w:bookmarkEnd w:id="524"/>
      <w:bookmarkEnd w:id="525"/>
      <w:bookmarkEnd w:id="526"/>
      <w:bookmarkEnd w:id="527"/>
      <w:bookmarkEnd w:id="528"/>
      <w:bookmarkEnd w:id="529"/>
      <w:bookmarkEnd w:id="530"/>
    </w:p>
    <w:p w14:paraId="2A59765E">
      <w:pPr>
        <w:pStyle w:val="3"/>
        <w:rPr>
          <w:rFonts w:ascii="宋体" w:hAnsi="宋体" w:cs="宋体"/>
        </w:rPr>
      </w:pPr>
      <w:bookmarkStart w:id="531" w:name="_Toc22404"/>
      <w:bookmarkStart w:id="532" w:name="_Toc278395233"/>
      <w:bookmarkStart w:id="533" w:name="_Toc514407970"/>
      <w:bookmarkStart w:id="534" w:name="_Toc384341029"/>
      <w:bookmarkStart w:id="535" w:name="_Toc3026"/>
      <w:bookmarkStart w:id="536" w:name="_Toc97405544"/>
      <w:bookmarkStart w:id="537" w:name="_Toc14587"/>
      <w:r>
        <w:rPr>
          <w:rFonts w:hint="eastAsia" w:ascii="宋体" w:hAnsi="宋体" w:cs="宋体"/>
        </w:rPr>
        <w:t>一般要求</w:t>
      </w:r>
      <w:bookmarkEnd w:id="531"/>
      <w:bookmarkEnd w:id="532"/>
      <w:bookmarkEnd w:id="533"/>
      <w:bookmarkEnd w:id="534"/>
      <w:bookmarkEnd w:id="535"/>
      <w:bookmarkEnd w:id="536"/>
      <w:bookmarkEnd w:id="537"/>
    </w:p>
    <w:p w14:paraId="3F80A327">
      <w:pPr>
        <w:numPr>
          <w:ilvl w:val="0"/>
          <w:numId w:val="66"/>
        </w:numPr>
        <w:spacing w:line="360" w:lineRule="auto"/>
        <w:ind w:left="420" w:leftChars="200"/>
        <w:rPr>
          <w:rFonts w:ascii="宋体" w:hAnsi="宋体" w:cs="宋体"/>
        </w:rPr>
      </w:pPr>
      <w:r>
        <w:rPr>
          <w:rFonts w:hint="eastAsia" w:ascii="宋体" w:hAnsi="宋体" w:cs="宋体"/>
        </w:rPr>
        <w:t>投标方提供的图纸、资料、文件应使用国家法定单位制即国际单位制，语言为中文。</w:t>
      </w:r>
    </w:p>
    <w:p w14:paraId="342CAE4F">
      <w:pPr>
        <w:numPr>
          <w:ilvl w:val="0"/>
          <w:numId w:val="66"/>
        </w:numPr>
        <w:spacing w:line="360" w:lineRule="auto"/>
        <w:ind w:left="420" w:leftChars="200"/>
        <w:rPr>
          <w:rFonts w:ascii="宋体" w:hAnsi="宋体" w:cs="宋体"/>
        </w:rPr>
      </w:pPr>
      <w:r>
        <w:rPr>
          <w:rFonts w:hint="eastAsia" w:ascii="宋体" w:hAnsi="宋体" w:cs="宋体"/>
        </w:rPr>
        <w:t>资料的组织结构清晰、逻辑性强。资料内容耍正确、准确、一致、清晰、完整，满足工程要求。</w:t>
      </w:r>
    </w:p>
    <w:p w14:paraId="61670AFB">
      <w:pPr>
        <w:numPr>
          <w:ilvl w:val="0"/>
          <w:numId w:val="66"/>
        </w:numPr>
        <w:spacing w:line="360" w:lineRule="auto"/>
        <w:ind w:left="420" w:leftChars="200"/>
        <w:rPr>
          <w:rFonts w:ascii="宋体" w:hAnsi="宋体" w:cs="宋体"/>
        </w:rPr>
      </w:pPr>
      <w:r>
        <w:rPr>
          <w:rFonts w:hint="eastAsia" w:ascii="宋体" w:hAnsi="宋体" w:cs="宋体"/>
        </w:rPr>
        <w:t>对于其它没有列入合同技术资料清单，却是工程所必需的文件和资料，一经发现，投标方也应及时免费提供。</w:t>
      </w:r>
    </w:p>
    <w:p w14:paraId="76268176">
      <w:pPr>
        <w:pStyle w:val="3"/>
        <w:rPr>
          <w:rFonts w:ascii="宋体" w:hAnsi="宋体" w:cs="宋体"/>
        </w:rPr>
      </w:pPr>
      <w:bookmarkStart w:id="538" w:name="_Toc97405545"/>
      <w:bookmarkStart w:id="539" w:name="_Toc384341030"/>
      <w:bookmarkStart w:id="540" w:name="_Toc1769297865"/>
      <w:bookmarkStart w:id="541" w:name="_Toc514407971"/>
      <w:bookmarkStart w:id="542" w:name="_Toc27077"/>
      <w:bookmarkStart w:id="543" w:name="_Toc26882"/>
      <w:bookmarkStart w:id="544" w:name="_Toc13612"/>
      <w:r>
        <w:rPr>
          <w:rFonts w:hint="eastAsia" w:ascii="宋体" w:hAnsi="宋体" w:cs="宋体"/>
        </w:rPr>
        <w:t>投标方提交资料及说明</w:t>
      </w:r>
      <w:bookmarkEnd w:id="538"/>
      <w:bookmarkEnd w:id="539"/>
      <w:bookmarkEnd w:id="540"/>
      <w:bookmarkEnd w:id="541"/>
      <w:bookmarkEnd w:id="542"/>
      <w:bookmarkEnd w:id="543"/>
      <w:bookmarkEnd w:id="544"/>
    </w:p>
    <w:p w14:paraId="00BC81C1">
      <w:pPr>
        <w:spacing w:line="360" w:lineRule="auto"/>
        <w:ind w:firstLine="420" w:firstLineChars="200"/>
        <w:rPr>
          <w:rFonts w:ascii="宋体" w:hAnsi="宋体" w:cs="宋体"/>
        </w:rPr>
      </w:pPr>
      <w:bookmarkStart w:id="545" w:name="_Toc245435318"/>
      <w:bookmarkStart w:id="546" w:name="_Toc276714505"/>
      <w:bookmarkStart w:id="547" w:name="_Toc245398410"/>
      <w:r>
        <w:rPr>
          <w:rFonts w:hint="eastAsia" w:ascii="宋体" w:hAnsi="宋体" w:cs="宋体"/>
        </w:rPr>
        <w:t>投标方应提供设备的图纸、技术文件、用户手册、维护手册等资料，并对所提供的技术资料的准确性负责，资料和图纸应提供电子版一套，书面材料3套。交付内容要求如下：</w:t>
      </w:r>
      <w:bookmarkEnd w:id="545"/>
      <w:bookmarkEnd w:id="546"/>
      <w:bookmarkEnd w:id="547"/>
    </w:p>
    <w:p w14:paraId="33FB3F40">
      <w:pPr>
        <w:pStyle w:val="106"/>
        <w:numPr>
          <w:ilvl w:val="0"/>
          <w:numId w:val="67"/>
        </w:numPr>
        <w:autoSpaceDE w:val="0"/>
        <w:autoSpaceDN w:val="0"/>
        <w:adjustRightInd w:val="0"/>
        <w:snapToGrid w:val="0"/>
        <w:spacing w:line="360" w:lineRule="auto"/>
        <w:ind w:left="420" w:leftChars="200" w:firstLineChars="0"/>
        <w:rPr>
          <w:rFonts w:hAnsi="宋体" w:cs="宋体"/>
          <w:kern w:val="2"/>
          <w:szCs w:val="21"/>
        </w:rPr>
      </w:pPr>
      <w:r>
        <w:rPr>
          <w:rFonts w:hint="eastAsia" w:hAnsi="宋体" w:cs="宋体"/>
          <w:kern w:val="2"/>
          <w:szCs w:val="21"/>
        </w:rPr>
        <w:t>系统方框图和简要说明</w:t>
      </w:r>
    </w:p>
    <w:p w14:paraId="69B86C59">
      <w:pPr>
        <w:pStyle w:val="106"/>
        <w:numPr>
          <w:ilvl w:val="0"/>
          <w:numId w:val="67"/>
        </w:numPr>
        <w:autoSpaceDE w:val="0"/>
        <w:autoSpaceDN w:val="0"/>
        <w:adjustRightInd w:val="0"/>
        <w:snapToGrid w:val="0"/>
        <w:spacing w:line="360" w:lineRule="auto"/>
        <w:ind w:left="420" w:leftChars="200" w:firstLineChars="0"/>
        <w:rPr>
          <w:rFonts w:hAnsi="宋体" w:cs="宋体"/>
          <w:kern w:val="2"/>
          <w:szCs w:val="21"/>
        </w:rPr>
      </w:pPr>
      <w:r>
        <w:rPr>
          <w:rFonts w:hint="eastAsia" w:hAnsi="宋体" w:cs="宋体"/>
          <w:kern w:val="2"/>
          <w:szCs w:val="21"/>
        </w:rPr>
        <w:t>电气原理图</w:t>
      </w:r>
    </w:p>
    <w:p w14:paraId="12371F98">
      <w:pPr>
        <w:pStyle w:val="106"/>
        <w:numPr>
          <w:ilvl w:val="0"/>
          <w:numId w:val="67"/>
        </w:numPr>
        <w:autoSpaceDE w:val="0"/>
        <w:autoSpaceDN w:val="0"/>
        <w:adjustRightInd w:val="0"/>
        <w:snapToGrid w:val="0"/>
        <w:spacing w:line="360" w:lineRule="auto"/>
        <w:ind w:left="420" w:leftChars="200" w:firstLineChars="0"/>
        <w:rPr>
          <w:rFonts w:hAnsi="宋体" w:cs="宋体"/>
          <w:kern w:val="2"/>
          <w:szCs w:val="21"/>
        </w:rPr>
      </w:pPr>
      <w:r>
        <w:rPr>
          <w:rFonts w:hint="eastAsia" w:hAnsi="宋体" w:cs="宋体"/>
          <w:kern w:val="2"/>
          <w:szCs w:val="21"/>
        </w:rPr>
        <w:t>机柜面板布置图</w:t>
      </w:r>
    </w:p>
    <w:p w14:paraId="092736BC">
      <w:pPr>
        <w:pStyle w:val="106"/>
        <w:numPr>
          <w:ilvl w:val="0"/>
          <w:numId w:val="67"/>
        </w:numPr>
        <w:autoSpaceDE w:val="0"/>
        <w:autoSpaceDN w:val="0"/>
        <w:adjustRightInd w:val="0"/>
        <w:snapToGrid w:val="0"/>
        <w:spacing w:line="360" w:lineRule="auto"/>
        <w:ind w:left="420" w:leftChars="200" w:firstLineChars="0"/>
        <w:rPr>
          <w:rFonts w:hAnsi="宋体" w:cs="宋体"/>
          <w:kern w:val="2"/>
          <w:szCs w:val="21"/>
        </w:rPr>
      </w:pPr>
      <w:r>
        <w:rPr>
          <w:rFonts w:hint="eastAsia" w:hAnsi="宋体" w:cs="宋体"/>
          <w:kern w:val="2"/>
          <w:szCs w:val="21"/>
        </w:rPr>
        <w:t>设备外部接线端子图</w:t>
      </w:r>
    </w:p>
    <w:p w14:paraId="7492E5C2">
      <w:pPr>
        <w:pStyle w:val="106"/>
        <w:numPr>
          <w:ilvl w:val="0"/>
          <w:numId w:val="67"/>
        </w:numPr>
        <w:autoSpaceDE w:val="0"/>
        <w:autoSpaceDN w:val="0"/>
        <w:adjustRightInd w:val="0"/>
        <w:snapToGrid w:val="0"/>
        <w:spacing w:line="360" w:lineRule="auto"/>
        <w:ind w:left="420" w:leftChars="200" w:firstLineChars="0"/>
        <w:rPr>
          <w:rFonts w:hAnsi="宋体" w:cs="宋体"/>
          <w:kern w:val="2"/>
          <w:szCs w:val="21"/>
        </w:rPr>
      </w:pPr>
      <w:r>
        <w:rPr>
          <w:rFonts w:hint="eastAsia" w:hAnsi="宋体" w:cs="宋体"/>
          <w:kern w:val="2"/>
          <w:szCs w:val="21"/>
        </w:rPr>
        <w:t>设备模块详细原理接线图和说明书</w:t>
      </w:r>
    </w:p>
    <w:p w14:paraId="37BB401E">
      <w:pPr>
        <w:pStyle w:val="106"/>
        <w:numPr>
          <w:ilvl w:val="0"/>
          <w:numId w:val="67"/>
        </w:numPr>
        <w:autoSpaceDE w:val="0"/>
        <w:autoSpaceDN w:val="0"/>
        <w:adjustRightInd w:val="0"/>
        <w:snapToGrid w:val="0"/>
        <w:spacing w:line="360" w:lineRule="auto"/>
        <w:ind w:left="420" w:leftChars="200" w:firstLineChars="0"/>
        <w:rPr>
          <w:rFonts w:hAnsi="宋体" w:cs="宋体"/>
          <w:kern w:val="2"/>
          <w:szCs w:val="21"/>
        </w:rPr>
      </w:pPr>
      <w:r>
        <w:rPr>
          <w:rFonts w:hint="eastAsia" w:hAnsi="宋体" w:cs="宋体"/>
          <w:kern w:val="2"/>
          <w:szCs w:val="21"/>
        </w:rPr>
        <w:t>设备安装、调试和运行维护手册</w:t>
      </w:r>
    </w:p>
    <w:p w14:paraId="44F45F7F">
      <w:pPr>
        <w:pStyle w:val="106"/>
        <w:numPr>
          <w:ilvl w:val="0"/>
          <w:numId w:val="67"/>
        </w:numPr>
        <w:autoSpaceDE w:val="0"/>
        <w:autoSpaceDN w:val="0"/>
        <w:adjustRightInd w:val="0"/>
        <w:snapToGrid w:val="0"/>
        <w:spacing w:line="360" w:lineRule="auto"/>
        <w:ind w:left="420" w:leftChars="200" w:firstLineChars="0"/>
        <w:rPr>
          <w:rFonts w:hAnsi="宋体" w:cs="宋体"/>
          <w:kern w:val="2"/>
          <w:szCs w:val="21"/>
        </w:rPr>
      </w:pPr>
      <w:r>
        <w:rPr>
          <w:rFonts w:hint="eastAsia" w:hAnsi="宋体" w:cs="宋体"/>
          <w:kern w:val="2"/>
          <w:szCs w:val="21"/>
        </w:rPr>
        <w:t>设备装箱清单</w:t>
      </w:r>
    </w:p>
    <w:p w14:paraId="7649A528">
      <w:pPr>
        <w:spacing w:line="360" w:lineRule="auto"/>
        <w:ind w:firstLine="420" w:firstLineChars="200"/>
        <w:rPr>
          <w:rFonts w:ascii="宋体" w:hAnsi="宋体" w:cs="宋体"/>
        </w:rPr>
      </w:pPr>
      <w:bookmarkStart w:id="548" w:name="_Toc245435319"/>
      <w:bookmarkStart w:id="549" w:name="_Toc245398411"/>
      <w:bookmarkStart w:id="550" w:name="_Toc276714506"/>
      <w:r>
        <w:rPr>
          <w:rFonts w:hint="eastAsia" w:ascii="宋体" w:hAnsi="宋体" w:cs="宋体"/>
        </w:rPr>
        <w:t>投标方负责在合同签字生效后2周完成现场工程勘察，在设计联络会后1周内提交最终设计文件和全部图纸（电子化CAD图纸）。</w:t>
      </w:r>
      <w:bookmarkEnd w:id="548"/>
      <w:bookmarkEnd w:id="549"/>
      <w:bookmarkEnd w:id="550"/>
    </w:p>
    <w:p w14:paraId="7FB3EE0A">
      <w:pPr>
        <w:pStyle w:val="3"/>
        <w:rPr>
          <w:rFonts w:ascii="宋体" w:hAnsi="宋体" w:cs="宋体"/>
        </w:rPr>
      </w:pPr>
      <w:bookmarkStart w:id="551" w:name="_Toc283011676"/>
      <w:bookmarkStart w:id="552" w:name="_Toc277686885"/>
      <w:bookmarkStart w:id="553" w:name="_Toc383157046"/>
      <w:bookmarkStart w:id="554" w:name="_Toc384341032"/>
      <w:bookmarkStart w:id="555" w:name="_Toc5897"/>
      <w:bookmarkStart w:id="556" w:name="_Toc514407972"/>
      <w:bookmarkStart w:id="557" w:name="_Toc97405546"/>
      <w:bookmarkStart w:id="558" w:name="_Toc282428316"/>
      <w:bookmarkStart w:id="559" w:name="_Toc14589"/>
      <w:bookmarkStart w:id="560" w:name="_Toc283142582"/>
      <w:bookmarkStart w:id="561" w:name="_Toc25365"/>
      <w:bookmarkStart w:id="562" w:name="_Toc282433724"/>
      <w:r>
        <w:rPr>
          <w:rFonts w:hint="eastAsia" w:ascii="宋体" w:hAnsi="宋体" w:cs="宋体"/>
        </w:rPr>
        <w:t>设计联络</w:t>
      </w:r>
      <w:bookmarkEnd w:id="551"/>
      <w:bookmarkEnd w:id="552"/>
      <w:bookmarkEnd w:id="553"/>
      <w:bookmarkEnd w:id="554"/>
      <w:bookmarkEnd w:id="555"/>
      <w:bookmarkEnd w:id="556"/>
      <w:bookmarkEnd w:id="557"/>
      <w:bookmarkEnd w:id="558"/>
      <w:bookmarkEnd w:id="559"/>
      <w:bookmarkEnd w:id="560"/>
      <w:bookmarkEnd w:id="561"/>
      <w:bookmarkEnd w:id="562"/>
    </w:p>
    <w:p w14:paraId="295BED6A">
      <w:pPr>
        <w:numPr>
          <w:ilvl w:val="0"/>
          <w:numId w:val="68"/>
        </w:numPr>
        <w:spacing w:line="360" w:lineRule="auto"/>
        <w:ind w:left="420" w:leftChars="200"/>
        <w:rPr>
          <w:rFonts w:ascii="宋体" w:hAnsi="宋体" w:cs="宋体"/>
        </w:rPr>
      </w:pPr>
      <w:r>
        <w:rPr>
          <w:rFonts w:hint="eastAsia" w:ascii="宋体" w:hAnsi="宋体" w:cs="宋体"/>
        </w:rPr>
        <w:t>供方应按设计需要随时开展设计联络工作，提供设计所需的相关资料，以保证需方工期要求。</w:t>
      </w:r>
    </w:p>
    <w:p w14:paraId="60DAEF0B">
      <w:pPr>
        <w:numPr>
          <w:ilvl w:val="0"/>
          <w:numId w:val="68"/>
        </w:numPr>
        <w:spacing w:line="360" w:lineRule="auto"/>
        <w:ind w:left="420" w:leftChars="200"/>
        <w:rPr>
          <w:rFonts w:ascii="宋体" w:hAnsi="宋体" w:cs="宋体"/>
        </w:rPr>
      </w:pPr>
      <w:r>
        <w:rPr>
          <w:rFonts w:hint="eastAsia" w:ascii="宋体" w:hAnsi="宋体" w:cs="宋体"/>
        </w:rPr>
        <w:t>供方提供的图纸必须经需方代表确认。</w:t>
      </w:r>
    </w:p>
    <w:p w14:paraId="35B419C1">
      <w:pPr>
        <w:pStyle w:val="2"/>
        <w:rPr>
          <w:rFonts w:ascii="宋体" w:hAnsi="宋体" w:cs="宋体"/>
        </w:rPr>
      </w:pPr>
      <w:bookmarkStart w:id="563" w:name="_Toc276490917"/>
      <w:bookmarkStart w:id="564" w:name="_Toc276492435"/>
      <w:bookmarkStart w:id="565" w:name="_Toc279695207"/>
      <w:bookmarkStart w:id="566" w:name="_Toc17307"/>
      <w:bookmarkStart w:id="567" w:name="_Toc282993359"/>
      <w:bookmarkStart w:id="568" w:name="_Toc282433758"/>
      <w:bookmarkStart w:id="569" w:name="_Toc337"/>
      <w:bookmarkStart w:id="570" w:name="_Toc384341033"/>
      <w:bookmarkStart w:id="571" w:name="_Toc514407973"/>
      <w:bookmarkStart w:id="572" w:name="_Toc97405547"/>
      <w:bookmarkStart w:id="573" w:name="_Toc1564498416"/>
      <w:bookmarkStart w:id="574" w:name="_Toc3804"/>
      <w:r>
        <w:rPr>
          <w:rFonts w:hint="eastAsia" w:ascii="宋体" w:hAnsi="宋体" w:cs="宋体"/>
        </w:rPr>
        <w:t>包装、储存、运输、安装</w:t>
      </w:r>
      <w:bookmarkEnd w:id="563"/>
      <w:bookmarkEnd w:id="564"/>
      <w:bookmarkEnd w:id="565"/>
      <w:r>
        <w:rPr>
          <w:rFonts w:hint="eastAsia" w:ascii="宋体" w:hAnsi="宋体" w:cs="宋体"/>
        </w:rPr>
        <w:t>及质量保证</w:t>
      </w:r>
      <w:bookmarkEnd w:id="566"/>
      <w:bookmarkEnd w:id="567"/>
      <w:bookmarkEnd w:id="568"/>
      <w:bookmarkEnd w:id="569"/>
      <w:bookmarkEnd w:id="570"/>
      <w:bookmarkEnd w:id="571"/>
      <w:bookmarkEnd w:id="572"/>
      <w:bookmarkEnd w:id="573"/>
      <w:bookmarkEnd w:id="574"/>
    </w:p>
    <w:p w14:paraId="7223AEFF">
      <w:pPr>
        <w:numPr>
          <w:ilvl w:val="0"/>
          <w:numId w:val="69"/>
        </w:numPr>
        <w:spacing w:line="360" w:lineRule="auto"/>
        <w:ind w:left="420" w:leftChars="200"/>
        <w:rPr>
          <w:rFonts w:ascii="宋体" w:hAnsi="宋体" w:cs="宋体"/>
        </w:rPr>
      </w:pPr>
      <w:bookmarkStart w:id="575" w:name="_Toc245398401"/>
      <w:bookmarkStart w:id="576" w:name="_Toc276714496"/>
      <w:bookmarkStart w:id="577" w:name="_Toc245435309"/>
      <w:r>
        <w:rPr>
          <w:rFonts w:hint="eastAsia" w:ascii="宋体" w:hAnsi="宋体" w:cs="宋体"/>
        </w:rPr>
        <w:t>设备制造完成并通过试验后应及时包装，否则应得到切实的保护，确保其不受污损。</w:t>
      </w:r>
      <w:bookmarkEnd w:id="575"/>
      <w:bookmarkEnd w:id="576"/>
      <w:bookmarkEnd w:id="577"/>
    </w:p>
    <w:p w14:paraId="6E14BAE1">
      <w:pPr>
        <w:numPr>
          <w:ilvl w:val="0"/>
          <w:numId w:val="69"/>
        </w:numPr>
        <w:spacing w:line="360" w:lineRule="auto"/>
        <w:ind w:left="420" w:leftChars="200"/>
        <w:rPr>
          <w:rFonts w:ascii="宋体" w:hAnsi="宋体" w:cs="宋体"/>
        </w:rPr>
      </w:pPr>
      <w:bookmarkStart w:id="578" w:name="_Toc276714497"/>
      <w:bookmarkStart w:id="579" w:name="_Toc245398402"/>
      <w:bookmarkStart w:id="580" w:name="_Toc245435310"/>
      <w:r>
        <w:rPr>
          <w:rFonts w:hint="eastAsia" w:ascii="宋体" w:hAnsi="宋体" w:cs="宋体"/>
        </w:rPr>
        <w:t>所有部件经妥善包装或装箱后，运输过程中尚应采取其它防护措施，以免散失损坏或被盗。</w:t>
      </w:r>
      <w:bookmarkEnd w:id="578"/>
      <w:bookmarkEnd w:id="579"/>
      <w:bookmarkEnd w:id="580"/>
    </w:p>
    <w:p w14:paraId="110052A3">
      <w:pPr>
        <w:numPr>
          <w:ilvl w:val="0"/>
          <w:numId w:val="69"/>
        </w:numPr>
        <w:spacing w:line="360" w:lineRule="auto"/>
        <w:ind w:left="420" w:leftChars="200"/>
        <w:rPr>
          <w:rFonts w:ascii="宋体" w:hAnsi="宋体" w:cs="宋体"/>
        </w:rPr>
      </w:pPr>
      <w:bookmarkStart w:id="581" w:name="_Toc245435311"/>
      <w:bookmarkStart w:id="582" w:name="_Toc276714498"/>
      <w:bookmarkStart w:id="583" w:name="_Toc245398403"/>
      <w:r>
        <w:rPr>
          <w:rFonts w:hint="eastAsia" w:ascii="宋体" w:hAnsi="宋体" w:cs="宋体"/>
        </w:rPr>
        <w:t>在包装箱外应标明需方的订货号、发货号。</w:t>
      </w:r>
      <w:bookmarkEnd w:id="581"/>
      <w:bookmarkEnd w:id="582"/>
      <w:bookmarkEnd w:id="583"/>
    </w:p>
    <w:p w14:paraId="6F7F0579">
      <w:pPr>
        <w:numPr>
          <w:ilvl w:val="0"/>
          <w:numId w:val="69"/>
        </w:numPr>
        <w:spacing w:line="360" w:lineRule="auto"/>
        <w:ind w:left="420" w:leftChars="200"/>
        <w:rPr>
          <w:rFonts w:ascii="宋体" w:hAnsi="宋体" w:cs="宋体"/>
        </w:rPr>
      </w:pPr>
      <w:bookmarkStart w:id="584" w:name="_Toc245398404"/>
      <w:bookmarkStart w:id="585" w:name="_Toc276714499"/>
      <w:bookmarkStart w:id="586" w:name="_Toc245435312"/>
      <w:r>
        <w:rPr>
          <w:rFonts w:hint="eastAsia" w:ascii="宋体" w:hAnsi="宋体" w:cs="宋体"/>
        </w:rPr>
        <w:t>各种包装应能确保各零部件在运输过程中不致遭到损坏、丢失、变形、受潮和腐蚀。</w:t>
      </w:r>
      <w:bookmarkEnd w:id="584"/>
      <w:bookmarkEnd w:id="585"/>
      <w:bookmarkEnd w:id="586"/>
    </w:p>
    <w:p w14:paraId="270F69B2">
      <w:pPr>
        <w:numPr>
          <w:ilvl w:val="0"/>
          <w:numId w:val="69"/>
        </w:numPr>
        <w:spacing w:line="360" w:lineRule="auto"/>
        <w:ind w:left="420" w:leftChars="200"/>
        <w:rPr>
          <w:rFonts w:ascii="宋体" w:hAnsi="宋体" w:cs="宋体"/>
        </w:rPr>
      </w:pPr>
      <w:bookmarkStart w:id="587" w:name="_Toc245398405"/>
      <w:bookmarkStart w:id="588" w:name="_Toc245435313"/>
      <w:bookmarkStart w:id="589" w:name="_Toc276714500"/>
      <w:r>
        <w:rPr>
          <w:rFonts w:hint="eastAsia" w:ascii="宋体" w:hAnsi="宋体" w:cs="宋体"/>
        </w:rPr>
        <w:t>包装箱上应有明显的包装储运图示标志(按GB191)。</w:t>
      </w:r>
      <w:bookmarkEnd w:id="587"/>
      <w:bookmarkEnd w:id="588"/>
      <w:bookmarkEnd w:id="589"/>
    </w:p>
    <w:p w14:paraId="289E882F">
      <w:pPr>
        <w:numPr>
          <w:ilvl w:val="0"/>
          <w:numId w:val="69"/>
        </w:numPr>
        <w:spacing w:line="360" w:lineRule="auto"/>
        <w:ind w:left="420" w:leftChars="200"/>
        <w:rPr>
          <w:rFonts w:ascii="宋体" w:hAnsi="宋体" w:cs="宋体"/>
        </w:rPr>
      </w:pPr>
      <w:bookmarkStart w:id="590" w:name="_Toc245398406"/>
      <w:bookmarkStart w:id="591" w:name="_Toc276714501"/>
      <w:bookmarkStart w:id="592" w:name="_Toc245435314"/>
      <w:r>
        <w:rPr>
          <w:rFonts w:hint="eastAsia" w:ascii="宋体" w:hAnsi="宋体" w:cs="宋体"/>
        </w:rPr>
        <w:t>整体产品或分别运输的部件都要适合运输和装载的要求。</w:t>
      </w:r>
      <w:bookmarkEnd w:id="590"/>
      <w:bookmarkEnd w:id="591"/>
      <w:bookmarkEnd w:id="592"/>
    </w:p>
    <w:p w14:paraId="71331C4C">
      <w:pPr>
        <w:numPr>
          <w:ilvl w:val="0"/>
          <w:numId w:val="69"/>
        </w:numPr>
        <w:spacing w:line="360" w:lineRule="auto"/>
        <w:ind w:left="420" w:leftChars="200"/>
        <w:rPr>
          <w:rFonts w:ascii="宋体" w:hAnsi="宋体" w:cs="宋体"/>
        </w:rPr>
      </w:pPr>
      <w:bookmarkStart w:id="593" w:name="_Toc245435315"/>
      <w:bookmarkStart w:id="594" w:name="_Toc276714502"/>
      <w:bookmarkStart w:id="595" w:name="_Toc245398407"/>
      <w:r>
        <w:rPr>
          <w:rFonts w:hint="eastAsia" w:ascii="宋体" w:hAnsi="宋体" w:cs="宋体"/>
        </w:rPr>
        <w:t>随产品提供的技术资料应完整无缺，提供份额符合GB11032的要求。</w:t>
      </w:r>
      <w:bookmarkEnd w:id="593"/>
      <w:bookmarkEnd w:id="594"/>
      <w:bookmarkEnd w:id="595"/>
    </w:p>
    <w:p w14:paraId="2C739325">
      <w:pPr>
        <w:numPr>
          <w:ilvl w:val="0"/>
          <w:numId w:val="69"/>
        </w:numPr>
        <w:spacing w:line="360" w:lineRule="auto"/>
        <w:ind w:left="420" w:leftChars="200"/>
        <w:rPr>
          <w:rFonts w:ascii="宋体" w:hAnsi="宋体" w:cs="宋体"/>
        </w:rPr>
      </w:pPr>
      <w:bookmarkStart w:id="596" w:name="_Toc245398408"/>
      <w:bookmarkStart w:id="597" w:name="_Toc276714503"/>
      <w:bookmarkStart w:id="598" w:name="_Toc245435316"/>
      <w:r>
        <w:rPr>
          <w:rFonts w:hint="eastAsia" w:ascii="宋体" w:hAnsi="宋体" w:cs="宋体"/>
        </w:rPr>
        <w:t>包装、运输和贮存均由投标方负责，运输的目的地为安装地点，设备抵达目的地后，投标方组织开箱验收。如果发现任一设备有偏差、损坏、损失、遗漏或数量、质量、技术规范因投标方的责任与合同不符，招标方有权向投标方提出索赔。</w:t>
      </w:r>
      <w:bookmarkEnd w:id="596"/>
      <w:bookmarkEnd w:id="597"/>
      <w:bookmarkEnd w:id="598"/>
    </w:p>
    <w:p w14:paraId="1FA7026B">
      <w:pPr>
        <w:numPr>
          <w:ilvl w:val="0"/>
          <w:numId w:val="69"/>
        </w:numPr>
        <w:spacing w:line="360" w:lineRule="auto"/>
        <w:ind w:left="420" w:leftChars="200"/>
        <w:rPr>
          <w:rFonts w:ascii="宋体" w:hAnsi="宋体" w:cs="宋体"/>
        </w:rPr>
      </w:pPr>
      <w:r>
        <w:rPr>
          <w:rFonts w:hint="eastAsia" w:ascii="宋体" w:hAnsi="宋体" w:cs="宋体"/>
        </w:rPr>
        <w:t>订购的新产品除应满足本条件书外，投标方还应提供产品的鉴定证书。</w:t>
      </w:r>
    </w:p>
    <w:p w14:paraId="3030C6D2">
      <w:pPr>
        <w:numPr>
          <w:ilvl w:val="0"/>
          <w:numId w:val="69"/>
        </w:numPr>
        <w:spacing w:line="360" w:lineRule="auto"/>
        <w:ind w:left="420" w:leftChars="200"/>
        <w:rPr>
          <w:rFonts w:ascii="宋体" w:hAnsi="宋体" w:cs="宋体"/>
        </w:rPr>
      </w:pPr>
      <w:r>
        <w:rPr>
          <w:rFonts w:hint="eastAsia" w:ascii="宋体" w:hAnsi="宋体" w:cs="宋体"/>
        </w:rPr>
        <w:t>投标方应保证制造过程中的所有工艺、材料等（包括投标方的外构件在内）均应符合规范书的规定。若招标方根据运行经验指定投标方提供某种外购零部件，投标方应积极配合。</w:t>
      </w:r>
    </w:p>
    <w:p w14:paraId="112016CC">
      <w:pPr>
        <w:numPr>
          <w:ilvl w:val="0"/>
          <w:numId w:val="69"/>
        </w:numPr>
        <w:spacing w:line="360" w:lineRule="auto"/>
        <w:ind w:left="420" w:leftChars="200"/>
        <w:rPr>
          <w:rFonts w:ascii="宋体" w:hAnsi="宋体" w:cs="宋体"/>
        </w:rPr>
      </w:pPr>
      <w:r>
        <w:rPr>
          <w:rFonts w:hint="eastAsia" w:ascii="宋体" w:hAnsi="宋体" w:cs="宋体"/>
        </w:rPr>
        <w:t>投标方应遵守本条件书中各条款和工作项目的ISO9000  GB/T1900 质量保证体系，该质量保证体系经过国家认证和正常运转。</w:t>
      </w:r>
    </w:p>
    <w:p w14:paraId="3FE21736">
      <w:pPr>
        <w:numPr>
          <w:ilvl w:val="0"/>
          <w:numId w:val="69"/>
        </w:numPr>
        <w:ind w:left="420" w:leftChars="200"/>
        <w:rPr>
          <w:rFonts w:ascii="宋体" w:hAnsi="宋体" w:cs="宋体"/>
        </w:rPr>
      </w:pPr>
      <w:r>
        <w:rPr>
          <w:rFonts w:hint="eastAsia" w:ascii="宋体" w:hAnsi="宋体" w:cs="宋体"/>
        </w:rPr>
        <w:t>在质保期内由于制造质量问题，应由投标方负责免费更换及承担所产生的所有费用。</w:t>
      </w:r>
    </w:p>
    <w:p w14:paraId="7274B7B9">
      <w:pPr>
        <w:rPr>
          <w:rFonts w:ascii="宋体" w:hAnsi="宋体" w:cs="宋体"/>
        </w:rPr>
      </w:pPr>
      <w:r>
        <w:rPr>
          <w:rFonts w:hint="eastAsia" w:ascii="宋体" w:hAnsi="宋体" w:cs="宋体"/>
        </w:rPr>
        <w:br w:type="page"/>
      </w:r>
    </w:p>
    <w:p w14:paraId="57A4FDCB">
      <w:pPr>
        <w:jc w:val="center"/>
        <w:outlineLvl w:val="0"/>
        <w:rPr>
          <w:rFonts w:ascii="宋体" w:hAnsi="宋体" w:cs="宋体"/>
          <w:bCs/>
          <w:szCs w:val="21"/>
        </w:rPr>
      </w:pPr>
      <w:bookmarkStart w:id="599" w:name="_Toc22908"/>
      <w:bookmarkStart w:id="600" w:name="_Toc97405523"/>
      <w:bookmarkStart w:id="601" w:name="_Toc2142279649"/>
      <w:bookmarkStart w:id="602" w:name="_Toc6483"/>
      <w:bookmarkStart w:id="603" w:name="_Toc3001"/>
      <w:bookmarkStart w:id="604" w:name="_Toc10361"/>
      <w:r>
        <w:rPr>
          <w:rStyle w:val="110"/>
          <w:rFonts w:hint="eastAsia" w:ascii="宋体" w:hAnsi="宋体" w:cs="宋体"/>
          <w:sz w:val="24"/>
          <w:szCs w:val="21"/>
        </w:rPr>
        <w:t>附录A</w:t>
      </w:r>
      <w:r>
        <w:rPr>
          <w:rStyle w:val="110"/>
          <w:rFonts w:hint="eastAsia" w:ascii="宋体" w:hAnsi="宋体" w:cs="宋体"/>
          <w:sz w:val="24"/>
          <w:szCs w:val="21"/>
        </w:rPr>
        <w:br w:type="textWrapping"/>
      </w:r>
      <w:r>
        <w:rPr>
          <w:rStyle w:val="110"/>
          <w:rFonts w:hint="eastAsia" w:ascii="宋体" w:hAnsi="宋体" w:cs="宋体"/>
          <w:sz w:val="24"/>
          <w:szCs w:val="21"/>
        </w:rPr>
        <w:t>（规范性附录）</w:t>
      </w:r>
      <w:r>
        <w:rPr>
          <w:rStyle w:val="110"/>
          <w:rFonts w:hint="eastAsia" w:ascii="宋体" w:hAnsi="宋体" w:cs="宋体"/>
          <w:sz w:val="24"/>
          <w:szCs w:val="21"/>
        </w:rPr>
        <w:br w:type="textWrapping"/>
      </w:r>
      <w:bookmarkEnd w:id="599"/>
      <w:r>
        <w:rPr>
          <w:rStyle w:val="110"/>
          <w:rFonts w:hint="eastAsia" w:ascii="宋体" w:hAnsi="宋体" w:cs="宋体"/>
          <w:sz w:val="24"/>
          <w:szCs w:val="21"/>
        </w:rPr>
        <w:t>蓄电池远程核容监控信息表</w:t>
      </w:r>
      <w:bookmarkEnd w:id="600"/>
      <w:bookmarkEnd w:id="601"/>
      <w:bookmarkEnd w:id="602"/>
      <w:bookmarkEnd w:id="603"/>
      <w:bookmarkEnd w:id="604"/>
    </w:p>
    <w:p w14:paraId="20DCE219">
      <w:pPr>
        <w:jc w:val="center"/>
        <w:rPr>
          <w:rFonts w:ascii="宋体" w:hAnsi="宋体" w:cs="宋体"/>
          <w:bCs/>
        </w:rPr>
      </w:pPr>
      <w:r>
        <w:rPr>
          <w:rFonts w:hint="eastAsia" w:ascii="宋体" w:hAnsi="宋体" w:cs="宋体"/>
          <w:bCs/>
          <w:szCs w:val="21"/>
        </w:rPr>
        <w:t>表1  蓄电池远程核容监控遥测量信息表</w:t>
      </w:r>
    </w:p>
    <w:tbl>
      <w:tblPr>
        <w:tblStyle w:val="8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1"/>
        <w:gridCol w:w="3480"/>
        <w:gridCol w:w="2235"/>
        <w:gridCol w:w="3315"/>
      </w:tblGrid>
      <w:tr w14:paraId="0EC4A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561" w:type="dxa"/>
            <w:vAlign w:val="center"/>
          </w:tcPr>
          <w:p w14:paraId="55FFC036">
            <w:pPr>
              <w:snapToGrid w:val="0"/>
              <w:jc w:val="center"/>
              <w:rPr>
                <w:rFonts w:ascii="宋体" w:hAnsi="宋体" w:cs="宋体"/>
                <w:bCs/>
                <w:sz w:val="18"/>
                <w:szCs w:val="18"/>
              </w:rPr>
            </w:pPr>
            <w:r>
              <w:rPr>
                <w:rFonts w:hint="eastAsia" w:ascii="宋体" w:hAnsi="宋体" w:cs="宋体"/>
                <w:bCs/>
                <w:sz w:val="18"/>
                <w:szCs w:val="18"/>
              </w:rPr>
              <w:t>序号</w:t>
            </w:r>
          </w:p>
        </w:tc>
        <w:tc>
          <w:tcPr>
            <w:tcW w:w="3480" w:type="dxa"/>
            <w:vAlign w:val="center"/>
          </w:tcPr>
          <w:p w14:paraId="29AC9A79">
            <w:pPr>
              <w:snapToGrid w:val="0"/>
              <w:jc w:val="center"/>
              <w:rPr>
                <w:rFonts w:ascii="宋体" w:hAnsi="宋体" w:cs="宋体"/>
                <w:bCs/>
                <w:sz w:val="18"/>
                <w:szCs w:val="18"/>
              </w:rPr>
            </w:pPr>
            <w:r>
              <w:rPr>
                <w:rFonts w:hint="eastAsia" w:ascii="宋体" w:hAnsi="宋体" w:cs="宋体"/>
                <w:bCs/>
                <w:sz w:val="18"/>
                <w:szCs w:val="18"/>
              </w:rPr>
              <w:t>监控名称</w:t>
            </w:r>
          </w:p>
        </w:tc>
        <w:tc>
          <w:tcPr>
            <w:tcW w:w="2235" w:type="dxa"/>
            <w:vAlign w:val="center"/>
          </w:tcPr>
          <w:p w14:paraId="77BD8515">
            <w:pPr>
              <w:snapToGrid w:val="0"/>
              <w:jc w:val="center"/>
              <w:rPr>
                <w:rFonts w:ascii="宋体" w:hAnsi="宋体" w:cs="宋体"/>
                <w:bCs/>
                <w:sz w:val="18"/>
                <w:szCs w:val="18"/>
              </w:rPr>
            </w:pPr>
            <w:r>
              <w:rPr>
                <w:rFonts w:hint="eastAsia" w:ascii="宋体" w:hAnsi="宋体" w:cs="宋体"/>
                <w:bCs/>
                <w:sz w:val="18"/>
                <w:szCs w:val="18"/>
              </w:rPr>
              <w:t>采集量</w:t>
            </w:r>
          </w:p>
        </w:tc>
        <w:tc>
          <w:tcPr>
            <w:tcW w:w="3315" w:type="dxa"/>
            <w:vAlign w:val="center"/>
          </w:tcPr>
          <w:p w14:paraId="3971F1B5">
            <w:pPr>
              <w:snapToGrid w:val="0"/>
              <w:jc w:val="center"/>
              <w:rPr>
                <w:rFonts w:ascii="宋体" w:hAnsi="宋体" w:cs="宋体"/>
                <w:bCs/>
                <w:sz w:val="18"/>
                <w:szCs w:val="18"/>
              </w:rPr>
            </w:pPr>
            <w:r>
              <w:rPr>
                <w:rFonts w:hint="eastAsia" w:ascii="宋体" w:hAnsi="宋体" w:cs="宋体"/>
                <w:bCs/>
                <w:sz w:val="18"/>
                <w:szCs w:val="18"/>
              </w:rPr>
              <w:t>逻辑名称</w:t>
            </w:r>
          </w:p>
        </w:tc>
      </w:tr>
      <w:tr w14:paraId="04E13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trPr>
        <w:tc>
          <w:tcPr>
            <w:tcW w:w="561" w:type="dxa"/>
            <w:vAlign w:val="center"/>
          </w:tcPr>
          <w:p w14:paraId="1CD17041">
            <w:pPr>
              <w:jc w:val="center"/>
              <w:rPr>
                <w:rFonts w:ascii="宋体" w:hAnsi="宋体" w:cs="宋体"/>
                <w:bCs/>
                <w:sz w:val="18"/>
                <w:szCs w:val="18"/>
              </w:rPr>
            </w:pPr>
            <w:r>
              <w:rPr>
                <w:rFonts w:hint="eastAsia" w:ascii="宋体" w:hAnsi="宋体" w:cs="宋体"/>
                <w:bCs/>
                <w:sz w:val="18"/>
                <w:szCs w:val="18"/>
              </w:rPr>
              <w:t>1</w:t>
            </w:r>
          </w:p>
        </w:tc>
        <w:tc>
          <w:tcPr>
            <w:tcW w:w="3480" w:type="dxa"/>
            <w:vAlign w:val="center"/>
          </w:tcPr>
          <w:p w14:paraId="268D88D3">
            <w:pPr>
              <w:jc w:val="center"/>
              <w:rPr>
                <w:rFonts w:ascii="宋体" w:hAnsi="宋体" w:cs="宋体"/>
                <w:bCs/>
                <w:sz w:val="18"/>
                <w:szCs w:val="18"/>
              </w:rPr>
            </w:pPr>
            <w:r>
              <w:rPr>
                <w:rFonts w:hint="eastAsia" w:ascii="宋体" w:hAnsi="宋体" w:cs="宋体"/>
                <w:bCs/>
                <w:sz w:val="18"/>
                <w:szCs w:val="18"/>
              </w:rPr>
              <w:t>第N组电池组电压</w:t>
            </w:r>
          </w:p>
        </w:tc>
        <w:tc>
          <w:tcPr>
            <w:tcW w:w="2235" w:type="dxa"/>
            <w:vAlign w:val="center"/>
          </w:tcPr>
          <w:p w14:paraId="6D12EBAE">
            <w:pPr>
              <w:jc w:val="center"/>
              <w:rPr>
                <w:rFonts w:ascii="宋体" w:hAnsi="宋体" w:cs="宋体"/>
                <w:bCs/>
                <w:sz w:val="18"/>
                <w:szCs w:val="18"/>
              </w:rPr>
            </w:pPr>
            <w:r>
              <w:rPr>
                <w:rFonts w:hint="eastAsia" w:ascii="宋体" w:hAnsi="宋体" w:cs="宋体"/>
                <w:bCs/>
                <w:sz w:val="18"/>
                <w:szCs w:val="18"/>
              </w:rPr>
              <w:t>电压值</w:t>
            </w:r>
          </w:p>
        </w:tc>
        <w:tc>
          <w:tcPr>
            <w:tcW w:w="3315" w:type="dxa"/>
            <w:vAlign w:val="center"/>
          </w:tcPr>
          <w:p w14:paraId="141F74D2">
            <w:pPr>
              <w:jc w:val="center"/>
              <w:rPr>
                <w:rFonts w:ascii="宋体" w:hAnsi="宋体" w:cs="宋体"/>
                <w:bCs/>
                <w:sz w:val="18"/>
                <w:szCs w:val="18"/>
              </w:rPr>
            </w:pPr>
            <w:r>
              <w:rPr>
                <w:rFonts w:hint="eastAsia" w:ascii="宋体" w:hAnsi="宋体" w:cs="宋体"/>
                <w:bCs/>
                <w:sz w:val="18"/>
                <w:szCs w:val="18"/>
              </w:rPr>
              <w:t>BTSE/btgGGIOn$MX$AnIn1</w:t>
            </w:r>
          </w:p>
        </w:tc>
      </w:tr>
      <w:tr w14:paraId="6DDF3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561" w:type="dxa"/>
            <w:vAlign w:val="center"/>
          </w:tcPr>
          <w:p w14:paraId="6896ED0C">
            <w:pPr>
              <w:jc w:val="center"/>
              <w:rPr>
                <w:rFonts w:ascii="宋体" w:hAnsi="宋体" w:cs="宋体"/>
                <w:bCs/>
                <w:sz w:val="18"/>
                <w:szCs w:val="18"/>
              </w:rPr>
            </w:pPr>
            <w:r>
              <w:rPr>
                <w:rFonts w:hint="eastAsia" w:ascii="宋体" w:hAnsi="宋体" w:cs="宋体"/>
                <w:bCs/>
                <w:sz w:val="18"/>
                <w:szCs w:val="18"/>
              </w:rPr>
              <w:t>2</w:t>
            </w:r>
          </w:p>
        </w:tc>
        <w:tc>
          <w:tcPr>
            <w:tcW w:w="3480" w:type="dxa"/>
            <w:vAlign w:val="center"/>
          </w:tcPr>
          <w:p w14:paraId="1F42513B">
            <w:pPr>
              <w:jc w:val="center"/>
              <w:rPr>
                <w:rFonts w:ascii="宋体" w:hAnsi="宋体" w:cs="宋体"/>
                <w:bCs/>
                <w:sz w:val="18"/>
                <w:szCs w:val="18"/>
              </w:rPr>
            </w:pPr>
            <w:r>
              <w:rPr>
                <w:rFonts w:hint="eastAsia" w:ascii="宋体" w:hAnsi="宋体" w:cs="宋体"/>
                <w:bCs/>
                <w:sz w:val="18"/>
                <w:szCs w:val="18"/>
              </w:rPr>
              <w:t>第N组电池组电流</w:t>
            </w:r>
          </w:p>
        </w:tc>
        <w:tc>
          <w:tcPr>
            <w:tcW w:w="2235" w:type="dxa"/>
            <w:vAlign w:val="center"/>
          </w:tcPr>
          <w:p w14:paraId="273A5D1B">
            <w:pPr>
              <w:jc w:val="center"/>
              <w:rPr>
                <w:rFonts w:ascii="宋体" w:hAnsi="宋体" w:cs="宋体"/>
                <w:bCs/>
                <w:sz w:val="18"/>
                <w:szCs w:val="18"/>
              </w:rPr>
            </w:pPr>
            <w:r>
              <w:rPr>
                <w:rFonts w:hint="eastAsia" w:ascii="宋体" w:hAnsi="宋体" w:cs="宋体"/>
                <w:bCs/>
                <w:sz w:val="18"/>
                <w:szCs w:val="18"/>
              </w:rPr>
              <w:t>电流值</w:t>
            </w:r>
          </w:p>
        </w:tc>
        <w:tc>
          <w:tcPr>
            <w:tcW w:w="3315" w:type="dxa"/>
            <w:vAlign w:val="center"/>
          </w:tcPr>
          <w:p w14:paraId="32F0F8A1">
            <w:pPr>
              <w:jc w:val="center"/>
              <w:rPr>
                <w:rFonts w:ascii="宋体" w:hAnsi="宋体" w:cs="宋体"/>
                <w:bCs/>
                <w:sz w:val="18"/>
                <w:szCs w:val="18"/>
              </w:rPr>
            </w:pPr>
            <w:r>
              <w:rPr>
                <w:rFonts w:hint="eastAsia" w:ascii="宋体" w:hAnsi="宋体" w:cs="宋体"/>
                <w:bCs/>
                <w:sz w:val="18"/>
                <w:szCs w:val="18"/>
              </w:rPr>
              <w:t>BTSE/btgGGIOn$MX$AnIn2</w:t>
            </w:r>
          </w:p>
        </w:tc>
      </w:tr>
      <w:tr w14:paraId="4E4E9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561" w:type="dxa"/>
            <w:vAlign w:val="center"/>
          </w:tcPr>
          <w:p w14:paraId="0D944FCC">
            <w:pPr>
              <w:jc w:val="center"/>
              <w:rPr>
                <w:rFonts w:ascii="宋体" w:hAnsi="宋体" w:cs="宋体"/>
                <w:bCs/>
                <w:sz w:val="18"/>
                <w:szCs w:val="18"/>
              </w:rPr>
            </w:pPr>
            <w:r>
              <w:rPr>
                <w:rFonts w:hint="eastAsia" w:ascii="宋体" w:hAnsi="宋体" w:cs="宋体"/>
                <w:bCs/>
                <w:sz w:val="18"/>
                <w:szCs w:val="18"/>
              </w:rPr>
              <w:t>3</w:t>
            </w:r>
          </w:p>
        </w:tc>
        <w:tc>
          <w:tcPr>
            <w:tcW w:w="3480" w:type="dxa"/>
            <w:vAlign w:val="center"/>
          </w:tcPr>
          <w:p w14:paraId="3E623963">
            <w:pPr>
              <w:jc w:val="center"/>
              <w:rPr>
                <w:rFonts w:ascii="宋体" w:hAnsi="宋体" w:cs="宋体"/>
                <w:bCs/>
                <w:sz w:val="18"/>
                <w:szCs w:val="18"/>
              </w:rPr>
            </w:pPr>
            <w:r>
              <w:rPr>
                <w:rFonts w:hint="eastAsia" w:ascii="宋体" w:hAnsi="宋体" w:cs="宋体"/>
                <w:bCs/>
                <w:sz w:val="18"/>
                <w:szCs w:val="18"/>
              </w:rPr>
              <w:t>第N组在线端电压</w:t>
            </w:r>
          </w:p>
        </w:tc>
        <w:tc>
          <w:tcPr>
            <w:tcW w:w="2235" w:type="dxa"/>
            <w:vAlign w:val="center"/>
          </w:tcPr>
          <w:p w14:paraId="15635DB1">
            <w:pPr>
              <w:jc w:val="center"/>
              <w:rPr>
                <w:rFonts w:ascii="宋体" w:hAnsi="宋体" w:cs="宋体"/>
                <w:bCs/>
                <w:sz w:val="18"/>
                <w:szCs w:val="18"/>
              </w:rPr>
            </w:pPr>
            <w:r>
              <w:rPr>
                <w:rFonts w:hint="eastAsia" w:ascii="宋体" w:hAnsi="宋体" w:cs="宋体"/>
                <w:bCs/>
                <w:sz w:val="18"/>
                <w:szCs w:val="18"/>
              </w:rPr>
              <w:t>电压值</w:t>
            </w:r>
          </w:p>
        </w:tc>
        <w:tc>
          <w:tcPr>
            <w:tcW w:w="3315" w:type="dxa"/>
            <w:vAlign w:val="center"/>
          </w:tcPr>
          <w:p w14:paraId="709B0F3D">
            <w:pPr>
              <w:jc w:val="center"/>
              <w:rPr>
                <w:rFonts w:ascii="宋体" w:hAnsi="宋体" w:cs="宋体"/>
                <w:bCs/>
                <w:sz w:val="18"/>
                <w:szCs w:val="18"/>
              </w:rPr>
            </w:pPr>
            <w:r>
              <w:rPr>
                <w:rFonts w:hint="eastAsia" w:ascii="宋体" w:hAnsi="宋体" w:cs="宋体"/>
                <w:bCs/>
                <w:sz w:val="18"/>
                <w:szCs w:val="18"/>
              </w:rPr>
              <w:t>BTSE/btgGGIOn$MX$AnIn3</w:t>
            </w:r>
          </w:p>
        </w:tc>
      </w:tr>
      <w:tr w14:paraId="0681D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61" w:type="dxa"/>
            <w:vAlign w:val="center"/>
          </w:tcPr>
          <w:p w14:paraId="3B6C6730">
            <w:pPr>
              <w:jc w:val="center"/>
              <w:rPr>
                <w:rFonts w:ascii="宋体" w:hAnsi="宋体" w:cs="宋体"/>
                <w:bCs/>
                <w:sz w:val="18"/>
                <w:szCs w:val="18"/>
              </w:rPr>
            </w:pPr>
            <w:r>
              <w:rPr>
                <w:rFonts w:hint="eastAsia" w:ascii="宋体" w:hAnsi="宋体" w:cs="宋体"/>
                <w:bCs/>
                <w:sz w:val="18"/>
                <w:szCs w:val="18"/>
              </w:rPr>
              <w:t>4</w:t>
            </w:r>
          </w:p>
        </w:tc>
        <w:tc>
          <w:tcPr>
            <w:tcW w:w="3480" w:type="dxa"/>
            <w:vAlign w:val="center"/>
          </w:tcPr>
          <w:p w14:paraId="40BFF88E">
            <w:pPr>
              <w:jc w:val="center"/>
              <w:rPr>
                <w:rFonts w:ascii="宋体" w:hAnsi="宋体" w:cs="宋体"/>
                <w:bCs/>
                <w:sz w:val="18"/>
                <w:szCs w:val="18"/>
              </w:rPr>
            </w:pPr>
            <w:r>
              <w:rPr>
                <w:rFonts w:hint="eastAsia" w:ascii="宋体" w:hAnsi="宋体" w:cs="宋体"/>
                <w:bCs/>
                <w:sz w:val="18"/>
                <w:szCs w:val="18"/>
              </w:rPr>
              <w:t>第N组电池组第M节单体电池电压值</w:t>
            </w:r>
          </w:p>
        </w:tc>
        <w:tc>
          <w:tcPr>
            <w:tcW w:w="2235" w:type="dxa"/>
            <w:vAlign w:val="center"/>
          </w:tcPr>
          <w:p w14:paraId="7183B3A6">
            <w:pPr>
              <w:jc w:val="center"/>
              <w:rPr>
                <w:rFonts w:ascii="宋体" w:hAnsi="宋体" w:cs="宋体"/>
                <w:bCs/>
                <w:sz w:val="18"/>
                <w:szCs w:val="18"/>
              </w:rPr>
            </w:pPr>
            <w:r>
              <w:rPr>
                <w:rFonts w:hint="eastAsia" w:ascii="宋体" w:hAnsi="宋体" w:cs="宋体"/>
                <w:bCs/>
                <w:sz w:val="18"/>
                <w:szCs w:val="18"/>
              </w:rPr>
              <w:t>电压值</w:t>
            </w:r>
          </w:p>
        </w:tc>
        <w:tc>
          <w:tcPr>
            <w:tcW w:w="3315" w:type="dxa"/>
            <w:vAlign w:val="center"/>
          </w:tcPr>
          <w:p w14:paraId="27B3E692">
            <w:pPr>
              <w:jc w:val="center"/>
              <w:rPr>
                <w:rFonts w:ascii="宋体" w:hAnsi="宋体" w:cs="宋体"/>
                <w:bCs/>
                <w:sz w:val="18"/>
                <w:szCs w:val="18"/>
              </w:rPr>
            </w:pPr>
            <w:r>
              <w:rPr>
                <w:rFonts w:hint="eastAsia" w:ascii="宋体" w:hAnsi="宋体" w:cs="宋体"/>
                <w:bCs/>
                <w:sz w:val="18"/>
                <w:szCs w:val="18"/>
              </w:rPr>
              <w:t>BTSE/celGGIOn$MX$AnInM</w:t>
            </w:r>
          </w:p>
        </w:tc>
      </w:tr>
      <w:tr w14:paraId="44BF3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trPr>
        <w:tc>
          <w:tcPr>
            <w:tcW w:w="561" w:type="dxa"/>
            <w:vAlign w:val="center"/>
          </w:tcPr>
          <w:p w14:paraId="7D90BAE1">
            <w:pPr>
              <w:jc w:val="center"/>
              <w:rPr>
                <w:rFonts w:ascii="宋体" w:hAnsi="宋体" w:cs="宋体"/>
                <w:bCs/>
                <w:sz w:val="18"/>
                <w:szCs w:val="18"/>
              </w:rPr>
            </w:pPr>
            <w:r>
              <w:rPr>
                <w:rFonts w:hint="eastAsia" w:ascii="宋体" w:hAnsi="宋体" w:cs="宋体"/>
                <w:bCs/>
                <w:sz w:val="18"/>
                <w:szCs w:val="18"/>
              </w:rPr>
              <w:t>5</w:t>
            </w:r>
          </w:p>
        </w:tc>
        <w:tc>
          <w:tcPr>
            <w:tcW w:w="3480" w:type="dxa"/>
            <w:vAlign w:val="center"/>
          </w:tcPr>
          <w:p w14:paraId="4A90AA0A">
            <w:pPr>
              <w:jc w:val="center"/>
              <w:rPr>
                <w:rFonts w:ascii="宋体" w:hAnsi="宋体" w:cs="宋体"/>
                <w:bCs/>
                <w:sz w:val="18"/>
                <w:szCs w:val="18"/>
              </w:rPr>
            </w:pPr>
            <w:r>
              <w:rPr>
                <w:rFonts w:hint="eastAsia" w:ascii="宋体" w:hAnsi="宋体" w:cs="宋体"/>
                <w:bCs/>
                <w:sz w:val="18"/>
                <w:szCs w:val="18"/>
              </w:rPr>
              <w:t>第N组电池组第M节单体电池内阻值</w:t>
            </w:r>
          </w:p>
        </w:tc>
        <w:tc>
          <w:tcPr>
            <w:tcW w:w="2235" w:type="dxa"/>
            <w:vAlign w:val="center"/>
          </w:tcPr>
          <w:p w14:paraId="61A4EEB0">
            <w:pPr>
              <w:jc w:val="center"/>
              <w:rPr>
                <w:rFonts w:ascii="宋体" w:hAnsi="宋体" w:cs="宋体"/>
                <w:bCs/>
                <w:sz w:val="18"/>
                <w:szCs w:val="18"/>
              </w:rPr>
            </w:pPr>
            <w:r>
              <w:rPr>
                <w:rFonts w:hint="eastAsia" w:ascii="宋体" w:hAnsi="宋体" w:cs="宋体"/>
                <w:bCs/>
                <w:sz w:val="18"/>
                <w:szCs w:val="18"/>
              </w:rPr>
              <w:t>电阻值</w:t>
            </w:r>
          </w:p>
        </w:tc>
        <w:tc>
          <w:tcPr>
            <w:tcW w:w="3315" w:type="dxa"/>
            <w:vAlign w:val="center"/>
          </w:tcPr>
          <w:p w14:paraId="701029D1">
            <w:pPr>
              <w:jc w:val="center"/>
              <w:rPr>
                <w:rFonts w:ascii="宋体" w:hAnsi="宋体" w:cs="宋体"/>
                <w:bCs/>
                <w:sz w:val="18"/>
                <w:szCs w:val="18"/>
              </w:rPr>
            </w:pPr>
            <w:r>
              <w:rPr>
                <w:rFonts w:hint="eastAsia" w:ascii="宋体" w:hAnsi="宋体" w:cs="宋体"/>
                <w:bCs/>
                <w:sz w:val="18"/>
                <w:szCs w:val="18"/>
              </w:rPr>
              <w:t>BTSE/celGGIOn$MX$AnIn24+M</w:t>
            </w:r>
          </w:p>
        </w:tc>
      </w:tr>
      <w:tr w14:paraId="7202B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561" w:type="dxa"/>
            <w:vAlign w:val="center"/>
          </w:tcPr>
          <w:p w14:paraId="709E34C2">
            <w:pPr>
              <w:jc w:val="center"/>
              <w:rPr>
                <w:rFonts w:ascii="宋体" w:hAnsi="宋体" w:cs="宋体"/>
                <w:bCs/>
                <w:sz w:val="18"/>
                <w:szCs w:val="18"/>
              </w:rPr>
            </w:pPr>
            <w:r>
              <w:rPr>
                <w:rFonts w:hint="eastAsia" w:ascii="宋体" w:hAnsi="宋体" w:cs="宋体"/>
                <w:bCs/>
                <w:sz w:val="18"/>
                <w:szCs w:val="18"/>
              </w:rPr>
              <w:t>6</w:t>
            </w:r>
          </w:p>
        </w:tc>
        <w:tc>
          <w:tcPr>
            <w:tcW w:w="3480" w:type="dxa"/>
            <w:vAlign w:val="center"/>
          </w:tcPr>
          <w:p w14:paraId="1DCC76FC">
            <w:pPr>
              <w:jc w:val="center"/>
              <w:rPr>
                <w:rFonts w:ascii="宋体" w:hAnsi="宋体" w:cs="宋体"/>
                <w:bCs/>
                <w:sz w:val="18"/>
                <w:szCs w:val="18"/>
              </w:rPr>
            </w:pPr>
            <w:r>
              <w:rPr>
                <w:rFonts w:hint="eastAsia" w:ascii="宋体" w:hAnsi="宋体" w:cs="宋体"/>
                <w:bCs/>
                <w:sz w:val="18"/>
                <w:szCs w:val="18"/>
              </w:rPr>
              <w:t>第N组电池组第M节单体负极极柱温度</w:t>
            </w:r>
          </w:p>
        </w:tc>
        <w:tc>
          <w:tcPr>
            <w:tcW w:w="2235" w:type="dxa"/>
            <w:vAlign w:val="center"/>
          </w:tcPr>
          <w:p w14:paraId="70F0E3E8">
            <w:pPr>
              <w:jc w:val="center"/>
              <w:rPr>
                <w:rFonts w:ascii="宋体" w:hAnsi="宋体" w:cs="宋体"/>
                <w:bCs/>
                <w:sz w:val="18"/>
                <w:szCs w:val="18"/>
              </w:rPr>
            </w:pPr>
            <w:r>
              <w:rPr>
                <w:rFonts w:hint="eastAsia" w:ascii="宋体" w:hAnsi="宋体" w:cs="宋体"/>
                <w:bCs/>
                <w:sz w:val="18"/>
                <w:szCs w:val="18"/>
              </w:rPr>
              <w:t>温度</w:t>
            </w:r>
          </w:p>
        </w:tc>
        <w:tc>
          <w:tcPr>
            <w:tcW w:w="3315" w:type="dxa"/>
            <w:vAlign w:val="center"/>
          </w:tcPr>
          <w:p w14:paraId="3FE093EA">
            <w:pPr>
              <w:jc w:val="center"/>
              <w:rPr>
                <w:rFonts w:ascii="宋体" w:hAnsi="宋体" w:cs="宋体"/>
                <w:bCs/>
                <w:sz w:val="18"/>
                <w:szCs w:val="18"/>
              </w:rPr>
            </w:pPr>
            <w:r>
              <w:rPr>
                <w:rFonts w:hint="eastAsia" w:ascii="宋体" w:hAnsi="宋体" w:cs="宋体"/>
                <w:bCs/>
                <w:sz w:val="18"/>
                <w:szCs w:val="18"/>
              </w:rPr>
              <w:t>BTSE/celGGIOn$MX$AnIn48+M</w:t>
            </w:r>
          </w:p>
        </w:tc>
      </w:tr>
      <w:tr w14:paraId="25242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61" w:type="dxa"/>
            <w:vAlign w:val="center"/>
          </w:tcPr>
          <w:p w14:paraId="2C7EFBD6">
            <w:pPr>
              <w:jc w:val="center"/>
              <w:rPr>
                <w:rFonts w:ascii="宋体" w:hAnsi="宋体" w:cs="宋体"/>
                <w:bCs/>
                <w:sz w:val="18"/>
                <w:szCs w:val="18"/>
              </w:rPr>
            </w:pPr>
            <w:r>
              <w:rPr>
                <w:rFonts w:hint="eastAsia" w:ascii="宋体" w:hAnsi="宋体" w:cs="宋体"/>
                <w:bCs/>
                <w:sz w:val="18"/>
                <w:szCs w:val="18"/>
              </w:rPr>
              <w:t>7</w:t>
            </w:r>
          </w:p>
        </w:tc>
        <w:tc>
          <w:tcPr>
            <w:tcW w:w="3480" w:type="dxa"/>
            <w:vAlign w:val="center"/>
          </w:tcPr>
          <w:p w14:paraId="4AB4C801">
            <w:pPr>
              <w:jc w:val="center"/>
              <w:rPr>
                <w:rFonts w:ascii="宋体" w:hAnsi="宋体" w:cs="宋体"/>
                <w:bCs/>
                <w:sz w:val="18"/>
                <w:szCs w:val="18"/>
              </w:rPr>
            </w:pPr>
            <w:r>
              <w:rPr>
                <w:rFonts w:hint="eastAsia" w:ascii="宋体" w:hAnsi="宋体" w:cs="宋体"/>
                <w:bCs/>
                <w:sz w:val="18"/>
                <w:szCs w:val="18"/>
              </w:rPr>
              <w:t>第N组电池组第M节单体剩余容量</w:t>
            </w:r>
          </w:p>
        </w:tc>
        <w:tc>
          <w:tcPr>
            <w:tcW w:w="2235" w:type="dxa"/>
            <w:vAlign w:val="center"/>
          </w:tcPr>
          <w:p w14:paraId="5973C236">
            <w:pPr>
              <w:jc w:val="center"/>
              <w:rPr>
                <w:rFonts w:ascii="宋体" w:hAnsi="宋体" w:cs="宋体"/>
                <w:bCs/>
                <w:sz w:val="18"/>
                <w:szCs w:val="18"/>
              </w:rPr>
            </w:pPr>
            <w:r>
              <w:rPr>
                <w:rFonts w:hint="eastAsia" w:ascii="宋体" w:hAnsi="宋体" w:cs="宋体"/>
                <w:bCs/>
                <w:sz w:val="18"/>
                <w:szCs w:val="18"/>
              </w:rPr>
              <w:t>容量</w:t>
            </w:r>
          </w:p>
        </w:tc>
        <w:tc>
          <w:tcPr>
            <w:tcW w:w="3315" w:type="dxa"/>
            <w:vAlign w:val="center"/>
          </w:tcPr>
          <w:p w14:paraId="30A00C5B">
            <w:pPr>
              <w:jc w:val="center"/>
              <w:rPr>
                <w:rFonts w:ascii="宋体" w:hAnsi="宋体" w:cs="宋体"/>
                <w:bCs/>
                <w:sz w:val="18"/>
                <w:szCs w:val="18"/>
              </w:rPr>
            </w:pPr>
            <w:r>
              <w:rPr>
                <w:rFonts w:hint="eastAsia" w:ascii="宋体" w:hAnsi="宋体" w:cs="宋体"/>
                <w:bCs/>
                <w:sz w:val="18"/>
                <w:szCs w:val="18"/>
              </w:rPr>
              <w:t>BTSE/celGGIOn$MX$AnIn72+M</w:t>
            </w:r>
          </w:p>
        </w:tc>
      </w:tr>
      <w:tr w14:paraId="3CC4A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trPr>
        <w:tc>
          <w:tcPr>
            <w:tcW w:w="561" w:type="dxa"/>
            <w:vAlign w:val="center"/>
          </w:tcPr>
          <w:p w14:paraId="384681C7">
            <w:pPr>
              <w:jc w:val="center"/>
              <w:rPr>
                <w:rFonts w:ascii="宋体" w:hAnsi="宋体" w:cs="宋体"/>
                <w:bCs/>
                <w:sz w:val="18"/>
                <w:szCs w:val="18"/>
              </w:rPr>
            </w:pPr>
            <w:r>
              <w:rPr>
                <w:rFonts w:hint="eastAsia" w:ascii="宋体" w:hAnsi="宋体" w:cs="宋体"/>
                <w:bCs/>
                <w:sz w:val="18"/>
                <w:szCs w:val="18"/>
              </w:rPr>
              <w:t>8</w:t>
            </w:r>
          </w:p>
        </w:tc>
        <w:tc>
          <w:tcPr>
            <w:tcW w:w="3480" w:type="dxa"/>
            <w:vAlign w:val="center"/>
          </w:tcPr>
          <w:p w14:paraId="758EC217">
            <w:pPr>
              <w:jc w:val="center"/>
              <w:rPr>
                <w:rFonts w:ascii="宋体" w:hAnsi="宋体" w:cs="宋体"/>
                <w:bCs/>
                <w:sz w:val="18"/>
                <w:szCs w:val="18"/>
              </w:rPr>
            </w:pPr>
            <w:r>
              <w:rPr>
                <w:rFonts w:hint="eastAsia" w:ascii="宋体" w:hAnsi="宋体" w:cs="宋体"/>
                <w:bCs/>
                <w:sz w:val="18"/>
                <w:szCs w:val="18"/>
              </w:rPr>
              <w:t>第N组第M节单体均衡电流值</w:t>
            </w:r>
          </w:p>
        </w:tc>
        <w:tc>
          <w:tcPr>
            <w:tcW w:w="2235" w:type="dxa"/>
            <w:vAlign w:val="center"/>
          </w:tcPr>
          <w:p w14:paraId="33E2DF75">
            <w:pPr>
              <w:jc w:val="center"/>
              <w:rPr>
                <w:rFonts w:ascii="宋体" w:hAnsi="宋体" w:cs="宋体"/>
                <w:bCs/>
                <w:sz w:val="18"/>
                <w:szCs w:val="18"/>
              </w:rPr>
            </w:pPr>
            <w:r>
              <w:rPr>
                <w:rFonts w:hint="eastAsia" w:ascii="宋体" w:hAnsi="宋体" w:cs="宋体"/>
                <w:bCs/>
                <w:sz w:val="18"/>
                <w:szCs w:val="18"/>
              </w:rPr>
              <w:t>电流值</w:t>
            </w:r>
          </w:p>
        </w:tc>
        <w:tc>
          <w:tcPr>
            <w:tcW w:w="3315" w:type="dxa"/>
            <w:vAlign w:val="center"/>
          </w:tcPr>
          <w:p w14:paraId="2A328EDB">
            <w:pPr>
              <w:jc w:val="center"/>
              <w:rPr>
                <w:rFonts w:ascii="宋体" w:hAnsi="宋体" w:cs="宋体"/>
                <w:bCs/>
                <w:sz w:val="18"/>
                <w:szCs w:val="18"/>
              </w:rPr>
            </w:pPr>
            <w:r>
              <w:rPr>
                <w:rFonts w:hint="eastAsia" w:ascii="宋体" w:hAnsi="宋体" w:cs="宋体"/>
                <w:bCs/>
                <w:sz w:val="18"/>
                <w:szCs w:val="18"/>
              </w:rPr>
              <w:t>BTSE/celGGIOn$MX$AnIn96+M</w:t>
            </w:r>
          </w:p>
        </w:tc>
      </w:tr>
      <w:tr w14:paraId="3E448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trPr>
        <w:tc>
          <w:tcPr>
            <w:tcW w:w="561" w:type="dxa"/>
            <w:vAlign w:val="center"/>
          </w:tcPr>
          <w:p w14:paraId="73BD4D94">
            <w:pPr>
              <w:jc w:val="center"/>
              <w:rPr>
                <w:rFonts w:ascii="宋体" w:hAnsi="宋体" w:cs="宋体"/>
                <w:bCs/>
                <w:sz w:val="18"/>
                <w:szCs w:val="18"/>
              </w:rPr>
            </w:pPr>
            <w:r>
              <w:rPr>
                <w:rFonts w:hint="eastAsia" w:ascii="宋体" w:hAnsi="宋体" w:cs="宋体"/>
                <w:bCs/>
                <w:sz w:val="18"/>
                <w:szCs w:val="18"/>
              </w:rPr>
              <w:t>9</w:t>
            </w:r>
          </w:p>
        </w:tc>
        <w:tc>
          <w:tcPr>
            <w:tcW w:w="3480" w:type="dxa"/>
            <w:vAlign w:val="center"/>
          </w:tcPr>
          <w:p w14:paraId="1B112306">
            <w:pPr>
              <w:jc w:val="center"/>
              <w:rPr>
                <w:rFonts w:ascii="宋体" w:hAnsi="宋体" w:cs="宋体"/>
                <w:bCs/>
                <w:sz w:val="18"/>
                <w:szCs w:val="18"/>
              </w:rPr>
            </w:pPr>
            <w:r>
              <w:rPr>
                <w:rFonts w:hint="eastAsia" w:ascii="宋体" w:hAnsi="宋体" w:cs="宋体"/>
                <w:bCs/>
                <w:sz w:val="18"/>
                <w:szCs w:val="18"/>
              </w:rPr>
              <w:t>第N组测试终止电压</w:t>
            </w:r>
          </w:p>
        </w:tc>
        <w:tc>
          <w:tcPr>
            <w:tcW w:w="2235" w:type="dxa"/>
            <w:vAlign w:val="center"/>
          </w:tcPr>
          <w:p w14:paraId="0161F58C">
            <w:pPr>
              <w:jc w:val="center"/>
              <w:rPr>
                <w:rFonts w:ascii="宋体" w:hAnsi="宋体" w:cs="宋体"/>
                <w:bCs/>
                <w:sz w:val="18"/>
                <w:szCs w:val="18"/>
              </w:rPr>
            </w:pPr>
            <w:r>
              <w:rPr>
                <w:rFonts w:hint="eastAsia" w:ascii="宋体" w:hAnsi="宋体" w:cs="宋体"/>
                <w:bCs/>
                <w:sz w:val="18"/>
                <w:szCs w:val="18"/>
              </w:rPr>
              <w:t>电压值（静态）</w:t>
            </w:r>
          </w:p>
        </w:tc>
        <w:tc>
          <w:tcPr>
            <w:tcW w:w="3315" w:type="dxa"/>
            <w:vAlign w:val="center"/>
          </w:tcPr>
          <w:p w14:paraId="08B27A9A">
            <w:pPr>
              <w:jc w:val="center"/>
              <w:rPr>
                <w:rFonts w:ascii="宋体" w:hAnsi="宋体" w:cs="宋体"/>
                <w:bCs/>
                <w:sz w:val="18"/>
                <w:szCs w:val="18"/>
              </w:rPr>
            </w:pPr>
            <w:r>
              <w:rPr>
                <w:rFonts w:hint="eastAsia" w:ascii="宋体" w:hAnsi="宋体" w:cs="宋体"/>
                <w:bCs/>
                <w:sz w:val="18"/>
                <w:szCs w:val="18"/>
              </w:rPr>
              <w:t>CPSS/cheGGIOn$MX$LoBatVal</w:t>
            </w:r>
          </w:p>
        </w:tc>
      </w:tr>
      <w:tr w14:paraId="12757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561" w:type="dxa"/>
            <w:vAlign w:val="center"/>
          </w:tcPr>
          <w:p w14:paraId="199D63F0">
            <w:pPr>
              <w:jc w:val="center"/>
              <w:rPr>
                <w:rFonts w:ascii="宋体" w:hAnsi="宋体" w:cs="宋体"/>
                <w:bCs/>
                <w:sz w:val="18"/>
                <w:szCs w:val="18"/>
              </w:rPr>
            </w:pPr>
            <w:r>
              <w:rPr>
                <w:rFonts w:hint="eastAsia" w:ascii="宋体" w:hAnsi="宋体" w:cs="宋体"/>
                <w:bCs/>
                <w:sz w:val="18"/>
                <w:szCs w:val="18"/>
              </w:rPr>
              <w:t>10</w:t>
            </w:r>
          </w:p>
        </w:tc>
        <w:tc>
          <w:tcPr>
            <w:tcW w:w="3480" w:type="dxa"/>
            <w:vAlign w:val="center"/>
          </w:tcPr>
          <w:p w14:paraId="3377A660">
            <w:pPr>
              <w:jc w:val="center"/>
              <w:rPr>
                <w:rFonts w:ascii="宋体" w:hAnsi="宋体" w:cs="宋体"/>
                <w:bCs/>
                <w:sz w:val="18"/>
                <w:szCs w:val="18"/>
              </w:rPr>
            </w:pPr>
            <w:r>
              <w:rPr>
                <w:rFonts w:hint="eastAsia" w:ascii="宋体" w:hAnsi="宋体" w:cs="宋体"/>
                <w:bCs/>
                <w:sz w:val="18"/>
                <w:szCs w:val="18"/>
              </w:rPr>
              <w:t>第N组测试终止剩余容量（单位：Ah）</w:t>
            </w:r>
          </w:p>
        </w:tc>
        <w:tc>
          <w:tcPr>
            <w:tcW w:w="2235" w:type="dxa"/>
            <w:vAlign w:val="center"/>
          </w:tcPr>
          <w:p w14:paraId="48012C0E">
            <w:pPr>
              <w:jc w:val="center"/>
              <w:rPr>
                <w:rFonts w:ascii="宋体" w:hAnsi="宋体" w:cs="宋体"/>
                <w:bCs/>
                <w:sz w:val="18"/>
                <w:szCs w:val="18"/>
              </w:rPr>
            </w:pPr>
            <w:r>
              <w:rPr>
                <w:rFonts w:hint="eastAsia" w:ascii="宋体" w:hAnsi="宋体" w:cs="宋体"/>
                <w:bCs/>
                <w:sz w:val="18"/>
                <w:szCs w:val="18"/>
              </w:rPr>
              <w:t>容量值（静态）</w:t>
            </w:r>
          </w:p>
        </w:tc>
        <w:tc>
          <w:tcPr>
            <w:tcW w:w="3315" w:type="dxa"/>
            <w:vAlign w:val="center"/>
          </w:tcPr>
          <w:p w14:paraId="6D4E676B">
            <w:pPr>
              <w:jc w:val="center"/>
              <w:rPr>
                <w:rFonts w:ascii="宋体" w:hAnsi="宋体" w:cs="宋体"/>
                <w:bCs/>
                <w:sz w:val="18"/>
                <w:szCs w:val="18"/>
              </w:rPr>
            </w:pPr>
            <w:r>
              <w:rPr>
                <w:rFonts w:hint="eastAsia" w:ascii="宋体" w:hAnsi="宋体" w:cs="宋体"/>
                <w:bCs/>
                <w:sz w:val="18"/>
                <w:szCs w:val="18"/>
              </w:rPr>
              <w:t>CPSS/cheGGIOn$MX$LoBatAh</w:t>
            </w:r>
          </w:p>
        </w:tc>
      </w:tr>
      <w:tr w14:paraId="5B019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561" w:type="dxa"/>
            <w:vAlign w:val="center"/>
          </w:tcPr>
          <w:p w14:paraId="42D80496">
            <w:pPr>
              <w:jc w:val="center"/>
              <w:rPr>
                <w:rFonts w:ascii="宋体" w:hAnsi="宋体" w:cs="宋体"/>
                <w:bCs/>
                <w:sz w:val="18"/>
                <w:szCs w:val="18"/>
              </w:rPr>
            </w:pPr>
            <w:r>
              <w:rPr>
                <w:rFonts w:hint="eastAsia" w:ascii="宋体" w:hAnsi="宋体" w:cs="宋体"/>
                <w:bCs/>
                <w:sz w:val="18"/>
                <w:szCs w:val="18"/>
              </w:rPr>
              <w:t>11</w:t>
            </w:r>
          </w:p>
        </w:tc>
        <w:tc>
          <w:tcPr>
            <w:tcW w:w="3480" w:type="dxa"/>
            <w:vAlign w:val="center"/>
          </w:tcPr>
          <w:p w14:paraId="4EF9438E">
            <w:pPr>
              <w:jc w:val="center"/>
              <w:rPr>
                <w:rFonts w:ascii="宋体" w:hAnsi="宋体" w:cs="宋体"/>
                <w:bCs/>
                <w:sz w:val="18"/>
                <w:szCs w:val="18"/>
              </w:rPr>
            </w:pPr>
            <w:r>
              <w:rPr>
                <w:rFonts w:hint="eastAsia" w:ascii="宋体" w:hAnsi="宋体" w:cs="宋体"/>
                <w:bCs/>
                <w:sz w:val="18"/>
                <w:szCs w:val="18"/>
              </w:rPr>
              <w:t>第N组核容测试终止 容量上限阀值</w:t>
            </w:r>
          </w:p>
        </w:tc>
        <w:tc>
          <w:tcPr>
            <w:tcW w:w="2235" w:type="dxa"/>
            <w:vAlign w:val="center"/>
          </w:tcPr>
          <w:p w14:paraId="049E666C">
            <w:pPr>
              <w:jc w:val="center"/>
              <w:rPr>
                <w:rFonts w:ascii="宋体" w:hAnsi="宋体" w:cs="宋体"/>
                <w:bCs/>
                <w:sz w:val="18"/>
                <w:szCs w:val="18"/>
              </w:rPr>
            </w:pPr>
            <w:r>
              <w:rPr>
                <w:rFonts w:hint="eastAsia" w:ascii="宋体" w:hAnsi="宋体" w:cs="宋体"/>
                <w:bCs/>
                <w:sz w:val="18"/>
                <w:szCs w:val="18"/>
              </w:rPr>
              <w:t>容量上限阀值</w:t>
            </w:r>
          </w:p>
          <w:p w14:paraId="3DE29D41">
            <w:pPr>
              <w:jc w:val="center"/>
              <w:rPr>
                <w:rFonts w:ascii="宋体" w:hAnsi="宋体" w:cs="宋体"/>
                <w:bCs/>
                <w:sz w:val="18"/>
                <w:szCs w:val="18"/>
              </w:rPr>
            </w:pPr>
            <w:r>
              <w:rPr>
                <w:rFonts w:hint="eastAsia" w:ascii="宋体" w:hAnsi="宋体" w:cs="宋体"/>
                <w:bCs/>
                <w:sz w:val="18"/>
                <w:szCs w:val="18"/>
              </w:rPr>
              <w:t>（静态回读）</w:t>
            </w:r>
          </w:p>
        </w:tc>
        <w:tc>
          <w:tcPr>
            <w:tcW w:w="3315" w:type="dxa"/>
            <w:vAlign w:val="center"/>
          </w:tcPr>
          <w:p w14:paraId="774F643C">
            <w:pPr>
              <w:jc w:val="center"/>
              <w:rPr>
                <w:rFonts w:ascii="宋体" w:hAnsi="宋体" w:cs="宋体"/>
                <w:bCs/>
                <w:sz w:val="18"/>
                <w:szCs w:val="18"/>
              </w:rPr>
            </w:pPr>
            <w:r>
              <w:rPr>
                <w:rFonts w:hint="eastAsia" w:ascii="宋体" w:hAnsi="宋体" w:cs="宋体"/>
                <w:bCs/>
                <w:sz w:val="18"/>
                <w:szCs w:val="18"/>
              </w:rPr>
              <w:t>BTSE/ncdGGIOn$MX$HiTestBatAh</w:t>
            </w:r>
          </w:p>
        </w:tc>
      </w:tr>
      <w:tr w14:paraId="25FF0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561" w:type="dxa"/>
            <w:vAlign w:val="center"/>
          </w:tcPr>
          <w:p w14:paraId="7778B4BE">
            <w:pPr>
              <w:jc w:val="center"/>
              <w:rPr>
                <w:rFonts w:ascii="宋体" w:hAnsi="宋体" w:cs="宋体"/>
                <w:bCs/>
                <w:sz w:val="18"/>
                <w:szCs w:val="18"/>
              </w:rPr>
            </w:pPr>
            <w:r>
              <w:rPr>
                <w:rFonts w:hint="eastAsia" w:ascii="宋体" w:hAnsi="宋体" w:cs="宋体"/>
                <w:bCs/>
                <w:sz w:val="18"/>
                <w:szCs w:val="18"/>
              </w:rPr>
              <w:t>12</w:t>
            </w:r>
          </w:p>
        </w:tc>
        <w:tc>
          <w:tcPr>
            <w:tcW w:w="3480" w:type="dxa"/>
            <w:vAlign w:val="center"/>
          </w:tcPr>
          <w:p w14:paraId="3F36929C">
            <w:pPr>
              <w:jc w:val="center"/>
              <w:rPr>
                <w:rFonts w:ascii="宋体" w:hAnsi="宋体" w:cs="宋体"/>
                <w:bCs/>
                <w:sz w:val="18"/>
                <w:szCs w:val="18"/>
              </w:rPr>
            </w:pPr>
            <w:r>
              <w:rPr>
                <w:rFonts w:hint="eastAsia" w:ascii="宋体" w:hAnsi="宋体" w:cs="宋体"/>
                <w:bCs/>
                <w:sz w:val="18"/>
                <w:szCs w:val="18"/>
              </w:rPr>
              <w:t>第N组测试终止时间（单位：小时）</w:t>
            </w:r>
          </w:p>
        </w:tc>
        <w:tc>
          <w:tcPr>
            <w:tcW w:w="2235" w:type="dxa"/>
            <w:vAlign w:val="center"/>
          </w:tcPr>
          <w:p w14:paraId="3699A2FC">
            <w:pPr>
              <w:jc w:val="center"/>
              <w:rPr>
                <w:rFonts w:ascii="宋体" w:hAnsi="宋体" w:cs="宋体"/>
                <w:bCs/>
                <w:sz w:val="18"/>
                <w:szCs w:val="18"/>
              </w:rPr>
            </w:pPr>
            <w:r>
              <w:rPr>
                <w:rFonts w:hint="eastAsia" w:ascii="宋体" w:hAnsi="宋体" w:cs="宋体"/>
                <w:bCs/>
                <w:sz w:val="18"/>
                <w:szCs w:val="18"/>
              </w:rPr>
              <w:t>时间（静态）</w:t>
            </w:r>
          </w:p>
        </w:tc>
        <w:tc>
          <w:tcPr>
            <w:tcW w:w="3315" w:type="dxa"/>
            <w:vAlign w:val="center"/>
          </w:tcPr>
          <w:p w14:paraId="18DCC077">
            <w:pPr>
              <w:jc w:val="center"/>
              <w:rPr>
                <w:rFonts w:ascii="宋体" w:hAnsi="宋体" w:cs="宋体"/>
                <w:bCs/>
                <w:sz w:val="18"/>
                <w:szCs w:val="18"/>
              </w:rPr>
            </w:pPr>
            <w:r>
              <w:rPr>
                <w:rFonts w:hint="eastAsia" w:ascii="宋体" w:hAnsi="宋体" w:cs="宋体"/>
                <w:bCs/>
                <w:sz w:val="18"/>
                <w:szCs w:val="18"/>
              </w:rPr>
              <w:t>CPSS/cheGGIOn$MX$HiTestTmhour</w:t>
            </w:r>
          </w:p>
        </w:tc>
      </w:tr>
      <w:tr w14:paraId="2093B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561" w:type="dxa"/>
            <w:vAlign w:val="center"/>
          </w:tcPr>
          <w:p w14:paraId="1453BE6F">
            <w:pPr>
              <w:jc w:val="center"/>
              <w:rPr>
                <w:rFonts w:ascii="宋体" w:hAnsi="宋体" w:cs="宋体"/>
                <w:bCs/>
                <w:sz w:val="18"/>
                <w:szCs w:val="18"/>
              </w:rPr>
            </w:pPr>
            <w:r>
              <w:rPr>
                <w:rFonts w:hint="eastAsia" w:ascii="宋体" w:hAnsi="宋体" w:cs="宋体"/>
                <w:bCs/>
                <w:sz w:val="18"/>
                <w:szCs w:val="18"/>
              </w:rPr>
              <w:t>13</w:t>
            </w:r>
          </w:p>
        </w:tc>
        <w:tc>
          <w:tcPr>
            <w:tcW w:w="3480" w:type="dxa"/>
            <w:vAlign w:val="center"/>
          </w:tcPr>
          <w:p w14:paraId="47B8EF59">
            <w:pPr>
              <w:jc w:val="center"/>
              <w:rPr>
                <w:rFonts w:ascii="宋体" w:hAnsi="宋体" w:cs="宋体"/>
                <w:bCs/>
                <w:sz w:val="18"/>
                <w:szCs w:val="18"/>
              </w:rPr>
            </w:pPr>
            <w:r>
              <w:rPr>
                <w:rFonts w:hint="eastAsia" w:ascii="宋体" w:hAnsi="宋体" w:cs="宋体"/>
                <w:bCs/>
                <w:sz w:val="18"/>
                <w:szCs w:val="18"/>
              </w:rPr>
              <w:t>第N组核容测试过程 放电电流设定值</w:t>
            </w:r>
          </w:p>
          <w:p w14:paraId="1E53403C">
            <w:pPr>
              <w:jc w:val="center"/>
              <w:rPr>
                <w:rFonts w:ascii="宋体" w:hAnsi="宋体" w:cs="宋体"/>
                <w:bCs/>
                <w:sz w:val="18"/>
                <w:szCs w:val="18"/>
              </w:rPr>
            </w:pPr>
            <w:r>
              <w:rPr>
                <w:rFonts w:hint="eastAsia" w:ascii="宋体" w:hAnsi="宋体" w:cs="宋体"/>
                <w:bCs/>
                <w:sz w:val="18"/>
                <w:szCs w:val="18"/>
              </w:rPr>
              <w:t>（单位：A）</w:t>
            </w:r>
          </w:p>
        </w:tc>
        <w:tc>
          <w:tcPr>
            <w:tcW w:w="2235" w:type="dxa"/>
            <w:vAlign w:val="center"/>
          </w:tcPr>
          <w:p w14:paraId="2467DCC1">
            <w:pPr>
              <w:jc w:val="center"/>
              <w:rPr>
                <w:rFonts w:ascii="宋体" w:hAnsi="宋体" w:cs="宋体"/>
                <w:bCs/>
                <w:sz w:val="18"/>
                <w:szCs w:val="18"/>
              </w:rPr>
            </w:pPr>
            <w:r>
              <w:rPr>
                <w:rFonts w:hint="eastAsia" w:ascii="宋体" w:hAnsi="宋体" w:cs="宋体"/>
                <w:bCs/>
                <w:sz w:val="18"/>
                <w:szCs w:val="18"/>
              </w:rPr>
              <w:t>放电电流设定值</w:t>
            </w:r>
          </w:p>
          <w:p w14:paraId="19E313E7">
            <w:pPr>
              <w:jc w:val="center"/>
              <w:rPr>
                <w:rFonts w:ascii="宋体" w:hAnsi="宋体" w:cs="宋体"/>
                <w:bCs/>
                <w:sz w:val="18"/>
                <w:szCs w:val="18"/>
              </w:rPr>
            </w:pPr>
            <w:r>
              <w:rPr>
                <w:rFonts w:hint="eastAsia" w:ascii="宋体" w:hAnsi="宋体" w:cs="宋体"/>
                <w:bCs/>
                <w:sz w:val="18"/>
                <w:szCs w:val="18"/>
              </w:rPr>
              <w:t>（静态回读）</w:t>
            </w:r>
          </w:p>
        </w:tc>
        <w:tc>
          <w:tcPr>
            <w:tcW w:w="3315" w:type="dxa"/>
            <w:vAlign w:val="center"/>
          </w:tcPr>
          <w:p w14:paraId="0809F043">
            <w:pPr>
              <w:jc w:val="center"/>
              <w:rPr>
                <w:rFonts w:ascii="宋体" w:hAnsi="宋体" w:cs="宋体"/>
                <w:bCs/>
                <w:sz w:val="18"/>
                <w:szCs w:val="18"/>
              </w:rPr>
            </w:pPr>
            <w:r>
              <w:rPr>
                <w:rFonts w:hint="eastAsia" w:ascii="宋体" w:hAnsi="宋体" w:cs="宋体"/>
                <w:bCs/>
                <w:sz w:val="18"/>
                <w:szCs w:val="18"/>
              </w:rPr>
              <w:t>BTSE/ncdGGIOn$MX$TestCurr</w:t>
            </w:r>
          </w:p>
        </w:tc>
      </w:tr>
      <w:tr w14:paraId="2A6EF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561" w:type="dxa"/>
            <w:vAlign w:val="center"/>
          </w:tcPr>
          <w:p w14:paraId="596506F9">
            <w:pPr>
              <w:jc w:val="center"/>
              <w:rPr>
                <w:rFonts w:ascii="宋体" w:hAnsi="宋体" w:cs="宋体"/>
                <w:bCs/>
                <w:sz w:val="18"/>
                <w:szCs w:val="18"/>
              </w:rPr>
            </w:pPr>
            <w:r>
              <w:rPr>
                <w:rFonts w:hint="eastAsia" w:ascii="宋体" w:hAnsi="宋体" w:cs="宋体"/>
                <w:bCs/>
                <w:sz w:val="18"/>
                <w:szCs w:val="18"/>
              </w:rPr>
              <w:t>14</w:t>
            </w:r>
          </w:p>
        </w:tc>
        <w:tc>
          <w:tcPr>
            <w:tcW w:w="3480" w:type="dxa"/>
            <w:vAlign w:val="center"/>
          </w:tcPr>
          <w:p w14:paraId="06919AE0">
            <w:pPr>
              <w:jc w:val="center"/>
              <w:rPr>
                <w:rFonts w:ascii="宋体" w:hAnsi="宋体" w:cs="宋体"/>
                <w:bCs/>
                <w:sz w:val="18"/>
                <w:szCs w:val="18"/>
              </w:rPr>
            </w:pPr>
            <w:r>
              <w:rPr>
                <w:rFonts w:hint="eastAsia" w:ascii="宋体" w:hAnsi="宋体" w:cs="宋体"/>
                <w:bCs/>
                <w:sz w:val="18"/>
                <w:szCs w:val="18"/>
              </w:rPr>
              <w:t>第N组核容测试终止 单体电压下限阀值</w:t>
            </w:r>
          </w:p>
          <w:p w14:paraId="60DFC7CA">
            <w:pPr>
              <w:jc w:val="center"/>
              <w:rPr>
                <w:rFonts w:ascii="宋体" w:hAnsi="宋体" w:cs="宋体"/>
                <w:bCs/>
                <w:sz w:val="18"/>
                <w:szCs w:val="18"/>
              </w:rPr>
            </w:pPr>
            <w:r>
              <w:rPr>
                <w:rFonts w:hint="eastAsia" w:ascii="宋体" w:hAnsi="宋体" w:cs="宋体"/>
                <w:bCs/>
                <w:sz w:val="18"/>
                <w:szCs w:val="18"/>
              </w:rPr>
              <w:t>(单位V，精度3位小数）</w:t>
            </w:r>
          </w:p>
        </w:tc>
        <w:tc>
          <w:tcPr>
            <w:tcW w:w="2235" w:type="dxa"/>
            <w:vAlign w:val="center"/>
          </w:tcPr>
          <w:p w14:paraId="6BAFFD14">
            <w:pPr>
              <w:jc w:val="center"/>
              <w:rPr>
                <w:rFonts w:ascii="宋体" w:hAnsi="宋体" w:cs="宋体"/>
                <w:bCs/>
                <w:sz w:val="18"/>
                <w:szCs w:val="18"/>
              </w:rPr>
            </w:pPr>
            <w:r>
              <w:rPr>
                <w:rFonts w:hint="eastAsia" w:ascii="宋体" w:hAnsi="宋体" w:cs="宋体"/>
                <w:bCs/>
                <w:sz w:val="18"/>
                <w:szCs w:val="18"/>
              </w:rPr>
              <w:t>单体电压下限阀值</w:t>
            </w:r>
          </w:p>
          <w:p w14:paraId="29FB13CA">
            <w:pPr>
              <w:jc w:val="center"/>
              <w:rPr>
                <w:rFonts w:ascii="宋体" w:hAnsi="宋体" w:cs="宋体"/>
                <w:bCs/>
                <w:sz w:val="18"/>
                <w:szCs w:val="18"/>
              </w:rPr>
            </w:pPr>
            <w:r>
              <w:rPr>
                <w:rFonts w:hint="eastAsia" w:ascii="宋体" w:hAnsi="宋体" w:cs="宋体"/>
                <w:bCs/>
                <w:sz w:val="18"/>
                <w:szCs w:val="18"/>
              </w:rPr>
              <w:t>（静态回读）</w:t>
            </w:r>
          </w:p>
        </w:tc>
        <w:tc>
          <w:tcPr>
            <w:tcW w:w="3315" w:type="dxa"/>
            <w:vAlign w:val="center"/>
          </w:tcPr>
          <w:p w14:paraId="128694AC">
            <w:pPr>
              <w:jc w:val="center"/>
              <w:rPr>
                <w:rFonts w:ascii="宋体" w:hAnsi="宋体" w:cs="宋体"/>
                <w:bCs/>
                <w:sz w:val="18"/>
                <w:szCs w:val="18"/>
              </w:rPr>
            </w:pPr>
            <w:r>
              <w:rPr>
                <w:rFonts w:hint="eastAsia" w:ascii="宋体" w:hAnsi="宋体" w:cs="宋体"/>
                <w:bCs/>
                <w:sz w:val="18"/>
                <w:szCs w:val="18"/>
              </w:rPr>
              <w:t>BTSE/ncdGGIOn$MX$LoCelVol</w:t>
            </w:r>
          </w:p>
        </w:tc>
      </w:tr>
      <w:tr w14:paraId="6B7B8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561" w:type="dxa"/>
            <w:vAlign w:val="center"/>
          </w:tcPr>
          <w:p w14:paraId="47A9DBBA">
            <w:pPr>
              <w:jc w:val="center"/>
              <w:rPr>
                <w:rFonts w:ascii="宋体" w:hAnsi="宋体" w:cs="宋体"/>
                <w:bCs/>
                <w:sz w:val="18"/>
                <w:szCs w:val="18"/>
              </w:rPr>
            </w:pPr>
            <w:r>
              <w:rPr>
                <w:rFonts w:hint="eastAsia" w:ascii="宋体" w:hAnsi="宋体" w:cs="宋体"/>
                <w:bCs/>
                <w:sz w:val="18"/>
                <w:szCs w:val="18"/>
              </w:rPr>
              <w:t>15</w:t>
            </w:r>
          </w:p>
        </w:tc>
        <w:tc>
          <w:tcPr>
            <w:tcW w:w="3480" w:type="dxa"/>
            <w:vAlign w:val="center"/>
          </w:tcPr>
          <w:p w14:paraId="408332DC">
            <w:pPr>
              <w:jc w:val="center"/>
              <w:rPr>
                <w:rFonts w:ascii="宋体" w:hAnsi="宋体" w:cs="宋体"/>
                <w:bCs/>
                <w:sz w:val="18"/>
                <w:szCs w:val="18"/>
              </w:rPr>
            </w:pPr>
            <w:r>
              <w:rPr>
                <w:rFonts w:hint="eastAsia" w:ascii="宋体" w:hAnsi="宋体" w:cs="宋体"/>
                <w:bCs/>
                <w:sz w:val="18"/>
                <w:szCs w:val="18"/>
              </w:rPr>
              <w:t>第N组核容测试终止 单体温度上限阀值</w:t>
            </w:r>
          </w:p>
          <w:p w14:paraId="76DAF0F3">
            <w:pPr>
              <w:jc w:val="center"/>
              <w:rPr>
                <w:rFonts w:ascii="宋体" w:hAnsi="宋体" w:cs="宋体"/>
                <w:bCs/>
                <w:sz w:val="18"/>
                <w:szCs w:val="18"/>
              </w:rPr>
            </w:pPr>
            <w:r>
              <w:rPr>
                <w:rFonts w:hint="eastAsia" w:ascii="宋体" w:hAnsi="宋体" w:cs="宋体"/>
                <w:bCs/>
                <w:sz w:val="18"/>
                <w:szCs w:val="18"/>
              </w:rPr>
              <w:t>（单位摄氏度，精度1位小数）</w:t>
            </w:r>
          </w:p>
        </w:tc>
        <w:tc>
          <w:tcPr>
            <w:tcW w:w="2235" w:type="dxa"/>
            <w:vAlign w:val="center"/>
          </w:tcPr>
          <w:p w14:paraId="4E706B72">
            <w:pPr>
              <w:jc w:val="center"/>
              <w:rPr>
                <w:rFonts w:ascii="宋体" w:hAnsi="宋体" w:cs="宋体"/>
                <w:bCs/>
                <w:sz w:val="18"/>
                <w:szCs w:val="18"/>
              </w:rPr>
            </w:pPr>
            <w:r>
              <w:rPr>
                <w:rFonts w:hint="eastAsia" w:ascii="宋体" w:hAnsi="宋体" w:cs="宋体"/>
                <w:bCs/>
                <w:sz w:val="18"/>
                <w:szCs w:val="18"/>
              </w:rPr>
              <w:t>单体温度上限阀值</w:t>
            </w:r>
          </w:p>
          <w:p w14:paraId="1F09F19A">
            <w:pPr>
              <w:jc w:val="center"/>
              <w:rPr>
                <w:rFonts w:ascii="宋体" w:hAnsi="宋体" w:cs="宋体"/>
                <w:bCs/>
                <w:sz w:val="18"/>
                <w:szCs w:val="18"/>
              </w:rPr>
            </w:pPr>
            <w:r>
              <w:rPr>
                <w:rFonts w:hint="eastAsia" w:ascii="宋体" w:hAnsi="宋体" w:cs="宋体"/>
                <w:bCs/>
                <w:sz w:val="18"/>
                <w:szCs w:val="18"/>
              </w:rPr>
              <w:t>（静态回读）</w:t>
            </w:r>
          </w:p>
        </w:tc>
        <w:tc>
          <w:tcPr>
            <w:tcW w:w="3315" w:type="dxa"/>
            <w:vAlign w:val="center"/>
          </w:tcPr>
          <w:p w14:paraId="2204D65B">
            <w:pPr>
              <w:jc w:val="center"/>
              <w:rPr>
                <w:rFonts w:ascii="宋体" w:hAnsi="宋体" w:cs="宋体"/>
                <w:bCs/>
                <w:sz w:val="18"/>
                <w:szCs w:val="18"/>
              </w:rPr>
            </w:pPr>
            <w:r>
              <w:rPr>
                <w:rFonts w:hint="eastAsia" w:ascii="宋体" w:hAnsi="宋体" w:cs="宋体"/>
                <w:bCs/>
                <w:sz w:val="18"/>
                <w:szCs w:val="18"/>
              </w:rPr>
              <w:t>BTSE/ncdGGIOn$MX$HiCelTemp</w:t>
            </w:r>
          </w:p>
        </w:tc>
      </w:tr>
      <w:tr w14:paraId="31420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trPr>
        <w:tc>
          <w:tcPr>
            <w:tcW w:w="561" w:type="dxa"/>
            <w:vAlign w:val="center"/>
          </w:tcPr>
          <w:p w14:paraId="61CF7363">
            <w:pPr>
              <w:jc w:val="center"/>
              <w:rPr>
                <w:rFonts w:ascii="宋体" w:hAnsi="宋体" w:cs="宋体"/>
                <w:bCs/>
                <w:sz w:val="18"/>
                <w:szCs w:val="18"/>
              </w:rPr>
            </w:pPr>
            <w:r>
              <w:rPr>
                <w:rFonts w:hint="eastAsia" w:ascii="宋体" w:hAnsi="宋体" w:cs="宋体"/>
                <w:bCs/>
                <w:sz w:val="18"/>
                <w:szCs w:val="18"/>
              </w:rPr>
              <w:t>16</w:t>
            </w:r>
          </w:p>
        </w:tc>
        <w:tc>
          <w:tcPr>
            <w:tcW w:w="3480" w:type="dxa"/>
            <w:vAlign w:val="center"/>
          </w:tcPr>
          <w:p w14:paraId="4C85BF16">
            <w:pPr>
              <w:jc w:val="center"/>
              <w:rPr>
                <w:rFonts w:ascii="宋体" w:hAnsi="宋体" w:cs="宋体"/>
                <w:bCs/>
                <w:sz w:val="18"/>
                <w:szCs w:val="18"/>
              </w:rPr>
            </w:pPr>
            <w:r>
              <w:rPr>
                <w:rFonts w:hint="eastAsia" w:ascii="宋体" w:hAnsi="宋体" w:cs="宋体"/>
                <w:bCs/>
                <w:sz w:val="18"/>
                <w:szCs w:val="18"/>
              </w:rPr>
              <w:t>放电装置工作状态（6种状态）</w:t>
            </w:r>
          </w:p>
        </w:tc>
        <w:tc>
          <w:tcPr>
            <w:tcW w:w="2235" w:type="dxa"/>
            <w:vAlign w:val="center"/>
          </w:tcPr>
          <w:p w14:paraId="0D002FDA">
            <w:pPr>
              <w:jc w:val="center"/>
              <w:rPr>
                <w:rFonts w:ascii="宋体" w:hAnsi="宋体" w:cs="宋体"/>
                <w:bCs/>
                <w:sz w:val="18"/>
                <w:szCs w:val="18"/>
              </w:rPr>
            </w:pPr>
            <w:r>
              <w:rPr>
                <w:rFonts w:hint="eastAsia" w:ascii="宋体" w:hAnsi="宋体" w:cs="宋体"/>
                <w:bCs/>
                <w:sz w:val="18"/>
                <w:szCs w:val="18"/>
              </w:rPr>
              <w:t>0：在线浮充</w:t>
            </w:r>
          </w:p>
          <w:p w14:paraId="0F6588E4">
            <w:pPr>
              <w:jc w:val="center"/>
              <w:rPr>
                <w:rFonts w:ascii="宋体" w:hAnsi="宋体" w:cs="宋体"/>
                <w:bCs/>
                <w:sz w:val="18"/>
                <w:szCs w:val="18"/>
              </w:rPr>
            </w:pPr>
            <w:r>
              <w:rPr>
                <w:rFonts w:hint="eastAsia" w:ascii="宋体" w:hAnsi="宋体" w:cs="宋体"/>
                <w:bCs/>
                <w:sz w:val="18"/>
                <w:szCs w:val="18"/>
              </w:rPr>
              <w:t>1：预充电（限流充电）</w:t>
            </w:r>
          </w:p>
          <w:p w14:paraId="1004D983">
            <w:pPr>
              <w:jc w:val="center"/>
              <w:rPr>
                <w:rFonts w:ascii="宋体" w:hAnsi="宋体" w:cs="宋体"/>
                <w:bCs/>
                <w:sz w:val="18"/>
                <w:szCs w:val="18"/>
              </w:rPr>
            </w:pPr>
            <w:r>
              <w:rPr>
                <w:rFonts w:hint="eastAsia" w:ascii="宋体" w:hAnsi="宋体" w:cs="宋体"/>
                <w:bCs/>
                <w:sz w:val="18"/>
                <w:szCs w:val="18"/>
              </w:rPr>
              <w:t>2：核容测试</w:t>
            </w:r>
          </w:p>
          <w:p w14:paraId="688A3220">
            <w:pPr>
              <w:jc w:val="center"/>
              <w:rPr>
                <w:rFonts w:ascii="宋体" w:hAnsi="宋体" w:cs="宋体"/>
                <w:bCs/>
                <w:sz w:val="18"/>
                <w:szCs w:val="18"/>
              </w:rPr>
            </w:pPr>
            <w:r>
              <w:rPr>
                <w:rFonts w:hint="eastAsia" w:ascii="宋体" w:hAnsi="宋体" w:cs="宋体"/>
                <w:bCs/>
                <w:sz w:val="18"/>
                <w:szCs w:val="18"/>
              </w:rPr>
              <w:t>3：停电放电</w:t>
            </w:r>
          </w:p>
          <w:p w14:paraId="0E8E2929">
            <w:pPr>
              <w:jc w:val="center"/>
              <w:rPr>
                <w:rFonts w:ascii="宋体" w:hAnsi="宋体" w:cs="宋体"/>
                <w:bCs/>
                <w:sz w:val="18"/>
                <w:szCs w:val="18"/>
              </w:rPr>
            </w:pPr>
            <w:r>
              <w:rPr>
                <w:rFonts w:hint="eastAsia" w:ascii="宋体" w:hAnsi="宋体" w:cs="宋体"/>
                <w:bCs/>
                <w:sz w:val="18"/>
                <w:szCs w:val="18"/>
              </w:rPr>
              <w:t>4：内阻测试</w:t>
            </w:r>
          </w:p>
          <w:p w14:paraId="1229379B">
            <w:pPr>
              <w:jc w:val="center"/>
              <w:rPr>
                <w:rFonts w:ascii="宋体" w:hAnsi="宋体" w:cs="宋体"/>
                <w:bCs/>
                <w:sz w:val="18"/>
                <w:szCs w:val="18"/>
              </w:rPr>
            </w:pPr>
            <w:r>
              <w:rPr>
                <w:rFonts w:hint="eastAsia" w:ascii="宋体" w:hAnsi="宋体" w:cs="宋体"/>
                <w:bCs/>
                <w:sz w:val="18"/>
                <w:szCs w:val="18"/>
              </w:rPr>
              <w:t>5：K1/D1测试</w:t>
            </w:r>
          </w:p>
        </w:tc>
        <w:tc>
          <w:tcPr>
            <w:tcW w:w="3315" w:type="dxa"/>
            <w:vAlign w:val="center"/>
          </w:tcPr>
          <w:p w14:paraId="0245455E">
            <w:pPr>
              <w:jc w:val="center"/>
              <w:rPr>
                <w:rFonts w:ascii="宋体" w:hAnsi="宋体" w:cs="宋体"/>
                <w:bCs/>
                <w:sz w:val="18"/>
                <w:szCs w:val="18"/>
              </w:rPr>
            </w:pPr>
            <w:r>
              <w:rPr>
                <w:rFonts w:hint="eastAsia" w:ascii="宋体" w:hAnsi="宋体" w:cs="宋体"/>
                <w:bCs/>
                <w:sz w:val="18"/>
                <w:szCs w:val="18"/>
              </w:rPr>
              <w:t>BTSE/ncdGGIO1$MX$StaNum</w:t>
            </w:r>
          </w:p>
        </w:tc>
      </w:tr>
      <w:tr w14:paraId="2A05F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trPr>
        <w:tc>
          <w:tcPr>
            <w:tcW w:w="561" w:type="dxa"/>
            <w:vAlign w:val="center"/>
          </w:tcPr>
          <w:p w14:paraId="1E6DEE7D">
            <w:pPr>
              <w:jc w:val="center"/>
              <w:rPr>
                <w:rFonts w:ascii="宋体" w:hAnsi="宋体" w:cs="宋体"/>
                <w:bCs/>
                <w:sz w:val="18"/>
                <w:szCs w:val="18"/>
              </w:rPr>
            </w:pPr>
            <w:r>
              <w:rPr>
                <w:rFonts w:hint="eastAsia" w:ascii="宋体" w:hAnsi="宋体" w:cs="宋体"/>
                <w:bCs/>
                <w:sz w:val="18"/>
                <w:szCs w:val="18"/>
              </w:rPr>
              <w:t>17</w:t>
            </w:r>
          </w:p>
        </w:tc>
        <w:tc>
          <w:tcPr>
            <w:tcW w:w="3480" w:type="dxa"/>
            <w:vAlign w:val="center"/>
          </w:tcPr>
          <w:p w14:paraId="59F6E758">
            <w:pPr>
              <w:jc w:val="center"/>
              <w:rPr>
                <w:rFonts w:ascii="宋体" w:hAnsi="宋体" w:cs="宋体"/>
                <w:bCs/>
                <w:sz w:val="18"/>
                <w:szCs w:val="18"/>
              </w:rPr>
            </w:pPr>
            <w:r>
              <w:rPr>
                <w:rFonts w:hint="eastAsia" w:ascii="宋体" w:hAnsi="宋体" w:cs="宋体"/>
                <w:bCs/>
                <w:sz w:val="18"/>
                <w:szCs w:val="18"/>
              </w:rPr>
              <w:t>第N组核容测试终止原因</w:t>
            </w:r>
          </w:p>
        </w:tc>
        <w:tc>
          <w:tcPr>
            <w:tcW w:w="2235" w:type="dxa"/>
            <w:vAlign w:val="center"/>
          </w:tcPr>
          <w:p w14:paraId="3CFFB748">
            <w:pPr>
              <w:jc w:val="center"/>
              <w:rPr>
                <w:rFonts w:ascii="宋体" w:hAnsi="宋体" w:cs="宋体"/>
                <w:bCs/>
                <w:sz w:val="18"/>
                <w:szCs w:val="18"/>
              </w:rPr>
            </w:pPr>
            <w:r>
              <w:rPr>
                <w:rFonts w:hint="eastAsia" w:ascii="宋体" w:hAnsi="宋体" w:cs="宋体"/>
                <w:bCs/>
                <w:sz w:val="18"/>
                <w:szCs w:val="18"/>
              </w:rPr>
              <w:t>0：设备掉电终止</w:t>
            </w:r>
          </w:p>
          <w:p w14:paraId="1BA2D2E2">
            <w:pPr>
              <w:jc w:val="center"/>
              <w:rPr>
                <w:rFonts w:ascii="宋体" w:hAnsi="宋体" w:cs="宋体"/>
                <w:bCs/>
                <w:sz w:val="18"/>
                <w:szCs w:val="18"/>
              </w:rPr>
            </w:pPr>
            <w:r>
              <w:rPr>
                <w:rFonts w:hint="eastAsia" w:ascii="宋体" w:hAnsi="宋体" w:cs="宋体"/>
                <w:bCs/>
                <w:sz w:val="18"/>
                <w:szCs w:val="18"/>
              </w:rPr>
              <w:t>1：手动终止</w:t>
            </w:r>
          </w:p>
          <w:p w14:paraId="0B173C50">
            <w:pPr>
              <w:jc w:val="center"/>
              <w:rPr>
                <w:rFonts w:ascii="宋体" w:hAnsi="宋体" w:cs="宋体"/>
                <w:bCs/>
                <w:sz w:val="18"/>
                <w:szCs w:val="18"/>
              </w:rPr>
            </w:pPr>
            <w:r>
              <w:rPr>
                <w:rFonts w:hint="eastAsia" w:ascii="宋体" w:hAnsi="宋体" w:cs="宋体"/>
                <w:bCs/>
                <w:sz w:val="18"/>
                <w:szCs w:val="18"/>
              </w:rPr>
              <w:t>2：放电时间到终止</w:t>
            </w:r>
          </w:p>
          <w:p w14:paraId="27A0F5DA">
            <w:pPr>
              <w:jc w:val="center"/>
              <w:rPr>
                <w:rFonts w:ascii="宋体" w:hAnsi="宋体" w:cs="宋体"/>
                <w:bCs/>
                <w:sz w:val="18"/>
                <w:szCs w:val="18"/>
              </w:rPr>
            </w:pPr>
            <w:r>
              <w:rPr>
                <w:rFonts w:hint="eastAsia" w:ascii="宋体" w:hAnsi="宋体" w:cs="宋体"/>
                <w:bCs/>
                <w:sz w:val="18"/>
                <w:szCs w:val="18"/>
              </w:rPr>
              <w:t>3：放电容量到终止</w:t>
            </w:r>
          </w:p>
          <w:p w14:paraId="37EAFFEB">
            <w:pPr>
              <w:jc w:val="center"/>
              <w:rPr>
                <w:rFonts w:ascii="宋体" w:hAnsi="宋体" w:cs="宋体"/>
                <w:bCs/>
                <w:sz w:val="18"/>
                <w:szCs w:val="18"/>
              </w:rPr>
            </w:pPr>
            <w:r>
              <w:rPr>
                <w:rFonts w:hint="eastAsia" w:ascii="宋体" w:hAnsi="宋体" w:cs="宋体"/>
                <w:bCs/>
                <w:sz w:val="18"/>
                <w:szCs w:val="18"/>
              </w:rPr>
              <w:t>4：单体电压下限到终止</w:t>
            </w:r>
          </w:p>
          <w:p w14:paraId="57A25F7E">
            <w:pPr>
              <w:jc w:val="center"/>
              <w:rPr>
                <w:rFonts w:ascii="宋体" w:hAnsi="宋体" w:cs="宋体"/>
                <w:bCs/>
                <w:sz w:val="18"/>
                <w:szCs w:val="18"/>
              </w:rPr>
            </w:pPr>
            <w:r>
              <w:rPr>
                <w:rFonts w:hint="eastAsia" w:ascii="宋体" w:hAnsi="宋体" w:cs="宋体"/>
                <w:bCs/>
                <w:sz w:val="18"/>
                <w:szCs w:val="18"/>
              </w:rPr>
              <w:t>5：单体温度上限终止</w:t>
            </w:r>
          </w:p>
          <w:p w14:paraId="58C132FE">
            <w:pPr>
              <w:jc w:val="center"/>
              <w:rPr>
                <w:rFonts w:ascii="宋体" w:hAnsi="宋体" w:cs="宋体"/>
                <w:bCs/>
                <w:sz w:val="18"/>
                <w:szCs w:val="18"/>
              </w:rPr>
            </w:pPr>
            <w:r>
              <w:rPr>
                <w:rFonts w:hint="eastAsia" w:ascii="宋体" w:hAnsi="宋体" w:cs="宋体"/>
                <w:bCs/>
                <w:sz w:val="18"/>
                <w:szCs w:val="18"/>
              </w:rPr>
              <w:t>6：组端电压下限到终止</w:t>
            </w:r>
          </w:p>
          <w:p w14:paraId="068DBFB9">
            <w:pPr>
              <w:jc w:val="center"/>
              <w:rPr>
                <w:rFonts w:ascii="宋体" w:hAnsi="宋体" w:cs="宋体"/>
                <w:bCs/>
                <w:sz w:val="18"/>
                <w:szCs w:val="18"/>
              </w:rPr>
            </w:pPr>
            <w:r>
              <w:rPr>
                <w:rFonts w:hint="eastAsia" w:ascii="宋体" w:hAnsi="宋体" w:cs="宋体"/>
                <w:bCs/>
                <w:sz w:val="18"/>
                <w:szCs w:val="18"/>
              </w:rPr>
              <w:t>7：市电中断终止</w:t>
            </w:r>
          </w:p>
          <w:p w14:paraId="4D6F2369">
            <w:pPr>
              <w:jc w:val="center"/>
              <w:rPr>
                <w:rFonts w:ascii="宋体" w:hAnsi="宋体" w:cs="宋体"/>
                <w:bCs/>
                <w:sz w:val="18"/>
                <w:szCs w:val="18"/>
              </w:rPr>
            </w:pPr>
            <w:r>
              <w:rPr>
                <w:rFonts w:hint="eastAsia" w:ascii="宋体" w:hAnsi="宋体" w:cs="宋体"/>
                <w:bCs/>
                <w:sz w:val="18"/>
                <w:szCs w:val="18"/>
              </w:rPr>
              <w:t>8：单体模块通信异常终止</w:t>
            </w:r>
          </w:p>
          <w:p w14:paraId="7A2C6A3E">
            <w:pPr>
              <w:jc w:val="center"/>
              <w:rPr>
                <w:rFonts w:ascii="宋体" w:hAnsi="宋体" w:cs="宋体"/>
                <w:bCs/>
                <w:sz w:val="18"/>
                <w:szCs w:val="18"/>
              </w:rPr>
            </w:pPr>
            <w:r>
              <w:rPr>
                <w:rFonts w:hint="eastAsia" w:ascii="宋体" w:hAnsi="宋体" w:cs="宋体"/>
                <w:bCs/>
                <w:sz w:val="18"/>
                <w:szCs w:val="18"/>
              </w:rPr>
              <w:t>9：存储数据满终止</w:t>
            </w:r>
          </w:p>
          <w:p w14:paraId="6D0A105D">
            <w:pPr>
              <w:jc w:val="center"/>
              <w:rPr>
                <w:rFonts w:ascii="宋体" w:hAnsi="宋体" w:cs="宋体"/>
                <w:bCs/>
                <w:sz w:val="18"/>
                <w:szCs w:val="18"/>
              </w:rPr>
            </w:pPr>
            <w:r>
              <w:rPr>
                <w:rFonts w:hint="eastAsia" w:ascii="宋体" w:hAnsi="宋体" w:cs="宋体"/>
                <w:bCs/>
                <w:sz w:val="18"/>
                <w:szCs w:val="18"/>
              </w:rPr>
              <w:t>10：机内温度异常终止</w:t>
            </w:r>
          </w:p>
          <w:p w14:paraId="15E5B1BF">
            <w:pPr>
              <w:jc w:val="center"/>
              <w:rPr>
                <w:rFonts w:ascii="宋体" w:hAnsi="宋体" w:cs="宋体"/>
                <w:bCs/>
                <w:sz w:val="18"/>
                <w:szCs w:val="18"/>
              </w:rPr>
            </w:pPr>
            <w:r>
              <w:rPr>
                <w:rFonts w:hint="eastAsia" w:ascii="宋体" w:hAnsi="宋体" w:cs="宋体"/>
                <w:bCs/>
                <w:sz w:val="18"/>
                <w:szCs w:val="18"/>
              </w:rPr>
              <w:t>11：放电电流异常终止</w:t>
            </w:r>
          </w:p>
          <w:p w14:paraId="3D503F55">
            <w:pPr>
              <w:jc w:val="center"/>
              <w:rPr>
                <w:rFonts w:ascii="宋体" w:hAnsi="宋体" w:cs="宋体"/>
                <w:bCs/>
                <w:sz w:val="18"/>
                <w:szCs w:val="18"/>
              </w:rPr>
            </w:pPr>
            <w:r>
              <w:rPr>
                <w:rFonts w:hint="eastAsia" w:ascii="宋体" w:hAnsi="宋体" w:cs="宋体"/>
                <w:bCs/>
                <w:sz w:val="18"/>
                <w:szCs w:val="18"/>
              </w:rPr>
              <w:t>12：后台通信中断终止</w:t>
            </w:r>
          </w:p>
          <w:p w14:paraId="21AD3B83">
            <w:pPr>
              <w:jc w:val="center"/>
              <w:rPr>
                <w:rFonts w:ascii="宋体" w:hAnsi="宋体" w:cs="宋体"/>
                <w:bCs/>
                <w:sz w:val="18"/>
                <w:szCs w:val="18"/>
              </w:rPr>
            </w:pPr>
            <w:r>
              <w:rPr>
                <w:rFonts w:hint="eastAsia" w:ascii="宋体" w:hAnsi="宋体" w:cs="宋体"/>
                <w:bCs/>
                <w:sz w:val="18"/>
                <w:szCs w:val="18"/>
              </w:rPr>
              <w:t>13：内部程序异常终止</w:t>
            </w:r>
          </w:p>
          <w:p w14:paraId="619FB967">
            <w:pPr>
              <w:jc w:val="center"/>
              <w:rPr>
                <w:rFonts w:ascii="宋体" w:hAnsi="宋体" w:cs="宋体"/>
                <w:bCs/>
                <w:sz w:val="18"/>
                <w:szCs w:val="18"/>
              </w:rPr>
            </w:pPr>
            <w:r>
              <w:rPr>
                <w:rFonts w:hint="eastAsia" w:ascii="宋体" w:hAnsi="宋体" w:cs="宋体"/>
                <w:bCs/>
                <w:sz w:val="18"/>
                <w:szCs w:val="18"/>
              </w:rPr>
              <w:t>14：电源电压高终止</w:t>
            </w:r>
          </w:p>
          <w:p w14:paraId="29AC768F">
            <w:pPr>
              <w:jc w:val="center"/>
              <w:rPr>
                <w:rFonts w:ascii="宋体" w:hAnsi="宋体" w:cs="宋体"/>
                <w:bCs/>
                <w:sz w:val="18"/>
                <w:szCs w:val="18"/>
              </w:rPr>
            </w:pPr>
            <w:r>
              <w:rPr>
                <w:rFonts w:hint="eastAsia" w:ascii="宋体" w:hAnsi="宋体" w:cs="宋体"/>
                <w:bCs/>
                <w:sz w:val="18"/>
                <w:szCs w:val="18"/>
              </w:rPr>
              <w:t>15：协转通信异常</w:t>
            </w:r>
          </w:p>
          <w:p w14:paraId="6BF88221">
            <w:pPr>
              <w:jc w:val="center"/>
              <w:rPr>
                <w:rFonts w:ascii="宋体" w:hAnsi="宋体" w:cs="宋体"/>
                <w:bCs/>
                <w:sz w:val="18"/>
                <w:szCs w:val="18"/>
              </w:rPr>
            </w:pPr>
            <w:r>
              <w:rPr>
                <w:rFonts w:hint="eastAsia" w:ascii="宋体" w:hAnsi="宋体" w:cs="宋体"/>
                <w:bCs/>
                <w:sz w:val="18"/>
                <w:szCs w:val="18"/>
              </w:rPr>
              <w:t>16：其他</w:t>
            </w:r>
          </w:p>
        </w:tc>
        <w:tc>
          <w:tcPr>
            <w:tcW w:w="3315" w:type="dxa"/>
            <w:vAlign w:val="center"/>
          </w:tcPr>
          <w:p w14:paraId="41082594">
            <w:pPr>
              <w:jc w:val="center"/>
              <w:rPr>
                <w:rFonts w:ascii="宋体" w:hAnsi="宋体" w:cs="宋体"/>
                <w:bCs/>
                <w:sz w:val="18"/>
                <w:szCs w:val="18"/>
              </w:rPr>
            </w:pPr>
            <w:r>
              <w:rPr>
                <w:rFonts w:hint="eastAsia" w:ascii="宋体" w:hAnsi="宋体" w:cs="宋体"/>
                <w:bCs/>
                <w:sz w:val="18"/>
                <w:szCs w:val="18"/>
              </w:rPr>
              <w:t>BTSE/ncdGGIOn$MX$AnIn1</w:t>
            </w:r>
          </w:p>
        </w:tc>
      </w:tr>
      <w:tr w14:paraId="5CFFF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561" w:type="dxa"/>
            <w:vAlign w:val="center"/>
          </w:tcPr>
          <w:p w14:paraId="03B85DC6">
            <w:pPr>
              <w:jc w:val="center"/>
              <w:rPr>
                <w:rFonts w:ascii="宋体" w:hAnsi="宋体" w:cs="宋体"/>
                <w:bCs/>
                <w:sz w:val="18"/>
                <w:szCs w:val="18"/>
              </w:rPr>
            </w:pPr>
            <w:r>
              <w:rPr>
                <w:rFonts w:hint="eastAsia" w:ascii="宋体" w:hAnsi="宋体" w:cs="宋体"/>
                <w:bCs/>
                <w:sz w:val="18"/>
                <w:szCs w:val="18"/>
              </w:rPr>
              <w:t>18</w:t>
            </w:r>
          </w:p>
        </w:tc>
        <w:tc>
          <w:tcPr>
            <w:tcW w:w="3480" w:type="dxa"/>
            <w:vAlign w:val="center"/>
          </w:tcPr>
          <w:p w14:paraId="077151A3">
            <w:pPr>
              <w:jc w:val="center"/>
              <w:rPr>
                <w:rFonts w:ascii="宋体" w:hAnsi="宋体" w:cs="宋体"/>
                <w:bCs/>
                <w:sz w:val="18"/>
                <w:szCs w:val="18"/>
              </w:rPr>
            </w:pPr>
            <w:r>
              <w:rPr>
                <w:rFonts w:hint="eastAsia" w:ascii="宋体" w:hAnsi="宋体" w:cs="宋体"/>
                <w:bCs/>
                <w:sz w:val="18"/>
                <w:szCs w:val="18"/>
              </w:rPr>
              <w:t>第N组核容测试终止时的已放电容量</w:t>
            </w:r>
          </w:p>
          <w:p w14:paraId="0F9D71F5">
            <w:pPr>
              <w:jc w:val="center"/>
              <w:rPr>
                <w:rFonts w:ascii="宋体" w:hAnsi="宋体" w:cs="宋体"/>
                <w:bCs/>
                <w:sz w:val="18"/>
                <w:szCs w:val="18"/>
              </w:rPr>
            </w:pPr>
            <w:r>
              <w:rPr>
                <w:rFonts w:hint="eastAsia" w:ascii="宋体" w:hAnsi="宋体" w:cs="宋体"/>
                <w:bCs/>
                <w:sz w:val="18"/>
                <w:szCs w:val="18"/>
              </w:rPr>
              <w:t>（单位：Ah）</w:t>
            </w:r>
          </w:p>
        </w:tc>
        <w:tc>
          <w:tcPr>
            <w:tcW w:w="2235" w:type="dxa"/>
            <w:vAlign w:val="center"/>
          </w:tcPr>
          <w:p w14:paraId="612FD6E3">
            <w:pPr>
              <w:jc w:val="center"/>
              <w:rPr>
                <w:rFonts w:ascii="宋体" w:hAnsi="宋体" w:cs="宋体"/>
                <w:bCs/>
                <w:sz w:val="18"/>
                <w:szCs w:val="18"/>
              </w:rPr>
            </w:pPr>
            <w:r>
              <w:rPr>
                <w:rFonts w:hint="eastAsia" w:ascii="宋体" w:hAnsi="宋体" w:cs="宋体"/>
                <w:bCs/>
                <w:sz w:val="18"/>
                <w:szCs w:val="18"/>
              </w:rPr>
              <w:t>核容测试累计容量</w:t>
            </w:r>
          </w:p>
        </w:tc>
        <w:tc>
          <w:tcPr>
            <w:tcW w:w="3315" w:type="dxa"/>
            <w:vAlign w:val="center"/>
          </w:tcPr>
          <w:p w14:paraId="38E528B8">
            <w:pPr>
              <w:jc w:val="center"/>
              <w:rPr>
                <w:rFonts w:ascii="宋体" w:hAnsi="宋体" w:cs="宋体"/>
                <w:bCs/>
                <w:sz w:val="18"/>
                <w:szCs w:val="18"/>
              </w:rPr>
            </w:pPr>
            <w:r>
              <w:rPr>
                <w:rFonts w:hint="eastAsia" w:ascii="宋体" w:hAnsi="宋体" w:cs="宋体"/>
                <w:bCs/>
                <w:sz w:val="18"/>
                <w:szCs w:val="18"/>
              </w:rPr>
              <w:t>BTSE/ncdGGIOn$MX$AnIn2</w:t>
            </w:r>
          </w:p>
        </w:tc>
      </w:tr>
      <w:tr w14:paraId="43E9C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561" w:type="dxa"/>
            <w:vAlign w:val="center"/>
          </w:tcPr>
          <w:p w14:paraId="471F8616">
            <w:pPr>
              <w:jc w:val="center"/>
              <w:rPr>
                <w:rFonts w:ascii="宋体" w:hAnsi="宋体" w:cs="宋体"/>
                <w:bCs/>
                <w:sz w:val="18"/>
                <w:szCs w:val="18"/>
              </w:rPr>
            </w:pPr>
            <w:r>
              <w:rPr>
                <w:rFonts w:hint="eastAsia" w:ascii="宋体" w:hAnsi="宋体" w:cs="宋体"/>
                <w:bCs/>
                <w:sz w:val="18"/>
                <w:szCs w:val="18"/>
              </w:rPr>
              <w:t>19</w:t>
            </w:r>
          </w:p>
        </w:tc>
        <w:tc>
          <w:tcPr>
            <w:tcW w:w="3480" w:type="dxa"/>
            <w:vAlign w:val="center"/>
          </w:tcPr>
          <w:p w14:paraId="760A6850">
            <w:pPr>
              <w:jc w:val="center"/>
              <w:rPr>
                <w:rFonts w:ascii="宋体" w:hAnsi="宋体" w:cs="宋体"/>
                <w:bCs/>
                <w:sz w:val="18"/>
                <w:szCs w:val="18"/>
              </w:rPr>
            </w:pPr>
            <w:r>
              <w:rPr>
                <w:rFonts w:hint="eastAsia" w:ascii="宋体" w:hAnsi="宋体" w:cs="宋体"/>
                <w:bCs/>
                <w:sz w:val="18"/>
                <w:szCs w:val="18"/>
              </w:rPr>
              <w:t>第N组核容测试终止时的已放电时间</w:t>
            </w:r>
          </w:p>
          <w:p w14:paraId="4EA76F12">
            <w:pPr>
              <w:jc w:val="center"/>
              <w:rPr>
                <w:rFonts w:ascii="宋体" w:hAnsi="宋体" w:cs="宋体"/>
                <w:bCs/>
                <w:sz w:val="18"/>
                <w:szCs w:val="18"/>
              </w:rPr>
            </w:pPr>
            <w:r>
              <w:rPr>
                <w:rFonts w:hint="eastAsia" w:ascii="宋体" w:hAnsi="宋体" w:cs="宋体"/>
                <w:bCs/>
                <w:sz w:val="18"/>
                <w:szCs w:val="18"/>
              </w:rPr>
              <w:t>（单位小时）</w:t>
            </w:r>
          </w:p>
        </w:tc>
        <w:tc>
          <w:tcPr>
            <w:tcW w:w="2235" w:type="dxa"/>
            <w:vAlign w:val="center"/>
          </w:tcPr>
          <w:p w14:paraId="2A9969C3">
            <w:pPr>
              <w:jc w:val="center"/>
              <w:rPr>
                <w:rFonts w:ascii="宋体" w:hAnsi="宋体" w:cs="宋体"/>
                <w:bCs/>
                <w:sz w:val="18"/>
                <w:szCs w:val="18"/>
              </w:rPr>
            </w:pPr>
            <w:r>
              <w:rPr>
                <w:rFonts w:hint="eastAsia" w:ascii="宋体" w:hAnsi="宋体" w:cs="宋体"/>
                <w:bCs/>
                <w:sz w:val="18"/>
                <w:szCs w:val="18"/>
              </w:rPr>
              <w:t>核容测试累计时间</w:t>
            </w:r>
          </w:p>
        </w:tc>
        <w:tc>
          <w:tcPr>
            <w:tcW w:w="3315" w:type="dxa"/>
            <w:vAlign w:val="center"/>
          </w:tcPr>
          <w:p w14:paraId="0F077D61">
            <w:pPr>
              <w:jc w:val="center"/>
              <w:rPr>
                <w:rFonts w:ascii="宋体" w:hAnsi="宋体" w:cs="宋体"/>
                <w:bCs/>
                <w:sz w:val="18"/>
                <w:szCs w:val="18"/>
              </w:rPr>
            </w:pPr>
            <w:r>
              <w:rPr>
                <w:rFonts w:hint="eastAsia" w:ascii="宋体" w:hAnsi="宋体" w:cs="宋体"/>
                <w:bCs/>
                <w:sz w:val="18"/>
                <w:szCs w:val="18"/>
              </w:rPr>
              <w:t>BTSE/ncdGGIOn$MX$AnIn3</w:t>
            </w:r>
          </w:p>
        </w:tc>
      </w:tr>
      <w:tr w14:paraId="7FF9A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561" w:type="dxa"/>
            <w:vAlign w:val="center"/>
          </w:tcPr>
          <w:p w14:paraId="4BD0D3D8">
            <w:pPr>
              <w:jc w:val="center"/>
              <w:rPr>
                <w:rFonts w:ascii="宋体" w:hAnsi="宋体" w:cs="宋体"/>
                <w:bCs/>
                <w:sz w:val="18"/>
                <w:szCs w:val="18"/>
              </w:rPr>
            </w:pPr>
            <w:r>
              <w:rPr>
                <w:rFonts w:hint="eastAsia" w:ascii="宋体" w:hAnsi="宋体" w:cs="宋体"/>
                <w:bCs/>
                <w:sz w:val="18"/>
                <w:szCs w:val="18"/>
              </w:rPr>
              <w:t>20</w:t>
            </w:r>
          </w:p>
        </w:tc>
        <w:tc>
          <w:tcPr>
            <w:tcW w:w="3480" w:type="dxa"/>
            <w:vAlign w:val="center"/>
          </w:tcPr>
          <w:p w14:paraId="3C84ED3E">
            <w:pPr>
              <w:jc w:val="center"/>
              <w:rPr>
                <w:rFonts w:ascii="宋体" w:hAnsi="宋体" w:cs="宋体"/>
                <w:bCs/>
                <w:sz w:val="18"/>
                <w:szCs w:val="18"/>
              </w:rPr>
            </w:pPr>
            <w:r>
              <w:rPr>
                <w:rFonts w:hint="eastAsia" w:ascii="宋体" w:hAnsi="宋体" w:cs="宋体"/>
                <w:bCs/>
                <w:sz w:val="18"/>
                <w:szCs w:val="18"/>
              </w:rPr>
              <w:t>第N组核容测试终止时的蓄电池组端电压</w:t>
            </w:r>
          </w:p>
        </w:tc>
        <w:tc>
          <w:tcPr>
            <w:tcW w:w="2235" w:type="dxa"/>
            <w:vAlign w:val="center"/>
          </w:tcPr>
          <w:p w14:paraId="2B93EDDC">
            <w:pPr>
              <w:jc w:val="center"/>
              <w:rPr>
                <w:rFonts w:ascii="宋体" w:hAnsi="宋体" w:cs="宋体"/>
                <w:bCs/>
                <w:sz w:val="18"/>
                <w:szCs w:val="18"/>
              </w:rPr>
            </w:pPr>
            <w:r>
              <w:rPr>
                <w:rFonts w:hint="eastAsia" w:ascii="宋体" w:hAnsi="宋体" w:cs="宋体"/>
                <w:bCs/>
                <w:sz w:val="18"/>
                <w:szCs w:val="18"/>
              </w:rPr>
              <w:t>组端电压</w:t>
            </w:r>
          </w:p>
        </w:tc>
        <w:tc>
          <w:tcPr>
            <w:tcW w:w="3315" w:type="dxa"/>
            <w:vAlign w:val="center"/>
          </w:tcPr>
          <w:p w14:paraId="6FE7817D">
            <w:pPr>
              <w:jc w:val="center"/>
              <w:rPr>
                <w:rFonts w:ascii="宋体" w:hAnsi="宋体" w:cs="宋体"/>
                <w:bCs/>
                <w:sz w:val="18"/>
                <w:szCs w:val="18"/>
              </w:rPr>
            </w:pPr>
            <w:r>
              <w:rPr>
                <w:rFonts w:hint="eastAsia" w:ascii="宋体" w:hAnsi="宋体" w:cs="宋体"/>
                <w:bCs/>
                <w:sz w:val="18"/>
                <w:szCs w:val="18"/>
              </w:rPr>
              <w:t>BTSE/ncdGGIOn$MX$AnIn4</w:t>
            </w:r>
          </w:p>
        </w:tc>
      </w:tr>
      <w:tr w14:paraId="01E5F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561" w:type="dxa"/>
            <w:vAlign w:val="center"/>
          </w:tcPr>
          <w:p w14:paraId="48D43BE4">
            <w:pPr>
              <w:jc w:val="center"/>
              <w:rPr>
                <w:rFonts w:ascii="宋体" w:hAnsi="宋体" w:cs="宋体"/>
                <w:bCs/>
                <w:sz w:val="18"/>
                <w:szCs w:val="18"/>
              </w:rPr>
            </w:pPr>
            <w:r>
              <w:rPr>
                <w:rFonts w:hint="eastAsia" w:ascii="宋体" w:hAnsi="宋体" w:cs="宋体"/>
                <w:bCs/>
                <w:sz w:val="18"/>
                <w:szCs w:val="18"/>
              </w:rPr>
              <w:t>21</w:t>
            </w:r>
          </w:p>
        </w:tc>
        <w:tc>
          <w:tcPr>
            <w:tcW w:w="3480" w:type="dxa"/>
            <w:vAlign w:val="center"/>
          </w:tcPr>
          <w:p w14:paraId="485B1CE9">
            <w:pPr>
              <w:jc w:val="center"/>
              <w:rPr>
                <w:rFonts w:ascii="宋体" w:hAnsi="宋体" w:cs="宋体"/>
                <w:bCs/>
                <w:sz w:val="18"/>
                <w:szCs w:val="18"/>
              </w:rPr>
            </w:pPr>
            <w:r>
              <w:rPr>
                <w:rFonts w:hint="eastAsia" w:ascii="宋体" w:hAnsi="宋体" w:cs="宋体"/>
                <w:bCs/>
                <w:sz w:val="18"/>
                <w:szCs w:val="18"/>
              </w:rPr>
              <w:t>第N组核容测试终止时的在线电源端电压</w:t>
            </w:r>
          </w:p>
        </w:tc>
        <w:tc>
          <w:tcPr>
            <w:tcW w:w="2235" w:type="dxa"/>
            <w:vAlign w:val="center"/>
          </w:tcPr>
          <w:p w14:paraId="542BDC31">
            <w:pPr>
              <w:jc w:val="center"/>
              <w:rPr>
                <w:rFonts w:ascii="宋体" w:hAnsi="宋体" w:cs="宋体"/>
                <w:bCs/>
                <w:sz w:val="18"/>
                <w:szCs w:val="18"/>
              </w:rPr>
            </w:pPr>
            <w:r>
              <w:rPr>
                <w:rFonts w:hint="eastAsia" w:ascii="宋体" w:hAnsi="宋体" w:cs="宋体"/>
                <w:bCs/>
                <w:sz w:val="18"/>
                <w:szCs w:val="18"/>
              </w:rPr>
              <w:t>在线电源端电压</w:t>
            </w:r>
          </w:p>
        </w:tc>
        <w:tc>
          <w:tcPr>
            <w:tcW w:w="3315" w:type="dxa"/>
            <w:vAlign w:val="center"/>
          </w:tcPr>
          <w:p w14:paraId="6AE3FEC6">
            <w:pPr>
              <w:jc w:val="center"/>
              <w:rPr>
                <w:rFonts w:ascii="宋体" w:hAnsi="宋体" w:cs="宋体"/>
                <w:bCs/>
                <w:sz w:val="18"/>
                <w:szCs w:val="18"/>
              </w:rPr>
            </w:pPr>
            <w:r>
              <w:rPr>
                <w:rFonts w:hint="eastAsia" w:ascii="宋体" w:hAnsi="宋体" w:cs="宋体"/>
                <w:bCs/>
                <w:sz w:val="18"/>
                <w:szCs w:val="18"/>
              </w:rPr>
              <w:t>BTSE/ncdGGIOn$MX$AnIn5</w:t>
            </w:r>
          </w:p>
        </w:tc>
      </w:tr>
      <w:tr w14:paraId="502E6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561" w:type="dxa"/>
            <w:vAlign w:val="center"/>
          </w:tcPr>
          <w:p w14:paraId="07DCD2A4">
            <w:pPr>
              <w:jc w:val="center"/>
              <w:rPr>
                <w:rFonts w:ascii="宋体" w:hAnsi="宋体" w:cs="宋体"/>
                <w:bCs/>
                <w:sz w:val="18"/>
                <w:szCs w:val="18"/>
              </w:rPr>
            </w:pPr>
            <w:r>
              <w:rPr>
                <w:rFonts w:hint="eastAsia" w:ascii="宋体" w:hAnsi="宋体" w:cs="宋体"/>
                <w:bCs/>
                <w:sz w:val="18"/>
                <w:szCs w:val="18"/>
              </w:rPr>
              <w:t>22</w:t>
            </w:r>
          </w:p>
        </w:tc>
        <w:tc>
          <w:tcPr>
            <w:tcW w:w="3480" w:type="dxa"/>
            <w:vAlign w:val="center"/>
          </w:tcPr>
          <w:p w14:paraId="3F311E69">
            <w:pPr>
              <w:jc w:val="center"/>
              <w:rPr>
                <w:rFonts w:ascii="宋体" w:hAnsi="宋体" w:cs="宋体"/>
                <w:bCs/>
                <w:sz w:val="18"/>
                <w:szCs w:val="18"/>
              </w:rPr>
            </w:pPr>
            <w:r>
              <w:rPr>
                <w:rFonts w:hint="eastAsia" w:ascii="宋体" w:hAnsi="宋体" w:cs="宋体"/>
                <w:bCs/>
                <w:sz w:val="18"/>
                <w:szCs w:val="18"/>
              </w:rPr>
              <w:t>第N组核容测试终止时的核容电流</w:t>
            </w:r>
          </w:p>
        </w:tc>
        <w:tc>
          <w:tcPr>
            <w:tcW w:w="2235" w:type="dxa"/>
            <w:vAlign w:val="center"/>
          </w:tcPr>
          <w:p w14:paraId="663677A5">
            <w:pPr>
              <w:jc w:val="center"/>
              <w:rPr>
                <w:rFonts w:ascii="宋体" w:hAnsi="宋体" w:cs="宋体"/>
                <w:bCs/>
                <w:sz w:val="18"/>
                <w:szCs w:val="18"/>
              </w:rPr>
            </w:pPr>
            <w:r>
              <w:rPr>
                <w:rFonts w:hint="eastAsia" w:ascii="宋体" w:hAnsi="宋体" w:cs="宋体"/>
                <w:bCs/>
                <w:sz w:val="18"/>
                <w:szCs w:val="18"/>
              </w:rPr>
              <w:t>核容电流</w:t>
            </w:r>
          </w:p>
        </w:tc>
        <w:tc>
          <w:tcPr>
            <w:tcW w:w="3315" w:type="dxa"/>
            <w:vAlign w:val="center"/>
          </w:tcPr>
          <w:p w14:paraId="527C6110">
            <w:pPr>
              <w:jc w:val="center"/>
              <w:rPr>
                <w:rFonts w:ascii="宋体" w:hAnsi="宋体" w:cs="宋体"/>
                <w:bCs/>
                <w:sz w:val="18"/>
                <w:szCs w:val="18"/>
              </w:rPr>
            </w:pPr>
            <w:r>
              <w:rPr>
                <w:rFonts w:hint="eastAsia" w:ascii="宋体" w:hAnsi="宋体" w:cs="宋体"/>
                <w:bCs/>
                <w:sz w:val="18"/>
                <w:szCs w:val="18"/>
              </w:rPr>
              <w:t>BTSE/ncdGGIOn$MX$AnIn6</w:t>
            </w:r>
          </w:p>
        </w:tc>
      </w:tr>
      <w:tr w14:paraId="0F218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561" w:type="dxa"/>
            <w:vAlign w:val="center"/>
          </w:tcPr>
          <w:p w14:paraId="5D1ACEF3">
            <w:pPr>
              <w:jc w:val="center"/>
              <w:rPr>
                <w:rFonts w:ascii="宋体" w:hAnsi="宋体" w:cs="宋体"/>
                <w:bCs/>
                <w:sz w:val="18"/>
                <w:szCs w:val="18"/>
              </w:rPr>
            </w:pPr>
            <w:r>
              <w:rPr>
                <w:rFonts w:hint="eastAsia" w:ascii="宋体" w:hAnsi="宋体" w:cs="宋体"/>
                <w:bCs/>
                <w:sz w:val="18"/>
                <w:szCs w:val="18"/>
              </w:rPr>
              <w:t>23</w:t>
            </w:r>
          </w:p>
        </w:tc>
        <w:tc>
          <w:tcPr>
            <w:tcW w:w="3480" w:type="dxa"/>
            <w:vAlign w:val="center"/>
          </w:tcPr>
          <w:p w14:paraId="2D8E157A">
            <w:pPr>
              <w:jc w:val="center"/>
              <w:rPr>
                <w:rFonts w:ascii="宋体" w:hAnsi="宋体" w:cs="宋体"/>
                <w:bCs/>
                <w:sz w:val="18"/>
                <w:szCs w:val="18"/>
              </w:rPr>
            </w:pPr>
            <w:r>
              <w:rPr>
                <w:rFonts w:hint="eastAsia" w:ascii="宋体" w:hAnsi="宋体" w:cs="宋体"/>
                <w:bCs/>
                <w:sz w:val="18"/>
                <w:szCs w:val="18"/>
              </w:rPr>
              <w:t>第N组核容测试终止时的M单体电池电压</w:t>
            </w:r>
          </w:p>
        </w:tc>
        <w:tc>
          <w:tcPr>
            <w:tcW w:w="2235" w:type="dxa"/>
            <w:vAlign w:val="center"/>
          </w:tcPr>
          <w:p w14:paraId="4B0A3275">
            <w:pPr>
              <w:jc w:val="center"/>
              <w:rPr>
                <w:rFonts w:ascii="宋体" w:hAnsi="宋体" w:cs="宋体"/>
                <w:bCs/>
                <w:sz w:val="18"/>
                <w:szCs w:val="18"/>
              </w:rPr>
            </w:pPr>
            <w:r>
              <w:rPr>
                <w:rFonts w:hint="eastAsia" w:ascii="宋体" w:hAnsi="宋体" w:cs="宋体"/>
                <w:bCs/>
                <w:sz w:val="18"/>
                <w:szCs w:val="18"/>
              </w:rPr>
              <w:t>第M节单体电压值</w:t>
            </w:r>
          </w:p>
        </w:tc>
        <w:tc>
          <w:tcPr>
            <w:tcW w:w="3315" w:type="dxa"/>
            <w:vAlign w:val="center"/>
          </w:tcPr>
          <w:p w14:paraId="61B3D8CE">
            <w:pPr>
              <w:jc w:val="center"/>
              <w:rPr>
                <w:rFonts w:ascii="宋体" w:hAnsi="宋体" w:cs="宋体"/>
                <w:bCs/>
                <w:sz w:val="18"/>
                <w:szCs w:val="18"/>
              </w:rPr>
            </w:pPr>
            <w:r>
              <w:rPr>
                <w:rFonts w:hint="eastAsia" w:ascii="宋体" w:hAnsi="宋体" w:cs="宋体"/>
                <w:bCs/>
                <w:sz w:val="18"/>
                <w:szCs w:val="18"/>
              </w:rPr>
              <w:t>BTSE/ncdGGIOn$MX$AnIn6+M</w:t>
            </w:r>
          </w:p>
        </w:tc>
      </w:tr>
      <w:tr w14:paraId="3AAEF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561" w:type="dxa"/>
            <w:vAlign w:val="center"/>
          </w:tcPr>
          <w:p w14:paraId="1C0C8A09">
            <w:pPr>
              <w:jc w:val="center"/>
              <w:rPr>
                <w:rFonts w:ascii="宋体" w:hAnsi="宋体" w:cs="宋体"/>
                <w:bCs/>
                <w:sz w:val="18"/>
                <w:szCs w:val="18"/>
              </w:rPr>
            </w:pPr>
            <w:r>
              <w:rPr>
                <w:rFonts w:hint="eastAsia" w:ascii="宋体" w:hAnsi="宋体" w:cs="宋体"/>
                <w:bCs/>
                <w:sz w:val="18"/>
                <w:szCs w:val="18"/>
              </w:rPr>
              <w:t>24</w:t>
            </w:r>
          </w:p>
        </w:tc>
        <w:tc>
          <w:tcPr>
            <w:tcW w:w="3480" w:type="dxa"/>
            <w:vAlign w:val="center"/>
          </w:tcPr>
          <w:p w14:paraId="3C602657">
            <w:pPr>
              <w:jc w:val="center"/>
              <w:rPr>
                <w:rFonts w:ascii="宋体" w:hAnsi="宋体" w:cs="宋体"/>
                <w:bCs/>
                <w:sz w:val="18"/>
                <w:szCs w:val="18"/>
              </w:rPr>
            </w:pPr>
            <w:r>
              <w:rPr>
                <w:rFonts w:hint="eastAsia" w:ascii="宋体" w:hAnsi="宋体" w:cs="宋体"/>
                <w:bCs/>
                <w:sz w:val="18"/>
                <w:szCs w:val="18"/>
              </w:rPr>
              <w:t>第N组核容测试终止时的M单体电池温度</w:t>
            </w:r>
          </w:p>
        </w:tc>
        <w:tc>
          <w:tcPr>
            <w:tcW w:w="2235" w:type="dxa"/>
            <w:vAlign w:val="center"/>
          </w:tcPr>
          <w:p w14:paraId="55731501">
            <w:pPr>
              <w:jc w:val="center"/>
              <w:rPr>
                <w:rFonts w:ascii="宋体" w:hAnsi="宋体" w:cs="宋体"/>
                <w:bCs/>
                <w:sz w:val="18"/>
                <w:szCs w:val="18"/>
              </w:rPr>
            </w:pPr>
            <w:r>
              <w:rPr>
                <w:rFonts w:hint="eastAsia" w:ascii="宋体" w:hAnsi="宋体" w:cs="宋体"/>
                <w:bCs/>
                <w:sz w:val="18"/>
                <w:szCs w:val="18"/>
              </w:rPr>
              <w:t>第M节单体温度值</w:t>
            </w:r>
          </w:p>
        </w:tc>
        <w:tc>
          <w:tcPr>
            <w:tcW w:w="3315" w:type="dxa"/>
            <w:vAlign w:val="center"/>
          </w:tcPr>
          <w:p w14:paraId="0DE2ACCC">
            <w:pPr>
              <w:jc w:val="center"/>
              <w:rPr>
                <w:rFonts w:ascii="宋体" w:hAnsi="宋体" w:cs="宋体"/>
                <w:bCs/>
                <w:sz w:val="18"/>
                <w:szCs w:val="18"/>
              </w:rPr>
            </w:pPr>
            <w:r>
              <w:rPr>
                <w:rFonts w:hint="eastAsia" w:ascii="宋体" w:hAnsi="宋体" w:cs="宋体"/>
                <w:bCs/>
                <w:sz w:val="18"/>
                <w:szCs w:val="18"/>
              </w:rPr>
              <w:t>BTSE/ncdGGIOn$MX$AnIn30+M</w:t>
            </w:r>
          </w:p>
        </w:tc>
      </w:tr>
      <w:tr w14:paraId="39FE0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561" w:type="dxa"/>
            <w:vAlign w:val="center"/>
          </w:tcPr>
          <w:p w14:paraId="6CF69F07">
            <w:pPr>
              <w:jc w:val="center"/>
              <w:rPr>
                <w:rFonts w:ascii="宋体" w:hAnsi="宋体" w:cs="宋体"/>
                <w:bCs/>
                <w:sz w:val="18"/>
                <w:szCs w:val="18"/>
              </w:rPr>
            </w:pPr>
            <w:r>
              <w:rPr>
                <w:rFonts w:hint="eastAsia" w:ascii="宋体" w:hAnsi="宋体" w:cs="宋体"/>
                <w:bCs/>
                <w:sz w:val="18"/>
                <w:szCs w:val="18"/>
              </w:rPr>
              <w:t>25</w:t>
            </w:r>
          </w:p>
        </w:tc>
        <w:tc>
          <w:tcPr>
            <w:tcW w:w="3480" w:type="dxa"/>
            <w:vAlign w:val="center"/>
          </w:tcPr>
          <w:p w14:paraId="7BB815C8">
            <w:pPr>
              <w:jc w:val="center"/>
              <w:rPr>
                <w:rFonts w:ascii="宋体" w:hAnsi="宋体" w:cs="宋体"/>
                <w:bCs/>
                <w:sz w:val="18"/>
                <w:szCs w:val="18"/>
              </w:rPr>
            </w:pPr>
            <w:r>
              <w:rPr>
                <w:rFonts w:hint="eastAsia" w:ascii="宋体" w:hAnsi="宋体" w:cs="宋体"/>
                <w:bCs/>
                <w:sz w:val="18"/>
                <w:szCs w:val="18"/>
              </w:rPr>
              <w:t>放电装置常闭接触器K1触点电阻值</w:t>
            </w:r>
          </w:p>
        </w:tc>
        <w:tc>
          <w:tcPr>
            <w:tcW w:w="2235" w:type="dxa"/>
            <w:vAlign w:val="center"/>
          </w:tcPr>
          <w:p w14:paraId="4ECF696D">
            <w:pPr>
              <w:jc w:val="center"/>
              <w:rPr>
                <w:rFonts w:ascii="宋体" w:hAnsi="宋体" w:cs="宋体"/>
                <w:bCs/>
                <w:sz w:val="18"/>
                <w:szCs w:val="18"/>
              </w:rPr>
            </w:pPr>
            <w:r>
              <w:rPr>
                <w:rFonts w:hint="eastAsia" w:ascii="宋体" w:hAnsi="宋体" w:cs="宋体"/>
                <w:bCs/>
                <w:sz w:val="18"/>
                <w:szCs w:val="18"/>
              </w:rPr>
              <w:t>K1触点电阻值（mΩ）</w:t>
            </w:r>
          </w:p>
        </w:tc>
        <w:tc>
          <w:tcPr>
            <w:tcW w:w="3315" w:type="dxa"/>
            <w:vAlign w:val="center"/>
          </w:tcPr>
          <w:p w14:paraId="59EEC4F1">
            <w:pPr>
              <w:jc w:val="center"/>
              <w:rPr>
                <w:rFonts w:ascii="宋体" w:hAnsi="宋体" w:cs="宋体"/>
                <w:bCs/>
                <w:sz w:val="18"/>
                <w:szCs w:val="18"/>
              </w:rPr>
            </w:pPr>
            <w:r>
              <w:rPr>
                <w:rFonts w:hint="eastAsia" w:ascii="宋体" w:hAnsi="宋体" w:cs="宋体"/>
                <w:bCs/>
                <w:sz w:val="18"/>
                <w:szCs w:val="18"/>
              </w:rPr>
              <w:t>BTSE/ncdGGIO1$MX$AnIn55</w:t>
            </w:r>
          </w:p>
        </w:tc>
      </w:tr>
      <w:tr w14:paraId="0C8B0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561" w:type="dxa"/>
            <w:vAlign w:val="center"/>
          </w:tcPr>
          <w:p w14:paraId="54919B68">
            <w:pPr>
              <w:jc w:val="center"/>
              <w:rPr>
                <w:rFonts w:ascii="宋体" w:hAnsi="宋体" w:cs="宋体"/>
                <w:bCs/>
                <w:sz w:val="18"/>
                <w:szCs w:val="18"/>
              </w:rPr>
            </w:pPr>
            <w:r>
              <w:rPr>
                <w:rFonts w:hint="eastAsia" w:ascii="宋体" w:hAnsi="宋体" w:cs="宋体"/>
                <w:bCs/>
                <w:sz w:val="18"/>
                <w:szCs w:val="18"/>
              </w:rPr>
              <w:t>26</w:t>
            </w:r>
          </w:p>
        </w:tc>
        <w:tc>
          <w:tcPr>
            <w:tcW w:w="3480" w:type="dxa"/>
            <w:vAlign w:val="center"/>
          </w:tcPr>
          <w:p w14:paraId="4D8C95BB">
            <w:pPr>
              <w:jc w:val="center"/>
              <w:rPr>
                <w:rFonts w:ascii="宋体" w:hAnsi="宋体" w:cs="宋体"/>
                <w:bCs/>
                <w:sz w:val="18"/>
                <w:szCs w:val="18"/>
              </w:rPr>
            </w:pPr>
            <w:r>
              <w:rPr>
                <w:rFonts w:hint="eastAsia" w:ascii="宋体" w:hAnsi="宋体" w:cs="宋体"/>
                <w:bCs/>
                <w:sz w:val="18"/>
                <w:szCs w:val="18"/>
              </w:rPr>
              <w:t>放电装置常闭接触器K1触点测试电流</w:t>
            </w:r>
          </w:p>
        </w:tc>
        <w:tc>
          <w:tcPr>
            <w:tcW w:w="2235" w:type="dxa"/>
            <w:vAlign w:val="center"/>
          </w:tcPr>
          <w:p w14:paraId="01CD3703">
            <w:pPr>
              <w:jc w:val="center"/>
              <w:rPr>
                <w:rFonts w:ascii="宋体" w:hAnsi="宋体" w:cs="宋体"/>
                <w:bCs/>
                <w:sz w:val="18"/>
                <w:szCs w:val="18"/>
              </w:rPr>
            </w:pPr>
            <w:r>
              <w:rPr>
                <w:rFonts w:hint="eastAsia" w:ascii="宋体" w:hAnsi="宋体" w:cs="宋体"/>
                <w:bCs/>
                <w:sz w:val="18"/>
                <w:szCs w:val="18"/>
              </w:rPr>
              <w:t>K1触点测试电流（A）</w:t>
            </w:r>
          </w:p>
        </w:tc>
        <w:tc>
          <w:tcPr>
            <w:tcW w:w="3315" w:type="dxa"/>
            <w:vAlign w:val="center"/>
          </w:tcPr>
          <w:p w14:paraId="7F6696EF">
            <w:pPr>
              <w:jc w:val="center"/>
              <w:rPr>
                <w:rFonts w:ascii="宋体" w:hAnsi="宋体" w:cs="宋体"/>
                <w:bCs/>
                <w:sz w:val="18"/>
                <w:szCs w:val="18"/>
              </w:rPr>
            </w:pPr>
            <w:r>
              <w:rPr>
                <w:rFonts w:hint="eastAsia" w:ascii="宋体" w:hAnsi="宋体" w:cs="宋体"/>
                <w:bCs/>
                <w:sz w:val="18"/>
                <w:szCs w:val="18"/>
              </w:rPr>
              <w:t>BTSE/ncdGGIO1$MX$AnIn56</w:t>
            </w:r>
          </w:p>
        </w:tc>
      </w:tr>
      <w:tr w14:paraId="4D485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561" w:type="dxa"/>
            <w:vAlign w:val="center"/>
          </w:tcPr>
          <w:p w14:paraId="1866C5F4">
            <w:pPr>
              <w:jc w:val="center"/>
              <w:rPr>
                <w:rFonts w:ascii="宋体" w:hAnsi="宋体" w:cs="宋体"/>
                <w:bCs/>
                <w:sz w:val="18"/>
                <w:szCs w:val="18"/>
              </w:rPr>
            </w:pPr>
            <w:r>
              <w:rPr>
                <w:rFonts w:hint="eastAsia" w:ascii="宋体" w:hAnsi="宋体" w:cs="宋体"/>
                <w:bCs/>
                <w:sz w:val="18"/>
                <w:szCs w:val="18"/>
              </w:rPr>
              <w:t>27</w:t>
            </w:r>
          </w:p>
        </w:tc>
        <w:tc>
          <w:tcPr>
            <w:tcW w:w="3480" w:type="dxa"/>
            <w:vAlign w:val="center"/>
          </w:tcPr>
          <w:p w14:paraId="2DCCB6A3">
            <w:pPr>
              <w:jc w:val="center"/>
              <w:rPr>
                <w:rFonts w:ascii="宋体" w:hAnsi="宋体" w:cs="宋体"/>
                <w:bCs/>
                <w:sz w:val="18"/>
                <w:szCs w:val="18"/>
              </w:rPr>
            </w:pPr>
            <w:r>
              <w:rPr>
                <w:rFonts w:hint="eastAsia" w:ascii="宋体" w:hAnsi="宋体" w:cs="宋体"/>
                <w:bCs/>
                <w:sz w:val="18"/>
                <w:szCs w:val="18"/>
              </w:rPr>
              <w:t>放电装置二极管D1导通压降</w:t>
            </w:r>
          </w:p>
        </w:tc>
        <w:tc>
          <w:tcPr>
            <w:tcW w:w="2235" w:type="dxa"/>
            <w:vAlign w:val="center"/>
          </w:tcPr>
          <w:p w14:paraId="6FEF3BC1">
            <w:pPr>
              <w:jc w:val="center"/>
              <w:rPr>
                <w:rFonts w:ascii="宋体" w:hAnsi="宋体" w:cs="宋体"/>
                <w:bCs/>
                <w:sz w:val="18"/>
                <w:szCs w:val="18"/>
              </w:rPr>
            </w:pPr>
            <w:r>
              <w:rPr>
                <w:rFonts w:hint="eastAsia" w:ascii="宋体" w:hAnsi="宋体" w:cs="宋体"/>
                <w:bCs/>
                <w:sz w:val="18"/>
                <w:szCs w:val="18"/>
              </w:rPr>
              <w:t>D1导通压降（V）</w:t>
            </w:r>
          </w:p>
        </w:tc>
        <w:tc>
          <w:tcPr>
            <w:tcW w:w="3315" w:type="dxa"/>
            <w:vAlign w:val="center"/>
          </w:tcPr>
          <w:p w14:paraId="782B79C0">
            <w:pPr>
              <w:jc w:val="center"/>
              <w:rPr>
                <w:rFonts w:ascii="宋体" w:hAnsi="宋体" w:cs="宋体"/>
                <w:bCs/>
                <w:sz w:val="18"/>
                <w:szCs w:val="18"/>
              </w:rPr>
            </w:pPr>
            <w:r>
              <w:rPr>
                <w:rFonts w:hint="eastAsia" w:ascii="宋体" w:hAnsi="宋体" w:cs="宋体"/>
                <w:bCs/>
                <w:sz w:val="18"/>
                <w:szCs w:val="18"/>
              </w:rPr>
              <w:t>BTSE/ncdGGIO1$MX$AnIn57</w:t>
            </w:r>
          </w:p>
        </w:tc>
      </w:tr>
      <w:tr w14:paraId="48D9E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61" w:type="dxa"/>
            <w:vAlign w:val="center"/>
          </w:tcPr>
          <w:p w14:paraId="3D820FB1">
            <w:pPr>
              <w:jc w:val="center"/>
              <w:rPr>
                <w:rFonts w:ascii="宋体" w:hAnsi="宋体" w:cs="宋体"/>
                <w:bCs/>
                <w:sz w:val="18"/>
                <w:szCs w:val="18"/>
              </w:rPr>
            </w:pPr>
            <w:r>
              <w:rPr>
                <w:rFonts w:hint="eastAsia" w:ascii="宋体" w:hAnsi="宋体" w:cs="宋体"/>
                <w:bCs/>
                <w:sz w:val="18"/>
                <w:szCs w:val="18"/>
              </w:rPr>
              <w:t>28</w:t>
            </w:r>
          </w:p>
        </w:tc>
        <w:tc>
          <w:tcPr>
            <w:tcW w:w="3480" w:type="dxa"/>
            <w:vAlign w:val="center"/>
          </w:tcPr>
          <w:p w14:paraId="4DEAF1D8">
            <w:pPr>
              <w:jc w:val="center"/>
              <w:rPr>
                <w:rFonts w:ascii="宋体" w:hAnsi="宋体" w:cs="宋体"/>
                <w:bCs/>
                <w:sz w:val="18"/>
                <w:szCs w:val="18"/>
              </w:rPr>
            </w:pPr>
            <w:r>
              <w:rPr>
                <w:rFonts w:hint="eastAsia" w:ascii="宋体" w:hAnsi="宋体" w:cs="宋体"/>
                <w:bCs/>
                <w:sz w:val="18"/>
                <w:szCs w:val="18"/>
              </w:rPr>
              <w:t>放电装置二极管D1导通测试电流</w:t>
            </w:r>
          </w:p>
        </w:tc>
        <w:tc>
          <w:tcPr>
            <w:tcW w:w="2235" w:type="dxa"/>
            <w:vAlign w:val="center"/>
          </w:tcPr>
          <w:p w14:paraId="28AFA31E">
            <w:pPr>
              <w:jc w:val="center"/>
              <w:rPr>
                <w:rFonts w:ascii="宋体" w:hAnsi="宋体" w:cs="宋体"/>
                <w:bCs/>
                <w:sz w:val="18"/>
                <w:szCs w:val="18"/>
              </w:rPr>
            </w:pPr>
            <w:r>
              <w:rPr>
                <w:rFonts w:hint="eastAsia" w:ascii="宋体" w:hAnsi="宋体" w:cs="宋体"/>
                <w:bCs/>
                <w:sz w:val="18"/>
                <w:szCs w:val="18"/>
              </w:rPr>
              <w:t>D1导通测试电流（A）</w:t>
            </w:r>
          </w:p>
        </w:tc>
        <w:tc>
          <w:tcPr>
            <w:tcW w:w="3315" w:type="dxa"/>
            <w:vAlign w:val="center"/>
          </w:tcPr>
          <w:p w14:paraId="1CEAF015">
            <w:pPr>
              <w:jc w:val="center"/>
              <w:rPr>
                <w:rFonts w:ascii="宋体" w:hAnsi="宋体" w:cs="宋体"/>
                <w:bCs/>
                <w:sz w:val="18"/>
                <w:szCs w:val="18"/>
              </w:rPr>
            </w:pPr>
            <w:r>
              <w:rPr>
                <w:rFonts w:hint="eastAsia" w:ascii="宋体" w:hAnsi="宋体" w:cs="宋体"/>
                <w:bCs/>
                <w:sz w:val="18"/>
                <w:szCs w:val="18"/>
              </w:rPr>
              <w:t>BTSE/ncdGGIO1$MX$AnIn58</w:t>
            </w:r>
          </w:p>
        </w:tc>
      </w:tr>
      <w:tr w14:paraId="71A75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trPr>
        <w:tc>
          <w:tcPr>
            <w:tcW w:w="561" w:type="dxa"/>
            <w:vAlign w:val="center"/>
          </w:tcPr>
          <w:p w14:paraId="54FAFA85">
            <w:pPr>
              <w:jc w:val="center"/>
              <w:rPr>
                <w:rFonts w:ascii="宋体" w:hAnsi="宋体" w:cs="宋体"/>
                <w:bCs/>
                <w:sz w:val="18"/>
                <w:szCs w:val="18"/>
              </w:rPr>
            </w:pPr>
            <w:r>
              <w:rPr>
                <w:rFonts w:hint="eastAsia" w:ascii="宋体" w:hAnsi="宋体" w:cs="宋体"/>
                <w:bCs/>
                <w:sz w:val="18"/>
                <w:szCs w:val="18"/>
              </w:rPr>
              <w:t>29</w:t>
            </w:r>
          </w:p>
        </w:tc>
        <w:tc>
          <w:tcPr>
            <w:tcW w:w="3480" w:type="dxa"/>
            <w:vAlign w:val="center"/>
          </w:tcPr>
          <w:p w14:paraId="65569611">
            <w:pPr>
              <w:jc w:val="center"/>
              <w:rPr>
                <w:rFonts w:ascii="宋体" w:hAnsi="宋体" w:cs="宋体"/>
                <w:bCs/>
                <w:sz w:val="18"/>
                <w:szCs w:val="18"/>
              </w:rPr>
            </w:pPr>
            <w:r>
              <w:rPr>
                <w:rFonts w:hint="eastAsia" w:ascii="宋体" w:hAnsi="宋体" w:cs="宋体"/>
                <w:bCs/>
                <w:sz w:val="18"/>
                <w:szCs w:val="18"/>
              </w:rPr>
              <w:t>放电装置内部温度</w:t>
            </w:r>
          </w:p>
        </w:tc>
        <w:tc>
          <w:tcPr>
            <w:tcW w:w="2235" w:type="dxa"/>
            <w:vAlign w:val="center"/>
          </w:tcPr>
          <w:p w14:paraId="28FC27F3">
            <w:pPr>
              <w:jc w:val="center"/>
              <w:rPr>
                <w:rFonts w:ascii="宋体" w:hAnsi="宋体" w:cs="宋体"/>
                <w:bCs/>
                <w:sz w:val="18"/>
                <w:szCs w:val="18"/>
              </w:rPr>
            </w:pPr>
            <w:r>
              <w:rPr>
                <w:rFonts w:hint="eastAsia" w:ascii="宋体" w:hAnsi="宋体" w:cs="宋体"/>
                <w:bCs/>
                <w:sz w:val="18"/>
                <w:szCs w:val="18"/>
              </w:rPr>
              <w:t>放电装置内部温度</w:t>
            </w:r>
          </w:p>
        </w:tc>
        <w:tc>
          <w:tcPr>
            <w:tcW w:w="3315" w:type="dxa"/>
            <w:vAlign w:val="center"/>
          </w:tcPr>
          <w:p w14:paraId="46183DFD">
            <w:pPr>
              <w:jc w:val="center"/>
              <w:rPr>
                <w:rFonts w:ascii="宋体" w:hAnsi="宋体" w:cs="宋体"/>
                <w:bCs/>
                <w:sz w:val="18"/>
                <w:szCs w:val="18"/>
              </w:rPr>
            </w:pPr>
            <w:r>
              <w:rPr>
                <w:rFonts w:hint="eastAsia" w:ascii="宋体" w:hAnsi="宋体" w:cs="宋体"/>
                <w:bCs/>
                <w:sz w:val="18"/>
                <w:szCs w:val="18"/>
              </w:rPr>
              <w:t>BTSE/ncdGGIO1$MX$AnIn59</w:t>
            </w:r>
          </w:p>
        </w:tc>
      </w:tr>
    </w:tbl>
    <w:p w14:paraId="3BE3A323">
      <w:pPr>
        <w:jc w:val="center"/>
        <w:rPr>
          <w:rFonts w:ascii="宋体" w:hAnsi="宋体" w:cs="宋体"/>
          <w:bCs/>
        </w:rPr>
      </w:pPr>
      <w:r>
        <w:rPr>
          <w:rFonts w:hint="eastAsia" w:ascii="宋体" w:hAnsi="宋体" w:cs="宋体"/>
          <w:bCs/>
          <w:szCs w:val="21"/>
        </w:rPr>
        <w:t>表2  蓄电池远程核容监控遥信量信息表</w:t>
      </w:r>
    </w:p>
    <w:tbl>
      <w:tblPr>
        <w:tblStyle w:val="8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410"/>
        <w:gridCol w:w="2745"/>
        <w:gridCol w:w="1290"/>
        <w:gridCol w:w="3285"/>
      </w:tblGrid>
      <w:tr w14:paraId="7D540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846" w:type="dxa"/>
            <w:vAlign w:val="center"/>
          </w:tcPr>
          <w:p w14:paraId="203AE545">
            <w:pPr>
              <w:jc w:val="center"/>
              <w:rPr>
                <w:rFonts w:ascii="宋体" w:hAnsi="宋体" w:cs="宋体"/>
                <w:bCs/>
                <w:sz w:val="18"/>
                <w:szCs w:val="18"/>
              </w:rPr>
            </w:pPr>
            <w:r>
              <w:rPr>
                <w:rFonts w:hint="eastAsia" w:ascii="宋体" w:hAnsi="宋体" w:cs="宋体"/>
                <w:bCs/>
                <w:sz w:val="18"/>
                <w:szCs w:val="18"/>
              </w:rPr>
              <w:t>序号</w:t>
            </w:r>
          </w:p>
        </w:tc>
        <w:tc>
          <w:tcPr>
            <w:tcW w:w="1410" w:type="dxa"/>
            <w:vAlign w:val="center"/>
          </w:tcPr>
          <w:p w14:paraId="3CA9FB2B">
            <w:pPr>
              <w:jc w:val="center"/>
              <w:rPr>
                <w:rFonts w:ascii="宋体" w:hAnsi="宋体" w:cs="宋体"/>
                <w:bCs/>
                <w:sz w:val="18"/>
                <w:szCs w:val="18"/>
              </w:rPr>
            </w:pPr>
            <w:r>
              <w:rPr>
                <w:rFonts w:hint="eastAsia" w:ascii="宋体" w:hAnsi="宋体" w:cs="宋体"/>
                <w:bCs/>
                <w:sz w:val="18"/>
                <w:szCs w:val="18"/>
              </w:rPr>
              <w:t>监控名称</w:t>
            </w:r>
          </w:p>
        </w:tc>
        <w:tc>
          <w:tcPr>
            <w:tcW w:w="2745" w:type="dxa"/>
            <w:vAlign w:val="center"/>
          </w:tcPr>
          <w:p w14:paraId="385779E3">
            <w:pPr>
              <w:snapToGrid w:val="0"/>
              <w:jc w:val="center"/>
              <w:rPr>
                <w:rFonts w:ascii="宋体" w:hAnsi="宋体" w:cs="宋体"/>
                <w:bCs/>
                <w:sz w:val="18"/>
                <w:szCs w:val="18"/>
              </w:rPr>
            </w:pPr>
            <w:r>
              <w:rPr>
                <w:rFonts w:hint="eastAsia" w:ascii="宋体" w:hAnsi="宋体" w:cs="宋体"/>
                <w:bCs/>
                <w:sz w:val="18"/>
                <w:szCs w:val="18"/>
              </w:rPr>
              <w:t>告警说明</w:t>
            </w:r>
          </w:p>
        </w:tc>
        <w:tc>
          <w:tcPr>
            <w:tcW w:w="1290" w:type="dxa"/>
            <w:vAlign w:val="center"/>
          </w:tcPr>
          <w:p w14:paraId="0981D73B">
            <w:pPr>
              <w:snapToGrid w:val="0"/>
              <w:jc w:val="center"/>
              <w:rPr>
                <w:rFonts w:ascii="宋体" w:hAnsi="宋体" w:cs="宋体"/>
                <w:bCs/>
                <w:sz w:val="18"/>
                <w:szCs w:val="18"/>
              </w:rPr>
            </w:pPr>
            <w:r>
              <w:rPr>
                <w:rFonts w:hint="eastAsia" w:ascii="宋体" w:hAnsi="宋体" w:cs="宋体"/>
                <w:bCs/>
                <w:sz w:val="18"/>
                <w:szCs w:val="18"/>
              </w:rPr>
              <w:t>告警级别</w:t>
            </w:r>
          </w:p>
        </w:tc>
        <w:tc>
          <w:tcPr>
            <w:tcW w:w="3285" w:type="dxa"/>
            <w:vAlign w:val="center"/>
          </w:tcPr>
          <w:p w14:paraId="32642DB8">
            <w:pPr>
              <w:snapToGrid w:val="0"/>
              <w:rPr>
                <w:rFonts w:ascii="宋体" w:hAnsi="宋体" w:cs="宋体"/>
                <w:bCs/>
                <w:sz w:val="18"/>
                <w:szCs w:val="18"/>
              </w:rPr>
            </w:pPr>
            <w:r>
              <w:rPr>
                <w:rFonts w:hint="eastAsia" w:ascii="宋体" w:hAnsi="宋体" w:cs="宋体"/>
                <w:bCs/>
                <w:sz w:val="18"/>
                <w:szCs w:val="18"/>
              </w:rPr>
              <w:t>逻辑名称</w:t>
            </w:r>
          </w:p>
        </w:tc>
      </w:tr>
      <w:tr w14:paraId="05909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846" w:type="dxa"/>
            <w:vAlign w:val="center"/>
          </w:tcPr>
          <w:p w14:paraId="4930DEC1">
            <w:pPr>
              <w:jc w:val="center"/>
              <w:rPr>
                <w:rFonts w:ascii="宋体" w:hAnsi="宋体" w:cs="宋体"/>
                <w:bCs/>
                <w:sz w:val="18"/>
                <w:szCs w:val="18"/>
              </w:rPr>
            </w:pPr>
            <w:r>
              <w:rPr>
                <w:rFonts w:hint="eastAsia" w:ascii="宋体" w:hAnsi="宋体" w:cs="宋体"/>
                <w:bCs/>
                <w:sz w:val="18"/>
                <w:szCs w:val="18"/>
              </w:rPr>
              <w:t>1</w:t>
            </w:r>
          </w:p>
        </w:tc>
        <w:tc>
          <w:tcPr>
            <w:tcW w:w="1410" w:type="dxa"/>
            <w:vAlign w:val="center"/>
          </w:tcPr>
          <w:p w14:paraId="4A4AB959">
            <w:pPr>
              <w:jc w:val="center"/>
              <w:rPr>
                <w:rFonts w:ascii="宋体" w:hAnsi="宋体" w:cs="宋体"/>
                <w:bCs/>
                <w:sz w:val="18"/>
                <w:szCs w:val="18"/>
              </w:rPr>
            </w:pPr>
            <w:r>
              <w:rPr>
                <w:rFonts w:hint="eastAsia" w:ascii="宋体" w:hAnsi="宋体" w:cs="宋体"/>
                <w:bCs/>
                <w:sz w:val="18"/>
                <w:szCs w:val="18"/>
              </w:rPr>
              <w:t>第N组电池组电压告警</w:t>
            </w:r>
          </w:p>
        </w:tc>
        <w:tc>
          <w:tcPr>
            <w:tcW w:w="2745" w:type="dxa"/>
            <w:vAlign w:val="center"/>
          </w:tcPr>
          <w:p w14:paraId="434B4CF9">
            <w:pPr>
              <w:jc w:val="center"/>
              <w:rPr>
                <w:rFonts w:ascii="宋体" w:hAnsi="宋体" w:cs="宋体"/>
                <w:bCs/>
                <w:sz w:val="18"/>
                <w:szCs w:val="18"/>
              </w:rPr>
            </w:pPr>
            <w:r>
              <w:rPr>
                <w:rFonts w:hint="eastAsia" w:ascii="宋体" w:hAnsi="宋体" w:cs="宋体"/>
                <w:bCs/>
                <w:sz w:val="18"/>
                <w:szCs w:val="18"/>
              </w:rPr>
              <w:t>第N组电池组电压</w:t>
            </w:r>
          </w:p>
        </w:tc>
        <w:tc>
          <w:tcPr>
            <w:tcW w:w="1290" w:type="dxa"/>
            <w:vAlign w:val="center"/>
          </w:tcPr>
          <w:p w14:paraId="649BE441">
            <w:pPr>
              <w:jc w:val="center"/>
              <w:rPr>
                <w:rFonts w:ascii="宋体" w:hAnsi="宋体" w:cs="宋体"/>
                <w:bCs/>
                <w:sz w:val="18"/>
                <w:szCs w:val="18"/>
              </w:rPr>
            </w:pPr>
            <w:r>
              <w:rPr>
                <w:rFonts w:hint="eastAsia" w:ascii="宋体" w:hAnsi="宋体" w:cs="宋体"/>
                <w:bCs/>
                <w:sz w:val="18"/>
                <w:szCs w:val="18"/>
              </w:rPr>
              <w:t>重大</w:t>
            </w:r>
          </w:p>
        </w:tc>
        <w:tc>
          <w:tcPr>
            <w:tcW w:w="3285" w:type="dxa"/>
            <w:vAlign w:val="center"/>
          </w:tcPr>
          <w:p w14:paraId="1D200705">
            <w:pPr>
              <w:jc w:val="center"/>
              <w:rPr>
                <w:rFonts w:ascii="宋体" w:hAnsi="宋体" w:cs="宋体"/>
                <w:bCs/>
                <w:sz w:val="18"/>
                <w:szCs w:val="18"/>
              </w:rPr>
            </w:pPr>
            <w:r>
              <w:rPr>
                <w:rFonts w:hint="eastAsia" w:ascii="宋体" w:hAnsi="宋体" w:cs="宋体"/>
                <w:bCs/>
                <w:sz w:val="18"/>
                <w:szCs w:val="18"/>
              </w:rPr>
              <w:t>BTSE/btgGGIOn$ST$Alm1</w:t>
            </w:r>
          </w:p>
        </w:tc>
      </w:tr>
      <w:tr w14:paraId="60041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846" w:type="dxa"/>
            <w:vAlign w:val="center"/>
          </w:tcPr>
          <w:p w14:paraId="5FD57DA7">
            <w:pPr>
              <w:jc w:val="center"/>
              <w:rPr>
                <w:rFonts w:ascii="宋体" w:hAnsi="宋体" w:cs="宋体"/>
                <w:bCs/>
                <w:sz w:val="18"/>
                <w:szCs w:val="18"/>
              </w:rPr>
            </w:pPr>
            <w:r>
              <w:rPr>
                <w:rFonts w:hint="eastAsia" w:ascii="宋体" w:hAnsi="宋体" w:cs="宋体"/>
                <w:bCs/>
                <w:sz w:val="18"/>
                <w:szCs w:val="18"/>
              </w:rPr>
              <w:t>2</w:t>
            </w:r>
          </w:p>
        </w:tc>
        <w:tc>
          <w:tcPr>
            <w:tcW w:w="1410" w:type="dxa"/>
            <w:vAlign w:val="center"/>
          </w:tcPr>
          <w:p w14:paraId="60637C5D">
            <w:pPr>
              <w:jc w:val="center"/>
              <w:rPr>
                <w:rFonts w:ascii="宋体" w:hAnsi="宋体" w:cs="宋体"/>
                <w:bCs/>
                <w:sz w:val="18"/>
                <w:szCs w:val="18"/>
              </w:rPr>
            </w:pPr>
            <w:r>
              <w:rPr>
                <w:rFonts w:hint="eastAsia" w:ascii="宋体" w:hAnsi="宋体" w:cs="宋体"/>
                <w:bCs/>
                <w:sz w:val="18"/>
                <w:szCs w:val="18"/>
              </w:rPr>
              <w:t>第N组单体电池电压值</w:t>
            </w:r>
          </w:p>
        </w:tc>
        <w:tc>
          <w:tcPr>
            <w:tcW w:w="2745" w:type="dxa"/>
            <w:vAlign w:val="center"/>
          </w:tcPr>
          <w:p w14:paraId="1A759C2A">
            <w:pPr>
              <w:jc w:val="center"/>
              <w:rPr>
                <w:rFonts w:ascii="宋体" w:hAnsi="宋体" w:cs="宋体"/>
                <w:bCs/>
                <w:sz w:val="18"/>
                <w:szCs w:val="18"/>
              </w:rPr>
            </w:pPr>
            <w:r>
              <w:rPr>
                <w:rFonts w:hint="eastAsia" w:ascii="宋体" w:hAnsi="宋体" w:cs="宋体"/>
                <w:bCs/>
                <w:sz w:val="18"/>
                <w:szCs w:val="18"/>
              </w:rPr>
              <w:t>第N组电池第M节电池电压告警</w:t>
            </w:r>
          </w:p>
        </w:tc>
        <w:tc>
          <w:tcPr>
            <w:tcW w:w="1290" w:type="dxa"/>
            <w:vAlign w:val="center"/>
          </w:tcPr>
          <w:p w14:paraId="56D4E703">
            <w:pPr>
              <w:jc w:val="center"/>
              <w:rPr>
                <w:rFonts w:ascii="宋体" w:hAnsi="宋体" w:cs="宋体"/>
                <w:bCs/>
                <w:sz w:val="18"/>
                <w:szCs w:val="18"/>
              </w:rPr>
            </w:pPr>
            <w:r>
              <w:rPr>
                <w:rFonts w:hint="eastAsia" w:ascii="宋体" w:hAnsi="宋体" w:cs="宋体"/>
                <w:bCs/>
                <w:sz w:val="18"/>
                <w:szCs w:val="18"/>
              </w:rPr>
              <w:t>一般</w:t>
            </w:r>
          </w:p>
        </w:tc>
        <w:tc>
          <w:tcPr>
            <w:tcW w:w="3285" w:type="dxa"/>
            <w:vAlign w:val="center"/>
          </w:tcPr>
          <w:p w14:paraId="0CC8DE6E">
            <w:pPr>
              <w:jc w:val="center"/>
              <w:rPr>
                <w:rFonts w:ascii="宋体" w:hAnsi="宋体" w:cs="宋体"/>
                <w:bCs/>
                <w:sz w:val="18"/>
                <w:szCs w:val="18"/>
              </w:rPr>
            </w:pPr>
            <w:r>
              <w:rPr>
                <w:rFonts w:hint="eastAsia" w:ascii="宋体" w:hAnsi="宋体" w:cs="宋体"/>
                <w:bCs/>
                <w:sz w:val="18"/>
                <w:szCs w:val="18"/>
              </w:rPr>
              <w:t>BTSE/celGGIOn$ST$AlmM</w:t>
            </w:r>
          </w:p>
        </w:tc>
      </w:tr>
      <w:tr w14:paraId="2F6AA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46" w:type="dxa"/>
            <w:vAlign w:val="center"/>
          </w:tcPr>
          <w:p w14:paraId="76B840A8">
            <w:pPr>
              <w:jc w:val="center"/>
              <w:rPr>
                <w:rFonts w:ascii="宋体" w:hAnsi="宋体" w:cs="宋体"/>
                <w:bCs/>
                <w:sz w:val="18"/>
                <w:szCs w:val="18"/>
              </w:rPr>
            </w:pPr>
            <w:r>
              <w:rPr>
                <w:rFonts w:hint="eastAsia" w:ascii="宋体" w:hAnsi="宋体" w:cs="宋体"/>
                <w:bCs/>
                <w:sz w:val="18"/>
                <w:szCs w:val="18"/>
              </w:rPr>
              <w:t>3</w:t>
            </w:r>
          </w:p>
        </w:tc>
        <w:tc>
          <w:tcPr>
            <w:tcW w:w="1410" w:type="dxa"/>
            <w:vAlign w:val="center"/>
          </w:tcPr>
          <w:p w14:paraId="0EC7DC77">
            <w:pPr>
              <w:jc w:val="center"/>
              <w:rPr>
                <w:rFonts w:ascii="宋体" w:hAnsi="宋体" w:cs="宋体"/>
                <w:bCs/>
                <w:sz w:val="18"/>
                <w:szCs w:val="18"/>
              </w:rPr>
            </w:pPr>
            <w:r>
              <w:rPr>
                <w:rFonts w:hint="eastAsia" w:ascii="宋体" w:hAnsi="宋体" w:cs="宋体"/>
                <w:bCs/>
                <w:sz w:val="18"/>
                <w:szCs w:val="18"/>
              </w:rPr>
              <w:t>第N组单体电池内阻值</w:t>
            </w:r>
          </w:p>
        </w:tc>
        <w:tc>
          <w:tcPr>
            <w:tcW w:w="2745" w:type="dxa"/>
            <w:vAlign w:val="center"/>
          </w:tcPr>
          <w:p w14:paraId="02CAC996">
            <w:pPr>
              <w:jc w:val="center"/>
              <w:rPr>
                <w:rFonts w:ascii="宋体" w:hAnsi="宋体" w:cs="宋体"/>
                <w:bCs/>
                <w:sz w:val="18"/>
                <w:szCs w:val="18"/>
              </w:rPr>
            </w:pPr>
            <w:r>
              <w:rPr>
                <w:rFonts w:hint="eastAsia" w:ascii="宋体" w:hAnsi="宋体" w:cs="宋体"/>
                <w:bCs/>
                <w:sz w:val="18"/>
                <w:szCs w:val="18"/>
              </w:rPr>
              <w:t>第N组电池第M节电池内阻告警</w:t>
            </w:r>
          </w:p>
        </w:tc>
        <w:tc>
          <w:tcPr>
            <w:tcW w:w="1290" w:type="dxa"/>
            <w:vAlign w:val="center"/>
          </w:tcPr>
          <w:p w14:paraId="3A5C9E3D">
            <w:pPr>
              <w:jc w:val="center"/>
              <w:rPr>
                <w:rFonts w:ascii="宋体" w:hAnsi="宋体" w:cs="宋体"/>
                <w:bCs/>
                <w:sz w:val="18"/>
                <w:szCs w:val="18"/>
              </w:rPr>
            </w:pPr>
            <w:r>
              <w:rPr>
                <w:rFonts w:hint="eastAsia" w:ascii="宋体" w:hAnsi="宋体" w:cs="宋体"/>
                <w:bCs/>
                <w:sz w:val="18"/>
                <w:szCs w:val="18"/>
              </w:rPr>
              <w:t>一般</w:t>
            </w:r>
          </w:p>
        </w:tc>
        <w:tc>
          <w:tcPr>
            <w:tcW w:w="3285" w:type="dxa"/>
            <w:vAlign w:val="center"/>
          </w:tcPr>
          <w:p w14:paraId="5E9701DE">
            <w:pPr>
              <w:jc w:val="center"/>
              <w:rPr>
                <w:rFonts w:ascii="宋体" w:hAnsi="宋体" w:cs="宋体"/>
                <w:bCs/>
                <w:sz w:val="18"/>
                <w:szCs w:val="18"/>
              </w:rPr>
            </w:pPr>
            <w:r>
              <w:rPr>
                <w:rFonts w:hint="eastAsia" w:ascii="宋体" w:hAnsi="宋体" w:cs="宋体"/>
                <w:bCs/>
                <w:sz w:val="18"/>
                <w:szCs w:val="18"/>
              </w:rPr>
              <w:t>BTSE/celGGIOn$ST$Alm24+M</w:t>
            </w:r>
          </w:p>
        </w:tc>
      </w:tr>
      <w:tr w14:paraId="5F794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846" w:type="dxa"/>
            <w:vAlign w:val="center"/>
          </w:tcPr>
          <w:p w14:paraId="0A461B13">
            <w:pPr>
              <w:jc w:val="center"/>
              <w:rPr>
                <w:rFonts w:ascii="宋体" w:hAnsi="宋体" w:cs="宋体"/>
                <w:bCs/>
                <w:sz w:val="18"/>
                <w:szCs w:val="18"/>
              </w:rPr>
            </w:pPr>
            <w:r>
              <w:rPr>
                <w:rFonts w:hint="eastAsia" w:ascii="宋体" w:hAnsi="宋体" w:cs="宋体"/>
                <w:bCs/>
                <w:sz w:val="18"/>
                <w:szCs w:val="18"/>
              </w:rPr>
              <w:t>4</w:t>
            </w:r>
          </w:p>
        </w:tc>
        <w:tc>
          <w:tcPr>
            <w:tcW w:w="1410" w:type="dxa"/>
            <w:vAlign w:val="center"/>
          </w:tcPr>
          <w:p w14:paraId="0424C1DB">
            <w:pPr>
              <w:jc w:val="center"/>
              <w:rPr>
                <w:rFonts w:ascii="宋体" w:hAnsi="宋体" w:cs="宋体"/>
                <w:bCs/>
                <w:sz w:val="18"/>
                <w:szCs w:val="18"/>
              </w:rPr>
            </w:pPr>
            <w:r>
              <w:rPr>
                <w:rFonts w:hint="eastAsia" w:ascii="宋体" w:hAnsi="宋体" w:cs="宋体"/>
                <w:bCs/>
                <w:sz w:val="18"/>
                <w:szCs w:val="18"/>
              </w:rPr>
              <w:t>第N组单体极柱温度</w:t>
            </w:r>
          </w:p>
        </w:tc>
        <w:tc>
          <w:tcPr>
            <w:tcW w:w="2745" w:type="dxa"/>
            <w:vAlign w:val="center"/>
          </w:tcPr>
          <w:p w14:paraId="7AA975E1">
            <w:pPr>
              <w:jc w:val="center"/>
              <w:rPr>
                <w:rFonts w:ascii="宋体" w:hAnsi="宋体" w:cs="宋体"/>
                <w:bCs/>
                <w:sz w:val="18"/>
                <w:szCs w:val="18"/>
              </w:rPr>
            </w:pPr>
            <w:r>
              <w:rPr>
                <w:rFonts w:hint="eastAsia" w:ascii="宋体" w:hAnsi="宋体" w:cs="宋体"/>
                <w:bCs/>
                <w:sz w:val="18"/>
                <w:szCs w:val="18"/>
              </w:rPr>
              <w:t>第N组电池第M节电池极柱温度告警</w:t>
            </w:r>
          </w:p>
        </w:tc>
        <w:tc>
          <w:tcPr>
            <w:tcW w:w="1290" w:type="dxa"/>
            <w:vAlign w:val="center"/>
          </w:tcPr>
          <w:p w14:paraId="49A4E04F">
            <w:pPr>
              <w:jc w:val="center"/>
              <w:rPr>
                <w:rFonts w:ascii="宋体" w:hAnsi="宋体" w:cs="宋体"/>
                <w:bCs/>
                <w:sz w:val="18"/>
                <w:szCs w:val="18"/>
              </w:rPr>
            </w:pPr>
            <w:r>
              <w:rPr>
                <w:rFonts w:hint="eastAsia" w:ascii="宋体" w:hAnsi="宋体" w:cs="宋体"/>
                <w:bCs/>
                <w:sz w:val="18"/>
                <w:szCs w:val="18"/>
              </w:rPr>
              <w:t>一般</w:t>
            </w:r>
          </w:p>
        </w:tc>
        <w:tc>
          <w:tcPr>
            <w:tcW w:w="3285" w:type="dxa"/>
            <w:vAlign w:val="center"/>
          </w:tcPr>
          <w:p w14:paraId="164101F7">
            <w:pPr>
              <w:jc w:val="center"/>
              <w:rPr>
                <w:rFonts w:ascii="宋体" w:hAnsi="宋体" w:cs="宋体"/>
                <w:bCs/>
                <w:sz w:val="18"/>
                <w:szCs w:val="18"/>
              </w:rPr>
            </w:pPr>
            <w:r>
              <w:rPr>
                <w:rFonts w:hint="eastAsia" w:ascii="宋体" w:hAnsi="宋体" w:cs="宋体"/>
                <w:bCs/>
                <w:sz w:val="18"/>
                <w:szCs w:val="18"/>
              </w:rPr>
              <w:t>BTSE/celGGIOn$ST$Alm48+M</w:t>
            </w:r>
          </w:p>
        </w:tc>
      </w:tr>
      <w:tr w14:paraId="3A01B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846" w:type="dxa"/>
            <w:vAlign w:val="center"/>
          </w:tcPr>
          <w:p w14:paraId="5DE387E7">
            <w:pPr>
              <w:jc w:val="center"/>
              <w:rPr>
                <w:rFonts w:ascii="宋体" w:hAnsi="宋体" w:cs="宋体"/>
                <w:bCs/>
                <w:sz w:val="18"/>
                <w:szCs w:val="18"/>
              </w:rPr>
            </w:pPr>
            <w:r>
              <w:rPr>
                <w:rFonts w:hint="eastAsia" w:ascii="宋体" w:hAnsi="宋体" w:cs="宋体"/>
                <w:bCs/>
                <w:sz w:val="18"/>
                <w:szCs w:val="18"/>
              </w:rPr>
              <w:t>5</w:t>
            </w:r>
          </w:p>
        </w:tc>
        <w:tc>
          <w:tcPr>
            <w:tcW w:w="1410" w:type="dxa"/>
            <w:vAlign w:val="center"/>
          </w:tcPr>
          <w:p w14:paraId="21638BD4">
            <w:pPr>
              <w:jc w:val="center"/>
              <w:rPr>
                <w:rFonts w:ascii="宋体" w:hAnsi="宋体" w:cs="宋体"/>
                <w:bCs/>
                <w:sz w:val="18"/>
                <w:szCs w:val="18"/>
              </w:rPr>
            </w:pPr>
            <w:r>
              <w:rPr>
                <w:rFonts w:hint="eastAsia" w:ascii="宋体" w:hAnsi="宋体" w:cs="宋体"/>
                <w:bCs/>
                <w:sz w:val="18"/>
                <w:szCs w:val="18"/>
              </w:rPr>
              <w:t>第N组单体剩余容量</w:t>
            </w:r>
          </w:p>
        </w:tc>
        <w:tc>
          <w:tcPr>
            <w:tcW w:w="2745" w:type="dxa"/>
            <w:vAlign w:val="center"/>
          </w:tcPr>
          <w:p w14:paraId="57E51229">
            <w:pPr>
              <w:jc w:val="center"/>
              <w:rPr>
                <w:rFonts w:ascii="宋体" w:hAnsi="宋体" w:cs="宋体"/>
                <w:bCs/>
                <w:sz w:val="18"/>
                <w:szCs w:val="18"/>
              </w:rPr>
            </w:pPr>
            <w:r>
              <w:rPr>
                <w:rFonts w:hint="eastAsia" w:ascii="宋体" w:hAnsi="宋体" w:cs="宋体"/>
                <w:bCs/>
                <w:sz w:val="18"/>
                <w:szCs w:val="18"/>
              </w:rPr>
              <w:t>第N组电池第M节电池单体剩余容量告警</w:t>
            </w:r>
          </w:p>
        </w:tc>
        <w:tc>
          <w:tcPr>
            <w:tcW w:w="1290" w:type="dxa"/>
            <w:vAlign w:val="center"/>
          </w:tcPr>
          <w:p w14:paraId="3A132FEB">
            <w:pPr>
              <w:jc w:val="center"/>
              <w:rPr>
                <w:rFonts w:ascii="宋体" w:hAnsi="宋体" w:cs="宋体"/>
                <w:bCs/>
                <w:sz w:val="18"/>
                <w:szCs w:val="18"/>
              </w:rPr>
            </w:pPr>
            <w:r>
              <w:rPr>
                <w:rFonts w:hint="eastAsia" w:ascii="宋体" w:hAnsi="宋体" w:cs="宋体"/>
                <w:bCs/>
                <w:sz w:val="18"/>
                <w:szCs w:val="18"/>
              </w:rPr>
              <w:t>一般</w:t>
            </w:r>
          </w:p>
        </w:tc>
        <w:tc>
          <w:tcPr>
            <w:tcW w:w="3285" w:type="dxa"/>
            <w:vAlign w:val="center"/>
          </w:tcPr>
          <w:p w14:paraId="24DC5CE2">
            <w:pPr>
              <w:jc w:val="center"/>
              <w:rPr>
                <w:rFonts w:ascii="宋体" w:hAnsi="宋体" w:cs="宋体"/>
                <w:bCs/>
                <w:sz w:val="18"/>
                <w:szCs w:val="18"/>
              </w:rPr>
            </w:pPr>
            <w:r>
              <w:rPr>
                <w:rFonts w:hint="eastAsia" w:ascii="宋体" w:hAnsi="宋体" w:cs="宋体"/>
                <w:bCs/>
                <w:sz w:val="18"/>
                <w:szCs w:val="18"/>
              </w:rPr>
              <w:t>BTSE/celGGIOn$ST$Alm72+M</w:t>
            </w:r>
          </w:p>
        </w:tc>
      </w:tr>
      <w:tr w14:paraId="5EE6F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846" w:type="dxa"/>
            <w:vAlign w:val="center"/>
          </w:tcPr>
          <w:p w14:paraId="3B4781E2">
            <w:pPr>
              <w:jc w:val="center"/>
              <w:rPr>
                <w:rFonts w:ascii="宋体" w:hAnsi="宋体" w:cs="宋体"/>
                <w:bCs/>
                <w:sz w:val="18"/>
                <w:szCs w:val="18"/>
              </w:rPr>
            </w:pPr>
            <w:r>
              <w:rPr>
                <w:rFonts w:hint="eastAsia" w:ascii="宋体" w:hAnsi="宋体" w:cs="宋体"/>
                <w:bCs/>
                <w:sz w:val="18"/>
                <w:szCs w:val="18"/>
              </w:rPr>
              <w:t>6</w:t>
            </w:r>
          </w:p>
        </w:tc>
        <w:tc>
          <w:tcPr>
            <w:tcW w:w="1410" w:type="dxa"/>
            <w:vAlign w:val="center"/>
          </w:tcPr>
          <w:p w14:paraId="08180027">
            <w:pPr>
              <w:jc w:val="center"/>
              <w:rPr>
                <w:rFonts w:ascii="宋体" w:hAnsi="宋体" w:cs="宋体"/>
                <w:bCs/>
                <w:sz w:val="18"/>
                <w:szCs w:val="18"/>
              </w:rPr>
            </w:pPr>
            <w:r>
              <w:rPr>
                <w:rFonts w:hint="eastAsia" w:ascii="宋体" w:hAnsi="宋体" w:cs="宋体"/>
                <w:bCs/>
                <w:sz w:val="18"/>
                <w:szCs w:val="18"/>
              </w:rPr>
              <w:t>放电装置常闭接触器K1告警</w:t>
            </w:r>
          </w:p>
        </w:tc>
        <w:tc>
          <w:tcPr>
            <w:tcW w:w="2745" w:type="dxa"/>
            <w:vAlign w:val="center"/>
          </w:tcPr>
          <w:p w14:paraId="48F8C4A6">
            <w:pPr>
              <w:jc w:val="center"/>
              <w:rPr>
                <w:rFonts w:ascii="宋体" w:hAnsi="宋体" w:cs="宋体"/>
                <w:bCs/>
                <w:sz w:val="18"/>
                <w:szCs w:val="18"/>
              </w:rPr>
            </w:pPr>
            <w:r>
              <w:rPr>
                <w:rFonts w:hint="eastAsia" w:ascii="宋体" w:hAnsi="宋体" w:cs="宋体"/>
                <w:bCs/>
                <w:sz w:val="18"/>
                <w:szCs w:val="18"/>
              </w:rPr>
              <w:t>放电装置继电器K1告警</w:t>
            </w:r>
          </w:p>
        </w:tc>
        <w:tc>
          <w:tcPr>
            <w:tcW w:w="1290" w:type="dxa"/>
            <w:vAlign w:val="center"/>
          </w:tcPr>
          <w:p w14:paraId="379F09D7">
            <w:pPr>
              <w:jc w:val="center"/>
              <w:rPr>
                <w:rFonts w:ascii="宋体" w:hAnsi="宋体" w:cs="宋体"/>
                <w:bCs/>
                <w:sz w:val="18"/>
                <w:szCs w:val="18"/>
              </w:rPr>
            </w:pPr>
            <w:r>
              <w:rPr>
                <w:rFonts w:hint="eastAsia" w:ascii="宋体" w:hAnsi="宋体" w:cs="宋体"/>
                <w:bCs/>
                <w:sz w:val="18"/>
                <w:szCs w:val="18"/>
              </w:rPr>
              <w:t>重大</w:t>
            </w:r>
          </w:p>
        </w:tc>
        <w:tc>
          <w:tcPr>
            <w:tcW w:w="3285" w:type="dxa"/>
            <w:vAlign w:val="center"/>
          </w:tcPr>
          <w:p w14:paraId="38994DEB">
            <w:pPr>
              <w:jc w:val="center"/>
              <w:rPr>
                <w:rFonts w:ascii="宋体" w:hAnsi="宋体" w:cs="宋体"/>
                <w:bCs/>
                <w:sz w:val="18"/>
                <w:szCs w:val="18"/>
              </w:rPr>
            </w:pPr>
            <w:r>
              <w:rPr>
                <w:rFonts w:hint="eastAsia" w:ascii="宋体" w:hAnsi="宋体" w:cs="宋体"/>
                <w:bCs/>
                <w:sz w:val="18"/>
                <w:szCs w:val="18"/>
              </w:rPr>
              <w:t>BTSE/ncdGGIO1$ST$Alm1</w:t>
            </w:r>
          </w:p>
          <w:p w14:paraId="7A1C9F64">
            <w:pPr>
              <w:jc w:val="center"/>
              <w:rPr>
                <w:rFonts w:ascii="宋体" w:hAnsi="宋体" w:cs="宋体"/>
                <w:bCs/>
                <w:sz w:val="18"/>
                <w:szCs w:val="18"/>
              </w:rPr>
            </w:pPr>
            <w:r>
              <w:rPr>
                <w:rFonts w:hint="eastAsia" w:ascii="宋体" w:hAnsi="宋体" w:cs="宋体"/>
                <w:bCs/>
                <w:sz w:val="18"/>
                <w:szCs w:val="18"/>
              </w:rPr>
              <w:t>0,正常；1表示故障</w:t>
            </w:r>
          </w:p>
        </w:tc>
      </w:tr>
      <w:tr w14:paraId="5A959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846" w:type="dxa"/>
            <w:vAlign w:val="center"/>
          </w:tcPr>
          <w:p w14:paraId="6D652546">
            <w:pPr>
              <w:jc w:val="center"/>
              <w:rPr>
                <w:rFonts w:ascii="宋体" w:hAnsi="宋体" w:cs="宋体"/>
                <w:bCs/>
                <w:sz w:val="18"/>
                <w:szCs w:val="18"/>
              </w:rPr>
            </w:pPr>
            <w:r>
              <w:rPr>
                <w:rFonts w:hint="eastAsia" w:ascii="宋体" w:hAnsi="宋体" w:cs="宋体"/>
                <w:bCs/>
                <w:sz w:val="18"/>
                <w:szCs w:val="18"/>
              </w:rPr>
              <w:t>7</w:t>
            </w:r>
          </w:p>
        </w:tc>
        <w:tc>
          <w:tcPr>
            <w:tcW w:w="1410" w:type="dxa"/>
            <w:vAlign w:val="center"/>
          </w:tcPr>
          <w:p w14:paraId="61ADFF2F">
            <w:pPr>
              <w:jc w:val="center"/>
              <w:rPr>
                <w:rFonts w:ascii="宋体" w:hAnsi="宋体" w:cs="宋体"/>
                <w:bCs/>
                <w:sz w:val="18"/>
                <w:szCs w:val="18"/>
              </w:rPr>
            </w:pPr>
            <w:r>
              <w:rPr>
                <w:rFonts w:hint="eastAsia" w:ascii="宋体" w:hAnsi="宋体" w:cs="宋体"/>
                <w:bCs/>
                <w:sz w:val="18"/>
                <w:szCs w:val="18"/>
              </w:rPr>
              <w:t>放电装置通讯告警</w:t>
            </w:r>
          </w:p>
        </w:tc>
        <w:tc>
          <w:tcPr>
            <w:tcW w:w="2745" w:type="dxa"/>
            <w:vAlign w:val="center"/>
          </w:tcPr>
          <w:p w14:paraId="33C6C59F">
            <w:pPr>
              <w:jc w:val="center"/>
              <w:rPr>
                <w:rFonts w:ascii="宋体" w:hAnsi="宋体" w:cs="宋体"/>
                <w:bCs/>
                <w:sz w:val="18"/>
                <w:szCs w:val="18"/>
              </w:rPr>
            </w:pPr>
            <w:r>
              <w:rPr>
                <w:rFonts w:hint="eastAsia" w:ascii="宋体" w:hAnsi="宋体" w:cs="宋体"/>
                <w:bCs/>
                <w:sz w:val="18"/>
                <w:szCs w:val="18"/>
              </w:rPr>
              <w:t>放电装置通讯告警</w:t>
            </w:r>
          </w:p>
        </w:tc>
        <w:tc>
          <w:tcPr>
            <w:tcW w:w="1290" w:type="dxa"/>
            <w:vAlign w:val="center"/>
          </w:tcPr>
          <w:p w14:paraId="710F0353">
            <w:pPr>
              <w:jc w:val="center"/>
              <w:rPr>
                <w:rFonts w:ascii="宋体" w:hAnsi="宋体" w:cs="宋体"/>
                <w:bCs/>
                <w:sz w:val="18"/>
                <w:szCs w:val="18"/>
              </w:rPr>
            </w:pPr>
            <w:r>
              <w:rPr>
                <w:rFonts w:hint="eastAsia" w:ascii="宋体" w:hAnsi="宋体" w:cs="宋体"/>
                <w:bCs/>
                <w:sz w:val="18"/>
                <w:szCs w:val="18"/>
              </w:rPr>
              <w:t>重大</w:t>
            </w:r>
          </w:p>
        </w:tc>
        <w:tc>
          <w:tcPr>
            <w:tcW w:w="3285" w:type="dxa"/>
            <w:vAlign w:val="center"/>
          </w:tcPr>
          <w:p w14:paraId="5733DDCE">
            <w:pPr>
              <w:jc w:val="center"/>
              <w:rPr>
                <w:rFonts w:ascii="宋体" w:hAnsi="宋体" w:cs="宋体"/>
                <w:bCs/>
                <w:sz w:val="18"/>
                <w:szCs w:val="18"/>
              </w:rPr>
            </w:pPr>
            <w:r>
              <w:rPr>
                <w:rFonts w:hint="eastAsia" w:ascii="宋体" w:hAnsi="宋体" w:cs="宋体"/>
                <w:bCs/>
                <w:sz w:val="18"/>
                <w:szCs w:val="18"/>
              </w:rPr>
              <w:t>BTSE/ncdGGIO1$ST$Alm2</w:t>
            </w:r>
          </w:p>
          <w:p w14:paraId="1AC5E88B">
            <w:pPr>
              <w:jc w:val="center"/>
              <w:rPr>
                <w:rFonts w:ascii="宋体" w:hAnsi="宋体" w:cs="宋体"/>
                <w:bCs/>
                <w:sz w:val="18"/>
                <w:szCs w:val="18"/>
              </w:rPr>
            </w:pPr>
            <w:r>
              <w:rPr>
                <w:rFonts w:hint="eastAsia" w:ascii="宋体" w:hAnsi="宋体" w:cs="宋体"/>
                <w:bCs/>
                <w:sz w:val="18"/>
                <w:szCs w:val="18"/>
              </w:rPr>
              <w:t>0,正常；1表示故障</w:t>
            </w:r>
          </w:p>
        </w:tc>
      </w:tr>
      <w:tr w14:paraId="3B577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846" w:type="dxa"/>
            <w:vAlign w:val="center"/>
          </w:tcPr>
          <w:p w14:paraId="0A7D0544">
            <w:pPr>
              <w:jc w:val="center"/>
              <w:rPr>
                <w:rFonts w:ascii="宋体" w:hAnsi="宋体" w:cs="宋体"/>
                <w:bCs/>
                <w:sz w:val="18"/>
                <w:szCs w:val="18"/>
              </w:rPr>
            </w:pPr>
            <w:r>
              <w:rPr>
                <w:rFonts w:hint="eastAsia" w:ascii="宋体" w:hAnsi="宋体" w:cs="宋体"/>
                <w:bCs/>
                <w:sz w:val="18"/>
                <w:szCs w:val="18"/>
              </w:rPr>
              <w:t>8</w:t>
            </w:r>
          </w:p>
        </w:tc>
        <w:tc>
          <w:tcPr>
            <w:tcW w:w="1410" w:type="dxa"/>
            <w:vAlign w:val="center"/>
          </w:tcPr>
          <w:p w14:paraId="23B6DCC8">
            <w:pPr>
              <w:jc w:val="center"/>
              <w:rPr>
                <w:rFonts w:ascii="宋体" w:hAnsi="宋体" w:cs="宋体"/>
                <w:bCs/>
                <w:sz w:val="18"/>
                <w:szCs w:val="18"/>
              </w:rPr>
            </w:pPr>
            <w:r>
              <w:rPr>
                <w:rFonts w:hint="eastAsia" w:ascii="宋体" w:hAnsi="宋体" w:cs="宋体"/>
                <w:bCs/>
                <w:sz w:val="18"/>
                <w:szCs w:val="18"/>
              </w:rPr>
              <w:t>放电装置过温告警</w:t>
            </w:r>
          </w:p>
        </w:tc>
        <w:tc>
          <w:tcPr>
            <w:tcW w:w="2745" w:type="dxa"/>
            <w:vAlign w:val="center"/>
          </w:tcPr>
          <w:p w14:paraId="35391151">
            <w:pPr>
              <w:jc w:val="center"/>
              <w:rPr>
                <w:rFonts w:ascii="宋体" w:hAnsi="宋体" w:cs="宋体"/>
                <w:bCs/>
                <w:sz w:val="18"/>
                <w:szCs w:val="18"/>
              </w:rPr>
            </w:pPr>
            <w:r>
              <w:rPr>
                <w:rFonts w:hint="eastAsia" w:ascii="宋体" w:hAnsi="宋体" w:cs="宋体"/>
                <w:bCs/>
                <w:sz w:val="18"/>
                <w:szCs w:val="18"/>
              </w:rPr>
              <w:t>放电装置内部过温告警</w:t>
            </w:r>
          </w:p>
        </w:tc>
        <w:tc>
          <w:tcPr>
            <w:tcW w:w="1290" w:type="dxa"/>
            <w:vAlign w:val="center"/>
          </w:tcPr>
          <w:p w14:paraId="35A8AF14">
            <w:pPr>
              <w:jc w:val="center"/>
              <w:rPr>
                <w:rFonts w:ascii="宋体" w:hAnsi="宋体" w:cs="宋体"/>
                <w:bCs/>
                <w:sz w:val="18"/>
                <w:szCs w:val="18"/>
              </w:rPr>
            </w:pPr>
            <w:r>
              <w:rPr>
                <w:rFonts w:hint="eastAsia" w:ascii="宋体" w:hAnsi="宋体" w:cs="宋体"/>
                <w:bCs/>
                <w:sz w:val="18"/>
                <w:szCs w:val="18"/>
              </w:rPr>
              <w:t>重大</w:t>
            </w:r>
          </w:p>
        </w:tc>
        <w:tc>
          <w:tcPr>
            <w:tcW w:w="3285" w:type="dxa"/>
            <w:vAlign w:val="center"/>
          </w:tcPr>
          <w:p w14:paraId="3B46A9A1">
            <w:pPr>
              <w:jc w:val="center"/>
              <w:rPr>
                <w:rFonts w:ascii="宋体" w:hAnsi="宋体" w:cs="宋体"/>
                <w:bCs/>
                <w:sz w:val="18"/>
                <w:szCs w:val="18"/>
              </w:rPr>
            </w:pPr>
            <w:r>
              <w:rPr>
                <w:rFonts w:hint="eastAsia" w:ascii="宋体" w:hAnsi="宋体" w:cs="宋体"/>
                <w:bCs/>
                <w:sz w:val="18"/>
                <w:szCs w:val="18"/>
              </w:rPr>
              <w:t>BTSE/ncdGGIO1$ST$Alm3</w:t>
            </w:r>
          </w:p>
          <w:p w14:paraId="636241E2">
            <w:pPr>
              <w:jc w:val="center"/>
              <w:rPr>
                <w:rFonts w:ascii="宋体" w:hAnsi="宋体" w:cs="宋体"/>
                <w:bCs/>
                <w:sz w:val="18"/>
                <w:szCs w:val="18"/>
              </w:rPr>
            </w:pPr>
            <w:r>
              <w:rPr>
                <w:rFonts w:hint="eastAsia" w:ascii="宋体" w:hAnsi="宋体" w:cs="宋体"/>
                <w:bCs/>
                <w:sz w:val="18"/>
                <w:szCs w:val="18"/>
              </w:rPr>
              <w:t>0,正常；1表示超范围</w:t>
            </w:r>
          </w:p>
        </w:tc>
      </w:tr>
      <w:tr w14:paraId="4F4B2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846" w:type="dxa"/>
            <w:vAlign w:val="center"/>
          </w:tcPr>
          <w:p w14:paraId="341043A9">
            <w:pPr>
              <w:jc w:val="center"/>
              <w:rPr>
                <w:rFonts w:ascii="宋体" w:hAnsi="宋体" w:cs="宋体"/>
                <w:bCs/>
                <w:sz w:val="18"/>
                <w:szCs w:val="18"/>
              </w:rPr>
            </w:pPr>
            <w:r>
              <w:rPr>
                <w:rFonts w:hint="eastAsia" w:ascii="宋体" w:hAnsi="宋体" w:cs="宋体"/>
                <w:bCs/>
                <w:sz w:val="18"/>
                <w:szCs w:val="18"/>
              </w:rPr>
              <w:t>9</w:t>
            </w:r>
          </w:p>
        </w:tc>
        <w:tc>
          <w:tcPr>
            <w:tcW w:w="1410" w:type="dxa"/>
            <w:vAlign w:val="center"/>
          </w:tcPr>
          <w:p w14:paraId="0D388694">
            <w:pPr>
              <w:jc w:val="center"/>
              <w:rPr>
                <w:rFonts w:ascii="宋体" w:hAnsi="宋体" w:cs="宋体"/>
                <w:bCs/>
                <w:sz w:val="18"/>
                <w:szCs w:val="18"/>
              </w:rPr>
            </w:pPr>
            <w:r>
              <w:rPr>
                <w:rFonts w:hint="eastAsia" w:ascii="宋体" w:hAnsi="宋体" w:cs="宋体"/>
                <w:bCs/>
                <w:sz w:val="18"/>
                <w:szCs w:val="18"/>
              </w:rPr>
              <w:t>放电装置二极管D1告警</w:t>
            </w:r>
          </w:p>
        </w:tc>
        <w:tc>
          <w:tcPr>
            <w:tcW w:w="2745" w:type="dxa"/>
            <w:vAlign w:val="center"/>
          </w:tcPr>
          <w:p w14:paraId="415F386A">
            <w:pPr>
              <w:jc w:val="center"/>
              <w:rPr>
                <w:rFonts w:ascii="宋体" w:hAnsi="宋体" w:cs="宋体"/>
                <w:bCs/>
                <w:sz w:val="18"/>
                <w:szCs w:val="18"/>
              </w:rPr>
            </w:pPr>
            <w:r>
              <w:rPr>
                <w:rFonts w:hint="eastAsia" w:ascii="宋体" w:hAnsi="宋体" w:cs="宋体"/>
                <w:bCs/>
                <w:sz w:val="18"/>
                <w:szCs w:val="18"/>
              </w:rPr>
              <w:t>放电装置二极管D1告警</w:t>
            </w:r>
          </w:p>
        </w:tc>
        <w:tc>
          <w:tcPr>
            <w:tcW w:w="1290" w:type="dxa"/>
            <w:vAlign w:val="center"/>
          </w:tcPr>
          <w:p w14:paraId="068A6497">
            <w:pPr>
              <w:jc w:val="center"/>
              <w:rPr>
                <w:rFonts w:ascii="宋体" w:hAnsi="宋体" w:cs="宋体"/>
                <w:bCs/>
                <w:sz w:val="18"/>
                <w:szCs w:val="18"/>
              </w:rPr>
            </w:pPr>
            <w:r>
              <w:rPr>
                <w:rFonts w:hint="eastAsia" w:ascii="宋体" w:hAnsi="宋体" w:cs="宋体"/>
                <w:bCs/>
                <w:sz w:val="18"/>
                <w:szCs w:val="18"/>
              </w:rPr>
              <w:t>重大</w:t>
            </w:r>
          </w:p>
        </w:tc>
        <w:tc>
          <w:tcPr>
            <w:tcW w:w="3285" w:type="dxa"/>
            <w:vAlign w:val="center"/>
          </w:tcPr>
          <w:p w14:paraId="67B7051E">
            <w:pPr>
              <w:jc w:val="center"/>
              <w:rPr>
                <w:rFonts w:ascii="宋体" w:hAnsi="宋体" w:cs="宋体"/>
                <w:bCs/>
                <w:sz w:val="18"/>
                <w:szCs w:val="18"/>
              </w:rPr>
            </w:pPr>
            <w:r>
              <w:rPr>
                <w:rFonts w:hint="eastAsia" w:ascii="宋体" w:hAnsi="宋体" w:cs="宋体"/>
                <w:bCs/>
                <w:sz w:val="18"/>
                <w:szCs w:val="18"/>
              </w:rPr>
              <w:t>BTSE/ncdGGIO1$ST$Alm4</w:t>
            </w:r>
          </w:p>
          <w:p w14:paraId="1FA6E267">
            <w:pPr>
              <w:jc w:val="center"/>
              <w:rPr>
                <w:rFonts w:ascii="宋体" w:hAnsi="宋体" w:cs="宋体"/>
                <w:bCs/>
                <w:sz w:val="18"/>
                <w:szCs w:val="18"/>
              </w:rPr>
            </w:pPr>
            <w:r>
              <w:rPr>
                <w:rFonts w:hint="eastAsia" w:ascii="宋体" w:hAnsi="宋体" w:cs="宋体"/>
                <w:bCs/>
                <w:sz w:val="18"/>
                <w:szCs w:val="18"/>
              </w:rPr>
              <w:t>0,正常；1表示故障</w:t>
            </w:r>
          </w:p>
        </w:tc>
      </w:tr>
    </w:tbl>
    <w:p w14:paraId="3C64F8AA">
      <w:pPr>
        <w:jc w:val="center"/>
        <w:rPr>
          <w:rFonts w:ascii="宋体" w:hAnsi="宋体" w:cs="宋体"/>
          <w:bCs/>
          <w:sz w:val="18"/>
          <w:szCs w:val="18"/>
        </w:rPr>
      </w:pPr>
      <w:r>
        <w:rPr>
          <w:rFonts w:hint="eastAsia" w:ascii="宋体" w:hAnsi="宋体" w:cs="宋体"/>
          <w:bCs/>
          <w:szCs w:val="21"/>
        </w:rPr>
        <w:t>表3 蓄电池远程核容监控遥控量信息表</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2"/>
        <w:gridCol w:w="1305"/>
        <w:gridCol w:w="3495"/>
        <w:gridCol w:w="3918"/>
      </w:tblGrid>
      <w:tr w14:paraId="4ECF7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blHeader/>
          <w:jc w:val="center"/>
        </w:trPr>
        <w:tc>
          <w:tcPr>
            <w:tcW w:w="862" w:type="dxa"/>
            <w:tcMar>
              <w:left w:w="0" w:type="dxa"/>
              <w:right w:w="0" w:type="dxa"/>
            </w:tcMar>
            <w:vAlign w:val="center"/>
          </w:tcPr>
          <w:p w14:paraId="1F60A84E">
            <w:pPr>
              <w:snapToGrid w:val="0"/>
              <w:jc w:val="center"/>
              <w:rPr>
                <w:rFonts w:ascii="宋体" w:hAnsi="宋体" w:cs="宋体"/>
                <w:bCs/>
                <w:sz w:val="18"/>
                <w:szCs w:val="18"/>
              </w:rPr>
            </w:pPr>
            <w:r>
              <w:rPr>
                <w:rFonts w:hint="eastAsia" w:ascii="宋体" w:hAnsi="宋体" w:cs="宋体"/>
                <w:bCs/>
                <w:sz w:val="18"/>
                <w:szCs w:val="18"/>
              </w:rPr>
              <w:t>序号</w:t>
            </w:r>
          </w:p>
        </w:tc>
        <w:tc>
          <w:tcPr>
            <w:tcW w:w="1305" w:type="dxa"/>
            <w:tcMar>
              <w:left w:w="28" w:type="dxa"/>
              <w:right w:w="28" w:type="dxa"/>
            </w:tcMar>
            <w:vAlign w:val="center"/>
          </w:tcPr>
          <w:p w14:paraId="5A6A7F4A">
            <w:pPr>
              <w:snapToGrid w:val="0"/>
              <w:jc w:val="center"/>
              <w:rPr>
                <w:rFonts w:ascii="宋体" w:hAnsi="宋体" w:cs="宋体"/>
                <w:bCs/>
                <w:sz w:val="18"/>
                <w:szCs w:val="18"/>
              </w:rPr>
            </w:pPr>
            <w:r>
              <w:rPr>
                <w:rFonts w:hint="eastAsia" w:ascii="宋体" w:hAnsi="宋体" w:cs="宋体"/>
                <w:bCs/>
                <w:sz w:val="18"/>
                <w:szCs w:val="18"/>
              </w:rPr>
              <w:t>监控名称</w:t>
            </w:r>
          </w:p>
        </w:tc>
        <w:tc>
          <w:tcPr>
            <w:tcW w:w="3495" w:type="dxa"/>
            <w:tcMar>
              <w:left w:w="85" w:type="dxa"/>
              <w:right w:w="28" w:type="dxa"/>
            </w:tcMar>
            <w:vAlign w:val="center"/>
          </w:tcPr>
          <w:p w14:paraId="4BB68599">
            <w:pPr>
              <w:snapToGrid w:val="0"/>
              <w:jc w:val="center"/>
              <w:rPr>
                <w:rFonts w:ascii="宋体" w:hAnsi="宋体" w:cs="宋体"/>
                <w:bCs/>
                <w:sz w:val="18"/>
                <w:szCs w:val="18"/>
              </w:rPr>
            </w:pPr>
            <w:r>
              <w:rPr>
                <w:rFonts w:hint="eastAsia" w:ascii="宋体" w:hAnsi="宋体" w:cs="宋体"/>
                <w:bCs/>
                <w:sz w:val="18"/>
                <w:szCs w:val="18"/>
              </w:rPr>
              <w:t>遥控量说明</w:t>
            </w:r>
          </w:p>
        </w:tc>
        <w:tc>
          <w:tcPr>
            <w:tcW w:w="3918" w:type="dxa"/>
            <w:vAlign w:val="center"/>
          </w:tcPr>
          <w:p w14:paraId="2AD0D853">
            <w:pPr>
              <w:snapToGrid w:val="0"/>
              <w:jc w:val="center"/>
              <w:rPr>
                <w:rFonts w:ascii="宋体" w:hAnsi="宋体" w:cs="宋体"/>
                <w:bCs/>
                <w:sz w:val="18"/>
                <w:szCs w:val="18"/>
              </w:rPr>
            </w:pPr>
            <w:r>
              <w:rPr>
                <w:rFonts w:hint="eastAsia" w:ascii="宋体" w:hAnsi="宋体" w:cs="宋体"/>
                <w:bCs/>
                <w:sz w:val="18"/>
                <w:szCs w:val="18"/>
              </w:rPr>
              <w:t>逻辑名称</w:t>
            </w:r>
          </w:p>
        </w:tc>
      </w:tr>
      <w:tr w14:paraId="7A076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blHeader/>
          <w:jc w:val="center"/>
        </w:trPr>
        <w:tc>
          <w:tcPr>
            <w:tcW w:w="862" w:type="dxa"/>
            <w:tcMar>
              <w:left w:w="0" w:type="dxa"/>
              <w:right w:w="0" w:type="dxa"/>
            </w:tcMar>
            <w:vAlign w:val="center"/>
          </w:tcPr>
          <w:p w14:paraId="476D4E61">
            <w:pPr>
              <w:jc w:val="center"/>
              <w:rPr>
                <w:rFonts w:ascii="宋体" w:hAnsi="宋体" w:cs="宋体"/>
                <w:bCs/>
                <w:sz w:val="18"/>
                <w:szCs w:val="18"/>
              </w:rPr>
            </w:pPr>
            <w:r>
              <w:rPr>
                <w:rFonts w:hint="eastAsia" w:ascii="宋体" w:hAnsi="宋体" w:cs="宋体"/>
                <w:bCs/>
                <w:sz w:val="18"/>
                <w:szCs w:val="18"/>
              </w:rPr>
              <w:t>1</w:t>
            </w:r>
          </w:p>
        </w:tc>
        <w:tc>
          <w:tcPr>
            <w:tcW w:w="1305" w:type="dxa"/>
            <w:tcMar>
              <w:left w:w="28" w:type="dxa"/>
              <w:right w:w="28" w:type="dxa"/>
            </w:tcMar>
            <w:vAlign w:val="center"/>
          </w:tcPr>
          <w:p w14:paraId="6D923F42">
            <w:pPr>
              <w:jc w:val="center"/>
              <w:rPr>
                <w:rFonts w:ascii="宋体" w:hAnsi="宋体" w:cs="宋体"/>
                <w:bCs/>
                <w:sz w:val="18"/>
                <w:szCs w:val="18"/>
              </w:rPr>
            </w:pPr>
            <w:r>
              <w:rPr>
                <w:rFonts w:hint="eastAsia" w:ascii="宋体" w:hAnsi="宋体" w:cs="宋体"/>
                <w:bCs/>
                <w:sz w:val="18"/>
                <w:szCs w:val="18"/>
              </w:rPr>
              <w:t>蓄电池组开始放电/停止放电</w:t>
            </w:r>
          </w:p>
        </w:tc>
        <w:tc>
          <w:tcPr>
            <w:tcW w:w="3495" w:type="dxa"/>
            <w:tcMar>
              <w:left w:w="85" w:type="dxa"/>
              <w:right w:w="28" w:type="dxa"/>
            </w:tcMar>
            <w:vAlign w:val="center"/>
          </w:tcPr>
          <w:p w14:paraId="510AAAFF">
            <w:pPr>
              <w:jc w:val="center"/>
              <w:rPr>
                <w:rFonts w:ascii="宋体" w:hAnsi="宋体" w:cs="宋体"/>
                <w:bCs/>
                <w:sz w:val="18"/>
                <w:szCs w:val="18"/>
              </w:rPr>
            </w:pPr>
            <w:r>
              <w:rPr>
                <w:rFonts w:hint="eastAsia" w:ascii="宋体" w:hAnsi="宋体" w:cs="宋体"/>
                <w:bCs/>
                <w:sz w:val="18"/>
                <w:szCs w:val="18"/>
              </w:rPr>
              <w:t>远程开始控制对蓄电池放电/停止放电</w:t>
            </w:r>
          </w:p>
        </w:tc>
        <w:tc>
          <w:tcPr>
            <w:tcW w:w="3918" w:type="dxa"/>
            <w:vAlign w:val="center"/>
          </w:tcPr>
          <w:p w14:paraId="1D00757D">
            <w:pPr>
              <w:jc w:val="center"/>
              <w:rPr>
                <w:rFonts w:ascii="宋体" w:hAnsi="宋体" w:cs="宋体"/>
                <w:bCs/>
                <w:sz w:val="18"/>
                <w:szCs w:val="18"/>
              </w:rPr>
            </w:pPr>
            <w:r>
              <w:rPr>
                <w:rFonts w:hint="eastAsia" w:ascii="宋体" w:hAnsi="宋体" w:cs="宋体"/>
                <w:bCs/>
                <w:sz w:val="18"/>
                <w:szCs w:val="18"/>
              </w:rPr>
              <w:t>BTSE/ncdGGIO1$CO$SPCSO1$Oper$ctlVal</w:t>
            </w:r>
          </w:p>
          <w:p w14:paraId="62885C79">
            <w:pPr>
              <w:jc w:val="center"/>
              <w:rPr>
                <w:rFonts w:ascii="宋体" w:hAnsi="宋体" w:cs="宋体"/>
                <w:bCs/>
                <w:sz w:val="18"/>
                <w:szCs w:val="18"/>
              </w:rPr>
            </w:pPr>
            <w:r>
              <w:rPr>
                <w:rFonts w:hint="eastAsia" w:ascii="宋体" w:hAnsi="宋体" w:cs="宋体"/>
                <w:bCs/>
                <w:sz w:val="18"/>
                <w:szCs w:val="18"/>
              </w:rPr>
              <w:t>1:开始放电</w:t>
            </w:r>
          </w:p>
          <w:p w14:paraId="36AF7423">
            <w:pPr>
              <w:jc w:val="center"/>
              <w:rPr>
                <w:rFonts w:ascii="宋体" w:hAnsi="宋体" w:cs="宋体"/>
                <w:bCs/>
                <w:sz w:val="18"/>
                <w:szCs w:val="18"/>
              </w:rPr>
            </w:pPr>
            <w:r>
              <w:rPr>
                <w:rFonts w:hint="eastAsia" w:ascii="宋体" w:hAnsi="宋体" w:cs="宋体"/>
                <w:bCs/>
                <w:sz w:val="18"/>
                <w:szCs w:val="18"/>
              </w:rPr>
              <w:t>0:停止放电</w:t>
            </w:r>
          </w:p>
        </w:tc>
      </w:tr>
      <w:tr w14:paraId="4CA9B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7" w:hRule="atLeast"/>
          <w:tblHeader/>
          <w:jc w:val="center"/>
        </w:trPr>
        <w:tc>
          <w:tcPr>
            <w:tcW w:w="862" w:type="dxa"/>
            <w:tcMar>
              <w:left w:w="0" w:type="dxa"/>
              <w:right w:w="0" w:type="dxa"/>
            </w:tcMar>
            <w:vAlign w:val="center"/>
          </w:tcPr>
          <w:p w14:paraId="03B6279F">
            <w:pPr>
              <w:jc w:val="center"/>
              <w:rPr>
                <w:rFonts w:ascii="宋体" w:hAnsi="宋体" w:cs="宋体"/>
                <w:bCs/>
                <w:sz w:val="18"/>
                <w:szCs w:val="18"/>
              </w:rPr>
            </w:pPr>
            <w:r>
              <w:rPr>
                <w:rFonts w:hint="eastAsia" w:ascii="宋体" w:hAnsi="宋体" w:cs="宋体"/>
                <w:bCs/>
                <w:sz w:val="18"/>
                <w:szCs w:val="18"/>
              </w:rPr>
              <w:t>2</w:t>
            </w:r>
          </w:p>
        </w:tc>
        <w:tc>
          <w:tcPr>
            <w:tcW w:w="1305" w:type="dxa"/>
            <w:tcMar>
              <w:left w:w="28" w:type="dxa"/>
              <w:right w:w="28" w:type="dxa"/>
            </w:tcMar>
            <w:vAlign w:val="center"/>
          </w:tcPr>
          <w:p w14:paraId="12A67979">
            <w:pPr>
              <w:jc w:val="center"/>
              <w:rPr>
                <w:rFonts w:ascii="宋体" w:hAnsi="宋体" w:cs="宋体"/>
                <w:bCs/>
                <w:sz w:val="18"/>
                <w:szCs w:val="18"/>
              </w:rPr>
            </w:pPr>
            <w:r>
              <w:rPr>
                <w:rFonts w:hint="eastAsia" w:ascii="宋体" w:hAnsi="宋体" w:cs="宋体"/>
                <w:bCs/>
                <w:sz w:val="18"/>
                <w:szCs w:val="18"/>
              </w:rPr>
              <w:t>启动/停止内阻测试</w:t>
            </w:r>
          </w:p>
        </w:tc>
        <w:tc>
          <w:tcPr>
            <w:tcW w:w="3495" w:type="dxa"/>
            <w:tcMar>
              <w:left w:w="85" w:type="dxa"/>
              <w:right w:w="28" w:type="dxa"/>
            </w:tcMar>
            <w:vAlign w:val="center"/>
          </w:tcPr>
          <w:p w14:paraId="4E9010D3">
            <w:pPr>
              <w:jc w:val="center"/>
              <w:rPr>
                <w:rFonts w:ascii="宋体" w:hAnsi="宋体" w:cs="宋体"/>
                <w:bCs/>
                <w:sz w:val="18"/>
                <w:szCs w:val="18"/>
              </w:rPr>
            </w:pPr>
            <w:r>
              <w:rPr>
                <w:rFonts w:hint="eastAsia" w:ascii="宋体" w:hAnsi="宋体" w:cs="宋体"/>
                <w:bCs/>
                <w:sz w:val="18"/>
                <w:szCs w:val="18"/>
              </w:rPr>
              <w:t>远程启动/停止放电装置对电池单体进行内阻测试</w:t>
            </w:r>
          </w:p>
        </w:tc>
        <w:tc>
          <w:tcPr>
            <w:tcW w:w="3918" w:type="dxa"/>
            <w:vAlign w:val="center"/>
          </w:tcPr>
          <w:p w14:paraId="6C423DBA">
            <w:pPr>
              <w:jc w:val="center"/>
              <w:rPr>
                <w:rFonts w:ascii="宋体" w:hAnsi="宋体" w:cs="宋体"/>
                <w:bCs/>
                <w:sz w:val="18"/>
                <w:szCs w:val="18"/>
              </w:rPr>
            </w:pPr>
            <w:r>
              <w:rPr>
                <w:rFonts w:hint="eastAsia" w:ascii="宋体" w:hAnsi="宋体" w:cs="宋体"/>
                <w:bCs/>
                <w:sz w:val="18"/>
                <w:szCs w:val="18"/>
              </w:rPr>
              <w:t>BTSE/ncdGGIO1$CO$SPCSO2$Oper$ctlVal</w:t>
            </w:r>
          </w:p>
          <w:p w14:paraId="6D6877E7">
            <w:pPr>
              <w:jc w:val="center"/>
              <w:rPr>
                <w:rFonts w:ascii="宋体" w:hAnsi="宋体" w:cs="宋体"/>
                <w:bCs/>
                <w:sz w:val="18"/>
                <w:szCs w:val="18"/>
              </w:rPr>
            </w:pPr>
            <w:r>
              <w:rPr>
                <w:rFonts w:hint="eastAsia" w:ascii="宋体" w:hAnsi="宋体" w:cs="宋体"/>
                <w:bCs/>
                <w:sz w:val="18"/>
                <w:szCs w:val="18"/>
              </w:rPr>
              <w:t>0:停止</w:t>
            </w:r>
          </w:p>
          <w:p w14:paraId="7A387A04">
            <w:pPr>
              <w:jc w:val="center"/>
              <w:rPr>
                <w:rFonts w:ascii="宋体" w:hAnsi="宋体" w:cs="宋体"/>
                <w:bCs/>
                <w:sz w:val="18"/>
                <w:szCs w:val="18"/>
              </w:rPr>
            </w:pPr>
            <w:r>
              <w:rPr>
                <w:rFonts w:hint="eastAsia" w:ascii="宋体" w:hAnsi="宋体" w:cs="宋体"/>
                <w:bCs/>
                <w:sz w:val="18"/>
                <w:szCs w:val="18"/>
              </w:rPr>
              <w:t>1:启动</w:t>
            </w:r>
          </w:p>
        </w:tc>
      </w:tr>
      <w:tr w14:paraId="05309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tblHeader/>
          <w:jc w:val="center"/>
        </w:trPr>
        <w:tc>
          <w:tcPr>
            <w:tcW w:w="862" w:type="dxa"/>
            <w:vAlign w:val="center"/>
          </w:tcPr>
          <w:p w14:paraId="4D2F6469">
            <w:pPr>
              <w:jc w:val="center"/>
              <w:rPr>
                <w:rFonts w:ascii="宋体" w:hAnsi="宋体" w:cs="宋体"/>
                <w:bCs/>
                <w:sz w:val="18"/>
                <w:szCs w:val="18"/>
              </w:rPr>
            </w:pPr>
            <w:r>
              <w:rPr>
                <w:rFonts w:hint="eastAsia" w:ascii="宋体" w:hAnsi="宋体" w:cs="宋体"/>
                <w:bCs/>
                <w:sz w:val="18"/>
                <w:szCs w:val="18"/>
              </w:rPr>
              <w:t>3</w:t>
            </w:r>
          </w:p>
        </w:tc>
        <w:tc>
          <w:tcPr>
            <w:tcW w:w="1305" w:type="dxa"/>
            <w:vAlign w:val="center"/>
          </w:tcPr>
          <w:p w14:paraId="610CECAB">
            <w:pPr>
              <w:jc w:val="center"/>
              <w:rPr>
                <w:rFonts w:ascii="宋体" w:hAnsi="宋体" w:cs="宋体"/>
                <w:bCs/>
                <w:sz w:val="18"/>
                <w:szCs w:val="18"/>
              </w:rPr>
            </w:pPr>
            <w:r>
              <w:rPr>
                <w:rFonts w:hint="eastAsia" w:ascii="宋体" w:hAnsi="宋体" w:cs="宋体"/>
                <w:bCs/>
                <w:sz w:val="18"/>
                <w:szCs w:val="18"/>
              </w:rPr>
              <w:t>启动/停止放电装置 K1/D1测试</w:t>
            </w:r>
          </w:p>
        </w:tc>
        <w:tc>
          <w:tcPr>
            <w:tcW w:w="3495" w:type="dxa"/>
            <w:vAlign w:val="center"/>
          </w:tcPr>
          <w:p w14:paraId="11E5618F">
            <w:pPr>
              <w:jc w:val="center"/>
              <w:rPr>
                <w:rFonts w:ascii="宋体" w:hAnsi="宋体" w:cs="宋体"/>
                <w:bCs/>
                <w:sz w:val="18"/>
                <w:szCs w:val="18"/>
              </w:rPr>
            </w:pPr>
            <w:r>
              <w:rPr>
                <w:rFonts w:hint="eastAsia" w:ascii="宋体" w:hAnsi="宋体" w:cs="宋体"/>
                <w:bCs/>
                <w:sz w:val="18"/>
                <w:szCs w:val="18"/>
              </w:rPr>
              <w:t>远程启动/停止放电装置对K1/D1完好性测试；测试结果直接体现到alarm1和alarm4中。</w:t>
            </w:r>
          </w:p>
        </w:tc>
        <w:tc>
          <w:tcPr>
            <w:tcW w:w="3918" w:type="dxa"/>
            <w:vAlign w:val="center"/>
          </w:tcPr>
          <w:p w14:paraId="0005E0C7">
            <w:pPr>
              <w:jc w:val="center"/>
              <w:rPr>
                <w:rFonts w:ascii="宋体" w:hAnsi="宋体" w:cs="宋体"/>
                <w:bCs/>
                <w:sz w:val="18"/>
                <w:szCs w:val="18"/>
              </w:rPr>
            </w:pPr>
            <w:r>
              <w:rPr>
                <w:rFonts w:hint="eastAsia" w:ascii="宋体" w:hAnsi="宋体" w:cs="宋体"/>
                <w:bCs/>
                <w:sz w:val="18"/>
                <w:szCs w:val="18"/>
              </w:rPr>
              <w:t>BTSE/ncdGGIO1$CO$SPCSO3$Oper$ctlVal</w:t>
            </w:r>
          </w:p>
          <w:p w14:paraId="0572E81B">
            <w:pPr>
              <w:jc w:val="center"/>
              <w:rPr>
                <w:rFonts w:ascii="宋体" w:hAnsi="宋体" w:cs="宋体"/>
                <w:bCs/>
                <w:sz w:val="18"/>
                <w:szCs w:val="18"/>
              </w:rPr>
            </w:pPr>
            <w:r>
              <w:rPr>
                <w:rFonts w:hint="eastAsia" w:ascii="宋体" w:hAnsi="宋体" w:cs="宋体"/>
                <w:bCs/>
                <w:sz w:val="18"/>
                <w:szCs w:val="18"/>
              </w:rPr>
              <w:t>0:停止</w:t>
            </w:r>
          </w:p>
          <w:p w14:paraId="4A5494DC">
            <w:pPr>
              <w:jc w:val="center"/>
              <w:rPr>
                <w:rFonts w:ascii="宋体" w:hAnsi="宋体" w:cs="宋体"/>
                <w:bCs/>
                <w:sz w:val="18"/>
                <w:szCs w:val="18"/>
              </w:rPr>
            </w:pPr>
            <w:r>
              <w:rPr>
                <w:rFonts w:hint="eastAsia" w:ascii="宋体" w:hAnsi="宋体" w:cs="宋体"/>
                <w:bCs/>
                <w:sz w:val="18"/>
                <w:szCs w:val="18"/>
              </w:rPr>
              <w:t>1:启动</w:t>
            </w:r>
          </w:p>
        </w:tc>
      </w:tr>
      <w:tr w14:paraId="18684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4" w:hRule="atLeast"/>
          <w:tblHeader/>
          <w:jc w:val="center"/>
        </w:trPr>
        <w:tc>
          <w:tcPr>
            <w:tcW w:w="862" w:type="dxa"/>
            <w:vAlign w:val="center"/>
          </w:tcPr>
          <w:p w14:paraId="4CB3B4CC">
            <w:pPr>
              <w:jc w:val="center"/>
              <w:rPr>
                <w:rFonts w:ascii="宋体" w:hAnsi="宋体" w:cs="宋体"/>
                <w:bCs/>
                <w:sz w:val="18"/>
                <w:szCs w:val="18"/>
              </w:rPr>
            </w:pPr>
            <w:r>
              <w:rPr>
                <w:rFonts w:hint="eastAsia" w:ascii="宋体" w:hAnsi="宋体" w:cs="宋体"/>
                <w:bCs/>
                <w:sz w:val="18"/>
                <w:szCs w:val="18"/>
              </w:rPr>
              <w:t>4</w:t>
            </w:r>
          </w:p>
        </w:tc>
        <w:tc>
          <w:tcPr>
            <w:tcW w:w="1305" w:type="dxa"/>
            <w:vAlign w:val="center"/>
          </w:tcPr>
          <w:p w14:paraId="2A38A8E8">
            <w:pPr>
              <w:jc w:val="center"/>
              <w:rPr>
                <w:rFonts w:ascii="宋体" w:hAnsi="宋体" w:cs="宋体"/>
                <w:bCs/>
                <w:sz w:val="18"/>
                <w:szCs w:val="18"/>
              </w:rPr>
            </w:pPr>
            <w:r>
              <w:rPr>
                <w:rFonts w:hint="eastAsia" w:ascii="宋体" w:hAnsi="宋体" w:cs="宋体"/>
                <w:bCs/>
                <w:sz w:val="18"/>
                <w:szCs w:val="18"/>
              </w:rPr>
              <w:t>重启放电</w:t>
            </w:r>
          </w:p>
          <w:p w14:paraId="04C67690">
            <w:pPr>
              <w:jc w:val="center"/>
              <w:rPr>
                <w:rFonts w:ascii="宋体" w:hAnsi="宋体" w:cs="宋体"/>
                <w:bCs/>
                <w:sz w:val="18"/>
                <w:szCs w:val="18"/>
              </w:rPr>
            </w:pPr>
            <w:r>
              <w:rPr>
                <w:rFonts w:hint="eastAsia" w:ascii="宋体" w:hAnsi="宋体" w:cs="宋体"/>
                <w:bCs/>
                <w:sz w:val="18"/>
                <w:szCs w:val="18"/>
              </w:rPr>
              <w:t>装置</w:t>
            </w:r>
          </w:p>
        </w:tc>
        <w:tc>
          <w:tcPr>
            <w:tcW w:w="3495" w:type="dxa"/>
            <w:vAlign w:val="center"/>
          </w:tcPr>
          <w:p w14:paraId="1F53DF97">
            <w:pPr>
              <w:jc w:val="center"/>
              <w:rPr>
                <w:rFonts w:ascii="宋体" w:hAnsi="宋体" w:cs="宋体"/>
                <w:bCs/>
                <w:sz w:val="18"/>
                <w:szCs w:val="18"/>
              </w:rPr>
            </w:pPr>
            <w:r>
              <w:rPr>
                <w:rFonts w:hint="eastAsia" w:ascii="宋体" w:hAnsi="宋体" w:cs="宋体"/>
                <w:bCs/>
                <w:sz w:val="18"/>
                <w:szCs w:val="18"/>
              </w:rPr>
              <w:t>远程重启放电装置</w:t>
            </w:r>
          </w:p>
        </w:tc>
        <w:tc>
          <w:tcPr>
            <w:tcW w:w="3918" w:type="dxa"/>
            <w:vAlign w:val="center"/>
          </w:tcPr>
          <w:p w14:paraId="17DDBCD4">
            <w:pPr>
              <w:jc w:val="center"/>
              <w:rPr>
                <w:rFonts w:ascii="宋体" w:hAnsi="宋体" w:cs="宋体"/>
                <w:bCs/>
                <w:sz w:val="18"/>
                <w:szCs w:val="18"/>
              </w:rPr>
            </w:pPr>
            <w:r>
              <w:rPr>
                <w:rFonts w:hint="eastAsia" w:ascii="宋体" w:hAnsi="宋体" w:cs="宋体"/>
                <w:bCs/>
                <w:sz w:val="18"/>
                <w:szCs w:val="18"/>
              </w:rPr>
              <w:t>BTSE/ncdGGIO1$CO$SPCSO4$Oper$ctlVal</w:t>
            </w:r>
          </w:p>
          <w:p w14:paraId="17160512">
            <w:pPr>
              <w:jc w:val="center"/>
              <w:rPr>
                <w:rFonts w:ascii="宋体" w:hAnsi="宋体" w:cs="宋体"/>
                <w:bCs/>
                <w:sz w:val="18"/>
                <w:szCs w:val="18"/>
              </w:rPr>
            </w:pPr>
            <w:r>
              <w:rPr>
                <w:rFonts w:hint="eastAsia" w:ascii="宋体" w:hAnsi="宋体" w:cs="宋体"/>
                <w:bCs/>
                <w:sz w:val="18"/>
                <w:szCs w:val="18"/>
              </w:rPr>
              <w:t>1:重启</w:t>
            </w:r>
          </w:p>
        </w:tc>
      </w:tr>
      <w:tr w14:paraId="4C3F5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9" w:hRule="atLeast"/>
          <w:tblHeader/>
          <w:jc w:val="center"/>
        </w:trPr>
        <w:tc>
          <w:tcPr>
            <w:tcW w:w="862" w:type="dxa"/>
            <w:vAlign w:val="center"/>
          </w:tcPr>
          <w:p w14:paraId="6D944922">
            <w:pPr>
              <w:jc w:val="center"/>
              <w:rPr>
                <w:rFonts w:ascii="宋体" w:hAnsi="宋体" w:cs="宋体"/>
                <w:bCs/>
                <w:sz w:val="18"/>
                <w:szCs w:val="18"/>
              </w:rPr>
            </w:pPr>
            <w:r>
              <w:rPr>
                <w:rFonts w:hint="eastAsia" w:ascii="宋体" w:hAnsi="宋体" w:cs="宋体"/>
                <w:bCs/>
                <w:sz w:val="18"/>
                <w:szCs w:val="18"/>
              </w:rPr>
              <w:t>5</w:t>
            </w:r>
          </w:p>
        </w:tc>
        <w:tc>
          <w:tcPr>
            <w:tcW w:w="1305" w:type="dxa"/>
            <w:vAlign w:val="center"/>
          </w:tcPr>
          <w:p w14:paraId="456448A8">
            <w:pPr>
              <w:jc w:val="center"/>
              <w:rPr>
                <w:rFonts w:ascii="宋体" w:hAnsi="宋体" w:cs="宋体"/>
                <w:bCs/>
                <w:sz w:val="18"/>
                <w:szCs w:val="18"/>
              </w:rPr>
            </w:pPr>
            <w:r>
              <w:rPr>
                <w:rFonts w:hint="eastAsia" w:ascii="宋体" w:hAnsi="宋体" w:cs="宋体"/>
                <w:bCs/>
                <w:sz w:val="18"/>
                <w:szCs w:val="18"/>
              </w:rPr>
              <w:t>放电装置IP配置生效</w:t>
            </w:r>
          </w:p>
        </w:tc>
        <w:tc>
          <w:tcPr>
            <w:tcW w:w="3495" w:type="dxa"/>
            <w:vAlign w:val="center"/>
          </w:tcPr>
          <w:p w14:paraId="30C07DD9">
            <w:pPr>
              <w:jc w:val="center"/>
              <w:rPr>
                <w:rFonts w:ascii="宋体" w:hAnsi="宋体" w:cs="宋体"/>
                <w:bCs/>
                <w:sz w:val="18"/>
                <w:szCs w:val="18"/>
              </w:rPr>
            </w:pPr>
            <w:r>
              <w:rPr>
                <w:rFonts w:hint="eastAsia" w:ascii="宋体" w:hAnsi="宋体" w:cs="宋体"/>
                <w:bCs/>
                <w:sz w:val="18"/>
                <w:szCs w:val="18"/>
              </w:rPr>
              <w:t>IP配置 生效</w:t>
            </w:r>
          </w:p>
        </w:tc>
        <w:tc>
          <w:tcPr>
            <w:tcW w:w="3918" w:type="dxa"/>
            <w:vAlign w:val="center"/>
          </w:tcPr>
          <w:p w14:paraId="3C229C46">
            <w:pPr>
              <w:jc w:val="center"/>
              <w:rPr>
                <w:rFonts w:ascii="宋体" w:hAnsi="宋体" w:cs="宋体"/>
                <w:bCs/>
                <w:sz w:val="18"/>
                <w:szCs w:val="18"/>
              </w:rPr>
            </w:pPr>
            <w:r>
              <w:rPr>
                <w:rFonts w:hint="eastAsia" w:ascii="宋体" w:hAnsi="宋体" w:cs="宋体"/>
                <w:bCs/>
                <w:sz w:val="18"/>
                <w:szCs w:val="18"/>
              </w:rPr>
              <w:t>BTSE/ncdGGIO1$CO$SPCSO5$Oper$ctlVal</w:t>
            </w:r>
          </w:p>
          <w:p w14:paraId="2B973AB3">
            <w:pPr>
              <w:jc w:val="center"/>
              <w:rPr>
                <w:rFonts w:ascii="宋体" w:hAnsi="宋体" w:cs="宋体"/>
                <w:bCs/>
                <w:sz w:val="18"/>
                <w:szCs w:val="18"/>
              </w:rPr>
            </w:pPr>
            <w:r>
              <w:rPr>
                <w:rFonts w:hint="eastAsia" w:ascii="宋体" w:hAnsi="宋体" w:cs="宋体"/>
                <w:bCs/>
                <w:sz w:val="18"/>
                <w:szCs w:val="18"/>
              </w:rPr>
              <w:t>0:暂时生效</w:t>
            </w:r>
          </w:p>
          <w:p w14:paraId="1316A2AD">
            <w:pPr>
              <w:jc w:val="center"/>
              <w:rPr>
                <w:rFonts w:ascii="宋体" w:hAnsi="宋体" w:cs="宋体"/>
                <w:bCs/>
                <w:sz w:val="18"/>
                <w:szCs w:val="18"/>
              </w:rPr>
            </w:pPr>
            <w:r>
              <w:rPr>
                <w:rFonts w:hint="eastAsia" w:ascii="宋体" w:hAnsi="宋体" w:cs="宋体"/>
                <w:bCs/>
                <w:sz w:val="18"/>
                <w:szCs w:val="18"/>
              </w:rPr>
              <w:t>1:永久生效</w:t>
            </w:r>
          </w:p>
        </w:tc>
      </w:tr>
    </w:tbl>
    <w:p w14:paraId="04EC1FF0">
      <w:pPr>
        <w:jc w:val="center"/>
        <w:rPr>
          <w:rFonts w:ascii="宋体" w:hAnsi="宋体" w:cs="宋体"/>
          <w:bCs/>
        </w:rPr>
      </w:pPr>
      <w:r>
        <w:rPr>
          <w:rFonts w:hint="eastAsia" w:ascii="宋体" w:hAnsi="宋体" w:cs="宋体"/>
          <w:bCs/>
          <w:szCs w:val="21"/>
        </w:rPr>
        <w:t>表4  蓄电池远程核容监控遥调量信息表</w:t>
      </w:r>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7"/>
        <w:gridCol w:w="1545"/>
        <w:gridCol w:w="3298"/>
        <w:gridCol w:w="3961"/>
      </w:tblGrid>
      <w:tr w14:paraId="41D2D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6" w:hRule="atLeast"/>
          <w:tblHeader/>
          <w:jc w:val="center"/>
        </w:trPr>
        <w:tc>
          <w:tcPr>
            <w:tcW w:w="797" w:type="dxa"/>
            <w:tcMar>
              <w:left w:w="0" w:type="dxa"/>
              <w:right w:w="0" w:type="dxa"/>
            </w:tcMar>
            <w:vAlign w:val="center"/>
          </w:tcPr>
          <w:p w14:paraId="1B38F761">
            <w:pPr>
              <w:snapToGrid w:val="0"/>
              <w:jc w:val="center"/>
              <w:rPr>
                <w:rFonts w:ascii="宋体" w:hAnsi="宋体" w:cs="宋体"/>
                <w:bCs/>
                <w:sz w:val="18"/>
                <w:szCs w:val="18"/>
              </w:rPr>
            </w:pPr>
            <w:r>
              <w:rPr>
                <w:rFonts w:hint="eastAsia" w:ascii="宋体" w:hAnsi="宋体" w:cs="宋体"/>
                <w:bCs/>
                <w:sz w:val="18"/>
                <w:szCs w:val="18"/>
              </w:rPr>
              <w:t>序号</w:t>
            </w:r>
          </w:p>
        </w:tc>
        <w:tc>
          <w:tcPr>
            <w:tcW w:w="1545" w:type="dxa"/>
            <w:tcMar>
              <w:left w:w="28" w:type="dxa"/>
              <w:right w:w="28" w:type="dxa"/>
            </w:tcMar>
            <w:vAlign w:val="center"/>
          </w:tcPr>
          <w:p w14:paraId="7D4AEF96">
            <w:pPr>
              <w:snapToGrid w:val="0"/>
              <w:jc w:val="center"/>
              <w:rPr>
                <w:rFonts w:ascii="宋体" w:hAnsi="宋体" w:cs="宋体"/>
                <w:bCs/>
                <w:sz w:val="18"/>
                <w:szCs w:val="18"/>
              </w:rPr>
            </w:pPr>
            <w:r>
              <w:rPr>
                <w:rFonts w:hint="eastAsia" w:ascii="宋体" w:hAnsi="宋体" w:cs="宋体"/>
                <w:bCs/>
                <w:sz w:val="18"/>
                <w:szCs w:val="18"/>
              </w:rPr>
              <w:t>监控名称</w:t>
            </w:r>
          </w:p>
        </w:tc>
        <w:tc>
          <w:tcPr>
            <w:tcW w:w="3298" w:type="dxa"/>
            <w:tcMar>
              <w:left w:w="85" w:type="dxa"/>
              <w:right w:w="28" w:type="dxa"/>
            </w:tcMar>
            <w:vAlign w:val="center"/>
          </w:tcPr>
          <w:p w14:paraId="4120C6D1">
            <w:pPr>
              <w:snapToGrid w:val="0"/>
              <w:jc w:val="center"/>
              <w:rPr>
                <w:rFonts w:ascii="宋体" w:hAnsi="宋体" w:cs="宋体"/>
                <w:bCs/>
                <w:sz w:val="18"/>
                <w:szCs w:val="18"/>
              </w:rPr>
            </w:pPr>
            <w:r>
              <w:rPr>
                <w:rFonts w:hint="eastAsia" w:ascii="宋体" w:hAnsi="宋体" w:cs="宋体"/>
                <w:bCs/>
                <w:sz w:val="18"/>
                <w:szCs w:val="18"/>
              </w:rPr>
              <w:t>遥调量说明</w:t>
            </w:r>
          </w:p>
        </w:tc>
        <w:tc>
          <w:tcPr>
            <w:tcW w:w="3961" w:type="dxa"/>
            <w:vAlign w:val="center"/>
          </w:tcPr>
          <w:p w14:paraId="7E4249AF">
            <w:pPr>
              <w:snapToGrid w:val="0"/>
              <w:jc w:val="center"/>
              <w:rPr>
                <w:rFonts w:ascii="宋体" w:hAnsi="宋体" w:cs="宋体"/>
                <w:bCs/>
                <w:sz w:val="18"/>
                <w:szCs w:val="18"/>
              </w:rPr>
            </w:pPr>
            <w:r>
              <w:rPr>
                <w:rFonts w:hint="eastAsia" w:ascii="宋体" w:hAnsi="宋体" w:cs="宋体"/>
                <w:bCs/>
                <w:sz w:val="18"/>
                <w:szCs w:val="18"/>
              </w:rPr>
              <w:t>逻辑名称</w:t>
            </w:r>
          </w:p>
        </w:tc>
      </w:tr>
      <w:tr w14:paraId="6B206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2" w:hRule="atLeast"/>
          <w:tblHeader/>
          <w:jc w:val="center"/>
        </w:trPr>
        <w:tc>
          <w:tcPr>
            <w:tcW w:w="797" w:type="dxa"/>
            <w:tcMar>
              <w:left w:w="0" w:type="dxa"/>
              <w:right w:w="0" w:type="dxa"/>
            </w:tcMar>
            <w:vAlign w:val="center"/>
          </w:tcPr>
          <w:p w14:paraId="7861DFD6">
            <w:pPr>
              <w:snapToGrid w:val="0"/>
              <w:jc w:val="center"/>
              <w:rPr>
                <w:rFonts w:ascii="宋体" w:hAnsi="宋体" w:cs="宋体"/>
                <w:bCs/>
                <w:sz w:val="18"/>
                <w:szCs w:val="18"/>
              </w:rPr>
            </w:pPr>
            <w:r>
              <w:rPr>
                <w:rFonts w:hint="eastAsia" w:ascii="宋体" w:hAnsi="宋体" w:cs="宋体"/>
                <w:bCs/>
                <w:sz w:val="18"/>
                <w:szCs w:val="18"/>
              </w:rPr>
              <w:t>1</w:t>
            </w:r>
          </w:p>
        </w:tc>
        <w:tc>
          <w:tcPr>
            <w:tcW w:w="1545" w:type="dxa"/>
            <w:tcMar>
              <w:left w:w="28" w:type="dxa"/>
              <w:right w:w="28" w:type="dxa"/>
            </w:tcMar>
            <w:vAlign w:val="center"/>
          </w:tcPr>
          <w:p w14:paraId="348219A0">
            <w:pPr>
              <w:snapToGrid w:val="0"/>
              <w:jc w:val="center"/>
              <w:rPr>
                <w:rFonts w:ascii="宋体" w:hAnsi="宋体" w:cs="宋体"/>
                <w:bCs/>
                <w:sz w:val="18"/>
                <w:szCs w:val="18"/>
              </w:rPr>
            </w:pPr>
            <w:r>
              <w:rPr>
                <w:rFonts w:hint="eastAsia" w:ascii="宋体" w:hAnsi="宋体" w:cs="宋体"/>
                <w:bCs/>
                <w:sz w:val="18"/>
                <w:szCs w:val="18"/>
              </w:rPr>
              <w:t>放电电流</w:t>
            </w:r>
          </w:p>
        </w:tc>
        <w:tc>
          <w:tcPr>
            <w:tcW w:w="3298" w:type="dxa"/>
            <w:tcMar>
              <w:left w:w="85" w:type="dxa"/>
              <w:right w:w="28" w:type="dxa"/>
            </w:tcMar>
            <w:vAlign w:val="center"/>
          </w:tcPr>
          <w:p w14:paraId="63F521B3">
            <w:pPr>
              <w:snapToGrid w:val="0"/>
              <w:jc w:val="center"/>
              <w:rPr>
                <w:rFonts w:ascii="宋体" w:hAnsi="宋体" w:cs="宋体"/>
                <w:bCs/>
                <w:sz w:val="18"/>
                <w:szCs w:val="18"/>
              </w:rPr>
            </w:pPr>
            <w:r>
              <w:rPr>
                <w:rFonts w:hint="eastAsia" w:ascii="宋体" w:hAnsi="宋体" w:cs="宋体"/>
                <w:bCs/>
                <w:sz w:val="18"/>
                <w:szCs w:val="18"/>
              </w:rPr>
              <w:t>远程核容时蓄电池的放电电流</w:t>
            </w:r>
          </w:p>
        </w:tc>
        <w:tc>
          <w:tcPr>
            <w:tcW w:w="3961" w:type="dxa"/>
            <w:vAlign w:val="center"/>
          </w:tcPr>
          <w:p w14:paraId="5ACF815C">
            <w:pPr>
              <w:snapToGrid w:val="0"/>
              <w:jc w:val="center"/>
              <w:rPr>
                <w:rFonts w:ascii="宋体" w:hAnsi="宋体" w:cs="宋体"/>
                <w:bCs/>
                <w:sz w:val="18"/>
                <w:szCs w:val="18"/>
              </w:rPr>
            </w:pPr>
            <w:r>
              <w:rPr>
                <w:rFonts w:hint="eastAsia" w:ascii="宋体" w:hAnsi="宋体" w:cs="宋体"/>
                <w:bCs/>
                <w:sz w:val="18"/>
                <w:szCs w:val="18"/>
              </w:rPr>
              <w:t>BTSE/ncdGGIO1$SP$Para1$setMag$f</w:t>
            </w:r>
          </w:p>
        </w:tc>
      </w:tr>
      <w:tr w14:paraId="1AE79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7" w:hRule="atLeast"/>
          <w:tblHeader/>
          <w:jc w:val="center"/>
        </w:trPr>
        <w:tc>
          <w:tcPr>
            <w:tcW w:w="797" w:type="dxa"/>
            <w:tcMar>
              <w:left w:w="0" w:type="dxa"/>
              <w:right w:w="0" w:type="dxa"/>
            </w:tcMar>
            <w:vAlign w:val="center"/>
          </w:tcPr>
          <w:p w14:paraId="21935911">
            <w:pPr>
              <w:snapToGrid w:val="0"/>
              <w:jc w:val="center"/>
              <w:rPr>
                <w:rFonts w:ascii="宋体" w:hAnsi="宋体" w:cs="宋体"/>
                <w:bCs/>
                <w:sz w:val="18"/>
                <w:szCs w:val="18"/>
              </w:rPr>
            </w:pPr>
            <w:r>
              <w:rPr>
                <w:rFonts w:hint="eastAsia" w:ascii="宋体" w:hAnsi="宋体" w:cs="宋体"/>
                <w:bCs/>
                <w:sz w:val="18"/>
                <w:szCs w:val="18"/>
              </w:rPr>
              <w:t>2</w:t>
            </w:r>
          </w:p>
        </w:tc>
        <w:tc>
          <w:tcPr>
            <w:tcW w:w="1545" w:type="dxa"/>
            <w:tcMar>
              <w:left w:w="28" w:type="dxa"/>
              <w:right w:w="28" w:type="dxa"/>
            </w:tcMar>
            <w:vAlign w:val="center"/>
          </w:tcPr>
          <w:p w14:paraId="4203531C">
            <w:pPr>
              <w:snapToGrid w:val="0"/>
              <w:jc w:val="center"/>
              <w:rPr>
                <w:rFonts w:ascii="宋体" w:hAnsi="宋体" w:cs="宋体"/>
                <w:bCs/>
                <w:sz w:val="18"/>
                <w:szCs w:val="18"/>
              </w:rPr>
            </w:pPr>
            <w:r>
              <w:rPr>
                <w:rFonts w:hint="eastAsia" w:ascii="宋体" w:hAnsi="宋体" w:cs="宋体"/>
                <w:bCs/>
                <w:sz w:val="18"/>
                <w:szCs w:val="18"/>
              </w:rPr>
              <w:t>放电时间</w:t>
            </w:r>
          </w:p>
        </w:tc>
        <w:tc>
          <w:tcPr>
            <w:tcW w:w="3298" w:type="dxa"/>
            <w:tcMar>
              <w:left w:w="85" w:type="dxa"/>
              <w:right w:w="28" w:type="dxa"/>
            </w:tcMar>
            <w:vAlign w:val="center"/>
          </w:tcPr>
          <w:p w14:paraId="16ED4418">
            <w:pPr>
              <w:snapToGrid w:val="0"/>
              <w:jc w:val="center"/>
              <w:rPr>
                <w:rFonts w:ascii="宋体" w:hAnsi="宋体" w:cs="宋体"/>
                <w:bCs/>
                <w:sz w:val="18"/>
                <w:szCs w:val="18"/>
              </w:rPr>
            </w:pPr>
            <w:r>
              <w:rPr>
                <w:rFonts w:hint="eastAsia" w:ascii="宋体" w:hAnsi="宋体" w:cs="宋体"/>
                <w:bCs/>
                <w:sz w:val="18"/>
                <w:szCs w:val="18"/>
              </w:rPr>
              <w:t>蓄电池池组放电时间（单位小时）</w:t>
            </w:r>
          </w:p>
        </w:tc>
        <w:tc>
          <w:tcPr>
            <w:tcW w:w="3961" w:type="dxa"/>
            <w:vAlign w:val="center"/>
          </w:tcPr>
          <w:p w14:paraId="1BCACCBD">
            <w:pPr>
              <w:snapToGrid w:val="0"/>
              <w:jc w:val="center"/>
              <w:rPr>
                <w:rFonts w:ascii="宋体" w:hAnsi="宋体" w:cs="宋体"/>
                <w:bCs/>
                <w:sz w:val="18"/>
                <w:szCs w:val="18"/>
              </w:rPr>
            </w:pPr>
            <w:r>
              <w:rPr>
                <w:rFonts w:hint="eastAsia" w:ascii="宋体" w:hAnsi="宋体" w:cs="宋体"/>
                <w:bCs/>
                <w:sz w:val="18"/>
                <w:szCs w:val="18"/>
              </w:rPr>
              <w:t>BTSE/ncdGGIO1$SP$Para2$setMag$f</w:t>
            </w:r>
          </w:p>
        </w:tc>
      </w:tr>
      <w:tr w14:paraId="2C1CA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4" w:hRule="atLeast"/>
          <w:tblHeader/>
          <w:jc w:val="center"/>
        </w:trPr>
        <w:tc>
          <w:tcPr>
            <w:tcW w:w="797" w:type="dxa"/>
            <w:tcMar>
              <w:left w:w="0" w:type="dxa"/>
              <w:right w:w="0" w:type="dxa"/>
            </w:tcMar>
            <w:vAlign w:val="center"/>
          </w:tcPr>
          <w:p w14:paraId="31885571">
            <w:pPr>
              <w:snapToGrid w:val="0"/>
              <w:jc w:val="center"/>
              <w:rPr>
                <w:rFonts w:ascii="宋体" w:hAnsi="宋体" w:cs="宋体"/>
                <w:bCs/>
                <w:sz w:val="18"/>
                <w:szCs w:val="18"/>
              </w:rPr>
            </w:pPr>
            <w:r>
              <w:rPr>
                <w:rFonts w:hint="eastAsia" w:ascii="宋体" w:hAnsi="宋体" w:cs="宋体"/>
                <w:bCs/>
                <w:sz w:val="18"/>
                <w:szCs w:val="18"/>
              </w:rPr>
              <w:t>3</w:t>
            </w:r>
          </w:p>
        </w:tc>
        <w:tc>
          <w:tcPr>
            <w:tcW w:w="1545" w:type="dxa"/>
            <w:tcMar>
              <w:left w:w="28" w:type="dxa"/>
              <w:right w:w="28" w:type="dxa"/>
            </w:tcMar>
            <w:vAlign w:val="center"/>
          </w:tcPr>
          <w:p w14:paraId="1F910E3E">
            <w:pPr>
              <w:snapToGrid w:val="0"/>
              <w:jc w:val="center"/>
              <w:rPr>
                <w:rFonts w:ascii="宋体" w:hAnsi="宋体" w:cs="宋体"/>
                <w:bCs/>
                <w:sz w:val="18"/>
                <w:szCs w:val="18"/>
              </w:rPr>
            </w:pPr>
            <w:r>
              <w:rPr>
                <w:rFonts w:hint="eastAsia" w:ascii="宋体" w:hAnsi="宋体" w:cs="宋体"/>
                <w:bCs/>
                <w:sz w:val="18"/>
                <w:szCs w:val="18"/>
              </w:rPr>
              <w:t>蓄电池组放电容量</w:t>
            </w:r>
          </w:p>
        </w:tc>
        <w:tc>
          <w:tcPr>
            <w:tcW w:w="3298" w:type="dxa"/>
            <w:tcMar>
              <w:left w:w="85" w:type="dxa"/>
              <w:right w:w="28" w:type="dxa"/>
            </w:tcMar>
            <w:vAlign w:val="center"/>
          </w:tcPr>
          <w:p w14:paraId="1EB7A565">
            <w:pPr>
              <w:snapToGrid w:val="0"/>
              <w:jc w:val="center"/>
              <w:rPr>
                <w:rFonts w:ascii="宋体" w:hAnsi="宋体" w:cs="宋体"/>
                <w:bCs/>
                <w:sz w:val="18"/>
                <w:szCs w:val="18"/>
              </w:rPr>
            </w:pPr>
            <w:r>
              <w:rPr>
                <w:rFonts w:hint="eastAsia" w:ascii="宋体" w:hAnsi="宋体" w:cs="宋体"/>
                <w:bCs/>
                <w:sz w:val="18"/>
                <w:szCs w:val="18"/>
              </w:rPr>
              <w:t>蓄电池池组放电容量（单位安时）</w:t>
            </w:r>
          </w:p>
        </w:tc>
        <w:tc>
          <w:tcPr>
            <w:tcW w:w="3961" w:type="dxa"/>
            <w:vAlign w:val="center"/>
          </w:tcPr>
          <w:p w14:paraId="4F018830">
            <w:pPr>
              <w:snapToGrid w:val="0"/>
              <w:jc w:val="center"/>
              <w:rPr>
                <w:rFonts w:ascii="宋体" w:hAnsi="宋体" w:cs="宋体"/>
                <w:bCs/>
                <w:sz w:val="18"/>
                <w:szCs w:val="18"/>
              </w:rPr>
            </w:pPr>
            <w:r>
              <w:rPr>
                <w:rFonts w:hint="eastAsia" w:ascii="宋体" w:hAnsi="宋体" w:cs="宋体"/>
                <w:bCs/>
                <w:sz w:val="18"/>
                <w:szCs w:val="18"/>
              </w:rPr>
              <w:t>BTSE/ncdGGIO1$SP$Para3$setMag$f</w:t>
            </w:r>
          </w:p>
        </w:tc>
      </w:tr>
      <w:tr w14:paraId="5C1ED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 w:hRule="atLeast"/>
          <w:tblHeader/>
          <w:jc w:val="center"/>
        </w:trPr>
        <w:tc>
          <w:tcPr>
            <w:tcW w:w="797" w:type="dxa"/>
            <w:tcMar>
              <w:left w:w="0" w:type="dxa"/>
              <w:right w:w="0" w:type="dxa"/>
            </w:tcMar>
            <w:vAlign w:val="center"/>
          </w:tcPr>
          <w:p w14:paraId="44D29371">
            <w:pPr>
              <w:snapToGrid w:val="0"/>
              <w:jc w:val="center"/>
              <w:rPr>
                <w:rFonts w:ascii="宋体" w:hAnsi="宋体" w:cs="宋体"/>
                <w:bCs/>
                <w:sz w:val="18"/>
                <w:szCs w:val="18"/>
              </w:rPr>
            </w:pPr>
            <w:r>
              <w:rPr>
                <w:rFonts w:hint="eastAsia" w:ascii="宋体" w:hAnsi="宋体" w:cs="宋体"/>
                <w:bCs/>
                <w:sz w:val="18"/>
                <w:szCs w:val="18"/>
              </w:rPr>
              <w:t>4</w:t>
            </w:r>
          </w:p>
        </w:tc>
        <w:tc>
          <w:tcPr>
            <w:tcW w:w="1545" w:type="dxa"/>
            <w:tcMar>
              <w:left w:w="28" w:type="dxa"/>
              <w:right w:w="28" w:type="dxa"/>
            </w:tcMar>
            <w:vAlign w:val="center"/>
          </w:tcPr>
          <w:p w14:paraId="0F56A298">
            <w:pPr>
              <w:snapToGrid w:val="0"/>
              <w:jc w:val="center"/>
              <w:rPr>
                <w:rFonts w:ascii="宋体" w:hAnsi="宋体" w:cs="宋体"/>
                <w:bCs/>
                <w:sz w:val="18"/>
                <w:szCs w:val="18"/>
              </w:rPr>
            </w:pPr>
            <w:r>
              <w:rPr>
                <w:rFonts w:hint="eastAsia" w:ascii="宋体" w:hAnsi="宋体" w:cs="宋体"/>
                <w:bCs/>
                <w:sz w:val="18"/>
                <w:szCs w:val="18"/>
              </w:rPr>
              <w:t>蓄电池组放电终止个数N</w:t>
            </w:r>
          </w:p>
        </w:tc>
        <w:tc>
          <w:tcPr>
            <w:tcW w:w="3298" w:type="dxa"/>
            <w:tcMar>
              <w:left w:w="85" w:type="dxa"/>
              <w:right w:w="28" w:type="dxa"/>
            </w:tcMar>
            <w:vAlign w:val="center"/>
          </w:tcPr>
          <w:p w14:paraId="789931A1">
            <w:pPr>
              <w:snapToGrid w:val="0"/>
              <w:jc w:val="center"/>
              <w:rPr>
                <w:rFonts w:ascii="宋体" w:hAnsi="宋体" w:cs="宋体"/>
                <w:bCs/>
                <w:sz w:val="18"/>
                <w:szCs w:val="18"/>
              </w:rPr>
            </w:pPr>
            <w:r>
              <w:rPr>
                <w:rFonts w:hint="eastAsia" w:ascii="宋体" w:hAnsi="宋体" w:cs="宋体"/>
                <w:bCs/>
                <w:sz w:val="18"/>
                <w:szCs w:val="18"/>
              </w:rPr>
              <w:t>当N个蓄电池达到放电终止电压后停止放电</w:t>
            </w:r>
          </w:p>
        </w:tc>
        <w:tc>
          <w:tcPr>
            <w:tcW w:w="3961" w:type="dxa"/>
            <w:vAlign w:val="center"/>
          </w:tcPr>
          <w:p w14:paraId="584C7869">
            <w:pPr>
              <w:snapToGrid w:val="0"/>
              <w:jc w:val="center"/>
              <w:rPr>
                <w:rFonts w:ascii="宋体" w:hAnsi="宋体" w:cs="宋体"/>
                <w:bCs/>
                <w:sz w:val="18"/>
                <w:szCs w:val="18"/>
              </w:rPr>
            </w:pPr>
            <w:r>
              <w:rPr>
                <w:rFonts w:hint="eastAsia" w:ascii="宋体" w:hAnsi="宋体" w:cs="宋体"/>
                <w:bCs/>
                <w:sz w:val="18"/>
                <w:szCs w:val="18"/>
              </w:rPr>
              <w:t>BTSE/ncdGGIO1$SP$Para4$setMag$f</w:t>
            </w:r>
          </w:p>
        </w:tc>
      </w:tr>
      <w:tr w14:paraId="5DAD9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tblHeader/>
          <w:jc w:val="center"/>
        </w:trPr>
        <w:tc>
          <w:tcPr>
            <w:tcW w:w="797" w:type="dxa"/>
            <w:tcMar>
              <w:left w:w="0" w:type="dxa"/>
              <w:right w:w="0" w:type="dxa"/>
            </w:tcMar>
            <w:vAlign w:val="center"/>
          </w:tcPr>
          <w:p w14:paraId="2175AF52">
            <w:pPr>
              <w:snapToGrid w:val="0"/>
              <w:jc w:val="center"/>
              <w:rPr>
                <w:rFonts w:ascii="宋体" w:hAnsi="宋体" w:cs="宋体"/>
                <w:bCs/>
                <w:sz w:val="18"/>
                <w:szCs w:val="18"/>
              </w:rPr>
            </w:pPr>
            <w:r>
              <w:rPr>
                <w:rFonts w:hint="eastAsia" w:ascii="宋体" w:hAnsi="宋体" w:cs="宋体"/>
                <w:bCs/>
                <w:sz w:val="18"/>
                <w:szCs w:val="18"/>
              </w:rPr>
              <w:t>5</w:t>
            </w:r>
          </w:p>
        </w:tc>
        <w:tc>
          <w:tcPr>
            <w:tcW w:w="1545" w:type="dxa"/>
            <w:tcMar>
              <w:left w:w="28" w:type="dxa"/>
              <w:right w:w="28" w:type="dxa"/>
            </w:tcMar>
            <w:vAlign w:val="center"/>
          </w:tcPr>
          <w:p w14:paraId="39CAC31D">
            <w:pPr>
              <w:snapToGrid w:val="0"/>
              <w:jc w:val="center"/>
              <w:rPr>
                <w:rFonts w:ascii="宋体" w:hAnsi="宋体" w:cs="宋体"/>
                <w:bCs/>
                <w:sz w:val="18"/>
                <w:szCs w:val="18"/>
              </w:rPr>
            </w:pPr>
            <w:r>
              <w:rPr>
                <w:rFonts w:hint="eastAsia" w:ascii="宋体" w:hAnsi="宋体" w:cs="宋体"/>
                <w:bCs/>
                <w:sz w:val="18"/>
                <w:szCs w:val="18"/>
              </w:rPr>
              <w:t>蓄电池组放电终止电压</w:t>
            </w:r>
          </w:p>
        </w:tc>
        <w:tc>
          <w:tcPr>
            <w:tcW w:w="3298" w:type="dxa"/>
            <w:tcMar>
              <w:left w:w="85" w:type="dxa"/>
              <w:right w:w="28" w:type="dxa"/>
            </w:tcMar>
            <w:vAlign w:val="center"/>
          </w:tcPr>
          <w:p w14:paraId="4DCA4238">
            <w:pPr>
              <w:snapToGrid w:val="0"/>
              <w:jc w:val="center"/>
              <w:rPr>
                <w:rFonts w:ascii="宋体" w:hAnsi="宋体" w:cs="宋体"/>
                <w:bCs/>
                <w:sz w:val="18"/>
                <w:szCs w:val="18"/>
              </w:rPr>
            </w:pPr>
            <w:r>
              <w:rPr>
                <w:rFonts w:hint="eastAsia" w:ascii="宋体" w:hAnsi="宋体" w:cs="宋体"/>
                <w:bCs/>
                <w:sz w:val="18"/>
                <w:szCs w:val="18"/>
              </w:rPr>
              <w:t>当整组蓄电池组达到放电终止电压后停止放电</w:t>
            </w:r>
          </w:p>
        </w:tc>
        <w:tc>
          <w:tcPr>
            <w:tcW w:w="3961" w:type="dxa"/>
            <w:vAlign w:val="center"/>
          </w:tcPr>
          <w:p w14:paraId="57973024">
            <w:pPr>
              <w:snapToGrid w:val="0"/>
              <w:jc w:val="center"/>
              <w:rPr>
                <w:rFonts w:ascii="宋体" w:hAnsi="宋体" w:cs="宋体"/>
                <w:bCs/>
                <w:sz w:val="18"/>
                <w:szCs w:val="18"/>
              </w:rPr>
            </w:pPr>
            <w:r>
              <w:rPr>
                <w:rFonts w:hint="eastAsia" w:ascii="宋体" w:hAnsi="宋体" w:cs="宋体"/>
                <w:bCs/>
                <w:sz w:val="18"/>
                <w:szCs w:val="18"/>
              </w:rPr>
              <w:t>BTSE/ncdGGIO1$SP$Para5$setMag$f</w:t>
            </w:r>
          </w:p>
        </w:tc>
      </w:tr>
      <w:tr w14:paraId="0C156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4" w:hRule="atLeast"/>
          <w:tblHeader/>
          <w:jc w:val="center"/>
        </w:trPr>
        <w:tc>
          <w:tcPr>
            <w:tcW w:w="797" w:type="dxa"/>
            <w:tcMar>
              <w:left w:w="0" w:type="dxa"/>
              <w:right w:w="0" w:type="dxa"/>
            </w:tcMar>
            <w:vAlign w:val="center"/>
          </w:tcPr>
          <w:p w14:paraId="23A0ACDF">
            <w:pPr>
              <w:snapToGrid w:val="0"/>
              <w:jc w:val="center"/>
              <w:rPr>
                <w:rFonts w:ascii="宋体" w:hAnsi="宋体" w:cs="宋体"/>
                <w:bCs/>
                <w:sz w:val="18"/>
                <w:szCs w:val="18"/>
              </w:rPr>
            </w:pPr>
            <w:r>
              <w:rPr>
                <w:rFonts w:hint="eastAsia" w:ascii="宋体" w:hAnsi="宋体" w:cs="宋体"/>
                <w:bCs/>
                <w:sz w:val="18"/>
                <w:szCs w:val="18"/>
              </w:rPr>
              <w:t>6</w:t>
            </w:r>
          </w:p>
        </w:tc>
        <w:tc>
          <w:tcPr>
            <w:tcW w:w="1545" w:type="dxa"/>
            <w:tcMar>
              <w:left w:w="28" w:type="dxa"/>
              <w:right w:w="28" w:type="dxa"/>
            </w:tcMar>
            <w:vAlign w:val="center"/>
          </w:tcPr>
          <w:p w14:paraId="46BD82C8">
            <w:pPr>
              <w:snapToGrid w:val="0"/>
              <w:jc w:val="center"/>
              <w:rPr>
                <w:rFonts w:ascii="宋体" w:hAnsi="宋体" w:cs="宋体"/>
                <w:bCs/>
                <w:sz w:val="18"/>
                <w:szCs w:val="18"/>
              </w:rPr>
            </w:pPr>
            <w:r>
              <w:rPr>
                <w:rFonts w:hint="eastAsia" w:ascii="宋体" w:hAnsi="宋体" w:cs="宋体"/>
                <w:bCs/>
                <w:sz w:val="18"/>
                <w:szCs w:val="18"/>
              </w:rPr>
              <w:t>单节蓄电池放电终止电压</w:t>
            </w:r>
          </w:p>
        </w:tc>
        <w:tc>
          <w:tcPr>
            <w:tcW w:w="3298" w:type="dxa"/>
            <w:tcMar>
              <w:left w:w="85" w:type="dxa"/>
              <w:right w:w="28" w:type="dxa"/>
            </w:tcMar>
            <w:vAlign w:val="center"/>
          </w:tcPr>
          <w:p w14:paraId="09DF34AB">
            <w:pPr>
              <w:snapToGrid w:val="0"/>
              <w:jc w:val="center"/>
              <w:rPr>
                <w:rFonts w:ascii="宋体" w:hAnsi="宋体" w:cs="宋体"/>
                <w:bCs/>
                <w:sz w:val="18"/>
                <w:szCs w:val="18"/>
              </w:rPr>
            </w:pPr>
            <w:r>
              <w:rPr>
                <w:rFonts w:hint="eastAsia" w:ascii="宋体" w:hAnsi="宋体" w:cs="宋体"/>
                <w:bCs/>
                <w:sz w:val="18"/>
                <w:szCs w:val="18"/>
              </w:rPr>
              <w:t>单节蓄电池放电终止电压</w:t>
            </w:r>
          </w:p>
        </w:tc>
        <w:tc>
          <w:tcPr>
            <w:tcW w:w="3961" w:type="dxa"/>
            <w:vAlign w:val="center"/>
          </w:tcPr>
          <w:p w14:paraId="5D27020E">
            <w:pPr>
              <w:snapToGrid w:val="0"/>
              <w:jc w:val="center"/>
              <w:rPr>
                <w:rFonts w:ascii="宋体" w:hAnsi="宋体" w:cs="宋体"/>
                <w:bCs/>
                <w:sz w:val="18"/>
                <w:szCs w:val="18"/>
              </w:rPr>
            </w:pPr>
            <w:r>
              <w:rPr>
                <w:rFonts w:hint="eastAsia" w:ascii="宋体" w:hAnsi="宋体" w:cs="宋体"/>
                <w:bCs/>
                <w:sz w:val="18"/>
                <w:szCs w:val="18"/>
              </w:rPr>
              <w:t>BTSE/ncdGGIO1$SP$Para6$setMag$f</w:t>
            </w:r>
          </w:p>
        </w:tc>
      </w:tr>
      <w:tr w14:paraId="62A8E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1" w:hRule="atLeast"/>
          <w:tblHeader/>
          <w:jc w:val="center"/>
        </w:trPr>
        <w:tc>
          <w:tcPr>
            <w:tcW w:w="797" w:type="dxa"/>
            <w:tcMar>
              <w:left w:w="0" w:type="dxa"/>
              <w:right w:w="0" w:type="dxa"/>
            </w:tcMar>
            <w:vAlign w:val="center"/>
          </w:tcPr>
          <w:p w14:paraId="60B54EF0">
            <w:pPr>
              <w:snapToGrid w:val="0"/>
              <w:jc w:val="center"/>
              <w:rPr>
                <w:rFonts w:ascii="宋体" w:hAnsi="宋体" w:cs="宋体"/>
                <w:bCs/>
                <w:sz w:val="18"/>
                <w:szCs w:val="18"/>
              </w:rPr>
            </w:pPr>
            <w:r>
              <w:rPr>
                <w:rFonts w:hint="eastAsia" w:ascii="宋体" w:hAnsi="宋体" w:cs="宋体"/>
                <w:bCs/>
                <w:sz w:val="18"/>
                <w:szCs w:val="18"/>
              </w:rPr>
              <w:t>7</w:t>
            </w:r>
          </w:p>
        </w:tc>
        <w:tc>
          <w:tcPr>
            <w:tcW w:w="1545" w:type="dxa"/>
            <w:tcMar>
              <w:left w:w="28" w:type="dxa"/>
              <w:right w:w="28" w:type="dxa"/>
            </w:tcMar>
            <w:vAlign w:val="center"/>
          </w:tcPr>
          <w:p w14:paraId="714AA621">
            <w:pPr>
              <w:snapToGrid w:val="0"/>
              <w:jc w:val="center"/>
              <w:rPr>
                <w:rFonts w:ascii="宋体" w:hAnsi="宋体" w:cs="宋体"/>
                <w:bCs/>
                <w:sz w:val="18"/>
                <w:szCs w:val="18"/>
              </w:rPr>
            </w:pPr>
            <w:r>
              <w:rPr>
                <w:rFonts w:hint="eastAsia" w:ascii="宋体" w:hAnsi="宋体" w:cs="宋体"/>
                <w:bCs/>
                <w:sz w:val="18"/>
                <w:szCs w:val="18"/>
              </w:rPr>
              <w:t>核容测试终止单体温度上限设定</w:t>
            </w:r>
          </w:p>
          <w:p w14:paraId="7B08E95B">
            <w:pPr>
              <w:snapToGrid w:val="0"/>
              <w:jc w:val="center"/>
              <w:rPr>
                <w:rFonts w:ascii="宋体" w:hAnsi="宋体" w:cs="宋体"/>
                <w:bCs/>
                <w:sz w:val="18"/>
                <w:szCs w:val="18"/>
              </w:rPr>
            </w:pPr>
            <w:r>
              <w:rPr>
                <w:rFonts w:hint="eastAsia" w:ascii="宋体" w:hAnsi="宋体" w:cs="宋体"/>
                <w:bCs/>
                <w:sz w:val="18"/>
                <w:szCs w:val="18"/>
              </w:rPr>
              <w:t>(单位℃，精度1位小数）</w:t>
            </w:r>
          </w:p>
        </w:tc>
        <w:tc>
          <w:tcPr>
            <w:tcW w:w="3298" w:type="dxa"/>
            <w:tcMar>
              <w:left w:w="85" w:type="dxa"/>
              <w:right w:w="28" w:type="dxa"/>
            </w:tcMar>
            <w:vAlign w:val="center"/>
          </w:tcPr>
          <w:p w14:paraId="541163A5">
            <w:pPr>
              <w:snapToGrid w:val="0"/>
              <w:jc w:val="center"/>
              <w:rPr>
                <w:rFonts w:ascii="宋体" w:hAnsi="宋体" w:cs="宋体"/>
                <w:bCs/>
                <w:sz w:val="18"/>
                <w:szCs w:val="18"/>
              </w:rPr>
            </w:pPr>
            <w:r>
              <w:rPr>
                <w:rFonts w:hint="eastAsia" w:ascii="宋体" w:hAnsi="宋体" w:cs="宋体"/>
                <w:bCs/>
                <w:sz w:val="18"/>
                <w:szCs w:val="18"/>
              </w:rPr>
              <w:t>当单节电池温度超过此值时停止放电</w:t>
            </w:r>
          </w:p>
        </w:tc>
        <w:tc>
          <w:tcPr>
            <w:tcW w:w="3961" w:type="dxa"/>
            <w:vAlign w:val="center"/>
          </w:tcPr>
          <w:p w14:paraId="1D27789D">
            <w:pPr>
              <w:snapToGrid w:val="0"/>
              <w:jc w:val="center"/>
              <w:rPr>
                <w:rFonts w:ascii="宋体" w:hAnsi="宋体" w:cs="宋体"/>
                <w:bCs/>
                <w:sz w:val="18"/>
                <w:szCs w:val="18"/>
              </w:rPr>
            </w:pPr>
            <w:r>
              <w:rPr>
                <w:rFonts w:hint="eastAsia" w:ascii="宋体" w:hAnsi="宋体" w:cs="宋体"/>
                <w:bCs/>
                <w:sz w:val="18"/>
                <w:szCs w:val="18"/>
              </w:rPr>
              <w:t>BTSE/ncdGGIO1$SP$Para7$setMag$f</w:t>
            </w:r>
          </w:p>
        </w:tc>
      </w:tr>
      <w:tr w14:paraId="4DECA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4" w:hRule="atLeast"/>
          <w:tblHeader/>
          <w:jc w:val="center"/>
        </w:trPr>
        <w:tc>
          <w:tcPr>
            <w:tcW w:w="797" w:type="dxa"/>
            <w:tcMar>
              <w:left w:w="0" w:type="dxa"/>
              <w:right w:w="0" w:type="dxa"/>
            </w:tcMar>
            <w:vAlign w:val="center"/>
          </w:tcPr>
          <w:p w14:paraId="723BA716">
            <w:pPr>
              <w:snapToGrid w:val="0"/>
              <w:jc w:val="center"/>
              <w:rPr>
                <w:rFonts w:ascii="宋体" w:hAnsi="宋体" w:cs="宋体"/>
                <w:bCs/>
                <w:sz w:val="18"/>
                <w:szCs w:val="18"/>
              </w:rPr>
            </w:pPr>
            <w:r>
              <w:rPr>
                <w:rFonts w:hint="eastAsia" w:ascii="宋体" w:hAnsi="宋体" w:cs="宋体"/>
                <w:bCs/>
                <w:sz w:val="18"/>
                <w:szCs w:val="18"/>
              </w:rPr>
              <w:t>8</w:t>
            </w:r>
          </w:p>
        </w:tc>
        <w:tc>
          <w:tcPr>
            <w:tcW w:w="1545" w:type="dxa"/>
            <w:tcMar>
              <w:left w:w="28" w:type="dxa"/>
              <w:right w:w="28" w:type="dxa"/>
            </w:tcMar>
            <w:vAlign w:val="center"/>
          </w:tcPr>
          <w:p w14:paraId="13738C03">
            <w:pPr>
              <w:snapToGrid w:val="0"/>
              <w:jc w:val="center"/>
              <w:rPr>
                <w:rFonts w:ascii="宋体" w:hAnsi="宋体" w:cs="宋体"/>
                <w:bCs/>
                <w:sz w:val="18"/>
                <w:szCs w:val="18"/>
              </w:rPr>
            </w:pPr>
            <w:r>
              <w:rPr>
                <w:rFonts w:hint="eastAsia" w:ascii="宋体" w:hAnsi="宋体" w:cs="宋体"/>
                <w:bCs/>
                <w:sz w:val="18"/>
                <w:szCs w:val="18"/>
              </w:rPr>
              <w:t>放电装置IP地址设定</w:t>
            </w:r>
          </w:p>
        </w:tc>
        <w:tc>
          <w:tcPr>
            <w:tcW w:w="3298" w:type="dxa"/>
            <w:tcMar>
              <w:left w:w="85" w:type="dxa"/>
              <w:right w:w="28" w:type="dxa"/>
            </w:tcMar>
            <w:vAlign w:val="center"/>
          </w:tcPr>
          <w:p w14:paraId="5F07E6F7">
            <w:pPr>
              <w:snapToGrid w:val="0"/>
              <w:jc w:val="center"/>
              <w:rPr>
                <w:rFonts w:ascii="宋体" w:hAnsi="宋体" w:cs="宋体"/>
                <w:bCs/>
                <w:sz w:val="18"/>
                <w:szCs w:val="18"/>
              </w:rPr>
            </w:pPr>
            <w:r>
              <w:rPr>
                <w:rFonts w:hint="eastAsia" w:ascii="宋体" w:hAnsi="宋体" w:cs="宋体"/>
                <w:bCs/>
                <w:sz w:val="18"/>
                <w:szCs w:val="18"/>
              </w:rPr>
              <w:t>IP地址64位整型数如192168001010</w:t>
            </w:r>
          </w:p>
        </w:tc>
        <w:tc>
          <w:tcPr>
            <w:tcW w:w="3961" w:type="dxa"/>
            <w:vAlign w:val="center"/>
          </w:tcPr>
          <w:p w14:paraId="758F8BEF">
            <w:pPr>
              <w:snapToGrid w:val="0"/>
              <w:jc w:val="center"/>
              <w:rPr>
                <w:rFonts w:ascii="宋体" w:hAnsi="宋体" w:cs="宋体"/>
                <w:bCs/>
                <w:sz w:val="18"/>
                <w:szCs w:val="18"/>
              </w:rPr>
            </w:pPr>
            <w:r>
              <w:rPr>
                <w:rFonts w:hint="eastAsia" w:ascii="宋体" w:hAnsi="宋体" w:cs="宋体"/>
                <w:bCs/>
                <w:sz w:val="18"/>
                <w:szCs w:val="18"/>
              </w:rPr>
              <w:t>BTSE/ncdGGIO1$SP$Para8$setMag$i</w:t>
            </w:r>
          </w:p>
        </w:tc>
      </w:tr>
      <w:tr w14:paraId="1C8E6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4" w:hRule="atLeast"/>
          <w:tblHeader/>
          <w:jc w:val="center"/>
        </w:trPr>
        <w:tc>
          <w:tcPr>
            <w:tcW w:w="797" w:type="dxa"/>
            <w:vAlign w:val="center"/>
          </w:tcPr>
          <w:p w14:paraId="1B82CD29">
            <w:pPr>
              <w:snapToGrid w:val="0"/>
              <w:jc w:val="center"/>
              <w:rPr>
                <w:rFonts w:ascii="宋体" w:hAnsi="宋体" w:cs="宋体"/>
                <w:bCs/>
                <w:sz w:val="18"/>
                <w:szCs w:val="18"/>
              </w:rPr>
            </w:pPr>
            <w:r>
              <w:rPr>
                <w:rFonts w:hint="eastAsia" w:ascii="宋体" w:hAnsi="宋体" w:cs="宋体"/>
                <w:bCs/>
                <w:sz w:val="18"/>
                <w:szCs w:val="18"/>
              </w:rPr>
              <w:t>9</w:t>
            </w:r>
          </w:p>
        </w:tc>
        <w:tc>
          <w:tcPr>
            <w:tcW w:w="1545" w:type="dxa"/>
            <w:vAlign w:val="center"/>
          </w:tcPr>
          <w:p w14:paraId="70EDA583">
            <w:pPr>
              <w:snapToGrid w:val="0"/>
              <w:jc w:val="center"/>
              <w:rPr>
                <w:rFonts w:ascii="宋体" w:hAnsi="宋体" w:cs="宋体"/>
                <w:bCs/>
                <w:sz w:val="18"/>
                <w:szCs w:val="18"/>
              </w:rPr>
            </w:pPr>
            <w:r>
              <w:rPr>
                <w:rFonts w:hint="eastAsia" w:ascii="宋体" w:hAnsi="宋体" w:cs="宋体"/>
                <w:bCs/>
                <w:sz w:val="18"/>
                <w:szCs w:val="18"/>
              </w:rPr>
              <w:t>放电装置IP网关设定</w:t>
            </w:r>
          </w:p>
        </w:tc>
        <w:tc>
          <w:tcPr>
            <w:tcW w:w="3298" w:type="dxa"/>
            <w:vAlign w:val="center"/>
          </w:tcPr>
          <w:p w14:paraId="00E23524">
            <w:pPr>
              <w:snapToGrid w:val="0"/>
              <w:jc w:val="center"/>
              <w:rPr>
                <w:rFonts w:ascii="宋体" w:hAnsi="宋体" w:cs="宋体"/>
                <w:bCs/>
                <w:sz w:val="18"/>
                <w:szCs w:val="18"/>
              </w:rPr>
            </w:pPr>
            <w:r>
              <w:rPr>
                <w:rFonts w:hint="eastAsia" w:ascii="宋体" w:hAnsi="宋体" w:cs="宋体"/>
                <w:bCs/>
                <w:sz w:val="18"/>
                <w:szCs w:val="18"/>
              </w:rPr>
              <w:t>IP网关64位整型数如192168001001</w:t>
            </w:r>
          </w:p>
        </w:tc>
        <w:tc>
          <w:tcPr>
            <w:tcW w:w="3961" w:type="dxa"/>
            <w:vAlign w:val="center"/>
          </w:tcPr>
          <w:p w14:paraId="2563B3CC">
            <w:pPr>
              <w:snapToGrid w:val="0"/>
              <w:jc w:val="center"/>
              <w:rPr>
                <w:rFonts w:ascii="宋体" w:hAnsi="宋体" w:cs="宋体"/>
                <w:bCs/>
                <w:sz w:val="18"/>
                <w:szCs w:val="18"/>
              </w:rPr>
            </w:pPr>
            <w:r>
              <w:rPr>
                <w:rFonts w:hint="eastAsia" w:ascii="宋体" w:hAnsi="宋体" w:cs="宋体"/>
                <w:bCs/>
                <w:sz w:val="18"/>
                <w:szCs w:val="18"/>
              </w:rPr>
              <w:t>BTSE/ncdGGIO1$SP$Para9$setMag$i</w:t>
            </w:r>
          </w:p>
        </w:tc>
      </w:tr>
      <w:tr w14:paraId="5008A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tblHeader/>
          <w:jc w:val="center"/>
        </w:trPr>
        <w:tc>
          <w:tcPr>
            <w:tcW w:w="797" w:type="dxa"/>
            <w:vAlign w:val="center"/>
          </w:tcPr>
          <w:p w14:paraId="28100FD2">
            <w:pPr>
              <w:snapToGrid w:val="0"/>
              <w:jc w:val="center"/>
              <w:rPr>
                <w:rFonts w:ascii="宋体" w:hAnsi="宋体" w:cs="宋体"/>
                <w:bCs/>
                <w:sz w:val="18"/>
                <w:szCs w:val="18"/>
              </w:rPr>
            </w:pPr>
            <w:r>
              <w:rPr>
                <w:rFonts w:hint="eastAsia" w:ascii="宋体" w:hAnsi="宋体" w:cs="宋体"/>
                <w:bCs/>
                <w:sz w:val="18"/>
                <w:szCs w:val="18"/>
              </w:rPr>
              <w:t>10</w:t>
            </w:r>
          </w:p>
        </w:tc>
        <w:tc>
          <w:tcPr>
            <w:tcW w:w="1545" w:type="dxa"/>
            <w:vAlign w:val="center"/>
          </w:tcPr>
          <w:p w14:paraId="2B764D5F">
            <w:pPr>
              <w:snapToGrid w:val="0"/>
              <w:jc w:val="center"/>
              <w:rPr>
                <w:rFonts w:ascii="宋体" w:hAnsi="宋体" w:cs="宋体"/>
                <w:bCs/>
                <w:sz w:val="18"/>
                <w:szCs w:val="18"/>
              </w:rPr>
            </w:pPr>
            <w:r>
              <w:rPr>
                <w:rFonts w:hint="eastAsia" w:ascii="宋体" w:hAnsi="宋体" w:cs="宋体"/>
                <w:bCs/>
                <w:sz w:val="18"/>
                <w:szCs w:val="18"/>
              </w:rPr>
              <w:t>放电装置IP掩码设定</w:t>
            </w:r>
          </w:p>
        </w:tc>
        <w:tc>
          <w:tcPr>
            <w:tcW w:w="3298" w:type="dxa"/>
            <w:vAlign w:val="center"/>
          </w:tcPr>
          <w:p w14:paraId="0293CC1E">
            <w:pPr>
              <w:snapToGrid w:val="0"/>
              <w:jc w:val="center"/>
              <w:rPr>
                <w:rFonts w:ascii="宋体" w:hAnsi="宋体" w:cs="宋体"/>
                <w:bCs/>
                <w:sz w:val="18"/>
                <w:szCs w:val="18"/>
              </w:rPr>
            </w:pPr>
            <w:r>
              <w:rPr>
                <w:rFonts w:hint="eastAsia" w:ascii="宋体" w:hAnsi="宋体" w:cs="宋体"/>
                <w:bCs/>
                <w:sz w:val="18"/>
                <w:szCs w:val="18"/>
              </w:rPr>
              <w:t>IP掩码64位整型数如255255255000</w:t>
            </w:r>
          </w:p>
        </w:tc>
        <w:tc>
          <w:tcPr>
            <w:tcW w:w="3961" w:type="dxa"/>
            <w:vAlign w:val="center"/>
          </w:tcPr>
          <w:p w14:paraId="34F6DC80">
            <w:pPr>
              <w:snapToGrid w:val="0"/>
              <w:jc w:val="center"/>
              <w:rPr>
                <w:rFonts w:ascii="宋体" w:hAnsi="宋体" w:cs="宋体"/>
                <w:bCs/>
                <w:sz w:val="18"/>
                <w:szCs w:val="18"/>
              </w:rPr>
            </w:pPr>
            <w:r>
              <w:rPr>
                <w:rFonts w:hint="eastAsia" w:ascii="宋体" w:hAnsi="宋体" w:cs="宋体"/>
                <w:bCs/>
                <w:sz w:val="18"/>
                <w:szCs w:val="18"/>
              </w:rPr>
              <w:t>BTSE/ncdGGIO1$SP$Para10$setMag$i</w:t>
            </w:r>
          </w:p>
        </w:tc>
      </w:tr>
    </w:tbl>
    <w:p w14:paraId="2892BA2D">
      <w:pPr>
        <w:jc w:val="center"/>
        <w:rPr>
          <w:rFonts w:hint="eastAsia" w:ascii="宋体" w:hAnsi="宋体" w:cs="宋体"/>
          <w:bCs/>
          <w:sz w:val="21"/>
          <w:szCs w:val="21"/>
        </w:rPr>
      </w:pPr>
      <w:r>
        <w:rPr>
          <w:rFonts w:hint="eastAsia" w:ascii="宋体" w:hAnsi="宋体" w:cs="宋体"/>
          <w:bCs/>
          <w:szCs w:val="21"/>
        </w:rPr>
        <w:t>表</w:t>
      </w:r>
      <w:r>
        <w:rPr>
          <w:rFonts w:hint="eastAsia" w:ascii="宋体" w:hAnsi="宋体" w:eastAsia="宋体" w:cs="宋体"/>
          <w:bCs/>
          <w:szCs w:val="21"/>
          <w:lang w:val="en-US" w:eastAsia="zh-CN"/>
        </w:rPr>
        <w:t>5</w:t>
      </w:r>
      <w:r>
        <w:rPr>
          <w:rFonts w:hint="eastAsia" w:ascii="宋体" w:hAnsi="宋体" w:cs="宋体"/>
          <w:bCs/>
          <w:szCs w:val="21"/>
        </w:rPr>
        <w:t xml:space="preserve"> SOH扩展字段说明</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31"/>
        <w:gridCol w:w="4150"/>
      </w:tblGrid>
      <w:tr w14:paraId="75053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31" w:type="dxa"/>
          </w:tcPr>
          <w:p w14:paraId="5A5479F8">
            <w:pPr>
              <w:snapToGrid w:val="0"/>
              <w:jc w:val="center"/>
              <w:rPr>
                <w:rFonts w:hint="eastAsia" w:ascii="宋体" w:hAnsi="宋体" w:cs="宋体"/>
                <w:bCs/>
                <w:sz w:val="18"/>
                <w:szCs w:val="18"/>
              </w:rPr>
            </w:pPr>
            <w:r>
              <w:rPr>
                <w:rFonts w:hint="eastAsia" w:ascii="宋体" w:hAnsi="宋体" w:cs="宋体"/>
                <w:bCs/>
                <w:sz w:val="18"/>
                <w:szCs w:val="18"/>
              </w:rPr>
              <w:t>监控名称</w:t>
            </w:r>
          </w:p>
        </w:tc>
        <w:tc>
          <w:tcPr>
            <w:tcW w:w="4150" w:type="dxa"/>
          </w:tcPr>
          <w:p w14:paraId="117F5C24">
            <w:pPr>
              <w:snapToGrid w:val="0"/>
              <w:jc w:val="center"/>
              <w:rPr>
                <w:rFonts w:hint="eastAsia" w:ascii="宋体" w:hAnsi="宋体" w:cs="宋体"/>
                <w:bCs/>
                <w:sz w:val="18"/>
                <w:szCs w:val="18"/>
              </w:rPr>
            </w:pPr>
            <w:r>
              <w:rPr>
                <w:rFonts w:hint="eastAsia" w:ascii="宋体" w:hAnsi="宋体" w:cs="宋体"/>
                <w:bCs/>
                <w:sz w:val="18"/>
                <w:szCs w:val="18"/>
              </w:rPr>
              <w:t>逻辑名称</w:t>
            </w:r>
          </w:p>
        </w:tc>
      </w:tr>
      <w:tr w14:paraId="5331B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31" w:type="dxa"/>
          </w:tcPr>
          <w:p w14:paraId="51BE390E">
            <w:pPr>
              <w:snapToGrid w:val="0"/>
              <w:jc w:val="center"/>
              <w:rPr>
                <w:rFonts w:hint="eastAsia" w:ascii="宋体" w:hAnsi="宋体" w:cs="宋体"/>
                <w:bCs/>
                <w:sz w:val="18"/>
                <w:szCs w:val="18"/>
              </w:rPr>
            </w:pPr>
            <w:r>
              <w:rPr>
                <w:rFonts w:hint="eastAsia" w:ascii="宋体" w:hAnsi="宋体" w:cs="宋体"/>
                <w:bCs/>
                <w:sz w:val="18"/>
                <w:szCs w:val="18"/>
              </w:rPr>
              <w:t>第 1 组第 M 节单体SOH</w:t>
            </w:r>
          </w:p>
        </w:tc>
        <w:tc>
          <w:tcPr>
            <w:tcW w:w="4150" w:type="dxa"/>
          </w:tcPr>
          <w:p w14:paraId="10F79CC9">
            <w:pPr>
              <w:snapToGrid w:val="0"/>
              <w:jc w:val="center"/>
              <w:rPr>
                <w:rFonts w:hint="eastAsia" w:ascii="宋体" w:hAnsi="宋体" w:cs="宋体"/>
                <w:bCs/>
                <w:sz w:val="18"/>
                <w:szCs w:val="18"/>
              </w:rPr>
            </w:pPr>
            <w:r>
              <w:rPr>
                <w:rFonts w:hint="eastAsia" w:ascii="宋体" w:hAnsi="宋体" w:cs="宋体"/>
                <w:bCs/>
                <w:sz w:val="18"/>
                <w:szCs w:val="18"/>
              </w:rPr>
              <w:t>BTSE/celGGIOn$MX$AnIn120+M</w:t>
            </w:r>
          </w:p>
        </w:tc>
      </w:tr>
    </w:tbl>
    <w:p w14:paraId="71E8C086">
      <w:pPr>
        <w:numPr>
          <w:ilvl w:val="-1"/>
          <w:numId w:val="0"/>
        </w:numPr>
        <w:spacing w:line="360" w:lineRule="auto"/>
        <w:ind w:left="420" w:leftChars="200" w:firstLine="0"/>
        <w:rPr>
          <w:rFonts w:hint="eastAsia" w:ascii="宋体" w:hAnsi="宋体" w:cs="宋体"/>
          <w:sz w:val="21"/>
          <w:szCs w:val="24"/>
        </w:rPr>
      </w:pPr>
      <w:r>
        <w:rPr>
          <w:rFonts w:hint="eastAsia" w:ascii="宋体" w:hAnsi="宋体" w:cs="宋体"/>
          <w:sz w:val="21"/>
          <w:szCs w:val="24"/>
        </w:rPr>
        <w:t>说明：单体SOH范围为0.01-1.2。例如电池额定容量为300Ah，单体1的SOH为0.8，即该单体的保有容量为：300*0.8=240Ah</w:t>
      </w:r>
    </w:p>
    <w:p w14:paraId="39499B73">
      <w:pPr>
        <w:autoSpaceDE/>
        <w:autoSpaceDN/>
        <w:adjustRightInd/>
        <w:spacing w:before="0" w:beforeLines="-2147483648" w:line="240" w:lineRule="auto"/>
        <w:jc w:val="left"/>
        <w:rPr>
          <w:rStyle w:val="110"/>
          <w:rFonts w:hint="eastAsia" w:ascii="宋体" w:hAnsi="宋体" w:cs="宋体"/>
          <w:sz w:val="24"/>
          <w:szCs w:val="21"/>
        </w:rPr>
      </w:pPr>
      <w:r>
        <w:rPr>
          <w:rStyle w:val="110"/>
          <w:rFonts w:hint="eastAsia" w:ascii="宋体" w:hAnsi="宋体" w:cs="宋体"/>
          <w:sz w:val="24"/>
          <w:szCs w:val="21"/>
        </w:rPr>
        <w:br w:type="page"/>
      </w:r>
    </w:p>
    <w:p w14:paraId="72F61A8F">
      <w:pPr>
        <w:autoSpaceDE w:val="0"/>
        <w:autoSpaceDN w:val="0"/>
        <w:adjustRightInd w:val="0"/>
        <w:spacing w:before="156" w:beforeLines="50" w:line="360" w:lineRule="auto"/>
        <w:jc w:val="center"/>
        <w:outlineLvl w:val="0"/>
        <w:rPr>
          <w:rFonts w:hint="eastAsia" w:ascii="宋体"/>
          <w:color w:val="000000"/>
          <w:sz w:val="32"/>
          <w:szCs w:val="32"/>
          <w:lang w:val="en-US" w:eastAsia="zh-CN"/>
        </w:rPr>
      </w:pPr>
      <w:bookmarkStart w:id="605" w:name="_Toc28908"/>
      <w:r>
        <w:rPr>
          <w:rStyle w:val="110"/>
          <w:rFonts w:hint="eastAsia" w:ascii="宋体" w:hAnsi="宋体" w:cs="宋体"/>
          <w:sz w:val="24"/>
          <w:szCs w:val="21"/>
        </w:rPr>
        <w:t>附录</w:t>
      </w:r>
      <w:r>
        <w:rPr>
          <w:rStyle w:val="110"/>
          <w:rFonts w:hint="eastAsia" w:ascii="宋体" w:hAnsi="宋体" w:cs="宋体"/>
          <w:sz w:val="24"/>
          <w:szCs w:val="21"/>
          <w:lang w:val="en-US" w:eastAsia="zh-CN"/>
        </w:rPr>
        <w:t>B</w:t>
      </w:r>
      <w:r>
        <w:rPr>
          <w:rStyle w:val="110"/>
          <w:rFonts w:hint="eastAsia" w:ascii="宋体" w:hAnsi="宋体" w:cs="宋体"/>
          <w:sz w:val="24"/>
          <w:szCs w:val="21"/>
        </w:rPr>
        <w:br w:type="textWrapping"/>
      </w:r>
      <w:r>
        <w:rPr>
          <w:rStyle w:val="110"/>
          <w:rFonts w:hint="eastAsia" w:ascii="宋体" w:hAnsi="宋体" w:cs="宋体"/>
          <w:sz w:val="24"/>
          <w:szCs w:val="21"/>
        </w:rPr>
        <w:t>（</w:t>
      </w:r>
      <w:r>
        <w:rPr>
          <w:rStyle w:val="110"/>
          <w:rFonts w:hint="eastAsia" w:ascii="宋体" w:hAnsi="宋体" w:cs="宋体"/>
          <w:sz w:val="24"/>
          <w:szCs w:val="21"/>
          <w:lang w:val="en-US" w:eastAsia="zh-CN"/>
        </w:rPr>
        <w:t>承诺函格式</w:t>
      </w:r>
      <w:r>
        <w:rPr>
          <w:rStyle w:val="110"/>
          <w:rFonts w:hint="eastAsia" w:ascii="宋体" w:hAnsi="宋体" w:cs="宋体"/>
          <w:sz w:val="24"/>
          <w:szCs w:val="21"/>
        </w:rPr>
        <w:t>）</w:t>
      </w:r>
      <w:bookmarkEnd w:id="605"/>
    </w:p>
    <w:p w14:paraId="5A5008BA">
      <w:pPr>
        <w:autoSpaceDE w:val="0"/>
        <w:autoSpaceDN w:val="0"/>
        <w:adjustRightInd w:val="0"/>
        <w:spacing w:before="156" w:beforeLines="50" w:line="360" w:lineRule="auto"/>
        <w:jc w:val="center"/>
        <w:rPr>
          <w:rFonts w:hint="eastAsia" w:ascii="宋体"/>
          <w:color w:val="000000"/>
          <w:sz w:val="32"/>
          <w:szCs w:val="32"/>
          <w:lang w:val="en-US" w:eastAsia="zh-CN"/>
        </w:rPr>
      </w:pPr>
      <w:r>
        <w:rPr>
          <w:rFonts w:hint="eastAsia" w:ascii="宋体"/>
          <w:color w:val="000000"/>
          <w:sz w:val="32"/>
          <w:szCs w:val="32"/>
          <w:lang w:val="en-US" w:eastAsia="zh-CN"/>
        </w:rPr>
        <w:t xml:space="preserve">承  诺  </w:t>
      </w:r>
      <w:r>
        <w:rPr>
          <w:rFonts w:hint="eastAsia" w:ascii="宋体" w:hAnsi="宋体"/>
          <w:color w:val="000000"/>
          <w:sz w:val="32"/>
          <w:szCs w:val="32"/>
          <w:lang w:val="en-US" w:eastAsia="zh-CN"/>
        </w:rPr>
        <w:t>函</w:t>
      </w:r>
    </w:p>
    <w:p w14:paraId="1916F149">
      <w:pPr>
        <w:autoSpaceDE w:val="0"/>
        <w:autoSpaceDN w:val="0"/>
        <w:adjustRightInd w:val="0"/>
        <w:spacing w:before="156" w:beforeLines="50" w:line="360" w:lineRule="auto"/>
        <w:jc w:val="both"/>
        <w:rPr>
          <w:rFonts w:hint="eastAsia" w:ascii="宋体"/>
          <w:color w:val="000000"/>
          <w:sz w:val="24"/>
          <w:szCs w:val="24"/>
          <w:lang w:val="en-US" w:eastAsia="zh-CN"/>
        </w:rPr>
      </w:pPr>
      <w:r>
        <w:rPr>
          <w:rFonts w:hint="eastAsia" w:ascii="宋体"/>
          <w:color w:val="000000"/>
          <w:sz w:val="24"/>
          <w:szCs w:val="24"/>
          <w:lang w:val="en-US" w:eastAsia="zh-CN"/>
        </w:rPr>
        <w:t>致：深圳供电局有限公司</w:t>
      </w:r>
    </w:p>
    <w:p w14:paraId="5BAC7175">
      <w:pPr>
        <w:keepNext w:val="0"/>
        <w:keepLines w:val="0"/>
        <w:widowControl/>
        <w:suppressLineNumbers w:val="0"/>
        <w:jc w:val="left"/>
        <w:rPr>
          <w:rFonts w:hint="eastAsia" w:eastAsiaTheme="minorEastAsia"/>
          <w:lang w:eastAsia="zh-CN"/>
        </w:rPr>
      </w:pPr>
      <w:r>
        <w:rPr>
          <w:rFonts w:hint="eastAsia" w:ascii="宋体" w:hAnsi="宋体"/>
          <w:color w:val="000000"/>
          <w:sz w:val="24"/>
          <w:szCs w:val="24"/>
          <w:lang w:val="en-US" w:eastAsia="zh-CN"/>
        </w:rPr>
        <w:t>若我公司中标本项目，将郑重作出如下承诺：</w:t>
      </w:r>
    </w:p>
    <w:p w14:paraId="0ED125A3">
      <w:pPr>
        <w:autoSpaceDE w:val="0"/>
        <w:autoSpaceDN w:val="0"/>
        <w:adjustRightInd w:val="0"/>
        <w:spacing w:before="156" w:beforeLines="50" w:line="360" w:lineRule="auto"/>
        <w:jc w:val="both"/>
        <w:rPr>
          <w:rFonts w:hint="eastAsia" w:ascii="宋体" w:hAnsi="宋体"/>
          <w:color w:val="000000"/>
          <w:sz w:val="24"/>
          <w:szCs w:val="24"/>
          <w:lang w:val="en-US" w:eastAsia="zh-CN"/>
        </w:rPr>
      </w:pPr>
      <w:r>
        <w:rPr>
          <w:rFonts w:hint="eastAsia" w:ascii="宋体" w:hAnsi="宋体"/>
          <w:color w:val="000000"/>
          <w:sz w:val="24"/>
          <w:szCs w:val="24"/>
          <w:lang w:val="en-US" w:eastAsia="zh-CN"/>
        </w:rPr>
        <w:t>一、接入验证与验收承诺</w:t>
      </w:r>
    </w:p>
    <w:p w14:paraId="26222C49">
      <w:pPr>
        <w:autoSpaceDE w:val="0"/>
        <w:autoSpaceDN w:val="0"/>
        <w:adjustRightInd w:val="0"/>
        <w:spacing w:before="156" w:beforeLines="50" w:line="360" w:lineRule="auto"/>
        <w:ind w:firstLine="480" w:firstLineChars="200"/>
        <w:jc w:val="both"/>
        <w:rPr>
          <w:rFonts w:hint="eastAsia" w:ascii="宋体" w:hAnsi="宋体"/>
          <w:color w:val="000000"/>
          <w:sz w:val="24"/>
          <w:szCs w:val="24"/>
          <w:lang w:val="en-US" w:eastAsia="zh-CN"/>
        </w:rPr>
      </w:pPr>
      <w:r>
        <w:rPr>
          <w:rFonts w:hint="eastAsia" w:ascii="宋体" w:hAnsi="宋体"/>
          <w:color w:val="000000"/>
          <w:sz w:val="24"/>
          <w:szCs w:val="24"/>
          <w:lang w:val="en-US" w:eastAsia="zh-CN"/>
        </w:rPr>
        <w:t>自中标通知书发出之日起 30个自然日内（即一个月内），我公司将独立完成或配合相关方完成全部接入验证工作，并确保通过</w:t>
      </w:r>
      <w:r>
        <w:rPr>
          <w:rFonts w:hint="eastAsia" w:ascii="宋体"/>
          <w:color w:val="000000"/>
          <w:sz w:val="24"/>
          <w:szCs w:val="24"/>
          <w:lang w:val="en-US" w:eastAsia="zh-CN"/>
        </w:rPr>
        <w:t>深圳供电局有限公司</w:t>
      </w:r>
      <w:r>
        <w:rPr>
          <w:rFonts w:hint="eastAsia" w:ascii="宋体" w:hAnsi="宋体"/>
          <w:color w:val="000000"/>
          <w:sz w:val="24"/>
          <w:szCs w:val="24"/>
          <w:lang w:val="en-US" w:eastAsia="zh-CN"/>
        </w:rPr>
        <w:t>的最终验收。</w:t>
      </w:r>
    </w:p>
    <w:p w14:paraId="61802EA7">
      <w:pPr>
        <w:autoSpaceDE w:val="0"/>
        <w:autoSpaceDN w:val="0"/>
        <w:adjustRightInd w:val="0"/>
        <w:spacing w:before="156" w:beforeLines="50" w:line="360" w:lineRule="auto"/>
        <w:ind w:firstLine="480" w:firstLineChars="200"/>
        <w:jc w:val="both"/>
        <w:rPr>
          <w:rFonts w:hint="eastAsia" w:ascii="宋体" w:hAnsi="宋体"/>
          <w:color w:val="000000"/>
          <w:sz w:val="24"/>
          <w:szCs w:val="24"/>
          <w:lang w:val="en-US" w:eastAsia="zh-CN"/>
        </w:rPr>
      </w:pPr>
      <w:r>
        <w:rPr>
          <w:rFonts w:hint="eastAsia" w:ascii="宋体" w:hAnsi="宋体"/>
          <w:color w:val="000000"/>
          <w:sz w:val="24"/>
          <w:szCs w:val="24"/>
          <w:lang w:val="en-US" w:eastAsia="zh-CN"/>
        </w:rPr>
        <w:t>接入验证范围包括但不限于：设备联调、数据对接、通信协议一致性、功能性能测试、安全防护检测等，直至系统满足深圳局运行要求。</w:t>
      </w:r>
    </w:p>
    <w:p w14:paraId="3CF5DD60">
      <w:pPr>
        <w:autoSpaceDE w:val="0"/>
        <w:autoSpaceDN w:val="0"/>
        <w:adjustRightInd w:val="0"/>
        <w:spacing w:before="156" w:beforeLines="50" w:line="360" w:lineRule="auto"/>
        <w:ind w:firstLine="480" w:firstLineChars="200"/>
        <w:jc w:val="both"/>
        <w:rPr>
          <w:rFonts w:hint="eastAsia" w:ascii="宋体" w:hAnsi="宋体"/>
          <w:color w:val="000000"/>
          <w:sz w:val="24"/>
          <w:szCs w:val="24"/>
          <w:lang w:val="en-US" w:eastAsia="zh-CN"/>
        </w:rPr>
      </w:pPr>
      <w:r>
        <w:rPr>
          <w:rFonts w:hint="eastAsia" w:ascii="宋体" w:hAnsi="宋体"/>
          <w:color w:val="000000"/>
          <w:sz w:val="24"/>
          <w:szCs w:val="24"/>
          <w:lang w:val="en-US" w:eastAsia="zh-CN"/>
        </w:rPr>
        <w:t>若因我公司原因（包括设备、技术方案、配合人员等）导致未能按期完成接入验证或验收未通过，我公司愿按照合同约定承担相应责任。</w:t>
      </w:r>
    </w:p>
    <w:p w14:paraId="1C2E9B65">
      <w:pPr>
        <w:autoSpaceDE w:val="0"/>
        <w:autoSpaceDN w:val="0"/>
        <w:adjustRightInd w:val="0"/>
        <w:spacing w:before="156" w:beforeLines="50" w:line="360" w:lineRule="auto"/>
        <w:jc w:val="both"/>
        <w:rPr>
          <w:rFonts w:hint="eastAsia" w:ascii="宋体" w:hAnsi="宋体"/>
          <w:color w:val="000000"/>
          <w:sz w:val="24"/>
          <w:szCs w:val="24"/>
          <w:lang w:val="en-US" w:eastAsia="zh-CN"/>
        </w:rPr>
      </w:pPr>
      <w:r>
        <w:rPr>
          <w:rFonts w:hint="eastAsia" w:ascii="宋体" w:hAnsi="宋体"/>
          <w:color w:val="000000"/>
          <w:sz w:val="24"/>
          <w:szCs w:val="24"/>
          <w:lang w:val="en-US" w:eastAsia="zh-CN"/>
        </w:rPr>
        <w:t>二、主站侧适配开发费用承诺</w:t>
      </w:r>
    </w:p>
    <w:p w14:paraId="2E59C595">
      <w:pPr>
        <w:autoSpaceDE w:val="0"/>
        <w:autoSpaceDN w:val="0"/>
        <w:adjustRightInd w:val="0"/>
        <w:spacing w:before="156" w:beforeLines="50" w:line="360" w:lineRule="auto"/>
        <w:ind w:firstLine="480" w:firstLineChars="200"/>
        <w:jc w:val="both"/>
        <w:rPr>
          <w:rFonts w:hint="eastAsia" w:ascii="宋体" w:hAnsi="宋体"/>
          <w:color w:val="000000"/>
          <w:sz w:val="24"/>
          <w:szCs w:val="24"/>
          <w:lang w:val="en-US" w:eastAsia="zh-CN"/>
        </w:rPr>
      </w:pPr>
      <w:r>
        <w:rPr>
          <w:rFonts w:hint="eastAsia" w:ascii="宋体" w:hAnsi="宋体"/>
          <w:color w:val="000000"/>
          <w:sz w:val="24"/>
          <w:szCs w:val="24"/>
          <w:lang w:val="en-US" w:eastAsia="zh-CN"/>
        </w:rPr>
        <w:t>若本项目涉及主站侧（包括但不限于</w:t>
      </w:r>
      <w:r>
        <w:rPr>
          <w:rFonts w:hint="eastAsia" w:ascii="宋体"/>
          <w:color w:val="000000"/>
          <w:sz w:val="24"/>
          <w:szCs w:val="24"/>
          <w:lang w:val="en-US" w:eastAsia="zh-CN"/>
        </w:rPr>
        <w:t>深圳供电局有限公司</w:t>
      </w:r>
      <w:r>
        <w:rPr>
          <w:rFonts w:hint="eastAsia" w:ascii="宋体" w:hAnsi="宋体"/>
          <w:color w:val="000000"/>
          <w:sz w:val="24"/>
          <w:szCs w:val="24"/>
          <w:lang w:val="en-US" w:eastAsia="zh-CN"/>
        </w:rPr>
        <w:t>主站系统、调度主站、集控主站、运维平台等）的适配开发、接口改造、协议升级、功能扩展 等工作，所有相关开发费用（含人力、软件许可、测试、联调、第三方工具、后续维护升级等）均由我公司承担，不计入合同报价，也不得以此为由要求调整合同价格或顺延工期。</w:t>
      </w:r>
    </w:p>
    <w:p w14:paraId="73D3C523">
      <w:pPr>
        <w:autoSpaceDE w:val="0"/>
        <w:autoSpaceDN w:val="0"/>
        <w:adjustRightInd w:val="0"/>
        <w:spacing w:before="156" w:beforeLines="50" w:line="360" w:lineRule="auto"/>
        <w:jc w:val="both"/>
        <w:rPr>
          <w:rFonts w:hint="eastAsia" w:ascii="宋体" w:hAnsi="宋体"/>
          <w:color w:val="000000"/>
          <w:sz w:val="24"/>
          <w:szCs w:val="24"/>
          <w:lang w:val="en-US" w:eastAsia="zh-CN"/>
        </w:rPr>
      </w:pPr>
      <w:r>
        <w:rPr>
          <w:rFonts w:hint="eastAsia" w:ascii="宋体" w:hAnsi="宋体"/>
          <w:color w:val="000000"/>
          <w:sz w:val="24"/>
          <w:szCs w:val="24"/>
          <w:lang w:val="en-US" w:eastAsia="zh-CN"/>
        </w:rPr>
        <w:t>三、其他附加承诺</w:t>
      </w:r>
    </w:p>
    <w:p w14:paraId="7D44B5C5">
      <w:pPr>
        <w:autoSpaceDE w:val="0"/>
        <w:autoSpaceDN w:val="0"/>
        <w:adjustRightInd w:val="0"/>
        <w:spacing w:before="156" w:beforeLines="50" w:line="360" w:lineRule="auto"/>
        <w:ind w:firstLine="480" w:firstLineChars="200"/>
        <w:jc w:val="both"/>
        <w:rPr>
          <w:rFonts w:hint="eastAsia" w:ascii="宋体" w:hAnsi="宋体"/>
          <w:color w:val="000000"/>
          <w:sz w:val="24"/>
          <w:szCs w:val="24"/>
          <w:lang w:val="en-US" w:eastAsia="zh-CN"/>
        </w:rPr>
      </w:pPr>
      <w:r>
        <w:rPr>
          <w:rFonts w:hint="eastAsia" w:ascii="宋体" w:hAnsi="宋体"/>
          <w:color w:val="000000"/>
          <w:sz w:val="24"/>
          <w:szCs w:val="24"/>
          <w:lang w:val="en-US" w:eastAsia="zh-CN"/>
        </w:rPr>
        <w:t>技术资料移交：在验收通过后5个工作日内，向</w:t>
      </w:r>
      <w:r>
        <w:rPr>
          <w:rFonts w:hint="eastAsia" w:ascii="宋体"/>
          <w:color w:val="000000"/>
          <w:sz w:val="24"/>
          <w:szCs w:val="24"/>
          <w:lang w:val="en-US" w:eastAsia="zh-CN"/>
        </w:rPr>
        <w:t>深圳供电局有限公司</w:t>
      </w:r>
      <w:r>
        <w:rPr>
          <w:rFonts w:hint="eastAsia" w:ascii="宋体" w:hAnsi="宋体"/>
          <w:color w:val="000000"/>
          <w:sz w:val="24"/>
          <w:szCs w:val="24"/>
          <w:lang w:val="en-US" w:eastAsia="zh-CN"/>
        </w:rPr>
        <w:t>完整移交所有接入相关的技术文档、源码（如需）、配置参数、测试报告、操作手册等。</w:t>
      </w:r>
    </w:p>
    <w:p w14:paraId="4764E1CA">
      <w:pPr>
        <w:autoSpaceDE w:val="0"/>
        <w:autoSpaceDN w:val="0"/>
        <w:adjustRightInd w:val="0"/>
        <w:spacing w:before="156" w:beforeLines="50" w:line="360" w:lineRule="auto"/>
        <w:ind w:firstLine="480" w:firstLineChars="200"/>
        <w:jc w:val="both"/>
        <w:rPr>
          <w:rFonts w:hint="eastAsia" w:ascii="宋体" w:hAnsi="宋体"/>
          <w:color w:val="000000"/>
          <w:sz w:val="24"/>
          <w:szCs w:val="24"/>
          <w:lang w:val="en-US" w:eastAsia="zh-CN"/>
        </w:rPr>
      </w:pPr>
      <w:r>
        <w:rPr>
          <w:rFonts w:hint="eastAsia" w:ascii="宋体" w:hAnsi="宋体"/>
          <w:color w:val="000000"/>
          <w:sz w:val="24"/>
          <w:szCs w:val="24"/>
          <w:lang w:val="en-US" w:eastAsia="zh-CN"/>
        </w:rPr>
        <w:t>安全责任：接入验证过程中，若因我公司操作不当导致主站侧数据错误、系统异常或安全事故，我公司承担全部修复责任及相应法律后果。</w:t>
      </w:r>
    </w:p>
    <w:p w14:paraId="510E79B6">
      <w:pPr>
        <w:autoSpaceDE w:val="0"/>
        <w:autoSpaceDN w:val="0"/>
        <w:adjustRightInd w:val="0"/>
        <w:spacing w:before="156" w:beforeLines="50" w:line="360" w:lineRule="auto"/>
        <w:ind w:firstLine="480" w:firstLineChars="200"/>
        <w:jc w:val="both"/>
        <w:rPr>
          <w:rFonts w:hint="eastAsia" w:ascii="宋体" w:hAnsi="宋体"/>
          <w:color w:val="000000"/>
          <w:sz w:val="24"/>
          <w:szCs w:val="24"/>
          <w:lang w:val="en-US" w:eastAsia="zh-CN"/>
        </w:rPr>
      </w:pPr>
      <w:r>
        <w:rPr>
          <w:rFonts w:hint="eastAsia" w:ascii="宋体" w:hAnsi="宋体"/>
          <w:color w:val="000000"/>
          <w:sz w:val="24"/>
          <w:szCs w:val="24"/>
          <w:lang w:val="en-US" w:eastAsia="zh-CN"/>
        </w:rPr>
        <w:t>保密义务：对接触到</w:t>
      </w:r>
      <w:r>
        <w:rPr>
          <w:rFonts w:hint="eastAsia" w:ascii="宋体"/>
          <w:color w:val="000000"/>
          <w:sz w:val="24"/>
          <w:szCs w:val="24"/>
          <w:lang w:val="en-US" w:eastAsia="zh-CN"/>
        </w:rPr>
        <w:t>深圳供电局有限公司</w:t>
      </w:r>
      <w:r>
        <w:rPr>
          <w:rFonts w:hint="eastAsia" w:ascii="宋体" w:hAnsi="宋体"/>
          <w:color w:val="000000"/>
          <w:sz w:val="24"/>
          <w:szCs w:val="24"/>
          <w:lang w:val="en-US" w:eastAsia="zh-CN"/>
        </w:rPr>
        <w:t>所有信息严格保密，保密义务不因合同终止而解除。</w:t>
      </w:r>
    </w:p>
    <w:p w14:paraId="6ACF5949">
      <w:pPr>
        <w:autoSpaceDE w:val="0"/>
        <w:autoSpaceDN w:val="0"/>
        <w:adjustRightInd w:val="0"/>
        <w:spacing w:before="156" w:beforeLines="50" w:line="360" w:lineRule="auto"/>
        <w:ind w:firstLine="480" w:firstLineChars="200"/>
        <w:jc w:val="both"/>
        <w:rPr>
          <w:rFonts w:hint="eastAsia" w:ascii="宋体" w:hAnsi="宋体"/>
          <w:color w:val="000000"/>
          <w:sz w:val="24"/>
          <w:szCs w:val="24"/>
          <w:lang w:val="en-US" w:eastAsia="zh-CN"/>
        </w:rPr>
      </w:pPr>
      <w:r>
        <w:rPr>
          <w:rFonts w:hint="eastAsia" w:ascii="宋体" w:hAnsi="宋体"/>
          <w:color w:val="000000"/>
          <w:sz w:val="24"/>
          <w:szCs w:val="24"/>
          <w:lang w:val="en-US" w:eastAsia="zh-CN"/>
        </w:rPr>
        <w:t>不可抗力：因不可抗力导致无法按期完成验证的，我公司须在事件发生后3日内提供书面证明，经</w:t>
      </w:r>
      <w:r>
        <w:rPr>
          <w:rFonts w:hint="eastAsia" w:ascii="宋体"/>
          <w:color w:val="000000"/>
          <w:sz w:val="24"/>
          <w:szCs w:val="24"/>
          <w:lang w:val="en-US" w:eastAsia="zh-CN"/>
        </w:rPr>
        <w:t>深圳供电局有限公司</w:t>
      </w:r>
      <w:r>
        <w:rPr>
          <w:rFonts w:hint="eastAsia" w:ascii="宋体" w:hAnsi="宋体"/>
          <w:color w:val="000000"/>
          <w:sz w:val="24"/>
          <w:szCs w:val="24"/>
          <w:lang w:val="en-US" w:eastAsia="zh-CN"/>
        </w:rPr>
        <w:t>认可后可适当顺延，但不免除开发费用承担义务。</w:t>
      </w:r>
    </w:p>
    <w:p w14:paraId="3B6ECB69">
      <w:pPr>
        <w:autoSpaceDE w:val="0"/>
        <w:autoSpaceDN w:val="0"/>
        <w:adjustRightInd w:val="0"/>
        <w:spacing w:before="156" w:beforeLines="50" w:line="360" w:lineRule="auto"/>
        <w:ind w:firstLine="480" w:firstLineChars="200"/>
        <w:jc w:val="both"/>
        <w:rPr>
          <w:rFonts w:hint="eastAsia" w:ascii="宋体" w:hAnsi="宋体"/>
          <w:color w:val="000000"/>
          <w:sz w:val="24"/>
          <w:szCs w:val="24"/>
          <w:lang w:val="en-US" w:eastAsia="zh-CN"/>
        </w:rPr>
      </w:pPr>
      <w:r>
        <w:rPr>
          <w:rFonts w:hint="eastAsia" w:ascii="宋体" w:hAnsi="宋体"/>
          <w:color w:val="000000"/>
          <w:sz w:val="24"/>
          <w:szCs w:val="24"/>
          <w:lang w:val="en-US" w:eastAsia="zh-CN"/>
        </w:rPr>
        <w:t>四、承诺效力</w:t>
      </w:r>
    </w:p>
    <w:p w14:paraId="72F344C6">
      <w:pPr>
        <w:autoSpaceDE w:val="0"/>
        <w:autoSpaceDN w:val="0"/>
        <w:adjustRightInd w:val="0"/>
        <w:spacing w:before="156" w:beforeLines="50" w:line="360" w:lineRule="auto"/>
        <w:ind w:firstLine="480" w:firstLineChars="200"/>
        <w:jc w:val="both"/>
        <w:rPr>
          <w:rFonts w:hint="eastAsia" w:ascii="宋体"/>
          <w:color w:val="000000"/>
          <w:sz w:val="24"/>
          <w:szCs w:val="24"/>
          <w:lang w:val="en-US" w:eastAsia="zh-CN"/>
        </w:rPr>
      </w:pPr>
      <w:r>
        <w:rPr>
          <w:rFonts w:hint="eastAsia" w:ascii="宋体" w:hAnsi="宋体"/>
          <w:color w:val="000000"/>
          <w:sz w:val="24"/>
          <w:szCs w:val="24"/>
          <w:lang w:val="en-US" w:eastAsia="zh-CN"/>
        </w:rPr>
        <w:t>本承诺函作为我公司投标文件的组成部分，具有与主合同同等的法律效力；若本承诺函内容与主合同存在不一致，以更严格、更有利于</w:t>
      </w:r>
      <w:r>
        <w:rPr>
          <w:rFonts w:hint="eastAsia" w:ascii="宋体"/>
          <w:color w:val="000000"/>
          <w:sz w:val="24"/>
          <w:szCs w:val="24"/>
          <w:lang w:val="en-US" w:eastAsia="zh-CN"/>
        </w:rPr>
        <w:t>深圳供电局有限公司</w:t>
      </w:r>
      <w:r>
        <w:rPr>
          <w:rFonts w:hint="eastAsia" w:ascii="宋体" w:hAnsi="宋体"/>
          <w:color w:val="000000"/>
          <w:sz w:val="24"/>
          <w:szCs w:val="24"/>
          <w:lang w:val="en-US" w:eastAsia="zh-CN"/>
        </w:rPr>
        <w:t>的条款为准</w:t>
      </w:r>
      <w:r>
        <w:rPr>
          <w:rFonts w:hint="eastAsia" w:ascii="宋体"/>
          <w:color w:val="000000"/>
          <w:sz w:val="24"/>
          <w:szCs w:val="24"/>
          <w:lang w:val="en-US" w:eastAsia="zh-CN"/>
        </w:rPr>
        <w:t>。</w:t>
      </w:r>
    </w:p>
    <w:p w14:paraId="2716E86E">
      <w:pPr>
        <w:autoSpaceDE w:val="0"/>
        <w:autoSpaceDN w:val="0"/>
        <w:adjustRightInd w:val="0"/>
        <w:spacing w:before="156" w:beforeLines="50" w:line="360" w:lineRule="auto"/>
        <w:jc w:val="both"/>
        <w:rPr>
          <w:rFonts w:hint="eastAsia" w:ascii="宋体"/>
          <w:color w:val="000000"/>
          <w:sz w:val="24"/>
          <w:szCs w:val="24"/>
          <w:lang w:val="en-US" w:eastAsia="zh-CN"/>
        </w:rPr>
      </w:pPr>
      <w:r>
        <w:rPr>
          <w:rFonts w:hint="eastAsia" w:ascii="宋体"/>
          <w:color w:val="000000"/>
          <w:sz w:val="24"/>
          <w:szCs w:val="24"/>
          <w:lang w:val="en-US" w:eastAsia="zh-CN"/>
        </w:rPr>
        <w:t xml:space="preserve"> </w:t>
      </w:r>
    </w:p>
    <w:p w14:paraId="17F6D473">
      <w:pPr>
        <w:autoSpaceDE w:val="0"/>
        <w:autoSpaceDN w:val="0"/>
        <w:adjustRightInd w:val="0"/>
        <w:spacing w:before="156" w:beforeLines="50" w:line="360" w:lineRule="auto"/>
        <w:ind w:right="27"/>
        <w:jc w:val="center"/>
        <w:rPr>
          <w:rFonts w:hint="eastAsia" w:ascii="宋体" w:hAnsi="宋体"/>
          <w:color w:val="000000"/>
          <w:sz w:val="24"/>
          <w:szCs w:val="24"/>
          <w:lang w:val="en-US" w:eastAsia="zh-CN"/>
        </w:rPr>
      </w:pPr>
      <w:r>
        <w:rPr>
          <w:rFonts w:hint="eastAsia" w:ascii="宋体" w:hAnsi="宋体"/>
          <w:color w:val="000000"/>
          <w:sz w:val="24"/>
          <w:szCs w:val="24"/>
          <w:lang w:val="en-US" w:eastAsia="zh-CN"/>
        </w:rPr>
        <w:t xml:space="preserve">                        投标人名称（ 电子章）                </w:t>
      </w:r>
    </w:p>
    <w:p w14:paraId="174BE280">
      <w:pPr>
        <w:autoSpaceDE w:val="0"/>
        <w:autoSpaceDN w:val="0"/>
        <w:adjustRightInd w:val="0"/>
        <w:spacing w:before="156" w:beforeLines="50" w:line="360" w:lineRule="auto"/>
        <w:ind w:right="27"/>
        <w:jc w:val="right"/>
        <w:rPr>
          <w:rFonts w:hint="eastAsia"/>
          <w:lang w:val="en-US" w:eastAsia="zh-CN"/>
        </w:rPr>
      </w:pPr>
      <w:r>
        <w:rPr>
          <w:rFonts w:hint="eastAsia" w:ascii="宋体" w:hAnsi="宋体"/>
          <w:color w:val="000000"/>
          <w:sz w:val="24"/>
          <w:szCs w:val="24"/>
          <w:lang w:val="en-US" w:eastAsia="zh-CN"/>
        </w:rPr>
        <w:t xml:space="preserve">          年    月     日</w:t>
      </w:r>
      <w:r>
        <w:rPr>
          <w:rFonts w:hint="eastAsia"/>
          <w:lang w:val="en-US" w:eastAsia="zh-CN"/>
        </w:rPr>
        <w:t xml:space="preserve"> </w:t>
      </w:r>
    </w:p>
    <w:p w14:paraId="1121D95C">
      <w:pPr>
        <w:autoSpaceDE w:val="0"/>
        <w:autoSpaceDN w:val="0"/>
        <w:adjustRightInd w:val="0"/>
        <w:spacing w:line="360" w:lineRule="auto"/>
        <w:rPr>
          <w:rFonts w:ascii="宋体" w:hAnsi="宋体" w:cs="宋体"/>
        </w:rPr>
      </w:pPr>
    </w:p>
    <w:p w14:paraId="338245B5">
      <w:pPr>
        <w:rPr>
          <w:rFonts w:ascii="宋体" w:hAnsi="宋体" w:cs="宋体"/>
        </w:rPr>
      </w:pPr>
    </w:p>
    <w:sectPr>
      <w:headerReference r:id="rId8" w:type="default"/>
      <w:footerReference r:id="rId9" w:type="default"/>
      <w:pgSz w:w="11907" w:h="16839"/>
      <w:pgMar w:top="1440" w:right="1080" w:bottom="1440" w:left="1080" w:header="964" w:footer="737"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书宋简体">
    <w:altName w:val="宋体"/>
    <w:panose1 w:val="00000000000000000000"/>
    <w:charset w:val="86"/>
    <w:family w:val="auto"/>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ˎ̥">
    <w:altName w:val="Noto Sans SC"/>
    <w:panose1 w:val="00000000000000000000"/>
    <w:charset w:val="01"/>
    <w:family w:val="auto"/>
    <w:pitch w:val="default"/>
    <w:sig w:usb0="00000000" w:usb1="00000000" w:usb2="00000000" w:usb3="00000000" w:csb0="00040001" w:csb1="00000000"/>
  </w:font>
  <w:font w:name="Noto Sans SC">
    <w:panose1 w:val="020B0200000000000000"/>
    <w:charset w:val="86"/>
    <w:family w:val="auto"/>
    <w:pitch w:val="default"/>
    <w:sig w:usb0="20000083" w:usb1="2ADF3C10" w:usb2="00000016" w:usb3="00000000" w:csb0="60060107" w:csb1="00000000"/>
  </w:font>
  <w:font w:name="华文新魏">
    <w:panose1 w:val="02010800040101010101"/>
    <w:charset w:val="86"/>
    <w:family w:val="auto"/>
    <w:pitch w:val="default"/>
    <w:sig w:usb0="00000001" w:usb1="080F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Plotter">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汉仪大宋简">
    <w:altName w:val="宋体"/>
    <w:panose1 w:val="02010600000101010101"/>
    <w:charset w:val="86"/>
    <w:family w:val="auto"/>
    <w:pitch w:val="default"/>
    <w:sig w:usb0="00000000" w:usb1="00000000" w:usb2="00000002"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8D6DD8">
    <w:pPr>
      <w:pStyle w:val="52"/>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DDC7C3">
    <w:pPr>
      <w:pStyle w:val="52"/>
      <w:framePr w:wrap="around" w:vAnchor="text" w:hAnchor="margin" w:xAlign="right" w:y="1"/>
      <w:rPr>
        <w:rStyle w:val="87"/>
      </w:rPr>
    </w:pPr>
    <w:r>
      <w:fldChar w:fldCharType="begin"/>
    </w:r>
    <w:r>
      <w:rPr>
        <w:rStyle w:val="87"/>
      </w:rPr>
      <w:instrText xml:space="preserve">PAGE  </w:instrText>
    </w:r>
    <w:r>
      <w:fldChar w:fldCharType="end"/>
    </w:r>
  </w:p>
  <w:p w14:paraId="687B50F7">
    <w:pPr>
      <w:pStyle w:val="52"/>
      <w:ind w:right="360"/>
      <w:jc w:val="center"/>
    </w:pPr>
    <w:r>
      <w:rPr>
        <w:kern w:val="0"/>
        <w:szCs w:val="21"/>
      </w:rPr>
      <w:t>-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930FB">
    <w:pPr>
      <w:pStyle w:val="52"/>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026D17">
    <w:pPr>
      <w:pStyle w:val="52"/>
      <w:jc w:val="center"/>
    </w:pPr>
    <w:r>
      <w:rPr>
        <w:rFonts w:hint="eastAsia"/>
      </w:rPr>
      <w:t>第</w:t>
    </w:r>
    <w:r>
      <w:fldChar w:fldCharType="begin"/>
    </w:r>
    <w:r>
      <w:instrText xml:space="preserve">PAGE   \* MERGEFORMAT</w:instrText>
    </w:r>
    <w:r>
      <w:fldChar w:fldCharType="separate"/>
    </w:r>
    <w:r>
      <w:rPr>
        <w:lang w:val="zh-CN"/>
      </w:rPr>
      <w:t>23</w:t>
    </w:r>
    <w:r>
      <w:rPr>
        <w:lang w:val="zh-CN"/>
      </w:rPr>
      <w:fldChar w:fldCharType="end"/>
    </w:r>
    <w:r>
      <w:rPr>
        <w:rFonts w:hint="eastAsia"/>
      </w:rPr>
      <w:t>页</w:t>
    </w:r>
    <w: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468A38">
    <w:pPr>
      <w:pStyle w:val="54"/>
    </w:pPr>
    <w:r>
      <w:rPr>
        <w:rFonts w:hint="eastAsia"/>
      </w:rPr>
      <w:t>通信蓄电池在线核容装置技术规范书（通用部分）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08DBE">
    <w:pPr>
      <w:pStyle w:val="5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58C29E">
    <w:pPr>
      <w:pStyle w:val="54"/>
    </w:pPr>
    <w:r>
      <w:rPr>
        <w:rFonts w:hint="eastAsia"/>
      </w:rPr>
      <w:t>通信蓄电池在线核容装置技术规范书（通用部分）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0E2CA6"/>
    <w:multiLevelType w:val="singleLevel"/>
    <w:tmpl w:val="830E2CA6"/>
    <w:lvl w:ilvl="0" w:tentative="0">
      <w:start w:val="1"/>
      <w:numFmt w:val="lowerLetter"/>
      <w:lvlText w:val="%1."/>
      <w:lvlJc w:val="left"/>
      <w:pPr>
        <w:ind w:left="425" w:hanging="425"/>
      </w:pPr>
      <w:rPr>
        <w:rFonts w:hint="default"/>
      </w:rPr>
    </w:lvl>
  </w:abstractNum>
  <w:abstractNum w:abstractNumId="1">
    <w:nsid w:val="86945DCC"/>
    <w:multiLevelType w:val="singleLevel"/>
    <w:tmpl w:val="86945DCC"/>
    <w:lvl w:ilvl="0" w:tentative="0">
      <w:start w:val="1"/>
      <w:numFmt w:val="lowerLetter"/>
      <w:lvlText w:val="%1."/>
      <w:lvlJc w:val="left"/>
      <w:pPr>
        <w:ind w:left="425" w:hanging="425"/>
      </w:pPr>
      <w:rPr>
        <w:rFonts w:hint="default"/>
      </w:rPr>
    </w:lvl>
  </w:abstractNum>
  <w:abstractNum w:abstractNumId="2">
    <w:nsid w:val="8812DFA1"/>
    <w:multiLevelType w:val="singleLevel"/>
    <w:tmpl w:val="8812DFA1"/>
    <w:lvl w:ilvl="0" w:tentative="0">
      <w:start w:val="1"/>
      <w:numFmt w:val="lowerLetter"/>
      <w:lvlText w:val="%1."/>
      <w:lvlJc w:val="left"/>
      <w:pPr>
        <w:ind w:left="425" w:hanging="425"/>
      </w:pPr>
      <w:rPr>
        <w:rFonts w:hint="default"/>
      </w:rPr>
    </w:lvl>
  </w:abstractNum>
  <w:abstractNum w:abstractNumId="3">
    <w:nsid w:val="8CE0520C"/>
    <w:multiLevelType w:val="singleLevel"/>
    <w:tmpl w:val="8CE0520C"/>
    <w:lvl w:ilvl="0" w:tentative="0">
      <w:start w:val="1"/>
      <w:numFmt w:val="lowerLetter"/>
      <w:lvlText w:val="%1."/>
      <w:lvlJc w:val="left"/>
      <w:pPr>
        <w:ind w:left="425" w:hanging="425"/>
      </w:pPr>
      <w:rPr>
        <w:rFonts w:hint="default"/>
      </w:rPr>
    </w:lvl>
  </w:abstractNum>
  <w:abstractNum w:abstractNumId="4">
    <w:nsid w:val="8E1FD14A"/>
    <w:multiLevelType w:val="multilevel"/>
    <w:tmpl w:val="8E1FD14A"/>
    <w:lvl w:ilvl="0" w:tentative="0">
      <w:start w:val="1"/>
      <w:numFmt w:val="decimal"/>
      <w:pStyle w:val="2"/>
      <w:isLgl/>
      <w:suff w:val="nothing"/>
      <w:lvlText w:val="%1."/>
      <w:lvlJc w:val="left"/>
      <w:pPr>
        <w:tabs>
          <w:tab w:val="left" w:pos="0"/>
        </w:tabs>
        <w:ind w:left="0" w:firstLine="0"/>
      </w:pPr>
      <w:rPr>
        <w:rFonts w:hint="default" w:ascii="宋体" w:hAnsi="宋体" w:eastAsia="宋体" w:cs="宋体"/>
        <w:b/>
        <w:sz w:val="30"/>
      </w:rPr>
    </w:lvl>
    <w:lvl w:ilvl="1" w:tentative="0">
      <w:start w:val="1"/>
      <w:numFmt w:val="decimal"/>
      <w:pStyle w:val="3"/>
      <w:isLgl/>
      <w:suff w:val="nothing"/>
      <w:lvlText w:val="%1.%2."/>
      <w:lvlJc w:val="left"/>
      <w:pPr>
        <w:tabs>
          <w:tab w:val="left" w:pos="0"/>
        </w:tabs>
        <w:ind w:left="0" w:firstLine="0"/>
      </w:pPr>
      <w:rPr>
        <w:rFonts w:hint="default" w:ascii="宋体" w:hAnsi="宋体" w:eastAsia="宋体" w:cs="宋体"/>
        <w:sz w:val="28"/>
      </w:rPr>
    </w:lvl>
    <w:lvl w:ilvl="2" w:tentative="0">
      <w:start w:val="1"/>
      <w:numFmt w:val="decimal"/>
      <w:pStyle w:val="4"/>
      <w:isLgl/>
      <w:suff w:val="nothing"/>
      <w:lvlText w:val="%1.%2.%3."/>
      <w:lvlJc w:val="left"/>
      <w:pPr>
        <w:tabs>
          <w:tab w:val="left" w:pos="420"/>
        </w:tabs>
        <w:ind w:left="0" w:firstLine="0"/>
      </w:pPr>
      <w:rPr>
        <w:rFonts w:hint="default" w:ascii="宋体" w:hAnsi="宋体" w:eastAsia="宋体" w:cs="宋体"/>
        <w:sz w:val="24"/>
      </w:rPr>
    </w:lvl>
    <w:lvl w:ilvl="3" w:tentative="0">
      <w:start w:val="1"/>
      <w:numFmt w:val="decimal"/>
      <w:pStyle w:val="5"/>
      <w:isLgl/>
      <w:suff w:val="nothing"/>
      <w:lvlText w:val="%1.%2.%3.%4."/>
      <w:lvlJc w:val="left"/>
      <w:pPr>
        <w:tabs>
          <w:tab w:val="left" w:pos="1413"/>
        </w:tabs>
        <w:ind w:left="993" w:firstLine="0"/>
      </w:pPr>
      <w:rPr>
        <w:rFonts w:hint="default" w:ascii="宋体" w:hAnsi="宋体" w:eastAsia="宋体" w:cs="宋体"/>
        <w:sz w:val="21"/>
      </w:rPr>
    </w:lvl>
    <w:lvl w:ilvl="4" w:tentative="0">
      <w:start w:val="1"/>
      <w:numFmt w:val="decimal"/>
      <w:pStyle w:val="6"/>
      <w:isLgl/>
      <w:suff w:val="nothing"/>
      <w:lvlText w:val="%1.%2.%3.%4.%5."/>
      <w:lvlJc w:val="left"/>
      <w:pPr>
        <w:tabs>
          <w:tab w:val="left" w:pos="420"/>
        </w:tabs>
        <w:ind w:left="0" w:firstLine="0"/>
      </w:pPr>
      <w:rPr>
        <w:rFonts w:hint="default" w:ascii="宋体" w:hAnsi="宋体" w:eastAsia="宋体" w:cs="宋体"/>
        <w:sz w:val="18"/>
      </w:rPr>
    </w:lvl>
    <w:lvl w:ilvl="5" w:tentative="0">
      <w:start w:val="1"/>
      <w:numFmt w:val="decimal"/>
      <w:pStyle w:val="7"/>
      <w:isLgl/>
      <w:suff w:val="nothing"/>
      <w:lvlText w:val="%1.%2.%3.%4.%5.%6."/>
      <w:lvlJc w:val="left"/>
      <w:pPr>
        <w:tabs>
          <w:tab w:val="left" w:pos="420"/>
        </w:tabs>
        <w:ind w:left="0" w:firstLine="0"/>
      </w:pPr>
      <w:rPr>
        <w:rFonts w:hint="default" w:ascii="宋体" w:hAnsi="宋体" w:eastAsia="宋体" w:cs="宋体"/>
        <w:sz w:val="18"/>
      </w:rPr>
    </w:lvl>
    <w:lvl w:ilvl="6" w:tentative="0">
      <w:start w:val="1"/>
      <w:numFmt w:val="decimal"/>
      <w:pStyle w:val="8"/>
      <w:isLgl/>
      <w:lvlText w:val="%1.%2.%3.%4.%5.%6.%7."/>
      <w:lvlJc w:val="left"/>
      <w:pPr>
        <w:ind w:left="1296" w:hanging="1296"/>
      </w:pPr>
      <w:rPr>
        <w:rFonts w:hint="default" w:ascii="宋体" w:hAnsi="宋体" w:eastAsia="宋体" w:cs="宋体"/>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5">
    <w:nsid w:val="8F915D70"/>
    <w:multiLevelType w:val="singleLevel"/>
    <w:tmpl w:val="8F915D70"/>
    <w:lvl w:ilvl="0" w:tentative="0">
      <w:start w:val="1"/>
      <w:numFmt w:val="lowerLetter"/>
      <w:lvlText w:val="%1."/>
      <w:lvlJc w:val="left"/>
      <w:pPr>
        <w:ind w:left="425" w:hanging="425"/>
      </w:pPr>
      <w:rPr>
        <w:rFonts w:hint="default"/>
      </w:rPr>
    </w:lvl>
  </w:abstractNum>
  <w:abstractNum w:abstractNumId="6">
    <w:nsid w:val="9ABDDDC6"/>
    <w:multiLevelType w:val="singleLevel"/>
    <w:tmpl w:val="9ABDDDC6"/>
    <w:lvl w:ilvl="0" w:tentative="0">
      <w:start w:val="1"/>
      <w:numFmt w:val="decimal"/>
      <w:lvlText w:val="%1)"/>
      <w:lvlJc w:val="left"/>
      <w:pPr>
        <w:tabs>
          <w:tab w:val="left" w:pos="840"/>
        </w:tabs>
        <w:ind w:left="1265" w:hanging="425"/>
      </w:pPr>
      <w:rPr>
        <w:rFonts w:hint="default"/>
      </w:rPr>
    </w:lvl>
  </w:abstractNum>
  <w:abstractNum w:abstractNumId="7">
    <w:nsid w:val="ADFF5FFD"/>
    <w:multiLevelType w:val="singleLevel"/>
    <w:tmpl w:val="ADFF5FFD"/>
    <w:lvl w:ilvl="0" w:tentative="0">
      <w:start w:val="1"/>
      <w:numFmt w:val="lowerLetter"/>
      <w:lvlText w:val="%1."/>
      <w:lvlJc w:val="left"/>
      <w:pPr>
        <w:ind w:left="425" w:hanging="425"/>
      </w:pPr>
      <w:rPr>
        <w:rFonts w:hint="default"/>
      </w:rPr>
    </w:lvl>
  </w:abstractNum>
  <w:abstractNum w:abstractNumId="8">
    <w:nsid w:val="B88A2336"/>
    <w:multiLevelType w:val="singleLevel"/>
    <w:tmpl w:val="B88A2336"/>
    <w:lvl w:ilvl="0" w:tentative="0">
      <w:start w:val="1"/>
      <w:numFmt w:val="lowerLetter"/>
      <w:lvlText w:val="%1."/>
      <w:lvlJc w:val="left"/>
      <w:pPr>
        <w:ind w:left="425" w:hanging="425"/>
      </w:pPr>
      <w:rPr>
        <w:rFonts w:hint="default"/>
      </w:rPr>
    </w:lvl>
  </w:abstractNum>
  <w:abstractNum w:abstractNumId="9">
    <w:nsid w:val="BDDFB7EA"/>
    <w:multiLevelType w:val="singleLevel"/>
    <w:tmpl w:val="BDDFB7EA"/>
    <w:lvl w:ilvl="0" w:tentative="0">
      <w:start w:val="1"/>
      <w:numFmt w:val="lowerLetter"/>
      <w:lvlText w:val="%1."/>
      <w:lvlJc w:val="left"/>
      <w:pPr>
        <w:ind w:left="425" w:hanging="425"/>
      </w:pPr>
      <w:rPr>
        <w:rFonts w:hint="default"/>
      </w:rPr>
    </w:lvl>
  </w:abstractNum>
  <w:abstractNum w:abstractNumId="10">
    <w:nsid w:val="C2B4017B"/>
    <w:multiLevelType w:val="singleLevel"/>
    <w:tmpl w:val="C2B4017B"/>
    <w:lvl w:ilvl="0" w:tentative="0">
      <w:start w:val="1"/>
      <w:numFmt w:val="lowerLetter"/>
      <w:lvlText w:val="%1."/>
      <w:lvlJc w:val="left"/>
      <w:pPr>
        <w:ind w:left="425" w:hanging="425"/>
      </w:pPr>
      <w:rPr>
        <w:rFonts w:hint="default"/>
      </w:rPr>
    </w:lvl>
  </w:abstractNum>
  <w:abstractNum w:abstractNumId="11">
    <w:nsid w:val="D600BE55"/>
    <w:multiLevelType w:val="singleLevel"/>
    <w:tmpl w:val="D600BE55"/>
    <w:lvl w:ilvl="0" w:tentative="0">
      <w:start w:val="1"/>
      <w:numFmt w:val="lowerLetter"/>
      <w:lvlText w:val="%1."/>
      <w:lvlJc w:val="left"/>
      <w:pPr>
        <w:ind w:left="425" w:hanging="425"/>
      </w:pPr>
      <w:rPr>
        <w:rFonts w:hint="default"/>
      </w:rPr>
    </w:lvl>
  </w:abstractNum>
  <w:abstractNum w:abstractNumId="12">
    <w:nsid w:val="DA319459"/>
    <w:multiLevelType w:val="singleLevel"/>
    <w:tmpl w:val="DA319459"/>
    <w:lvl w:ilvl="0" w:tentative="0">
      <w:start w:val="1"/>
      <w:numFmt w:val="lowerLetter"/>
      <w:lvlText w:val="%1."/>
      <w:lvlJc w:val="left"/>
      <w:pPr>
        <w:ind w:left="425" w:hanging="425"/>
      </w:pPr>
      <w:rPr>
        <w:rFonts w:hint="default"/>
      </w:rPr>
    </w:lvl>
  </w:abstractNum>
  <w:abstractNum w:abstractNumId="13">
    <w:nsid w:val="DA42F3F5"/>
    <w:multiLevelType w:val="singleLevel"/>
    <w:tmpl w:val="DA42F3F5"/>
    <w:lvl w:ilvl="0" w:tentative="0">
      <w:start w:val="1"/>
      <w:numFmt w:val="lowerLetter"/>
      <w:lvlText w:val="%1."/>
      <w:lvlJc w:val="left"/>
      <w:pPr>
        <w:ind w:left="425" w:hanging="425"/>
      </w:pPr>
      <w:rPr>
        <w:rFonts w:hint="default"/>
      </w:rPr>
    </w:lvl>
  </w:abstractNum>
  <w:abstractNum w:abstractNumId="14">
    <w:nsid w:val="DD582F4B"/>
    <w:multiLevelType w:val="singleLevel"/>
    <w:tmpl w:val="DD582F4B"/>
    <w:lvl w:ilvl="0" w:tentative="0">
      <w:start w:val="1"/>
      <w:numFmt w:val="lowerLetter"/>
      <w:lvlText w:val="%1."/>
      <w:lvlJc w:val="left"/>
      <w:pPr>
        <w:ind w:left="425" w:hanging="425"/>
      </w:pPr>
      <w:rPr>
        <w:rFonts w:hint="default"/>
      </w:rPr>
    </w:lvl>
  </w:abstractNum>
  <w:abstractNum w:abstractNumId="15">
    <w:nsid w:val="DF7BB7EB"/>
    <w:multiLevelType w:val="singleLevel"/>
    <w:tmpl w:val="DF7BB7EB"/>
    <w:lvl w:ilvl="0" w:tentative="0">
      <w:start w:val="1"/>
      <w:numFmt w:val="lowerLetter"/>
      <w:lvlText w:val="%1."/>
      <w:lvlJc w:val="left"/>
      <w:pPr>
        <w:ind w:left="425" w:hanging="425"/>
      </w:pPr>
      <w:rPr>
        <w:rFonts w:hint="default"/>
      </w:rPr>
    </w:lvl>
  </w:abstractNum>
  <w:abstractNum w:abstractNumId="16">
    <w:nsid w:val="E0AF35BD"/>
    <w:multiLevelType w:val="singleLevel"/>
    <w:tmpl w:val="E0AF35BD"/>
    <w:lvl w:ilvl="0" w:tentative="0">
      <w:start w:val="1"/>
      <w:numFmt w:val="lowerLetter"/>
      <w:lvlText w:val="%1."/>
      <w:lvlJc w:val="left"/>
      <w:pPr>
        <w:ind w:left="851" w:hanging="425"/>
      </w:pPr>
      <w:rPr>
        <w:rFonts w:hint="default"/>
      </w:rPr>
    </w:lvl>
  </w:abstractNum>
  <w:abstractNum w:abstractNumId="17">
    <w:nsid w:val="E2A3C2DD"/>
    <w:multiLevelType w:val="singleLevel"/>
    <w:tmpl w:val="E2A3C2DD"/>
    <w:lvl w:ilvl="0" w:tentative="0">
      <w:start w:val="1"/>
      <w:numFmt w:val="lowerLetter"/>
      <w:lvlText w:val="%1."/>
      <w:lvlJc w:val="left"/>
      <w:pPr>
        <w:ind w:left="425" w:hanging="425"/>
      </w:pPr>
      <w:rPr>
        <w:rFonts w:hint="default"/>
      </w:rPr>
    </w:lvl>
  </w:abstractNum>
  <w:abstractNum w:abstractNumId="18">
    <w:nsid w:val="E8284622"/>
    <w:multiLevelType w:val="singleLevel"/>
    <w:tmpl w:val="E8284622"/>
    <w:lvl w:ilvl="0" w:tentative="0">
      <w:start w:val="1"/>
      <w:numFmt w:val="lowerLetter"/>
      <w:lvlText w:val="%1."/>
      <w:lvlJc w:val="left"/>
      <w:pPr>
        <w:ind w:left="425" w:hanging="425"/>
      </w:pPr>
      <w:rPr>
        <w:rFonts w:hint="default"/>
      </w:rPr>
    </w:lvl>
  </w:abstractNum>
  <w:abstractNum w:abstractNumId="19">
    <w:nsid w:val="EAD6B45D"/>
    <w:multiLevelType w:val="singleLevel"/>
    <w:tmpl w:val="EAD6B45D"/>
    <w:lvl w:ilvl="0" w:tentative="0">
      <w:start w:val="1"/>
      <w:numFmt w:val="lowerLetter"/>
      <w:lvlText w:val="%1."/>
      <w:lvlJc w:val="left"/>
      <w:pPr>
        <w:ind w:left="425" w:hanging="425"/>
      </w:pPr>
      <w:rPr>
        <w:rFonts w:hint="default"/>
      </w:rPr>
    </w:lvl>
  </w:abstractNum>
  <w:abstractNum w:abstractNumId="20">
    <w:nsid w:val="ED6BFA0E"/>
    <w:multiLevelType w:val="singleLevel"/>
    <w:tmpl w:val="ED6BFA0E"/>
    <w:lvl w:ilvl="0" w:tentative="0">
      <w:start w:val="1"/>
      <w:numFmt w:val="lowerLetter"/>
      <w:lvlText w:val="%1."/>
      <w:lvlJc w:val="left"/>
      <w:pPr>
        <w:ind w:left="425" w:hanging="425"/>
      </w:pPr>
      <w:rPr>
        <w:rFonts w:hint="default"/>
      </w:rPr>
    </w:lvl>
  </w:abstractNum>
  <w:abstractNum w:abstractNumId="21">
    <w:nsid w:val="EEC5D345"/>
    <w:multiLevelType w:val="singleLevel"/>
    <w:tmpl w:val="EEC5D345"/>
    <w:lvl w:ilvl="0" w:tentative="0">
      <w:start w:val="1"/>
      <w:numFmt w:val="lowerLetter"/>
      <w:lvlText w:val="%1."/>
      <w:lvlJc w:val="left"/>
      <w:pPr>
        <w:ind w:left="425" w:hanging="425"/>
      </w:pPr>
      <w:rPr>
        <w:rFonts w:hint="default"/>
      </w:rPr>
    </w:lvl>
  </w:abstractNum>
  <w:abstractNum w:abstractNumId="22">
    <w:nsid w:val="F5CD781D"/>
    <w:multiLevelType w:val="singleLevel"/>
    <w:tmpl w:val="F5CD781D"/>
    <w:lvl w:ilvl="0" w:tentative="0">
      <w:start w:val="1"/>
      <w:numFmt w:val="lowerLetter"/>
      <w:lvlText w:val="%1."/>
      <w:lvlJc w:val="left"/>
      <w:pPr>
        <w:ind w:left="425" w:hanging="425"/>
      </w:pPr>
      <w:rPr>
        <w:rFonts w:hint="default"/>
      </w:rPr>
    </w:lvl>
  </w:abstractNum>
  <w:abstractNum w:abstractNumId="23">
    <w:nsid w:val="FF337D7B"/>
    <w:multiLevelType w:val="singleLevel"/>
    <w:tmpl w:val="FF337D7B"/>
    <w:lvl w:ilvl="0" w:tentative="0">
      <w:start w:val="1"/>
      <w:numFmt w:val="lowerLetter"/>
      <w:lvlText w:val="%1."/>
      <w:lvlJc w:val="left"/>
      <w:pPr>
        <w:ind w:left="425" w:hanging="425"/>
      </w:pPr>
      <w:rPr>
        <w:rFonts w:hint="default"/>
      </w:rPr>
    </w:lvl>
  </w:abstractNum>
  <w:abstractNum w:abstractNumId="24">
    <w:nsid w:val="00000002"/>
    <w:multiLevelType w:val="singleLevel"/>
    <w:tmpl w:val="00000002"/>
    <w:lvl w:ilvl="0" w:tentative="0">
      <w:start w:val="1"/>
      <w:numFmt w:val="decimal"/>
      <w:pStyle w:val="62"/>
      <w:lvlText w:val="%1."/>
      <w:lvlJc w:val="left"/>
      <w:pPr>
        <w:tabs>
          <w:tab w:val="left" w:pos="2040"/>
        </w:tabs>
        <w:ind w:left="2040" w:hanging="360"/>
      </w:pPr>
    </w:lvl>
  </w:abstractNum>
  <w:abstractNum w:abstractNumId="25">
    <w:nsid w:val="00000005"/>
    <w:multiLevelType w:val="multilevel"/>
    <w:tmpl w:val="00000005"/>
    <w:lvl w:ilvl="0" w:tentative="0">
      <w:start w:val="1"/>
      <w:numFmt w:val="decimal"/>
      <w:pStyle w:val="155"/>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6">
    <w:nsid w:val="00000006"/>
    <w:multiLevelType w:val="multilevel"/>
    <w:tmpl w:val="00000006"/>
    <w:lvl w:ilvl="0" w:tentative="0">
      <w:start w:val="1"/>
      <w:numFmt w:val="bullet"/>
      <w:pStyle w:val="38"/>
      <w:lvlText w:val=""/>
      <w:lvlJc w:val="left"/>
      <w:pPr>
        <w:tabs>
          <w:tab w:val="left" w:pos="780"/>
        </w:tabs>
        <w:ind w:left="780" w:hanging="36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7">
    <w:nsid w:val="00000009"/>
    <w:multiLevelType w:val="singleLevel"/>
    <w:tmpl w:val="00000009"/>
    <w:lvl w:ilvl="0" w:tentative="0">
      <w:start w:val="1"/>
      <w:numFmt w:val="bullet"/>
      <w:pStyle w:val="30"/>
      <w:lvlText w:val=""/>
      <w:lvlJc w:val="left"/>
      <w:pPr>
        <w:tabs>
          <w:tab w:val="left" w:pos="1200"/>
        </w:tabs>
        <w:ind w:left="1200" w:hanging="360"/>
      </w:pPr>
      <w:rPr>
        <w:rFonts w:hint="default" w:ascii="Wingdings" w:hAnsi="Wingdings"/>
      </w:rPr>
    </w:lvl>
  </w:abstractNum>
  <w:abstractNum w:abstractNumId="28">
    <w:nsid w:val="0000000B"/>
    <w:multiLevelType w:val="singleLevel"/>
    <w:tmpl w:val="0000000B"/>
    <w:lvl w:ilvl="0" w:tentative="0">
      <w:start w:val="1"/>
      <w:numFmt w:val="bullet"/>
      <w:pStyle w:val="44"/>
      <w:lvlText w:val=""/>
      <w:lvlJc w:val="left"/>
      <w:pPr>
        <w:tabs>
          <w:tab w:val="left" w:pos="2040"/>
        </w:tabs>
        <w:ind w:left="2040" w:hanging="360"/>
      </w:pPr>
      <w:rPr>
        <w:rFonts w:hint="default" w:ascii="Wingdings" w:hAnsi="Wingdings"/>
      </w:rPr>
    </w:lvl>
  </w:abstractNum>
  <w:abstractNum w:abstractNumId="29">
    <w:nsid w:val="0000000C"/>
    <w:multiLevelType w:val="singleLevel"/>
    <w:tmpl w:val="0000000C"/>
    <w:lvl w:ilvl="0" w:tentative="0">
      <w:start w:val="1"/>
      <w:numFmt w:val="bullet"/>
      <w:pStyle w:val="22"/>
      <w:lvlText w:val=""/>
      <w:lvlJc w:val="left"/>
      <w:pPr>
        <w:tabs>
          <w:tab w:val="left" w:pos="360"/>
        </w:tabs>
        <w:ind w:left="360" w:hanging="360"/>
      </w:pPr>
      <w:rPr>
        <w:rFonts w:hint="default" w:ascii="Wingdings" w:hAnsi="Wingdings"/>
      </w:rPr>
    </w:lvl>
  </w:abstractNum>
  <w:abstractNum w:abstractNumId="30">
    <w:nsid w:val="0000000D"/>
    <w:multiLevelType w:val="multilevel"/>
    <w:tmpl w:val="0000000D"/>
    <w:lvl w:ilvl="0" w:tentative="0">
      <w:start w:val="1"/>
      <w:numFmt w:val="decimal"/>
      <w:pStyle w:val="153"/>
      <w:suff w:val="space"/>
      <w:lvlText w:val="%1"/>
      <w:lvlJc w:val="left"/>
      <w:pPr>
        <w:ind w:left="0" w:firstLine="0"/>
      </w:pPr>
      <w:rPr>
        <w:rFonts w:hint="default" w:ascii="Times New Roman" w:hAnsi="Times New Roman" w:eastAsia="宋体"/>
        <w:b/>
        <w:i w:val="0"/>
        <w:color w:val="auto"/>
        <w:sz w:val="21"/>
      </w:rPr>
    </w:lvl>
    <w:lvl w:ilvl="1" w:tentative="0">
      <w:start w:val="2"/>
      <w:numFmt w:val="none"/>
      <w:suff w:val="space"/>
      <w:lvlText w:val="4.1"/>
      <w:lvlJc w:val="left"/>
      <w:pPr>
        <w:ind w:left="105" w:firstLine="0"/>
      </w:pPr>
      <w:rPr>
        <w:rFonts w:hint="default" w:ascii="Times New Roman" w:hAnsi="Times New Roman" w:eastAsia="宋体"/>
        <w:b w:val="0"/>
        <w:i w:val="0"/>
        <w:sz w:val="21"/>
      </w:rPr>
    </w:lvl>
    <w:lvl w:ilvl="2" w:tentative="0">
      <w:start w:val="12"/>
      <w:numFmt w:val="decimal"/>
      <w:suff w:val="space"/>
      <w:lvlText w:val="%1.%2.%3 "/>
      <w:lvlJc w:val="left"/>
      <w:pPr>
        <w:ind w:left="360" w:firstLine="0"/>
      </w:pPr>
      <w:rPr>
        <w:rFonts w:hint="eastAsia" w:ascii="黑体" w:hAnsi="黑体" w:eastAsia="黑体" w:cs="Times New Roman"/>
        <w:b w:val="0"/>
        <w:bCs w:val="0"/>
        <w:i w:val="0"/>
        <w:iCs w:val="0"/>
        <w:caps w:val="0"/>
        <w:smallCaps w:val="0"/>
        <w:strike w:val="0"/>
        <w:dstrike w:val="0"/>
        <w:outline w:val="0"/>
        <w:shadow w:val="0"/>
        <w:emboss w:val="0"/>
        <w:imprint w:val="0"/>
        <w:vanish w:val="0"/>
        <w:color w:val="auto"/>
        <w:spacing w:val="0"/>
        <w:w w:val="100"/>
        <w:kern w:val="2"/>
        <w:position w:val="0"/>
        <w:sz w:val="21"/>
        <w:u w:val="none"/>
        <w:shd w:val="clear" w:color="auto" w:fill="auto"/>
        <w:vertAlign w:val="baseline"/>
      </w:rPr>
    </w:lvl>
    <w:lvl w:ilvl="3" w:tentative="0">
      <w:start w:val="1"/>
      <w:numFmt w:val="decimal"/>
      <w:pStyle w:val="175"/>
      <w:suff w:val="space"/>
      <w:lvlText w:val="%1.%2.%3.%4 "/>
      <w:lvlJc w:val="left"/>
      <w:pPr>
        <w:ind w:left="0" w:firstLine="0"/>
      </w:pPr>
      <w:rPr>
        <w:rFonts w:hint="eastAsia" w:ascii="宋体" w:hAnsi="宋体" w:eastAsia="宋体" w:cs="Times New Roman"/>
        <w:b w:val="0"/>
        <w:bCs w:val="0"/>
        <w:i w:val="0"/>
        <w:iCs w:val="0"/>
        <w:caps w:val="0"/>
        <w:smallCaps w:val="0"/>
        <w:strike w:val="0"/>
        <w:dstrike w:val="0"/>
        <w:outline w:val="0"/>
        <w:shadow w:val="0"/>
        <w:emboss w:val="0"/>
        <w:imprint w:val="0"/>
        <w:vanish w:val="0"/>
        <w:color w:val="auto"/>
        <w:spacing w:val="0"/>
        <w:w w:val="100"/>
        <w:kern w:val="2"/>
        <w:position w:val="0"/>
        <w:sz w:val="21"/>
        <w:szCs w:val="21"/>
        <w:u w:val="none"/>
        <w:shd w:val="clear" w:color="auto" w:fill="auto"/>
        <w:vertAlign w:val="baseline"/>
        <w:lang w:val="en-US" w:eastAsia="zh-CN" w:bidi="ar-SA"/>
      </w:rPr>
    </w:lvl>
    <w:lvl w:ilvl="4" w:tentative="0">
      <w:start w:val="1"/>
      <w:numFmt w:val="decimal"/>
      <w:lvlRestart w:val="0"/>
      <w:suff w:val="space"/>
      <w:lvlText w:val="%1.%2.%3.%4.%5"/>
      <w:lvlJc w:val="left"/>
      <w:pPr>
        <w:ind w:left="-180" w:firstLine="0"/>
      </w:pPr>
      <w:rPr>
        <w:rFonts w:hint="eastAsia"/>
      </w:rPr>
    </w:lvl>
    <w:lvl w:ilvl="5" w:tentative="0">
      <w:start w:val="1"/>
      <w:numFmt w:val="decimal"/>
      <w:lvlText w:val="%1.%2.%3.%4.%5.%6"/>
      <w:lvlJc w:val="left"/>
      <w:pPr>
        <w:tabs>
          <w:tab w:val="left" w:pos="3746"/>
        </w:tabs>
        <w:ind w:left="3080" w:hanging="1134"/>
      </w:pPr>
      <w:rPr>
        <w:rFonts w:hint="eastAsia"/>
      </w:rPr>
    </w:lvl>
    <w:lvl w:ilvl="6" w:tentative="0">
      <w:start w:val="1"/>
      <w:numFmt w:val="decimal"/>
      <w:lvlText w:val="%1.%2.%3.%4.%5.%6.%7"/>
      <w:lvlJc w:val="left"/>
      <w:pPr>
        <w:tabs>
          <w:tab w:val="left" w:pos="4531"/>
        </w:tabs>
        <w:ind w:left="3647" w:hanging="1276"/>
      </w:pPr>
      <w:rPr>
        <w:rFonts w:hint="eastAsia"/>
      </w:rPr>
    </w:lvl>
    <w:lvl w:ilvl="7" w:tentative="0">
      <w:start w:val="1"/>
      <w:numFmt w:val="decimal"/>
      <w:lvlText w:val="%1.%2.%3.%4.%5.%6.%7.%8"/>
      <w:lvlJc w:val="left"/>
      <w:pPr>
        <w:tabs>
          <w:tab w:val="left" w:pos="5316"/>
        </w:tabs>
        <w:ind w:left="4214" w:hanging="1418"/>
      </w:pPr>
      <w:rPr>
        <w:rFonts w:hint="eastAsia"/>
      </w:rPr>
    </w:lvl>
    <w:lvl w:ilvl="8" w:tentative="0">
      <w:start w:val="1"/>
      <w:numFmt w:val="decimal"/>
      <w:lvlText w:val="%1.%2.%3.%4.%5.%6.%7.%8.%9"/>
      <w:lvlJc w:val="left"/>
      <w:pPr>
        <w:tabs>
          <w:tab w:val="left" w:pos="6102"/>
        </w:tabs>
        <w:ind w:left="4922" w:hanging="1700"/>
      </w:pPr>
      <w:rPr>
        <w:rFonts w:hint="eastAsia"/>
      </w:rPr>
    </w:lvl>
  </w:abstractNum>
  <w:abstractNum w:abstractNumId="31">
    <w:nsid w:val="0000000F"/>
    <w:multiLevelType w:val="singleLevel"/>
    <w:tmpl w:val="0000000F"/>
    <w:lvl w:ilvl="0" w:tentative="0">
      <w:start w:val="1"/>
      <w:numFmt w:val="decimal"/>
      <w:pStyle w:val="34"/>
      <w:lvlText w:val="%1."/>
      <w:lvlJc w:val="left"/>
      <w:pPr>
        <w:tabs>
          <w:tab w:val="left" w:pos="1200"/>
        </w:tabs>
        <w:ind w:left="1200" w:hanging="360"/>
      </w:pPr>
    </w:lvl>
  </w:abstractNum>
  <w:abstractNum w:abstractNumId="32">
    <w:nsid w:val="00000014"/>
    <w:multiLevelType w:val="multilevel"/>
    <w:tmpl w:val="00000014"/>
    <w:lvl w:ilvl="0" w:tentative="0">
      <w:start w:val="1"/>
      <w:numFmt w:val="decimal"/>
      <w:lvlText w:val="%1)"/>
      <w:lvlJc w:val="left"/>
      <w:pPr>
        <w:tabs>
          <w:tab w:val="left" w:pos="900"/>
        </w:tabs>
        <w:ind w:left="900" w:hanging="420"/>
      </w:pPr>
    </w:lvl>
    <w:lvl w:ilvl="1" w:tentative="0">
      <w:start w:val="1"/>
      <w:numFmt w:val="lowerLetter"/>
      <w:pStyle w:val="137"/>
      <w:lvlText w:val="%2)"/>
      <w:lvlJc w:val="left"/>
      <w:pPr>
        <w:tabs>
          <w:tab w:val="left" w:pos="1320"/>
        </w:tabs>
        <w:ind w:left="1320" w:hanging="420"/>
      </w:pPr>
    </w:lvl>
    <w:lvl w:ilvl="2" w:tentative="0">
      <w:start w:val="1"/>
      <w:numFmt w:val="lowerRoman"/>
      <w:pStyle w:val="179"/>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33">
    <w:nsid w:val="00000018"/>
    <w:multiLevelType w:val="multilevel"/>
    <w:tmpl w:val="00000018"/>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71"/>
      <w:suff w:val="nothing"/>
      <w:lvlText w:val="%1%2.%3　"/>
      <w:lvlJc w:val="left"/>
      <w:pPr>
        <w:ind w:left="0" w:firstLine="0"/>
      </w:pPr>
      <w:rPr>
        <w:rFonts w:hint="eastAsia" w:ascii="黑体" w:hAnsi="Times New Roman" w:eastAsia="黑体"/>
        <w:b w:val="0"/>
        <w:i w:val="0"/>
        <w:sz w:val="21"/>
      </w:rPr>
    </w:lvl>
    <w:lvl w:ilvl="3" w:tentative="0">
      <w:start w:val="1"/>
      <w:numFmt w:val="decimal"/>
      <w:pStyle w:val="188"/>
      <w:suff w:val="nothing"/>
      <w:lvlText w:val="%1%2.%3.%4　"/>
      <w:lvlJc w:val="left"/>
      <w:pPr>
        <w:ind w:left="0" w:firstLine="0"/>
      </w:pPr>
      <w:rPr>
        <w:rFonts w:hint="eastAsia" w:ascii="黑体" w:hAnsi="Times New Roman" w:eastAsia="黑体"/>
        <w:b w:val="0"/>
        <w:i w:val="0"/>
        <w:sz w:val="21"/>
      </w:rPr>
    </w:lvl>
    <w:lvl w:ilvl="4" w:tentative="0">
      <w:start w:val="1"/>
      <w:numFmt w:val="decimal"/>
      <w:pStyle w:val="120"/>
      <w:suff w:val="nothing"/>
      <w:lvlText w:val="%1%2.%3.%4.%5　"/>
      <w:lvlJc w:val="left"/>
      <w:pPr>
        <w:ind w:left="0" w:firstLine="0"/>
      </w:pPr>
      <w:rPr>
        <w:rFonts w:hint="eastAsia" w:ascii="黑体" w:hAnsi="Times New Roman" w:eastAsia="黑体"/>
        <w:b w:val="0"/>
        <w:i w:val="0"/>
        <w:sz w:val="21"/>
      </w:rPr>
    </w:lvl>
    <w:lvl w:ilvl="5" w:tentative="0">
      <w:start w:val="1"/>
      <w:numFmt w:val="decimal"/>
      <w:pStyle w:val="118"/>
      <w:suff w:val="nothing"/>
      <w:lvlText w:val="%1%2.%3.%4.%5.%6　"/>
      <w:lvlJc w:val="left"/>
      <w:pPr>
        <w:ind w:left="0" w:firstLine="0"/>
      </w:pPr>
      <w:rPr>
        <w:rFonts w:hint="eastAsia" w:ascii="黑体" w:hAnsi="Times New Roman" w:eastAsia="黑体"/>
        <w:b w:val="0"/>
        <w:i w:val="0"/>
        <w:sz w:val="21"/>
      </w:rPr>
    </w:lvl>
    <w:lvl w:ilvl="6" w:tentative="0">
      <w:start w:val="1"/>
      <w:numFmt w:val="decimal"/>
      <w:pStyle w:val="123"/>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4">
    <w:nsid w:val="00000019"/>
    <w:multiLevelType w:val="multilevel"/>
    <w:tmpl w:val="00000019"/>
    <w:lvl w:ilvl="0" w:tentative="0">
      <w:start w:val="1"/>
      <w:numFmt w:val="decimal"/>
      <w:lvlText w:val="%1"/>
      <w:lvlJc w:val="left"/>
      <w:pPr>
        <w:tabs>
          <w:tab w:val="left" w:pos="360"/>
        </w:tabs>
        <w:ind w:left="360" w:hanging="360"/>
      </w:pPr>
      <w:rPr>
        <w:rFonts w:hint="eastAsia"/>
      </w:rPr>
    </w:lvl>
    <w:lvl w:ilvl="1" w:tentative="0">
      <w:start w:val="1"/>
      <w:numFmt w:val="lowerLetter"/>
      <w:pStyle w:val="105"/>
      <w:lvlText w:val="%2）"/>
      <w:lvlJc w:val="left"/>
      <w:pPr>
        <w:tabs>
          <w:tab w:val="left" w:pos="780"/>
        </w:tabs>
        <w:ind w:left="780" w:hanging="360"/>
      </w:pPr>
      <w:rPr>
        <w:rFonts w:hint="eastAsia"/>
      </w:rPr>
    </w:lvl>
    <w:lvl w:ilvl="2" w:tentative="0">
      <w:start w:val="1"/>
      <w:numFmt w:val="lowerRoman"/>
      <w:pStyle w:val="107"/>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5">
    <w:nsid w:val="0000001A"/>
    <w:multiLevelType w:val="singleLevel"/>
    <w:tmpl w:val="0000001A"/>
    <w:lvl w:ilvl="0" w:tentative="0">
      <w:start w:val="1"/>
      <w:numFmt w:val="decimal"/>
      <w:pStyle w:val="18"/>
      <w:lvlText w:val="%1."/>
      <w:lvlJc w:val="left"/>
      <w:pPr>
        <w:tabs>
          <w:tab w:val="left" w:pos="360"/>
        </w:tabs>
        <w:ind w:left="360" w:hanging="360"/>
      </w:pPr>
    </w:lvl>
  </w:abstractNum>
  <w:abstractNum w:abstractNumId="36">
    <w:nsid w:val="0000001D"/>
    <w:multiLevelType w:val="singleLevel"/>
    <w:tmpl w:val="0000001D"/>
    <w:lvl w:ilvl="0" w:tentative="0">
      <w:start w:val="1"/>
      <w:numFmt w:val="decimal"/>
      <w:pStyle w:val="45"/>
      <w:lvlText w:val="%1."/>
      <w:lvlJc w:val="left"/>
      <w:pPr>
        <w:tabs>
          <w:tab w:val="left" w:pos="1620"/>
        </w:tabs>
        <w:ind w:left="1620" w:hanging="360"/>
      </w:pPr>
    </w:lvl>
  </w:abstractNum>
  <w:abstractNum w:abstractNumId="37">
    <w:nsid w:val="0000001E"/>
    <w:multiLevelType w:val="multilevel"/>
    <w:tmpl w:val="0000001E"/>
    <w:lvl w:ilvl="0" w:tentative="0">
      <w:start w:val="1"/>
      <w:numFmt w:val="decimal"/>
      <w:lvlText w:val="%1"/>
      <w:lvlJc w:val="left"/>
      <w:pPr>
        <w:tabs>
          <w:tab w:val="left" w:pos="425"/>
        </w:tabs>
        <w:ind w:left="425" w:hanging="425"/>
      </w:pPr>
      <w:rPr>
        <w:rFonts w:hint="eastAsia"/>
      </w:rPr>
    </w:lvl>
    <w:lvl w:ilvl="1" w:tentative="0">
      <w:start w:val="1"/>
      <w:numFmt w:val="decimal"/>
      <w:lvlText w:val="%1.%2"/>
      <w:lvlJc w:val="left"/>
      <w:pPr>
        <w:tabs>
          <w:tab w:val="left" w:pos="992"/>
        </w:tabs>
        <w:ind w:left="992" w:hanging="567"/>
      </w:pPr>
      <w:rPr>
        <w:rFonts w:hint="eastAsia"/>
      </w:rPr>
    </w:lvl>
    <w:lvl w:ilvl="2" w:tentative="0">
      <w:start w:val="4"/>
      <w:numFmt w:val="decimal"/>
      <w:pStyle w:val="129"/>
      <w:lvlText w:val="%1.4.1"/>
      <w:lvlJc w:val="left"/>
      <w:pPr>
        <w:tabs>
          <w:tab w:val="left" w:pos="1571"/>
        </w:tabs>
        <w:ind w:left="1418" w:hanging="567"/>
      </w:pPr>
      <w:rPr>
        <w:rFonts w:hint="eastAsia"/>
      </w:rPr>
    </w:lvl>
    <w:lvl w:ilvl="3" w:tentative="0">
      <w:start w:val="1"/>
      <w:numFmt w:val="decimal"/>
      <w:lvlText w:val="%1.%2.%3.%4"/>
      <w:lvlJc w:val="left"/>
      <w:pPr>
        <w:tabs>
          <w:tab w:val="left" w:pos="2356"/>
        </w:tabs>
        <w:ind w:left="1984" w:hanging="708"/>
      </w:pPr>
      <w:rPr>
        <w:rFonts w:hint="eastAsia"/>
      </w:rPr>
    </w:lvl>
    <w:lvl w:ilvl="4" w:tentative="0">
      <w:start w:val="1"/>
      <w:numFmt w:val="decimal"/>
      <w:lvlText w:val="%1.%2.%3.%4.%5"/>
      <w:lvlJc w:val="left"/>
      <w:pPr>
        <w:tabs>
          <w:tab w:val="left" w:pos="3141"/>
        </w:tabs>
        <w:ind w:left="2551" w:hanging="850"/>
      </w:pPr>
      <w:rPr>
        <w:rFonts w:hint="eastAsia"/>
      </w:rPr>
    </w:lvl>
    <w:lvl w:ilvl="5" w:tentative="0">
      <w:start w:val="1"/>
      <w:numFmt w:val="decimal"/>
      <w:lvlText w:val="%1.%2.%3.%4.%5.%6"/>
      <w:lvlJc w:val="left"/>
      <w:pPr>
        <w:tabs>
          <w:tab w:val="left" w:pos="3926"/>
        </w:tabs>
        <w:ind w:left="3260" w:hanging="1134"/>
      </w:pPr>
      <w:rPr>
        <w:rFonts w:hint="eastAsia"/>
      </w:rPr>
    </w:lvl>
    <w:lvl w:ilvl="6" w:tentative="0">
      <w:start w:val="1"/>
      <w:numFmt w:val="decimal"/>
      <w:lvlText w:val="%1.%2.%3.%4.%5.%6.%7"/>
      <w:lvlJc w:val="left"/>
      <w:pPr>
        <w:tabs>
          <w:tab w:val="left" w:pos="4711"/>
        </w:tabs>
        <w:ind w:left="3827" w:hanging="1276"/>
      </w:pPr>
      <w:rPr>
        <w:rFonts w:hint="eastAsia"/>
      </w:rPr>
    </w:lvl>
    <w:lvl w:ilvl="7" w:tentative="0">
      <w:start w:val="1"/>
      <w:numFmt w:val="decimal"/>
      <w:lvlText w:val="%1.%2.%3.%4.%5.%6.%7.%8"/>
      <w:lvlJc w:val="left"/>
      <w:pPr>
        <w:tabs>
          <w:tab w:val="left" w:pos="5136"/>
        </w:tabs>
        <w:ind w:left="4394" w:hanging="1418"/>
      </w:pPr>
      <w:rPr>
        <w:rFonts w:hint="eastAsia"/>
      </w:rPr>
    </w:lvl>
    <w:lvl w:ilvl="8" w:tentative="0">
      <w:start w:val="1"/>
      <w:numFmt w:val="decimal"/>
      <w:lvlText w:val="%1.%2.%3.%4.%5.%6.%7.%8.%9"/>
      <w:lvlJc w:val="left"/>
      <w:pPr>
        <w:tabs>
          <w:tab w:val="left" w:pos="5922"/>
        </w:tabs>
        <w:ind w:left="5102" w:hanging="1700"/>
      </w:pPr>
      <w:rPr>
        <w:rFonts w:hint="eastAsia"/>
      </w:rPr>
    </w:lvl>
  </w:abstractNum>
  <w:abstractNum w:abstractNumId="38">
    <w:nsid w:val="00000024"/>
    <w:multiLevelType w:val="singleLevel"/>
    <w:tmpl w:val="00000024"/>
    <w:lvl w:ilvl="0" w:tentative="0">
      <w:start w:val="1"/>
      <w:numFmt w:val="bullet"/>
      <w:pStyle w:val="15"/>
      <w:lvlText w:val=""/>
      <w:lvlJc w:val="left"/>
      <w:pPr>
        <w:tabs>
          <w:tab w:val="left" w:pos="1620"/>
        </w:tabs>
        <w:ind w:left="1620" w:hanging="360"/>
      </w:pPr>
      <w:rPr>
        <w:rFonts w:hint="default" w:ascii="Wingdings" w:hAnsi="Wingdings"/>
      </w:rPr>
    </w:lvl>
  </w:abstractNum>
  <w:abstractNum w:abstractNumId="39">
    <w:nsid w:val="00000029"/>
    <w:multiLevelType w:val="singleLevel"/>
    <w:tmpl w:val="00000029"/>
    <w:lvl w:ilvl="0" w:tentative="0">
      <w:start w:val="1"/>
      <w:numFmt w:val="decimal"/>
      <w:pStyle w:val="13"/>
      <w:lvlText w:val="%1."/>
      <w:lvlJc w:val="left"/>
      <w:pPr>
        <w:tabs>
          <w:tab w:val="left" w:pos="780"/>
        </w:tabs>
        <w:ind w:left="780" w:hanging="360"/>
      </w:pPr>
    </w:lvl>
  </w:abstractNum>
  <w:abstractNum w:abstractNumId="40">
    <w:nsid w:val="02D8C304"/>
    <w:multiLevelType w:val="singleLevel"/>
    <w:tmpl w:val="02D8C304"/>
    <w:lvl w:ilvl="0" w:tentative="0">
      <w:start w:val="1"/>
      <w:numFmt w:val="lowerLetter"/>
      <w:lvlText w:val="%1."/>
      <w:lvlJc w:val="left"/>
      <w:pPr>
        <w:ind w:left="425" w:hanging="425"/>
      </w:pPr>
      <w:rPr>
        <w:rFonts w:hint="default"/>
      </w:rPr>
    </w:lvl>
  </w:abstractNum>
  <w:abstractNum w:abstractNumId="41">
    <w:nsid w:val="086E181A"/>
    <w:multiLevelType w:val="singleLevel"/>
    <w:tmpl w:val="086E181A"/>
    <w:lvl w:ilvl="0" w:tentative="0">
      <w:start w:val="1"/>
      <w:numFmt w:val="lowerLetter"/>
      <w:lvlText w:val="%1."/>
      <w:lvlJc w:val="left"/>
      <w:pPr>
        <w:ind w:left="425" w:hanging="425"/>
      </w:pPr>
      <w:rPr>
        <w:rFonts w:hint="default"/>
      </w:rPr>
    </w:lvl>
  </w:abstractNum>
  <w:abstractNum w:abstractNumId="42">
    <w:nsid w:val="09826E4D"/>
    <w:multiLevelType w:val="singleLevel"/>
    <w:tmpl w:val="09826E4D"/>
    <w:lvl w:ilvl="0" w:tentative="0">
      <w:start w:val="1"/>
      <w:numFmt w:val="lowerLetter"/>
      <w:lvlText w:val="%1."/>
      <w:lvlJc w:val="left"/>
      <w:pPr>
        <w:ind w:left="425" w:hanging="425"/>
      </w:pPr>
      <w:rPr>
        <w:rFonts w:hint="default"/>
      </w:rPr>
    </w:lvl>
  </w:abstractNum>
  <w:abstractNum w:abstractNumId="43">
    <w:nsid w:val="0A04D9F7"/>
    <w:multiLevelType w:val="singleLevel"/>
    <w:tmpl w:val="0A04D9F7"/>
    <w:lvl w:ilvl="0" w:tentative="0">
      <w:start w:val="1"/>
      <w:numFmt w:val="lowerLetter"/>
      <w:lvlText w:val="%1."/>
      <w:lvlJc w:val="left"/>
      <w:pPr>
        <w:ind w:left="425" w:hanging="425"/>
      </w:pPr>
      <w:rPr>
        <w:rFonts w:hint="default"/>
      </w:rPr>
    </w:lvl>
  </w:abstractNum>
  <w:abstractNum w:abstractNumId="44">
    <w:nsid w:val="0B50D5DA"/>
    <w:multiLevelType w:val="singleLevel"/>
    <w:tmpl w:val="0B50D5DA"/>
    <w:lvl w:ilvl="0" w:tentative="0">
      <w:start w:val="1"/>
      <w:numFmt w:val="lowerLetter"/>
      <w:lvlText w:val="%1."/>
      <w:lvlJc w:val="left"/>
      <w:pPr>
        <w:ind w:left="425" w:hanging="425"/>
      </w:pPr>
      <w:rPr>
        <w:rFonts w:hint="default"/>
      </w:rPr>
    </w:lvl>
  </w:abstractNum>
  <w:abstractNum w:abstractNumId="45">
    <w:nsid w:val="0CAB08FD"/>
    <w:multiLevelType w:val="singleLevel"/>
    <w:tmpl w:val="0CAB08FD"/>
    <w:lvl w:ilvl="0" w:tentative="0">
      <w:start w:val="1"/>
      <w:numFmt w:val="lowerLetter"/>
      <w:lvlText w:val="%1."/>
      <w:lvlJc w:val="left"/>
      <w:pPr>
        <w:ind w:left="425" w:hanging="425"/>
      </w:pPr>
      <w:rPr>
        <w:rFonts w:hint="default"/>
      </w:rPr>
    </w:lvl>
  </w:abstractNum>
  <w:abstractNum w:abstractNumId="46">
    <w:nsid w:val="10C39D0A"/>
    <w:multiLevelType w:val="singleLevel"/>
    <w:tmpl w:val="10C39D0A"/>
    <w:lvl w:ilvl="0" w:tentative="0">
      <w:start w:val="1"/>
      <w:numFmt w:val="lowerLetter"/>
      <w:lvlText w:val="%1."/>
      <w:lvlJc w:val="left"/>
      <w:pPr>
        <w:ind w:left="425" w:hanging="425"/>
      </w:pPr>
      <w:rPr>
        <w:rFonts w:hint="default"/>
      </w:rPr>
    </w:lvl>
  </w:abstractNum>
  <w:abstractNum w:abstractNumId="47">
    <w:nsid w:val="14BD4C11"/>
    <w:multiLevelType w:val="singleLevel"/>
    <w:tmpl w:val="14BD4C11"/>
    <w:lvl w:ilvl="0" w:tentative="0">
      <w:start w:val="1"/>
      <w:numFmt w:val="lowerLetter"/>
      <w:lvlText w:val="%1."/>
      <w:lvlJc w:val="left"/>
      <w:pPr>
        <w:ind w:left="425" w:hanging="425"/>
      </w:pPr>
      <w:rPr>
        <w:rFonts w:hint="default"/>
      </w:rPr>
    </w:lvl>
  </w:abstractNum>
  <w:abstractNum w:abstractNumId="48">
    <w:nsid w:val="2681A56C"/>
    <w:multiLevelType w:val="singleLevel"/>
    <w:tmpl w:val="2681A56C"/>
    <w:lvl w:ilvl="0" w:tentative="0">
      <w:start w:val="1"/>
      <w:numFmt w:val="lowerLetter"/>
      <w:lvlText w:val="%1."/>
      <w:lvlJc w:val="left"/>
      <w:pPr>
        <w:ind w:left="425" w:hanging="425"/>
      </w:pPr>
      <w:rPr>
        <w:rFonts w:hint="default"/>
      </w:rPr>
    </w:lvl>
  </w:abstractNum>
  <w:abstractNum w:abstractNumId="49">
    <w:nsid w:val="2B6EF079"/>
    <w:multiLevelType w:val="singleLevel"/>
    <w:tmpl w:val="2B6EF079"/>
    <w:lvl w:ilvl="0" w:tentative="0">
      <w:start w:val="1"/>
      <w:numFmt w:val="lowerLetter"/>
      <w:lvlText w:val="%1."/>
      <w:lvlJc w:val="left"/>
      <w:pPr>
        <w:ind w:left="425" w:hanging="425"/>
      </w:pPr>
      <w:rPr>
        <w:rFonts w:hint="default"/>
      </w:rPr>
    </w:lvl>
  </w:abstractNum>
  <w:abstractNum w:abstractNumId="50">
    <w:nsid w:val="2FAC7743"/>
    <w:multiLevelType w:val="singleLevel"/>
    <w:tmpl w:val="2FAC7743"/>
    <w:lvl w:ilvl="0" w:tentative="0">
      <w:start w:val="1"/>
      <w:numFmt w:val="lowerLetter"/>
      <w:lvlText w:val="%1."/>
      <w:lvlJc w:val="left"/>
      <w:pPr>
        <w:ind w:left="425" w:hanging="425"/>
      </w:pPr>
      <w:rPr>
        <w:rFonts w:hint="default"/>
      </w:rPr>
    </w:lvl>
  </w:abstractNum>
  <w:abstractNum w:abstractNumId="51">
    <w:nsid w:val="2FB3E126"/>
    <w:multiLevelType w:val="singleLevel"/>
    <w:tmpl w:val="2FB3E126"/>
    <w:lvl w:ilvl="0" w:tentative="0">
      <w:start w:val="1"/>
      <w:numFmt w:val="lowerLetter"/>
      <w:lvlText w:val="%1."/>
      <w:lvlJc w:val="left"/>
      <w:pPr>
        <w:ind w:left="425" w:hanging="425"/>
      </w:pPr>
      <w:rPr>
        <w:rFonts w:hint="default"/>
      </w:rPr>
    </w:lvl>
  </w:abstractNum>
  <w:abstractNum w:abstractNumId="52">
    <w:nsid w:val="36E8C84F"/>
    <w:multiLevelType w:val="singleLevel"/>
    <w:tmpl w:val="36E8C84F"/>
    <w:lvl w:ilvl="0" w:tentative="0">
      <w:start w:val="1"/>
      <w:numFmt w:val="lowerLetter"/>
      <w:lvlText w:val="%1."/>
      <w:lvlJc w:val="left"/>
      <w:pPr>
        <w:ind w:left="425" w:hanging="425"/>
      </w:pPr>
      <w:rPr>
        <w:rFonts w:hint="default"/>
      </w:rPr>
    </w:lvl>
  </w:abstractNum>
  <w:abstractNum w:abstractNumId="53">
    <w:nsid w:val="40C85FD3"/>
    <w:multiLevelType w:val="singleLevel"/>
    <w:tmpl w:val="40C85FD3"/>
    <w:lvl w:ilvl="0" w:tentative="0">
      <w:start w:val="1"/>
      <w:numFmt w:val="lowerLetter"/>
      <w:lvlText w:val="%1."/>
      <w:lvlJc w:val="left"/>
      <w:pPr>
        <w:ind w:left="425" w:hanging="425"/>
      </w:pPr>
      <w:rPr>
        <w:rFonts w:hint="default"/>
      </w:rPr>
    </w:lvl>
  </w:abstractNum>
  <w:abstractNum w:abstractNumId="54">
    <w:nsid w:val="41C1EAA8"/>
    <w:multiLevelType w:val="singleLevel"/>
    <w:tmpl w:val="41C1EAA8"/>
    <w:lvl w:ilvl="0" w:tentative="0">
      <w:start w:val="1"/>
      <w:numFmt w:val="decimal"/>
      <w:lvlText w:val="%1)"/>
      <w:lvlJc w:val="left"/>
      <w:pPr>
        <w:ind w:left="425" w:hanging="425"/>
      </w:pPr>
      <w:rPr>
        <w:rFonts w:hint="default"/>
      </w:rPr>
    </w:lvl>
  </w:abstractNum>
  <w:abstractNum w:abstractNumId="55">
    <w:nsid w:val="430CBB47"/>
    <w:multiLevelType w:val="singleLevel"/>
    <w:tmpl w:val="430CBB47"/>
    <w:lvl w:ilvl="0" w:tentative="0">
      <w:start w:val="1"/>
      <w:numFmt w:val="lowerLetter"/>
      <w:lvlText w:val="%1."/>
      <w:lvlJc w:val="left"/>
      <w:pPr>
        <w:ind w:left="425" w:hanging="425"/>
      </w:pPr>
      <w:rPr>
        <w:rFonts w:hint="default"/>
      </w:rPr>
    </w:lvl>
  </w:abstractNum>
  <w:abstractNum w:abstractNumId="56">
    <w:nsid w:val="4DB7B0B5"/>
    <w:multiLevelType w:val="singleLevel"/>
    <w:tmpl w:val="4DB7B0B5"/>
    <w:lvl w:ilvl="0" w:tentative="0">
      <w:start w:val="1"/>
      <w:numFmt w:val="lowerLetter"/>
      <w:lvlText w:val="%1."/>
      <w:lvlJc w:val="left"/>
      <w:pPr>
        <w:ind w:left="425" w:hanging="425"/>
      </w:pPr>
      <w:rPr>
        <w:rFonts w:hint="default"/>
      </w:rPr>
    </w:lvl>
  </w:abstractNum>
  <w:abstractNum w:abstractNumId="57">
    <w:nsid w:val="4E4B6ABC"/>
    <w:multiLevelType w:val="multilevel"/>
    <w:tmpl w:val="4E4B6AB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8">
    <w:nsid w:val="4F7E7C99"/>
    <w:multiLevelType w:val="singleLevel"/>
    <w:tmpl w:val="4F7E7C99"/>
    <w:lvl w:ilvl="0" w:tentative="0">
      <w:start w:val="1"/>
      <w:numFmt w:val="lowerLetter"/>
      <w:lvlText w:val="%1."/>
      <w:lvlJc w:val="left"/>
      <w:pPr>
        <w:ind w:left="425" w:hanging="425"/>
      </w:pPr>
      <w:rPr>
        <w:rFonts w:hint="default"/>
      </w:rPr>
    </w:lvl>
  </w:abstractNum>
  <w:abstractNum w:abstractNumId="59">
    <w:nsid w:val="59C2FBC7"/>
    <w:multiLevelType w:val="singleLevel"/>
    <w:tmpl w:val="59C2FBC7"/>
    <w:lvl w:ilvl="0" w:tentative="0">
      <w:start w:val="1"/>
      <w:numFmt w:val="lowerLetter"/>
      <w:lvlText w:val="%1."/>
      <w:lvlJc w:val="left"/>
      <w:pPr>
        <w:ind w:left="425" w:hanging="425"/>
      </w:pPr>
      <w:rPr>
        <w:rFonts w:hint="default"/>
      </w:rPr>
    </w:lvl>
  </w:abstractNum>
  <w:abstractNum w:abstractNumId="60">
    <w:nsid w:val="5A2F9A2F"/>
    <w:multiLevelType w:val="singleLevel"/>
    <w:tmpl w:val="5A2F9A2F"/>
    <w:lvl w:ilvl="0" w:tentative="0">
      <w:start w:val="1"/>
      <w:numFmt w:val="lowerLetter"/>
      <w:lvlText w:val="%1."/>
      <w:lvlJc w:val="left"/>
      <w:pPr>
        <w:ind w:left="425" w:hanging="425"/>
      </w:pPr>
      <w:rPr>
        <w:rFonts w:hint="default"/>
      </w:rPr>
    </w:lvl>
  </w:abstractNum>
  <w:abstractNum w:abstractNumId="61">
    <w:nsid w:val="670356CB"/>
    <w:multiLevelType w:val="singleLevel"/>
    <w:tmpl w:val="670356CB"/>
    <w:lvl w:ilvl="0" w:tentative="0">
      <w:start w:val="1"/>
      <w:numFmt w:val="decimal"/>
      <w:lvlText w:val="%1)"/>
      <w:lvlJc w:val="left"/>
      <w:pPr>
        <w:ind w:left="425" w:hanging="425"/>
      </w:pPr>
      <w:rPr>
        <w:rFonts w:hint="default"/>
      </w:rPr>
    </w:lvl>
  </w:abstractNum>
  <w:abstractNum w:abstractNumId="62">
    <w:nsid w:val="69FB8C3F"/>
    <w:multiLevelType w:val="singleLevel"/>
    <w:tmpl w:val="69FB8C3F"/>
    <w:lvl w:ilvl="0" w:tentative="0">
      <w:start w:val="1"/>
      <w:numFmt w:val="lowerLetter"/>
      <w:lvlText w:val="%1."/>
      <w:lvlJc w:val="left"/>
      <w:pPr>
        <w:ind w:left="425" w:hanging="425"/>
      </w:pPr>
      <w:rPr>
        <w:rFonts w:hint="default"/>
      </w:rPr>
    </w:lvl>
  </w:abstractNum>
  <w:abstractNum w:abstractNumId="63">
    <w:nsid w:val="6AABDF69"/>
    <w:multiLevelType w:val="singleLevel"/>
    <w:tmpl w:val="6AABDF69"/>
    <w:lvl w:ilvl="0" w:tentative="0">
      <w:start w:val="1"/>
      <w:numFmt w:val="lowerLetter"/>
      <w:lvlText w:val="%1."/>
      <w:lvlJc w:val="left"/>
      <w:pPr>
        <w:ind w:left="425" w:hanging="425"/>
      </w:pPr>
      <w:rPr>
        <w:rFonts w:hint="default"/>
      </w:rPr>
    </w:lvl>
  </w:abstractNum>
  <w:abstractNum w:abstractNumId="64">
    <w:nsid w:val="7221E2CE"/>
    <w:multiLevelType w:val="singleLevel"/>
    <w:tmpl w:val="7221E2CE"/>
    <w:lvl w:ilvl="0" w:tentative="0">
      <w:start w:val="1"/>
      <w:numFmt w:val="lowerLetter"/>
      <w:lvlText w:val="%1."/>
      <w:lvlJc w:val="left"/>
      <w:pPr>
        <w:ind w:left="425" w:hanging="425"/>
      </w:pPr>
      <w:rPr>
        <w:rFonts w:hint="default"/>
      </w:rPr>
    </w:lvl>
  </w:abstractNum>
  <w:abstractNum w:abstractNumId="65">
    <w:nsid w:val="7233120E"/>
    <w:multiLevelType w:val="singleLevel"/>
    <w:tmpl w:val="7233120E"/>
    <w:lvl w:ilvl="0" w:tentative="0">
      <w:start w:val="1"/>
      <w:numFmt w:val="lowerLetter"/>
      <w:lvlText w:val="%1."/>
      <w:lvlJc w:val="left"/>
      <w:pPr>
        <w:ind w:left="425" w:hanging="425"/>
      </w:pPr>
      <w:rPr>
        <w:rFonts w:hint="default"/>
      </w:rPr>
    </w:lvl>
  </w:abstractNum>
  <w:abstractNum w:abstractNumId="66">
    <w:nsid w:val="72823906"/>
    <w:multiLevelType w:val="multilevel"/>
    <w:tmpl w:val="7282390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7">
    <w:nsid w:val="7850C1EA"/>
    <w:multiLevelType w:val="singleLevel"/>
    <w:tmpl w:val="7850C1EA"/>
    <w:lvl w:ilvl="0" w:tentative="0">
      <w:start w:val="1"/>
      <w:numFmt w:val="lowerLetter"/>
      <w:lvlText w:val="%1."/>
      <w:lvlJc w:val="left"/>
      <w:pPr>
        <w:ind w:left="425" w:hanging="425"/>
      </w:pPr>
      <w:rPr>
        <w:rFonts w:hint="default"/>
      </w:rPr>
    </w:lvl>
  </w:abstractNum>
  <w:abstractNum w:abstractNumId="68">
    <w:nsid w:val="7AAACD5F"/>
    <w:multiLevelType w:val="singleLevel"/>
    <w:tmpl w:val="7AAACD5F"/>
    <w:lvl w:ilvl="0" w:tentative="0">
      <w:start w:val="1"/>
      <w:numFmt w:val="lowerLetter"/>
      <w:lvlText w:val="%1."/>
      <w:lvlJc w:val="left"/>
      <w:pPr>
        <w:ind w:left="425" w:hanging="425"/>
      </w:pPr>
      <w:rPr>
        <w:rFonts w:hint="default"/>
      </w:rPr>
    </w:lvl>
  </w:abstractNum>
  <w:num w:numId="1">
    <w:abstractNumId w:val="4"/>
  </w:num>
  <w:num w:numId="2">
    <w:abstractNumId w:val="39"/>
  </w:num>
  <w:num w:numId="3">
    <w:abstractNumId w:val="38"/>
  </w:num>
  <w:num w:numId="4">
    <w:abstractNumId w:val="35"/>
  </w:num>
  <w:num w:numId="5">
    <w:abstractNumId w:val="29"/>
  </w:num>
  <w:num w:numId="6">
    <w:abstractNumId w:val="27"/>
  </w:num>
  <w:num w:numId="7">
    <w:abstractNumId w:val="31"/>
  </w:num>
  <w:num w:numId="8">
    <w:abstractNumId w:val="26"/>
  </w:num>
  <w:num w:numId="9">
    <w:abstractNumId w:val="28"/>
  </w:num>
  <w:num w:numId="10">
    <w:abstractNumId w:val="36"/>
  </w:num>
  <w:num w:numId="11">
    <w:abstractNumId w:val="24"/>
  </w:num>
  <w:num w:numId="12">
    <w:abstractNumId w:val="34"/>
  </w:num>
  <w:num w:numId="13">
    <w:abstractNumId w:val="33"/>
  </w:num>
  <w:num w:numId="14">
    <w:abstractNumId w:val="37"/>
  </w:num>
  <w:num w:numId="15">
    <w:abstractNumId w:val="32"/>
  </w:num>
  <w:num w:numId="16">
    <w:abstractNumId w:val="30"/>
  </w:num>
  <w:num w:numId="17">
    <w:abstractNumId w:val="25"/>
  </w:num>
  <w:num w:numId="18">
    <w:abstractNumId w:val="60"/>
  </w:num>
  <w:num w:numId="19">
    <w:abstractNumId w:val="66"/>
  </w:num>
  <w:num w:numId="20">
    <w:abstractNumId w:val="57"/>
  </w:num>
  <w:num w:numId="21">
    <w:abstractNumId w:val="10"/>
  </w:num>
  <w:num w:numId="22">
    <w:abstractNumId w:val="51"/>
  </w:num>
  <w:num w:numId="23">
    <w:abstractNumId w:val="61"/>
  </w:num>
  <w:num w:numId="24">
    <w:abstractNumId w:val="6"/>
  </w:num>
  <w:num w:numId="25">
    <w:abstractNumId w:val="2"/>
  </w:num>
  <w:num w:numId="26">
    <w:abstractNumId w:val="41"/>
  </w:num>
  <w:num w:numId="27">
    <w:abstractNumId w:val="40"/>
  </w:num>
  <w:num w:numId="28">
    <w:abstractNumId w:val="46"/>
  </w:num>
  <w:num w:numId="29">
    <w:abstractNumId w:val="49"/>
  </w:num>
  <w:num w:numId="30">
    <w:abstractNumId w:val="52"/>
  </w:num>
  <w:num w:numId="31">
    <w:abstractNumId w:val="42"/>
  </w:num>
  <w:num w:numId="32">
    <w:abstractNumId w:val="12"/>
  </w:num>
  <w:num w:numId="33">
    <w:abstractNumId w:val="17"/>
  </w:num>
  <w:num w:numId="34">
    <w:abstractNumId w:val="63"/>
  </w:num>
  <w:num w:numId="35">
    <w:abstractNumId w:val="62"/>
  </w:num>
  <w:num w:numId="36">
    <w:abstractNumId w:val="5"/>
  </w:num>
  <w:num w:numId="37">
    <w:abstractNumId w:val="50"/>
  </w:num>
  <w:num w:numId="38">
    <w:abstractNumId w:val="56"/>
  </w:num>
  <w:num w:numId="39">
    <w:abstractNumId w:val="0"/>
  </w:num>
  <w:num w:numId="40">
    <w:abstractNumId w:val="15"/>
  </w:num>
  <w:num w:numId="41">
    <w:abstractNumId w:val="9"/>
  </w:num>
  <w:num w:numId="42">
    <w:abstractNumId w:val="16"/>
  </w:num>
  <w:num w:numId="43">
    <w:abstractNumId w:val="65"/>
  </w:num>
  <w:num w:numId="44">
    <w:abstractNumId w:val="23"/>
  </w:num>
  <w:num w:numId="45">
    <w:abstractNumId w:val="3"/>
  </w:num>
  <w:num w:numId="46">
    <w:abstractNumId w:val="68"/>
  </w:num>
  <w:num w:numId="47">
    <w:abstractNumId w:val="48"/>
  </w:num>
  <w:num w:numId="48">
    <w:abstractNumId w:val="59"/>
  </w:num>
  <w:num w:numId="49">
    <w:abstractNumId w:val="1"/>
  </w:num>
  <w:num w:numId="50">
    <w:abstractNumId w:val="55"/>
  </w:num>
  <w:num w:numId="51">
    <w:abstractNumId w:val="13"/>
  </w:num>
  <w:num w:numId="52">
    <w:abstractNumId w:val="54"/>
  </w:num>
  <w:num w:numId="53">
    <w:abstractNumId w:val="14"/>
  </w:num>
  <w:num w:numId="54">
    <w:abstractNumId w:val="7"/>
  </w:num>
  <w:num w:numId="55">
    <w:abstractNumId w:val="20"/>
  </w:num>
  <w:num w:numId="56">
    <w:abstractNumId w:val="67"/>
  </w:num>
  <w:num w:numId="57">
    <w:abstractNumId w:val="11"/>
  </w:num>
  <w:num w:numId="58">
    <w:abstractNumId w:val="53"/>
  </w:num>
  <w:num w:numId="59">
    <w:abstractNumId w:val="8"/>
  </w:num>
  <w:num w:numId="60">
    <w:abstractNumId w:val="19"/>
  </w:num>
  <w:num w:numId="61">
    <w:abstractNumId w:val="43"/>
  </w:num>
  <w:num w:numId="62">
    <w:abstractNumId w:val="64"/>
  </w:num>
  <w:num w:numId="63">
    <w:abstractNumId w:val="47"/>
  </w:num>
  <w:num w:numId="64">
    <w:abstractNumId w:val="45"/>
  </w:num>
  <w:num w:numId="65">
    <w:abstractNumId w:val="44"/>
  </w:num>
  <w:num w:numId="66">
    <w:abstractNumId w:val="18"/>
  </w:num>
  <w:num w:numId="67">
    <w:abstractNumId w:val="22"/>
  </w:num>
  <w:num w:numId="68">
    <w:abstractNumId w:val="58"/>
  </w:num>
  <w:num w:numId="6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trackRevisions w:val="1"/>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A3N2FjY2ViZjkyNDNhNDJhOWJlZDY5MTNjNGM5MDYifQ=="/>
  </w:docVars>
  <w:rsids>
    <w:rsidRoot w:val="00172A27"/>
    <w:rsid w:val="00000B67"/>
    <w:rsid w:val="000024BD"/>
    <w:rsid w:val="00011095"/>
    <w:rsid w:val="000122F6"/>
    <w:rsid w:val="0001357D"/>
    <w:rsid w:val="000175D2"/>
    <w:rsid w:val="0001780C"/>
    <w:rsid w:val="00025197"/>
    <w:rsid w:val="00033A47"/>
    <w:rsid w:val="00035877"/>
    <w:rsid w:val="000379A5"/>
    <w:rsid w:val="00041C5F"/>
    <w:rsid w:val="00043220"/>
    <w:rsid w:val="00052D68"/>
    <w:rsid w:val="00052DEF"/>
    <w:rsid w:val="0005310C"/>
    <w:rsid w:val="0005479A"/>
    <w:rsid w:val="00055612"/>
    <w:rsid w:val="000610FE"/>
    <w:rsid w:val="0006138B"/>
    <w:rsid w:val="00062A53"/>
    <w:rsid w:val="00063A3F"/>
    <w:rsid w:val="000653D4"/>
    <w:rsid w:val="00066A36"/>
    <w:rsid w:val="0007074F"/>
    <w:rsid w:val="00070E04"/>
    <w:rsid w:val="00075E76"/>
    <w:rsid w:val="000800A6"/>
    <w:rsid w:val="0008325B"/>
    <w:rsid w:val="000868B0"/>
    <w:rsid w:val="00087C8C"/>
    <w:rsid w:val="00087D69"/>
    <w:rsid w:val="00092E5B"/>
    <w:rsid w:val="00093604"/>
    <w:rsid w:val="0009616C"/>
    <w:rsid w:val="000A22C7"/>
    <w:rsid w:val="000A2ED8"/>
    <w:rsid w:val="000A3936"/>
    <w:rsid w:val="000A3C29"/>
    <w:rsid w:val="000A3FA2"/>
    <w:rsid w:val="000A5D02"/>
    <w:rsid w:val="000B24E2"/>
    <w:rsid w:val="000B2CD2"/>
    <w:rsid w:val="000B66BC"/>
    <w:rsid w:val="000C32B6"/>
    <w:rsid w:val="000C36F6"/>
    <w:rsid w:val="000C4B5A"/>
    <w:rsid w:val="000C5E08"/>
    <w:rsid w:val="000C7EA4"/>
    <w:rsid w:val="000D6F4D"/>
    <w:rsid w:val="000D7BD2"/>
    <w:rsid w:val="000E3D5F"/>
    <w:rsid w:val="000F0192"/>
    <w:rsid w:val="000F380F"/>
    <w:rsid w:val="000F6D26"/>
    <w:rsid w:val="00100FB9"/>
    <w:rsid w:val="001012E7"/>
    <w:rsid w:val="00102D59"/>
    <w:rsid w:val="00103182"/>
    <w:rsid w:val="001054D6"/>
    <w:rsid w:val="001072AF"/>
    <w:rsid w:val="001101C9"/>
    <w:rsid w:val="00111CAA"/>
    <w:rsid w:val="0011692C"/>
    <w:rsid w:val="00121AC0"/>
    <w:rsid w:val="00127261"/>
    <w:rsid w:val="00131C9F"/>
    <w:rsid w:val="00135EA2"/>
    <w:rsid w:val="0013756B"/>
    <w:rsid w:val="00140124"/>
    <w:rsid w:val="00140947"/>
    <w:rsid w:val="00144B68"/>
    <w:rsid w:val="00147627"/>
    <w:rsid w:val="001510DC"/>
    <w:rsid w:val="00152B8E"/>
    <w:rsid w:val="001531D8"/>
    <w:rsid w:val="0016147C"/>
    <w:rsid w:val="00162357"/>
    <w:rsid w:val="00166AC9"/>
    <w:rsid w:val="00172A27"/>
    <w:rsid w:val="00173F58"/>
    <w:rsid w:val="00174607"/>
    <w:rsid w:val="00181469"/>
    <w:rsid w:val="0018647A"/>
    <w:rsid w:val="00186901"/>
    <w:rsid w:val="00190AD3"/>
    <w:rsid w:val="00192159"/>
    <w:rsid w:val="001931DC"/>
    <w:rsid w:val="00194837"/>
    <w:rsid w:val="00195ACB"/>
    <w:rsid w:val="001A53B9"/>
    <w:rsid w:val="001B034A"/>
    <w:rsid w:val="001B111A"/>
    <w:rsid w:val="001B6C71"/>
    <w:rsid w:val="001C1093"/>
    <w:rsid w:val="001C20ED"/>
    <w:rsid w:val="001C2ABA"/>
    <w:rsid w:val="001C2D16"/>
    <w:rsid w:val="001C3874"/>
    <w:rsid w:val="001C4BDE"/>
    <w:rsid w:val="001C5C28"/>
    <w:rsid w:val="001C7775"/>
    <w:rsid w:val="001C7C25"/>
    <w:rsid w:val="001D09E4"/>
    <w:rsid w:val="001D0BA9"/>
    <w:rsid w:val="001D1673"/>
    <w:rsid w:val="001D18B1"/>
    <w:rsid w:val="001D5DE5"/>
    <w:rsid w:val="001E06EC"/>
    <w:rsid w:val="001E0901"/>
    <w:rsid w:val="001E1003"/>
    <w:rsid w:val="001E2CEA"/>
    <w:rsid w:val="001E2F01"/>
    <w:rsid w:val="001E49DD"/>
    <w:rsid w:val="001E60C1"/>
    <w:rsid w:val="001E6A01"/>
    <w:rsid w:val="001E6EDE"/>
    <w:rsid w:val="001E789D"/>
    <w:rsid w:val="001F065E"/>
    <w:rsid w:val="001F1F52"/>
    <w:rsid w:val="001F20EA"/>
    <w:rsid w:val="001F3F45"/>
    <w:rsid w:val="001F7E2C"/>
    <w:rsid w:val="002004A6"/>
    <w:rsid w:val="00202B1A"/>
    <w:rsid w:val="0020567B"/>
    <w:rsid w:val="00206DBE"/>
    <w:rsid w:val="002075CA"/>
    <w:rsid w:val="00207A89"/>
    <w:rsid w:val="0021139D"/>
    <w:rsid w:val="002127BD"/>
    <w:rsid w:val="0021338C"/>
    <w:rsid w:val="00213C9D"/>
    <w:rsid w:val="00214085"/>
    <w:rsid w:val="00214AAB"/>
    <w:rsid w:val="00214B97"/>
    <w:rsid w:val="00215D22"/>
    <w:rsid w:val="00217174"/>
    <w:rsid w:val="00217EF6"/>
    <w:rsid w:val="00220445"/>
    <w:rsid w:val="00221BA0"/>
    <w:rsid w:val="0022304B"/>
    <w:rsid w:val="00224D56"/>
    <w:rsid w:val="0022526E"/>
    <w:rsid w:val="00245C95"/>
    <w:rsid w:val="00264EE5"/>
    <w:rsid w:val="00266EEA"/>
    <w:rsid w:val="0027327E"/>
    <w:rsid w:val="002744D2"/>
    <w:rsid w:val="00274F56"/>
    <w:rsid w:val="002758A1"/>
    <w:rsid w:val="00277F5F"/>
    <w:rsid w:val="002848C9"/>
    <w:rsid w:val="00284DA9"/>
    <w:rsid w:val="002938A1"/>
    <w:rsid w:val="00297318"/>
    <w:rsid w:val="002A059D"/>
    <w:rsid w:val="002A07FB"/>
    <w:rsid w:val="002A1187"/>
    <w:rsid w:val="002A23B6"/>
    <w:rsid w:val="002A5029"/>
    <w:rsid w:val="002A5D9D"/>
    <w:rsid w:val="002A5E51"/>
    <w:rsid w:val="002C0843"/>
    <w:rsid w:val="002C2011"/>
    <w:rsid w:val="002C22E5"/>
    <w:rsid w:val="002C4C02"/>
    <w:rsid w:val="002C509C"/>
    <w:rsid w:val="002C520D"/>
    <w:rsid w:val="002D1AF4"/>
    <w:rsid w:val="002D230F"/>
    <w:rsid w:val="002D6D56"/>
    <w:rsid w:val="002E3C67"/>
    <w:rsid w:val="002E6F61"/>
    <w:rsid w:val="002F225A"/>
    <w:rsid w:val="002F3CBB"/>
    <w:rsid w:val="002F4F1C"/>
    <w:rsid w:val="003002C2"/>
    <w:rsid w:val="00300818"/>
    <w:rsid w:val="0030203A"/>
    <w:rsid w:val="0030473C"/>
    <w:rsid w:val="00305246"/>
    <w:rsid w:val="00306483"/>
    <w:rsid w:val="00320592"/>
    <w:rsid w:val="003206F9"/>
    <w:rsid w:val="00320B38"/>
    <w:rsid w:val="00325754"/>
    <w:rsid w:val="00332FA3"/>
    <w:rsid w:val="00340DCA"/>
    <w:rsid w:val="00343347"/>
    <w:rsid w:val="003445E7"/>
    <w:rsid w:val="003468F2"/>
    <w:rsid w:val="00352964"/>
    <w:rsid w:val="00353336"/>
    <w:rsid w:val="00360A83"/>
    <w:rsid w:val="003674EC"/>
    <w:rsid w:val="00367AF0"/>
    <w:rsid w:val="0037150A"/>
    <w:rsid w:val="00377969"/>
    <w:rsid w:val="00381529"/>
    <w:rsid w:val="00386920"/>
    <w:rsid w:val="003902FD"/>
    <w:rsid w:val="0039174C"/>
    <w:rsid w:val="00392787"/>
    <w:rsid w:val="00397729"/>
    <w:rsid w:val="003A0203"/>
    <w:rsid w:val="003A1BC6"/>
    <w:rsid w:val="003A3D54"/>
    <w:rsid w:val="003A58FD"/>
    <w:rsid w:val="003B221C"/>
    <w:rsid w:val="003B386B"/>
    <w:rsid w:val="003B513A"/>
    <w:rsid w:val="003C078C"/>
    <w:rsid w:val="003C2632"/>
    <w:rsid w:val="003C4AC9"/>
    <w:rsid w:val="003C4E12"/>
    <w:rsid w:val="003C569F"/>
    <w:rsid w:val="003C6783"/>
    <w:rsid w:val="003D0F70"/>
    <w:rsid w:val="003D2F8F"/>
    <w:rsid w:val="003D3F79"/>
    <w:rsid w:val="003D62F0"/>
    <w:rsid w:val="003D7505"/>
    <w:rsid w:val="003E1B12"/>
    <w:rsid w:val="003E4B91"/>
    <w:rsid w:val="003F0261"/>
    <w:rsid w:val="003F2472"/>
    <w:rsid w:val="003F530F"/>
    <w:rsid w:val="0040024A"/>
    <w:rsid w:val="004074B3"/>
    <w:rsid w:val="004106E6"/>
    <w:rsid w:val="004110BC"/>
    <w:rsid w:val="00412B9B"/>
    <w:rsid w:val="004156C3"/>
    <w:rsid w:val="00420A55"/>
    <w:rsid w:val="0042600A"/>
    <w:rsid w:val="00430AB3"/>
    <w:rsid w:val="004333D4"/>
    <w:rsid w:val="00433B49"/>
    <w:rsid w:val="00437FED"/>
    <w:rsid w:val="00442C30"/>
    <w:rsid w:val="0044382C"/>
    <w:rsid w:val="004459DD"/>
    <w:rsid w:val="00446B9F"/>
    <w:rsid w:val="00447CED"/>
    <w:rsid w:val="00451D44"/>
    <w:rsid w:val="004543F5"/>
    <w:rsid w:val="00460489"/>
    <w:rsid w:val="00461BFA"/>
    <w:rsid w:val="00474691"/>
    <w:rsid w:val="00482B0B"/>
    <w:rsid w:val="00495C6F"/>
    <w:rsid w:val="00496BAE"/>
    <w:rsid w:val="004A2929"/>
    <w:rsid w:val="004A361D"/>
    <w:rsid w:val="004A436A"/>
    <w:rsid w:val="004B42B7"/>
    <w:rsid w:val="004B4FC3"/>
    <w:rsid w:val="004B6204"/>
    <w:rsid w:val="004C15F0"/>
    <w:rsid w:val="004C1CAF"/>
    <w:rsid w:val="004C2D1B"/>
    <w:rsid w:val="004D2046"/>
    <w:rsid w:val="004D28C3"/>
    <w:rsid w:val="004D2AD7"/>
    <w:rsid w:val="004D3F26"/>
    <w:rsid w:val="004E1240"/>
    <w:rsid w:val="004E2EF9"/>
    <w:rsid w:val="004E32C6"/>
    <w:rsid w:val="004E5881"/>
    <w:rsid w:val="004E7707"/>
    <w:rsid w:val="004F18C2"/>
    <w:rsid w:val="004F43FC"/>
    <w:rsid w:val="004F5942"/>
    <w:rsid w:val="004F6075"/>
    <w:rsid w:val="0050253C"/>
    <w:rsid w:val="00502CCB"/>
    <w:rsid w:val="00505372"/>
    <w:rsid w:val="00510E38"/>
    <w:rsid w:val="005123C5"/>
    <w:rsid w:val="00514BB1"/>
    <w:rsid w:val="00515005"/>
    <w:rsid w:val="005235FD"/>
    <w:rsid w:val="00524DED"/>
    <w:rsid w:val="00530B46"/>
    <w:rsid w:val="005312AF"/>
    <w:rsid w:val="00533DC2"/>
    <w:rsid w:val="00542D06"/>
    <w:rsid w:val="005431E1"/>
    <w:rsid w:val="00543E10"/>
    <w:rsid w:val="00544629"/>
    <w:rsid w:val="00546C47"/>
    <w:rsid w:val="0055592F"/>
    <w:rsid w:val="00562B73"/>
    <w:rsid w:val="00563B72"/>
    <w:rsid w:val="0057053E"/>
    <w:rsid w:val="00570830"/>
    <w:rsid w:val="00576EA7"/>
    <w:rsid w:val="005873A3"/>
    <w:rsid w:val="00592D56"/>
    <w:rsid w:val="005936DD"/>
    <w:rsid w:val="0059766A"/>
    <w:rsid w:val="005A01E1"/>
    <w:rsid w:val="005A3CA0"/>
    <w:rsid w:val="005A6677"/>
    <w:rsid w:val="005B1426"/>
    <w:rsid w:val="005B1DC1"/>
    <w:rsid w:val="005B49D6"/>
    <w:rsid w:val="005B7AF6"/>
    <w:rsid w:val="005C4DD0"/>
    <w:rsid w:val="005C5F7E"/>
    <w:rsid w:val="005D1BB7"/>
    <w:rsid w:val="005D57E0"/>
    <w:rsid w:val="005D5D46"/>
    <w:rsid w:val="005D6AF4"/>
    <w:rsid w:val="005D7188"/>
    <w:rsid w:val="005E1D4F"/>
    <w:rsid w:val="005E1F37"/>
    <w:rsid w:val="005E6697"/>
    <w:rsid w:val="005F00A5"/>
    <w:rsid w:val="005F266A"/>
    <w:rsid w:val="005F36DB"/>
    <w:rsid w:val="005F3A61"/>
    <w:rsid w:val="005F4058"/>
    <w:rsid w:val="005F47B7"/>
    <w:rsid w:val="005F54B8"/>
    <w:rsid w:val="005F7184"/>
    <w:rsid w:val="00600B19"/>
    <w:rsid w:val="00603AC8"/>
    <w:rsid w:val="00612B97"/>
    <w:rsid w:val="006138A5"/>
    <w:rsid w:val="006149AD"/>
    <w:rsid w:val="00614EE1"/>
    <w:rsid w:val="006202D4"/>
    <w:rsid w:val="00623872"/>
    <w:rsid w:val="00623D8F"/>
    <w:rsid w:val="00625D28"/>
    <w:rsid w:val="006274A7"/>
    <w:rsid w:val="006317F7"/>
    <w:rsid w:val="00636AA2"/>
    <w:rsid w:val="00636BBD"/>
    <w:rsid w:val="00641CC0"/>
    <w:rsid w:val="00645C96"/>
    <w:rsid w:val="00650DE0"/>
    <w:rsid w:val="006530EF"/>
    <w:rsid w:val="0065388E"/>
    <w:rsid w:val="006561AE"/>
    <w:rsid w:val="00661EFC"/>
    <w:rsid w:val="0066470B"/>
    <w:rsid w:val="00666DCF"/>
    <w:rsid w:val="00676DF8"/>
    <w:rsid w:val="00682340"/>
    <w:rsid w:val="0068397A"/>
    <w:rsid w:val="006862B6"/>
    <w:rsid w:val="006878AA"/>
    <w:rsid w:val="00687F72"/>
    <w:rsid w:val="006938C0"/>
    <w:rsid w:val="00693B0E"/>
    <w:rsid w:val="00694918"/>
    <w:rsid w:val="00696DCA"/>
    <w:rsid w:val="006971FE"/>
    <w:rsid w:val="006977B9"/>
    <w:rsid w:val="006A7995"/>
    <w:rsid w:val="006B1CA3"/>
    <w:rsid w:val="006B7432"/>
    <w:rsid w:val="006C017E"/>
    <w:rsid w:val="006C25D8"/>
    <w:rsid w:val="006C7CD3"/>
    <w:rsid w:val="006D1304"/>
    <w:rsid w:val="006D1D59"/>
    <w:rsid w:val="006D2F53"/>
    <w:rsid w:val="006D3D51"/>
    <w:rsid w:val="006D4FA0"/>
    <w:rsid w:val="006D5403"/>
    <w:rsid w:val="006D6E39"/>
    <w:rsid w:val="006E01F2"/>
    <w:rsid w:val="006E02CE"/>
    <w:rsid w:val="006E6483"/>
    <w:rsid w:val="006E68B9"/>
    <w:rsid w:val="006F091D"/>
    <w:rsid w:val="00700243"/>
    <w:rsid w:val="00704EC2"/>
    <w:rsid w:val="007056AA"/>
    <w:rsid w:val="007107B3"/>
    <w:rsid w:val="00712641"/>
    <w:rsid w:val="00712E09"/>
    <w:rsid w:val="00713812"/>
    <w:rsid w:val="00714CDB"/>
    <w:rsid w:val="00724A5A"/>
    <w:rsid w:val="00727D9B"/>
    <w:rsid w:val="007337FA"/>
    <w:rsid w:val="00740816"/>
    <w:rsid w:val="007442A4"/>
    <w:rsid w:val="00751DEC"/>
    <w:rsid w:val="00752747"/>
    <w:rsid w:val="00753078"/>
    <w:rsid w:val="00756C31"/>
    <w:rsid w:val="007600BB"/>
    <w:rsid w:val="007607D9"/>
    <w:rsid w:val="00763A77"/>
    <w:rsid w:val="00765530"/>
    <w:rsid w:val="0077009B"/>
    <w:rsid w:val="00771874"/>
    <w:rsid w:val="0077284B"/>
    <w:rsid w:val="00772E9E"/>
    <w:rsid w:val="00774E99"/>
    <w:rsid w:val="00776069"/>
    <w:rsid w:val="0077625D"/>
    <w:rsid w:val="00776440"/>
    <w:rsid w:val="00776C20"/>
    <w:rsid w:val="007827FB"/>
    <w:rsid w:val="00790315"/>
    <w:rsid w:val="00790641"/>
    <w:rsid w:val="007911D9"/>
    <w:rsid w:val="00794EED"/>
    <w:rsid w:val="007A0343"/>
    <w:rsid w:val="007A4B48"/>
    <w:rsid w:val="007A6FE5"/>
    <w:rsid w:val="007A7AB7"/>
    <w:rsid w:val="007B3A96"/>
    <w:rsid w:val="007B49E3"/>
    <w:rsid w:val="007C0D74"/>
    <w:rsid w:val="007C4FF7"/>
    <w:rsid w:val="007C5E15"/>
    <w:rsid w:val="007D059F"/>
    <w:rsid w:val="007D66AF"/>
    <w:rsid w:val="007E247B"/>
    <w:rsid w:val="007E29D4"/>
    <w:rsid w:val="007E3D4B"/>
    <w:rsid w:val="007E5E77"/>
    <w:rsid w:val="007E6411"/>
    <w:rsid w:val="007F0AC1"/>
    <w:rsid w:val="007F384E"/>
    <w:rsid w:val="007F6CD9"/>
    <w:rsid w:val="00811306"/>
    <w:rsid w:val="0081227F"/>
    <w:rsid w:val="00812E2D"/>
    <w:rsid w:val="008201E9"/>
    <w:rsid w:val="00822AC2"/>
    <w:rsid w:val="00824C6F"/>
    <w:rsid w:val="00830063"/>
    <w:rsid w:val="00841A20"/>
    <w:rsid w:val="008462B3"/>
    <w:rsid w:val="00851F1F"/>
    <w:rsid w:val="008543F7"/>
    <w:rsid w:val="00854F9D"/>
    <w:rsid w:val="008603FD"/>
    <w:rsid w:val="00864B10"/>
    <w:rsid w:val="008670F1"/>
    <w:rsid w:val="00871E4B"/>
    <w:rsid w:val="00871FCB"/>
    <w:rsid w:val="00874137"/>
    <w:rsid w:val="00874797"/>
    <w:rsid w:val="00875BA5"/>
    <w:rsid w:val="008829AC"/>
    <w:rsid w:val="00882DAA"/>
    <w:rsid w:val="00893432"/>
    <w:rsid w:val="008964C5"/>
    <w:rsid w:val="008A0D8B"/>
    <w:rsid w:val="008A0E66"/>
    <w:rsid w:val="008A615E"/>
    <w:rsid w:val="008A6D19"/>
    <w:rsid w:val="008A7BE4"/>
    <w:rsid w:val="008B3852"/>
    <w:rsid w:val="008B67D2"/>
    <w:rsid w:val="008B73C4"/>
    <w:rsid w:val="008B76C7"/>
    <w:rsid w:val="008C0D2D"/>
    <w:rsid w:val="008C43AE"/>
    <w:rsid w:val="008C5DAD"/>
    <w:rsid w:val="008C6DAB"/>
    <w:rsid w:val="008C75AB"/>
    <w:rsid w:val="008D24A6"/>
    <w:rsid w:val="008D4CB5"/>
    <w:rsid w:val="008D657C"/>
    <w:rsid w:val="008D6BE0"/>
    <w:rsid w:val="008D6E4A"/>
    <w:rsid w:val="008D7419"/>
    <w:rsid w:val="008E03AA"/>
    <w:rsid w:val="008E0CBB"/>
    <w:rsid w:val="008E271A"/>
    <w:rsid w:val="008E37A4"/>
    <w:rsid w:val="008F1614"/>
    <w:rsid w:val="00902505"/>
    <w:rsid w:val="00906256"/>
    <w:rsid w:val="00910EAB"/>
    <w:rsid w:val="00912C6C"/>
    <w:rsid w:val="00914F0C"/>
    <w:rsid w:val="00916032"/>
    <w:rsid w:val="00921A9F"/>
    <w:rsid w:val="0092275E"/>
    <w:rsid w:val="00922CC8"/>
    <w:rsid w:val="0092328F"/>
    <w:rsid w:val="0092364C"/>
    <w:rsid w:val="009242C6"/>
    <w:rsid w:val="00924AAE"/>
    <w:rsid w:val="009253EC"/>
    <w:rsid w:val="009263B2"/>
    <w:rsid w:val="00930508"/>
    <w:rsid w:val="00931AE6"/>
    <w:rsid w:val="0093381D"/>
    <w:rsid w:val="00933D66"/>
    <w:rsid w:val="00937103"/>
    <w:rsid w:val="0094280A"/>
    <w:rsid w:val="0094544E"/>
    <w:rsid w:val="0094762E"/>
    <w:rsid w:val="009500C4"/>
    <w:rsid w:val="0095027B"/>
    <w:rsid w:val="00950438"/>
    <w:rsid w:val="00955AD3"/>
    <w:rsid w:val="00965C80"/>
    <w:rsid w:val="00977319"/>
    <w:rsid w:val="009806DF"/>
    <w:rsid w:val="009838FF"/>
    <w:rsid w:val="009900ED"/>
    <w:rsid w:val="0099610F"/>
    <w:rsid w:val="00996784"/>
    <w:rsid w:val="009A2463"/>
    <w:rsid w:val="009A2F82"/>
    <w:rsid w:val="009B0456"/>
    <w:rsid w:val="009B2865"/>
    <w:rsid w:val="009B32EA"/>
    <w:rsid w:val="009B3697"/>
    <w:rsid w:val="009B5030"/>
    <w:rsid w:val="009C22CF"/>
    <w:rsid w:val="009C2EBE"/>
    <w:rsid w:val="009C4262"/>
    <w:rsid w:val="009C6F4E"/>
    <w:rsid w:val="009D2B84"/>
    <w:rsid w:val="009D4365"/>
    <w:rsid w:val="009D4716"/>
    <w:rsid w:val="009D5B3D"/>
    <w:rsid w:val="009E4343"/>
    <w:rsid w:val="009E4DC0"/>
    <w:rsid w:val="009E5419"/>
    <w:rsid w:val="009E6F9D"/>
    <w:rsid w:val="009F194E"/>
    <w:rsid w:val="009F4102"/>
    <w:rsid w:val="009F69DC"/>
    <w:rsid w:val="00A0186F"/>
    <w:rsid w:val="00A15C71"/>
    <w:rsid w:val="00A20E88"/>
    <w:rsid w:val="00A2211E"/>
    <w:rsid w:val="00A265E0"/>
    <w:rsid w:val="00A32079"/>
    <w:rsid w:val="00A364A6"/>
    <w:rsid w:val="00A41833"/>
    <w:rsid w:val="00A4212D"/>
    <w:rsid w:val="00A4383A"/>
    <w:rsid w:val="00A455E1"/>
    <w:rsid w:val="00A456C6"/>
    <w:rsid w:val="00A47E6E"/>
    <w:rsid w:val="00A505DB"/>
    <w:rsid w:val="00A53261"/>
    <w:rsid w:val="00A5373C"/>
    <w:rsid w:val="00A54185"/>
    <w:rsid w:val="00A55735"/>
    <w:rsid w:val="00A560FD"/>
    <w:rsid w:val="00A611D7"/>
    <w:rsid w:val="00A66C31"/>
    <w:rsid w:val="00A7110A"/>
    <w:rsid w:val="00A7288B"/>
    <w:rsid w:val="00A731E9"/>
    <w:rsid w:val="00A737A1"/>
    <w:rsid w:val="00A74A4D"/>
    <w:rsid w:val="00A74B40"/>
    <w:rsid w:val="00A8660B"/>
    <w:rsid w:val="00A91F9E"/>
    <w:rsid w:val="00A93C2C"/>
    <w:rsid w:val="00A93D38"/>
    <w:rsid w:val="00A94205"/>
    <w:rsid w:val="00A95A55"/>
    <w:rsid w:val="00A971D3"/>
    <w:rsid w:val="00A97902"/>
    <w:rsid w:val="00AA13C4"/>
    <w:rsid w:val="00AA3759"/>
    <w:rsid w:val="00AA6702"/>
    <w:rsid w:val="00AB2537"/>
    <w:rsid w:val="00AC0079"/>
    <w:rsid w:val="00AC6073"/>
    <w:rsid w:val="00AC7120"/>
    <w:rsid w:val="00AD0756"/>
    <w:rsid w:val="00AD17C0"/>
    <w:rsid w:val="00AD2713"/>
    <w:rsid w:val="00AE0C0B"/>
    <w:rsid w:val="00AE6D41"/>
    <w:rsid w:val="00AF0D81"/>
    <w:rsid w:val="00AF15A3"/>
    <w:rsid w:val="00AF17D8"/>
    <w:rsid w:val="00AF2BF6"/>
    <w:rsid w:val="00AF526A"/>
    <w:rsid w:val="00AF6A54"/>
    <w:rsid w:val="00B00086"/>
    <w:rsid w:val="00B012DE"/>
    <w:rsid w:val="00B03030"/>
    <w:rsid w:val="00B0457C"/>
    <w:rsid w:val="00B10AB1"/>
    <w:rsid w:val="00B12CE0"/>
    <w:rsid w:val="00B133D8"/>
    <w:rsid w:val="00B134CE"/>
    <w:rsid w:val="00B14CD4"/>
    <w:rsid w:val="00B15AE1"/>
    <w:rsid w:val="00B174BA"/>
    <w:rsid w:val="00B20779"/>
    <w:rsid w:val="00B20A99"/>
    <w:rsid w:val="00B216EA"/>
    <w:rsid w:val="00B240B0"/>
    <w:rsid w:val="00B25DAA"/>
    <w:rsid w:val="00B3206A"/>
    <w:rsid w:val="00B37715"/>
    <w:rsid w:val="00B37D6C"/>
    <w:rsid w:val="00B414D4"/>
    <w:rsid w:val="00B42CFD"/>
    <w:rsid w:val="00B441D8"/>
    <w:rsid w:val="00B46F80"/>
    <w:rsid w:val="00B50042"/>
    <w:rsid w:val="00B52B84"/>
    <w:rsid w:val="00B53742"/>
    <w:rsid w:val="00B53C5A"/>
    <w:rsid w:val="00B55D4D"/>
    <w:rsid w:val="00B601E2"/>
    <w:rsid w:val="00B60555"/>
    <w:rsid w:val="00B60B31"/>
    <w:rsid w:val="00B60C13"/>
    <w:rsid w:val="00B61230"/>
    <w:rsid w:val="00B6334F"/>
    <w:rsid w:val="00B63BB4"/>
    <w:rsid w:val="00B64361"/>
    <w:rsid w:val="00B65EA6"/>
    <w:rsid w:val="00B72A1C"/>
    <w:rsid w:val="00B7306C"/>
    <w:rsid w:val="00B73CF5"/>
    <w:rsid w:val="00B75FBA"/>
    <w:rsid w:val="00B8111F"/>
    <w:rsid w:val="00B83693"/>
    <w:rsid w:val="00B90EE6"/>
    <w:rsid w:val="00B9213D"/>
    <w:rsid w:val="00B92D90"/>
    <w:rsid w:val="00B94D47"/>
    <w:rsid w:val="00B96F3E"/>
    <w:rsid w:val="00BA0471"/>
    <w:rsid w:val="00BA0BD4"/>
    <w:rsid w:val="00BA34BB"/>
    <w:rsid w:val="00BA6133"/>
    <w:rsid w:val="00BA6379"/>
    <w:rsid w:val="00BB38A9"/>
    <w:rsid w:val="00BB4F21"/>
    <w:rsid w:val="00BB6792"/>
    <w:rsid w:val="00BB7BB3"/>
    <w:rsid w:val="00BC0CE8"/>
    <w:rsid w:val="00BC3670"/>
    <w:rsid w:val="00BC4309"/>
    <w:rsid w:val="00BD0C9B"/>
    <w:rsid w:val="00BD276F"/>
    <w:rsid w:val="00BD2B58"/>
    <w:rsid w:val="00BD2DB5"/>
    <w:rsid w:val="00BD338B"/>
    <w:rsid w:val="00BD7375"/>
    <w:rsid w:val="00BD7A3F"/>
    <w:rsid w:val="00BE20FF"/>
    <w:rsid w:val="00BE3577"/>
    <w:rsid w:val="00BE3938"/>
    <w:rsid w:val="00BE5D8A"/>
    <w:rsid w:val="00BF2A91"/>
    <w:rsid w:val="00C02E32"/>
    <w:rsid w:val="00C05444"/>
    <w:rsid w:val="00C05B9E"/>
    <w:rsid w:val="00C100F6"/>
    <w:rsid w:val="00C205C0"/>
    <w:rsid w:val="00C207A3"/>
    <w:rsid w:val="00C2287D"/>
    <w:rsid w:val="00C30816"/>
    <w:rsid w:val="00C33014"/>
    <w:rsid w:val="00C345B1"/>
    <w:rsid w:val="00C40E9A"/>
    <w:rsid w:val="00C42693"/>
    <w:rsid w:val="00C42764"/>
    <w:rsid w:val="00C441E6"/>
    <w:rsid w:val="00C44436"/>
    <w:rsid w:val="00C4659D"/>
    <w:rsid w:val="00C508B1"/>
    <w:rsid w:val="00C549F9"/>
    <w:rsid w:val="00C560C8"/>
    <w:rsid w:val="00C57A7F"/>
    <w:rsid w:val="00C64432"/>
    <w:rsid w:val="00C6657D"/>
    <w:rsid w:val="00C73EEB"/>
    <w:rsid w:val="00C77B95"/>
    <w:rsid w:val="00C80190"/>
    <w:rsid w:val="00C8639A"/>
    <w:rsid w:val="00C87B35"/>
    <w:rsid w:val="00C905E0"/>
    <w:rsid w:val="00C90B32"/>
    <w:rsid w:val="00C91D9C"/>
    <w:rsid w:val="00C96E24"/>
    <w:rsid w:val="00CA04E4"/>
    <w:rsid w:val="00CA08AB"/>
    <w:rsid w:val="00CA3277"/>
    <w:rsid w:val="00CB2632"/>
    <w:rsid w:val="00CB3D82"/>
    <w:rsid w:val="00CB4CEF"/>
    <w:rsid w:val="00CB645D"/>
    <w:rsid w:val="00CB6CEA"/>
    <w:rsid w:val="00CC06E7"/>
    <w:rsid w:val="00CC3BD4"/>
    <w:rsid w:val="00CD2CA3"/>
    <w:rsid w:val="00CD53BC"/>
    <w:rsid w:val="00CD64DD"/>
    <w:rsid w:val="00CE073B"/>
    <w:rsid w:val="00CE3FD9"/>
    <w:rsid w:val="00CE4DDD"/>
    <w:rsid w:val="00CE53DD"/>
    <w:rsid w:val="00CE626E"/>
    <w:rsid w:val="00CE68A1"/>
    <w:rsid w:val="00CF514F"/>
    <w:rsid w:val="00CF54F4"/>
    <w:rsid w:val="00CF6F42"/>
    <w:rsid w:val="00CF75C2"/>
    <w:rsid w:val="00D0700F"/>
    <w:rsid w:val="00D13B45"/>
    <w:rsid w:val="00D15831"/>
    <w:rsid w:val="00D175C6"/>
    <w:rsid w:val="00D207D2"/>
    <w:rsid w:val="00D24BAF"/>
    <w:rsid w:val="00D3191B"/>
    <w:rsid w:val="00D3418E"/>
    <w:rsid w:val="00D34945"/>
    <w:rsid w:val="00D377F0"/>
    <w:rsid w:val="00D40BBE"/>
    <w:rsid w:val="00D41E5D"/>
    <w:rsid w:val="00D42121"/>
    <w:rsid w:val="00D43BED"/>
    <w:rsid w:val="00D45A9C"/>
    <w:rsid w:val="00D47F98"/>
    <w:rsid w:val="00D53018"/>
    <w:rsid w:val="00D53C3A"/>
    <w:rsid w:val="00D55F11"/>
    <w:rsid w:val="00D571C8"/>
    <w:rsid w:val="00D57D62"/>
    <w:rsid w:val="00D60352"/>
    <w:rsid w:val="00D63328"/>
    <w:rsid w:val="00D65E42"/>
    <w:rsid w:val="00D66732"/>
    <w:rsid w:val="00D70DFB"/>
    <w:rsid w:val="00D73174"/>
    <w:rsid w:val="00D73A64"/>
    <w:rsid w:val="00D761FC"/>
    <w:rsid w:val="00D76EE3"/>
    <w:rsid w:val="00D77DC5"/>
    <w:rsid w:val="00D82467"/>
    <w:rsid w:val="00D875C8"/>
    <w:rsid w:val="00D94834"/>
    <w:rsid w:val="00D96CD8"/>
    <w:rsid w:val="00D973B6"/>
    <w:rsid w:val="00DA3582"/>
    <w:rsid w:val="00DA46BA"/>
    <w:rsid w:val="00DA6AEC"/>
    <w:rsid w:val="00DB0E68"/>
    <w:rsid w:val="00DB4137"/>
    <w:rsid w:val="00DB542D"/>
    <w:rsid w:val="00DB7309"/>
    <w:rsid w:val="00DC3B65"/>
    <w:rsid w:val="00DC436C"/>
    <w:rsid w:val="00DC6EEC"/>
    <w:rsid w:val="00DC7D62"/>
    <w:rsid w:val="00DD6E71"/>
    <w:rsid w:val="00DD7458"/>
    <w:rsid w:val="00DE7C46"/>
    <w:rsid w:val="00DF1E40"/>
    <w:rsid w:val="00DF2874"/>
    <w:rsid w:val="00DF4088"/>
    <w:rsid w:val="00DF4DBB"/>
    <w:rsid w:val="00DF67EB"/>
    <w:rsid w:val="00E02C7F"/>
    <w:rsid w:val="00E04FAC"/>
    <w:rsid w:val="00E05106"/>
    <w:rsid w:val="00E25AB3"/>
    <w:rsid w:val="00E26C0D"/>
    <w:rsid w:val="00E30796"/>
    <w:rsid w:val="00E30D8E"/>
    <w:rsid w:val="00E317E1"/>
    <w:rsid w:val="00E32FD4"/>
    <w:rsid w:val="00E33BE5"/>
    <w:rsid w:val="00E34221"/>
    <w:rsid w:val="00E34F70"/>
    <w:rsid w:val="00E36D47"/>
    <w:rsid w:val="00E37618"/>
    <w:rsid w:val="00E40578"/>
    <w:rsid w:val="00E56A84"/>
    <w:rsid w:val="00E600C4"/>
    <w:rsid w:val="00E60880"/>
    <w:rsid w:val="00E67942"/>
    <w:rsid w:val="00E77E92"/>
    <w:rsid w:val="00E92E04"/>
    <w:rsid w:val="00E93711"/>
    <w:rsid w:val="00E93F32"/>
    <w:rsid w:val="00E95797"/>
    <w:rsid w:val="00E95E44"/>
    <w:rsid w:val="00E96459"/>
    <w:rsid w:val="00EA1B12"/>
    <w:rsid w:val="00EA5730"/>
    <w:rsid w:val="00EA58CF"/>
    <w:rsid w:val="00EB23C0"/>
    <w:rsid w:val="00EC12B4"/>
    <w:rsid w:val="00EC318C"/>
    <w:rsid w:val="00EC3532"/>
    <w:rsid w:val="00EC47D5"/>
    <w:rsid w:val="00EC775A"/>
    <w:rsid w:val="00ED0242"/>
    <w:rsid w:val="00ED4265"/>
    <w:rsid w:val="00ED69D0"/>
    <w:rsid w:val="00ED7907"/>
    <w:rsid w:val="00EE49B5"/>
    <w:rsid w:val="00EE4F5F"/>
    <w:rsid w:val="00EE5494"/>
    <w:rsid w:val="00EE6B86"/>
    <w:rsid w:val="00EF40BD"/>
    <w:rsid w:val="00EF511C"/>
    <w:rsid w:val="00F06489"/>
    <w:rsid w:val="00F10416"/>
    <w:rsid w:val="00F1095C"/>
    <w:rsid w:val="00F115CB"/>
    <w:rsid w:val="00F12927"/>
    <w:rsid w:val="00F13664"/>
    <w:rsid w:val="00F163FF"/>
    <w:rsid w:val="00F208A0"/>
    <w:rsid w:val="00F33EDE"/>
    <w:rsid w:val="00F33F6C"/>
    <w:rsid w:val="00F34B53"/>
    <w:rsid w:val="00F37987"/>
    <w:rsid w:val="00F535B2"/>
    <w:rsid w:val="00F53902"/>
    <w:rsid w:val="00F559D6"/>
    <w:rsid w:val="00F5691D"/>
    <w:rsid w:val="00F5713A"/>
    <w:rsid w:val="00F57265"/>
    <w:rsid w:val="00F60B2C"/>
    <w:rsid w:val="00F61CC4"/>
    <w:rsid w:val="00F625CC"/>
    <w:rsid w:val="00F668A7"/>
    <w:rsid w:val="00F74D2C"/>
    <w:rsid w:val="00F835B4"/>
    <w:rsid w:val="00F85C26"/>
    <w:rsid w:val="00F861E1"/>
    <w:rsid w:val="00F90088"/>
    <w:rsid w:val="00F92A46"/>
    <w:rsid w:val="00F95364"/>
    <w:rsid w:val="00FA0375"/>
    <w:rsid w:val="00FA0905"/>
    <w:rsid w:val="00FA1367"/>
    <w:rsid w:val="00FA428C"/>
    <w:rsid w:val="00FA7440"/>
    <w:rsid w:val="00FB0270"/>
    <w:rsid w:val="00FB0B48"/>
    <w:rsid w:val="00FB46E3"/>
    <w:rsid w:val="00FC0A48"/>
    <w:rsid w:val="00FC3EDF"/>
    <w:rsid w:val="00FC4282"/>
    <w:rsid w:val="00FD01FC"/>
    <w:rsid w:val="00FD0BE5"/>
    <w:rsid w:val="00FD1424"/>
    <w:rsid w:val="00FD4527"/>
    <w:rsid w:val="00FE08C6"/>
    <w:rsid w:val="00FE432E"/>
    <w:rsid w:val="00FF0DAD"/>
    <w:rsid w:val="00FF4E8B"/>
    <w:rsid w:val="00FF553F"/>
    <w:rsid w:val="014B08FF"/>
    <w:rsid w:val="01694F73"/>
    <w:rsid w:val="01716368"/>
    <w:rsid w:val="01791910"/>
    <w:rsid w:val="01807A34"/>
    <w:rsid w:val="020D25CF"/>
    <w:rsid w:val="025D618D"/>
    <w:rsid w:val="037800D1"/>
    <w:rsid w:val="037B5043"/>
    <w:rsid w:val="038F2F46"/>
    <w:rsid w:val="039842CF"/>
    <w:rsid w:val="03A52FD5"/>
    <w:rsid w:val="03A861CB"/>
    <w:rsid w:val="042A6451"/>
    <w:rsid w:val="04333A77"/>
    <w:rsid w:val="04461F7D"/>
    <w:rsid w:val="04B8537C"/>
    <w:rsid w:val="04D17683"/>
    <w:rsid w:val="052B2F21"/>
    <w:rsid w:val="0579517A"/>
    <w:rsid w:val="058669CA"/>
    <w:rsid w:val="05BE6B0B"/>
    <w:rsid w:val="05FE7460"/>
    <w:rsid w:val="060965F0"/>
    <w:rsid w:val="064E336B"/>
    <w:rsid w:val="06543D3D"/>
    <w:rsid w:val="066E0546"/>
    <w:rsid w:val="06831F50"/>
    <w:rsid w:val="06DD62CB"/>
    <w:rsid w:val="06FF09D5"/>
    <w:rsid w:val="073F2CB4"/>
    <w:rsid w:val="073F6ECA"/>
    <w:rsid w:val="077E0650"/>
    <w:rsid w:val="07823506"/>
    <w:rsid w:val="07861610"/>
    <w:rsid w:val="07961EB8"/>
    <w:rsid w:val="07F63FEF"/>
    <w:rsid w:val="07FC0BA5"/>
    <w:rsid w:val="082E4874"/>
    <w:rsid w:val="08353C9F"/>
    <w:rsid w:val="088149DC"/>
    <w:rsid w:val="08910CE6"/>
    <w:rsid w:val="08952CB1"/>
    <w:rsid w:val="08E43B13"/>
    <w:rsid w:val="08F65EF7"/>
    <w:rsid w:val="08F96F7A"/>
    <w:rsid w:val="08FC0E5C"/>
    <w:rsid w:val="09215ADC"/>
    <w:rsid w:val="092414BE"/>
    <w:rsid w:val="094B1DE4"/>
    <w:rsid w:val="09511D5D"/>
    <w:rsid w:val="095A527D"/>
    <w:rsid w:val="09792AA5"/>
    <w:rsid w:val="097B4B47"/>
    <w:rsid w:val="09877AAE"/>
    <w:rsid w:val="099447EB"/>
    <w:rsid w:val="09F07F7C"/>
    <w:rsid w:val="0A0F2E68"/>
    <w:rsid w:val="0A146B13"/>
    <w:rsid w:val="0A174177"/>
    <w:rsid w:val="0A2677E2"/>
    <w:rsid w:val="0A3B1B70"/>
    <w:rsid w:val="0A6509DB"/>
    <w:rsid w:val="0A69573B"/>
    <w:rsid w:val="0AAB78EF"/>
    <w:rsid w:val="0AB912CC"/>
    <w:rsid w:val="0AFB3CAE"/>
    <w:rsid w:val="0B1701D0"/>
    <w:rsid w:val="0B3A0F00"/>
    <w:rsid w:val="0B7F04CD"/>
    <w:rsid w:val="0B886036"/>
    <w:rsid w:val="0BB35A1E"/>
    <w:rsid w:val="0BF82672"/>
    <w:rsid w:val="0C236700"/>
    <w:rsid w:val="0CB84E71"/>
    <w:rsid w:val="0CCF45C3"/>
    <w:rsid w:val="0CE0134F"/>
    <w:rsid w:val="0D140165"/>
    <w:rsid w:val="0D157070"/>
    <w:rsid w:val="0D38267F"/>
    <w:rsid w:val="0D5B72F6"/>
    <w:rsid w:val="0D676AC1"/>
    <w:rsid w:val="0D792361"/>
    <w:rsid w:val="0D816BBD"/>
    <w:rsid w:val="0D972232"/>
    <w:rsid w:val="0DC04F22"/>
    <w:rsid w:val="0DDB4E19"/>
    <w:rsid w:val="0E025749"/>
    <w:rsid w:val="0E35096D"/>
    <w:rsid w:val="0E3A4CF1"/>
    <w:rsid w:val="0E6D6359"/>
    <w:rsid w:val="0EFF1E9A"/>
    <w:rsid w:val="0F351BA2"/>
    <w:rsid w:val="0F36014E"/>
    <w:rsid w:val="0F697F5B"/>
    <w:rsid w:val="0F965E51"/>
    <w:rsid w:val="0FF07241"/>
    <w:rsid w:val="107B4D5D"/>
    <w:rsid w:val="10D06D60"/>
    <w:rsid w:val="10D73F5D"/>
    <w:rsid w:val="10E5501D"/>
    <w:rsid w:val="10EE3041"/>
    <w:rsid w:val="114609AD"/>
    <w:rsid w:val="115E09AD"/>
    <w:rsid w:val="11BD3153"/>
    <w:rsid w:val="121537EC"/>
    <w:rsid w:val="1268039B"/>
    <w:rsid w:val="12694670"/>
    <w:rsid w:val="12C02EFB"/>
    <w:rsid w:val="12C14EC5"/>
    <w:rsid w:val="12DC5409"/>
    <w:rsid w:val="12ED689F"/>
    <w:rsid w:val="13132C02"/>
    <w:rsid w:val="1351555B"/>
    <w:rsid w:val="13711F4D"/>
    <w:rsid w:val="13915420"/>
    <w:rsid w:val="13AE618F"/>
    <w:rsid w:val="13CD0D78"/>
    <w:rsid w:val="13D50C28"/>
    <w:rsid w:val="14000C1D"/>
    <w:rsid w:val="140A6DBD"/>
    <w:rsid w:val="14147510"/>
    <w:rsid w:val="144B639E"/>
    <w:rsid w:val="145515CA"/>
    <w:rsid w:val="1474211A"/>
    <w:rsid w:val="148B578A"/>
    <w:rsid w:val="14DB7C7F"/>
    <w:rsid w:val="154E4A67"/>
    <w:rsid w:val="15590BC8"/>
    <w:rsid w:val="15A85EC8"/>
    <w:rsid w:val="15F5110D"/>
    <w:rsid w:val="160524CE"/>
    <w:rsid w:val="16230338"/>
    <w:rsid w:val="162C08A7"/>
    <w:rsid w:val="16335C85"/>
    <w:rsid w:val="16745F78"/>
    <w:rsid w:val="16AC076B"/>
    <w:rsid w:val="16B554C9"/>
    <w:rsid w:val="171057D3"/>
    <w:rsid w:val="173A25AB"/>
    <w:rsid w:val="174A26DE"/>
    <w:rsid w:val="177A0693"/>
    <w:rsid w:val="178A1D29"/>
    <w:rsid w:val="179C05FA"/>
    <w:rsid w:val="17B460F7"/>
    <w:rsid w:val="17BC5E94"/>
    <w:rsid w:val="17BE3DB3"/>
    <w:rsid w:val="17FD769D"/>
    <w:rsid w:val="182B5511"/>
    <w:rsid w:val="183E1F94"/>
    <w:rsid w:val="1869193F"/>
    <w:rsid w:val="187C05F5"/>
    <w:rsid w:val="18E61355"/>
    <w:rsid w:val="190D0580"/>
    <w:rsid w:val="19143C84"/>
    <w:rsid w:val="1967036B"/>
    <w:rsid w:val="19A60E2B"/>
    <w:rsid w:val="19AF7825"/>
    <w:rsid w:val="19BC11D1"/>
    <w:rsid w:val="19D3057D"/>
    <w:rsid w:val="19E1089B"/>
    <w:rsid w:val="19E55EAA"/>
    <w:rsid w:val="19EF2318"/>
    <w:rsid w:val="1A373E20"/>
    <w:rsid w:val="1A7B6FD0"/>
    <w:rsid w:val="1A7F3B14"/>
    <w:rsid w:val="1A9133CF"/>
    <w:rsid w:val="1AED7FCB"/>
    <w:rsid w:val="1AF85C4D"/>
    <w:rsid w:val="1B663B0C"/>
    <w:rsid w:val="1C5C0B58"/>
    <w:rsid w:val="1C6C7C4F"/>
    <w:rsid w:val="1C7146B6"/>
    <w:rsid w:val="1C7E1261"/>
    <w:rsid w:val="1C996558"/>
    <w:rsid w:val="1CFF2738"/>
    <w:rsid w:val="1D300C7D"/>
    <w:rsid w:val="1D3F330C"/>
    <w:rsid w:val="1DCD753C"/>
    <w:rsid w:val="1DDC2D6F"/>
    <w:rsid w:val="1E0907F1"/>
    <w:rsid w:val="1E214A6A"/>
    <w:rsid w:val="1E5446C6"/>
    <w:rsid w:val="1E580FE6"/>
    <w:rsid w:val="1E8E06DE"/>
    <w:rsid w:val="1ED50885"/>
    <w:rsid w:val="1EDC7BC1"/>
    <w:rsid w:val="1EF3556A"/>
    <w:rsid w:val="1F134CFA"/>
    <w:rsid w:val="1F2B78C2"/>
    <w:rsid w:val="1F430158"/>
    <w:rsid w:val="20062169"/>
    <w:rsid w:val="203A2DAA"/>
    <w:rsid w:val="204E4456"/>
    <w:rsid w:val="2076109D"/>
    <w:rsid w:val="20C20B25"/>
    <w:rsid w:val="20CC5CA5"/>
    <w:rsid w:val="20CD2A24"/>
    <w:rsid w:val="20CF3C45"/>
    <w:rsid w:val="20D02EA3"/>
    <w:rsid w:val="210347FC"/>
    <w:rsid w:val="21067E88"/>
    <w:rsid w:val="211363BC"/>
    <w:rsid w:val="21534FBE"/>
    <w:rsid w:val="21845009"/>
    <w:rsid w:val="21AC5E36"/>
    <w:rsid w:val="21BE6776"/>
    <w:rsid w:val="22037A2A"/>
    <w:rsid w:val="228E60CB"/>
    <w:rsid w:val="229A3991"/>
    <w:rsid w:val="22B14E9B"/>
    <w:rsid w:val="22BB53CC"/>
    <w:rsid w:val="22D84291"/>
    <w:rsid w:val="22DC1FE1"/>
    <w:rsid w:val="236565A9"/>
    <w:rsid w:val="23667935"/>
    <w:rsid w:val="239C47BD"/>
    <w:rsid w:val="23DF4E3C"/>
    <w:rsid w:val="240264F6"/>
    <w:rsid w:val="24437B8A"/>
    <w:rsid w:val="248436B8"/>
    <w:rsid w:val="24D707F7"/>
    <w:rsid w:val="24E621D3"/>
    <w:rsid w:val="24E94B30"/>
    <w:rsid w:val="25051A5C"/>
    <w:rsid w:val="250F1AC0"/>
    <w:rsid w:val="252C6343"/>
    <w:rsid w:val="252F3DDB"/>
    <w:rsid w:val="25432A74"/>
    <w:rsid w:val="255E2DCE"/>
    <w:rsid w:val="2598024F"/>
    <w:rsid w:val="25BA1959"/>
    <w:rsid w:val="25DC4098"/>
    <w:rsid w:val="260E7DAA"/>
    <w:rsid w:val="2640527A"/>
    <w:rsid w:val="264D7DA4"/>
    <w:rsid w:val="26836193"/>
    <w:rsid w:val="26AF2076"/>
    <w:rsid w:val="26E80F3D"/>
    <w:rsid w:val="26E93668"/>
    <w:rsid w:val="270124CB"/>
    <w:rsid w:val="2705317A"/>
    <w:rsid w:val="271733B6"/>
    <w:rsid w:val="2728282E"/>
    <w:rsid w:val="27547D87"/>
    <w:rsid w:val="276E67B5"/>
    <w:rsid w:val="27747158"/>
    <w:rsid w:val="278F597D"/>
    <w:rsid w:val="27DD0F42"/>
    <w:rsid w:val="28041B65"/>
    <w:rsid w:val="285440D0"/>
    <w:rsid w:val="28781263"/>
    <w:rsid w:val="290069AD"/>
    <w:rsid w:val="29162B44"/>
    <w:rsid w:val="292156EB"/>
    <w:rsid w:val="29A529F3"/>
    <w:rsid w:val="29F64FFC"/>
    <w:rsid w:val="2A0218E1"/>
    <w:rsid w:val="2A4871B0"/>
    <w:rsid w:val="2A922E56"/>
    <w:rsid w:val="2AAA4765"/>
    <w:rsid w:val="2AC03CE5"/>
    <w:rsid w:val="2ACD741B"/>
    <w:rsid w:val="2AFA3E68"/>
    <w:rsid w:val="2B166211"/>
    <w:rsid w:val="2B1B1852"/>
    <w:rsid w:val="2B593A95"/>
    <w:rsid w:val="2B864BE3"/>
    <w:rsid w:val="2B91586A"/>
    <w:rsid w:val="2B9A5E20"/>
    <w:rsid w:val="2BF90314"/>
    <w:rsid w:val="2C1B7295"/>
    <w:rsid w:val="2C3A1485"/>
    <w:rsid w:val="2C557A5B"/>
    <w:rsid w:val="2C7E17B8"/>
    <w:rsid w:val="2CA02AA6"/>
    <w:rsid w:val="2CE94C64"/>
    <w:rsid w:val="2D1A1FD9"/>
    <w:rsid w:val="2D4B38B1"/>
    <w:rsid w:val="2D4F267F"/>
    <w:rsid w:val="2D6A0CF0"/>
    <w:rsid w:val="2D703066"/>
    <w:rsid w:val="2D890298"/>
    <w:rsid w:val="2D9D496C"/>
    <w:rsid w:val="2DC518B5"/>
    <w:rsid w:val="2E1A7BB7"/>
    <w:rsid w:val="2E3A7047"/>
    <w:rsid w:val="2E400295"/>
    <w:rsid w:val="2E617375"/>
    <w:rsid w:val="2E8A016D"/>
    <w:rsid w:val="2EA13CCA"/>
    <w:rsid w:val="2EAF668E"/>
    <w:rsid w:val="2EC35D03"/>
    <w:rsid w:val="2ECD6C74"/>
    <w:rsid w:val="2F0244E1"/>
    <w:rsid w:val="2F2A5E74"/>
    <w:rsid w:val="2F2B1293"/>
    <w:rsid w:val="2F3D1056"/>
    <w:rsid w:val="2F8E2C9B"/>
    <w:rsid w:val="2FD66034"/>
    <w:rsid w:val="2FF24F6E"/>
    <w:rsid w:val="303D03EE"/>
    <w:rsid w:val="30594CC3"/>
    <w:rsid w:val="30CB138F"/>
    <w:rsid w:val="30E95BCA"/>
    <w:rsid w:val="3122722E"/>
    <w:rsid w:val="31242988"/>
    <w:rsid w:val="312C0032"/>
    <w:rsid w:val="31674C53"/>
    <w:rsid w:val="317C228B"/>
    <w:rsid w:val="317F1CF6"/>
    <w:rsid w:val="3197191E"/>
    <w:rsid w:val="31A132F3"/>
    <w:rsid w:val="31CD3923"/>
    <w:rsid w:val="31CF3BCA"/>
    <w:rsid w:val="3200081F"/>
    <w:rsid w:val="32130E9F"/>
    <w:rsid w:val="324C7EAF"/>
    <w:rsid w:val="32514972"/>
    <w:rsid w:val="326171CF"/>
    <w:rsid w:val="32A370F4"/>
    <w:rsid w:val="32AE0086"/>
    <w:rsid w:val="33040CCA"/>
    <w:rsid w:val="3341586B"/>
    <w:rsid w:val="33551565"/>
    <w:rsid w:val="3357119D"/>
    <w:rsid w:val="3378076C"/>
    <w:rsid w:val="33936E37"/>
    <w:rsid w:val="339D7495"/>
    <w:rsid w:val="340E557F"/>
    <w:rsid w:val="34106DD1"/>
    <w:rsid w:val="34554682"/>
    <w:rsid w:val="34786562"/>
    <w:rsid w:val="34DD1293"/>
    <w:rsid w:val="350473E4"/>
    <w:rsid w:val="35060D6F"/>
    <w:rsid w:val="3574463D"/>
    <w:rsid w:val="357C0E79"/>
    <w:rsid w:val="359E3592"/>
    <w:rsid w:val="35A67681"/>
    <w:rsid w:val="35F74761"/>
    <w:rsid w:val="36022730"/>
    <w:rsid w:val="360C23B8"/>
    <w:rsid w:val="362F10AB"/>
    <w:rsid w:val="36325438"/>
    <w:rsid w:val="367443D1"/>
    <w:rsid w:val="368A1EEF"/>
    <w:rsid w:val="36F9612C"/>
    <w:rsid w:val="371F1D5E"/>
    <w:rsid w:val="37890954"/>
    <w:rsid w:val="37B01EA4"/>
    <w:rsid w:val="37FD615F"/>
    <w:rsid w:val="38066D52"/>
    <w:rsid w:val="3846079B"/>
    <w:rsid w:val="38687661"/>
    <w:rsid w:val="38947609"/>
    <w:rsid w:val="389D4354"/>
    <w:rsid w:val="38B21F5C"/>
    <w:rsid w:val="38F858AF"/>
    <w:rsid w:val="396531A4"/>
    <w:rsid w:val="39AE1450"/>
    <w:rsid w:val="39CE572A"/>
    <w:rsid w:val="39DF63C8"/>
    <w:rsid w:val="39FF4AF5"/>
    <w:rsid w:val="3A077B31"/>
    <w:rsid w:val="3A4248A4"/>
    <w:rsid w:val="3A5E3B4F"/>
    <w:rsid w:val="3A77613C"/>
    <w:rsid w:val="3B0D3003"/>
    <w:rsid w:val="3B67741F"/>
    <w:rsid w:val="3BB6283D"/>
    <w:rsid w:val="3BF84326"/>
    <w:rsid w:val="3C0F440B"/>
    <w:rsid w:val="3C703743"/>
    <w:rsid w:val="3CBBC31B"/>
    <w:rsid w:val="3CDF06F9"/>
    <w:rsid w:val="3D632551"/>
    <w:rsid w:val="3D86133F"/>
    <w:rsid w:val="3D9E24CD"/>
    <w:rsid w:val="3DAE7C70"/>
    <w:rsid w:val="3DD81651"/>
    <w:rsid w:val="3DDF0DF5"/>
    <w:rsid w:val="3DE17BD9"/>
    <w:rsid w:val="3DE206B8"/>
    <w:rsid w:val="3DEB2811"/>
    <w:rsid w:val="3E6B0AC7"/>
    <w:rsid w:val="3E6E5ADE"/>
    <w:rsid w:val="3E7C1B1C"/>
    <w:rsid w:val="3E894239"/>
    <w:rsid w:val="3E9153FD"/>
    <w:rsid w:val="3EA1DD00"/>
    <w:rsid w:val="3F3474FA"/>
    <w:rsid w:val="3F566811"/>
    <w:rsid w:val="3FBE7E63"/>
    <w:rsid w:val="3FF67826"/>
    <w:rsid w:val="3FFD0878"/>
    <w:rsid w:val="40041DC9"/>
    <w:rsid w:val="40046872"/>
    <w:rsid w:val="400A7210"/>
    <w:rsid w:val="400F2473"/>
    <w:rsid w:val="40305141"/>
    <w:rsid w:val="405429A6"/>
    <w:rsid w:val="4071142D"/>
    <w:rsid w:val="4071694C"/>
    <w:rsid w:val="40AC69B9"/>
    <w:rsid w:val="410322DF"/>
    <w:rsid w:val="41213AF4"/>
    <w:rsid w:val="4138322E"/>
    <w:rsid w:val="417812E3"/>
    <w:rsid w:val="41790595"/>
    <w:rsid w:val="41E2370C"/>
    <w:rsid w:val="42060EBE"/>
    <w:rsid w:val="421B164C"/>
    <w:rsid w:val="424D2311"/>
    <w:rsid w:val="42A930FC"/>
    <w:rsid w:val="43155CC1"/>
    <w:rsid w:val="432F6BE0"/>
    <w:rsid w:val="433F136A"/>
    <w:rsid w:val="43595306"/>
    <w:rsid w:val="43C1394D"/>
    <w:rsid w:val="44307FA6"/>
    <w:rsid w:val="44696B3F"/>
    <w:rsid w:val="448748D8"/>
    <w:rsid w:val="44EC107E"/>
    <w:rsid w:val="452151CC"/>
    <w:rsid w:val="45656393"/>
    <w:rsid w:val="4568104C"/>
    <w:rsid w:val="456B7C2B"/>
    <w:rsid w:val="45717F01"/>
    <w:rsid w:val="457E4FD2"/>
    <w:rsid w:val="458C434E"/>
    <w:rsid w:val="46237ECA"/>
    <w:rsid w:val="465B1AEB"/>
    <w:rsid w:val="465F3375"/>
    <w:rsid w:val="466E406D"/>
    <w:rsid w:val="46920E3F"/>
    <w:rsid w:val="469B3447"/>
    <w:rsid w:val="47050B48"/>
    <w:rsid w:val="47697FB8"/>
    <w:rsid w:val="477844F2"/>
    <w:rsid w:val="47902EED"/>
    <w:rsid w:val="48182964"/>
    <w:rsid w:val="481D022C"/>
    <w:rsid w:val="48294E77"/>
    <w:rsid w:val="485D60D2"/>
    <w:rsid w:val="486666B0"/>
    <w:rsid w:val="487B2EBD"/>
    <w:rsid w:val="48A8296A"/>
    <w:rsid w:val="490473D6"/>
    <w:rsid w:val="494E570E"/>
    <w:rsid w:val="49587D3A"/>
    <w:rsid w:val="49D37AE3"/>
    <w:rsid w:val="4A2D46BF"/>
    <w:rsid w:val="4A5971B6"/>
    <w:rsid w:val="4A671D49"/>
    <w:rsid w:val="4A86423E"/>
    <w:rsid w:val="4AA10CFD"/>
    <w:rsid w:val="4AA20B5D"/>
    <w:rsid w:val="4AF05588"/>
    <w:rsid w:val="4B72052F"/>
    <w:rsid w:val="4B995C65"/>
    <w:rsid w:val="4BB751B6"/>
    <w:rsid w:val="4BB9615E"/>
    <w:rsid w:val="4BD9235C"/>
    <w:rsid w:val="4C38042C"/>
    <w:rsid w:val="4C3D05DD"/>
    <w:rsid w:val="4C6A5CAC"/>
    <w:rsid w:val="4C9170DB"/>
    <w:rsid w:val="4CA26BF2"/>
    <w:rsid w:val="4D0A06F8"/>
    <w:rsid w:val="4D453EDD"/>
    <w:rsid w:val="4DBE4A51"/>
    <w:rsid w:val="4DC021A9"/>
    <w:rsid w:val="4DC5288F"/>
    <w:rsid w:val="4DCA0E29"/>
    <w:rsid w:val="4DEB6EDB"/>
    <w:rsid w:val="4E3F3A38"/>
    <w:rsid w:val="4E7D434F"/>
    <w:rsid w:val="4EBC0FC8"/>
    <w:rsid w:val="4EDC3972"/>
    <w:rsid w:val="4EEE74F6"/>
    <w:rsid w:val="4F295E76"/>
    <w:rsid w:val="4F50541D"/>
    <w:rsid w:val="4F5C5C20"/>
    <w:rsid w:val="4F897F52"/>
    <w:rsid w:val="4F9512F7"/>
    <w:rsid w:val="4F9F566B"/>
    <w:rsid w:val="4FA04E8A"/>
    <w:rsid w:val="4FD95020"/>
    <w:rsid w:val="503F1CB0"/>
    <w:rsid w:val="50795EBC"/>
    <w:rsid w:val="509B51C8"/>
    <w:rsid w:val="50D86D25"/>
    <w:rsid w:val="50E07F7E"/>
    <w:rsid w:val="51153509"/>
    <w:rsid w:val="511F2A67"/>
    <w:rsid w:val="519136D9"/>
    <w:rsid w:val="51975109"/>
    <w:rsid w:val="51AB4E51"/>
    <w:rsid w:val="51B34D01"/>
    <w:rsid w:val="51B62DA6"/>
    <w:rsid w:val="522D0809"/>
    <w:rsid w:val="522F36CD"/>
    <w:rsid w:val="52C13B4A"/>
    <w:rsid w:val="52D4387D"/>
    <w:rsid w:val="532C6CAD"/>
    <w:rsid w:val="534A3713"/>
    <w:rsid w:val="534E0D03"/>
    <w:rsid w:val="538C5F06"/>
    <w:rsid w:val="539728F4"/>
    <w:rsid w:val="53D70CA7"/>
    <w:rsid w:val="53E3084B"/>
    <w:rsid w:val="53FF18E9"/>
    <w:rsid w:val="543C6FA8"/>
    <w:rsid w:val="544272F4"/>
    <w:rsid w:val="54705621"/>
    <w:rsid w:val="54761CFE"/>
    <w:rsid w:val="54CF254E"/>
    <w:rsid w:val="54D47364"/>
    <w:rsid w:val="54DB11AA"/>
    <w:rsid w:val="55276B3C"/>
    <w:rsid w:val="55573BC6"/>
    <w:rsid w:val="55957007"/>
    <w:rsid w:val="55BD7A04"/>
    <w:rsid w:val="55F416EA"/>
    <w:rsid w:val="55FB113A"/>
    <w:rsid w:val="56061445"/>
    <w:rsid w:val="560E52F8"/>
    <w:rsid w:val="561311D7"/>
    <w:rsid w:val="562504F4"/>
    <w:rsid w:val="56332091"/>
    <w:rsid w:val="564970F8"/>
    <w:rsid w:val="5688275F"/>
    <w:rsid w:val="56C23C3C"/>
    <w:rsid w:val="56C360E3"/>
    <w:rsid w:val="570513F4"/>
    <w:rsid w:val="570B0006"/>
    <w:rsid w:val="5758040A"/>
    <w:rsid w:val="57864157"/>
    <w:rsid w:val="57B36157"/>
    <w:rsid w:val="57FE308B"/>
    <w:rsid w:val="57FF19F0"/>
    <w:rsid w:val="58027166"/>
    <w:rsid w:val="58570280"/>
    <w:rsid w:val="5866110A"/>
    <w:rsid w:val="5869362C"/>
    <w:rsid w:val="586F71F7"/>
    <w:rsid w:val="58746C0F"/>
    <w:rsid w:val="58902DCF"/>
    <w:rsid w:val="589E01B4"/>
    <w:rsid w:val="58AE4B70"/>
    <w:rsid w:val="58C31F44"/>
    <w:rsid w:val="591E6F22"/>
    <w:rsid w:val="59A00EBC"/>
    <w:rsid w:val="59CE10DF"/>
    <w:rsid w:val="59EC922F"/>
    <w:rsid w:val="5A0415AB"/>
    <w:rsid w:val="5A0B4FA9"/>
    <w:rsid w:val="5A2C33B7"/>
    <w:rsid w:val="5A56726E"/>
    <w:rsid w:val="5A7C49C1"/>
    <w:rsid w:val="5A7D2A4C"/>
    <w:rsid w:val="5ABF8BEB"/>
    <w:rsid w:val="5AC727F5"/>
    <w:rsid w:val="5AF52F4E"/>
    <w:rsid w:val="5AF9778F"/>
    <w:rsid w:val="5B46365A"/>
    <w:rsid w:val="5B5143CF"/>
    <w:rsid w:val="5B6634E0"/>
    <w:rsid w:val="5B9D21F6"/>
    <w:rsid w:val="5BA06C34"/>
    <w:rsid w:val="5BA078BD"/>
    <w:rsid w:val="5BB06F81"/>
    <w:rsid w:val="5BE54D4D"/>
    <w:rsid w:val="5C0F7D45"/>
    <w:rsid w:val="5C1E1056"/>
    <w:rsid w:val="5C2974BE"/>
    <w:rsid w:val="5C2D7E51"/>
    <w:rsid w:val="5CB70498"/>
    <w:rsid w:val="5CD1707F"/>
    <w:rsid w:val="5D4762C9"/>
    <w:rsid w:val="5D59468D"/>
    <w:rsid w:val="5D7D59E9"/>
    <w:rsid w:val="5D7F2FE8"/>
    <w:rsid w:val="5DBA7B55"/>
    <w:rsid w:val="5DC627F1"/>
    <w:rsid w:val="5E04542A"/>
    <w:rsid w:val="5E3B6EA6"/>
    <w:rsid w:val="5E3D3BFC"/>
    <w:rsid w:val="5EA118DA"/>
    <w:rsid w:val="5EE650F5"/>
    <w:rsid w:val="5F5A7800"/>
    <w:rsid w:val="5F992207"/>
    <w:rsid w:val="5FB97611"/>
    <w:rsid w:val="5FE07BED"/>
    <w:rsid w:val="5FF160F1"/>
    <w:rsid w:val="60031575"/>
    <w:rsid w:val="601756A8"/>
    <w:rsid w:val="60430795"/>
    <w:rsid w:val="605B0999"/>
    <w:rsid w:val="606258C2"/>
    <w:rsid w:val="6084174D"/>
    <w:rsid w:val="60987579"/>
    <w:rsid w:val="60BA1D6E"/>
    <w:rsid w:val="60BB1C83"/>
    <w:rsid w:val="60C8249F"/>
    <w:rsid w:val="60D3450A"/>
    <w:rsid w:val="60E95DEE"/>
    <w:rsid w:val="61510B31"/>
    <w:rsid w:val="61A151D1"/>
    <w:rsid w:val="61A64221"/>
    <w:rsid w:val="61B259CF"/>
    <w:rsid w:val="61C46031"/>
    <w:rsid w:val="61D94376"/>
    <w:rsid w:val="62147ECB"/>
    <w:rsid w:val="62207A26"/>
    <w:rsid w:val="62347108"/>
    <w:rsid w:val="62472B07"/>
    <w:rsid w:val="62762649"/>
    <w:rsid w:val="628F5FE7"/>
    <w:rsid w:val="62D376AD"/>
    <w:rsid w:val="62DD1C41"/>
    <w:rsid w:val="630B6D86"/>
    <w:rsid w:val="630D367E"/>
    <w:rsid w:val="636A0AE0"/>
    <w:rsid w:val="63B623B3"/>
    <w:rsid w:val="63E43B3C"/>
    <w:rsid w:val="640F540C"/>
    <w:rsid w:val="64163E1D"/>
    <w:rsid w:val="645C7B76"/>
    <w:rsid w:val="647E5010"/>
    <w:rsid w:val="648D406C"/>
    <w:rsid w:val="64924D11"/>
    <w:rsid w:val="64BC0748"/>
    <w:rsid w:val="64DC2924"/>
    <w:rsid w:val="650A6CA3"/>
    <w:rsid w:val="652837E8"/>
    <w:rsid w:val="65581184"/>
    <w:rsid w:val="656B0071"/>
    <w:rsid w:val="65C81400"/>
    <w:rsid w:val="65E644EA"/>
    <w:rsid w:val="65ED4F2A"/>
    <w:rsid w:val="660C7ED4"/>
    <w:rsid w:val="660E23B7"/>
    <w:rsid w:val="66763171"/>
    <w:rsid w:val="668B5715"/>
    <w:rsid w:val="668F1B3D"/>
    <w:rsid w:val="66A87BC9"/>
    <w:rsid w:val="66AD7BE5"/>
    <w:rsid w:val="66C35C8B"/>
    <w:rsid w:val="66C37A39"/>
    <w:rsid w:val="66D103A8"/>
    <w:rsid w:val="66D63C10"/>
    <w:rsid w:val="67322FBC"/>
    <w:rsid w:val="67386679"/>
    <w:rsid w:val="67570D95"/>
    <w:rsid w:val="6773320D"/>
    <w:rsid w:val="67866389"/>
    <w:rsid w:val="678C1A2E"/>
    <w:rsid w:val="68327575"/>
    <w:rsid w:val="684B23DC"/>
    <w:rsid w:val="686D48E4"/>
    <w:rsid w:val="68AF296B"/>
    <w:rsid w:val="68DB524D"/>
    <w:rsid w:val="68E02FD9"/>
    <w:rsid w:val="68E24306"/>
    <w:rsid w:val="68F61F36"/>
    <w:rsid w:val="69081CC4"/>
    <w:rsid w:val="69120E2F"/>
    <w:rsid w:val="6926743B"/>
    <w:rsid w:val="69411C97"/>
    <w:rsid w:val="694578BC"/>
    <w:rsid w:val="695A2CAD"/>
    <w:rsid w:val="696A0640"/>
    <w:rsid w:val="69AF04EB"/>
    <w:rsid w:val="69B62BAA"/>
    <w:rsid w:val="69C05A07"/>
    <w:rsid w:val="69CF6191"/>
    <w:rsid w:val="69FE7EFB"/>
    <w:rsid w:val="6A831F2F"/>
    <w:rsid w:val="6AA62616"/>
    <w:rsid w:val="6ABC4FA6"/>
    <w:rsid w:val="6AC310C1"/>
    <w:rsid w:val="6B0443BE"/>
    <w:rsid w:val="6B37402E"/>
    <w:rsid w:val="6B54752D"/>
    <w:rsid w:val="6B5965F4"/>
    <w:rsid w:val="6B6A7CD1"/>
    <w:rsid w:val="6B824935"/>
    <w:rsid w:val="6B8C2F6D"/>
    <w:rsid w:val="6B934279"/>
    <w:rsid w:val="6B964D8E"/>
    <w:rsid w:val="6BD3560C"/>
    <w:rsid w:val="6BFF7765"/>
    <w:rsid w:val="6C07204B"/>
    <w:rsid w:val="6C5433E0"/>
    <w:rsid w:val="6C5B7722"/>
    <w:rsid w:val="6CA2428B"/>
    <w:rsid w:val="6CBE2762"/>
    <w:rsid w:val="6CE740A1"/>
    <w:rsid w:val="6D1622F5"/>
    <w:rsid w:val="6D214E2E"/>
    <w:rsid w:val="6D286848"/>
    <w:rsid w:val="6D3B2A1F"/>
    <w:rsid w:val="6D49476E"/>
    <w:rsid w:val="6D751E9D"/>
    <w:rsid w:val="6D7A177D"/>
    <w:rsid w:val="6D9217EA"/>
    <w:rsid w:val="6D965E90"/>
    <w:rsid w:val="6D9D142B"/>
    <w:rsid w:val="6DC5225D"/>
    <w:rsid w:val="6E096679"/>
    <w:rsid w:val="6E663972"/>
    <w:rsid w:val="6E7E067D"/>
    <w:rsid w:val="6E8D4AEA"/>
    <w:rsid w:val="6E9F4FD7"/>
    <w:rsid w:val="6EAE440D"/>
    <w:rsid w:val="6EF015E7"/>
    <w:rsid w:val="6F7D7B04"/>
    <w:rsid w:val="6FB12374"/>
    <w:rsid w:val="6FCE1C61"/>
    <w:rsid w:val="6FFF7571"/>
    <w:rsid w:val="700B247C"/>
    <w:rsid w:val="705067E1"/>
    <w:rsid w:val="705F6910"/>
    <w:rsid w:val="70827452"/>
    <w:rsid w:val="7099764F"/>
    <w:rsid w:val="70A536FA"/>
    <w:rsid w:val="70CC32D5"/>
    <w:rsid w:val="711E68DF"/>
    <w:rsid w:val="719C7804"/>
    <w:rsid w:val="71A6704A"/>
    <w:rsid w:val="71B96890"/>
    <w:rsid w:val="71CD6ECE"/>
    <w:rsid w:val="71DE3734"/>
    <w:rsid w:val="71FA4E33"/>
    <w:rsid w:val="7204578A"/>
    <w:rsid w:val="723B43A7"/>
    <w:rsid w:val="723D48BF"/>
    <w:rsid w:val="72A03E24"/>
    <w:rsid w:val="72C21BDE"/>
    <w:rsid w:val="731E60A1"/>
    <w:rsid w:val="732912DD"/>
    <w:rsid w:val="7375553E"/>
    <w:rsid w:val="7387015E"/>
    <w:rsid w:val="7389292F"/>
    <w:rsid w:val="73CD1EF7"/>
    <w:rsid w:val="73D745C5"/>
    <w:rsid w:val="73DF1CA8"/>
    <w:rsid w:val="73EB335D"/>
    <w:rsid w:val="73FE4FD9"/>
    <w:rsid w:val="74151FB6"/>
    <w:rsid w:val="744434F2"/>
    <w:rsid w:val="749657F0"/>
    <w:rsid w:val="74A101E7"/>
    <w:rsid w:val="7502743C"/>
    <w:rsid w:val="75080AA0"/>
    <w:rsid w:val="75645F2F"/>
    <w:rsid w:val="757E794D"/>
    <w:rsid w:val="75AE7B06"/>
    <w:rsid w:val="75B52CF5"/>
    <w:rsid w:val="75C769C1"/>
    <w:rsid w:val="75F4252C"/>
    <w:rsid w:val="75FF7BBF"/>
    <w:rsid w:val="762220F4"/>
    <w:rsid w:val="764661A4"/>
    <w:rsid w:val="766A4D30"/>
    <w:rsid w:val="76877FD0"/>
    <w:rsid w:val="76AF2D31"/>
    <w:rsid w:val="77266EEA"/>
    <w:rsid w:val="7734215F"/>
    <w:rsid w:val="77674410"/>
    <w:rsid w:val="776A7BDA"/>
    <w:rsid w:val="77A457B8"/>
    <w:rsid w:val="77DE1A60"/>
    <w:rsid w:val="77FD71EB"/>
    <w:rsid w:val="78856DB1"/>
    <w:rsid w:val="78C363B9"/>
    <w:rsid w:val="78FE5457"/>
    <w:rsid w:val="79076914"/>
    <w:rsid w:val="792858E7"/>
    <w:rsid w:val="79970BE4"/>
    <w:rsid w:val="79E45E91"/>
    <w:rsid w:val="7A35619F"/>
    <w:rsid w:val="7A4A014D"/>
    <w:rsid w:val="7A5275FA"/>
    <w:rsid w:val="7A5C2227"/>
    <w:rsid w:val="7A8B03E3"/>
    <w:rsid w:val="7AC92AEC"/>
    <w:rsid w:val="7ACE7F4E"/>
    <w:rsid w:val="7AF97A75"/>
    <w:rsid w:val="7AFE508C"/>
    <w:rsid w:val="7B0A1C83"/>
    <w:rsid w:val="7B62561B"/>
    <w:rsid w:val="7B6B440C"/>
    <w:rsid w:val="7B6D4936"/>
    <w:rsid w:val="7B767318"/>
    <w:rsid w:val="7B9E5DDF"/>
    <w:rsid w:val="7BA06802"/>
    <w:rsid w:val="7BBF7956"/>
    <w:rsid w:val="7BC52147"/>
    <w:rsid w:val="7BEE5100"/>
    <w:rsid w:val="7BF8D6AA"/>
    <w:rsid w:val="7C041CDF"/>
    <w:rsid w:val="7C096C38"/>
    <w:rsid w:val="7C1119BF"/>
    <w:rsid w:val="7C155A3B"/>
    <w:rsid w:val="7C73217C"/>
    <w:rsid w:val="7C7878A1"/>
    <w:rsid w:val="7D202DEF"/>
    <w:rsid w:val="7E516F4C"/>
    <w:rsid w:val="7E731F3D"/>
    <w:rsid w:val="7E843AFA"/>
    <w:rsid w:val="7E9D720F"/>
    <w:rsid w:val="7E9E2E0E"/>
    <w:rsid w:val="7EBD7B54"/>
    <w:rsid w:val="7EDA4ACC"/>
    <w:rsid w:val="7EF713A2"/>
    <w:rsid w:val="7F244448"/>
    <w:rsid w:val="7F280929"/>
    <w:rsid w:val="7F333A3F"/>
    <w:rsid w:val="7F353472"/>
    <w:rsid w:val="7F456FA3"/>
    <w:rsid w:val="7F4A6AF1"/>
    <w:rsid w:val="7FA243AC"/>
    <w:rsid w:val="7FB42441"/>
    <w:rsid w:val="7FDE98AF"/>
    <w:rsid w:val="A6FE954B"/>
    <w:rsid w:val="BA7E6701"/>
    <w:rsid w:val="D7B33E6E"/>
    <w:rsid w:val="DFB3B03D"/>
    <w:rsid w:val="DFD54360"/>
    <w:rsid w:val="E7E3CADD"/>
    <w:rsid w:val="F3B1384D"/>
    <w:rsid w:val="F7CDA57A"/>
    <w:rsid w:val="F7EF7E7A"/>
    <w:rsid w:val="F7FE2FC8"/>
    <w:rsid w:val="FC7FE0DD"/>
    <w:rsid w:val="FFC9F965"/>
    <w:rsid w:val="FFFFD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99" w:semiHidden="0" w:name="toc 4"/>
    <w:lsdException w:qFormat="1" w:unhideWhenUsed="0" w:uiPriority="0" w:semiHidden="0" w:name="toc 5"/>
    <w:lsdException w:qFormat="1" w:unhideWhenUsed="0" w:uiPriority="99"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99" w:name="footnote reference"/>
    <w:lsdException w:qFormat="1" w:unhideWhenUsed="0" w:uiPriority="99" w:semiHidden="0" w:name="annotation reference"/>
    <w:lsdException w:qFormat="1" w:unhideWhenUsed="0" w:uiPriority="0" w:semiHidden="0"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99" w:semiHidden="0" w:name="Body Text Indent 2"/>
    <w:lsdException w:qFormat="1" w:unhideWhenUsed="0" w:uiPriority="99"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0" w:semiHidden="0" w:name="E-mail Signature"/>
    <w:lsdException w:qFormat="1" w:unhideWhenUsed="0" w:uiPriority="99"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01"/>
    <w:qFormat/>
    <w:uiPriority w:val="0"/>
    <w:pPr>
      <w:keepNext/>
      <w:keepLines/>
      <w:numPr>
        <w:ilvl w:val="0"/>
        <w:numId w:val="1"/>
      </w:numPr>
      <w:tabs>
        <w:tab w:val="left" w:pos="425"/>
        <w:tab w:val="clear" w:pos="0"/>
      </w:tabs>
      <w:topLinePunct/>
      <w:spacing w:line="360" w:lineRule="auto"/>
      <w:textAlignment w:val="baseline"/>
      <w:outlineLvl w:val="0"/>
    </w:pPr>
    <w:rPr>
      <w:b/>
      <w:kern w:val="44"/>
      <w:sz w:val="24"/>
      <w:szCs w:val="22"/>
    </w:rPr>
  </w:style>
  <w:style w:type="paragraph" w:styleId="3">
    <w:name w:val="heading 2"/>
    <w:basedOn w:val="1"/>
    <w:next w:val="1"/>
    <w:link w:val="102"/>
    <w:qFormat/>
    <w:uiPriority w:val="0"/>
    <w:pPr>
      <w:keepNext/>
      <w:keepLines/>
      <w:numPr>
        <w:ilvl w:val="1"/>
        <w:numId w:val="1"/>
      </w:numPr>
      <w:tabs>
        <w:tab w:val="left" w:pos="1276"/>
      </w:tabs>
      <w:topLinePunct/>
      <w:spacing w:line="360" w:lineRule="auto"/>
      <w:jc w:val="left"/>
      <w:outlineLvl w:val="1"/>
    </w:pPr>
    <w:rPr>
      <w:b/>
      <w:bCs/>
      <w:sz w:val="24"/>
      <w:szCs w:val="21"/>
    </w:rPr>
  </w:style>
  <w:style w:type="paragraph" w:styleId="4">
    <w:name w:val="heading 3"/>
    <w:basedOn w:val="1"/>
    <w:next w:val="1"/>
    <w:link w:val="103"/>
    <w:qFormat/>
    <w:uiPriority w:val="0"/>
    <w:pPr>
      <w:keepNext/>
      <w:keepLines/>
      <w:numPr>
        <w:ilvl w:val="2"/>
        <w:numId w:val="1"/>
      </w:numPr>
      <w:tabs>
        <w:tab w:val="left" w:pos="0"/>
        <w:tab w:val="left" w:pos="2126"/>
        <w:tab w:val="clear" w:pos="420"/>
      </w:tabs>
      <w:spacing w:before="50" w:beforeLines="50" w:line="360" w:lineRule="auto"/>
      <w:jc w:val="left"/>
      <w:outlineLvl w:val="2"/>
    </w:pPr>
    <w:rPr>
      <w:b/>
      <w:bCs/>
      <w:sz w:val="24"/>
      <w:szCs w:val="28"/>
    </w:rPr>
  </w:style>
  <w:style w:type="paragraph" w:styleId="5">
    <w:name w:val="heading 4"/>
    <w:basedOn w:val="1"/>
    <w:next w:val="1"/>
    <w:link w:val="108"/>
    <w:qFormat/>
    <w:uiPriority w:val="0"/>
    <w:pPr>
      <w:keepNext/>
      <w:keepLines/>
      <w:numPr>
        <w:ilvl w:val="3"/>
        <w:numId w:val="1"/>
      </w:numPr>
      <w:tabs>
        <w:tab w:val="left" w:pos="0"/>
        <w:tab w:val="left" w:pos="2976"/>
      </w:tabs>
      <w:spacing w:before="50" w:beforeLines="50" w:line="360" w:lineRule="auto"/>
      <w:ind w:left="0"/>
      <w:outlineLvl w:val="3"/>
    </w:pPr>
    <w:rPr>
      <w:rFonts w:ascii="Arial" w:hAnsi="Arial"/>
      <w:b/>
      <w:bCs/>
      <w:szCs w:val="28"/>
    </w:rPr>
  </w:style>
  <w:style w:type="paragraph" w:styleId="6">
    <w:name w:val="heading 5"/>
    <w:basedOn w:val="1"/>
    <w:next w:val="1"/>
    <w:link w:val="109"/>
    <w:qFormat/>
    <w:uiPriority w:val="0"/>
    <w:pPr>
      <w:keepNext/>
      <w:keepLines/>
      <w:numPr>
        <w:ilvl w:val="4"/>
        <w:numId w:val="1"/>
      </w:numPr>
      <w:tabs>
        <w:tab w:val="left" w:pos="0"/>
        <w:tab w:val="left" w:pos="3827"/>
        <w:tab w:val="clear" w:pos="420"/>
      </w:tabs>
      <w:spacing w:before="50" w:beforeLines="50" w:line="360" w:lineRule="auto"/>
      <w:outlineLvl w:val="4"/>
    </w:pPr>
    <w:rPr>
      <w:rFonts w:eastAsia="黑体"/>
      <w:b/>
      <w:bCs/>
      <w:szCs w:val="28"/>
    </w:rPr>
  </w:style>
  <w:style w:type="paragraph" w:styleId="7">
    <w:name w:val="heading 6"/>
    <w:basedOn w:val="1"/>
    <w:next w:val="1"/>
    <w:qFormat/>
    <w:uiPriority w:val="0"/>
    <w:pPr>
      <w:keepNext/>
      <w:keepLines/>
      <w:numPr>
        <w:ilvl w:val="5"/>
        <w:numId w:val="1"/>
      </w:numPr>
      <w:tabs>
        <w:tab w:val="left" w:pos="0"/>
        <w:tab w:val="left" w:pos="4677"/>
        <w:tab w:val="clear" w:pos="420"/>
      </w:tabs>
      <w:spacing w:before="240" w:after="64" w:line="317" w:lineRule="auto"/>
      <w:outlineLvl w:val="5"/>
    </w:pPr>
    <w:rPr>
      <w:rFonts w:ascii="Arial" w:hAnsi="Arial" w:eastAsia="黑体"/>
      <w:b/>
      <w:bCs/>
      <w:sz w:val="24"/>
    </w:rPr>
  </w:style>
  <w:style w:type="paragraph" w:styleId="8">
    <w:name w:val="heading 7"/>
    <w:basedOn w:val="1"/>
    <w:next w:val="1"/>
    <w:qFormat/>
    <w:uiPriority w:val="0"/>
    <w:pPr>
      <w:keepNext/>
      <w:keepLines/>
      <w:numPr>
        <w:ilvl w:val="6"/>
        <w:numId w:val="1"/>
      </w:numPr>
      <w:tabs>
        <w:tab w:val="left" w:pos="5528"/>
      </w:tabs>
      <w:spacing w:before="240" w:after="64" w:line="317" w:lineRule="auto"/>
      <w:outlineLvl w:val="6"/>
    </w:pPr>
    <w:rPr>
      <w:b/>
      <w:bCs/>
      <w:sz w:val="24"/>
    </w:rPr>
  </w:style>
  <w:style w:type="paragraph" w:styleId="9">
    <w:name w:val="heading 8"/>
    <w:basedOn w:val="1"/>
    <w:next w:val="1"/>
    <w:qFormat/>
    <w:uiPriority w:val="0"/>
    <w:pPr>
      <w:keepNext/>
      <w:keepLines/>
      <w:numPr>
        <w:ilvl w:val="7"/>
        <w:numId w:val="1"/>
      </w:numPr>
      <w:tabs>
        <w:tab w:val="left" w:pos="6378"/>
      </w:tabs>
      <w:spacing w:before="240" w:after="64" w:line="317" w:lineRule="auto"/>
      <w:outlineLvl w:val="7"/>
    </w:pPr>
    <w:rPr>
      <w:rFonts w:ascii="Arial" w:hAnsi="Arial" w:eastAsia="黑体"/>
      <w:sz w:val="24"/>
    </w:rPr>
  </w:style>
  <w:style w:type="paragraph" w:styleId="10">
    <w:name w:val="heading 9"/>
    <w:basedOn w:val="1"/>
    <w:next w:val="1"/>
    <w:qFormat/>
    <w:uiPriority w:val="0"/>
    <w:pPr>
      <w:keepNext/>
      <w:keepLines/>
      <w:numPr>
        <w:ilvl w:val="8"/>
        <w:numId w:val="1"/>
      </w:numPr>
      <w:tabs>
        <w:tab w:val="left" w:pos="7228"/>
      </w:tabs>
      <w:spacing w:before="240" w:after="64" w:line="317" w:lineRule="auto"/>
      <w:outlineLvl w:val="8"/>
    </w:pPr>
    <w:rPr>
      <w:rFonts w:ascii="Arial" w:hAnsi="Arial" w:eastAsia="黑体"/>
      <w:szCs w:val="21"/>
    </w:rPr>
  </w:style>
  <w:style w:type="character" w:default="1" w:styleId="85">
    <w:name w:val="Default Paragraph Font"/>
    <w:semiHidden/>
    <w:unhideWhenUsed/>
    <w:qFormat/>
    <w:uiPriority w:val="1"/>
  </w:style>
  <w:style w:type="table" w:default="1" w:styleId="8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260" w:hanging="420"/>
    </w:pPr>
  </w:style>
  <w:style w:type="paragraph" w:styleId="12">
    <w:name w:val="toc 7"/>
    <w:basedOn w:val="1"/>
    <w:next w:val="1"/>
    <w:qFormat/>
    <w:uiPriority w:val="0"/>
    <w:pPr>
      <w:ind w:left="1260"/>
      <w:jc w:val="left"/>
    </w:pPr>
    <w:rPr>
      <w:sz w:val="20"/>
      <w:szCs w:val="20"/>
    </w:rPr>
  </w:style>
  <w:style w:type="paragraph" w:styleId="13">
    <w:name w:val="List Number 2"/>
    <w:basedOn w:val="1"/>
    <w:qFormat/>
    <w:uiPriority w:val="0"/>
    <w:pPr>
      <w:numPr>
        <w:ilvl w:val="0"/>
        <w:numId w:val="2"/>
      </w:numPr>
    </w:pPr>
  </w:style>
  <w:style w:type="paragraph" w:styleId="14">
    <w:name w:val="Note Heading"/>
    <w:basedOn w:val="1"/>
    <w:next w:val="1"/>
    <w:qFormat/>
    <w:uiPriority w:val="0"/>
    <w:pPr>
      <w:jc w:val="center"/>
    </w:pPr>
  </w:style>
  <w:style w:type="paragraph" w:styleId="15">
    <w:name w:val="List Bullet 4"/>
    <w:basedOn w:val="1"/>
    <w:qFormat/>
    <w:uiPriority w:val="0"/>
    <w:pPr>
      <w:numPr>
        <w:ilvl w:val="0"/>
        <w:numId w:val="3"/>
      </w:numPr>
    </w:pPr>
  </w:style>
  <w:style w:type="paragraph" w:styleId="16">
    <w:name w:val="index 8"/>
    <w:basedOn w:val="1"/>
    <w:next w:val="1"/>
    <w:qFormat/>
    <w:uiPriority w:val="0"/>
    <w:pPr>
      <w:ind w:left="1400" w:leftChars="1400"/>
    </w:pPr>
    <w:rPr>
      <w:rFonts w:eastAsia="仿宋_GB2312"/>
      <w:sz w:val="28"/>
    </w:rPr>
  </w:style>
  <w:style w:type="paragraph" w:styleId="17">
    <w:name w:val="E-mail Signature"/>
    <w:basedOn w:val="1"/>
    <w:qFormat/>
    <w:uiPriority w:val="0"/>
  </w:style>
  <w:style w:type="paragraph" w:styleId="18">
    <w:name w:val="List Number"/>
    <w:basedOn w:val="1"/>
    <w:qFormat/>
    <w:uiPriority w:val="0"/>
    <w:pPr>
      <w:numPr>
        <w:ilvl w:val="0"/>
        <w:numId w:val="4"/>
      </w:numPr>
    </w:pPr>
  </w:style>
  <w:style w:type="paragraph" w:styleId="19">
    <w:name w:val="Normal Indent"/>
    <w:basedOn w:val="1"/>
    <w:link w:val="280"/>
    <w:qFormat/>
    <w:uiPriority w:val="0"/>
    <w:pPr>
      <w:ind w:firstLine="420"/>
    </w:pPr>
  </w:style>
  <w:style w:type="paragraph" w:styleId="20">
    <w:name w:val="caption"/>
    <w:basedOn w:val="1"/>
    <w:next w:val="1"/>
    <w:qFormat/>
    <w:uiPriority w:val="35"/>
    <w:pPr>
      <w:spacing w:before="152" w:after="160"/>
    </w:pPr>
    <w:rPr>
      <w:rFonts w:ascii="Arial" w:hAnsi="Arial" w:eastAsia="黑体"/>
      <w:sz w:val="20"/>
      <w:szCs w:val="20"/>
    </w:rPr>
  </w:style>
  <w:style w:type="paragraph" w:styleId="21">
    <w:name w:val="index 5"/>
    <w:basedOn w:val="1"/>
    <w:next w:val="1"/>
    <w:qFormat/>
    <w:uiPriority w:val="0"/>
    <w:pPr>
      <w:ind w:left="800" w:leftChars="800"/>
    </w:pPr>
    <w:rPr>
      <w:rFonts w:eastAsia="仿宋_GB2312"/>
      <w:sz w:val="28"/>
    </w:rPr>
  </w:style>
  <w:style w:type="paragraph" w:styleId="22">
    <w:name w:val="List Bullet"/>
    <w:basedOn w:val="1"/>
    <w:qFormat/>
    <w:uiPriority w:val="0"/>
    <w:pPr>
      <w:numPr>
        <w:ilvl w:val="0"/>
        <w:numId w:val="5"/>
      </w:numPr>
    </w:pPr>
  </w:style>
  <w:style w:type="paragraph" w:styleId="23">
    <w:name w:val="envelope address"/>
    <w:basedOn w:val="1"/>
    <w:qFormat/>
    <w:uiPriority w:val="0"/>
    <w:pPr>
      <w:snapToGrid w:val="0"/>
      <w:ind w:left="2880"/>
    </w:pPr>
    <w:rPr>
      <w:rFonts w:ascii="Arial" w:hAnsi="Arial" w:cs="Arial"/>
      <w:sz w:val="24"/>
    </w:rPr>
  </w:style>
  <w:style w:type="paragraph" w:styleId="24">
    <w:name w:val="Document Map"/>
    <w:basedOn w:val="1"/>
    <w:link w:val="270"/>
    <w:qFormat/>
    <w:uiPriority w:val="99"/>
    <w:pPr>
      <w:shd w:val="clear" w:color="auto" w:fill="000080"/>
    </w:pPr>
  </w:style>
  <w:style w:type="paragraph" w:styleId="25">
    <w:name w:val="annotation text"/>
    <w:basedOn w:val="1"/>
    <w:link w:val="260"/>
    <w:qFormat/>
    <w:uiPriority w:val="99"/>
    <w:pPr>
      <w:jc w:val="left"/>
    </w:pPr>
  </w:style>
  <w:style w:type="paragraph" w:styleId="26">
    <w:name w:val="index 6"/>
    <w:basedOn w:val="1"/>
    <w:next w:val="1"/>
    <w:qFormat/>
    <w:uiPriority w:val="0"/>
    <w:pPr>
      <w:ind w:left="1000" w:leftChars="1000"/>
    </w:pPr>
    <w:rPr>
      <w:rFonts w:eastAsia="仿宋_GB2312"/>
      <w:sz w:val="28"/>
    </w:rPr>
  </w:style>
  <w:style w:type="paragraph" w:styleId="27">
    <w:name w:val="Salutation"/>
    <w:basedOn w:val="1"/>
    <w:next w:val="1"/>
    <w:qFormat/>
    <w:uiPriority w:val="0"/>
  </w:style>
  <w:style w:type="paragraph" w:styleId="28">
    <w:name w:val="Body Text 3"/>
    <w:basedOn w:val="1"/>
    <w:qFormat/>
    <w:uiPriority w:val="0"/>
    <w:pPr>
      <w:spacing w:after="120"/>
    </w:pPr>
    <w:rPr>
      <w:sz w:val="16"/>
      <w:szCs w:val="16"/>
    </w:rPr>
  </w:style>
  <w:style w:type="paragraph" w:styleId="29">
    <w:name w:val="Closing"/>
    <w:basedOn w:val="1"/>
    <w:qFormat/>
    <w:uiPriority w:val="0"/>
    <w:pPr>
      <w:ind w:left="4320"/>
    </w:pPr>
  </w:style>
  <w:style w:type="paragraph" w:styleId="30">
    <w:name w:val="List Bullet 3"/>
    <w:basedOn w:val="1"/>
    <w:qFormat/>
    <w:uiPriority w:val="0"/>
    <w:pPr>
      <w:numPr>
        <w:ilvl w:val="0"/>
        <w:numId w:val="6"/>
      </w:numPr>
    </w:pPr>
  </w:style>
  <w:style w:type="paragraph" w:styleId="31">
    <w:name w:val="Body Text"/>
    <w:basedOn w:val="1"/>
    <w:next w:val="32"/>
    <w:link w:val="243"/>
    <w:qFormat/>
    <w:uiPriority w:val="99"/>
    <w:pPr>
      <w:spacing w:after="120"/>
    </w:pPr>
  </w:style>
  <w:style w:type="paragraph" w:styleId="32">
    <w:name w:val="Title"/>
    <w:basedOn w:val="1"/>
    <w:next w:val="1"/>
    <w:link w:val="110"/>
    <w:qFormat/>
    <w:uiPriority w:val="0"/>
    <w:pPr>
      <w:spacing w:before="240" w:after="60"/>
      <w:jc w:val="center"/>
      <w:outlineLvl w:val="0"/>
    </w:pPr>
    <w:rPr>
      <w:rFonts w:ascii="Arial" w:hAnsi="Arial"/>
      <w:b/>
      <w:bCs/>
      <w:sz w:val="32"/>
      <w:szCs w:val="32"/>
    </w:rPr>
  </w:style>
  <w:style w:type="paragraph" w:styleId="33">
    <w:name w:val="Body Text Indent"/>
    <w:basedOn w:val="1"/>
    <w:link w:val="247"/>
    <w:qFormat/>
    <w:uiPriority w:val="99"/>
    <w:pPr>
      <w:spacing w:after="120"/>
      <w:ind w:left="420"/>
    </w:pPr>
  </w:style>
  <w:style w:type="paragraph" w:styleId="34">
    <w:name w:val="List Number 3"/>
    <w:basedOn w:val="1"/>
    <w:qFormat/>
    <w:uiPriority w:val="0"/>
    <w:pPr>
      <w:numPr>
        <w:ilvl w:val="0"/>
        <w:numId w:val="7"/>
      </w:numPr>
    </w:pPr>
  </w:style>
  <w:style w:type="paragraph" w:styleId="35">
    <w:name w:val="List 2"/>
    <w:basedOn w:val="1"/>
    <w:qFormat/>
    <w:uiPriority w:val="0"/>
    <w:pPr>
      <w:ind w:left="840" w:hanging="420"/>
    </w:pPr>
  </w:style>
  <w:style w:type="paragraph" w:styleId="36">
    <w:name w:val="List Continue"/>
    <w:basedOn w:val="1"/>
    <w:qFormat/>
    <w:uiPriority w:val="0"/>
    <w:pPr>
      <w:spacing w:after="120"/>
      <w:ind w:left="420"/>
    </w:pPr>
  </w:style>
  <w:style w:type="paragraph" w:styleId="37">
    <w:name w:val="Block Text"/>
    <w:basedOn w:val="1"/>
    <w:qFormat/>
    <w:uiPriority w:val="0"/>
    <w:pPr>
      <w:spacing w:after="120"/>
      <w:ind w:left="1440" w:right="1440"/>
    </w:pPr>
  </w:style>
  <w:style w:type="paragraph" w:styleId="38">
    <w:name w:val="List Bullet 2"/>
    <w:basedOn w:val="1"/>
    <w:qFormat/>
    <w:uiPriority w:val="0"/>
    <w:pPr>
      <w:numPr>
        <w:ilvl w:val="0"/>
        <w:numId w:val="8"/>
      </w:numPr>
    </w:pPr>
  </w:style>
  <w:style w:type="paragraph" w:styleId="39">
    <w:name w:val="HTML Address"/>
    <w:basedOn w:val="1"/>
    <w:qFormat/>
    <w:uiPriority w:val="0"/>
    <w:rPr>
      <w:i/>
      <w:iCs/>
    </w:rPr>
  </w:style>
  <w:style w:type="paragraph" w:styleId="40">
    <w:name w:val="index 4"/>
    <w:basedOn w:val="1"/>
    <w:next w:val="1"/>
    <w:qFormat/>
    <w:uiPriority w:val="0"/>
    <w:pPr>
      <w:ind w:left="600" w:leftChars="600"/>
    </w:pPr>
    <w:rPr>
      <w:rFonts w:eastAsia="仿宋_GB2312"/>
      <w:sz w:val="28"/>
    </w:rPr>
  </w:style>
  <w:style w:type="paragraph" w:styleId="41">
    <w:name w:val="toc 5"/>
    <w:basedOn w:val="1"/>
    <w:next w:val="1"/>
    <w:qFormat/>
    <w:uiPriority w:val="0"/>
    <w:pPr>
      <w:ind w:left="840"/>
      <w:jc w:val="left"/>
    </w:pPr>
    <w:rPr>
      <w:sz w:val="20"/>
      <w:szCs w:val="20"/>
    </w:rPr>
  </w:style>
  <w:style w:type="paragraph" w:styleId="42">
    <w:name w:val="toc 3"/>
    <w:basedOn w:val="1"/>
    <w:next w:val="1"/>
    <w:qFormat/>
    <w:uiPriority w:val="39"/>
    <w:pPr>
      <w:ind w:left="840" w:leftChars="400"/>
    </w:pPr>
  </w:style>
  <w:style w:type="paragraph" w:styleId="43">
    <w:name w:val="Plain Text"/>
    <w:basedOn w:val="1"/>
    <w:link w:val="268"/>
    <w:qFormat/>
    <w:uiPriority w:val="99"/>
    <w:rPr>
      <w:rFonts w:ascii="宋体" w:hAnsi="Courier New" w:cs="Courier New"/>
      <w:szCs w:val="21"/>
    </w:rPr>
  </w:style>
  <w:style w:type="paragraph" w:styleId="44">
    <w:name w:val="List Bullet 5"/>
    <w:basedOn w:val="1"/>
    <w:qFormat/>
    <w:uiPriority w:val="0"/>
    <w:pPr>
      <w:numPr>
        <w:ilvl w:val="0"/>
        <w:numId w:val="9"/>
      </w:numPr>
    </w:pPr>
  </w:style>
  <w:style w:type="paragraph" w:styleId="45">
    <w:name w:val="List Number 4"/>
    <w:basedOn w:val="1"/>
    <w:qFormat/>
    <w:uiPriority w:val="0"/>
    <w:pPr>
      <w:numPr>
        <w:ilvl w:val="0"/>
        <w:numId w:val="10"/>
      </w:numPr>
    </w:pPr>
  </w:style>
  <w:style w:type="paragraph" w:styleId="46">
    <w:name w:val="toc 8"/>
    <w:basedOn w:val="1"/>
    <w:next w:val="1"/>
    <w:qFormat/>
    <w:uiPriority w:val="0"/>
    <w:pPr>
      <w:ind w:left="1470"/>
      <w:jc w:val="left"/>
    </w:pPr>
    <w:rPr>
      <w:sz w:val="20"/>
      <w:szCs w:val="20"/>
    </w:rPr>
  </w:style>
  <w:style w:type="paragraph" w:styleId="47">
    <w:name w:val="index 3"/>
    <w:basedOn w:val="1"/>
    <w:next w:val="1"/>
    <w:qFormat/>
    <w:uiPriority w:val="0"/>
    <w:pPr>
      <w:ind w:left="400" w:leftChars="400"/>
    </w:pPr>
    <w:rPr>
      <w:rFonts w:eastAsia="仿宋_GB2312"/>
      <w:sz w:val="28"/>
    </w:rPr>
  </w:style>
  <w:style w:type="paragraph" w:styleId="48">
    <w:name w:val="Date"/>
    <w:basedOn w:val="1"/>
    <w:next w:val="1"/>
    <w:link w:val="282"/>
    <w:qFormat/>
    <w:uiPriority w:val="99"/>
  </w:style>
  <w:style w:type="paragraph" w:styleId="49">
    <w:name w:val="Body Text Indent 2"/>
    <w:basedOn w:val="1"/>
    <w:link w:val="242"/>
    <w:qFormat/>
    <w:uiPriority w:val="99"/>
    <w:pPr>
      <w:spacing w:after="120" w:line="480" w:lineRule="auto"/>
      <w:ind w:left="420"/>
    </w:pPr>
  </w:style>
  <w:style w:type="paragraph" w:styleId="50">
    <w:name w:val="List Continue 5"/>
    <w:basedOn w:val="1"/>
    <w:qFormat/>
    <w:uiPriority w:val="0"/>
    <w:pPr>
      <w:spacing w:after="120"/>
      <w:ind w:left="2100"/>
    </w:pPr>
  </w:style>
  <w:style w:type="paragraph" w:styleId="51">
    <w:name w:val="Balloon Text"/>
    <w:basedOn w:val="1"/>
    <w:link w:val="284"/>
    <w:qFormat/>
    <w:uiPriority w:val="99"/>
    <w:rPr>
      <w:sz w:val="18"/>
      <w:szCs w:val="18"/>
    </w:rPr>
  </w:style>
  <w:style w:type="paragraph" w:styleId="52">
    <w:name w:val="footer"/>
    <w:basedOn w:val="1"/>
    <w:link w:val="285"/>
    <w:qFormat/>
    <w:uiPriority w:val="99"/>
    <w:pPr>
      <w:tabs>
        <w:tab w:val="center" w:pos="4153"/>
        <w:tab w:val="right" w:pos="8306"/>
      </w:tabs>
      <w:snapToGrid w:val="0"/>
      <w:jc w:val="left"/>
    </w:pPr>
    <w:rPr>
      <w:sz w:val="18"/>
      <w:szCs w:val="18"/>
    </w:rPr>
  </w:style>
  <w:style w:type="paragraph" w:styleId="53">
    <w:name w:val="envelope return"/>
    <w:basedOn w:val="1"/>
    <w:qFormat/>
    <w:uiPriority w:val="0"/>
    <w:pPr>
      <w:snapToGrid w:val="0"/>
    </w:pPr>
    <w:rPr>
      <w:rFonts w:ascii="Arial" w:hAnsi="Arial" w:cs="Arial"/>
    </w:rPr>
  </w:style>
  <w:style w:type="paragraph" w:styleId="54">
    <w:name w:val="header"/>
    <w:basedOn w:val="1"/>
    <w:link w:val="291"/>
    <w:qFormat/>
    <w:uiPriority w:val="99"/>
    <w:pPr>
      <w:pBdr>
        <w:bottom w:val="single" w:color="auto" w:sz="6" w:space="1"/>
      </w:pBdr>
      <w:tabs>
        <w:tab w:val="center" w:pos="4153"/>
        <w:tab w:val="right" w:pos="8306"/>
      </w:tabs>
      <w:snapToGrid w:val="0"/>
      <w:jc w:val="center"/>
    </w:pPr>
    <w:rPr>
      <w:sz w:val="18"/>
      <w:szCs w:val="18"/>
    </w:rPr>
  </w:style>
  <w:style w:type="paragraph" w:styleId="55">
    <w:name w:val="Signature"/>
    <w:basedOn w:val="1"/>
    <w:qFormat/>
    <w:uiPriority w:val="0"/>
    <w:pPr>
      <w:ind w:left="4320"/>
    </w:pPr>
  </w:style>
  <w:style w:type="paragraph" w:styleId="56">
    <w:name w:val="toc 1"/>
    <w:basedOn w:val="1"/>
    <w:next w:val="1"/>
    <w:qFormat/>
    <w:uiPriority w:val="39"/>
    <w:rPr>
      <w:b/>
    </w:rPr>
  </w:style>
  <w:style w:type="paragraph" w:styleId="57">
    <w:name w:val="List Continue 4"/>
    <w:basedOn w:val="1"/>
    <w:qFormat/>
    <w:uiPriority w:val="0"/>
    <w:pPr>
      <w:spacing w:after="120"/>
      <w:ind w:left="1680"/>
    </w:pPr>
  </w:style>
  <w:style w:type="paragraph" w:styleId="58">
    <w:name w:val="toc 4"/>
    <w:basedOn w:val="1"/>
    <w:next w:val="1"/>
    <w:qFormat/>
    <w:uiPriority w:val="99"/>
    <w:pPr>
      <w:ind w:left="630"/>
      <w:jc w:val="left"/>
    </w:pPr>
    <w:rPr>
      <w:sz w:val="20"/>
      <w:szCs w:val="20"/>
    </w:rPr>
  </w:style>
  <w:style w:type="paragraph" w:styleId="59">
    <w:name w:val="index heading"/>
    <w:basedOn w:val="1"/>
    <w:next w:val="60"/>
    <w:qFormat/>
    <w:uiPriority w:val="0"/>
    <w:rPr>
      <w:rFonts w:eastAsia="仿宋_GB2312"/>
      <w:sz w:val="28"/>
    </w:rPr>
  </w:style>
  <w:style w:type="paragraph" w:styleId="60">
    <w:name w:val="index 1"/>
    <w:basedOn w:val="1"/>
    <w:next w:val="1"/>
    <w:qFormat/>
    <w:uiPriority w:val="0"/>
    <w:rPr>
      <w:rFonts w:eastAsia="仿宋_GB2312"/>
      <w:sz w:val="28"/>
    </w:rPr>
  </w:style>
  <w:style w:type="paragraph" w:styleId="61">
    <w:name w:val="Subtitle"/>
    <w:basedOn w:val="1"/>
    <w:qFormat/>
    <w:uiPriority w:val="0"/>
    <w:pPr>
      <w:spacing w:before="240" w:after="60" w:line="312" w:lineRule="auto"/>
      <w:jc w:val="center"/>
      <w:outlineLvl w:val="1"/>
    </w:pPr>
    <w:rPr>
      <w:rFonts w:ascii="Arial" w:hAnsi="Arial" w:cs="Arial"/>
      <w:b/>
      <w:bCs/>
      <w:kern w:val="28"/>
      <w:sz w:val="32"/>
      <w:szCs w:val="32"/>
    </w:rPr>
  </w:style>
  <w:style w:type="paragraph" w:styleId="62">
    <w:name w:val="List Number 5"/>
    <w:basedOn w:val="1"/>
    <w:qFormat/>
    <w:uiPriority w:val="0"/>
    <w:pPr>
      <w:numPr>
        <w:ilvl w:val="0"/>
        <w:numId w:val="11"/>
      </w:numPr>
    </w:pPr>
  </w:style>
  <w:style w:type="paragraph" w:styleId="63">
    <w:name w:val="List"/>
    <w:basedOn w:val="1"/>
    <w:qFormat/>
    <w:uiPriority w:val="0"/>
    <w:pPr>
      <w:ind w:left="420" w:hanging="420"/>
    </w:pPr>
  </w:style>
  <w:style w:type="paragraph" w:styleId="64">
    <w:name w:val="toc 6"/>
    <w:basedOn w:val="1"/>
    <w:next w:val="1"/>
    <w:qFormat/>
    <w:uiPriority w:val="99"/>
    <w:pPr>
      <w:ind w:left="1050"/>
      <w:jc w:val="left"/>
    </w:pPr>
    <w:rPr>
      <w:sz w:val="20"/>
      <w:szCs w:val="20"/>
    </w:rPr>
  </w:style>
  <w:style w:type="paragraph" w:styleId="65">
    <w:name w:val="List 5"/>
    <w:basedOn w:val="1"/>
    <w:qFormat/>
    <w:uiPriority w:val="0"/>
    <w:pPr>
      <w:ind w:left="2100" w:hanging="420"/>
    </w:pPr>
  </w:style>
  <w:style w:type="paragraph" w:styleId="66">
    <w:name w:val="Body Text Indent 3"/>
    <w:basedOn w:val="1"/>
    <w:link w:val="265"/>
    <w:qFormat/>
    <w:uiPriority w:val="99"/>
    <w:pPr>
      <w:spacing w:after="120"/>
      <w:ind w:left="420"/>
    </w:pPr>
    <w:rPr>
      <w:sz w:val="16"/>
      <w:szCs w:val="16"/>
    </w:rPr>
  </w:style>
  <w:style w:type="paragraph" w:styleId="67">
    <w:name w:val="index 7"/>
    <w:basedOn w:val="1"/>
    <w:next w:val="1"/>
    <w:qFormat/>
    <w:uiPriority w:val="0"/>
    <w:pPr>
      <w:ind w:left="1200" w:leftChars="1200"/>
    </w:pPr>
    <w:rPr>
      <w:rFonts w:eastAsia="仿宋_GB2312"/>
      <w:sz w:val="28"/>
    </w:rPr>
  </w:style>
  <w:style w:type="paragraph" w:styleId="68">
    <w:name w:val="index 9"/>
    <w:basedOn w:val="1"/>
    <w:next w:val="1"/>
    <w:qFormat/>
    <w:uiPriority w:val="0"/>
    <w:pPr>
      <w:ind w:left="1600" w:leftChars="1600"/>
    </w:pPr>
    <w:rPr>
      <w:rFonts w:eastAsia="仿宋_GB2312"/>
      <w:sz w:val="28"/>
    </w:rPr>
  </w:style>
  <w:style w:type="paragraph" w:styleId="69">
    <w:name w:val="table of figures"/>
    <w:basedOn w:val="1"/>
    <w:next w:val="1"/>
    <w:qFormat/>
    <w:uiPriority w:val="0"/>
    <w:pPr>
      <w:ind w:left="200" w:leftChars="200" w:hanging="200" w:hangingChars="200"/>
    </w:pPr>
  </w:style>
  <w:style w:type="paragraph" w:styleId="70">
    <w:name w:val="toc 2"/>
    <w:basedOn w:val="1"/>
    <w:next w:val="1"/>
    <w:qFormat/>
    <w:uiPriority w:val="39"/>
    <w:pPr>
      <w:ind w:left="420" w:leftChars="200"/>
    </w:pPr>
  </w:style>
  <w:style w:type="paragraph" w:styleId="71">
    <w:name w:val="toc 9"/>
    <w:basedOn w:val="1"/>
    <w:next w:val="1"/>
    <w:qFormat/>
    <w:uiPriority w:val="0"/>
    <w:pPr>
      <w:ind w:left="1680"/>
      <w:jc w:val="left"/>
    </w:pPr>
    <w:rPr>
      <w:sz w:val="20"/>
      <w:szCs w:val="20"/>
    </w:rPr>
  </w:style>
  <w:style w:type="paragraph" w:styleId="72">
    <w:name w:val="Body Text 2"/>
    <w:basedOn w:val="1"/>
    <w:qFormat/>
    <w:uiPriority w:val="0"/>
    <w:pPr>
      <w:spacing w:after="120" w:line="480" w:lineRule="auto"/>
    </w:pPr>
  </w:style>
  <w:style w:type="paragraph" w:styleId="73">
    <w:name w:val="List 4"/>
    <w:basedOn w:val="1"/>
    <w:qFormat/>
    <w:uiPriority w:val="0"/>
    <w:pPr>
      <w:ind w:left="1680" w:hanging="420"/>
    </w:pPr>
  </w:style>
  <w:style w:type="paragraph" w:styleId="74">
    <w:name w:val="List Continue 2"/>
    <w:basedOn w:val="1"/>
    <w:qFormat/>
    <w:uiPriority w:val="0"/>
    <w:pPr>
      <w:spacing w:after="120"/>
      <w:ind w:left="840"/>
    </w:pPr>
  </w:style>
  <w:style w:type="paragraph" w:styleId="75">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cs="Arial"/>
      <w:sz w:val="24"/>
    </w:rPr>
  </w:style>
  <w:style w:type="paragraph" w:styleId="76">
    <w:name w:val="HTML Preformatted"/>
    <w:basedOn w:val="1"/>
    <w:qFormat/>
    <w:uiPriority w:val="0"/>
    <w:rPr>
      <w:rFonts w:ascii="Courier New" w:hAnsi="Courier New" w:cs="Courier New"/>
      <w:sz w:val="20"/>
      <w:szCs w:val="20"/>
    </w:rPr>
  </w:style>
  <w:style w:type="paragraph" w:styleId="77">
    <w:name w:val="Normal (Web)"/>
    <w:basedOn w:val="1"/>
    <w:qFormat/>
    <w:uiPriority w:val="99"/>
    <w:rPr>
      <w:sz w:val="24"/>
    </w:rPr>
  </w:style>
  <w:style w:type="paragraph" w:styleId="78">
    <w:name w:val="List Continue 3"/>
    <w:basedOn w:val="1"/>
    <w:qFormat/>
    <w:uiPriority w:val="0"/>
    <w:pPr>
      <w:spacing w:after="120"/>
      <w:ind w:left="1260"/>
    </w:pPr>
  </w:style>
  <w:style w:type="paragraph" w:styleId="79">
    <w:name w:val="index 2"/>
    <w:basedOn w:val="1"/>
    <w:next w:val="1"/>
    <w:qFormat/>
    <w:uiPriority w:val="0"/>
    <w:pPr>
      <w:ind w:left="200" w:leftChars="200"/>
    </w:pPr>
    <w:rPr>
      <w:rFonts w:eastAsia="仿宋_GB2312"/>
      <w:sz w:val="28"/>
    </w:rPr>
  </w:style>
  <w:style w:type="paragraph" w:styleId="80">
    <w:name w:val="annotation subject"/>
    <w:basedOn w:val="25"/>
    <w:next w:val="25"/>
    <w:link w:val="258"/>
    <w:qFormat/>
    <w:uiPriority w:val="99"/>
    <w:rPr>
      <w:b/>
      <w:bCs/>
    </w:rPr>
  </w:style>
  <w:style w:type="paragraph" w:styleId="81">
    <w:name w:val="Body Text First Indent"/>
    <w:basedOn w:val="31"/>
    <w:qFormat/>
    <w:uiPriority w:val="0"/>
    <w:pPr>
      <w:ind w:firstLine="420"/>
    </w:pPr>
  </w:style>
  <w:style w:type="paragraph" w:styleId="82">
    <w:name w:val="Body Text First Indent 2"/>
    <w:basedOn w:val="33"/>
    <w:qFormat/>
    <w:uiPriority w:val="0"/>
    <w:pPr>
      <w:ind w:firstLine="420"/>
    </w:pPr>
  </w:style>
  <w:style w:type="table" w:styleId="84">
    <w:name w:val="Table Grid"/>
    <w:basedOn w:val="83"/>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86">
    <w:name w:val="Strong"/>
    <w:qFormat/>
    <w:uiPriority w:val="0"/>
    <w:rPr>
      <w:b/>
      <w:bCs/>
    </w:rPr>
  </w:style>
  <w:style w:type="character" w:styleId="87">
    <w:name w:val="page number"/>
    <w:basedOn w:val="85"/>
    <w:qFormat/>
    <w:uiPriority w:val="99"/>
  </w:style>
  <w:style w:type="character" w:styleId="88">
    <w:name w:val="FollowedHyperlink"/>
    <w:qFormat/>
    <w:uiPriority w:val="99"/>
    <w:rPr>
      <w:color w:val="800080"/>
      <w:u w:val="single"/>
    </w:rPr>
  </w:style>
  <w:style w:type="character" w:styleId="89">
    <w:name w:val="Emphasis"/>
    <w:qFormat/>
    <w:uiPriority w:val="99"/>
    <w:rPr>
      <w:i/>
      <w:iCs/>
    </w:rPr>
  </w:style>
  <w:style w:type="character" w:styleId="90">
    <w:name w:val="line number"/>
    <w:basedOn w:val="85"/>
    <w:qFormat/>
    <w:uiPriority w:val="0"/>
  </w:style>
  <w:style w:type="character" w:styleId="91">
    <w:name w:val="HTML Definition"/>
    <w:qFormat/>
    <w:uiPriority w:val="0"/>
    <w:rPr>
      <w:i/>
      <w:iCs/>
    </w:rPr>
  </w:style>
  <w:style w:type="character" w:styleId="92">
    <w:name w:val="HTML Typewriter"/>
    <w:qFormat/>
    <w:uiPriority w:val="0"/>
    <w:rPr>
      <w:rFonts w:ascii="Courier New" w:hAnsi="Courier New" w:cs="Courier New"/>
      <w:sz w:val="20"/>
      <w:szCs w:val="20"/>
    </w:rPr>
  </w:style>
  <w:style w:type="character" w:styleId="93">
    <w:name w:val="HTML Acronym"/>
    <w:basedOn w:val="85"/>
    <w:qFormat/>
    <w:uiPriority w:val="0"/>
  </w:style>
  <w:style w:type="character" w:styleId="94">
    <w:name w:val="HTML Variable"/>
    <w:qFormat/>
    <w:uiPriority w:val="0"/>
    <w:rPr>
      <w:i/>
      <w:iCs/>
    </w:rPr>
  </w:style>
  <w:style w:type="character" w:styleId="95">
    <w:name w:val="Hyperlink"/>
    <w:qFormat/>
    <w:uiPriority w:val="99"/>
    <w:rPr>
      <w:rFonts w:ascii="宋体" w:hAnsi="宋体" w:eastAsia="宋体"/>
      <w:b/>
      <w:color w:val="0000FF"/>
      <w:kern w:val="2"/>
      <w:sz w:val="24"/>
      <w:szCs w:val="24"/>
      <w:u w:val="single"/>
      <w:lang w:val="en-US" w:eastAsia="zh-CN" w:bidi="ar-SA"/>
    </w:rPr>
  </w:style>
  <w:style w:type="character" w:styleId="96">
    <w:name w:val="HTML Code"/>
    <w:qFormat/>
    <w:uiPriority w:val="0"/>
    <w:rPr>
      <w:rFonts w:ascii="Courier New" w:hAnsi="Courier New" w:cs="Courier New"/>
      <w:sz w:val="20"/>
      <w:szCs w:val="20"/>
    </w:rPr>
  </w:style>
  <w:style w:type="character" w:styleId="97">
    <w:name w:val="annotation reference"/>
    <w:qFormat/>
    <w:uiPriority w:val="99"/>
    <w:rPr>
      <w:sz w:val="21"/>
      <w:szCs w:val="21"/>
    </w:rPr>
  </w:style>
  <w:style w:type="character" w:styleId="98">
    <w:name w:val="HTML Cite"/>
    <w:qFormat/>
    <w:uiPriority w:val="0"/>
    <w:rPr>
      <w:i/>
      <w:iCs/>
    </w:rPr>
  </w:style>
  <w:style w:type="character" w:styleId="99">
    <w:name w:val="HTML Keyboard"/>
    <w:qFormat/>
    <w:uiPriority w:val="0"/>
    <w:rPr>
      <w:rFonts w:ascii="Courier New" w:hAnsi="Courier New" w:cs="Courier New"/>
      <w:sz w:val="20"/>
      <w:szCs w:val="20"/>
    </w:rPr>
  </w:style>
  <w:style w:type="character" w:styleId="100">
    <w:name w:val="HTML Sample"/>
    <w:qFormat/>
    <w:uiPriority w:val="0"/>
    <w:rPr>
      <w:rFonts w:ascii="Courier New" w:hAnsi="Courier New" w:cs="Courier New"/>
    </w:rPr>
  </w:style>
  <w:style w:type="character" w:customStyle="1" w:styleId="101">
    <w:name w:val="标题 1 Char"/>
    <w:link w:val="2"/>
    <w:qFormat/>
    <w:uiPriority w:val="0"/>
    <w:rPr>
      <w:b/>
      <w:kern w:val="44"/>
      <w:sz w:val="24"/>
      <w:szCs w:val="22"/>
    </w:rPr>
  </w:style>
  <w:style w:type="character" w:customStyle="1" w:styleId="102">
    <w:name w:val="标题 2 Char"/>
    <w:link w:val="3"/>
    <w:qFormat/>
    <w:uiPriority w:val="0"/>
    <w:rPr>
      <w:b/>
      <w:bCs/>
      <w:kern w:val="2"/>
      <w:sz w:val="24"/>
      <w:szCs w:val="21"/>
    </w:rPr>
  </w:style>
  <w:style w:type="character" w:customStyle="1" w:styleId="103">
    <w:name w:val="标题 3 Char"/>
    <w:link w:val="4"/>
    <w:qFormat/>
    <w:uiPriority w:val="0"/>
    <w:rPr>
      <w:b/>
      <w:bCs/>
      <w:kern w:val="2"/>
      <w:sz w:val="24"/>
      <w:szCs w:val="28"/>
    </w:rPr>
  </w:style>
  <w:style w:type="paragraph" w:customStyle="1" w:styleId="104">
    <w:name w:val="二级条标题"/>
    <w:basedOn w:val="1"/>
    <w:next w:val="1"/>
    <w:link w:val="288"/>
    <w:qFormat/>
    <w:uiPriority w:val="0"/>
    <w:pPr>
      <w:widowControl/>
      <w:outlineLvl w:val="3"/>
    </w:pPr>
    <w:rPr>
      <w:rFonts w:ascii="黑体" w:eastAsia="黑体"/>
      <w:b/>
      <w:kern w:val="0"/>
      <w:szCs w:val="20"/>
    </w:rPr>
  </w:style>
  <w:style w:type="paragraph" w:customStyle="1" w:styleId="105">
    <w:name w:val="章标题"/>
    <w:next w:val="106"/>
    <w:qFormat/>
    <w:uiPriority w:val="0"/>
    <w:pPr>
      <w:numPr>
        <w:ilvl w:val="1"/>
        <w:numId w:val="12"/>
      </w:numPr>
      <w:tabs>
        <w:tab w:val="left" w:pos="420"/>
        <w:tab w:val="clear" w:pos="780"/>
      </w:tabs>
      <w:spacing w:before="156" w:beforeLines="50" w:after="156" w:afterLines="50"/>
      <w:jc w:val="both"/>
      <w:outlineLvl w:val="1"/>
    </w:pPr>
    <w:rPr>
      <w:rFonts w:ascii="黑体" w:hAnsi="Times New Roman" w:eastAsia="黑体" w:cs="Times New Roman"/>
      <w:b/>
      <w:sz w:val="21"/>
      <w:lang w:val="en-US" w:eastAsia="zh-CN" w:bidi="ar-SA"/>
    </w:rPr>
  </w:style>
  <w:style w:type="paragraph" w:customStyle="1" w:styleId="106">
    <w:name w:val="段"/>
    <w:link w:val="275"/>
    <w:qFormat/>
    <w:uiPriority w:val="0"/>
    <w:pPr>
      <w:ind w:firstLine="200" w:firstLineChars="200"/>
      <w:jc w:val="both"/>
    </w:pPr>
    <w:rPr>
      <w:rFonts w:ascii="宋体" w:hAnsi="Times New Roman" w:eastAsia="宋体" w:cs="Times New Roman"/>
      <w:sz w:val="21"/>
      <w:lang w:val="en-US" w:eastAsia="zh-CN" w:bidi="ar-SA"/>
    </w:rPr>
  </w:style>
  <w:style w:type="paragraph" w:customStyle="1" w:styleId="107">
    <w:name w:val="一级条标题"/>
    <w:basedOn w:val="105"/>
    <w:next w:val="106"/>
    <w:qFormat/>
    <w:uiPriority w:val="0"/>
    <w:pPr>
      <w:numPr>
        <w:ilvl w:val="2"/>
      </w:numPr>
      <w:tabs>
        <w:tab w:val="left" w:pos="525"/>
      </w:tabs>
      <w:spacing w:before="0" w:beforeLines="0" w:after="0" w:afterLines="0"/>
      <w:outlineLvl w:val="2"/>
    </w:pPr>
  </w:style>
  <w:style w:type="character" w:customStyle="1" w:styleId="108">
    <w:name w:val="标题 4 Char"/>
    <w:link w:val="5"/>
    <w:qFormat/>
    <w:uiPriority w:val="0"/>
    <w:rPr>
      <w:rFonts w:ascii="Arial" w:hAnsi="Arial"/>
      <w:b/>
      <w:bCs/>
      <w:kern w:val="2"/>
      <w:sz w:val="21"/>
      <w:szCs w:val="28"/>
    </w:rPr>
  </w:style>
  <w:style w:type="character" w:customStyle="1" w:styleId="109">
    <w:name w:val="标题 5 Char"/>
    <w:link w:val="6"/>
    <w:qFormat/>
    <w:uiPriority w:val="0"/>
    <w:rPr>
      <w:rFonts w:eastAsia="黑体"/>
      <w:b/>
      <w:bCs/>
      <w:kern w:val="2"/>
      <w:sz w:val="21"/>
      <w:szCs w:val="28"/>
    </w:rPr>
  </w:style>
  <w:style w:type="character" w:customStyle="1" w:styleId="110">
    <w:name w:val="标题 Char"/>
    <w:link w:val="32"/>
    <w:qFormat/>
    <w:uiPriority w:val="0"/>
    <w:rPr>
      <w:rFonts w:ascii="Arial" w:hAnsi="Arial" w:cs="Arial"/>
      <w:b/>
      <w:bCs/>
      <w:kern w:val="2"/>
      <w:sz w:val="32"/>
      <w:szCs w:val="32"/>
    </w:rPr>
  </w:style>
  <w:style w:type="paragraph" w:customStyle="1" w:styleId="111">
    <w:name w:val="样式2"/>
    <w:basedOn w:val="3"/>
    <w:qFormat/>
    <w:uiPriority w:val="0"/>
    <w:pPr>
      <w:tabs>
        <w:tab w:val="left" w:pos="567"/>
        <w:tab w:val="left" w:pos="850"/>
        <w:tab w:val="clear" w:pos="0"/>
        <w:tab w:val="clear" w:pos="1276"/>
      </w:tabs>
      <w:spacing w:line="960" w:lineRule="auto"/>
    </w:pPr>
    <w:rPr>
      <w:b w:val="0"/>
      <w:bCs w:val="0"/>
      <w:sz w:val="36"/>
      <w:szCs w:val="36"/>
    </w:rPr>
  </w:style>
  <w:style w:type="paragraph" w:customStyle="1" w:styleId="112">
    <w:name w:val="Char Char Char Char Char Char Char Char Char Char Char Char Char"/>
    <w:basedOn w:val="1"/>
    <w:qFormat/>
    <w:uiPriority w:val="0"/>
    <w:pPr>
      <w:spacing w:line="360" w:lineRule="auto"/>
      <w:ind w:firstLine="200" w:firstLineChars="200"/>
    </w:pPr>
    <w:rPr>
      <w:rFonts w:ascii="宋体" w:hAnsi="宋体" w:cs="宋体"/>
      <w:sz w:val="24"/>
    </w:rPr>
  </w:style>
  <w:style w:type="paragraph" w:customStyle="1" w:styleId="113">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kern w:val="0"/>
      <w:sz w:val="16"/>
      <w:szCs w:val="16"/>
    </w:rPr>
  </w:style>
  <w:style w:type="paragraph" w:customStyle="1" w:styleId="114">
    <w:name w:val="标题 3 + 小四 段前: 0 磅 段后: 0 磅 行距: 1.5 倍行距"/>
    <w:basedOn w:val="4"/>
    <w:next w:val="4"/>
    <w:qFormat/>
    <w:uiPriority w:val="0"/>
    <w:pPr>
      <w:tabs>
        <w:tab w:val="clear" w:pos="0"/>
      </w:tabs>
    </w:pPr>
    <w:rPr>
      <w:rFonts w:cs="宋体"/>
      <w:szCs w:val="20"/>
    </w:rPr>
  </w:style>
  <w:style w:type="paragraph" w:customStyle="1" w:styleId="115">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16">
    <w:name w:val="首行缩进"/>
    <w:basedOn w:val="1"/>
    <w:link w:val="279"/>
    <w:qFormat/>
    <w:uiPriority w:val="99"/>
    <w:pPr>
      <w:spacing w:line="300" w:lineRule="auto"/>
      <w:ind w:firstLine="420" w:firstLineChars="200"/>
    </w:pPr>
    <w:rPr>
      <w:rFonts w:eastAsia="方正书宋简体" w:cs="宋体"/>
      <w:szCs w:val="20"/>
    </w:rPr>
  </w:style>
  <w:style w:type="paragraph" w:customStyle="1" w:styleId="117">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20"/>
      <w:szCs w:val="20"/>
    </w:rPr>
  </w:style>
  <w:style w:type="paragraph" w:customStyle="1" w:styleId="118">
    <w:name w:val="四级无标题条"/>
    <w:basedOn w:val="1"/>
    <w:qFormat/>
    <w:uiPriority w:val="0"/>
    <w:pPr>
      <w:numPr>
        <w:ilvl w:val="5"/>
        <w:numId w:val="13"/>
      </w:numPr>
    </w:pPr>
  </w:style>
  <w:style w:type="paragraph" w:customStyle="1" w:styleId="119">
    <w:name w:val="Style3"/>
    <w:basedOn w:val="3"/>
    <w:qFormat/>
    <w:uiPriority w:val="99"/>
    <w:pPr>
      <w:numPr>
        <w:ilvl w:val="0"/>
        <w:numId w:val="0"/>
      </w:numPr>
      <w:tabs>
        <w:tab w:val="clear" w:pos="0"/>
      </w:tabs>
      <w:topLinePunct w:val="0"/>
    </w:pPr>
    <w:rPr>
      <w:rFonts w:ascii="黑体" w:hAnsi="黑体"/>
      <w:szCs w:val="32"/>
    </w:rPr>
  </w:style>
  <w:style w:type="paragraph" w:customStyle="1" w:styleId="120">
    <w:name w:val="三级无标题条"/>
    <w:basedOn w:val="1"/>
    <w:qFormat/>
    <w:uiPriority w:val="0"/>
    <w:pPr>
      <w:numPr>
        <w:ilvl w:val="4"/>
        <w:numId w:val="13"/>
      </w:numPr>
    </w:pPr>
  </w:style>
  <w:style w:type="paragraph" w:customStyle="1" w:styleId="121">
    <w:name w:val="CM32"/>
    <w:basedOn w:val="115"/>
    <w:next w:val="115"/>
    <w:qFormat/>
    <w:uiPriority w:val="99"/>
    <w:pPr>
      <w:spacing w:line="313" w:lineRule="atLeast"/>
    </w:pPr>
    <w:rPr>
      <w:rFonts w:cs="Times New Roman"/>
      <w:color w:val="auto"/>
      <w:sz w:val="20"/>
    </w:rPr>
  </w:style>
  <w:style w:type="paragraph" w:customStyle="1" w:styleId="122">
    <w:name w:val="CM2"/>
    <w:basedOn w:val="115"/>
    <w:next w:val="115"/>
    <w:qFormat/>
    <w:uiPriority w:val="99"/>
    <w:pPr>
      <w:spacing w:line="313" w:lineRule="atLeast"/>
    </w:pPr>
    <w:rPr>
      <w:rFonts w:cs="Times New Roman"/>
      <w:color w:val="auto"/>
      <w:sz w:val="20"/>
    </w:rPr>
  </w:style>
  <w:style w:type="paragraph" w:customStyle="1" w:styleId="123">
    <w:name w:val="五级无标题条"/>
    <w:basedOn w:val="1"/>
    <w:qFormat/>
    <w:uiPriority w:val="0"/>
    <w:pPr>
      <w:numPr>
        <w:ilvl w:val="6"/>
        <w:numId w:val="13"/>
      </w:numPr>
    </w:pPr>
  </w:style>
  <w:style w:type="paragraph" w:customStyle="1" w:styleId="124">
    <w:name w:val="CM75"/>
    <w:basedOn w:val="115"/>
    <w:next w:val="115"/>
    <w:qFormat/>
    <w:uiPriority w:val="99"/>
    <w:pPr>
      <w:spacing w:line="593" w:lineRule="atLeast"/>
    </w:pPr>
    <w:rPr>
      <w:rFonts w:cs="Times New Roman"/>
      <w:color w:val="auto"/>
      <w:sz w:val="20"/>
    </w:rPr>
  </w:style>
  <w:style w:type="paragraph" w:customStyle="1" w:styleId="125">
    <w:name w:val="xl4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16"/>
      <w:szCs w:val="16"/>
    </w:rPr>
  </w:style>
  <w:style w:type="paragraph" w:customStyle="1" w:styleId="126">
    <w:name w:val="TOC 标题1"/>
    <w:basedOn w:val="2"/>
    <w:next w:val="1"/>
    <w:qFormat/>
    <w:uiPriority w:val="99"/>
    <w:pPr>
      <w:widowControl/>
      <w:numPr>
        <w:numId w:val="0"/>
      </w:numPr>
      <w:topLinePunct w:val="0"/>
      <w:spacing w:before="480" w:after="60" w:line="276" w:lineRule="auto"/>
      <w:jc w:val="left"/>
      <w:textAlignment w:val="auto"/>
      <w:outlineLvl w:val="9"/>
    </w:pPr>
    <w:rPr>
      <w:rFonts w:ascii="Cambria" w:hAnsi="Cambria" w:eastAsia="黑体"/>
      <w:bCs/>
      <w:color w:val="365F91"/>
      <w:kern w:val="0"/>
      <w:sz w:val="28"/>
      <w:szCs w:val="28"/>
    </w:rPr>
  </w:style>
  <w:style w:type="paragraph" w:customStyle="1" w:styleId="127">
    <w:name w:val="节小标题"/>
    <w:basedOn w:val="9"/>
    <w:qFormat/>
    <w:uiPriority w:val="0"/>
    <w:pPr>
      <w:adjustRightInd w:val="0"/>
      <w:snapToGrid w:val="0"/>
      <w:spacing w:before="100" w:after="0" w:line="300" w:lineRule="auto"/>
      <w:ind w:firstLine="359"/>
      <w:outlineLvl w:val="9"/>
    </w:pPr>
    <w:rPr>
      <w:rFonts w:ascii="Times New Roman" w:hAnsi="Times New Roman" w:eastAsia="仿宋_GB2312"/>
      <w:sz w:val="30"/>
      <w:szCs w:val="20"/>
    </w:rPr>
  </w:style>
  <w:style w:type="paragraph" w:customStyle="1" w:styleId="128">
    <w:name w:val="xl26"/>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szCs w:val="16"/>
    </w:rPr>
  </w:style>
  <w:style w:type="paragraph" w:customStyle="1" w:styleId="129">
    <w:name w:val="样式6"/>
    <w:basedOn w:val="1"/>
    <w:link w:val="252"/>
    <w:qFormat/>
    <w:uiPriority w:val="0"/>
    <w:pPr>
      <w:numPr>
        <w:ilvl w:val="2"/>
        <w:numId w:val="14"/>
      </w:numPr>
    </w:pPr>
  </w:style>
  <w:style w:type="paragraph" w:customStyle="1" w:styleId="130">
    <w:name w:val="列出段落1"/>
    <w:basedOn w:val="1"/>
    <w:qFormat/>
    <w:uiPriority w:val="99"/>
    <w:pPr>
      <w:spacing w:line="360" w:lineRule="auto"/>
      <w:ind w:firstLine="200" w:firstLineChars="200"/>
    </w:pPr>
    <w:rPr>
      <w:rFonts w:ascii="Calibri" w:hAnsi="Calibri"/>
      <w:szCs w:val="22"/>
    </w:rPr>
  </w:style>
  <w:style w:type="paragraph" w:customStyle="1" w:styleId="131">
    <w:name w:val="图注释"/>
    <w:basedOn w:val="1"/>
    <w:qFormat/>
    <w:uiPriority w:val="0"/>
    <w:pPr>
      <w:jc w:val="center"/>
    </w:pPr>
    <w:rPr>
      <w:bCs/>
      <w:kern w:val="0"/>
      <w:sz w:val="18"/>
      <w:szCs w:val="21"/>
    </w:rPr>
  </w:style>
  <w:style w:type="paragraph" w:customStyle="1" w:styleId="132">
    <w:name w:val="括号正文"/>
    <w:basedOn w:val="1"/>
    <w:qFormat/>
    <w:uiPriority w:val="0"/>
    <w:pPr>
      <w:tabs>
        <w:tab w:val="left" w:pos="840"/>
        <w:tab w:val="left" w:pos="2040"/>
      </w:tabs>
      <w:ind w:left="2040" w:hanging="360"/>
    </w:pPr>
    <w:rPr>
      <w:kern w:val="0"/>
      <w:szCs w:val="21"/>
    </w:rPr>
  </w:style>
  <w:style w:type="paragraph" w:customStyle="1" w:styleId="133">
    <w:name w:val="四级条标题"/>
    <w:basedOn w:val="134"/>
    <w:next w:val="106"/>
    <w:qFormat/>
    <w:uiPriority w:val="0"/>
    <w:pPr>
      <w:tabs>
        <w:tab w:val="left" w:pos="945"/>
        <w:tab w:val="left" w:pos="1021"/>
        <w:tab w:val="left" w:pos="1080"/>
        <w:tab w:val="left" w:pos="1155"/>
      </w:tabs>
      <w:outlineLvl w:val="5"/>
    </w:pPr>
  </w:style>
  <w:style w:type="paragraph" w:customStyle="1" w:styleId="134">
    <w:name w:val="三级条标题"/>
    <w:basedOn w:val="104"/>
    <w:next w:val="106"/>
    <w:qFormat/>
    <w:uiPriority w:val="0"/>
    <w:pPr>
      <w:tabs>
        <w:tab w:val="left" w:pos="945"/>
        <w:tab w:val="left" w:pos="1080"/>
      </w:tabs>
      <w:outlineLvl w:val="4"/>
    </w:pPr>
  </w:style>
  <w:style w:type="paragraph" w:customStyle="1" w:styleId="135">
    <w:name w:val="Char"/>
    <w:basedOn w:val="1"/>
    <w:qFormat/>
    <w:uiPriority w:val="0"/>
  </w:style>
  <w:style w:type="paragraph" w:customStyle="1" w:styleId="136">
    <w:name w:val="样式5"/>
    <w:qFormat/>
    <w:uiPriority w:val="0"/>
    <w:pPr>
      <w:snapToGrid w:val="0"/>
      <w:spacing w:before="160" w:after="40"/>
      <w:jc w:val="center"/>
    </w:pPr>
    <w:rPr>
      <w:rFonts w:ascii="Times New Roman" w:hAnsi="Times New Roman" w:eastAsia="宋体" w:cs="宋体"/>
      <w:kern w:val="2"/>
      <w:sz w:val="18"/>
      <w:lang w:val="en-US" w:eastAsia="zh-CN" w:bidi="ar-SA"/>
    </w:rPr>
  </w:style>
  <w:style w:type="paragraph" w:customStyle="1" w:styleId="137">
    <w:name w:val="样式 标题 2标题 2 Char + 宋体"/>
    <w:basedOn w:val="3"/>
    <w:qFormat/>
    <w:uiPriority w:val="0"/>
    <w:pPr>
      <w:keepNext w:val="0"/>
      <w:numPr>
        <w:numId w:val="15"/>
      </w:numPr>
      <w:tabs>
        <w:tab w:val="left" w:pos="900"/>
        <w:tab w:val="left" w:pos="1320"/>
        <w:tab w:val="clear" w:pos="0"/>
      </w:tabs>
      <w:topLinePunct w:val="0"/>
      <w:adjustRightInd w:val="0"/>
      <w:snapToGrid w:val="0"/>
    </w:pPr>
    <w:rPr>
      <w:rFonts w:ascii="宋体"/>
      <w:bCs w:val="0"/>
    </w:rPr>
  </w:style>
  <w:style w:type="paragraph" w:customStyle="1" w:styleId="138">
    <w:name w:val="font6"/>
    <w:basedOn w:val="1"/>
    <w:qFormat/>
    <w:uiPriority w:val="0"/>
    <w:pPr>
      <w:widowControl/>
      <w:spacing w:before="100" w:beforeAutospacing="1" w:after="100" w:afterAutospacing="1"/>
      <w:jc w:val="left"/>
    </w:pPr>
    <w:rPr>
      <w:rFonts w:hint="eastAsia" w:ascii="宋体" w:hAnsi="宋体"/>
      <w:color w:val="000000"/>
      <w:kern w:val="0"/>
      <w:sz w:val="20"/>
      <w:szCs w:val="20"/>
    </w:rPr>
  </w:style>
  <w:style w:type="paragraph" w:customStyle="1" w:styleId="139">
    <w:name w:val="xl55"/>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szCs w:val="16"/>
    </w:rPr>
  </w:style>
  <w:style w:type="paragraph" w:customStyle="1" w:styleId="140">
    <w:name w:val="xl44"/>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szCs w:val="16"/>
    </w:rPr>
  </w:style>
  <w:style w:type="paragraph" w:customStyle="1" w:styleId="141">
    <w:name w:val="xl42"/>
    <w:basedOn w:val="1"/>
    <w:qFormat/>
    <w:uiPriority w:val="0"/>
    <w:pPr>
      <w:widowControl/>
      <w:pBdr>
        <w:left w:val="single" w:color="auto" w:sz="4" w:space="0"/>
        <w:right w:val="single" w:color="auto" w:sz="4" w:space="0"/>
      </w:pBdr>
      <w:spacing w:before="100" w:beforeAutospacing="1" w:after="100" w:afterAutospacing="1"/>
      <w:jc w:val="center"/>
      <w:textAlignment w:val="center"/>
    </w:pPr>
    <w:rPr>
      <w:color w:val="000000"/>
      <w:kern w:val="0"/>
      <w:sz w:val="16"/>
      <w:szCs w:val="16"/>
    </w:rPr>
  </w:style>
  <w:style w:type="paragraph" w:customStyle="1" w:styleId="142">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kern w:val="0"/>
      <w:sz w:val="16"/>
      <w:szCs w:val="16"/>
    </w:rPr>
  </w:style>
  <w:style w:type="paragraph" w:customStyle="1" w:styleId="143">
    <w:name w:val="xl53"/>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szCs w:val="16"/>
    </w:rPr>
  </w:style>
  <w:style w:type="paragraph" w:customStyle="1" w:styleId="144">
    <w:name w:val="实施日期"/>
    <w:basedOn w:val="1"/>
    <w:qFormat/>
    <w:uiPriority w:val="0"/>
    <w:pPr>
      <w:widowControl/>
      <w:jc w:val="right"/>
    </w:pPr>
    <w:rPr>
      <w:rFonts w:eastAsia="黑体"/>
      <w:kern w:val="0"/>
      <w:sz w:val="28"/>
      <w:szCs w:val="20"/>
    </w:rPr>
  </w:style>
  <w:style w:type="paragraph" w:customStyle="1" w:styleId="145">
    <w:name w:val="1"/>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146">
    <w:name w:val="样式 首行缩进:  0 厘米 行距: 单倍行距"/>
    <w:basedOn w:val="1"/>
    <w:qFormat/>
    <w:uiPriority w:val="0"/>
    <w:pPr>
      <w:adjustRightInd w:val="0"/>
      <w:textAlignment w:val="baseline"/>
    </w:pPr>
    <w:rPr>
      <w:kern w:val="0"/>
      <w:szCs w:val="20"/>
    </w:rPr>
  </w:style>
  <w:style w:type="paragraph" w:customStyle="1" w:styleId="147">
    <w:name w:val="p0"/>
    <w:basedOn w:val="1"/>
    <w:qFormat/>
    <w:uiPriority w:val="0"/>
    <w:pPr>
      <w:widowControl/>
      <w:jc w:val="left"/>
    </w:pPr>
    <w:rPr>
      <w:kern w:val="0"/>
      <w:szCs w:val="21"/>
    </w:rPr>
  </w:style>
  <w:style w:type="paragraph" w:customStyle="1" w:styleId="148">
    <w:name w:val="样式 Arial 首行缩进:  2 字符"/>
    <w:basedOn w:val="1"/>
    <w:qFormat/>
    <w:uiPriority w:val="0"/>
    <w:pPr>
      <w:ind w:firstLine="403" w:firstLineChars="200"/>
    </w:pPr>
    <w:rPr>
      <w:rFonts w:cs="华文新魏"/>
      <w:szCs w:val="21"/>
    </w:rPr>
  </w:style>
  <w:style w:type="paragraph" w:customStyle="1" w:styleId="149">
    <w:name w:val="表文"/>
    <w:basedOn w:val="1"/>
    <w:qFormat/>
    <w:uiPriority w:val="0"/>
    <w:pPr>
      <w:topLinePunct/>
      <w:spacing w:before="40" w:after="40"/>
    </w:pPr>
    <w:rPr>
      <w:sz w:val="18"/>
      <w:szCs w:val="18"/>
    </w:rPr>
  </w:style>
  <w:style w:type="paragraph" w:customStyle="1" w:styleId="150">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151">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6"/>
      <w:szCs w:val="16"/>
    </w:rPr>
  </w:style>
  <w:style w:type="paragraph" w:customStyle="1" w:styleId="152">
    <w:name w:val="数字编号列项（二级）"/>
    <w:qFormat/>
    <w:uiPriority w:val="0"/>
    <w:pPr>
      <w:jc w:val="both"/>
    </w:pPr>
    <w:rPr>
      <w:rFonts w:ascii="宋体" w:hAnsi="Times New Roman" w:eastAsia="宋体" w:cs="Times New Roman"/>
      <w:sz w:val="21"/>
      <w:lang w:val="en-US" w:eastAsia="zh-CN" w:bidi="ar-SA"/>
    </w:rPr>
  </w:style>
  <w:style w:type="paragraph" w:customStyle="1" w:styleId="153">
    <w:name w:val="标准书眉一"/>
    <w:qFormat/>
    <w:uiPriority w:val="0"/>
    <w:pPr>
      <w:numPr>
        <w:ilvl w:val="0"/>
        <w:numId w:val="16"/>
      </w:numPr>
      <w:jc w:val="both"/>
    </w:pPr>
    <w:rPr>
      <w:rFonts w:ascii="Times New Roman" w:hAnsi="Times New Roman" w:eastAsia="宋体" w:cs="Times New Roman"/>
      <w:lang w:val="en-US" w:eastAsia="zh-CN" w:bidi="ar-SA"/>
    </w:rPr>
  </w:style>
  <w:style w:type="paragraph" w:customStyle="1" w:styleId="154">
    <w:name w:val="图说"/>
    <w:basedOn w:val="1"/>
    <w:qFormat/>
    <w:uiPriority w:val="0"/>
    <w:pPr>
      <w:topLinePunct/>
      <w:spacing w:before="40" w:after="160"/>
      <w:jc w:val="center"/>
    </w:pPr>
    <w:rPr>
      <w:rFonts w:cs="宋体"/>
      <w:sz w:val="18"/>
      <w:szCs w:val="20"/>
    </w:rPr>
  </w:style>
  <w:style w:type="paragraph" w:customStyle="1" w:styleId="155">
    <w:name w:val="样式7"/>
    <w:basedOn w:val="1"/>
    <w:qFormat/>
    <w:uiPriority w:val="0"/>
    <w:pPr>
      <w:numPr>
        <w:ilvl w:val="0"/>
        <w:numId w:val="17"/>
      </w:numPr>
    </w:pPr>
  </w:style>
  <w:style w:type="paragraph" w:customStyle="1" w:styleId="156">
    <w:name w:val="默认段落字体 Para Char Char Char Char"/>
    <w:basedOn w:val="1"/>
    <w:qFormat/>
    <w:uiPriority w:val="0"/>
    <w:rPr>
      <w:rFonts w:ascii="宋体" w:hAnsi="宋体"/>
      <w:b/>
      <w:color w:val="000000"/>
      <w:sz w:val="24"/>
    </w:rPr>
  </w:style>
  <w:style w:type="paragraph" w:customStyle="1" w:styleId="157">
    <w:name w:val="样式3"/>
    <w:basedOn w:val="4"/>
    <w:qFormat/>
    <w:uiPriority w:val="0"/>
    <w:pPr>
      <w:tabs>
        <w:tab w:val="left" w:pos="709"/>
        <w:tab w:val="clear" w:pos="0"/>
        <w:tab w:val="clear" w:pos="2126"/>
      </w:tabs>
      <w:topLinePunct/>
      <w:spacing w:line="720" w:lineRule="auto"/>
    </w:pPr>
    <w:rPr>
      <w:rFonts w:ascii="Arial" w:hAnsi="Arial"/>
      <w:b w:val="0"/>
      <w:bCs w:val="0"/>
      <w:sz w:val="30"/>
      <w:szCs w:val="30"/>
    </w:rPr>
  </w:style>
  <w:style w:type="paragraph" w:customStyle="1" w:styleId="158">
    <w:name w:val="jl 三级 Char"/>
    <w:basedOn w:val="1"/>
    <w:link w:val="262"/>
    <w:qFormat/>
    <w:uiPriority w:val="0"/>
    <w:pPr>
      <w:autoSpaceDE w:val="0"/>
      <w:autoSpaceDN w:val="0"/>
      <w:adjustRightInd w:val="0"/>
      <w:spacing w:before="156" w:beforeLines="50" w:after="156" w:afterLines="50"/>
      <w:ind w:firstLine="480" w:firstLineChars="200"/>
      <w:jc w:val="left"/>
      <w:textAlignment w:val="baseline"/>
      <w:outlineLvl w:val="2"/>
    </w:pPr>
    <w:rPr>
      <w:rFonts w:ascii="宋体" w:hAnsi="宋体"/>
      <w:b/>
      <w:color w:val="000000"/>
      <w:sz w:val="24"/>
    </w:rPr>
  </w:style>
  <w:style w:type="paragraph" w:customStyle="1" w:styleId="159">
    <w:name w:val="五级条标题"/>
    <w:basedOn w:val="133"/>
    <w:next w:val="106"/>
    <w:qFormat/>
    <w:uiPriority w:val="0"/>
    <w:pPr>
      <w:tabs>
        <w:tab w:val="left" w:pos="1407"/>
        <w:tab w:val="left" w:pos="1440"/>
        <w:tab w:val="clear" w:pos="1021"/>
        <w:tab w:val="clear" w:pos="1155"/>
      </w:tabs>
      <w:outlineLvl w:val="6"/>
    </w:pPr>
  </w:style>
  <w:style w:type="paragraph" w:customStyle="1" w:styleId="160">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161">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162">
    <w:name w:val="font7"/>
    <w:basedOn w:val="1"/>
    <w:qFormat/>
    <w:uiPriority w:val="0"/>
    <w:pPr>
      <w:widowControl/>
      <w:spacing w:before="100" w:beforeAutospacing="1" w:after="100" w:afterAutospacing="1"/>
      <w:jc w:val="left"/>
    </w:pPr>
    <w:rPr>
      <w:color w:val="000000"/>
      <w:kern w:val="0"/>
      <w:sz w:val="20"/>
      <w:szCs w:val="20"/>
    </w:rPr>
  </w:style>
  <w:style w:type="paragraph" w:customStyle="1" w:styleId="16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6"/>
      <w:szCs w:val="16"/>
    </w:rPr>
  </w:style>
  <w:style w:type="paragraph" w:customStyle="1" w:styleId="164">
    <w:name w:val="Char3"/>
    <w:basedOn w:val="1"/>
    <w:qFormat/>
    <w:uiPriority w:val="0"/>
    <w:rPr>
      <w:szCs w:val="20"/>
    </w:rPr>
  </w:style>
  <w:style w:type="paragraph" w:customStyle="1" w:styleId="165">
    <w:name w:val="前言首行"/>
    <w:basedOn w:val="1"/>
    <w:qFormat/>
    <w:uiPriority w:val="99"/>
    <w:pPr>
      <w:spacing w:after="120"/>
      <w:jc w:val="center"/>
    </w:pPr>
    <w:rPr>
      <w:rFonts w:eastAsia="黑体" w:cs="宋体"/>
      <w:b/>
      <w:bCs/>
      <w:sz w:val="32"/>
      <w:szCs w:val="20"/>
    </w:rPr>
  </w:style>
  <w:style w:type="paragraph" w:customStyle="1" w:styleId="166">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6"/>
      <w:szCs w:val="16"/>
    </w:rPr>
  </w:style>
  <w:style w:type="paragraph" w:customStyle="1" w:styleId="167">
    <w:name w:val="表头"/>
    <w:basedOn w:val="1"/>
    <w:link w:val="272"/>
    <w:qFormat/>
    <w:uiPriority w:val="0"/>
    <w:pPr>
      <w:topLinePunct/>
      <w:spacing w:before="160" w:after="60"/>
      <w:jc w:val="center"/>
    </w:pPr>
    <w:rPr>
      <w:rFonts w:eastAsia="黑体"/>
      <w:szCs w:val="21"/>
    </w:rPr>
  </w:style>
  <w:style w:type="paragraph" w:customStyle="1" w:styleId="168">
    <w:name w:val="xl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169">
    <w:name w:val="表注"/>
    <w:basedOn w:val="1"/>
    <w:link w:val="278"/>
    <w:qFormat/>
    <w:uiPriority w:val="99"/>
    <w:pPr>
      <w:autoSpaceDE w:val="0"/>
      <w:autoSpaceDN w:val="0"/>
      <w:adjustRightInd w:val="0"/>
      <w:spacing w:line="360" w:lineRule="auto"/>
      <w:jc w:val="left"/>
    </w:pPr>
    <w:rPr>
      <w:sz w:val="18"/>
    </w:rPr>
  </w:style>
  <w:style w:type="paragraph" w:customStyle="1" w:styleId="170">
    <w:name w:val="正文格式"/>
    <w:basedOn w:val="1"/>
    <w:link w:val="250"/>
    <w:qFormat/>
    <w:uiPriority w:val="0"/>
    <w:pPr>
      <w:topLinePunct/>
      <w:ind w:firstLine="420" w:firstLineChars="200"/>
    </w:pPr>
    <w:rPr>
      <w:rFonts w:ascii="宋体" w:hAnsi="宋体"/>
      <w:bCs/>
      <w:szCs w:val="21"/>
    </w:rPr>
  </w:style>
  <w:style w:type="paragraph" w:customStyle="1" w:styleId="171">
    <w:name w:val="一级无标题条"/>
    <w:basedOn w:val="1"/>
    <w:qFormat/>
    <w:uiPriority w:val="0"/>
    <w:pPr>
      <w:numPr>
        <w:ilvl w:val="2"/>
        <w:numId w:val="13"/>
      </w:numPr>
    </w:pPr>
  </w:style>
  <w:style w:type="paragraph" w:customStyle="1" w:styleId="172">
    <w:name w:val="其他发布部门"/>
    <w:basedOn w:val="1"/>
    <w:qFormat/>
    <w:uiPriority w:val="0"/>
    <w:pPr>
      <w:widowControl/>
      <w:spacing w:line="0" w:lineRule="atLeast"/>
      <w:jc w:val="center"/>
    </w:pPr>
    <w:rPr>
      <w:rFonts w:ascii="黑体" w:eastAsia="黑体"/>
      <w:spacing w:val="20"/>
      <w:w w:val="135"/>
      <w:kern w:val="0"/>
      <w:sz w:val="36"/>
      <w:szCs w:val="20"/>
    </w:rPr>
  </w:style>
  <w:style w:type="paragraph" w:customStyle="1" w:styleId="173">
    <w:name w:val="xl45"/>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szCs w:val="16"/>
    </w:rPr>
  </w:style>
  <w:style w:type="paragraph" w:customStyle="1" w:styleId="174">
    <w:name w:val="Style1"/>
    <w:basedOn w:val="1"/>
    <w:link w:val="241"/>
    <w:qFormat/>
    <w:uiPriority w:val="99"/>
    <w:pPr>
      <w:widowControl/>
      <w:spacing w:after="200"/>
      <w:contextualSpacing/>
      <w:jc w:val="left"/>
    </w:pPr>
    <w:rPr>
      <w:rFonts w:ascii="宋体" w:hAnsi="宋体"/>
      <w:kern w:val="0"/>
      <w:sz w:val="24"/>
    </w:rPr>
  </w:style>
  <w:style w:type="paragraph" w:customStyle="1" w:styleId="175">
    <w:name w:val="样式1"/>
    <w:basedOn w:val="1"/>
    <w:qFormat/>
    <w:uiPriority w:val="99"/>
    <w:pPr>
      <w:keepNext/>
      <w:keepLines/>
      <w:numPr>
        <w:ilvl w:val="3"/>
        <w:numId w:val="16"/>
      </w:numPr>
      <w:topLinePunct/>
      <w:spacing w:line="1200" w:lineRule="auto"/>
      <w:jc w:val="center"/>
      <w:outlineLvl w:val="0"/>
    </w:pPr>
    <w:rPr>
      <w:rFonts w:cs="宋体"/>
      <w:b/>
      <w:kern w:val="44"/>
      <w:sz w:val="52"/>
      <w:szCs w:val="52"/>
    </w:rPr>
  </w:style>
  <w:style w:type="paragraph" w:customStyle="1" w:styleId="176">
    <w:name w:val="样式 标题 4 + (符号) 宋体"/>
    <w:basedOn w:val="5"/>
    <w:link w:val="246"/>
    <w:qFormat/>
    <w:uiPriority w:val="0"/>
    <w:pPr>
      <w:keepNext w:val="0"/>
      <w:keepLines w:val="0"/>
      <w:tabs>
        <w:tab w:val="clear" w:pos="0"/>
      </w:tabs>
      <w:adjustRightInd w:val="0"/>
      <w:snapToGrid w:val="0"/>
      <w:spacing w:before="0"/>
    </w:pPr>
    <w:rPr>
      <w:rFonts w:ascii="宋体"/>
      <w:szCs w:val="21"/>
    </w:rPr>
  </w:style>
  <w:style w:type="paragraph" w:customStyle="1" w:styleId="177">
    <w:name w:val="CM79"/>
    <w:basedOn w:val="115"/>
    <w:next w:val="115"/>
    <w:qFormat/>
    <w:uiPriority w:val="99"/>
    <w:pPr>
      <w:spacing w:after="353"/>
    </w:pPr>
    <w:rPr>
      <w:rFonts w:cs="Times New Roman"/>
      <w:color w:val="auto"/>
      <w:sz w:val="20"/>
    </w:rPr>
  </w:style>
  <w:style w:type="paragraph" w:customStyle="1" w:styleId="178">
    <w:name w:val="xl24"/>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kern w:val="0"/>
      <w:sz w:val="16"/>
      <w:szCs w:val="16"/>
    </w:rPr>
  </w:style>
  <w:style w:type="paragraph" w:customStyle="1" w:styleId="179">
    <w:name w:val="样式 标题 3 + 宋体 段前: 7.8 磅"/>
    <w:basedOn w:val="4"/>
    <w:qFormat/>
    <w:uiPriority w:val="0"/>
    <w:pPr>
      <w:keepNext w:val="0"/>
      <w:keepLines w:val="0"/>
      <w:numPr>
        <w:numId w:val="15"/>
      </w:numPr>
      <w:tabs>
        <w:tab w:val="left" w:pos="900"/>
        <w:tab w:val="left" w:pos="1560"/>
        <w:tab w:val="left" w:pos="1740"/>
      </w:tabs>
      <w:adjustRightInd w:val="0"/>
      <w:snapToGrid w:val="0"/>
      <w:spacing w:before="156"/>
      <w:jc w:val="both"/>
    </w:pPr>
    <w:rPr>
      <w:rFonts w:ascii="宋体" w:hAnsi="宋体" w:cs="宋体"/>
      <w:bCs w:val="0"/>
      <w:sz w:val="21"/>
      <w:szCs w:val="20"/>
    </w:rPr>
  </w:style>
  <w:style w:type="paragraph" w:customStyle="1" w:styleId="180">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181">
    <w:name w:val="CM81"/>
    <w:basedOn w:val="115"/>
    <w:next w:val="115"/>
    <w:qFormat/>
    <w:uiPriority w:val="99"/>
    <w:pPr>
      <w:spacing w:after="473"/>
    </w:pPr>
    <w:rPr>
      <w:rFonts w:cs="Times New Roman"/>
      <w:color w:val="auto"/>
      <w:sz w:val="20"/>
    </w:rPr>
  </w:style>
  <w:style w:type="paragraph" w:customStyle="1" w:styleId="182">
    <w:name w:val="_Style 175"/>
    <w:basedOn w:val="1"/>
    <w:qFormat/>
    <w:uiPriority w:val="34"/>
    <w:pPr>
      <w:ind w:firstLine="420" w:firstLineChars="200"/>
    </w:pPr>
  </w:style>
  <w:style w:type="paragraph" w:customStyle="1" w:styleId="183">
    <w:name w:val="xl46"/>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szCs w:val="16"/>
    </w:rPr>
  </w:style>
  <w:style w:type="paragraph" w:customStyle="1" w:styleId="184">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185">
    <w:name w:val="CM89"/>
    <w:basedOn w:val="115"/>
    <w:next w:val="115"/>
    <w:qFormat/>
    <w:uiPriority w:val="99"/>
    <w:pPr>
      <w:spacing w:after="543"/>
    </w:pPr>
    <w:rPr>
      <w:rFonts w:cs="Times New Roman"/>
      <w:color w:val="auto"/>
      <w:sz w:val="20"/>
    </w:rPr>
  </w:style>
  <w:style w:type="paragraph" w:customStyle="1" w:styleId="186">
    <w:name w:val="样式4"/>
    <w:basedOn w:val="5"/>
    <w:qFormat/>
    <w:uiPriority w:val="0"/>
    <w:pPr>
      <w:tabs>
        <w:tab w:val="clear" w:pos="0"/>
      </w:tabs>
      <w:topLinePunct/>
      <w:spacing w:before="0" w:line="480" w:lineRule="auto"/>
      <w:ind w:firstLine="420"/>
    </w:pPr>
    <w:rPr>
      <w:rFonts w:ascii="Times New Roman" w:hAnsi="Times New Roman" w:eastAsia="楷体_GB2312"/>
      <w:b w:val="0"/>
      <w:bCs w:val="0"/>
      <w:sz w:val="24"/>
      <w:szCs w:val="20"/>
    </w:rPr>
  </w:style>
  <w:style w:type="paragraph" w:customStyle="1" w:styleId="187">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88">
    <w:name w:val="二级无标题条"/>
    <w:basedOn w:val="1"/>
    <w:qFormat/>
    <w:uiPriority w:val="0"/>
    <w:pPr>
      <w:numPr>
        <w:ilvl w:val="3"/>
        <w:numId w:val="13"/>
      </w:numPr>
    </w:pPr>
  </w:style>
  <w:style w:type="paragraph" w:customStyle="1" w:styleId="189">
    <w:name w:val="样式 标题 5 + 右侧:  1 字符"/>
    <w:basedOn w:val="6"/>
    <w:qFormat/>
    <w:uiPriority w:val="0"/>
    <w:pPr>
      <w:numPr>
        <w:numId w:val="0"/>
      </w:numPr>
      <w:tabs>
        <w:tab w:val="clear" w:pos="0"/>
      </w:tabs>
      <w:adjustRightInd w:val="0"/>
      <w:ind w:right="210" w:rightChars="100"/>
      <w:textAlignment w:val="baseline"/>
    </w:pPr>
    <w:rPr>
      <w:rFonts w:eastAsia="宋体" w:cs="宋体"/>
      <w:bCs w:val="0"/>
      <w:kern w:val="0"/>
      <w:szCs w:val="20"/>
    </w:rPr>
  </w:style>
  <w:style w:type="paragraph" w:customStyle="1" w:styleId="190">
    <w:name w:val="标准称谓"/>
    <w:next w:val="1"/>
    <w:qFormat/>
    <w:uiPriority w:val="99"/>
    <w:pPr>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191">
    <w:name w:val="xl51"/>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kern w:val="0"/>
      <w:sz w:val="16"/>
      <w:szCs w:val="16"/>
    </w:rPr>
  </w:style>
  <w:style w:type="paragraph" w:customStyle="1" w:styleId="192">
    <w:name w:val="CM77"/>
    <w:basedOn w:val="115"/>
    <w:next w:val="115"/>
    <w:qFormat/>
    <w:uiPriority w:val="99"/>
    <w:pPr>
      <w:spacing w:after="283"/>
    </w:pPr>
    <w:rPr>
      <w:rFonts w:cs="Times New Roman"/>
      <w:color w:val="auto"/>
      <w:sz w:val="20"/>
    </w:rPr>
  </w:style>
  <w:style w:type="paragraph" w:customStyle="1" w:styleId="193">
    <w:name w:val="jl 正文 Char Char"/>
    <w:basedOn w:val="1"/>
    <w:link w:val="290"/>
    <w:qFormat/>
    <w:uiPriority w:val="0"/>
    <w:pPr>
      <w:autoSpaceDE w:val="0"/>
      <w:autoSpaceDN w:val="0"/>
      <w:adjustRightInd w:val="0"/>
      <w:ind w:firstLine="200" w:firstLineChars="200"/>
      <w:jc w:val="left"/>
      <w:textAlignment w:val="baseline"/>
    </w:pPr>
    <w:rPr>
      <w:rFonts w:ascii="宋体"/>
      <w:sz w:val="24"/>
    </w:rPr>
  </w:style>
  <w:style w:type="paragraph" w:customStyle="1" w:styleId="194">
    <w:name w:val="_Style 187"/>
    <w:basedOn w:val="2"/>
    <w:next w:val="1"/>
    <w:qFormat/>
    <w:uiPriority w:val="0"/>
    <w:pPr>
      <w:widowControl/>
      <w:numPr>
        <w:numId w:val="0"/>
      </w:numPr>
      <w:topLinePunct w:val="0"/>
      <w:spacing w:before="480" w:line="276" w:lineRule="auto"/>
      <w:jc w:val="left"/>
      <w:textAlignment w:val="auto"/>
      <w:outlineLvl w:val="9"/>
    </w:pPr>
    <w:rPr>
      <w:rFonts w:ascii="Cambria" w:hAnsi="Cambria"/>
      <w:b w:val="0"/>
      <w:bCs/>
      <w:color w:val="365F91"/>
      <w:kern w:val="0"/>
      <w:sz w:val="28"/>
      <w:szCs w:val="28"/>
    </w:rPr>
  </w:style>
  <w:style w:type="paragraph" w:customStyle="1" w:styleId="195">
    <w:name w:val="Char Char Char"/>
    <w:basedOn w:val="1"/>
    <w:qFormat/>
    <w:uiPriority w:val="0"/>
  </w:style>
  <w:style w:type="paragraph" w:customStyle="1" w:styleId="196">
    <w:name w:val="样式 标题 1 + 首行缩进:  2 字符 段前: 1 行 段后: 1 行"/>
    <w:basedOn w:val="2"/>
    <w:qFormat/>
    <w:uiPriority w:val="0"/>
    <w:pPr>
      <w:topLinePunct w:val="0"/>
      <w:spacing w:before="312" w:beforeLines="100" w:after="312" w:afterLines="100"/>
      <w:textAlignment w:val="auto"/>
    </w:pPr>
    <w:rPr>
      <w:b w:val="0"/>
      <w:sz w:val="28"/>
      <w:szCs w:val="20"/>
    </w:rPr>
  </w:style>
  <w:style w:type="paragraph" w:customStyle="1" w:styleId="197">
    <w:name w:val="È±Ê¡ÎÄ±¾"/>
    <w:basedOn w:val="1"/>
    <w:qFormat/>
    <w:uiPriority w:val="0"/>
    <w:pPr>
      <w:widowControl/>
      <w:overflowPunct w:val="0"/>
      <w:autoSpaceDE w:val="0"/>
      <w:autoSpaceDN w:val="0"/>
      <w:adjustRightInd w:val="0"/>
      <w:jc w:val="left"/>
      <w:textAlignment w:val="baseline"/>
    </w:pPr>
    <w:rPr>
      <w:kern w:val="0"/>
      <w:sz w:val="24"/>
      <w:szCs w:val="20"/>
    </w:rPr>
  </w:style>
  <w:style w:type="paragraph" w:customStyle="1" w:styleId="198">
    <w:name w:val="jl 正文"/>
    <w:basedOn w:val="1"/>
    <w:qFormat/>
    <w:uiPriority w:val="0"/>
    <w:pPr>
      <w:autoSpaceDE w:val="0"/>
      <w:autoSpaceDN w:val="0"/>
      <w:adjustRightInd w:val="0"/>
      <w:ind w:firstLine="200" w:firstLineChars="200"/>
      <w:jc w:val="left"/>
      <w:textAlignment w:val="baseline"/>
    </w:pPr>
    <w:rPr>
      <w:rFonts w:ascii="宋体"/>
      <w:kern w:val="0"/>
      <w:sz w:val="24"/>
    </w:rPr>
  </w:style>
  <w:style w:type="paragraph" w:customStyle="1" w:styleId="199">
    <w:name w:val="_Style 192"/>
    <w:qFormat/>
    <w:uiPriority w:val="99"/>
    <w:rPr>
      <w:rFonts w:ascii="Times New Roman" w:hAnsi="Times New Roman" w:eastAsia="宋体" w:cs="Times New Roman"/>
      <w:kern w:val="2"/>
      <w:sz w:val="21"/>
      <w:szCs w:val="24"/>
      <w:lang w:val="en-US" w:eastAsia="zh-CN" w:bidi="ar-SA"/>
    </w:rPr>
  </w:style>
  <w:style w:type="paragraph" w:customStyle="1" w:styleId="200">
    <w:name w:val="xl52"/>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kern w:val="0"/>
      <w:sz w:val="16"/>
      <w:szCs w:val="16"/>
    </w:rPr>
  </w:style>
  <w:style w:type="paragraph" w:customStyle="1" w:styleId="201">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olor w:val="000000"/>
      <w:kern w:val="0"/>
      <w:sz w:val="20"/>
      <w:szCs w:val="20"/>
    </w:rPr>
  </w:style>
  <w:style w:type="paragraph" w:customStyle="1" w:styleId="202">
    <w:name w:val="发布日期"/>
    <w:qFormat/>
    <w:uiPriority w:val="0"/>
    <w:rPr>
      <w:rFonts w:ascii="Times New Roman" w:hAnsi="Times New Roman" w:eastAsia="黑体" w:cs="Times New Roman"/>
      <w:sz w:val="28"/>
      <w:lang w:val="en-US" w:eastAsia="zh-CN" w:bidi="ar-SA"/>
    </w:rPr>
  </w:style>
  <w:style w:type="paragraph" w:customStyle="1" w:styleId="203">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204">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205">
    <w:name w:val="CM73"/>
    <w:basedOn w:val="115"/>
    <w:next w:val="115"/>
    <w:qFormat/>
    <w:uiPriority w:val="99"/>
    <w:rPr>
      <w:rFonts w:cs="Times New Roman"/>
      <w:color w:val="auto"/>
      <w:sz w:val="20"/>
    </w:rPr>
  </w:style>
  <w:style w:type="paragraph" w:customStyle="1" w:styleId="206">
    <w:name w:val="附录"/>
    <w:basedOn w:val="2"/>
    <w:qFormat/>
    <w:uiPriority w:val="0"/>
    <w:pPr>
      <w:numPr>
        <w:numId w:val="0"/>
      </w:numPr>
      <w:spacing w:line="960" w:lineRule="auto"/>
      <w:ind w:firstLine="420"/>
      <w:jc w:val="center"/>
    </w:pPr>
    <w:rPr>
      <w:rFonts w:eastAsia="黑体"/>
      <w:kern w:val="2"/>
      <w:sz w:val="28"/>
      <w:szCs w:val="28"/>
    </w:rPr>
  </w:style>
  <w:style w:type="paragraph" w:customStyle="1" w:styleId="207">
    <w:name w:val="Char Char Char1"/>
    <w:basedOn w:val="1"/>
    <w:qFormat/>
    <w:uiPriority w:val="0"/>
  </w:style>
  <w:style w:type="paragraph" w:customStyle="1" w:styleId="208">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16"/>
      <w:szCs w:val="16"/>
    </w:rPr>
  </w:style>
  <w:style w:type="paragraph" w:customStyle="1" w:styleId="209">
    <w:name w:val="xl4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color w:val="000000"/>
      <w:kern w:val="0"/>
      <w:sz w:val="16"/>
      <w:szCs w:val="16"/>
    </w:rPr>
  </w:style>
  <w:style w:type="paragraph" w:customStyle="1" w:styleId="210">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211">
    <w:name w:val="默认段落字体 Para Char Char Char Char Char"/>
    <w:basedOn w:val="1"/>
    <w:qFormat/>
    <w:uiPriority w:val="0"/>
    <w:rPr>
      <w:rFonts w:ascii="宋体" w:hAnsi="宋体"/>
      <w:b/>
      <w:color w:val="000000"/>
      <w:sz w:val="24"/>
    </w:rPr>
  </w:style>
  <w:style w:type="paragraph" w:customStyle="1" w:styleId="212">
    <w:name w:val="xl3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kern w:val="0"/>
      <w:sz w:val="16"/>
      <w:szCs w:val="16"/>
    </w:rPr>
  </w:style>
  <w:style w:type="paragraph" w:customStyle="1" w:styleId="213">
    <w:name w:val="Style4"/>
    <w:basedOn w:val="3"/>
    <w:next w:val="1"/>
    <w:qFormat/>
    <w:uiPriority w:val="99"/>
    <w:pPr>
      <w:numPr>
        <w:ilvl w:val="0"/>
        <w:numId w:val="0"/>
      </w:numPr>
      <w:tabs>
        <w:tab w:val="clear" w:pos="0"/>
      </w:tabs>
      <w:topLinePunct w:val="0"/>
    </w:pPr>
    <w:rPr>
      <w:rFonts w:ascii="黑体" w:hAnsi="黑体"/>
      <w:szCs w:val="32"/>
    </w:rPr>
  </w:style>
  <w:style w:type="paragraph" w:customStyle="1" w:styleId="214">
    <w:name w:val="xl50"/>
    <w:basedOn w:val="1"/>
    <w:qFormat/>
    <w:uiPriority w:val="0"/>
    <w:pPr>
      <w:widowControl/>
      <w:spacing w:before="100" w:beforeAutospacing="1" w:after="100" w:afterAutospacing="1"/>
      <w:jc w:val="center"/>
    </w:pPr>
    <w:rPr>
      <w:rFonts w:ascii="宋体" w:hAnsi="宋体"/>
      <w:kern w:val="0"/>
      <w:sz w:val="24"/>
    </w:rPr>
  </w:style>
  <w:style w:type="paragraph" w:customStyle="1" w:styleId="215">
    <w:name w:val="样式 样式 标题 2 + 段前: 0.5 行 段后: 0.5 行 + 首行缩进:  2 字符 段前: 0.5 行 段后: 0..."/>
    <w:basedOn w:val="1"/>
    <w:qFormat/>
    <w:uiPriority w:val="0"/>
    <w:pPr>
      <w:keepNext/>
      <w:keepLines/>
      <w:adjustRightInd w:val="0"/>
      <w:spacing w:before="156" w:beforeLines="50" w:after="156" w:afterLines="50"/>
      <w:jc w:val="left"/>
      <w:textAlignment w:val="baseline"/>
      <w:outlineLvl w:val="1"/>
    </w:pPr>
    <w:rPr>
      <w:rFonts w:eastAsia="黑体"/>
      <w:kern w:val="0"/>
      <w:szCs w:val="20"/>
    </w:rPr>
  </w:style>
  <w:style w:type="paragraph" w:customStyle="1" w:styleId="216">
    <w:name w:val="表内居两端对齐"/>
    <w:basedOn w:val="217"/>
    <w:link w:val="254"/>
    <w:qFormat/>
    <w:uiPriority w:val="0"/>
    <w:pPr>
      <w:jc w:val="both"/>
    </w:pPr>
  </w:style>
  <w:style w:type="paragraph" w:customStyle="1" w:styleId="217">
    <w:name w:val="表内居中小五"/>
    <w:basedOn w:val="1"/>
    <w:link w:val="255"/>
    <w:qFormat/>
    <w:uiPriority w:val="0"/>
    <w:pPr>
      <w:jc w:val="center"/>
    </w:pPr>
    <w:rPr>
      <w:rFonts w:cs="宋体"/>
      <w:sz w:val="18"/>
      <w:szCs w:val="18"/>
    </w:rPr>
  </w:style>
  <w:style w:type="paragraph" w:customStyle="1" w:styleId="218">
    <w:name w:val="Char Char Char Char Char Char Char"/>
    <w:basedOn w:val="1"/>
    <w:qFormat/>
    <w:uiPriority w:val="0"/>
  </w:style>
  <w:style w:type="paragraph" w:customStyle="1" w:styleId="219">
    <w:name w:val="简单回函地址"/>
    <w:basedOn w:val="1"/>
    <w:qFormat/>
    <w:uiPriority w:val="99"/>
    <w:rPr>
      <w:szCs w:val="20"/>
    </w:rPr>
  </w:style>
  <w:style w:type="paragraph" w:customStyle="1" w:styleId="220">
    <w:name w:val="样式 首行缩进:  0 厘米 行距: 单倍行距 Char"/>
    <w:basedOn w:val="1"/>
    <w:qFormat/>
    <w:uiPriority w:val="0"/>
    <w:pPr>
      <w:adjustRightInd w:val="0"/>
      <w:textAlignment w:val="baseline"/>
    </w:pPr>
    <w:rPr>
      <w:kern w:val="0"/>
      <w:szCs w:val="21"/>
    </w:rPr>
  </w:style>
  <w:style w:type="paragraph" w:customStyle="1" w:styleId="221">
    <w:name w:val="scfAnschrift"/>
    <w:basedOn w:val="1"/>
    <w:qFormat/>
    <w:uiPriority w:val="99"/>
    <w:pPr>
      <w:widowControl/>
      <w:tabs>
        <w:tab w:val="left" w:pos="1701"/>
      </w:tabs>
      <w:spacing w:line="240" w:lineRule="exact"/>
      <w:jc w:val="left"/>
    </w:pPr>
    <w:rPr>
      <w:rFonts w:ascii="Arial" w:hAnsi="Arial"/>
      <w:kern w:val="0"/>
      <w:sz w:val="22"/>
      <w:szCs w:val="20"/>
      <w:lang w:val="en-GB"/>
    </w:rPr>
  </w:style>
  <w:style w:type="paragraph" w:customStyle="1" w:styleId="222">
    <w:name w:val="p82"/>
    <w:basedOn w:val="1"/>
    <w:qFormat/>
    <w:uiPriority w:val="0"/>
    <w:pPr>
      <w:widowControl/>
      <w:tabs>
        <w:tab w:val="left" w:pos="460"/>
      </w:tabs>
      <w:overflowPunct w:val="0"/>
      <w:autoSpaceDE w:val="0"/>
      <w:autoSpaceDN w:val="0"/>
      <w:adjustRightInd w:val="0"/>
      <w:spacing w:line="320" w:lineRule="atLeast"/>
      <w:textAlignment w:val="baseline"/>
    </w:pPr>
    <w:rPr>
      <w:kern w:val="0"/>
      <w:sz w:val="24"/>
      <w:szCs w:val="20"/>
      <w:lang w:val="en-GB"/>
    </w:rPr>
  </w:style>
  <w:style w:type="paragraph" w:customStyle="1" w:styleId="223">
    <w:name w:val="目次、标准名称标题"/>
    <w:basedOn w:val="1"/>
    <w:next w:val="106"/>
    <w:qFormat/>
    <w:uiPriority w:val="99"/>
    <w:pPr>
      <w:widowControl/>
      <w:shd w:val="clear" w:color="FFFFFF" w:fill="FFFFFF"/>
      <w:tabs>
        <w:tab w:val="left" w:pos="1140"/>
      </w:tabs>
      <w:spacing w:before="640" w:after="560" w:line="460" w:lineRule="exact"/>
      <w:jc w:val="center"/>
      <w:outlineLvl w:val="0"/>
    </w:pPr>
    <w:rPr>
      <w:rFonts w:ascii="黑体" w:eastAsia="黑体"/>
      <w:kern w:val="0"/>
      <w:sz w:val="32"/>
      <w:szCs w:val="20"/>
    </w:rPr>
  </w:style>
  <w:style w:type="paragraph" w:customStyle="1" w:styleId="224">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6"/>
      <w:szCs w:val="16"/>
    </w:rPr>
  </w:style>
  <w:style w:type="paragraph" w:customStyle="1" w:styleId="225">
    <w:name w:val="无标题条"/>
    <w:next w:val="106"/>
    <w:qFormat/>
    <w:uiPriority w:val="0"/>
    <w:pPr>
      <w:jc w:val="both"/>
    </w:pPr>
    <w:rPr>
      <w:rFonts w:ascii="Times New Roman" w:hAnsi="Times New Roman" w:eastAsia="宋体" w:cs="Times New Roman"/>
      <w:sz w:val="21"/>
      <w:lang w:val="en-US" w:eastAsia="zh-CN" w:bidi="ar-SA"/>
    </w:rPr>
  </w:style>
  <w:style w:type="paragraph" w:customStyle="1" w:styleId="226">
    <w:name w:val="样式 标题 3 + 宋体"/>
    <w:basedOn w:val="4"/>
    <w:link w:val="283"/>
    <w:qFormat/>
    <w:uiPriority w:val="0"/>
    <w:pPr>
      <w:keepNext w:val="0"/>
      <w:keepLines w:val="0"/>
      <w:numPr>
        <w:numId w:val="0"/>
      </w:numPr>
      <w:tabs>
        <w:tab w:val="left" w:pos="1560"/>
        <w:tab w:val="clear" w:pos="0"/>
        <w:tab w:val="clear" w:pos="2126"/>
      </w:tabs>
      <w:snapToGrid w:val="0"/>
      <w:ind w:left="360"/>
      <w:jc w:val="both"/>
    </w:pPr>
    <w:rPr>
      <w:rFonts w:ascii="宋体" w:hAnsi="宋体"/>
      <w:b w:val="0"/>
      <w:bCs w:val="0"/>
      <w:sz w:val="21"/>
      <w:szCs w:val="21"/>
    </w:rPr>
  </w:style>
  <w:style w:type="paragraph" w:customStyle="1" w:styleId="227">
    <w:name w:val="图形标题"/>
    <w:basedOn w:val="20"/>
    <w:qFormat/>
    <w:uiPriority w:val="0"/>
    <w:pPr>
      <w:spacing w:before="0" w:after="0"/>
      <w:jc w:val="center"/>
    </w:pPr>
    <w:rPr>
      <w:rFonts w:ascii="宋体" w:hAnsi="Plotter" w:eastAsia="宋体"/>
      <w:sz w:val="21"/>
    </w:rPr>
  </w:style>
  <w:style w:type="paragraph" w:customStyle="1" w:styleId="228">
    <w:name w:val="CM1"/>
    <w:basedOn w:val="115"/>
    <w:next w:val="115"/>
    <w:qFormat/>
    <w:uiPriority w:val="99"/>
    <w:rPr>
      <w:rFonts w:cs="Times New Roman"/>
      <w:color w:val="auto"/>
      <w:sz w:val="20"/>
    </w:rPr>
  </w:style>
  <w:style w:type="paragraph" w:customStyle="1" w:styleId="229">
    <w:name w:val="字母编号列项（一级）"/>
    <w:qFormat/>
    <w:uiPriority w:val="0"/>
    <w:pPr>
      <w:numPr>
        <w:ilvl w:val="1"/>
        <w:numId w:val="18"/>
      </w:numPr>
      <w:jc w:val="both"/>
    </w:pPr>
    <w:rPr>
      <w:rFonts w:ascii="宋体" w:hAnsi="Times New Roman" w:eastAsia="宋体" w:cs="Times New Roman"/>
      <w:sz w:val="21"/>
      <w:lang w:val="en-US" w:eastAsia="zh-CN" w:bidi="ar-SA"/>
    </w:rPr>
  </w:style>
  <w:style w:type="paragraph" w:customStyle="1" w:styleId="230">
    <w:name w:val="正文1"/>
    <w:basedOn w:val="175"/>
    <w:qFormat/>
    <w:uiPriority w:val="0"/>
    <w:pPr>
      <w:keepNext w:val="0"/>
      <w:keepLines w:val="0"/>
      <w:numPr>
        <w:ilvl w:val="0"/>
        <w:numId w:val="0"/>
      </w:numPr>
      <w:tabs>
        <w:tab w:val="left" w:pos="2160"/>
      </w:tabs>
      <w:topLinePunct w:val="0"/>
      <w:adjustRightInd w:val="0"/>
      <w:spacing w:line="490" w:lineRule="exact"/>
      <w:textAlignment w:val="baseline"/>
      <w:outlineLvl w:val="9"/>
    </w:pPr>
    <w:rPr>
      <w:rFonts w:ascii="仿宋_GB2312" w:eastAsia="仿宋_GB2312" w:cs="Times New Roman"/>
      <w:b w:val="0"/>
      <w:kern w:val="0"/>
      <w:sz w:val="34"/>
      <w:szCs w:val="20"/>
    </w:rPr>
  </w:style>
  <w:style w:type="paragraph" w:customStyle="1" w:styleId="231">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6"/>
      <w:szCs w:val="16"/>
    </w:rPr>
  </w:style>
  <w:style w:type="paragraph" w:customStyle="1" w:styleId="232">
    <w:name w:val="font0"/>
    <w:basedOn w:val="1"/>
    <w:qFormat/>
    <w:uiPriority w:val="0"/>
    <w:pPr>
      <w:widowControl/>
      <w:spacing w:before="100" w:beforeAutospacing="1" w:after="100" w:afterAutospacing="1"/>
      <w:jc w:val="left"/>
    </w:pPr>
    <w:rPr>
      <w:rFonts w:hint="eastAsia" w:ascii="宋体"/>
      <w:kern w:val="0"/>
      <w:sz w:val="24"/>
    </w:rPr>
  </w:style>
  <w:style w:type="paragraph" w:customStyle="1" w:styleId="233">
    <w:name w:val="xl33"/>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szCs w:val="16"/>
    </w:rPr>
  </w:style>
  <w:style w:type="paragraph" w:customStyle="1" w:styleId="234">
    <w:name w:val="xl31"/>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kern w:val="0"/>
      <w:sz w:val="16"/>
      <w:szCs w:val="16"/>
    </w:rPr>
  </w:style>
  <w:style w:type="paragraph" w:customStyle="1" w:styleId="235">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236">
    <w:name w:val="xl29"/>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szCs w:val="16"/>
    </w:rPr>
  </w:style>
  <w:style w:type="paragraph" w:customStyle="1" w:styleId="237">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238">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39">
    <w:name w:val="样式 标题 2 + 黑体 段前: 10.25 磅 段后: 10.25 磅 行距: 单倍行距"/>
    <w:basedOn w:val="3"/>
    <w:qFormat/>
    <w:uiPriority w:val="0"/>
    <w:pPr>
      <w:tabs>
        <w:tab w:val="clear" w:pos="0"/>
      </w:tabs>
      <w:topLinePunct w:val="0"/>
      <w:adjustRightInd w:val="0"/>
      <w:spacing w:before="156" w:beforeLines="50" w:after="156" w:afterLines="50"/>
      <w:textAlignment w:val="baseline"/>
    </w:pPr>
    <w:rPr>
      <w:rFonts w:ascii="黑体" w:hAnsi="黑体"/>
      <w:b w:val="0"/>
      <w:bCs w:val="0"/>
      <w:kern w:val="0"/>
      <w:szCs w:val="20"/>
    </w:rPr>
  </w:style>
  <w:style w:type="character" w:customStyle="1" w:styleId="240">
    <w:name w:val="articlebody21"/>
    <w:qFormat/>
    <w:uiPriority w:val="0"/>
    <w:rPr>
      <w:rFonts w:hint="default"/>
      <w:sz w:val="21"/>
    </w:rPr>
  </w:style>
  <w:style w:type="character" w:customStyle="1" w:styleId="241">
    <w:name w:val="Style1 Char"/>
    <w:link w:val="174"/>
    <w:qFormat/>
    <w:locked/>
    <w:uiPriority w:val="99"/>
    <w:rPr>
      <w:rFonts w:ascii="宋体" w:hAnsi="宋体"/>
      <w:sz w:val="24"/>
      <w:szCs w:val="24"/>
    </w:rPr>
  </w:style>
  <w:style w:type="character" w:customStyle="1" w:styleId="242">
    <w:name w:val="正文文本缩进 2 Char"/>
    <w:link w:val="49"/>
    <w:qFormat/>
    <w:locked/>
    <w:uiPriority w:val="99"/>
    <w:rPr>
      <w:kern w:val="2"/>
      <w:sz w:val="21"/>
      <w:szCs w:val="24"/>
    </w:rPr>
  </w:style>
  <w:style w:type="character" w:customStyle="1" w:styleId="243">
    <w:name w:val="正文文本 Char"/>
    <w:link w:val="31"/>
    <w:qFormat/>
    <w:uiPriority w:val="99"/>
    <w:rPr>
      <w:kern w:val="2"/>
      <w:sz w:val="21"/>
      <w:szCs w:val="24"/>
    </w:rPr>
  </w:style>
  <w:style w:type="character" w:customStyle="1" w:styleId="244">
    <w:name w:val="Heading 1 Char"/>
    <w:qFormat/>
    <w:locked/>
    <w:uiPriority w:val="99"/>
    <w:rPr>
      <w:b/>
      <w:kern w:val="44"/>
      <w:sz w:val="44"/>
    </w:rPr>
  </w:style>
  <w:style w:type="character" w:customStyle="1" w:styleId="245">
    <w:name w:val="Char Char4"/>
    <w:qFormat/>
    <w:uiPriority w:val="0"/>
    <w:rPr>
      <w:rFonts w:eastAsia="汉仪大宋简"/>
      <w:kern w:val="44"/>
      <w:sz w:val="22"/>
      <w:szCs w:val="22"/>
      <w:lang w:val="en-US" w:eastAsia="zh-CN" w:bidi="ar-SA"/>
    </w:rPr>
  </w:style>
  <w:style w:type="character" w:customStyle="1" w:styleId="246">
    <w:name w:val="样式 标题 4 + (符号) 宋体 Char"/>
    <w:link w:val="176"/>
    <w:qFormat/>
    <w:uiPriority w:val="0"/>
    <w:rPr>
      <w:rFonts w:ascii="宋体" w:hAnsi="Arial"/>
      <w:b/>
      <w:bCs/>
      <w:kern w:val="2"/>
      <w:sz w:val="21"/>
      <w:szCs w:val="21"/>
    </w:rPr>
  </w:style>
  <w:style w:type="character" w:customStyle="1" w:styleId="247">
    <w:name w:val="正文文本缩进 Char"/>
    <w:link w:val="33"/>
    <w:qFormat/>
    <w:locked/>
    <w:uiPriority w:val="99"/>
    <w:rPr>
      <w:kern w:val="2"/>
      <w:sz w:val="21"/>
      <w:szCs w:val="24"/>
    </w:rPr>
  </w:style>
  <w:style w:type="character" w:customStyle="1" w:styleId="248">
    <w:name w:val="样式 Arial"/>
    <w:qFormat/>
    <w:uiPriority w:val="0"/>
    <w:rPr>
      <w:rFonts w:hint="default" w:ascii="Times New Roman" w:hAnsi="Times New Roman" w:eastAsia="宋体" w:cs="Times New Roman"/>
      <w:sz w:val="21"/>
      <w:szCs w:val="21"/>
    </w:rPr>
  </w:style>
  <w:style w:type="character" w:customStyle="1" w:styleId="249">
    <w:name w:val="Footer Char"/>
    <w:qFormat/>
    <w:uiPriority w:val="99"/>
    <w:rPr>
      <w:rFonts w:ascii="Times New Roman" w:hAnsi="Times New Roman"/>
      <w:sz w:val="18"/>
    </w:rPr>
  </w:style>
  <w:style w:type="character" w:customStyle="1" w:styleId="250">
    <w:name w:val="正文格式 Char"/>
    <w:link w:val="170"/>
    <w:qFormat/>
    <w:uiPriority w:val="0"/>
    <w:rPr>
      <w:rFonts w:ascii="宋体" w:hAnsi="宋体" w:eastAsia="宋体"/>
      <w:bCs/>
      <w:kern w:val="2"/>
      <w:sz w:val="21"/>
      <w:szCs w:val="21"/>
      <w:lang w:val="en-US" w:eastAsia="zh-CN" w:bidi="ar-SA"/>
    </w:rPr>
  </w:style>
  <w:style w:type="character" w:customStyle="1" w:styleId="251">
    <w:name w:val="页脚 Char1"/>
    <w:qFormat/>
    <w:locked/>
    <w:uiPriority w:val="99"/>
    <w:rPr>
      <w:sz w:val="18"/>
      <w:szCs w:val="18"/>
    </w:rPr>
  </w:style>
  <w:style w:type="character" w:customStyle="1" w:styleId="252">
    <w:name w:val="样式6 Char"/>
    <w:link w:val="129"/>
    <w:qFormat/>
    <w:uiPriority w:val="0"/>
    <w:rPr>
      <w:kern w:val="2"/>
      <w:sz w:val="21"/>
      <w:szCs w:val="24"/>
    </w:rPr>
  </w:style>
  <w:style w:type="character" w:customStyle="1" w:styleId="253">
    <w:name w:val="Char Char8"/>
    <w:qFormat/>
    <w:uiPriority w:val="99"/>
    <w:rPr>
      <w:rFonts w:ascii="宋体" w:hAnsi="宋体" w:eastAsia="宋体"/>
      <w:b/>
      <w:sz w:val="36"/>
      <w:lang w:val="en-US" w:eastAsia="zh-CN"/>
    </w:rPr>
  </w:style>
  <w:style w:type="character" w:customStyle="1" w:styleId="254">
    <w:name w:val="表内居两端对齐 Char"/>
    <w:basedOn w:val="255"/>
    <w:link w:val="216"/>
    <w:qFormat/>
    <w:uiPriority w:val="0"/>
    <w:rPr>
      <w:rFonts w:eastAsia="宋体" w:cs="宋体"/>
      <w:kern w:val="2"/>
      <w:sz w:val="18"/>
      <w:szCs w:val="18"/>
      <w:lang w:val="en-US" w:eastAsia="zh-CN" w:bidi="ar-SA"/>
    </w:rPr>
  </w:style>
  <w:style w:type="character" w:customStyle="1" w:styleId="255">
    <w:name w:val="表内居中小五 Char"/>
    <w:link w:val="217"/>
    <w:qFormat/>
    <w:uiPriority w:val="0"/>
    <w:rPr>
      <w:rFonts w:eastAsia="宋体" w:cs="宋体"/>
      <w:kern w:val="2"/>
      <w:sz w:val="18"/>
      <w:szCs w:val="18"/>
      <w:lang w:val="en-US" w:eastAsia="zh-CN" w:bidi="ar-SA"/>
    </w:rPr>
  </w:style>
  <w:style w:type="character" w:customStyle="1" w:styleId="256">
    <w:name w:val="Char Char41"/>
    <w:qFormat/>
    <w:locked/>
    <w:uiPriority w:val="99"/>
    <w:rPr>
      <w:rFonts w:ascii="宋体" w:hAnsi="宋体" w:eastAsia="宋体"/>
      <w:kern w:val="2"/>
      <w:sz w:val="24"/>
    </w:rPr>
  </w:style>
  <w:style w:type="character" w:customStyle="1" w:styleId="257">
    <w:name w:val="Char Char2"/>
    <w:qFormat/>
    <w:uiPriority w:val="0"/>
    <w:rPr>
      <w:rFonts w:eastAsia="汉仪大宋简"/>
      <w:kern w:val="44"/>
      <w:sz w:val="22"/>
      <w:szCs w:val="22"/>
      <w:lang w:val="en-US" w:eastAsia="zh-CN" w:bidi="ar-SA"/>
    </w:rPr>
  </w:style>
  <w:style w:type="character" w:customStyle="1" w:styleId="258">
    <w:name w:val="批注主题 Char"/>
    <w:link w:val="80"/>
    <w:qFormat/>
    <w:uiPriority w:val="99"/>
    <w:rPr>
      <w:b/>
      <w:bCs/>
      <w:kern w:val="2"/>
      <w:sz w:val="21"/>
      <w:szCs w:val="24"/>
    </w:rPr>
  </w:style>
  <w:style w:type="character" w:customStyle="1" w:styleId="259">
    <w:name w:val="正文 Char"/>
    <w:qFormat/>
    <w:uiPriority w:val="0"/>
    <w:rPr>
      <w:rFonts w:eastAsia="宋体" w:cs="宋体"/>
      <w:kern w:val="2"/>
      <w:sz w:val="21"/>
      <w:lang w:val="en-US" w:eastAsia="zh-CN" w:bidi="ar-SA"/>
    </w:rPr>
  </w:style>
  <w:style w:type="character" w:customStyle="1" w:styleId="260">
    <w:name w:val="批注文字 Char1"/>
    <w:link w:val="25"/>
    <w:qFormat/>
    <w:locked/>
    <w:uiPriority w:val="99"/>
    <w:rPr>
      <w:kern w:val="2"/>
      <w:sz w:val="21"/>
      <w:szCs w:val="24"/>
    </w:rPr>
  </w:style>
  <w:style w:type="character" w:customStyle="1" w:styleId="261">
    <w:name w:val="Char Char"/>
    <w:qFormat/>
    <w:locked/>
    <w:uiPriority w:val="99"/>
    <w:rPr>
      <w:rFonts w:ascii="宋体" w:hAnsi="宋体" w:eastAsia="宋体"/>
      <w:kern w:val="2"/>
      <w:sz w:val="24"/>
    </w:rPr>
  </w:style>
  <w:style w:type="character" w:customStyle="1" w:styleId="262">
    <w:name w:val="jl 三级 Char Char"/>
    <w:link w:val="158"/>
    <w:qFormat/>
    <w:uiPriority w:val="0"/>
    <w:rPr>
      <w:rFonts w:ascii="宋体" w:hAnsi="宋体" w:eastAsia="宋体"/>
      <w:b/>
      <w:color w:val="000000"/>
      <w:kern w:val="2"/>
      <w:sz w:val="24"/>
      <w:szCs w:val="24"/>
      <w:lang w:val="en-US" w:eastAsia="zh-CN" w:bidi="ar-SA"/>
    </w:rPr>
  </w:style>
  <w:style w:type="character" w:customStyle="1" w:styleId="263">
    <w:name w:val="标题 1 Char1"/>
    <w:qFormat/>
    <w:locked/>
    <w:uiPriority w:val="99"/>
    <w:rPr>
      <w:rFonts w:eastAsia="黑体"/>
      <w:kern w:val="0"/>
      <w:szCs w:val="36"/>
    </w:rPr>
  </w:style>
  <w:style w:type="character" w:customStyle="1" w:styleId="264">
    <w:name w:val="im-content1"/>
    <w:qFormat/>
    <w:uiPriority w:val="0"/>
    <w:rPr>
      <w:color w:val="333333"/>
    </w:rPr>
  </w:style>
  <w:style w:type="character" w:customStyle="1" w:styleId="265">
    <w:name w:val="正文文本缩进 3 Char"/>
    <w:link w:val="66"/>
    <w:qFormat/>
    <w:locked/>
    <w:uiPriority w:val="99"/>
    <w:rPr>
      <w:kern w:val="2"/>
      <w:sz w:val="16"/>
      <w:szCs w:val="16"/>
    </w:rPr>
  </w:style>
  <w:style w:type="character" w:customStyle="1" w:styleId="266">
    <w:name w:val="页眉 Char1"/>
    <w:qFormat/>
    <w:uiPriority w:val="99"/>
    <w:rPr>
      <w:rFonts w:eastAsia="宋体"/>
      <w:kern w:val="2"/>
      <w:sz w:val="18"/>
      <w:lang w:val="en-US" w:eastAsia="zh-CN"/>
    </w:rPr>
  </w:style>
  <w:style w:type="character" w:customStyle="1" w:styleId="267">
    <w:name w:val="批注框文本 Char"/>
    <w:qFormat/>
    <w:uiPriority w:val="99"/>
    <w:rPr>
      <w:sz w:val="18"/>
      <w:szCs w:val="18"/>
    </w:rPr>
  </w:style>
  <w:style w:type="character" w:customStyle="1" w:styleId="268">
    <w:name w:val="纯文本 Char"/>
    <w:link w:val="43"/>
    <w:qFormat/>
    <w:uiPriority w:val="99"/>
    <w:rPr>
      <w:rFonts w:ascii="宋体" w:hAnsi="Courier New" w:eastAsia="宋体" w:cs="Courier New"/>
      <w:kern w:val="2"/>
      <w:sz w:val="21"/>
      <w:szCs w:val="21"/>
      <w:lang w:val="en-US" w:eastAsia="zh-CN" w:bidi="ar-SA"/>
    </w:rPr>
  </w:style>
  <w:style w:type="character" w:customStyle="1" w:styleId="269">
    <w:name w:val="Char Char5"/>
    <w:qFormat/>
    <w:locked/>
    <w:uiPriority w:val="99"/>
    <w:rPr>
      <w:rFonts w:ascii="Arial" w:hAnsi="Arial" w:eastAsia="宋体"/>
      <w:b/>
      <w:kern w:val="2"/>
      <w:sz w:val="32"/>
    </w:rPr>
  </w:style>
  <w:style w:type="character" w:customStyle="1" w:styleId="270">
    <w:name w:val="文档结构图 Char"/>
    <w:link w:val="24"/>
    <w:qFormat/>
    <w:uiPriority w:val="99"/>
    <w:rPr>
      <w:kern w:val="2"/>
      <w:sz w:val="21"/>
      <w:szCs w:val="24"/>
      <w:shd w:val="clear" w:color="auto" w:fill="000080"/>
    </w:rPr>
  </w:style>
  <w:style w:type="character" w:customStyle="1" w:styleId="271">
    <w:name w:val="style7"/>
    <w:qFormat/>
    <w:uiPriority w:val="99"/>
  </w:style>
  <w:style w:type="character" w:customStyle="1" w:styleId="272">
    <w:name w:val="表头 Char"/>
    <w:link w:val="167"/>
    <w:qFormat/>
    <w:uiPriority w:val="0"/>
    <w:rPr>
      <w:rFonts w:eastAsia="黑体"/>
      <w:kern w:val="2"/>
      <w:sz w:val="21"/>
      <w:szCs w:val="21"/>
      <w:lang w:val="en-US" w:eastAsia="zh-CN" w:bidi="ar-SA"/>
    </w:rPr>
  </w:style>
  <w:style w:type="character" w:customStyle="1" w:styleId="273">
    <w:name w:val="Char Char16"/>
    <w:qFormat/>
    <w:uiPriority w:val="0"/>
    <w:rPr>
      <w:rFonts w:ascii="Arial" w:hAnsi="Arial" w:eastAsia="黑体"/>
      <w:b/>
      <w:bCs/>
      <w:kern w:val="2"/>
      <w:sz w:val="32"/>
      <w:szCs w:val="32"/>
      <w:lang w:val="en-US" w:eastAsia="zh-CN" w:bidi="ar-SA"/>
    </w:rPr>
  </w:style>
  <w:style w:type="character" w:customStyle="1" w:styleId="274">
    <w:name w:val="节标题 1.1 Char"/>
    <w:qFormat/>
    <w:uiPriority w:val="0"/>
    <w:rPr>
      <w:rFonts w:eastAsia="黑体"/>
      <w:bCs/>
      <w:kern w:val="2"/>
      <w:sz w:val="21"/>
      <w:szCs w:val="21"/>
      <w:lang w:val="en-US" w:eastAsia="zh-CN" w:bidi="ar-SA"/>
    </w:rPr>
  </w:style>
  <w:style w:type="character" w:customStyle="1" w:styleId="275">
    <w:name w:val="段 Char"/>
    <w:link w:val="106"/>
    <w:qFormat/>
    <w:uiPriority w:val="0"/>
    <w:rPr>
      <w:rFonts w:ascii="宋体"/>
      <w:sz w:val="21"/>
      <w:lang w:val="en-US" w:eastAsia="zh-CN" w:bidi="ar-SA"/>
    </w:rPr>
  </w:style>
  <w:style w:type="character" w:customStyle="1" w:styleId="276">
    <w:name w:val="标题 1 Char Char"/>
    <w:qFormat/>
    <w:uiPriority w:val="0"/>
    <w:rPr>
      <w:rFonts w:ascii="宋体" w:eastAsia="宋体"/>
      <w:b/>
      <w:bCs/>
      <w:kern w:val="44"/>
      <w:sz w:val="21"/>
      <w:szCs w:val="21"/>
      <w:lang w:val="en-US" w:eastAsia="zh-CN" w:bidi="ar-SA"/>
    </w:rPr>
  </w:style>
  <w:style w:type="character" w:customStyle="1" w:styleId="277">
    <w:name w:val="批注文字 Char"/>
    <w:semiHidden/>
    <w:qFormat/>
    <w:uiPriority w:val="99"/>
    <w:rPr>
      <w:szCs w:val="21"/>
    </w:rPr>
  </w:style>
  <w:style w:type="character" w:customStyle="1" w:styleId="278">
    <w:name w:val="表注 Char"/>
    <w:link w:val="169"/>
    <w:qFormat/>
    <w:locked/>
    <w:uiPriority w:val="99"/>
    <w:rPr>
      <w:kern w:val="2"/>
      <w:sz w:val="18"/>
      <w:szCs w:val="24"/>
    </w:rPr>
  </w:style>
  <w:style w:type="character" w:customStyle="1" w:styleId="279">
    <w:name w:val="首行缩进 Char"/>
    <w:link w:val="116"/>
    <w:qFormat/>
    <w:uiPriority w:val="99"/>
    <w:rPr>
      <w:rFonts w:eastAsia="方正书宋简体" w:cs="宋体"/>
      <w:kern w:val="2"/>
      <w:sz w:val="21"/>
      <w:lang w:val="en-US" w:eastAsia="zh-CN" w:bidi="ar-SA"/>
    </w:rPr>
  </w:style>
  <w:style w:type="character" w:customStyle="1" w:styleId="280">
    <w:name w:val="正文缩进 Char"/>
    <w:link w:val="19"/>
    <w:qFormat/>
    <w:uiPriority w:val="0"/>
    <w:rPr>
      <w:rFonts w:eastAsia="宋体"/>
      <w:kern w:val="2"/>
      <w:sz w:val="21"/>
      <w:szCs w:val="24"/>
      <w:lang w:val="en-US" w:eastAsia="zh-CN" w:bidi="ar-SA"/>
    </w:rPr>
  </w:style>
  <w:style w:type="character" w:customStyle="1" w:styleId="281">
    <w:name w:val="Char Char11"/>
    <w:qFormat/>
    <w:locked/>
    <w:uiPriority w:val="99"/>
    <w:rPr>
      <w:rFonts w:ascii="Arial" w:hAnsi="Arial" w:eastAsia="宋体"/>
      <w:b/>
      <w:sz w:val="22"/>
      <w:lang w:val="en-US" w:eastAsia="zh-CN"/>
    </w:rPr>
  </w:style>
  <w:style w:type="character" w:customStyle="1" w:styleId="282">
    <w:name w:val="日期 Char"/>
    <w:link w:val="48"/>
    <w:qFormat/>
    <w:uiPriority w:val="99"/>
    <w:rPr>
      <w:kern w:val="2"/>
      <w:sz w:val="21"/>
      <w:szCs w:val="24"/>
    </w:rPr>
  </w:style>
  <w:style w:type="character" w:customStyle="1" w:styleId="283">
    <w:name w:val="样式 标题 3 + 宋体 Char"/>
    <w:link w:val="226"/>
    <w:qFormat/>
    <w:uiPriority w:val="0"/>
    <w:rPr>
      <w:rFonts w:ascii="宋体" w:hAnsi="宋体" w:eastAsia="宋体"/>
      <w:kern w:val="2"/>
      <w:sz w:val="21"/>
      <w:szCs w:val="21"/>
      <w:lang w:val="en-US" w:eastAsia="zh-CN" w:bidi="ar-SA"/>
    </w:rPr>
  </w:style>
  <w:style w:type="character" w:customStyle="1" w:styleId="284">
    <w:name w:val="批注框文本 Char1"/>
    <w:link w:val="51"/>
    <w:qFormat/>
    <w:locked/>
    <w:uiPriority w:val="99"/>
    <w:rPr>
      <w:kern w:val="2"/>
      <w:sz w:val="18"/>
      <w:szCs w:val="18"/>
    </w:rPr>
  </w:style>
  <w:style w:type="character" w:customStyle="1" w:styleId="285">
    <w:name w:val="页脚 Char"/>
    <w:link w:val="52"/>
    <w:qFormat/>
    <w:uiPriority w:val="99"/>
    <w:rPr>
      <w:rFonts w:eastAsia="宋体"/>
      <w:kern w:val="2"/>
      <w:sz w:val="18"/>
      <w:szCs w:val="18"/>
      <w:lang w:val="en-US" w:eastAsia="zh-CN" w:bidi="ar-SA"/>
    </w:rPr>
  </w:style>
  <w:style w:type="character" w:customStyle="1" w:styleId="286">
    <w:name w:val="Header Char"/>
    <w:qFormat/>
    <w:uiPriority w:val="99"/>
    <w:rPr>
      <w:rFonts w:ascii="Times New Roman" w:hAnsi="Times New Roman"/>
      <w:sz w:val="18"/>
    </w:rPr>
  </w:style>
  <w:style w:type="character" w:customStyle="1" w:styleId="287">
    <w:name w:val="页眉 Char2"/>
    <w:qFormat/>
    <w:locked/>
    <w:uiPriority w:val="99"/>
    <w:rPr>
      <w:sz w:val="18"/>
      <w:szCs w:val="18"/>
    </w:rPr>
  </w:style>
  <w:style w:type="character" w:customStyle="1" w:styleId="288">
    <w:name w:val="二级条标题 Char"/>
    <w:link w:val="104"/>
    <w:qFormat/>
    <w:uiPriority w:val="0"/>
    <w:rPr>
      <w:rFonts w:ascii="黑体" w:eastAsia="黑体"/>
      <w:b/>
      <w:sz w:val="21"/>
      <w:lang w:val="en-US" w:eastAsia="zh-CN" w:bidi="ar-SA"/>
    </w:rPr>
  </w:style>
  <w:style w:type="character" w:customStyle="1" w:styleId="289">
    <w:name w:val="Char Char15"/>
    <w:qFormat/>
    <w:locked/>
    <w:uiPriority w:val="99"/>
    <w:rPr>
      <w:rFonts w:eastAsia="黑体"/>
      <w:sz w:val="36"/>
    </w:rPr>
  </w:style>
  <w:style w:type="character" w:customStyle="1" w:styleId="290">
    <w:name w:val="jl 正文 Char Char Char"/>
    <w:link w:val="193"/>
    <w:qFormat/>
    <w:uiPriority w:val="0"/>
    <w:rPr>
      <w:rFonts w:ascii="宋体" w:eastAsia="宋体"/>
      <w:kern w:val="2"/>
      <w:sz w:val="24"/>
      <w:szCs w:val="24"/>
      <w:lang w:val="en-US" w:eastAsia="zh-CN" w:bidi="ar-SA"/>
    </w:rPr>
  </w:style>
  <w:style w:type="character" w:customStyle="1" w:styleId="291">
    <w:name w:val="页眉 Char"/>
    <w:link w:val="54"/>
    <w:qFormat/>
    <w:uiPriority w:val="99"/>
    <w:rPr>
      <w:rFonts w:eastAsia="宋体"/>
      <w:kern w:val="2"/>
      <w:sz w:val="18"/>
      <w:szCs w:val="18"/>
      <w:lang w:val="en-US" w:eastAsia="zh-CN" w:bidi="ar-SA"/>
    </w:rPr>
  </w:style>
  <w:style w:type="paragraph" w:customStyle="1" w:styleId="292">
    <w:name w:val="Other|1"/>
    <w:basedOn w:val="1"/>
    <w:qFormat/>
    <w:uiPriority w:val="0"/>
    <w:pPr>
      <w:widowControl w:val="0"/>
      <w:shd w:val="clear" w:color="auto" w:fill="auto"/>
      <w:spacing w:line="425" w:lineRule="auto"/>
      <w:ind w:firstLine="400"/>
    </w:pPr>
    <w:rPr>
      <w:rFonts w:ascii="宋体" w:hAnsi="宋体" w:eastAsia="宋体" w:cs="宋体"/>
      <w:sz w:val="20"/>
      <w:szCs w:val="20"/>
      <w:u w:val="none"/>
      <w:shd w:val="clear" w:color="auto" w:fill="auto"/>
      <w:lang w:val="zh-TW" w:eastAsia="zh-TW" w:bidi="zh-TW"/>
    </w:rPr>
  </w:style>
  <w:style w:type="paragraph" w:customStyle="1" w:styleId="293">
    <w:name w:val="Body text|1"/>
    <w:basedOn w:val="1"/>
    <w:qFormat/>
    <w:uiPriority w:val="0"/>
    <w:pPr>
      <w:widowControl w:val="0"/>
      <w:shd w:val="clear" w:color="auto" w:fill="auto"/>
      <w:spacing w:line="425" w:lineRule="auto"/>
      <w:ind w:firstLine="400"/>
    </w:pPr>
    <w:rPr>
      <w:rFonts w:ascii="宋体" w:hAnsi="宋体" w:eastAsia="宋体" w:cs="宋体"/>
      <w:sz w:val="20"/>
      <w:szCs w:val="20"/>
      <w:u w:val="none"/>
      <w:shd w:val="clear" w:color="auto" w:fill="auto"/>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2297</Words>
  <Characters>2615</Characters>
  <Lines>165</Lines>
  <Paragraphs>46</Paragraphs>
  <TotalTime>7</TotalTime>
  <ScaleCrop>false</ScaleCrop>
  <LinksUpToDate>false</LinksUpToDate>
  <CharactersWithSpaces>2791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2018-05-18T19:07:00Z</dcterms:created>
  <dc:creator>18620</dc:creator>
  <cp:lastModifiedBy>陈嘉</cp:lastModifiedBy>
  <cp:lastPrinted>2019-12-10T15:33:00Z</cp:lastPrinted>
  <dcterms:modified xsi:type="dcterms:W3CDTF">2026-06-10T04:37:25Z</dcterms:modified>
  <dc:title>（2009年版）</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状态">
    <vt:lpwstr>xxx</vt:lpwstr>
  </property>
  <property fmtid="{D5CDD505-2E9C-101B-9397-08002B2CF9AE}" pid="3" name="KSOProductBuildVer">
    <vt:lpwstr>2052-12.1.0.26895</vt:lpwstr>
  </property>
  <property fmtid="{D5CDD505-2E9C-101B-9397-08002B2CF9AE}" pid="4" name="ICV">
    <vt:lpwstr>A00B2892155E45E1AA1A324AD25A9FAD_13</vt:lpwstr>
  </property>
  <property fmtid="{D5CDD505-2E9C-101B-9397-08002B2CF9AE}" pid="5" name="KSOTemplateDocerSaveRecord">
    <vt:lpwstr>eyJoZGlkIjoiZmVlZDdiNGFlNDI5ZjI2YTE3MTM4OWI2MWU0Nzk4YzUiLCJ1c2VySWQiOiIxNDUxNjY3NTU4In0=</vt:lpwstr>
  </property>
</Properties>
</file>