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832E89">
      <w:pPr>
        <w:pStyle w:val="10"/>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eastAsiaTheme="minorEastAsia"/>
          <w:b/>
          <w:bCs/>
          <w:snapToGrid w:val="0"/>
          <w:color w:val="auto"/>
          <w:kern w:val="0"/>
          <w:sz w:val="32"/>
          <w:szCs w:val="32"/>
          <w:highlight w:val="none"/>
          <w:u w:val="none"/>
          <w:lang w:val="en-US" w:eastAsia="zh-CN"/>
        </w:rPr>
      </w:pPr>
      <w:bookmarkStart w:id="0" w:name="_Toc8445"/>
      <w:r>
        <w:rPr>
          <w:rFonts w:hint="default" w:ascii="Times New Roman" w:hAnsi="Times New Roman" w:cs="Times New Roman" w:eastAsiaTheme="minorEastAsia"/>
          <w:b/>
          <w:bCs/>
          <w:snapToGrid w:val="0"/>
          <w:color w:val="auto"/>
          <w:kern w:val="0"/>
          <w:sz w:val="32"/>
          <w:szCs w:val="32"/>
          <w:highlight w:val="none"/>
          <w:u w:val="none"/>
          <w:lang w:val="en-US" w:eastAsia="zh-CN"/>
        </w:rPr>
        <w:t>附件A.项目信息清单</w:t>
      </w:r>
      <w:r>
        <w:rPr>
          <w:rFonts w:hint="default" w:ascii="Times New Roman" w:hAnsi="Times New Roman" w:cs="Times New Roman" w:eastAsiaTheme="minorEastAsia"/>
          <w:b/>
          <w:bCs/>
          <w:snapToGrid w:val="0"/>
          <w:color w:val="auto"/>
          <w:kern w:val="0"/>
          <w:sz w:val="28"/>
          <w:szCs w:val="28"/>
          <w:highlight w:val="none"/>
          <w:u w:val="none"/>
          <w:lang w:val="en-US" w:eastAsia="zh-CN"/>
        </w:rPr>
        <w:t>（</w:t>
      </w:r>
      <w:r>
        <w:rPr>
          <w:rFonts w:hint="default" w:ascii="Times New Roman" w:hAnsi="Times New Roman" w:cs="Times New Roman" w:eastAsiaTheme="minorEastAsia"/>
          <w:b/>
          <w:bCs/>
          <w:snapToGrid w:val="0"/>
          <w:color w:val="auto"/>
          <w:kern w:val="0"/>
          <w:sz w:val="28"/>
          <w:szCs w:val="28"/>
          <w:highlight w:val="none"/>
          <w:u w:val="single"/>
          <w:lang w:val="en-US" w:eastAsia="zh-CN"/>
        </w:rPr>
        <w:t>奥林220千伏出线工程二期（隧道土建部分）代建服务项目</w:t>
      </w:r>
      <w:r>
        <w:rPr>
          <w:rFonts w:hint="default" w:ascii="Times New Roman" w:hAnsi="Times New Roman" w:cs="Times New Roman" w:eastAsiaTheme="minorEastAsia"/>
          <w:b/>
          <w:bCs/>
          <w:snapToGrid w:val="0"/>
          <w:color w:val="auto"/>
          <w:kern w:val="0"/>
          <w:sz w:val="28"/>
          <w:szCs w:val="28"/>
          <w:highlight w:val="none"/>
          <w:u w:val="none"/>
          <w:lang w:val="en-US" w:eastAsia="zh-CN"/>
        </w:rPr>
        <w:t>招标）</w:t>
      </w:r>
    </w:p>
    <w:bookmarkEnd w:id="0"/>
    <w:p w14:paraId="518808E1">
      <w:pPr>
        <w:pStyle w:val="10"/>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eastAsiaTheme="minorEastAsia"/>
          <w:b/>
          <w:bCs/>
          <w:color w:val="auto"/>
          <w:sz w:val="28"/>
          <w:szCs w:val="28"/>
          <w:highlight w:val="none"/>
          <w:u w:val="none"/>
          <w:lang w:val="en-US" w:eastAsia="zh-CN"/>
        </w:rPr>
      </w:pPr>
      <w:r>
        <w:rPr>
          <w:rFonts w:hint="default" w:ascii="Times New Roman" w:hAnsi="Times New Roman" w:cs="Times New Roman" w:eastAsiaTheme="minorEastAsia"/>
          <w:b/>
          <w:bCs/>
          <w:snapToGrid w:val="0"/>
          <w:color w:val="auto"/>
          <w:kern w:val="0"/>
          <w:sz w:val="28"/>
          <w:szCs w:val="28"/>
          <w:highlight w:val="none"/>
          <w:u w:val="none"/>
          <w:lang w:val="en-US" w:eastAsia="zh-CN"/>
        </w:rPr>
        <w:t>项目信息</w:t>
      </w:r>
    </w:p>
    <w:p w14:paraId="09167B5D">
      <w:pPr>
        <w:pStyle w:val="10"/>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eastAsiaTheme="minorEastAsia"/>
          <w:b/>
          <w:bCs/>
          <w:color w:val="auto"/>
          <w:sz w:val="24"/>
          <w:szCs w:val="24"/>
          <w:highlight w:val="none"/>
          <w:u w:val="none"/>
          <w:lang w:val="en-US" w:eastAsia="zh-CN"/>
        </w:rPr>
      </w:pPr>
      <w:r>
        <w:rPr>
          <w:rFonts w:hint="default" w:ascii="Times New Roman" w:hAnsi="Times New Roman" w:cs="Times New Roman" w:eastAsiaTheme="minorEastAsia"/>
          <w:b/>
          <w:bCs/>
          <w:snapToGrid w:val="0"/>
          <w:color w:val="auto"/>
          <w:kern w:val="0"/>
          <w:sz w:val="24"/>
          <w:szCs w:val="24"/>
          <w:highlight w:val="none"/>
          <w:u w:val="none"/>
          <w:lang w:val="en-US" w:eastAsia="zh-CN"/>
        </w:rPr>
        <w:t>招标前期资料</w:t>
      </w:r>
    </w:p>
    <w:tbl>
      <w:tblPr>
        <w:tblStyle w:val="13"/>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783"/>
        <w:gridCol w:w="5250"/>
      </w:tblGrid>
      <w:tr w14:paraId="790B0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776" w:type="dxa"/>
            <w:noWrap w:val="0"/>
            <w:vAlign w:val="top"/>
          </w:tcPr>
          <w:p w14:paraId="095088E5">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pPr>
            <w:r>
              <w:rPr>
                <w:rFonts w:hint="default" w:ascii="Times New Roman" w:hAnsi="Times New Roman" w:cs="Times New Roman" w:eastAsiaTheme="minorEastAsia"/>
                <w:b/>
                <w:bCs/>
                <w:snapToGrid w:val="0"/>
                <w:color w:val="auto"/>
                <w:kern w:val="0"/>
                <w:sz w:val="24"/>
                <w:szCs w:val="24"/>
                <w:highlight w:val="none"/>
                <w:u w:val="none"/>
                <w:vertAlign w:val="baseline"/>
                <w:lang w:val="en-US" w:eastAsia="zh-CN"/>
              </w:rPr>
              <w:t>序号</w:t>
            </w:r>
          </w:p>
        </w:tc>
        <w:tc>
          <w:tcPr>
            <w:tcW w:w="3783" w:type="dxa"/>
            <w:noWrap w:val="0"/>
            <w:vAlign w:val="top"/>
          </w:tcPr>
          <w:p w14:paraId="7EB1CE59">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pPr>
            <w:r>
              <w:rPr>
                <w:rFonts w:hint="default" w:ascii="Times New Roman" w:hAnsi="Times New Roman" w:cs="Times New Roman" w:eastAsiaTheme="minorEastAsia"/>
                <w:b/>
                <w:bCs/>
                <w:snapToGrid w:val="0"/>
                <w:color w:val="auto"/>
                <w:kern w:val="0"/>
                <w:sz w:val="24"/>
                <w:szCs w:val="24"/>
                <w:highlight w:val="none"/>
                <w:u w:val="none"/>
                <w:vertAlign w:val="baseline"/>
                <w:lang w:val="en-US" w:eastAsia="zh-CN"/>
              </w:rPr>
              <w:t>文件名称</w:t>
            </w:r>
          </w:p>
        </w:tc>
        <w:tc>
          <w:tcPr>
            <w:tcW w:w="5250" w:type="dxa"/>
            <w:noWrap w:val="0"/>
            <w:vAlign w:val="top"/>
          </w:tcPr>
          <w:p w14:paraId="652C09F3">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pPr>
            <w:r>
              <w:rPr>
                <w:rFonts w:hint="default" w:ascii="Times New Roman" w:hAnsi="Times New Roman" w:cs="Times New Roman" w:eastAsiaTheme="minorEastAsia"/>
                <w:b/>
                <w:bCs/>
                <w:snapToGrid w:val="0"/>
                <w:color w:val="auto"/>
                <w:kern w:val="0"/>
                <w:sz w:val="24"/>
                <w:szCs w:val="24"/>
                <w:highlight w:val="none"/>
                <w:u w:val="none"/>
                <w:vertAlign w:val="baseline"/>
                <w:lang w:val="en-US" w:eastAsia="zh-CN"/>
              </w:rPr>
              <w:t>文件文号</w:t>
            </w:r>
          </w:p>
        </w:tc>
      </w:tr>
      <w:tr w14:paraId="346BE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0DB230A6">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pPr>
            <w:r>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t>1</w:t>
            </w:r>
          </w:p>
        </w:tc>
        <w:tc>
          <w:tcPr>
            <w:tcW w:w="3783" w:type="dxa"/>
            <w:noWrap w:val="0"/>
            <w:vAlign w:val="center"/>
          </w:tcPr>
          <w:p w14:paraId="4E4807EE">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pPr>
            <w:r>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t>项目立项(可研批复)文号</w:t>
            </w:r>
          </w:p>
        </w:tc>
        <w:tc>
          <w:tcPr>
            <w:tcW w:w="5250" w:type="dxa"/>
            <w:noWrap w:val="0"/>
            <w:vAlign w:val="center"/>
          </w:tcPr>
          <w:p w14:paraId="1A9CC909">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pPr>
            <w:r>
              <w:rPr>
                <w:rFonts w:hint="default" w:ascii="Times New Roman" w:hAnsi="Times New Roman" w:cs="Times New Roman" w:eastAsiaTheme="minorEastAsia"/>
                <w:b w:val="0"/>
                <w:bCs w:val="0"/>
                <w:snapToGrid w:val="0"/>
                <w:color w:val="auto"/>
                <w:kern w:val="0"/>
                <w:sz w:val="24"/>
                <w:szCs w:val="24"/>
                <w:highlight w:val="none"/>
                <w:u w:val="single"/>
                <w:vertAlign w:val="baseline"/>
                <w:lang w:val="en-US" w:eastAsia="zh-CN"/>
              </w:rPr>
              <w:t>广供电基〔2024〕104号</w:t>
            </w:r>
          </w:p>
          <w:p w14:paraId="322972EA">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left"/>
              <w:textAlignment w:val="auto"/>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pPr>
          </w:p>
        </w:tc>
      </w:tr>
      <w:tr w14:paraId="061C1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1E13ED59">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pPr>
            <w:r>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t>2</w:t>
            </w:r>
          </w:p>
        </w:tc>
        <w:tc>
          <w:tcPr>
            <w:tcW w:w="3783" w:type="dxa"/>
            <w:noWrap w:val="0"/>
            <w:vAlign w:val="center"/>
          </w:tcPr>
          <w:p w14:paraId="41792754">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bidi="ar-SA"/>
              </w:rPr>
            </w:pPr>
            <w:r>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bidi="ar-SA"/>
              </w:rPr>
              <w:t>资金落实情况</w:t>
            </w:r>
          </w:p>
        </w:tc>
        <w:tc>
          <w:tcPr>
            <w:tcW w:w="5250" w:type="dxa"/>
            <w:noWrap w:val="0"/>
            <w:vAlign w:val="center"/>
          </w:tcPr>
          <w:p w14:paraId="280843D0">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imes New Roman" w:hAnsi="Times New Roman" w:cs="Times New Roman" w:eastAsiaTheme="minorEastAsia"/>
                <w:b w:val="0"/>
                <w:bCs w:val="0"/>
                <w:snapToGrid w:val="0"/>
                <w:color w:val="auto"/>
                <w:kern w:val="0"/>
                <w:sz w:val="24"/>
                <w:szCs w:val="24"/>
                <w:highlight w:val="none"/>
                <w:u w:val="single"/>
                <w:vertAlign w:val="baseline"/>
                <w:lang w:val="en-US" w:eastAsia="zh-CN"/>
              </w:rPr>
            </w:pPr>
            <w:r>
              <w:rPr>
                <w:rFonts w:hint="default" w:ascii="Times New Roman" w:hAnsi="Times New Roman" w:cs="Times New Roman" w:eastAsiaTheme="minorEastAsia"/>
                <w:b w:val="0"/>
                <w:bCs w:val="0"/>
                <w:snapToGrid w:val="0"/>
                <w:color w:val="auto"/>
                <w:kern w:val="0"/>
                <w:sz w:val="24"/>
                <w:szCs w:val="24"/>
                <w:highlight w:val="none"/>
                <w:u w:val="single"/>
                <w:vertAlign w:val="baseline"/>
                <w:lang w:val="en-US" w:eastAsia="zh-CN"/>
              </w:rPr>
              <w:t>已落实，广供电资〔2025〕3 号</w:t>
            </w:r>
          </w:p>
          <w:p w14:paraId="4CA030A2">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pPr>
            <w:r>
              <w:rPr>
                <w:rFonts w:hint="default" w:ascii="Times New Roman" w:hAnsi="Times New Roman" w:cs="Times New Roman" w:eastAsiaTheme="minorEastAsia"/>
                <w:b w:val="0"/>
                <w:bCs w:val="0"/>
                <w:snapToGrid w:val="0"/>
                <w:color w:val="auto"/>
                <w:kern w:val="0"/>
                <w:sz w:val="24"/>
                <w:szCs w:val="24"/>
                <w:highlight w:val="none"/>
                <w:u w:val="single"/>
                <w:vertAlign w:val="baseline"/>
                <w:lang w:val="en-US" w:eastAsia="zh-CN"/>
              </w:rPr>
              <w:t>XXXX〔20**〕 **号</w:t>
            </w:r>
          </w:p>
          <w:p w14:paraId="3CAEDCDC">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left"/>
              <w:textAlignment w:val="auto"/>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pPr>
          </w:p>
        </w:tc>
      </w:tr>
      <w:tr w14:paraId="0B7D0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6B2D7AD5">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bidi="ar-SA"/>
              </w:rPr>
            </w:pPr>
            <w:r>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t>3</w:t>
            </w:r>
          </w:p>
        </w:tc>
        <w:tc>
          <w:tcPr>
            <w:tcW w:w="3783" w:type="dxa"/>
            <w:noWrap w:val="0"/>
            <w:vAlign w:val="center"/>
          </w:tcPr>
          <w:p w14:paraId="5FC6B6A7">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bidi="ar-SA"/>
              </w:rPr>
            </w:pPr>
            <w:r>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t>项目建设单位</w:t>
            </w:r>
          </w:p>
        </w:tc>
        <w:tc>
          <w:tcPr>
            <w:tcW w:w="5250" w:type="dxa"/>
            <w:noWrap w:val="0"/>
            <w:vAlign w:val="center"/>
          </w:tcPr>
          <w:p w14:paraId="27E23B06">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bidi="ar-SA"/>
              </w:rPr>
            </w:pPr>
            <w:r>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t>广东电网有限责任公司广州供电局</w:t>
            </w:r>
          </w:p>
        </w:tc>
      </w:tr>
      <w:tr w14:paraId="589B7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21122D14">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bidi="ar-SA"/>
              </w:rPr>
            </w:pPr>
            <w:r>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t>4</w:t>
            </w:r>
          </w:p>
        </w:tc>
        <w:tc>
          <w:tcPr>
            <w:tcW w:w="3783" w:type="dxa"/>
            <w:noWrap w:val="0"/>
            <w:vAlign w:val="center"/>
          </w:tcPr>
          <w:p w14:paraId="6675EF81">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bidi="ar-SA"/>
              </w:rPr>
            </w:pPr>
            <w:r>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t>项目建设地点</w:t>
            </w:r>
          </w:p>
        </w:tc>
        <w:tc>
          <w:tcPr>
            <w:tcW w:w="5250" w:type="dxa"/>
            <w:noWrap w:val="0"/>
            <w:vAlign w:val="center"/>
          </w:tcPr>
          <w:p w14:paraId="03FDFD23">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bidi="ar-SA"/>
              </w:rPr>
            </w:pPr>
            <w:r>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t>广州市天河区</w:t>
            </w:r>
          </w:p>
        </w:tc>
      </w:tr>
      <w:tr w14:paraId="06660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4" w:hRule="exact"/>
          <w:jc w:val="center"/>
        </w:trPr>
        <w:tc>
          <w:tcPr>
            <w:tcW w:w="776" w:type="dxa"/>
            <w:noWrap w:val="0"/>
            <w:vAlign w:val="center"/>
          </w:tcPr>
          <w:p w14:paraId="3D6603C0">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bidi="ar-SA"/>
              </w:rPr>
            </w:pPr>
            <w:r>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t>5</w:t>
            </w:r>
          </w:p>
        </w:tc>
        <w:tc>
          <w:tcPr>
            <w:tcW w:w="3783" w:type="dxa"/>
            <w:noWrap w:val="0"/>
            <w:vAlign w:val="center"/>
          </w:tcPr>
          <w:p w14:paraId="17345B35">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bidi="ar-SA"/>
              </w:rPr>
            </w:pPr>
            <w:r>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t>服务期</w:t>
            </w:r>
          </w:p>
        </w:tc>
        <w:tc>
          <w:tcPr>
            <w:tcW w:w="5250" w:type="dxa"/>
            <w:noWrap w:val="0"/>
            <w:vAlign w:val="center"/>
          </w:tcPr>
          <w:p w14:paraId="73A30E32">
            <w:pPr>
              <w:pStyle w:val="10"/>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default" w:ascii="Times New Roman" w:hAnsi="Times New Roman" w:cs="Times New Roman" w:eastAsiaTheme="minorEastAsia"/>
                <w:bCs/>
                <w:color w:val="auto"/>
                <w:kern w:val="0"/>
                <w:sz w:val="21"/>
                <w:szCs w:val="21"/>
                <w:highlight w:val="none"/>
                <w:u w:val="none"/>
                <w:lang w:val="en-US" w:eastAsia="zh-CN"/>
              </w:rPr>
            </w:pPr>
            <w:r>
              <w:rPr>
                <w:rFonts w:hint="default" w:ascii="Times New Roman" w:hAnsi="Times New Roman" w:cs="Times New Roman" w:eastAsiaTheme="minorEastAsia"/>
                <w:b w:val="0"/>
                <w:bCs w:val="0"/>
                <w:snapToGrid w:val="0"/>
                <w:color w:val="auto"/>
                <w:kern w:val="0"/>
                <w:sz w:val="24"/>
                <w:szCs w:val="24"/>
                <w:highlight w:val="none"/>
                <w:u w:val="single"/>
                <w:vertAlign w:val="baseline"/>
                <w:lang w:val="en-US" w:eastAsia="zh-CN"/>
              </w:rPr>
              <w:t>合同签订之日起至</w:t>
            </w:r>
            <w:r>
              <w:rPr>
                <w:rFonts w:hint="eastAsia" w:ascii="Times New Roman" w:hAnsi="Times New Roman" w:cs="Times New Roman" w:eastAsiaTheme="minorEastAsia"/>
                <w:b w:val="0"/>
                <w:bCs w:val="0"/>
                <w:snapToGrid w:val="0"/>
                <w:color w:val="auto"/>
                <w:kern w:val="0"/>
                <w:sz w:val="24"/>
                <w:szCs w:val="24"/>
                <w:highlight w:val="none"/>
                <w:u w:val="single"/>
                <w:vertAlign w:val="baseline"/>
                <w:lang w:val="en-US" w:eastAsia="zh-CN"/>
              </w:rPr>
              <w:t>1095日历天</w:t>
            </w:r>
            <w:r>
              <w:rPr>
                <w:rFonts w:hint="default" w:ascii="Times New Roman" w:hAnsi="Times New Roman" w:cs="Times New Roman" w:eastAsiaTheme="minorEastAsia"/>
                <w:b w:val="0"/>
                <w:bCs w:val="0"/>
                <w:snapToGrid w:val="0"/>
                <w:color w:val="auto"/>
                <w:kern w:val="0"/>
                <w:sz w:val="24"/>
                <w:szCs w:val="24"/>
                <w:highlight w:val="none"/>
                <w:u w:val="single"/>
                <w:vertAlign w:val="baseline"/>
                <w:lang w:val="en-US" w:eastAsia="zh-CN"/>
              </w:rPr>
              <w:t>，实际服务期以委托函上载明的时间为准。</w:t>
            </w:r>
          </w:p>
        </w:tc>
      </w:tr>
    </w:tbl>
    <w:p w14:paraId="788F4715">
      <w:pPr>
        <w:keepNext w:val="0"/>
        <w:keepLines w:val="0"/>
        <w:pageBreakBefore w:val="0"/>
        <w:widowControl w:val="0"/>
        <w:numPr>
          <w:ilvl w:val="0"/>
          <w:numId w:val="0"/>
        </w:numPr>
        <w:kinsoku/>
        <w:wordWrap/>
        <w:overflowPunct/>
        <w:topLinePunct w:val="0"/>
        <w:bidi w:val="0"/>
        <w:snapToGrid/>
        <w:spacing w:before="157" w:beforeLines="50" w:after="157" w:afterLines="50" w:line="480" w:lineRule="auto"/>
        <w:textAlignment w:val="auto"/>
        <w:rPr>
          <w:rFonts w:hint="default" w:ascii="Times New Roman" w:hAnsi="Times New Roman" w:cs="Times New Roman" w:eastAsiaTheme="minorEastAsia"/>
          <w:b/>
          <w:bCs/>
          <w:color w:val="auto"/>
          <w:sz w:val="24"/>
          <w:szCs w:val="24"/>
          <w:highlight w:val="none"/>
          <w:u w:val="none"/>
          <w:lang w:val="en-US" w:eastAsia="zh-CN"/>
        </w:rPr>
      </w:pPr>
      <w:r>
        <w:rPr>
          <w:rFonts w:hint="default" w:ascii="Times New Roman" w:hAnsi="Times New Roman" w:cs="Times New Roman" w:eastAsiaTheme="minorEastAsia"/>
          <w:b/>
          <w:bCs/>
          <w:color w:val="auto"/>
          <w:sz w:val="24"/>
          <w:szCs w:val="24"/>
          <w:highlight w:val="none"/>
          <w:u w:val="none"/>
          <w:lang w:val="en-US" w:eastAsia="zh-CN"/>
        </w:rPr>
        <w:t>一、项目概况</w:t>
      </w:r>
    </w:p>
    <w:p w14:paraId="6763F539">
      <w:pPr>
        <w:keepNext w:val="0"/>
        <w:keepLines w:val="0"/>
        <w:pageBreakBefore w:val="0"/>
        <w:widowControl w:val="0"/>
        <w:kinsoku/>
        <w:wordWrap/>
        <w:overflowPunct/>
        <w:topLinePunct w:val="0"/>
        <w:bidi w:val="0"/>
        <w:snapToGrid/>
        <w:spacing w:before="157" w:beforeLines="50" w:after="157" w:afterLines="50" w:line="480" w:lineRule="auto"/>
        <w:ind w:firstLine="482" w:firstLineChars="200"/>
        <w:textAlignment w:val="auto"/>
        <w:rPr>
          <w:rFonts w:hint="default" w:ascii="Times New Roman" w:hAnsi="Times New Roman" w:cs="Times New Roman" w:eastAsiaTheme="minorEastAsia"/>
          <w:b/>
          <w:bCs/>
          <w:i w:val="0"/>
          <w:iCs/>
          <w:color w:val="auto"/>
          <w:kern w:val="2"/>
          <w:sz w:val="24"/>
          <w:szCs w:val="24"/>
          <w:highlight w:val="none"/>
          <w:u w:val="single"/>
          <w:lang w:val="en-US" w:eastAsia="zh-CN" w:bidi="ar-SA"/>
        </w:rPr>
      </w:pPr>
      <w:r>
        <w:rPr>
          <w:rFonts w:hint="default" w:ascii="Times New Roman" w:hAnsi="Times New Roman" w:cs="Times New Roman" w:eastAsiaTheme="minorEastAsia"/>
          <w:b/>
          <w:bCs/>
          <w:i w:val="0"/>
          <w:iCs/>
          <w:color w:val="auto"/>
          <w:kern w:val="2"/>
          <w:sz w:val="24"/>
          <w:szCs w:val="24"/>
          <w:highlight w:val="none"/>
          <w:u w:val="single"/>
          <w:lang w:val="en-US" w:eastAsia="zh-CN" w:bidi="ar-SA"/>
        </w:rPr>
        <w:t>※隧道工程：</w:t>
      </w:r>
    </w:p>
    <w:p w14:paraId="77267B16">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480" w:firstLineChars="200"/>
        <w:jc w:val="both"/>
        <w:textAlignment w:val="auto"/>
        <w:rPr>
          <w:rFonts w:hint="default" w:ascii="Times New Roman" w:hAnsi="Times New Roman" w:cs="Times New Roman" w:eastAsiaTheme="minorEastAsia"/>
          <w:b w:val="0"/>
          <w:i w:val="0"/>
          <w:color w:val="000000"/>
          <w:sz w:val="24"/>
          <w:szCs w:val="24"/>
          <w:highlight w:val="none"/>
          <w:u w:val="single"/>
          <w:lang w:val="en-US" w:eastAsia="zh-CN"/>
        </w:rPr>
      </w:pPr>
      <w:r>
        <w:rPr>
          <w:rFonts w:hint="default" w:ascii="Times New Roman" w:hAnsi="Times New Roman" w:cs="Times New Roman" w:eastAsiaTheme="minorEastAsia"/>
          <w:b w:val="0"/>
          <w:i w:val="0"/>
          <w:color w:val="000000"/>
          <w:sz w:val="24"/>
          <w:szCs w:val="24"/>
          <w:highlight w:val="none"/>
          <w:u w:val="single"/>
          <w:lang w:val="en-US" w:eastAsia="zh-CN"/>
        </w:rPr>
        <w:t>1.新建220kV棠下至奥林电力隧道自棠下变电站1#工作井沿广园快速路南侧道路绿化带向东至天茂路与广园快速交叉口7#工作井，该段新建电力隧道长度约为4.76千米。隧道采用盾构型式，断面采用内径3.5m，</w:t>
      </w:r>
      <w:r>
        <w:rPr>
          <w:rFonts w:hint="default" w:ascii="Times New Roman" w:hAnsi="Times New Roman" w:cs="Times New Roman" w:eastAsiaTheme="minorEastAsia"/>
          <w:b w:val="0"/>
          <w:i w:val="0"/>
          <w:color w:val="000000"/>
          <w:sz w:val="24"/>
          <w:szCs w:val="24"/>
          <w:highlight w:val="none"/>
          <w:u w:val="single"/>
        </w:rPr>
        <w:t>隧道管容</w:t>
      </w:r>
      <w:r>
        <w:rPr>
          <w:rFonts w:hint="default" w:ascii="Times New Roman" w:hAnsi="Times New Roman" w:cs="Times New Roman" w:eastAsiaTheme="minorEastAsia"/>
          <w:b w:val="0"/>
          <w:i w:val="0"/>
          <w:color w:val="000000"/>
          <w:sz w:val="24"/>
          <w:szCs w:val="24"/>
          <w:highlight w:val="none"/>
          <w:u w:val="single"/>
          <w:lang w:val="en-US" w:eastAsia="zh-CN"/>
        </w:rPr>
        <w:t>6</w:t>
      </w:r>
      <w:r>
        <w:rPr>
          <w:rFonts w:hint="default" w:ascii="Times New Roman" w:hAnsi="Times New Roman" w:cs="Times New Roman" w:eastAsiaTheme="minorEastAsia"/>
          <w:b w:val="0"/>
          <w:i w:val="0"/>
          <w:color w:val="000000"/>
          <w:sz w:val="24"/>
          <w:szCs w:val="24"/>
          <w:highlight w:val="none"/>
          <w:u w:val="single"/>
        </w:rPr>
        <w:t>回</w:t>
      </w:r>
      <w:r>
        <w:rPr>
          <w:rFonts w:hint="default" w:ascii="Times New Roman" w:hAnsi="Times New Roman" w:cs="Times New Roman" w:eastAsiaTheme="minorEastAsia"/>
          <w:b w:val="0"/>
          <w:i w:val="0"/>
          <w:color w:val="000000"/>
          <w:sz w:val="24"/>
          <w:szCs w:val="24"/>
          <w:highlight w:val="none"/>
          <w:u w:val="single"/>
          <w:lang w:val="en-US" w:eastAsia="zh-CN"/>
        </w:rPr>
        <w:t>22</w:t>
      </w:r>
      <w:r>
        <w:rPr>
          <w:rFonts w:hint="default" w:ascii="Times New Roman" w:hAnsi="Times New Roman" w:cs="Times New Roman" w:eastAsiaTheme="minorEastAsia"/>
          <w:b w:val="0"/>
          <w:i w:val="0"/>
          <w:color w:val="000000"/>
          <w:sz w:val="24"/>
          <w:szCs w:val="24"/>
          <w:highlight w:val="none"/>
          <w:u w:val="single"/>
        </w:rPr>
        <w:t>0kV</w:t>
      </w:r>
      <w:r>
        <w:rPr>
          <w:rFonts w:hint="default" w:ascii="Times New Roman" w:hAnsi="Times New Roman" w:cs="Times New Roman" w:eastAsiaTheme="minorEastAsia"/>
          <w:b w:val="0"/>
          <w:i w:val="0"/>
          <w:color w:val="000000"/>
          <w:sz w:val="24"/>
          <w:szCs w:val="24"/>
          <w:highlight w:val="none"/>
          <w:u w:val="single"/>
          <w:lang w:val="en-US" w:eastAsia="zh-CN"/>
        </w:rPr>
        <w:t>+4回110kV线路</w:t>
      </w:r>
      <w:r>
        <w:rPr>
          <w:rFonts w:hint="default" w:ascii="Times New Roman" w:hAnsi="Times New Roman" w:cs="Times New Roman" w:eastAsiaTheme="minorEastAsia"/>
          <w:b w:val="0"/>
          <w:i w:val="0"/>
          <w:color w:val="000000"/>
          <w:sz w:val="24"/>
          <w:szCs w:val="24"/>
          <w:highlight w:val="none"/>
          <w:u w:val="single"/>
          <w:lang w:eastAsia="zh-CN"/>
        </w:rPr>
        <w:t>。</w:t>
      </w:r>
    </w:p>
    <w:p w14:paraId="7256CA82">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480" w:firstLineChars="200"/>
        <w:jc w:val="both"/>
        <w:textAlignment w:val="auto"/>
        <w:rPr>
          <w:rFonts w:hint="default" w:ascii="Times New Roman" w:hAnsi="Times New Roman" w:cs="Times New Roman" w:eastAsiaTheme="minorEastAsia"/>
          <w:b w:val="0"/>
          <w:i w:val="0"/>
          <w:color w:val="000000"/>
          <w:sz w:val="24"/>
          <w:szCs w:val="24"/>
          <w:highlight w:val="none"/>
          <w:u w:val="single"/>
          <w:lang w:val="en-US" w:eastAsia="zh-CN"/>
        </w:rPr>
      </w:pPr>
      <w:r>
        <w:rPr>
          <w:rFonts w:hint="default" w:ascii="Times New Roman" w:hAnsi="Times New Roman" w:cs="Times New Roman" w:eastAsiaTheme="minorEastAsia"/>
          <w:b w:val="0"/>
          <w:i w:val="0"/>
          <w:color w:val="000000"/>
          <w:sz w:val="24"/>
          <w:szCs w:val="24"/>
          <w:highlight w:val="none"/>
          <w:u w:val="single"/>
          <w:lang w:val="en-US" w:eastAsia="zh-CN"/>
        </w:rPr>
        <w:t>2.新建220kV奥林至碧山电力隧道自奥林变电站8#工作井沿天茂路东侧绿化带拐入广园快速路南侧道路绿化带，向东至丰乐北路与广园快速交叉口东北角 13#工作井，该段新建电力隧道长度约为4.83千米,隧道采用盾构型式，断面采用内径3.5m，</w:t>
      </w:r>
      <w:r>
        <w:rPr>
          <w:rFonts w:hint="default" w:ascii="Times New Roman" w:hAnsi="Times New Roman" w:cs="Times New Roman" w:eastAsiaTheme="minorEastAsia"/>
          <w:b w:val="0"/>
          <w:i w:val="0"/>
          <w:color w:val="000000"/>
          <w:sz w:val="24"/>
          <w:szCs w:val="24"/>
          <w:highlight w:val="none"/>
          <w:u w:val="single"/>
        </w:rPr>
        <w:t>隧道管容</w:t>
      </w:r>
      <w:r>
        <w:rPr>
          <w:rFonts w:hint="default" w:ascii="Times New Roman" w:hAnsi="Times New Roman" w:cs="Times New Roman" w:eastAsiaTheme="minorEastAsia"/>
          <w:b w:val="0"/>
          <w:i w:val="0"/>
          <w:color w:val="000000"/>
          <w:sz w:val="24"/>
          <w:szCs w:val="24"/>
          <w:highlight w:val="none"/>
          <w:u w:val="single"/>
          <w:lang w:val="en-US" w:eastAsia="zh-CN"/>
        </w:rPr>
        <w:t>6</w:t>
      </w:r>
      <w:r>
        <w:rPr>
          <w:rFonts w:hint="default" w:ascii="Times New Roman" w:hAnsi="Times New Roman" w:cs="Times New Roman" w:eastAsiaTheme="minorEastAsia"/>
          <w:b w:val="0"/>
          <w:i w:val="0"/>
          <w:color w:val="000000"/>
          <w:sz w:val="24"/>
          <w:szCs w:val="24"/>
          <w:highlight w:val="none"/>
          <w:u w:val="single"/>
        </w:rPr>
        <w:t>回</w:t>
      </w:r>
      <w:r>
        <w:rPr>
          <w:rFonts w:hint="default" w:ascii="Times New Roman" w:hAnsi="Times New Roman" w:cs="Times New Roman" w:eastAsiaTheme="minorEastAsia"/>
          <w:b w:val="0"/>
          <w:i w:val="0"/>
          <w:color w:val="000000"/>
          <w:sz w:val="24"/>
          <w:szCs w:val="24"/>
          <w:highlight w:val="none"/>
          <w:u w:val="single"/>
          <w:lang w:val="en-US" w:eastAsia="zh-CN"/>
        </w:rPr>
        <w:t>22</w:t>
      </w:r>
      <w:r>
        <w:rPr>
          <w:rFonts w:hint="default" w:ascii="Times New Roman" w:hAnsi="Times New Roman" w:cs="Times New Roman" w:eastAsiaTheme="minorEastAsia"/>
          <w:b w:val="0"/>
          <w:i w:val="0"/>
          <w:color w:val="000000"/>
          <w:sz w:val="24"/>
          <w:szCs w:val="24"/>
          <w:highlight w:val="none"/>
          <w:u w:val="single"/>
        </w:rPr>
        <w:t>0kV</w:t>
      </w:r>
      <w:r>
        <w:rPr>
          <w:rFonts w:hint="default" w:ascii="Times New Roman" w:hAnsi="Times New Roman" w:cs="Times New Roman" w:eastAsiaTheme="minorEastAsia"/>
          <w:b w:val="0"/>
          <w:i w:val="0"/>
          <w:color w:val="000000"/>
          <w:sz w:val="24"/>
          <w:szCs w:val="24"/>
          <w:highlight w:val="none"/>
          <w:u w:val="single"/>
          <w:lang w:val="en-US" w:eastAsia="zh-CN"/>
        </w:rPr>
        <w:t>+4回110kV</w:t>
      </w:r>
      <w:r>
        <w:rPr>
          <w:rFonts w:hint="default" w:ascii="Times New Roman" w:hAnsi="Times New Roman" w:cs="Times New Roman" w:eastAsiaTheme="minorEastAsia"/>
          <w:b w:val="0"/>
          <w:i w:val="0"/>
          <w:color w:val="000000"/>
          <w:sz w:val="24"/>
          <w:szCs w:val="24"/>
          <w:highlight w:val="none"/>
          <w:u w:val="single"/>
          <w:lang w:eastAsia="zh-CN"/>
        </w:rPr>
        <w:t>。</w:t>
      </w:r>
      <w:r>
        <w:rPr>
          <w:rFonts w:hint="default" w:ascii="Times New Roman" w:hAnsi="Times New Roman" w:cs="Times New Roman" w:eastAsiaTheme="minorEastAsia"/>
          <w:b w:val="0"/>
          <w:i w:val="0"/>
          <w:color w:val="000000"/>
          <w:sz w:val="24"/>
          <w:szCs w:val="24"/>
          <w:highlight w:val="none"/>
          <w:u w:val="single"/>
          <w:lang w:val="en-US" w:eastAsia="zh-CN"/>
        </w:rPr>
        <w:t>奥林站内明挖隧道长度约20米，横断面尺寸为3300宽×3400mm高，管容6回220kV线路。</w:t>
      </w:r>
    </w:p>
    <w:p w14:paraId="76955760">
      <w:pPr>
        <w:keepNext w:val="0"/>
        <w:keepLines w:val="0"/>
        <w:pageBreakBefore w:val="0"/>
        <w:widowControl w:val="0"/>
        <w:kinsoku/>
        <w:wordWrap/>
        <w:overflowPunct/>
        <w:topLinePunct w:val="0"/>
        <w:bidi w:val="0"/>
        <w:snapToGrid/>
        <w:spacing w:before="157" w:beforeLines="50" w:after="157" w:afterLines="50" w:line="480" w:lineRule="auto"/>
        <w:ind w:firstLine="480" w:firstLineChars="200"/>
        <w:textAlignment w:val="auto"/>
        <w:rPr>
          <w:rFonts w:hint="default" w:ascii="Times New Roman" w:hAnsi="Times New Roman" w:cs="Times New Roman" w:eastAsiaTheme="minorEastAsia"/>
          <w:b w:val="0"/>
          <w:bCs w:val="0"/>
          <w:lang w:val="en-US" w:eastAsia="zh-CN"/>
        </w:rPr>
      </w:pPr>
      <w:r>
        <w:rPr>
          <w:rFonts w:hint="default" w:ascii="Times New Roman" w:hAnsi="Times New Roman" w:cs="Times New Roman" w:eastAsiaTheme="minorEastAsia"/>
          <w:b w:val="0"/>
          <w:bCs w:val="0"/>
          <w:i w:val="0"/>
          <w:iCs/>
          <w:color w:val="auto"/>
          <w:kern w:val="2"/>
          <w:sz w:val="24"/>
          <w:szCs w:val="24"/>
          <w:highlight w:val="none"/>
          <w:u w:val="single"/>
          <w:lang w:val="en-US" w:eastAsia="zh-CN" w:bidi="ar-SA"/>
        </w:rPr>
        <w:t>具体规模以施工图为准。</w:t>
      </w:r>
    </w:p>
    <w:p w14:paraId="00CE088F">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default" w:ascii="Times New Roman" w:hAnsi="Times New Roman" w:cs="Times New Roman" w:eastAsiaTheme="minorEastAsia"/>
          <w:b/>
          <w:bCs/>
          <w:i w:val="0"/>
          <w:iCs/>
          <w:color w:val="auto"/>
          <w:kern w:val="2"/>
          <w:sz w:val="24"/>
          <w:szCs w:val="24"/>
          <w:highlight w:val="none"/>
          <w:u w:val="none"/>
          <w:lang w:val="en-US" w:eastAsia="zh-CN" w:bidi="ar-SA"/>
        </w:rPr>
      </w:pPr>
      <w:r>
        <w:rPr>
          <w:rFonts w:hint="default" w:ascii="Times New Roman" w:hAnsi="Times New Roman" w:cs="Times New Roman" w:eastAsiaTheme="minorEastAsia"/>
          <w:b/>
          <w:bCs/>
          <w:i w:val="0"/>
          <w:color w:val="auto"/>
          <w:kern w:val="2"/>
          <w:sz w:val="24"/>
          <w:szCs w:val="24"/>
          <w:highlight w:val="none"/>
          <w:u w:val="none"/>
          <w:lang w:val="en-US" w:eastAsia="zh-CN" w:bidi="ar-SA"/>
        </w:rPr>
        <w:t>二、采购范围</w:t>
      </w:r>
    </w:p>
    <w:p w14:paraId="375FA52E">
      <w:pPr>
        <w:keepNext w:val="0"/>
        <w:keepLines w:val="0"/>
        <w:pageBreakBefore w:val="0"/>
        <w:widowControl w:val="0"/>
        <w:kinsoku/>
        <w:wordWrap/>
        <w:overflowPunct/>
        <w:topLinePunct w:val="0"/>
        <w:bidi w:val="0"/>
        <w:snapToGrid/>
        <w:spacing w:before="157" w:beforeLines="50" w:after="157" w:afterLines="50" w:line="480" w:lineRule="auto"/>
        <w:textAlignment w:val="auto"/>
        <w:rPr>
          <w:rFonts w:hint="default" w:ascii="Times New Roman" w:hAnsi="Times New Roman" w:cs="Times New Roman" w:eastAsiaTheme="minorEastAsia"/>
          <w:b w:val="0"/>
          <w:bCs w:val="0"/>
          <w:lang w:val="en-US" w:eastAsia="zh-CN"/>
        </w:rPr>
      </w:pPr>
      <w:r>
        <w:rPr>
          <w:rFonts w:hint="default" w:ascii="Times New Roman" w:hAnsi="Times New Roman" w:cs="Times New Roman" w:eastAsiaTheme="minorEastAsia"/>
          <w:b w:val="0"/>
          <w:bCs w:val="0"/>
          <w:i w:val="0"/>
          <w:iCs/>
          <w:color w:val="auto"/>
          <w:kern w:val="2"/>
          <w:sz w:val="24"/>
          <w:szCs w:val="24"/>
          <w:highlight w:val="none"/>
          <w:u w:val="single"/>
          <w:lang w:val="en-US" w:eastAsia="zh-CN" w:bidi="ar-SA"/>
        </w:rPr>
        <w:t xml:space="preserve">  </w:t>
      </w:r>
      <w:r>
        <w:rPr>
          <w:rFonts w:hint="eastAsia" w:ascii="Times New Roman" w:hAnsi="Times New Roman" w:cs="Times New Roman" w:eastAsiaTheme="minorEastAsia"/>
          <w:b w:val="0"/>
          <w:bCs w:val="0"/>
          <w:i w:val="0"/>
          <w:iCs/>
          <w:color w:val="auto"/>
          <w:kern w:val="2"/>
          <w:sz w:val="24"/>
          <w:szCs w:val="24"/>
          <w:highlight w:val="none"/>
          <w:u w:val="single"/>
          <w:lang w:val="en-US" w:eastAsia="zh-CN" w:bidi="ar-SA"/>
        </w:rPr>
        <w:t xml:space="preserve">  </w:t>
      </w:r>
      <w:r>
        <w:rPr>
          <w:rFonts w:hint="default" w:ascii="Times New Roman" w:hAnsi="Times New Roman" w:cs="Times New Roman" w:eastAsiaTheme="minorEastAsia"/>
          <w:b w:val="0"/>
          <w:bCs w:val="0"/>
          <w:i w:val="0"/>
          <w:iCs/>
          <w:color w:val="auto"/>
          <w:kern w:val="2"/>
          <w:sz w:val="24"/>
          <w:szCs w:val="24"/>
          <w:highlight w:val="none"/>
          <w:u w:val="single"/>
          <w:lang w:val="en-US" w:eastAsia="zh-CN" w:bidi="ar-SA"/>
        </w:rPr>
        <w:t xml:space="preserve">从项目初步设计开始至项目竣工验收、工程结算、竣工财务决算、移交和保修期结束之日止的建设统筹管理，在项目实施阶段，进行设计管理、招标管理、采购管理、施工管理、投资控制和竣工验收等工作（包括项目实施过程中可能出现的因规模及费用变更而导致的可研、初设调整工作），并对工程项目进行安全、质量、进度、投资、合同、信息等方面的全面管理和控制，直到办理竣工验收手续、工程结算和竣工财务决算、资产移交建设单位实施过程的建设管理工作及各种建设、施工手续的办理工作。                                     </w:t>
      </w:r>
    </w:p>
    <w:p w14:paraId="47EC1292">
      <w:pPr>
        <w:pStyle w:val="4"/>
        <w:keepNext w:val="0"/>
        <w:keepLines w:val="0"/>
        <w:pageBreakBefore w:val="0"/>
        <w:numPr>
          <w:ilvl w:val="0"/>
          <w:numId w:val="2"/>
        </w:numPr>
        <w:kinsoku/>
        <w:wordWrap/>
        <w:overflowPunct/>
        <w:topLinePunct w:val="0"/>
        <w:bidi w:val="0"/>
        <w:spacing w:line="360" w:lineRule="auto"/>
        <w:outlineLvl w:val="1"/>
        <w:rPr>
          <w:rFonts w:hint="default" w:ascii="Times New Roman" w:hAnsi="Times New Roman" w:cs="Times New Roman" w:eastAsiaTheme="minorEastAsia"/>
          <w:b/>
          <w:bCs/>
          <w:i w:val="0"/>
          <w:color w:val="auto"/>
          <w:kern w:val="2"/>
          <w:sz w:val="24"/>
          <w:szCs w:val="24"/>
          <w:highlight w:val="none"/>
          <w:lang w:val="en-US" w:eastAsia="zh-CN" w:bidi="ar-SA"/>
        </w:rPr>
      </w:pPr>
      <w:r>
        <w:rPr>
          <w:rFonts w:hint="default" w:ascii="Times New Roman" w:hAnsi="Times New Roman" w:cs="Times New Roman" w:eastAsiaTheme="minorEastAsia"/>
          <w:b/>
          <w:bCs/>
          <w:i w:val="0"/>
          <w:color w:val="auto"/>
          <w:kern w:val="2"/>
          <w:sz w:val="24"/>
          <w:szCs w:val="24"/>
          <w:highlight w:val="none"/>
          <w:lang w:val="en-US" w:eastAsia="zh-CN" w:bidi="ar-SA"/>
        </w:rPr>
        <w:t>报价表及报价要求</w:t>
      </w:r>
    </w:p>
    <w:tbl>
      <w:tblPr>
        <w:tblStyle w:val="12"/>
        <w:tblpPr w:leftFromText="180" w:rightFromText="180" w:vertAnchor="text" w:horzAnchor="page" w:tblpX="1113" w:tblpY="504"/>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2681"/>
        <w:gridCol w:w="1817"/>
        <w:gridCol w:w="1652"/>
        <w:gridCol w:w="1447"/>
        <w:gridCol w:w="1357"/>
      </w:tblGrid>
      <w:tr w14:paraId="4EE7D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008" w:type="dxa"/>
            <w:tcBorders>
              <w:bottom w:val="single" w:color="auto" w:sz="4" w:space="0"/>
            </w:tcBorders>
            <w:noWrap w:val="0"/>
            <w:vAlign w:val="center"/>
          </w:tcPr>
          <w:p w14:paraId="4037901C">
            <w:pPr>
              <w:tabs>
                <w:tab w:val="left" w:pos="900"/>
              </w:tabs>
              <w:snapToGrid w:val="0"/>
              <w:ind w:right="-24"/>
              <w:jc w:val="center"/>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序号</w:t>
            </w:r>
          </w:p>
        </w:tc>
        <w:tc>
          <w:tcPr>
            <w:tcW w:w="2681" w:type="dxa"/>
            <w:tcBorders>
              <w:bottom w:val="single" w:color="auto" w:sz="4" w:space="0"/>
            </w:tcBorders>
            <w:noWrap w:val="0"/>
            <w:vAlign w:val="center"/>
          </w:tcPr>
          <w:p w14:paraId="361965B2">
            <w:pPr>
              <w:shd w:val="clear" w:color="auto" w:fill="auto"/>
              <w:tabs>
                <w:tab w:val="left" w:pos="900"/>
              </w:tabs>
              <w:snapToGrid w:val="0"/>
              <w:spacing w:before="60" w:after="120"/>
              <w:ind w:right="-24"/>
              <w:jc w:val="center"/>
              <w:rPr>
                <w:rFonts w:hint="default" w:ascii="Times New Roman" w:hAnsi="Times New Roman" w:cs="Times New Roman" w:eastAsiaTheme="minorEastAsia"/>
                <w:color w:val="auto"/>
                <w:sz w:val="24"/>
                <w:szCs w:val="24"/>
                <w:highlight w:val="none"/>
                <w:u w:val="none"/>
                <w:lang w:val="en-US" w:eastAsia="zh-CN"/>
              </w:rPr>
            </w:pPr>
            <w:r>
              <w:rPr>
                <w:rFonts w:hint="default" w:ascii="Times New Roman" w:hAnsi="Times New Roman" w:cs="Times New Roman" w:eastAsiaTheme="minorEastAsia"/>
                <w:color w:val="auto"/>
                <w:sz w:val="24"/>
                <w:szCs w:val="24"/>
                <w:highlight w:val="none"/>
                <w:u w:val="none"/>
                <w:lang w:val="en-US" w:eastAsia="zh-CN"/>
              </w:rPr>
              <w:t>费用名称</w:t>
            </w:r>
          </w:p>
        </w:tc>
        <w:tc>
          <w:tcPr>
            <w:tcW w:w="1817" w:type="dxa"/>
            <w:noWrap w:val="0"/>
            <w:vAlign w:val="top"/>
          </w:tcPr>
          <w:p w14:paraId="5291E1D3">
            <w:pPr>
              <w:shd w:val="clear" w:color="auto" w:fill="auto"/>
              <w:tabs>
                <w:tab w:val="left" w:pos="900"/>
              </w:tabs>
              <w:snapToGrid w:val="0"/>
              <w:spacing w:before="60" w:after="120"/>
              <w:ind w:right="-24"/>
              <w:jc w:val="center"/>
              <w:rPr>
                <w:rFonts w:hint="default" w:ascii="Times New Roman" w:hAnsi="Times New Roman" w:cs="Times New Roman" w:eastAsiaTheme="minorEastAsia"/>
                <w:color w:val="auto"/>
                <w:sz w:val="24"/>
                <w:szCs w:val="24"/>
                <w:highlight w:val="none"/>
                <w:u w:val="none"/>
                <w:lang w:val="en-US" w:eastAsia="zh-CN"/>
              </w:rPr>
            </w:pPr>
            <w:r>
              <w:rPr>
                <w:rFonts w:hint="default" w:ascii="Times New Roman" w:hAnsi="Times New Roman" w:cs="Times New Roman" w:eastAsiaTheme="minorEastAsia"/>
                <w:color w:val="auto"/>
                <w:sz w:val="24"/>
                <w:szCs w:val="24"/>
                <w:highlight w:val="none"/>
                <w:u w:val="none"/>
                <w:lang w:val="en-US" w:eastAsia="zh-CN"/>
              </w:rPr>
              <w:t>最高投标限价(元)</w:t>
            </w:r>
          </w:p>
        </w:tc>
        <w:tc>
          <w:tcPr>
            <w:tcW w:w="1652" w:type="dxa"/>
            <w:tcBorders>
              <w:bottom w:val="single" w:color="auto" w:sz="4" w:space="0"/>
            </w:tcBorders>
            <w:noWrap w:val="0"/>
            <w:vAlign w:val="center"/>
          </w:tcPr>
          <w:p w14:paraId="63BF29D8">
            <w:pPr>
              <w:tabs>
                <w:tab w:val="left" w:pos="900"/>
              </w:tabs>
              <w:snapToGrid w:val="0"/>
              <w:spacing w:before="120" w:after="120"/>
              <w:ind w:right="-24"/>
              <w:jc w:val="center"/>
              <w:rPr>
                <w:rFonts w:hint="default" w:ascii="Times New Roman" w:hAnsi="Times New Roman" w:cs="Times New Roman" w:eastAsiaTheme="minorEastAsia"/>
                <w:b/>
                <w:color w:val="auto"/>
                <w:sz w:val="24"/>
                <w:szCs w:val="24"/>
                <w:highlight w:val="none"/>
                <w:lang w:val="en-US" w:eastAsia="zh-CN"/>
              </w:rPr>
            </w:pPr>
            <w:r>
              <w:rPr>
                <w:rFonts w:hint="default" w:ascii="Times New Roman" w:hAnsi="Times New Roman" w:cs="Times New Roman" w:eastAsiaTheme="minorEastAsia"/>
                <w:b w:val="0"/>
                <w:bCs/>
                <w:color w:val="auto"/>
                <w:sz w:val="24"/>
                <w:szCs w:val="24"/>
                <w:highlight w:val="none"/>
              </w:rPr>
              <w:t>投标下浮率</w:t>
            </w:r>
          </w:p>
        </w:tc>
        <w:tc>
          <w:tcPr>
            <w:tcW w:w="1447" w:type="dxa"/>
            <w:tcBorders>
              <w:bottom w:val="single" w:color="auto" w:sz="4" w:space="0"/>
            </w:tcBorders>
            <w:noWrap w:val="0"/>
            <w:vAlign w:val="top"/>
          </w:tcPr>
          <w:p w14:paraId="5BD113C7">
            <w:pPr>
              <w:tabs>
                <w:tab w:val="left" w:pos="900"/>
              </w:tabs>
              <w:snapToGrid w:val="0"/>
              <w:spacing w:before="120" w:after="120"/>
              <w:ind w:right="-24"/>
              <w:jc w:val="center"/>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kern w:val="0"/>
                <w:sz w:val="24"/>
                <w:szCs w:val="24"/>
                <w:highlight w:val="none"/>
                <w:lang w:bidi="ar"/>
              </w:rPr>
              <w:t>投标报价</w:t>
            </w:r>
            <w:r>
              <w:rPr>
                <w:rFonts w:hint="default" w:ascii="Times New Roman" w:hAnsi="Times New Roman" w:cs="Times New Roman" w:eastAsiaTheme="minorEastAsia"/>
                <w:color w:val="auto"/>
                <w:sz w:val="24"/>
                <w:szCs w:val="24"/>
                <w:highlight w:val="none"/>
              </w:rPr>
              <w:t>(元)</w:t>
            </w:r>
          </w:p>
        </w:tc>
        <w:tc>
          <w:tcPr>
            <w:tcW w:w="1357" w:type="dxa"/>
            <w:tcBorders>
              <w:bottom w:val="single" w:color="auto" w:sz="4" w:space="0"/>
            </w:tcBorders>
            <w:noWrap w:val="0"/>
            <w:vAlign w:val="center"/>
          </w:tcPr>
          <w:p w14:paraId="75A3AFCC">
            <w:pPr>
              <w:tabs>
                <w:tab w:val="left" w:pos="900"/>
              </w:tabs>
              <w:snapToGrid w:val="0"/>
              <w:spacing w:before="120" w:after="120"/>
              <w:ind w:right="-24"/>
              <w:jc w:val="center"/>
              <w:rPr>
                <w:rFonts w:hint="default" w:ascii="Times New Roman" w:hAnsi="Times New Roman" w:cs="Times New Roman" w:eastAsiaTheme="minorEastAsia"/>
                <w:color w:val="auto"/>
                <w:sz w:val="24"/>
                <w:szCs w:val="24"/>
                <w:highlight w:val="none"/>
              </w:rPr>
            </w:pPr>
            <w:r>
              <w:rPr>
                <w:rFonts w:hint="default" w:ascii="Times New Roman" w:hAnsi="Times New Roman" w:cs="Times New Roman" w:eastAsiaTheme="minorEastAsia"/>
                <w:color w:val="auto"/>
                <w:sz w:val="24"/>
                <w:szCs w:val="24"/>
                <w:highlight w:val="none"/>
              </w:rPr>
              <w:t>备注</w:t>
            </w:r>
          </w:p>
        </w:tc>
      </w:tr>
      <w:tr w14:paraId="20CD2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2" w:hRule="atLeast"/>
        </w:trPr>
        <w:tc>
          <w:tcPr>
            <w:tcW w:w="1008" w:type="dxa"/>
            <w:tcBorders>
              <w:top w:val="single" w:color="auto" w:sz="4" w:space="0"/>
              <w:bottom w:val="single" w:color="auto" w:sz="4" w:space="0"/>
            </w:tcBorders>
            <w:noWrap w:val="0"/>
            <w:vAlign w:val="center"/>
          </w:tcPr>
          <w:p w14:paraId="38073F02">
            <w:pPr>
              <w:shd w:val="clear" w:color="auto" w:fill="auto"/>
              <w:jc w:val="center"/>
              <w:rPr>
                <w:rFonts w:hint="default" w:ascii="宋体" w:hAnsi="宋体" w:cs="宋体"/>
                <w:sz w:val="24"/>
                <w:szCs w:val="24"/>
                <w:highlight w:val="none"/>
              </w:rPr>
            </w:pPr>
            <w:r>
              <w:rPr>
                <w:rFonts w:hint="default" w:ascii="宋体" w:hAnsi="宋体" w:cs="宋体"/>
                <w:sz w:val="24"/>
                <w:szCs w:val="24"/>
                <w:highlight w:val="none"/>
              </w:rPr>
              <w:t>1</w:t>
            </w:r>
          </w:p>
        </w:tc>
        <w:tc>
          <w:tcPr>
            <w:tcW w:w="2681" w:type="dxa"/>
            <w:tcBorders>
              <w:top w:val="single" w:color="auto" w:sz="4" w:space="0"/>
              <w:bottom w:val="single" w:color="auto" w:sz="4" w:space="0"/>
            </w:tcBorders>
            <w:noWrap w:val="0"/>
            <w:vAlign w:val="center"/>
          </w:tcPr>
          <w:p w14:paraId="3B652282">
            <w:pPr>
              <w:shd w:val="clear" w:color="auto" w:fill="auto"/>
              <w:jc w:val="center"/>
              <w:rPr>
                <w:rFonts w:hint="default" w:ascii="宋体" w:hAnsi="宋体" w:cs="宋体"/>
                <w:sz w:val="24"/>
                <w:szCs w:val="24"/>
                <w:highlight w:val="none"/>
                <w:lang w:val="en-US" w:eastAsia="zh-CN"/>
              </w:rPr>
            </w:pPr>
            <w:r>
              <w:rPr>
                <w:rFonts w:hint="eastAsia" w:ascii="宋体" w:hAnsi="宋体" w:cs="宋体"/>
                <w:sz w:val="24"/>
                <w:szCs w:val="24"/>
                <w:highlight w:val="none"/>
              </w:rPr>
              <w:t>奥林220千伏出线工程二期（隧道土建部分</w:t>
            </w:r>
            <w:bookmarkStart w:id="1" w:name="_GoBack"/>
            <w:bookmarkEnd w:id="1"/>
            <w:r>
              <w:rPr>
                <w:rFonts w:hint="eastAsia" w:ascii="宋体" w:hAnsi="宋体" w:cs="宋体"/>
                <w:sz w:val="24"/>
                <w:szCs w:val="24"/>
                <w:highlight w:val="none"/>
              </w:rPr>
              <w:t>）代建服务项目</w:t>
            </w:r>
          </w:p>
        </w:tc>
        <w:tc>
          <w:tcPr>
            <w:tcW w:w="1817" w:type="dxa"/>
            <w:noWrap w:val="0"/>
            <w:vAlign w:val="center"/>
          </w:tcPr>
          <w:p w14:paraId="0D7267C5">
            <w:pPr>
              <w:shd w:val="clear" w:color="auto" w:fill="auto"/>
              <w:jc w:val="center"/>
              <w:rPr>
                <w:rFonts w:hint="default" w:ascii="宋体" w:hAnsi="宋体" w:cs="宋体"/>
                <w:sz w:val="24"/>
                <w:szCs w:val="24"/>
                <w:highlight w:val="none"/>
                <w:lang w:val="en-US" w:eastAsia="zh-CN"/>
              </w:rPr>
            </w:pPr>
            <w:r>
              <w:rPr>
                <w:rFonts w:hint="eastAsia" w:ascii="宋体" w:hAnsi="宋体" w:cs="宋体"/>
                <w:sz w:val="24"/>
                <w:szCs w:val="24"/>
                <w:highlight w:val="none"/>
                <w:lang w:val="en-US" w:eastAsia="zh-CN"/>
              </w:rPr>
              <w:t>4453900.00</w:t>
            </w:r>
          </w:p>
        </w:tc>
        <w:tc>
          <w:tcPr>
            <w:tcW w:w="1652" w:type="dxa"/>
            <w:tcBorders>
              <w:top w:val="single" w:color="auto" w:sz="4" w:space="0"/>
              <w:bottom w:val="single" w:color="auto" w:sz="4" w:space="0"/>
            </w:tcBorders>
            <w:noWrap w:val="0"/>
            <w:vAlign w:val="center"/>
          </w:tcPr>
          <w:p w14:paraId="102EF849">
            <w:pPr>
              <w:shd w:val="clear" w:color="auto" w:fill="auto"/>
              <w:jc w:val="center"/>
              <w:rPr>
                <w:rFonts w:hint="default" w:ascii="宋体" w:hAnsi="宋体" w:cs="宋体"/>
                <w:sz w:val="24"/>
                <w:szCs w:val="24"/>
                <w:highlight w:val="none"/>
                <w:lang w:val="en-US" w:eastAsia="zh-CN"/>
              </w:rPr>
            </w:pPr>
            <w:r>
              <w:rPr>
                <w:rFonts w:hint="eastAsia" w:ascii="宋体" w:hAnsi="宋体" w:cs="宋体"/>
                <w:sz w:val="24"/>
                <w:szCs w:val="24"/>
                <w:highlight w:val="none"/>
                <w:lang w:val="en-US" w:eastAsia="zh-CN"/>
              </w:rPr>
              <w:t xml:space="preserve">   %</w:t>
            </w:r>
          </w:p>
        </w:tc>
        <w:tc>
          <w:tcPr>
            <w:tcW w:w="1447" w:type="dxa"/>
            <w:tcBorders>
              <w:top w:val="single" w:color="auto" w:sz="4" w:space="0"/>
              <w:bottom w:val="single" w:color="auto" w:sz="4" w:space="0"/>
            </w:tcBorders>
            <w:noWrap w:val="0"/>
            <w:vAlign w:val="center"/>
          </w:tcPr>
          <w:p w14:paraId="41666649">
            <w:pPr>
              <w:shd w:val="clear" w:color="auto" w:fill="auto"/>
              <w:jc w:val="center"/>
              <w:rPr>
                <w:rFonts w:hint="default" w:ascii="宋体" w:hAnsi="宋体" w:cs="宋体"/>
                <w:sz w:val="24"/>
                <w:szCs w:val="24"/>
                <w:highlight w:val="none"/>
              </w:rPr>
            </w:pPr>
          </w:p>
        </w:tc>
        <w:tc>
          <w:tcPr>
            <w:tcW w:w="1357" w:type="dxa"/>
            <w:tcBorders>
              <w:top w:val="single" w:color="auto" w:sz="4" w:space="0"/>
              <w:bottom w:val="single" w:color="auto" w:sz="4" w:space="0"/>
            </w:tcBorders>
            <w:noWrap w:val="0"/>
            <w:vAlign w:val="center"/>
          </w:tcPr>
          <w:p w14:paraId="49C5A4C3">
            <w:pPr>
              <w:shd w:val="clear" w:color="auto" w:fill="auto"/>
              <w:jc w:val="center"/>
              <w:rPr>
                <w:rFonts w:hint="default" w:ascii="宋体" w:hAnsi="宋体" w:cs="宋体"/>
                <w:sz w:val="24"/>
                <w:szCs w:val="24"/>
                <w:highlight w:val="none"/>
              </w:rPr>
            </w:pPr>
          </w:p>
        </w:tc>
      </w:tr>
      <w:tr w14:paraId="646A2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8" w:hRule="atLeast"/>
        </w:trPr>
        <w:tc>
          <w:tcPr>
            <w:tcW w:w="1008" w:type="dxa"/>
            <w:tcBorders>
              <w:top w:val="single" w:color="auto" w:sz="4" w:space="0"/>
              <w:bottom w:val="single" w:color="auto" w:sz="4" w:space="0"/>
            </w:tcBorders>
            <w:noWrap w:val="0"/>
            <w:vAlign w:val="center"/>
          </w:tcPr>
          <w:p w14:paraId="57E9E85E">
            <w:pPr>
              <w:shd w:val="clear" w:color="auto" w:fill="auto"/>
              <w:jc w:val="center"/>
              <w:rPr>
                <w:rFonts w:hint="default" w:ascii="宋体" w:hAnsi="宋体" w:cs="宋体"/>
                <w:sz w:val="24"/>
                <w:szCs w:val="24"/>
                <w:highlight w:val="none"/>
              </w:rPr>
            </w:pPr>
          </w:p>
        </w:tc>
        <w:tc>
          <w:tcPr>
            <w:tcW w:w="2681" w:type="dxa"/>
            <w:tcBorders>
              <w:top w:val="single" w:color="auto" w:sz="4" w:space="0"/>
              <w:bottom w:val="single" w:color="auto" w:sz="4" w:space="0"/>
            </w:tcBorders>
            <w:shd w:val="clear" w:color="auto" w:fill="auto"/>
            <w:noWrap w:val="0"/>
            <w:vAlign w:val="center"/>
          </w:tcPr>
          <w:p w14:paraId="42FEAC59">
            <w:pPr>
              <w:shd w:val="clear" w:color="auto" w:fill="auto"/>
              <w:jc w:val="center"/>
              <w:rPr>
                <w:rFonts w:hint="default" w:ascii="宋体" w:hAnsi="宋体" w:cs="宋体"/>
                <w:sz w:val="24"/>
                <w:szCs w:val="24"/>
                <w:highlight w:val="none"/>
                <w:lang w:val="en-US" w:eastAsia="zh-CN"/>
              </w:rPr>
            </w:pPr>
            <w:r>
              <w:rPr>
                <w:rFonts w:hint="eastAsia" w:ascii="宋体" w:hAnsi="宋体" w:cs="宋体"/>
                <w:sz w:val="24"/>
                <w:szCs w:val="24"/>
                <w:highlight w:val="none"/>
              </w:rPr>
              <w:t>合计（小写）：</w:t>
            </w:r>
          </w:p>
        </w:tc>
        <w:tc>
          <w:tcPr>
            <w:tcW w:w="1817" w:type="dxa"/>
            <w:noWrap w:val="0"/>
            <w:vAlign w:val="center"/>
          </w:tcPr>
          <w:p w14:paraId="4CB5F79E">
            <w:pPr>
              <w:shd w:val="clear" w:color="auto" w:fill="auto"/>
              <w:jc w:val="center"/>
              <w:rPr>
                <w:rFonts w:hint="eastAsia" w:ascii="宋体" w:hAnsi="宋体" w:cs="宋体"/>
                <w:sz w:val="24"/>
                <w:szCs w:val="24"/>
                <w:highlight w:val="none"/>
                <w:lang w:val="en-US" w:eastAsia="zh-CN"/>
              </w:rPr>
            </w:pPr>
          </w:p>
        </w:tc>
        <w:tc>
          <w:tcPr>
            <w:tcW w:w="1652" w:type="dxa"/>
            <w:tcBorders>
              <w:top w:val="single" w:color="auto" w:sz="4" w:space="0"/>
            </w:tcBorders>
            <w:noWrap w:val="0"/>
            <w:vAlign w:val="center"/>
          </w:tcPr>
          <w:p w14:paraId="0A9F365F">
            <w:pPr>
              <w:shd w:val="clear" w:color="auto" w:fill="auto"/>
              <w:jc w:val="center"/>
              <w:rPr>
                <w:rFonts w:hint="eastAsia" w:ascii="宋体" w:hAnsi="宋体" w:cs="宋体"/>
                <w:sz w:val="24"/>
                <w:szCs w:val="24"/>
                <w:highlight w:val="none"/>
                <w:lang w:val="en-US" w:eastAsia="zh-CN"/>
              </w:rPr>
            </w:pPr>
          </w:p>
        </w:tc>
        <w:tc>
          <w:tcPr>
            <w:tcW w:w="1447" w:type="dxa"/>
            <w:tcBorders>
              <w:top w:val="single" w:color="auto" w:sz="4" w:space="0"/>
            </w:tcBorders>
            <w:noWrap w:val="0"/>
            <w:vAlign w:val="center"/>
          </w:tcPr>
          <w:p w14:paraId="030A4BA2">
            <w:pPr>
              <w:shd w:val="clear" w:color="auto" w:fill="auto"/>
              <w:jc w:val="center"/>
              <w:rPr>
                <w:rFonts w:hint="default" w:ascii="宋体" w:hAnsi="宋体" w:cs="宋体"/>
                <w:sz w:val="24"/>
                <w:szCs w:val="24"/>
                <w:highlight w:val="none"/>
              </w:rPr>
            </w:pPr>
          </w:p>
        </w:tc>
        <w:tc>
          <w:tcPr>
            <w:tcW w:w="1357" w:type="dxa"/>
            <w:tcBorders>
              <w:top w:val="single" w:color="auto" w:sz="4" w:space="0"/>
              <w:bottom w:val="single" w:color="auto" w:sz="4" w:space="0"/>
            </w:tcBorders>
            <w:noWrap w:val="0"/>
            <w:vAlign w:val="center"/>
          </w:tcPr>
          <w:p w14:paraId="3BD7ABEE">
            <w:pPr>
              <w:shd w:val="clear" w:color="auto" w:fill="auto"/>
              <w:jc w:val="center"/>
              <w:rPr>
                <w:rFonts w:hint="default" w:ascii="宋体" w:hAnsi="宋体" w:cs="宋体"/>
                <w:sz w:val="24"/>
                <w:szCs w:val="24"/>
                <w:highlight w:val="none"/>
              </w:rPr>
            </w:pPr>
          </w:p>
        </w:tc>
      </w:tr>
    </w:tbl>
    <w:p w14:paraId="20E736D2">
      <w:pPr>
        <w:pStyle w:val="7"/>
        <w:ind w:firstLine="240" w:firstLineChars="100"/>
        <w:rPr>
          <w:rFonts w:hint="default" w:ascii="Times New Roman" w:hAnsi="Times New Roman" w:cs="Times New Roman" w:eastAsiaTheme="minorEastAsia"/>
          <w:color w:val="auto"/>
          <w:kern w:val="2"/>
          <w:sz w:val="24"/>
          <w:szCs w:val="24"/>
          <w:highlight w:val="none"/>
          <w:u w:val="none"/>
          <w:lang w:val="en-US" w:eastAsia="zh-CN" w:bidi="ar-SA"/>
        </w:rPr>
      </w:pPr>
    </w:p>
    <w:p w14:paraId="4D0B2DA2">
      <w:pPr>
        <w:pStyle w:val="7"/>
        <w:ind w:firstLine="240" w:firstLineChars="100"/>
        <w:rPr>
          <w:rFonts w:hint="default" w:ascii="Times New Roman" w:hAnsi="Times New Roman" w:cs="Times New Roman" w:eastAsiaTheme="minorEastAsia"/>
          <w:b w:val="0"/>
          <w:bCs w:val="0"/>
          <w:color w:val="auto"/>
          <w:kern w:val="2"/>
          <w:sz w:val="24"/>
          <w:szCs w:val="24"/>
          <w:highlight w:val="none"/>
          <w:u w:val="single"/>
          <w:lang w:val="en-US" w:eastAsia="zh-CN" w:bidi="ar-SA"/>
        </w:rPr>
      </w:pPr>
      <w:r>
        <w:rPr>
          <w:rFonts w:hint="default" w:ascii="Times New Roman" w:hAnsi="Times New Roman" w:cs="Times New Roman" w:eastAsiaTheme="minorEastAsia"/>
          <w:color w:val="auto"/>
          <w:kern w:val="2"/>
          <w:sz w:val="24"/>
          <w:szCs w:val="24"/>
          <w:highlight w:val="none"/>
          <w:u w:val="none"/>
          <w:lang w:val="en-US" w:eastAsia="zh-CN" w:bidi="ar-SA"/>
        </w:rPr>
        <w:t>报价要求：</w:t>
      </w:r>
    </w:p>
    <w:p w14:paraId="4C2E0559">
      <w:pPr>
        <w:pStyle w:val="8"/>
        <w:numPr>
          <w:ilvl w:val="0"/>
          <w:numId w:val="3"/>
        </w:numPr>
        <w:shd w:val="clear" w:color="auto" w:fill="auto"/>
        <w:ind w:firstLine="481"/>
        <w:jc w:val="left"/>
        <w:rPr>
          <w:rFonts w:hint="default" w:ascii="Times New Roman" w:hAnsi="Times New Roman" w:cs="Times New Roman" w:eastAsiaTheme="minorEastAsia"/>
          <w:b w:val="0"/>
          <w:bCs w:val="0"/>
          <w:color w:val="auto"/>
          <w:kern w:val="2"/>
          <w:sz w:val="24"/>
          <w:szCs w:val="24"/>
          <w:highlight w:val="none"/>
          <w:u w:val="single"/>
          <w:lang w:val="en-US" w:eastAsia="zh-CN" w:bidi="ar-SA"/>
        </w:rPr>
      </w:pPr>
      <w:r>
        <w:rPr>
          <w:rFonts w:hint="default" w:ascii="Times New Roman" w:hAnsi="Times New Roman" w:cs="Times New Roman" w:eastAsiaTheme="minorEastAsia"/>
          <w:b w:val="0"/>
          <w:bCs w:val="0"/>
          <w:color w:val="auto"/>
          <w:kern w:val="2"/>
          <w:sz w:val="24"/>
          <w:szCs w:val="24"/>
          <w:highlight w:val="none"/>
          <w:u w:val="single"/>
          <w:lang w:val="en-US" w:eastAsia="zh-CN" w:bidi="ar-SA"/>
        </w:rPr>
        <w:t>投标下浮率报价，同时填报投标报价金额。投标下浮率＝[1－(投标报价/最高投标限价）×100%（保留两位小数，如：8.88%）。当投标报价金额与投标下浮率计算结果不一致时，以投标下浮率为准，按公式修订投标报价金额。</w:t>
      </w:r>
    </w:p>
    <w:p w14:paraId="237CA6D6">
      <w:pPr>
        <w:pStyle w:val="8"/>
        <w:shd w:val="clear" w:color="auto" w:fill="auto"/>
        <w:ind w:firstLine="481"/>
        <w:jc w:val="left"/>
        <w:rPr>
          <w:rFonts w:hint="default" w:ascii="Times New Roman" w:hAnsi="Times New Roman" w:cs="Times New Roman" w:eastAsiaTheme="minorEastAsia"/>
          <w:b w:val="0"/>
          <w:bCs w:val="0"/>
          <w:color w:val="auto"/>
          <w:kern w:val="2"/>
          <w:sz w:val="24"/>
          <w:szCs w:val="24"/>
          <w:highlight w:val="none"/>
          <w:u w:val="single"/>
          <w:lang w:val="en-US" w:eastAsia="zh-CN" w:bidi="ar-SA"/>
        </w:rPr>
      </w:pPr>
      <w:r>
        <w:rPr>
          <w:rFonts w:hint="default" w:ascii="Times New Roman" w:hAnsi="Times New Roman" w:cs="Times New Roman" w:eastAsiaTheme="minorEastAsia"/>
          <w:b w:val="0"/>
          <w:bCs w:val="0"/>
          <w:color w:val="auto"/>
          <w:kern w:val="2"/>
          <w:sz w:val="24"/>
          <w:szCs w:val="24"/>
          <w:highlight w:val="none"/>
          <w:u w:val="single"/>
          <w:lang w:val="en-US" w:eastAsia="zh-CN" w:bidi="ar-SA"/>
        </w:rPr>
        <w:t>2.投标报价≤最高投标限价（公布最高投标限价的总价及各单项价格）；投标下浮率不低于0%为有效报价；当投标下浮率＞15%时应附成本分析报告，充分说明单价和费用的组成、降低成本的合理措施及在其他工程中应用过的经验等，经评审通过后方可视为有效报价。</w:t>
      </w:r>
    </w:p>
    <w:p w14:paraId="738AA5F7">
      <w:pPr>
        <w:rPr>
          <w:rFonts w:hint="default" w:ascii="Times New Roman" w:hAnsi="Times New Roman" w:cs="Times New Roman" w:eastAsiaTheme="minorEastAsia"/>
          <w:highlight w:val="none"/>
          <w:lang w:val="en-US" w:eastAsia="zh-CN"/>
        </w:rPr>
      </w:pPr>
    </w:p>
    <w:p w14:paraId="6A4FFE2D">
      <w:pPr>
        <w:pStyle w:val="4"/>
        <w:keepNext w:val="0"/>
        <w:keepLines w:val="0"/>
        <w:pageBreakBefore w:val="0"/>
        <w:numPr>
          <w:ilvl w:val="0"/>
          <w:numId w:val="0"/>
        </w:numPr>
        <w:kinsoku/>
        <w:wordWrap/>
        <w:overflowPunct/>
        <w:topLinePunct w:val="0"/>
        <w:bidi w:val="0"/>
        <w:spacing w:line="360" w:lineRule="auto"/>
        <w:ind w:leftChars="0"/>
        <w:outlineLvl w:val="1"/>
        <w:rPr>
          <w:rFonts w:hint="default" w:ascii="Times New Roman" w:hAnsi="Times New Roman" w:cs="Times New Roman" w:eastAsiaTheme="minorEastAsia"/>
          <w:b/>
          <w:bCs/>
          <w:i w:val="0"/>
          <w:color w:val="auto"/>
          <w:kern w:val="2"/>
          <w:sz w:val="24"/>
          <w:szCs w:val="24"/>
          <w:highlight w:val="none"/>
          <w:lang w:val="en-US" w:eastAsia="zh-CN" w:bidi="ar-SA"/>
        </w:rPr>
      </w:pPr>
      <w:r>
        <w:rPr>
          <w:rFonts w:hint="default" w:ascii="Times New Roman" w:hAnsi="Times New Roman" w:cs="Times New Roman" w:eastAsiaTheme="minorEastAsia"/>
          <w:b/>
          <w:bCs/>
          <w:i w:val="0"/>
          <w:color w:val="auto"/>
          <w:kern w:val="2"/>
          <w:sz w:val="24"/>
          <w:szCs w:val="24"/>
          <w:highlight w:val="none"/>
          <w:lang w:val="en-US" w:eastAsia="zh-CN" w:bidi="ar-SA"/>
        </w:rPr>
        <w:t>四、结算方式</w:t>
      </w:r>
    </w:p>
    <w:p w14:paraId="17FD9AD3">
      <w:pPr>
        <w:pStyle w:val="8"/>
        <w:jc w:val="left"/>
        <w:rPr>
          <w:rFonts w:hint="default" w:ascii="Times New Roman" w:hAnsi="Times New Roman" w:cs="Times New Roman" w:eastAsiaTheme="minorEastAsia"/>
          <w:color w:val="auto"/>
          <w:kern w:val="2"/>
          <w:sz w:val="24"/>
          <w:szCs w:val="24"/>
          <w:highlight w:val="none"/>
          <w:u w:val="single"/>
          <w:lang w:val="en-US" w:eastAsia="zh-CN" w:bidi="ar-SA"/>
        </w:rPr>
      </w:pPr>
      <w:r>
        <w:rPr>
          <w:rFonts w:hint="default" w:ascii="Times New Roman" w:hAnsi="Times New Roman" w:cs="Times New Roman" w:eastAsiaTheme="minorEastAsia"/>
          <w:b w:val="0"/>
          <w:bCs w:val="0"/>
          <w:color w:val="auto"/>
          <w:kern w:val="2"/>
          <w:sz w:val="24"/>
          <w:szCs w:val="24"/>
          <w:highlight w:val="none"/>
          <w:u w:val="single"/>
          <w:lang w:val="en-US" w:eastAsia="zh-CN" w:bidi="ar-SA"/>
        </w:rPr>
        <w:t xml:space="preserve">  </w:t>
      </w:r>
      <w:r>
        <w:rPr>
          <w:rFonts w:hint="eastAsia" w:ascii="Times New Roman" w:hAnsi="Times New Roman" w:cs="Times New Roman" w:eastAsiaTheme="minorEastAsia"/>
          <w:b w:val="0"/>
          <w:bCs w:val="0"/>
          <w:color w:val="auto"/>
          <w:kern w:val="2"/>
          <w:sz w:val="24"/>
          <w:szCs w:val="24"/>
          <w:highlight w:val="none"/>
          <w:u w:val="single"/>
          <w:lang w:val="en-US" w:eastAsia="zh-CN" w:bidi="ar-SA"/>
        </w:rPr>
        <w:t xml:space="preserve"> </w:t>
      </w:r>
      <w:r>
        <w:rPr>
          <w:rFonts w:hint="default" w:ascii="Times New Roman" w:hAnsi="Times New Roman" w:cs="Times New Roman" w:eastAsiaTheme="minorEastAsia"/>
          <w:b w:val="0"/>
          <w:bCs w:val="0"/>
          <w:color w:val="auto"/>
          <w:kern w:val="2"/>
          <w:sz w:val="24"/>
          <w:szCs w:val="24"/>
          <w:highlight w:val="none"/>
          <w:u w:val="single"/>
          <w:lang w:val="en-US" w:eastAsia="zh-CN" w:bidi="ar-SA"/>
        </w:rPr>
        <w:t xml:space="preserve"> 本合同为</w:t>
      </w:r>
      <w:r>
        <w:rPr>
          <w:rFonts w:hint="eastAsia" w:ascii="Times New Roman" w:hAnsi="Times New Roman" w:cs="Times New Roman" w:eastAsiaTheme="minorEastAsia"/>
          <w:b w:val="0"/>
          <w:bCs w:val="0"/>
          <w:color w:val="auto"/>
          <w:kern w:val="2"/>
          <w:sz w:val="24"/>
          <w:szCs w:val="24"/>
          <w:highlight w:val="none"/>
          <w:u w:val="single"/>
          <w:lang w:val="en-US" w:eastAsia="zh-CN" w:bidi="ar-SA"/>
        </w:rPr>
        <w:t>暂定</w:t>
      </w:r>
      <w:r>
        <w:rPr>
          <w:rFonts w:hint="default" w:ascii="Times New Roman" w:hAnsi="Times New Roman" w:cs="Times New Roman" w:eastAsiaTheme="minorEastAsia"/>
          <w:b w:val="0"/>
          <w:bCs w:val="0"/>
          <w:color w:val="auto"/>
          <w:kern w:val="2"/>
          <w:sz w:val="24"/>
          <w:szCs w:val="24"/>
          <w:highlight w:val="none"/>
          <w:u w:val="single"/>
          <w:lang w:val="en-US" w:eastAsia="zh-CN" w:bidi="ar-SA"/>
        </w:rPr>
        <w:t>总价合同</w:t>
      </w:r>
      <w:r>
        <w:rPr>
          <w:rFonts w:hint="eastAsia" w:ascii="Times New Roman" w:hAnsi="Times New Roman" w:cs="Times New Roman" w:eastAsiaTheme="minorEastAsia"/>
          <w:b w:val="0"/>
          <w:bCs w:val="0"/>
          <w:color w:val="auto"/>
          <w:kern w:val="2"/>
          <w:sz w:val="24"/>
          <w:szCs w:val="24"/>
          <w:highlight w:val="none"/>
          <w:u w:val="single"/>
          <w:lang w:val="en-US" w:eastAsia="zh-CN" w:bidi="ar-SA"/>
        </w:rPr>
        <w:t>，最终结算金额=代建费用控制价*（1-投标下浮率），代建费用控制价确定原则如下：隧道单项批复施工图预算确认的项目法人管理费用（</w:t>
      </w:r>
      <w:r>
        <w:rPr>
          <w:rFonts w:hint="eastAsia" w:ascii="Times New Roman" w:hAnsi="Times New Roman" w:cs="Times New Roman" w:eastAsiaTheme="minorEastAsia"/>
          <w:b/>
          <w:bCs/>
          <w:color w:val="auto"/>
          <w:kern w:val="2"/>
          <w:sz w:val="24"/>
          <w:szCs w:val="24"/>
          <w:highlight w:val="none"/>
          <w:u w:val="single"/>
          <w:lang w:val="en-US" w:eastAsia="zh-CN" w:bidi="ar-SA"/>
        </w:rPr>
        <w:t>依据财政部文件《基本建设项目建设成本管理规定》（财建〔2016〕504号）计算</w:t>
      </w:r>
      <w:r>
        <w:rPr>
          <w:rFonts w:hint="eastAsia" w:ascii="Times New Roman" w:hAnsi="Times New Roman" w:cs="Times New Roman" w:eastAsiaTheme="minorEastAsia"/>
          <w:b w:val="0"/>
          <w:bCs w:val="0"/>
          <w:color w:val="auto"/>
          <w:kern w:val="2"/>
          <w:sz w:val="24"/>
          <w:szCs w:val="24"/>
          <w:highlight w:val="none"/>
          <w:u w:val="single"/>
          <w:lang w:val="en-US" w:eastAsia="zh-CN" w:bidi="ar-SA"/>
        </w:rPr>
        <w:t>）*（代建范围内批复施工图预算的建筑安装工程费用/隧道单项批复施工图预算的建筑安装工程费用（包括设备购置费））。</w:t>
      </w:r>
      <w:r>
        <w:rPr>
          <w:rFonts w:hint="default" w:ascii="Times New Roman" w:hAnsi="Times New Roman" w:cs="Times New Roman" w:eastAsiaTheme="minorEastAsia"/>
          <w:b w:val="0"/>
          <w:bCs w:val="0"/>
          <w:color w:val="auto"/>
          <w:kern w:val="2"/>
          <w:sz w:val="24"/>
          <w:szCs w:val="24"/>
          <w:highlight w:val="none"/>
          <w:u w:val="single"/>
          <w:lang w:val="en-US" w:eastAsia="zh-CN" w:bidi="ar-SA"/>
        </w:rPr>
        <w:t xml:space="preserve"> </w:t>
      </w:r>
      <w:r>
        <w:rPr>
          <w:rFonts w:hint="default" w:ascii="Times New Roman" w:hAnsi="Times New Roman" w:cs="Times New Roman" w:eastAsiaTheme="minorEastAsia"/>
          <w:color w:val="auto"/>
          <w:kern w:val="2"/>
          <w:sz w:val="24"/>
          <w:szCs w:val="24"/>
          <w:highlight w:val="none"/>
          <w:u w:val="single"/>
          <w:lang w:val="en-US" w:eastAsia="zh-CN" w:bidi="ar-SA"/>
        </w:rPr>
        <w:t xml:space="preserve"> </w:t>
      </w:r>
    </w:p>
    <w:p w14:paraId="7C09579C">
      <w:pPr>
        <w:keepNext w:val="0"/>
        <w:keepLines w:val="0"/>
        <w:pageBreakBefore w:val="0"/>
        <w:widowControl w:val="0"/>
        <w:kinsoku/>
        <w:wordWrap/>
        <w:overflowPunct/>
        <w:topLinePunct w:val="0"/>
        <w:autoSpaceDE/>
        <w:autoSpaceDN/>
        <w:bidi w:val="0"/>
        <w:adjustRightInd/>
        <w:snapToGrid/>
        <w:spacing w:before="157" w:beforeLines="50" w:after="157" w:afterLines="50" w:line="480" w:lineRule="auto"/>
        <w:textAlignment w:val="auto"/>
        <w:rPr>
          <w:rFonts w:hint="default" w:ascii="Times New Roman" w:hAnsi="Times New Roman" w:cs="Times New Roman" w:eastAsiaTheme="minorEastAsia"/>
          <w:b/>
          <w:bCs/>
          <w:i w:val="0"/>
          <w:iCs/>
          <w:color w:val="auto"/>
          <w:kern w:val="2"/>
          <w:sz w:val="24"/>
          <w:szCs w:val="24"/>
          <w:highlight w:val="none"/>
          <w:u w:val="none"/>
          <w:lang w:val="en-US" w:eastAsia="zh-CN" w:bidi="ar-SA"/>
        </w:rPr>
      </w:pPr>
      <w:r>
        <w:rPr>
          <w:rFonts w:hint="default" w:ascii="Times New Roman" w:hAnsi="Times New Roman" w:cs="Times New Roman" w:eastAsiaTheme="minorEastAsia"/>
          <w:b/>
          <w:bCs/>
          <w:i w:val="0"/>
          <w:color w:val="auto"/>
          <w:kern w:val="2"/>
          <w:sz w:val="24"/>
          <w:szCs w:val="24"/>
          <w:highlight w:val="none"/>
          <w:u w:val="none"/>
          <w:lang w:val="en-US" w:eastAsia="zh-CN" w:bidi="ar-SA"/>
        </w:rPr>
        <w:t>五、分包要求</w:t>
      </w:r>
    </w:p>
    <w:p w14:paraId="0BCCE4F2">
      <w:pPr>
        <w:pStyle w:val="11"/>
        <w:numPr>
          <w:ilvl w:val="0"/>
          <w:numId w:val="0"/>
        </w:numPr>
        <w:rPr>
          <w:rFonts w:hint="default" w:ascii="Times New Roman" w:hAnsi="Times New Roman" w:cs="Times New Roman" w:eastAsiaTheme="minorEastAsia"/>
          <w:sz w:val="24"/>
          <w:szCs w:val="24"/>
          <w:highlight w:val="none"/>
          <w:lang w:eastAsia="zh-CN"/>
        </w:rPr>
      </w:pPr>
      <w:r>
        <w:rPr>
          <w:rFonts w:hint="default" w:ascii="Times New Roman" w:hAnsi="Times New Roman" w:cs="Times New Roman" w:eastAsiaTheme="minorEastAsia"/>
          <w:sz w:val="24"/>
          <w:szCs w:val="24"/>
          <w:highlight w:val="none"/>
        </w:rPr>
        <w:sym w:font="Wingdings" w:char="00FE"/>
      </w:r>
      <w:r>
        <w:rPr>
          <w:rFonts w:hint="default" w:ascii="Times New Roman" w:hAnsi="Times New Roman" w:cs="Times New Roman" w:eastAsiaTheme="minorEastAsia"/>
          <w:sz w:val="24"/>
          <w:szCs w:val="24"/>
          <w:highlight w:val="none"/>
          <w:lang w:eastAsia="zh-CN"/>
        </w:rPr>
        <w:t>不允许分包</w:t>
      </w:r>
    </w:p>
    <w:p w14:paraId="7BAE1666">
      <w:pPr>
        <w:pStyle w:val="11"/>
        <w:numPr>
          <w:ilvl w:val="0"/>
          <w:numId w:val="0"/>
        </w:numPr>
        <w:rPr>
          <w:rFonts w:hint="default" w:ascii="Times New Roman" w:hAnsi="Times New Roman" w:cs="Times New Roman" w:eastAsiaTheme="minorEastAsia"/>
          <w:sz w:val="24"/>
          <w:szCs w:val="24"/>
          <w:highlight w:val="none"/>
          <w:lang w:eastAsia="zh-CN"/>
        </w:rPr>
      </w:pPr>
      <w:r>
        <w:rPr>
          <w:rFonts w:hint="default" w:ascii="Times New Roman" w:hAnsi="Times New Roman" w:cs="Times New Roman" w:eastAsiaTheme="minorEastAsia"/>
          <w:sz w:val="24"/>
          <w:szCs w:val="24"/>
          <w:highlight w:val="none"/>
          <w:lang w:eastAsia="zh-CN"/>
        </w:rPr>
        <w:sym w:font="Wingdings" w:char="00A8"/>
      </w:r>
      <w:r>
        <w:rPr>
          <w:rFonts w:hint="default" w:ascii="Times New Roman" w:hAnsi="Times New Roman" w:cs="Times New Roman" w:eastAsiaTheme="minorEastAsia"/>
          <w:sz w:val="24"/>
          <w:szCs w:val="24"/>
          <w:highlight w:val="none"/>
          <w:lang w:eastAsia="zh-CN"/>
        </w:rPr>
        <w:t>允许分包，但必须符合以下要求：</w:t>
      </w:r>
    </w:p>
    <w:p w14:paraId="1DB27021">
      <w:pPr>
        <w:keepNext w:val="0"/>
        <w:keepLines w:val="0"/>
        <w:pageBreakBefore w:val="0"/>
        <w:widowControl w:val="0"/>
        <w:kinsoku/>
        <w:wordWrap/>
        <w:overflowPunct/>
        <w:topLinePunct w:val="0"/>
        <w:bidi w:val="0"/>
        <w:snapToGrid/>
        <w:spacing w:before="157" w:beforeLines="50" w:after="157" w:afterLines="50" w:line="480" w:lineRule="auto"/>
        <w:textAlignment w:val="auto"/>
        <w:rPr>
          <w:rFonts w:hint="default" w:ascii="Times New Roman" w:hAnsi="Times New Roman" w:cs="Times New Roman" w:eastAsiaTheme="minorEastAsia"/>
          <w:b/>
          <w:bCs/>
          <w:i w:val="0"/>
          <w:iCs/>
          <w:color w:val="auto"/>
          <w:kern w:val="2"/>
          <w:sz w:val="24"/>
          <w:szCs w:val="24"/>
          <w:highlight w:val="none"/>
          <w:u w:val="single"/>
          <w:lang w:val="en-US" w:eastAsia="zh-CN" w:bidi="ar-SA"/>
        </w:rPr>
      </w:pPr>
      <w:r>
        <w:rPr>
          <w:rFonts w:hint="default" w:ascii="Times New Roman" w:hAnsi="Times New Roman" w:cs="Times New Roman" w:eastAsiaTheme="minorEastAsia"/>
          <w:b/>
          <w:bCs/>
          <w:i w:val="0"/>
          <w:iCs/>
          <w:color w:val="auto"/>
          <w:kern w:val="2"/>
          <w:sz w:val="24"/>
          <w:szCs w:val="24"/>
          <w:highlight w:val="none"/>
          <w:u w:val="single"/>
          <w:lang w:val="en-US" w:eastAsia="zh-CN" w:bidi="ar-SA"/>
        </w:rPr>
        <w:t xml:space="preserve">                                       </w:t>
      </w:r>
    </w:p>
    <w:p w14:paraId="346F8F2F">
      <w:pPr>
        <w:rPr>
          <w:rFonts w:hint="default" w:ascii="Times New Roman" w:hAnsi="Times New Roman" w:cs="Times New Roman" w:eastAsiaTheme="minorEastAsia"/>
          <w:color w:val="auto"/>
          <w:kern w:val="2"/>
          <w:sz w:val="24"/>
          <w:szCs w:val="24"/>
          <w:highlight w:val="none"/>
          <w:u w:val="single"/>
          <w:lang w:val="en-US" w:eastAsia="zh-CN" w:bidi="ar-SA"/>
        </w:rPr>
      </w:pPr>
    </w:p>
    <w:p w14:paraId="558E2286">
      <w:pPr>
        <w:rPr>
          <w:rFonts w:hint="default" w:ascii="Times New Roman" w:hAnsi="Times New Roman" w:cs="Times New Roman" w:eastAsiaTheme="minorEastAsia"/>
          <w:b/>
          <w:bCs/>
          <w:snapToGrid w:val="0"/>
          <w:color w:val="auto"/>
          <w:kern w:val="0"/>
          <w:sz w:val="28"/>
          <w:szCs w:val="28"/>
          <w:highlight w:val="none"/>
          <w:u w:val="none"/>
          <w:lang w:val="en-US" w:eastAsia="zh-CN"/>
        </w:rPr>
      </w:pPr>
      <w:r>
        <w:rPr>
          <w:rFonts w:hint="default" w:ascii="Times New Roman" w:hAnsi="Times New Roman" w:cs="Times New Roman" w:eastAsiaTheme="minorEastAsia"/>
          <w:highlight w:val="none"/>
          <w:lang w:val="en-US" w:eastAsia="zh-CN"/>
        </w:rPr>
        <w:br w:type="page"/>
      </w:r>
    </w:p>
    <w:p w14:paraId="36A3FD26">
      <w:pPr>
        <w:pStyle w:val="10"/>
        <w:keepNext w:val="0"/>
        <w:keepLines w:val="0"/>
        <w:pageBreakBefore w:val="0"/>
        <w:widowControl w:val="0"/>
        <w:numPr>
          <w:ilvl w:val="0"/>
          <w:numId w:val="4"/>
        </w:numPr>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eastAsiaTheme="minorEastAsia"/>
          <w:b/>
          <w:bCs/>
          <w:snapToGrid w:val="0"/>
          <w:color w:val="auto"/>
          <w:kern w:val="0"/>
          <w:sz w:val="28"/>
          <w:szCs w:val="28"/>
          <w:highlight w:val="none"/>
          <w:u w:val="none"/>
          <w:lang w:val="en-US" w:eastAsia="zh-CN"/>
        </w:rPr>
      </w:pPr>
      <w:r>
        <w:rPr>
          <w:rFonts w:hint="default" w:ascii="Times New Roman" w:hAnsi="Times New Roman" w:cs="Times New Roman" w:eastAsiaTheme="minorEastAsia"/>
          <w:b/>
          <w:bCs/>
          <w:snapToGrid w:val="0"/>
          <w:color w:val="auto"/>
          <w:kern w:val="0"/>
          <w:sz w:val="28"/>
          <w:szCs w:val="28"/>
          <w:highlight w:val="none"/>
          <w:u w:val="none"/>
          <w:lang w:val="en-US" w:eastAsia="zh-CN"/>
        </w:rPr>
        <w:t>技术标准、要求及图纸（对应招标文件 第五章）</w:t>
      </w:r>
    </w:p>
    <w:p w14:paraId="168254EC">
      <w:pPr>
        <w:pStyle w:val="4"/>
        <w:spacing w:before="0" w:after="0" w:line="240" w:lineRule="auto"/>
        <w:rPr>
          <w:rFonts w:hint="default" w:ascii="Times New Roman" w:hAnsi="Times New Roman" w:cs="Times New Roman" w:eastAsiaTheme="minorEastAsia"/>
          <w:i w:val="0"/>
          <w:iCs/>
          <w:color w:val="auto"/>
          <w:sz w:val="24"/>
          <w:szCs w:val="24"/>
          <w:highlight w:val="none"/>
        </w:rPr>
      </w:pPr>
      <w:r>
        <w:rPr>
          <w:rFonts w:hint="default" w:ascii="Times New Roman" w:hAnsi="Times New Roman" w:cs="Times New Roman" w:eastAsiaTheme="minorEastAsia"/>
          <w:i w:val="0"/>
          <w:iCs/>
          <w:color w:val="auto"/>
          <w:sz w:val="24"/>
          <w:szCs w:val="24"/>
          <w:highlight w:val="none"/>
          <w:lang w:eastAsia="zh-CN"/>
        </w:rPr>
        <w:t>一、</w:t>
      </w:r>
      <w:r>
        <w:rPr>
          <w:rFonts w:hint="default" w:ascii="Times New Roman" w:hAnsi="Times New Roman" w:cs="Times New Roman" w:eastAsiaTheme="minorEastAsia"/>
          <w:i w:val="0"/>
          <w:iCs/>
          <w:color w:val="auto"/>
          <w:sz w:val="24"/>
          <w:szCs w:val="24"/>
          <w:highlight w:val="none"/>
        </w:rPr>
        <w:t xml:space="preserve"> 管理规范和技术（规范）标准（</w:t>
      </w:r>
      <w:r>
        <w:rPr>
          <w:rFonts w:hint="default" w:ascii="Times New Roman" w:hAnsi="Times New Roman" w:cs="Times New Roman" w:eastAsiaTheme="minorEastAsia"/>
          <w:i w:val="0"/>
          <w:iCs/>
          <w:color w:val="auto"/>
          <w:sz w:val="24"/>
          <w:szCs w:val="24"/>
          <w:highlight w:val="none"/>
          <w:lang w:eastAsia="zh-CN"/>
        </w:rPr>
        <w:t>详见</w:t>
      </w:r>
      <w:r>
        <w:rPr>
          <w:rFonts w:hint="default" w:ascii="Times New Roman" w:hAnsi="Times New Roman" w:cs="Times New Roman" w:eastAsiaTheme="minorEastAsia"/>
          <w:i w:val="0"/>
          <w:iCs/>
          <w:color w:val="auto"/>
          <w:sz w:val="24"/>
          <w:szCs w:val="24"/>
          <w:highlight w:val="none"/>
        </w:rPr>
        <w:t>合同附件）</w:t>
      </w:r>
    </w:p>
    <w:p w14:paraId="6B06CC1E">
      <w:pPr>
        <w:pStyle w:val="10"/>
        <w:rPr>
          <w:rFonts w:hint="default" w:ascii="Times New Roman" w:hAnsi="Times New Roman" w:cs="Times New Roman" w:eastAsiaTheme="minorEastAsia"/>
          <w:i w:val="0"/>
          <w:iCs/>
          <w:color w:val="auto"/>
          <w:sz w:val="24"/>
          <w:szCs w:val="24"/>
          <w:highlight w:val="none"/>
        </w:rPr>
      </w:pPr>
    </w:p>
    <w:p w14:paraId="6F041388">
      <w:pPr>
        <w:pStyle w:val="4"/>
        <w:spacing w:before="0" w:after="0" w:line="240" w:lineRule="auto"/>
        <w:rPr>
          <w:rFonts w:hint="default" w:ascii="Times New Roman" w:hAnsi="Times New Roman" w:cs="Times New Roman" w:eastAsiaTheme="minorEastAsia"/>
          <w:i w:val="0"/>
          <w:iCs/>
          <w:color w:val="auto"/>
          <w:sz w:val="24"/>
          <w:szCs w:val="24"/>
          <w:highlight w:val="none"/>
        </w:rPr>
      </w:pPr>
      <w:r>
        <w:rPr>
          <w:rFonts w:hint="default" w:ascii="Times New Roman" w:hAnsi="Times New Roman" w:cs="Times New Roman" w:eastAsiaTheme="minorEastAsia"/>
          <w:i w:val="0"/>
          <w:iCs/>
          <w:color w:val="auto"/>
          <w:sz w:val="24"/>
          <w:szCs w:val="24"/>
          <w:highlight w:val="none"/>
          <w:lang w:eastAsia="zh-CN"/>
        </w:rPr>
        <w:t>二、</w:t>
      </w:r>
      <w:r>
        <w:rPr>
          <w:rFonts w:hint="default" w:ascii="Times New Roman" w:hAnsi="Times New Roman" w:cs="Times New Roman" w:eastAsiaTheme="minorEastAsia"/>
          <w:i w:val="0"/>
          <w:iCs/>
          <w:color w:val="auto"/>
          <w:sz w:val="24"/>
          <w:szCs w:val="24"/>
          <w:highlight w:val="none"/>
        </w:rPr>
        <w:t>技术</w:t>
      </w:r>
      <w:r>
        <w:rPr>
          <w:rFonts w:hint="default" w:ascii="Times New Roman" w:hAnsi="Times New Roman" w:cs="Times New Roman" w:eastAsiaTheme="minorEastAsia"/>
          <w:i w:val="0"/>
          <w:iCs/>
          <w:color w:val="auto"/>
          <w:sz w:val="24"/>
          <w:szCs w:val="24"/>
          <w:highlight w:val="none"/>
          <w:lang w:val="en-US" w:eastAsia="zh-CN"/>
        </w:rPr>
        <w:t>及管理</w:t>
      </w:r>
      <w:r>
        <w:rPr>
          <w:rFonts w:hint="default" w:ascii="Times New Roman" w:hAnsi="Times New Roman" w:cs="Times New Roman" w:eastAsiaTheme="minorEastAsia"/>
          <w:i w:val="0"/>
          <w:iCs/>
          <w:color w:val="auto"/>
          <w:sz w:val="24"/>
          <w:szCs w:val="24"/>
          <w:highlight w:val="none"/>
        </w:rPr>
        <w:t>要求</w:t>
      </w:r>
    </w:p>
    <w:p w14:paraId="4454615D">
      <w:pPr>
        <w:autoSpaceDE w:val="0"/>
        <w:autoSpaceDN w:val="0"/>
        <w:adjustRightInd w:val="0"/>
        <w:rPr>
          <w:rFonts w:hint="default" w:ascii="Times New Roman" w:hAnsi="Times New Roman" w:cs="Times New Roman" w:eastAsiaTheme="minorEastAsia"/>
          <w:i w:val="0"/>
          <w:iCs/>
          <w:color w:val="auto"/>
          <w:kern w:val="0"/>
          <w:sz w:val="24"/>
          <w:szCs w:val="24"/>
          <w:highlight w:val="none"/>
          <w:lang w:val="zh-CN"/>
        </w:rPr>
      </w:pPr>
      <w:r>
        <w:rPr>
          <w:rFonts w:hint="default" w:ascii="Times New Roman" w:hAnsi="Times New Roman" w:cs="Times New Roman" w:eastAsiaTheme="minorEastAsia"/>
          <w:i w:val="0"/>
          <w:iCs/>
          <w:color w:val="auto"/>
          <w:kern w:val="0"/>
          <w:sz w:val="24"/>
          <w:szCs w:val="24"/>
          <w:highlight w:val="none"/>
          <w:lang w:val="zh-CN"/>
        </w:rPr>
        <w:t>（一）满足南方电网公司基建管理制度、建设单位的质量、环境和职业健康安全管理体系文件、其他有关制度和规定。</w:t>
      </w:r>
    </w:p>
    <w:p w14:paraId="5ADFE65E">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default" w:ascii="Times New Roman" w:hAnsi="Times New Roman" w:cs="Times New Roman" w:eastAsiaTheme="minorEastAsia"/>
          <w:b/>
          <w:bCs/>
          <w:snapToGrid w:val="0"/>
          <w:color w:val="auto"/>
          <w:kern w:val="0"/>
          <w:sz w:val="28"/>
          <w:szCs w:val="28"/>
          <w:highlight w:val="none"/>
          <w:u w:val="none"/>
          <w:lang w:val="en-US" w:eastAsia="zh-CN"/>
        </w:rPr>
      </w:pPr>
      <w:r>
        <w:rPr>
          <w:rFonts w:hint="default" w:ascii="Times New Roman" w:hAnsi="Times New Roman" w:cs="Times New Roman" w:eastAsiaTheme="minorEastAsia"/>
          <w:b w:val="0"/>
          <w:bCs/>
          <w:i w:val="0"/>
          <w:iCs/>
          <w:color w:val="auto"/>
          <w:kern w:val="0"/>
          <w:sz w:val="24"/>
          <w:szCs w:val="24"/>
          <w:highlight w:val="none"/>
          <w:lang w:val="zh-CN"/>
        </w:rPr>
        <w:t>（二）符合图纸及技术文件的要求（如有，详见招标文件附件）。</w:t>
      </w:r>
    </w:p>
    <w:p w14:paraId="6BFB2B29">
      <w:pPr>
        <w:rPr>
          <w:rFonts w:hint="default" w:ascii="Times New Roman" w:hAnsi="Times New Roman" w:cs="Times New Roman" w:eastAsiaTheme="minorEastAsia"/>
          <w:color w:val="auto"/>
          <w:sz w:val="24"/>
          <w:szCs w:val="24"/>
          <w:highlight w:val="none"/>
          <w:u w:val="single"/>
          <w:vertAlign w:val="baseline"/>
          <w:lang w:val="en-US" w:eastAsia="zh-CN"/>
        </w:rPr>
      </w:pPr>
    </w:p>
    <w:p w14:paraId="62D536ED">
      <w:pPr>
        <w:pStyle w:val="10"/>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4"/>
          <w:szCs w:val="24"/>
          <w:highlight w:val="none"/>
          <w:u w:val="single"/>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6993E1"/>
    <w:multiLevelType w:val="singleLevel"/>
    <w:tmpl w:val="EA6993E1"/>
    <w:lvl w:ilvl="0" w:tentative="0">
      <w:start w:val="3"/>
      <w:numFmt w:val="chineseCounting"/>
      <w:suff w:val="nothing"/>
      <w:lvlText w:val="%1、"/>
      <w:lvlJc w:val="left"/>
      <w:rPr>
        <w:rFonts w:hint="eastAsia"/>
      </w:rPr>
    </w:lvl>
  </w:abstractNum>
  <w:abstractNum w:abstractNumId="1">
    <w:nsid w:val="EAEE20F8"/>
    <w:multiLevelType w:val="singleLevel"/>
    <w:tmpl w:val="EAEE20F8"/>
    <w:lvl w:ilvl="0" w:tentative="0">
      <w:start w:val="2"/>
      <w:numFmt w:val="chineseCounting"/>
      <w:suff w:val="nothing"/>
      <w:lvlText w:val="第%1部分."/>
      <w:lvlJc w:val="left"/>
      <w:rPr>
        <w:rFonts w:hint="eastAsia"/>
      </w:rPr>
    </w:lvl>
  </w:abstractNum>
  <w:abstractNum w:abstractNumId="2">
    <w:nsid w:val="0D7920FF"/>
    <w:multiLevelType w:val="singleLevel"/>
    <w:tmpl w:val="0D7920FF"/>
    <w:lvl w:ilvl="0" w:tentative="0">
      <w:start w:val="1"/>
      <w:numFmt w:val="chineseCounting"/>
      <w:suff w:val="nothing"/>
      <w:lvlText w:val="第%1部分."/>
      <w:lvlJc w:val="left"/>
      <w:rPr>
        <w:rFonts w:hint="eastAsia"/>
      </w:rPr>
    </w:lvl>
  </w:abstractNum>
  <w:abstractNum w:abstractNumId="3">
    <w:nsid w:val="71660F6A"/>
    <w:multiLevelType w:val="singleLevel"/>
    <w:tmpl w:val="71660F6A"/>
    <w:lvl w:ilvl="0" w:tentative="0">
      <w:start w:val="1"/>
      <w:numFmt w:val="decimal"/>
      <w:suff w:val="space"/>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01270A5"/>
    <w:rsid w:val="007A4AD7"/>
    <w:rsid w:val="00F51543"/>
    <w:rsid w:val="04A24F71"/>
    <w:rsid w:val="076F3B3B"/>
    <w:rsid w:val="07CA37DF"/>
    <w:rsid w:val="0B4A6210"/>
    <w:rsid w:val="0B9C50BC"/>
    <w:rsid w:val="0BC07002"/>
    <w:rsid w:val="0E2446E4"/>
    <w:rsid w:val="0E2F4C02"/>
    <w:rsid w:val="0E3616E0"/>
    <w:rsid w:val="0E394169"/>
    <w:rsid w:val="0F81532F"/>
    <w:rsid w:val="107144D2"/>
    <w:rsid w:val="116419AD"/>
    <w:rsid w:val="11DF6CFE"/>
    <w:rsid w:val="13383335"/>
    <w:rsid w:val="14440D4B"/>
    <w:rsid w:val="14781EB9"/>
    <w:rsid w:val="14B666F3"/>
    <w:rsid w:val="15056A61"/>
    <w:rsid w:val="17722603"/>
    <w:rsid w:val="18E57496"/>
    <w:rsid w:val="1A386933"/>
    <w:rsid w:val="1A4F176B"/>
    <w:rsid w:val="1B663F82"/>
    <w:rsid w:val="1C2D4629"/>
    <w:rsid w:val="1C43636C"/>
    <w:rsid w:val="1C8618B6"/>
    <w:rsid w:val="1D3B1A1E"/>
    <w:rsid w:val="1D904223"/>
    <w:rsid w:val="1E131C5A"/>
    <w:rsid w:val="1F653C49"/>
    <w:rsid w:val="1FF914D4"/>
    <w:rsid w:val="20735046"/>
    <w:rsid w:val="20DF4DD4"/>
    <w:rsid w:val="216F4D5B"/>
    <w:rsid w:val="21C11DC8"/>
    <w:rsid w:val="23B738BA"/>
    <w:rsid w:val="24E67795"/>
    <w:rsid w:val="24F737D8"/>
    <w:rsid w:val="2525523D"/>
    <w:rsid w:val="26EB3B6A"/>
    <w:rsid w:val="291D5E51"/>
    <w:rsid w:val="2BE07E0A"/>
    <w:rsid w:val="2CA17C08"/>
    <w:rsid w:val="2DDF66E3"/>
    <w:rsid w:val="2FF65FF8"/>
    <w:rsid w:val="300D195C"/>
    <w:rsid w:val="30BF37B5"/>
    <w:rsid w:val="313B0851"/>
    <w:rsid w:val="31A1649A"/>
    <w:rsid w:val="31C955A9"/>
    <w:rsid w:val="331A33DB"/>
    <w:rsid w:val="33B200AF"/>
    <w:rsid w:val="33C30CEE"/>
    <w:rsid w:val="33C75702"/>
    <w:rsid w:val="33E61BE2"/>
    <w:rsid w:val="34816D05"/>
    <w:rsid w:val="361736AD"/>
    <w:rsid w:val="36D200CF"/>
    <w:rsid w:val="36DE52F1"/>
    <w:rsid w:val="3751569E"/>
    <w:rsid w:val="37984D64"/>
    <w:rsid w:val="379951F8"/>
    <w:rsid w:val="38382DC3"/>
    <w:rsid w:val="38DE045C"/>
    <w:rsid w:val="3987396D"/>
    <w:rsid w:val="3B595AEE"/>
    <w:rsid w:val="3BBB66B2"/>
    <w:rsid w:val="3BF24D81"/>
    <w:rsid w:val="3BFE7BEA"/>
    <w:rsid w:val="3C4750A3"/>
    <w:rsid w:val="3C4A35F1"/>
    <w:rsid w:val="420455E6"/>
    <w:rsid w:val="42E73C50"/>
    <w:rsid w:val="44982260"/>
    <w:rsid w:val="44D414C9"/>
    <w:rsid w:val="46472D5E"/>
    <w:rsid w:val="46B32F0A"/>
    <w:rsid w:val="485D3F87"/>
    <w:rsid w:val="496A657E"/>
    <w:rsid w:val="49843C09"/>
    <w:rsid w:val="4B3A1BDA"/>
    <w:rsid w:val="4BF83760"/>
    <w:rsid w:val="4C5B4768"/>
    <w:rsid w:val="4C8349B8"/>
    <w:rsid w:val="504766FD"/>
    <w:rsid w:val="51EB1BA0"/>
    <w:rsid w:val="552A0C96"/>
    <w:rsid w:val="55BB16B6"/>
    <w:rsid w:val="55C3156A"/>
    <w:rsid w:val="560A4CB8"/>
    <w:rsid w:val="5782183A"/>
    <w:rsid w:val="57BD355E"/>
    <w:rsid w:val="58D21C48"/>
    <w:rsid w:val="5B0320E2"/>
    <w:rsid w:val="5B1925A8"/>
    <w:rsid w:val="5B8B11A7"/>
    <w:rsid w:val="5B9E2EC4"/>
    <w:rsid w:val="5CD10D7E"/>
    <w:rsid w:val="60002310"/>
    <w:rsid w:val="608606DE"/>
    <w:rsid w:val="610E324A"/>
    <w:rsid w:val="61F31EFD"/>
    <w:rsid w:val="63066BC7"/>
    <w:rsid w:val="63D0487B"/>
    <w:rsid w:val="64672037"/>
    <w:rsid w:val="64911DA0"/>
    <w:rsid w:val="65945D8D"/>
    <w:rsid w:val="66C35559"/>
    <w:rsid w:val="67D57489"/>
    <w:rsid w:val="68570F93"/>
    <w:rsid w:val="69146353"/>
    <w:rsid w:val="6A287B5E"/>
    <w:rsid w:val="6A8E5938"/>
    <w:rsid w:val="6B303A1A"/>
    <w:rsid w:val="6C704794"/>
    <w:rsid w:val="6DAA2FDF"/>
    <w:rsid w:val="6DF95579"/>
    <w:rsid w:val="6E121228"/>
    <w:rsid w:val="6F8447F5"/>
    <w:rsid w:val="70D1495F"/>
    <w:rsid w:val="70ED510D"/>
    <w:rsid w:val="712F63C0"/>
    <w:rsid w:val="723E1053"/>
    <w:rsid w:val="72717CD1"/>
    <w:rsid w:val="72F654AE"/>
    <w:rsid w:val="743E1546"/>
    <w:rsid w:val="74614F7E"/>
    <w:rsid w:val="74695E39"/>
    <w:rsid w:val="754C6F3B"/>
    <w:rsid w:val="75B11AFF"/>
    <w:rsid w:val="75D32619"/>
    <w:rsid w:val="76307412"/>
    <w:rsid w:val="768D126A"/>
    <w:rsid w:val="77B97AF7"/>
    <w:rsid w:val="780B6A75"/>
    <w:rsid w:val="79F83E18"/>
    <w:rsid w:val="7CED7DC5"/>
    <w:rsid w:val="7D0F76D8"/>
    <w:rsid w:val="7E3420E0"/>
    <w:rsid w:val="7F1B36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3">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4">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2">
    <w:name w:val="目录 21"/>
    <w:basedOn w:val="1"/>
    <w:next w:val="1"/>
    <w:qFormat/>
    <w:uiPriority w:val="0"/>
    <w:pPr>
      <w:spacing w:before="100" w:beforeAutospacing="1" w:after="100" w:afterAutospacing="1"/>
      <w:ind w:left="420" w:leftChars="200"/>
    </w:pPr>
  </w:style>
  <w:style w:type="paragraph" w:styleId="5">
    <w:name w:val="Normal Indent"/>
    <w:basedOn w:val="1"/>
    <w:qFormat/>
    <w:uiPriority w:val="0"/>
    <w:pPr>
      <w:ind w:firstLine="420"/>
    </w:pPr>
    <w:rPr>
      <w:rFonts w:ascii="Times New Roman" w:hAnsi="Times New Roman" w:cs="Times New Roman"/>
      <w:kern w:val="0"/>
      <w:sz w:val="20"/>
      <w:szCs w:val="20"/>
    </w:rPr>
  </w:style>
  <w:style w:type="paragraph" w:styleId="6">
    <w:name w:val="annotation text"/>
    <w:basedOn w:val="1"/>
    <w:qFormat/>
    <w:uiPriority w:val="0"/>
    <w:pPr>
      <w:jc w:val="left"/>
    </w:pPr>
  </w:style>
  <w:style w:type="paragraph" w:styleId="7">
    <w:name w:val="Body Text"/>
    <w:basedOn w:val="1"/>
    <w:next w:val="8"/>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8">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9">
    <w:name w:val="Body Text Indent"/>
    <w:basedOn w:val="1"/>
    <w:qFormat/>
    <w:uiPriority w:val="0"/>
    <w:pPr>
      <w:spacing w:after="120"/>
      <w:ind w:left="420" w:leftChars="200"/>
    </w:pPr>
  </w:style>
  <w:style w:type="paragraph" w:styleId="10">
    <w:name w:val="Plain Text"/>
    <w:basedOn w:val="1"/>
    <w:next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11">
    <w:name w:val="Body Text First Indent"/>
    <w:basedOn w:val="7"/>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正文首行缩进1"/>
    <w:basedOn w:val="1"/>
    <w:qFormat/>
    <w:uiPriority w:val="0"/>
    <w:pPr>
      <w:spacing w:line="360" w:lineRule="auto"/>
      <w:ind w:firstLine="200" w:firstLineChars="200"/>
    </w:pPr>
    <w:rPr>
      <w:kern w:val="2"/>
      <w:sz w:val="24"/>
      <w:szCs w:val="24"/>
    </w:rPr>
  </w:style>
  <w:style w:type="character" w:customStyle="1" w:styleId="16">
    <w:name w:val="font11"/>
    <w:basedOn w:val="14"/>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1295</Words>
  <Characters>1407</Characters>
  <Lines>0</Lines>
  <Paragraphs>0</Paragraphs>
  <TotalTime>4</TotalTime>
  <ScaleCrop>false</ScaleCrop>
  <LinksUpToDate>false</LinksUpToDate>
  <CharactersWithSpaces>1501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批注</cp:lastModifiedBy>
  <dcterms:modified xsi:type="dcterms:W3CDTF">2026-05-09T06:01:48Z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EDF1AA3B88D44F0F8FEC517A4732750F</vt:lpwstr>
  </property>
  <property fmtid="{D5CDD505-2E9C-101B-9397-08002B2CF9AE}" pid="4" name="KSOTemplateDocerSaveRecord">
    <vt:lpwstr>eyJoZGlkIjoiYTRlYzViOTg3MzA5ZmNlNTA4ZDdkNmFjYWRlNWJjNjYiLCJ1c2VySWQiOiIxMTIzODYyNzQxIn0=</vt:lpwstr>
  </property>
</Properties>
</file>