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A1850F">
      <w:pPr>
        <w:rPr>
          <w:rFonts w:ascii="黑体" w:hAnsi="黑体" w:eastAsia="黑体"/>
          <w:color w:val="auto"/>
          <w:sz w:val="36"/>
          <w:szCs w:val="36"/>
          <w:highlight w:val="none"/>
        </w:rPr>
      </w:pPr>
      <w:r>
        <w:rPr>
          <w:color w:val="auto"/>
          <w:highlight w:val="none"/>
        </w:rPr>
        <w:drawing>
          <wp:inline distT="0" distB="0" distL="114300" distR="114300">
            <wp:extent cx="1716405" cy="750570"/>
            <wp:effectExtent l="0" t="0" r="5715" b="11430"/>
            <wp:docPr id="1" name="图片 1" descr="公司简报样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简报样板"/>
                    <pic:cNvPicPr>
                      <a:picLocks noChangeAspect="1"/>
                    </pic:cNvPicPr>
                  </pic:nvPicPr>
                  <pic:blipFill>
                    <a:blip r:embed="rId9"/>
                    <a:srcRect l="-1031" t="33368" r="7762" b="16862"/>
                    <a:stretch>
                      <a:fillRect/>
                    </a:stretch>
                  </pic:blipFill>
                  <pic:spPr>
                    <a:xfrm>
                      <a:off x="0" y="0"/>
                      <a:ext cx="1716405" cy="750570"/>
                    </a:xfrm>
                    <a:prstGeom prst="rect">
                      <a:avLst/>
                    </a:prstGeom>
                    <a:noFill/>
                    <a:ln>
                      <a:noFill/>
                    </a:ln>
                  </pic:spPr>
                </pic:pic>
              </a:graphicData>
            </a:graphic>
          </wp:inline>
        </w:drawing>
      </w:r>
    </w:p>
    <w:p w14:paraId="79B0E92E">
      <w:pPr>
        <w:spacing w:line="360" w:lineRule="auto"/>
        <w:jc w:val="center"/>
        <w:rPr>
          <w:rFonts w:hint="eastAsia"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b w:val="0"/>
          <w:bCs/>
          <w:color w:val="auto"/>
          <w:sz w:val="44"/>
          <w:szCs w:val="44"/>
          <w:highlight w:val="none"/>
        </w:rPr>
        <w:t>货物专项采购合同</w:t>
      </w:r>
    </w:p>
    <w:p w14:paraId="3A26D55B">
      <w:pPr>
        <w:spacing w:line="360" w:lineRule="auto"/>
        <w:jc w:val="center"/>
        <w:rPr>
          <w:rFonts w:hint="eastAsia" w:ascii="方正小标宋_GBK" w:hAnsi="方正小标宋_GBK" w:eastAsia="方正小标宋_GBK" w:cs="方正小标宋_GBK"/>
          <w:bCs/>
          <w:color w:val="auto"/>
          <w:sz w:val="44"/>
          <w:szCs w:val="44"/>
          <w:highlight w:val="none"/>
        </w:rPr>
      </w:pPr>
      <w:bookmarkStart w:id="0" w:name="_Hlk57473041"/>
      <w:permStart w:id="0" w:edGrp="everyone"/>
      <w:r>
        <w:rPr>
          <w:rFonts w:hint="eastAsia" w:ascii="方正小标宋_GBK" w:hAnsi="方正小标宋_GBK" w:eastAsia="方正小标宋_GBK" w:cs="方正小标宋_GBK"/>
          <w:color w:val="auto"/>
          <w:sz w:val="44"/>
          <w:szCs w:val="44"/>
          <w:highlight w:val="none"/>
        </w:rPr>
        <w:t>（</w:t>
      </w:r>
      <w:r>
        <w:rPr>
          <w:rFonts w:hint="eastAsia" w:ascii="方正小标宋_GBK" w:hAnsi="方正小标宋_GBK" w:eastAsia="方正小标宋_GBK" w:cs="方正小标宋_GBK"/>
          <w:bCs/>
          <w:color w:val="auto"/>
          <w:sz w:val="44"/>
          <w:szCs w:val="44"/>
          <w:highlight w:val="none"/>
          <w:u w:val="single"/>
        </w:rPr>
        <w:t>主项目名称</w:t>
      </w:r>
      <w:r>
        <w:rPr>
          <w:rFonts w:hint="eastAsia" w:ascii="方正小标宋_GBK" w:hAnsi="方正小标宋_GBK" w:eastAsia="方正小标宋_GBK" w:cs="方正小标宋_GBK"/>
          <w:bCs/>
          <w:color w:val="auto"/>
          <w:sz w:val="44"/>
          <w:szCs w:val="44"/>
          <w:highlight w:val="none"/>
        </w:rPr>
        <w:t>）</w:t>
      </w:r>
    </w:p>
    <w:p w14:paraId="203AD36F">
      <w:pPr>
        <w:spacing w:line="360" w:lineRule="auto"/>
        <w:jc w:val="center"/>
        <w:rPr>
          <w:rFonts w:hint="eastAsia"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bCs/>
          <w:color w:val="auto"/>
          <w:sz w:val="44"/>
          <w:szCs w:val="44"/>
          <w:highlight w:val="none"/>
        </w:rPr>
        <w:t>（</w:t>
      </w:r>
      <w:r>
        <w:rPr>
          <w:rFonts w:hint="eastAsia" w:ascii="方正小标宋_GBK" w:hAnsi="方正小标宋_GBK" w:eastAsia="方正小标宋_GBK" w:cs="方正小标宋_GBK"/>
          <w:bCs/>
          <w:color w:val="auto"/>
          <w:sz w:val="44"/>
          <w:szCs w:val="44"/>
          <w:highlight w:val="none"/>
          <w:u w:val="single"/>
        </w:rPr>
        <w:t>子项目名称</w:t>
      </w:r>
      <w:r>
        <w:rPr>
          <w:rFonts w:hint="eastAsia" w:ascii="方正小标宋_GBK" w:hAnsi="方正小标宋_GBK" w:eastAsia="方正小标宋_GBK" w:cs="方正小标宋_GBK"/>
          <w:color w:val="auto"/>
          <w:sz w:val="44"/>
          <w:szCs w:val="44"/>
          <w:highlight w:val="none"/>
        </w:rPr>
        <w:t>）</w:t>
      </w:r>
    </w:p>
    <w:p w14:paraId="6C37EE33">
      <w:pPr>
        <w:spacing w:line="360" w:lineRule="auto"/>
        <w:jc w:val="center"/>
        <w:rPr>
          <w:rFonts w:hint="eastAsia" w:ascii="方正小标宋_GBK" w:hAnsi="方正小标宋_GBK" w:eastAsia="方正小标宋_GBK" w:cs="方正小标宋_GBK"/>
          <w:color w:val="auto"/>
          <w:sz w:val="44"/>
          <w:szCs w:val="44"/>
          <w:highlight w:val="none"/>
        </w:rPr>
      </w:pPr>
      <w:r>
        <w:rPr>
          <w:rFonts w:hint="eastAsia" w:ascii="方正小标宋_GBK" w:hAnsi="方正小标宋_GBK" w:eastAsia="方正小标宋_GBK" w:cs="方正小标宋_GBK"/>
          <w:color w:val="auto"/>
          <w:sz w:val="44"/>
          <w:szCs w:val="44"/>
          <w:highlight w:val="none"/>
        </w:rPr>
        <w:t>（</w:t>
      </w:r>
      <w:r>
        <w:rPr>
          <w:rFonts w:hint="eastAsia" w:ascii="方正小标宋_GBK" w:hAnsi="方正小标宋_GBK" w:eastAsia="方正小标宋_GBK" w:cs="方正小标宋_GBK"/>
          <w:bCs/>
          <w:color w:val="auto"/>
          <w:sz w:val="44"/>
          <w:szCs w:val="44"/>
          <w:highlight w:val="none"/>
          <w:u w:val="single"/>
        </w:rPr>
        <w:t xml:space="preserve"> 标的名称 </w:t>
      </w:r>
      <w:r>
        <w:rPr>
          <w:rFonts w:hint="eastAsia" w:ascii="方正小标宋_GBK" w:hAnsi="方正小标宋_GBK" w:eastAsia="方正小标宋_GBK" w:cs="方正小标宋_GBK"/>
          <w:color w:val="auto"/>
          <w:sz w:val="44"/>
          <w:szCs w:val="44"/>
          <w:highlight w:val="none"/>
        </w:rPr>
        <w:t>）</w:t>
      </w:r>
      <w:bookmarkEnd w:id="0"/>
    </w:p>
    <w:permEnd w:id="0"/>
    <w:p w14:paraId="7C5FE81B">
      <w:pPr>
        <w:spacing w:line="500" w:lineRule="exact"/>
        <w:jc w:val="center"/>
        <w:rPr>
          <w:rFonts w:ascii="宋体"/>
          <w:color w:val="auto"/>
          <w:sz w:val="32"/>
          <w:szCs w:val="32"/>
          <w:highlight w:val="none"/>
        </w:rPr>
      </w:pPr>
    </w:p>
    <w:p w14:paraId="12BB4B76">
      <w:pPr>
        <w:spacing w:line="500" w:lineRule="exact"/>
        <w:jc w:val="center"/>
        <w:rPr>
          <w:rFonts w:ascii="宋体" w:hAnsi="宋体"/>
          <w:b/>
          <w:color w:val="auto"/>
          <w:sz w:val="13"/>
          <w:szCs w:val="13"/>
          <w:highlight w:val="none"/>
        </w:rPr>
      </w:pPr>
    </w:p>
    <w:p w14:paraId="671C84D8">
      <w:pPr>
        <w:spacing w:line="500" w:lineRule="exact"/>
        <w:jc w:val="center"/>
        <w:rPr>
          <w:rFonts w:ascii="宋体" w:hAnsi="宋体"/>
          <w:b/>
          <w:color w:val="auto"/>
          <w:sz w:val="32"/>
          <w:szCs w:val="32"/>
          <w:highlight w:val="none"/>
        </w:rPr>
      </w:pPr>
    </w:p>
    <w:tbl>
      <w:tblPr>
        <w:tblStyle w:val="11"/>
        <w:tblW w:w="0" w:type="auto"/>
        <w:jc w:val="center"/>
        <w:tblLayout w:type="fixed"/>
        <w:tblCellMar>
          <w:top w:w="0" w:type="dxa"/>
          <w:left w:w="108" w:type="dxa"/>
          <w:bottom w:w="0" w:type="dxa"/>
          <w:right w:w="108" w:type="dxa"/>
        </w:tblCellMar>
      </w:tblPr>
      <w:tblGrid>
        <w:gridCol w:w="1696"/>
        <w:gridCol w:w="6101"/>
      </w:tblGrid>
      <w:tr w14:paraId="0F996890">
        <w:tblPrEx>
          <w:tblCellMar>
            <w:top w:w="0" w:type="dxa"/>
            <w:left w:w="108" w:type="dxa"/>
            <w:bottom w:w="0" w:type="dxa"/>
            <w:right w:w="108" w:type="dxa"/>
          </w:tblCellMar>
        </w:tblPrEx>
        <w:trPr>
          <w:trHeight w:val="569" w:hRule="atLeast"/>
          <w:jc w:val="center"/>
        </w:trPr>
        <w:tc>
          <w:tcPr>
            <w:tcW w:w="1696" w:type="dxa"/>
            <w:noWrap w:val="0"/>
            <w:vAlign w:val="center"/>
          </w:tcPr>
          <w:p w14:paraId="07CE6220">
            <w:pPr>
              <w:spacing w:line="240" w:lineRule="atLeast"/>
              <w:rPr>
                <w:rFonts w:ascii="黑体" w:hAnsi="宋体" w:eastAsia="黑体" w:cs="宋体-18030"/>
                <w:color w:val="auto"/>
                <w:sz w:val="28"/>
                <w:szCs w:val="28"/>
                <w:highlight w:val="none"/>
              </w:rPr>
            </w:pPr>
            <w:r>
              <w:rPr>
                <w:rFonts w:hint="eastAsia" w:ascii="黑体" w:hAnsi="宋体" w:eastAsia="黑体" w:cs="宋体-18030"/>
                <w:color w:val="auto"/>
                <w:sz w:val="32"/>
                <w:szCs w:val="32"/>
                <w:highlight w:val="none"/>
              </w:rPr>
              <w:t>合同编号：</w:t>
            </w:r>
          </w:p>
        </w:tc>
        <w:tc>
          <w:tcPr>
            <w:tcW w:w="6101" w:type="dxa"/>
            <w:noWrap w:val="0"/>
            <w:vAlign w:val="center"/>
          </w:tcPr>
          <w:sdt>
            <w:sdtPr>
              <w:rPr>
                <w:rFonts w:hint="eastAsia" w:ascii="宋体" w:hAnsi="宋体" w:eastAsia="宋体" w:cs="宋体-18030"/>
                <w:color w:val="auto"/>
                <w:kern w:val="2"/>
                <w:sz w:val="32"/>
                <w:szCs w:val="32"/>
                <w:u w:val="single"/>
                <w:lang w:val="en-US" w:eastAsia="zh-CN" w:bidi="ar-SA"/>
              </w:rPr>
              <w:alias w:val="合同编号"/>
              <w:tag w:val="合同编号"/>
              <w:id w:val="147475674"/>
              <w:placeholder>
                <w:docPart w:val="{54239052-6158-4e38-8436-146c90bb09f3}"/>
              </w:placeholder>
              <w:text/>
            </w:sdtPr>
            <w:sdtEndPr>
              <w:rPr>
                <w:rFonts w:hint="eastAsia" w:ascii="宋体" w:hAnsi="宋体" w:eastAsia="宋体" w:cs="宋体-18030"/>
                <w:color w:val="auto"/>
                <w:kern w:val="2"/>
                <w:sz w:val="32"/>
                <w:szCs w:val="32"/>
                <w:u w:val="single"/>
                <w:lang w:val="en-US" w:eastAsia="zh-CN" w:bidi="ar-SA"/>
              </w:rPr>
            </w:sdtEndPr>
            <w:sdtContent>
              <w:p w14:paraId="3531C087">
                <w:pPr>
                  <w:spacing w:line="240" w:lineRule="atLeast"/>
                </w:pPr>
                <w:r>
                  <w:rPr>
                    <w:rFonts w:hint="eastAsia" w:ascii="宋体" w:hAnsi="宋体" w:eastAsia="宋体" w:cs="宋体-18030"/>
                    <w:color w:val="auto"/>
                    <w:sz w:val="32"/>
                    <w:szCs w:val="32"/>
                    <w:u w:val="single"/>
                  </w:rPr>
                  <w:t xml:space="preserve">                               </w:t>
                </w:r>
              </w:p>
            </w:sdtContent>
          </w:sdt>
        </w:tc>
      </w:tr>
      <w:tr w14:paraId="1EB191D1">
        <w:tblPrEx>
          <w:tblCellMar>
            <w:top w:w="0" w:type="dxa"/>
            <w:left w:w="108" w:type="dxa"/>
            <w:bottom w:w="0" w:type="dxa"/>
            <w:right w:w="108" w:type="dxa"/>
          </w:tblCellMar>
        </w:tblPrEx>
        <w:trPr>
          <w:trHeight w:val="569" w:hRule="atLeast"/>
          <w:jc w:val="center"/>
        </w:trPr>
        <w:tc>
          <w:tcPr>
            <w:tcW w:w="1696" w:type="dxa"/>
            <w:noWrap w:val="0"/>
            <w:vAlign w:val="center"/>
          </w:tcPr>
          <w:p w14:paraId="0435ECEC">
            <w:pPr>
              <w:spacing w:line="240" w:lineRule="atLeast"/>
              <w:rPr>
                <w:rFonts w:ascii="黑体" w:hAnsi="宋体" w:eastAsia="黑体" w:cs="宋体-18030"/>
                <w:color w:val="auto"/>
                <w:sz w:val="28"/>
                <w:szCs w:val="28"/>
                <w:highlight w:val="none"/>
              </w:rPr>
            </w:pPr>
            <w:r>
              <w:rPr>
                <w:rFonts w:hint="eastAsia" w:ascii="黑体" w:hAnsi="宋体" w:eastAsia="黑体" w:cs="宋体-18030"/>
                <w:color w:val="auto"/>
                <w:sz w:val="32"/>
                <w:szCs w:val="32"/>
                <w:highlight w:val="none"/>
              </w:rPr>
              <w:t>签订地点：</w:t>
            </w:r>
          </w:p>
        </w:tc>
        <w:tc>
          <w:tcPr>
            <w:tcW w:w="6101" w:type="dxa"/>
            <w:noWrap w:val="0"/>
            <w:vAlign w:val="center"/>
          </w:tcPr>
          <w:p w14:paraId="195499BD">
            <w:pPr>
              <w:spacing w:line="240" w:lineRule="atLeast"/>
              <w:rPr>
                <w:rFonts w:ascii="黑体" w:eastAsia="黑体"/>
                <w:color w:val="auto"/>
                <w:sz w:val="28"/>
                <w:szCs w:val="28"/>
                <w:highlight w:val="none"/>
              </w:rPr>
            </w:pPr>
            <w:sdt>
              <w:sdtPr>
                <w:rPr>
                  <w:rFonts w:hint="eastAsia" w:ascii="宋体" w:hAnsi="宋体" w:eastAsia="宋体" w:cs="宋体"/>
                  <w:kern w:val="2"/>
                  <w:sz w:val="28"/>
                  <w:szCs w:val="36"/>
                  <w:u w:val="single"/>
                  <w:lang w:val="en-US" w:eastAsia="zh-CN" w:bidi="ar-SA"/>
                </w:rPr>
                <w:alias w:val="签约地点应当具体明确。"/>
                <w:tag w:val="签约地点"/>
                <w:id w:val="147480141"/>
                <w:placeholder>
                  <w:docPart w:val="{323ba457-b4bb-4990-a593-c489fd87f0a5}"/>
                </w:placeholder>
                <w:text w:multiLine="1"/>
              </w:sdtPr>
              <w:sdtEndPr>
                <w:rPr>
                  <w:rFonts w:hint="eastAsia" w:ascii="宋体" w:hAnsi="宋体" w:eastAsia="宋体" w:cs="宋体"/>
                  <w:kern w:val="2"/>
                  <w:sz w:val="28"/>
                  <w:szCs w:val="36"/>
                  <w:u w:val="single"/>
                  <w:lang w:val="en-US" w:eastAsia="zh-CN" w:bidi="ar-SA"/>
                </w:rPr>
              </w:sdtEndPr>
              <w:sdtContent>
                <w:permStart w:id="1" w:edGrp="everyone"/>
                <w:r>
                  <w:rPr>
                    <w:rFonts w:hint="eastAsia" w:ascii="宋体" w:hAnsi="宋体" w:eastAsia="宋体" w:cs="宋体"/>
                    <w:kern w:val="2"/>
                    <w:sz w:val="28"/>
                    <w:szCs w:val="36"/>
                    <w:u w:val="single"/>
                    <w:lang w:val="en-US" w:eastAsia="zh-CN" w:bidi="ar-SA"/>
                  </w:rPr>
                  <w:t xml:space="preserve">                                    </w:t>
                </w:r>
                <w:permEnd w:id="1"/>
              </w:sdtContent>
            </w:sdt>
          </w:p>
        </w:tc>
      </w:tr>
    </w:tbl>
    <w:p w14:paraId="47B73F97">
      <w:pPr>
        <w:spacing w:line="500" w:lineRule="exact"/>
        <w:jc w:val="center"/>
        <w:rPr>
          <w:rFonts w:ascii="黑体" w:hAnsi="宋体" w:eastAsia="黑体" w:cs="宋体-18030"/>
          <w:bCs/>
          <w:color w:val="auto"/>
          <w:sz w:val="28"/>
          <w:szCs w:val="28"/>
          <w:highlight w:val="none"/>
        </w:rPr>
      </w:pPr>
    </w:p>
    <w:p w14:paraId="2599E57F">
      <w:pPr>
        <w:spacing w:line="500" w:lineRule="exact"/>
        <w:jc w:val="center"/>
        <w:rPr>
          <w:rFonts w:ascii="黑体" w:hAnsi="宋体" w:eastAsia="黑体" w:cs="宋体-18030"/>
          <w:bCs/>
          <w:color w:val="auto"/>
          <w:sz w:val="28"/>
          <w:szCs w:val="28"/>
          <w:highlight w:val="none"/>
        </w:rPr>
      </w:pPr>
    </w:p>
    <w:p w14:paraId="69A96951">
      <w:pPr>
        <w:spacing w:line="500" w:lineRule="exact"/>
        <w:jc w:val="center"/>
        <w:rPr>
          <w:rFonts w:ascii="黑体" w:hAnsi="宋体" w:eastAsia="黑体" w:cs="宋体-18030"/>
          <w:bCs/>
          <w:color w:val="auto"/>
          <w:sz w:val="28"/>
          <w:szCs w:val="28"/>
          <w:highlight w:val="none"/>
        </w:rPr>
      </w:pPr>
    </w:p>
    <w:p w14:paraId="7FED95A7">
      <w:pPr>
        <w:spacing w:line="500" w:lineRule="exact"/>
        <w:jc w:val="center"/>
        <w:rPr>
          <w:rFonts w:ascii="黑体" w:hAnsi="宋体" w:eastAsia="黑体" w:cs="宋体-18030"/>
          <w:bCs/>
          <w:color w:val="auto"/>
          <w:sz w:val="28"/>
          <w:szCs w:val="28"/>
          <w:highlight w:val="none"/>
        </w:rPr>
      </w:pPr>
    </w:p>
    <w:p w14:paraId="70E7D369">
      <w:pPr>
        <w:spacing w:line="500" w:lineRule="exact"/>
        <w:rPr>
          <w:rFonts w:ascii="黑体" w:hAnsi="宋体" w:eastAsia="黑体" w:cs="宋体-18030"/>
          <w:bCs/>
          <w:color w:val="auto"/>
          <w:sz w:val="28"/>
          <w:szCs w:val="28"/>
          <w:highlight w:val="none"/>
        </w:rPr>
      </w:pPr>
    </w:p>
    <w:tbl>
      <w:tblPr>
        <w:tblStyle w:val="11"/>
        <w:tblW w:w="0" w:type="auto"/>
        <w:jc w:val="center"/>
        <w:tblLayout w:type="fixed"/>
        <w:tblCellMar>
          <w:top w:w="0" w:type="dxa"/>
          <w:left w:w="108" w:type="dxa"/>
          <w:bottom w:w="0" w:type="dxa"/>
          <w:right w:w="108" w:type="dxa"/>
        </w:tblCellMar>
      </w:tblPr>
      <w:tblGrid>
        <w:gridCol w:w="1770"/>
        <w:gridCol w:w="6022"/>
      </w:tblGrid>
      <w:tr w14:paraId="7ED2B76F">
        <w:tblPrEx>
          <w:tblCellMar>
            <w:top w:w="0" w:type="dxa"/>
            <w:left w:w="108" w:type="dxa"/>
            <w:bottom w:w="0" w:type="dxa"/>
            <w:right w:w="108" w:type="dxa"/>
          </w:tblCellMar>
        </w:tblPrEx>
        <w:trPr>
          <w:trHeight w:val="567" w:hRule="atLeast"/>
          <w:jc w:val="center"/>
        </w:trPr>
        <w:tc>
          <w:tcPr>
            <w:tcW w:w="1770" w:type="dxa"/>
            <w:noWrap w:val="0"/>
            <w:vAlign w:val="center"/>
          </w:tcPr>
          <w:p w14:paraId="63B0F328">
            <w:pPr>
              <w:spacing w:line="240" w:lineRule="atLeast"/>
              <w:rPr>
                <w:rFonts w:ascii="黑体" w:hAnsi="宋体" w:eastAsia="黑体" w:cs="宋体-18030"/>
                <w:color w:val="auto"/>
                <w:sz w:val="32"/>
                <w:szCs w:val="32"/>
                <w:highlight w:val="none"/>
              </w:rPr>
            </w:pPr>
            <w:r>
              <w:rPr>
                <w:rFonts w:hint="eastAsia" w:ascii="黑体" w:hAnsi="宋体" w:eastAsia="黑体" w:cs="宋体-18030"/>
                <w:color w:val="auto"/>
                <w:sz w:val="32"/>
                <w:szCs w:val="32"/>
                <w:highlight w:val="none"/>
              </w:rPr>
              <w:t xml:space="preserve">买 </w:t>
            </w:r>
            <w:r>
              <w:rPr>
                <w:rFonts w:ascii="黑体" w:hAnsi="宋体" w:eastAsia="黑体" w:cs="宋体-18030"/>
                <w:color w:val="auto"/>
                <w:sz w:val="32"/>
                <w:szCs w:val="32"/>
                <w:highlight w:val="none"/>
              </w:rPr>
              <w:t xml:space="preserve">  </w:t>
            </w:r>
            <w:r>
              <w:rPr>
                <w:rFonts w:hint="eastAsia" w:ascii="黑体" w:hAnsi="宋体" w:eastAsia="黑体" w:cs="宋体-18030"/>
                <w:color w:val="auto"/>
                <w:sz w:val="32"/>
                <w:szCs w:val="32"/>
                <w:highlight w:val="none"/>
              </w:rPr>
              <w:t xml:space="preserve"> 方：</w:t>
            </w:r>
          </w:p>
        </w:tc>
        <w:tc>
          <w:tcPr>
            <w:tcW w:w="6022" w:type="dxa"/>
            <w:noWrap w:val="0"/>
            <w:vAlign w:val="top"/>
          </w:tcPr>
          <w:p w14:paraId="70CCE789">
            <w:pPr>
              <w:spacing w:line="240" w:lineRule="atLeast"/>
              <w:rPr>
                <w:rFonts w:ascii="黑体" w:hAnsi="宋体" w:eastAsia="黑体" w:cs="宋体-18030"/>
                <w:color w:val="auto"/>
                <w:sz w:val="32"/>
                <w:szCs w:val="32"/>
                <w:highlight w:val="none"/>
                <w:u w:val="single"/>
              </w:rPr>
            </w:pPr>
            <w:sdt>
              <w:sdtPr>
                <w:rPr>
                  <w:rFonts w:hint="eastAsia" w:ascii="宋体" w:hAnsi="宋体" w:eastAsia="宋体" w:cs="宋体"/>
                  <w:kern w:val="2"/>
                  <w:sz w:val="32"/>
                  <w:szCs w:val="32"/>
                  <w:u w:val="single"/>
                  <w:lang w:val="en-US" w:eastAsia="zh-CN" w:bidi="ar-SA"/>
                </w:rPr>
                <w:alias w:val="甲方当事人全称"/>
                <w:tag w:val="甲方当事人全称"/>
                <w:id w:val="147474913"/>
                <w:placeholder>
                  <w:docPart w:val="{31b68f54-285b-43b6-ae2f-2def8d180765}"/>
                </w:placeholder>
                <w:text/>
              </w:sdtPr>
              <w:sdtEndPr>
                <w:rPr>
                  <w:rFonts w:hint="eastAsia" w:ascii="宋体" w:hAnsi="宋体" w:eastAsia="宋体" w:cs="宋体"/>
                  <w:kern w:val="2"/>
                  <w:sz w:val="32"/>
                  <w:szCs w:val="32"/>
                  <w:u w:val="single"/>
                  <w:lang w:val="en-US" w:eastAsia="zh-CN" w:bidi="ar-SA"/>
                </w:rPr>
              </w:sdtEndPr>
              <w:sdtContent>
                <w:permStart w:id="2" w:edGrp="everyone"/>
                <w:r>
                  <w:rPr>
                    <w:rFonts w:hint="eastAsia" w:ascii="宋体" w:hAnsi="宋体" w:eastAsia="宋体" w:cs="宋体"/>
                    <w:sz w:val="32"/>
                    <w:szCs w:val="32"/>
                    <w:u w:val="single"/>
                    <w:lang w:val="en-US" w:eastAsia="zh-CN"/>
                  </w:rPr>
                  <w:t xml:space="preserve">                               </w:t>
                </w:r>
                <w:permEnd w:id="2"/>
              </w:sdtContent>
            </w:sdt>
          </w:p>
        </w:tc>
      </w:tr>
      <w:tr w14:paraId="42EFC7B2">
        <w:tblPrEx>
          <w:tblCellMar>
            <w:top w:w="0" w:type="dxa"/>
            <w:left w:w="108" w:type="dxa"/>
            <w:bottom w:w="0" w:type="dxa"/>
            <w:right w:w="108" w:type="dxa"/>
          </w:tblCellMar>
        </w:tblPrEx>
        <w:trPr>
          <w:trHeight w:val="90" w:hRule="atLeast"/>
          <w:jc w:val="center"/>
        </w:trPr>
        <w:tc>
          <w:tcPr>
            <w:tcW w:w="1770" w:type="dxa"/>
            <w:noWrap w:val="0"/>
            <w:vAlign w:val="center"/>
          </w:tcPr>
          <w:p w14:paraId="732415C7">
            <w:pPr>
              <w:spacing w:line="240" w:lineRule="atLeast"/>
              <w:rPr>
                <w:rFonts w:ascii="黑体" w:hAnsi="宋体" w:eastAsia="黑体" w:cs="宋体-18030"/>
                <w:color w:val="auto"/>
                <w:sz w:val="32"/>
                <w:szCs w:val="32"/>
                <w:highlight w:val="none"/>
              </w:rPr>
            </w:pPr>
            <w:r>
              <w:rPr>
                <w:rFonts w:hint="eastAsia" w:ascii="黑体" w:hAnsi="宋体" w:eastAsia="黑体" w:cs="宋体-18030"/>
                <w:color w:val="auto"/>
                <w:sz w:val="32"/>
                <w:szCs w:val="32"/>
                <w:highlight w:val="none"/>
              </w:rPr>
              <w:t xml:space="preserve">卖 </w:t>
            </w:r>
            <w:r>
              <w:rPr>
                <w:rFonts w:ascii="黑体" w:hAnsi="宋体" w:eastAsia="黑体" w:cs="宋体-18030"/>
                <w:color w:val="auto"/>
                <w:sz w:val="32"/>
                <w:szCs w:val="32"/>
                <w:highlight w:val="none"/>
              </w:rPr>
              <w:t xml:space="preserve">  </w:t>
            </w:r>
            <w:r>
              <w:rPr>
                <w:rFonts w:hint="eastAsia" w:ascii="黑体" w:hAnsi="宋体" w:eastAsia="黑体" w:cs="宋体-18030"/>
                <w:color w:val="auto"/>
                <w:sz w:val="32"/>
                <w:szCs w:val="32"/>
                <w:highlight w:val="none"/>
              </w:rPr>
              <w:t xml:space="preserve"> 方：</w:t>
            </w:r>
          </w:p>
        </w:tc>
        <w:tc>
          <w:tcPr>
            <w:tcW w:w="6022" w:type="dxa"/>
            <w:noWrap w:val="0"/>
            <w:vAlign w:val="top"/>
          </w:tcPr>
          <w:p w14:paraId="082B6BB2">
            <w:pPr>
              <w:spacing w:line="240" w:lineRule="atLeast"/>
              <w:rPr>
                <w:rFonts w:ascii="黑体" w:hAnsi="宋体" w:eastAsia="黑体" w:cs="宋体-18030"/>
                <w:color w:val="auto"/>
                <w:sz w:val="32"/>
                <w:szCs w:val="32"/>
                <w:highlight w:val="none"/>
              </w:rPr>
            </w:pPr>
            <w:sdt>
              <w:sdtPr>
                <w:rPr>
                  <w:rFonts w:hint="eastAsia" w:ascii="宋体" w:hAnsi="宋体" w:eastAsia="宋体" w:cs="宋体"/>
                  <w:kern w:val="2"/>
                  <w:sz w:val="32"/>
                  <w:szCs w:val="32"/>
                  <w:lang w:val="en-US" w:eastAsia="zh-CN" w:bidi="ar-SA"/>
                </w:rPr>
                <w:alias w:val="乙方当事人全称"/>
                <w:tag w:val="乙方当事人全称"/>
                <w:id w:val="147472829"/>
                <w:placeholder>
                  <w:docPart w:val="{c6506333-0e21-43f1-ac21-556f59db0329}"/>
                </w:placeholder>
                <w:text/>
              </w:sdtPr>
              <w:sdtEndPr>
                <w:rPr>
                  <w:rFonts w:hint="eastAsia" w:ascii="宋体" w:hAnsi="宋体" w:eastAsia="宋体" w:cs="宋体"/>
                  <w:kern w:val="2"/>
                  <w:sz w:val="32"/>
                  <w:szCs w:val="32"/>
                  <w:u w:val="single"/>
                  <w:lang w:val="en-US" w:eastAsia="zh-CN" w:bidi="ar-SA"/>
                </w:rPr>
              </w:sdtEndPr>
              <w:sdtContent>
                <w:permStart w:id="3" w:edGrp="everyone"/>
                <w:r>
                  <w:rPr>
                    <w:rFonts w:hint="eastAsia" w:ascii="宋体" w:hAnsi="宋体" w:eastAsia="宋体" w:cs="宋体"/>
                    <w:sz w:val="32"/>
                    <w:szCs w:val="32"/>
                    <w:u w:val="single"/>
                    <w:lang w:val="en-US" w:eastAsia="zh-CN"/>
                  </w:rPr>
                  <w:t xml:space="preserve">                               </w:t>
                </w:r>
                <w:permEnd w:id="3"/>
              </w:sdtContent>
            </w:sdt>
          </w:p>
        </w:tc>
      </w:tr>
      <w:tr w14:paraId="1C043107">
        <w:tblPrEx>
          <w:tblCellMar>
            <w:top w:w="0" w:type="dxa"/>
            <w:left w:w="108" w:type="dxa"/>
            <w:bottom w:w="0" w:type="dxa"/>
            <w:right w:w="108" w:type="dxa"/>
          </w:tblCellMar>
        </w:tblPrEx>
        <w:trPr>
          <w:trHeight w:val="567" w:hRule="atLeast"/>
          <w:jc w:val="center"/>
        </w:trPr>
        <w:tc>
          <w:tcPr>
            <w:tcW w:w="1770" w:type="dxa"/>
            <w:noWrap w:val="0"/>
            <w:vAlign w:val="center"/>
          </w:tcPr>
          <w:p w14:paraId="7F421A37">
            <w:pPr>
              <w:spacing w:line="240" w:lineRule="atLeast"/>
              <w:rPr>
                <w:rFonts w:ascii="黑体" w:hAnsi="宋体" w:eastAsia="黑体" w:cs="宋体-18030"/>
                <w:color w:val="auto"/>
                <w:sz w:val="32"/>
                <w:szCs w:val="32"/>
                <w:highlight w:val="none"/>
              </w:rPr>
            </w:pPr>
            <w:r>
              <w:rPr>
                <w:rFonts w:hint="eastAsia" w:ascii="黑体" w:hAnsi="宋体" w:eastAsia="黑体" w:cs="宋体-18030"/>
                <w:color w:val="auto"/>
                <w:sz w:val="32"/>
                <w:szCs w:val="32"/>
                <w:highlight w:val="none"/>
              </w:rPr>
              <w:t>结算单位：</w:t>
            </w:r>
          </w:p>
        </w:tc>
        <w:tc>
          <w:tcPr>
            <w:tcW w:w="6022" w:type="dxa"/>
            <w:noWrap w:val="0"/>
            <w:vAlign w:val="top"/>
          </w:tcPr>
          <w:p w14:paraId="62C49274">
            <w:pPr>
              <w:spacing w:line="240" w:lineRule="atLeast"/>
              <w:rPr>
                <w:rFonts w:ascii="黑体" w:hAnsi="宋体" w:eastAsia="黑体" w:cs="宋体-18030"/>
                <w:color w:val="auto"/>
                <w:sz w:val="32"/>
                <w:szCs w:val="32"/>
                <w:highlight w:val="none"/>
              </w:rPr>
            </w:pPr>
            <w:permStart w:id="4" w:edGrp="everyone"/>
            <w:r>
              <w:rPr>
                <w:rFonts w:hint="eastAsia" w:ascii="黑体" w:hAnsi="宋体" w:eastAsia="黑体" w:cs="宋体-18030"/>
                <w:color w:val="auto"/>
                <w:sz w:val="32"/>
                <w:szCs w:val="32"/>
                <w:highlight w:val="none"/>
                <w:u w:val="single"/>
              </w:rPr>
              <w:t xml:space="preserve">                               </w:t>
            </w:r>
            <w:permEnd w:id="4"/>
          </w:p>
        </w:tc>
      </w:tr>
      <w:tr w14:paraId="6C091E7E">
        <w:tblPrEx>
          <w:tblCellMar>
            <w:top w:w="0" w:type="dxa"/>
            <w:left w:w="108" w:type="dxa"/>
            <w:bottom w:w="0" w:type="dxa"/>
            <w:right w:w="108" w:type="dxa"/>
          </w:tblCellMar>
        </w:tblPrEx>
        <w:trPr>
          <w:trHeight w:val="567" w:hRule="atLeast"/>
          <w:jc w:val="center"/>
        </w:trPr>
        <w:tc>
          <w:tcPr>
            <w:tcW w:w="1770" w:type="dxa"/>
            <w:noWrap w:val="0"/>
            <w:vAlign w:val="center"/>
          </w:tcPr>
          <w:p w14:paraId="7C293315">
            <w:pPr>
              <w:spacing w:line="240" w:lineRule="atLeast"/>
              <w:rPr>
                <w:rFonts w:ascii="黑体" w:hAnsi="宋体" w:eastAsia="黑体" w:cs="宋体-18030"/>
                <w:color w:val="auto"/>
                <w:sz w:val="32"/>
                <w:szCs w:val="32"/>
                <w:highlight w:val="none"/>
              </w:rPr>
            </w:pPr>
            <w:r>
              <w:rPr>
                <w:rFonts w:hint="eastAsia" w:ascii="黑体" w:hAnsi="宋体" w:eastAsia="黑体" w:cs="宋体-18030"/>
                <w:color w:val="auto"/>
                <w:sz w:val="32"/>
                <w:szCs w:val="32"/>
                <w:highlight w:val="none"/>
              </w:rPr>
              <w:t>收货单位：</w:t>
            </w:r>
          </w:p>
        </w:tc>
        <w:tc>
          <w:tcPr>
            <w:tcW w:w="6022" w:type="dxa"/>
            <w:noWrap w:val="0"/>
            <w:vAlign w:val="top"/>
          </w:tcPr>
          <w:p w14:paraId="5D53AA79">
            <w:pPr>
              <w:spacing w:line="240" w:lineRule="atLeast"/>
              <w:rPr>
                <w:rFonts w:ascii="黑体" w:hAnsi="宋体" w:eastAsia="黑体" w:cs="宋体-18030"/>
                <w:color w:val="auto"/>
                <w:sz w:val="32"/>
                <w:szCs w:val="32"/>
                <w:highlight w:val="none"/>
              </w:rPr>
            </w:pPr>
            <w:permStart w:id="5" w:edGrp="everyone"/>
            <w:r>
              <w:rPr>
                <w:rFonts w:hint="eastAsia" w:ascii="黑体" w:hAnsi="宋体" w:eastAsia="黑体" w:cs="宋体-18030"/>
                <w:color w:val="auto"/>
                <w:sz w:val="32"/>
                <w:szCs w:val="32"/>
                <w:highlight w:val="none"/>
                <w:u w:val="single"/>
              </w:rPr>
              <w:t xml:space="preserve">                               </w:t>
            </w:r>
            <w:permEnd w:id="5"/>
          </w:p>
        </w:tc>
      </w:tr>
    </w:tbl>
    <w:p w14:paraId="610E00D7">
      <w:pPr>
        <w:topLinePunct/>
        <w:adjustRightInd w:val="0"/>
        <w:snapToGrid w:val="0"/>
        <w:spacing w:line="360" w:lineRule="auto"/>
        <w:jc w:val="left"/>
        <w:rPr>
          <w:rFonts w:ascii="宋体" w:hAnsi="宋体" w:eastAsia="宋体" w:cs="Arial Unicode MS"/>
          <w:color w:val="auto"/>
          <w:kern w:val="0"/>
          <w:szCs w:val="21"/>
          <w:highlight w:val="none"/>
        </w:rPr>
      </w:pPr>
    </w:p>
    <w:p w14:paraId="3120B746">
      <w:pPr>
        <w:topLinePunct/>
        <w:adjustRightInd w:val="0"/>
        <w:snapToGrid w:val="0"/>
        <w:spacing w:line="360" w:lineRule="auto"/>
        <w:jc w:val="left"/>
        <w:rPr>
          <w:rFonts w:ascii="宋体" w:hAnsi="宋体" w:eastAsia="宋体" w:cs="Arial Unicode MS"/>
          <w:color w:val="auto"/>
          <w:kern w:val="0"/>
          <w:szCs w:val="21"/>
          <w:highlight w:val="none"/>
        </w:rPr>
        <w:sectPr>
          <w:headerReference r:id="rId4" w:type="first"/>
          <w:headerReference r:id="rId3" w:type="default"/>
          <w:footerReference r:id="rId5" w:type="default"/>
          <w:pgSz w:w="11906" w:h="16838"/>
          <w:pgMar w:top="1440" w:right="1800" w:bottom="1440" w:left="1800" w:header="851" w:footer="992" w:gutter="0"/>
          <w:cols w:space="720" w:num="1"/>
          <w:titlePg/>
          <w:docGrid w:type="lines" w:linePitch="312" w:charSpace="0"/>
        </w:sectPr>
      </w:pPr>
    </w:p>
    <w:p w14:paraId="34840D17">
      <w:pPr>
        <w:pStyle w:val="15"/>
        <w:spacing w:before="0" w:line="240" w:lineRule="auto"/>
        <w:jc w:val="center"/>
        <w:rPr>
          <w:rFonts w:ascii="宋体" w:hAnsi="宋体" w:eastAsia="宋体"/>
          <w:b/>
          <w:color w:val="auto"/>
          <w:sz w:val="28"/>
          <w:szCs w:val="28"/>
          <w:highlight w:val="none"/>
        </w:rPr>
      </w:pPr>
      <w:bookmarkStart w:id="1" w:name="_Toc5653"/>
      <w:r>
        <w:rPr>
          <w:rFonts w:ascii="宋体" w:hAnsi="宋体" w:eastAsia="宋体"/>
          <w:b/>
          <w:color w:val="auto"/>
          <w:sz w:val="28"/>
          <w:szCs w:val="28"/>
          <w:highlight w:val="none"/>
          <w:lang w:val="zh-CN"/>
        </w:rPr>
        <w:t>目</w:t>
      </w:r>
      <w:r>
        <w:rPr>
          <w:rFonts w:hint="eastAsia" w:ascii="宋体" w:hAnsi="宋体" w:eastAsia="宋体"/>
          <w:b/>
          <w:color w:val="auto"/>
          <w:sz w:val="28"/>
          <w:szCs w:val="28"/>
          <w:highlight w:val="none"/>
          <w:lang w:val="zh-CN"/>
        </w:rPr>
        <w:t xml:space="preserve">  </w:t>
      </w:r>
      <w:r>
        <w:rPr>
          <w:rFonts w:ascii="宋体" w:hAnsi="宋体" w:eastAsia="宋体"/>
          <w:b/>
          <w:color w:val="auto"/>
          <w:sz w:val="28"/>
          <w:szCs w:val="28"/>
          <w:highlight w:val="none"/>
          <w:lang w:val="zh-CN"/>
        </w:rPr>
        <w:t>录</w:t>
      </w:r>
      <w:bookmarkEnd w:id="1"/>
    </w:p>
    <w:p w14:paraId="6E2B56A5">
      <w:pPr>
        <w:pStyle w:val="9"/>
        <w:tabs>
          <w:tab w:val="right" w:leader="dot" w:pos="8306"/>
        </w:tabs>
        <w:rPr>
          <w:color w:val="auto"/>
        </w:rPr>
      </w:pPr>
      <w:permStart w:id="6" w:edGrp="everyone"/>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TOC \o "1-3" \h \z \u </w:instrText>
      </w:r>
      <w:r>
        <w:rPr>
          <w:rFonts w:ascii="宋体" w:hAnsi="宋体" w:eastAsia="宋体"/>
          <w:color w:val="auto"/>
          <w:szCs w:val="21"/>
          <w:highlight w:val="none"/>
        </w:rPr>
        <w:fldChar w:fldCharType="separate"/>
      </w: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_Toc3299 </w:instrText>
      </w:r>
      <w:r>
        <w:rPr>
          <w:rFonts w:ascii="宋体" w:hAnsi="宋体" w:eastAsia="宋体"/>
          <w:bCs/>
          <w:color w:val="auto"/>
          <w:szCs w:val="21"/>
          <w:highlight w:val="none"/>
          <w:lang w:val="zh-CN"/>
        </w:rPr>
        <w:fldChar w:fldCharType="separate"/>
      </w:r>
      <w:r>
        <w:rPr>
          <w:rFonts w:hint="eastAsia" w:ascii="宋体" w:hAnsi="宋体" w:eastAsia="宋体" w:cs="Arial Unicode MS"/>
          <w:color w:val="auto"/>
          <w:kern w:val="0"/>
          <w:highlight w:val="none"/>
        </w:rPr>
        <w:t>第一节 合同协议书</w:t>
      </w:r>
      <w:r>
        <w:rPr>
          <w:color w:val="auto"/>
        </w:rPr>
        <w:tab/>
      </w:r>
      <w:r>
        <w:rPr>
          <w:color w:val="auto"/>
        </w:rPr>
        <w:fldChar w:fldCharType="begin"/>
      </w:r>
      <w:r>
        <w:rPr>
          <w:color w:val="auto"/>
        </w:rPr>
        <w:instrText xml:space="preserve"> PAGEREF _Toc3299 \h </w:instrText>
      </w:r>
      <w:r>
        <w:rPr>
          <w:color w:val="auto"/>
        </w:rPr>
        <w:fldChar w:fldCharType="separate"/>
      </w:r>
      <w:r>
        <w:rPr>
          <w:color w:val="auto"/>
        </w:rPr>
        <w:t>5</w:t>
      </w:r>
      <w:r>
        <w:rPr>
          <w:color w:val="auto"/>
        </w:rPr>
        <w:fldChar w:fldCharType="end"/>
      </w:r>
      <w:r>
        <w:rPr>
          <w:rFonts w:ascii="宋体" w:hAnsi="宋体" w:eastAsia="宋体"/>
          <w:bCs/>
          <w:color w:val="auto"/>
          <w:szCs w:val="21"/>
          <w:highlight w:val="none"/>
          <w:lang w:val="zh-CN"/>
        </w:rPr>
        <w:fldChar w:fldCharType="end"/>
      </w:r>
    </w:p>
    <w:p w14:paraId="44C43F82">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_Toc18078 </w:instrText>
      </w:r>
      <w:r>
        <w:rPr>
          <w:rFonts w:ascii="宋体" w:hAnsi="宋体" w:eastAsia="宋体"/>
          <w:bCs/>
          <w:color w:val="auto"/>
          <w:szCs w:val="21"/>
          <w:highlight w:val="none"/>
          <w:lang w:val="zh-CN"/>
        </w:rPr>
        <w:fldChar w:fldCharType="separate"/>
      </w:r>
      <w:r>
        <w:rPr>
          <w:rFonts w:ascii="宋体" w:hAnsi="宋体" w:eastAsia="宋体"/>
          <w:color w:val="auto"/>
          <w:kern w:val="0"/>
          <w:highlight w:val="none"/>
        </w:rPr>
        <w:t>第</w:t>
      </w:r>
      <w:r>
        <w:rPr>
          <w:rFonts w:hint="eastAsia" w:ascii="宋体" w:hAnsi="宋体" w:eastAsia="宋体"/>
          <w:color w:val="auto"/>
          <w:kern w:val="0"/>
          <w:highlight w:val="none"/>
        </w:rPr>
        <w:t>二</w:t>
      </w:r>
      <w:r>
        <w:rPr>
          <w:rFonts w:ascii="宋体" w:hAnsi="宋体" w:eastAsia="宋体"/>
          <w:color w:val="auto"/>
          <w:kern w:val="0"/>
          <w:highlight w:val="none"/>
        </w:rPr>
        <w:t>节</w:t>
      </w:r>
      <w:r>
        <w:rPr>
          <w:rFonts w:hint="eastAsia" w:ascii="宋体" w:hAnsi="宋体" w:eastAsia="宋体"/>
          <w:color w:val="auto"/>
          <w:kern w:val="0"/>
          <w:highlight w:val="none"/>
        </w:rPr>
        <w:t xml:space="preserve"> </w:t>
      </w:r>
      <w:r>
        <w:rPr>
          <w:rFonts w:ascii="宋体" w:hAnsi="宋体" w:eastAsia="宋体"/>
          <w:color w:val="auto"/>
          <w:kern w:val="0"/>
          <w:highlight w:val="none"/>
        </w:rPr>
        <w:t>通用合同条款</w:t>
      </w:r>
      <w:r>
        <w:rPr>
          <w:color w:val="auto"/>
        </w:rPr>
        <w:tab/>
      </w:r>
      <w:r>
        <w:rPr>
          <w:color w:val="auto"/>
        </w:rPr>
        <w:fldChar w:fldCharType="begin"/>
      </w:r>
      <w:r>
        <w:rPr>
          <w:color w:val="auto"/>
        </w:rPr>
        <w:instrText xml:space="preserve"> PAGEREF _Toc18078 \h </w:instrText>
      </w:r>
      <w:r>
        <w:rPr>
          <w:color w:val="auto"/>
        </w:rPr>
        <w:fldChar w:fldCharType="separate"/>
      </w:r>
      <w:r>
        <w:rPr>
          <w:color w:val="auto"/>
        </w:rPr>
        <w:t>7</w:t>
      </w:r>
      <w:r>
        <w:rPr>
          <w:color w:val="auto"/>
        </w:rPr>
        <w:fldChar w:fldCharType="end"/>
      </w:r>
      <w:r>
        <w:rPr>
          <w:rFonts w:ascii="宋体" w:hAnsi="宋体" w:eastAsia="宋体"/>
          <w:bCs/>
          <w:color w:val="auto"/>
          <w:szCs w:val="21"/>
          <w:highlight w:val="none"/>
          <w:lang w:val="zh-CN"/>
        </w:rPr>
        <w:fldChar w:fldCharType="end"/>
      </w:r>
    </w:p>
    <w:p w14:paraId="0A480E05">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_Toc20323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 </w:t>
      </w:r>
      <w:r>
        <w:rPr>
          <w:rFonts w:hint="eastAsia" w:ascii="宋体" w:hAnsi="宋体" w:eastAsia="宋体" w:cs="黑体"/>
          <w:color w:val="auto"/>
          <w:kern w:val="0"/>
          <w:szCs w:val="21"/>
          <w:highlight w:val="none"/>
        </w:rPr>
        <w:t>一般约定</w:t>
      </w:r>
      <w:r>
        <w:rPr>
          <w:color w:val="auto"/>
        </w:rPr>
        <w:tab/>
      </w:r>
      <w:r>
        <w:rPr>
          <w:color w:val="auto"/>
        </w:rPr>
        <w:fldChar w:fldCharType="begin"/>
      </w:r>
      <w:r>
        <w:rPr>
          <w:color w:val="auto"/>
        </w:rPr>
        <w:instrText xml:space="preserve"> PAGEREF _Toc20323 \h </w:instrText>
      </w:r>
      <w:r>
        <w:rPr>
          <w:color w:val="auto"/>
        </w:rPr>
        <w:fldChar w:fldCharType="separate"/>
      </w:r>
      <w:r>
        <w:rPr>
          <w:color w:val="auto"/>
        </w:rPr>
        <w:t>7</w:t>
      </w:r>
      <w:r>
        <w:rPr>
          <w:color w:val="auto"/>
        </w:rPr>
        <w:fldChar w:fldCharType="end"/>
      </w:r>
      <w:r>
        <w:rPr>
          <w:rFonts w:ascii="宋体" w:hAnsi="宋体" w:eastAsia="宋体"/>
          <w:bCs/>
          <w:color w:val="auto"/>
          <w:szCs w:val="21"/>
          <w:highlight w:val="none"/>
          <w:lang w:val="zh-CN"/>
        </w:rPr>
        <w:fldChar w:fldCharType="end"/>
      </w:r>
    </w:p>
    <w:p w14:paraId="17C1F5CC">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_Toc3365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1.1 </w:t>
      </w:r>
      <w:r>
        <w:rPr>
          <w:rFonts w:hint="eastAsia" w:ascii="宋体" w:hAnsi="宋体" w:eastAsia="宋体" w:cs="黑体"/>
          <w:color w:val="auto"/>
          <w:kern w:val="0"/>
          <w:szCs w:val="21"/>
          <w:highlight w:val="none"/>
        </w:rPr>
        <w:t>词语定义</w:t>
      </w:r>
      <w:r>
        <w:rPr>
          <w:color w:val="auto"/>
        </w:rPr>
        <w:tab/>
      </w:r>
      <w:r>
        <w:rPr>
          <w:color w:val="auto"/>
        </w:rPr>
        <w:fldChar w:fldCharType="begin"/>
      </w:r>
      <w:r>
        <w:rPr>
          <w:color w:val="auto"/>
        </w:rPr>
        <w:instrText xml:space="preserve"> PAGEREF _Toc3365 \h </w:instrText>
      </w:r>
      <w:r>
        <w:rPr>
          <w:color w:val="auto"/>
        </w:rPr>
        <w:fldChar w:fldCharType="separate"/>
      </w:r>
      <w:r>
        <w:rPr>
          <w:color w:val="auto"/>
        </w:rPr>
        <w:t>7</w:t>
      </w:r>
      <w:r>
        <w:rPr>
          <w:color w:val="auto"/>
        </w:rPr>
        <w:fldChar w:fldCharType="end"/>
      </w:r>
      <w:r>
        <w:rPr>
          <w:rFonts w:ascii="宋体" w:hAnsi="宋体" w:eastAsia="宋体"/>
          <w:bCs/>
          <w:color w:val="auto"/>
          <w:szCs w:val="21"/>
          <w:highlight w:val="none"/>
          <w:lang w:val="zh-CN"/>
        </w:rPr>
        <w:fldChar w:fldCharType="end"/>
      </w:r>
    </w:p>
    <w:p w14:paraId="73BE5336">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_Toc7650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8"/>
          <w:highlight w:val="none"/>
        </w:rPr>
        <w:t xml:space="preserve">1.2 </w:t>
      </w:r>
      <w:r>
        <w:rPr>
          <w:rFonts w:hint="eastAsia" w:ascii="宋体" w:hAnsi="宋体" w:eastAsia="宋体" w:cs="黑体"/>
          <w:color w:val="auto"/>
          <w:kern w:val="0"/>
          <w:szCs w:val="28"/>
          <w:highlight w:val="none"/>
        </w:rPr>
        <w:t>语言文字</w:t>
      </w:r>
      <w:r>
        <w:rPr>
          <w:color w:val="auto"/>
        </w:rPr>
        <w:tab/>
      </w:r>
      <w:r>
        <w:rPr>
          <w:color w:val="auto"/>
        </w:rPr>
        <w:fldChar w:fldCharType="begin"/>
      </w:r>
      <w:r>
        <w:rPr>
          <w:color w:val="auto"/>
        </w:rPr>
        <w:instrText xml:space="preserve"> PAGEREF _Toc7650 \h </w:instrText>
      </w:r>
      <w:r>
        <w:rPr>
          <w:color w:val="auto"/>
        </w:rPr>
        <w:fldChar w:fldCharType="separate"/>
      </w:r>
      <w:r>
        <w:rPr>
          <w:color w:val="auto"/>
        </w:rPr>
        <w:t>8</w:t>
      </w:r>
      <w:r>
        <w:rPr>
          <w:color w:val="auto"/>
        </w:rPr>
        <w:fldChar w:fldCharType="end"/>
      </w:r>
      <w:r>
        <w:rPr>
          <w:rFonts w:ascii="宋体" w:hAnsi="宋体" w:eastAsia="宋体"/>
          <w:bCs/>
          <w:color w:val="auto"/>
          <w:szCs w:val="21"/>
          <w:highlight w:val="none"/>
          <w:lang w:val="zh-CN"/>
        </w:rPr>
        <w:fldChar w:fldCharType="end"/>
      </w:r>
    </w:p>
    <w:p w14:paraId="3D8BC7A2">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_Toc22287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1.3 </w:t>
      </w:r>
      <w:r>
        <w:rPr>
          <w:rFonts w:hint="eastAsia" w:ascii="宋体" w:hAnsi="宋体" w:eastAsia="宋体" w:cs="黑体"/>
          <w:color w:val="auto"/>
          <w:kern w:val="0"/>
          <w:szCs w:val="28"/>
          <w:highlight w:val="none"/>
        </w:rPr>
        <w:t>合同文件的优先顺序</w:t>
      </w:r>
      <w:r>
        <w:rPr>
          <w:color w:val="auto"/>
        </w:rPr>
        <w:tab/>
      </w:r>
      <w:r>
        <w:rPr>
          <w:color w:val="auto"/>
        </w:rPr>
        <w:fldChar w:fldCharType="begin"/>
      </w:r>
      <w:r>
        <w:rPr>
          <w:color w:val="auto"/>
        </w:rPr>
        <w:instrText xml:space="preserve"> PAGEREF _Toc22287 \h </w:instrText>
      </w:r>
      <w:r>
        <w:rPr>
          <w:color w:val="auto"/>
        </w:rPr>
        <w:fldChar w:fldCharType="separate"/>
      </w:r>
      <w:r>
        <w:rPr>
          <w:color w:val="auto"/>
        </w:rPr>
        <w:t>8</w:t>
      </w:r>
      <w:r>
        <w:rPr>
          <w:color w:val="auto"/>
        </w:rPr>
        <w:fldChar w:fldCharType="end"/>
      </w:r>
      <w:r>
        <w:rPr>
          <w:rFonts w:ascii="宋体" w:hAnsi="宋体" w:eastAsia="宋体"/>
          <w:bCs/>
          <w:color w:val="auto"/>
          <w:szCs w:val="21"/>
          <w:highlight w:val="none"/>
          <w:lang w:val="zh-CN"/>
        </w:rPr>
        <w:fldChar w:fldCharType="end"/>
      </w:r>
    </w:p>
    <w:p w14:paraId="4220FC71">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_Toc19721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1.4 </w:t>
      </w:r>
      <w:r>
        <w:rPr>
          <w:rFonts w:hint="eastAsia" w:ascii="宋体" w:hAnsi="宋体" w:eastAsia="宋体" w:cs="黑体"/>
          <w:color w:val="auto"/>
          <w:kern w:val="0"/>
          <w:szCs w:val="28"/>
          <w:highlight w:val="none"/>
        </w:rPr>
        <w:t>合同的生效及变更</w:t>
      </w:r>
      <w:r>
        <w:rPr>
          <w:color w:val="auto"/>
        </w:rPr>
        <w:tab/>
      </w:r>
      <w:r>
        <w:rPr>
          <w:color w:val="auto"/>
        </w:rPr>
        <w:fldChar w:fldCharType="begin"/>
      </w:r>
      <w:r>
        <w:rPr>
          <w:color w:val="auto"/>
        </w:rPr>
        <w:instrText xml:space="preserve"> PAGEREF _Toc19721 \h </w:instrText>
      </w:r>
      <w:r>
        <w:rPr>
          <w:color w:val="auto"/>
        </w:rPr>
        <w:fldChar w:fldCharType="separate"/>
      </w:r>
      <w:r>
        <w:rPr>
          <w:color w:val="auto"/>
        </w:rPr>
        <w:t>9</w:t>
      </w:r>
      <w:r>
        <w:rPr>
          <w:color w:val="auto"/>
        </w:rPr>
        <w:fldChar w:fldCharType="end"/>
      </w:r>
      <w:r>
        <w:rPr>
          <w:rFonts w:ascii="宋体" w:hAnsi="宋体" w:eastAsia="宋体"/>
          <w:bCs/>
          <w:color w:val="auto"/>
          <w:szCs w:val="21"/>
          <w:highlight w:val="none"/>
          <w:lang w:val="zh-CN"/>
        </w:rPr>
        <w:fldChar w:fldCharType="end"/>
      </w:r>
    </w:p>
    <w:p w14:paraId="6515110B">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_Toc7051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1.5 </w:t>
      </w:r>
      <w:r>
        <w:rPr>
          <w:rFonts w:hint="eastAsia" w:ascii="宋体" w:hAnsi="宋体" w:eastAsia="宋体" w:cs="黑体"/>
          <w:color w:val="auto"/>
          <w:kern w:val="0"/>
          <w:szCs w:val="28"/>
          <w:highlight w:val="none"/>
        </w:rPr>
        <w:t>联络</w:t>
      </w:r>
      <w:r>
        <w:rPr>
          <w:color w:val="auto"/>
        </w:rPr>
        <w:tab/>
      </w:r>
      <w:r>
        <w:rPr>
          <w:color w:val="auto"/>
        </w:rPr>
        <w:fldChar w:fldCharType="begin"/>
      </w:r>
      <w:r>
        <w:rPr>
          <w:color w:val="auto"/>
        </w:rPr>
        <w:instrText xml:space="preserve"> PAGEREF _Toc7051 \h </w:instrText>
      </w:r>
      <w:r>
        <w:rPr>
          <w:color w:val="auto"/>
        </w:rPr>
        <w:fldChar w:fldCharType="separate"/>
      </w:r>
      <w:r>
        <w:rPr>
          <w:color w:val="auto"/>
        </w:rPr>
        <w:t>9</w:t>
      </w:r>
      <w:r>
        <w:rPr>
          <w:color w:val="auto"/>
        </w:rPr>
        <w:fldChar w:fldCharType="end"/>
      </w:r>
      <w:r>
        <w:rPr>
          <w:rFonts w:ascii="宋体" w:hAnsi="宋体" w:eastAsia="宋体"/>
          <w:bCs/>
          <w:color w:val="auto"/>
          <w:szCs w:val="21"/>
          <w:highlight w:val="none"/>
          <w:lang w:val="zh-CN"/>
        </w:rPr>
        <w:fldChar w:fldCharType="end"/>
      </w:r>
    </w:p>
    <w:p w14:paraId="6BED3909">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_Toc8168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1.6 </w:t>
      </w:r>
      <w:r>
        <w:rPr>
          <w:rFonts w:hint="eastAsia" w:ascii="宋体" w:hAnsi="宋体" w:eastAsia="宋体" w:cs="黑体"/>
          <w:color w:val="auto"/>
          <w:kern w:val="0"/>
          <w:szCs w:val="28"/>
          <w:highlight w:val="none"/>
        </w:rPr>
        <w:t>联合体</w:t>
      </w:r>
      <w:r>
        <w:rPr>
          <w:color w:val="auto"/>
        </w:rPr>
        <w:tab/>
      </w:r>
      <w:r>
        <w:rPr>
          <w:color w:val="auto"/>
        </w:rPr>
        <w:fldChar w:fldCharType="begin"/>
      </w:r>
      <w:r>
        <w:rPr>
          <w:color w:val="auto"/>
        </w:rPr>
        <w:instrText xml:space="preserve"> PAGEREF _Toc8168 \h </w:instrText>
      </w:r>
      <w:r>
        <w:rPr>
          <w:color w:val="auto"/>
        </w:rPr>
        <w:fldChar w:fldCharType="separate"/>
      </w:r>
      <w:r>
        <w:rPr>
          <w:color w:val="auto"/>
        </w:rPr>
        <w:t>9</w:t>
      </w:r>
      <w:r>
        <w:rPr>
          <w:color w:val="auto"/>
        </w:rPr>
        <w:fldChar w:fldCharType="end"/>
      </w:r>
      <w:r>
        <w:rPr>
          <w:rFonts w:ascii="宋体" w:hAnsi="宋体" w:eastAsia="宋体"/>
          <w:bCs/>
          <w:color w:val="auto"/>
          <w:szCs w:val="21"/>
          <w:highlight w:val="none"/>
          <w:lang w:val="zh-CN"/>
        </w:rPr>
        <w:fldChar w:fldCharType="end"/>
      </w:r>
    </w:p>
    <w:p w14:paraId="4B42AFCA">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_Toc32661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1.7 </w:t>
      </w:r>
      <w:r>
        <w:rPr>
          <w:rFonts w:hint="eastAsia" w:ascii="宋体" w:hAnsi="宋体" w:eastAsia="宋体" w:cs="黑体"/>
          <w:color w:val="auto"/>
          <w:kern w:val="0"/>
          <w:szCs w:val="28"/>
          <w:highlight w:val="none"/>
        </w:rPr>
        <w:t>转让</w:t>
      </w:r>
      <w:r>
        <w:rPr>
          <w:color w:val="auto"/>
        </w:rPr>
        <w:tab/>
      </w:r>
      <w:r>
        <w:rPr>
          <w:color w:val="auto"/>
        </w:rPr>
        <w:fldChar w:fldCharType="begin"/>
      </w:r>
      <w:r>
        <w:rPr>
          <w:color w:val="auto"/>
        </w:rPr>
        <w:instrText xml:space="preserve"> PAGEREF _Toc32661 \h </w:instrText>
      </w:r>
      <w:r>
        <w:rPr>
          <w:color w:val="auto"/>
        </w:rPr>
        <w:fldChar w:fldCharType="separate"/>
      </w:r>
      <w:r>
        <w:rPr>
          <w:color w:val="auto"/>
        </w:rPr>
        <w:t>10</w:t>
      </w:r>
      <w:r>
        <w:rPr>
          <w:color w:val="auto"/>
        </w:rPr>
        <w:fldChar w:fldCharType="end"/>
      </w:r>
      <w:r>
        <w:rPr>
          <w:rFonts w:ascii="宋体" w:hAnsi="宋体" w:eastAsia="宋体"/>
          <w:bCs/>
          <w:color w:val="auto"/>
          <w:szCs w:val="21"/>
          <w:highlight w:val="none"/>
          <w:lang w:val="zh-CN"/>
        </w:rPr>
        <w:fldChar w:fldCharType="end"/>
      </w:r>
    </w:p>
    <w:p w14:paraId="0CAB7D4B">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_Toc9461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2. </w:t>
      </w:r>
      <w:r>
        <w:rPr>
          <w:rFonts w:hint="eastAsia" w:ascii="宋体" w:hAnsi="宋体" w:eastAsia="宋体" w:cs="Times New Roman"/>
          <w:color w:val="auto"/>
          <w:kern w:val="0"/>
          <w:szCs w:val="21"/>
          <w:highlight w:val="none"/>
        </w:rPr>
        <w:t>合同范围</w:t>
      </w:r>
      <w:r>
        <w:rPr>
          <w:color w:val="auto"/>
        </w:rPr>
        <w:tab/>
      </w:r>
      <w:r>
        <w:rPr>
          <w:color w:val="auto"/>
        </w:rPr>
        <w:fldChar w:fldCharType="begin"/>
      </w:r>
      <w:r>
        <w:rPr>
          <w:color w:val="auto"/>
        </w:rPr>
        <w:instrText xml:space="preserve"> PAGEREF _Toc9461 \h </w:instrText>
      </w:r>
      <w:r>
        <w:rPr>
          <w:color w:val="auto"/>
        </w:rPr>
        <w:fldChar w:fldCharType="separate"/>
      </w:r>
      <w:r>
        <w:rPr>
          <w:color w:val="auto"/>
        </w:rPr>
        <w:t>10</w:t>
      </w:r>
      <w:r>
        <w:rPr>
          <w:color w:val="auto"/>
        </w:rPr>
        <w:fldChar w:fldCharType="end"/>
      </w:r>
      <w:r>
        <w:rPr>
          <w:rFonts w:ascii="宋体" w:hAnsi="宋体" w:eastAsia="宋体"/>
          <w:bCs/>
          <w:color w:val="auto"/>
          <w:szCs w:val="21"/>
          <w:highlight w:val="none"/>
          <w:lang w:val="zh-CN"/>
        </w:rPr>
        <w:fldChar w:fldCharType="end"/>
      </w:r>
    </w:p>
    <w:p w14:paraId="782C2973">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_Toc1935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3. </w:t>
      </w:r>
      <w:r>
        <w:rPr>
          <w:rFonts w:hint="eastAsia" w:ascii="宋体" w:hAnsi="宋体" w:eastAsia="宋体" w:cs="Times New Roman"/>
          <w:color w:val="auto"/>
          <w:kern w:val="0"/>
          <w:szCs w:val="21"/>
          <w:highlight w:val="none"/>
        </w:rPr>
        <w:t>合同价格与支付</w:t>
      </w:r>
      <w:r>
        <w:rPr>
          <w:color w:val="auto"/>
        </w:rPr>
        <w:tab/>
      </w:r>
      <w:r>
        <w:rPr>
          <w:color w:val="auto"/>
        </w:rPr>
        <w:fldChar w:fldCharType="begin"/>
      </w:r>
      <w:r>
        <w:rPr>
          <w:color w:val="auto"/>
        </w:rPr>
        <w:instrText xml:space="preserve"> PAGEREF _Toc1935 \h </w:instrText>
      </w:r>
      <w:r>
        <w:rPr>
          <w:color w:val="auto"/>
        </w:rPr>
        <w:fldChar w:fldCharType="separate"/>
      </w:r>
      <w:r>
        <w:rPr>
          <w:color w:val="auto"/>
        </w:rPr>
        <w:t>10</w:t>
      </w:r>
      <w:r>
        <w:rPr>
          <w:color w:val="auto"/>
        </w:rPr>
        <w:fldChar w:fldCharType="end"/>
      </w:r>
      <w:r>
        <w:rPr>
          <w:rFonts w:ascii="宋体" w:hAnsi="宋体" w:eastAsia="宋体"/>
          <w:bCs/>
          <w:color w:val="auto"/>
          <w:szCs w:val="21"/>
          <w:highlight w:val="none"/>
          <w:lang w:val="zh-CN"/>
        </w:rPr>
        <w:fldChar w:fldCharType="end"/>
      </w:r>
    </w:p>
    <w:p w14:paraId="118A6CB5">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_Toc18369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3.1 </w:t>
      </w:r>
      <w:r>
        <w:rPr>
          <w:rFonts w:hint="eastAsia" w:ascii="宋体" w:hAnsi="宋体" w:eastAsia="宋体" w:cs="黑体"/>
          <w:color w:val="auto"/>
          <w:kern w:val="0"/>
          <w:szCs w:val="28"/>
          <w:highlight w:val="none"/>
        </w:rPr>
        <w:t>合同价格</w:t>
      </w:r>
      <w:r>
        <w:rPr>
          <w:color w:val="auto"/>
        </w:rPr>
        <w:tab/>
      </w:r>
      <w:r>
        <w:rPr>
          <w:color w:val="auto"/>
        </w:rPr>
        <w:fldChar w:fldCharType="begin"/>
      </w:r>
      <w:r>
        <w:rPr>
          <w:color w:val="auto"/>
        </w:rPr>
        <w:instrText xml:space="preserve"> PAGEREF _Toc18369 \h </w:instrText>
      </w:r>
      <w:r>
        <w:rPr>
          <w:color w:val="auto"/>
        </w:rPr>
        <w:fldChar w:fldCharType="separate"/>
      </w:r>
      <w:r>
        <w:rPr>
          <w:color w:val="auto"/>
        </w:rPr>
        <w:t>10</w:t>
      </w:r>
      <w:r>
        <w:rPr>
          <w:color w:val="auto"/>
        </w:rPr>
        <w:fldChar w:fldCharType="end"/>
      </w:r>
      <w:r>
        <w:rPr>
          <w:rFonts w:ascii="宋体" w:hAnsi="宋体" w:eastAsia="宋体"/>
          <w:bCs/>
          <w:color w:val="auto"/>
          <w:szCs w:val="21"/>
          <w:highlight w:val="none"/>
          <w:lang w:val="zh-CN"/>
        </w:rPr>
        <w:fldChar w:fldCharType="end"/>
      </w:r>
    </w:p>
    <w:p w14:paraId="44487C8D">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_Toc28312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3.2 </w:t>
      </w:r>
      <w:r>
        <w:rPr>
          <w:rFonts w:hint="eastAsia" w:ascii="宋体" w:hAnsi="宋体" w:eastAsia="宋体" w:cs="黑体"/>
          <w:color w:val="auto"/>
          <w:kern w:val="0"/>
          <w:szCs w:val="28"/>
          <w:highlight w:val="none"/>
        </w:rPr>
        <w:t>合同价款的支付</w:t>
      </w:r>
      <w:r>
        <w:rPr>
          <w:color w:val="auto"/>
        </w:rPr>
        <w:tab/>
      </w:r>
      <w:r>
        <w:rPr>
          <w:color w:val="auto"/>
        </w:rPr>
        <w:fldChar w:fldCharType="begin"/>
      </w:r>
      <w:r>
        <w:rPr>
          <w:color w:val="auto"/>
        </w:rPr>
        <w:instrText xml:space="preserve"> PAGEREF _Toc28312 \h </w:instrText>
      </w:r>
      <w:r>
        <w:rPr>
          <w:color w:val="auto"/>
        </w:rPr>
        <w:fldChar w:fldCharType="separate"/>
      </w:r>
      <w:r>
        <w:rPr>
          <w:color w:val="auto"/>
        </w:rPr>
        <w:t>10</w:t>
      </w:r>
      <w:r>
        <w:rPr>
          <w:color w:val="auto"/>
        </w:rPr>
        <w:fldChar w:fldCharType="end"/>
      </w:r>
      <w:r>
        <w:rPr>
          <w:rFonts w:ascii="宋体" w:hAnsi="宋体" w:eastAsia="宋体"/>
          <w:bCs/>
          <w:color w:val="auto"/>
          <w:szCs w:val="21"/>
          <w:highlight w:val="none"/>
          <w:lang w:val="zh-CN"/>
        </w:rPr>
        <w:fldChar w:fldCharType="end"/>
      </w:r>
    </w:p>
    <w:p w14:paraId="10FE1A61">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_Toc9596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3.3 </w:t>
      </w:r>
      <w:r>
        <w:rPr>
          <w:rFonts w:hint="eastAsia" w:ascii="宋体" w:hAnsi="宋体" w:eastAsia="宋体" w:cs="黑体"/>
          <w:color w:val="auto"/>
          <w:kern w:val="0"/>
          <w:szCs w:val="28"/>
          <w:highlight w:val="none"/>
        </w:rPr>
        <w:t>买方扣款的权利</w:t>
      </w:r>
      <w:r>
        <w:rPr>
          <w:color w:val="auto"/>
        </w:rPr>
        <w:tab/>
      </w:r>
      <w:r>
        <w:rPr>
          <w:color w:val="auto"/>
        </w:rPr>
        <w:fldChar w:fldCharType="begin"/>
      </w:r>
      <w:r>
        <w:rPr>
          <w:color w:val="auto"/>
        </w:rPr>
        <w:instrText xml:space="preserve"> PAGEREF _Toc9596 \h </w:instrText>
      </w:r>
      <w:r>
        <w:rPr>
          <w:color w:val="auto"/>
        </w:rPr>
        <w:fldChar w:fldCharType="separate"/>
      </w:r>
      <w:r>
        <w:rPr>
          <w:color w:val="auto"/>
        </w:rPr>
        <w:t>11</w:t>
      </w:r>
      <w:r>
        <w:rPr>
          <w:color w:val="auto"/>
        </w:rPr>
        <w:fldChar w:fldCharType="end"/>
      </w:r>
      <w:r>
        <w:rPr>
          <w:rFonts w:ascii="宋体" w:hAnsi="宋体" w:eastAsia="宋体"/>
          <w:bCs/>
          <w:color w:val="auto"/>
          <w:szCs w:val="21"/>
          <w:highlight w:val="none"/>
          <w:lang w:val="zh-CN"/>
        </w:rPr>
        <w:fldChar w:fldCharType="end"/>
      </w:r>
    </w:p>
    <w:p w14:paraId="15E85306">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_Toc6531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4. </w:t>
      </w:r>
      <w:r>
        <w:rPr>
          <w:rFonts w:hint="eastAsia" w:ascii="宋体" w:hAnsi="宋体" w:eastAsia="宋体" w:cs="Times New Roman"/>
          <w:color w:val="auto"/>
          <w:kern w:val="0"/>
          <w:szCs w:val="21"/>
          <w:highlight w:val="none"/>
        </w:rPr>
        <w:t>监造及交货前检验</w:t>
      </w:r>
      <w:r>
        <w:rPr>
          <w:color w:val="auto"/>
        </w:rPr>
        <w:tab/>
      </w:r>
      <w:r>
        <w:rPr>
          <w:color w:val="auto"/>
        </w:rPr>
        <w:fldChar w:fldCharType="begin"/>
      </w:r>
      <w:r>
        <w:rPr>
          <w:color w:val="auto"/>
        </w:rPr>
        <w:instrText xml:space="preserve"> PAGEREF _Toc6531 \h </w:instrText>
      </w:r>
      <w:r>
        <w:rPr>
          <w:color w:val="auto"/>
        </w:rPr>
        <w:fldChar w:fldCharType="separate"/>
      </w:r>
      <w:r>
        <w:rPr>
          <w:color w:val="auto"/>
        </w:rPr>
        <w:t>11</w:t>
      </w:r>
      <w:r>
        <w:rPr>
          <w:color w:val="auto"/>
        </w:rPr>
        <w:fldChar w:fldCharType="end"/>
      </w:r>
      <w:r>
        <w:rPr>
          <w:rFonts w:ascii="宋体" w:hAnsi="宋体" w:eastAsia="宋体"/>
          <w:bCs/>
          <w:color w:val="auto"/>
          <w:szCs w:val="21"/>
          <w:highlight w:val="none"/>
          <w:lang w:val="zh-CN"/>
        </w:rPr>
        <w:fldChar w:fldCharType="end"/>
      </w:r>
    </w:p>
    <w:p w14:paraId="7F114993">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_Toc25223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4.1 </w:t>
      </w:r>
      <w:r>
        <w:rPr>
          <w:rFonts w:hint="eastAsia" w:ascii="宋体" w:hAnsi="宋体" w:eastAsia="宋体" w:cs="黑体"/>
          <w:color w:val="auto"/>
          <w:kern w:val="0"/>
          <w:szCs w:val="28"/>
          <w:highlight w:val="none"/>
        </w:rPr>
        <w:t>监造</w:t>
      </w:r>
      <w:r>
        <w:rPr>
          <w:color w:val="auto"/>
        </w:rPr>
        <w:tab/>
      </w:r>
      <w:r>
        <w:rPr>
          <w:color w:val="auto"/>
        </w:rPr>
        <w:fldChar w:fldCharType="begin"/>
      </w:r>
      <w:r>
        <w:rPr>
          <w:color w:val="auto"/>
        </w:rPr>
        <w:instrText xml:space="preserve"> PAGEREF _Toc25223 \h </w:instrText>
      </w:r>
      <w:r>
        <w:rPr>
          <w:color w:val="auto"/>
        </w:rPr>
        <w:fldChar w:fldCharType="separate"/>
      </w:r>
      <w:r>
        <w:rPr>
          <w:color w:val="auto"/>
        </w:rPr>
        <w:t>11</w:t>
      </w:r>
      <w:r>
        <w:rPr>
          <w:color w:val="auto"/>
        </w:rPr>
        <w:fldChar w:fldCharType="end"/>
      </w:r>
      <w:r>
        <w:rPr>
          <w:rFonts w:ascii="宋体" w:hAnsi="宋体" w:eastAsia="宋体"/>
          <w:bCs/>
          <w:color w:val="auto"/>
          <w:szCs w:val="21"/>
          <w:highlight w:val="none"/>
          <w:lang w:val="zh-CN"/>
        </w:rPr>
        <w:fldChar w:fldCharType="end"/>
      </w:r>
    </w:p>
    <w:p w14:paraId="6A742C51">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_Toc2718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4.2 </w:t>
      </w:r>
      <w:r>
        <w:rPr>
          <w:rFonts w:hint="eastAsia" w:ascii="宋体" w:hAnsi="宋体" w:eastAsia="宋体" w:cs="黑体"/>
          <w:color w:val="auto"/>
          <w:kern w:val="0"/>
          <w:szCs w:val="28"/>
          <w:highlight w:val="none"/>
        </w:rPr>
        <w:t>交货前检验</w:t>
      </w:r>
      <w:r>
        <w:rPr>
          <w:color w:val="auto"/>
        </w:rPr>
        <w:tab/>
      </w:r>
      <w:r>
        <w:rPr>
          <w:color w:val="auto"/>
        </w:rPr>
        <w:fldChar w:fldCharType="begin"/>
      </w:r>
      <w:r>
        <w:rPr>
          <w:color w:val="auto"/>
        </w:rPr>
        <w:instrText xml:space="preserve"> PAGEREF _Toc2718 \h </w:instrText>
      </w:r>
      <w:r>
        <w:rPr>
          <w:color w:val="auto"/>
        </w:rPr>
        <w:fldChar w:fldCharType="separate"/>
      </w:r>
      <w:r>
        <w:rPr>
          <w:color w:val="auto"/>
        </w:rPr>
        <w:t>11</w:t>
      </w:r>
      <w:r>
        <w:rPr>
          <w:color w:val="auto"/>
        </w:rPr>
        <w:fldChar w:fldCharType="end"/>
      </w:r>
      <w:r>
        <w:rPr>
          <w:rFonts w:ascii="宋体" w:hAnsi="宋体" w:eastAsia="宋体"/>
          <w:bCs/>
          <w:color w:val="auto"/>
          <w:szCs w:val="21"/>
          <w:highlight w:val="none"/>
          <w:lang w:val="zh-CN"/>
        </w:rPr>
        <w:fldChar w:fldCharType="end"/>
      </w:r>
    </w:p>
    <w:p w14:paraId="3EF3204D">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_Toc29089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5. </w:t>
      </w:r>
      <w:r>
        <w:rPr>
          <w:rFonts w:hint="eastAsia" w:ascii="宋体" w:hAnsi="宋体" w:eastAsia="宋体" w:cs="Times New Roman"/>
          <w:color w:val="auto"/>
          <w:kern w:val="0"/>
          <w:szCs w:val="21"/>
          <w:highlight w:val="none"/>
        </w:rPr>
        <w:t>包装、标记、运输和交付</w:t>
      </w:r>
      <w:r>
        <w:rPr>
          <w:color w:val="auto"/>
        </w:rPr>
        <w:tab/>
      </w:r>
      <w:r>
        <w:rPr>
          <w:color w:val="auto"/>
        </w:rPr>
        <w:fldChar w:fldCharType="begin"/>
      </w:r>
      <w:r>
        <w:rPr>
          <w:color w:val="auto"/>
        </w:rPr>
        <w:instrText xml:space="preserve"> PAGEREF _Toc29089 \h </w:instrText>
      </w:r>
      <w:r>
        <w:rPr>
          <w:color w:val="auto"/>
        </w:rPr>
        <w:fldChar w:fldCharType="separate"/>
      </w:r>
      <w:r>
        <w:rPr>
          <w:color w:val="auto"/>
        </w:rPr>
        <w:t>12</w:t>
      </w:r>
      <w:r>
        <w:rPr>
          <w:color w:val="auto"/>
        </w:rPr>
        <w:fldChar w:fldCharType="end"/>
      </w:r>
      <w:r>
        <w:rPr>
          <w:rFonts w:ascii="宋体" w:hAnsi="宋体" w:eastAsia="宋体"/>
          <w:bCs/>
          <w:color w:val="auto"/>
          <w:szCs w:val="21"/>
          <w:highlight w:val="none"/>
          <w:lang w:val="zh-CN"/>
        </w:rPr>
        <w:fldChar w:fldCharType="end"/>
      </w:r>
    </w:p>
    <w:p w14:paraId="75AF9039">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_Toc9391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5.1 </w:t>
      </w:r>
      <w:r>
        <w:rPr>
          <w:rFonts w:hint="eastAsia" w:ascii="宋体" w:hAnsi="宋体" w:eastAsia="宋体" w:cs="黑体"/>
          <w:color w:val="auto"/>
          <w:kern w:val="0"/>
          <w:szCs w:val="28"/>
          <w:highlight w:val="none"/>
        </w:rPr>
        <w:t>包装</w:t>
      </w:r>
      <w:r>
        <w:rPr>
          <w:color w:val="auto"/>
        </w:rPr>
        <w:tab/>
      </w:r>
      <w:r>
        <w:rPr>
          <w:color w:val="auto"/>
        </w:rPr>
        <w:fldChar w:fldCharType="begin"/>
      </w:r>
      <w:r>
        <w:rPr>
          <w:color w:val="auto"/>
        </w:rPr>
        <w:instrText xml:space="preserve"> PAGEREF _Toc9391 \h </w:instrText>
      </w:r>
      <w:r>
        <w:rPr>
          <w:color w:val="auto"/>
        </w:rPr>
        <w:fldChar w:fldCharType="separate"/>
      </w:r>
      <w:r>
        <w:rPr>
          <w:color w:val="auto"/>
        </w:rPr>
        <w:t>12</w:t>
      </w:r>
      <w:r>
        <w:rPr>
          <w:color w:val="auto"/>
        </w:rPr>
        <w:fldChar w:fldCharType="end"/>
      </w:r>
      <w:r>
        <w:rPr>
          <w:rFonts w:ascii="宋体" w:hAnsi="宋体" w:eastAsia="宋体"/>
          <w:bCs/>
          <w:color w:val="auto"/>
          <w:szCs w:val="21"/>
          <w:highlight w:val="none"/>
          <w:lang w:val="zh-CN"/>
        </w:rPr>
        <w:fldChar w:fldCharType="end"/>
      </w:r>
    </w:p>
    <w:p w14:paraId="3E45A183">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_Toc371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5.2 </w:t>
      </w:r>
      <w:r>
        <w:rPr>
          <w:rFonts w:hint="eastAsia" w:ascii="宋体" w:hAnsi="宋体" w:eastAsia="宋体" w:cs="黑体"/>
          <w:color w:val="auto"/>
          <w:kern w:val="0"/>
          <w:szCs w:val="28"/>
          <w:highlight w:val="none"/>
        </w:rPr>
        <w:t>标记</w:t>
      </w:r>
      <w:r>
        <w:rPr>
          <w:color w:val="auto"/>
        </w:rPr>
        <w:tab/>
      </w:r>
      <w:r>
        <w:rPr>
          <w:color w:val="auto"/>
        </w:rPr>
        <w:fldChar w:fldCharType="begin"/>
      </w:r>
      <w:r>
        <w:rPr>
          <w:color w:val="auto"/>
        </w:rPr>
        <w:instrText xml:space="preserve"> PAGEREF _Toc371 \h </w:instrText>
      </w:r>
      <w:r>
        <w:rPr>
          <w:color w:val="auto"/>
        </w:rPr>
        <w:fldChar w:fldCharType="separate"/>
      </w:r>
      <w:r>
        <w:rPr>
          <w:color w:val="auto"/>
        </w:rPr>
        <w:t>12</w:t>
      </w:r>
      <w:r>
        <w:rPr>
          <w:color w:val="auto"/>
        </w:rPr>
        <w:fldChar w:fldCharType="end"/>
      </w:r>
      <w:r>
        <w:rPr>
          <w:rFonts w:ascii="宋体" w:hAnsi="宋体" w:eastAsia="宋体"/>
          <w:bCs/>
          <w:color w:val="auto"/>
          <w:szCs w:val="21"/>
          <w:highlight w:val="none"/>
          <w:lang w:val="zh-CN"/>
        </w:rPr>
        <w:fldChar w:fldCharType="end"/>
      </w:r>
    </w:p>
    <w:p w14:paraId="616DCEC7">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_Toc16074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5.3 </w:t>
      </w:r>
      <w:r>
        <w:rPr>
          <w:rFonts w:hint="eastAsia" w:ascii="宋体" w:hAnsi="宋体" w:eastAsia="宋体" w:cs="黑体"/>
          <w:color w:val="auto"/>
          <w:kern w:val="0"/>
          <w:szCs w:val="28"/>
          <w:highlight w:val="none"/>
        </w:rPr>
        <w:t>运输</w:t>
      </w:r>
      <w:r>
        <w:rPr>
          <w:color w:val="auto"/>
        </w:rPr>
        <w:tab/>
      </w:r>
      <w:r>
        <w:rPr>
          <w:color w:val="auto"/>
        </w:rPr>
        <w:fldChar w:fldCharType="begin"/>
      </w:r>
      <w:r>
        <w:rPr>
          <w:color w:val="auto"/>
        </w:rPr>
        <w:instrText xml:space="preserve"> PAGEREF _Toc16074 \h </w:instrText>
      </w:r>
      <w:r>
        <w:rPr>
          <w:color w:val="auto"/>
        </w:rPr>
        <w:fldChar w:fldCharType="separate"/>
      </w:r>
      <w:r>
        <w:rPr>
          <w:color w:val="auto"/>
        </w:rPr>
        <w:t>12</w:t>
      </w:r>
      <w:r>
        <w:rPr>
          <w:color w:val="auto"/>
        </w:rPr>
        <w:fldChar w:fldCharType="end"/>
      </w:r>
      <w:r>
        <w:rPr>
          <w:rFonts w:ascii="宋体" w:hAnsi="宋体" w:eastAsia="宋体"/>
          <w:bCs/>
          <w:color w:val="auto"/>
          <w:szCs w:val="21"/>
          <w:highlight w:val="none"/>
          <w:lang w:val="zh-CN"/>
        </w:rPr>
        <w:fldChar w:fldCharType="end"/>
      </w:r>
    </w:p>
    <w:p w14:paraId="4E0F0583">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_Toc11145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5.4 </w:t>
      </w:r>
      <w:r>
        <w:rPr>
          <w:rFonts w:hint="eastAsia" w:ascii="宋体" w:hAnsi="宋体" w:eastAsia="宋体" w:cs="黑体"/>
          <w:color w:val="auto"/>
          <w:kern w:val="0"/>
          <w:szCs w:val="28"/>
          <w:highlight w:val="none"/>
        </w:rPr>
        <w:t>交付</w:t>
      </w:r>
      <w:r>
        <w:rPr>
          <w:color w:val="auto"/>
        </w:rPr>
        <w:tab/>
      </w:r>
      <w:r>
        <w:rPr>
          <w:color w:val="auto"/>
        </w:rPr>
        <w:fldChar w:fldCharType="begin"/>
      </w:r>
      <w:r>
        <w:rPr>
          <w:color w:val="auto"/>
        </w:rPr>
        <w:instrText xml:space="preserve"> PAGEREF _Toc11145 \h </w:instrText>
      </w:r>
      <w:r>
        <w:rPr>
          <w:color w:val="auto"/>
        </w:rPr>
        <w:fldChar w:fldCharType="separate"/>
      </w:r>
      <w:r>
        <w:rPr>
          <w:color w:val="auto"/>
        </w:rPr>
        <w:t>13</w:t>
      </w:r>
      <w:r>
        <w:rPr>
          <w:color w:val="auto"/>
        </w:rPr>
        <w:fldChar w:fldCharType="end"/>
      </w:r>
      <w:r>
        <w:rPr>
          <w:rFonts w:ascii="宋体" w:hAnsi="宋体" w:eastAsia="宋体"/>
          <w:bCs/>
          <w:color w:val="auto"/>
          <w:szCs w:val="21"/>
          <w:highlight w:val="none"/>
          <w:lang w:val="zh-CN"/>
        </w:rPr>
        <w:fldChar w:fldCharType="end"/>
      </w:r>
    </w:p>
    <w:p w14:paraId="515D3B08">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_Toc22515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6. </w:t>
      </w:r>
      <w:r>
        <w:rPr>
          <w:rFonts w:hint="eastAsia" w:ascii="宋体" w:hAnsi="宋体" w:eastAsia="宋体" w:cs="Times New Roman"/>
          <w:color w:val="auto"/>
          <w:kern w:val="0"/>
          <w:szCs w:val="21"/>
          <w:highlight w:val="none"/>
        </w:rPr>
        <w:t>开箱检验、安装、调试、考核、验收</w:t>
      </w:r>
      <w:r>
        <w:rPr>
          <w:color w:val="auto"/>
        </w:rPr>
        <w:tab/>
      </w:r>
      <w:r>
        <w:rPr>
          <w:color w:val="auto"/>
        </w:rPr>
        <w:fldChar w:fldCharType="begin"/>
      </w:r>
      <w:r>
        <w:rPr>
          <w:color w:val="auto"/>
        </w:rPr>
        <w:instrText xml:space="preserve"> PAGEREF _Toc22515 \h </w:instrText>
      </w:r>
      <w:r>
        <w:rPr>
          <w:color w:val="auto"/>
        </w:rPr>
        <w:fldChar w:fldCharType="separate"/>
      </w:r>
      <w:r>
        <w:rPr>
          <w:color w:val="auto"/>
        </w:rPr>
        <w:t>13</w:t>
      </w:r>
      <w:r>
        <w:rPr>
          <w:color w:val="auto"/>
        </w:rPr>
        <w:fldChar w:fldCharType="end"/>
      </w:r>
      <w:r>
        <w:rPr>
          <w:rFonts w:ascii="宋体" w:hAnsi="宋体" w:eastAsia="宋体"/>
          <w:bCs/>
          <w:color w:val="auto"/>
          <w:szCs w:val="21"/>
          <w:highlight w:val="none"/>
          <w:lang w:val="zh-CN"/>
        </w:rPr>
        <w:fldChar w:fldCharType="end"/>
      </w:r>
    </w:p>
    <w:p w14:paraId="737B8FF0">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_Toc6132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6.1 开箱检验</w:t>
      </w:r>
      <w:r>
        <w:rPr>
          <w:color w:val="auto"/>
        </w:rPr>
        <w:tab/>
      </w:r>
      <w:r>
        <w:rPr>
          <w:color w:val="auto"/>
        </w:rPr>
        <w:fldChar w:fldCharType="begin"/>
      </w:r>
      <w:r>
        <w:rPr>
          <w:color w:val="auto"/>
        </w:rPr>
        <w:instrText xml:space="preserve"> PAGEREF _Toc6132 \h </w:instrText>
      </w:r>
      <w:r>
        <w:rPr>
          <w:color w:val="auto"/>
        </w:rPr>
        <w:fldChar w:fldCharType="separate"/>
      </w:r>
      <w:r>
        <w:rPr>
          <w:color w:val="auto"/>
        </w:rPr>
        <w:t>13</w:t>
      </w:r>
      <w:r>
        <w:rPr>
          <w:color w:val="auto"/>
        </w:rPr>
        <w:fldChar w:fldCharType="end"/>
      </w:r>
      <w:r>
        <w:rPr>
          <w:rFonts w:ascii="宋体" w:hAnsi="宋体" w:eastAsia="宋体"/>
          <w:bCs/>
          <w:color w:val="auto"/>
          <w:szCs w:val="21"/>
          <w:highlight w:val="none"/>
          <w:lang w:val="zh-CN"/>
        </w:rPr>
        <w:fldChar w:fldCharType="end"/>
      </w:r>
    </w:p>
    <w:p w14:paraId="44B920C9">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_Toc28835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6.2 </w:t>
      </w:r>
      <w:r>
        <w:rPr>
          <w:rFonts w:hint="eastAsia" w:ascii="宋体" w:hAnsi="宋体" w:eastAsia="宋体" w:cs="黑体"/>
          <w:color w:val="auto"/>
          <w:kern w:val="0"/>
          <w:szCs w:val="28"/>
          <w:highlight w:val="none"/>
        </w:rPr>
        <w:t>安装、调试</w:t>
      </w:r>
      <w:r>
        <w:rPr>
          <w:color w:val="auto"/>
        </w:rPr>
        <w:tab/>
      </w:r>
      <w:r>
        <w:rPr>
          <w:color w:val="auto"/>
        </w:rPr>
        <w:fldChar w:fldCharType="begin"/>
      </w:r>
      <w:r>
        <w:rPr>
          <w:color w:val="auto"/>
        </w:rPr>
        <w:instrText xml:space="preserve"> PAGEREF _Toc28835 \h </w:instrText>
      </w:r>
      <w:r>
        <w:rPr>
          <w:color w:val="auto"/>
        </w:rPr>
        <w:fldChar w:fldCharType="separate"/>
      </w:r>
      <w:r>
        <w:rPr>
          <w:color w:val="auto"/>
        </w:rPr>
        <w:t>14</w:t>
      </w:r>
      <w:r>
        <w:rPr>
          <w:color w:val="auto"/>
        </w:rPr>
        <w:fldChar w:fldCharType="end"/>
      </w:r>
      <w:r>
        <w:rPr>
          <w:rFonts w:ascii="宋体" w:hAnsi="宋体" w:eastAsia="宋体"/>
          <w:bCs/>
          <w:color w:val="auto"/>
          <w:szCs w:val="21"/>
          <w:highlight w:val="none"/>
          <w:lang w:val="zh-CN"/>
        </w:rPr>
        <w:fldChar w:fldCharType="end"/>
      </w:r>
    </w:p>
    <w:p w14:paraId="67AB6071">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_Toc9007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6.3 </w:t>
      </w:r>
      <w:r>
        <w:rPr>
          <w:rFonts w:hint="eastAsia" w:ascii="宋体" w:hAnsi="宋体" w:eastAsia="宋体" w:cs="黑体"/>
          <w:color w:val="auto"/>
          <w:kern w:val="0"/>
          <w:szCs w:val="28"/>
          <w:highlight w:val="none"/>
        </w:rPr>
        <w:t>考核</w:t>
      </w:r>
      <w:r>
        <w:rPr>
          <w:color w:val="auto"/>
        </w:rPr>
        <w:tab/>
      </w:r>
      <w:r>
        <w:rPr>
          <w:color w:val="auto"/>
        </w:rPr>
        <w:fldChar w:fldCharType="begin"/>
      </w:r>
      <w:r>
        <w:rPr>
          <w:color w:val="auto"/>
        </w:rPr>
        <w:instrText xml:space="preserve"> PAGEREF _Toc9007 \h </w:instrText>
      </w:r>
      <w:r>
        <w:rPr>
          <w:color w:val="auto"/>
        </w:rPr>
        <w:fldChar w:fldCharType="separate"/>
      </w:r>
      <w:r>
        <w:rPr>
          <w:color w:val="auto"/>
        </w:rPr>
        <w:t>14</w:t>
      </w:r>
      <w:r>
        <w:rPr>
          <w:color w:val="auto"/>
        </w:rPr>
        <w:fldChar w:fldCharType="end"/>
      </w:r>
      <w:r>
        <w:rPr>
          <w:rFonts w:ascii="宋体" w:hAnsi="宋体" w:eastAsia="宋体"/>
          <w:bCs/>
          <w:color w:val="auto"/>
          <w:szCs w:val="21"/>
          <w:highlight w:val="none"/>
          <w:lang w:val="zh-CN"/>
        </w:rPr>
        <w:fldChar w:fldCharType="end"/>
      </w:r>
    </w:p>
    <w:p w14:paraId="143E36D0">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_Toc430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6.4 </w:t>
      </w:r>
      <w:r>
        <w:rPr>
          <w:rFonts w:hint="eastAsia" w:ascii="宋体" w:hAnsi="宋体" w:eastAsia="宋体" w:cs="黑体"/>
          <w:color w:val="auto"/>
          <w:kern w:val="0"/>
          <w:szCs w:val="28"/>
          <w:highlight w:val="none"/>
        </w:rPr>
        <w:t>验收</w:t>
      </w:r>
      <w:r>
        <w:rPr>
          <w:color w:val="auto"/>
        </w:rPr>
        <w:tab/>
      </w:r>
      <w:r>
        <w:rPr>
          <w:color w:val="auto"/>
        </w:rPr>
        <w:fldChar w:fldCharType="begin"/>
      </w:r>
      <w:r>
        <w:rPr>
          <w:color w:val="auto"/>
        </w:rPr>
        <w:instrText xml:space="preserve"> PAGEREF _Toc430 \h </w:instrText>
      </w:r>
      <w:r>
        <w:rPr>
          <w:color w:val="auto"/>
        </w:rPr>
        <w:fldChar w:fldCharType="separate"/>
      </w:r>
      <w:r>
        <w:rPr>
          <w:color w:val="auto"/>
        </w:rPr>
        <w:t>15</w:t>
      </w:r>
      <w:r>
        <w:rPr>
          <w:color w:val="auto"/>
        </w:rPr>
        <w:fldChar w:fldCharType="end"/>
      </w:r>
      <w:r>
        <w:rPr>
          <w:rFonts w:ascii="宋体" w:hAnsi="宋体" w:eastAsia="宋体"/>
          <w:bCs/>
          <w:color w:val="auto"/>
          <w:szCs w:val="21"/>
          <w:highlight w:val="none"/>
          <w:lang w:val="zh-CN"/>
        </w:rPr>
        <w:fldChar w:fldCharType="end"/>
      </w:r>
    </w:p>
    <w:p w14:paraId="73195970">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_Toc16382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7. </w:t>
      </w:r>
      <w:r>
        <w:rPr>
          <w:rFonts w:hint="eastAsia" w:ascii="宋体" w:hAnsi="宋体" w:eastAsia="宋体" w:cs="Times New Roman"/>
          <w:color w:val="auto"/>
          <w:kern w:val="0"/>
          <w:szCs w:val="21"/>
          <w:highlight w:val="none"/>
        </w:rPr>
        <w:t>技术服务</w:t>
      </w:r>
      <w:r>
        <w:rPr>
          <w:color w:val="auto"/>
        </w:rPr>
        <w:tab/>
      </w:r>
      <w:r>
        <w:rPr>
          <w:color w:val="auto"/>
        </w:rPr>
        <w:fldChar w:fldCharType="begin"/>
      </w:r>
      <w:r>
        <w:rPr>
          <w:color w:val="auto"/>
        </w:rPr>
        <w:instrText xml:space="preserve"> PAGEREF _Toc16382 \h </w:instrText>
      </w:r>
      <w:r>
        <w:rPr>
          <w:color w:val="auto"/>
        </w:rPr>
        <w:fldChar w:fldCharType="separate"/>
      </w:r>
      <w:r>
        <w:rPr>
          <w:color w:val="auto"/>
        </w:rPr>
        <w:t>16</w:t>
      </w:r>
      <w:r>
        <w:rPr>
          <w:color w:val="auto"/>
        </w:rPr>
        <w:fldChar w:fldCharType="end"/>
      </w:r>
      <w:r>
        <w:rPr>
          <w:rFonts w:ascii="宋体" w:hAnsi="宋体" w:eastAsia="宋体"/>
          <w:bCs/>
          <w:color w:val="auto"/>
          <w:szCs w:val="21"/>
          <w:highlight w:val="none"/>
          <w:lang w:val="zh-CN"/>
        </w:rPr>
        <w:fldChar w:fldCharType="end"/>
      </w:r>
    </w:p>
    <w:p w14:paraId="7041E42C">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_Toc792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8. </w:t>
      </w:r>
      <w:r>
        <w:rPr>
          <w:rFonts w:hint="eastAsia" w:ascii="宋体" w:hAnsi="宋体" w:eastAsia="宋体" w:cs="Times New Roman"/>
          <w:color w:val="auto"/>
          <w:kern w:val="0"/>
          <w:szCs w:val="21"/>
          <w:highlight w:val="none"/>
        </w:rPr>
        <w:t>质量保证期</w:t>
      </w:r>
      <w:r>
        <w:rPr>
          <w:color w:val="auto"/>
        </w:rPr>
        <w:tab/>
      </w:r>
      <w:r>
        <w:rPr>
          <w:color w:val="auto"/>
        </w:rPr>
        <w:fldChar w:fldCharType="begin"/>
      </w:r>
      <w:r>
        <w:rPr>
          <w:color w:val="auto"/>
        </w:rPr>
        <w:instrText xml:space="preserve"> PAGEREF _Toc792 \h </w:instrText>
      </w:r>
      <w:r>
        <w:rPr>
          <w:color w:val="auto"/>
        </w:rPr>
        <w:fldChar w:fldCharType="separate"/>
      </w:r>
      <w:r>
        <w:rPr>
          <w:color w:val="auto"/>
        </w:rPr>
        <w:t>16</w:t>
      </w:r>
      <w:r>
        <w:rPr>
          <w:color w:val="auto"/>
        </w:rPr>
        <w:fldChar w:fldCharType="end"/>
      </w:r>
      <w:r>
        <w:rPr>
          <w:rFonts w:ascii="宋体" w:hAnsi="宋体" w:eastAsia="宋体"/>
          <w:bCs/>
          <w:color w:val="auto"/>
          <w:szCs w:val="21"/>
          <w:highlight w:val="none"/>
          <w:lang w:val="zh-CN"/>
        </w:rPr>
        <w:fldChar w:fldCharType="end"/>
      </w:r>
    </w:p>
    <w:p w14:paraId="1F1B0506">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_Toc23897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9. </w:t>
      </w:r>
      <w:r>
        <w:rPr>
          <w:rFonts w:hint="eastAsia" w:ascii="宋体" w:hAnsi="宋体" w:eastAsia="宋体" w:cs="Times New Roman"/>
          <w:color w:val="auto"/>
          <w:kern w:val="0"/>
          <w:szCs w:val="21"/>
          <w:highlight w:val="none"/>
        </w:rPr>
        <w:t>质保期服务</w:t>
      </w:r>
      <w:r>
        <w:rPr>
          <w:color w:val="auto"/>
        </w:rPr>
        <w:tab/>
      </w:r>
      <w:r>
        <w:rPr>
          <w:color w:val="auto"/>
        </w:rPr>
        <w:fldChar w:fldCharType="begin"/>
      </w:r>
      <w:r>
        <w:rPr>
          <w:color w:val="auto"/>
        </w:rPr>
        <w:instrText xml:space="preserve"> PAGEREF _Toc23897 \h </w:instrText>
      </w:r>
      <w:r>
        <w:rPr>
          <w:color w:val="auto"/>
        </w:rPr>
        <w:fldChar w:fldCharType="separate"/>
      </w:r>
      <w:r>
        <w:rPr>
          <w:color w:val="auto"/>
        </w:rPr>
        <w:t>16</w:t>
      </w:r>
      <w:r>
        <w:rPr>
          <w:color w:val="auto"/>
        </w:rPr>
        <w:fldChar w:fldCharType="end"/>
      </w:r>
      <w:r>
        <w:rPr>
          <w:rFonts w:ascii="宋体" w:hAnsi="宋体" w:eastAsia="宋体"/>
          <w:bCs/>
          <w:color w:val="auto"/>
          <w:szCs w:val="21"/>
          <w:highlight w:val="none"/>
          <w:lang w:val="zh-CN"/>
        </w:rPr>
        <w:fldChar w:fldCharType="end"/>
      </w:r>
    </w:p>
    <w:p w14:paraId="5A0BB6AF">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_Toc19166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10. </w:t>
      </w:r>
      <w:r>
        <w:rPr>
          <w:rFonts w:hint="eastAsia" w:ascii="宋体" w:hAnsi="宋体" w:eastAsia="宋体" w:cs="Times New Roman"/>
          <w:color w:val="auto"/>
          <w:kern w:val="0"/>
          <w:szCs w:val="21"/>
          <w:highlight w:val="none"/>
        </w:rPr>
        <w:t>履约保证金</w:t>
      </w:r>
      <w:r>
        <w:rPr>
          <w:color w:val="auto"/>
        </w:rPr>
        <w:tab/>
      </w:r>
      <w:r>
        <w:rPr>
          <w:color w:val="auto"/>
        </w:rPr>
        <w:fldChar w:fldCharType="begin"/>
      </w:r>
      <w:r>
        <w:rPr>
          <w:color w:val="auto"/>
        </w:rPr>
        <w:instrText xml:space="preserve"> PAGEREF _Toc19166 \h </w:instrText>
      </w:r>
      <w:r>
        <w:rPr>
          <w:color w:val="auto"/>
        </w:rPr>
        <w:fldChar w:fldCharType="separate"/>
      </w:r>
      <w:r>
        <w:rPr>
          <w:color w:val="auto"/>
        </w:rPr>
        <w:t>17</w:t>
      </w:r>
      <w:r>
        <w:rPr>
          <w:color w:val="auto"/>
        </w:rPr>
        <w:fldChar w:fldCharType="end"/>
      </w:r>
      <w:r>
        <w:rPr>
          <w:rFonts w:ascii="宋体" w:hAnsi="宋体" w:eastAsia="宋体"/>
          <w:bCs/>
          <w:color w:val="auto"/>
          <w:szCs w:val="21"/>
          <w:highlight w:val="none"/>
          <w:lang w:val="zh-CN"/>
        </w:rPr>
        <w:fldChar w:fldCharType="end"/>
      </w:r>
    </w:p>
    <w:p w14:paraId="78CFA978">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_Toc6309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11. </w:t>
      </w:r>
      <w:r>
        <w:rPr>
          <w:rFonts w:hint="eastAsia" w:ascii="宋体" w:hAnsi="宋体" w:eastAsia="宋体" w:cs="Times New Roman"/>
          <w:color w:val="auto"/>
          <w:kern w:val="0"/>
          <w:szCs w:val="21"/>
          <w:highlight w:val="none"/>
        </w:rPr>
        <w:t>保证</w:t>
      </w:r>
      <w:r>
        <w:rPr>
          <w:color w:val="auto"/>
        </w:rPr>
        <w:tab/>
      </w:r>
      <w:r>
        <w:rPr>
          <w:color w:val="auto"/>
        </w:rPr>
        <w:fldChar w:fldCharType="begin"/>
      </w:r>
      <w:r>
        <w:rPr>
          <w:color w:val="auto"/>
        </w:rPr>
        <w:instrText xml:space="preserve"> PAGEREF _Toc6309 \h </w:instrText>
      </w:r>
      <w:r>
        <w:rPr>
          <w:color w:val="auto"/>
        </w:rPr>
        <w:fldChar w:fldCharType="separate"/>
      </w:r>
      <w:r>
        <w:rPr>
          <w:color w:val="auto"/>
        </w:rPr>
        <w:t>17</w:t>
      </w:r>
      <w:r>
        <w:rPr>
          <w:color w:val="auto"/>
        </w:rPr>
        <w:fldChar w:fldCharType="end"/>
      </w:r>
      <w:r>
        <w:rPr>
          <w:rFonts w:ascii="宋体" w:hAnsi="宋体" w:eastAsia="宋体"/>
          <w:bCs/>
          <w:color w:val="auto"/>
          <w:szCs w:val="21"/>
          <w:highlight w:val="none"/>
          <w:lang w:val="zh-CN"/>
        </w:rPr>
        <w:fldChar w:fldCharType="end"/>
      </w:r>
    </w:p>
    <w:p w14:paraId="55DCB70A">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_Toc2752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12. </w:t>
      </w:r>
      <w:r>
        <w:rPr>
          <w:rFonts w:hint="eastAsia" w:ascii="宋体" w:hAnsi="宋体" w:eastAsia="宋体" w:cs="Times New Roman"/>
          <w:color w:val="auto"/>
          <w:kern w:val="0"/>
          <w:szCs w:val="21"/>
          <w:highlight w:val="none"/>
        </w:rPr>
        <w:t>知识产权</w:t>
      </w:r>
      <w:r>
        <w:rPr>
          <w:color w:val="auto"/>
        </w:rPr>
        <w:tab/>
      </w:r>
      <w:r>
        <w:rPr>
          <w:color w:val="auto"/>
        </w:rPr>
        <w:fldChar w:fldCharType="begin"/>
      </w:r>
      <w:r>
        <w:rPr>
          <w:color w:val="auto"/>
        </w:rPr>
        <w:instrText xml:space="preserve"> PAGEREF _Toc2752 \h </w:instrText>
      </w:r>
      <w:r>
        <w:rPr>
          <w:color w:val="auto"/>
        </w:rPr>
        <w:fldChar w:fldCharType="separate"/>
      </w:r>
      <w:r>
        <w:rPr>
          <w:color w:val="auto"/>
        </w:rPr>
        <w:t>18</w:t>
      </w:r>
      <w:r>
        <w:rPr>
          <w:color w:val="auto"/>
        </w:rPr>
        <w:fldChar w:fldCharType="end"/>
      </w:r>
      <w:r>
        <w:rPr>
          <w:rFonts w:ascii="宋体" w:hAnsi="宋体" w:eastAsia="宋体"/>
          <w:bCs/>
          <w:color w:val="auto"/>
          <w:szCs w:val="21"/>
          <w:highlight w:val="none"/>
          <w:lang w:val="zh-CN"/>
        </w:rPr>
        <w:fldChar w:fldCharType="end"/>
      </w:r>
    </w:p>
    <w:p w14:paraId="4B94FD0A">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_Toc1739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13. </w:t>
      </w:r>
      <w:r>
        <w:rPr>
          <w:rFonts w:hint="eastAsia" w:ascii="宋体" w:hAnsi="宋体" w:eastAsia="宋体" w:cs="Times New Roman"/>
          <w:color w:val="auto"/>
          <w:kern w:val="0"/>
          <w:szCs w:val="21"/>
          <w:highlight w:val="none"/>
        </w:rPr>
        <w:t>保密</w:t>
      </w:r>
      <w:r>
        <w:rPr>
          <w:color w:val="auto"/>
        </w:rPr>
        <w:tab/>
      </w:r>
      <w:r>
        <w:rPr>
          <w:color w:val="auto"/>
        </w:rPr>
        <w:fldChar w:fldCharType="begin"/>
      </w:r>
      <w:r>
        <w:rPr>
          <w:color w:val="auto"/>
        </w:rPr>
        <w:instrText xml:space="preserve"> PAGEREF _Toc1739 \h </w:instrText>
      </w:r>
      <w:r>
        <w:rPr>
          <w:color w:val="auto"/>
        </w:rPr>
        <w:fldChar w:fldCharType="separate"/>
      </w:r>
      <w:r>
        <w:rPr>
          <w:color w:val="auto"/>
        </w:rPr>
        <w:t>18</w:t>
      </w:r>
      <w:r>
        <w:rPr>
          <w:color w:val="auto"/>
        </w:rPr>
        <w:fldChar w:fldCharType="end"/>
      </w:r>
      <w:r>
        <w:rPr>
          <w:rFonts w:ascii="宋体" w:hAnsi="宋体" w:eastAsia="宋体"/>
          <w:bCs/>
          <w:color w:val="auto"/>
          <w:szCs w:val="21"/>
          <w:highlight w:val="none"/>
          <w:lang w:val="zh-CN"/>
        </w:rPr>
        <w:fldChar w:fldCharType="end"/>
      </w:r>
    </w:p>
    <w:p w14:paraId="6EFA2D73">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_Toc11656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14. </w:t>
      </w:r>
      <w:r>
        <w:rPr>
          <w:rFonts w:hint="eastAsia" w:ascii="宋体" w:hAnsi="宋体" w:eastAsia="宋体" w:cs="Times New Roman"/>
          <w:color w:val="auto"/>
          <w:kern w:val="0"/>
          <w:szCs w:val="21"/>
          <w:highlight w:val="none"/>
        </w:rPr>
        <w:t>违约责任</w:t>
      </w:r>
      <w:r>
        <w:rPr>
          <w:color w:val="auto"/>
        </w:rPr>
        <w:tab/>
      </w:r>
      <w:r>
        <w:rPr>
          <w:color w:val="auto"/>
        </w:rPr>
        <w:fldChar w:fldCharType="begin"/>
      </w:r>
      <w:r>
        <w:rPr>
          <w:color w:val="auto"/>
        </w:rPr>
        <w:instrText xml:space="preserve"> PAGEREF _Toc11656 \h </w:instrText>
      </w:r>
      <w:r>
        <w:rPr>
          <w:color w:val="auto"/>
        </w:rPr>
        <w:fldChar w:fldCharType="separate"/>
      </w:r>
      <w:r>
        <w:rPr>
          <w:color w:val="auto"/>
        </w:rPr>
        <w:t>19</w:t>
      </w:r>
      <w:r>
        <w:rPr>
          <w:color w:val="auto"/>
        </w:rPr>
        <w:fldChar w:fldCharType="end"/>
      </w:r>
      <w:r>
        <w:rPr>
          <w:rFonts w:ascii="宋体" w:hAnsi="宋体" w:eastAsia="宋体"/>
          <w:bCs/>
          <w:color w:val="auto"/>
          <w:szCs w:val="21"/>
          <w:highlight w:val="none"/>
          <w:lang w:val="zh-CN"/>
        </w:rPr>
        <w:fldChar w:fldCharType="end"/>
      </w:r>
    </w:p>
    <w:p w14:paraId="2BE3FFE2">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_Toc29418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15. </w:t>
      </w:r>
      <w:r>
        <w:rPr>
          <w:rFonts w:hint="eastAsia" w:ascii="宋体" w:hAnsi="宋体" w:eastAsia="宋体" w:cs="Times New Roman"/>
          <w:color w:val="auto"/>
          <w:kern w:val="0"/>
          <w:szCs w:val="21"/>
          <w:highlight w:val="none"/>
        </w:rPr>
        <w:t>合同的解除</w:t>
      </w:r>
      <w:r>
        <w:rPr>
          <w:color w:val="auto"/>
        </w:rPr>
        <w:tab/>
      </w:r>
      <w:r>
        <w:rPr>
          <w:color w:val="auto"/>
        </w:rPr>
        <w:fldChar w:fldCharType="begin"/>
      </w:r>
      <w:r>
        <w:rPr>
          <w:color w:val="auto"/>
        </w:rPr>
        <w:instrText xml:space="preserve"> PAGEREF _Toc29418 \h </w:instrText>
      </w:r>
      <w:r>
        <w:rPr>
          <w:color w:val="auto"/>
        </w:rPr>
        <w:fldChar w:fldCharType="separate"/>
      </w:r>
      <w:r>
        <w:rPr>
          <w:color w:val="auto"/>
        </w:rPr>
        <w:t>19</w:t>
      </w:r>
      <w:r>
        <w:rPr>
          <w:color w:val="auto"/>
        </w:rPr>
        <w:fldChar w:fldCharType="end"/>
      </w:r>
      <w:r>
        <w:rPr>
          <w:rFonts w:ascii="宋体" w:hAnsi="宋体" w:eastAsia="宋体"/>
          <w:bCs/>
          <w:color w:val="auto"/>
          <w:szCs w:val="21"/>
          <w:highlight w:val="none"/>
          <w:lang w:val="zh-CN"/>
        </w:rPr>
        <w:fldChar w:fldCharType="end"/>
      </w:r>
    </w:p>
    <w:p w14:paraId="68A6BC9F">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_Toc5990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16. </w:t>
      </w:r>
      <w:r>
        <w:rPr>
          <w:rFonts w:hint="eastAsia" w:ascii="宋体" w:hAnsi="宋体" w:eastAsia="宋体" w:cs="Times New Roman"/>
          <w:color w:val="auto"/>
          <w:kern w:val="0"/>
          <w:szCs w:val="21"/>
          <w:highlight w:val="none"/>
        </w:rPr>
        <w:t>不可抗力</w:t>
      </w:r>
      <w:r>
        <w:rPr>
          <w:color w:val="auto"/>
        </w:rPr>
        <w:tab/>
      </w:r>
      <w:r>
        <w:rPr>
          <w:color w:val="auto"/>
        </w:rPr>
        <w:fldChar w:fldCharType="begin"/>
      </w:r>
      <w:r>
        <w:rPr>
          <w:color w:val="auto"/>
        </w:rPr>
        <w:instrText xml:space="preserve"> PAGEREF _Toc5990 \h </w:instrText>
      </w:r>
      <w:r>
        <w:rPr>
          <w:color w:val="auto"/>
        </w:rPr>
        <w:fldChar w:fldCharType="separate"/>
      </w:r>
      <w:r>
        <w:rPr>
          <w:color w:val="auto"/>
        </w:rPr>
        <w:t>20</w:t>
      </w:r>
      <w:r>
        <w:rPr>
          <w:color w:val="auto"/>
        </w:rPr>
        <w:fldChar w:fldCharType="end"/>
      </w:r>
      <w:r>
        <w:rPr>
          <w:rFonts w:ascii="宋体" w:hAnsi="宋体" w:eastAsia="宋体"/>
          <w:bCs/>
          <w:color w:val="auto"/>
          <w:szCs w:val="21"/>
          <w:highlight w:val="none"/>
          <w:lang w:val="zh-CN"/>
        </w:rPr>
        <w:fldChar w:fldCharType="end"/>
      </w:r>
    </w:p>
    <w:p w14:paraId="1D27B1C4">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_Toc10170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17. </w:t>
      </w:r>
      <w:r>
        <w:rPr>
          <w:rFonts w:hint="eastAsia" w:ascii="宋体" w:hAnsi="宋体" w:eastAsia="宋体" w:cs="Times New Roman"/>
          <w:color w:val="auto"/>
          <w:kern w:val="0"/>
          <w:szCs w:val="21"/>
          <w:highlight w:val="none"/>
        </w:rPr>
        <w:t>争议的解决</w:t>
      </w:r>
      <w:r>
        <w:rPr>
          <w:color w:val="auto"/>
        </w:rPr>
        <w:tab/>
      </w:r>
      <w:r>
        <w:rPr>
          <w:color w:val="auto"/>
        </w:rPr>
        <w:fldChar w:fldCharType="begin"/>
      </w:r>
      <w:r>
        <w:rPr>
          <w:color w:val="auto"/>
        </w:rPr>
        <w:instrText xml:space="preserve"> PAGEREF _Toc10170 \h </w:instrText>
      </w:r>
      <w:r>
        <w:rPr>
          <w:color w:val="auto"/>
        </w:rPr>
        <w:fldChar w:fldCharType="separate"/>
      </w:r>
      <w:r>
        <w:rPr>
          <w:color w:val="auto"/>
        </w:rPr>
        <w:t>20</w:t>
      </w:r>
      <w:r>
        <w:rPr>
          <w:color w:val="auto"/>
        </w:rPr>
        <w:fldChar w:fldCharType="end"/>
      </w:r>
      <w:r>
        <w:rPr>
          <w:rFonts w:ascii="宋体" w:hAnsi="宋体" w:eastAsia="宋体"/>
          <w:bCs/>
          <w:color w:val="auto"/>
          <w:szCs w:val="21"/>
          <w:highlight w:val="none"/>
          <w:lang w:val="zh-CN"/>
        </w:rPr>
        <w:fldChar w:fldCharType="end"/>
      </w:r>
    </w:p>
    <w:p w14:paraId="5EF88BFA">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_Toc10842 </w:instrText>
      </w:r>
      <w:r>
        <w:rPr>
          <w:rFonts w:ascii="宋体" w:hAnsi="宋体" w:eastAsia="宋体"/>
          <w:bCs/>
          <w:color w:val="auto"/>
          <w:szCs w:val="21"/>
          <w:highlight w:val="none"/>
          <w:lang w:val="zh-CN"/>
        </w:rPr>
        <w:fldChar w:fldCharType="separate"/>
      </w:r>
      <w:r>
        <w:rPr>
          <w:rFonts w:ascii="宋体" w:hAnsi="宋体" w:eastAsia="宋体"/>
          <w:color w:val="auto"/>
          <w:kern w:val="0"/>
          <w:highlight w:val="none"/>
        </w:rPr>
        <w:t>第</w:t>
      </w:r>
      <w:r>
        <w:rPr>
          <w:rFonts w:hint="eastAsia" w:ascii="宋体" w:hAnsi="宋体" w:eastAsia="宋体"/>
          <w:color w:val="auto"/>
          <w:kern w:val="0"/>
          <w:highlight w:val="none"/>
        </w:rPr>
        <w:t>三</w:t>
      </w:r>
      <w:r>
        <w:rPr>
          <w:rFonts w:ascii="宋体" w:hAnsi="宋体" w:eastAsia="宋体"/>
          <w:color w:val="auto"/>
          <w:kern w:val="0"/>
          <w:highlight w:val="none"/>
        </w:rPr>
        <w:t>节</w:t>
      </w:r>
      <w:r>
        <w:rPr>
          <w:rFonts w:hint="eastAsia" w:ascii="宋体" w:hAnsi="宋体" w:eastAsia="宋体"/>
          <w:color w:val="auto"/>
          <w:kern w:val="0"/>
          <w:highlight w:val="none"/>
        </w:rPr>
        <w:t xml:space="preserve"> </w:t>
      </w:r>
      <w:r>
        <w:rPr>
          <w:rFonts w:ascii="宋体" w:hAnsi="宋体" w:eastAsia="宋体"/>
          <w:color w:val="auto"/>
          <w:kern w:val="0"/>
          <w:highlight w:val="none"/>
        </w:rPr>
        <w:t>专用合同条款</w:t>
      </w:r>
      <w:r>
        <w:rPr>
          <w:color w:val="auto"/>
        </w:rPr>
        <w:tab/>
      </w:r>
      <w:r>
        <w:rPr>
          <w:color w:val="auto"/>
        </w:rPr>
        <w:fldChar w:fldCharType="begin"/>
      </w:r>
      <w:r>
        <w:rPr>
          <w:color w:val="auto"/>
        </w:rPr>
        <w:instrText xml:space="preserve"> PAGEREF _Toc10842 \h </w:instrText>
      </w:r>
      <w:r>
        <w:rPr>
          <w:color w:val="auto"/>
        </w:rPr>
        <w:fldChar w:fldCharType="separate"/>
      </w:r>
      <w:r>
        <w:rPr>
          <w:color w:val="auto"/>
        </w:rPr>
        <w:t>22</w:t>
      </w:r>
      <w:r>
        <w:rPr>
          <w:color w:val="auto"/>
        </w:rPr>
        <w:fldChar w:fldCharType="end"/>
      </w:r>
      <w:r>
        <w:rPr>
          <w:rFonts w:ascii="宋体" w:hAnsi="宋体" w:eastAsia="宋体"/>
          <w:bCs/>
          <w:color w:val="auto"/>
          <w:szCs w:val="21"/>
          <w:highlight w:val="none"/>
          <w:lang w:val="zh-CN"/>
        </w:rPr>
        <w:fldChar w:fldCharType="end"/>
      </w:r>
    </w:p>
    <w:p w14:paraId="7B5EBA5D">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_Toc16597 </w:instrText>
      </w:r>
      <w:r>
        <w:rPr>
          <w:rFonts w:ascii="宋体" w:hAnsi="宋体" w:eastAsia="宋体"/>
          <w:bCs/>
          <w:color w:val="auto"/>
          <w:szCs w:val="21"/>
          <w:highlight w:val="none"/>
          <w:lang w:val="zh-CN"/>
        </w:rPr>
        <w:fldChar w:fldCharType="separate"/>
      </w:r>
      <w:r>
        <w:rPr>
          <w:rFonts w:hint="eastAsia" w:ascii="宋体" w:hAnsi="宋体" w:eastAsia="宋体"/>
          <w:color w:val="auto"/>
          <w:kern w:val="0"/>
          <w:szCs w:val="32"/>
          <w:highlight w:val="none"/>
        </w:rPr>
        <w:t>一、通用部分</w:t>
      </w:r>
      <w:r>
        <w:rPr>
          <w:color w:val="auto"/>
        </w:rPr>
        <w:tab/>
      </w:r>
      <w:r>
        <w:rPr>
          <w:color w:val="auto"/>
        </w:rPr>
        <w:fldChar w:fldCharType="begin"/>
      </w:r>
      <w:r>
        <w:rPr>
          <w:color w:val="auto"/>
        </w:rPr>
        <w:instrText xml:space="preserve"> PAGEREF _Toc16597 \h </w:instrText>
      </w:r>
      <w:r>
        <w:rPr>
          <w:color w:val="auto"/>
        </w:rPr>
        <w:fldChar w:fldCharType="separate"/>
      </w:r>
      <w:r>
        <w:rPr>
          <w:color w:val="auto"/>
        </w:rPr>
        <w:t>22</w:t>
      </w:r>
      <w:r>
        <w:rPr>
          <w:color w:val="auto"/>
        </w:rPr>
        <w:fldChar w:fldCharType="end"/>
      </w:r>
      <w:r>
        <w:rPr>
          <w:rFonts w:ascii="宋体" w:hAnsi="宋体" w:eastAsia="宋体"/>
          <w:bCs/>
          <w:color w:val="auto"/>
          <w:szCs w:val="21"/>
          <w:highlight w:val="none"/>
          <w:lang w:val="zh-CN"/>
        </w:rPr>
        <w:fldChar w:fldCharType="end"/>
      </w:r>
    </w:p>
    <w:p w14:paraId="65D432F8">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_Toc14020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 </w:t>
      </w:r>
      <w:r>
        <w:rPr>
          <w:rFonts w:hint="eastAsia" w:ascii="宋体" w:hAnsi="宋体" w:eastAsia="宋体" w:cs="Times New Roman"/>
          <w:color w:val="auto"/>
          <w:kern w:val="0"/>
          <w:szCs w:val="21"/>
          <w:highlight w:val="none"/>
        </w:rPr>
        <w:t>一般约定</w:t>
      </w:r>
      <w:r>
        <w:rPr>
          <w:color w:val="auto"/>
        </w:rPr>
        <w:tab/>
      </w:r>
      <w:r>
        <w:rPr>
          <w:color w:val="auto"/>
        </w:rPr>
        <w:fldChar w:fldCharType="begin"/>
      </w:r>
      <w:r>
        <w:rPr>
          <w:color w:val="auto"/>
        </w:rPr>
        <w:instrText xml:space="preserve"> PAGEREF _Toc14020 \h </w:instrText>
      </w:r>
      <w:r>
        <w:rPr>
          <w:color w:val="auto"/>
        </w:rPr>
        <w:fldChar w:fldCharType="separate"/>
      </w:r>
      <w:r>
        <w:rPr>
          <w:color w:val="auto"/>
        </w:rPr>
        <w:t>22</w:t>
      </w:r>
      <w:r>
        <w:rPr>
          <w:color w:val="auto"/>
        </w:rPr>
        <w:fldChar w:fldCharType="end"/>
      </w:r>
      <w:r>
        <w:rPr>
          <w:rFonts w:ascii="宋体" w:hAnsi="宋体" w:eastAsia="宋体"/>
          <w:bCs/>
          <w:color w:val="auto"/>
          <w:szCs w:val="21"/>
          <w:highlight w:val="none"/>
          <w:lang w:val="zh-CN"/>
        </w:rPr>
        <w:fldChar w:fldCharType="end"/>
      </w:r>
    </w:p>
    <w:p w14:paraId="16B422B6">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_Toc11139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1.1 </w:t>
      </w:r>
      <w:r>
        <w:rPr>
          <w:rFonts w:hint="eastAsia" w:ascii="宋体" w:hAnsi="宋体" w:eastAsia="宋体" w:cs="黑体"/>
          <w:color w:val="auto"/>
          <w:kern w:val="0"/>
          <w:szCs w:val="28"/>
          <w:highlight w:val="none"/>
        </w:rPr>
        <w:t>词语定义</w:t>
      </w:r>
      <w:r>
        <w:rPr>
          <w:color w:val="auto"/>
        </w:rPr>
        <w:tab/>
      </w:r>
      <w:r>
        <w:rPr>
          <w:color w:val="auto"/>
        </w:rPr>
        <w:fldChar w:fldCharType="begin"/>
      </w:r>
      <w:r>
        <w:rPr>
          <w:color w:val="auto"/>
        </w:rPr>
        <w:instrText xml:space="preserve"> PAGEREF _Toc11139 \h </w:instrText>
      </w:r>
      <w:r>
        <w:rPr>
          <w:color w:val="auto"/>
        </w:rPr>
        <w:fldChar w:fldCharType="separate"/>
      </w:r>
      <w:r>
        <w:rPr>
          <w:color w:val="auto"/>
        </w:rPr>
        <w:t>22</w:t>
      </w:r>
      <w:r>
        <w:rPr>
          <w:color w:val="auto"/>
        </w:rPr>
        <w:fldChar w:fldCharType="end"/>
      </w:r>
      <w:r>
        <w:rPr>
          <w:rFonts w:ascii="宋体" w:hAnsi="宋体" w:eastAsia="宋体"/>
          <w:bCs/>
          <w:color w:val="auto"/>
          <w:szCs w:val="21"/>
          <w:highlight w:val="none"/>
          <w:lang w:val="zh-CN"/>
        </w:rPr>
        <w:fldChar w:fldCharType="end"/>
      </w:r>
    </w:p>
    <w:p w14:paraId="0C445392">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_Toc399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1.2 </w:t>
      </w:r>
      <w:r>
        <w:rPr>
          <w:rFonts w:hint="eastAsia" w:ascii="宋体" w:hAnsi="宋体" w:eastAsia="宋体" w:cs="黑体"/>
          <w:color w:val="auto"/>
          <w:kern w:val="0"/>
          <w:szCs w:val="28"/>
          <w:highlight w:val="none"/>
        </w:rPr>
        <w:t>语言文字</w:t>
      </w:r>
      <w:r>
        <w:rPr>
          <w:color w:val="auto"/>
        </w:rPr>
        <w:tab/>
      </w:r>
      <w:r>
        <w:rPr>
          <w:color w:val="auto"/>
        </w:rPr>
        <w:fldChar w:fldCharType="begin"/>
      </w:r>
      <w:r>
        <w:rPr>
          <w:color w:val="auto"/>
        </w:rPr>
        <w:instrText xml:space="preserve"> PAGEREF _Toc399 \h </w:instrText>
      </w:r>
      <w:r>
        <w:rPr>
          <w:color w:val="auto"/>
        </w:rPr>
        <w:fldChar w:fldCharType="separate"/>
      </w:r>
      <w:r>
        <w:rPr>
          <w:color w:val="auto"/>
        </w:rPr>
        <w:t>25</w:t>
      </w:r>
      <w:r>
        <w:rPr>
          <w:color w:val="auto"/>
        </w:rPr>
        <w:fldChar w:fldCharType="end"/>
      </w:r>
      <w:r>
        <w:rPr>
          <w:rFonts w:ascii="宋体" w:hAnsi="宋体" w:eastAsia="宋体"/>
          <w:bCs/>
          <w:color w:val="auto"/>
          <w:szCs w:val="21"/>
          <w:highlight w:val="none"/>
          <w:lang w:val="zh-CN"/>
        </w:rPr>
        <w:fldChar w:fldCharType="end"/>
      </w:r>
    </w:p>
    <w:p w14:paraId="70C1CEDA">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_Toc31428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1.3 </w:t>
      </w:r>
      <w:r>
        <w:rPr>
          <w:rFonts w:hint="eastAsia" w:ascii="宋体" w:hAnsi="宋体" w:eastAsia="宋体" w:cs="黑体"/>
          <w:color w:val="auto"/>
          <w:kern w:val="0"/>
          <w:szCs w:val="28"/>
          <w:highlight w:val="none"/>
        </w:rPr>
        <w:t>合同文件的优先顺序</w:t>
      </w:r>
      <w:r>
        <w:rPr>
          <w:color w:val="auto"/>
        </w:rPr>
        <w:tab/>
      </w:r>
      <w:r>
        <w:rPr>
          <w:color w:val="auto"/>
        </w:rPr>
        <w:fldChar w:fldCharType="begin"/>
      </w:r>
      <w:r>
        <w:rPr>
          <w:color w:val="auto"/>
        </w:rPr>
        <w:instrText xml:space="preserve"> PAGEREF _Toc31428 \h </w:instrText>
      </w:r>
      <w:r>
        <w:rPr>
          <w:color w:val="auto"/>
        </w:rPr>
        <w:fldChar w:fldCharType="separate"/>
      </w:r>
      <w:r>
        <w:rPr>
          <w:color w:val="auto"/>
        </w:rPr>
        <w:t>25</w:t>
      </w:r>
      <w:r>
        <w:rPr>
          <w:color w:val="auto"/>
        </w:rPr>
        <w:fldChar w:fldCharType="end"/>
      </w:r>
      <w:r>
        <w:rPr>
          <w:rFonts w:ascii="宋体" w:hAnsi="宋体" w:eastAsia="宋体"/>
          <w:bCs/>
          <w:color w:val="auto"/>
          <w:szCs w:val="21"/>
          <w:highlight w:val="none"/>
          <w:lang w:val="zh-CN"/>
        </w:rPr>
        <w:fldChar w:fldCharType="end"/>
      </w:r>
    </w:p>
    <w:p w14:paraId="2124C89D">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_Toc5263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1.4 </w:t>
      </w:r>
      <w:r>
        <w:rPr>
          <w:rFonts w:hint="eastAsia" w:ascii="宋体" w:hAnsi="宋体" w:eastAsia="宋体" w:cs="黑体"/>
          <w:color w:val="auto"/>
          <w:kern w:val="0"/>
          <w:szCs w:val="28"/>
          <w:highlight w:val="none"/>
        </w:rPr>
        <w:t>合同的生效及变更</w:t>
      </w:r>
      <w:r>
        <w:rPr>
          <w:color w:val="auto"/>
        </w:rPr>
        <w:tab/>
      </w:r>
      <w:r>
        <w:rPr>
          <w:color w:val="auto"/>
        </w:rPr>
        <w:fldChar w:fldCharType="begin"/>
      </w:r>
      <w:r>
        <w:rPr>
          <w:color w:val="auto"/>
        </w:rPr>
        <w:instrText xml:space="preserve"> PAGEREF _Toc5263 \h </w:instrText>
      </w:r>
      <w:r>
        <w:rPr>
          <w:color w:val="auto"/>
        </w:rPr>
        <w:fldChar w:fldCharType="separate"/>
      </w:r>
      <w:r>
        <w:rPr>
          <w:color w:val="auto"/>
        </w:rPr>
        <w:t>25</w:t>
      </w:r>
      <w:r>
        <w:rPr>
          <w:color w:val="auto"/>
        </w:rPr>
        <w:fldChar w:fldCharType="end"/>
      </w:r>
      <w:r>
        <w:rPr>
          <w:rFonts w:ascii="宋体" w:hAnsi="宋体" w:eastAsia="宋体"/>
          <w:bCs/>
          <w:color w:val="auto"/>
          <w:szCs w:val="21"/>
          <w:highlight w:val="none"/>
          <w:lang w:val="zh-CN"/>
        </w:rPr>
        <w:fldChar w:fldCharType="end"/>
      </w:r>
    </w:p>
    <w:p w14:paraId="43F9010A">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_Toc4253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1.5 </w:t>
      </w:r>
      <w:r>
        <w:rPr>
          <w:rFonts w:hint="eastAsia" w:ascii="宋体" w:hAnsi="宋体" w:eastAsia="宋体" w:cs="黑体"/>
          <w:color w:val="auto"/>
          <w:kern w:val="0"/>
          <w:szCs w:val="28"/>
          <w:highlight w:val="none"/>
        </w:rPr>
        <w:t>联络</w:t>
      </w:r>
      <w:r>
        <w:rPr>
          <w:color w:val="auto"/>
        </w:rPr>
        <w:tab/>
      </w:r>
      <w:r>
        <w:rPr>
          <w:color w:val="auto"/>
        </w:rPr>
        <w:fldChar w:fldCharType="begin"/>
      </w:r>
      <w:r>
        <w:rPr>
          <w:color w:val="auto"/>
        </w:rPr>
        <w:instrText xml:space="preserve"> PAGEREF _Toc4253 \h </w:instrText>
      </w:r>
      <w:r>
        <w:rPr>
          <w:color w:val="auto"/>
        </w:rPr>
        <w:fldChar w:fldCharType="separate"/>
      </w:r>
      <w:r>
        <w:rPr>
          <w:color w:val="auto"/>
        </w:rPr>
        <w:t>26</w:t>
      </w:r>
      <w:r>
        <w:rPr>
          <w:color w:val="auto"/>
        </w:rPr>
        <w:fldChar w:fldCharType="end"/>
      </w:r>
      <w:r>
        <w:rPr>
          <w:rFonts w:ascii="宋体" w:hAnsi="宋体" w:eastAsia="宋体"/>
          <w:bCs/>
          <w:color w:val="auto"/>
          <w:szCs w:val="21"/>
          <w:highlight w:val="none"/>
          <w:lang w:val="zh-CN"/>
        </w:rPr>
        <w:fldChar w:fldCharType="end"/>
      </w:r>
    </w:p>
    <w:p w14:paraId="2BBA53B0">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_Toc29459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1.7 </w:t>
      </w:r>
      <w:r>
        <w:rPr>
          <w:rFonts w:hint="eastAsia" w:ascii="宋体" w:hAnsi="宋体" w:eastAsia="宋体" w:cs="黑体"/>
          <w:color w:val="auto"/>
          <w:kern w:val="0"/>
          <w:szCs w:val="28"/>
          <w:highlight w:val="none"/>
        </w:rPr>
        <w:t>转让</w:t>
      </w:r>
      <w:r>
        <w:rPr>
          <w:rFonts w:hint="eastAsia" w:ascii="宋体" w:hAnsi="宋体" w:eastAsia="宋体" w:cs="黑体"/>
          <w:color w:val="auto"/>
          <w:kern w:val="0"/>
          <w:szCs w:val="28"/>
          <w:highlight w:val="none"/>
          <w:lang w:val="en-US" w:eastAsia="zh-CN"/>
        </w:rPr>
        <w:t>及分包</w:t>
      </w:r>
      <w:r>
        <w:rPr>
          <w:color w:val="auto"/>
        </w:rPr>
        <w:tab/>
      </w:r>
      <w:r>
        <w:rPr>
          <w:color w:val="auto"/>
        </w:rPr>
        <w:fldChar w:fldCharType="begin"/>
      </w:r>
      <w:r>
        <w:rPr>
          <w:color w:val="auto"/>
        </w:rPr>
        <w:instrText xml:space="preserve"> PAGEREF _Toc29459 \h </w:instrText>
      </w:r>
      <w:r>
        <w:rPr>
          <w:color w:val="auto"/>
        </w:rPr>
        <w:fldChar w:fldCharType="separate"/>
      </w:r>
      <w:r>
        <w:rPr>
          <w:color w:val="auto"/>
        </w:rPr>
        <w:t>27</w:t>
      </w:r>
      <w:r>
        <w:rPr>
          <w:color w:val="auto"/>
        </w:rPr>
        <w:fldChar w:fldCharType="end"/>
      </w:r>
      <w:r>
        <w:rPr>
          <w:rFonts w:ascii="宋体" w:hAnsi="宋体" w:eastAsia="宋体"/>
          <w:bCs/>
          <w:color w:val="auto"/>
          <w:szCs w:val="21"/>
          <w:highlight w:val="none"/>
          <w:lang w:val="zh-CN"/>
        </w:rPr>
        <w:fldChar w:fldCharType="end"/>
      </w:r>
    </w:p>
    <w:p w14:paraId="08BD6509">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_Toc28418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2. </w:t>
      </w:r>
      <w:r>
        <w:rPr>
          <w:rFonts w:hint="eastAsia" w:ascii="宋体" w:hAnsi="宋体" w:eastAsia="宋体" w:cs="Times New Roman"/>
          <w:color w:val="auto"/>
          <w:kern w:val="0"/>
          <w:szCs w:val="21"/>
          <w:highlight w:val="none"/>
        </w:rPr>
        <w:t>合同范围</w:t>
      </w:r>
      <w:r>
        <w:rPr>
          <w:color w:val="auto"/>
        </w:rPr>
        <w:tab/>
      </w:r>
      <w:r>
        <w:rPr>
          <w:color w:val="auto"/>
        </w:rPr>
        <w:fldChar w:fldCharType="begin"/>
      </w:r>
      <w:r>
        <w:rPr>
          <w:color w:val="auto"/>
        </w:rPr>
        <w:instrText xml:space="preserve"> PAGEREF _Toc28418 \h </w:instrText>
      </w:r>
      <w:r>
        <w:rPr>
          <w:color w:val="auto"/>
        </w:rPr>
        <w:fldChar w:fldCharType="separate"/>
      </w:r>
      <w:r>
        <w:rPr>
          <w:color w:val="auto"/>
        </w:rPr>
        <w:t>27</w:t>
      </w:r>
      <w:r>
        <w:rPr>
          <w:color w:val="auto"/>
        </w:rPr>
        <w:fldChar w:fldCharType="end"/>
      </w:r>
      <w:r>
        <w:rPr>
          <w:rFonts w:ascii="宋体" w:hAnsi="宋体" w:eastAsia="宋体"/>
          <w:bCs/>
          <w:color w:val="auto"/>
          <w:szCs w:val="21"/>
          <w:highlight w:val="none"/>
          <w:lang w:val="zh-CN"/>
        </w:rPr>
        <w:fldChar w:fldCharType="end"/>
      </w:r>
    </w:p>
    <w:p w14:paraId="1F36DFC7">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_Toc21708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3. </w:t>
      </w:r>
      <w:r>
        <w:rPr>
          <w:rFonts w:hint="eastAsia" w:ascii="宋体" w:hAnsi="宋体" w:eastAsia="宋体" w:cs="Times New Roman"/>
          <w:color w:val="auto"/>
          <w:kern w:val="0"/>
          <w:szCs w:val="21"/>
          <w:highlight w:val="none"/>
        </w:rPr>
        <w:t>合同价格与支付</w:t>
      </w:r>
      <w:r>
        <w:rPr>
          <w:color w:val="auto"/>
        </w:rPr>
        <w:tab/>
      </w:r>
      <w:r>
        <w:rPr>
          <w:color w:val="auto"/>
        </w:rPr>
        <w:fldChar w:fldCharType="begin"/>
      </w:r>
      <w:r>
        <w:rPr>
          <w:color w:val="auto"/>
        </w:rPr>
        <w:instrText xml:space="preserve"> PAGEREF _Toc21708 \h </w:instrText>
      </w:r>
      <w:r>
        <w:rPr>
          <w:color w:val="auto"/>
        </w:rPr>
        <w:fldChar w:fldCharType="separate"/>
      </w:r>
      <w:r>
        <w:rPr>
          <w:color w:val="auto"/>
        </w:rPr>
        <w:t>28</w:t>
      </w:r>
      <w:r>
        <w:rPr>
          <w:color w:val="auto"/>
        </w:rPr>
        <w:fldChar w:fldCharType="end"/>
      </w:r>
      <w:r>
        <w:rPr>
          <w:rFonts w:ascii="宋体" w:hAnsi="宋体" w:eastAsia="宋体"/>
          <w:bCs/>
          <w:color w:val="auto"/>
          <w:szCs w:val="21"/>
          <w:highlight w:val="none"/>
          <w:lang w:val="zh-CN"/>
        </w:rPr>
        <w:fldChar w:fldCharType="end"/>
      </w:r>
    </w:p>
    <w:p w14:paraId="43E1801F">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_Toc18919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3.1 </w:t>
      </w:r>
      <w:r>
        <w:rPr>
          <w:rFonts w:hint="eastAsia" w:ascii="宋体" w:hAnsi="宋体" w:eastAsia="宋体" w:cs="黑体"/>
          <w:color w:val="auto"/>
          <w:kern w:val="0"/>
          <w:szCs w:val="28"/>
          <w:highlight w:val="none"/>
        </w:rPr>
        <w:t>合同价格</w:t>
      </w:r>
      <w:r>
        <w:rPr>
          <w:color w:val="auto"/>
        </w:rPr>
        <w:tab/>
      </w:r>
      <w:r>
        <w:rPr>
          <w:color w:val="auto"/>
        </w:rPr>
        <w:fldChar w:fldCharType="begin"/>
      </w:r>
      <w:r>
        <w:rPr>
          <w:color w:val="auto"/>
        </w:rPr>
        <w:instrText xml:space="preserve"> PAGEREF _Toc18919 \h </w:instrText>
      </w:r>
      <w:r>
        <w:rPr>
          <w:color w:val="auto"/>
        </w:rPr>
        <w:fldChar w:fldCharType="separate"/>
      </w:r>
      <w:r>
        <w:rPr>
          <w:color w:val="auto"/>
        </w:rPr>
        <w:t>28</w:t>
      </w:r>
      <w:r>
        <w:rPr>
          <w:color w:val="auto"/>
        </w:rPr>
        <w:fldChar w:fldCharType="end"/>
      </w:r>
      <w:r>
        <w:rPr>
          <w:rFonts w:ascii="宋体" w:hAnsi="宋体" w:eastAsia="宋体"/>
          <w:bCs/>
          <w:color w:val="auto"/>
          <w:szCs w:val="21"/>
          <w:highlight w:val="none"/>
          <w:lang w:val="zh-CN"/>
        </w:rPr>
        <w:fldChar w:fldCharType="end"/>
      </w:r>
    </w:p>
    <w:p w14:paraId="4EC5B0C4">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_Toc12187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3.2 </w:t>
      </w:r>
      <w:r>
        <w:rPr>
          <w:rFonts w:hint="eastAsia" w:ascii="宋体" w:hAnsi="宋体" w:eastAsia="宋体" w:cs="黑体"/>
          <w:color w:val="auto"/>
          <w:kern w:val="0"/>
          <w:szCs w:val="28"/>
          <w:highlight w:val="none"/>
        </w:rPr>
        <w:t>合同价款的支付</w:t>
      </w:r>
      <w:r>
        <w:rPr>
          <w:color w:val="auto"/>
        </w:rPr>
        <w:tab/>
      </w:r>
      <w:r>
        <w:rPr>
          <w:color w:val="auto"/>
        </w:rPr>
        <w:fldChar w:fldCharType="begin"/>
      </w:r>
      <w:r>
        <w:rPr>
          <w:color w:val="auto"/>
        </w:rPr>
        <w:instrText xml:space="preserve"> PAGEREF _Toc12187 \h </w:instrText>
      </w:r>
      <w:r>
        <w:rPr>
          <w:color w:val="auto"/>
        </w:rPr>
        <w:fldChar w:fldCharType="separate"/>
      </w:r>
      <w:r>
        <w:rPr>
          <w:color w:val="auto"/>
        </w:rPr>
        <w:t>28</w:t>
      </w:r>
      <w:r>
        <w:rPr>
          <w:color w:val="auto"/>
        </w:rPr>
        <w:fldChar w:fldCharType="end"/>
      </w:r>
      <w:r>
        <w:rPr>
          <w:rFonts w:ascii="宋体" w:hAnsi="宋体" w:eastAsia="宋体"/>
          <w:bCs/>
          <w:color w:val="auto"/>
          <w:szCs w:val="21"/>
          <w:highlight w:val="none"/>
          <w:lang w:val="zh-CN"/>
        </w:rPr>
        <w:fldChar w:fldCharType="end"/>
      </w:r>
    </w:p>
    <w:p w14:paraId="231A6240">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_Toc15586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3.3 </w:t>
      </w:r>
      <w:r>
        <w:rPr>
          <w:rFonts w:hint="eastAsia" w:ascii="宋体" w:hAnsi="宋体" w:eastAsia="宋体" w:cs="黑体"/>
          <w:color w:val="auto"/>
          <w:kern w:val="0"/>
          <w:szCs w:val="28"/>
          <w:highlight w:val="none"/>
        </w:rPr>
        <w:t>买方扣款的权利</w:t>
      </w:r>
      <w:r>
        <w:rPr>
          <w:color w:val="auto"/>
        </w:rPr>
        <w:tab/>
      </w:r>
      <w:r>
        <w:rPr>
          <w:color w:val="auto"/>
        </w:rPr>
        <w:fldChar w:fldCharType="begin"/>
      </w:r>
      <w:r>
        <w:rPr>
          <w:color w:val="auto"/>
        </w:rPr>
        <w:instrText xml:space="preserve"> PAGEREF _Toc15586 \h </w:instrText>
      </w:r>
      <w:r>
        <w:rPr>
          <w:color w:val="auto"/>
        </w:rPr>
        <w:fldChar w:fldCharType="separate"/>
      </w:r>
      <w:r>
        <w:rPr>
          <w:color w:val="auto"/>
        </w:rPr>
        <w:t>30</w:t>
      </w:r>
      <w:r>
        <w:rPr>
          <w:color w:val="auto"/>
        </w:rPr>
        <w:fldChar w:fldCharType="end"/>
      </w:r>
      <w:r>
        <w:rPr>
          <w:rFonts w:ascii="宋体" w:hAnsi="宋体" w:eastAsia="宋体"/>
          <w:bCs/>
          <w:color w:val="auto"/>
          <w:szCs w:val="21"/>
          <w:highlight w:val="none"/>
          <w:lang w:val="zh-CN"/>
        </w:rPr>
        <w:fldChar w:fldCharType="end"/>
      </w:r>
    </w:p>
    <w:p w14:paraId="00A93AC4">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_Toc29080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4. </w:t>
      </w:r>
      <w:r>
        <w:rPr>
          <w:rFonts w:hint="eastAsia" w:ascii="宋体" w:hAnsi="宋体" w:eastAsia="宋体" w:cs="Times New Roman"/>
          <w:color w:val="auto"/>
          <w:kern w:val="0"/>
          <w:szCs w:val="21"/>
          <w:highlight w:val="none"/>
        </w:rPr>
        <w:t>监造及交货前检验</w:t>
      </w:r>
      <w:r>
        <w:rPr>
          <w:color w:val="auto"/>
        </w:rPr>
        <w:tab/>
      </w:r>
      <w:r>
        <w:rPr>
          <w:color w:val="auto"/>
        </w:rPr>
        <w:fldChar w:fldCharType="begin"/>
      </w:r>
      <w:r>
        <w:rPr>
          <w:color w:val="auto"/>
        </w:rPr>
        <w:instrText xml:space="preserve"> PAGEREF _Toc29080 \h </w:instrText>
      </w:r>
      <w:r>
        <w:rPr>
          <w:color w:val="auto"/>
        </w:rPr>
        <w:fldChar w:fldCharType="separate"/>
      </w:r>
      <w:r>
        <w:rPr>
          <w:color w:val="auto"/>
        </w:rPr>
        <w:t>31</w:t>
      </w:r>
      <w:r>
        <w:rPr>
          <w:color w:val="auto"/>
        </w:rPr>
        <w:fldChar w:fldCharType="end"/>
      </w:r>
      <w:r>
        <w:rPr>
          <w:rFonts w:ascii="宋体" w:hAnsi="宋体" w:eastAsia="宋体"/>
          <w:bCs/>
          <w:color w:val="auto"/>
          <w:szCs w:val="21"/>
          <w:highlight w:val="none"/>
          <w:lang w:val="zh-CN"/>
        </w:rPr>
        <w:fldChar w:fldCharType="end"/>
      </w:r>
    </w:p>
    <w:p w14:paraId="65BD2631">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_Toc14024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4.1 </w:t>
      </w:r>
      <w:r>
        <w:rPr>
          <w:rFonts w:hint="eastAsia" w:ascii="宋体" w:hAnsi="宋体" w:eastAsia="宋体" w:cs="黑体"/>
          <w:color w:val="auto"/>
          <w:kern w:val="0"/>
          <w:szCs w:val="28"/>
          <w:highlight w:val="none"/>
        </w:rPr>
        <w:t>监造</w:t>
      </w:r>
      <w:r>
        <w:rPr>
          <w:color w:val="auto"/>
        </w:rPr>
        <w:tab/>
      </w:r>
      <w:r>
        <w:rPr>
          <w:color w:val="auto"/>
        </w:rPr>
        <w:fldChar w:fldCharType="begin"/>
      </w:r>
      <w:r>
        <w:rPr>
          <w:color w:val="auto"/>
        </w:rPr>
        <w:instrText xml:space="preserve"> PAGEREF _Toc14024 \h </w:instrText>
      </w:r>
      <w:r>
        <w:rPr>
          <w:color w:val="auto"/>
        </w:rPr>
        <w:fldChar w:fldCharType="separate"/>
      </w:r>
      <w:r>
        <w:rPr>
          <w:color w:val="auto"/>
        </w:rPr>
        <w:t>31</w:t>
      </w:r>
      <w:r>
        <w:rPr>
          <w:color w:val="auto"/>
        </w:rPr>
        <w:fldChar w:fldCharType="end"/>
      </w:r>
      <w:r>
        <w:rPr>
          <w:rFonts w:ascii="宋体" w:hAnsi="宋体" w:eastAsia="宋体"/>
          <w:bCs/>
          <w:color w:val="auto"/>
          <w:szCs w:val="21"/>
          <w:highlight w:val="none"/>
          <w:lang w:val="zh-CN"/>
        </w:rPr>
        <w:fldChar w:fldCharType="end"/>
      </w:r>
    </w:p>
    <w:p w14:paraId="1D6CFCA0">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_Toc4719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4.2 </w:t>
      </w:r>
      <w:r>
        <w:rPr>
          <w:rFonts w:hint="eastAsia" w:ascii="宋体" w:hAnsi="宋体" w:eastAsia="宋体" w:cs="黑体"/>
          <w:color w:val="auto"/>
          <w:kern w:val="0"/>
          <w:szCs w:val="28"/>
          <w:highlight w:val="none"/>
        </w:rPr>
        <w:t>交货前检验</w:t>
      </w:r>
      <w:r>
        <w:rPr>
          <w:color w:val="auto"/>
        </w:rPr>
        <w:tab/>
      </w:r>
      <w:r>
        <w:rPr>
          <w:color w:val="auto"/>
        </w:rPr>
        <w:fldChar w:fldCharType="begin"/>
      </w:r>
      <w:r>
        <w:rPr>
          <w:color w:val="auto"/>
        </w:rPr>
        <w:instrText xml:space="preserve"> PAGEREF _Toc4719 \h </w:instrText>
      </w:r>
      <w:r>
        <w:rPr>
          <w:color w:val="auto"/>
        </w:rPr>
        <w:fldChar w:fldCharType="separate"/>
      </w:r>
      <w:r>
        <w:rPr>
          <w:color w:val="auto"/>
        </w:rPr>
        <w:t>33</w:t>
      </w:r>
      <w:r>
        <w:rPr>
          <w:color w:val="auto"/>
        </w:rPr>
        <w:fldChar w:fldCharType="end"/>
      </w:r>
      <w:r>
        <w:rPr>
          <w:rFonts w:ascii="宋体" w:hAnsi="宋体" w:eastAsia="宋体"/>
          <w:bCs/>
          <w:color w:val="auto"/>
          <w:szCs w:val="21"/>
          <w:highlight w:val="none"/>
          <w:lang w:val="zh-CN"/>
        </w:rPr>
        <w:fldChar w:fldCharType="end"/>
      </w:r>
    </w:p>
    <w:p w14:paraId="461004C4">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_Toc15944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4.3 </w:t>
      </w:r>
      <w:r>
        <w:rPr>
          <w:rFonts w:hint="eastAsia" w:ascii="宋体" w:hAnsi="宋体" w:eastAsia="宋体" w:cs="黑体"/>
          <w:color w:val="auto"/>
          <w:kern w:val="0"/>
          <w:szCs w:val="28"/>
          <w:highlight w:val="none"/>
        </w:rPr>
        <w:t>抽检</w:t>
      </w:r>
      <w:r>
        <w:rPr>
          <w:color w:val="auto"/>
        </w:rPr>
        <w:tab/>
      </w:r>
      <w:r>
        <w:rPr>
          <w:color w:val="auto"/>
        </w:rPr>
        <w:fldChar w:fldCharType="begin"/>
      </w:r>
      <w:r>
        <w:rPr>
          <w:color w:val="auto"/>
        </w:rPr>
        <w:instrText xml:space="preserve"> PAGEREF _Toc15944 \h </w:instrText>
      </w:r>
      <w:r>
        <w:rPr>
          <w:color w:val="auto"/>
        </w:rPr>
        <w:fldChar w:fldCharType="separate"/>
      </w:r>
      <w:r>
        <w:rPr>
          <w:color w:val="auto"/>
        </w:rPr>
        <w:t>33</w:t>
      </w:r>
      <w:r>
        <w:rPr>
          <w:color w:val="auto"/>
        </w:rPr>
        <w:fldChar w:fldCharType="end"/>
      </w:r>
      <w:r>
        <w:rPr>
          <w:rFonts w:ascii="宋体" w:hAnsi="宋体" w:eastAsia="宋体"/>
          <w:bCs/>
          <w:color w:val="auto"/>
          <w:szCs w:val="21"/>
          <w:highlight w:val="none"/>
          <w:lang w:val="zh-CN"/>
        </w:rPr>
        <w:fldChar w:fldCharType="end"/>
      </w:r>
    </w:p>
    <w:p w14:paraId="72FEAC99">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_Toc31998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5.</w:t>
      </w:r>
      <w:r>
        <w:rPr>
          <w:rFonts w:hint="eastAsia" w:ascii="宋体" w:hAnsi="宋体" w:eastAsia="宋体" w:cs="Times New Roman"/>
          <w:color w:val="auto"/>
          <w:kern w:val="0"/>
          <w:szCs w:val="21"/>
          <w:highlight w:val="none"/>
        </w:rPr>
        <w:t>包装、标记、运输和交付</w:t>
      </w:r>
      <w:r>
        <w:rPr>
          <w:color w:val="auto"/>
        </w:rPr>
        <w:tab/>
      </w:r>
      <w:r>
        <w:rPr>
          <w:color w:val="auto"/>
        </w:rPr>
        <w:fldChar w:fldCharType="begin"/>
      </w:r>
      <w:r>
        <w:rPr>
          <w:color w:val="auto"/>
        </w:rPr>
        <w:instrText xml:space="preserve"> PAGEREF _Toc31998 \h </w:instrText>
      </w:r>
      <w:r>
        <w:rPr>
          <w:color w:val="auto"/>
        </w:rPr>
        <w:fldChar w:fldCharType="separate"/>
      </w:r>
      <w:r>
        <w:rPr>
          <w:color w:val="auto"/>
        </w:rPr>
        <w:t>34</w:t>
      </w:r>
      <w:r>
        <w:rPr>
          <w:color w:val="auto"/>
        </w:rPr>
        <w:fldChar w:fldCharType="end"/>
      </w:r>
      <w:r>
        <w:rPr>
          <w:rFonts w:ascii="宋体" w:hAnsi="宋体" w:eastAsia="宋体"/>
          <w:bCs/>
          <w:color w:val="auto"/>
          <w:szCs w:val="21"/>
          <w:highlight w:val="none"/>
          <w:lang w:val="zh-CN"/>
        </w:rPr>
        <w:fldChar w:fldCharType="end"/>
      </w:r>
    </w:p>
    <w:p w14:paraId="2A6C49FC">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_Toc15883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5.1 </w:t>
      </w:r>
      <w:r>
        <w:rPr>
          <w:rFonts w:hint="eastAsia" w:ascii="宋体" w:hAnsi="宋体" w:eastAsia="宋体" w:cs="黑体"/>
          <w:color w:val="auto"/>
          <w:kern w:val="0"/>
          <w:szCs w:val="28"/>
          <w:highlight w:val="none"/>
        </w:rPr>
        <w:t>包装</w:t>
      </w:r>
      <w:r>
        <w:rPr>
          <w:color w:val="auto"/>
        </w:rPr>
        <w:tab/>
      </w:r>
      <w:r>
        <w:rPr>
          <w:color w:val="auto"/>
        </w:rPr>
        <w:fldChar w:fldCharType="begin"/>
      </w:r>
      <w:r>
        <w:rPr>
          <w:color w:val="auto"/>
        </w:rPr>
        <w:instrText xml:space="preserve"> PAGEREF _Toc15883 \h </w:instrText>
      </w:r>
      <w:r>
        <w:rPr>
          <w:color w:val="auto"/>
        </w:rPr>
        <w:fldChar w:fldCharType="separate"/>
      </w:r>
      <w:r>
        <w:rPr>
          <w:color w:val="auto"/>
        </w:rPr>
        <w:t>34</w:t>
      </w:r>
      <w:r>
        <w:rPr>
          <w:color w:val="auto"/>
        </w:rPr>
        <w:fldChar w:fldCharType="end"/>
      </w:r>
      <w:r>
        <w:rPr>
          <w:rFonts w:ascii="宋体" w:hAnsi="宋体" w:eastAsia="宋体"/>
          <w:bCs/>
          <w:color w:val="auto"/>
          <w:szCs w:val="21"/>
          <w:highlight w:val="none"/>
          <w:lang w:val="zh-CN"/>
        </w:rPr>
        <w:fldChar w:fldCharType="end"/>
      </w:r>
    </w:p>
    <w:p w14:paraId="1D852F67">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_Toc30598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5.2 </w:t>
      </w:r>
      <w:r>
        <w:rPr>
          <w:rFonts w:hint="eastAsia" w:ascii="宋体" w:hAnsi="宋体" w:eastAsia="宋体" w:cs="黑体"/>
          <w:color w:val="auto"/>
          <w:kern w:val="0"/>
          <w:szCs w:val="28"/>
          <w:highlight w:val="none"/>
        </w:rPr>
        <w:t>标记</w:t>
      </w:r>
      <w:r>
        <w:rPr>
          <w:color w:val="auto"/>
        </w:rPr>
        <w:tab/>
      </w:r>
      <w:r>
        <w:rPr>
          <w:color w:val="auto"/>
        </w:rPr>
        <w:fldChar w:fldCharType="begin"/>
      </w:r>
      <w:r>
        <w:rPr>
          <w:color w:val="auto"/>
        </w:rPr>
        <w:instrText xml:space="preserve"> PAGEREF _Toc30598 \h </w:instrText>
      </w:r>
      <w:r>
        <w:rPr>
          <w:color w:val="auto"/>
        </w:rPr>
        <w:fldChar w:fldCharType="separate"/>
      </w:r>
      <w:r>
        <w:rPr>
          <w:color w:val="auto"/>
        </w:rPr>
        <w:t>35</w:t>
      </w:r>
      <w:r>
        <w:rPr>
          <w:color w:val="auto"/>
        </w:rPr>
        <w:fldChar w:fldCharType="end"/>
      </w:r>
      <w:r>
        <w:rPr>
          <w:rFonts w:ascii="宋体" w:hAnsi="宋体" w:eastAsia="宋体"/>
          <w:bCs/>
          <w:color w:val="auto"/>
          <w:szCs w:val="21"/>
          <w:highlight w:val="none"/>
          <w:lang w:val="zh-CN"/>
        </w:rPr>
        <w:fldChar w:fldCharType="end"/>
      </w:r>
    </w:p>
    <w:p w14:paraId="0FF30695">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_Toc14496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5.3 </w:t>
      </w:r>
      <w:r>
        <w:rPr>
          <w:rFonts w:hint="eastAsia" w:ascii="宋体" w:hAnsi="宋体" w:eastAsia="宋体" w:cs="黑体"/>
          <w:color w:val="auto"/>
          <w:kern w:val="0"/>
          <w:szCs w:val="28"/>
          <w:highlight w:val="none"/>
        </w:rPr>
        <w:t>运输</w:t>
      </w:r>
      <w:r>
        <w:rPr>
          <w:color w:val="auto"/>
        </w:rPr>
        <w:tab/>
      </w:r>
      <w:r>
        <w:rPr>
          <w:color w:val="auto"/>
        </w:rPr>
        <w:fldChar w:fldCharType="begin"/>
      </w:r>
      <w:r>
        <w:rPr>
          <w:color w:val="auto"/>
        </w:rPr>
        <w:instrText xml:space="preserve"> PAGEREF _Toc14496 \h </w:instrText>
      </w:r>
      <w:r>
        <w:rPr>
          <w:color w:val="auto"/>
        </w:rPr>
        <w:fldChar w:fldCharType="separate"/>
      </w:r>
      <w:r>
        <w:rPr>
          <w:color w:val="auto"/>
        </w:rPr>
        <w:t>36</w:t>
      </w:r>
      <w:r>
        <w:rPr>
          <w:color w:val="auto"/>
        </w:rPr>
        <w:fldChar w:fldCharType="end"/>
      </w:r>
      <w:r>
        <w:rPr>
          <w:rFonts w:ascii="宋体" w:hAnsi="宋体" w:eastAsia="宋体"/>
          <w:bCs/>
          <w:color w:val="auto"/>
          <w:szCs w:val="21"/>
          <w:highlight w:val="none"/>
          <w:lang w:val="zh-CN"/>
        </w:rPr>
        <w:fldChar w:fldCharType="end"/>
      </w:r>
    </w:p>
    <w:p w14:paraId="78505797">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_Toc16997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5.4 </w:t>
      </w:r>
      <w:r>
        <w:rPr>
          <w:rFonts w:hint="eastAsia" w:ascii="宋体" w:hAnsi="宋体" w:eastAsia="宋体" w:cs="黑体"/>
          <w:color w:val="auto"/>
          <w:kern w:val="0"/>
          <w:szCs w:val="28"/>
          <w:highlight w:val="none"/>
        </w:rPr>
        <w:t>交付</w:t>
      </w:r>
      <w:r>
        <w:rPr>
          <w:color w:val="auto"/>
        </w:rPr>
        <w:tab/>
      </w:r>
      <w:r>
        <w:rPr>
          <w:color w:val="auto"/>
        </w:rPr>
        <w:fldChar w:fldCharType="begin"/>
      </w:r>
      <w:r>
        <w:rPr>
          <w:color w:val="auto"/>
        </w:rPr>
        <w:instrText xml:space="preserve"> PAGEREF _Toc16997 \h </w:instrText>
      </w:r>
      <w:r>
        <w:rPr>
          <w:color w:val="auto"/>
        </w:rPr>
        <w:fldChar w:fldCharType="separate"/>
      </w:r>
      <w:r>
        <w:rPr>
          <w:color w:val="auto"/>
        </w:rPr>
        <w:t>37</w:t>
      </w:r>
      <w:r>
        <w:rPr>
          <w:color w:val="auto"/>
        </w:rPr>
        <w:fldChar w:fldCharType="end"/>
      </w:r>
      <w:r>
        <w:rPr>
          <w:rFonts w:ascii="宋体" w:hAnsi="宋体" w:eastAsia="宋体"/>
          <w:bCs/>
          <w:color w:val="auto"/>
          <w:szCs w:val="21"/>
          <w:highlight w:val="none"/>
          <w:lang w:val="zh-CN"/>
        </w:rPr>
        <w:fldChar w:fldCharType="end"/>
      </w:r>
    </w:p>
    <w:p w14:paraId="3E304A44">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_Toc15564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6. </w:t>
      </w:r>
      <w:r>
        <w:rPr>
          <w:rFonts w:hint="eastAsia" w:ascii="宋体" w:hAnsi="宋体" w:eastAsia="宋体" w:cs="Times New Roman"/>
          <w:color w:val="auto"/>
          <w:kern w:val="0"/>
          <w:szCs w:val="21"/>
          <w:highlight w:val="none"/>
        </w:rPr>
        <w:t>开箱检验、安装、调试、考核、验收</w:t>
      </w:r>
      <w:r>
        <w:rPr>
          <w:color w:val="auto"/>
        </w:rPr>
        <w:tab/>
      </w:r>
      <w:r>
        <w:rPr>
          <w:color w:val="auto"/>
        </w:rPr>
        <w:fldChar w:fldCharType="begin"/>
      </w:r>
      <w:r>
        <w:rPr>
          <w:color w:val="auto"/>
        </w:rPr>
        <w:instrText xml:space="preserve"> PAGEREF _Toc15564 \h </w:instrText>
      </w:r>
      <w:r>
        <w:rPr>
          <w:color w:val="auto"/>
        </w:rPr>
        <w:fldChar w:fldCharType="separate"/>
      </w:r>
      <w:r>
        <w:rPr>
          <w:color w:val="auto"/>
        </w:rPr>
        <w:t>38</w:t>
      </w:r>
      <w:r>
        <w:rPr>
          <w:color w:val="auto"/>
        </w:rPr>
        <w:fldChar w:fldCharType="end"/>
      </w:r>
      <w:r>
        <w:rPr>
          <w:rFonts w:ascii="宋体" w:hAnsi="宋体" w:eastAsia="宋体"/>
          <w:bCs/>
          <w:color w:val="auto"/>
          <w:szCs w:val="21"/>
          <w:highlight w:val="none"/>
          <w:lang w:val="zh-CN"/>
        </w:rPr>
        <w:fldChar w:fldCharType="end"/>
      </w:r>
    </w:p>
    <w:p w14:paraId="6E87F3C8">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_Toc18851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6.1 开箱检验</w:t>
      </w:r>
      <w:r>
        <w:rPr>
          <w:color w:val="auto"/>
        </w:rPr>
        <w:tab/>
      </w:r>
      <w:r>
        <w:rPr>
          <w:color w:val="auto"/>
        </w:rPr>
        <w:fldChar w:fldCharType="begin"/>
      </w:r>
      <w:r>
        <w:rPr>
          <w:color w:val="auto"/>
        </w:rPr>
        <w:instrText xml:space="preserve"> PAGEREF _Toc18851 \h </w:instrText>
      </w:r>
      <w:r>
        <w:rPr>
          <w:color w:val="auto"/>
        </w:rPr>
        <w:fldChar w:fldCharType="separate"/>
      </w:r>
      <w:r>
        <w:rPr>
          <w:color w:val="auto"/>
        </w:rPr>
        <w:t>38</w:t>
      </w:r>
      <w:r>
        <w:rPr>
          <w:color w:val="auto"/>
        </w:rPr>
        <w:fldChar w:fldCharType="end"/>
      </w:r>
      <w:r>
        <w:rPr>
          <w:rFonts w:ascii="宋体" w:hAnsi="宋体" w:eastAsia="宋体"/>
          <w:bCs/>
          <w:color w:val="auto"/>
          <w:szCs w:val="21"/>
          <w:highlight w:val="none"/>
          <w:lang w:val="zh-CN"/>
        </w:rPr>
        <w:fldChar w:fldCharType="end"/>
      </w:r>
    </w:p>
    <w:p w14:paraId="1B6ABECE">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_Toc9580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6.2 </w:t>
      </w:r>
      <w:r>
        <w:rPr>
          <w:rFonts w:hint="eastAsia" w:ascii="宋体" w:hAnsi="宋体" w:eastAsia="宋体" w:cs="黑体"/>
          <w:color w:val="auto"/>
          <w:kern w:val="0"/>
          <w:szCs w:val="28"/>
          <w:highlight w:val="none"/>
        </w:rPr>
        <w:t>安装、调试</w:t>
      </w:r>
      <w:r>
        <w:rPr>
          <w:color w:val="auto"/>
        </w:rPr>
        <w:tab/>
      </w:r>
      <w:r>
        <w:rPr>
          <w:color w:val="auto"/>
        </w:rPr>
        <w:fldChar w:fldCharType="begin"/>
      </w:r>
      <w:r>
        <w:rPr>
          <w:color w:val="auto"/>
        </w:rPr>
        <w:instrText xml:space="preserve"> PAGEREF _Toc9580 \h </w:instrText>
      </w:r>
      <w:r>
        <w:rPr>
          <w:color w:val="auto"/>
        </w:rPr>
        <w:fldChar w:fldCharType="separate"/>
      </w:r>
      <w:r>
        <w:rPr>
          <w:color w:val="auto"/>
        </w:rPr>
        <w:t>38</w:t>
      </w:r>
      <w:r>
        <w:rPr>
          <w:color w:val="auto"/>
        </w:rPr>
        <w:fldChar w:fldCharType="end"/>
      </w:r>
      <w:r>
        <w:rPr>
          <w:rFonts w:ascii="宋体" w:hAnsi="宋体" w:eastAsia="宋体"/>
          <w:bCs/>
          <w:color w:val="auto"/>
          <w:szCs w:val="21"/>
          <w:highlight w:val="none"/>
          <w:lang w:val="zh-CN"/>
        </w:rPr>
        <w:fldChar w:fldCharType="end"/>
      </w:r>
    </w:p>
    <w:p w14:paraId="1EEE425B">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_Toc26580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6.3 </w:t>
      </w:r>
      <w:r>
        <w:rPr>
          <w:rFonts w:hint="eastAsia" w:ascii="宋体" w:hAnsi="宋体" w:eastAsia="宋体" w:cs="黑体"/>
          <w:color w:val="auto"/>
          <w:kern w:val="0"/>
          <w:szCs w:val="28"/>
          <w:highlight w:val="none"/>
        </w:rPr>
        <w:t>考核</w:t>
      </w:r>
      <w:r>
        <w:rPr>
          <w:color w:val="auto"/>
        </w:rPr>
        <w:tab/>
      </w:r>
      <w:r>
        <w:rPr>
          <w:color w:val="auto"/>
        </w:rPr>
        <w:fldChar w:fldCharType="begin"/>
      </w:r>
      <w:r>
        <w:rPr>
          <w:color w:val="auto"/>
        </w:rPr>
        <w:instrText xml:space="preserve"> PAGEREF _Toc26580 \h </w:instrText>
      </w:r>
      <w:r>
        <w:rPr>
          <w:color w:val="auto"/>
        </w:rPr>
        <w:fldChar w:fldCharType="separate"/>
      </w:r>
      <w:r>
        <w:rPr>
          <w:color w:val="auto"/>
        </w:rPr>
        <w:t>39</w:t>
      </w:r>
      <w:r>
        <w:rPr>
          <w:color w:val="auto"/>
        </w:rPr>
        <w:fldChar w:fldCharType="end"/>
      </w:r>
      <w:r>
        <w:rPr>
          <w:rFonts w:ascii="宋体" w:hAnsi="宋体" w:eastAsia="宋体"/>
          <w:bCs/>
          <w:color w:val="auto"/>
          <w:szCs w:val="21"/>
          <w:highlight w:val="none"/>
          <w:lang w:val="zh-CN"/>
        </w:rPr>
        <w:fldChar w:fldCharType="end"/>
      </w:r>
    </w:p>
    <w:p w14:paraId="376CEF94">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_Toc18759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6.4 </w:t>
      </w:r>
      <w:r>
        <w:rPr>
          <w:rFonts w:hint="eastAsia" w:ascii="宋体" w:hAnsi="宋体" w:eastAsia="宋体" w:cs="黑体"/>
          <w:color w:val="auto"/>
          <w:kern w:val="0"/>
          <w:szCs w:val="28"/>
          <w:highlight w:val="none"/>
        </w:rPr>
        <w:t>验收</w:t>
      </w:r>
      <w:r>
        <w:rPr>
          <w:color w:val="auto"/>
        </w:rPr>
        <w:tab/>
      </w:r>
      <w:r>
        <w:rPr>
          <w:color w:val="auto"/>
        </w:rPr>
        <w:fldChar w:fldCharType="begin"/>
      </w:r>
      <w:r>
        <w:rPr>
          <w:color w:val="auto"/>
        </w:rPr>
        <w:instrText xml:space="preserve"> PAGEREF _Toc18759 \h </w:instrText>
      </w:r>
      <w:r>
        <w:rPr>
          <w:color w:val="auto"/>
        </w:rPr>
        <w:fldChar w:fldCharType="separate"/>
      </w:r>
      <w:r>
        <w:rPr>
          <w:color w:val="auto"/>
        </w:rPr>
        <w:t>39</w:t>
      </w:r>
      <w:r>
        <w:rPr>
          <w:color w:val="auto"/>
        </w:rPr>
        <w:fldChar w:fldCharType="end"/>
      </w:r>
      <w:r>
        <w:rPr>
          <w:rFonts w:ascii="宋体" w:hAnsi="宋体" w:eastAsia="宋体"/>
          <w:bCs/>
          <w:color w:val="auto"/>
          <w:szCs w:val="21"/>
          <w:highlight w:val="none"/>
          <w:lang w:val="zh-CN"/>
        </w:rPr>
        <w:fldChar w:fldCharType="end"/>
      </w:r>
    </w:p>
    <w:p w14:paraId="1B719100">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_Toc27932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7. </w:t>
      </w:r>
      <w:r>
        <w:rPr>
          <w:rFonts w:hint="eastAsia" w:ascii="宋体" w:hAnsi="宋体" w:eastAsia="宋体" w:cs="Times New Roman"/>
          <w:color w:val="auto"/>
          <w:kern w:val="0"/>
          <w:szCs w:val="21"/>
          <w:highlight w:val="none"/>
        </w:rPr>
        <w:t>技术服务</w:t>
      </w:r>
      <w:r>
        <w:rPr>
          <w:color w:val="auto"/>
        </w:rPr>
        <w:tab/>
      </w:r>
      <w:r>
        <w:rPr>
          <w:color w:val="auto"/>
        </w:rPr>
        <w:fldChar w:fldCharType="begin"/>
      </w:r>
      <w:r>
        <w:rPr>
          <w:color w:val="auto"/>
        </w:rPr>
        <w:instrText xml:space="preserve"> PAGEREF _Toc27932 \h </w:instrText>
      </w:r>
      <w:r>
        <w:rPr>
          <w:color w:val="auto"/>
        </w:rPr>
        <w:fldChar w:fldCharType="separate"/>
      </w:r>
      <w:r>
        <w:rPr>
          <w:color w:val="auto"/>
        </w:rPr>
        <w:t>39</w:t>
      </w:r>
      <w:r>
        <w:rPr>
          <w:color w:val="auto"/>
        </w:rPr>
        <w:fldChar w:fldCharType="end"/>
      </w:r>
      <w:r>
        <w:rPr>
          <w:rFonts w:ascii="宋体" w:hAnsi="宋体" w:eastAsia="宋体"/>
          <w:bCs/>
          <w:color w:val="auto"/>
          <w:szCs w:val="21"/>
          <w:highlight w:val="none"/>
          <w:lang w:val="zh-CN"/>
        </w:rPr>
        <w:fldChar w:fldCharType="end"/>
      </w:r>
    </w:p>
    <w:p w14:paraId="2E0BF7F2">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_Toc8831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8. </w:t>
      </w:r>
      <w:r>
        <w:rPr>
          <w:rFonts w:hint="eastAsia" w:ascii="宋体" w:hAnsi="宋体" w:eastAsia="宋体" w:cs="Times New Roman"/>
          <w:color w:val="auto"/>
          <w:kern w:val="0"/>
          <w:szCs w:val="21"/>
          <w:highlight w:val="none"/>
        </w:rPr>
        <w:t>质量保证期</w:t>
      </w:r>
      <w:r>
        <w:rPr>
          <w:color w:val="auto"/>
        </w:rPr>
        <w:tab/>
      </w:r>
      <w:r>
        <w:rPr>
          <w:color w:val="auto"/>
        </w:rPr>
        <w:fldChar w:fldCharType="begin"/>
      </w:r>
      <w:r>
        <w:rPr>
          <w:color w:val="auto"/>
        </w:rPr>
        <w:instrText xml:space="preserve"> PAGEREF _Toc8831 \h </w:instrText>
      </w:r>
      <w:r>
        <w:rPr>
          <w:color w:val="auto"/>
        </w:rPr>
        <w:fldChar w:fldCharType="separate"/>
      </w:r>
      <w:r>
        <w:rPr>
          <w:color w:val="auto"/>
        </w:rPr>
        <w:t>41</w:t>
      </w:r>
      <w:r>
        <w:rPr>
          <w:color w:val="auto"/>
        </w:rPr>
        <w:fldChar w:fldCharType="end"/>
      </w:r>
      <w:r>
        <w:rPr>
          <w:rFonts w:ascii="宋体" w:hAnsi="宋体" w:eastAsia="宋体"/>
          <w:bCs/>
          <w:color w:val="auto"/>
          <w:szCs w:val="21"/>
          <w:highlight w:val="none"/>
          <w:lang w:val="zh-CN"/>
        </w:rPr>
        <w:fldChar w:fldCharType="end"/>
      </w:r>
    </w:p>
    <w:p w14:paraId="739D1D1A">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_Toc29537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9. </w:t>
      </w:r>
      <w:r>
        <w:rPr>
          <w:rFonts w:hint="eastAsia" w:ascii="宋体" w:hAnsi="宋体" w:eastAsia="宋体" w:cs="Times New Roman"/>
          <w:color w:val="auto"/>
          <w:kern w:val="0"/>
          <w:szCs w:val="21"/>
          <w:highlight w:val="none"/>
        </w:rPr>
        <w:t>质保期服务</w:t>
      </w:r>
      <w:r>
        <w:rPr>
          <w:color w:val="auto"/>
        </w:rPr>
        <w:tab/>
      </w:r>
      <w:r>
        <w:rPr>
          <w:color w:val="auto"/>
        </w:rPr>
        <w:fldChar w:fldCharType="begin"/>
      </w:r>
      <w:r>
        <w:rPr>
          <w:color w:val="auto"/>
        </w:rPr>
        <w:instrText xml:space="preserve"> PAGEREF _Toc29537 \h </w:instrText>
      </w:r>
      <w:r>
        <w:rPr>
          <w:color w:val="auto"/>
        </w:rPr>
        <w:fldChar w:fldCharType="separate"/>
      </w:r>
      <w:r>
        <w:rPr>
          <w:color w:val="auto"/>
        </w:rPr>
        <w:t>41</w:t>
      </w:r>
      <w:r>
        <w:rPr>
          <w:color w:val="auto"/>
        </w:rPr>
        <w:fldChar w:fldCharType="end"/>
      </w:r>
      <w:r>
        <w:rPr>
          <w:rFonts w:ascii="宋体" w:hAnsi="宋体" w:eastAsia="宋体"/>
          <w:bCs/>
          <w:color w:val="auto"/>
          <w:szCs w:val="21"/>
          <w:highlight w:val="none"/>
          <w:lang w:val="zh-CN"/>
        </w:rPr>
        <w:fldChar w:fldCharType="end"/>
      </w:r>
    </w:p>
    <w:p w14:paraId="0D6BF90A">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_Toc29318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10. </w:t>
      </w:r>
      <w:r>
        <w:rPr>
          <w:rFonts w:hint="eastAsia" w:ascii="宋体" w:hAnsi="宋体" w:eastAsia="宋体" w:cs="Times New Roman"/>
          <w:color w:val="auto"/>
          <w:kern w:val="0"/>
          <w:szCs w:val="21"/>
          <w:highlight w:val="none"/>
        </w:rPr>
        <w:t>履约保证金</w:t>
      </w:r>
      <w:r>
        <w:rPr>
          <w:color w:val="auto"/>
        </w:rPr>
        <w:tab/>
      </w:r>
      <w:r>
        <w:rPr>
          <w:color w:val="auto"/>
        </w:rPr>
        <w:fldChar w:fldCharType="begin"/>
      </w:r>
      <w:r>
        <w:rPr>
          <w:color w:val="auto"/>
        </w:rPr>
        <w:instrText xml:space="preserve"> PAGEREF _Toc29318 \h </w:instrText>
      </w:r>
      <w:r>
        <w:rPr>
          <w:color w:val="auto"/>
        </w:rPr>
        <w:fldChar w:fldCharType="separate"/>
      </w:r>
      <w:r>
        <w:rPr>
          <w:color w:val="auto"/>
        </w:rPr>
        <w:t>41</w:t>
      </w:r>
      <w:r>
        <w:rPr>
          <w:color w:val="auto"/>
        </w:rPr>
        <w:fldChar w:fldCharType="end"/>
      </w:r>
      <w:r>
        <w:rPr>
          <w:rFonts w:ascii="宋体" w:hAnsi="宋体" w:eastAsia="宋体"/>
          <w:bCs/>
          <w:color w:val="auto"/>
          <w:szCs w:val="21"/>
          <w:highlight w:val="none"/>
          <w:lang w:val="zh-CN"/>
        </w:rPr>
        <w:fldChar w:fldCharType="end"/>
      </w:r>
    </w:p>
    <w:p w14:paraId="25EF24B8">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_Toc4328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11. </w:t>
      </w:r>
      <w:r>
        <w:rPr>
          <w:rFonts w:hint="eastAsia" w:ascii="宋体" w:hAnsi="宋体" w:eastAsia="宋体" w:cs="Times New Roman"/>
          <w:color w:val="auto"/>
          <w:kern w:val="0"/>
          <w:szCs w:val="21"/>
          <w:highlight w:val="none"/>
        </w:rPr>
        <w:t>保证</w:t>
      </w:r>
      <w:r>
        <w:rPr>
          <w:color w:val="auto"/>
        </w:rPr>
        <w:tab/>
      </w:r>
      <w:r>
        <w:rPr>
          <w:color w:val="auto"/>
        </w:rPr>
        <w:fldChar w:fldCharType="begin"/>
      </w:r>
      <w:r>
        <w:rPr>
          <w:color w:val="auto"/>
        </w:rPr>
        <w:instrText xml:space="preserve"> PAGEREF _Toc4328 \h </w:instrText>
      </w:r>
      <w:r>
        <w:rPr>
          <w:color w:val="auto"/>
        </w:rPr>
        <w:fldChar w:fldCharType="separate"/>
      </w:r>
      <w:r>
        <w:rPr>
          <w:color w:val="auto"/>
        </w:rPr>
        <w:t>42</w:t>
      </w:r>
      <w:r>
        <w:rPr>
          <w:color w:val="auto"/>
        </w:rPr>
        <w:fldChar w:fldCharType="end"/>
      </w:r>
      <w:r>
        <w:rPr>
          <w:rFonts w:ascii="宋体" w:hAnsi="宋体" w:eastAsia="宋体"/>
          <w:bCs/>
          <w:color w:val="auto"/>
          <w:szCs w:val="21"/>
          <w:highlight w:val="none"/>
          <w:lang w:val="zh-CN"/>
        </w:rPr>
        <w:fldChar w:fldCharType="end"/>
      </w:r>
    </w:p>
    <w:p w14:paraId="0A517F41">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_Toc20160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12. </w:t>
      </w:r>
      <w:r>
        <w:rPr>
          <w:rFonts w:hint="eastAsia" w:ascii="宋体" w:hAnsi="宋体" w:eastAsia="宋体" w:cs="Times New Roman"/>
          <w:color w:val="auto"/>
          <w:kern w:val="0"/>
          <w:szCs w:val="21"/>
          <w:highlight w:val="none"/>
        </w:rPr>
        <w:t>知识产权</w:t>
      </w:r>
      <w:r>
        <w:rPr>
          <w:color w:val="auto"/>
        </w:rPr>
        <w:tab/>
      </w:r>
      <w:r>
        <w:rPr>
          <w:color w:val="auto"/>
        </w:rPr>
        <w:fldChar w:fldCharType="begin"/>
      </w:r>
      <w:r>
        <w:rPr>
          <w:color w:val="auto"/>
        </w:rPr>
        <w:instrText xml:space="preserve"> PAGEREF _Toc20160 \h </w:instrText>
      </w:r>
      <w:r>
        <w:rPr>
          <w:color w:val="auto"/>
        </w:rPr>
        <w:fldChar w:fldCharType="separate"/>
      </w:r>
      <w:r>
        <w:rPr>
          <w:color w:val="auto"/>
        </w:rPr>
        <w:t>44</w:t>
      </w:r>
      <w:r>
        <w:rPr>
          <w:color w:val="auto"/>
        </w:rPr>
        <w:fldChar w:fldCharType="end"/>
      </w:r>
      <w:r>
        <w:rPr>
          <w:rFonts w:ascii="宋体" w:hAnsi="宋体" w:eastAsia="宋体"/>
          <w:bCs/>
          <w:color w:val="auto"/>
          <w:szCs w:val="21"/>
          <w:highlight w:val="none"/>
          <w:lang w:val="zh-CN"/>
        </w:rPr>
        <w:fldChar w:fldCharType="end"/>
      </w:r>
    </w:p>
    <w:p w14:paraId="500E11E0">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_Toc17645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13. </w:t>
      </w:r>
      <w:r>
        <w:rPr>
          <w:rFonts w:hint="eastAsia" w:ascii="宋体" w:hAnsi="宋体" w:eastAsia="宋体" w:cs="Times New Roman"/>
          <w:color w:val="auto"/>
          <w:kern w:val="0"/>
          <w:szCs w:val="21"/>
          <w:highlight w:val="none"/>
        </w:rPr>
        <w:t>保密</w:t>
      </w:r>
      <w:r>
        <w:rPr>
          <w:color w:val="auto"/>
        </w:rPr>
        <w:tab/>
      </w:r>
      <w:r>
        <w:rPr>
          <w:color w:val="auto"/>
        </w:rPr>
        <w:fldChar w:fldCharType="begin"/>
      </w:r>
      <w:r>
        <w:rPr>
          <w:color w:val="auto"/>
        </w:rPr>
        <w:instrText xml:space="preserve"> PAGEREF _Toc17645 \h </w:instrText>
      </w:r>
      <w:r>
        <w:rPr>
          <w:color w:val="auto"/>
        </w:rPr>
        <w:fldChar w:fldCharType="separate"/>
      </w:r>
      <w:r>
        <w:rPr>
          <w:color w:val="auto"/>
        </w:rPr>
        <w:t>44</w:t>
      </w:r>
      <w:r>
        <w:rPr>
          <w:color w:val="auto"/>
        </w:rPr>
        <w:fldChar w:fldCharType="end"/>
      </w:r>
      <w:r>
        <w:rPr>
          <w:rFonts w:ascii="宋体" w:hAnsi="宋体" w:eastAsia="宋体"/>
          <w:bCs/>
          <w:color w:val="auto"/>
          <w:szCs w:val="21"/>
          <w:highlight w:val="none"/>
          <w:lang w:val="zh-CN"/>
        </w:rPr>
        <w:fldChar w:fldCharType="end"/>
      </w:r>
    </w:p>
    <w:p w14:paraId="6CBFE240">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_Toc9021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14. </w:t>
      </w:r>
      <w:r>
        <w:rPr>
          <w:rFonts w:hint="eastAsia" w:ascii="宋体" w:hAnsi="宋体" w:eastAsia="宋体" w:cs="Times New Roman"/>
          <w:color w:val="auto"/>
          <w:kern w:val="0"/>
          <w:szCs w:val="21"/>
          <w:highlight w:val="none"/>
        </w:rPr>
        <w:t>违约责任</w:t>
      </w:r>
      <w:r>
        <w:rPr>
          <w:color w:val="auto"/>
        </w:rPr>
        <w:tab/>
      </w:r>
      <w:r>
        <w:rPr>
          <w:color w:val="auto"/>
        </w:rPr>
        <w:fldChar w:fldCharType="begin"/>
      </w:r>
      <w:r>
        <w:rPr>
          <w:color w:val="auto"/>
        </w:rPr>
        <w:instrText xml:space="preserve"> PAGEREF _Toc9021 \h </w:instrText>
      </w:r>
      <w:r>
        <w:rPr>
          <w:color w:val="auto"/>
        </w:rPr>
        <w:fldChar w:fldCharType="separate"/>
      </w:r>
      <w:r>
        <w:rPr>
          <w:color w:val="auto"/>
        </w:rPr>
        <w:t>44</w:t>
      </w:r>
      <w:r>
        <w:rPr>
          <w:color w:val="auto"/>
        </w:rPr>
        <w:fldChar w:fldCharType="end"/>
      </w:r>
      <w:r>
        <w:rPr>
          <w:rFonts w:ascii="宋体" w:hAnsi="宋体" w:eastAsia="宋体"/>
          <w:bCs/>
          <w:color w:val="auto"/>
          <w:szCs w:val="21"/>
          <w:highlight w:val="none"/>
          <w:lang w:val="zh-CN"/>
        </w:rPr>
        <w:fldChar w:fldCharType="end"/>
      </w:r>
    </w:p>
    <w:p w14:paraId="38A49711">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_Toc5626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14.1 </w:t>
      </w:r>
      <w:r>
        <w:rPr>
          <w:rFonts w:hint="eastAsia" w:ascii="宋体" w:hAnsi="宋体" w:eastAsia="宋体" w:cs="黑体"/>
          <w:color w:val="auto"/>
          <w:kern w:val="0"/>
          <w:szCs w:val="28"/>
          <w:highlight w:val="none"/>
        </w:rPr>
        <w:t>基本规定</w:t>
      </w:r>
      <w:r>
        <w:rPr>
          <w:color w:val="auto"/>
        </w:rPr>
        <w:tab/>
      </w:r>
      <w:r>
        <w:rPr>
          <w:color w:val="auto"/>
        </w:rPr>
        <w:fldChar w:fldCharType="begin"/>
      </w:r>
      <w:r>
        <w:rPr>
          <w:color w:val="auto"/>
        </w:rPr>
        <w:instrText xml:space="preserve"> PAGEREF _Toc5626 \h </w:instrText>
      </w:r>
      <w:r>
        <w:rPr>
          <w:color w:val="auto"/>
        </w:rPr>
        <w:fldChar w:fldCharType="separate"/>
      </w:r>
      <w:r>
        <w:rPr>
          <w:color w:val="auto"/>
        </w:rPr>
        <w:t>44</w:t>
      </w:r>
      <w:r>
        <w:rPr>
          <w:color w:val="auto"/>
        </w:rPr>
        <w:fldChar w:fldCharType="end"/>
      </w:r>
      <w:r>
        <w:rPr>
          <w:rFonts w:ascii="宋体" w:hAnsi="宋体" w:eastAsia="宋体"/>
          <w:bCs/>
          <w:color w:val="auto"/>
          <w:szCs w:val="21"/>
          <w:highlight w:val="none"/>
          <w:lang w:val="zh-CN"/>
        </w:rPr>
        <w:fldChar w:fldCharType="end"/>
      </w:r>
    </w:p>
    <w:p w14:paraId="1E64D02D">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_Toc25643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14.2 交付</w:t>
      </w:r>
      <w:r>
        <w:rPr>
          <w:color w:val="auto"/>
        </w:rPr>
        <w:tab/>
      </w:r>
      <w:r>
        <w:rPr>
          <w:color w:val="auto"/>
        </w:rPr>
        <w:fldChar w:fldCharType="begin"/>
      </w:r>
      <w:r>
        <w:rPr>
          <w:color w:val="auto"/>
        </w:rPr>
        <w:instrText xml:space="preserve"> PAGEREF _Toc25643 \h </w:instrText>
      </w:r>
      <w:r>
        <w:rPr>
          <w:color w:val="auto"/>
        </w:rPr>
        <w:fldChar w:fldCharType="separate"/>
      </w:r>
      <w:r>
        <w:rPr>
          <w:color w:val="auto"/>
        </w:rPr>
        <w:t>46</w:t>
      </w:r>
      <w:r>
        <w:rPr>
          <w:color w:val="auto"/>
        </w:rPr>
        <w:fldChar w:fldCharType="end"/>
      </w:r>
      <w:r>
        <w:rPr>
          <w:rFonts w:ascii="宋体" w:hAnsi="宋体" w:eastAsia="宋体"/>
          <w:bCs/>
          <w:color w:val="auto"/>
          <w:szCs w:val="21"/>
          <w:highlight w:val="none"/>
          <w:lang w:val="zh-CN"/>
        </w:rPr>
        <w:fldChar w:fldCharType="end"/>
      </w:r>
    </w:p>
    <w:p w14:paraId="7F5A14F0">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_Toc22542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14.3 合同价款</w:t>
      </w:r>
      <w:r>
        <w:rPr>
          <w:rFonts w:hint="eastAsia" w:ascii="宋体" w:hAnsi="宋体" w:eastAsia="宋体" w:cs="黑体"/>
          <w:color w:val="auto"/>
          <w:kern w:val="0"/>
          <w:szCs w:val="28"/>
          <w:highlight w:val="none"/>
        </w:rPr>
        <w:t>的</w:t>
      </w:r>
      <w:r>
        <w:rPr>
          <w:rFonts w:ascii="宋体" w:hAnsi="宋体" w:eastAsia="宋体" w:cs="黑体"/>
          <w:color w:val="auto"/>
          <w:kern w:val="0"/>
          <w:szCs w:val="28"/>
          <w:highlight w:val="none"/>
        </w:rPr>
        <w:t>支付</w:t>
      </w:r>
      <w:r>
        <w:rPr>
          <w:color w:val="auto"/>
        </w:rPr>
        <w:tab/>
      </w:r>
      <w:r>
        <w:rPr>
          <w:color w:val="auto"/>
        </w:rPr>
        <w:fldChar w:fldCharType="begin"/>
      </w:r>
      <w:r>
        <w:rPr>
          <w:color w:val="auto"/>
        </w:rPr>
        <w:instrText xml:space="preserve"> PAGEREF _Toc22542 \h </w:instrText>
      </w:r>
      <w:r>
        <w:rPr>
          <w:color w:val="auto"/>
        </w:rPr>
        <w:fldChar w:fldCharType="separate"/>
      </w:r>
      <w:r>
        <w:rPr>
          <w:color w:val="auto"/>
        </w:rPr>
        <w:t>46</w:t>
      </w:r>
      <w:r>
        <w:rPr>
          <w:color w:val="auto"/>
        </w:rPr>
        <w:fldChar w:fldCharType="end"/>
      </w:r>
      <w:r>
        <w:rPr>
          <w:rFonts w:ascii="宋体" w:hAnsi="宋体" w:eastAsia="宋体"/>
          <w:bCs/>
          <w:color w:val="auto"/>
          <w:szCs w:val="21"/>
          <w:highlight w:val="none"/>
          <w:lang w:val="zh-CN"/>
        </w:rPr>
        <w:fldChar w:fldCharType="end"/>
      </w:r>
    </w:p>
    <w:p w14:paraId="74329F7C">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_Toc11250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14.4 转让</w:t>
      </w:r>
      <w:r>
        <w:rPr>
          <w:color w:val="auto"/>
        </w:rPr>
        <w:tab/>
      </w:r>
      <w:r>
        <w:rPr>
          <w:color w:val="auto"/>
        </w:rPr>
        <w:fldChar w:fldCharType="begin"/>
      </w:r>
      <w:r>
        <w:rPr>
          <w:color w:val="auto"/>
        </w:rPr>
        <w:instrText xml:space="preserve"> PAGEREF _Toc11250 \h </w:instrText>
      </w:r>
      <w:r>
        <w:rPr>
          <w:color w:val="auto"/>
        </w:rPr>
        <w:fldChar w:fldCharType="separate"/>
      </w:r>
      <w:r>
        <w:rPr>
          <w:color w:val="auto"/>
        </w:rPr>
        <w:t>47</w:t>
      </w:r>
      <w:r>
        <w:rPr>
          <w:color w:val="auto"/>
        </w:rPr>
        <w:fldChar w:fldCharType="end"/>
      </w:r>
      <w:r>
        <w:rPr>
          <w:rFonts w:ascii="宋体" w:hAnsi="宋体" w:eastAsia="宋体"/>
          <w:bCs/>
          <w:color w:val="auto"/>
          <w:szCs w:val="21"/>
          <w:highlight w:val="none"/>
          <w:lang w:val="zh-CN"/>
        </w:rPr>
        <w:fldChar w:fldCharType="end"/>
      </w:r>
    </w:p>
    <w:p w14:paraId="0BA021BD">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_Toc205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14.5 </w:t>
      </w:r>
      <w:r>
        <w:rPr>
          <w:rFonts w:hint="eastAsia" w:ascii="宋体" w:hAnsi="宋体" w:eastAsia="宋体" w:cs="黑体"/>
          <w:color w:val="auto"/>
          <w:kern w:val="0"/>
          <w:szCs w:val="28"/>
          <w:highlight w:val="none"/>
        </w:rPr>
        <w:t>监造及交货前检验</w:t>
      </w:r>
      <w:r>
        <w:rPr>
          <w:color w:val="auto"/>
        </w:rPr>
        <w:tab/>
      </w:r>
      <w:r>
        <w:rPr>
          <w:color w:val="auto"/>
        </w:rPr>
        <w:fldChar w:fldCharType="begin"/>
      </w:r>
      <w:r>
        <w:rPr>
          <w:color w:val="auto"/>
        </w:rPr>
        <w:instrText xml:space="preserve"> PAGEREF _Toc205 \h </w:instrText>
      </w:r>
      <w:r>
        <w:rPr>
          <w:color w:val="auto"/>
        </w:rPr>
        <w:fldChar w:fldCharType="separate"/>
      </w:r>
      <w:r>
        <w:rPr>
          <w:color w:val="auto"/>
        </w:rPr>
        <w:t>47</w:t>
      </w:r>
      <w:r>
        <w:rPr>
          <w:color w:val="auto"/>
        </w:rPr>
        <w:fldChar w:fldCharType="end"/>
      </w:r>
      <w:r>
        <w:rPr>
          <w:rFonts w:ascii="宋体" w:hAnsi="宋体" w:eastAsia="宋体"/>
          <w:bCs/>
          <w:color w:val="auto"/>
          <w:szCs w:val="21"/>
          <w:highlight w:val="none"/>
          <w:lang w:val="zh-CN"/>
        </w:rPr>
        <w:fldChar w:fldCharType="end"/>
      </w:r>
    </w:p>
    <w:p w14:paraId="1E01E748">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_Toc13080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14.6 </w:t>
      </w:r>
      <w:r>
        <w:rPr>
          <w:rFonts w:hint="eastAsia" w:ascii="宋体" w:hAnsi="宋体" w:eastAsia="宋体" w:cs="黑体"/>
          <w:color w:val="auto"/>
          <w:kern w:val="0"/>
          <w:szCs w:val="28"/>
          <w:highlight w:val="none"/>
        </w:rPr>
        <w:t>包装、标记、运输</w:t>
      </w:r>
      <w:r>
        <w:rPr>
          <w:color w:val="auto"/>
        </w:rPr>
        <w:tab/>
      </w:r>
      <w:r>
        <w:rPr>
          <w:color w:val="auto"/>
        </w:rPr>
        <w:fldChar w:fldCharType="begin"/>
      </w:r>
      <w:r>
        <w:rPr>
          <w:color w:val="auto"/>
        </w:rPr>
        <w:instrText xml:space="preserve"> PAGEREF _Toc13080 \h </w:instrText>
      </w:r>
      <w:r>
        <w:rPr>
          <w:color w:val="auto"/>
        </w:rPr>
        <w:fldChar w:fldCharType="separate"/>
      </w:r>
      <w:r>
        <w:rPr>
          <w:color w:val="auto"/>
        </w:rPr>
        <w:t>47</w:t>
      </w:r>
      <w:r>
        <w:rPr>
          <w:color w:val="auto"/>
        </w:rPr>
        <w:fldChar w:fldCharType="end"/>
      </w:r>
      <w:r>
        <w:rPr>
          <w:rFonts w:ascii="宋体" w:hAnsi="宋体" w:eastAsia="宋体"/>
          <w:bCs/>
          <w:color w:val="auto"/>
          <w:szCs w:val="21"/>
          <w:highlight w:val="none"/>
          <w:lang w:val="zh-CN"/>
        </w:rPr>
        <w:fldChar w:fldCharType="end"/>
      </w:r>
    </w:p>
    <w:p w14:paraId="34663FD9">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_Toc25165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14.7 开箱检验、安装、调试、考核、验收</w:t>
      </w:r>
      <w:r>
        <w:rPr>
          <w:color w:val="auto"/>
        </w:rPr>
        <w:tab/>
      </w:r>
      <w:r>
        <w:rPr>
          <w:color w:val="auto"/>
        </w:rPr>
        <w:fldChar w:fldCharType="begin"/>
      </w:r>
      <w:r>
        <w:rPr>
          <w:color w:val="auto"/>
        </w:rPr>
        <w:instrText xml:space="preserve"> PAGEREF _Toc25165 \h </w:instrText>
      </w:r>
      <w:r>
        <w:rPr>
          <w:color w:val="auto"/>
        </w:rPr>
        <w:fldChar w:fldCharType="separate"/>
      </w:r>
      <w:r>
        <w:rPr>
          <w:color w:val="auto"/>
        </w:rPr>
        <w:t>47</w:t>
      </w:r>
      <w:r>
        <w:rPr>
          <w:color w:val="auto"/>
        </w:rPr>
        <w:fldChar w:fldCharType="end"/>
      </w:r>
      <w:r>
        <w:rPr>
          <w:rFonts w:ascii="宋体" w:hAnsi="宋体" w:eastAsia="宋体"/>
          <w:bCs/>
          <w:color w:val="auto"/>
          <w:szCs w:val="21"/>
          <w:highlight w:val="none"/>
          <w:lang w:val="zh-CN"/>
        </w:rPr>
        <w:fldChar w:fldCharType="end"/>
      </w:r>
    </w:p>
    <w:p w14:paraId="3C922FFC">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_Toc14432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14.8 技术服务</w:t>
      </w:r>
      <w:r>
        <w:rPr>
          <w:color w:val="auto"/>
        </w:rPr>
        <w:tab/>
      </w:r>
      <w:r>
        <w:rPr>
          <w:color w:val="auto"/>
        </w:rPr>
        <w:fldChar w:fldCharType="begin"/>
      </w:r>
      <w:r>
        <w:rPr>
          <w:color w:val="auto"/>
        </w:rPr>
        <w:instrText xml:space="preserve"> PAGEREF _Toc14432 \h </w:instrText>
      </w:r>
      <w:r>
        <w:rPr>
          <w:color w:val="auto"/>
        </w:rPr>
        <w:fldChar w:fldCharType="separate"/>
      </w:r>
      <w:r>
        <w:rPr>
          <w:color w:val="auto"/>
        </w:rPr>
        <w:t>48</w:t>
      </w:r>
      <w:r>
        <w:rPr>
          <w:color w:val="auto"/>
        </w:rPr>
        <w:fldChar w:fldCharType="end"/>
      </w:r>
      <w:r>
        <w:rPr>
          <w:rFonts w:ascii="宋体" w:hAnsi="宋体" w:eastAsia="宋体"/>
          <w:bCs/>
          <w:color w:val="auto"/>
          <w:szCs w:val="21"/>
          <w:highlight w:val="none"/>
          <w:lang w:val="zh-CN"/>
        </w:rPr>
        <w:fldChar w:fldCharType="end"/>
      </w:r>
    </w:p>
    <w:p w14:paraId="7578E527">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_Toc10561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 xml:space="preserve">14.9 </w:t>
      </w:r>
      <w:r>
        <w:rPr>
          <w:rFonts w:hint="eastAsia" w:ascii="宋体" w:hAnsi="宋体" w:eastAsia="宋体" w:cs="黑体"/>
          <w:color w:val="auto"/>
          <w:kern w:val="0"/>
          <w:szCs w:val="28"/>
          <w:highlight w:val="none"/>
        </w:rPr>
        <w:t>质保期服务</w:t>
      </w:r>
      <w:r>
        <w:rPr>
          <w:color w:val="auto"/>
        </w:rPr>
        <w:tab/>
      </w:r>
      <w:r>
        <w:rPr>
          <w:color w:val="auto"/>
        </w:rPr>
        <w:fldChar w:fldCharType="begin"/>
      </w:r>
      <w:r>
        <w:rPr>
          <w:color w:val="auto"/>
        </w:rPr>
        <w:instrText xml:space="preserve"> PAGEREF _Toc10561 \h </w:instrText>
      </w:r>
      <w:r>
        <w:rPr>
          <w:color w:val="auto"/>
        </w:rPr>
        <w:fldChar w:fldCharType="separate"/>
      </w:r>
      <w:r>
        <w:rPr>
          <w:color w:val="auto"/>
        </w:rPr>
        <w:t>48</w:t>
      </w:r>
      <w:r>
        <w:rPr>
          <w:color w:val="auto"/>
        </w:rPr>
        <w:fldChar w:fldCharType="end"/>
      </w:r>
      <w:r>
        <w:rPr>
          <w:rFonts w:ascii="宋体" w:hAnsi="宋体" w:eastAsia="宋体"/>
          <w:bCs/>
          <w:color w:val="auto"/>
          <w:szCs w:val="21"/>
          <w:highlight w:val="none"/>
          <w:lang w:val="zh-CN"/>
        </w:rPr>
        <w:fldChar w:fldCharType="end"/>
      </w:r>
    </w:p>
    <w:p w14:paraId="1CF615E8">
      <w:pPr>
        <w:pStyle w:val="6"/>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_Toc25280 </w:instrText>
      </w:r>
      <w:r>
        <w:rPr>
          <w:rFonts w:ascii="宋体" w:hAnsi="宋体" w:eastAsia="宋体"/>
          <w:bCs/>
          <w:color w:val="auto"/>
          <w:szCs w:val="21"/>
          <w:highlight w:val="none"/>
          <w:lang w:val="zh-CN"/>
        </w:rPr>
        <w:fldChar w:fldCharType="separate"/>
      </w:r>
      <w:r>
        <w:rPr>
          <w:rFonts w:ascii="宋体" w:hAnsi="宋体" w:eastAsia="宋体" w:cs="黑体"/>
          <w:color w:val="auto"/>
          <w:kern w:val="0"/>
          <w:szCs w:val="28"/>
          <w:highlight w:val="none"/>
        </w:rPr>
        <w:t>14.10 履约</w:t>
      </w:r>
      <w:r>
        <w:rPr>
          <w:rFonts w:hint="eastAsia" w:ascii="宋体" w:hAnsi="宋体" w:eastAsia="宋体" w:cs="黑体"/>
          <w:color w:val="auto"/>
          <w:kern w:val="0"/>
          <w:szCs w:val="28"/>
          <w:highlight w:val="none"/>
        </w:rPr>
        <w:t>保证金</w:t>
      </w:r>
      <w:r>
        <w:rPr>
          <w:color w:val="auto"/>
        </w:rPr>
        <w:tab/>
      </w:r>
      <w:r>
        <w:rPr>
          <w:color w:val="auto"/>
        </w:rPr>
        <w:fldChar w:fldCharType="begin"/>
      </w:r>
      <w:r>
        <w:rPr>
          <w:color w:val="auto"/>
        </w:rPr>
        <w:instrText xml:space="preserve"> PAGEREF _Toc25280 \h </w:instrText>
      </w:r>
      <w:r>
        <w:rPr>
          <w:color w:val="auto"/>
        </w:rPr>
        <w:fldChar w:fldCharType="separate"/>
      </w:r>
      <w:r>
        <w:rPr>
          <w:color w:val="auto"/>
        </w:rPr>
        <w:t>49</w:t>
      </w:r>
      <w:r>
        <w:rPr>
          <w:color w:val="auto"/>
        </w:rPr>
        <w:fldChar w:fldCharType="end"/>
      </w:r>
      <w:r>
        <w:rPr>
          <w:rFonts w:ascii="宋体" w:hAnsi="宋体" w:eastAsia="宋体"/>
          <w:bCs/>
          <w:color w:val="auto"/>
          <w:szCs w:val="21"/>
          <w:highlight w:val="none"/>
          <w:lang w:val="zh-CN"/>
        </w:rPr>
        <w:fldChar w:fldCharType="end"/>
      </w:r>
    </w:p>
    <w:p w14:paraId="5EA7651F">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_Toc8594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15. </w:t>
      </w:r>
      <w:r>
        <w:rPr>
          <w:rFonts w:hint="eastAsia" w:ascii="宋体" w:hAnsi="宋体" w:eastAsia="宋体" w:cs="Times New Roman"/>
          <w:color w:val="auto"/>
          <w:kern w:val="0"/>
          <w:szCs w:val="21"/>
          <w:highlight w:val="none"/>
        </w:rPr>
        <w:t>合同的解除</w:t>
      </w:r>
      <w:r>
        <w:rPr>
          <w:color w:val="auto"/>
        </w:rPr>
        <w:tab/>
      </w:r>
      <w:r>
        <w:rPr>
          <w:color w:val="auto"/>
        </w:rPr>
        <w:fldChar w:fldCharType="begin"/>
      </w:r>
      <w:r>
        <w:rPr>
          <w:color w:val="auto"/>
        </w:rPr>
        <w:instrText xml:space="preserve"> PAGEREF _Toc8594 \h </w:instrText>
      </w:r>
      <w:r>
        <w:rPr>
          <w:color w:val="auto"/>
        </w:rPr>
        <w:fldChar w:fldCharType="separate"/>
      </w:r>
      <w:r>
        <w:rPr>
          <w:color w:val="auto"/>
        </w:rPr>
        <w:t>49</w:t>
      </w:r>
      <w:r>
        <w:rPr>
          <w:color w:val="auto"/>
        </w:rPr>
        <w:fldChar w:fldCharType="end"/>
      </w:r>
      <w:r>
        <w:rPr>
          <w:rFonts w:ascii="宋体" w:hAnsi="宋体" w:eastAsia="宋体"/>
          <w:bCs/>
          <w:color w:val="auto"/>
          <w:szCs w:val="21"/>
          <w:highlight w:val="none"/>
          <w:lang w:val="zh-CN"/>
        </w:rPr>
        <w:fldChar w:fldCharType="end"/>
      </w:r>
    </w:p>
    <w:p w14:paraId="706F9BA9">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_Toc13342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16. </w:t>
      </w:r>
      <w:r>
        <w:rPr>
          <w:rFonts w:hint="eastAsia" w:ascii="宋体" w:hAnsi="宋体" w:eastAsia="宋体" w:cs="Times New Roman"/>
          <w:color w:val="auto"/>
          <w:kern w:val="0"/>
          <w:szCs w:val="21"/>
          <w:highlight w:val="none"/>
        </w:rPr>
        <w:t>不可抗力</w:t>
      </w:r>
      <w:r>
        <w:rPr>
          <w:color w:val="auto"/>
        </w:rPr>
        <w:tab/>
      </w:r>
      <w:r>
        <w:rPr>
          <w:color w:val="auto"/>
        </w:rPr>
        <w:fldChar w:fldCharType="begin"/>
      </w:r>
      <w:r>
        <w:rPr>
          <w:color w:val="auto"/>
        </w:rPr>
        <w:instrText xml:space="preserve"> PAGEREF _Toc13342 \h </w:instrText>
      </w:r>
      <w:r>
        <w:rPr>
          <w:color w:val="auto"/>
        </w:rPr>
        <w:fldChar w:fldCharType="separate"/>
      </w:r>
      <w:r>
        <w:rPr>
          <w:color w:val="auto"/>
        </w:rPr>
        <w:t>51</w:t>
      </w:r>
      <w:r>
        <w:rPr>
          <w:color w:val="auto"/>
        </w:rPr>
        <w:fldChar w:fldCharType="end"/>
      </w:r>
      <w:r>
        <w:rPr>
          <w:rFonts w:ascii="宋体" w:hAnsi="宋体" w:eastAsia="宋体"/>
          <w:bCs/>
          <w:color w:val="auto"/>
          <w:szCs w:val="21"/>
          <w:highlight w:val="none"/>
          <w:lang w:val="zh-CN"/>
        </w:rPr>
        <w:fldChar w:fldCharType="end"/>
      </w:r>
    </w:p>
    <w:p w14:paraId="581BB3A5">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_Toc7333 </w:instrText>
      </w:r>
      <w:r>
        <w:rPr>
          <w:rFonts w:ascii="宋体" w:hAnsi="宋体" w:eastAsia="宋体"/>
          <w:bCs/>
          <w:color w:val="auto"/>
          <w:szCs w:val="21"/>
          <w:highlight w:val="none"/>
          <w:lang w:val="zh-CN"/>
        </w:rPr>
        <w:fldChar w:fldCharType="separate"/>
      </w:r>
      <w:r>
        <w:rPr>
          <w:rFonts w:ascii="宋体" w:hAnsi="宋体" w:eastAsia="宋体" w:cs="Times New Roman"/>
          <w:color w:val="auto"/>
          <w:kern w:val="0"/>
          <w:szCs w:val="21"/>
          <w:highlight w:val="none"/>
        </w:rPr>
        <w:t xml:space="preserve">17. </w:t>
      </w:r>
      <w:r>
        <w:rPr>
          <w:rFonts w:hint="eastAsia" w:ascii="宋体" w:hAnsi="宋体" w:eastAsia="宋体" w:cs="Times New Roman"/>
          <w:color w:val="auto"/>
          <w:kern w:val="0"/>
          <w:szCs w:val="21"/>
          <w:highlight w:val="none"/>
        </w:rPr>
        <w:t>争议的解决</w:t>
      </w:r>
      <w:r>
        <w:rPr>
          <w:color w:val="auto"/>
        </w:rPr>
        <w:tab/>
      </w:r>
      <w:r>
        <w:rPr>
          <w:color w:val="auto"/>
        </w:rPr>
        <w:fldChar w:fldCharType="begin"/>
      </w:r>
      <w:r>
        <w:rPr>
          <w:color w:val="auto"/>
        </w:rPr>
        <w:instrText xml:space="preserve"> PAGEREF _Toc7333 \h </w:instrText>
      </w:r>
      <w:r>
        <w:rPr>
          <w:color w:val="auto"/>
        </w:rPr>
        <w:fldChar w:fldCharType="separate"/>
      </w:r>
      <w:r>
        <w:rPr>
          <w:color w:val="auto"/>
        </w:rPr>
        <w:t>51</w:t>
      </w:r>
      <w:r>
        <w:rPr>
          <w:color w:val="auto"/>
        </w:rPr>
        <w:fldChar w:fldCharType="end"/>
      </w:r>
      <w:r>
        <w:rPr>
          <w:rFonts w:ascii="宋体" w:hAnsi="宋体" w:eastAsia="宋体"/>
          <w:bCs/>
          <w:color w:val="auto"/>
          <w:szCs w:val="21"/>
          <w:highlight w:val="none"/>
          <w:lang w:val="zh-CN"/>
        </w:rPr>
        <w:fldChar w:fldCharType="end"/>
      </w:r>
    </w:p>
    <w:p w14:paraId="590AE568">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_Toc6909 </w:instrText>
      </w:r>
      <w:r>
        <w:rPr>
          <w:rFonts w:ascii="宋体" w:hAnsi="宋体" w:eastAsia="宋体"/>
          <w:bCs/>
          <w:color w:val="auto"/>
          <w:szCs w:val="21"/>
          <w:highlight w:val="none"/>
          <w:lang w:val="zh-CN"/>
        </w:rPr>
        <w:fldChar w:fldCharType="separate"/>
      </w:r>
      <w:r>
        <w:rPr>
          <w:rFonts w:hint="eastAsia" w:ascii="宋体" w:hAnsi="宋体" w:eastAsia="宋体"/>
          <w:color w:val="auto"/>
          <w:kern w:val="0"/>
          <w:szCs w:val="32"/>
          <w:highlight w:val="none"/>
        </w:rPr>
        <w:t>二、专用部分</w:t>
      </w:r>
      <w:r>
        <w:rPr>
          <w:color w:val="auto"/>
        </w:rPr>
        <w:tab/>
      </w:r>
      <w:r>
        <w:rPr>
          <w:color w:val="auto"/>
        </w:rPr>
        <w:fldChar w:fldCharType="begin"/>
      </w:r>
      <w:r>
        <w:rPr>
          <w:color w:val="auto"/>
        </w:rPr>
        <w:instrText xml:space="preserve"> PAGEREF _Toc6909 \h </w:instrText>
      </w:r>
      <w:r>
        <w:rPr>
          <w:color w:val="auto"/>
        </w:rPr>
        <w:fldChar w:fldCharType="separate"/>
      </w:r>
      <w:r>
        <w:rPr>
          <w:color w:val="auto"/>
        </w:rPr>
        <w:t>52</w:t>
      </w:r>
      <w:r>
        <w:rPr>
          <w:color w:val="auto"/>
        </w:rPr>
        <w:fldChar w:fldCharType="end"/>
      </w:r>
      <w:r>
        <w:rPr>
          <w:rFonts w:ascii="宋体" w:hAnsi="宋体" w:eastAsia="宋体"/>
          <w:bCs/>
          <w:color w:val="auto"/>
          <w:szCs w:val="21"/>
          <w:highlight w:val="none"/>
          <w:lang w:val="zh-CN"/>
        </w:rPr>
        <w:fldChar w:fldCharType="end"/>
      </w:r>
    </w:p>
    <w:p w14:paraId="63387508">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_Toc28380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（一）</w:t>
      </w:r>
      <w:r>
        <w:rPr>
          <w:rFonts w:ascii="宋体" w:hAnsi="宋体" w:eastAsia="宋体" w:cs="Times New Roman"/>
          <w:color w:val="auto"/>
          <w:kern w:val="0"/>
          <w:highlight w:val="none"/>
        </w:rPr>
        <w:t>35kV及以上交流变压器</w:t>
      </w:r>
      <w:r>
        <w:rPr>
          <w:color w:val="auto"/>
        </w:rPr>
        <w:tab/>
      </w:r>
      <w:r>
        <w:rPr>
          <w:color w:val="auto"/>
        </w:rPr>
        <w:fldChar w:fldCharType="begin"/>
      </w:r>
      <w:r>
        <w:rPr>
          <w:color w:val="auto"/>
        </w:rPr>
        <w:instrText xml:space="preserve"> PAGEREF _Toc28380 \h </w:instrText>
      </w:r>
      <w:r>
        <w:rPr>
          <w:color w:val="auto"/>
        </w:rPr>
        <w:fldChar w:fldCharType="separate"/>
      </w:r>
      <w:r>
        <w:rPr>
          <w:color w:val="auto"/>
        </w:rPr>
        <w:t>52</w:t>
      </w:r>
      <w:r>
        <w:rPr>
          <w:color w:val="auto"/>
        </w:rPr>
        <w:fldChar w:fldCharType="end"/>
      </w:r>
      <w:r>
        <w:rPr>
          <w:rFonts w:ascii="宋体" w:hAnsi="宋体" w:eastAsia="宋体"/>
          <w:bCs/>
          <w:color w:val="auto"/>
          <w:szCs w:val="21"/>
          <w:highlight w:val="none"/>
          <w:lang w:val="zh-CN"/>
        </w:rPr>
        <w:fldChar w:fldCharType="end"/>
      </w:r>
    </w:p>
    <w:p w14:paraId="3D581971">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_Toc20324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（二）10kV配电变压器</w:t>
      </w:r>
      <w:r>
        <w:rPr>
          <w:color w:val="auto"/>
        </w:rPr>
        <w:tab/>
      </w:r>
      <w:r>
        <w:rPr>
          <w:color w:val="auto"/>
        </w:rPr>
        <w:fldChar w:fldCharType="begin"/>
      </w:r>
      <w:r>
        <w:rPr>
          <w:color w:val="auto"/>
        </w:rPr>
        <w:instrText xml:space="preserve"> PAGEREF _Toc20324 \h </w:instrText>
      </w:r>
      <w:r>
        <w:rPr>
          <w:color w:val="auto"/>
        </w:rPr>
        <w:fldChar w:fldCharType="separate"/>
      </w:r>
      <w:r>
        <w:rPr>
          <w:color w:val="auto"/>
        </w:rPr>
        <w:t>56</w:t>
      </w:r>
      <w:r>
        <w:rPr>
          <w:color w:val="auto"/>
        </w:rPr>
        <w:fldChar w:fldCharType="end"/>
      </w:r>
      <w:r>
        <w:rPr>
          <w:rFonts w:ascii="宋体" w:hAnsi="宋体" w:eastAsia="宋体"/>
          <w:bCs/>
          <w:color w:val="auto"/>
          <w:szCs w:val="21"/>
          <w:highlight w:val="none"/>
          <w:lang w:val="zh-CN"/>
        </w:rPr>
        <w:fldChar w:fldCharType="end"/>
      </w:r>
    </w:p>
    <w:p w14:paraId="4FE994AE">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_Toc4023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（三）35kV以下互感器</w:t>
      </w:r>
      <w:r>
        <w:rPr>
          <w:color w:val="auto"/>
        </w:rPr>
        <w:tab/>
      </w:r>
      <w:r>
        <w:rPr>
          <w:color w:val="auto"/>
        </w:rPr>
        <w:fldChar w:fldCharType="begin"/>
      </w:r>
      <w:r>
        <w:rPr>
          <w:color w:val="auto"/>
        </w:rPr>
        <w:instrText xml:space="preserve"> PAGEREF _Toc4023 \h </w:instrText>
      </w:r>
      <w:r>
        <w:rPr>
          <w:color w:val="auto"/>
        </w:rPr>
        <w:fldChar w:fldCharType="separate"/>
      </w:r>
      <w:r>
        <w:rPr>
          <w:color w:val="auto"/>
        </w:rPr>
        <w:t>58</w:t>
      </w:r>
      <w:r>
        <w:rPr>
          <w:color w:val="auto"/>
        </w:rPr>
        <w:fldChar w:fldCharType="end"/>
      </w:r>
      <w:r>
        <w:rPr>
          <w:rFonts w:ascii="宋体" w:hAnsi="宋体" w:eastAsia="宋体"/>
          <w:bCs/>
          <w:color w:val="auto"/>
          <w:szCs w:val="21"/>
          <w:highlight w:val="none"/>
          <w:lang w:val="zh-CN"/>
        </w:rPr>
        <w:fldChar w:fldCharType="end"/>
      </w:r>
    </w:p>
    <w:p w14:paraId="4705FFF8">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_Toc26717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（四）</w:t>
      </w:r>
      <w:r>
        <w:rPr>
          <w:rFonts w:ascii="宋体" w:hAnsi="宋体" w:eastAsia="宋体" w:cs="Times New Roman"/>
          <w:color w:val="auto"/>
          <w:kern w:val="0"/>
          <w:highlight w:val="none"/>
        </w:rPr>
        <w:t>35kV</w:t>
      </w:r>
      <w:r>
        <w:rPr>
          <w:rFonts w:hint="eastAsia" w:ascii="宋体" w:hAnsi="宋体" w:eastAsia="宋体" w:cs="Times New Roman"/>
          <w:color w:val="auto"/>
          <w:kern w:val="0"/>
          <w:highlight w:val="none"/>
          <w:lang w:val="en-US" w:eastAsia="zh-CN"/>
        </w:rPr>
        <w:t>及</w:t>
      </w:r>
      <w:r>
        <w:rPr>
          <w:rFonts w:ascii="宋体" w:hAnsi="宋体" w:eastAsia="宋体" w:cs="Times New Roman"/>
          <w:color w:val="auto"/>
          <w:kern w:val="0"/>
          <w:highlight w:val="none"/>
        </w:rPr>
        <w:t>以上互感器</w:t>
      </w:r>
      <w:r>
        <w:rPr>
          <w:color w:val="auto"/>
        </w:rPr>
        <w:tab/>
      </w:r>
      <w:r>
        <w:rPr>
          <w:color w:val="auto"/>
        </w:rPr>
        <w:fldChar w:fldCharType="begin"/>
      </w:r>
      <w:r>
        <w:rPr>
          <w:color w:val="auto"/>
        </w:rPr>
        <w:instrText xml:space="preserve"> PAGEREF _Toc26717 \h </w:instrText>
      </w:r>
      <w:r>
        <w:rPr>
          <w:color w:val="auto"/>
        </w:rPr>
        <w:fldChar w:fldCharType="separate"/>
      </w:r>
      <w:r>
        <w:rPr>
          <w:color w:val="auto"/>
        </w:rPr>
        <w:t>59</w:t>
      </w:r>
      <w:r>
        <w:rPr>
          <w:color w:val="auto"/>
        </w:rPr>
        <w:fldChar w:fldCharType="end"/>
      </w:r>
      <w:r>
        <w:rPr>
          <w:rFonts w:ascii="宋体" w:hAnsi="宋体" w:eastAsia="宋体"/>
          <w:bCs/>
          <w:color w:val="auto"/>
          <w:szCs w:val="21"/>
          <w:highlight w:val="none"/>
          <w:lang w:val="zh-CN"/>
        </w:rPr>
        <w:fldChar w:fldCharType="end"/>
      </w:r>
    </w:p>
    <w:p w14:paraId="3E336E73">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_Toc3019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（五）</w:t>
      </w:r>
      <w:r>
        <w:rPr>
          <w:rFonts w:ascii="宋体" w:hAnsi="宋体" w:eastAsia="宋体" w:cs="Times New Roman"/>
          <w:color w:val="auto"/>
          <w:kern w:val="0"/>
          <w:highlight w:val="none"/>
        </w:rPr>
        <w:t>35kV以下断路器</w:t>
      </w:r>
      <w:r>
        <w:rPr>
          <w:color w:val="auto"/>
        </w:rPr>
        <w:tab/>
      </w:r>
      <w:r>
        <w:rPr>
          <w:color w:val="auto"/>
        </w:rPr>
        <w:fldChar w:fldCharType="begin"/>
      </w:r>
      <w:r>
        <w:rPr>
          <w:color w:val="auto"/>
        </w:rPr>
        <w:instrText xml:space="preserve"> PAGEREF _Toc3019 \h </w:instrText>
      </w:r>
      <w:r>
        <w:rPr>
          <w:color w:val="auto"/>
        </w:rPr>
        <w:fldChar w:fldCharType="separate"/>
      </w:r>
      <w:r>
        <w:rPr>
          <w:color w:val="auto"/>
        </w:rPr>
        <w:t>61</w:t>
      </w:r>
      <w:r>
        <w:rPr>
          <w:color w:val="auto"/>
        </w:rPr>
        <w:fldChar w:fldCharType="end"/>
      </w:r>
      <w:r>
        <w:rPr>
          <w:rFonts w:ascii="宋体" w:hAnsi="宋体" w:eastAsia="宋体"/>
          <w:bCs/>
          <w:color w:val="auto"/>
          <w:szCs w:val="21"/>
          <w:highlight w:val="none"/>
          <w:lang w:val="zh-CN"/>
        </w:rPr>
        <w:fldChar w:fldCharType="end"/>
      </w:r>
    </w:p>
    <w:p w14:paraId="4FCFAE0F">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_Toc31548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（六）</w:t>
      </w:r>
      <w:r>
        <w:rPr>
          <w:rFonts w:ascii="宋体" w:hAnsi="宋体" w:eastAsia="宋体" w:cs="Times New Roman"/>
          <w:color w:val="auto"/>
          <w:kern w:val="0"/>
          <w:highlight w:val="none"/>
        </w:rPr>
        <w:t>35kV</w:t>
      </w:r>
      <w:r>
        <w:rPr>
          <w:rFonts w:hint="eastAsia" w:ascii="宋体" w:hAnsi="宋体" w:eastAsia="宋体" w:cs="Times New Roman"/>
          <w:color w:val="auto"/>
          <w:kern w:val="0"/>
          <w:highlight w:val="none"/>
          <w:lang w:val="en-US" w:eastAsia="zh-CN"/>
        </w:rPr>
        <w:t>及</w:t>
      </w:r>
      <w:r>
        <w:rPr>
          <w:rFonts w:ascii="宋体" w:hAnsi="宋体" w:eastAsia="宋体" w:cs="Times New Roman"/>
          <w:color w:val="auto"/>
          <w:kern w:val="0"/>
          <w:highlight w:val="none"/>
        </w:rPr>
        <w:t>以上断路器</w:t>
      </w:r>
      <w:r>
        <w:rPr>
          <w:color w:val="auto"/>
        </w:rPr>
        <w:tab/>
      </w:r>
      <w:r>
        <w:rPr>
          <w:color w:val="auto"/>
        </w:rPr>
        <w:fldChar w:fldCharType="begin"/>
      </w:r>
      <w:r>
        <w:rPr>
          <w:color w:val="auto"/>
        </w:rPr>
        <w:instrText xml:space="preserve"> PAGEREF _Toc31548 \h </w:instrText>
      </w:r>
      <w:r>
        <w:rPr>
          <w:color w:val="auto"/>
        </w:rPr>
        <w:fldChar w:fldCharType="separate"/>
      </w:r>
      <w:r>
        <w:rPr>
          <w:color w:val="auto"/>
        </w:rPr>
        <w:t>62</w:t>
      </w:r>
      <w:r>
        <w:rPr>
          <w:color w:val="auto"/>
        </w:rPr>
        <w:fldChar w:fldCharType="end"/>
      </w:r>
      <w:r>
        <w:rPr>
          <w:rFonts w:ascii="宋体" w:hAnsi="宋体" w:eastAsia="宋体"/>
          <w:bCs/>
          <w:color w:val="auto"/>
          <w:szCs w:val="21"/>
          <w:highlight w:val="none"/>
          <w:lang w:val="zh-CN"/>
        </w:rPr>
        <w:fldChar w:fldCharType="end"/>
      </w:r>
    </w:p>
    <w:p w14:paraId="1748F14A">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_Toc16804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（七）</w:t>
      </w:r>
      <w:r>
        <w:rPr>
          <w:rFonts w:ascii="宋体" w:hAnsi="宋体" w:eastAsia="宋体" w:cs="Times New Roman"/>
          <w:color w:val="auto"/>
          <w:kern w:val="0"/>
          <w:highlight w:val="none"/>
        </w:rPr>
        <w:t>35kV以下隔离开关</w:t>
      </w:r>
      <w:r>
        <w:rPr>
          <w:color w:val="auto"/>
        </w:rPr>
        <w:tab/>
      </w:r>
      <w:r>
        <w:rPr>
          <w:color w:val="auto"/>
        </w:rPr>
        <w:fldChar w:fldCharType="begin"/>
      </w:r>
      <w:r>
        <w:rPr>
          <w:color w:val="auto"/>
        </w:rPr>
        <w:instrText xml:space="preserve"> PAGEREF _Toc16804 \h </w:instrText>
      </w:r>
      <w:r>
        <w:rPr>
          <w:color w:val="auto"/>
        </w:rPr>
        <w:fldChar w:fldCharType="separate"/>
      </w:r>
      <w:r>
        <w:rPr>
          <w:color w:val="auto"/>
        </w:rPr>
        <w:t>64</w:t>
      </w:r>
      <w:r>
        <w:rPr>
          <w:color w:val="auto"/>
        </w:rPr>
        <w:fldChar w:fldCharType="end"/>
      </w:r>
      <w:r>
        <w:rPr>
          <w:rFonts w:ascii="宋体" w:hAnsi="宋体" w:eastAsia="宋体"/>
          <w:bCs/>
          <w:color w:val="auto"/>
          <w:szCs w:val="21"/>
          <w:highlight w:val="none"/>
          <w:lang w:val="zh-CN"/>
        </w:rPr>
        <w:fldChar w:fldCharType="end"/>
      </w:r>
    </w:p>
    <w:p w14:paraId="32D8C19A">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_Toc28394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（八）</w:t>
      </w:r>
      <w:r>
        <w:rPr>
          <w:rFonts w:ascii="宋体" w:hAnsi="宋体" w:eastAsia="宋体" w:cs="Times New Roman"/>
          <w:color w:val="auto"/>
          <w:kern w:val="0"/>
          <w:highlight w:val="none"/>
        </w:rPr>
        <w:t>35kV</w:t>
      </w:r>
      <w:r>
        <w:rPr>
          <w:rFonts w:hint="eastAsia" w:ascii="宋体" w:hAnsi="宋体" w:eastAsia="宋体" w:cs="Times New Roman"/>
          <w:color w:val="auto"/>
          <w:kern w:val="0"/>
          <w:highlight w:val="none"/>
          <w:lang w:val="en-US" w:eastAsia="zh-CN"/>
        </w:rPr>
        <w:t>及</w:t>
      </w:r>
      <w:r>
        <w:rPr>
          <w:rFonts w:ascii="宋体" w:hAnsi="宋体" w:eastAsia="宋体" w:cs="Times New Roman"/>
          <w:color w:val="auto"/>
          <w:kern w:val="0"/>
          <w:highlight w:val="none"/>
        </w:rPr>
        <w:t>以上隔离开关</w:t>
      </w:r>
      <w:r>
        <w:rPr>
          <w:color w:val="auto"/>
        </w:rPr>
        <w:tab/>
      </w:r>
      <w:r>
        <w:rPr>
          <w:color w:val="auto"/>
        </w:rPr>
        <w:fldChar w:fldCharType="begin"/>
      </w:r>
      <w:r>
        <w:rPr>
          <w:color w:val="auto"/>
        </w:rPr>
        <w:instrText xml:space="preserve"> PAGEREF _Toc28394 \h </w:instrText>
      </w:r>
      <w:r>
        <w:rPr>
          <w:color w:val="auto"/>
        </w:rPr>
        <w:fldChar w:fldCharType="separate"/>
      </w:r>
      <w:r>
        <w:rPr>
          <w:color w:val="auto"/>
        </w:rPr>
        <w:t>65</w:t>
      </w:r>
      <w:r>
        <w:rPr>
          <w:color w:val="auto"/>
        </w:rPr>
        <w:fldChar w:fldCharType="end"/>
      </w:r>
      <w:r>
        <w:rPr>
          <w:rFonts w:ascii="宋体" w:hAnsi="宋体" w:eastAsia="宋体"/>
          <w:bCs/>
          <w:color w:val="auto"/>
          <w:szCs w:val="21"/>
          <w:highlight w:val="none"/>
          <w:lang w:val="zh-CN"/>
        </w:rPr>
        <w:fldChar w:fldCharType="end"/>
      </w:r>
    </w:p>
    <w:p w14:paraId="2E4249DF">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_Toc5946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（九）</w:t>
      </w:r>
      <w:r>
        <w:rPr>
          <w:rFonts w:ascii="宋体" w:hAnsi="宋体" w:eastAsia="宋体" w:cs="Times New Roman"/>
          <w:color w:val="auto"/>
          <w:kern w:val="0"/>
          <w:highlight w:val="none"/>
        </w:rPr>
        <w:t>35kV以下电抗器</w:t>
      </w:r>
      <w:r>
        <w:rPr>
          <w:color w:val="auto"/>
        </w:rPr>
        <w:tab/>
      </w:r>
      <w:r>
        <w:rPr>
          <w:color w:val="auto"/>
        </w:rPr>
        <w:fldChar w:fldCharType="begin"/>
      </w:r>
      <w:r>
        <w:rPr>
          <w:color w:val="auto"/>
        </w:rPr>
        <w:instrText xml:space="preserve"> PAGEREF _Toc5946 \h </w:instrText>
      </w:r>
      <w:r>
        <w:rPr>
          <w:color w:val="auto"/>
        </w:rPr>
        <w:fldChar w:fldCharType="separate"/>
      </w:r>
      <w:r>
        <w:rPr>
          <w:color w:val="auto"/>
        </w:rPr>
        <w:t>67</w:t>
      </w:r>
      <w:r>
        <w:rPr>
          <w:color w:val="auto"/>
        </w:rPr>
        <w:fldChar w:fldCharType="end"/>
      </w:r>
      <w:r>
        <w:rPr>
          <w:rFonts w:ascii="宋体" w:hAnsi="宋体" w:eastAsia="宋体"/>
          <w:bCs/>
          <w:color w:val="auto"/>
          <w:szCs w:val="21"/>
          <w:highlight w:val="none"/>
          <w:lang w:val="zh-CN"/>
        </w:rPr>
        <w:fldChar w:fldCharType="end"/>
      </w:r>
    </w:p>
    <w:p w14:paraId="2218D3C5">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_Toc29744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（十）</w:t>
      </w:r>
      <w:r>
        <w:rPr>
          <w:rFonts w:ascii="宋体" w:hAnsi="宋体" w:eastAsia="宋体" w:cs="Times New Roman"/>
          <w:color w:val="auto"/>
          <w:kern w:val="0"/>
          <w:highlight w:val="none"/>
        </w:rPr>
        <w:t>35kV</w:t>
      </w:r>
      <w:r>
        <w:rPr>
          <w:rFonts w:hint="eastAsia" w:ascii="宋体" w:hAnsi="宋体" w:eastAsia="宋体" w:cs="Times New Roman"/>
          <w:color w:val="auto"/>
          <w:kern w:val="0"/>
          <w:highlight w:val="none"/>
          <w:lang w:val="en-US" w:eastAsia="zh-CN"/>
        </w:rPr>
        <w:t>及</w:t>
      </w:r>
      <w:r>
        <w:rPr>
          <w:rFonts w:ascii="宋体" w:hAnsi="宋体" w:eastAsia="宋体" w:cs="Times New Roman"/>
          <w:color w:val="auto"/>
          <w:kern w:val="0"/>
          <w:highlight w:val="none"/>
        </w:rPr>
        <w:t>以上电抗器</w:t>
      </w:r>
      <w:r>
        <w:rPr>
          <w:color w:val="auto"/>
        </w:rPr>
        <w:tab/>
      </w:r>
      <w:r>
        <w:rPr>
          <w:color w:val="auto"/>
        </w:rPr>
        <w:fldChar w:fldCharType="begin"/>
      </w:r>
      <w:r>
        <w:rPr>
          <w:color w:val="auto"/>
        </w:rPr>
        <w:instrText xml:space="preserve"> PAGEREF _Toc29744 \h </w:instrText>
      </w:r>
      <w:r>
        <w:rPr>
          <w:color w:val="auto"/>
        </w:rPr>
        <w:fldChar w:fldCharType="separate"/>
      </w:r>
      <w:r>
        <w:rPr>
          <w:color w:val="auto"/>
        </w:rPr>
        <w:t>68</w:t>
      </w:r>
      <w:r>
        <w:rPr>
          <w:color w:val="auto"/>
        </w:rPr>
        <w:fldChar w:fldCharType="end"/>
      </w:r>
      <w:r>
        <w:rPr>
          <w:rFonts w:ascii="宋体" w:hAnsi="宋体" w:eastAsia="宋体"/>
          <w:bCs/>
          <w:color w:val="auto"/>
          <w:szCs w:val="21"/>
          <w:highlight w:val="none"/>
          <w:lang w:val="zh-CN"/>
        </w:rPr>
        <w:fldChar w:fldCharType="end"/>
      </w:r>
    </w:p>
    <w:p w14:paraId="3888B3DC">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_Toc19378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（十一）消弧线圈、接地变及小电阻接地成套装置</w:t>
      </w:r>
      <w:r>
        <w:rPr>
          <w:color w:val="auto"/>
        </w:rPr>
        <w:tab/>
      </w:r>
      <w:r>
        <w:rPr>
          <w:color w:val="auto"/>
        </w:rPr>
        <w:fldChar w:fldCharType="begin"/>
      </w:r>
      <w:r>
        <w:rPr>
          <w:color w:val="auto"/>
        </w:rPr>
        <w:instrText xml:space="preserve"> PAGEREF _Toc19378 \h </w:instrText>
      </w:r>
      <w:r>
        <w:rPr>
          <w:color w:val="auto"/>
        </w:rPr>
        <w:fldChar w:fldCharType="separate"/>
      </w:r>
      <w:r>
        <w:rPr>
          <w:color w:val="auto"/>
        </w:rPr>
        <w:t>71</w:t>
      </w:r>
      <w:r>
        <w:rPr>
          <w:color w:val="auto"/>
        </w:rPr>
        <w:fldChar w:fldCharType="end"/>
      </w:r>
      <w:r>
        <w:rPr>
          <w:rFonts w:ascii="宋体" w:hAnsi="宋体" w:eastAsia="宋体"/>
          <w:bCs/>
          <w:color w:val="auto"/>
          <w:szCs w:val="21"/>
          <w:highlight w:val="none"/>
          <w:lang w:val="zh-CN"/>
        </w:rPr>
        <w:fldChar w:fldCharType="end"/>
      </w:r>
    </w:p>
    <w:p w14:paraId="3EBF04CB">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_Toc14134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（十二）组合电器</w:t>
      </w:r>
      <w:r>
        <w:rPr>
          <w:color w:val="auto"/>
        </w:rPr>
        <w:tab/>
      </w:r>
      <w:r>
        <w:rPr>
          <w:color w:val="auto"/>
        </w:rPr>
        <w:fldChar w:fldCharType="begin"/>
      </w:r>
      <w:r>
        <w:rPr>
          <w:color w:val="auto"/>
        </w:rPr>
        <w:instrText xml:space="preserve"> PAGEREF _Toc14134 \h </w:instrText>
      </w:r>
      <w:r>
        <w:rPr>
          <w:color w:val="auto"/>
        </w:rPr>
        <w:fldChar w:fldCharType="separate"/>
      </w:r>
      <w:r>
        <w:rPr>
          <w:color w:val="auto"/>
        </w:rPr>
        <w:t>71</w:t>
      </w:r>
      <w:r>
        <w:rPr>
          <w:color w:val="auto"/>
        </w:rPr>
        <w:fldChar w:fldCharType="end"/>
      </w:r>
      <w:r>
        <w:rPr>
          <w:rFonts w:ascii="宋体" w:hAnsi="宋体" w:eastAsia="宋体"/>
          <w:bCs/>
          <w:color w:val="auto"/>
          <w:szCs w:val="21"/>
          <w:highlight w:val="none"/>
          <w:lang w:val="zh-CN"/>
        </w:rPr>
        <w:fldChar w:fldCharType="end"/>
      </w:r>
    </w:p>
    <w:p w14:paraId="3EF9AFB2">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_Toc30818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（十三）开关柜（箱）</w:t>
      </w:r>
      <w:r>
        <w:rPr>
          <w:color w:val="auto"/>
        </w:rPr>
        <w:tab/>
      </w:r>
      <w:r>
        <w:rPr>
          <w:color w:val="auto"/>
        </w:rPr>
        <w:fldChar w:fldCharType="begin"/>
      </w:r>
      <w:r>
        <w:rPr>
          <w:color w:val="auto"/>
        </w:rPr>
        <w:instrText xml:space="preserve"> PAGEREF _Toc30818 \h </w:instrText>
      </w:r>
      <w:r>
        <w:rPr>
          <w:color w:val="auto"/>
        </w:rPr>
        <w:fldChar w:fldCharType="separate"/>
      </w:r>
      <w:r>
        <w:rPr>
          <w:color w:val="auto"/>
        </w:rPr>
        <w:t>73</w:t>
      </w:r>
      <w:r>
        <w:rPr>
          <w:color w:val="auto"/>
        </w:rPr>
        <w:fldChar w:fldCharType="end"/>
      </w:r>
      <w:r>
        <w:rPr>
          <w:rFonts w:ascii="宋体" w:hAnsi="宋体" w:eastAsia="宋体"/>
          <w:bCs/>
          <w:color w:val="auto"/>
          <w:szCs w:val="21"/>
          <w:highlight w:val="none"/>
          <w:lang w:val="zh-CN"/>
        </w:rPr>
        <w:fldChar w:fldCharType="end"/>
      </w:r>
    </w:p>
    <w:p w14:paraId="77A094AA">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_Toc1857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（十四）电力电容器</w:t>
      </w:r>
      <w:r>
        <w:rPr>
          <w:color w:val="auto"/>
        </w:rPr>
        <w:tab/>
      </w:r>
      <w:r>
        <w:rPr>
          <w:color w:val="auto"/>
        </w:rPr>
        <w:fldChar w:fldCharType="begin"/>
      </w:r>
      <w:r>
        <w:rPr>
          <w:color w:val="auto"/>
        </w:rPr>
        <w:instrText xml:space="preserve"> PAGEREF _Toc1857 \h </w:instrText>
      </w:r>
      <w:r>
        <w:rPr>
          <w:color w:val="auto"/>
        </w:rPr>
        <w:fldChar w:fldCharType="separate"/>
      </w:r>
      <w:r>
        <w:rPr>
          <w:color w:val="auto"/>
        </w:rPr>
        <w:t>74</w:t>
      </w:r>
      <w:r>
        <w:rPr>
          <w:color w:val="auto"/>
        </w:rPr>
        <w:fldChar w:fldCharType="end"/>
      </w:r>
      <w:r>
        <w:rPr>
          <w:rFonts w:ascii="宋体" w:hAnsi="宋体" w:eastAsia="宋体"/>
          <w:bCs/>
          <w:color w:val="auto"/>
          <w:szCs w:val="21"/>
          <w:highlight w:val="none"/>
          <w:lang w:val="zh-CN"/>
        </w:rPr>
        <w:fldChar w:fldCharType="end"/>
      </w:r>
    </w:p>
    <w:p w14:paraId="2DF16180">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_Toc18988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（十五）串联补偿成套装置</w:t>
      </w:r>
      <w:r>
        <w:rPr>
          <w:color w:val="auto"/>
        </w:rPr>
        <w:tab/>
      </w:r>
      <w:r>
        <w:rPr>
          <w:color w:val="auto"/>
        </w:rPr>
        <w:fldChar w:fldCharType="begin"/>
      </w:r>
      <w:r>
        <w:rPr>
          <w:color w:val="auto"/>
        </w:rPr>
        <w:instrText xml:space="preserve"> PAGEREF _Toc18988 \h </w:instrText>
      </w:r>
      <w:r>
        <w:rPr>
          <w:color w:val="auto"/>
        </w:rPr>
        <w:fldChar w:fldCharType="separate"/>
      </w:r>
      <w:r>
        <w:rPr>
          <w:color w:val="auto"/>
        </w:rPr>
        <w:t>75</w:t>
      </w:r>
      <w:r>
        <w:rPr>
          <w:color w:val="auto"/>
        </w:rPr>
        <w:fldChar w:fldCharType="end"/>
      </w:r>
      <w:r>
        <w:rPr>
          <w:rFonts w:ascii="宋体" w:hAnsi="宋体" w:eastAsia="宋体"/>
          <w:bCs/>
          <w:color w:val="auto"/>
          <w:szCs w:val="21"/>
          <w:highlight w:val="none"/>
          <w:lang w:val="zh-CN"/>
        </w:rPr>
        <w:fldChar w:fldCharType="end"/>
      </w:r>
    </w:p>
    <w:p w14:paraId="1315E0AB">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_Toc21101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（十六）避雷器</w:t>
      </w:r>
      <w:r>
        <w:rPr>
          <w:color w:val="auto"/>
        </w:rPr>
        <w:tab/>
      </w:r>
      <w:r>
        <w:rPr>
          <w:color w:val="auto"/>
        </w:rPr>
        <w:fldChar w:fldCharType="begin"/>
      </w:r>
      <w:r>
        <w:rPr>
          <w:color w:val="auto"/>
        </w:rPr>
        <w:instrText xml:space="preserve"> PAGEREF _Toc21101 \h </w:instrText>
      </w:r>
      <w:r>
        <w:rPr>
          <w:color w:val="auto"/>
        </w:rPr>
        <w:fldChar w:fldCharType="separate"/>
      </w:r>
      <w:r>
        <w:rPr>
          <w:color w:val="auto"/>
        </w:rPr>
        <w:t>75</w:t>
      </w:r>
      <w:r>
        <w:rPr>
          <w:color w:val="auto"/>
        </w:rPr>
        <w:fldChar w:fldCharType="end"/>
      </w:r>
      <w:r>
        <w:rPr>
          <w:rFonts w:ascii="宋体" w:hAnsi="宋体" w:eastAsia="宋体"/>
          <w:bCs/>
          <w:color w:val="auto"/>
          <w:szCs w:val="21"/>
          <w:highlight w:val="none"/>
          <w:lang w:val="zh-CN"/>
        </w:rPr>
        <w:fldChar w:fldCharType="end"/>
      </w:r>
    </w:p>
    <w:p w14:paraId="5F397622">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_Toc41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（十七）开关</w:t>
      </w:r>
      <w:r>
        <w:rPr>
          <w:color w:val="auto"/>
        </w:rPr>
        <w:tab/>
      </w:r>
      <w:r>
        <w:rPr>
          <w:color w:val="auto"/>
        </w:rPr>
        <w:fldChar w:fldCharType="begin"/>
      </w:r>
      <w:r>
        <w:rPr>
          <w:color w:val="auto"/>
        </w:rPr>
        <w:instrText xml:space="preserve"> PAGEREF _Toc41 \h </w:instrText>
      </w:r>
      <w:r>
        <w:rPr>
          <w:color w:val="auto"/>
        </w:rPr>
        <w:fldChar w:fldCharType="separate"/>
      </w:r>
      <w:r>
        <w:rPr>
          <w:color w:val="auto"/>
        </w:rPr>
        <w:t>76</w:t>
      </w:r>
      <w:r>
        <w:rPr>
          <w:color w:val="auto"/>
        </w:rPr>
        <w:fldChar w:fldCharType="end"/>
      </w:r>
      <w:r>
        <w:rPr>
          <w:rFonts w:ascii="宋体" w:hAnsi="宋体" w:eastAsia="宋体"/>
          <w:bCs/>
          <w:color w:val="auto"/>
          <w:szCs w:val="21"/>
          <w:highlight w:val="none"/>
          <w:lang w:val="zh-CN"/>
        </w:rPr>
        <w:fldChar w:fldCharType="end"/>
      </w:r>
    </w:p>
    <w:p w14:paraId="4C40CAEE">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_Toc4029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（十八）滤波器</w:t>
      </w:r>
      <w:r>
        <w:rPr>
          <w:color w:val="auto"/>
        </w:rPr>
        <w:tab/>
      </w:r>
      <w:r>
        <w:rPr>
          <w:color w:val="auto"/>
        </w:rPr>
        <w:fldChar w:fldCharType="begin"/>
      </w:r>
      <w:r>
        <w:rPr>
          <w:color w:val="auto"/>
        </w:rPr>
        <w:instrText xml:space="preserve"> PAGEREF _Toc4029 \h </w:instrText>
      </w:r>
      <w:r>
        <w:rPr>
          <w:color w:val="auto"/>
        </w:rPr>
        <w:fldChar w:fldCharType="separate"/>
      </w:r>
      <w:r>
        <w:rPr>
          <w:color w:val="auto"/>
        </w:rPr>
        <w:t>76</w:t>
      </w:r>
      <w:r>
        <w:rPr>
          <w:color w:val="auto"/>
        </w:rPr>
        <w:fldChar w:fldCharType="end"/>
      </w:r>
      <w:r>
        <w:rPr>
          <w:rFonts w:ascii="宋体" w:hAnsi="宋体" w:eastAsia="宋体"/>
          <w:bCs/>
          <w:color w:val="auto"/>
          <w:szCs w:val="21"/>
          <w:highlight w:val="none"/>
          <w:lang w:val="zh-CN"/>
        </w:rPr>
        <w:fldChar w:fldCharType="end"/>
      </w:r>
    </w:p>
    <w:p w14:paraId="23E1C652">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_Toc17832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（十九）支柱绝缘子</w:t>
      </w:r>
      <w:r>
        <w:rPr>
          <w:color w:val="auto"/>
        </w:rPr>
        <w:tab/>
      </w:r>
      <w:r>
        <w:rPr>
          <w:color w:val="auto"/>
        </w:rPr>
        <w:fldChar w:fldCharType="begin"/>
      </w:r>
      <w:r>
        <w:rPr>
          <w:color w:val="auto"/>
        </w:rPr>
        <w:instrText xml:space="preserve"> PAGEREF _Toc17832 \h </w:instrText>
      </w:r>
      <w:r>
        <w:rPr>
          <w:color w:val="auto"/>
        </w:rPr>
        <w:fldChar w:fldCharType="separate"/>
      </w:r>
      <w:r>
        <w:rPr>
          <w:color w:val="auto"/>
        </w:rPr>
        <w:t>77</w:t>
      </w:r>
      <w:r>
        <w:rPr>
          <w:color w:val="auto"/>
        </w:rPr>
        <w:fldChar w:fldCharType="end"/>
      </w:r>
      <w:r>
        <w:rPr>
          <w:rFonts w:ascii="宋体" w:hAnsi="宋体" w:eastAsia="宋体"/>
          <w:bCs/>
          <w:color w:val="auto"/>
          <w:szCs w:val="21"/>
          <w:highlight w:val="none"/>
          <w:lang w:val="zh-CN"/>
        </w:rPr>
        <w:fldChar w:fldCharType="end"/>
      </w:r>
    </w:p>
    <w:p w14:paraId="61931393">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_Toc3077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（二十）穿墙套管</w:t>
      </w:r>
      <w:r>
        <w:rPr>
          <w:color w:val="auto"/>
        </w:rPr>
        <w:tab/>
      </w:r>
      <w:r>
        <w:rPr>
          <w:color w:val="auto"/>
        </w:rPr>
        <w:fldChar w:fldCharType="begin"/>
      </w:r>
      <w:r>
        <w:rPr>
          <w:color w:val="auto"/>
        </w:rPr>
        <w:instrText xml:space="preserve"> PAGEREF _Toc3077 \h </w:instrText>
      </w:r>
      <w:r>
        <w:rPr>
          <w:color w:val="auto"/>
        </w:rPr>
        <w:fldChar w:fldCharType="separate"/>
      </w:r>
      <w:r>
        <w:rPr>
          <w:color w:val="auto"/>
        </w:rPr>
        <w:t>78</w:t>
      </w:r>
      <w:r>
        <w:rPr>
          <w:color w:val="auto"/>
        </w:rPr>
        <w:fldChar w:fldCharType="end"/>
      </w:r>
      <w:r>
        <w:rPr>
          <w:rFonts w:ascii="宋体" w:hAnsi="宋体" w:eastAsia="宋体"/>
          <w:bCs/>
          <w:color w:val="auto"/>
          <w:szCs w:val="21"/>
          <w:highlight w:val="none"/>
          <w:lang w:val="zh-CN"/>
        </w:rPr>
        <w:fldChar w:fldCharType="end"/>
      </w:r>
    </w:p>
    <w:p w14:paraId="027F86E2">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_Toc19453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（二十一）母线</w:t>
      </w:r>
      <w:r>
        <w:rPr>
          <w:color w:val="auto"/>
        </w:rPr>
        <w:tab/>
      </w:r>
      <w:r>
        <w:rPr>
          <w:color w:val="auto"/>
        </w:rPr>
        <w:fldChar w:fldCharType="begin"/>
      </w:r>
      <w:r>
        <w:rPr>
          <w:color w:val="auto"/>
        </w:rPr>
        <w:instrText xml:space="preserve"> PAGEREF _Toc19453 \h </w:instrText>
      </w:r>
      <w:r>
        <w:rPr>
          <w:color w:val="auto"/>
        </w:rPr>
        <w:fldChar w:fldCharType="separate"/>
      </w:r>
      <w:r>
        <w:rPr>
          <w:color w:val="auto"/>
        </w:rPr>
        <w:t>78</w:t>
      </w:r>
      <w:r>
        <w:rPr>
          <w:color w:val="auto"/>
        </w:rPr>
        <w:fldChar w:fldCharType="end"/>
      </w:r>
      <w:r>
        <w:rPr>
          <w:rFonts w:ascii="宋体" w:hAnsi="宋体" w:eastAsia="宋体"/>
          <w:bCs/>
          <w:color w:val="auto"/>
          <w:szCs w:val="21"/>
          <w:highlight w:val="none"/>
          <w:lang w:val="zh-CN"/>
        </w:rPr>
        <w:fldChar w:fldCharType="end"/>
      </w:r>
    </w:p>
    <w:p w14:paraId="6967FA70">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_Toc16131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（二十二）继电保护及自动装置</w:t>
      </w:r>
      <w:r>
        <w:rPr>
          <w:color w:val="auto"/>
        </w:rPr>
        <w:tab/>
      </w:r>
      <w:r>
        <w:rPr>
          <w:color w:val="auto"/>
        </w:rPr>
        <w:fldChar w:fldCharType="begin"/>
      </w:r>
      <w:r>
        <w:rPr>
          <w:color w:val="auto"/>
        </w:rPr>
        <w:instrText xml:space="preserve"> PAGEREF _Toc16131 \h </w:instrText>
      </w:r>
      <w:r>
        <w:rPr>
          <w:color w:val="auto"/>
        </w:rPr>
        <w:fldChar w:fldCharType="separate"/>
      </w:r>
      <w:r>
        <w:rPr>
          <w:color w:val="auto"/>
        </w:rPr>
        <w:t>79</w:t>
      </w:r>
      <w:r>
        <w:rPr>
          <w:color w:val="auto"/>
        </w:rPr>
        <w:fldChar w:fldCharType="end"/>
      </w:r>
      <w:r>
        <w:rPr>
          <w:rFonts w:ascii="宋体" w:hAnsi="宋体" w:eastAsia="宋体"/>
          <w:bCs/>
          <w:color w:val="auto"/>
          <w:szCs w:val="21"/>
          <w:highlight w:val="none"/>
          <w:lang w:val="zh-CN"/>
        </w:rPr>
        <w:fldChar w:fldCharType="end"/>
      </w:r>
    </w:p>
    <w:p w14:paraId="53D9F24A">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_Toc9760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（二十三）自动化系统及设备</w:t>
      </w:r>
      <w:r>
        <w:rPr>
          <w:color w:val="auto"/>
        </w:rPr>
        <w:tab/>
      </w:r>
      <w:r>
        <w:rPr>
          <w:color w:val="auto"/>
        </w:rPr>
        <w:fldChar w:fldCharType="begin"/>
      </w:r>
      <w:r>
        <w:rPr>
          <w:color w:val="auto"/>
        </w:rPr>
        <w:instrText xml:space="preserve"> PAGEREF _Toc9760 \h </w:instrText>
      </w:r>
      <w:r>
        <w:rPr>
          <w:color w:val="auto"/>
        </w:rPr>
        <w:fldChar w:fldCharType="separate"/>
      </w:r>
      <w:r>
        <w:rPr>
          <w:color w:val="auto"/>
        </w:rPr>
        <w:t>81</w:t>
      </w:r>
      <w:r>
        <w:rPr>
          <w:color w:val="auto"/>
        </w:rPr>
        <w:fldChar w:fldCharType="end"/>
      </w:r>
      <w:r>
        <w:rPr>
          <w:rFonts w:ascii="宋体" w:hAnsi="宋体" w:eastAsia="宋体"/>
          <w:bCs/>
          <w:color w:val="auto"/>
          <w:szCs w:val="21"/>
          <w:highlight w:val="none"/>
          <w:lang w:val="zh-CN"/>
        </w:rPr>
        <w:fldChar w:fldCharType="end"/>
      </w:r>
    </w:p>
    <w:p w14:paraId="7467E812">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_Toc14080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（二十四）在线监测系统等设备</w:t>
      </w:r>
      <w:r>
        <w:rPr>
          <w:color w:val="auto"/>
        </w:rPr>
        <w:tab/>
      </w:r>
      <w:r>
        <w:rPr>
          <w:color w:val="auto"/>
        </w:rPr>
        <w:fldChar w:fldCharType="begin"/>
      </w:r>
      <w:r>
        <w:rPr>
          <w:color w:val="auto"/>
        </w:rPr>
        <w:instrText xml:space="preserve"> PAGEREF _Toc14080 \h </w:instrText>
      </w:r>
      <w:r>
        <w:rPr>
          <w:color w:val="auto"/>
        </w:rPr>
        <w:fldChar w:fldCharType="separate"/>
      </w:r>
      <w:r>
        <w:rPr>
          <w:color w:val="auto"/>
        </w:rPr>
        <w:t>82</w:t>
      </w:r>
      <w:r>
        <w:rPr>
          <w:color w:val="auto"/>
        </w:rPr>
        <w:fldChar w:fldCharType="end"/>
      </w:r>
      <w:r>
        <w:rPr>
          <w:rFonts w:ascii="宋体" w:hAnsi="宋体" w:eastAsia="宋体"/>
          <w:bCs/>
          <w:color w:val="auto"/>
          <w:szCs w:val="21"/>
          <w:highlight w:val="none"/>
          <w:lang w:val="zh-CN"/>
        </w:rPr>
        <w:fldChar w:fldCharType="end"/>
      </w:r>
    </w:p>
    <w:p w14:paraId="6C23C8D1">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_Toc10242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（二十五）低压屏（柜）、箱</w:t>
      </w:r>
      <w:r>
        <w:rPr>
          <w:color w:val="auto"/>
        </w:rPr>
        <w:tab/>
      </w:r>
      <w:r>
        <w:rPr>
          <w:color w:val="auto"/>
        </w:rPr>
        <w:fldChar w:fldCharType="begin"/>
      </w:r>
      <w:r>
        <w:rPr>
          <w:color w:val="auto"/>
        </w:rPr>
        <w:instrText xml:space="preserve"> PAGEREF _Toc10242 \h </w:instrText>
      </w:r>
      <w:r>
        <w:rPr>
          <w:color w:val="auto"/>
        </w:rPr>
        <w:fldChar w:fldCharType="separate"/>
      </w:r>
      <w:r>
        <w:rPr>
          <w:color w:val="auto"/>
        </w:rPr>
        <w:t>83</w:t>
      </w:r>
      <w:r>
        <w:rPr>
          <w:color w:val="auto"/>
        </w:rPr>
        <w:fldChar w:fldCharType="end"/>
      </w:r>
      <w:r>
        <w:rPr>
          <w:rFonts w:ascii="宋体" w:hAnsi="宋体" w:eastAsia="宋体"/>
          <w:bCs/>
          <w:color w:val="auto"/>
          <w:szCs w:val="21"/>
          <w:highlight w:val="none"/>
          <w:lang w:val="zh-CN"/>
        </w:rPr>
        <w:fldChar w:fldCharType="end"/>
      </w:r>
    </w:p>
    <w:p w14:paraId="61D3B179">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_Toc4666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（二十六）电源系统</w:t>
      </w:r>
      <w:r>
        <w:rPr>
          <w:color w:val="auto"/>
        </w:rPr>
        <w:tab/>
      </w:r>
      <w:r>
        <w:rPr>
          <w:color w:val="auto"/>
        </w:rPr>
        <w:fldChar w:fldCharType="begin"/>
      </w:r>
      <w:r>
        <w:rPr>
          <w:color w:val="auto"/>
        </w:rPr>
        <w:instrText xml:space="preserve"> PAGEREF _Toc4666 \h </w:instrText>
      </w:r>
      <w:r>
        <w:rPr>
          <w:color w:val="auto"/>
        </w:rPr>
        <w:fldChar w:fldCharType="separate"/>
      </w:r>
      <w:r>
        <w:rPr>
          <w:color w:val="auto"/>
        </w:rPr>
        <w:t>83</w:t>
      </w:r>
      <w:r>
        <w:rPr>
          <w:color w:val="auto"/>
        </w:rPr>
        <w:fldChar w:fldCharType="end"/>
      </w:r>
      <w:r>
        <w:rPr>
          <w:rFonts w:ascii="宋体" w:hAnsi="宋体" w:eastAsia="宋体"/>
          <w:bCs/>
          <w:color w:val="auto"/>
          <w:szCs w:val="21"/>
          <w:highlight w:val="none"/>
          <w:lang w:val="zh-CN"/>
        </w:rPr>
        <w:fldChar w:fldCharType="end"/>
      </w:r>
    </w:p>
    <w:p w14:paraId="45F299A6">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_Toc9544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（二十七）通信设备</w:t>
      </w:r>
      <w:r>
        <w:rPr>
          <w:color w:val="auto"/>
        </w:rPr>
        <w:tab/>
      </w:r>
      <w:r>
        <w:rPr>
          <w:color w:val="auto"/>
        </w:rPr>
        <w:fldChar w:fldCharType="begin"/>
      </w:r>
      <w:r>
        <w:rPr>
          <w:color w:val="auto"/>
        </w:rPr>
        <w:instrText xml:space="preserve"> PAGEREF _Toc9544 \h </w:instrText>
      </w:r>
      <w:r>
        <w:rPr>
          <w:color w:val="auto"/>
        </w:rPr>
        <w:fldChar w:fldCharType="separate"/>
      </w:r>
      <w:r>
        <w:rPr>
          <w:color w:val="auto"/>
        </w:rPr>
        <w:t>84</w:t>
      </w:r>
      <w:r>
        <w:rPr>
          <w:color w:val="auto"/>
        </w:rPr>
        <w:fldChar w:fldCharType="end"/>
      </w:r>
      <w:r>
        <w:rPr>
          <w:rFonts w:ascii="宋体" w:hAnsi="宋体" w:eastAsia="宋体"/>
          <w:bCs/>
          <w:color w:val="auto"/>
          <w:szCs w:val="21"/>
          <w:highlight w:val="none"/>
          <w:lang w:val="zh-CN"/>
        </w:rPr>
        <w:fldChar w:fldCharType="end"/>
      </w:r>
    </w:p>
    <w:p w14:paraId="323A22A9">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_Toc6668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（二十八）通信电源等设备</w:t>
      </w:r>
      <w:r>
        <w:rPr>
          <w:color w:val="auto"/>
        </w:rPr>
        <w:tab/>
      </w:r>
      <w:r>
        <w:rPr>
          <w:color w:val="auto"/>
        </w:rPr>
        <w:fldChar w:fldCharType="begin"/>
      </w:r>
      <w:r>
        <w:rPr>
          <w:color w:val="auto"/>
        </w:rPr>
        <w:instrText xml:space="preserve"> PAGEREF _Toc6668 \h </w:instrText>
      </w:r>
      <w:r>
        <w:rPr>
          <w:color w:val="auto"/>
        </w:rPr>
        <w:fldChar w:fldCharType="separate"/>
      </w:r>
      <w:r>
        <w:rPr>
          <w:color w:val="auto"/>
        </w:rPr>
        <w:t>85</w:t>
      </w:r>
      <w:r>
        <w:rPr>
          <w:color w:val="auto"/>
        </w:rPr>
        <w:fldChar w:fldCharType="end"/>
      </w:r>
      <w:r>
        <w:rPr>
          <w:rFonts w:ascii="宋体" w:hAnsi="宋体" w:eastAsia="宋体"/>
          <w:bCs/>
          <w:color w:val="auto"/>
          <w:szCs w:val="21"/>
          <w:highlight w:val="none"/>
          <w:lang w:val="zh-CN"/>
        </w:rPr>
        <w:fldChar w:fldCharType="end"/>
      </w:r>
    </w:p>
    <w:p w14:paraId="2DCB2211">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_Toc32464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（二十九）电气标准器及检测装置</w:t>
      </w:r>
      <w:r>
        <w:rPr>
          <w:color w:val="auto"/>
        </w:rPr>
        <w:tab/>
      </w:r>
      <w:r>
        <w:rPr>
          <w:color w:val="auto"/>
        </w:rPr>
        <w:fldChar w:fldCharType="begin"/>
      </w:r>
      <w:r>
        <w:rPr>
          <w:color w:val="auto"/>
        </w:rPr>
        <w:instrText xml:space="preserve"> PAGEREF _Toc32464 \h </w:instrText>
      </w:r>
      <w:r>
        <w:rPr>
          <w:color w:val="auto"/>
        </w:rPr>
        <w:fldChar w:fldCharType="separate"/>
      </w:r>
      <w:r>
        <w:rPr>
          <w:color w:val="auto"/>
        </w:rPr>
        <w:t>86</w:t>
      </w:r>
      <w:r>
        <w:rPr>
          <w:color w:val="auto"/>
        </w:rPr>
        <w:fldChar w:fldCharType="end"/>
      </w:r>
      <w:r>
        <w:rPr>
          <w:rFonts w:ascii="宋体" w:hAnsi="宋体" w:eastAsia="宋体"/>
          <w:bCs/>
          <w:color w:val="auto"/>
          <w:szCs w:val="21"/>
          <w:highlight w:val="none"/>
          <w:lang w:val="zh-CN"/>
        </w:rPr>
        <w:fldChar w:fldCharType="end"/>
      </w:r>
    </w:p>
    <w:p w14:paraId="79DE0A46">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_Toc27647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（三十）仪器仪表</w:t>
      </w:r>
      <w:r>
        <w:rPr>
          <w:color w:val="auto"/>
        </w:rPr>
        <w:tab/>
      </w:r>
      <w:r>
        <w:rPr>
          <w:color w:val="auto"/>
        </w:rPr>
        <w:fldChar w:fldCharType="begin"/>
      </w:r>
      <w:r>
        <w:rPr>
          <w:color w:val="auto"/>
        </w:rPr>
        <w:instrText xml:space="preserve"> PAGEREF _Toc27647 \h </w:instrText>
      </w:r>
      <w:r>
        <w:rPr>
          <w:color w:val="auto"/>
        </w:rPr>
        <w:fldChar w:fldCharType="separate"/>
      </w:r>
      <w:r>
        <w:rPr>
          <w:color w:val="auto"/>
        </w:rPr>
        <w:t>87</w:t>
      </w:r>
      <w:r>
        <w:rPr>
          <w:color w:val="auto"/>
        </w:rPr>
        <w:fldChar w:fldCharType="end"/>
      </w:r>
      <w:r>
        <w:rPr>
          <w:rFonts w:ascii="宋体" w:hAnsi="宋体" w:eastAsia="宋体"/>
          <w:bCs/>
          <w:color w:val="auto"/>
          <w:szCs w:val="21"/>
          <w:highlight w:val="none"/>
          <w:lang w:val="zh-CN"/>
        </w:rPr>
        <w:fldChar w:fldCharType="end"/>
      </w:r>
    </w:p>
    <w:p w14:paraId="36C14F12">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_Toc9480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（三十一）铁附件</w:t>
      </w:r>
      <w:r>
        <w:rPr>
          <w:color w:val="auto"/>
        </w:rPr>
        <w:tab/>
      </w:r>
      <w:r>
        <w:rPr>
          <w:color w:val="auto"/>
        </w:rPr>
        <w:fldChar w:fldCharType="begin"/>
      </w:r>
      <w:r>
        <w:rPr>
          <w:color w:val="auto"/>
        </w:rPr>
        <w:instrText xml:space="preserve"> PAGEREF _Toc9480 \h </w:instrText>
      </w:r>
      <w:r>
        <w:rPr>
          <w:color w:val="auto"/>
        </w:rPr>
        <w:fldChar w:fldCharType="separate"/>
      </w:r>
      <w:r>
        <w:rPr>
          <w:color w:val="auto"/>
        </w:rPr>
        <w:t>88</w:t>
      </w:r>
      <w:r>
        <w:rPr>
          <w:color w:val="auto"/>
        </w:rPr>
        <w:fldChar w:fldCharType="end"/>
      </w:r>
      <w:r>
        <w:rPr>
          <w:rFonts w:ascii="宋体" w:hAnsi="宋体" w:eastAsia="宋体"/>
          <w:bCs/>
          <w:color w:val="auto"/>
          <w:szCs w:val="21"/>
          <w:highlight w:val="none"/>
          <w:lang w:val="zh-CN"/>
        </w:rPr>
        <w:fldChar w:fldCharType="end"/>
      </w:r>
    </w:p>
    <w:p w14:paraId="5A206E94">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_Toc29761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（三十二）金具</w:t>
      </w:r>
      <w:r>
        <w:rPr>
          <w:color w:val="auto"/>
        </w:rPr>
        <w:tab/>
      </w:r>
      <w:r>
        <w:rPr>
          <w:color w:val="auto"/>
        </w:rPr>
        <w:fldChar w:fldCharType="begin"/>
      </w:r>
      <w:r>
        <w:rPr>
          <w:color w:val="auto"/>
        </w:rPr>
        <w:instrText xml:space="preserve"> PAGEREF _Toc29761 \h </w:instrText>
      </w:r>
      <w:r>
        <w:rPr>
          <w:color w:val="auto"/>
        </w:rPr>
        <w:fldChar w:fldCharType="separate"/>
      </w:r>
      <w:r>
        <w:rPr>
          <w:color w:val="auto"/>
        </w:rPr>
        <w:t>90</w:t>
      </w:r>
      <w:r>
        <w:rPr>
          <w:color w:val="auto"/>
        </w:rPr>
        <w:fldChar w:fldCharType="end"/>
      </w:r>
      <w:r>
        <w:rPr>
          <w:rFonts w:ascii="宋体" w:hAnsi="宋体" w:eastAsia="宋体"/>
          <w:bCs/>
          <w:color w:val="auto"/>
          <w:szCs w:val="21"/>
          <w:highlight w:val="none"/>
          <w:lang w:val="zh-CN"/>
        </w:rPr>
        <w:fldChar w:fldCharType="end"/>
      </w:r>
    </w:p>
    <w:p w14:paraId="7D19D3FD">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_Toc2366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（三十三）杆塔</w:t>
      </w:r>
      <w:r>
        <w:rPr>
          <w:color w:val="auto"/>
        </w:rPr>
        <w:tab/>
      </w:r>
      <w:r>
        <w:rPr>
          <w:color w:val="auto"/>
        </w:rPr>
        <w:fldChar w:fldCharType="begin"/>
      </w:r>
      <w:r>
        <w:rPr>
          <w:color w:val="auto"/>
        </w:rPr>
        <w:instrText xml:space="preserve"> PAGEREF _Toc2366 \h </w:instrText>
      </w:r>
      <w:r>
        <w:rPr>
          <w:color w:val="auto"/>
        </w:rPr>
        <w:fldChar w:fldCharType="separate"/>
      </w:r>
      <w:r>
        <w:rPr>
          <w:color w:val="auto"/>
        </w:rPr>
        <w:t>91</w:t>
      </w:r>
      <w:r>
        <w:rPr>
          <w:color w:val="auto"/>
        </w:rPr>
        <w:fldChar w:fldCharType="end"/>
      </w:r>
      <w:r>
        <w:rPr>
          <w:rFonts w:ascii="宋体" w:hAnsi="宋体" w:eastAsia="宋体"/>
          <w:bCs/>
          <w:color w:val="auto"/>
          <w:szCs w:val="21"/>
          <w:highlight w:val="none"/>
          <w:lang w:val="zh-CN"/>
        </w:rPr>
        <w:fldChar w:fldCharType="end"/>
      </w:r>
    </w:p>
    <w:p w14:paraId="55E816FA">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_Toc10049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（三十四）导地线</w:t>
      </w:r>
      <w:r>
        <w:rPr>
          <w:color w:val="auto"/>
        </w:rPr>
        <w:tab/>
      </w:r>
      <w:r>
        <w:rPr>
          <w:color w:val="auto"/>
        </w:rPr>
        <w:fldChar w:fldCharType="begin"/>
      </w:r>
      <w:r>
        <w:rPr>
          <w:color w:val="auto"/>
        </w:rPr>
        <w:instrText xml:space="preserve"> PAGEREF _Toc10049 \h </w:instrText>
      </w:r>
      <w:r>
        <w:rPr>
          <w:color w:val="auto"/>
        </w:rPr>
        <w:fldChar w:fldCharType="separate"/>
      </w:r>
      <w:r>
        <w:rPr>
          <w:color w:val="auto"/>
        </w:rPr>
        <w:t>94</w:t>
      </w:r>
      <w:r>
        <w:rPr>
          <w:color w:val="auto"/>
        </w:rPr>
        <w:fldChar w:fldCharType="end"/>
      </w:r>
      <w:r>
        <w:rPr>
          <w:rFonts w:ascii="宋体" w:hAnsi="宋体" w:eastAsia="宋体"/>
          <w:bCs/>
          <w:color w:val="auto"/>
          <w:szCs w:val="21"/>
          <w:highlight w:val="none"/>
          <w:lang w:val="zh-CN"/>
        </w:rPr>
        <w:fldChar w:fldCharType="end"/>
      </w:r>
    </w:p>
    <w:p w14:paraId="7343A925">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_Toc25347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（三十五）绝缘子</w:t>
      </w:r>
      <w:r>
        <w:rPr>
          <w:color w:val="auto"/>
        </w:rPr>
        <w:tab/>
      </w:r>
      <w:r>
        <w:rPr>
          <w:color w:val="auto"/>
        </w:rPr>
        <w:fldChar w:fldCharType="begin"/>
      </w:r>
      <w:r>
        <w:rPr>
          <w:color w:val="auto"/>
        </w:rPr>
        <w:instrText xml:space="preserve"> PAGEREF _Toc25347 \h </w:instrText>
      </w:r>
      <w:r>
        <w:rPr>
          <w:color w:val="auto"/>
        </w:rPr>
        <w:fldChar w:fldCharType="separate"/>
      </w:r>
      <w:r>
        <w:rPr>
          <w:color w:val="auto"/>
        </w:rPr>
        <w:t>96</w:t>
      </w:r>
      <w:r>
        <w:rPr>
          <w:color w:val="auto"/>
        </w:rPr>
        <w:fldChar w:fldCharType="end"/>
      </w:r>
      <w:r>
        <w:rPr>
          <w:rFonts w:ascii="宋体" w:hAnsi="宋体" w:eastAsia="宋体"/>
          <w:bCs/>
          <w:color w:val="auto"/>
          <w:szCs w:val="21"/>
          <w:highlight w:val="none"/>
          <w:lang w:val="zh-CN"/>
        </w:rPr>
        <w:fldChar w:fldCharType="end"/>
      </w:r>
    </w:p>
    <w:p w14:paraId="5862E13E">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_Toc28422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（三十六）电缆及附件</w:t>
      </w:r>
      <w:r>
        <w:rPr>
          <w:color w:val="auto"/>
        </w:rPr>
        <w:tab/>
      </w:r>
      <w:r>
        <w:rPr>
          <w:color w:val="auto"/>
        </w:rPr>
        <w:fldChar w:fldCharType="begin"/>
      </w:r>
      <w:r>
        <w:rPr>
          <w:color w:val="auto"/>
        </w:rPr>
        <w:instrText xml:space="preserve"> PAGEREF _Toc28422 \h </w:instrText>
      </w:r>
      <w:r>
        <w:rPr>
          <w:color w:val="auto"/>
        </w:rPr>
        <w:fldChar w:fldCharType="separate"/>
      </w:r>
      <w:r>
        <w:rPr>
          <w:color w:val="auto"/>
        </w:rPr>
        <w:t>97</w:t>
      </w:r>
      <w:r>
        <w:rPr>
          <w:color w:val="auto"/>
        </w:rPr>
        <w:fldChar w:fldCharType="end"/>
      </w:r>
      <w:r>
        <w:rPr>
          <w:rFonts w:ascii="宋体" w:hAnsi="宋体" w:eastAsia="宋体"/>
          <w:bCs/>
          <w:color w:val="auto"/>
          <w:szCs w:val="21"/>
          <w:highlight w:val="none"/>
          <w:lang w:val="zh-CN"/>
        </w:rPr>
        <w:fldChar w:fldCharType="end"/>
      </w:r>
    </w:p>
    <w:p w14:paraId="55DEFE37">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_Toc30309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（三十七）光缆及附件</w:t>
      </w:r>
      <w:r>
        <w:rPr>
          <w:color w:val="auto"/>
        </w:rPr>
        <w:tab/>
      </w:r>
      <w:r>
        <w:rPr>
          <w:color w:val="auto"/>
        </w:rPr>
        <w:fldChar w:fldCharType="begin"/>
      </w:r>
      <w:r>
        <w:rPr>
          <w:color w:val="auto"/>
        </w:rPr>
        <w:instrText xml:space="preserve"> PAGEREF _Toc30309 \h </w:instrText>
      </w:r>
      <w:r>
        <w:rPr>
          <w:color w:val="auto"/>
        </w:rPr>
        <w:fldChar w:fldCharType="separate"/>
      </w:r>
      <w:r>
        <w:rPr>
          <w:color w:val="auto"/>
        </w:rPr>
        <w:t>99</w:t>
      </w:r>
      <w:r>
        <w:rPr>
          <w:color w:val="auto"/>
        </w:rPr>
        <w:fldChar w:fldCharType="end"/>
      </w:r>
      <w:r>
        <w:rPr>
          <w:rFonts w:ascii="宋体" w:hAnsi="宋体" w:eastAsia="宋体"/>
          <w:bCs/>
          <w:color w:val="auto"/>
          <w:szCs w:val="21"/>
          <w:highlight w:val="none"/>
          <w:lang w:val="zh-CN"/>
        </w:rPr>
        <w:fldChar w:fldCharType="end"/>
      </w:r>
    </w:p>
    <w:p w14:paraId="46912D8D">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_Toc5745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（三十八）电力设施安全防护防盗、消防系统</w:t>
      </w:r>
      <w:r>
        <w:rPr>
          <w:color w:val="auto"/>
        </w:rPr>
        <w:tab/>
      </w:r>
      <w:r>
        <w:rPr>
          <w:color w:val="auto"/>
        </w:rPr>
        <w:fldChar w:fldCharType="begin"/>
      </w:r>
      <w:r>
        <w:rPr>
          <w:color w:val="auto"/>
        </w:rPr>
        <w:instrText xml:space="preserve"> PAGEREF _Toc5745 \h </w:instrText>
      </w:r>
      <w:r>
        <w:rPr>
          <w:color w:val="auto"/>
        </w:rPr>
        <w:fldChar w:fldCharType="separate"/>
      </w:r>
      <w:r>
        <w:rPr>
          <w:color w:val="auto"/>
        </w:rPr>
        <w:t>101</w:t>
      </w:r>
      <w:r>
        <w:rPr>
          <w:color w:val="auto"/>
        </w:rPr>
        <w:fldChar w:fldCharType="end"/>
      </w:r>
      <w:r>
        <w:rPr>
          <w:rFonts w:ascii="宋体" w:hAnsi="宋体" w:eastAsia="宋体"/>
          <w:bCs/>
          <w:color w:val="auto"/>
          <w:szCs w:val="21"/>
          <w:highlight w:val="none"/>
          <w:lang w:val="zh-CN"/>
        </w:rPr>
        <w:fldChar w:fldCharType="end"/>
      </w:r>
    </w:p>
    <w:p w14:paraId="285E8F9B">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_Toc22315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（三十九）继电器</w:t>
      </w:r>
      <w:r>
        <w:rPr>
          <w:color w:val="auto"/>
        </w:rPr>
        <w:tab/>
      </w:r>
      <w:r>
        <w:rPr>
          <w:color w:val="auto"/>
        </w:rPr>
        <w:fldChar w:fldCharType="begin"/>
      </w:r>
      <w:r>
        <w:rPr>
          <w:color w:val="auto"/>
        </w:rPr>
        <w:instrText xml:space="preserve"> PAGEREF _Toc22315 \h </w:instrText>
      </w:r>
      <w:r>
        <w:rPr>
          <w:color w:val="auto"/>
        </w:rPr>
        <w:fldChar w:fldCharType="separate"/>
      </w:r>
      <w:r>
        <w:rPr>
          <w:color w:val="auto"/>
        </w:rPr>
        <w:t>102</w:t>
      </w:r>
      <w:r>
        <w:rPr>
          <w:color w:val="auto"/>
        </w:rPr>
        <w:fldChar w:fldCharType="end"/>
      </w:r>
      <w:r>
        <w:rPr>
          <w:rFonts w:ascii="宋体" w:hAnsi="宋体" w:eastAsia="宋体"/>
          <w:bCs/>
          <w:color w:val="auto"/>
          <w:szCs w:val="21"/>
          <w:highlight w:val="none"/>
          <w:lang w:val="zh-CN"/>
        </w:rPr>
        <w:fldChar w:fldCharType="end"/>
      </w:r>
    </w:p>
    <w:p w14:paraId="438B8A7B">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_Toc20900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（四十）照明设备</w:t>
      </w:r>
      <w:r>
        <w:rPr>
          <w:color w:val="auto"/>
        </w:rPr>
        <w:tab/>
      </w:r>
      <w:r>
        <w:rPr>
          <w:color w:val="auto"/>
        </w:rPr>
        <w:fldChar w:fldCharType="begin"/>
      </w:r>
      <w:r>
        <w:rPr>
          <w:color w:val="auto"/>
        </w:rPr>
        <w:instrText xml:space="preserve"> PAGEREF _Toc20900 \h </w:instrText>
      </w:r>
      <w:r>
        <w:rPr>
          <w:color w:val="auto"/>
        </w:rPr>
        <w:fldChar w:fldCharType="separate"/>
      </w:r>
      <w:r>
        <w:rPr>
          <w:color w:val="auto"/>
        </w:rPr>
        <w:t>102</w:t>
      </w:r>
      <w:r>
        <w:rPr>
          <w:color w:val="auto"/>
        </w:rPr>
        <w:fldChar w:fldCharType="end"/>
      </w:r>
      <w:r>
        <w:rPr>
          <w:rFonts w:ascii="宋体" w:hAnsi="宋体" w:eastAsia="宋体"/>
          <w:bCs/>
          <w:color w:val="auto"/>
          <w:szCs w:val="21"/>
          <w:highlight w:val="none"/>
          <w:lang w:val="zh-CN"/>
        </w:rPr>
        <w:fldChar w:fldCharType="end"/>
      </w:r>
    </w:p>
    <w:p w14:paraId="47FC0F65">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_Toc29645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（四十一）营销设备</w:t>
      </w:r>
      <w:r>
        <w:rPr>
          <w:color w:val="auto"/>
        </w:rPr>
        <w:tab/>
      </w:r>
      <w:r>
        <w:rPr>
          <w:color w:val="auto"/>
        </w:rPr>
        <w:fldChar w:fldCharType="begin"/>
      </w:r>
      <w:r>
        <w:rPr>
          <w:color w:val="auto"/>
        </w:rPr>
        <w:instrText xml:space="preserve"> PAGEREF _Toc29645 \h </w:instrText>
      </w:r>
      <w:r>
        <w:rPr>
          <w:color w:val="auto"/>
        </w:rPr>
        <w:fldChar w:fldCharType="separate"/>
      </w:r>
      <w:r>
        <w:rPr>
          <w:color w:val="auto"/>
        </w:rPr>
        <w:t>103</w:t>
      </w:r>
      <w:r>
        <w:rPr>
          <w:color w:val="auto"/>
        </w:rPr>
        <w:fldChar w:fldCharType="end"/>
      </w:r>
      <w:r>
        <w:rPr>
          <w:rFonts w:ascii="宋体" w:hAnsi="宋体" w:eastAsia="宋体"/>
          <w:bCs/>
          <w:color w:val="auto"/>
          <w:szCs w:val="21"/>
          <w:highlight w:val="none"/>
          <w:lang w:val="zh-CN"/>
        </w:rPr>
        <w:fldChar w:fldCharType="end"/>
      </w:r>
    </w:p>
    <w:p w14:paraId="14B0FB21">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_Toc9977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（四十二）二级维护类物资</w:t>
      </w:r>
      <w:r>
        <w:rPr>
          <w:color w:val="auto"/>
        </w:rPr>
        <w:tab/>
      </w:r>
      <w:r>
        <w:rPr>
          <w:color w:val="auto"/>
        </w:rPr>
        <w:fldChar w:fldCharType="begin"/>
      </w:r>
      <w:r>
        <w:rPr>
          <w:color w:val="auto"/>
        </w:rPr>
        <w:instrText xml:space="preserve"> PAGEREF _Toc9977 \h </w:instrText>
      </w:r>
      <w:r>
        <w:rPr>
          <w:color w:val="auto"/>
        </w:rPr>
        <w:fldChar w:fldCharType="separate"/>
      </w:r>
      <w:r>
        <w:rPr>
          <w:color w:val="auto"/>
        </w:rPr>
        <w:t>106</w:t>
      </w:r>
      <w:r>
        <w:rPr>
          <w:color w:val="auto"/>
        </w:rPr>
        <w:fldChar w:fldCharType="end"/>
      </w:r>
      <w:r>
        <w:rPr>
          <w:rFonts w:ascii="宋体" w:hAnsi="宋体" w:eastAsia="宋体"/>
          <w:bCs/>
          <w:color w:val="auto"/>
          <w:szCs w:val="21"/>
          <w:highlight w:val="none"/>
          <w:lang w:val="zh-CN"/>
        </w:rPr>
        <w:fldChar w:fldCharType="end"/>
      </w:r>
    </w:p>
    <w:p w14:paraId="698A33EE">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_Toc28148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（四十三）主配网调度主站系统</w:t>
      </w:r>
      <w:r>
        <w:rPr>
          <w:color w:val="auto"/>
        </w:rPr>
        <w:tab/>
      </w:r>
      <w:r>
        <w:rPr>
          <w:color w:val="auto"/>
        </w:rPr>
        <w:fldChar w:fldCharType="begin"/>
      </w:r>
      <w:r>
        <w:rPr>
          <w:color w:val="auto"/>
        </w:rPr>
        <w:instrText xml:space="preserve"> PAGEREF _Toc28148 \h </w:instrText>
      </w:r>
      <w:r>
        <w:rPr>
          <w:color w:val="auto"/>
        </w:rPr>
        <w:fldChar w:fldCharType="separate"/>
      </w:r>
      <w:r>
        <w:rPr>
          <w:color w:val="auto"/>
        </w:rPr>
        <w:t>106</w:t>
      </w:r>
      <w:r>
        <w:rPr>
          <w:color w:val="auto"/>
        </w:rPr>
        <w:fldChar w:fldCharType="end"/>
      </w:r>
      <w:r>
        <w:rPr>
          <w:rFonts w:ascii="宋体" w:hAnsi="宋体" w:eastAsia="宋体"/>
          <w:bCs/>
          <w:color w:val="auto"/>
          <w:szCs w:val="21"/>
          <w:highlight w:val="none"/>
          <w:lang w:val="zh-CN"/>
        </w:rPr>
        <w:fldChar w:fldCharType="end"/>
      </w:r>
    </w:p>
    <w:p w14:paraId="05A6F97B">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_Toc13733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（四十四）计算机设备</w:t>
      </w:r>
      <w:r>
        <w:rPr>
          <w:color w:val="auto"/>
        </w:rPr>
        <w:tab/>
      </w:r>
      <w:r>
        <w:rPr>
          <w:color w:val="auto"/>
        </w:rPr>
        <w:fldChar w:fldCharType="begin"/>
      </w:r>
      <w:r>
        <w:rPr>
          <w:color w:val="auto"/>
        </w:rPr>
        <w:instrText xml:space="preserve"> PAGEREF _Toc13733 \h </w:instrText>
      </w:r>
      <w:r>
        <w:rPr>
          <w:color w:val="auto"/>
        </w:rPr>
        <w:fldChar w:fldCharType="separate"/>
      </w:r>
      <w:r>
        <w:rPr>
          <w:color w:val="auto"/>
        </w:rPr>
        <w:t>108</w:t>
      </w:r>
      <w:r>
        <w:rPr>
          <w:color w:val="auto"/>
        </w:rPr>
        <w:fldChar w:fldCharType="end"/>
      </w:r>
      <w:r>
        <w:rPr>
          <w:rFonts w:ascii="宋体" w:hAnsi="宋体" w:eastAsia="宋体"/>
          <w:bCs/>
          <w:color w:val="auto"/>
          <w:szCs w:val="21"/>
          <w:highlight w:val="none"/>
          <w:lang w:val="zh-CN"/>
        </w:rPr>
        <w:fldChar w:fldCharType="end"/>
      </w:r>
    </w:p>
    <w:p w14:paraId="6184BBC4">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_Toc20004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（四十五）其他物资</w:t>
      </w:r>
      <w:r>
        <w:rPr>
          <w:color w:val="auto"/>
        </w:rPr>
        <w:tab/>
      </w:r>
      <w:r>
        <w:rPr>
          <w:color w:val="auto"/>
        </w:rPr>
        <w:fldChar w:fldCharType="begin"/>
      </w:r>
      <w:r>
        <w:rPr>
          <w:color w:val="auto"/>
        </w:rPr>
        <w:instrText xml:space="preserve"> PAGEREF _Toc20004 \h </w:instrText>
      </w:r>
      <w:r>
        <w:rPr>
          <w:color w:val="auto"/>
        </w:rPr>
        <w:fldChar w:fldCharType="separate"/>
      </w:r>
      <w:r>
        <w:rPr>
          <w:color w:val="auto"/>
        </w:rPr>
        <w:t>112</w:t>
      </w:r>
      <w:r>
        <w:rPr>
          <w:color w:val="auto"/>
        </w:rPr>
        <w:fldChar w:fldCharType="end"/>
      </w:r>
      <w:r>
        <w:rPr>
          <w:rFonts w:ascii="宋体" w:hAnsi="宋体" w:eastAsia="宋体"/>
          <w:bCs/>
          <w:color w:val="auto"/>
          <w:szCs w:val="21"/>
          <w:highlight w:val="none"/>
          <w:lang w:val="zh-CN"/>
        </w:rPr>
        <w:fldChar w:fldCharType="end"/>
      </w:r>
    </w:p>
    <w:p w14:paraId="7B9B6074">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_Toc20162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（四十六）</w:t>
      </w:r>
      <w:r>
        <w:rPr>
          <w:rFonts w:ascii="宋体" w:hAnsi="宋体" w:eastAsia="宋体" w:cs="Times New Roman"/>
          <w:color w:val="auto"/>
          <w:kern w:val="0"/>
          <w:highlight w:val="none"/>
        </w:rPr>
        <w:t>35kV及以上交流变压器</w:t>
      </w:r>
      <w:r>
        <w:rPr>
          <w:rFonts w:hint="eastAsia" w:ascii="宋体" w:hAnsi="宋体" w:eastAsia="宋体" w:cs="Times New Roman"/>
          <w:color w:val="auto"/>
          <w:kern w:val="0"/>
          <w:highlight w:val="none"/>
        </w:rPr>
        <w:t>（L</w:t>
      </w:r>
      <w:r>
        <w:rPr>
          <w:rFonts w:ascii="宋体" w:hAnsi="宋体" w:eastAsia="宋体" w:cs="Times New Roman"/>
          <w:color w:val="auto"/>
          <w:kern w:val="0"/>
          <w:highlight w:val="none"/>
        </w:rPr>
        <w:t>CC</w:t>
      </w:r>
      <w:r>
        <w:rPr>
          <w:rFonts w:hint="eastAsia" w:ascii="宋体" w:hAnsi="宋体" w:eastAsia="宋体" w:cs="Times New Roman"/>
          <w:color w:val="auto"/>
          <w:kern w:val="0"/>
          <w:highlight w:val="none"/>
        </w:rPr>
        <w:t>采购）</w:t>
      </w:r>
      <w:r>
        <w:rPr>
          <w:color w:val="auto"/>
        </w:rPr>
        <w:tab/>
      </w:r>
      <w:r>
        <w:rPr>
          <w:color w:val="auto"/>
        </w:rPr>
        <w:fldChar w:fldCharType="begin"/>
      </w:r>
      <w:r>
        <w:rPr>
          <w:color w:val="auto"/>
        </w:rPr>
        <w:instrText xml:space="preserve"> PAGEREF _Toc20162 \h </w:instrText>
      </w:r>
      <w:r>
        <w:rPr>
          <w:color w:val="auto"/>
        </w:rPr>
        <w:fldChar w:fldCharType="separate"/>
      </w:r>
      <w:r>
        <w:rPr>
          <w:color w:val="auto"/>
        </w:rPr>
        <w:t>112</w:t>
      </w:r>
      <w:r>
        <w:rPr>
          <w:color w:val="auto"/>
        </w:rPr>
        <w:fldChar w:fldCharType="end"/>
      </w:r>
      <w:r>
        <w:rPr>
          <w:rFonts w:ascii="宋体" w:hAnsi="宋体" w:eastAsia="宋体"/>
          <w:bCs/>
          <w:color w:val="auto"/>
          <w:szCs w:val="21"/>
          <w:highlight w:val="none"/>
          <w:lang w:val="zh-CN"/>
        </w:rPr>
        <w:fldChar w:fldCharType="end"/>
      </w:r>
    </w:p>
    <w:p w14:paraId="659141C4">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_Toc21279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（四十七）组合电器（L</w:t>
      </w:r>
      <w:r>
        <w:rPr>
          <w:rFonts w:ascii="宋体" w:hAnsi="宋体" w:eastAsia="宋体" w:cs="Times New Roman"/>
          <w:color w:val="auto"/>
          <w:kern w:val="0"/>
          <w:highlight w:val="none"/>
        </w:rPr>
        <w:t>CC</w:t>
      </w:r>
      <w:r>
        <w:rPr>
          <w:rFonts w:hint="eastAsia" w:ascii="宋体" w:hAnsi="宋体" w:eastAsia="宋体" w:cs="Times New Roman"/>
          <w:color w:val="auto"/>
          <w:kern w:val="0"/>
          <w:highlight w:val="none"/>
        </w:rPr>
        <w:t>采购）</w:t>
      </w:r>
      <w:r>
        <w:rPr>
          <w:color w:val="auto"/>
        </w:rPr>
        <w:tab/>
      </w:r>
      <w:r>
        <w:rPr>
          <w:color w:val="auto"/>
        </w:rPr>
        <w:fldChar w:fldCharType="begin"/>
      </w:r>
      <w:r>
        <w:rPr>
          <w:color w:val="auto"/>
        </w:rPr>
        <w:instrText xml:space="preserve"> PAGEREF _Toc21279 \h </w:instrText>
      </w:r>
      <w:r>
        <w:rPr>
          <w:color w:val="auto"/>
        </w:rPr>
        <w:fldChar w:fldCharType="separate"/>
      </w:r>
      <w:r>
        <w:rPr>
          <w:color w:val="auto"/>
        </w:rPr>
        <w:t>119</w:t>
      </w:r>
      <w:r>
        <w:rPr>
          <w:color w:val="auto"/>
        </w:rPr>
        <w:fldChar w:fldCharType="end"/>
      </w:r>
      <w:r>
        <w:rPr>
          <w:rFonts w:ascii="宋体" w:hAnsi="宋体" w:eastAsia="宋体"/>
          <w:bCs/>
          <w:color w:val="auto"/>
          <w:szCs w:val="21"/>
          <w:highlight w:val="none"/>
          <w:lang w:val="zh-CN"/>
        </w:rPr>
        <w:fldChar w:fldCharType="end"/>
      </w:r>
    </w:p>
    <w:p w14:paraId="743727F2">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_Toc18336 </w:instrText>
      </w:r>
      <w:r>
        <w:rPr>
          <w:rFonts w:ascii="宋体" w:hAnsi="宋体" w:eastAsia="宋体"/>
          <w:bCs/>
          <w:color w:val="auto"/>
          <w:szCs w:val="21"/>
          <w:highlight w:val="none"/>
          <w:lang w:val="zh-CN"/>
        </w:rPr>
        <w:fldChar w:fldCharType="separate"/>
      </w:r>
      <w:r>
        <w:rPr>
          <w:rFonts w:hint="eastAsia" w:ascii="宋体" w:hAnsi="宋体" w:eastAsia="宋体" w:cs="Times New Roman"/>
          <w:color w:val="auto"/>
          <w:kern w:val="0"/>
          <w:highlight w:val="none"/>
        </w:rPr>
        <w:t>（四十</w:t>
      </w:r>
      <w:r>
        <w:rPr>
          <w:rFonts w:hint="eastAsia" w:ascii="宋体" w:hAnsi="宋体" w:eastAsia="宋体" w:cs="Times New Roman"/>
          <w:color w:val="auto"/>
          <w:kern w:val="0"/>
          <w:highlight w:val="none"/>
          <w:lang w:eastAsia="zh-CN"/>
        </w:rPr>
        <w:t>八</w:t>
      </w:r>
      <w:r>
        <w:rPr>
          <w:rFonts w:hint="eastAsia" w:ascii="宋体" w:hAnsi="宋体" w:eastAsia="宋体" w:cs="Times New Roman"/>
          <w:color w:val="auto"/>
          <w:kern w:val="0"/>
          <w:highlight w:val="none"/>
        </w:rPr>
        <w:t>）</w:t>
      </w:r>
      <w:r>
        <w:rPr>
          <w:rFonts w:ascii="宋体" w:hAnsi="宋体" w:eastAsia="宋体"/>
          <w:color w:val="auto"/>
          <w:kern w:val="0"/>
          <w:highlight w:val="none"/>
        </w:rPr>
        <w:t>35kV以上隔离开关</w:t>
      </w:r>
      <w:r>
        <w:rPr>
          <w:rFonts w:hint="eastAsia" w:ascii="宋体" w:hAnsi="宋体" w:eastAsia="宋体" w:cs="Times New Roman"/>
          <w:color w:val="auto"/>
          <w:kern w:val="0"/>
          <w:highlight w:val="none"/>
        </w:rPr>
        <w:t>（L</w:t>
      </w:r>
      <w:r>
        <w:rPr>
          <w:rFonts w:ascii="宋体" w:hAnsi="宋体" w:eastAsia="宋体" w:cs="Times New Roman"/>
          <w:color w:val="auto"/>
          <w:kern w:val="0"/>
          <w:highlight w:val="none"/>
        </w:rPr>
        <w:t>CC</w:t>
      </w:r>
      <w:r>
        <w:rPr>
          <w:rFonts w:hint="eastAsia" w:ascii="宋体" w:hAnsi="宋体" w:eastAsia="宋体" w:cs="Times New Roman"/>
          <w:color w:val="auto"/>
          <w:kern w:val="0"/>
          <w:highlight w:val="none"/>
        </w:rPr>
        <w:t>采购）</w:t>
      </w:r>
      <w:r>
        <w:rPr>
          <w:color w:val="auto"/>
        </w:rPr>
        <w:tab/>
      </w:r>
      <w:r>
        <w:rPr>
          <w:color w:val="auto"/>
        </w:rPr>
        <w:fldChar w:fldCharType="begin"/>
      </w:r>
      <w:r>
        <w:rPr>
          <w:color w:val="auto"/>
        </w:rPr>
        <w:instrText xml:space="preserve"> PAGEREF _Toc18336 \h </w:instrText>
      </w:r>
      <w:r>
        <w:rPr>
          <w:color w:val="auto"/>
        </w:rPr>
        <w:fldChar w:fldCharType="separate"/>
      </w:r>
      <w:r>
        <w:rPr>
          <w:color w:val="auto"/>
        </w:rPr>
        <w:t>124</w:t>
      </w:r>
      <w:r>
        <w:rPr>
          <w:color w:val="auto"/>
        </w:rPr>
        <w:fldChar w:fldCharType="end"/>
      </w:r>
      <w:r>
        <w:rPr>
          <w:rFonts w:ascii="宋体" w:hAnsi="宋体" w:eastAsia="宋体"/>
          <w:bCs/>
          <w:color w:val="auto"/>
          <w:szCs w:val="21"/>
          <w:highlight w:val="none"/>
          <w:lang w:val="zh-CN"/>
        </w:rPr>
        <w:fldChar w:fldCharType="end"/>
      </w:r>
    </w:p>
    <w:p w14:paraId="28913AB1">
      <w:pPr>
        <w:pStyle w:val="10"/>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_Toc28132 </w:instrText>
      </w:r>
      <w:r>
        <w:rPr>
          <w:rFonts w:ascii="宋体" w:hAnsi="宋体" w:eastAsia="宋体"/>
          <w:bCs/>
          <w:color w:val="auto"/>
          <w:szCs w:val="21"/>
          <w:highlight w:val="none"/>
          <w:lang w:val="zh-CN"/>
        </w:rPr>
        <w:fldChar w:fldCharType="separate"/>
      </w:r>
      <w:r>
        <w:rPr>
          <w:rFonts w:hint="eastAsia" w:ascii="宋体" w:hAnsi="宋体" w:eastAsia="宋体" w:cs="Times New Roman"/>
          <w:bCs/>
          <w:color w:val="auto"/>
          <w:kern w:val="0"/>
          <w:szCs w:val="32"/>
          <w:highlight w:val="none"/>
          <w:lang w:eastAsia="zh-CN"/>
        </w:rPr>
        <w:t>（</w:t>
      </w:r>
      <w:r>
        <w:rPr>
          <w:rFonts w:hint="eastAsia" w:ascii="宋体" w:hAnsi="宋体" w:eastAsia="宋体" w:cs="Times New Roman"/>
          <w:bCs/>
          <w:color w:val="auto"/>
          <w:kern w:val="0"/>
          <w:szCs w:val="32"/>
          <w:highlight w:val="none"/>
        </w:rPr>
        <w:t>四十九</w:t>
      </w:r>
      <w:r>
        <w:rPr>
          <w:rFonts w:hint="eastAsia" w:ascii="宋体" w:hAnsi="宋体" w:eastAsia="宋体" w:cs="Times New Roman"/>
          <w:bCs/>
          <w:color w:val="auto"/>
          <w:kern w:val="0"/>
          <w:szCs w:val="32"/>
          <w:highlight w:val="none"/>
          <w:lang w:eastAsia="zh-CN"/>
        </w:rPr>
        <w:t>）</w:t>
      </w:r>
      <w:r>
        <w:rPr>
          <w:rFonts w:hint="eastAsia" w:ascii="宋体" w:hAnsi="宋体" w:eastAsia="宋体" w:cs="Times New Roman"/>
          <w:bCs/>
          <w:color w:val="auto"/>
          <w:kern w:val="0"/>
          <w:szCs w:val="32"/>
          <w:highlight w:val="none"/>
        </w:rPr>
        <w:t>计算机软件产品</w:t>
      </w:r>
      <w:r>
        <w:rPr>
          <w:color w:val="auto"/>
        </w:rPr>
        <w:tab/>
      </w:r>
      <w:r>
        <w:rPr>
          <w:color w:val="auto"/>
        </w:rPr>
        <w:fldChar w:fldCharType="begin"/>
      </w:r>
      <w:r>
        <w:rPr>
          <w:color w:val="auto"/>
        </w:rPr>
        <w:instrText xml:space="preserve"> PAGEREF _Toc28132 \h </w:instrText>
      </w:r>
      <w:r>
        <w:rPr>
          <w:color w:val="auto"/>
        </w:rPr>
        <w:fldChar w:fldCharType="separate"/>
      </w:r>
      <w:r>
        <w:rPr>
          <w:color w:val="auto"/>
        </w:rPr>
        <w:t>127</w:t>
      </w:r>
      <w:r>
        <w:rPr>
          <w:color w:val="auto"/>
        </w:rPr>
        <w:fldChar w:fldCharType="end"/>
      </w:r>
      <w:r>
        <w:rPr>
          <w:rFonts w:ascii="宋体" w:hAnsi="宋体" w:eastAsia="宋体"/>
          <w:bCs/>
          <w:color w:val="auto"/>
          <w:szCs w:val="21"/>
          <w:highlight w:val="none"/>
          <w:lang w:val="zh-CN"/>
        </w:rPr>
        <w:fldChar w:fldCharType="end"/>
      </w:r>
    </w:p>
    <w:p w14:paraId="2449C014">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_Toc28691 </w:instrText>
      </w:r>
      <w:r>
        <w:rPr>
          <w:rFonts w:ascii="宋体" w:hAnsi="宋体" w:eastAsia="宋体"/>
          <w:bCs/>
          <w:color w:val="auto"/>
          <w:szCs w:val="21"/>
          <w:highlight w:val="none"/>
          <w:lang w:val="zh-CN"/>
        </w:rPr>
        <w:fldChar w:fldCharType="separate"/>
      </w:r>
      <w:r>
        <w:rPr>
          <w:rFonts w:ascii="宋体" w:hAnsi="宋体" w:eastAsia="宋体"/>
          <w:color w:val="auto"/>
          <w:kern w:val="0"/>
          <w:highlight w:val="none"/>
        </w:rPr>
        <w:t>第</w:t>
      </w:r>
      <w:r>
        <w:rPr>
          <w:rFonts w:hint="eastAsia" w:ascii="宋体" w:hAnsi="宋体" w:eastAsia="宋体"/>
          <w:color w:val="auto"/>
          <w:kern w:val="0"/>
          <w:highlight w:val="none"/>
        </w:rPr>
        <w:t>四</w:t>
      </w:r>
      <w:r>
        <w:rPr>
          <w:rFonts w:ascii="宋体" w:hAnsi="宋体" w:eastAsia="宋体"/>
          <w:color w:val="auto"/>
          <w:kern w:val="0"/>
          <w:highlight w:val="none"/>
        </w:rPr>
        <w:t>节</w:t>
      </w:r>
      <w:r>
        <w:rPr>
          <w:rFonts w:hint="eastAsia" w:ascii="宋体" w:hAnsi="宋体" w:eastAsia="宋体"/>
          <w:color w:val="auto"/>
          <w:kern w:val="0"/>
          <w:highlight w:val="none"/>
        </w:rPr>
        <w:t xml:space="preserve"> </w:t>
      </w:r>
      <w:r>
        <w:rPr>
          <w:rFonts w:ascii="宋体" w:hAnsi="宋体" w:eastAsia="宋体"/>
          <w:color w:val="auto"/>
          <w:kern w:val="0"/>
          <w:highlight w:val="none"/>
        </w:rPr>
        <w:t>合同附件</w:t>
      </w:r>
      <w:r>
        <w:rPr>
          <w:rFonts w:hint="eastAsia" w:ascii="宋体" w:hAnsi="宋体" w:eastAsia="宋体"/>
          <w:color w:val="auto"/>
          <w:kern w:val="0"/>
          <w:highlight w:val="none"/>
        </w:rPr>
        <w:t>格式</w:t>
      </w:r>
      <w:r>
        <w:rPr>
          <w:color w:val="auto"/>
        </w:rPr>
        <w:tab/>
      </w:r>
      <w:r>
        <w:rPr>
          <w:color w:val="auto"/>
        </w:rPr>
        <w:fldChar w:fldCharType="begin"/>
      </w:r>
      <w:r>
        <w:rPr>
          <w:color w:val="auto"/>
        </w:rPr>
        <w:instrText xml:space="preserve"> PAGEREF _Toc28691 \h </w:instrText>
      </w:r>
      <w:r>
        <w:rPr>
          <w:color w:val="auto"/>
        </w:rPr>
        <w:fldChar w:fldCharType="separate"/>
      </w:r>
      <w:r>
        <w:rPr>
          <w:color w:val="auto"/>
        </w:rPr>
        <w:t>129</w:t>
      </w:r>
      <w:r>
        <w:rPr>
          <w:color w:val="auto"/>
        </w:rPr>
        <w:fldChar w:fldCharType="end"/>
      </w:r>
      <w:r>
        <w:rPr>
          <w:rFonts w:ascii="宋体" w:hAnsi="宋体" w:eastAsia="宋体"/>
          <w:bCs/>
          <w:color w:val="auto"/>
          <w:szCs w:val="21"/>
          <w:highlight w:val="none"/>
          <w:lang w:val="zh-CN"/>
        </w:rPr>
        <w:fldChar w:fldCharType="end"/>
      </w:r>
    </w:p>
    <w:p w14:paraId="47F19332">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_Toc15759 </w:instrText>
      </w:r>
      <w:r>
        <w:rPr>
          <w:rFonts w:ascii="宋体" w:hAnsi="宋体" w:eastAsia="宋体"/>
          <w:bCs/>
          <w:color w:val="auto"/>
          <w:szCs w:val="21"/>
          <w:highlight w:val="none"/>
          <w:lang w:val="zh-CN"/>
        </w:rPr>
        <w:fldChar w:fldCharType="separate"/>
      </w:r>
      <w:r>
        <w:rPr>
          <w:rFonts w:hint="eastAsia" w:ascii="宋体" w:hAnsi="宋体" w:eastAsia="宋体"/>
          <w:color w:val="auto"/>
          <w:highlight w:val="none"/>
        </w:rPr>
        <w:t>附件</w:t>
      </w:r>
      <w:r>
        <w:rPr>
          <w:rFonts w:ascii="宋体" w:hAnsi="宋体" w:eastAsia="宋体"/>
          <w:color w:val="auto"/>
          <w:highlight w:val="none"/>
        </w:rPr>
        <w:t>1</w:t>
      </w:r>
      <w:r>
        <w:rPr>
          <w:rFonts w:hint="eastAsia" w:ascii="宋体" w:hAnsi="宋体" w:eastAsia="宋体"/>
          <w:color w:val="auto"/>
          <w:highlight w:val="none"/>
        </w:rPr>
        <w:t>：供货一览表</w:t>
      </w:r>
      <w:r>
        <w:rPr>
          <w:color w:val="auto"/>
        </w:rPr>
        <w:tab/>
      </w:r>
      <w:r>
        <w:rPr>
          <w:color w:val="auto"/>
        </w:rPr>
        <w:fldChar w:fldCharType="begin"/>
      </w:r>
      <w:r>
        <w:rPr>
          <w:color w:val="auto"/>
        </w:rPr>
        <w:instrText xml:space="preserve"> PAGEREF _Toc15759 \h </w:instrText>
      </w:r>
      <w:r>
        <w:rPr>
          <w:color w:val="auto"/>
        </w:rPr>
        <w:fldChar w:fldCharType="separate"/>
      </w:r>
      <w:r>
        <w:rPr>
          <w:color w:val="auto"/>
        </w:rPr>
        <w:t>129</w:t>
      </w:r>
      <w:r>
        <w:rPr>
          <w:color w:val="auto"/>
        </w:rPr>
        <w:fldChar w:fldCharType="end"/>
      </w:r>
      <w:r>
        <w:rPr>
          <w:rFonts w:ascii="宋体" w:hAnsi="宋体" w:eastAsia="宋体"/>
          <w:bCs/>
          <w:color w:val="auto"/>
          <w:szCs w:val="21"/>
          <w:highlight w:val="none"/>
          <w:lang w:val="zh-CN"/>
        </w:rPr>
        <w:fldChar w:fldCharType="end"/>
      </w:r>
    </w:p>
    <w:p w14:paraId="7A5F916C">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_Toc20012 </w:instrText>
      </w:r>
      <w:r>
        <w:rPr>
          <w:rFonts w:ascii="宋体" w:hAnsi="宋体" w:eastAsia="宋体"/>
          <w:bCs/>
          <w:color w:val="auto"/>
          <w:szCs w:val="21"/>
          <w:highlight w:val="none"/>
          <w:lang w:val="zh-CN"/>
        </w:rPr>
        <w:fldChar w:fldCharType="separate"/>
      </w:r>
      <w:r>
        <w:rPr>
          <w:rFonts w:hint="eastAsia" w:ascii="宋体" w:hAnsi="宋体" w:eastAsia="宋体"/>
          <w:color w:val="auto"/>
          <w:szCs w:val="28"/>
          <w:highlight w:val="none"/>
        </w:rPr>
        <w:t>附件2：合同变更协议（模板）</w:t>
      </w:r>
      <w:r>
        <w:rPr>
          <w:color w:val="auto"/>
        </w:rPr>
        <w:tab/>
      </w:r>
      <w:r>
        <w:rPr>
          <w:color w:val="auto"/>
        </w:rPr>
        <w:fldChar w:fldCharType="begin"/>
      </w:r>
      <w:r>
        <w:rPr>
          <w:color w:val="auto"/>
        </w:rPr>
        <w:instrText xml:space="preserve"> PAGEREF _Toc20012 \h </w:instrText>
      </w:r>
      <w:r>
        <w:rPr>
          <w:color w:val="auto"/>
        </w:rPr>
        <w:fldChar w:fldCharType="separate"/>
      </w:r>
      <w:r>
        <w:rPr>
          <w:color w:val="auto"/>
        </w:rPr>
        <w:t>131</w:t>
      </w:r>
      <w:r>
        <w:rPr>
          <w:color w:val="auto"/>
        </w:rPr>
        <w:fldChar w:fldCharType="end"/>
      </w:r>
      <w:r>
        <w:rPr>
          <w:rFonts w:ascii="宋体" w:hAnsi="宋体" w:eastAsia="宋体"/>
          <w:bCs/>
          <w:color w:val="auto"/>
          <w:szCs w:val="21"/>
          <w:highlight w:val="none"/>
          <w:lang w:val="zh-CN"/>
        </w:rPr>
        <w:fldChar w:fldCharType="end"/>
      </w:r>
    </w:p>
    <w:p w14:paraId="384F7E15">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_Toc4221 </w:instrText>
      </w:r>
      <w:r>
        <w:rPr>
          <w:rFonts w:ascii="宋体" w:hAnsi="宋体" w:eastAsia="宋体"/>
          <w:bCs/>
          <w:color w:val="auto"/>
          <w:szCs w:val="21"/>
          <w:highlight w:val="none"/>
          <w:lang w:val="zh-CN"/>
        </w:rPr>
        <w:fldChar w:fldCharType="separate"/>
      </w:r>
      <w:r>
        <w:rPr>
          <w:rFonts w:hint="eastAsia" w:ascii="宋体" w:hAnsi="宋体" w:eastAsia="宋体"/>
          <w:color w:val="auto"/>
          <w:highlight w:val="none"/>
        </w:rPr>
        <w:t>附件</w:t>
      </w:r>
      <w:r>
        <w:rPr>
          <w:rFonts w:ascii="宋体" w:hAnsi="宋体" w:eastAsia="宋体"/>
          <w:color w:val="auto"/>
          <w:highlight w:val="none"/>
        </w:rPr>
        <w:t>3</w:t>
      </w:r>
      <w:r>
        <w:rPr>
          <w:rFonts w:hint="eastAsia" w:ascii="宋体" w:hAnsi="宋体" w:eastAsia="宋体"/>
          <w:color w:val="auto"/>
          <w:highlight w:val="none"/>
        </w:rPr>
        <w:t>：商务条款修改一览表</w:t>
      </w:r>
      <w:r>
        <w:rPr>
          <w:color w:val="auto"/>
        </w:rPr>
        <w:tab/>
      </w:r>
      <w:r>
        <w:rPr>
          <w:color w:val="auto"/>
        </w:rPr>
        <w:fldChar w:fldCharType="begin"/>
      </w:r>
      <w:r>
        <w:rPr>
          <w:color w:val="auto"/>
        </w:rPr>
        <w:instrText xml:space="preserve"> PAGEREF _Toc4221 \h </w:instrText>
      </w:r>
      <w:r>
        <w:rPr>
          <w:color w:val="auto"/>
        </w:rPr>
        <w:fldChar w:fldCharType="separate"/>
      </w:r>
      <w:r>
        <w:rPr>
          <w:color w:val="auto"/>
        </w:rPr>
        <w:t>134</w:t>
      </w:r>
      <w:r>
        <w:rPr>
          <w:color w:val="auto"/>
        </w:rPr>
        <w:fldChar w:fldCharType="end"/>
      </w:r>
      <w:r>
        <w:rPr>
          <w:rFonts w:ascii="宋体" w:hAnsi="宋体" w:eastAsia="宋体"/>
          <w:bCs/>
          <w:color w:val="auto"/>
          <w:szCs w:val="21"/>
          <w:highlight w:val="none"/>
          <w:lang w:val="zh-CN"/>
        </w:rPr>
        <w:fldChar w:fldCharType="end"/>
      </w:r>
    </w:p>
    <w:p w14:paraId="65836DEC">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_Toc15113 </w:instrText>
      </w:r>
      <w:r>
        <w:rPr>
          <w:rFonts w:ascii="宋体" w:hAnsi="宋体" w:eastAsia="宋体"/>
          <w:bCs/>
          <w:color w:val="auto"/>
          <w:szCs w:val="21"/>
          <w:highlight w:val="none"/>
          <w:lang w:val="zh-CN"/>
        </w:rPr>
        <w:fldChar w:fldCharType="separate"/>
      </w:r>
      <w:r>
        <w:rPr>
          <w:rFonts w:hint="eastAsia" w:ascii="宋体" w:hAnsi="宋体" w:eastAsia="宋体"/>
          <w:color w:val="auto"/>
          <w:szCs w:val="32"/>
          <w:highlight w:val="none"/>
        </w:rPr>
        <w:t>附件</w:t>
      </w:r>
      <w:r>
        <w:rPr>
          <w:rFonts w:ascii="宋体" w:hAnsi="宋体" w:eastAsia="宋体"/>
          <w:color w:val="auto"/>
          <w:szCs w:val="32"/>
          <w:highlight w:val="none"/>
        </w:rPr>
        <w:t>4</w:t>
      </w:r>
      <w:r>
        <w:rPr>
          <w:rFonts w:hint="eastAsia" w:ascii="宋体" w:hAnsi="宋体" w:eastAsia="宋体"/>
          <w:color w:val="auto"/>
          <w:szCs w:val="32"/>
          <w:highlight w:val="none"/>
        </w:rPr>
        <w:t>：技术协议</w:t>
      </w:r>
      <w:r>
        <w:rPr>
          <w:color w:val="auto"/>
        </w:rPr>
        <w:tab/>
      </w:r>
      <w:r>
        <w:rPr>
          <w:color w:val="auto"/>
        </w:rPr>
        <w:fldChar w:fldCharType="begin"/>
      </w:r>
      <w:r>
        <w:rPr>
          <w:color w:val="auto"/>
        </w:rPr>
        <w:instrText xml:space="preserve"> PAGEREF _Toc15113 \h </w:instrText>
      </w:r>
      <w:r>
        <w:rPr>
          <w:color w:val="auto"/>
        </w:rPr>
        <w:fldChar w:fldCharType="separate"/>
      </w:r>
      <w:r>
        <w:rPr>
          <w:color w:val="auto"/>
        </w:rPr>
        <w:t>134</w:t>
      </w:r>
      <w:r>
        <w:rPr>
          <w:color w:val="auto"/>
        </w:rPr>
        <w:fldChar w:fldCharType="end"/>
      </w:r>
      <w:r>
        <w:rPr>
          <w:rFonts w:ascii="宋体" w:hAnsi="宋体" w:eastAsia="宋体"/>
          <w:bCs/>
          <w:color w:val="auto"/>
          <w:szCs w:val="21"/>
          <w:highlight w:val="none"/>
          <w:lang w:val="zh-CN"/>
        </w:rPr>
        <w:fldChar w:fldCharType="end"/>
      </w:r>
    </w:p>
    <w:p w14:paraId="59833798">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_Toc22299 </w:instrText>
      </w:r>
      <w:r>
        <w:rPr>
          <w:rFonts w:ascii="宋体" w:hAnsi="宋体" w:eastAsia="宋体"/>
          <w:bCs/>
          <w:color w:val="auto"/>
          <w:szCs w:val="21"/>
          <w:highlight w:val="none"/>
          <w:lang w:val="zh-CN"/>
        </w:rPr>
        <w:fldChar w:fldCharType="separate"/>
      </w:r>
      <w:r>
        <w:rPr>
          <w:rFonts w:hint="eastAsia" w:ascii="宋体" w:hAnsi="宋体" w:eastAsia="宋体"/>
          <w:color w:val="auto"/>
          <w:szCs w:val="28"/>
          <w:highlight w:val="none"/>
        </w:rPr>
        <w:t>附件5：安装作业指导书模板（另附）</w:t>
      </w:r>
      <w:r>
        <w:rPr>
          <w:color w:val="auto"/>
        </w:rPr>
        <w:tab/>
      </w:r>
      <w:r>
        <w:rPr>
          <w:color w:val="auto"/>
        </w:rPr>
        <w:fldChar w:fldCharType="begin"/>
      </w:r>
      <w:r>
        <w:rPr>
          <w:color w:val="auto"/>
        </w:rPr>
        <w:instrText xml:space="preserve"> PAGEREF _Toc22299 \h </w:instrText>
      </w:r>
      <w:r>
        <w:rPr>
          <w:color w:val="auto"/>
        </w:rPr>
        <w:fldChar w:fldCharType="separate"/>
      </w:r>
      <w:r>
        <w:rPr>
          <w:color w:val="auto"/>
        </w:rPr>
        <w:t>134</w:t>
      </w:r>
      <w:r>
        <w:rPr>
          <w:color w:val="auto"/>
        </w:rPr>
        <w:fldChar w:fldCharType="end"/>
      </w:r>
      <w:r>
        <w:rPr>
          <w:rFonts w:ascii="宋体" w:hAnsi="宋体" w:eastAsia="宋体"/>
          <w:bCs/>
          <w:color w:val="auto"/>
          <w:szCs w:val="21"/>
          <w:highlight w:val="none"/>
          <w:lang w:val="zh-CN"/>
        </w:rPr>
        <w:fldChar w:fldCharType="end"/>
      </w:r>
    </w:p>
    <w:p w14:paraId="73688BC8">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_Toc7990 </w:instrText>
      </w:r>
      <w:r>
        <w:rPr>
          <w:rFonts w:ascii="宋体" w:hAnsi="宋体" w:eastAsia="宋体"/>
          <w:bCs/>
          <w:color w:val="auto"/>
          <w:szCs w:val="21"/>
          <w:highlight w:val="none"/>
          <w:lang w:val="zh-CN"/>
        </w:rPr>
        <w:fldChar w:fldCharType="separate"/>
      </w:r>
      <w:r>
        <w:rPr>
          <w:rFonts w:hint="eastAsia" w:ascii="宋体" w:hAnsi="宋体" w:eastAsia="宋体"/>
          <w:color w:val="auto"/>
          <w:szCs w:val="28"/>
          <w:highlight w:val="none"/>
        </w:rPr>
        <w:t>附件</w:t>
      </w:r>
      <w:r>
        <w:rPr>
          <w:rFonts w:ascii="宋体" w:hAnsi="宋体" w:eastAsia="宋体"/>
          <w:color w:val="auto"/>
          <w:szCs w:val="28"/>
          <w:highlight w:val="none"/>
        </w:rPr>
        <w:t>6</w:t>
      </w:r>
      <w:r>
        <w:rPr>
          <w:rFonts w:hint="eastAsia" w:ascii="宋体" w:hAnsi="宋体" w:eastAsia="宋体"/>
          <w:color w:val="auto"/>
          <w:szCs w:val="28"/>
          <w:highlight w:val="none"/>
        </w:rPr>
        <w:t>：维护检修手册模板（另附）</w:t>
      </w:r>
      <w:r>
        <w:rPr>
          <w:color w:val="auto"/>
        </w:rPr>
        <w:tab/>
      </w:r>
      <w:r>
        <w:rPr>
          <w:color w:val="auto"/>
        </w:rPr>
        <w:fldChar w:fldCharType="begin"/>
      </w:r>
      <w:r>
        <w:rPr>
          <w:color w:val="auto"/>
        </w:rPr>
        <w:instrText xml:space="preserve"> PAGEREF _Toc7990 \h </w:instrText>
      </w:r>
      <w:r>
        <w:rPr>
          <w:color w:val="auto"/>
        </w:rPr>
        <w:fldChar w:fldCharType="separate"/>
      </w:r>
      <w:r>
        <w:rPr>
          <w:color w:val="auto"/>
        </w:rPr>
        <w:t>134</w:t>
      </w:r>
      <w:r>
        <w:rPr>
          <w:color w:val="auto"/>
        </w:rPr>
        <w:fldChar w:fldCharType="end"/>
      </w:r>
      <w:r>
        <w:rPr>
          <w:rFonts w:ascii="宋体" w:hAnsi="宋体" w:eastAsia="宋体"/>
          <w:bCs/>
          <w:color w:val="auto"/>
          <w:szCs w:val="21"/>
          <w:highlight w:val="none"/>
          <w:lang w:val="zh-CN"/>
        </w:rPr>
        <w:fldChar w:fldCharType="end"/>
      </w:r>
    </w:p>
    <w:p w14:paraId="7EDCCDAF">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_Toc25505 </w:instrText>
      </w:r>
      <w:r>
        <w:rPr>
          <w:rFonts w:ascii="宋体" w:hAnsi="宋体" w:eastAsia="宋体"/>
          <w:bCs/>
          <w:color w:val="auto"/>
          <w:szCs w:val="21"/>
          <w:highlight w:val="none"/>
          <w:lang w:val="zh-CN"/>
        </w:rPr>
        <w:fldChar w:fldCharType="separate"/>
      </w:r>
      <w:r>
        <w:rPr>
          <w:rFonts w:hint="eastAsia" w:ascii="宋体" w:hAnsi="宋体" w:eastAsia="宋体"/>
          <w:color w:val="auto"/>
          <w:szCs w:val="32"/>
          <w:highlight w:val="none"/>
        </w:rPr>
        <w:t>附件</w:t>
      </w:r>
      <w:r>
        <w:rPr>
          <w:rFonts w:ascii="宋体" w:hAnsi="宋体" w:eastAsia="宋体"/>
          <w:color w:val="auto"/>
          <w:szCs w:val="32"/>
          <w:highlight w:val="none"/>
        </w:rPr>
        <w:t>7</w:t>
      </w:r>
      <w:r>
        <w:rPr>
          <w:rFonts w:hint="eastAsia" w:ascii="宋体" w:hAnsi="宋体" w:eastAsia="宋体"/>
          <w:color w:val="auto"/>
          <w:szCs w:val="32"/>
          <w:highlight w:val="none"/>
        </w:rPr>
        <w:t>：出厂承诺书（格式）</w:t>
      </w:r>
      <w:r>
        <w:rPr>
          <w:color w:val="auto"/>
        </w:rPr>
        <w:tab/>
      </w:r>
      <w:r>
        <w:rPr>
          <w:color w:val="auto"/>
        </w:rPr>
        <w:fldChar w:fldCharType="begin"/>
      </w:r>
      <w:r>
        <w:rPr>
          <w:color w:val="auto"/>
        </w:rPr>
        <w:instrText xml:space="preserve"> PAGEREF _Toc25505 \h </w:instrText>
      </w:r>
      <w:r>
        <w:rPr>
          <w:color w:val="auto"/>
        </w:rPr>
        <w:fldChar w:fldCharType="separate"/>
      </w:r>
      <w:r>
        <w:rPr>
          <w:color w:val="auto"/>
        </w:rPr>
        <w:t>134</w:t>
      </w:r>
      <w:r>
        <w:rPr>
          <w:color w:val="auto"/>
        </w:rPr>
        <w:fldChar w:fldCharType="end"/>
      </w:r>
      <w:r>
        <w:rPr>
          <w:rFonts w:ascii="宋体" w:hAnsi="宋体" w:eastAsia="宋体"/>
          <w:bCs/>
          <w:color w:val="auto"/>
          <w:szCs w:val="21"/>
          <w:highlight w:val="none"/>
          <w:lang w:val="zh-CN"/>
        </w:rPr>
        <w:fldChar w:fldCharType="end"/>
      </w:r>
    </w:p>
    <w:p w14:paraId="64289164">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_Toc11031 </w:instrText>
      </w:r>
      <w:r>
        <w:rPr>
          <w:rFonts w:ascii="宋体" w:hAnsi="宋体" w:eastAsia="宋体"/>
          <w:bCs/>
          <w:color w:val="auto"/>
          <w:szCs w:val="21"/>
          <w:highlight w:val="none"/>
          <w:lang w:val="zh-CN"/>
        </w:rPr>
        <w:fldChar w:fldCharType="separate"/>
      </w:r>
      <w:r>
        <w:rPr>
          <w:rFonts w:hint="eastAsia" w:ascii="宋体" w:hAnsi="宋体" w:eastAsia="宋体"/>
          <w:color w:val="auto"/>
          <w:highlight w:val="none"/>
        </w:rPr>
        <w:t>附件</w:t>
      </w:r>
      <w:r>
        <w:rPr>
          <w:rFonts w:ascii="宋体" w:hAnsi="宋体" w:eastAsia="宋体"/>
          <w:color w:val="auto"/>
          <w:highlight w:val="none"/>
        </w:rPr>
        <w:t>8</w:t>
      </w:r>
      <w:r>
        <w:rPr>
          <w:rFonts w:hint="eastAsia" w:ascii="宋体" w:hAnsi="宋体" w:eastAsia="宋体"/>
          <w:color w:val="auto"/>
          <w:highlight w:val="none"/>
        </w:rPr>
        <w:t>：实物编码标签安装自检确认单</w:t>
      </w:r>
      <w:r>
        <w:rPr>
          <w:color w:val="auto"/>
        </w:rPr>
        <w:tab/>
      </w:r>
      <w:r>
        <w:rPr>
          <w:color w:val="auto"/>
        </w:rPr>
        <w:fldChar w:fldCharType="begin"/>
      </w:r>
      <w:r>
        <w:rPr>
          <w:color w:val="auto"/>
        </w:rPr>
        <w:instrText xml:space="preserve"> PAGEREF _Toc11031 \h </w:instrText>
      </w:r>
      <w:r>
        <w:rPr>
          <w:color w:val="auto"/>
        </w:rPr>
        <w:fldChar w:fldCharType="separate"/>
      </w:r>
      <w:r>
        <w:rPr>
          <w:color w:val="auto"/>
        </w:rPr>
        <w:t>135</w:t>
      </w:r>
      <w:r>
        <w:rPr>
          <w:color w:val="auto"/>
        </w:rPr>
        <w:fldChar w:fldCharType="end"/>
      </w:r>
      <w:r>
        <w:rPr>
          <w:rFonts w:ascii="宋体" w:hAnsi="宋体" w:eastAsia="宋体"/>
          <w:bCs/>
          <w:color w:val="auto"/>
          <w:szCs w:val="21"/>
          <w:highlight w:val="none"/>
          <w:lang w:val="zh-CN"/>
        </w:rPr>
        <w:fldChar w:fldCharType="end"/>
      </w:r>
    </w:p>
    <w:p w14:paraId="073090AB">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_Toc5571 </w:instrText>
      </w:r>
      <w:r>
        <w:rPr>
          <w:rFonts w:ascii="宋体" w:hAnsi="宋体" w:eastAsia="宋体"/>
          <w:bCs/>
          <w:color w:val="auto"/>
          <w:szCs w:val="21"/>
          <w:highlight w:val="none"/>
          <w:lang w:val="zh-CN"/>
        </w:rPr>
        <w:fldChar w:fldCharType="separate"/>
      </w:r>
      <w:r>
        <w:rPr>
          <w:rFonts w:hint="eastAsia" w:ascii="宋体" w:hAnsi="宋体" w:eastAsia="宋体"/>
          <w:color w:val="auto"/>
          <w:szCs w:val="28"/>
          <w:highlight w:val="none"/>
        </w:rPr>
        <w:t>附件</w:t>
      </w:r>
      <w:r>
        <w:rPr>
          <w:rFonts w:ascii="宋体" w:hAnsi="宋体" w:eastAsia="宋体"/>
          <w:color w:val="auto"/>
          <w:szCs w:val="28"/>
          <w:highlight w:val="none"/>
        </w:rPr>
        <w:t>9</w:t>
      </w:r>
      <w:r>
        <w:rPr>
          <w:rFonts w:hint="eastAsia" w:ascii="宋体" w:hAnsi="宋体" w:eastAsia="宋体"/>
          <w:color w:val="auto"/>
          <w:szCs w:val="28"/>
          <w:highlight w:val="none"/>
        </w:rPr>
        <w:t>：保证金保函（格式）</w:t>
      </w:r>
      <w:r>
        <w:rPr>
          <w:color w:val="auto"/>
        </w:rPr>
        <w:tab/>
      </w:r>
      <w:r>
        <w:rPr>
          <w:color w:val="auto"/>
        </w:rPr>
        <w:fldChar w:fldCharType="begin"/>
      </w:r>
      <w:r>
        <w:rPr>
          <w:color w:val="auto"/>
        </w:rPr>
        <w:instrText xml:space="preserve"> PAGEREF _Toc5571 \h </w:instrText>
      </w:r>
      <w:r>
        <w:rPr>
          <w:color w:val="auto"/>
        </w:rPr>
        <w:fldChar w:fldCharType="separate"/>
      </w:r>
      <w:r>
        <w:rPr>
          <w:color w:val="auto"/>
        </w:rPr>
        <w:t>136</w:t>
      </w:r>
      <w:r>
        <w:rPr>
          <w:color w:val="auto"/>
        </w:rPr>
        <w:fldChar w:fldCharType="end"/>
      </w:r>
      <w:r>
        <w:rPr>
          <w:rFonts w:ascii="宋体" w:hAnsi="宋体" w:eastAsia="宋体"/>
          <w:bCs/>
          <w:color w:val="auto"/>
          <w:szCs w:val="21"/>
          <w:highlight w:val="none"/>
          <w:lang w:val="zh-CN"/>
        </w:rPr>
        <w:fldChar w:fldCharType="end"/>
      </w:r>
    </w:p>
    <w:p w14:paraId="3A7BDCD2">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_Toc17443 </w:instrText>
      </w:r>
      <w:r>
        <w:rPr>
          <w:rFonts w:ascii="宋体" w:hAnsi="宋体" w:eastAsia="宋体"/>
          <w:bCs/>
          <w:color w:val="auto"/>
          <w:szCs w:val="21"/>
          <w:highlight w:val="none"/>
          <w:lang w:val="zh-CN"/>
        </w:rPr>
        <w:fldChar w:fldCharType="separate"/>
      </w:r>
      <w:r>
        <w:rPr>
          <w:rFonts w:hint="eastAsia" w:ascii="宋体" w:hAnsi="宋体" w:eastAsia="宋体"/>
          <w:color w:val="auto"/>
          <w:szCs w:val="28"/>
          <w:highlight w:val="none"/>
        </w:rPr>
        <w:t>附件10：廉洁协议书（另附）</w:t>
      </w:r>
      <w:r>
        <w:rPr>
          <w:color w:val="auto"/>
        </w:rPr>
        <w:tab/>
      </w:r>
      <w:r>
        <w:rPr>
          <w:color w:val="auto"/>
        </w:rPr>
        <w:fldChar w:fldCharType="begin"/>
      </w:r>
      <w:r>
        <w:rPr>
          <w:color w:val="auto"/>
        </w:rPr>
        <w:instrText xml:space="preserve"> PAGEREF _Toc17443 \h </w:instrText>
      </w:r>
      <w:r>
        <w:rPr>
          <w:color w:val="auto"/>
        </w:rPr>
        <w:fldChar w:fldCharType="separate"/>
      </w:r>
      <w:r>
        <w:rPr>
          <w:color w:val="auto"/>
        </w:rPr>
        <w:t>138</w:t>
      </w:r>
      <w:r>
        <w:rPr>
          <w:color w:val="auto"/>
        </w:rPr>
        <w:fldChar w:fldCharType="end"/>
      </w:r>
      <w:r>
        <w:rPr>
          <w:rFonts w:ascii="宋体" w:hAnsi="宋体" w:eastAsia="宋体"/>
          <w:bCs/>
          <w:color w:val="auto"/>
          <w:szCs w:val="21"/>
          <w:highlight w:val="none"/>
          <w:lang w:val="zh-CN"/>
        </w:rPr>
        <w:fldChar w:fldCharType="end"/>
      </w:r>
    </w:p>
    <w:p w14:paraId="05C8DDD4">
      <w:pPr>
        <w:pStyle w:val="9"/>
        <w:tabs>
          <w:tab w:val="right" w:leader="dot" w:pos="8306"/>
        </w:tabs>
        <w:rPr>
          <w:color w:val="auto"/>
        </w:rPr>
      </w:pPr>
      <w:r>
        <w:rPr>
          <w:rFonts w:ascii="宋体" w:hAnsi="宋体" w:eastAsia="宋体"/>
          <w:bCs/>
          <w:color w:val="auto"/>
          <w:szCs w:val="21"/>
          <w:highlight w:val="none"/>
          <w:lang w:val="zh-CN"/>
        </w:rPr>
        <w:fldChar w:fldCharType="begin"/>
      </w:r>
      <w:r>
        <w:rPr>
          <w:rFonts w:ascii="宋体" w:hAnsi="宋体" w:eastAsia="宋体"/>
          <w:bCs/>
          <w:color w:val="auto"/>
          <w:szCs w:val="21"/>
          <w:highlight w:val="none"/>
          <w:lang w:val="zh-CN"/>
        </w:rPr>
        <w:instrText xml:space="preserve"> HYPERLINK \l _Toc4935 </w:instrText>
      </w:r>
      <w:r>
        <w:rPr>
          <w:rFonts w:ascii="宋体" w:hAnsi="宋体" w:eastAsia="宋体"/>
          <w:bCs/>
          <w:color w:val="auto"/>
          <w:szCs w:val="21"/>
          <w:highlight w:val="none"/>
          <w:lang w:val="zh-CN"/>
        </w:rPr>
        <w:fldChar w:fldCharType="separate"/>
      </w:r>
      <w:r>
        <w:rPr>
          <w:rFonts w:hint="eastAsia" w:ascii="宋体" w:hAnsi="宋体" w:eastAsia="宋体"/>
          <w:color w:val="auto"/>
          <w:szCs w:val="28"/>
          <w:highlight w:val="none"/>
        </w:rPr>
        <w:t>附件11：供应商网络安全承诺书(模板）</w:t>
      </w:r>
      <w:r>
        <w:rPr>
          <w:color w:val="auto"/>
        </w:rPr>
        <w:tab/>
      </w:r>
      <w:r>
        <w:rPr>
          <w:color w:val="auto"/>
        </w:rPr>
        <w:fldChar w:fldCharType="begin"/>
      </w:r>
      <w:r>
        <w:rPr>
          <w:color w:val="auto"/>
        </w:rPr>
        <w:instrText xml:space="preserve"> PAGEREF _Toc4935 \h </w:instrText>
      </w:r>
      <w:r>
        <w:rPr>
          <w:color w:val="auto"/>
        </w:rPr>
        <w:fldChar w:fldCharType="separate"/>
      </w:r>
      <w:r>
        <w:rPr>
          <w:color w:val="auto"/>
        </w:rPr>
        <w:t>138</w:t>
      </w:r>
      <w:r>
        <w:rPr>
          <w:color w:val="auto"/>
        </w:rPr>
        <w:fldChar w:fldCharType="end"/>
      </w:r>
      <w:r>
        <w:rPr>
          <w:rFonts w:ascii="宋体" w:hAnsi="宋体" w:eastAsia="宋体"/>
          <w:bCs/>
          <w:color w:val="auto"/>
          <w:szCs w:val="21"/>
          <w:highlight w:val="none"/>
          <w:lang w:val="zh-CN"/>
        </w:rPr>
        <w:fldChar w:fldCharType="end"/>
      </w:r>
    </w:p>
    <w:p w14:paraId="20980FBA">
      <w:pPr>
        <w:rPr>
          <w:color w:val="auto"/>
          <w:highlight w:val="none"/>
        </w:rPr>
      </w:pPr>
      <w:r>
        <w:rPr>
          <w:rFonts w:ascii="宋体" w:hAnsi="宋体" w:eastAsia="宋体"/>
          <w:b/>
          <w:bCs/>
          <w:color w:val="auto"/>
          <w:szCs w:val="21"/>
          <w:highlight w:val="none"/>
          <w:lang w:val="zh-CN"/>
        </w:rPr>
        <w:fldChar w:fldCharType="end"/>
      </w:r>
      <w:permEnd w:id="6"/>
    </w:p>
    <w:p w14:paraId="153F299F">
      <w:pPr>
        <w:topLinePunct/>
        <w:adjustRightInd w:val="0"/>
        <w:snapToGrid w:val="0"/>
        <w:spacing w:line="360" w:lineRule="auto"/>
        <w:jc w:val="left"/>
        <w:rPr>
          <w:rFonts w:ascii="宋体" w:hAnsi="宋体" w:eastAsia="宋体" w:cs="宋体"/>
          <w:color w:val="auto"/>
          <w:kern w:val="0"/>
          <w:szCs w:val="21"/>
          <w:highlight w:val="none"/>
        </w:rPr>
        <w:sectPr>
          <w:footerReference r:id="rId6" w:type="default"/>
          <w:pgSz w:w="11906" w:h="16838"/>
          <w:pgMar w:top="1440" w:right="1800" w:bottom="1440" w:left="1800" w:header="851" w:footer="992" w:gutter="0"/>
          <w:pgNumType w:start="1"/>
          <w:cols w:space="720" w:num="1"/>
          <w:docGrid w:type="lines" w:linePitch="312" w:charSpace="0"/>
        </w:sectPr>
      </w:pPr>
    </w:p>
    <w:p w14:paraId="1E2F7214">
      <w:pPr>
        <w:pStyle w:val="3"/>
        <w:jc w:val="center"/>
        <w:rPr>
          <w:rFonts w:ascii="宋体" w:hAnsi="宋体" w:eastAsia="宋体" w:cs="Arial Unicode MS"/>
          <w:color w:val="auto"/>
          <w:kern w:val="0"/>
          <w:sz w:val="32"/>
          <w:highlight w:val="none"/>
        </w:rPr>
      </w:pPr>
      <w:bookmarkStart w:id="2" w:name="_Toc3299"/>
      <w:bookmarkStart w:id="3" w:name="_Toc57494658"/>
      <w:bookmarkStart w:id="4" w:name="_Toc8713"/>
      <w:bookmarkStart w:id="5" w:name="_第一节 合同协议书"/>
      <w:r>
        <w:rPr>
          <w:rFonts w:hint="eastAsia" w:ascii="宋体" w:hAnsi="宋体" w:eastAsia="宋体" w:cs="Arial Unicode MS"/>
          <w:color w:val="auto"/>
          <w:kern w:val="0"/>
          <w:sz w:val="32"/>
          <w:highlight w:val="none"/>
        </w:rPr>
        <w:t>第一节 合同协议书</w:t>
      </w:r>
      <w:bookmarkEnd w:id="2"/>
      <w:bookmarkEnd w:id="3"/>
      <w:bookmarkEnd w:id="4"/>
    </w:p>
    <w:bookmarkEnd w:id="5"/>
    <w:sdt>
      <w:sdtPr>
        <w:rPr>
          <w:rFonts w:hint="eastAsia" w:ascii="宋体" w:hAnsi="宋体" w:eastAsia="宋体" w:cs="宋体"/>
          <w:color w:val="auto"/>
          <w:kern w:val="0"/>
          <w:sz w:val="21"/>
          <w:szCs w:val="21"/>
          <w:highlight w:val="none"/>
          <w:lang w:val="en-US" w:eastAsia="zh-CN" w:bidi="ar-SA"/>
        </w:rPr>
        <w:alias w:val="1.简介"/>
        <w:tag w:val="1.简介"/>
        <w:id w:val="147470481"/>
        <w:placeholder>
          <w:docPart w:val="{0ee4c954-efff-4ac0-ac5e-21550a4d0dfd}"/>
        </w:placeholder>
      </w:sdtPr>
      <w:sdtEndPr>
        <w:rPr>
          <w:rFonts w:hint="eastAsia" w:ascii="宋体" w:hAnsi="宋体" w:eastAsia="宋体" w:cs="宋体"/>
          <w:color w:val="auto"/>
          <w:kern w:val="0"/>
          <w:sz w:val="21"/>
          <w:szCs w:val="21"/>
          <w:highlight w:val="none"/>
          <w:lang w:val="en-US" w:eastAsia="zh-CN" w:bidi="ar-SA"/>
        </w:rPr>
      </w:sdtEndPr>
      <w:sdtContent>
        <w:p w14:paraId="138C96F4">
          <w:pPr>
            <w:topLinePunct/>
            <w:adjustRightInd w:val="0"/>
            <w:snapToGrid w:val="0"/>
            <w:spacing w:line="360" w:lineRule="auto"/>
            <w:ind w:firstLine="630" w:firstLineChars="3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w:t>
          </w:r>
          <w:permStart w:id="7" w:edGrp="everyone"/>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ermEnd w:id="7"/>
          <w:r>
            <w:rPr>
              <w:rFonts w:ascii="宋体" w:hAnsi="宋体" w:eastAsia="宋体" w:cs="宋体"/>
              <w:color w:val="auto"/>
              <w:kern w:val="0"/>
              <w:szCs w:val="21"/>
              <w:highlight w:val="none"/>
            </w:rPr>
            <w:t>公司</w:t>
          </w:r>
          <w:permStart w:id="8" w:edGrp="everyone"/>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ermEnd w:id="8"/>
          <w:r>
            <w:rPr>
              <w:rFonts w:ascii="宋体" w:hAnsi="宋体" w:eastAsia="宋体" w:cs="宋体"/>
              <w:color w:val="auto"/>
              <w:kern w:val="0"/>
              <w:szCs w:val="21"/>
              <w:highlight w:val="none"/>
            </w:rPr>
            <w:t>年</w:t>
          </w:r>
          <w:permStart w:id="9" w:edGrp="everyone"/>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ermEnd w:id="9"/>
          <w:r>
            <w:rPr>
              <w:rFonts w:ascii="宋体" w:hAnsi="宋体" w:eastAsia="宋体" w:cs="宋体"/>
              <w:color w:val="auto"/>
              <w:kern w:val="0"/>
              <w:szCs w:val="21"/>
              <w:highlight w:val="none"/>
            </w:rPr>
            <w:t>专项招标结果（</w:t>
          </w:r>
          <w:sdt>
            <w:sdtPr>
              <w:rPr>
                <w:rFonts w:hint="eastAsia" w:ascii="宋体" w:hAnsi="宋体" w:eastAsia="宋体" w:cs="宋体"/>
                <w:i w:val="0"/>
                <w:iCs w:val="0"/>
                <w:color w:val="000000"/>
                <w:kern w:val="0"/>
                <w:sz w:val="21"/>
                <w:szCs w:val="21"/>
                <w:highlight w:val="none"/>
                <w:u w:val="single"/>
                <w:lang w:val="en-US" w:eastAsia="zh-CN"/>
              </w:rPr>
              <w:alias w:val="中标通知书编号"/>
              <w:tag w:val="中标通知书编号"/>
              <w:id w:val="147451938"/>
              <w:placeholder>
                <w:docPart w:val="{59a8bced-ec6c-4860-8154-cc563a563b77}"/>
              </w:placeholder>
              <w:text w:multiLine="1"/>
            </w:sdtPr>
            <w:sdtEndPr>
              <w:rPr>
                <w:rFonts w:hint="eastAsia" w:ascii="宋体" w:hAnsi="宋体" w:eastAsia="宋体" w:cs="宋体"/>
                <w:i w:val="0"/>
                <w:iCs w:val="0"/>
                <w:color w:val="000000"/>
                <w:kern w:val="0"/>
                <w:sz w:val="21"/>
                <w:szCs w:val="21"/>
                <w:highlight w:val="none"/>
                <w:u w:val="none"/>
                <w:lang w:val="en-US" w:eastAsia="zh-CN"/>
              </w:rPr>
            </w:sdtEndPr>
            <w:sdtContent>
              <w:permStart w:id="10" w:edGrp="everyone"/>
              <w:r>
                <w:rPr>
                  <w:rFonts w:hint="eastAsia" w:ascii="宋体" w:hAnsi="宋体" w:eastAsia="宋体" w:cs="宋体"/>
                  <w:i w:val="0"/>
                  <w:iCs w:val="0"/>
                  <w:color w:val="000000"/>
                  <w:kern w:val="0"/>
                  <w:sz w:val="21"/>
                  <w:szCs w:val="21"/>
                  <w:highlight w:val="none"/>
                  <w:u w:val="single"/>
                  <w:lang w:val="en-US" w:eastAsia="zh-CN"/>
                </w:rPr>
                <w:t xml:space="preserve">            </w:t>
              </w:r>
              <w:permEnd w:id="10"/>
            </w:sdtContent>
          </w:sdt>
          <w:r>
            <w:rPr>
              <w:rFonts w:ascii="宋体" w:hAnsi="宋体" w:eastAsia="宋体" w:cs="宋体"/>
              <w:color w:val="auto"/>
              <w:kern w:val="0"/>
              <w:szCs w:val="21"/>
              <w:highlight w:val="none"/>
            </w:rPr>
            <w:t>号中标通知书）</w:t>
          </w:r>
          <w:r>
            <w:rPr>
              <w:rFonts w:hint="eastAsia" w:ascii="宋体" w:hAnsi="宋体" w:eastAsia="宋体" w:cs="宋体"/>
              <w:color w:val="auto"/>
              <w:kern w:val="0"/>
              <w:szCs w:val="21"/>
              <w:highlight w:val="none"/>
            </w:rPr>
            <w:t>，</w:t>
          </w:r>
          <w:sdt>
            <w:sdtPr>
              <w:rPr>
                <w:rFonts w:hint="eastAsia" w:ascii="宋体" w:hAnsi="宋体" w:eastAsia="宋体" w:cs="宋体"/>
                <w:kern w:val="2"/>
                <w:sz w:val="21"/>
                <w:szCs w:val="21"/>
                <w:u w:val="single"/>
                <w:lang w:val="en-US" w:eastAsia="zh-CN" w:bidi="ar-SA"/>
              </w:rPr>
              <w:alias w:val="甲方当事人全称"/>
              <w:tag w:val="甲方当事人全称"/>
              <w:id w:val="147466732"/>
              <w:placeholder>
                <w:docPart w:val="{9b5676fb-c466-41e8-b3c2-efbe766a4ef6}"/>
              </w:placeholder>
              <w:text/>
            </w:sdtPr>
            <w:sdtEndPr>
              <w:rPr>
                <w:rFonts w:hint="eastAsia" w:ascii="宋体" w:hAnsi="宋体" w:eastAsia="宋体" w:cs="宋体"/>
                <w:color w:val="000000"/>
                <w:kern w:val="0"/>
                <w:sz w:val="21"/>
                <w:szCs w:val="21"/>
                <w:highlight w:val="none"/>
                <w:u w:val="single"/>
                <w:lang w:val="en-US" w:eastAsia="zh-CN" w:bidi="ar-SA"/>
              </w:rPr>
            </w:sdtEndPr>
            <w:sdtContent>
              <w:permStart w:id="11" w:edGrp="everyone"/>
              <w:r>
                <w:rPr>
                  <w:rFonts w:hint="eastAsia" w:ascii="宋体" w:hAnsi="宋体" w:eastAsia="宋体" w:cs="宋体"/>
                  <w:color w:val="000000"/>
                  <w:kern w:val="0"/>
                  <w:sz w:val="21"/>
                  <w:szCs w:val="21"/>
                  <w:highlight w:val="none"/>
                  <w:u w:val="single"/>
                  <w:lang w:val="en-US" w:eastAsia="zh-CN" w:bidi="ar-SA"/>
                </w:rPr>
                <w:t xml:space="preserve">                                 </w:t>
              </w:r>
              <w:permEnd w:id="11"/>
            </w:sdtContent>
          </w:sdt>
          <w:r>
            <w:rPr>
              <w:rFonts w:hint="eastAsia" w:ascii="宋体" w:hAnsi="宋体" w:eastAsia="宋体" w:cs="宋体"/>
              <w:color w:val="auto"/>
              <w:kern w:val="0"/>
              <w:szCs w:val="21"/>
              <w:highlight w:val="none"/>
            </w:rPr>
            <w:t>（买方名称，以下简称</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买方</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）为获得</w:t>
          </w:r>
        </w:p>
        <w:p w14:paraId="283FD8A7">
          <w:pPr>
            <w:topLinePunct/>
            <w:adjustRightInd w:val="0"/>
            <w:snapToGrid w:val="0"/>
            <w:spacing w:line="360" w:lineRule="auto"/>
            <w:jc w:val="left"/>
            <w:rPr>
              <w:rFonts w:ascii="宋体" w:hAnsi="宋体" w:eastAsia="宋体" w:cs="宋体"/>
              <w:color w:val="auto"/>
              <w:kern w:val="0"/>
              <w:szCs w:val="21"/>
              <w:highlight w:val="none"/>
            </w:rPr>
          </w:pPr>
          <w:permStart w:id="12" w:edGrp="everyone"/>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ermEnd w:id="12"/>
          <w:r>
            <w:rPr>
              <w:rFonts w:hint="eastAsia" w:ascii="宋体" w:hAnsi="宋体" w:eastAsia="宋体" w:cs="宋体"/>
              <w:color w:val="auto"/>
              <w:kern w:val="0"/>
              <w:szCs w:val="21"/>
              <w:highlight w:val="none"/>
            </w:rPr>
            <w:t>（项目名称）的</w:t>
          </w:r>
          <w:permStart w:id="13" w:edGrp="everyone"/>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ermEnd w:id="13"/>
          <w:r>
            <w:rPr>
              <w:rFonts w:hint="eastAsia" w:ascii="宋体" w:hAnsi="宋体" w:eastAsia="宋体" w:cs="宋体"/>
              <w:color w:val="auto"/>
              <w:kern w:val="0"/>
              <w:szCs w:val="21"/>
              <w:highlight w:val="none"/>
            </w:rPr>
            <w:t>（合同设备名称）和相关技术服务、质保期服务，已接受</w:t>
          </w:r>
          <w:sdt>
            <w:sdtPr>
              <w:rPr>
                <w:rFonts w:hint="eastAsia" w:ascii="宋体" w:hAnsi="宋体" w:eastAsia="宋体" w:cs="宋体"/>
                <w:kern w:val="2"/>
                <w:sz w:val="21"/>
                <w:szCs w:val="21"/>
                <w:lang w:val="en-US" w:eastAsia="zh-CN" w:bidi="ar-SA"/>
              </w:rPr>
              <w:alias w:val="乙方当事人全称"/>
              <w:tag w:val="乙方当事人全称"/>
              <w:id w:val="147479823"/>
              <w:placeholder>
                <w:docPart w:val="{1af6407d-ac63-42fb-a058-1468baadbeeb}"/>
              </w:placeholder>
              <w:text/>
            </w:sdtPr>
            <w:sdtEndPr>
              <w:rPr>
                <w:rFonts w:hint="eastAsia" w:ascii="宋体" w:hAnsi="宋体" w:eastAsia="宋体" w:cs="宋体"/>
                <w:kern w:val="2"/>
                <w:sz w:val="21"/>
                <w:szCs w:val="21"/>
                <w:u w:val="single"/>
                <w:lang w:val="en-US" w:eastAsia="zh-CN" w:bidi="ar-SA"/>
              </w:rPr>
            </w:sdtEndPr>
            <w:sdtContent>
              <w:permStart w:id="14" w:edGrp="everyone"/>
              <w:r>
                <w:rPr>
                  <w:rFonts w:hint="eastAsia" w:ascii="宋体" w:hAnsi="宋体" w:eastAsia="宋体" w:cs="宋体"/>
                  <w:sz w:val="21"/>
                  <w:szCs w:val="21"/>
                  <w:u w:val="single"/>
                  <w:lang w:val="en-US" w:eastAsia="zh-CN"/>
                </w:rPr>
                <w:t xml:space="preserve">                             </w:t>
              </w:r>
              <w:permEnd w:id="14"/>
            </w:sdtContent>
          </w:sdt>
          <w:r>
            <w:rPr>
              <w:rFonts w:hint="eastAsia" w:ascii="宋体" w:hAnsi="宋体" w:eastAsia="宋体" w:cs="宋体"/>
              <w:color w:val="auto"/>
              <w:kern w:val="0"/>
              <w:szCs w:val="21"/>
              <w:highlight w:val="none"/>
            </w:rPr>
            <w:t>（卖方名称，以下简称</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卖方</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）为提供上述合同设备和技术服务和质保期服务所作的投标，买方和卖方共同达成如下协议：</w:t>
          </w:r>
        </w:p>
      </w:sdtContent>
    </w:sdt>
    <w:p w14:paraId="52D8510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bookmarkStart w:id="6" w:name="_Hlk28530772"/>
      <w:r>
        <w:rPr>
          <w:rFonts w:ascii="宋体" w:hAnsi="宋体" w:eastAsia="宋体" w:cs="Times New Roman"/>
          <w:color w:val="auto"/>
          <w:kern w:val="0"/>
          <w:szCs w:val="21"/>
          <w:highlight w:val="none"/>
        </w:rPr>
        <w:t xml:space="preserve">1. </w:t>
      </w:r>
      <w:r>
        <w:rPr>
          <w:rFonts w:hint="eastAsia" w:ascii="宋体" w:hAnsi="宋体" w:eastAsia="宋体" w:cs="宋体"/>
          <w:color w:val="auto"/>
          <w:kern w:val="0"/>
          <w:szCs w:val="21"/>
          <w:highlight w:val="none"/>
        </w:rPr>
        <w:t>下列文件一起构成合同文件：</w:t>
      </w:r>
    </w:p>
    <w:p w14:paraId="09DD9EA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）合同协议书；</w:t>
      </w:r>
    </w:p>
    <w:p w14:paraId="6ADEC3C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2）中标通知书；</w:t>
      </w:r>
    </w:p>
    <w:p w14:paraId="2D975DC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3）投标函；</w:t>
      </w:r>
    </w:p>
    <w:p w14:paraId="3992460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4）商务和技术偏差表；</w:t>
      </w:r>
    </w:p>
    <w:p w14:paraId="0701DD4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5）专用合同条款；</w:t>
      </w:r>
    </w:p>
    <w:p w14:paraId="6488036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6）通用合同条款；</w:t>
      </w:r>
    </w:p>
    <w:p w14:paraId="56FAECD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7）供货要求；</w:t>
      </w:r>
    </w:p>
    <w:p w14:paraId="3A18A91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8）分项报价表；</w:t>
      </w:r>
    </w:p>
    <w:p w14:paraId="1AA66BE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9）中标设备技术性能指标的详细描述；</w:t>
      </w:r>
    </w:p>
    <w:p w14:paraId="0C42C46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10）技术服务和质保期服务计划；</w:t>
      </w:r>
    </w:p>
    <w:p w14:paraId="242CA7E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bookmarkStart w:id="7" w:name="_Hlk28527019"/>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11）其他合同文件。</w:t>
      </w:r>
    </w:p>
    <w:bookmarkEnd w:id="6"/>
    <w:bookmarkEnd w:id="7"/>
    <w:p w14:paraId="672CC01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2. </w:t>
      </w:r>
      <w:r>
        <w:rPr>
          <w:rFonts w:hint="eastAsia" w:ascii="宋体" w:hAnsi="宋体" w:eastAsia="宋体" w:cs="宋体"/>
          <w:color w:val="auto"/>
          <w:kern w:val="0"/>
          <w:szCs w:val="21"/>
          <w:highlight w:val="none"/>
        </w:rPr>
        <w:t>上述合同文件互相补充和解释。如果合同文件之间存在矛盾或不一致之处，以上述文件的排列顺序在先者为准。但是，技术协议中的规定与合同商务条款对相同事项的规定</w:t>
      </w:r>
      <w:r>
        <w:rPr>
          <w:rFonts w:ascii="宋体" w:hAnsi="宋体" w:eastAsia="宋体" w:cs="宋体"/>
          <w:color w:val="auto"/>
          <w:szCs w:val="21"/>
          <w:highlight w:val="none"/>
        </w:rPr>
        <w:t>不一致或者</w:t>
      </w:r>
      <w:r>
        <w:rPr>
          <w:rFonts w:hint="eastAsia" w:ascii="宋体" w:hAnsi="宋体" w:eastAsia="宋体" w:cs="宋体"/>
          <w:color w:val="auto"/>
          <w:kern w:val="0"/>
          <w:szCs w:val="21"/>
          <w:highlight w:val="none"/>
        </w:rPr>
        <w:t>不能同时成立时，以商务条款的规定为准。</w:t>
      </w:r>
    </w:p>
    <w:p w14:paraId="7213F6C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ascii="宋体" w:hAnsi="宋体" w:eastAsia="宋体" w:cs="Times New Roman"/>
          <w:color w:val="auto"/>
          <w:kern w:val="0"/>
          <w:szCs w:val="21"/>
          <w:highlight w:val="none"/>
        </w:rPr>
        <w:t xml:space="preserve"> </w:t>
      </w:r>
      <w:r>
        <w:rPr>
          <w:rFonts w:hint="eastAsia" w:ascii="宋体" w:hAnsi="宋体" w:eastAsia="宋体" w:cs="宋体"/>
          <w:color w:val="auto"/>
          <w:kern w:val="0"/>
          <w:szCs w:val="21"/>
          <w:highlight w:val="none"/>
        </w:rPr>
        <w:t>合同设备的名称、数量、交货时间和地点等内容详见附件</w:t>
      </w:r>
      <w:r>
        <w:rPr>
          <w:rFonts w:ascii="宋体" w:hAnsi="宋体" w:eastAsia="宋体" w:cs="宋体"/>
          <w:color w:val="auto"/>
          <w:kern w:val="0"/>
          <w:szCs w:val="21"/>
          <w:highlight w:val="none"/>
        </w:rPr>
        <w:t>1《供货一览表》。</w:t>
      </w:r>
    </w:p>
    <w:sdt>
      <w:sdtPr>
        <w:rPr>
          <w:rFonts w:ascii="宋体" w:hAnsi="宋体" w:eastAsia="宋体" w:cs="Times New Roman"/>
          <w:color w:val="auto"/>
          <w:kern w:val="0"/>
          <w:sz w:val="21"/>
          <w:szCs w:val="21"/>
          <w:highlight w:val="none"/>
          <w:lang w:val="en-US" w:eastAsia="zh-CN" w:bidi="ar-SA"/>
        </w:rPr>
        <w:alias w:val="4.签约合同价"/>
        <w:tag w:val="4.签约合同价"/>
        <w:id w:val="147470436"/>
        <w:placeholder>
          <w:docPart w:val="{7bb4d477-e9b6-4f42-9290-79bb591895ce}"/>
        </w:placeholder>
      </w:sdtPr>
      <w:sdtEndPr>
        <w:rPr>
          <w:rFonts w:hint="eastAsia" w:ascii="宋体" w:hAnsi="宋体" w:eastAsia="宋体" w:cs="宋体"/>
          <w:color w:val="auto"/>
          <w:kern w:val="0"/>
          <w:sz w:val="21"/>
          <w:szCs w:val="21"/>
          <w:highlight w:val="none"/>
          <w:lang w:val="en-US" w:eastAsia="zh-CN" w:bidi="ar-SA"/>
        </w:rPr>
      </w:sdtEndPr>
      <w:sdtContent>
        <w:p w14:paraId="2B40DFB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4. </w:t>
          </w:r>
          <w:r>
            <w:rPr>
              <w:rFonts w:hint="eastAsia" w:ascii="宋体" w:hAnsi="宋体" w:eastAsia="宋体" w:cs="宋体"/>
              <w:color w:val="auto"/>
              <w:kern w:val="0"/>
              <w:szCs w:val="21"/>
              <w:highlight w:val="none"/>
            </w:rPr>
            <w:t>签约合同价：人民币（大写）</w:t>
          </w:r>
          <w:sdt>
            <w:sdtPr>
              <w:rPr>
                <w:rFonts w:hint="eastAsia" w:ascii="宋体" w:hAnsi="宋体" w:eastAsia="宋体" w:cs="宋体"/>
                <w:kern w:val="2"/>
                <w:sz w:val="21"/>
                <w:szCs w:val="21"/>
                <w:lang w:val="en-US" w:eastAsia="zh-CN" w:bidi="ar-SA"/>
              </w:rPr>
              <w:alias w:val="合同大写金额"/>
              <w:tag w:val="合同大写金额"/>
              <w:id w:val="147477601"/>
              <w:placeholder>
                <w:docPart w:val="{96e2c161-a514-4ca1-a215-62e7a483f712}"/>
              </w:placeholder>
              <w:text w:multiLine="1"/>
            </w:sdtPr>
            <w:sdtEndPr>
              <w:rPr>
                <w:rFonts w:hint="eastAsia" w:ascii="宋体" w:hAnsi="宋体" w:eastAsia="宋体" w:cs="宋体"/>
                <w:kern w:val="2"/>
                <w:sz w:val="21"/>
                <w:szCs w:val="21"/>
                <w:lang w:val="en-US" w:eastAsia="zh-CN" w:bidi="ar-SA"/>
              </w:rPr>
            </w:sdtEndPr>
            <w:sdtContent>
              <w:permStart w:id="15" w:edGrp="everyone"/>
              <w:r>
                <w:rPr>
                  <w:rFonts w:hint="eastAsia" w:ascii="宋体" w:hAnsi="宋体" w:eastAsia="宋体" w:cs="宋体"/>
                  <w:kern w:val="2"/>
                  <w:sz w:val="21"/>
                  <w:szCs w:val="21"/>
                  <w:u w:val="single"/>
                  <w:lang w:val="en-US" w:eastAsia="zh-CN" w:bidi="ar-SA"/>
                </w:rPr>
                <w:t xml:space="preserve">        </w:t>
              </w:r>
              <w:permEnd w:id="15"/>
            </w:sdtContent>
          </w:sdt>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w:t>
          </w:r>
          <w:sdt>
            <w:sdtPr>
              <w:rPr>
                <w:rFonts w:hint="eastAsia" w:ascii="宋体" w:hAnsi="宋体" w:eastAsia="宋体" w:cs="宋体"/>
                <w:kern w:val="2"/>
                <w:sz w:val="21"/>
                <w:szCs w:val="21"/>
                <w:lang w:val="en-US" w:eastAsia="zh-CN" w:bidi="ar-SA"/>
              </w:rPr>
              <w:alias w:val="合同金额"/>
              <w:tag w:val="合同金额"/>
              <w:id w:val="147481996"/>
              <w:placeholder>
                <w:docPart w:val="{f4c9ae1b-89ed-4d85-995a-af7b20b06b82}"/>
              </w:placeholder>
              <w:text w:multiLine="1"/>
            </w:sdtPr>
            <w:sdtEndPr>
              <w:rPr>
                <w:rFonts w:hint="eastAsia" w:ascii="宋体" w:hAnsi="宋体" w:eastAsia="宋体" w:cs="宋体"/>
                <w:kern w:val="2"/>
                <w:sz w:val="21"/>
                <w:szCs w:val="21"/>
                <w:lang w:val="en-US" w:eastAsia="zh-CN" w:bidi="ar-SA"/>
              </w:rPr>
            </w:sdtEndPr>
            <w:sdtContent>
              <w:permStart w:id="16" w:edGrp="everyone"/>
              <w:r>
                <w:rPr>
                  <w:rFonts w:hint="eastAsia" w:ascii="宋体" w:hAnsi="宋体" w:eastAsia="宋体" w:cs="宋体"/>
                  <w:kern w:val="2"/>
                  <w:sz w:val="21"/>
                  <w:szCs w:val="21"/>
                  <w:u w:val="single"/>
                  <w:lang w:val="en-US" w:eastAsia="zh-CN" w:bidi="ar-SA"/>
                </w:rPr>
                <w:t xml:space="preserve">        </w:t>
              </w:r>
              <w:permEnd w:id="16"/>
            </w:sdtContent>
          </w:sdt>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合同单价及总价构成详见</w:t>
          </w:r>
          <w:r>
            <w:rPr>
              <w:rFonts w:hint="eastAsia" w:ascii="宋体" w:hAnsi="宋体" w:eastAsia="宋体" w:cs="宋体"/>
              <w:color w:val="auto"/>
              <w:kern w:val="0"/>
              <w:szCs w:val="21"/>
              <w:highlight w:val="none"/>
              <w:lang w:eastAsia="zh-CN"/>
            </w:rPr>
            <w:t>本合同</w:t>
          </w:r>
          <w:r>
            <w:rPr>
              <w:rFonts w:ascii="宋体" w:hAnsi="宋体" w:eastAsia="宋体" w:cs="宋体"/>
              <w:color w:val="auto"/>
              <w:kern w:val="0"/>
              <w:szCs w:val="21"/>
              <w:highlight w:val="none"/>
            </w:rPr>
            <w:t>附件1《供货一览表》。</w:t>
          </w:r>
        </w:p>
        <w:p w14:paraId="66AF6AE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合同价款分</w:t>
          </w:r>
          <w:r>
            <w:rPr>
              <w:rFonts w:hint="eastAsia" w:ascii="宋体" w:hAnsi="宋体" w:eastAsia="宋体" w:cs="宋体"/>
              <w:color w:val="auto"/>
              <w:kern w:val="0"/>
              <w:szCs w:val="21"/>
              <w:highlight w:val="none"/>
              <w:lang w:val="en-US" w:eastAsia="zh-CN"/>
            </w:rPr>
            <w:t>到货款、终验款两笔款项</w:t>
          </w:r>
          <w:r>
            <w:rPr>
              <w:rFonts w:hint="eastAsia" w:ascii="宋体" w:hAnsi="宋体" w:eastAsia="宋体" w:cs="宋体"/>
              <w:color w:val="auto"/>
              <w:kern w:val="0"/>
              <w:szCs w:val="21"/>
              <w:highlight w:val="none"/>
            </w:rPr>
            <w:t>支付</w:t>
          </w:r>
          <w:r>
            <w:rPr>
              <w:rFonts w:ascii="宋体" w:hAnsi="宋体" w:eastAsia="宋体" w:cs="宋体"/>
              <w:color w:val="auto"/>
              <w:kern w:val="0"/>
              <w:szCs w:val="21"/>
              <w:highlight w:val="none"/>
            </w:rPr>
            <w:t>，支付比例为</w:t>
          </w:r>
          <w:permStart w:id="17" w:edGrp="everyone"/>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1</w:t>
          </w:r>
          <w:r>
            <w:rPr>
              <w:rFonts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rPr>
            <w:t>：</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lang w:val="en-US" w:eastAsia="zh-CN"/>
            </w:rPr>
            <w:t>1</w:t>
          </w:r>
          <w:r>
            <w:rPr>
              <w:rFonts w:ascii="宋体" w:hAnsi="宋体" w:eastAsia="宋体" w:cs="宋体"/>
              <w:color w:val="auto"/>
              <w:kern w:val="0"/>
              <w:szCs w:val="21"/>
              <w:highlight w:val="none"/>
              <w:u w:val="single"/>
            </w:rPr>
            <w:t xml:space="preserve">  </w:t>
          </w:r>
          <w:permEnd w:id="17"/>
          <w:r>
            <w:rPr>
              <w:rFonts w:hint="eastAsia" w:ascii="宋体" w:hAnsi="宋体" w:eastAsia="宋体" w:cs="宋体"/>
              <w:color w:val="auto"/>
              <w:kern w:val="0"/>
              <w:szCs w:val="21"/>
              <w:highlight w:val="none"/>
            </w:rPr>
            <w:t>。</w:t>
          </w:r>
        </w:p>
      </w:sdtContent>
    </w:sdt>
    <w:p w14:paraId="5F6939B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5. </w:t>
      </w:r>
      <w:r>
        <w:rPr>
          <w:rFonts w:hint="eastAsia" w:ascii="宋体" w:hAnsi="宋体" w:eastAsia="宋体" w:cs="宋体"/>
          <w:color w:val="auto"/>
          <w:kern w:val="0"/>
          <w:szCs w:val="21"/>
          <w:highlight w:val="none"/>
        </w:rPr>
        <w:t>卖方承诺保证按照合同约定提供合同设备和技术服务和质保期服务并修补缺陷。</w:t>
      </w:r>
    </w:p>
    <w:p w14:paraId="350A3C9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 </w:t>
      </w:r>
      <w:r>
        <w:rPr>
          <w:rFonts w:hint="eastAsia" w:ascii="宋体" w:hAnsi="宋体" w:eastAsia="宋体" w:cs="宋体"/>
          <w:color w:val="auto"/>
          <w:kern w:val="0"/>
          <w:szCs w:val="21"/>
          <w:highlight w:val="none"/>
        </w:rPr>
        <w:t>买方承诺保证按照合同约定的条件、时间和方式向卖方支付合同价款。</w:t>
      </w:r>
    </w:p>
    <w:p w14:paraId="289448F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7. </w:t>
      </w:r>
      <w:r>
        <w:rPr>
          <w:rFonts w:hint="eastAsia" w:ascii="宋体" w:hAnsi="宋体" w:eastAsia="宋体" w:cs="宋体"/>
          <w:color w:val="auto"/>
          <w:kern w:val="0"/>
          <w:szCs w:val="21"/>
          <w:highlight w:val="none"/>
        </w:rPr>
        <w:t>本合同协议书一式六份，买方执四份，卖方执两份。</w:t>
      </w:r>
    </w:p>
    <w:p w14:paraId="694E007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8. 买方授权的结算</w:t>
      </w:r>
      <w:r>
        <w:rPr>
          <w:rFonts w:hint="eastAsia" w:ascii="宋体" w:hAnsi="宋体" w:eastAsia="宋体" w:cs="宋体"/>
          <w:color w:val="auto"/>
          <w:kern w:val="0"/>
          <w:szCs w:val="21"/>
          <w:highlight w:val="none"/>
        </w:rPr>
        <w:t>单位、</w:t>
      </w:r>
      <w:r>
        <w:rPr>
          <w:rFonts w:ascii="宋体" w:hAnsi="宋体" w:eastAsia="宋体" w:cs="宋体"/>
          <w:color w:val="auto"/>
          <w:kern w:val="0"/>
          <w:szCs w:val="21"/>
          <w:highlight w:val="none"/>
        </w:rPr>
        <w:t>收货单位的权利和义务如下：</w:t>
      </w:r>
      <w:bookmarkStart w:id="2040" w:name="_GoBack"/>
      <w:bookmarkEnd w:id="2040"/>
    </w:p>
    <w:p w14:paraId="6D999F38">
      <w:pPr>
        <w:topLinePunct/>
        <w:adjustRightInd w:val="0"/>
        <w:snapToGrid w:val="0"/>
        <w:spacing w:line="360" w:lineRule="auto"/>
        <w:ind w:firstLine="420" w:firstLineChars="200"/>
        <w:jc w:val="left"/>
        <w:rPr>
          <w:rFonts w:ascii="宋体" w:hAnsi="宋体" w:eastAsia="宋体"/>
          <w:color w:val="auto"/>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1）结算单位：为本合同之货款支付人，行使和履行本合同有关货款支付的权利和义务。</w:t>
      </w:r>
      <w:bookmarkStart w:id="8" w:name="_Toc492891997"/>
      <w:r>
        <w:rPr>
          <w:rFonts w:hint="eastAsia" w:ascii="宋体" w:hAnsi="宋体" w:eastAsia="宋体"/>
          <w:color w:val="auto"/>
          <w:szCs w:val="21"/>
          <w:highlight w:val="none"/>
        </w:rPr>
        <w:t>结算单位基本信息</w:t>
      </w:r>
      <w:bookmarkEnd w:id="8"/>
      <w:r>
        <w:rPr>
          <w:rFonts w:hint="eastAsia" w:ascii="宋体" w:hAnsi="宋体" w:eastAsia="宋体"/>
          <w:color w:val="auto"/>
          <w:szCs w:val="21"/>
          <w:highlight w:val="none"/>
        </w:rPr>
        <w:t>如下：</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26"/>
        <w:gridCol w:w="5762"/>
      </w:tblGrid>
      <w:tr w14:paraId="1181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2426" w:type="dxa"/>
            <w:noWrap w:val="0"/>
            <w:vAlign w:val="top"/>
          </w:tcPr>
          <w:p w14:paraId="3FCB079C">
            <w:pPr>
              <w:spacing w:line="0" w:lineRule="atLeast"/>
              <w:jc w:val="left"/>
              <w:rPr>
                <w:rFonts w:ascii="宋体" w:hAnsi="宋体" w:eastAsia="宋体"/>
                <w:color w:val="auto"/>
                <w:szCs w:val="21"/>
                <w:highlight w:val="none"/>
              </w:rPr>
            </w:pPr>
            <w:permStart w:id="18" w:edGrp="everyone"/>
            <w:r>
              <w:rPr>
                <w:rFonts w:hint="eastAsia" w:ascii="宋体" w:hAnsi="宋体" w:eastAsia="宋体"/>
                <w:color w:val="auto"/>
                <w:szCs w:val="21"/>
                <w:highlight w:val="none"/>
              </w:rPr>
              <w:t>结算单位：</w:t>
            </w:r>
          </w:p>
        </w:tc>
        <w:tc>
          <w:tcPr>
            <w:tcW w:w="5762" w:type="dxa"/>
            <w:noWrap w:val="0"/>
            <w:vAlign w:val="top"/>
          </w:tcPr>
          <w:p w14:paraId="7DCD0079">
            <w:pPr>
              <w:spacing w:line="0" w:lineRule="atLeast"/>
              <w:jc w:val="left"/>
              <w:rPr>
                <w:rFonts w:ascii="宋体" w:hAnsi="宋体" w:eastAsia="宋体"/>
                <w:color w:val="auto"/>
                <w:szCs w:val="21"/>
                <w:highlight w:val="none"/>
              </w:rPr>
            </w:pPr>
          </w:p>
        </w:tc>
      </w:tr>
      <w:tr w14:paraId="796C3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2426" w:type="dxa"/>
            <w:noWrap w:val="0"/>
            <w:vAlign w:val="top"/>
          </w:tcPr>
          <w:p w14:paraId="74D6A592">
            <w:pPr>
              <w:spacing w:line="0" w:lineRule="atLeast"/>
              <w:jc w:val="left"/>
              <w:rPr>
                <w:rFonts w:ascii="宋体" w:hAnsi="宋体" w:eastAsia="宋体"/>
                <w:color w:val="auto"/>
                <w:szCs w:val="21"/>
                <w:highlight w:val="none"/>
              </w:rPr>
            </w:pPr>
            <w:r>
              <w:rPr>
                <w:rFonts w:hint="eastAsia" w:ascii="宋体" w:hAnsi="宋体" w:eastAsia="宋体"/>
                <w:color w:val="auto"/>
                <w:szCs w:val="21"/>
                <w:highlight w:val="none"/>
              </w:rPr>
              <w:t>开户银行：</w:t>
            </w:r>
          </w:p>
        </w:tc>
        <w:tc>
          <w:tcPr>
            <w:tcW w:w="5762" w:type="dxa"/>
            <w:noWrap w:val="0"/>
            <w:vAlign w:val="top"/>
          </w:tcPr>
          <w:p w14:paraId="27508763">
            <w:pPr>
              <w:spacing w:line="0" w:lineRule="atLeast"/>
              <w:jc w:val="left"/>
              <w:rPr>
                <w:rFonts w:ascii="宋体" w:hAnsi="宋体" w:eastAsia="宋体"/>
                <w:color w:val="auto"/>
                <w:szCs w:val="21"/>
                <w:highlight w:val="none"/>
              </w:rPr>
            </w:pPr>
          </w:p>
        </w:tc>
      </w:tr>
      <w:tr w14:paraId="7EDB0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 w:hRule="atLeast"/>
          <w:jc w:val="center"/>
        </w:trPr>
        <w:tc>
          <w:tcPr>
            <w:tcW w:w="2426" w:type="dxa"/>
            <w:noWrap w:val="0"/>
            <w:vAlign w:val="top"/>
          </w:tcPr>
          <w:p w14:paraId="06B29BC5">
            <w:pPr>
              <w:spacing w:line="0" w:lineRule="atLeast"/>
              <w:jc w:val="left"/>
              <w:rPr>
                <w:rFonts w:ascii="宋体" w:hAnsi="宋体" w:eastAsia="宋体"/>
                <w:color w:val="auto"/>
                <w:szCs w:val="21"/>
                <w:highlight w:val="none"/>
              </w:rPr>
            </w:pPr>
            <w:r>
              <w:rPr>
                <w:rFonts w:hint="eastAsia" w:ascii="宋体" w:hAnsi="宋体" w:eastAsia="宋体"/>
                <w:color w:val="auto"/>
                <w:szCs w:val="21"/>
                <w:highlight w:val="none"/>
                <w:lang w:val="en-US" w:eastAsia="zh-CN"/>
              </w:rPr>
              <w:t>账</w:t>
            </w:r>
            <w:r>
              <w:rPr>
                <w:rFonts w:hint="eastAsia" w:ascii="宋体" w:hAnsi="宋体" w:eastAsia="宋体"/>
                <w:color w:val="auto"/>
                <w:szCs w:val="21"/>
                <w:highlight w:val="none"/>
              </w:rPr>
              <w:t xml:space="preserve"> 户 名：</w:t>
            </w:r>
          </w:p>
        </w:tc>
        <w:tc>
          <w:tcPr>
            <w:tcW w:w="5762" w:type="dxa"/>
            <w:noWrap w:val="0"/>
            <w:vAlign w:val="top"/>
          </w:tcPr>
          <w:p w14:paraId="4C4AAC62">
            <w:pPr>
              <w:spacing w:line="0" w:lineRule="atLeast"/>
              <w:jc w:val="left"/>
              <w:rPr>
                <w:rFonts w:ascii="宋体" w:hAnsi="宋体" w:eastAsia="宋体"/>
                <w:color w:val="auto"/>
                <w:szCs w:val="21"/>
                <w:highlight w:val="none"/>
              </w:rPr>
            </w:pPr>
          </w:p>
        </w:tc>
      </w:tr>
      <w:tr w14:paraId="4854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 w:hRule="atLeast"/>
          <w:jc w:val="center"/>
        </w:trPr>
        <w:tc>
          <w:tcPr>
            <w:tcW w:w="2426" w:type="dxa"/>
            <w:noWrap w:val="0"/>
            <w:vAlign w:val="top"/>
          </w:tcPr>
          <w:p w14:paraId="22863BA6">
            <w:pPr>
              <w:spacing w:line="0" w:lineRule="atLeast"/>
              <w:jc w:val="left"/>
              <w:rPr>
                <w:rFonts w:ascii="宋体" w:hAnsi="宋体" w:eastAsia="宋体"/>
                <w:color w:val="auto"/>
                <w:szCs w:val="21"/>
                <w:highlight w:val="none"/>
              </w:rPr>
            </w:pPr>
            <w:r>
              <w:rPr>
                <w:rFonts w:hint="eastAsia" w:ascii="宋体" w:hAnsi="宋体" w:eastAsia="宋体"/>
                <w:color w:val="auto"/>
                <w:szCs w:val="21"/>
                <w:highlight w:val="none"/>
              </w:rPr>
              <w:t>付款</w:t>
            </w:r>
            <w:r>
              <w:rPr>
                <w:rFonts w:hint="eastAsia" w:ascii="宋体" w:hAnsi="宋体" w:eastAsia="宋体"/>
                <w:color w:val="auto"/>
                <w:szCs w:val="21"/>
                <w:highlight w:val="none"/>
                <w:lang w:val="en-US" w:eastAsia="zh-CN"/>
              </w:rPr>
              <w:t>账</w:t>
            </w:r>
            <w:r>
              <w:rPr>
                <w:rFonts w:hint="eastAsia" w:ascii="宋体" w:hAnsi="宋体" w:eastAsia="宋体"/>
                <w:color w:val="auto"/>
                <w:szCs w:val="21"/>
                <w:highlight w:val="none"/>
              </w:rPr>
              <w:t>号：</w:t>
            </w:r>
          </w:p>
        </w:tc>
        <w:tc>
          <w:tcPr>
            <w:tcW w:w="5762" w:type="dxa"/>
            <w:noWrap w:val="0"/>
            <w:vAlign w:val="top"/>
          </w:tcPr>
          <w:p w14:paraId="4F057FB0">
            <w:pPr>
              <w:spacing w:line="0" w:lineRule="atLeast"/>
              <w:jc w:val="left"/>
              <w:rPr>
                <w:rFonts w:ascii="宋体" w:hAnsi="宋体" w:eastAsia="宋体"/>
                <w:color w:val="auto"/>
                <w:szCs w:val="21"/>
                <w:highlight w:val="none"/>
              </w:rPr>
            </w:pPr>
          </w:p>
        </w:tc>
      </w:tr>
      <w:tr w14:paraId="60502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 w:hRule="atLeast"/>
          <w:jc w:val="center"/>
        </w:trPr>
        <w:tc>
          <w:tcPr>
            <w:tcW w:w="2426" w:type="dxa"/>
            <w:noWrap w:val="0"/>
            <w:vAlign w:val="top"/>
          </w:tcPr>
          <w:p w14:paraId="3B462444">
            <w:pPr>
              <w:spacing w:line="0" w:lineRule="atLeast"/>
              <w:jc w:val="left"/>
              <w:rPr>
                <w:rFonts w:ascii="宋体" w:hAnsi="宋体" w:eastAsia="宋体"/>
                <w:color w:val="auto"/>
                <w:szCs w:val="21"/>
                <w:highlight w:val="none"/>
              </w:rPr>
            </w:pPr>
            <w:r>
              <w:rPr>
                <w:rFonts w:hint="eastAsia" w:ascii="宋体" w:hAnsi="宋体" w:eastAsia="宋体"/>
                <w:color w:val="auto"/>
                <w:szCs w:val="21"/>
                <w:highlight w:val="none"/>
              </w:rPr>
              <w:t>税    号：</w:t>
            </w:r>
          </w:p>
        </w:tc>
        <w:tc>
          <w:tcPr>
            <w:tcW w:w="5762" w:type="dxa"/>
            <w:noWrap w:val="0"/>
            <w:vAlign w:val="top"/>
          </w:tcPr>
          <w:p w14:paraId="4EF89FE6">
            <w:pPr>
              <w:spacing w:line="0" w:lineRule="atLeast"/>
              <w:jc w:val="left"/>
              <w:rPr>
                <w:rFonts w:ascii="宋体" w:hAnsi="宋体" w:eastAsia="宋体"/>
                <w:color w:val="auto"/>
                <w:szCs w:val="21"/>
                <w:highlight w:val="none"/>
              </w:rPr>
            </w:pPr>
          </w:p>
        </w:tc>
      </w:tr>
      <w:tr w14:paraId="7DDAE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 w:hRule="atLeast"/>
          <w:jc w:val="center"/>
        </w:trPr>
        <w:tc>
          <w:tcPr>
            <w:tcW w:w="2426" w:type="dxa"/>
            <w:noWrap w:val="0"/>
            <w:vAlign w:val="top"/>
          </w:tcPr>
          <w:p w14:paraId="73C166DB">
            <w:pPr>
              <w:spacing w:line="0" w:lineRule="atLeast"/>
              <w:jc w:val="left"/>
              <w:rPr>
                <w:rFonts w:ascii="宋体" w:hAnsi="宋体" w:eastAsia="宋体"/>
                <w:color w:val="auto"/>
                <w:szCs w:val="21"/>
                <w:highlight w:val="none"/>
              </w:rPr>
            </w:pPr>
            <w:r>
              <w:rPr>
                <w:rFonts w:hint="eastAsia" w:ascii="宋体" w:hAnsi="宋体" w:eastAsia="宋体"/>
                <w:color w:val="auto"/>
                <w:szCs w:val="21"/>
                <w:highlight w:val="none"/>
              </w:rPr>
              <w:t>联 系 人：</w:t>
            </w:r>
          </w:p>
        </w:tc>
        <w:tc>
          <w:tcPr>
            <w:tcW w:w="5762" w:type="dxa"/>
            <w:noWrap w:val="0"/>
            <w:vAlign w:val="top"/>
          </w:tcPr>
          <w:p w14:paraId="4A7E4181">
            <w:pPr>
              <w:spacing w:line="0" w:lineRule="atLeast"/>
              <w:jc w:val="left"/>
              <w:rPr>
                <w:rFonts w:ascii="宋体" w:hAnsi="宋体" w:eastAsia="宋体"/>
                <w:color w:val="auto"/>
                <w:szCs w:val="21"/>
                <w:highlight w:val="none"/>
              </w:rPr>
            </w:pPr>
          </w:p>
        </w:tc>
      </w:tr>
      <w:tr w14:paraId="568E0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 w:hRule="atLeast"/>
          <w:jc w:val="center"/>
        </w:trPr>
        <w:tc>
          <w:tcPr>
            <w:tcW w:w="2426" w:type="dxa"/>
            <w:noWrap w:val="0"/>
            <w:vAlign w:val="top"/>
          </w:tcPr>
          <w:p w14:paraId="3CB845C3">
            <w:pPr>
              <w:spacing w:line="0" w:lineRule="atLeast"/>
              <w:jc w:val="left"/>
              <w:rPr>
                <w:rFonts w:ascii="宋体" w:hAnsi="宋体" w:eastAsia="宋体"/>
                <w:color w:val="auto"/>
                <w:szCs w:val="21"/>
                <w:highlight w:val="none"/>
              </w:rPr>
            </w:pPr>
            <w:r>
              <w:rPr>
                <w:rFonts w:hint="eastAsia" w:ascii="宋体" w:hAnsi="宋体" w:eastAsia="宋体"/>
                <w:color w:val="auto"/>
                <w:szCs w:val="21"/>
                <w:highlight w:val="none"/>
              </w:rPr>
              <w:t>联系电话</w:t>
            </w:r>
            <w:r>
              <w:rPr>
                <w:rFonts w:ascii="宋体" w:hAnsi="宋体" w:eastAsia="宋体"/>
                <w:color w:val="auto"/>
                <w:szCs w:val="21"/>
                <w:highlight w:val="none"/>
              </w:rPr>
              <w:t>/传真电话：</w:t>
            </w:r>
          </w:p>
        </w:tc>
        <w:tc>
          <w:tcPr>
            <w:tcW w:w="5762" w:type="dxa"/>
            <w:noWrap w:val="0"/>
            <w:vAlign w:val="top"/>
          </w:tcPr>
          <w:p w14:paraId="3D95F311">
            <w:pPr>
              <w:spacing w:line="0" w:lineRule="atLeast"/>
              <w:jc w:val="left"/>
              <w:rPr>
                <w:rFonts w:ascii="宋体" w:hAnsi="宋体" w:eastAsia="宋体"/>
                <w:color w:val="auto"/>
                <w:szCs w:val="21"/>
                <w:highlight w:val="none"/>
              </w:rPr>
            </w:pPr>
          </w:p>
        </w:tc>
      </w:tr>
      <w:tr w14:paraId="6E14C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 w:hRule="atLeast"/>
          <w:jc w:val="center"/>
        </w:trPr>
        <w:tc>
          <w:tcPr>
            <w:tcW w:w="2426" w:type="dxa"/>
            <w:noWrap w:val="0"/>
            <w:vAlign w:val="top"/>
          </w:tcPr>
          <w:p w14:paraId="2716283D">
            <w:pPr>
              <w:spacing w:line="0" w:lineRule="atLeast"/>
              <w:jc w:val="left"/>
              <w:rPr>
                <w:rFonts w:ascii="宋体" w:hAnsi="宋体" w:eastAsia="宋体"/>
                <w:color w:val="auto"/>
                <w:szCs w:val="21"/>
                <w:highlight w:val="none"/>
              </w:rPr>
            </w:pPr>
            <w:r>
              <w:rPr>
                <w:rFonts w:hint="eastAsia" w:ascii="宋体" w:hAnsi="宋体" w:eastAsia="宋体"/>
                <w:color w:val="auto"/>
                <w:szCs w:val="21"/>
                <w:highlight w:val="none"/>
              </w:rPr>
              <w:t>通信地址：</w:t>
            </w:r>
          </w:p>
        </w:tc>
        <w:tc>
          <w:tcPr>
            <w:tcW w:w="5762" w:type="dxa"/>
            <w:noWrap w:val="0"/>
            <w:vAlign w:val="top"/>
          </w:tcPr>
          <w:p w14:paraId="0476C5B0">
            <w:pPr>
              <w:spacing w:line="0" w:lineRule="atLeast"/>
              <w:jc w:val="left"/>
              <w:rPr>
                <w:rFonts w:ascii="宋体" w:hAnsi="宋体" w:eastAsia="宋体"/>
                <w:color w:val="auto"/>
                <w:szCs w:val="21"/>
                <w:highlight w:val="none"/>
              </w:rPr>
            </w:pPr>
          </w:p>
        </w:tc>
      </w:tr>
      <w:tr w14:paraId="577E8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2426" w:type="dxa"/>
            <w:noWrap w:val="0"/>
            <w:vAlign w:val="top"/>
          </w:tcPr>
          <w:p w14:paraId="2EF05429">
            <w:pPr>
              <w:spacing w:line="0" w:lineRule="atLeast"/>
              <w:jc w:val="left"/>
              <w:rPr>
                <w:rFonts w:ascii="宋体" w:hAnsi="宋体" w:eastAsia="宋体"/>
                <w:color w:val="auto"/>
                <w:szCs w:val="21"/>
                <w:highlight w:val="none"/>
              </w:rPr>
            </w:pPr>
            <w:r>
              <w:rPr>
                <w:rFonts w:hint="eastAsia" w:ascii="宋体" w:hAnsi="宋体" w:eastAsia="宋体"/>
                <w:color w:val="auto"/>
                <w:szCs w:val="21"/>
                <w:highlight w:val="none"/>
              </w:rPr>
              <w:t>邮政编码</w:t>
            </w:r>
            <w:r>
              <w:rPr>
                <w:rFonts w:ascii="宋体" w:hAnsi="宋体" w:eastAsia="宋体"/>
                <w:color w:val="auto"/>
                <w:szCs w:val="21"/>
                <w:highlight w:val="none"/>
              </w:rPr>
              <w:t>:</w:t>
            </w:r>
          </w:p>
        </w:tc>
        <w:tc>
          <w:tcPr>
            <w:tcW w:w="5762" w:type="dxa"/>
            <w:noWrap w:val="0"/>
            <w:vAlign w:val="top"/>
          </w:tcPr>
          <w:p w14:paraId="6AE338B9">
            <w:pPr>
              <w:spacing w:line="0" w:lineRule="atLeast"/>
              <w:jc w:val="left"/>
              <w:rPr>
                <w:rFonts w:ascii="宋体" w:hAnsi="宋体" w:eastAsia="宋体"/>
                <w:color w:val="auto"/>
                <w:szCs w:val="21"/>
                <w:highlight w:val="none"/>
              </w:rPr>
            </w:pPr>
          </w:p>
        </w:tc>
      </w:tr>
      <w:permEnd w:id="18"/>
    </w:tbl>
    <w:p w14:paraId="08D81FF2">
      <w:pPr>
        <w:rPr>
          <w:rFonts w:ascii="宋体" w:hAnsi="宋体" w:eastAsia="宋体"/>
          <w:b/>
          <w:color w:val="auto"/>
          <w:sz w:val="18"/>
          <w:highlight w:val="none"/>
        </w:rPr>
      </w:pPr>
      <w:bookmarkStart w:id="9" w:name="_Toc338347333"/>
      <w:bookmarkStart w:id="10" w:name="_Toc338347406"/>
      <w:bookmarkStart w:id="11" w:name="_Toc341185208"/>
      <w:bookmarkStart w:id="12" w:name="_Toc7776"/>
      <w:bookmarkStart w:id="13" w:name="_Toc341171265"/>
      <w:bookmarkStart w:id="14" w:name="_Toc9582"/>
      <w:bookmarkStart w:id="15" w:name="_Toc339285276"/>
      <w:r>
        <w:rPr>
          <w:rFonts w:hint="eastAsia" w:ascii="宋体" w:hAnsi="宋体" w:eastAsia="宋体"/>
          <w:color w:val="auto"/>
          <w:sz w:val="18"/>
          <w:highlight w:val="none"/>
        </w:rPr>
        <w:t>说明：</w:t>
      </w:r>
      <w:bookmarkEnd w:id="9"/>
      <w:bookmarkEnd w:id="10"/>
      <w:bookmarkEnd w:id="11"/>
      <w:bookmarkEnd w:id="12"/>
      <w:bookmarkEnd w:id="13"/>
      <w:bookmarkEnd w:id="14"/>
      <w:bookmarkEnd w:id="15"/>
      <w:r>
        <w:rPr>
          <w:rFonts w:hint="eastAsia" w:ascii="宋体" w:hAnsi="宋体" w:eastAsia="宋体"/>
          <w:color w:val="auto"/>
          <w:sz w:val="18"/>
          <w:szCs w:val="21"/>
          <w:highlight w:val="none"/>
        </w:rPr>
        <w:t>当本合同涉及多个项目需要</w:t>
      </w:r>
      <w:r>
        <w:rPr>
          <w:rFonts w:ascii="宋体" w:hAnsi="宋体" w:eastAsia="宋体"/>
          <w:color w:val="auto"/>
          <w:sz w:val="18"/>
          <w:szCs w:val="21"/>
          <w:highlight w:val="none"/>
        </w:rPr>
        <w:t>2个以上的结算单位分别进行付款时，应将所有结算单位信息分别列明。</w:t>
      </w:r>
    </w:p>
    <w:p w14:paraId="336D4B4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2）收货单位：为本合同之设备接收人，行使和履行本合同有关设备接收的权利和义务。</w:t>
      </w:r>
    </w:p>
    <w:p w14:paraId="51D2AADE">
      <w:pPr>
        <w:topLinePunct/>
        <w:adjustRightInd w:val="0"/>
        <w:snapToGrid w:val="0"/>
        <w:spacing w:line="360" w:lineRule="auto"/>
        <w:ind w:firstLine="420" w:firstLineChars="200"/>
        <w:jc w:val="left"/>
        <w:rPr>
          <w:rFonts w:hint="eastAsia" w:ascii="宋体" w:hAnsi="宋体" w:eastAsia="宋体" w:cs="Times New Roman"/>
          <w:color w:val="auto"/>
          <w:kern w:val="0"/>
          <w:szCs w:val="21"/>
          <w:highlight w:val="none"/>
          <w:lang w:val="en-US" w:eastAsia="zh-CN"/>
        </w:rPr>
      </w:pPr>
      <w:r>
        <w:rPr>
          <w:rFonts w:ascii="宋体" w:hAnsi="宋体" w:eastAsia="宋体" w:cs="Times New Roman"/>
          <w:color w:val="auto"/>
          <w:kern w:val="0"/>
          <w:szCs w:val="21"/>
          <w:highlight w:val="none"/>
        </w:rPr>
        <w:t>9.</w:t>
      </w:r>
      <w:r>
        <w:rPr>
          <w:rFonts w:hint="eastAsia" w:ascii="宋体" w:hAnsi="宋体" w:eastAsia="宋体" w:cs="Times New Roman"/>
          <w:color w:val="auto"/>
          <w:kern w:val="0"/>
          <w:szCs w:val="21"/>
          <w:highlight w:val="none"/>
          <w:lang w:val="en-US" w:eastAsia="zh-CN"/>
        </w:rPr>
        <w:t xml:space="preserve"> 本合同项下货物适用专用合同条款专用部分</w:t>
      </w:r>
      <w:permStart w:id="19" w:edGrp="everyone"/>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ermEnd w:id="19"/>
      <w:r>
        <w:rPr>
          <w:rFonts w:hint="eastAsia" w:ascii="宋体" w:hAnsi="宋体" w:eastAsia="宋体" w:cs="Times New Roman"/>
          <w:color w:val="auto"/>
          <w:kern w:val="0"/>
          <w:szCs w:val="21"/>
          <w:highlight w:val="none"/>
          <w:lang w:val="en-US" w:eastAsia="zh-CN"/>
        </w:rPr>
        <w:t>，其余专用部分不适用。</w:t>
      </w:r>
    </w:p>
    <w:p w14:paraId="34CD168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Times New Roman"/>
          <w:color w:val="auto"/>
          <w:kern w:val="0"/>
          <w:szCs w:val="21"/>
          <w:highlight w:val="none"/>
          <w:lang w:val="en-US" w:eastAsia="zh-CN"/>
        </w:rPr>
        <w:t>10.</w:t>
      </w:r>
      <w:r>
        <w:rPr>
          <w:rFonts w:hint="eastAsia" w:ascii="宋体" w:hAnsi="宋体" w:eastAsia="宋体" w:cs="宋体"/>
          <w:color w:val="auto"/>
          <w:kern w:val="0"/>
          <w:szCs w:val="21"/>
          <w:highlight w:val="none"/>
        </w:rPr>
        <w:t>合同未尽事宜，双方另行签订补充协议，补充协议是合同的组成部分。</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2"/>
        <w:gridCol w:w="4448"/>
      </w:tblGrid>
      <w:tr w14:paraId="3E56F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562" w:type="dxa"/>
            <w:noWrap w:val="0"/>
            <w:vAlign w:val="center"/>
          </w:tcPr>
          <w:p w14:paraId="4541CB13">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买方</w:t>
            </w:r>
            <w:r>
              <w:rPr>
                <w:rFonts w:ascii="宋体" w:hAnsi="宋体" w:eastAsia="宋体"/>
                <w:color w:val="auto"/>
                <w:szCs w:val="21"/>
                <w:highlight w:val="none"/>
              </w:rPr>
              <w:t>:</w:t>
            </w:r>
            <w:r>
              <w:rPr>
                <w:rFonts w:hint="eastAsia" w:ascii="宋体" w:hAnsi="宋体" w:eastAsia="宋体"/>
                <w:color w:val="auto"/>
                <w:szCs w:val="21"/>
                <w:highlight w:val="none"/>
                <w:lang w:val="en-US" w:eastAsia="zh-CN"/>
              </w:rPr>
              <w:t xml:space="preserve"> </w:t>
            </w:r>
            <w:sdt>
              <w:sdtPr>
                <w:rPr>
                  <w:rFonts w:hint="eastAsia" w:ascii="宋体" w:hAnsi="宋体" w:eastAsia="宋体" w:cs="宋体"/>
                  <w:kern w:val="2"/>
                  <w:sz w:val="21"/>
                  <w:szCs w:val="21"/>
                  <w:u w:val="none"/>
                  <w:lang w:val="en-US" w:eastAsia="zh-CN" w:bidi="ar-SA"/>
                </w:rPr>
                <w:alias w:val="甲方当事人全称"/>
                <w:tag w:val="甲方当事人全称"/>
                <w:id w:val="147460278"/>
                <w:placeholder>
                  <w:docPart w:val="{2381ee16-58d5-489e-a435-2afa1ee3a790}"/>
                </w:placeholder>
                <w:text/>
              </w:sdtPr>
              <w:sdtEndPr>
                <w:rPr>
                  <w:rFonts w:hint="eastAsia" w:ascii="宋体" w:hAnsi="宋体" w:eastAsia="宋体" w:cs="宋体"/>
                  <w:kern w:val="2"/>
                  <w:sz w:val="21"/>
                  <w:szCs w:val="21"/>
                  <w:u w:val="none"/>
                  <w:lang w:val="en-US" w:eastAsia="zh-CN" w:bidi="ar-SA"/>
                </w:rPr>
              </w:sdtEndPr>
              <w:sdtContent>
                <w:permStart w:id="20" w:edGrp="everyone"/>
                <w:r>
                  <w:rPr>
                    <w:rFonts w:hint="eastAsia" w:ascii="宋体" w:hAnsi="宋体" w:eastAsia="宋体" w:cs="宋体"/>
                    <w:sz w:val="21"/>
                    <w:szCs w:val="21"/>
                    <w:u w:val="none"/>
                    <w:lang w:val="en-US" w:eastAsia="zh-CN"/>
                  </w:rPr>
                  <w:t xml:space="preserve">                       </w:t>
                </w:r>
                <w:permEnd w:id="20"/>
              </w:sdtContent>
            </w:sdt>
            <w:r>
              <w:rPr>
                <w:rFonts w:hint="eastAsia" w:ascii="宋体" w:hAnsi="宋体" w:eastAsia="宋体"/>
                <w:color w:val="auto"/>
                <w:szCs w:val="21"/>
                <w:highlight w:val="none"/>
                <w:lang w:val="en-US" w:eastAsia="zh-CN"/>
              </w:rPr>
              <w:t xml:space="preserve">  </w:t>
            </w:r>
          </w:p>
        </w:tc>
        <w:tc>
          <w:tcPr>
            <w:tcW w:w="4448" w:type="dxa"/>
            <w:noWrap w:val="0"/>
            <w:vAlign w:val="center"/>
          </w:tcPr>
          <w:p w14:paraId="6233CFF4">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卖方</w:t>
            </w:r>
            <w:r>
              <w:rPr>
                <w:rFonts w:ascii="宋体" w:hAnsi="宋体" w:eastAsia="宋体"/>
                <w:color w:val="auto"/>
                <w:szCs w:val="21"/>
                <w:highlight w:val="none"/>
              </w:rPr>
              <w:t>:</w:t>
            </w:r>
            <w:r>
              <w:rPr>
                <w:rFonts w:hint="eastAsia" w:ascii="宋体" w:hAnsi="宋体" w:eastAsia="宋体"/>
                <w:color w:val="auto"/>
                <w:szCs w:val="21"/>
                <w:highlight w:val="none"/>
                <w:lang w:val="en-US" w:eastAsia="zh-CN"/>
              </w:rPr>
              <w:t xml:space="preserve"> </w:t>
            </w:r>
            <w:sdt>
              <w:sdtPr>
                <w:rPr>
                  <w:rFonts w:hint="eastAsia" w:ascii="宋体" w:hAnsi="宋体" w:eastAsia="宋体" w:cs="宋体"/>
                  <w:kern w:val="2"/>
                  <w:sz w:val="21"/>
                  <w:szCs w:val="21"/>
                  <w:u w:val="none"/>
                  <w:lang w:val="en-US" w:eastAsia="zh-CN" w:bidi="ar-SA"/>
                </w:rPr>
                <w:alias w:val="乙方当事人全称"/>
                <w:tag w:val="乙方当事人全称"/>
                <w:id w:val="147482378"/>
                <w:placeholder>
                  <w:docPart w:val="{d82ecf12-af08-4225-84d0-cd174b7a046c}"/>
                </w:placeholder>
                <w:text/>
              </w:sdtPr>
              <w:sdtEndPr>
                <w:rPr>
                  <w:rFonts w:hint="eastAsia" w:ascii="宋体" w:hAnsi="宋体" w:eastAsia="宋体" w:cs="宋体"/>
                  <w:kern w:val="2"/>
                  <w:sz w:val="21"/>
                  <w:szCs w:val="21"/>
                  <w:u w:val="none"/>
                  <w:lang w:val="en-US" w:eastAsia="zh-CN" w:bidi="ar-SA"/>
                </w:rPr>
              </w:sdtEndPr>
              <w:sdtContent>
                <w:permStart w:id="21" w:edGrp="everyone"/>
                <w:r>
                  <w:rPr>
                    <w:rFonts w:hint="eastAsia" w:ascii="宋体" w:hAnsi="宋体" w:eastAsia="宋体" w:cs="宋体"/>
                    <w:sz w:val="21"/>
                    <w:szCs w:val="21"/>
                    <w:u w:val="none"/>
                    <w:lang w:val="en-US" w:eastAsia="zh-CN"/>
                  </w:rPr>
                  <w:t xml:space="preserve">                             </w:t>
                </w:r>
                <w:permEnd w:id="21"/>
              </w:sdtContent>
            </w:sdt>
          </w:p>
        </w:tc>
      </w:tr>
      <w:tr w14:paraId="47F66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4562" w:type="dxa"/>
            <w:noWrap w:val="0"/>
            <w:vAlign w:val="top"/>
          </w:tcPr>
          <w:p w14:paraId="7614B6A3">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法定代表人（单位负责人）或其委托代理人</w:t>
            </w:r>
            <w:r>
              <w:rPr>
                <w:rFonts w:ascii="宋体" w:hAnsi="宋体" w:eastAsia="宋体"/>
                <w:color w:val="auto"/>
                <w:szCs w:val="21"/>
                <w:highlight w:val="none"/>
              </w:rPr>
              <w:t>（</w:t>
            </w:r>
            <w:r>
              <w:rPr>
                <w:rFonts w:hint="eastAsia" w:ascii="宋体" w:hAnsi="宋体" w:eastAsia="宋体"/>
                <w:color w:val="auto"/>
                <w:szCs w:val="21"/>
                <w:highlight w:val="none"/>
                <w:lang w:eastAsia="zh-CN"/>
              </w:rPr>
              <w:t>签名</w:t>
            </w:r>
            <w:r>
              <w:rPr>
                <w:rFonts w:ascii="宋体" w:hAnsi="宋体" w:eastAsia="宋体"/>
                <w:color w:val="auto"/>
                <w:szCs w:val="21"/>
                <w:highlight w:val="none"/>
              </w:rPr>
              <w:t>）</w:t>
            </w:r>
            <w:r>
              <w:rPr>
                <w:rFonts w:hint="eastAsia" w:ascii="宋体" w:hAnsi="宋体" w:eastAsia="宋体"/>
                <w:color w:val="auto"/>
                <w:szCs w:val="21"/>
                <w:highlight w:val="none"/>
              </w:rPr>
              <w:t>：</w:t>
            </w:r>
            <w:r>
              <w:rPr>
                <w:rFonts w:ascii="宋体" w:hAnsi="宋体" w:eastAsia="宋体"/>
                <w:color w:val="auto"/>
                <w:szCs w:val="21"/>
                <w:highlight w:val="none"/>
              </w:rPr>
              <w:t xml:space="preserve">                   </w:t>
            </w:r>
          </w:p>
        </w:tc>
        <w:tc>
          <w:tcPr>
            <w:tcW w:w="4448" w:type="dxa"/>
            <w:noWrap w:val="0"/>
            <w:vAlign w:val="top"/>
          </w:tcPr>
          <w:p w14:paraId="72B752B4">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法定代表人（单位负责人）或其委托代理人</w:t>
            </w:r>
            <w:r>
              <w:rPr>
                <w:rFonts w:ascii="宋体" w:hAnsi="宋体" w:eastAsia="宋体"/>
                <w:color w:val="auto"/>
                <w:szCs w:val="21"/>
                <w:highlight w:val="none"/>
              </w:rPr>
              <w:t>（</w:t>
            </w:r>
            <w:r>
              <w:rPr>
                <w:rFonts w:hint="eastAsia" w:ascii="宋体" w:hAnsi="宋体" w:eastAsia="宋体"/>
                <w:color w:val="auto"/>
                <w:szCs w:val="21"/>
                <w:highlight w:val="none"/>
                <w:lang w:eastAsia="zh-CN"/>
              </w:rPr>
              <w:t>签名</w:t>
            </w:r>
            <w:r>
              <w:rPr>
                <w:rFonts w:ascii="宋体" w:hAnsi="宋体" w:eastAsia="宋体"/>
                <w:color w:val="auto"/>
                <w:szCs w:val="21"/>
                <w:highlight w:val="none"/>
              </w:rPr>
              <w:t>）</w:t>
            </w:r>
            <w:r>
              <w:rPr>
                <w:rFonts w:hint="eastAsia" w:ascii="宋体" w:hAnsi="宋体" w:eastAsia="宋体"/>
                <w:color w:val="auto"/>
                <w:szCs w:val="21"/>
                <w:highlight w:val="none"/>
              </w:rPr>
              <w:t>：</w:t>
            </w:r>
            <w:r>
              <w:rPr>
                <w:rFonts w:ascii="宋体" w:hAnsi="宋体" w:eastAsia="宋体"/>
                <w:color w:val="auto"/>
                <w:szCs w:val="21"/>
                <w:highlight w:val="none"/>
              </w:rPr>
              <w:t xml:space="preserve">            </w:t>
            </w:r>
          </w:p>
        </w:tc>
      </w:tr>
      <w:tr w14:paraId="6FD7C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4562" w:type="dxa"/>
            <w:noWrap w:val="0"/>
            <w:vAlign w:val="center"/>
          </w:tcPr>
          <w:p w14:paraId="73E21205">
            <w:pPr>
              <w:tabs>
                <w:tab w:val="left" w:pos="3225"/>
              </w:tabs>
              <w:spacing w:line="360" w:lineRule="auto"/>
              <w:rPr>
                <w:rFonts w:ascii="宋体" w:hAnsi="宋体" w:eastAsia="宋体"/>
                <w:color w:val="auto"/>
                <w:szCs w:val="21"/>
                <w:highlight w:val="none"/>
              </w:rPr>
            </w:pPr>
            <w:r>
              <w:rPr>
                <w:rFonts w:hint="eastAsia" w:ascii="宋体" w:hAnsi="宋体" w:eastAsia="宋体"/>
                <w:color w:val="auto"/>
                <w:szCs w:val="21"/>
                <w:highlight w:val="none"/>
                <w:lang w:eastAsia="zh-CN"/>
              </w:rPr>
              <w:t>签名</w:t>
            </w:r>
            <w:r>
              <w:rPr>
                <w:rFonts w:hint="eastAsia" w:ascii="宋体" w:hAnsi="宋体" w:eastAsia="宋体"/>
                <w:color w:val="auto"/>
                <w:szCs w:val="21"/>
                <w:highlight w:val="none"/>
              </w:rPr>
              <w:t>日期：</w:t>
            </w:r>
          </w:p>
        </w:tc>
        <w:tc>
          <w:tcPr>
            <w:tcW w:w="4448" w:type="dxa"/>
            <w:noWrap w:val="0"/>
            <w:vAlign w:val="center"/>
          </w:tcPr>
          <w:p w14:paraId="50F94362">
            <w:pPr>
              <w:tabs>
                <w:tab w:val="left" w:pos="3225"/>
              </w:tabs>
              <w:spacing w:line="360" w:lineRule="auto"/>
              <w:rPr>
                <w:rFonts w:ascii="宋体" w:hAnsi="宋体" w:eastAsia="宋体"/>
                <w:color w:val="auto"/>
                <w:szCs w:val="21"/>
                <w:highlight w:val="none"/>
              </w:rPr>
            </w:pPr>
            <w:r>
              <w:rPr>
                <w:rFonts w:hint="eastAsia" w:ascii="宋体" w:hAnsi="宋体" w:eastAsia="宋体"/>
                <w:color w:val="auto"/>
                <w:szCs w:val="21"/>
                <w:highlight w:val="none"/>
                <w:lang w:eastAsia="zh-CN"/>
              </w:rPr>
              <w:t>签名</w:t>
            </w:r>
            <w:r>
              <w:rPr>
                <w:rFonts w:hint="eastAsia" w:ascii="宋体" w:hAnsi="宋体" w:eastAsia="宋体"/>
                <w:color w:val="auto"/>
                <w:szCs w:val="21"/>
                <w:highlight w:val="none"/>
              </w:rPr>
              <w:t>日期：</w:t>
            </w:r>
          </w:p>
        </w:tc>
      </w:tr>
      <w:tr w14:paraId="726F6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jc w:val="center"/>
        </w:trPr>
        <w:tc>
          <w:tcPr>
            <w:tcW w:w="4562" w:type="dxa"/>
            <w:noWrap w:val="0"/>
            <w:vAlign w:val="center"/>
          </w:tcPr>
          <w:p w14:paraId="04CE2E35">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注册地址：</w:t>
            </w:r>
            <w:sdt>
              <w:sdtPr>
                <w:rPr>
                  <w:rFonts w:hint="eastAsia" w:ascii="宋体" w:hAnsi="宋体" w:eastAsia="宋体" w:cs="宋体"/>
                  <w:kern w:val="2"/>
                  <w:sz w:val="21"/>
                  <w:szCs w:val="21"/>
                  <w:u w:val="none"/>
                  <w:lang w:val="en-US" w:eastAsia="zh-CN" w:bidi="ar-SA"/>
                </w:rPr>
                <w:alias w:val="甲方注册地址"/>
                <w:tag w:val="甲方注册地址"/>
                <w:id w:val="147474805"/>
                <w:placeholder>
                  <w:docPart w:val="{956aec59-ceb4-4604-9919-f787d4464ee9}"/>
                </w:placeholder>
                <w:text/>
              </w:sdtPr>
              <w:sdtEndPr>
                <w:rPr>
                  <w:rFonts w:hint="eastAsia" w:ascii="宋体" w:hAnsi="宋体" w:eastAsia="宋体" w:cs="宋体"/>
                  <w:kern w:val="2"/>
                  <w:sz w:val="21"/>
                  <w:szCs w:val="21"/>
                  <w:u w:val="none"/>
                  <w:lang w:val="en-US" w:eastAsia="zh-CN" w:bidi="ar-SA"/>
                </w:rPr>
              </w:sdtEndPr>
              <w:sdtContent>
                <w:permStart w:id="22" w:edGrp="everyone"/>
                <w:r>
                  <w:rPr>
                    <w:rFonts w:hint="eastAsia" w:ascii="宋体" w:hAnsi="宋体" w:eastAsia="宋体" w:cs="宋体"/>
                    <w:sz w:val="21"/>
                    <w:szCs w:val="21"/>
                    <w:u w:val="none"/>
                    <w:lang w:val="en-US" w:eastAsia="zh-CN"/>
                  </w:rPr>
                  <w:t xml:space="preserve">                     </w:t>
                </w:r>
                <w:permEnd w:id="22"/>
              </w:sdtContent>
            </w:sdt>
          </w:p>
        </w:tc>
        <w:tc>
          <w:tcPr>
            <w:tcW w:w="4448" w:type="dxa"/>
            <w:noWrap w:val="0"/>
            <w:vAlign w:val="center"/>
          </w:tcPr>
          <w:p w14:paraId="06BAA428">
            <w:pPr>
              <w:tabs>
                <w:tab w:val="left" w:pos="3225"/>
              </w:tabs>
              <w:spacing w:line="360" w:lineRule="auto"/>
              <w:rPr>
                <w:rFonts w:ascii="宋体" w:hAnsi="宋体" w:eastAsia="宋体"/>
                <w:color w:val="auto"/>
                <w:szCs w:val="21"/>
                <w:highlight w:val="none"/>
              </w:rPr>
            </w:pPr>
            <w:r>
              <w:rPr>
                <w:rFonts w:hint="eastAsia" w:ascii="宋体" w:hAnsi="宋体" w:eastAsia="宋体"/>
                <w:color w:val="auto"/>
                <w:szCs w:val="21"/>
                <w:highlight w:val="none"/>
              </w:rPr>
              <w:t>注册地址</w:t>
            </w:r>
            <w:r>
              <w:rPr>
                <w:rFonts w:ascii="宋体" w:hAnsi="宋体" w:eastAsia="宋体"/>
                <w:color w:val="auto"/>
                <w:szCs w:val="21"/>
                <w:highlight w:val="none"/>
              </w:rPr>
              <w:t xml:space="preserve">: </w:t>
            </w:r>
            <w:sdt>
              <w:sdtPr>
                <w:rPr>
                  <w:rFonts w:hint="eastAsia" w:ascii="宋体" w:hAnsi="宋体" w:eastAsia="宋体" w:cs="宋体"/>
                  <w:kern w:val="2"/>
                  <w:sz w:val="21"/>
                  <w:szCs w:val="21"/>
                  <w:u w:val="none"/>
                  <w:lang w:val="en-US" w:eastAsia="zh-CN" w:bidi="ar-SA"/>
                </w:rPr>
                <w:alias w:val="乙方注册地址"/>
                <w:tag w:val="乙方注册地址"/>
                <w:id w:val="147472663"/>
                <w:placeholder>
                  <w:docPart w:val="{58b6ea58-a5d3-4dd2-b9bf-4c6afe6315b2}"/>
                </w:placeholder>
                <w:text/>
              </w:sdtPr>
              <w:sdtEndPr>
                <w:rPr>
                  <w:rFonts w:hint="eastAsia" w:ascii="宋体" w:hAnsi="宋体" w:eastAsia="宋体" w:cs="宋体"/>
                  <w:kern w:val="2"/>
                  <w:sz w:val="21"/>
                  <w:szCs w:val="21"/>
                  <w:u w:val="none"/>
                  <w:lang w:val="en-US" w:eastAsia="zh-CN" w:bidi="ar-SA"/>
                </w:rPr>
              </w:sdtEndPr>
              <w:sdtContent>
                <w:permStart w:id="23" w:edGrp="everyone"/>
                <w:r>
                  <w:rPr>
                    <w:rFonts w:hint="eastAsia" w:ascii="宋体" w:hAnsi="宋体" w:eastAsia="宋体" w:cs="宋体"/>
                    <w:sz w:val="21"/>
                    <w:szCs w:val="21"/>
                    <w:u w:val="none"/>
                    <w:lang w:val="en-US" w:eastAsia="zh-CN"/>
                  </w:rPr>
                  <w:t xml:space="preserve">                     </w:t>
                </w:r>
                <w:permEnd w:id="23"/>
              </w:sdtContent>
            </w:sdt>
          </w:p>
        </w:tc>
      </w:tr>
      <w:tr w14:paraId="2C2D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562" w:type="dxa"/>
            <w:noWrap w:val="0"/>
            <w:vAlign w:val="center"/>
          </w:tcPr>
          <w:p w14:paraId="47141F1B">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通信地址：</w:t>
            </w:r>
            <w:sdt>
              <w:sdtPr>
                <w:rPr>
                  <w:rFonts w:hint="eastAsia" w:ascii="宋体" w:hAnsi="宋体" w:eastAsia="宋体" w:cs="宋体"/>
                  <w:kern w:val="2"/>
                  <w:sz w:val="21"/>
                  <w:szCs w:val="21"/>
                  <w:u w:val="none"/>
                  <w:lang w:val="en-US" w:eastAsia="zh-CN" w:bidi="ar-SA"/>
                </w:rPr>
                <w:alias w:val="甲方办公通讯地址"/>
                <w:tag w:val="甲方办公通讯地址"/>
                <w:id w:val="147473545"/>
                <w:placeholder>
                  <w:docPart w:val="{8ec7612b-6d7a-48c2-9ecb-a19c3c0d6cf9}"/>
                </w:placeholder>
                <w:text/>
              </w:sdtPr>
              <w:sdtEndPr>
                <w:rPr>
                  <w:rFonts w:hint="eastAsia" w:ascii="宋体" w:hAnsi="宋体" w:eastAsia="宋体" w:cs="宋体"/>
                  <w:kern w:val="2"/>
                  <w:sz w:val="21"/>
                  <w:szCs w:val="21"/>
                  <w:u w:val="none"/>
                  <w:lang w:val="en-US" w:eastAsia="zh-CN" w:bidi="ar-SA"/>
                </w:rPr>
              </w:sdtEndPr>
              <w:sdtContent>
                <w:permStart w:id="24" w:edGrp="everyone"/>
                <w:r>
                  <w:rPr>
                    <w:rFonts w:hint="eastAsia" w:ascii="宋体" w:hAnsi="宋体" w:eastAsia="宋体" w:cs="宋体"/>
                    <w:sz w:val="21"/>
                    <w:szCs w:val="21"/>
                    <w:u w:val="none"/>
                    <w:lang w:val="en-US" w:eastAsia="zh-CN"/>
                  </w:rPr>
                  <w:t xml:space="preserve">                     </w:t>
                </w:r>
                <w:permEnd w:id="24"/>
              </w:sdtContent>
            </w:sdt>
          </w:p>
        </w:tc>
        <w:tc>
          <w:tcPr>
            <w:tcW w:w="4448" w:type="dxa"/>
            <w:noWrap w:val="0"/>
            <w:vAlign w:val="center"/>
          </w:tcPr>
          <w:p w14:paraId="294AA86D">
            <w:pPr>
              <w:tabs>
                <w:tab w:val="left" w:pos="3225"/>
              </w:tabs>
              <w:spacing w:line="360" w:lineRule="auto"/>
              <w:rPr>
                <w:rFonts w:ascii="宋体" w:hAnsi="宋体" w:eastAsia="宋体"/>
                <w:color w:val="auto"/>
                <w:szCs w:val="21"/>
                <w:highlight w:val="none"/>
              </w:rPr>
            </w:pPr>
            <w:r>
              <w:rPr>
                <w:rFonts w:hint="eastAsia" w:ascii="宋体" w:hAnsi="宋体" w:eastAsia="宋体"/>
                <w:color w:val="auto"/>
                <w:szCs w:val="21"/>
                <w:highlight w:val="none"/>
              </w:rPr>
              <w:t>通信地址：</w:t>
            </w:r>
            <w:sdt>
              <w:sdtPr>
                <w:rPr>
                  <w:rFonts w:hint="eastAsia" w:ascii="宋体" w:hAnsi="宋体" w:eastAsia="宋体" w:cs="宋体"/>
                  <w:kern w:val="2"/>
                  <w:sz w:val="21"/>
                  <w:szCs w:val="21"/>
                  <w:u w:val="none"/>
                  <w:lang w:val="en-US" w:eastAsia="zh-CN" w:bidi="ar-SA"/>
                </w:rPr>
                <w:alias w:val="乙方办公通讯地址"/>
                <w:tag w:val="乙方办公通讯地址"/>
                <w:id w:val="147471941"/>
                <w:placeholder>
                  <w:docPart w:val="{bd23d562-f298-45b9-9595-8dc6e7b4922c}"/>
                </w:placeholder>
                <w:text/>
              </w:sdtPr>
              <w:sdtEndPr>
                <w:rPr>
                  <w:rFonts w:hint="eastAsia" w:ascii="宋体" w:hAnsi="宋体" w:eastAsia="宋体" w:cs="宋体"/>
                  <w:kern w:val="2"/>
                  <w:sz w:val="21"/>
                  <w:szCs w:val="21"/>
                  <w:u w:val="none"/>
                  <w:lang w:val="en-US" w:eastAsia="zh-CN" w:bidi="ar-SA"/>
                </w:rPr>
              </w:sdtEndPr>
              <w:sdtContent>
                <w:permStart w:id="25" w:edGrp="everyone"/>
                <w:r>
                  <w:rPr>
                    <w:rFonts w:hint="eastAsia" w:ascii="宋体" w:hAnsi="宋体" w:eastAsia="宋体" w:cs="宋体"/>
                    <w:sz w:val="21"/>
                    <w:szCs w:val="21"/>
                    <w:u w:val="none"/>
                    <w:lang w:val="en-US" w:eastAsia="zh-CN"/>
                  </w:rPr>
                  <w:t xml:space="preserve">                     </w:t>
                </w:r>
                <w:permEnd w:id="25"/>
              </w:sdtContent>
            </w:sdt>
          </w:p>
        </w:tc>
      </w:tr>
      <w:tr w14:paraId="1FC4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4562" w:type="dxa"/>
            <w:noWrap w:val="0"/>
            <w:vAlign w:val="center"/>
          </w:tcPr>
          <w:p w14:paraId="4D46EE12">
            <w:pPr>
              <w:tabs>
                <w:tab w:val="left" w:pos="3225"/>
              </w:tabs>
              <w:spacing w:line="360" w:lineRule="auto"/>
              <w:rPr>
                <w:rFonts w:ascii="宋体" w:hAnsi="宋体" w:eastAsia="宋体"/>
                <w:color w:val="auto"/>
                <w:szCs w:val="21"/>
                <w:highlight w:val="none"/>
              </w:rPr>
            </w:pPr>
            <w:r>
              <w:rPr>
                <w:rFonts w:hint="eastAsia" w:ascii="宋体" w:hAnsi="宋体" w:eastAsia="宋体"/>
                <w:color w:val="auto"/>
                <w:szCs w:val="21"/>
                <w:highlight w:val="none"/>
              </w:rPr>
              <w:t>邮政编码</w:t>
            </w:r>
            <w:r>
              <w:rPr>
                <w:rFonts w:ascii="宋体" w:hAnsi="宋体" w:eastAsia="宋体"/>
                <w:color w:val="auto"/>
                <w:szCs w:val="21"/>
                <w:highlight w:val="none"/>
              </w:rPr>
              <w:t>:</w:t>
            </w:r>
            <w:r>
              <w:rPr>
                <w:rFonts w:hint="eastAsia" w:ascii="宋体" w:hAnsi="宋体" w:eastAsia="宋体"/>
                <w:color w:val="auto"/>
                <w:szCs w:val="21"/>
                <w:highlight w:val="none"/>
                <w:lang w:val="en-US" w:eastAsia="zh-CN"/>
              </w:rPr>
              <w:t xml:space="preserve"> </w:t>
            </w:r>
            <w:permStart w:id="26" w:edGrp="everyone"/>
            <w:r>
              <w:rPr>
                <w:rFonts w:hint="eastAsia" w:ascii="宋体" w:hAnsi="宋体" w:eastAsia="宋体"/>
                <w:color w:val="auto"/>
                <w:szCs w:val="21"/>
                <w:highlight w:val="none"/>
                <w:lang w:val="en-US" w:eastAsia="zh-CN"/>
              </w:rPr>
              <w:t xml:space="preserve">                     </w:t>
            </w:r>
            <w:permEnd w:id="26"/>
            <w:r>
              <w:rPr>
                <w:rFonts w:hint="eastAsia" w:ascii="宋体" w:hAnsi="宋体" w:eastAsia="宋体"/>
                <w:color w:val="auto"/>
                <w:szCs w:val="21"/>
                <w:highlight w:val="none"/>
                <w:lang w:val="en-US" w:eastAsia="zh-CN"/>
              </w:rPr>
              <w:t xml:space="preserve"> </w:t>
            </w:r>
          </w:p>
        </w:tc>
        <w:tc>
          <w:tcPr>
            <w:tcW w:w="4448" w:type="dxa"/>
            <w:noWrap w:val="0"/>
            <w:vAlign w:val="center"/>
          </w:tcPr>
          <w:p w14:paraId="52228163">
            <w:pPr>
              <w:tabs>
                <w:tab w:val="left" w:pos="3225"/>
              </w:tabs>
              <w:spacing w:line="360" w:lineRule="auto"/>
              <w:rPr>
                <w:rFonts w:ascii="宋体" w:hAnsi="宋体" w:eastAsia="宋体"/>
                <w:color w:val="auto"/>
                <w:szCs w:val="21"/>
                <w:highlight w:val="none"/>
              </w:rPr>
            </w:pPr>
            <w:r>
              <w:rPr>
                <w:rFonts w:hint="eastAsia" w:ascii="宋体" w:hAnsi="宋体" w:eastAsia="宋体"/>
                <w:color w:val="auto"/>
                <w:szCs w:val="21"/>
                <w:highlight w:val="none"/>
              </w:rPr>
              <w:t>邮政编码</w:t>
            </w:r>
            <w:r>
              <w:rPr>
                <w:rFonts w:ascii="宋体" w:hAnsi="宋体" w:eastAsia="宋体"/>
                <w:color w:val="auto"/>
                <w:szCs w:val="21"/>
                <w:highlight w:val="none"/>
              </w:rPr>
              <w:t>:</w:t>
            </w:r>
            <w:r>
              <w:rPr>
                <w:rFonts w:hint="eastAsia" w:ascii="宋体" w:hAnsi="宋体" w:eastAsia="宋体"/>
                <w:color w:val="auto"/>
                <w:szCs w:val="21"/>
                <w:highlight w:val="none"/>
                <w:lang w:val="en-US" w:eastAsia="zh-CN"/>
              </w:rPr>
              <w:t xml:space="preserve"> </w:t>
            </w:r>
            <w:permStart w:id="27" w:edGrp="everyone"/>
            <w:r>
              <w:rPr>
                <w:rFonts w:hint="eastAsia" w:ascii="宋体" w:hAnsi="宋体" w:eastAsia="宋体"/>
                <w:color w:val="auto"/>
                <w:szCs w:val="21"/>
                <w:highlight w:val="none"/>
                <w:lang w:val="en-US" w:eastAsia="zh-CN"/>
              </w:rPr>
              <w:t xml:space="preserve">                     </w:t>
            </w:r>
            <w:permEnd w:id="27"/>
          </w:p>
        </w:tc>
      </w:tr>
      <w:tr w14:paraId="4C1A3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 w:hRule="atLeast"/>
          <w:jc w:val="center"/>
        </w:trPr>
        <w:tc>
          <w:tcPr>
            <w:tcW w:w="4562" w:type="dxa"/>
            <w:noWrap w:val="0"/>
            <w:vAlign w:val="center"/>
          </w:tcPr>
          <w:p w14:paraId="20A4775F">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法定代表人</w:t>
            </w:r>
            <w:r>
              <w:rPr>
                <w:rFonts w:ascii="宋体" w:hAnsi="宋体" w:eastAsia="宋体"/>
                <w:color w:val="auto"/>
                <w:szCs w:val="21"/>
                <w:highlight w:val="none"/>
              </w:rPr>
              <w:t>:</w:t>
            </w:r>
            <w:sdt>
              <w:sdtPr>
                <w:rPr>
                  <w:rFonts w:hint="eastAsia" w:ascii="宋体" w:hAnsi="宋体" w:eastAsia="宋体" w:cs="宋体"/>
                  <w:kern w:val="2"/>
                  <w:sz w:val="21"/>
                  <w:szCs w:val="21"/>
                  <w:u w:val="none"/>
                  <w:lang w:val="en-US" w:eastAsia="zh-CN" w:bidi="ar-SA"/>
                </w:rPr>
                <w:alias w:val="甲方法定代表人或负责人"/>
                <w:tag w:val="甲方法定代表人或负责人"/>
                <w:id w:val="147474704"/>
                <w:placeholder>
                  <w:docPart w:val="{cb2547aa-b895-47a3-ab99-c711a7240480}"/>
                </w:placeholder>
                <w:text/>
              </w:sdtPr>
              <w:sdtEndPr>
                <w:rPr>
                  <w:rFonts w:hint="eastAsia" w:ascii="宋体" w:hAnsi="宋体" w:eastAsia="宋体" w:cs="宋体"/>
                  <w:kern w:val="2"/>
                  <w:sz w:val="21"/>
                  <w:szCs w:val="21"/>
                  <w:u w:val="none"/>
                  <w:lang w:val="en-US" w:eastAsia="zh-CN" w:bidi="ar-SA"/>
                </w:rPr>
              </w:sdtEndPr>
              <w:sdtContent>
                <w:permStart w:id="28" w:edGrp="everyone"/>
                <w:r>
                  <w:rPr>
                    <w:rFonts w:hint="eastAsia" w:ascii="宋体" w:hAnsi="宋体" w:eastAsia="宋体" w:cs="宋体"/>
                    <w:sz w:val="21"/>
                    <w:szCs w:val="21"/>
                    <w:u w:val="none"/>
                    <w:lang w:val="en-US" w:eastAsia="zh-CN"/>
                  </w:rPr>
                  <w:t xml:space="preserve">                    </w:t>
                </w:r>
                <w:permEnd w:id="28"/>
              </w:sdtContent>
            </w:sdt>
          </w:p>
        </w:tc>
        <w:tc>
          <w:tcPr>
            <w:tcW w:w="4448" w:type="dxa"/>
            <w:noWrap w:val="0"/>
            <w:vAlign w:val="center"/>
          </w:tcPr>
          <w:p w14:paraId="5F6A2BDB">
            <w:pPr>
              <w:tabs>
                <w:tab w:val="left" w:pos="3225"/>
              </w:tabs>
              <w:spacing w:line="360" w:lineRule="auto"/>
              <w:rPr>
                <w:rFonts w:ascii="宋体" w:hAnsi="宋体" w:eastAsia="宋体"/>
                <w:color w:val="auto"/>
                <w:szCs w:val="21"/>
                <w:highlight w:val="none"/>
              </w:rPr>
            </w:pPr>
            <w:r>
              <w:rPr>
                <w:rFonts w:hint="eastAsia" w:ascii="宋体" w:hAnsi="宋体" w:eastAsia="宋体"/>
                <w:color w:val="auto"/>
                <w:szCs w:val="21"/>
                <w:highlight w:val="none"/>
              </w:rPr>
              <w:t>法定代表人</w:t>
            </w:r>
            <w:r>
              <w:rPr>
                <w:rFonts w:ascii="宋体" w:hAnsi="宋体" w:eastAsia="宋体"/>
                <w:color w:val="auto"/>
                <w:szCs w:val="21"/>
                <w:highlight w:val="none"/>
              </w:rPr>
              <w:t>:</w:t>
            </w:r>
            <w:sdt>
              <w:sdtPr>
                <w:rPr>
                  <w:rFonts w:hint="eastAsia" w:ascii="宋体" w:hAnsi="宋体" w:eastAsia="宋体" w:cs="宋体"/>
                  <w:kern w:val="2"/>
                  <w:sz w:val="21"/>
                  <w:szCs w:val="21"/>
                  <w:u w:val="none"/>
                  <w:lang w:val="en-US" w:eastAsia="zh-CN" w:bidi="ar-SA"/>
                </w:rPr>
                <w:alias w:val="乙方法定代表人或负责人"/>
                <w:tag w:val="乙方法定代表人或负责人"/>
                <w:id w:val="147472581"/>
                <w:placeholder>
                  <w:docPart w:val="{6781b1fa-b194-43ad-846e-2a5642094e58}"/>
                </w:placeholder>
                <w:text/>
              </w:sdtPr>
              <w:sdtEndPr>
                <w:rPr>
                  <w:rFonts w:hint="eastAsia" w:ascii="宋体" w:hAnsi="宋体" w:eastAsia="宋体" w:cs="宋体"/>
                  <w:kern w:val="2"/>
                  <w:sz w:val="21"/>
                  <w:szCs w:val="21"/>
                  <w:u w:val="none"/>
                  <w:lang w:val="en-US" w:eastAsia="zh-CN" w:bidi="ar-SA"/>
                </w:rPr>
              </w:sdtEndPr>
              <w:sdtContent>
                <w:permStart w:id="29" w:edGrp="everyone"/>
                <w:r>
                  <w:rPr>
                    <w:rFonts w:hint="eastAsia" w:ascii="宋体" w:hAnsi="宋体" w:eastAsia="宋体" w:cs="宋体"/>
                    <w:sz w:val="21"/>
                    <w:szCs w:val="21"/>
                    <w:u w:val="none"/>
                    <w:lang w:val="en-US" w:eastAsia="zh-CN"/>
                  </w:rPr>
                  <w:t xml:space="preserve">                   </w:t>
                </w:r>
                <w:permEnd w:id="29"/>
              </w:sdtContent>
            </w:sdt>
          </w:p>
        </w:tc>
      </w:tr>
      <w:tr w14:paraId="0CD67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jc w:val="center"/>
        </w:trPr>
        <w:tc>
          <w:tcPr>
            <w:tcW w:w="4562" w:type="dxa"/>
            <w:noWrap w:val="0"/>
            <w:vAlign w:val="center"/>
          </w:tcPr>
          <w:p w14:paraId="36EE5858">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联 系 人：</w:t>
            </w:r>
            <w:sdt>
              <w:sdtPr>
                <w:rPr>
                  <w:rFonts w:hint="eastAsia" w:ascii="宋体" w:hAnsi="宋体" w:eastAsia="宋体" w:cs="宋体"/>
                  <w:kern w:val="2"/>
                  <w:sz w:val="21"/>
                  <w:szCs w:val="21"/>
                  <w:u w:val="none"/>
                  <w:lang w:val="en-US" w:eastAsia="zh-CN" w:bidi="ar-SA"/>
                </w:rPr>
                <w:alias w:val="甲方联系人姓名"/>
                <w:tag w:val="甲方联系人姓名"/>
                <w:id w:val="147473636"/>
                <w:placeholder>
                  <w:docPart w:val="{91fa0e2f-35ea-4a82-8b1a-56ca9616fdd4}"/>
                </w:placeholder>
                <w:text/>
              </w:sdtPr>
              <w:sdtEndPr>
                <w:rPr>
                  <w:rFonts w:hint="eastAsia" w:ascii="宋体" w:hAnsi="宋体" w:eastAsia="宋体" w:cs="宋体"/>
                  <w:kern w:val="2"/>
                  <w:sz w:val="21"/>
                  <w:szCs w:val="21"/>
                  <w:u w:val="none"/>
                  <w:lang w:val="en-US" w:eastAsia="zh-CN" w:bidi="ar-SA"/>
                </w:rPr>
              </w:sdtEndPr>
              <w:sdtContent>
                <w:permStart w:id="30" w:edGrp="everyone"/>
                <w:r>
                  <w:rPr>
                    <w:rFonts w:hint="eastAsia" w:ascii="宋体" w:hAnsi="宋体" w:eastAsia="宋体" w:cs="宋体"/>
                    <w:sz w:val="21"/>
                    <w:szCs w:val="21"/>
                    <w:u w:val="none"/>
                    <w:lang w:val="en-US" w:eastAsia="zh-CN"/>
                  </w:rPr>
                  <w:t xml:space="preserve">                     </w:t>
                </w:r>
                <w:permEnd w:id="30"/>
              </w:sdtContent>
            </w:sdt>
          </w:p>
        </w:tc>
        <w:tc>
          <w:tcPr>
            <w:tcW w:w="4448" w:type="dxa"/>
            <w:noWrap w:val="0"/>
            <w:vAlign w:val="center"/>
          </w:tcPr>
          <w:p w14:paraId="4068EE12">
            <w:pPr>
              <w:tabs>
                <w:tab w:val="left" w:pos="3225"/>
              </w:tabs>
              <w:spacing w:line="360" w:lineRule="auto"/>
              <w:rPr>
                <w:rFonts w:ascii="宋体" w:hAnsi="宋体" w:eastAsia="宋体"/>
                <w:color w:val="auto"/>
                <w:szCs w:val="21"/>
                <w:highlight w:val="none"/>
              </w:rPr>
            </w:pPr>
            <w:r>
              <w:rPr>
                <w:rFonts w:hint="eastAsia" w:ascii="宋体" w:hAnsi="宋体" w:eastAsia="宋体"/>
                <w:color w:val="auto"/>
                <w:szCs w:val="21"/>
                <w:highlight w:val="none"/>
              </w:rPr>
              <w:t>联 系 人：</w:t>
            </w:r>
            <w:sdt>
              <w:sdtPr>
                <w:rPr>
                  <w:rFonts w:hint="eastAsia" w:ascii="宋体" w:hAnsi="宋体" w:eastAsia="宋体" w:cs="宋体"/>
                  <w:kern w:val="2"/>
                  <w:sz w:val="21"/>
                  <w:szCs w:val="21"/>
                  <w:u w:val="none"/>
                  <w:lang w:val="en-US" w:eastAsia="zh-CN" w:bidi="ar-SA"/>
                </w:rPr>
                <w:alias w:val="乙方联系人姓名"/>
                <w:tag w:val="乙方联系人姓名"/>
                <w:id w:val="147472052"/>
                <w:placeholder>
                  <w:docPart w:val="{564715cf-513d-4e68-9a1e-7d45f56e03db}"/>
                </w:placeholder>
                <w:text/>
              </w:sdtPr>
              <w:sdtEndPr>
                <w:rPr>
                  <w:rFonts w:hint="eastAsia" w:ascii="宋体" w:hAnsi="宋体" w:eastAsia="宋体" w:cs="宋体"/>
                  <w:kern w:val="2"/>
                  <w:sz w:val="21"/>
                  <w:szCs w:val="21"/>
                  <w:u w:val="none"/>
                  <w:lang w:val="en-US" w:eastAsia="zh-CN" w:bidi="ar-SA"/>
                </w:rPr>
              </w:sdtEndPr>
              <w:sdtContent>
                <w:permStart w:id="31" w:edGrp="everyone"/>
                <w:r>
                  <w:rPr>
                    <w:rFonts w:hint="eastAsia" w:ascii="宋体" w:hAnsi="宋体" w:eastAsia="宋体" w:cs="宋体"/>
                    <w:sz w:val="21"/>
                    <w:szCs w:val="21"/>
                    <w:u w:val="none"/>
                    <w:lang w:val="en-US" w:eastAsia="zh-CN"/>
                  </w:rPr>
                  <w:t xml:space="preserve">                    </w:t>
                </w:r>
                <w:permEnd w:id="31"/>
              </w:sdtContent>
            </w:sdt>
          </w:p>
        </w:tc>
      </w:tr>
      <w:tr w14:paraId="43BBB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562" w:type="dxa"/>
            <w:noWrap w:val="0"/>
            <w:vAlign w:val="center"/>
          </w:tcPr>
          <w:p w14:paraId="4EC91DEB">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联系电话</w:t>
            </w:r>
            <w:r>
              <w:rPr>
                <w:rFonts w:ascii="宋体" w:hAnsi="宋体" w:eastAsia="宋体"/>
                <w:color w:val="auto"/>
                <w:szCs w:val="21"/>
                <w:highlight w:val="none"/>
              </w:rPr>
              <w:t>:</w:t>
            </w:r>
            <w:sdt>
              <w:sdtPr>
                <w:rPr>
                  <w:rFonts w:hint="eastAsia" w:ascii="宋体" w:hAnsi="宋体" w:eastAsia="宋体" w:cs="宋体"/>
                  <w:kern w:val="2"/>
                  <w:sz w:val="21"/>
                  <w:szCs w:val="21"/>
                  <w:u w:val="none"/>
                  <w:lang w:val="en-US" w:eastAsia="zh-CN" w:bidi="ar-SA"/>
                </w:rPr>
                <w:alias w:val="甲方联系人固定电话"/>
                <w:tag w:val="甲方联系人固定电话"/>
                <w:id w:val="147473290"/>
                <w:placeholder>
                  <w:docPart w:val="{976820c6-54f9-49e8-b139-83fe045647e6}"/>
                </w:placeholder>
                <w:text/>
              </w:sdtPr>
              <w:sdtEndPr>
                <w:rPr>
                  <w:rFonts w:hint="eastAsia" w:ascii="宋体" w:hAnsi="宋体" w:eastAsia="宋体" w:cs="宋体"/>
                  <w:kern w:val="2"/>
                  <w:sz w:val="21"/>
                  <w:szCs w:val="21"/>
                  <w:u w:val="none"/>
                  <w:lang w:val="en-US" w:eastAsia="zh-CN" w:bidi="ar-SA"/>
                </w:rPr>
              </w:sdtEndPr>
              <w:sdtContent>
                <w:permStart w:id="32" w:edGrp="everyone"/>
                <w:r>
                  <w:rPr>
                    <w:rFonts w:hint="eastAsia" w:ascii="宋体" w:hAnsi="宋体" w:eastAsia="宋体" w:cs="宋体"/>
                    <w:sz w:val="21"/>
                    <w:szCs w:val="21"/>
                    <w:u w:val="none"/>
                    <w:lang w:val="en-US" w:eastAsia="zh-CN"/>
                  </w:rPr>
                  <w:t xml:space="preserve">                      </w:t>
                </w:r>
                <w:permEnd w:id="32"/>
              </w:sdtContent>
            </w:sdt>
          </w:p>
          <w:p w14:paraId="6933A6AF">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手    机：</w:t>
            </w:r>
            <w:sdt>
              <w:sdtPr>
                <w:rPr>
                  <w:rFonts w:hint="eastAsia" w:ascii="宋体" w:hAnsi="宋体" w:eastAsia="宋体" w:cs="宋体"/>
                  <w:kern w:val="2"/>
                  <w:sz w:val="21"/>
                  <w:szCs w:val="21"/>
                  <w:u w:val="none"/>
                  <w:shd w:val="clear" w:color="auto" w:fill="auto"/>
                  <w:lang w:val="en-US" w:eastAsia="zh-CN" w:bidi="ar-SA"/>
                </w:rPr>
                <w:alias w:val="甲方联系人手机"/>
                <w:tag w:val="甲方联系人手机"/>
                <w:id w:val="147473434"/>
                <w:placeholder>
                  <w:docPart w:val="{f99bd1bb-872b-4cb7-ad0c-54f8fe71c446}"/>
                </w:placeholder>
                <w:text/>
              </w:sdtPr>
              <w:sdtEndPr>
                <w:rPr>
                  <w:rFonts w:hint="eastAsia" w:ascii="宋体" w:hAnsi="宋体" w:eastAsia="宋体" w:cs="宋体"/>
                  <w:kern w:val="2"/>
                  <w:sz w:val="21"/>
                  <w:szCs w:val="21"/>
                  <w:u w:val="none"/>
                  <w:shd w:val="clear" w:color="auto" w:fill="auto"/>
                  <w:lang w:val="en-US" w:eastAsia="zh-CN" w:bidi="ar-SA"/>
                </w:rPr>
              </w:sdtEndPr>
              <w:sdtContent>
                <w:permStart w:id="33" w:edGrp="everyone"/>
                <w:r>
                  <w:rPr>
                    <w:rFonts w:hint="eastAsia" w:ascii="宋体" w:hAnsi="宋体" w:eastAsia="宋体" w:cs="宋体"/>
                    <w:sz w:val="21"/>
                    <w:szCs w:val="21"/>
                    <w:u w:val="none"/>
                    <w:shd w:val="clear" w:color="auto" w:fill="auto"/>
                    <w:lang w:val="en-US" w:eastAsia="zh-CN"/>
                  </w:rPr>
                  <w:t xml:space="preserve">                     </w:t>
                </w:r>
                <w:permEnd w:id="33"/>
              </w:sdtContent>
            </w:sdt>
          </w:p>
        </w:tc>
        <w:tc>
          <w:tcPr>
            <w:tcW w:w="4448" w:type="dxa"/>
            <w:noWrap w:val="0"/>
            <w:vAlign w:val="center"/>
          </w:tcPr>
          <w:p w14:paraId="088CF1B3">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联系电话</w:t>
            </w:r>
            <w:r>
              <w:rPr>
                <w:rFonts w:ascii="宋体" w:hAnsi="宋体" w:eastAsia="宋体"/>
                <w:color w:val="auto"/>
                <w:szCs w:val="21"/>
                <w:highlight w:val="none"/>
              </w:rPr>
              <w:t>:</w:t>
            </w:r>
            <w:sdt>
              <w:sdtPr>
                <w:rPr>
                  <w:rFonts w:hint="eastAsia" w:ascii="宋体" w:hAnsi="宋体" w:eastAsia="宋体" w:cs="宋体"/>
                  <w:kern w:val="2"/>
                  <w:sz w:val="21"/>
                  <w:szCs w:val="21"/>
                  <w:u w:val="none"/>
                  <w:lang w:val="en-US" w:eastAsia="zh-CN" w:bidi="ar-SA"/>
                </w:rPr>
                <w:alias w:val="乙方联系人固定电话"/>
                <w:tag w:val="乙方联系人固定电话"/>
                <w:id w:val="147471722"/>
                <w:placeholder>
                  <w:docPart w:val="{e4ce8e52-fd69-498f-9457-848b9a743e2b}"/>
                </w:placeholder>
                <w:text/>
              </w:sdtPr>
              <w:sdtEndPr>
                <w:rPr>
                  <w:rFonts w:hint="eastAsia" w:ascii="宋体" w:hAnsi="宋体" w:eastAsia="宋体" w:cs="宋体"/>
                  <w:kern w:val="2"/>
                  <w:sz w:val="21"/>
                  <w:szCs w:val="21"/>
                  <w:u w:val="none"/>
                  <w:lang w:val="en-US" w:eastAsia="zh-CN" w:bidi="ar-SA"/>
                </w:rPr>
              </w:sdtEndPr>
              <w:sdtContent>
                <w:permStart w:id="34" w:edGrp="everyone"/>
                <w:r>
                  <w:rPr>
                    <w:rFonts w:hint="eastAsia" w:ascii="宋体" w:hAnsi="宋体" w:eastAsia="宋体" w:cs="宋体"/>
                    <w:sz w:val="21"/>
                    <w:szCs w:val="21"/>
                    <w:u w:val="none"/>
                    <w:lang w:val="en-US" w:eastAsia="zh-CN"/>
                  </w:rPr>
                  <w:t xml:space="preserve">                     </w:t>
                </w:r>
                <w:permEnd w:id="34"/>
              </w:sdtContent>
            </w:sdt>
          </w:p>
          <w:p w14:paraId="2B24E9C6">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手    机：</w:t>
            </w:r>
            <w:sdt>
              <w:sdtPr>
                <w:rPr>
                  <w:rFonts w:hint="eastAsia" w:ascii="宋体" w:hAnsi="宋体" w:eastAsia="宋体" w:cs="宋体"/>
                  <w:kern w:val="2"/>
                  <w:sz w:val="21"/>
                  <w:szCs w:val="21"/>
                  <w:u w:val="none"/>
                  <w:shd w:val="clear" w:color="auto" w:fill="auto"/>
                  <w:lang w:val="en-US" w:eastAsia="zh-CN" w:bidi="ar-SA"/>
                </w:rPr>
                <w:alias w:val="乙方联系人手机"/>
                <w:tag w:val="乙方联系人手机"/>
                <w:id w:val="147471784"/>
                <w:placeholder>
                  <w:docPart w:val="{b914d1f6-3824-46e1-80a6-6eb9eae81257}"/>
                </w:placeholder>
                <w:text/>
              </w:sdtPr>
              <w:sdtEndPr>
                <w:rPr>
                  <w:rFonts w:hint="eastAsia" w:ascii="宋体" w:hAnsi="宋体" w:eastAsia="宋体" w:cs="宋体"/>
                  <w:kern w:val="2"/>
                  <w:sz w:val="21"/>
                  <w:szCs w:val="21"/>
                  <w:u w:val="none"/>
                  <w:shd w:val="clear" w:color="auto" w:fill="auto"/>
                  <w:lang w:val="en-US" w:eastAsia="zh-CN" w:bidi="ar-SA"/>
                </w:rPr>
              </w:sdtEndPr>
              <w:sdtContent>
                <w:permStart w:id="35" w:edGrp="everyone"/>
                <w:r>
                  <w:rPr>
                    <w:rFonts w:hint="eastAsia" w:ascii="宋体" w:hAnsi="宋体" w:eastAsia="宋体" w:cs="宋体"/>
                    <w:sz w:val="21"/>
                    <w:szCs w:val="21"/>
                    <w:u w:val="none"/>
                    <w:shd w:val="clear" w:color="auto" w:fill="auto"/>
                    <w:lang w:val="en-US" w:eastAsia="zh-CN"/>
                  </w:rPr>
                  <w:t xml:space="preserve">                    </w:t>
                </w:r>
                <w:permEnd w:id="35"/>
              </w:sdtContent>
            </w:sdt>
          </w:p>
        </w:tc>
      </w:tr>
      <w:tr w14:paraId="3C973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562" w:type="dxa"/>
            <w:noWrap w:val="0"/>
            <w:vAlign w:val="center"/>
          </w:tcPr>
          <w:p w14:paraId="7235D87E">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传真电话：</w:t>
            </w:r>
            <w:permStart w:id="36" w:edGrp="everyone"/>
            <w:r>
              <w:rPr>
                <w:rFonts w:hint="eastAsia" w:ascii="宋体" w:hAnsi="宋体" w:eastAsia="宋体"/>
                <w:color w:val="auto"/>
                <w:szCs w:val="21"/>
                <w:highlight w:val="none"/>
                <w:lang w:val="en-US" w:eastAsia="zh-CN"/>
              </w:rPr>
              <w:t xml:space="preserve">                     </w:t>
            </w:r>
            <w:permEnd w:id="36"/>
          </w:p>
        </w:tc>
        <w:tc>
          <w:tcPr>
            <w:tcW w:w="4448" w:type="dxa"/>
            <w:noWrap w:val="0"/>
            <w:vAlign w:val="center"/>
          </w:tcPr>
          <w:p w14:paraId="7B71BD03">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传 </w:t>
            </w:r>
            <w:r>
              <w:rPr>
                <w:rFonts w:ascii="宋体" w:hAnsi="宋体" w:eastAsia="宋体"/>
                <w:color w:val="auto"/>
                <w:szCs w:val="21"/>
                <w:highlight w:val="none"/>
              </w:rPr>
              <w:t xml:space="preserve">   </w:t>
            </w:r>
            <w:r>
              <w:rPr>
                <w:rFonts w:hint="eastAsia" w:ascii="宋体" w:hAnsi="宋体" w:eastAsia="宋体"/>
                <w:color w:val="auto"/>
                <w:szCs w:val="21"/>
                <w:highlight w:val="none"/>
              </w:rPr>
              <w:t>真：</w:t>
            </w:r>
            <w:permStart w:id="37" w:edGrp="everyone"/>
            <w:r>
              <w:rPr>
                <w:rFonts w:hint="eastAsia" w:ascii="宋体" w:hAnsi="宋体" w:eastAsia="宋体"/>
                <w:color w:val="auto"/>
                <w:szCs w:val="21"/>
                <w:highlight w:val="none"/>
                <w:lang w:val="en-US" w:eastAsia="zh-CN"/>
              </w:rPr>
              <w:t xml:space="preserve">                    </w:t>
            </w:r>
            <w:permEnd w:id="37"/>
            <w:r>
              <w:rPr>
                <w:rFonts w:hint="eastAsia" w:ascii="宋体" w:hAnsi="宋体" w:eastAsia="宋体"/>
                <w:color w:val="auto"/>
                <w:szCs w:val="21"/>
                <w:highlight w:val="none"/>
                <w:lang w:val="en-US" w:eastAsia="zh-CN"/>
              </w:rPr>
              <w:t xml:space="preserve"> </w:t>
            </w:r>
          </w:p>
        </w:tc>
      </w:tr>
      <w:tr w14:paraId="3F604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4562" w:type="dxa"/>
            <w:tcBorders>
              <w:bottom w:val="nil"/>
            </w:tcBorders>
            <w:noWrap w:val="0"/>
            <w:vAlign w:val="center"/>
          </w:tcPr>
          <w:p w14:paraId="7F382BF0">
            <w:pPr>
              <w:spacing w:line="360" w:lineRule="auto"/>
              <w:rPr>
                <w:rFonts w:ascii="宋体" w:hAnsi="宋体" w:eastAsia="宋体"/>
                <w:color w:val="auto"/>
                <w:szCs w:val="21"/>
                <w:highlight w:val="none"/>
              </w:rPr>
            </w:pPr>
          </w:p>
        </w:tc>
        <w:tc>
          <w:tcPr>
            <w:tcW w:w="4448" w:type="dxa"/>
            <w:tcBorders>
              <w:bottom w:val="nil"/>
            </w:tcBorders>
            <w:noWrap w:val="0"/>
            <w:vAlign w:val="center"/>
          </w:tcPr>
          <w:p w14:paraId="7AB2619C">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开户银行：</w:t>
            </w:r>
            <w:sdt>
              <w:sdtPr>
                <w:rPr>
                  <w:rFonts w:hint="eastAsia" w:ascii="宋体" w:hAnsi="宋体" w:eastAsia="宋体" w:cs="宋体"/>
                  <w:kern w:val="2"/>
                  <w:sz w:val="21"/>
                  <w:szCs w:val="21"/>
                  <w:u w:val="none"/>
                  <w:lang w:val="en-US" w:eastAsia="zh-CN" w:bidi="ar-SA"/>
                </w:rPr>
                <w:alias w:val="乙方开户银行名称"/>
                <w:tag w:val="乙方开户银行名称"/>
                <w:id w:val="147472281"/>
                <w:placeholder>
                  <w:docPart w:val="{973271f6-0cae-4f59-b06a-5ee2fcad69d1}"/>
                </w:placeholder>
                <w:text/>
              </w:sdtPr>
              <w:sdtEndPr>
                <w:rPr>
                  <w:rFonts w:hint="eastAsia" w:ascii="宋体" w:hAnsi="宋体" w:eastAsia="宋体" w:cs="宋体"/>
                  <w:kern w:val="2"/>
                  <w:sz w:val="21"/>
                  <w:szCs w:val="21"/>
                  <w:u w:val="none"/>
                  <w:lang w:val="en-US" w:eastAsia="zh-CN" w:bidi="ar-SA"/>
                </w:rPr>
              </w:sdtEndPr>
              <w:sdtContent>
                <w:permStart w:id="38" w:edGrp="everyone"/>
                <w:r>
                  <w:rPr>
                    <w:rFonts w:hint="eastAsia" w:ascii="宋体" w:hAnsi="宋体" w:eastAsia="宋体" w:cs="宋体"/>
                    <w:sz w:val="21"/>
                    <w:szCs w:val="21"/>
                    <w:u w:val="none"/>
                    <w:lang w:val="en-US" w:eastAsia="zh-CN"/>
                  </w:rPr>
                  <w:t xml:space="preserve">                    </w:t>
                </w:r>
                <w:permEnd w:id="38"/>
              </w:sdtContent>
            </w:sdt>
          </w:p>
        </w:tc>
      </w:tr>
      <w:tr w14:paraId="0D229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4562" w:type="dxa"/>
            <w:tcBorders>
              <w:bottom w:val="nil"/>
            </w:tcBorders>
            <w:noWrap w:val="0"/>
            <w:vAlign w:val="center"/>
          </w:tcPr>
          <w:p w14:paraId="02DA535E">
            <w:pPr>
              <w:spacing w:line="360" w:lineRule="auto"/>
              <w:rPr>
                <w:rFonts w:ascii="宋体" w:hAnsi="宋体" w:eastAsia="宋体"/>
                <w:color w:val="auto"/>
                <w:szCs w:val="21"/>
                <w:highlight w:val="none"/>
              </w:rPr>
            </w:pPr>
          </w:p>
        </w:tc>
        <w:tc>
          <w:tcPr>
            <w:tcW w:w="4448" w:type="dxa"/>
            <w:tcBorders>
              <w:bottom w:val="nil"/>
            </w:tcBorders>
            <w:noWrap w:val="0"/>
            <w:vAlign w:val="center"/>
          </w:tcPr>
          <w:p w14:paraId="358EB26D">
            <w:pPr>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银行行号：</w:t>
            </w:r>
            <w:permStart w:id="39" w:edGrp="everyone"/>
            <w:r>
              <w:rPr>
                <w:rFonts w:hint="eastAsia" w:ascii="宋体" w:hAnsi="宋体" w:eastAsia="宋体"/>
                <w:color w:val="auto"/>
                <w:szCs w:val="21"/>
                <w:highlight w:val="none"/>
                <w:lang w:val="en-US" w:eastAsia="zh-CN"/>
              </w:rPr>
              <w:t xml:space="preserve">                    </w:t>
            </w:r>
            <w:permEnd w:id="39"/>
          </w:p>
        </w:tc>
      </w:tr>
      <w:tr w14:paraId="626A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 w:hRule="atLeast"/>
          <w:jc w:val="center"/>
        </w:trPr>
        <w:tc>
          <w:tcPr>
            <w:tcW w:w="4562" w:type="dxa"/>
            <w:tcBorders>
              <w:bottom w:val="nil"/>
            </w:tcBorders>
            <w:noWrap w:val="0"/>
            <w:vAlign w:val="center"/>
          </w:tcPr>
          <w:p w14:paraId="5C328FCA">
            <w:pPr>
              <w:spacing w:line="360" w:lineRule="auto"/>
              <w:rPr>
                <w:rFonts w:ascii="宋体" w:hAnsi="宋体" w:eastAsia="宋体"/>
                <w:color w:val="auto"/>
                <w:szCs w:val="21"/>
                <w:highlight w:val="none"/>
              </w:rPr>
            </w:pPr>
          </w:p>
        </w:tc>
        <w:tc>
          <w:tcPr>
            <w:tcW w:w="4448" w:type="dxa"/>
            <w:tcBorders>
              <w:bottom w:val="nil"/>
            </w:tcBorders>
            <w:noWrap w:val="0"/>
            <w:vAlign w:val="center"/>
          </w:tcPr>
          <w:p w14:paraId="4B4B67AB">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账 户 名：</w:t>
            </w:r>
            <w:sdt>
              <w:sdtPr>
                <w:rPr>
                  <w:rFonts w:hint="eastAsia" w:ascii="宋体" w:hAnsi="宋体" w:eastAsia="宋体" w:cs="宋体"/>
                  <w:kern w:val="2"/>
                  <w:sz w:val="21"/>
                  <w:szCs w:val="21"/>
                  <w:u w:val="none"/>
                  <w:lang w:val="en-US" w:eastAsia="zh-CN" w:bidi="ar-SA"/>
                </w:rPr>
                <w:alias w:val="乙方当事人全称"/>
                <w:tag w:val="乙方当事人全称"/>
                <w:id w:val="147472686"/>
                <w:placeholder>
                  <w:docPart w:val="{f5f99b54-16ce-491b-b90c-e0c0e15d7dff}"/>
                </w:placeholder>
                <w:text/>
              </w:sdtPr>
              <w:sdtEndPr>
                <w:rPr>
                  <w:rFonts w:hint="eastAsia" w:ascii="宋体" w:hAnsi="宋体" w:eastAsia="宋体" w:cs="宋体"/>
                  <w:kern w:val="2"/>
                  <w:sz w:val="21"/>
                  <w:szCs w:val="21"/>
                  <w:u w:val="none"/>
                  <w:lang w:val="en-US" w:eastAsia="zh-CN" w:bidi="ar-SA"/>
                </w:rPr>
              </w:sdtEndPr>
              <w:sdtContent>
                <w:permStart w:id="40" w:edGrp="everyone"/>
                <w:r>
                  <w:rPr>
                    <w:rFonts w:hint="eastAsia" w:ascii="宋体" w:hAnsi="宋体" w:eastAsia="宋体" w:cs="宋体"/>
                    <w:kern w:val="2"/>
                    <w:sz w:val="21"/>
                    <w:szCs w:val="21"/>
                    <w:u w:val="none"/>
                    <w:lang w:val="en-US" w:eastAsia="zh-CN" w:bidi="ar-SA"/>
                  </w:rPr>
                  <w:t xml:space="preserve">  </w:t>
                </w:r>
                <w:r>
                  <w:rPr>
                    <w:rFonts w:hint="eastAsia" w:ascii="宋体" w:hAnsi="宋体" w:eastAsia="宋体" w:cs="宋体"/>
                    <w:sz w:val="21"/>
                    <w:szCs w:val="21"/>
                    <w:u w:val="none"/>
                    <w:lang w:val="en-US" w:eastAsia="zh-CN"/>
                  </w:rPr>
                  <w:t xml:space="preserve">                  </w:t>
                </w:r>
                <w:permEnd w:id="40"/>
              </w:sdtContent>
            </w:sdt>
          </w:p>
        </w:tc>
      </w:tr>
      <w:tr w14:paraId="08B4B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4562" w:type="dxa"/>
            <w:tcBorders>
              <w:top w:val="single" w:color="auto" w:sz="4" w:space="0"/>
            </w:tcBorders>
            <w:noWrap w:val="0"/>
            <w:vAlign w:val="center"/>
          </w:tcPr>
          <w:p w14:paraId="10CF9551">
            <w:pPr>
              <w:spacing w:line="360" w:lineRule="auto"/>
              <w:rPr>
                <w:rFonts w:ascii="宋体" w:hAnsi="宋体" w:eastAsia="宋体"/>
                <w:color w:val="auto"/>
                <w:szCs w:val="21"/>
                <w:highlight w:val="none"/>
              </w:rPr>
            </w:pPr>
          </w:p>
        </w:tc>
        <w:tc>
          <w:tcPr>
            <w:tcW w:w="4448" w:type="dxa"/>
            <w:tcBorders>
              <w:top w:val="single" w:color="auto" w:sz="4" w:space="0"/>
            </w:tcBorders>
            <w:noWrap w:val="0"/>
            <w:vAlign w:val="center"/>
          </w:tcPr>
          <w:p w14:paraId="13BAAC3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结算账号：</w:t>
            </w:r>
            <w:sdt>
              <w:sdtPr>
                <w:rPr>
                  <w:rFonts w:hint="eastAsia" w:ascii="宋体" w:hAnsi="宋体" w:eastAsia="宋体" w:cs="宋体"/>
                  <w:kern w:val="2"/>
                  <w:sz w:val="21"/>
                  <w:szCs w:val="21"/>
                  <w:u w:val="none"/>
                  <w:lang w:val="en-US" w:eastAsia="zh-CN" w:bidi="ar-SA"/>
                </w:rPr>
                <w:alias w:val="乙方银行账号"/>
                <w:tag w:val="乙方银行账号"/>
                <w:id w:val="147472170"/>
                <w:placeholder>
                  <w:docPart w:val="{0bf3d72f-25cc-46f6-9182-21b65f7e1996}"/>
                </w:placeholder>
                <w:text/>
              </w:sdtPr>
              <w:sdtEndPr>
                <w:rPr>
                  <w:rFonts w:hint="eastAsia" w:ascii="宋体" w:hAnsi="宋体" w:eastAsia="宋体" w:cs="宋体"/>
                  <w:kern w:val="2"/>
                  <w:sz w:val="21"/>
                  <w:szCs w:val="21"/>
                  <w:u w:val="none"/>
                  <w:lang w:val="en-US" w:eastAsia="zh-CN" w:bidi="ar-SA"/>
                </w:rPr>
              </w:sdtEndPr>
              <w:sdtContent>
                <w:permStart w:id="41" w:edGrp="everyone"/>
                <w:r>
                  <w:rPr>
                    <w:rFonts w:hint="eastAsia" w:ascii="宋体" w:hAnsi="宋体" w:eastAsia="宋体" w:cs="宋体"/>
                    <w:kern w:val="2"/>
                    <w:sz w:val="21"/>
                    <w:szCs w:val="21"/>
                    <w:u w:val="none"/>
                    <w:lang w:val="en-US" w:eastAsia="zh-CN" w:bidi="ar-SA"/>
                  </w:rPr>
                  <w:t xml:space="preserve">  </w:t>
                </w:r>
                <w:r>
                  <w:rPr>
                    <w:rFonts w:hint="eastAsia" w:ascii="宋体" w:hAnsi="宋体" w:eastAsia="宋体" w:cs="宋体"/>
                    <w:sz w:val="21"/>
                    <w:szCs w:val="21"/>
                    <w:u w:val="none"/>
                    <w:lang w:val="en-US" w:eastAsia="zh-CN"/>
                  </w:rPr>
                  <w:t xml:space="preserve">                  </w:t>
                </w:r>
                <w:permEnd w:id="41"/>
              </w:sdtContent>
            </w:sdt>
          </w:p>
        </w:tc>
      </w:tr>
      <w:tr w14:paraId="349FE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jc w:val="center"/>
        </w:trPr>
        <w:tc>
          <w:tcPr>
            <w:tcW w:w="4562" w:type="dxa"/>
            <w:noWrap w:val="0"/>
            <w:vAlign w:val="center"/>
          </w:tcPr>
          <w:p w14:paraId="2B4D8ABE">
            <w:pPr>
              <w:spacing w:line="360" w:lineRule="auto"/>
              <w:rPr>
                <w:rFonts w:ascii="宋体" w:hAnsi="宋体" w:eastAsia="宋体"/>
                <w:color w:val="auto"/>
                <w:szCs w:val="21"/>
                <w:highlight w:val="none"/>
              </w:rPr>
            </w:pPr>
          </w:p>
        </w:tc>
        <w:tc>
          <w:tcPr>
            <w:tcW w:w="4448" w:type="dxa"/>
            <w:noWrap w:val="0"/>
            <w:vAlign w:val="center"/>
          </w:tcPr>
          <w:p w14:paraId="341C065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税    号：</w:t>
            </w:r>
            <w:sdt>
              <w:sdtPr>
                <w:rPr>
                  <w:rFonts w:hint="eastAsia" w:ascii="宋体" w:hAnsi="宋体" w:eastAsia="宋体" w:cs="宋体"/>
                  <w:kern w:val="2"/>
                  <w:sz w:val="21"/>
                  <w:szCs w:val="21"/>
                  <w:u w:val="none"/>
                  <w:lang w:val="en-US" w:eastAsia="zh-CN" w:bidi="ar-SA"/>
                </w:rPr>
                <w:alias w:val="乙方统一社会信用代码/证件号码"/>
                <w:tag w:val="乙方统一社会信用代码/证件号码"/>
                <w:id w:val="147479919"/>
                <w:placeholder>
                  <w:docPart w:val="{ee2fbca1-b434-4527-b6d0-e3623aecfb4c}"/>
                </w:placeholder>
                <w:text/>
              </w:sdtPr>
              <w:sdtEndPr>
                <w:rPr>
                  <w:rFonts w:hint="eastAsia" w:ascii="宋体" w:hAnsi="宋体" w:eastAsia="宋体" w:cs="宋体"/>
                  <w:kern w:val="2"/>
                  <w:sz w:val="21"/>
                  <w:szCs w:val="21"/>
                  <w:u w:val="none"/>
                  <w:lang w:val="en-US" w:eastAsia="zh-CN" w:bidi="ar-SA"/>
                </w:rPr>
              </w:sdtEndPr>
              <w:sdtContent>
                <w:permStart w:id="42" w:edGrp="everyone"/>
                <w:r>
                  <w:rPr>
                    <w:rFonts w:hint="eastAsia" w:ascii="宋体" w:hAnsi="宋体" w:eastAsia="宋体" w:cs="宋体"/>
                    <w:kern w:val="2"/>
                    <w:sz w:val="21"/>
                    <w:szCs w:val="21"/>
                    <w:u w:val="none"/>
                    <w:lang w:val="en-US" w:eastAsia="zh-CN" w:bidi="ar-SA"/>
                  </w:rPr>
                  <w:t xml:space="preserve">                    </w:t>
                </w:r>
                <w:permEnd w:id="42"/>
              </w:sdtContent>
            </w:sdt>
          </w:p>
        </w:tc>
      </w:tr>
    </w:tbl>
    <w:p w14:paraId="2F9D1052">
      <w:pPr>
        <w:spacing w:line="0" w:lineRule="atLeast"/>
        <w:rPr>
          <w:rFonts w:ascii="宋体" w:hAnsi="宋体"/>
          <w:color w:val="auto"/>
          <w:szCs w:val="21"/>
          <w:highlight w:val="none"/>
        </w:rPr>
      </w:pPr>
    </w:p>
    <w:p w14:paraId="6B8D313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p>
    <w:p w14:paraId="250FD6B6">
      <w:pPr>
        <w:topLinePunct/>
        <w:adjustRightInd w:val="0"/>
        <w:snapToGrid w:val="0"/>
        <w:spacing w:line="360" w:lineRule="auto"/>
        <w:ind w:firstLine="420" w:firstLineChars="200"/>
        <w:jc w:val="right"/>
        <w:rPr>
          <w:rFonts w:ascii="宋体" w:hAnsi="宋体" w:eastAsia="宋体" w:cs="宋体"/>
          <w:color w:val="auto"/>
          <w:kern w:val="0"/>
          <w:szCs w:val="21"/>
          <w:highlight w:val="none"/>
        </w:rPr>
        <w:sectPr>
          <w:pgSz w:w="11906" w:h="16838"/>
          <w:pgMar w:top="1440" w:right="1800" w:bottom="1440" w:left="1800" w:header="851" w:footer="992" w:gutter="0"/>
          <w:cols w:space="720" w:num="1"/>
          <w:docGrid w:type="lines" w:linePitch="312" w:charSpace="0"/>
        </w:sectPr>
      </w:pPr>
    </w:p>
    <w:p w14:paraId="4D438EB7">
      <w:pPr>
        <w:pStyle w:val="3"/>
        <w:jc w:val="center"/>
        <w:rPr>
          <w:rFonts w:ascii="宋体" w:hAnsi="宋体" w:eastAsia="宋体"/>
          <w:color w:val="auto"/>
          <w:kern w:val="0"/>
          <w:sz w:val="32"/>
          <w:highlight w:val="none"/>
        </w:rPr>
      </w:pPr>
      <w:bookmarkStart w:id="16" w:name="_Toc57494659"/>
      <w:bookmarkStart w:id="17" w:name="_Toc22562"/>
      <w:bookmarkStart w:id="18" w:name="_Toc18078"/>
      <w:bookmarkStart w:id="19" w:name="_第二节 通用合同条款"/>
      <w:r>
        <w:rPr>
          <w:rFonts w:ascii="宋体" w:hAnsi="宋体" w:eastAsia="宋体"/>
          <w:color w:val="auto"/>
          <w:kern w:val="0"/>
          <w:sz w:val="32"/>
          <w:highlight w:val="none"/>
        </w:rPr>
        <w:t>第</w:t>
      </w:r>
      <w:r>
        <w:rPr>
          <w:rFonts w:hint="eastAsia" w:ascii="宋体" w:hAnsi="宋体" w:eastAsia="宋体"/>
          <w:color w:val="auto"/>
          <w:kern w:val="0"/>
          <w:sz w:val="32"/>
          <w:highlight w:val="none"/>
        </w:rPr>
        <w:t>二</w:t>
      </w:r>
      <w:r>
        <w:rPr>
          <w:rFonts w:ascii="宋体" w:hAnsi="宋体" w:eastAsia="宋体"/>
          <w:color w:val="auto"/>
          <w:kern w:val="0"/>
          <w:sz w:val="32"/>
          <w:highlight w:val="none"/>
        </w:rPr>
        <w:t>节</w:t>
      </w:r>
      <w:r>
        <w:rPr>
          <w:rFonts w:hint="eastAsia" w:ascii="宋体" w:hAnsi="宋体" w:eastAsia="宋体"/>
          <w:color w:val="auto"/>
          <w:kern w:val="0"/>
          <w:sz w:val="32"/>
          <w:highlight w:val="none"/>
        </w:rPr>
        <w:t xml:space="preserve"> </w:t>
      </w:r>
      <w:r>
        <w:rPr>
          <w:rFonts w:ascii="宋体" w:hAnsi="宋体" w:eastAsia="宋体"/>
          <w:color w:val="auto"/>
          <w:kern w:val="0"/>
          <w:sz w:val="32"/>
          <w:highlight w:val="none"/>
        </w:rPr>
        <w:t>通用合同条款</w:t>
      </w:r>
      <w:bookmarkEnd w:id="16"/>
      <w:bookmarkEnd w:id="17"/>
      <w:bookmarkEnd w:id="18"/>
    </w:p>
    <w:bookmarkEnd w:id="19"/>
    <w:p w14:paraId="5A09CBF0">
      <w:pPr>
        <w:pStyle w:val="4"/>
        <w:spacing w:before="0" w:after="0" w:line="360" w:lineRule="auto"/>
        <w:rPr>
          <w:rFonts w:ascii="宋体" w:hAnsi="宋体" w:eastAsia="宋体" w:cs="黑体"/>
          <w:color w:val="auto"/>
          <w:kern w:val="0"/>
          <w:sz w:val="21"/>
          <w:szCs w:val="21"/>
          <w:highlight w:val="none"/>
        </w:rPr>
      </w:pPr>
      <w:bookmarkStart w:id="20" w:name="_Toc57494660"/>
      <w:bookmarkStart w:id="21" w:name="_Toc8678"/>
      <w:bookmarkStart w:id="22" w:name="_Toc20323"/>
      <w:bookmarkStart w:id="23" w:name="_1. 一般约定"/>
      <w:r>
        <w:rPr>
          <w:rFonts w:ascii="宋体" w:hAnsi="宋体" w:eastAsia="宋体" w:cs="Times New Roman"/>
          <w:color w:val="auto"/>
          <w:kern w:val="0"/>
          <w:sz w:val="21"/>
          <w:szCs w:val="21"/>
          <w:highlight w:val="none"/>
        </w:rPr>
        <w:t xml:space="preserve">1. </w:t>
      </w:r>
      <w:r>
        <w:rPr>
          <w:rFonts w:hint="eastAsia" w:ascii="宋体" w:hAnsi="宋体" w:eastAsia="宋体" w:cs="黑体"/>
          <w:color w:val="auto"/>
          <w:kern w:val="0"/>
          <w:sz w:val="21"/>
          <w:szCs w:val="21"/>
          <w:highlight w:val="none"/>
        </w:rPr>
        <w:t>一般约定</w:t>
      </w:r>
      <w:bookmarkEnd w:id="20"/>
      <w:bookmarkEnd w:id="21"/>
      <w:bookmarkEnd w:id="22"/>
    </w:p>
    <w:bookmarkEnd w:id="23"/>
    <w:p w14:paraId="63E5F170">
      <w:pPr>
        <w:pStyle w:val="5"/>
        <w:spacing w:before="0" w:after="0" w:line="360" w:lineRule="auto"/>
        <w:rPr>
          <w:rFonts w:ascii="宋体" w:hAnsi="宋体" w:eastAsia="宋体" w:cs="黑体"/>
          <w:color w:val="auto"/>
          <w:kern w:val="0"/>
          <w:sz w:val="21"/>
          <w:szCs w:val="21"/>
          <w:highlight w:val="none"/>
        </w:rPr>
      </w:pPr>
      <w:bookmarkStart w:id="24" w:name="_Toc21152"/>
      <w:bookmarkStart w:id="25" w:name="_Toc3365"/>
      <w:bookmarkStart w:id="26" w:name="_Toc57494661"/>
      <w:bookmarkStart w:id="27" w:name="_1.1 词语定义"/>
      <w:r>
        <w:rPr>
          <w:rFonts w:ascii="宋体" w:hAnsi="宋体" w:eastAsia="宋体" w:cs="Times New Roman"/>
          <w:color w:val="auto"/>
          <w:kern w:val="0"/>
          <w:sz w:val="21"/>
          <w:szCs w:val="21"/>
          <w:highlight w:val="none"/>
        </w:rPr>
        <w:t xml:space="preserve">1.1 </w:t>
      </w:r>
      <w:r>
        <w:rPr>
          <w:rFonts w:hint="eastAsia" w:ascii="宋体" w:hAnsi="宋体" w:eastAsia="宋体" w:cs="黑体"/>
          <w:color w:val="auto"/>
          <w:kern w:val="0"/>
          <w:sz w:val="21"/>
          <w:szCs w:val="21"/>
          <w:highlight w:val="none"/>
        </w:rPr>
        <w:t>词语定义</w:t>
      </w:r>
      <w:bookmarkEnd w:id="24"/>
      <w:bookmarkEnd w:id="25"/>
      <w:bookmarkEnd w:id="26"/>
    </w:p>
    <w:bookmarkEnd w:id="27"/>
    <w:p w14:paraId="46FCEDC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除专用合同条款另有约定外，合同中的下列词语应具有本款所赋予的含义。</w:t>
      </w:r>
    </w:p>
    <w:p w14:paraId="2309423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bCs/>
          <w:color w:val="auto"/>
          <w:kern w:val="0"/>
          <w:szCs w:val="21"/>
          <w:highlight w:val="none"/>
        </w:rPr>
        <w:t xml:space="preserve">1.1.1 </w:t>
      </w:r>
      <w:r>
        <w:rPr>
          <w:rFonts w:hint="eastAsia" w:ascii="宋体" w:hAnsi="宋体" w:eastAsia="宋体" w:cs="宋体"/>
          <w:color w:val="auto"/>
          <w:kern w:val="0"/>
          <w:szCs w:val="21"/>
          <w:highlight w:val="none"/>
        </w:rPr>
        <w:t>合同</w:t>
      </w:r>
    </w:p>
    <w:p w14:paraId="57A335B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1.1.1.1 </w:t>
      </w:r>
      <w:r>
        <w:rPr>
          <w:rFonts w:hint="eastAsia" w:ascii="宋体" w:hAnsi="宋体" w:eastAsia="宋体" w:cs="宋体"/>
          <w:color w:val="auto"/>
          <w:kern w:val="0"/>
          <w:szCs w:val="21"/>
          <w:highlight w:val="none"/>
        </w:rPr>
        <w:t>合同文件（或称合同）：指合同协议书、中标通知书、投标函、商务和技术偏差表、专用合同条款、通用合同条款、供货要求、分项报价表、中标设备技术性能指标的详细描述、技术服务和质保期服务计划，以及其他构成合同组成部分的文件。</w:t>
      </w:r>
    </w:p>
    <w:p w14:paraId="6F15E15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1.1.1.2</w:t>
      </w:r>
      <w:r>
        <w:rPr>
          <w:rFonts w:hint="eastAsia" w:ascii="宋体" w:hAnsi="宋体" w:eastAsia="宋体" w:cs="宋体"/>
          <w:color w:val="auto"/>
          <w:kern w:val="0"/>
          <w:szCs w:val="21"/>
          <w:highlight w:val="none"/>
        </w:rPr>
        <w:t>合同协议书：指买方和卖方共同签署的合同协议书。</w:t>
      </w:r>
    </w:p>
    <w:p w14:paraId="3DD0E0C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1.1.1.3</w:t>
      </w:r>
      <w:r>
        <w:rPr>
          <w:rFonts w:hint="eastAsia" w:ascii="宋体" w:hAnsi="宋体" w:eastAsia="宋体" w:cs="宋体"/>
          <w:color w:val="auto"/>
          <w:kern w:val="0"/>
          <w:szCs w:val="21"/>
          <w:highlight w:val="none"/>
        </w:rPr>
        <w:t>中标通知书：指买方通知卖方中标的函件。</w:t>
      </w:r>
    </w:p>
    <w:p w14:paraId="0D115BB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1.1.1.4 </w:t>
      </w:r>
      <w:r>
        <w:rPr>
          <w:rFonts w:hint="eastAsia" w:ascii="宋体" w:hAnsi="宋体" w:eastAsia="宋体" w:cs="宋体"/>
          <w:color w:val="auto"/>
          <w:kern w:val="0"/>
          <w:szCs w:val="21"/>
          <w:highlight w:val="none"/>
        </w:rPr>
        <w:t>投标函：指由卖方填写并签署的，名为</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投标函</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的函件。</w:t>
      </w:r>
    </w:p>
    <w:p w14:paraId="42CBEFA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1.1.1.5 </w:t>
      </w:r>
      <w:r>
        <w:rPr>
          <w:rFonts w:hint="eastAsia" w:ascii="宋体" w:hAnsi="宋体" w:eastAsia="宋体" w:cs="宋体"/>
          <w:color w:val="auto"/>
          <w:kern w:val="0"/>
          <w:szCs w:val="21"/>
          <w:highlight w:val="none"/>
        </w:rPr>
        <w:t>商务和技术偏差表：指卖方投标文件中的商务和技术偏差表。</w:t>
      </w:r>
    </w:p>
    <w:p w14:paraId="43A5823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1.1.1.6 </w:t>
      </w:r>
      <w:r>
        <w:rPr>
          <w:rFonts w:hint="eastAsia" w:ascii="宋体" w:hAnsi="宋体" w:eastAsia="宋体" w:cs="宋体"/>
          <w:color w:val="auto"/>
          <w:kern w:val="0"/>
          <w:szCs w:val="21"/>
          <w:highlight w:val="none"/>
        </w:rPr>
        <w:t>供货要求：指合同文件中名为</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供货要求</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的文件。</w:t>
      </w:r>
    </w:p>
    <w:p w14:paraId="4965A33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1.1.1.7 </w:t>
      </w:r>
      <w:r>
        <w:rPr>
          <w:rFonts w:hint="eastAsia" w:ascii="宋体" w:hAnsi="宋体" w:eastAsia="宋体" w:cs="宋体"/>
          <w:color w:val="auto"/>
          <w:kern w:val="0"/>
          <w:szCs w:val="21"/>
          <w:highlight w:val="none"/>
        </w:rPr>
        <w:t>中标设备技术性能指标的详细描述：指卖方投标文件中的投标设备技术性能指标的详细描述。</w:t>
      </w:r>
    </w:p>
    <w:p w14:paraId="193A5D6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1.1.1.8 </w:t>
      </w:r>
      <w:r>
        <w:rPr>
          <w:rFonts w:hint="eastAsia" w:ascii="宋体" w:hAnsi="宋体" w:eastAsia="宋体" w:cs="宋体"/>
          <w:color w:val="auto"/>
          <w:kern w:val="0"/>
          <w:szCs w:val="21"/>
          <w:highlight w:val="none"/>
        </w:rPr>
        <w:t>技术服务和质保期服务计划：指卖方投标文件中的技术服务和质保期服务计划。</w:t>
      </w:r>
    </w:p>
    <w:p w14:paraId="2DE2A6D9">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1.1.1.9 </w:t>
      </w:r>
      <w:r>
        <w:rPr>
          <w:rFonts w:hint="eastAsia" w:ascii="宋体" w:hAnsi="宋体" w:eastAsia="宋体" w:cs="宋体"/>
          <w:color w:val="auto"/>
          <w:kern w:val="0"/>
          <w:szCs w:val="21"/>
          <w:highlight w:val="none"/>
        </w:rPr>
        <w:t>分项报价表：指卖方投标文件中的分项报价表。</w:t>
      </w:r>
    </w:p>
    <w:p w14:paraId="641F32C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1.1.1.10 </w:t>
      </w:r>
      <w:r>
        <w:rPr>
          <w:rFonts w:hint="eastAsia" w:ascii="宋体" w:hAnsi="宋体" w:eastAsia="宋体" w:cs="宋体"/>
          <w:color w:val="auto"/>
          <w:kern w:val="0"/>
          <w:szCs w:val="21"/>
          <w:highlight w:val="none"/>
        </w:rPr>
        <w:t>其他合同文件：指经合同双方当事人确认构成合同文件的其他文件。</w:t>
      </w:r>
    </w:p>
    <w:p w14:paraId="2B998EE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bCs/>
          <w:color w:val="auto"/>
          <w:kern w:val="0"/>
          <w:szCs w:val="21"/>
          <w:highlight w:val="none"/>
        </w:rPr>
        <w:t xml:space="preserve">1.1.2 </w:t>
      </w:r>
      <w:r>
        <w:rPr>
          <w:rFonts w:hint="eastAsia" w:ascii="宋体" w:hAnsi="宋体" w:eastAsia="宋体" w:cs="宋体"/>
          <w:color w:val="auto"/>
          <w:kern w:val="0"/>
          <w:szCs w:val="21"/>
          <w:highlight w:val="none"/>
        </w:rPr>
        <w:t>合同当事人</w:t>
      </w:r>
    </w:p>
    <w:p w14:paraId="3DD9707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1.1.2.1 </w:t>
      </w:r>
      <w:r>
        <w:rPr>
          <w:rFonts w:hint="eastAsia" w:ascii="宋体" w:hAnsi="宋体" w:eastAsia="宋体" w:cs="宋体"/>
          <w:color w:val="auto"/>
          <w:kern w:val="0"/>
          <w:szCs w:val="21"/>
          <w:highlight w:val="none"/>
        </w:rPr>
        <w:t>合同当事人：指买方和（或）卖方。</w:t>
      </w:r>
    </w:p>
    <w:p w14:paraId="285F8CD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1.1.2.2 </w:t>
      </w:r>
      <w:r>
        <w:rPr>
          <w:rFonts w:hint="eastAsia" w:ascii="宋体" w:hAnsi="宋体" w:eastAsia="宋体" w:cs="宋体"/>
          <w:color w:val="auto"/>
          <w:kern w:val="0"/>
          <w:szCs w:val="21"/>
          <w:highlight w:val="none"/>
        </w:rPr>
        <w:t>买方：指与卖方签订合同协议书，购买合同设备和技术服务和质保期服务的当事人，及其合法继承人。</w:t>
      </w:r>
    </w:p>
    <w:p w14:paraId="1AE054F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1.1.2.3 </w:t>
      </w:r>
      <w:r>
        <w:rPr>
          <w:rFonts w:hint="eastAsia" w:ascii="宋体" w:hAnsi="宋体" w:eastAsia="宋体" w:cs="宋体"/>
          <w:color w:val="auto"/>
          <w:kern w:val="0"/>
          <w:szCs w:val="21"/>
          <w:highlight w:val="none"/>
        </w:rPr>
        <w:t>卖方：指与买方签订合同协议书，提供合同设备和技术服务和质保期服务的当事人，及其合法继承人。</w:t>
      </w:r>
    </w:p>
    <w:p w14:paraId="27ABCF3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bCs/>
          <w:color w:val="auto"/>
          <w:kern w:val="0"/>
          <w:szCs w:val="21"/>
          <w:highlight w:val="none"/>
        </w:rPr>
        <w:t xml:space="preserve">1.1.3 </w:t>
      </w:r>
      <w:r>
        <w:rPr>
          <w:rFonts w:hint="eastAsia" w:ascii="宋体" w:hAnsi="宋体" w:eastAsia="宋体" w:cs="宋体"/>
          <w:color w:val="auto"/>
          <w:kern w:val="0"/>
          <w:szCs w:val="21"/>
          <w:highlight w:val="none"/>
        </w:rPr>
        <w:t>合同价格</w:t>
      </w:r>
    </w:p>
    <w:p w14:paraId="0BE410F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1.1.3.1 </w:t>
      </w:r>
      <w:r>
        <w:rPr>
          <w:rFonts w:hint="eastAsia" w:ascii="宋体" w:hAnsi="宋体" w:eastAsia="宋体" w:cs="宋体"/>
          <w:color w:val="auto"/>
          <w:kern w:val="0"/>
          <w:szCs w:val="21"/>
          <w:highlight w:val="none"/>
        </w:rPr>
        <w:t>签约合同价：是签订合同时合同协议书中写明的合同总金额。</w:t>
      </w:r>
    </w:p>
    <w:p w14:paraId="2EBA547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1.1.3.2 </w:t>
      </w:r>
      <w:r>
        <w:rPr>
          <w:rFonts w:hint="eastAsia" w:ascii="宋体" w:hAnsi="宋体" w:eastAsia="宋体" w:cs="宋体"/>
          <w:color w:val="auto"/>
          <w:kern w:val="0"/>
          <w:szCs w:val="21"/>
          <w:highlight w:val="none"/>
        </w:rPr>
        <w:t>合同价格：指卖方按合同约定履行了全部合同义务后，买方应付给卖方的金额。</w:t>
      </w:r>
    </w:p>
    <w:p w14:paraId="383A0C2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1.1.4 </w:t>
      </w:r>
      <w:r>
        <w:rPr>
          <w:rFonts w:hint="eastAsia" w:ascii="宋体" w:hAnsi="宋体" w:eastAsia="宋体" w:cs="宋体"/>
          <w:color w:val="auto"/>
          <w:kern w:val="0"/>
          <w:szCs w:val="21"/>
          <w:highlight w:val="none"/>
        </w:rPr>
        <w:t>合同设备：指卖方按合同约定应向买方提供的设备、装置、备品、备件、易损易耗件、配套使用的软件或其他辅助电子应用程序及技术资料，或其中任何一部分。</w:t>
      </w:r>
    </w:p>
    <w:p w14:paraId="04EF13B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1.1.5 </w:t>
      </w:r>
      <w:r>
        <w:rPr>
          <w:rFonts w:hint="eastAsia" w:ascii="宋体" w:hAnsi="宋体" w:eastAsia="宋体" w:cs="宋体"/>
          <w:color w:val="auto"/>
          <w:kern w:val="0"/>
          <w:szCs w:val="21"/>
          <w:highlight w:val="none"/>
        </w:rPr>
        <w:t>技术资料：指各种纸质及电子载体的与合同设备的设计、检验、安装、调试、考核、操作、维修以及保养等有关的技术指标、规格、图纸和说明文件。</w:t>
      </w:r>
    </w:p>
    <w:p w14:paraId="3EF3328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1.1.6 </w:t>
      </w:r>
      <w:r>
        <w:rPr>
          <w:rFonts w:hint="eastAsia" w:ascii="宋体" w:hAnsi="宋体" w:eastAsia="宋体" w:cs="宋体"/>
          <w:color w:val="auto"/>
          <w:kern w:val="0"/>
          <w:szCs w:val="21"/>
          <w:highlight w:val="none"/>
        </w:rPr>
        <w:t>安装：指对合同设备进行的组装、连接以及根据需要将合同设备固定在施工场地内一定的位置上，使其就位并与相关设备、工程实现连接。</w:t>
      </w:r>
    </w:p>
    <w:p w14:paraId="442C3C1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1.1.7 </w:t>
      </w:r>
      <w:r>
        <w:rPr>
          <w:rFonts w:hint="eastAsia" w:ascii="宋体" w:hAnsi="宋体" w:eastAsia="宋体" w:cs="宋体"/>
          <w:color w:val="auto"/>
          <w:kern w:val="0"/>
          <w:szCs w:val="21"/>
          <w:highlight w:val="none"/>
        </w:rPr>
        <w:t>调试：指在合同设备安装完成后，对合同设备所进行的调校和测试。</w:t>
      </w:r>
    </w:p>
    <w:p w14:paraId="2AF17FD9">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1.1.8 </w:t>
      </w:r>
      <w:r>
        <w:rPr>
          <w:rFonts w:hint="eastAsia" w:ascii="宋体" w:hAnsi="宋体" w:eastAsia="宋体" w:cs="宋体"/>
          <w:color w:val="auto"/>
          <w:kern w:val="0"/>
          <w:szCs w:val="21"/>
          <w:highlight w:val="none"/>
        </w:rPr>
        <w:t>考核：指在合同设备调试完成后，对合同设备进行的用于确定其是否达到合同约定的技术性能考核指标的考核。</w:t>
      </w:r>
    </w:p>
    <w:p w14:paraId="2D73AD4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1.1.9 </w:t>
      </w:r>
      <w:r>
        <w:rPr>
          <w:rFonts w:hint="eastAsia" w:ascii="宋体" w:hAnsi="宋体" w:eastAsia="宋体" w:cs="宋体"/>
          <w:color w:val="auto"/>
          <w:kern w:val="0"/>
          <w:szCs w:val="21"/>
          <w:highlight w:val="none"/>
        </w:rPr>
        <w:t>验收：指合同设备通过考核达到合同约定的技术性能考核指标后，买方作出接受合同设备的确认。</w:t>
      </w:r>
    </w:p>
    <w:p w14:paraId="5DEC446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1.1.10 </w:t>
      </w:r>
      <w:r>
        <w:rPr>
          <w:rFonts w:hint="eastAsia" w:ascii="宋体" w:hAnsi="宋体" w:eastAsia="宋体" w:cs="宋体"/>
          <w:color w:val="auto"/>
          <w:kern w:val="0"/>
          <w:szCs w:val="21"/>
          <w:highlight w:val="none"/>
        </w:rPr>
        <w:t>技术服务：指卖方按合同约定，在合同设备验收前，向买方提供的安装、调试服务，或者在由买方负责的安装、调试、考核中对买方进行的技术指导、协助、监督和培训等。</w:t>
      </w:r>
    </w:p>
    <w:p w14:paraId="7E3C18A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1.1.11 </w:t>
      </w:r>
      <w:r>
        <w:rPr>
          <w:rFonts w:hint="eastAsia" w:ascii="宋体" w:hAnsi="宋体" w:eastAsia="宋体" w:cs="宋体"/>
          <w:color w:val="auto"/>
          <w:kern w:val="0"/>
          <w:szCs w:val="21"/>
          <w:highlight w:val="none"/>
        </w:rPr>
        <w:t>质量保证期：指合同设备验收后，卖方按合同约定保证合同设备适当、稳定运行，并负责消除合同设备故障的期限。</w:t>
      </w:r>
    </w:p>
    <w:p w14:paraId="7C1AE32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1.1.12 </w:t>
      </w:r>
      <w:r>
        <w:rPr>
          <w:rFonts w:hint="eastAsia" w:ascii="宋体" w:hAnsi="宋体" w:eastAsia="宋体" w:cs="宋体"/>
          <w:color w:val="auto"/>
          <w:kern w:val="0"/>
          <w:szCs w:val="21"/>
          <w:highlight w:val="none"/>
        </w:rPr>
        <w:t>质保期服务：指在质量保证期内，卖方向买方提供的合同设备维护服务、咨询服务、技术指导、协助以及对出现故障的合同设备进行修理或更换的服务。</w:t>
      </w:r>
    </w:p>
    <w:p w14:paraId="1E76AAB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bCs/>
          <w:color w:val="auto"/>
          <w:kern w:val="0"/>
          <w:szCs w:val="21"/>
          <w:highlight w:val="none"/>
        </w:rPr>
        <w:t xml:space="preserve">1.1.13 </w:t>
      </w:r>
      <w:r>
        <w:rPr>
          <w:rFonts w:hint="eastAsia" w:ascii="宋体" w:hAnsi="宋体" w:eastAsia="宋体" w:cs="宋体"/>
          <w:color w:val="auto"/>
          <w:kern w:val="0"/>
          <w:szCs w:val="21"/>
          <w:highlight w:val="none"/>
        </w:rPr>
        <w:t>工程</w:t>
      </w:r>
    </w:p>
    <w:p w14:paraId="67CAEAE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1.1.13.1 </w:t>
      </w:r>
      <w:r>
        <w:rPr>
          <w:rFonts w:hint="eastAsia" w:ascii="宋体" w:hAnsi="宋体" w:eastAsia="宋体" w:cs="宋体"/>
          <w:color w:val="auto"/>
          <w:kern w:val="0"/>
          <w:szCs w:val="21"/>
          <w:highlight w:val="none"/>
        </w:rPr>
        <w:t>工程：指在专用合同条款中指明的，安装运行合同设备的工程。</w:t>
      </w:r>
    </w:p>
    <w:p w14:paraId="2292A3C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1.1.13.2 </w:t>
      </w:r>
      <w:r>
        <w:rPr>
          <w:rFonts w:hint="eastAsia" w:ascii="宋体" w:hAnsi="宋体" w:eastAsia="宋体" w:cs="宋体"/>
          <w:color w:val="auto"/>
          <w:kern w:val="0"/>
          <w:szCs w:val="21"/>
          <w:highlight w:val="none"/>
        </w:rPr>
        <w:t>施工场地（或称工地、施工现场）：指专用合同条款中指明的工程所在场所。</w:t>
      </w:r>
    </w:p>
    <w:p w14:paraId="462D8B3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1.1.14 </w:t>
      </w:r>
      <w:r>
        <w:rPr>
          <w:rFonts w:hint="eastAsia" w:ascii="宋体" w:hAnsi="宋体" w:eastAsia="宋体" w:cs="宋体"/>
          <w:color w:val="auto"/>
          <w:kern w:val="0"/>
          <w:szCs w:val="21"/>
          <w:highlight w:val="none"/>
        </w:rPr>
        <w:t>天（或称日）：除特别指明外，指日历天。合同中按天计算时间的，开始当天不计入，从次日开始计算。合同约定的期间的最后一天是星期日或者其他法定休假日的，以休假日的次日为期间的最后一天。</w:t>
      </w:r>
    </w:p>
    <w:p w14:paraId="0E43B1D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1.1.15 </w:t>
      </w:r>
      <w:r>
        <w:rPr>
          <w:rFonts w:hint="eastAsia" w:ascii="宋体" w:hAnsi="宋体" w:eastAsia="宋体" w:cs="宋体"/>
          <w:color w:val="auto"/>
          <w:kern w:val="0"/>
          <w:szCs w:val="21"/>
          <w:highlight w:val="none"/>
        </w:rPr>
        <w:t>月：按照公历月计算。合同中按月计算时间的，开始当天不计入，从次日开始计算。合同约定的期间的最后一天是星期日或者其他法定休假日的，以休假日的次日为期间的最后一天。</w:t>
      </w:r>
    </w:p>
    <w:p w14:paraId="64FB6AA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1.1.16 书面形式：指合同文件、信件、电报、电传、传真等可以有形地表现所载内容的形式。以电子数据交换、电子邮件等方式能够有形地表现所载内容，并可以随时调取查用的数据电文，视为书面形式。</w:t>
      </w:r>
    </w:p>
    <w:p w14:paraId="0C25EEDD">
      <w:pPr>
        <w:pStyle w:val="5"/>
        <w:spacing w:before="0" w:after="0" w:line="360" w:lineRule="auto"/>
        <w:rPr>
          <w:rFonts w:ascii="宋体" w:hAnsi="宋体" w:eastAsia="宋体" w:cs="黑体"/>
          <w:color w:val="auto"/>
          <w:kern w:val="0"/>
          <w:sz w:val="21"/>
          <w:szCs w:val="28"/>
          <w:highlight w:val="none"/>
        </w:rPr>
      </w:pPr>
      <w:bookmarkStart w:id="28" w:name="_Toc7650"/>
      <w:bookmarkStart w:id="29" w:name="_Toc57494662"/>
      <w:bookmarkStart w:id="30" w:name="_Toc24534"/>
      <w:bookmarkStart w:id="31" w:name="_1.2 语言文字"/>
      <w:r>
        <w:rPr>
          <w:rFonts w:ascii="宋体" w:hAnsi="宋体" w:eastAsia="宋体" w:cs="Times New Roman"/>
          <w:color w:val="auto"/>
          <w:kern w:val="0"/>
          <w:sz w:val="21"/>
          <w:szCs w:val="28"/>
          <w:highlight w:val="none"/>
        </w:rPr>
        <w:t xml:space="preserve">1.2 </w:t>
      </w:r>
      <w:r>
        <w:rPr>
          <w:rFonts w:hint="eastAsia" w:ascii="宋体" w:hAnsi="宋体" w:eastAsia="宋体" w:cs="黑体"/>
          <w:color w:val="auto"/>
          <w:kern w:val="0"/>
          <w:sz w:val="21"/>
          <w:szCs w:val="28"/>
          <w:highlight w:val="none"/>
        </w:rPr>
        <w:t>语言文字</w:t>
      </w:r>
      <w:bookmarkEnd w:id="28"/>
      <w:bookmarkEnd w:id="29"/>
      <w:bookmarkEnd w:id="30"/>
    </w:p>
    <w:bookmarkEnd w:id="31"/>
    <w:p w14:paraId="19A9442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合同使用的语言文字为中文。专用术语使用外文的，应附有中文注释。</w:t>
      </w:r>
    </w:p>
    <w:p w14:paraId="07B4DD45">
      <w:pPr>
        <w:pStyle w:val="5"/>
        <w:spacing w:before="0" w:after="0" w:line="360" w:lineRule="auto"/>
        <w:rPr>
          <w:rFonts w:ascii="宋体" w:hAnsi="宋体" w:eastAsia="宋体" w:cs="黑体"/>
          <w:color w:val="auto"/>
          <w:kern w:val="0"/>
          <w:sz w:val="21"/>
          <w:szCs w:val="28"/>
          <w:highlight w:val="none"/>
        </w:rPr>
      </w:pPr>
      <w:bookmarkStart w:id="32" w:name="_Toc22287"/>
      <w:bookmarkStart w:id="33" w:name="_Toc15796"/>
      <w:bookmarkStart w:id="34" w:name="_Toc57494663"/>
      <w:bookmarkStart w:id="35" w:name="_1.3 合同文件的优先顺序"/>
      <w:r>
        <w:rPr>
          <w:rFonts w:ascii="宋体" w:hAnsi="宋体" w:eastAsia="宋体" w:cs="黑体"/>
          <w:color w:val="auto"/>
          <w:kern w:val="0"/>
          <w:sz w:val="21"/>
          <w:szCs w:val="28"/>
          <w:highlight w:val="none"/>
        </w:rPr>
        <w:t xml:space="preserve">1.3 </w:t>
      </w:r>
      <w:r>
        <w:rPr>
          <w:rFonts w:hint="eastAsia" w:ascii="宋体" w:hAnsi="宋体" w:eastAsia="宋体" w:cs="黑体"/>
          <w:color w:val="auto"/>
          <w:kern w:val="0"/>
          <w:sz w:val="21"/>
          <w:szCs w:val="28"/>
          <w:highlight w:val="none"/>
        </w:rPr>
        <w:t>合同文件的优先顺序</w:t>
      </w:r>
      <w:bookmarkEnd w:id="32"/>
      <w:bookmarkEnd w:id="33"/>
      <w:bookmarkEnd w:id="34"/>
    </w:p>
    <w:bookmarkEnd w:id="35"/>
    <w:p w14:paraId="63081F0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组成合同的各项文件应互相解释，互为说明。除专用合同条款另有约定外，解释合同文件的优先顺序如下：</w:t>
      </w:r>
    </w:p>
    <w:p w14:paraId="459E1DE9">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）合同协议书；</w:t>
      </w:r>
    </w:p>
    <w:p w14:paraId="0592CA8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2</w:t>
      </w:r>
      <w:r>
        <w:rPr>
          <w:rFonts w:hint="eastAsia" w:ascii="宋体" w:hAnsi="宋体" w:eastAsia="宋体" w:cs="宋体"/>
          <w:color w:val="auto"/>
          <w:kern w:val="0"/>
          <w:szCs w:val="21"/>
          <w:highlight w:val="none"/>
        </w:rPr>
        <w:t>）中标通知书；</w:t>
      </w:r>
    </w:p>
    <w:p w14:paraId="187C272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3</w:t>
      </w:r>
      <w:r>
        <w:rPr>
          <w:rFonts w:hint="eastAsia" w:ascii="宋体" w:hAnsi="宋体" w:eastAsia="宋体" w:cs="宋体"/>
          <w:color w:val="auto"/>
          <w:kern w:val="0"/>
          <w:szCs w:val="21"/>
          <w:highlight w:val="none"/>
        </w:rPr>
        <w:t>）投标函；</w:t>
      </w:r>
    </w:p>
    <w:p w14:paraId="057012E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4</w:t>
      </w:r>
      <w:r>
        <w:rPr>
          <w:rFonts w:hint="eastAsia" w:ascii="宋体" w:hAnsi="宋体" w:eastAsia="宋体" w:cs="宋体"/>
          <w:color w:val="auto"/>
          <w:kern w:val="0"/>
          <w:szCs w:val="21"/>
          <w:highlight w:val="none"/>
        </w:rPr>
        <w:t>）商务和技术偏差表；</w:t>
      </w:r>
    </w:p>
    <w:p w14:paraId="15886F8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5</w:t>
      </w:r>
      <w:r>
        <w:rPr>
          <w:rFonts w:hint="eastAsia" w:ascii="宋体" w:hAnsi="宋体" w:eastAsia="宋体" w:cs="宋体"/>
          <w:color w:val="auto"/>
          <w:kern w:val="0"/>
          <w:szCs w:val="21"/>
          <w:highlight w:val="none"/>
        </w:rPr>
        <w:t>）专用合同条款；</w:t>
      </w:r>
    </w:p>
    <w:p w14:paraId="37B32B4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6</w:t>
      </w:r>
      <w:r>
        <w:rPr>
          <w:rFonts w:hint="eastAsia" w:ascii="宋体" w:hAnsi="宋体" w:eastAsia="宋体" w:cs="宋体"/>
          <w:color w:val="auto"/>
          <w:kern w:val="0"/>
          <w:szCs w:val="21"/>
          <w:highlight w:val="none"/>
        </w:rPr>
        <w:t>）通用合同条款；</w:t>
      </w:r>
    </w:p>
    <w:p w14:paraId="03423EB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7</w:t>
      </w:r>
      <w:r>
        <w:rPr>
          <w:rFonts w:hint="eastAsia" w:ascii="宋体" w:hAnsi="宋体" w:eastAsia="宋体" w:cs="宋体"/>
          <w:color w:val="auto"/>
          <w:kern w:val="0"/>
          <w:szCs w:val="21"/>
          <w:highlight w:val="none"/>
        </w:rPr>
        <w:t>）供货要求；</w:t>
      </w:r>
    </w:p>
    <w:p w14:paraId="0F96C4E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8</w:t>
      </w:r>
      <w:r>
        <w:rPr>
          <w:rFonts w:hint="eastAsia" w:ascii="宋体" w:hAnsi="宋体" w:eastAsia="宋体" w:cs="宋体"/>
          <w:color w:val="auto"/>
          <w:kern w:val="0"/>
          <w:szCs w:val="21"/>
          <w:highlight w:val="none"/>
        </w:rPr>
        <w:t>）分项报价表；</w:t>
      </w:r>
    </w:p>
    <w:p w14:paraId="1637CC4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9</w:t>
      </w:r>
      <w:r>
        <w:rPr>
          <w:rFonts w:hint="eastAsia" w:ascii="宋体" w:hAnsi="宋体" w:eastAsia="宋体" w:cs="宋体"/>
          <w:color w:val="auto"/>
          <w:kern w:val="0"/>
          <w:szCs w:val="21"/>
          <w:highlight w:val="none"/>
        </w:rPr>
        <w:t>）中标设备技术性能指标的详细描述；</w:t>
      </w:r>
    </w:p>
    <w:p w14:paraId="2DB9939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10</w:t>
      </w:r>
      <w:r>
        <w:rPr>
          <w:rFonts w:hint="eastAsia" w:ascii="宋体" w:hAnsi="宋体" w:eastAsia="宋体" w:cs="宋体"/>
          <w:color w:val="auto"/>
          <w:kern w:val="0"/>
          <w:szCs w:val="21"/>
          <w:highlight w:val="none"/>
        </w:rPr>
        <w:t>）技术服务和质保期服务计划；</w:t>
      </w:r>
    </w:p>
    <w:p w14:paraId="42F5307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11</w:t>
      </w:r>
      <w:r>
        <w:rPr>
          <w:rFonts w:hint="eastAsia" w:ascii="宋体" w:hAnsi="宋体" w:eastAsia="宋体" w:cs="宋体"/>
          <w:color w:val="auto"/>
          <w:kern w:val="0"/>
          <w:szCs w:val="21"/>
          <w:highlight w:val="none"/>
        </w:rPr>
        <w:t>）其他合同文件。</w:t>
      </w:r>
    </w:p>
    <w:p w14:paraId="79A0D47F">
      <w:pPr>
        <w:pStyle w:val="5"/>
        <w:spacing w:before="0" w:after="0" w:line="360" w:lineRule="auto"/>
        <w:rPr>
          <w:rFonts w:ascii="宋体" w:hAnsi="宋体" w:eastAsia="宋体" w:cs="黑体"/>
          <w:color w:val="auto"/>
          <w:kern w:val="0"/>
          <w:sz w:val="21"/>
          <w:szCs w:val="28"/>
          <w:highlight w:val="none"/>
        </w:rPr>
      </w:pPr>
      <w:bookmarkStart w:id="36" w:name="_Toc57494664"/>
      <w:bookmarkStart w:id="37" w:name="_Toc19721"/>
      <w:bookmarkStart w:id="38" w:name="_Toc10376"/>
      <w:bookmarkStart w:id="39" w:name="_1.4 合同的生效及变更"/>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合同的生效及变更</w:t>
      </w:r>
      <w:bookmarkEnd w:id="36"/>
      <w:bookmarkEnd w:id="37"/>
      <w:bookmarkEnd w:id="38"/>
    </w:p>
    <w:bookmarkEnd w:id="39"/>
    <w:p w14:paraId="6BF3EAB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宋体"/>
          <w:color w:val="auto"/>
          <w:kern w:val="0"/>
          <w:szCs w:val="21"/>
          <w:highlight w:val="none"/>
        </w:rPr>
        <w:t>除专用合同条款另有约定外，买方和卖方的法定代表人（单位负责人）或其授权代表在合同协议书上签</w:t>
      </w:r>
      <w:r>
        <w:rPr>
          <w:rFonts w:hint="eastAsia" w:ascii="宋体" w:hAnsi="宋体" w:eastAsia="宋体" w:cs="宋体"/>
          <w:color w:val="auto"/>
          <w:kern w:val="0"/>
          <w:szCs w:val="21"/>
          <w:highlight w:val="none"/>
          <w:lang w:eastAsia="zh-CN"/>
        </w:rPr>
        <w:t>名</w:t>
      </w:r>
      <w:r>
        <w:rPr>
          <w:rFonts w:hint="eastAsia" w:ascii="宋体" w:hAnsi="宋体" w:eastAsia="宋体" w:cs="宋体"/>
          <w:color w:val="auto"/>
          <w:kern w:val="0"/>
          <w:szCs w:val="21"/>
          <w:highlight w:val="none"/>
        </w:rPr>
        <w:t>并加盖单位章后，合同生效。</w:t>
      </w:r>
    </w:p>
    <w:p w14:paraId="47F1E2F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1.4.2 </w:t>
      </w:r>
      <w:r>
        <w:rPr>
          <w:rFonts w:hint="eastAsia" w:ascii="宋体" w:hAnsi="宋体" w:eastAsia="宋体" w:cs="宋体"/>
          <w:color w:val="auto"/>
          <w:kern w:val="0"/>
          <w:szCs w:val="21"/>
          <w:highlight w:val="none"/>
        </w:rPr>
        <w:t>除专用合同条款另有约定外，在合同履行过程中，如需对合同进行变更，双方应签订书面协议，并经双方法定代表人（单位负责人）或其授权代表签</w:t>
      </w:r>
      <w:r>
        <w:rPr>
          <w:rFonts w:hint="eastAsia" w:ascii="宋体" w:hAnsi="宋体" w:eastAsia="宋体" w:cs="宋体"/>
          <w:color w:val="auto"/>
          <w:kern w:val="0"/>
          <w:szCs w:val="21"/>
          <w:highlight w:val="none"/>
          <w:lang w:eastAsia="zh-CN"/>
        </w:rPr>
        <w:t>名</w:t>
      </w:r>
      <w:r>
        <w:rPr>
          <w:rFonts w:hint="eastAsia" w:ascii="宋体" w:hAnsi="宋体" w:eastAsia="宋体" w:cs="宋体"/>
          <w:color w:val="auto"/>
          <w:kern w:val="0"/>
          <w:szCs w:val="21"/>
          <w:highlight w:val="none"/>
        </w:rPr>
        <w:t>并加盖单位章后生效。</w:t>
      </w:r>
    </w:p>
    <w:p w14:paraId="38275573">
      <w:pPr>
        <w:pStyle w:val="5"/>
        <w:spacing w:before="0" w:after="0" w:line="360" w:lineRule="auto"/>
        <w:rPr>
          <w:rFonts w:ascii="宋体" w:hAnsi="宋体" w:eastAsia="宋体" w:cs="黑体"/>
          <w:color w:val="auto"/>
          <w:kern w:val="0"/>
          <w:sz w:val="21"/>
          <w:szCs w:val="28"/>
          <w:highlight w:val="none"/>
        </w:rPr>
      </w:pPr>
      <w:bookmarkStart w:id="40" w:name="_Toc57494665"/>
      <w:bookmarkStart w:id="41" w:name="_Toc7051"/>
      <w:bookmarkStart w:id="42" w:name="_Toc23537"/>
      <w:bookmarkStart w:id="43" w:name="_1.5 联络"/>
      <w:r>
        <w:rPr>
          <w:rFonts w:ascii="宋体" w:hAnsi="宋体" w:eastAsia="宋体" w:cs="黑体"/>
          <w:color w:val="auto"/>
          <w:kern w:val="0"/>
          <w:sz w:val="21"/>
          <w:szCs w:val="28"/>
          <w:highlight w:val="none"/>
        </w:rPr>
        <w:t xml:space="preserve">1.5 </w:t>
      </w:r>
      <w:r>
        <w:rPr>
          <w:rFonts w:hint="eastAsia" w:ascii="宋体" w:hAnsi="宋体" w:eastAsia="宋体" w:cs="黑体"/>
          <w:color w:val="auto"/>
          <w:kern w:val="0"/>
          <w:sz w:val="21"/>
          <w:szCs w:val="28"/>
          <w:highlight w:val="none"/>
        </w:rPr>
        <w:t>联络</w:t>
      </w:r>
      <w:bookmarkEnd w:id="40"/>
      <w:bookmarkEnd w:id="41"/>
      <w:bookmarkEnd w:id="42"/>
    </w:p>
    <w:bookmarkEnd w:id="43"/>
    <w:p w14:paraId="3073158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1.5.1 </w:t>
      </w:r>
      <w:r>
        <w:rPr>
          <w:rFonts w:hint="eastAsia" w:ascii="宋体" w:hAnsi="宋体" w:eastAsia="宋体" w:cs="宋体"/>
          <w:color w:val="auto"/>
          <w:kern w:val="0"/>
          <w:szCs w:val="21"/>
          <w:highlight w:val="none"/>
        </w:rPr>
        <w:t>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2EDB586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1.5.2 </w:t>
      </w:r>
      <w:r>
        <w:rPr>
          <w:rFonts w:hint="eastAsia" w:ascii="宋体" w:hAnsi="宋体" w:eastAsia="宋体" w:cs="宋体"/>
          <w:color w:val="auto"/>
          <w:kern w:val="0"/>
          <w:szCs w:val="21"/>
          <w:highlight w:val="none"/>
        </w:rPr>
        <w:t>合同履行中或与合同有关的任何联络，送达到第</w:t>
      </w:r>
      <w:r>
        <w:rPr>
          <w:rFonts w:ascii="宋体" w:hAnsi="宋体" w:eastAsia="宋体" w:cs="Times New Roman"/>
          <w:color w:val="auto"/>
          <w:kern w:val="0"/>
          <w:szCs w:val="21"/>
          <w:highlight w:val="none"/>
        </w:rPr>
        <w:t>1.5.1</w:t>
      </w:r>
      <w:r>
        <w:rPr>
          <w:rFonts w:hint="eastAsia" w:ascii="宋体" w:hAnsi="宋体" w:eastAsia="宋体" w:cs="宋体"/>
          <w:color w:val="auto"/>
          <w:kern w:val="0"/>
          <w:szCs w:val="21"/>
          <w:highlight w:val="none"/>
        </w:rPr>
        <w:t>项指定的联系人即视为送达。</w:t>
      </w:r>
    </w:p>
    <w:p w14:paraId="486B2D6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1.5.3 </w:t>
      </w:r>
      <w:r>
        <w:rPr>
          <w:rFonts w:hint="eastAsia" w:ascii="宋体" w:hAnsi="宋体" w:eastAsia="宋体" w:cs="宋体"/>
          <w:color w:val="auto"/>
          <w:kern w:val="0"/>
          <w:szCs w:val="21"/>
          <w:highlight w:val="none"/>
        </w:rPr>
        <w:t>买方可以安排监理等相关人员作为买方人员，与卖方进行联络或参加合同设备的监造（如有）、交货前检验（如有）、开箱检验、安装、调试、考核、验收等，但应按照第</w:t>
      </w:r>
      <w:r>
        <w:rPr>
          <w:rFonts w:ascii="宋体" w:hAnsi="宋体" w:eastAsia="宋体" w:cs="Times New Roman"/>
          <w:color w:val="auto"/>
          <w:kern w:val="0"/>
          <w:szCs w:val="21"/>
          <w:highlight w:val="none"/>
        </w:rPr>
        <w:t>1.5.1</w:t>
      </w:r>
      <w:r>
        <w:rPr>
          <w:rFonts w:hint="eastAsia" w:ascii="宋体" w:hAnsi="宋体" w:eastAsia="宋体" w:cs="宋体"/>
          <w:color w:val="auto"/>
          <w:kern w:val="0"/>
          <w:szCs w:val="21"/>
          <w:highlight w:val="none"/>
        </w:rPr>
        <w:t>项的约定事先书面通知卖方。</w:t>
      </w:r>
    </w:p>
    <w:p w14:paraId="4FA22363">
      <w:pPr>
        <w:pStyle w:val="5"/>
        <w:spacing w:before="0" w:after="0" w:line="360" w:lineRule="auto"/>
        <w:rPr>
          <w:rFonts w:ascii="宋体" w:hAnsi="宋体" w:eastAsia="宋体" w:cs="黑体"/>
          <w:color w:val="auto"/>
          <w:kern w:val="0"/>
          <w:sz w:val="21"/>
          <w:szCs w:val="28"/>
          <w:highlight w:val="none"/>
        </w:rPr>
      </w:pPr>
      <w:bookmarkStart w:id="44" w:name="_Toc57494666"/>
      <w:bookmarkStart w:id="45" w:name="_Toc8168"/>
      <w:bookmarkStart w:id="46" w:name="_Toc8824"/>
      <w:bookmarkStart w:id="47" w:name="_1.6 联合体"/>
      <w:r>
        <w:rPr>
          <w:rFonts w:ascii="宋体" w:hAnsi="宋体" w:eastAsia="宋体" w:cs="黑体"/>
          <w:color w:val="auto"/>
          <w:kern w:val="0"/>
          <w:sz w:val="21"/>
          <w:szCs w:val="28"/>
          <w:highlight w:val="none"/>
        </w:rPr>
        <w:t xml:space="preserve">1.6 </w:t>
      </w:r>
      <w:r>
        <w:rPr>
          <w:rFonts w:hint="eastAsia" w:ascii="宋体" w:hAnsi="宋体" w:eastAsia="宋体" w:cs="黑体"/>
          <w:color w:val="auto"/>
          <w:kern w:val="0"/>
          <w:sz w:val="21"/>
          <w:szCs w:val="28"/>
          <w:highlight w:val="none"/>
        </w:rPr>
        <w:t>联合体</w:t>
      </w:r>
      <w:bookmarkEnd w:id="44"/>
      <w:bookmarkEnd w:id="45"/>
      <w:bookmarkEnd w:id="46"/>
    </w:p>
    <w:bookmarkEnd w:id="47"/>
    <w:p w14:paraId="7F2BC55B">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1.6.1 </w:t>
      </w:r>
      <w:r>
        <w:rPr>
          <w:rFonts w:hint="eastAsia" w:ascii="宋体" w:hAnsi="宋体" w:eastAsia="宋体" w:cs="宋体"/>
          <w:color w:val="auto"/>
          <w:sz w:val="21"/>
          <w:szCs w:val="21"/>
          <w:highlight w:val="none"/>
        </w:rPr>
        <w:t>卖方为联合体的，联合体各方应当共同与买方签订合同，并向买方为履行合同承担连带责任。</w:t>
      </w:r>
    </w:p>
    <w:p w14:paraId="687C32AF">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1.6.2 </w:t>
      </w:r>
      <w:r>
        <w:rPr>
          <w:rFonts w:hint="eastAsia" w:ascii="宋体" w:hAnsi="宋体" w:eastAsia="宋体" w:cs="宋体"/>
          <w:color w:val="auto"/>
          <w:sz w:val="21"/>
          <w:szCs w:val="21"/>
          <w:highlight w:val="none"/>
        </w:rPr>
        <w:t>在合同履行过程中，未经买方同意，不得修改联合体协议。联合体协议中关于联合体成员间权利义务的划分，并不影响或减损联合体各方应就履行合同向买方承担的连带责任。</w:t>
      </w:r>
    </w:p>
    <w:p w14:paraId="551883D8">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1.6.3 </w:t>
      </w:r>
      <w:r>
        <w:rPr>
          <w:rFonts w:hint="eastAsia" w:ascii="宋体" w:hAnsi="宋体" w:eastAsia="宋体" w:cs="宋体"/>
          <w:color w:val="auto"/>
          <w:sz w:val="21"/>
          <w:szCs w:val="21"/>
          <w:highlight w:val="none"/>
        </w:rPr>
        <w:t>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5B8CC74C">
      <w:pPr>
        <w:pStyle w:val="5"/>
        <w:spacing w:before="0" w:after="0" w:line="360" w:lineRule="auto"/>
        <w:rPr>
          <w:rFonts w:ascii="宋体" w:hAnsi="宋体" w:eastAsia="宋体" w:cs="黑体"/>
          <w:color w:val="auto"/>
          <w:kern w:val="0"/>
          <w:sz w:val="21"/>
          <w:szCs w:val="28"/>
          <w:highlight w:val="none"/>
        </w:rPr>
      </w:pPr>
      <w:bookmarkStart w:id="48" w:name="_Toc57494667"/>
      <w:bookmarkStart w:id="49" w:name="_Toc14157"/>
      <w:bookmarkStart w:id="50" w:name="_Toc32661"/>
      <w:bookmarkStart w:id="51" w:name="_1.7 转让"/>
      <w:r>
        <w:rPr>
          <w:rFonts w:ascii="宋体" w:hAnsi="宋体" w:eastAsia="宋体" w:cs="黑体"/>
          <w:color w:val="auto"/>
          <w:kern w:val="0"/>
          <w:sz w:val="21"/>
          <w:szCs w:val="28"/>
          <w:highlight w:val="none"/>
        </w:rPr>
        <w:t xml:space="preserve">1.7 </w:t>
      </w:r>
      <w:r>
        <w:rPr>
          <w:rFonts w:hint="eastAsia" w:ascii="宋体" w:hAnsi="宋体" w:eastAsia="宋体" w:cs="黑体"/>
          <w:color w:val="auto"/>
          <w:kern w:val="0"/>
          <w:sz w:val="21"/>
          <w:szCs w:val="28"/>
          <w:highlight w:val="none"/>
        </w:rPr>
        <w:t>转让</w:t>
      </w:r>
      <w:bookmarkEnd w:id="48"/>
      <w:bookmarkEnd w:id="49"/>
      <w:bookmarkEnd w:id="50"/>
    </w:p>
    <w:bookmarkEnd w:id="51"/>
    <w:p w14:paraId="460049B8">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未经对方当事人书面同意，合同任何一方均不得转让其在合同项下的权利和（或）义务。</w:t>
      </w:r>
    </w:p>
    <w:p w14:paraId="3FB0AAE6">
      <w:pPr>
        <w:pStyle w:val="4"/>
        <w:spacing w:before="0" w:after="0" w:line="360" w:lineRule="auto"/>
        <w:rPr>
          <w:rFonts w:ascii="宋体" w:hAnsi="宋体" w:eastAsia="宋体" w:cs="Times New Roman"/>
          <w:color w:val="auto"/>
          <w:kern w:val="0"/>
          <w:sz w:val="21"/>
          <w:szCs w:val="21"/>
          <w:highlight w:val="none"/>
        </w:rPr>
      </w:pPr>
      <w:bookmarkStart w:id="52" w:name="_Toc57494668"/>
      <w:bookmarkStart w:id="53" w:name="_Toc24456"/>
      <w:bookmarkStart w:id="54" w:name="_Toc9461"/>
      <w:r>
        <w:rPr>
          <w:rFonts w:ascii="宋体" w:hAnsi="宋体" w:eastAsia="宋体" w:cs="Times New Roman"/>
          <w:color w:val="auto"/>
          <w:kern w:val="0"/>
          <w:sz w:val="21"/>
          <w:szCs w:val="21"/>
          <w:highlight w:val="none"/>
        </w:rPr>
        <w:t xml:space="preserve">2. </w:t>
      </w:r>
      <w:r>
        <w:rPr>
          <w:rFonts w:hint="eastAsia" w:ascii="宋体" w:hAnsi="宋体" w:eastAsia="宋体" w:cs="Times New Roman"/>
          <w:color w:val="auto"/>
          <w:kern w:val="0"/>
          <w:sz w:val="21"/>
          <w:szCs w:val="21"/>
          <w:highlight w:val="none"/>
        </w:rPr>
        <w:t>合同范围</w:t>
      </w:r>
      <w:bookmarkEnd w:id="52"/>
      <w:bookmarkEnd w:id="53"/>
      <w:bookmarkEnd w:id="54"/>
    </w:p>
    <w:p w14:paraId="2C826EF2">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卖方应根据供货要求、中标设备技术性能指标的详细描述、技术服务和质保期服务计划等合同文件的约定向买方提供合同设备、技术服务和质保期服务。</w:t>
      </w:r>
    </w:p>
    <w:p w14:paraId="68DE9446">
      <w:pPr>
        <w:pStyle w:val="4"/>
        <w:spacing w:before="0" w:after="0" w:line="360" w:lineRule="auto"/>
        <w:rPr>
          <w:rFonts w:ascii="宋体" w:hAnsi="宋体" w:eastAsia="宋体" w:cs="Times New Roman"/>
          <w:color w:val="auto"/>
          <w:kern w:val="0"/>
          <w:sz w:val="21"/>
          <w:szCs w:val="21"/>
          <w:highlight w:val="none"/>
        </w:rPr>
      </w:pPr>
      <w:bookmarkStart w:id="55" w:name="_Toc4823"/>
      <w:bookmarkStart w:id="56" w:name="_Toc1935"/>
      <w:bookmarkStart w:id="57" w:name="_Toc57494669"/>
      <w:r>
        <w:rPr>
          <w:rFonts w:ascii="宋体" w:hAnsi="宋体" w:eastAsia="宋体" w:cs="Times New Roman"/>
          <w:color w:val="auto"/>
          <w:kern w:val="0"/>
          <w:sz w:val="21"/>
          <w:szCs w:val="21"/>
          <w:highlight w:val="none"/>
        </w:rPr>
        <w:t xml:space="preserve">3. </w:t>
      </w:r>
      <w:r>
        <w:rPr>
          <w:rFonts w:hint="eastAsia" w:ascii="宋体" w:hAnsi="宋体" w:eastAsia="宋体" w:cs="Times New Roman"/>
          <w:color w:val="auto"/>
          <w:kern w:val="0"/>
          <w:sz w:val="21"/>
          <w:szCs w:val="21"/>
          <w:highlight w:val="none"/>
        </w:rPr>
        <w:t>合同价格与支付</w:t>
      </w:r>
      <w:bookmarkEnd w:id="55"/>
      <w:bookmarkEnd w:id="56"/>
      <w:bookmarkEnd w:id="57"/>
    </w:p>
    <w:p w14:paraId="156270A9">
      <w:pPr>
        <w:pStyle w:val="5"/>
        <w:spacing w:before="0" w:after="0" w:line="360" w:lineRule="auto"/>
        <w:rPr>
          <w:rFonts w:ascii="宋体" w:hAnsi="宋体" w:eastAsia="宋体" w:cs="黑体"/>
          <w:color w:val="auto"/>
          <w:kern w:val="0"/>
          <w:sz w:val="21"/>
          <w:szCs w:val="28"/>
          <w:highlight w:val="none"/>
        </w:rPr>
      </w:pPr>
      <w:bookmarkStart w:id="58" w:name="_Toc5207"/>
      <w:bookmarkStart w:id="59" w:name="_Toc18369"/>
      <w:bookmarkStart w:id="60" w:name="_Toc57494670"/>
      <w:r>
        <w:rPr>
          <w:rFonts w:ascii="宋体" w:hAnsi="宋体" w:eastAsia="宋体" w:cs="黑体"/>
          <w:color w:val="auto"/>
          <w:kern w:val="0"/>
          <w:sz w:val="21"/>
          <w:szCs w:val="28"/>
          <w:highlight w:val="none"/>
        </w:rPr>
        <w:t xml:space="preserve">3.1 </w:t>
      </w:r>
      <w:r>
        <w:rPr>
          <w:rFonts w:hint="eastAsia" w:ascii="宋体" w:hAnsi="宋体" w:eastAsia="宋体" w:cs="黑体"/>
          <w:color w:val="auto"/>
          <w:kern w:val="0"/>
          <w:sz w:val="21"/>
          <w:szCs w:val="28"/>
          <w:highlight w:val="none"/>
        </w:rPr>
        <w:t>合同价格</w:t>
      </w:r>
      <w:bookmarkEnd w:id="58"/>
      <w:bookmarkEnd w:id="59"/>
      <w:bookmarkEnd w:id="60"/>
    </w:p>
    <w:p w14:paraId="0DAFCB10">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3.1.1 </w:t>
      </w:r>
      <w:r>
        <w:rPr>
          <w:rFonts w:hint="eastAsia" w:ascii="宋体" w:hAnsi="宋体" w:eastAsia="宋体" w:cs="宋体"/>
          <w:color w:val="auto"/>
          <w:sz w:val="21"/>
          <w:szCs w:val="21"/>
          <w:highlight w:val="none"/>
        </w:rPr>
        <w:t>合同协议书中载明的签约合同价包括卖方为完成合同全部义务应承担的一切成本、费用和支出以及卖方的合理利润。</w:t>
      </w:r>
    </w:p>
    <w:p w14:paraId="3B28756C">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3.1.2 </w:t>
      </w:r>
      <w:r>
        <w:rPr>
          <w:rFonts w:hint="eastAsia" w:ascii="宋体" w:hAnsi="宋体" w:eastAsia="宋体" w:cs="宋体"/>
          <w:color w:val="auto"/>
          <w:sz w:val="21"/>
          <w:szCs w:val="21"/>
          <w:highlight w:val="none"/>
        </w:rPr>
        <w:t>除专用合同条款另有约定外，签约合同价为固定价格。</w:t>
      </w:r>
    </w:p>
    <w:p w14:paraId="52D1108B">
      <w:pPr>
        <w:pStyle w:val="5"/>
        <w:spacing w:before="0" w:after="0" w:line="360" w:lineRule="auto"/>
        <w:rPr>
          <w:rFonts w:ascii="宋体" w:hAnsi="宋体" w:eastAsia="宋体" w:cs="黑体"/>
          <w:color w:val="auto"/>
          <w:kern w:val="0"/>
          <w:sz w:val="21"/>
          <w:szCs w:val="28"/>
          <w:highlight w:val="none"/>
        </w:rPr>
      </w:pPr>
      <w:bookmarkStart w:id="61" w:name="_Toc28312"/>
      <w:bookmarkStart w:id="62" w:name="_Toc8000"/>
      <w:bookmarkStart w:id="63" w:name="_Toc57494671"/>
      <w:r>
        <w:rPr>
          <w:rFonts w:ascii="宋体" w:hAnsi="宋体" w:eastAsia="宋体" w:cs="黑体"/>
          <w:color w:val="auto"/>
          <w:kern w:val="0"/>
          <w:sz w:val="21"/>
          <w:szCs w:val="28"/>
          <w:highlight w:val="none"/>
        </w:rPr>
        <w:t xml:space="preserve">3.2 </w:t>
      </w:r>
      <w:r>
        <w:rPr>
          <w:rFonts w:hint="eastAsia" w:ascii="宋体" w:hAnsi="宋体" w:eastAsia="宋体" w:cs="黑体"/>
          <w:color w:val="auto"/>
          <w:kern w:val="0"/>
          <w:sz w:val="21"/>
          <w:szCs w:val="28"/>
          <w:highlight w:val="none"/>
        </w:rPr>
        <w:t>合同价款的支付</w:t>
      </w:r>
      <w:bookmarkEnd w:id="61"/>
      <w:bookmarkEnd w:id="62"/>
      <w:bookmarkEnd w:id="63"/>
    </w:p>
    <w:p w14:paraId="39E50C53">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除专用合同条款另有约定外，买方应通过以下方式和比例向卖方支付合同价款：</w:t>
      </w:r>
    </w:p>
    <w:p w14:paraId="711BAF86">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3.2.1 </w:t>
      </w:r>
      <w:r>
        <w:rPr>
          <w:rFonts w:hint="eastAsia" w:ascii="宋体" w:hAnsi="宋体" w:eastAsia="宋体" w:cs="宋体"/>
          <w:color w:val="auto"/>
          <w:sz w:val="21"/>
          <w:szCs w:val="21"/>
          <w:highlight w:val="none"/>
        </w:rPr>
        <w:t>预付款</w:t>
      </w:r>
    </w:p>
    <w:p w14:paraId="014E66C4">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合同生效后，买方在收到卖方开具的注明应付预付款金额的财务收据正本一份并经审核无误后</w:t>
      </w:r>
      <w:r>
        <w:rPr>
          <w:rFonts w:hint="eastAsia" w:ascii="宋体" w:hAnsi="宋体" w:eastAsia="宋体"/>
          <w:color w:val="auto"/>
          <w:sz w:val="21"/>
          <w:szCs w:val="21"/>
          <w:highlight w:val="none"/>
        </w:rPr>
        <w:t>60</w:t>
      </w:r>
      <w:r>
        <w:rPr>
          <w:rFonts w:hint="eastAsia" w:ascii="宋体" w:hAnsi="宋体" w:eastAsia="宋体" w:cs="宋体"/>
          <w:color w:val="auto"/>
          <w:sz w:val="21"/>
          <w:szCs w:val="21"/>
          <w:highlight w:val="none"/>
        </w:rPr>
        <w:t>日内，向卖方支付签约合同价的</w:t>
      </w:r>
      <w:r>
        <w:rPr>
          <w:rFonts w:ascii="宋体" w:hAnsi="宋体" w:eastAsia="宋体"/>
          <w:color w:val="auto"/>
          <w:sz w:val="21"/>
          <w:szCs w:val="21"/>
          <w:highlight w:val="none"/>
        </w:rPr>
        <w:t>10%</w:t>
      </w:r>
      <w:r>
        <w:rPr>
          <w:rFonts w:hint="eastAsia" w:ascii="宋体" w:hAnsi="宋体" w:eastAsia="宋体" w:cs="宋体"/>
          <w:color w:val="auto"/>
          <w:sz w:val="21"/>
          <w:szCs w:val="21"/>
          <w:highlight w:val="none"/>
        </w:rPr>
        <w:t>作为预付款。</w:t>
      </w:r>
    </w:p>
    <w:p w14:paraId="544D216E">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买方支付预付款后，如卖方未履行合同义务，则买方有权收回预付款；如卖方依约履行了合同义务，则预付款抵作合同价款。</w:t>
      </w:r>
    </w:p>
    <w:p w14:paraId="061B57BA">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3.2.2 </w:t>
      </w:r>
      <w:r>
        <w:rPr>
          <w:rFonts w:hint="eastAsia" w:ascii="宋体" w:hAnsi="宋体" w:eastAsia="宋体" w:cs="宋体"/>
          <w:color w:val="auto"/>
          <w:sz w:val="21"/>
          <w:szCs w:val="21"/>
          <w:highlight w:val="none"/>
        </w:rPr>
        <w:t>交货款</w:t>
      </w:r>
    </w:p>
    <w:p w14:paraId="60570420">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卖方按合同约定交付全部合同设备后，买方在收到卖方提交的下列全部单据并经审核无误后</w:t>
      </w:r>
      <w:r>
        <w:rPr>
          <w:rFonts w:hint="eastAsia" w:ascii="宋体" w:hAnsi="宋体" w:eastAsia="宋体"/>
          <w:color w:val="auto"/>
          <w:sz w:val="21"/>
          <w:szCs w:val="21"/>
          <w:highlight w:val="none"/>
        </w:rPr>
        <w:t>60</w:t>
      </w:r>
      <w:r>
        <w:rPr>
          <w:rFonts w:hint="eastAsia" w:ascii="宋体" w:hAnsi="宋体" w:eastAsia="宋体" w:cs="宋体"/>
          <w:color w:val="auto"/>
          <w:sz w:val="21"/>
          <w:szCs w:val="21"/>
          <w:highlight w:val="none"/>
        </w:rPr>
        <w:t>日内，向卖方支付合同价格的</w:t>
      </w:r>
      <w:r>
        <w:rPr>
          <w:rFonts w:ascii="宋体" w:hAnsi="宋体" w:eastAsia="宋体"/>
          <w:color w:val="auto"/>
          <w:sz w:val="21"/>
          <w:szCs w:val="21"/>
          <w:highlight w:val="none"/>
        </w:rPr>
        <w:t>60%</w:t>
      </w:r>
      <w:r>
        <w:rPr>
          <w:rFonts w:hint="eastAsia" w:ascii="宋体" w:hAnsi="宋体" w:eastAsia="宋体" w:cs="宋体"/>
          <w:color w:val="auto"/>
          <w:sz w:val="21"/>
          <w:szCs w:val="21"/>
          <w:highlight w:val="none"/>
        </w:rPr>
        <w:t>：</w:t>
      </w:r>
    </w:p>
    <w:p w14:paraId="319ED655">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olor w:val="auto"/>
          <w:sz w:val="21"/>
          <w:szCs w:val="21"/>
          <w:highlight w:val="none"/>
        </w:rPr>
        <w:t>1</w:t>
      </w:r>
      <w:r>
        <w:rPr>
          <w:rFonts w:hint="eastAsia" w:ascii="宋体" w:hAnsi="宋体" w:eastAsia="宋体" w:cs="宋体"/>
          <w:color w:val="auto"/>
          <w:sz w:val="21"/>
          <w:szCs w:val="21"/>
          <w:highlight w:val="none"/>
        </w:rPr>
        <w:t>）卖方出具的交货清单正本一份；</w:t>
      </w:r>
    </w:p>
    <w:p w14:paraId="7B63F23A">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olor w:val="auto"/>
          <w:sz w:val="21"/>
          <w:szCs w:val="21"/>
          <w:highlight w:val="none"/>
        </w:rPr>
        <w:t>2</w:t>
      </w:r>
      <w:r>
        <w:rPr>
          <w:rFonts w:hint="eastAsia" w:ascii="宋体" w:hAnsi="宋体" w:eastAsia="宋体" w:cs="宋体"/>
          <w:color w:val="auto"/>
          <w:sz w:val="21"/>
          <w:szCs w:val="21"/>
          <w:highlight w:val="none"/>
        </w:rPr>
        <w:t>）买方签署的收货清单正本一份；</w:t>
      </w:r>
    </w:p>
    <w:p w14:paraId="21A1E067">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olor w:val="auto"/>
          <w:sz w:val="21"/>
          <w:szCs w:val="21"/>
          <w:highlight w:val="none"/>
        </w:rPr>
        <w:t>3</w:t>
      </w:r>
      <w:r>
        <w:rPr>
          <w:rFonts w:hint="eastAsia" w:ascii="宋体" w:hAnsi="宋体" w:eastAsia="宋体" w:cs="宋体"/>
          <w:color w:val="auto"/>
          <w:sz w:val="21"/>
          <w:szCs w:val="21"/>
          <w:highlight w:val="none"/>
        </w:rPr>
        <w:t>）制造商出具的出厂质量合格证正本一份；</w:t>
      </w:r>
    </w:p>
    <w:p w14:paraId="02A5F4A4">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olor w:val="auto"/>
          <w:sz w:val="21"/>
          <w:szCs w:val="21"/>
          <w:highlight w:val="none"/>
        </w:rPr>
        <w:t>4</w:t>
      </w:r>
      <w:r>
        <w:rPr>
          <w:rFonts w:hint="eastAsia" w:ascii="宋体" w:hAnsi="宋体" w:eastAsia="宋体" w:cs="宋体"/>
          <w:color w:val="auto"/>
          <w:sz w:val="21"/>
          <w:szCs w:val="21"/>
          <w:highlight w:val="none"/>
        </w:rPr>
        <w:t>）合同价格</w:t>
      </w:r>
      <w:r>
        <w:rPr>
          <w:rFonts w:ascii="宋体" w:hAnsi="宋体" w:eastAsia="宋体"/>
          <w:color w:val="auto"/>
          <w:sz w:val="21"/>
          <w:szCs w:val="21"/>
          <w:highlight w:val="none"/>
        </w:rPr>
        <w:t>100%</w:t>
      </w:r>
      <w:r>
        <w:rPr>
          <w:rFonts w:hint="eastAsia" w:ascii="宋体" w:hAnsi="宋体" w:eastAsia="宋体" w:cs="宋体"/>
          <w:color w:val="auto"/>
          <w:sz w:val="21"/>
          <w:szCs w:val="21"/>
          <w:highlight w:val="none"/>
        </w:rPr>
        <w:t>金额的增值税发票正本一份。</w:t>
      </w:r>
    </w:p>
    <w:p w14:paraId="31283608">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3.2.3 </w:t>
      </w:r>
      <w:r>
        <w:rPr>
          <w:rFonts w:hint="eastAsia" w:ascii="宋体" w:hAnsi="宋体" w:eastAsia="宋体" w:cs="宋体"/>
          <w:color w:val="auto"/>
          <w:sz w:val="21"/>
          <w:szCs w:val="21"/>
          <w:highlight w:val="none"/>
        </w:rPr>
        <w:t>验收款</w:t>
      </w:r>
    </w:p>
    <w:p w14:paraId="00B4DF91">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买方在收到卖方提交的买卖双方签署的合同设备验收证书或已生效的验收款支付函正本一份并经审核无误后</w:t>
      </w:r>
      <w:r>
        <w:rPr>
          <w:rFonts w:hint="eastAsia" w:ascii="宋体" w:hAnsi="宋体" w:eastAsia="宋体"/>
          <w:color w:val="auto"/>
          <w:sz w:val="21"/>
          <w:szCs w:val="21"/>
          <w:highlight w:val="none"/>
        </w:rPr>
        <w:t>60</w:t>
      </w:r>
      <w:r>
        <w:rPr>
          <w:rFonts w:hint="eastAsia" w:ascii="宋体" w:hAnsi="宋体" w:eastAsia="宋体" w:cs="宋体"/>
          <w:color w:val="auto"/>
          <w:sz w:val="21"/>
          <w:szCs w:val="21"/>
          <w:highlight w:val="none"/>
        </w:rPr>
        <w:t>日内，向卖方支付合同价格的</w:t>
      </w:r>
      <w:r>
        <w:rPr>
          <w:rFonts w:ascii="宋体" w:hAnsi="宋体" w:eastAsia="宋体"/>
          <w:color w:val="auto"/>
          <w:sz w:val="21"/>
          <w:szCs w:val="21"/>
          <w:highlight w:val="none"/>
        </w:rPr>
        <w:t>25%</w:t>
      </w:r>
      <w:r>
        <w:rPr>
          <w:rFonts w:hint="eastAsia" w:ascii="宋体" w:hAnsi="宋体" w:eastAsia="宋体" w:cs="宋体"/>
          <w:color w:val="auto"/>
          <w:sz w:val="21"/>
          <w:szCs w:val="21"/>
          <w:highlight w:val="none"/>
        </w:rPr>
        <w:t>。</w:t>
      </w:r>
    </w:p>
    <w:p w14:paraId="0F590A5D">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3.2.4 </w:t>
      </w:r>
      <w:r>
        <w:rPr>
          <w:rFonts w:hint="eastAsia" w:ascii="宋体" w:hAnsi="宋体" w:eastAsia="宋体" w:cs="宋体"/>
          <w:color w:val="auto"/>
          <w:sz w:val="21"/>
          <w:szCs w:val="21"/>
          <w:highlight w:val="none"/>
        </w:rPr>
        <w:t>结清款</w:t>
      </w:r>
    </w:p>
    <w:p w14:paraId="0E62A47F">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买方在收到卖方提交的买方签署的质量保证期届满证书或已生效的结清款支付函正本一份并经审核无误后</w:t>
      </w:r>
      <w:r>
        <w:rPr>
          <w:rFonts w:hint="eastAsia" w:ascii="宋体" w:hAnsi="宋体" w:eastAsia="宋体"/>
          <w:color w:val="auto"/>
          <w:sz w:val="21"/>
          <w:szCs w:val="21"/>
          <w:highlight w:val="none"/>
        </w:rPr>
        <w:t>60</w:t>
      </w:r>
      <w:r>
        <w:rPr>
          <w:rFonts w:hint="eastAsia" w:ascii="宋体" w:hAnsi="宋体" w:eastAsia="宋体" w:cs="宋体"/>
          <w:color w:val="auto"/>
          <w:sz w:val="21"/>
          <w:szCs w:val="21"/>
          <w:highlight w:val="none"/>
        </w:rPr>
        <w:t>日内，向卖方支付合同价格的</w:t>
      </w:r>
      <w:r>
        <w:rPr>
          <w:rFonts w:ascii="宋体" w:hAnsi="宋体" w:eastAsia="宋体"/>
          <w:color w:val="auto"/>
          <w:sz w:val="21"/>
          <w:szCs w:val="21"/>
          <w:highlight w:val="none"/>
        </w:rPr>
        <w:t>5%</w:t>
      </w:r>
      <w:r>
        <w:rPr>
          <w:rFonts w:hint="eastAsia" w:ascii="宋体" w:hAnsi="宋体" w:eastAsia="宋体" w:cs="宋体"/>
          <w:color w:val="auto"/>
          <w:sz w:val="21"/>
          <w:szCs w:val="21"/>
          <w:highlight w:val="none"/>
        </w:rPr>
        <w:t>。</w:t>
      </w:r>
    </w:p>
    <w:p w14:paraId="656022A5">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如果依照合同第</w:t>
      </w:r>
      <w:r>
        <w:rPr>
          <w:rFonts w:ascii="宋体" w:hAnsi="宋体" w:eastAsia="宋体"/>
          <w:color w:val="auto"/>
          <w:sz w:val="21"/>
          <w:szCs w:val="21"/>
          <w:highlight w:val="none"/>
        </w:rPr>
        <w:t>9.1</w:t>
      </w:r>
      <w:r>
        <w:rPr>
          <w:rFonts w:hint="eastAsia" w:ascii="宋体" w:hAnsi="宋体" w:eastAsia="宋体" w:cs="宋体"/>
          <w:color w:val="auto"/>
          <w:sz w:val="21"/>
          <w:szCs w:val="21"/>
          <w:highlight w:val="none"/>
        </w:rPr>
        <w:t>项，卖方应向买方支付费用的，买方有权从结清款中直接扣除该笔费用。</w:t>
      </w:r>
    </w:p>
    <w:p w14:paraId="79D6FD4F">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除专用合同条款另有约定外，在买方向卖方支付验收款的同时或其后的任何时间内，卖方可在向买方提交买方可接受的金额为合同价格</w:t>
      </w:r>
      <w:r>
        <w:rPr>
          <w:rFonts w:ascii="宋体" w:hAnsi="宋体" w:eastAsia="宋体"/>
          <w:color w:val="auto"/>
          <w:sz w:val="21"/>
          <w:szCs w:val="21"/>
          <w:highlight w:val="none"/>
        </w:rPr>
        <w:t>5%</w:t>
      </w:r>
      <w:r>
        <w:rPr>
          <w:rFonts w:hint="eastAsia" w:ascii="宋体" w:hAnsi="宋体" w:eastAsia="宋体" w:cs="宋体"/>
          <w:color w:val="auto"/>
          <w:sz w:val="21"/>
          <w:szCs w:val="21"/>
          <w:highlight w:val="none"/>
        </w:rPr>
        <w:t>的合同结清款保函的前提下，要求买方支付合同结清款，买方不得拒绝。</w:t>
      </w:r>
    </w:p>
    <w:p w14:paraId="58F72BAF">
      <w:pPr>
        <w:pStyle w:val="5"/>
        <w:spacing w:before="0" w:after="0" w:line="360" w:lineRule="auto"/>
        <w:rPr>
          <w:rFonts w:ascii="宋体" w:hAnsi="宋体" w:eastAsia="宋体" w:cs="黑体"/>
          <w:color w:val="auto"/>
          <w:kern w:val="0"/>
          <w:sz w:val="21"/>
          <w:szCs w:val="28"/>
          <w:highlight w:val="none"/>
        </w:rPr>
      </w:pPr>
      <w:bookmarkStart w:id="64" w:name="_Toc9596"/>
      <w:bookmarkStart w:id="65" w:name="_Toc57494672"/>
      <w:bookmarkStart w:id="66" w:name="_Toc27448"/>
      <w:r>
        <w:rPr>
          <w:rFonts w:ascii="宋体" w:hAnsi="宋体" w:eastAsia="宋体" w:cs="黑体"/>
          <w:color w:val="auto"/>
          <w:kern w:val="0"/>
          <w:sz w:val="21"/>
          <w:szCs w:val="28"/>
          <w:highlight w:val="none"/>
        </w:rPr>
        <w:t xml:space="preserve">3.3 </w:t>
      </w:r>
      <w:r>
        <w:rPr>
          <w:rFonts w:hint="eastAsia" w:ascii="宋体" w:hAnsi="宋体" w:eastAsia="宋体" w:cs="黑体"/>
          <w:color w:val="auto"/>
          <w:kern w:val="0"/>
          <w:sz w:val="21"/>
          <w:szCs w:val="28"/>
          <w:highlight w:val="none"/>
        </w:rPr>
        <w:t>买方扣款的权利</w:t>
      </w:r>
      <w:bookmarkEnd w:id="64"/>
      <w:bookmarkEnd w:id="65"/>
      <w:bookmarkEnd w:id="66"/>
    </w:p>
    <w:p w14:paraId="19AE3215">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当卖方应向买方支付合同项下的违约金或赔偿金时，买方有权从上述任何一笔应付款中予以直接扣除和（或）兑付履约保证金。</w:t>
      </w:r>
    </w:p>
    <w:p w14:paraId="244AEF9A">
      <w:pPr>
        <w:pStyle w:val="4"/>
        <w:spacing w:before="0" w:after="0" w:line="360" w:lineRule="auto"/>
        <w:rPr>
          <w:rFonts w:ascii="宋体" w:hAnsi="宋体" w:eastAsia="宋体" w:cs="Times New Roman"/>
          <w:color w:val="auto"/>
          <w:kern w:val="0"/>
          <w:sz w:val="21"/>
          <w:szCs w:val="21"/>
          <w:highlight w:val="none"/>
        </w:rPr>
      </w:pPr>
      <w:bookmarkStart w:id="67" w:name="_Toc12393"/>
      <w:bookmarkStart w:id="68" w:name="_Toc6531"/>
      <w:bookmarkStart w:id="69" w:name="_Toc57494673"/>
      <w:r>
        <w:rPr>
          <w:rFonts w:ascii="宋体" w:hAnsi="宋体" w:eastAsia="宋体" w:cs="Times New Roman"/>
          <w:color w:val="auto"/>
          <w:kern w:val="0"/>
          <w:sz w:val="21"/>
          <w:szCs w:val="21"/>
          <w:highlight w:val="none"/>
        </w:rPr>
        <w:t xml:space="preserve">4. </w:t>
      </w:r>
      <w:r>
        <w:rPr>
          <w:rFonts w:hint="eastAsia" w:ascii="宋体" w:hAnsi="宋体" w:eastAsia="宋体" w:cs="Times New Roman"/>
          <w:color w:val="auto"/>
          <w:kern w:val="0"/>
          <w:sz w:val="21"/>
          <w:szCs w:val="21"/>
          <w:highlight w:val="none"/>
        </w:rPr>
        <w:t>监造及交货前检验</w:t>
      </w:r>
      <w:bookmarkEnd w:id="67"/>
      <w:bookmarkEnd w:id="68"/>
      <w:bookmarkEnd w:id="69"/>
    </w:p>
    <w:p w14:paraId="5D404F38">
      <w:pPr>
        <w:pStyle w:val="5"/>
        <w:spacing w:before="0" w:after="0" w:line="360" w:lineRule="auto"/>
        <w:rPr>
          <w:rFonts w:ascii="宋体" w:hAnsi="宋体" w:eastAsia="宋体" w:cs="黑体"/>
          <w:color w:val="auto"/>
          <w:kern w:val="0"/>
          <w:sz w:val="21"/>
          <w:szCs w:val="28"/>
          <w:highlight w:val="none"/>
        </w:rPr>
      </w:pPr>
      <w:bookmarkStart w:id="70" w:name="_Toc22521"/>
      <w:bookmarkStart w:id="71" w:name="_Toc26275152"/>
      <w:bookmarkStart w:id="72" w:name="_Toc25223"/>
      <w:bookmarkStart w:id="73" w:name="_Toc57494674"/>
      <w:r>
        <w:rPr>
          <w:rFonts w:ascii="宋体" w:hAnsi="宋体" w:eastAsia="宋体" w:cs="黑体"/>
          <w:color w:val="auto"/>
          <w:kern w:val="0"/>
          <w:sz w:val="21"/>
          <w:szCs w:val="28"/>
          <w:highlight w:val="none"/>
        </w:rPr>
        <w:t xml:space="preserve">4.1 </w:t>
      </w:r>
      <w:r>
        <w:rPr>
          <w:rFonts w:hint="eastAsia" w:ascii="宋体" w:hAnsi="宋体" w:eastAsia="宋体" w:cs="黑体"/>
          <w:color w:val="auto"/>
          <w:kern w:val="0"/>
          <w:sz w:val="21"/>
          <w:szCs w:val="28"/>
          <w:highlight w:val="none"/>
        </w:rPr>
        <w:t>监造</w:t>
      </w:r>
      <w:bookmarkEnd w:id="70"/>
      <w:bookmarkEnd w:id="71"/>
      <w:bookmarkEnd w:id="72"/>
      <w:bookmarkEnd w:id="73"/>
    </w:p>
    <w:p w14:paraId="37B12DC9">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专用合同条款约定买方对合同设备进行监造的，双方应按本款及专用合同条款约定履行。</w:t>
      </w:r>
    </w:p>
    <w:p w14:paraId="6DC7D0AD">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4.1.1 </w:t>
      </w:r>
      <w:r>
        <w:rPr>
          <w:rFonts w:hint="eastAsia" w:ascii="宋体" w:hAnsi="宋体" w:eastAsia="宋体" w:cs="宋体"/>
          <w:color w:val="auto"/>
          <w:sz w:val="21"/>
          <w:szCs w:val="21"/>
          <w:highlight w:val="none"/>
        </w:rPr>
        <w:t>在合同设备的制造过程中，买方可派出监造人员，对合同设备的生产制造进行监造，监督合同设备制造、检验等情况。监造的范围、方式等应符合专用合同条款和（或）供货要求等合同文件的约定。</w:t>
      </w:r>
    </w:p>
    <w:p w14:paraId="497E02BB">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4.1.2 </w:t>
      </w:r>
      <w:r>
        <w:rPr>
          <w:rFonts w:hint="eastAsia" w:ascii="宋体" w:hAnsi="宋体" w:eastAsia="宋体" w:cs="宋体"/>
          <w:color w:val="auto"/>
          <w:sz w:val="21"/>
          <w:szCs w:val="21"/>
          <w:highlight w:val="none"/>
        </w:rPr>
        <w:t>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4DAC20BD">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4.1.3 </w:t>
      </w:r>
      <w:r>
        <w:rPr>
          <w:rFonts w:hint="eastAsia" w:ascii="宋体" w:hAnsi="宋体" w:eastAsia="宋体" w:cs="宋体"/>
          <w:color w:val="auto"/>
          <w:sz w:val="21"/>
          <w:szCs w:val="21"/>
          <w:highlight w:val="none"/>
        </w:rPr>
        <w:t>卖方制订生产制造合同设备的进度计划时，应将买方监造纳入计划安排，并提前通知买方；买方进行监造不应影响合同设备的正常生产。除专用合同条款和（或）供货要求等合同文件另有约定外，卖方应提前</w:t>
      </w:r>
      <w:r>
        <w:rPr>
          <w:rFonts w:ascii="宋体" w:hAnsi="宋体" w:eastAsia="宋体"/>
          <w:color w:val="auto"/>
          <w:sz w:val="21"/>
          <w:szCs w:val="21"/>
          <w:highlight w:val="none"/>
        </w:rPr>
        <w:t>7</w:t>
      </w:r>
      <w:r>
        <w:rPr>
          <w:rFonts w:hint="eastAsia" w:ascii="宋体" w:hAnsi="宋体" w:eastAsia="宋体" w:cs="宋体"/>
          <w:color w:val="auto"/>
          <w:sz w:val="21"/>
          <w:szCs w:val="21"/>
          <w:highlight w:val="none"/>
        </w:rPr>
        <w:t>日将需要买方监造人员现场监造事项通知买方；因卖方未提前告知或多次计划变更导致对监造工作造成影响的，买方有权按失信行为进行处理；如买方监造人员未按通知出席，不影响合同设备及其关键部件的制造或检验，但买方监造人员有权事后了解、查阅、复制相关制造或检验记录。</w:t>
      </w:r>
    </w:p>
    <w:p w14:paraId="21E4753D">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4.1.4 </w:t>
      </w:r>
      <w:r>
        <w:rPr>
          <w:rFonts w:hint="eastAsia" w:ascii="宋体" w:hAnsi="宋体" w:eastAsia="宋体" w:cs="宋体"/>
          <w:color w:val="auto"/>
          <w:sz w:val="21"/>
          <w:szCs w:val="21"/>
          <w:highlight w:val="none"/>
        </w:rPr>
        <w:t>买方监造人员在监造中如发现合同设备及其关键部件不符合合同约定的标准，则有权提出意见和建议。卖方应采取必要措施消除合同设备的不符，由此增加的费用和（或）造成的延误由卖方负责。</w:t>
      </w:r>
    </w:p>
    <w:p w14:paraId="6CC2DA81">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4.1.5 </w:t>
      </w:r>
      <w:r>
        <w:rPr>
          <w:rFonts w:hint="eastAsia" w:ascii="宋体" w:hAnsi="宋体" w:eastAsia="宋体" w:cs="宋体"/>
          <w:color w:val="auto"/>
          <w:sz w:val="21"/>
          <w:szCs w:val="21"/>
          <w:highlight w:val="none"/>
        </w:rPr>
        <w:t>买方监造人员对合同设备的监造，不视为对合同设备质量的确认，不影响卖方交货后买方依照合同约定对合同设备提出质量异议和（或）退货的权利，也不免除卖方依照合同约定对合同设备所应承担的任何义务或责任。</w:t>
      </w:r>
    </w:p>
    <w:p w14:paraId="675C0018">
      <w:pPr>
        <w:pStyle w:val="5"/>
        <w:spacing w:before="0" w:after="0" w:line="360" w:lineRule="auto"/>
        <w:rPr>
          <w:rFonts w:ascii="宋体" w:hAnsi="宋体" w:eastAsia="宋体" w:cs="黑体"/>
          <w:color w:val="auto"/>
          <w:kern w:val="0"/>
          <w:sz w:val="21"/>
          <w:szCs w:val="28"/>
          <w:highlight w:val="none"/>
        </w:rPr>
      </w:pPr>
      <w:bookmarkStart w:id="74" w:name="_Toc2718"/>
      <w:bookmarkStart w:id="75" w:name="_Toc25745"/>
      <w:bookmarkStart w:id="76" w:name="_Toc26275153"/>
      <w:bookmarkStart w:id="77" w:name="_Toc57494675"/>
      <w:r>
        <w:rPr>
          <w:rFonts w:ascii="宋体" w:hAnsi="宋体" w:eastAsia="宋体" w:cs="黑体"/>
          <w:color w:val="auto"/>
          <w:kern w:val="0"/>
          <w:sz w:val="21"/>
          <w:szCs w:val="28"/>
          <w:highlight w:val="none"/>
        </w:rPr>
        <w:t xml:space="preserve">4.2 </w:t>
      </w:r>
      <w:r>
        <w:rPr>
          <w:rFonts w:hint="eastAsia" w:ascii="宋体" w:hAnsi="宋体" w:eastAsia="宋体" w:cs="黑体"/>
          <w:color w:val="auto"/>
          <w:kern w:val="0"/>
          <w:sz w:val="21"/>
          <w:szCs w:val="28"/>
          <w:highlight w:val="none"/>
        </w:rPr>
        <w:t>交货前检验</w:t>
      </w:r>
      <w:bookmarkEnd w:id="74"/>
      <w:bookmarkEnd w:id="75"/>
      <w:bookmarkEnd w:id="76"/>
      <w:bookmarkEnd w:id="77"/>
    </w:p>
    <w:p w14:paraId="5262ED28">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专用合同条款约定买方参与交货前检验的，双方应按本款及专用合同条款约定履行。</w:t>
      </w:r>
    </w:p>
    <w:p w14:paraId="29A40DB3">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4.2.1 </w:t>
      </w:r>
      <w:r>
        <w:rPr>
          <w:rFonts w:hint="eastAsia" w:ascii="宋体" w:hAnsi="宋体" w:eastAsia="宋体" w:cs="宋体"/>
          <w:color w:val="auto"/>
          <w:sz w:val="21"/>
          <w:szCs w:val="21"/>
          <w:highlight w:val="none"/>
        </w:rPr>
        <w:t>合同设备交货前，卖方应会同买方代表根据合同约定对合同设备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72F65DA7">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4.2.2 </w:t>
      </w:r>
      <w:r>
        <w:rPr>
          <w:rFonts w:hint="eastAsia" w:ascii="宋体" w:hAnsi="宋体" w:eastAsia="宋体" w:cs="宋体"/>
          <w:color w:val="auto"/>
          <w:sz w:val="21"/>
          <w:szCs w:val="21"/>
          <w:highlight w:val="none"/>
        </w:rPr>
        <w:t>除专用合同条款和（或）供货要求等合同文件另有约定外，卖方应提前</w:t>
      </w:r>
      <w:r>
        <w:rPr>
          <w:rFonts w:ascii="宋体" w:hAnsi="宋体" w:eastAsia="宋体"/>
          <w:color w:val="auto"/>
          <w:sz w:val="21"/>
          <w:szCs w:val="21"/>
          <w:highlight w:val="none"/>
        </w:rPr>
        <w:t>7</w:t>
      </w:r>
      <w:r>
        <w:rPr>
          <w:rFonts w:hint="eastAsia" w:ascii="宋体" w:hAnsi="宋体" w:eastAsia="宋体" w:cs="宋体"/>
          <w:color w:val="auto"/>
          <w:sz w:val="21"/>
          <w:szCs w:val="21"/>
          <w:highlight w:val="none"/>
        </w:rPr>
        <w:t>日将需要买方代表检验事项通知买方；如买方代表未按通知出席，不影响合同设备的检验。若卖方未依照合同约定提前通知买方而自行检验，则买方有权要求卖方暂停发货并重新进行检验，由此增加的费用和（或）造成的延误由卖方负责。</w:t>
      </w:r>
    </w:p>
    <w:p w14:paraId="0BF2AF33">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4.2.3 </w:t>
      </w:r>
      <w:r>
        <w:rPr>
          <w:rFonts w:hint="eastAsia" w:ascii="宋体" w:hAnsi="宋体" w:eastAsia="宋体" w:cs="宋体"/>
          <w:color w:val="auto"/>
          <w:sz w:val="21"/>
          <w:szCs w:val="21"/>
          <w:highlight w:val="none"/>
        </w:rPr>
        <w:t>买方代表在检验中如发现合同设备不符合合同约定的标准，则有权提出异议。卖方应采取必要措施消除合同设备的不符，由此增加的费用和（或）造成的延误由卖方负责。</w:t>
      </w:r>
    </w:p>
    <w:p w14:paraId="48FDE3D1">
      <w:pPr>
        <w:pStyle w:val="16"/>
        <w:topLinePunct/>
        <w:autoSpaceDE/>
        <w:autoSpaceDN/>
        <w:snapToGrid w:val="0"/>
        <w:spacing w:line="360" w:lineRule="auto"/>
        <w:ind w:firstLine="420" w:firstLineChars="200"/>
        <w:rPr>
          <w:rFonts w:hint="eastAsia" w:ascii="宋体" w:hAnsi="宋体" w:eastAsia="宋体" w:cs="宋体"/>
          <w:color w:val="auto"/>
          <w:sz w:val="21"/>
          <w:szCs w:val="21"/>
          <w:highlight w:val="none"/>
        </w:rPr>
      </w:pPr>
      <w:r>
        <w:rPr>
          <w:rFonts w:ascii="宋体" w:hAnsi="宋体" w:eastAsia="宋体"/>
          <w:color w:val="auto"/>
          <w:sz w:val="21"/>
          <w:szCs w:val="21"/>
          <w:highlight w:val="none"/>
        </w:rPr>
        <w:t xml:space="preserve">4.2.4 </w:t>
      </w:r>
      <w:r>
        <w:rPr>
          <w:rFonts w:hint="eastAsia" w:ascii="宋体" w:hAnsi="宋体" w:eastAsia="宋体" w:cs="宋体"/>
          <w:color w:val="auto"/>
          <w:sz w:val="21"/>
          <w:szCs w:val="21"/>
          <w:highlight w:val="none"/>
        </w:rPr>
        <w:t>买方代表参与交货前检验及签署交货前检验记录的行为，不视为对合同设备质量的确认，不影响卖方交货后买方依照合同约定对合同设备提出质量异议和（或）退货的权利，也不免除卖方依照合同约定对合同设备所应承担的任何义务或责任。</w:t>
      </w:r>
    </w:p>
    <w:p w14:paraId="5CBD1E8D">
      <w:pPr>
        <w:pStyle w:val="4"/>
        <w:spacing w:before="0" w:after="0" w:line="360" w:lineRule="auto"/>
        <w:rPr>
          <w:rFonts w:hint="eastAsia" w:ascii="宋体" w:hAnsi="宋体" w:eastAsia="宋体" w:cs="Times New Roman"/>
          <w:color w:val="auto"/>
          <w:kern w:val="0"/>
          <w:sz w:val="21"/>
          <w:szCs w:val="21"/>
          <w:highlight w:val="none"/>
        </w:rPr>
      </w:pPr>
      <w:bookmarkStart w:id="78" w:name="_Toc15072"/>
      <w:bookmarkStart w:id="79" w:name="_Toc29089"/>
      <w:bookmarkStart w:id="80" w:name="_Toc57494676"/>
      <w:r>
        <w:rPr>
          <w:rFonts w:ascii="宋体" w:hAnsi="宋体" w:eastAsia="宋体" w:cs="Times New Roman"/>
          <w:color w:val="auto"/>
          <w:kern w:val="0"/>
          <w:sz w:val="21"/>
          <w:szCs w:val="21"/>
          <w:highlight w:val="none"/>
        </w:rPr>
        <w:t xml:space="preserve">5. </w:t>
      </w:r>
      <w:r>
        <w:rPr>
          <w:rFonts w:hint="eastAsia" w:ascii="宋体" w:hAnsi="宋体" w:eastAsia="宋体" w:cs="Times New Roman"/>
          <w:color w:val="auto"/>
          <w:kern w:val="0"/>
          <w:sz w:val="21"/>
          <w:szCs w:val="21"/>
          <w:highlight w:val="none"/>
        </w:rPr>
        <w:t>包装、标记、运输和交付</w:t>
      </w:r>
      <w:bookmarkEnd w:id="78"/>
      <w:bookmarkEnd w:id="79"/>
      <w:bookmarkEnd w:id="80"/>
    </w:p>
    <w:p w14:paraId="602A4B23">
      <w:pPr>
        <w:pStyle w:val="5"/>
        <w:spacing w:before="0" w:after="0" w:line="360" w:lineRule="auto"/>
        <w:rPr>
          <w:rFonts w:ascii="宋体" w:hAnsi="宋体" w:eastAsia="宋体" w:cs="黑体"/>
          <w:color w:val="auto"/>
          <w:kern w:val="0"/>
          <w:sz w:val="21"/>
          <w:szCs w:val="28"/>
          <w:highlight w:val="none"/>
        </w:rPr>
      </w:pPr>
      <w:bookmarkStart w:id="81" w:name="_Toc9391"/>
      <w:bookmarkStart w:id="82" w:name="_Toc26275155"/>
      <w:bookmarkStart w:id="83" w:name="_Toc29153"/>
      <w:bookmarkStart w:id="84" w:name="_Toc57494677"/>
      <w:r>
        <w:rPr>
          <w:rFonts w:ascii="宋体" w:hAnsi="宋体" w:eastAsia="宋体" w:cs="黑体"/>
          <w:color w:val="auto"/>
          <w:kern w:val="0"/>
          <w:sz w:val="21"/>
          <w:szCs w:val="28"/>
          <w:highlight w:val="none"/>
        </w:rPr>
        <w:t xml:space="preserve">5.1 </w:t>
      </w:r>
      <w:r>
        <w:rPr>
          <w:rFonts w:hint="eastAsia" w:ascii="宋体" w:hAnsi="宋体" w:eastAsia="宋体" w:cs="黑体"/>
          <w:color w:val="auto"/>
          <w:kern w:val="0"/>
          <w:sz w:val="21"/>
          <w:szCs w:val="28"/>
          <w:highlight w:val="none"/>
        </w:rPr>
        <w:t>包装</w:t>
      </w:r>
      <w:bookmarkEnd w:id="81"/>
      <w:bookmarkEnd w:id="82"/>
      <w:bookmarkEnd w:id="83"/>
      <w:bookmarkEnd w:id="84"/>
    </w:p>
    <w:p w14:paraId="38EEDC7A">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5.1.1 </w:t>
      </w:r>
      <w:r>
        <w:rPr>
          <w:rFonts w:hint="eastAsia" w:ascii="宋体" w:hAnsi="宋体" w:eastAsia="宋体" w:cs="宋体"/>
          <w:color w:val="auto"/>
          <w:sz w:val="21"/>
          <w:szCs w:val="21"/>
          <w:highlight w:val="none"/>
        </w:rPr>
        <w:t>卖方应对合同设备进行妥善包装，以满足合同设备运至施工场地及在施工场地保管的需要。包装应采取防潮、防晒、防锈、防腐蚀、防震动及防止其它损坏的必要保护措施，从而保护合同设备能够经受多次搬运、装卸、长途运输并适宜保管。</w:t>
      </w:r>
    </w:p>
    <w:p w14:paraId="733FF12C">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5.1.2 </w:t>
      </w:r>
      <w:r>
        <w:rPr>
          <w:rFonts w:hint="eastAsia" w:ascii="宋体" w:hAnsi="宋体" w:eastAsia="宋体" w:cs="宋体"/>
          <w:color w:val="auto"/>
          <w:sz w:val="21"/>
          <w:szCs w:val="21"/>
          <w:highlight w:val="none"/>
        </w:rPr>
        <w:t>每个独立包装箱内应附装箱清单、质量合格证、装配图、说明书、操作指南等资料，装箱清单应列明主要零部件的制造编号（如有）。</w:t>
      </w:r>
    </w:p>
    <w:p w14:paraId="2CB991E5">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5.1.3 </w:t>
      </w:r>
      <w:r>
        <w:rPr>
          <w:rFonts w:hint="eastAsia" w:ascii="宋体" w:hAnsi="宋体" w:eastAsia="宋体" w:cs="宋体"/>
          <w:color w:val="auto"/>
          <w:sz w:val="21"/>
          <w:szCs w:val="21"/>
          <w:highlight w:val="none"/>
        </w:rPr>
        <w:t>除专用合同条款另有约定外，买方无需将包装物退还给卖方。</w:t>
      </w:r>
    </w:p>
    <w:p w14:paraId="6C66BEAF">
      <w:pPr>
        <w:pStyle w:val="5"/>
        <w:spacing w:before="0" w:after="0" w:line="360" w:lineRule="auto"/>
        <w:rPr>
          <w:rFonts w:ascii="宋体" w:hAnsi="宋体" w:eastAsia="宋体" w:cs="黑体"/>
          <w:color w:val="auto"/>
          <w:kern w:val="0"/>
          <w:sz w:val="21"/>
          <w:szCs w:val="28"/>
          <w:highlight w:val="none"/>
        </w:rPr>
      </w:pPr>
      <w:bookmarkStart w:id="85" w:name="_Toc371"/>
      <w:bookmarkStart w:id="86" w:name="_Toc57494678"/>
      <w:bookmarkStart w:id="87" w:name="_Toc21633"/>
      <w:bookmarkStart w:id="88" w:name="_Toc26275156"/>
      <w:r>
        <w:rPr>
          <w:rFonts w:ascii="宋体" w:hAnsi="宋体" w:eastAsia="宋体" w:cs="黑体"/>
          <w:color w:val="auto"/>
          <w:kern w:val="0"/>
          <w:sz w:val="21"/>
          <w:szCs w:val="28"/>
          <w:highlight w:val="none"/>
        </w:rPr>
        <w:t xml:space="preserve">5.2 </w:t>
      </w:r>
      <w:r>
        <w:rPr>
          <w:rFonts w:hint="eastAsia" w:ascii="宋体" w:hAnsi="宋体" w:eastAsia="宋体" w:cs="黑体"/>
          <w:color w:val="auto"/>
          <w:kern w:val="0"/>
          <w:sz w:val="21"/>
          <w:szCs w:val="28"/>
          <w:highlight w:val="none"/>
        </w:rPr>
        <w:t>标记</w:t>
      </w:r>
      <w:bookmarkEnd w:id="85"/>
      <w:bookmarkEnd w:id="86"/>
      <w:bookmarkEnd w:id="87"/>
      <w:bookmarkEnd w:id="88"/>
    </w:p>
    <w:p w14:paraId="04E114AB">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5.2.1 </w:t>
      </w:r>
      <w:r>
        <w:rPr>
          <w:rFonts w:hint="eastAsia" w:ascii="宋体" w:hAnsi="宋体" w:eastAsia="宋体" w:cs="宋体"/>
          <w:color w:val="auto"/>
          <w:sz w:val="21"/>
          <w:szCs w:val="21"/>
          <w:highlight w:val="none"/>
        </w:rPr>
        <w:t>除专用合同条款另有约定外，卖方应在每一包装箱相邻的四个侧面以不可擦除的、明显的方式标记必要的装运信息和标记，以满足合同设备运输和保管的需要。</w:t>
      </w:r>
    </w:p>
    <w:p w14:paraId="476CED55">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5.2.2 </w:t>
      </w:r>
      <w:r>
        <w:rPr>
          <w:rFonts w:hint="eastAsia" w:ascii="宋体" w:hAnsi="宋体" w:eastAsia="宋体" w:cs="宋体"/>
          <w:color w:val="auto"/>
          <w:sz w:val="21"/>
          <w:szCs w:val="21"/>
          <w:highlight w:val="none"/>
        </w:rPr>
        <w:t>根据合同设备的特点和运输、保管的不同要求，卖方应在包装箱上清楚地标注</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小心轻放</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此端朝上，请勿倒置</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保持干燥</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等字样和其他适当标记。对于专用合同条款约定的超大超重件，卖方应在包装箱两侧标注</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重心</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和</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起吊点</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以便装卸和搬运。如果发运合同设备中含有易燃易爆物品、腐蚀物品、放射性物质等危险品，则应在包装箱上标明危险品标志。</w:t>
      </w:r>
    </w:p>
    <w:p w14:paraId="72C8CF75">
      <w:pPr>
        <w:pStyle w:val="5"/>
        <w:spacing w:before="0" w:after="0" w:line="360" w:lineRule="auto"/>
        <w:rPr>
          <w:rFonts w:ascii="宋体" w:hAnsi="宋体" w:eastAsia="宋体" w:cs="黑体"/>
          <w:color w:val="auto"/>
          <w:kern w:val="0"/>
          <w:sz w:val="21"/>
          <w:szCs w:val="28"/>
          <w:highlight w:val="none"/>
        </w:rPr>
      </w:pPr>
      <w:bookmarkStart w:id="89" w:name="_Toc57494679"/>
      <w:bookmarkStart w:id="90" w:name="_Toc26275157"/>
      <w:bookmarkStart w:id="91" w:name="_Toc16074"/>
      <w:bookmarkStart w:id="92" w:name="_Toc13669"/>
      <w:r>
        <w:rPr>
          <w:rFonts w:ascii="宋体" w:hAnsi="宋体" w:eastAsia="宋体" w:cs="黑体"/>
          <w:color w:val="auto"/>
          <w:kern w:val="0"/>
          <w:sz w:val="21"/>
          <w:szCs w:val="28"/>
          <w:highlight w:val="none"/>
        </w:rPr>
        <w:t xml:space="preserve">5.3 </w:t>
      </w:r>
      <w:r>
        <w:rPr>
          <w:rFonts w:hint="eastAsia" w:ascii="宋体" w:hAnsi="宋体" w:eastAsia="宋体" w:cs="黑体"/>
          <w:color w:val="auto"/>
          <w:kern w:val="0"/>
          <w:sz w:val="21"/>
          <w:szCs w:val="28"/>
          <w:highlight w:val="none"/>
        </w:rPr>
        <w:t>运输</w:t>
      </w:r>
      <w:bookmarkEnd w:id="89"/>
      <w:bookmarkEnd w:id="90"/>
      <w:bookmarkEnd w:id="91"/>
      <w:bookmarkEnd w:id="92"/>
    </w:p>
    <w:p w14:paraId="7189239F">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5.3.1 </w:t>
      </w:r>
      <w:r>
        <w:rPr>
          <w:rFonts w:hint="eastAsia" w:ascii="宋体" w:hAnsi="宋体" w:eastAsia="宋体" w:cs="宋体"/>
          <w:color w:val="auto"/>
          <w:sz w:val="21"/>
          <w:szCs w:val="21"/>
          <w:highlight w:val="none"/>
        </w:rPr>
        <w:t>卖方应自行选择适宜的运输工具及线路安排合同设备运输。</w:t>
      </w:r>
    </w:p>
    <w:p w14:paraId="1E26AD1B">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5.3.2 </w:t>
      </w:r>
      <w:r>
        <w:rPr>
          <w:rFonts w:hint="eastAsia" w:ascii="宋体" w:hAnsi="宋体" w:eastAsia="宋体" w:cs="宋体"/>
          <w:color w:val="auto"/>
          <w:sz w:val="21"/>
          <w:szCs w:val="21"/>
          <w:highlight w:val="none"/>
        </w:rPr>
        <w:t>除专用合同条款另有约定外，每件能够独立运行的设备应整套装运。该设备安装、调试、考核和运行所使用的备品、备件、易损易耗件等应随相关的主机一齐装运。</w:t>
      </w:r>
    </w:p>
    <w:p w14:paraId="7FB86BF5">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5.3.3 </w:t>
      </w:r>
      <w:r>
        <w:rPr>
          <w:rFonts w:hint="eastAsia" w:ascii="宋体" w:hAnsi="宋体" w:eastAsia="宋体" w:cs="宋体"/>
          <w:color w:val="auto"/>
          <w:sz w:val="21"/>
          <w:szCs w:val="21"/>
          <w:highlight w:val="none"/>
        </w:rPr>
        <w:t>除专用合同条款另有约定外，卖方应在合同设备预计启运</w:t>
      </w:r>
      <w:r>
        <w:rPr>
          <w:rFonts w:ascii="宋体" w:hAnsi="宋体" w:eastAsia="宋体"/>
          <w:color w:val="auto"/>
          <w:sz w:val="21"/>
          <w:szCs w:val="21"/>
          <w:highlight w:val="none"/>
        </w:rPr>
        <w:t>7</w:t>
      </w:r>
      <w:r>
        <w:rPr>
          <w:rFonts w:hint="eastAsia" w:ascii="宋体" w:hAnsi="宋体" w:eastAsia="宋体" w:cs="宋体"/>
          <w:color w:val="auto"/>
          <w:sz w:val="21"/>
          <w:szCs w:val="21"/>
          <w:highlight w:val="none"/>
        </w:rPr>
        <w:t>日前，将合同设备名称、数量、箱数、总毛重、总体积（用</w:t>
      </w:r>
      <w:r>
        <w:rPr>
          <w:rFonts w:ascii="宋体" w:hAnsi="宋体" w:eastAsia="宋体"/>
          <w:color w:val="auto"/>
          <w:sz w:val="21"/>
          <w:szCs w:val="21"/>
          <w:highlight w:val="none"/>
        </w:rPr>
        <w:t>m3</w:t>
      </w:r>
      <w:r>
        <w:rPr>
          <w:rFonts w:hint="eastAsia" w:ascii="宋体" w:hAnsi="宋体" w:eastAsia="宋体" w:cs="宋体"/>
          <w:color w:val="auto"/>
          <w:sz w:val="21"/>
          <w:szCs w:val="21"/>
          <w:highlight w:val="none"/>
        </w:rPr>
        <w:t>表示）、每箱尺寸（长</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宽</w:t>
      </w:r>
      <w:r>
        <w:rPr>
          <w:rFonts w:ascii="宋体" w:hAnsi="宋体" w:eastAsia="宋体"/>
          <w:color w:val="auto"/>
          <w:sz w:val="21"/>
          <w:szCs w:val="21"/>
          <w:highlight w:val="none"/>
        </w:rPr>
        <w:t>×</w:t>
      </w:r>
      <w:r>
        <w:rPr>
          <w:rFonts w:hint="eastAsia" w:ascii="宋体" w:hAnsi="宋体" w:eastAsia="宋体" w:cs="宋体"/>
          <w:color w:val="auto"/>
          <w:sz w:val="21"/>
          <w:szCs w:val="21"/>
          <w:highlight w:val="none"/>
        </w:rPr>
        <w:t>高）、装运合同设备总金额、运输方式、预计交付日期和合同设备在运输、装卸、保管中的注意事项等预通知买方，并在合同设备启运后</w:t>
      </w:r>
      <w:r>
        <w:rPr>
          <w:rFonts w:ascii="宋体" w:hAnsi="宋体" w:eastAsia="宋体"/>
          <w:color w:val="auto"/>
          <w:sz w:val="21"/>
          <w:szCs w:val="21"/>
          <w:highlight w:val="none"/>
        </w:rPr>
        <w:t>24</w:t>
      </w:r>
      <w:r>
        <w:rPr>
          <w:rFonts w:hint="eastAsia" w:ascii="宋体" w:hAnsi="宋体" w:eastAsia="宋体" w:cs="宋体"/>
          <w:color w:val="auto"/>
          <w:sz w:val="21"/>
          <w:szCs w:val="21"/>
          <w:highlight w:val="none"/>
        </w:rPr>
        <w:t>小时之内正式通知买方。</w:t>
      </w:r>
    </w:p>
    <w:p w14:paraId="34A3C42E">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5.3.4 </w:t>
      </w:r>
      <w:r>
        <w:rPr>
          <w:rFonts w:hint="eastAsia" w:ascii="宋体" w:hAnsi="宋体" w:eastAsia="宋体" w:cs="宋体"/>
          <w:color w:val="auto"/>
          <w:sz w:val="21"/>
          <w:szCs w:val="21"/>
          <w:highlight w:val="none"/>
        </w:rPr>
        <w:t>卖方在根据第</w:t>
      </w:r>
      <w:r>
        <w:rPr>
          <w:rFonts w:ascii="宋体" w:hAnsi="宋体" w:eastAsia="宋体"/>
          <w:color w:val="auto"/>
          <w:sz w:val="21"/>
          <w:szCs w:val="21"/>
          <w:highlight w:val="none"/>
        </w:rPr>
        <w:t>5.3.3</w:t>
      </w:r>
      <w:r>
        <w:rPr>
          <w:rFonts w:hint="eastAsia" w:ascii="宋体" w:hAnsi="宋体" w:eastAsia="宋体" w:cs="宋体"/>
          <w:color w:val="auto"/>
          <w:sz w:val="21"/>
          <w:szCs w:val="21"/>
          <w:highlight w:val="none"/>
        </w:rPr>
        <w:t>项进行通知时，如果发运合同设备中包括专用合同条款约定的超大超重包装，则卖方应将超大和（或）超重的每个包装箱的重量和尺寸通知买方；如果发运合同设备中包括易燃易爆物品、腐蚀物品、放射性物质等危险品，则危险品的品名、性质、在运输、装卸、保管方面的特殊要求、注意事项和处理意外情况的方法等，也应一并通知买方。</w:t>
      </w:r>
    </w:p>
    <w:p w14:paraId="3F823030">
      <w:pPr>
        <w:pStyle w:val="5"/>
        <w:spacing w:before="0" w:after="0" w:line="360" w:lineRule="auto"/>
        <w:rPr>
          <w:rFonts w:ascii="宋体" w:hAnsi="宋体" w:eastAsia="宋体" w:cs="黑体"/>
          <w:color w:val="auto"/>
          <w:kern w:val="0"/>
          <w:sz w:val="21"/>
          <w:szCs w:val="28"/>
          <w:highlight w:val="none"/>
        </w:rPr>
      </w:pPr>
      <w:bookmarkStart w:id="93" w:name="_Toc57494680"/>
      <w:bookmarkStart w:id="94" w:name="_Toc26275158"/>
      <w:bookmarkStart w:id="95" w:name="_Toc11145"/>
      <w:bookmarkStart w:id="96" w:name="_Toc22880"/>
      <w:r>
        <w:rPr>
          <w:rFonts w:ascii="宋体" w:hAnsi="宋体" w:eastAsia="宋体" w:cs="黑体"/>
          <w:color w:val="auto"/>
          <w:kern w:val="0"/>
          <w:sz w:val="21"/>
          <w:szCs w:val="28"/>
          <w:highlight w:val="none"/>
        </w:rPr>
        <w:t xml:space="preserve">5.4 </w:t>
      </w:r>
      <w:r>
        <w:rPr>
          <w:rFonts w:hint="eastAsia" w:ascii="宋体" w:hAnsi="宋体" w:eastAsia="宋体" w:cs="黑体"/>
          <w:color w:val="auto"/>
          <w:kern w:val="0"/>
          <w:sz w:val="21"/>
          <w:szCs w:val="28"/>
          <w:highlight w:val="none"/>
        </w:rPr>
        <w:t>交付</w:t>
      </w:r>
      <w:bookmarkEnd w:id="93"/>
      <w:bookmarkEnd w:id="94"/>
      <w:bookmarkEnd w:id="95"/>
      <w:bookmarkEnd w:id="96"/>
    </w:p>
    <w:p w14:paraId="66350881">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5.4.1 </w:t>
      </w:r>
      <w:r>
        <w:rPr>
          <w:rFonts w:hint="eastAsia" w:ascii="宋体" w:hAnsi="宋体" w:eastAsia="宋体" w:cs="宋体"/>
          <w:color w:val="auto"/>
          <w:sz w:val="21"/>
          <w:szCs w:val="21"/>
          <w:highlight w:val="none"/>
        </w:rPr>
        <w:t>除专用合同条款另有约定外，卖方应根据合同约定的交付时间和批次在施工场地车面上将合同设备交付给买方。买方对卖方交付的包装的合同设备的外观及件数进行清点核验后应签发收货清单，并自负风险和费用进行卸货。买方签发收货清单不代表对合同设备的接受，双方还应按合同约定进行后续的检验和验收。</w:t>
      </w:r>
    </w:p>
    <w:p w14:paraId="1768062A">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5.4.2 </w:t>
      </w:r>
      <w:r>
        <w:rPr>
          <w:rFonts w:hint="eastAsia" w:ascii="宋体" w:hAnsi="宋体" w:eastAsia="宋体" w:cs="宋体"/>
          <w:color w:val="auto"/>
          <w:sz w:val="21"/>
          <w:szCs w:val="21"/>
          <w:highlight w:val="none"/>
        </w:rPr>
        <w:t>合同设备的所有权和风险自交付时起由卖方转移至买方，合同设备交付给买方之前包括运输在内的所有风险均由卖方承担。</w:t>
      </w:r>
    </w:p>
    <w:p w14:paraId="31AD60C7">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olor w:val="auto"/>
          <w:sz w:val="21"/>
          <w:szCs w:val="21"/>
          <w:highlight w:val="none"/>
        </w:rPr>
        <w:t xml:space="preserve">5.4.3 </w:t>
      </w:r>
      <w:r>
        <w:rPr>
          <w:rFonts w:hint="eastAsia" w:ascii="宋体" w:hAnsi="宋体" w:eastAsia="宋体" w:cs="宋体"/>
          <w:color w:val="auto"/>
          <w:sz w:val="21"/>
          <w:szCs w:val="21"/>
          <w:highlight w:val="none"/>
        </w:rPr>
        <w:t>除专用合同条款另有约定外，买方如果发现技术资料存在短缺和（或）损坏，卖方应在收到买方的通知后</w:t>
      </w:r>
      <w:r>
        <w:rPr>
          <w:rFonts w:ascii="宋体" w:hAnsi="宋体" w:eastAsia="宋体"/>
          <w:color w:val="auto"/>
          <w:sz w:val="21"/>
          <w:szCs w:val="21"/>
          <w:highlight w:val="none"/>
        </w:rPr>
        <w:t>7</w:t>
      </w:r>
      <w:r>
        <w:rPr>
          <w:rFonts w:hint="eastAsia" w:ascii="宋体" w:hAnsi="宋体" w:eastAsia="宋体" w:cs="宋体"/>
          <w:color w:val="auto"/>
          <w:sz w:val="21"/>
          <w:szCs w:val="21"/>
          <w:highlight w:val="none"/>
        </w:rPr>
        <w:t>日内免费补齐短缺和（或）损坏的部分。如果买方发现卖方提供的技术资料有误，卖方应在收到买方通知后</w:t>
      </w:r>
      <w:r>
        <w:rPr>
          <w:rFonts w:ascii="宋体" w:hAnsi="宋体" w:eastAsia="宋体"/>
          <w:color w:val="auto"/>
          <w:sz w:val="21"/>
          <w:szCs w:val="21"/>
          <w:highlight w:val="none"/>
        </w:rPr>
        <w:t>7</w:t>
      </w:r>
      <w:r>
        <w:rPr>
          <w:rFonts w:hint="eastAsia" w:ascii="宋体" w:hAnsi="宋体" w:eastAsia="宋体" w:cs="宋体"/>
          <w:color w:val="auto"/>
          <w:sz w:val="21"/>
          <w:szCs w:val="21"/>
          <w:highlight w:val="none"/>
        </w:rPr>
        <w:t>日内免费替换。如由于买方原因导致技术资料丢失和（或）损坏，卖方应在收到买方的通知后</w:t>
      </w:r>
      <w:r>
        <w:rPr>
          <w:rFonts w:ascii="宋体" w:hAnsi="宋体" w:eastAsia="宋体"/>
          <w:color w:val="auto"/>
          <w:sz w:val="21"/>
          <w:szCs w:val="21"/>
          <w:highlight w:val="none"/>
        </w:rPr>
        <w:t>7</w:t>
      </w:r>
      <w:r>
        <w:rPr>
          <w:rFonts w:hint="eastAsia" w:ascii="宋体" w:hAnsi="宋体" w:eastAsia="宋体" w:cs="宋体"/>
          <w:color w:val="auto"/>
          <w:sz w:val="21"/>
          <w:szCs w:val="21"/>
          <w:highlight w:val="none"/>
        </w:rPr>
        <w:t>日内补齐丢失和（或）损坏的部分，但买方应向卖方支付合理的复制、邮寄费用。</w:t>
      </w:r>
    </w:p>
    <w:p w14:paraId="1911BF23">
      <w:pPr>
        <w:pStyle w:val="4"/>
        <w:spacing w:before="0" w:after="0" w:line="360" w:lineRule="auto"/>
        <w:rPr>
          <w:rFonts w:ascii="宋体" w:hAnsi="宋体" w:eastAsia="宋体" w:cs="Times New Roman"/>
          <w:color w:val="auto"/>
          <w:kern w:val="0"/>
          <w:sz w:val="21"/>
          <w:szCs w:val="21"/>
          <w:highlight w:val="none"/>
        </w:rPr>
      </w:pPr>
      <w:bookmarkStart w:id="97" w:name="_Toc57494681"/>
      <w:bookmarkStart w:id="98" w:name="_Toc22515"/>
      <w:bookmarkStart w:id="99" w:name="_Toc13998"/>
      <w:r>
        <w:rPr>
          <w:rFonts w:ascii="宋体" w:hAnsi="宋体" w:eastAsia="宋体" w:cs="Times New Roman"/>
          <w:color w:val="auto"/>
          <w:kern w:val="0"/>
          <w:sz w:val="21"/>
          <w:szCs w:val="21"/>
          <w:highlight w:val="none"/>
        </w:rPr>
        <w:t xml:space="preserve">6. </w:t>
      </w:r>
      <w:r>
        <w:rPr>
          <w:rFonts w:hint="eastAsia" w:ascii="宋体" w:hAnsi="宋体" w:eastAsia="宋体" w:cs="Times New Roman"/>
          <w:color w:val="auto"/>
          <w:kern w:val="0"/>
          <w:sz w:val="21"/>
          <w:szCs w:val="21"/>
          <w:highlight w:val="none"/>
        </w:rPr>
        <w:t>开箱检验、安装、调试、考核、验收</w:t>
      </w:r>
      <w:bookmarkEnd w:id="97"/>
      <w:bookmarkEnd w:id="98"/>
      <w:bookmarkEnd w:id="99"/>
    </w:p>
    <w:p w14:paraId="2A499452">
      <w:pPr>
        <w:pStyle w:val="5"/>
        <w:spacing w:before="0" w:after="0" w:line="360" w:lineRule="auto"/>
        <w:rPr>
          <w:rFonts w:ascii="宋体" w:hAnsi="宋体" w:eastAsia="宋体" w:cs="黑体"/>
          <w:color w:val="auto"/>
          <w:kern w:val="0"/>
          <w:sz w:val="21"/>
          <w:szCs w:val="28"/>
          <w:highlight w:val="none"/>
        </w:rPr>
      </w:pPr>
      <w:bookmarkStart w:id="100" w:name="_Toc26275160"/>
      <w:bookmarkStart w:id="101" w:name="_Toc11126"/>
      <w:bookmarkStart w:id="102" w:name="_Toc57494682"/>
      <w:bookmarkStart w:id="103" w:name="_Toc6132"/>
      <w:r>
        <w:rPr>
          <w:rFonts w:ascii="宋体" w:hAnsi="宋体" w:eastAsia="宋体" w:cs="黑体"/>
          <w:color w:val="auto"/>
          <w:kern w:val="0"/>
          <w:sz w:val="21"/>
          <w:szCs w:val="28"/>
          <w:highlight w:val="none"/>
        </w:rPr>
        <w:t>6.1 开箱检验</w:t>
      </w:r>
      <w:bookmarkEnd w:id="100"/>
      <w:bookmarkEnd w:id="101"/>
      <w:bookmarkEnd w:id="102"/>
      <w:bookmarkEnd w:id="103"/>
    </w:p>
    <w:p w14:paraId="0FDBB10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6.1.1 </w:t>
      </w:r>
      <w:r>
        <w:rPr>
          <w:rFonts w:hint="eastAsia" w:ascii="宋体" w:hAnsi="宋体" w:eastAsia="宋体" w:cs="宋体"/>
          <w:color w:val="auto"/>
          <w:kern w:val="0"/>
          <w:szCs w:val="21"/>
          <w:highlight w:val="none"/>
        </w:rPr>
        <w:t>合同设备交付后应进行开箱检验，即合同设备数量及外观检验。开箱检验在专用合同条款约定的下列任一种时间进行：</w:t>
      </w:r>
    </w:p>
    <w:p w14:paraId="595525C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）合同设备交付时；</w:t>
      </w:r>
    </w:p>
    <w:p w14:paraId="79937CD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2</w:t>
      </w:r>
      <w:r>
        <w:rPr>
          <w:rFonts w:hint="eastAsia" w:ascii="宋体" w:hAnsi="宋体" w:eastAsia="宋体" w:cs="宋体"/>
          <w:color w:val="auto"/>
          <w:kern w:val="0"/>
          <w:szCs w:val="21"/>
          <w:highlight w:val="none"/>
        </w:rPr>
        <w:t>）合同设备交付后的一定期限内。</w:t>
      </w:r>
    </w:p>
    <w:p w14:paraId="49E849A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如开箱检验不在合同设备交付时进行，买方应在开箱检验</w:t>
      </w:r>
      <w:r>
        <w:rPr>
          <w:rFonts w:ascii="宋体" w:hAnsi="宋体" w:eastAsia="宋体" w:cs="Times New Roman"/>
          <w:color w:val="auto"/>
          <w:kern w:val="0"/>
          <w:szCs w:val="21"/>
          <w:highlight w:val="none"/>
        </w:rPr>
        <w:t>3</w:t>
      </w:r>
      <w:r>
        <w:rPr>
          <w:rFonts w:hint="eastAsia" w:ascii="宋体" w:hAnsi="宋体" w:eastAsia="宋体" w:cs="宋体"/>
          <w:color w:val="auto"/>
          <w:kern w:val="0"/>
          <w:szCs w:val="21"/>
          <w:highlight w:val="none"/>
        </w:rPr>
        <w:t>日前将开箱检验的时间和地点通知卖方。</w:t>
      </w:r>
    </w:p>
    <w:p w14:paraId="36CD981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6.1.2 </w:t>
      </w:r>
      <w:r>
        <w:rPr>
          <w:rFonts w:hint="eastAsia" w:ascii="宋体" w:hAnsi="宋体" w:eastAsia="宋体" w:cs="宋体"/>
          <w:color w:val="auto"/>
          <w:kern w:val="0"/>
          <w:szCs w:val="21"/>
          <w:highlight w:val="none"/>
        </w:rPr>
        <w:t>除专用合同条款另有约定外，合同设备的开箱检验应在施工场地进行。</w:t>
      </w:r>
    </w:p>
    <w:p w14:paraId="7251B4A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6.1.3 </w:t>
      </w:r>
      <w:r>
        <w:rPr>
          <w:rFonts w:hint="eastAsia" w:ascii="宋体" w:hAnsi="宋体" w:eastAsia="宋体" w:cs="宋体"/>
          <w:color w:val="auto"/>
          <w:kern w:val="0"/>
          <w:szCs w:val="21"/>
          <w:highlight w:val="none"/>
        </w:rPr>
        <w:t>开箱检验由买卖双方共同进行，卖方应自负费用派遣代表到场参加开箱检验。</w:t>
      </w:r>
    </w:p>
    <w:p w14:paraId="5538D2F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6.1.4 </w:t>
      </w:r>
      <w:r>
        <w:rPr>
          <w:rFonts w:hint="eastAsia" w:ascii="宋体" w:hAnsi="宋体" w:eastAsia="宋体" w:cs="宋体"/>
          <w:color w:val="auto"/>
          <w:kern w:val="0"/>
          <w:szCs w:val="21"/>
          <w:highlight w:val="none"/>
        </w:rPr>
        <w:t>在开箱检验中，买方和卖方应共同签署数量、外观检验报告，报告应列明检验结果，包括检验合格或发现的任何短缺、损坏或其它与合同约定不符的情形。</w:t>
      </w:r>
    </w:p>
    <w:p w14:paraId="6B8F111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6.1.5 </w:t>
      </w:r>
      <w:r>
        <w:rPr>
          <w:rFonts w:hint="eastAsia" w:ascii="宋体" w:hAnsi="宋体" w:eastAsia="宋体" w:cs="宋体"/>
          <w:color w:val="auto"/>
          <w:kern w:val="0"/>
          <w:szCs w:val="21"/>
          <w:highlight w:val="none"/>
        </w:rPr>
        <w:t>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06ED2ED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6.1.6 </w:t>
      </w:r>
      <w:r>
        <w:rPr>
          <w:rFonts w:hint="eastAsia" w:ascii="宋体" w:hAnsi="宋体" w:eastAsia="宋体" w:cs="宋体"/>
          <w:color w:val="auto"/>
          <w:kern w:val="0"/>
          <w:szCs w:val="21"/>
          <w:highlight w:val="none"/>
        </w:rPr>
        <w:t>如开箱检验不在合同设备交付时进行，则合同设备交付以后到开箱检验之前，应由买方负责按交货时外包装原样对合同设备进行妥善保管。除专用合同条款另有约定外，在开箱检验时如果合同设备外包装与交货时一致，则开箱检验中发现的合同设备的短缺、损坏或其它与合同约定不符的情形，由卖方负责，卖方应补齐、更换及采取其他补救措施。如果在开箱检验时合同设备外包装不是交货时的包装或虽是交货时的包装但与交货时不一致且出现很可能导致合同设备短缺或损坏的包装破损，则开箱检验中发现合同设备短缺、损坏或其它与合同约定不符的情形的风险，由买方承担，但买方能够证明是由于卖方原因或合同设备交付前非买方原因导致的除外。</w:t>
      </w:r>
    </w:p>
    <w:p w14:paraId="41F69A5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6.1.7 </w:t>
      </w:r>
      <w:r>
        <w:rPr>
          <w:rFonts w:hint="eastAsia" w:ascii="宋体" w:hAnsi="宋体" w:eastAsia="宋体" w:cs="宋体"/>
          <w:color w:val="auto"/>
          <w:kern w:val="0"/>
          <w:szCs w:val="21"/>
          <w:highlight w:val="none"/>
        </w:rPr>
        <w:t>如双方在专用合同条款和（或）供货要求等合同文件中约定由第三方检测机构对合同设备进行开箱检验或在开箱检验过程中另行约定由第三方检验的，则第三方检测机构的检验结果对双方均具有约束力。</w:t>
      </w:r>
    </w:p>
    <w:p w14:paraId="29B3286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6.1.8 </w:t>
      </w:r>
      <w:r>
        <w:rPr>
          <w:rFonts w:hint="eastAsia" w:ascii="宋体" w:hAnsi="宋体" w:eastAsia="宋体" w:cs="宋体"/>
          <w:color w:val="auto"/>
          <w:kern w:val="0"/>
          <w:szCs w:val="21"/>
          <w:highlight w:val="none"/>
        </w:rPr>
        <w:t>开箱检验的检验结果不能对抗在合同设备的安装、调试、考核、验收中及质量保证期内发现的合同设备质量问题，也不能免除或影响卖方依照合同约定对买方负有的包括合同设备质量在内的任何义务或责任。</w:t>
      </w:r>
    </w:p>
    <w:p w14:paraId="70075F45">
      <w:pPr>
        <w:pStyle w:val="5"/>
        <w:spacing w:before="0" w:after="0" w:line="360" w:lineRule="auto"/>
        <w:rPr>
          <w:rFonts w:ascii="宋体" w:hAnsi="宋体" w:eastAsia="宋体" w:cs="黑体"/>
          <w:color w:val="auto"/>
          <w:kern w:val="0"/>
          <w:sz w:val="21"/>
          <w:szCs w:val="28"/>
          <w:highlight w:val="none"/>
        </w:rPr>
      </w:pPr>
      <w:bookmarkStart w:id="104" w:name="_Toc26275161"/>
      <w:bookmarkStart w:id="105" w:name="_Toc28835"/>
      <w:bookmarkStart w:id="106" w:name="_Toc11703"/>
      <w:bookmarkStart w:id="107" w:name="_Toc57494683"/>
      <w:r>
        <w:rPr>
          <w:rFonts w:ascii="宋体" w:hAnsi="宋体" w:eastAsia="宋体" w:cs="黑体"/>
          <w:color w:val="auto"/>
          <w:kern w:val="0"/>
          <w:sz w:val="21"/>
          <w:szCs w:val="28"/>
          <w:highlight w:val="none"/>
        </w:rPr>
        <w:t xml:space="preserve">6.2 </w:t>
      </w:r>
      <w:r>
        <w:rPr>
          <w:rFonts w:hint="eastAsia" w:ascii="宋体" w:hAnsi="宋体" w:eastAsia="宋体" w:cs="黑体"/>
          <w:color w:val="auto"/>
          <w:kern w:val="0"/>
          <w:sz w:val="21"/>
          <w:szCs w:val="28"/>
          <w:highlight w:val="none"/>
        </w:rPr>
        <w:t>安装、调试</w:t>
      </w:r>
      <w:bookmarkEnd w:id="104"/>
      <w:bookmarkEnd w:id="105"/>
      <w:bookmarkEnd w:id="106"/>
      <w:bookmarkEnd w:id="107"/>
    </w:p>
    <w:p w14:paraId="660187E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6.2.1 </w:t>
      </w:r>
      <w:r>
        <w:rPr>
          <w:rFonts w:hint="eastAsia" w:ascii="宋体" w:hAnsi="宋体" w:eastAsia="宋体" w:cs="宋体"/>
          <w:color w:val="auto"/>
          <w:kern w:val="0"/>
          <w:szCs w:val="21"/>
          <w:highlight w:val="none"/>
        </w:rPr>
        <w:t>开箱检验完成后，双方应对合同设备进行安装、调试，以使其具备考核的状态。安装、调试应按照专用合同条款约定的下列任一种方式进行：</w:t>
      </w:r>
    </w:p>
    <w:p w14:paraId="0F50000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）卖方按照合同约定完成合同设备的安装、调试工作；</w:t>
      </w:r>
    </w:p>
    <w:p w14:paraId="2C9B5DD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2</w:t>
      </w:r>
      <w:r>
        <w:rPr>
          <w:rFonts w:hint="eastAsia" w:ascii="宋体" w:hAnsi="宋体" w:eastAsia="宋体" w:cs="宋体"/>
          <w:color w:val="auto"/>
          <w:kern w:val="0"/>
          <w:szCs w:val="21"/>
          <w:highlight w:val="none"/>
        </w:rPr>
        <w:t>）买方或买方安排第三方负责合同设备的安装、调试工作，卖方提供技术服务，包括但不限于针对卖方设备特点对第三方开展安装工艺及关键点培训，以及安装调试现场指导。</w:t>
      </w:r>
    </w:p>
    <w:p w14:paraId="4A5BCF9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除专用合同条款另有约定外，在安装、调试过程中，如由于买方或买方安排的第三方未按照卖方现场服务人员的指导导致安装、调试不成功和（或）出现合同设备损坏，买方应自行承担责任。如在买方或买方安排的第三方按照卖方现场服务人员的指导进行安装、调试的情况下出现安装、调试不成功和（或）造成合同设备损坏的情况，卖方应承担责任。</w:t>
      </w:r>
    </w:p>
    <w:p w14:paraId="23BC610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6.2.2 </w:t>
      </w:r>
      <w:r>
        <w:rPr>
          <w:rFonts w:hint="eastAsia" w:ascii="宋体" w:hAnsi="宋体" w:eastAsia="宋体" w:cs="宋体"/>
          <w:color w:val="auto"/>
          <w:kern w:val="0"/>
          <w:szCs w:val="21"/>
          <w:highlight w:val="none"/>
        </w:rPr>
        <w:t>除专用合同条款另有约定外，安装、调试中合同设备运行需要的用水、用电、其他动力和原材料（如需要）等均由买方承担。</w:t>
      </w:r>
    </w:p>
    <w:p w14:paraId="294A443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6.2.3 </w:t>
      </w:r>
      <w:r>
        <w:rPr>
          <w:rFonts w:hint="eastAsia" w:ascii="宋体" w:hAnsi="宋体" w:eastAsia="宋体" w:cs="宋体"/>
          <w:color w:val="auto"/>
          <w:kern w:val="0"/>
          <w:szCs w:val="21"/>
          <w:highlight w:val="none"/>
        </w:rPr>
        <w:t>双方应对合同设备的安装、调试情况共同及时进行记录。</w:t>
      </w:r>
    </w:p>
    <w:p w14:paraId="5EC9E15B">
      <w:pPr>
        <w:pStyle w:val="5"/>
        <w:spacing w:before="0" w:after="0" w:line="360" w:lineRule="auto"/>
        <w:rPr>
          <w:rFonts w:ascii="宋体" w:hAnsi="宋体" w:eastAsia="宋体" w:cs="黑体"/>
          <w:color w:val="auto"/>
          <w:kern w:val="0"/>
          <w:sz w:val="21"/>
          <w:szCs w:val="28"/>
          <w:highlight w:val="none"/>
        </w:rPr>
      </w:pPr>
      <w:bookmarkStart w:id="108" w:name="_Toc12566"/>
      <w:bookmarkStart w:id="109" w:name="_Toc9007"/>
      <w:bookmarkStart w:id="110" w:name="_Toc26275162"/>
      <w:bookmarkStart w:id="111" w:name="_Toc57494684"/>
      <w:r>
        <w:rPr>
          <w:rFonts w:ascii="宋体" w:hAnsi="宋体" w:eastAsia="宋体" w:cs="黑体"/>
          <w:color w:val="auto"/>
          <w:kern w:val="0"/>
          <w:sz w:val="21"/>
          <w:szCs w:val="28"/>
          <w:highlight w:val="none"/>
        </w:rPr>
        <w:t xml:space="preserve">6.3 </w:t>
      </w:r>
      <w:r>
        <w:rPr>
          <w:rFonts w:hint="eastAsia" w:ascii="宋体" w:hAnsi="宋体" w:eastAsia="宋体" w:cs="黑体"/>
          <w:color w:val="auto"/>
          <w:kern w:val="0"/>
          <w:sz w:val="21"/>
          <w:szCs w:val="28"/>
          <w:highlight w:val="none"/>
        </w:rPr>
        <w:t>考核</w:t>
      </w:r>
      <w:bookmarkEnd w:id="108"/>
      <w:bookmarkEnd w:id="109"/>
      <w:bookmarkEnd w:id="110"/>
      <w:bookmarkEnd w:id="111"/>
    </w:p>
    <w:p w14:paraId="53A3C0D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6.3.1 </w:t>
      </w:r>
      <w:r>
        <w:rPr>
          <w:rFonts w:hint="eastAsia" w:ascii="宋体" w:hAnsi="宋体" w:eastAsia="宋体" w:cs="宋体"/>
          <w:color w:val="auto"/>
          <w:kern w:val="0"/>
          <w:szCs w:val="21"/>
          <w:highlight w:val="none"/>
        </w:rPr>
        <w:t>安装、调试完成后，双方应对合同设备进行考核，以确定合同设备是否达到合同约定的技术性能考核指标。除专用合同条款另有约定外，考核中合同设备运行需要的用水、用电、其他动力和原材料（如需要）等均由买方承担。</w:t>
      </w:r>
    </w:p>
    <w:p w14:paraId="32D869E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6.3.2 </w:t>
      </w:r>
      <w:r>
        <w:rPr>
          <w:rFonts w:hint="eastAsia" w:ascii="宋体" w:hAnsi="宋体" w:eastAsia="宋体" w:cs="宋体"/>
          <w:color w:val="auto"/>
          <w:kern w:val="0"/>
          <w:szCs w:val="21"/>
          <w:highlight w:val="none"/>
        </w:rPr>
        <w:t>如由于卖方原因合同设备在考核中未能达到合同约定的技术性能考核指标，则卖方应在双方同意的期限内采取措施消除合同设备中存在的缺陷，并在缺陷消除以后，尽快进行再次考核。</w:t>
      </w:r>
    </w:p>
    <w:p w14:paraId="5A752F6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6.3.3 </w:t>
      </w:r>
      <w:r>
        <w:rPr>
          <w:rFonts w:hint="eastAsia" w:ascii="宋体" w:hAnsi="宋体" w:eastAsia="宋体" w:cs="宋体"/>
          <w:color w:val="auto"/>
          <w:kern w:val="0"/>
          <w:szCs w:val="21"/>
          <w:highlight w:val="none"/>
        </w:rPr>
        <w:t>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的最低技术性能考核指标，且合同设备达到了最低技术性能考核指标的，视为合同设备已达到技术性能考核指标，买方无权解除合同，且应接受合同设备，但卖方应按专用合同条款的约定进行减价或向买方支付补偿金。</w:t>
      </w:r>
    </w:p>
    <w:p w14:paraId="7EDFC42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6.3.4 </w:t>
      </w:r>
      <w:r>
        <w:rPr>
          <w:rFonts w:hint="eastAsia" w:ascii="宋体" w:hAnsi="宋体" w:eastAsia="宋体" w:cs="宋体"/>
          <w:color w:val="auto"/>
          <w:kern w:val="0"/>
          <w:szCs w:val="21"/>
          <w:highlight w:val="none"/>
        </w:rPr>
        <w:t>如由于买方原因合同设备在考核中未能达到合同约定的技术性能考核指标，则卖方应协助买方安排再次考核。由于买方原因未能达到技术性能考核指标时，为买方进行考核的机会不超过三次。</w:t>
      </w:r>
    </w:p>
    <w:p w14:paraId="3C82650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6.3.5 </w:t>
      </w:r>
      <w:r>
        <w:rPr>
          <w:rFonts w:hint="eastAsia" w:ascii="宋体" w:hAnsi="宋体" w:eastAsia="宋体" w:cs="宋体"/>
          <w:color w:val="auto"/>
          <w:kern w:val="0"/>
          <w:szCs w:val="21"/>
          <w:highlight w:val="none"/>
        </w:rPr>
        <w:t>考核期间，双方应及时共同记录合同设备的用水、用电、其他动力和原材料（如有）的使用及设备考核情况。对于未达到技术性能考核指标的，应如实记录设备表现、可能原因及处理情况等。</w:t>
      </w:r>
    </w:p>
    <w:p w14:paraId="1B2B8DFF">
      <w:pPr>
        <w:pStyle w:val="5"/>
        <w:spacing w:before="0" w:after="0" w:line="360" w:lineRule="auto"/>
        <w:rPr>
          <w:rFonts w:ascii="宋体" w:hAnsi="宋体" w:eastAsia="宋体" w:cs="黑体"/>
          <w:color w:val="auto"/>
          <w:kern w:val="0"/>
          <w:sz w:val="21"/>
          <w:szCs w:val="28"/>
          <w:highlight w:val="none"/>
        </w:rPr>
      </w:pPr>
      <w:bookmarkStart w:id="112" w:name="_Toc17604"/>
      <w:bookmarkStart w:id="113" w:name="_Toc430"/>
      <w:bookmarkStart w:id="114" w:name="_Toc26275163"/>
      <w:bookmarkStart w:id="115" w:name="_Toc57494685"/>
      <w:r>
        <w:rPr>
          <w:rFonts w:ascii="宋体" w:hAnsi="宋体" w:eastAsia="宋体" w:cs="黑体"/>
          <w:color w:val="auto"/>
          <w:kern w:val="0"/>
          <w:sz w:val="21"/>
          <w:szCs w:val="28"/>
          <w:highlight w:val="none"/>
        </w:rPr>
        <w:t xml:space="preserve">6.4 </w:t>
      </w:r>
      <w:r>
        <w:rPr>
          <w:rFonts w:hint="eastAsia" w:ascii="宋体" w:hAnsi="宋体" w:eastAsia="宋体" w:cs="黑体"/>
          <w:color w:val="auto"/>
          <w:kern w:val="0"/>
          <w:sz w:val="21"/>
          <w:szCs w:val="28"/>
          <w:highlight w:val="none"/>
        </w:rPr>
        <w:t>验收</w:t>
      </w:r>
      <w:bookmarkEnd w:id="112"/>
      <w:bookmarkEnd w:id="113"/>
      <w:bookmarkEnd w:id="114"/>
      <w:bookmarkEnd w:id="115"/>
    </w:p>
    <w:p w14:paraId="245AE9B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6.4.1 </w:t>
      </w:r>
      <w:r>
        <w:rPr>
          <w:rFonts w:hint="eastAsia" w:ascii="宋体" w:hAnsi="宋体" w:eastAsia="宋体" w:cs="宋体"/>
          <w:color w:val="auto"/>
          <w:kern w:val="0"/>
          <w:szCs w:val="21"/>
          <w:highlight w:val="none"/>
        </w:rPr>
        <w:t>如合同设备在考核中达到或视为达到技术性能考核指标，则买卖双方应在考核完成后</w:t>
      </w:r>
      <w:r>
        <w:rPr>
          <w:rFonts w:ascii="宋体" w:hAnsi="宋体" w:eastAsia="宋体" w:cs="Times New Roman"/>
          <w:color w:val="auto"/>
          <w:kern w:val="0"/>
          <w:szCs w:val="21"/>
          <w:highlight w:val="none"/>
        </w:rPr>
        <w:t>7</w:t>
      </w:r>
      <w:r>
        <w:rPr>
          <w:rFonts w:hint="eastAsia" w:ascii="宋体" w:hAnsi="宋体" w:eastAsia="宋体" w:cs="宋体"/>
          <w:color w:val="auto"/>
          <w:kern w:val="0"/>
          <w:szCs w:val="21"/>
          <w:highlight w:val="none"/>
        </w:rPr>
        <w:t>日内或专用合同条款另行约定的时间内签署合同设备验收证书一式二份，双方各持一份。验收日期应为合同设备达到或视为达到技术性能考核指标的日期。</w:t>
      </w:r>
    </w:p>
    <w:p w14:paraId="14F5DEF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6.4.2 </w:t>
      </w:r>
      <w:r>
        <w:rPr>
          <w:rFonts w:hint="eastAsia" w:ascii="宋体" w:hAnsi="宋体" w:eastAsia="宋体" w:cs="宋体"/>
          <w:color w:val="auto"/>
          <w:kern w:val="0"/>
          <w:szCs w:val="21"/>
          <w:highlight w:val="none"/>
        </w:rPr>
        <w:t>如由于买方原因合同设备在三次考核中均未能达到技术性能考核指标，买卖双方应在考核结束后</w:t>
      </w:r>
      <w:r>
        <w:rPr>
          <w:rFonts w:ascii="宋体" w:hAnsi="宋体" w:eastAsia="宋体" w:cs="Times New Roman"/>
          <w:color w:val="auto"/>
          <w:kern w:val="0"/>
          <w:szCs w:val="21"/>
          <w:highlight w:val="none"/>
        </w:rPr>
        <w:t>7</w:t>
      </w:r>
      <w:r>
        <w:rPr>
          <w:rFonts w:hint="eastAsia" w:ascii="宋体" w:hAnsi="宋体" w:eastAsia="宋体" w:cs="宋体"/>
          <w:color w:val="auto"/>
          <w:kern w:val="0"/>
          <w:szCs w:val="21"/>
          <w:highlight w:val="none"/>
        </w:rPr>
        <w:t>日内或专用合同条款另行约定的时间内签署验收款支付函。</w:t>
      </w:r>
    </w:p>
    <w:p w14:paraId="2B98FBD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除专用合同条款另有约定外，卖方有义务在验收款支付函签署后</w:t>
      </w:r>
      <w:r>
        <w:rPr>
          <w:rFonts w:ascii="宋体" w:hAnsi="宋体" w:eastAsia="宋体" w:cs="Times New Roman"/>
          <w:color w:val="auto"/>
          <w:kern w:val="0"/>
          <w:szCs w:val="21"/>
          <w:highlight w:val="none"/>
        </w:rPr>
        <w:t>12</w:t>
      </w:r>
      <w:r>
        <w:rPr>
          <w:rFonts w:hint="eastAsia" w:ascii="宋体" w:hAnsi="宋体" w:eastAsia="宋体" w:cs="宋体"/>
          <w:color w:val="auto"/>
          <w:kern w:val="0"/>
          <w:szCs w:val="21"/>
          <w:highlight w:val="none"/>
        </w:rPr>
        <w:t>个月内应买方要求提供相关技术服务，协助买方采取一切必要措施使合同设备达到技术性能考核指标。买方应承担卖方因此产生的全部费用。</w:t>
      </w:r>
    </w:p>
    <w:p w14:paraId="44D2096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在上述</w:t>
      </w:r>
      <w:r>
        <w:rPr>
          <w:rFonts w:ascii="宋体" w:hAnsi="宋体" w:eastAsia="宋体" w:cs="Times New Roman"/>
          <w:color w:val="auto"/>
          <w:kern w:val="0"/>
          <w:szCs w:val="21"/>
          <w:highlight w:val="none"/>
        </w:rPr>
        <w:t>12</w:t>
      </w:r>
      <w:r>
        <w:rPr>
          <w:rFonts w:hint="eastAsia" w:ascii="宋体" w:hAnsi="宋体" w:eastAsia="宋体" w:cs="宋体"/>
          <w:color w:val="auto"/>
          <w:kern w:val="0"/>
          <w:szCs w:val="21"/>
          <w:highlight w:val="none"/>
        </w:rPr>
        <w:t>个月的期限内，如合同设备经过考核达到或视为达到技术性能考核指标，则买卖双方应按照第</w:t>
      </w:r>
      <w:r>
        <w:rPr>
          <w:rFonts w:ascii="宋体" w:hAnsi="宋体" w:eastAsia="宋体" w:cs="Times New Roman"/>
          <w:color w:val="auto"/>
          <w:kern w:val="0"/>
          <w:szCs w:val="21"/>
          <w:highlight w:val="none"/>
        </w:rPr>
        <w:t>6.4.1</w:t>
      </w:r>
      <w:r>
        <w:rPr>
          <w:rFonts w:hint="eastAsia" w:ascii="宋体" w:hAnsi="宋体" w:eastAsia="宋体" w:cs="宋体"/>
          <w:color w:val="auto"/>
          <w:kern w:val="0"/>
          <w:szCs w:val="21"/>
          <w:highlight w:val="none"/>
        </w:rPr>
        <w:t>项的约定签署合同设备验收证书。</w:t>
      </w:r>
    </w:p>
    <w:p w14:paraId="2C80F2F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6.4.3 </w:t>
      </w:r>
      <w:r>
        <w:rPr>
          <w:rFonts w:hint="eastAsia" w:ascii="宋体" w:hAnsi="宋体" w:eastAsia="宋体" w:cs="宋体"/>
          <w:color w:val="auto"/>
          <w:kern w:val="0"/>
          <w:szCs w:val="21"/>
          <w:highlight w:val="none"/>
        </w:rPr>
        <w:t>除专用合同条款另有约定外，如由于买方原因在最后一批合同设备交货后</w:t>
      </w:r>
      <w:r>
        <w:rPr>
          <w:rFonts w:ascii="宋体" w:hAnsi="宋体" w:eastAsia="宋体" w:cs="Times New Roman"/>
          <w:color w:val="auto"/>
          <w:kern w:val="0"/>
          <w:szCs w:val="21"/>
          <w:highlight w:val="none"/>
        </w:rPr>
        <w:t>6</w:t>
      </w:r>
      <w:r>
        <w:rPr>
          <w:rFonts w:hint="eastAsia" w:ascii="宋体" w:hAnsi="宋体" w:eastAsia="宋体" w:cs="宋体"/>
          <w:color w:val="auto"/>
          <w:kern w:val="0"/>
          <w:szCs w:val="21"/>
          <w:highlight w:val="none"/>
        </w:rPr>
        <w:t>个月内未能开始考核，则买卖双方应在上述期限届满后</w:t>
      </w:r>
      <w:r>
        <w:rPr>
          <w:rFonts w:ascii="宋体" w:hAnsi="宋体" w:eastAsia="宋体" w:cs="Times New Roman"/>
          <w:color w:val="auto"/>
          <w:kern w:val="0"/>
          <w:szCs w:val="21"/>
          <w:highlight w:val="none"/>
        </w:rPr>
        <w:t>7</w:t>
      </w:r>
      <w:r>
        <w:rPr>
          <w:rFonts w:hint="eastAsia" w:ascii="宋体" w:hAnsi="宋体" w:eastAsia="宋体" w:cs="宋体"/>
          <w:color w:val="auto"/>
          <w:kern w:val="0"/>
          <w:szCs w:val="21"/>
          <w:highlight w:val="none"/>
        </w:rPr>
        <w:t>日内或专用合同条款另行约定的时间内签署验收款支付函。</w:t>
      </w:r>
    </w:p>
    <w:p w14:paraId="544D048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除专用合同条款另有约定外，卖方有义务在验收款支付函签署后</w:t>
      </w:r>
      <w:r>
        <w:rPr>
          <w:rFonts w:ascii="宋体" w:hAnsi="宋体" w:eastAsia="宋体" w:cs="Times New Roman"/>
          <w:color w:val="auto"/>
          <w:kern w:val="0"/>
          <w:szCs w:val="21"/>
          <w:highlight w:val="none"/>
        </w:rPr>
        <w:t>6</w:t>
      </w:r>
      <w:r>
        <w:rPr>
          <w:rFonts w:hint="eastAsia" w:ascii="宋体" w:hAnsi="宋体" w:eastAsia="宋体" w:cs="宋体"/>
          <w:color w:val="auto"/>
          <w:kern w:val="0"/>
          <w:szCs w:val="21"/>
          <w:highlight w:val="none"/>
        </w:rPr>
        <w:t>个月内应买方要求提供不超出合同范围的技术服务，协助买方采取一切必要措施使合同设备达到技术性能考核指标，且买方无需因此向卖方支付费用。</w:t>
      </w:r>
    </w:p>
    <w:p w14:paraId="423161D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在上述</w:t>
      </w:r>
      <w:r>
        <w:rPr>
          <w:rFonts w:ascii="宋体" w:hAnsi="宋体" w:eastAsia="宋体" w:cs="Times New Roman"/>
          <w:color w:val="auto"/>
          <w:kern w:val="0"/>
          <w:szCs w:val="21"/>
          <w:highlight w:val="none"/>
        </w:rPr>
        <w:t>6</w:t>
      </w:r>
      <w:r>
        <w:rPr>
          <w:rFonts w:hint="eastAsia" w:ascii="宋体" w:hAnsi="宋体" w:eastAsia="宋体" w:cs="宋体"/>
          <w:color w:val="auto"/>
          <w:kern w:val="0"/>
          <w:szCs w:val="21"/>
          <w:highlight w:val="none"/>
        </w:rPr>
        <w:t>个月的期限内，如合同设备经过考核达到或视为达到技术性能考核指标，则买卖双方应按照第</w:t>
      </w:r>
      <w:r>
        <w:rPr>
          <w:rFonts w:ascii="宋体" w:hAnsi="宋体" w:eastAsia="宋体" w:cs="Times New Roman"/>
          <w:color w:val="auto"/>
          <w:kern w:val="0"/>
          <w:szCs w:val="21"/>
          <w:highlight w:val="none"/>
        </w:rPr>
        <w:t>6.4.1</w:t>
      </w:r>
      <w:r>
        <w:rPr>
          <w:rFonts w:hint="eastAsia" w:ascii="宋体" w:hAnsi="宋体" w:eastAsia="宋体" w:cs="宋体"/>
          <w:color w:val="auto"/>
          <w:kern w:val="0"/>
          <w:szCs w:val="21"/>
          <w:highlight w:val="none"/>
        </w:rPr>
        <w:t>项的约定签署合同设备验收证书。</w:t>
      </w:r>
    </w:p>
    <w:p w14:paraId="30513BB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6.4.4 </w:t>
      </w:r>
      <w:r>
        <w:rPr>
          <w:rFonts w:hint="eastAsia" w:ascii="宋体" w:hAnsi="宋体" w:eastAsia="宋体" w:cs="宋体"/>
          <w:color w:val="auto"/>
          <w:kern w:val="0"/>
          <w:szCs w:val="21"/>
          <w:highlight w:val="none"/>
        </w:rPr>
        <w:t>在第</w:t>
      </w:r>
      <w:r>
        <w:rPr>
          <w:rFonts w:ascii="宋体" w:hAnsi="宋体" w:eastAsia="宋体" w:cs="Times New Roman"/>
          <w:color w:val="auto"/>
          <w:kern w:val="0"/>
          <w:szCs w:val="21"/>
          <w:highlight w:val="none"/>
        </w:rPr>
        <w:t>6.4.2</w:t>
      </w:r>
      <w:r>
        <w:rPr>
          <w:rFonts w:hint="eastAsia" w:ascii="宋体" w:hAnsi="宋体" w:eastAsia="宋体" w:cs="宋体"/>
          <w:color w:val="auto"/>
          <w:kern w:val="0"/>
          <w:szCs w:val="21"/>
          <w:highlight w:val="none"/>
        </w:rPr>
        <w:t>项和第</w:t>
      </w:r>
      <w:r>
        <w:rPr>
          <w:rFonts w:ascii="宋体" w:hAnsi="宋体" w:eastAsia="宋体" w:cs="Times New Roman"/>
          <w:color w:val="auto"/>
          <w:kern w:val="0"/>
          <w:szCs w:val="21"/>
          <w:highlight w:val="none"/>
        </w:rPr>
        <w:t>6.4.3</w:t>
      </w:r>
      <w:r>
        <w:rPr>
          <w:rFonts w:hint="eastAsia" w:ascii="宋体" w:hAnsi="宋体" w:eastAsia="宋体" w:cs="宋体"/>
          <w:color w:val="auto"/>
          <w:kern w:val="0"/>
          <w:szCs w:val="21"/>
          <w:highlight w:val="none"/>
        </w:rPr>
        <w:t>项情形下，卖方也可单方签署验收款支付函提交买方，如果买方在收到卖方签署的验收款支付函后</w:t>
      </w:r>
      <w:r>
        <w:rPr>
          <w:rFonts w:ascii="宋体" w:hAnsi="宋体" w:eastAsia="宋体" w:cs="Times New Roman"/>
          <w:color w:val="auto"/>
          <w:kern w:val="0"/>
          <w:szCs w:val="21"/>
          <w:highlight w:val="none"/>
        </w:rPr>
        <w:t>14</w:t>
      </w:r>
      <w:r>
        <w:rPr>
          <w:rFonts w:hint="eastAsia" w:ascii="宋体" w:hAnsi="宋体" w:eastAsia="宋体" w:cs="宋体"/>
          <w:color w:val="auto"/>
          <w:kern w:val="0"/>
          <w:szCs w:val="21"/>
          <w:highlight w:val="none"/>
        </w:rPr>
        <w:t>日内未向卖方提出书面异议，则验收款支付函自签署之日起生效。</w:t>
      </w:r>
    </w:p>
    <w:p w14:paraId="20483AB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6.4.5 </w:t>
      </w:r>
      <w:r>
        <w:rPr>
          <w:rFonts w:hint="eastAsia" w:ascii="宋体" w:hAnsi="宋体" w:eastAsia="宋体" w:cs="宋体"/>
          <w:color w:val="auto"/>
          <w:kern w:val="0"/>
          <w:szCs w:val="21"/>
          <w:highlight w:val="none"/>
        </w:rPr>
        <w:t>合同设备验收证书的签署不能免除卖方在质量保证期内对合同设备应承担的保证责任。</w:t>
      </w:r>
    </w:p>
    <w:p w14:paraId="2B0E59D8">
      <w:pPr>
        <w:pStyle w:val="4"/>
        <w:spacing w:before="0" w:after="0" w:line="360" w:lineRule="auto"/>
        <w:rPr>
          <w:rFonts w:ascii="宋体" w:hAnsi="宋体" w:eastAsia="宋体" w:cs="Times New Roman"/>
          <w:color w:val="auto"/>
          <w:kern w:val="0"/>
          <w:sz w:val="21"/>
          <w:szCs w:val="21"/>
          <w:highlight w:val="none"/>
        </w:rPr>
      </w:pPr>
      <w:bookmarkStart w:id="116" w:name="_Toc15302"/>
      <w:bookmarkStart w:id="117" w:name="_Toc16382"/>
      <w:bookmarkStart w:id="118" w:name="_Toc57494686"/>
      <w:r>
        <w:rPr>
          <w:rFonts w:ascii="宋体" w:hAnsi="宋体" w:eastAsia="宋体" w:cs="Times New Roman"/>
          <w:color w:val="auto"/>
          <w:kern w:val="0"/>
          <w:sz w:val="21"/>
          <w:szCs w:val="21"/>
          <w:highlight w:val="none"/>
        </w:rPr>
        <w:t xml:space="preserve">7. </w:t>
      </w:r>
      <w:r>
        <w:rPr>
          <w:rFonts w:hint="eastAsia" w:ascii="宋体" w:hAnsi="宋体" w:eastAsia="宋体" w:cs="Times New Roman"/>
          <w:color w:val="auto"/>
          <w:kern w:val="0"/>
          <w:sz w:val="21"/>
          <w:szCs w:val="21"/>
          <w:highlight w:val="none"/>
        </w:rPr>
        <w:t>技术服务</w:t>
      </w:r>
      <w:bookmarkEnd w:id="116"/>
      <w:bookmarkEnd w:id="117"/>
      <w:bookmarkEnd w:id="118"/>
    </w:p>
    <w:p w14:paraId="4EC0C8B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7.1 </w:t>
      </w:r>
      <w:r>
        <w:rPr>
          <w:rFonts w:hint="eastAsia" w:ascii="宋体" w:hAnsi="宋体" w:eastAsia="宋体" w:cs="宋体"/>
          <w:color w:val="auto"/>
          <w:kern w:val="0"/>
          <w:szCs w:val="21"/>
          <w:highlight w:val="none"/>
        </w:rPr>
        <w:t>卖方应派遣技术熟练、称职的技术人员到施工场地为买方提供技术服务。卖方的技术服务应符合合同的约定。</w:t>
      </w:r>
    </w:p>
    <w:p w14:paraId="2F73A80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7.2 </w:t>
      </w:r>
      <w:r>
        <w:rPr>
          <w:rFonts w:hint="eastAsia" w:ascii="宋体" w:hAnsi="宋体" w:eastAsia="宋体" w:cs="宋体"/>
          <w:color w:val="auto"/>
          <w:kern w:val="0"/>
          <w:szCs w:val="21"/>
          <w:highlight w:val="none"/>
        </w:rPr>
        <w:t>买方应免费为卖方技术人员提供工作条件及便利，包括但不限于必要的办公场所、技术资料及出入许可等。除专用合同条款另有约定外，卖方技术人员的交通、食宿费用由卖方承担。</w:t>
      </w:r>
    </w:p>
    <w:p w14:paraId="2863B18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7.3 </w:t>
      </w:r>
      <w:r>
        <w:rPr>
          <w:rFonts w:hint="eastAsia" w:ascii="宋体" w:hAnsi="宋体" w:eastAsia="宋体" w:cs="宋体"/>
          <w:color w:val="auto"/>
          <w:kern w:val="0"/>
          <w:szCs w:val="21"/>
          <w:highlight w:val="none"/>
        </w:rPr>
        <w:t>卖方技术人员应遵守买方施工现场的各项规章制度和安全操作规程，并服从买方的现场管理。</w:t>
      </w:r>
    </w:p>
    <w:p w14:paraId="2A4FF5C9">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7.4 </w:t>
      </w:r>
      <w:r>
        <w:rPr>
          <w:rFonts w:hint="eastAsia" w:ascii="宋体" w:hAnsi="宋体" w:eastAsia="宋体" w:cs="宋体"/>
          <w:color w:val="auto"/>
          <w:kern w:val="0"/>
          <w:szCs w:val="21"/>
          <w:highlight w:val="none"/>
        </w:rPr>
        <w:t>如果任何技术人员不合格，买方有权要求卖方撤换，因撤换而产生的费用应由卖方承担。在不影响技术服务并且征得买方同意的条件下，卖方也可自负费用更换其技术人员。</w:t>
      </w:r>
    </w:p>
    <w:p w14:paraId="797D70B3">
      <w:pPr>
        <w:pStyle w:val="4"/>
        <w:spacing w:before="0" w:after="0" w:line="360" w:lineRule="auto"/>
        <w:rPr>
          <w:rFonts w:ascii="宋体" w:hAnsi="宋体" w:eastAsia="宋体" w:cs="Times New Roman"/>
          <w:color w:val="auto"/>
          <w:kern w:val="0"/>
          <w:sz w:val="21"/>
          <w:szCs w:val="21"/>
          <w:highlight w:val="none"/>
        </w:rPr>
      </w:pPr>
      <w:bookmarkStart w:id="119" w:name="_Toc792"/>
      <w:bookmarkStart w:id="120" w:name="_Toc24141"/>
      <w:bookmarkStart w:id="121" w:name="_Toc57494687"/>
      <w:r>
        <w:rPr>
          <w:rFonts w:ascii="宋体" w:hAnsi="宋体" w:eastAsia="宋体" w:cs="Times New Roman"/>
          <w:color w:val="auto"/>
          <w:kern w:val="0"/>
          <w:sz w:val="21"/>
          <w:szCs w:val="21"/>
          <w:highlight w:val="none"/>
        </w:rPr>
        <w:t xml:space="preserve">8. </w:t>
      </w:r>
      <w:r>
        <w:rPr>
          <w:rFonts w:hint="eastAsia" w:ascii="宋体" w:hAnsi="宋体" w:eastAsia="宋体" w:cs="Times New Roman"/>
          <w:color w:val="auto"/>
          <w:kern w:val="0"/>
          <w:sz w:val="21"/>
          <w:szCs w:val="21"/>
          <w:highlight w:val="none"/>
        </w:rPr>
        <w:t>质量保证期</w:t>
      </w:r>
      <w:bookmarkEnd w:id="119"/>
      <w:bookmarkEnd w:id="120"/>
      <w:bookmarkEnd w:id="121"/>
    </w:p>
    <w:p w14:paraId="7BA8A86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8.1 </w:t>
      </w:r>
      <w:r>
        <w:rPr>
          <w:rFonts w:hint="eastAsia" w:ascii="宋体" w:hAnsi="宋体" w:eastAsia="宋体" w:cs="宋体"/>
          <w:color w:val="auto"/>
          <w:kern w:val="0"/>
          <w:szCs w:val="21"/>
          <w:highlight w:val="none"/>
        </w:rPr>
        <w:t>除专用合同条款和（或）供货要求等合同文件另有约定外，合同设备整体质量保证期为验收之日起</w:t>
      </w:r>
      <w:r>
        <w:rPr>
          <w:rFonts w:ascii="宋体" w:hAnsi="宋体" w:eastAsia="宋体" w:cs="Times New Roman"/>
          <w:color w:val="auto"/>
          <w:kern w:val="0"/>
          <w:szCs w:val="21"/>
          <w:highlight w:val="none"/>
        </w:rPr>
        <w:t>12</w:t>
      </w:r>
      <w:r>
        <w:rPr>
          <w:rFonts w:hint="eastAsia" w:ascii="宋体" w:hAnsi="宋体" w:eastAsia="宋体" w:cs="宋体"/>
          <w:color w:val="auto"/>
          <w:kern w:val="0"/>
          <w:szCs w:val="21"/>
          <w:highlight w:val="none"/>
        </w:rPr>
        <w:t>个月。如对合同设备中关键部件的质量保证期有特殊要求的，买卖双方可在专用合同条款中约定。在合同第</w:t>
      </w:r>
      <w:r>
        <w:rPr>
          <w:rFonts w:ascii="宋体" w:hAnsi="宋体" w:eastAsia="宋体" w:cs="Times New Roman"/>
          <w:color w:val="auto"/>
          <w:kern w:val="0"/>
          <w:szCs w:val="21"/>
          <w:highlight w:val="none"/>
        </w:rPr>
        <w:t>6.4.2</w:t>
      </w:r>
      <w:r>
        <w:rPr>
          <w:rFonts w:hint="eastAsia" w:ascii="宋体" w:hAnsi="宋体" w:eastAsia="宋体" w:cs="宋体"/>
          <w:color w:val="auto"/>
          <w:kern w:val="0"/>
          <w:szCs w:val="21"/>
          <w:highlight w:val="none"/>
        </w:rPr>
        <w:t>项情形下，无论合同设备何时验收，其质量保证期最长为签署验收款支付函后</w:t>
      </w:r>
      <w:r>
        <w:rPr>
          <w:rFonts w:ascii="宋体" w:hAnsi="宋体" w:eastAsia="宋体" w:cs="Times New Roman"/>
          <w:color w:val="auto"/>
          <w:kern w:val="0"/>
          <w:szCs w:val="21"/>
          <w:highlight w:val="none"/>
        </w:rPr>
        <w:t>12</w:t>
      </w:r>
      <w:r>
        <w:rPr>
          <w:rFonts w:hint="eastAsia" w:ascii="宋体" w:hAnsi="宋体" w:eastAsia="宋体" w:cs="宋体"/>
          <w:color w:val="auto"/>
          <w:kern w:val="0"/>
          <w:szCs w:val="21"/>
          <w:highlight w:val="none"/>
        </w:rPr>
        <w:t>个月。在合同第</w:t>
      </w:r>
      <w:r>
        <w:rPr>
          <w:rFonts w:ascii="宋体" w:hAnsi="宋体" w:eastAsia="宋体" w:cs="Times New Roman"/>
          <w:color w:val="auto"/>
          <w:kern w:val="0"/>
          <w:szCs w:val="21"/>
          <w:highlight w:val="none"/>
        </w:rPr>
        <w:t>6.4.3</w:t>
      </w:r>
      <w:r>
        <w:rPr>
          <w:rFonts w:hint="eastAsia" w:ascii="宋体" w:hAnsi="宋体" w:eastAsia="宋体" w:cs="宋体"/>
          <w:color w:val="auto"/>
          <w:kern w:val="0"/>
          <w:szCs w:val="21"/>
          <w:highlight w:val="none"/>
        </w:rPr>
        <w:t>项情形下，无论合同设备何时验收，其质量保证期最长为签署验收款支付函后</w:t>
      </w:r>
      <w:r>
        <w:rPr>
          <w:rFonts w:ascii="宋体" w:hAnsi="宋体" w:eastAsia="宋体" w:cs="Times New Roman"/>
          <w:color w:val="auto"/>
          <w:kern w:val="0"/>
          <w:szCs w:val="21"/>
          <w:highlight w:val="none"/>
        </w:rPr>
        <w:t>6</w:t>
      </w:r>
      <w:r>
        <w:rPr>
          <w:rFonts w:hint="eastAsia" w:ascii="宋体" w:hAnsi="宋体" w:eastAsia="宋体" w:cs="宋体"/>
          <w:color w:val="auto"/>
          <w:kern w:val="0"/>
          <w:szCs w:val="21"/>
          <w:highlight w:val="none"/>
        </w:rPr>
        <w:t>个月。</w:t>
      </w:r>
    </w:p>
    <w:p w14:paraId="5B7F0F6B">
      <w:pPr>
        <w:topLinePunct/>
        <w:adjustRightInd w:val="0"/>
        <w:snapToGrid w:val="0"/>
        <w:spacing w:line="360" w:lineRule="auto"/>
        <w:ind w:firstLine="420" w:firstLineChars="200"/>
        <w:jc w:val="left"/>
        <w:rPr>
          <w:rFonts w:ascii="宋体" w:hAnsi="宋体" w:eastAsia="宋体"/>
          <w:color w:val="auto"/>
          <w:kern w:val="0"/>
          <w:szCs w:val="21"/>
          <w:highlight w:val="none"/>
        </w:rPr>
      </w:pPr>
      <w:r>
        <w:rPr>
          <w:rFonts w:ascii="宋体" w:hAnsi="宋体" w:eastAsia="宋体" w:cs="Times New Roman"/>
          <w:color w:val="auto"/>
          <w:kern w:val="0"/>
          <w:szCs w:val="21"/>
          <w:highlight w:val="none"/>
        </w:rPr>
        <w:t xml:space="preserve">8.2 </w:t>
      </w:r>
      <w:r>
        <w:rPr>
          <w:rFonts w:hint="eastAsia" w:ascii="宋体" w:hAnsi="宋体" w:eastAsia="宋体" w:cs="宋体"/>
          <w:color w:val="auto"/>
          <w:kern w:val="0"/>
          <w:szCs w:val="21"/>
          <w:highlight w:val="none"/>
        </w:rPr>
        <w:t>在质量保证期内如果合同设备出现故障，卖方应自负费用提供质保期服务，对相关合同设备进行修理或更换以消除故障。更换的合同设备和（或）关键部件的质量保证期应重新计算。但如果合同设备的故障是由于买方原因造成的，则对合同设备进行修理和更换的费用应由买方承担。</w:t>
      </w:r>
    </w:p>
    <w:p w14:paraId="20D5951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8.3 </w:t>
      </w:r>
      <w:r>
        <w:rPr>
          <w:rFonts w:hint="eastAsia" w:ascii="宋体" w:hAnsi="宋体" w:eastAsia="宋体" w:cs="宋体"/>
          <w:color w:val="auto"/>
          <w:kern w:val="0"/>
          <w:szCs w:val="21"/>
          <w:highlight w:val="none"/>
        </w:rPr>
        <w:t>质量保证期届满后，买方应在</w:t>
      </w:r>
      <w:r>
        <w:rPr>
          <w:rFonts w:ascii="宋体" w:hAnsi="宋体" w:eastAsia="宋体" w:cs="Times New Roman"/>
          <w:color w:val="auto"/>
          <w:kern w:val="0"/>
          <w:szCs w:val="21"/>
          <w:highlight w:val="none"/>
        </w:rPr>
        <w:t>7</w:t>
      </w:r>
      <w:r>
        <w:rPr>
          <w:rFonts w:hint="eastAsia" w:ascii="宋体" w:hAnsi="宋体" w:eastAsia="宋体" w:cs="宋体"/>
          <w:color w:val="auto"/>
          <w:kern w:val="0"/>
          <w:szCs w:val="21"/>
          <w:highlight w:val="none"/>
        </w:rPr>
        <w:t>日内或专用合同条款另行约定的时间内向卖方出具合同设备的质量保证期届满证书。</w:t>
      </w:r>
    </w:p>
    <w:p w14:paraId="5CB260E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8.4 </w:t>
      </w:r>
      <w:r>
        <w:rPr>
          <w:rFonts w:hint="eastAsia" w:ascii="宋体" w:hAnsi="宋体" w:eastAsia="宋体" w:cs="宋体"/>
          <w:color w:val="auto"/>
          <w:kern w:val="0"/>
          <w:szCs w:val="21"/>
          <w:highlight w:val="none"/>
        </w:rPr>
        <w:t>在合同第</w:t>
      </w:r>
      <w:r>
        <w:rPr>
          <w:rFonts w:ascii="宋体" w:hAnsi="宋体" w:eastAsia="宋体" w:cs="Times New Roman"/>
          <w:color w:val="auto"/>
          <w:kern w:val="0"/>
          <w:szCs w:val="21"/>
          <w:highlight w:val="none"/>
        </w:rPr>
        <w:t>6.4.2</w:t>
      </w:r>
      <w:r>
        <w:rPr>
          <w:rFonts w:hint="eastAsia" w:ascii="宋体" w:hAnsi="宋体" w:eastAsia="宋体" w:cs="宋体"/>
          <w:color w:val="auto"/>
          <w:kern w:val="0"/>
          <w:szCs w:val="21"/>
          <w:highlight w:val="none"/>
        </w:rPr>
        <w:t>项情形下，如在验收款支付函签署后</w:t>
      </w:r>
      <w:r>
        <w:rPr>
          <w:rFonts w:ascii="宋体" w:hAnsi="宋体" w:eastAsia="宋体" w:cs="Times New Roman"/>
          <w:color w:val="auto"/>
          <w:kern w:val="0"/>
          <w:szCs w:val="21"/>
          <w:highlight w:val="none"/>
        </w:rPr>
        <w:t>12</w:t>
      </w:r>
      <w:r>
        <w:rPr>
          <w:rFonts w:hint="eastAsia" w:ascii="宋体" w:hAnsi="宋体" w:eastAsia="宋体" w:cs="宋体"/>
          <w:color w:val="auto"/>
          <w:kern w:val="0"/>
          <w:szCs w:val="21"/>
          <w:highlight w:val="none"/>
        </w:rPr>
        <w:t>个月内由于买方原因合同设备仍未能达到技术性能考核指标，则买卖双方应在该</w:t>
      </w:r>
      <w:r>
        <w:rPr>
          <w:rFonts w:ascii="宋体" w:hAnsi="宋体" w:eastAsia="宋体" w:cs="Times New Roman"/>
          <w:color w:val="auto"/>
          <w:kern w:val="0"/>
          <w:szCs w:val="21"/>
          <w:highlight w:val="none"/>
        </w:rPr>
        <w:t>12</w:t>
      </w:r>
      <w:r>
        <w:rPr>
          <w:rFonts w:hint="eastAsia" w:ascii="宋体" w:hAnsi="宋体" w:eastAsia="宋体" w:cs="宋体"/>
          <w:color w:val="auto"/>
          <w:kern w:val="0"/>
          <w:szCs w:val="21"/>
          <w:highlight w:val="none"/>
        </w:rPr>
        <w:t>个月届满后</w:t>
      </w:r>
      <w:r>
        <w:rPr>
          <w:rFonts w:ascii="宋体" w:hAnsi="宋体" w:eastAsia="宋体" w:cs="Times New Roman"/>
          <w:color w:val="auto"/>
          <w:kern w:val="0"/>
          <w:szCs w:val="21"/>
          <w:highlight w:val="none"/>
        </w:rPr>
        <w:t>7</w:t>
      </w:r>
      <w:r>
        <w:rPr>
          <w:rFonts w:hint="eastAsia" w:ascii="宋体" w:hAnsi="宋体" w:eastAsia="宋体" w:cs="宋体"/>
          <w:color w:val="auto"/>
          <w:kern w:val="0"/>
          <w:szCs w:val="21"/>
          <w:highlight w:val="none"/>
        </w:rPr>
        <w:t>日内或专用合同条款另行约定的时间内签署结清款支付函。</w:t>
      </w:r>
    </w:p>
    <w:p w14:paraId="6C1CAB9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8.5 </w:t>
      </w:r>
      <w:r>
        <w:rPr>
          <w:rFonts w:hint="eastAsia" w:ascii="宋体" w:hAnsi="宋体" w:eastAsia="宋体" w:cs="宋体"/>
          <w:color w:val="auto"/>
          <w:kern w:val="0"/>
          <w:szCs w:val="21"/>
          <w:highlight w:val="none"/>
        </w:rPr>
        <w:t>在合同第</w:t>
      </w:r>
      <w:r>
        <w:rPr>
          <w:rFonts w:ascii="宋体" w:hAnsi="宋体" w:eastAsia="宋体" w:cs="Times New Roman"/>
          <w:color w:val="auto"/>
          <w:kern w:val="0"/>
          <w:szCs w:val="21"/>
          <w:highlight w:val="none"/>
        </w:rPr>
        <w:t>6.4.3</w:t>
      </w:r>
      <w:r>
        <w:rPr>
          <w:rFonts w:hint="eastAsia" w:ascii="宋体" w:hAnsi="宋体" w:eastAsia="宋体" w:cs="宋体"/>
          <w:color w:val="auto"/>
          <w:kern w:val="0"/>
          <w:szCs w:val="21"/>
          <w:highlight w:val="none"/>
        </w:rPr>
        <w:t>项情形下，如在验收款支付函签署后</w:t>
      </w:r>
      <w:r>
        <w:rPr>
          <w:rFonts w:ascii="宋体" w:hAnsi="宋体" w:eastAsia="宋体" w:cs="Times New Roman"/>
          <w:color w:val="auto"/>
          <w:kern w:val="0"/>
          <w:szCs w:val="21"/>
          <w:highlight w:val="none"/>
        </w:rPr>
        <w:t>6</w:t>
      </w:r>
      <w:r>
        <w:rPr>
          <w:rFonts w:hint="eastAsia" w:ascii="宋体" w:hAnsi="宋体" w:eastAsia="宋体" w:cs="宋体"/>
          <w:color w:val="auto"/>
          <w:kern w:val="0"/>
          <w:szCs w:val="21"/>
          <w:highlight w:val="none"/>
        </w:rPr>
        <w:t>个月内由于买方原因合同设备仍未进行考核或仍未达到技术性能考核指标，则买卖双方应在该</w:t>
      </w:r>
      <w:r>
        <w:rPr>
          <w:rFonts w:ascii="宋体" w:hAnsi="宋体" w:eastAsia="宋体" w:cs="Times New Roman"/>
          <w:color w:val="auto"/>
          <w:kern w:val="0"/>
          <w:szCs w:val="21"/>
          <w:highlight w:val="none"/>
        </w:rPr>
        <w:t>6</w:t>
      </w:r>
      <w:r>
        <w:rPr>
          <w:rFonts w:hint="eastAsia" w:ascii="宋体" w:hAnsi="宋体" w:eastAsia="宋体" w:cs="宋体"/>
          <w:color w:val="auto"/>
          <w:kern w:val="0"/>
          <w:szCs w:val="21"/>
          <w:highlight w:val="none"/>
        </w:rPr>
        <w:t>个月届满后</w:t>
      </w:r>
      <w:r>
        <w:rPr>
          <w:rFonts w:ascii="宋体" w:hAnsi="宋体" w:eastAsia="宋体" w:cs="Times New Roman"/>
          <w:color w:val="auto"/>
          <w:kern w:val="0"/>
          <w:szCs w:val="21"/>
          <w:highlight w:val="none"/>
        </w:rPr>
        <w:t>7</w:t>
      </w:r>
      <w:r>
        <w:rPr>
          <w:rFonts w:hint="eastAsia" w:ascii="宋体" w:hAnsi="宋体" w:eastAsia="宋体" w:cs="宋体"/>
          <w:color w:val="auto"/>
          <w:kern w:val="0"/>
          <w:szCs w:val="21"/>
          <w:highlight w:val="none"/>
        </w:rPr>
        <w:t>日内或专用合同条款另行约定的时间内签署结清款支付函。</w:t>
      </w:r>
    </w:p>
    <w:p w14:paraId="7BF7E50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8.6 </w:t>
      </w:r>
      <w:r>
        <w:rPr>
          <w:rFonts w:hint="eastAsia" w:ascii="宋体" w:hAnsi="宋体" w:eastAsia="宋体" w:cs="宋体"/>
          <w:color w:val="auto"/>
          <w:kern w:val="0"/>
          <w:szCs w:val="21"/>
          <w:highlight w:val="none"/>
        </w:rPr>
        <w:t>在第</w:t>
      </w:r>
      <w:r>
        <w:rPr>
          <w:rFonts w:ascii="宋体" w:hAnsi="宋体" w:eastAsia="宋体" w:cs="Times New Roman"/>
          <w:color w:val="auto"/>
          <w:kern w:val="0"/>
          <w:szCs w:val="21"/>
          <w:highlight w:val="none"/>
        </w:rPr>
        <w:t>8.4</w:t>
      </w:r>
      <w:r>
        <w:rPr>
          <w:rFonts w:hint="eastAsia" w:ascii="宋体" w:hAnsi="宋体" w:eastAsia="宋体" w:cs="宋体"/>
          <w:color w:val="auto"/>
          <w:kern w:val="0"/>
          <w:szCs w:val="21"/>
          <w:highlight w:val="none"/>
        </w:rPr>
        <w:t>款和第</w:t>
      </w:r>
      <w:r>
        <w:rPr>
          <w:rFonts w:ascii="宋体" w:hAnsi="宋体" w:eastAsia="宋体" w:cs="Times New Roman"/>
          <w:color w:val="auto"/>
          <w:kern w:val="0"/>
          <w:szCs w:val="21"/>
          <w:highlight w:val="none"/>
        </w:rPr>
        <w:t>8.5</w:t>
      </w:r>
      <w:r>
        <w:rPr>
          <w:rFonts w:hint="eastAsia" w:ascii="宋体" w:hAnsi="宋体" w:eastAsia="宋体" w:cs="宋体"/>
          <w:color w:val="auto"/>
          <w:kern w:val="0"/>
          <w:szCs w:val="21"/>
          <w:highlight w:val="none"/>
        </w:rPr>
        <w:t>款情形下，卖方也可单方签署结清款支付函提交买方，如果买方在收到卖方签署的结清款支付函后</w:t>
      </w:r>
      <w:r>
        <w:rPr>
          <w:rFonts w:ascii="宋体" w:hAnsi="宋体" w:eastAsia="宋体" w:cs="Times New Roman"/>
          <w:color w:val="auto"/>
          <w:kern w:val="0"/>
          <w:szCs w:val="21"/>
          <w:highlight w:val="none"/>
        </w:rPr>
        <w:t>14</w:t>
      </w:r>
      <w:r>
        <w:rPr>
          <w:rFonts w:hint="eastAsia" w:ascii="宋体" w:hAnsi="宋体" w:eastAsia="宋体" w:cs="宋体"/>
          <w:color w:val="auto"/>
          <w:kern w:val="0"/>
          <w:szCs w:val="21"/>
          <w:highlight w:val="none"/>
        </w:rPr>
        <w:t>日内未向卖方提出书面异议，则结清款支付函自签署之日起生效。</w:t>
      </w:r>
    </w:p>
    <w:p w14:paraId="3D312910">
      <w:pPr>
        <w:pStyle w:val="4"/>
        <w:spacing w:before="0" w:after="0" w:line="360" w:lineRule="auto"/>
        <w:rPr>
          <w:rFonts w:ascii="宋体" w:hAnsi="宋体" w:eastAsia="宋体" w:cs="Times New Roman"/>
          <w:color w:val="auto"/>
          <w:kern w:val="0"/>
          <w:sz w:val="21"/>
          <w:szCs w:val="21"/>
          <w:highlight w:val="none"/>
        </w:rPr>
      </w:pPr>
      <w:bookmarkStart w:id="122" w:name="_Toc18178"/>
      <w:bookmarkStart w:id="123" w:name="_Toc57494688"/>
      <w:bookmarkStart w:id="124" w:name="_Toc23897"/>
      <w:r>
        <w:rPr>
          <w:rFonts w:ascii="宋体" w:hAnsi="宋体" w:eastAsia="宋体" w:cs="Times New Roman"/>
          <w:color w:val="auto"/>
          <w:kern w:val="0"/>
          <w:sz w:val="21"/>
          <w:szCs w:val="21"/>
          <w:highlight w:val="none"/>
        </w:rPr>
        <w:t xml:space="preserve">9. </w:t>
      </w:r>
      <w:r>
        <w:rPr>
          <w:rFonts w:hint="eastAsia" w:ascii="宋体" w:hAnsi="宋体" w:eastAsia="宋体" w:cs="Times New Roman"/>
          <w:color w:val="auto"/>
          <w:kern w:val="0"/>
          <w:sz w:val="21"/>
          <w:szCs w:val="21"/>
          <w:highlight w:val="none"/>
        </w:rPr>
        <w:t>质保期服务</w:t>
      </w:r>
      <w:bookmarkEnd w:id="122"/>
      <w:bookmarkEnd w:id="123"/>
      <w:bookmarkEnd w:id="124"/>
    </w:p>
    <w:p w14:paraId="79933CD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9.1 </w:t>
      </w:r>
      <w:r>
        <w:rPr>
          <w:rFonts w:hint="eastAsia" w:ascii="宋体" w:hAnsi="宋体" w:eastAsia="宋体" w:cs="宋体"/>
          <w:color w:val="auto"/>
          <w:kern w:val="0"/>
          <w:szCs w:val="21"/>
          <w:highlight w:val="none"/>
        </w:rPr>
        <w:t>卖方应为质保期服务配备充足的技术人员、工具和备件并保证提供的联系方式畅通。除专用合同条款和（或）供货要求等合同文件另有约定外，卖方应在收到买方通知后</w:t>
      </w:r>
      <w:r>
        <w:rPr>
          <w:rFonts w:ascii="宋体" w:hAnsi="宋体" w:eastAsia="宋体" w:cs="Times New Roman"/>
          <w:color w:val="auto"/>
          <w:kern w:val="0"/>
          <w:szCs w:val="21"/>
          <w:highlight w:val="none"/>
        </w:rPr>
        <w:t>24</w:t>
      </w:r>
      <w:r>
        <w:rPr>
          <w:rFonts w:hint="eastAsia" w:ascii="宋体" w:hAnsi="宋体" w:eastAsia="宋体" w:cs="宋体"/>
          <w:color w:val="auto"/>
          <w:kern w:val="0"/>
          <w:szCs w:val="21"/>
          <w:highlight w:val="none"/>
        </w:rPr>
        <w:t>小时内做出响应，如需卖方到合同设备现场，卖方应在收到买方通知后</w:t>
      </w:r>
      <w:r>
        <w:rPr>
          <w:rFonts w:ascii="宋体" w:hAnsi="宋体" w:eastAsia="宋体" w:cs="Times New Roman"/>
          <w:color w:val="auto"/>
          <w:kern w:val="0"/>
          <w:szCs w:val="21"/>
          <w:highlight w:val="none"/>
        </w:rPr>
        <w:t>48</w:t>
      </w:r>
      <w:r>
        <w:rPr>
          <w:rFonts w:hint="eastAsia" w:ascii="宋体" w:hAnsi="宋体" w:eastAsia="宋体" w:cs="宋体"/>
          <w:color w:val="auto"/>
          <w:kern w:val="0"/>
          <w:szCs w:val="21"/>
          <w:highlight w:val="none"/>
        </w:rPr>
        <w:t>小时内到达，并在到达后</w:t>
      </w:r>
      <w:r>
        <w:rPr>
          <w:rFonts w:ascii="宋体" w:hAnsi="宋体" w:eastAsia="宋体" w:cs="Times New Roman"/>
          <w:color w:val="auto"/>
          <w:kern w:val="0"/>
          <w:szCs w:val="21"/>
          <w:highlight w:val="none"/>
        </w:rPr>
        <w:t>7</w:t>
      </w:r>
      <w:r>
        <w:rPr>
          <w:rFonts w:hint="eastAsia" w:ascii="宋体" w:hAnsi="宋体" w:eastAsia="宋体" w:cs="宋体"/>
          <w:color w:val="auto"/>
          <w:kern w:val="0"/>
          <w:szCs w:val="21"/>
          <w:highlight w:val="none"/>
        </w:rPr>
        <w:t>日内解决合同设备的故障（重大故障除外）。如果卖方未在上述时间内作出响应，则买方有权自行或委托他人解决相关问题或查找和解决合同设备的故障，卖方应承担由此发生的全部费用。</w:t>
      </w:r>
    </w:p>
    <w:p w14:paraId="43D7391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9.2 </w:t>
      </w:r>
      <w:r>
        <w:rPr>
          <w:rFonts w:hint="eastAsia" w:ascii="宋体" w:hAnsi="宋体" w:eastAsia="宋体" w:cs="宋体"/>
          <w:color w:val="auto"/>
          <w:kern w:val="0"/>
          <w:szCs w:val="21"/>
          <w:highlight w:val="none"/>
        </w:rPr>
        <w:t>如卖方技术人员需到合同设备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0F69EA7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9.3 </w:t>
      </w:r>
      <w:r>
        <w:rPr>
          <w:rFonts w:hint="eastAsia" w:ascii="宋体" w:hAnsi="宋体" w:eastAsia="宋体" w:cs="宋体"/>
          <w:color w:val="auto"/>
          <w:kern w:val="0"/>
          <w:szCs w:val="21"/>
          <w:highlight w:val="none"/>
        </w:rPr>
        <w:t>如果任何技术人员不合格，买方有权要求卖方撤换，因撤换而产生的费用应由卖方承担。在不影响质保期服务并且征得买方同意的条件下，卖方也可自负费用更换其技术人员。</w:t>
      </w:r>
    </w:p>
    <w:p w14:paraId="787DB6F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9.4 </w:t>
      </w:r>
      <w:r>
        <w:rPr>
          <w:rFonts w:hint="eastAsia" w:ascii="宋体" w:hAnsi="宋体" w:eastAsia="宋体" w:cs="宋体"/>
          <w:color w:val="auto"/>
          <w:kern w:val="0"/>
          <w:szCs w:val="21"/>
          <w:highlight w:val="none"/>
        </w:rPr>
        <w:t>除专用合同条款另有约定外，卖方应就在施工现场进行质保期服务的情况进行记录，记载合同设备故障发生的时间、原因及解决情况等，由买方</w:t>
      </w:r>
      <w:r>
        <w:rPr>
          <w:rFonts w:hint="eastAsia" w:ascii="宋体" w:hAnsi="宋体" w:eastAsia="宋体" w:cs="宋体"/>
          <w:color w:val="auto"/>
          <w:kern w:val="0"/>
          <w:szCs w:val="21"/>
          <w:highlight w:val="none"/>
          <w:lang w:eastAsia="zh-CN"/>
        </w:rPr>
        <w:t>签名</w:t>
      </w:r>
      <w:r>
        <w:rPr>
          <w:rFonts w:hint="eastAsia" w:ascii="宋体" w:hAnsi="宋体" w:eastAsia="宋体" w:cs="宋体"/>
          <w:color w:val="auto"/>
          <w:kern w:val="0"/>
          <w:szCs w:val="21"/>
          <w:highlight w:val="none"/>
        </w:rPr>
        <w:t>确认，并在质量保证期结束后提交给买方。</w:t>
      </w:r>
    </w:p>
    <w:p w14:paraId="793DF691">
      <w:pPr>
        <w:pStyle w:val="4"/>
        <w:spacing w:before="0" w:after="0" w:line="360" w:lineRule="auto"/>
        <w:rPr>
          <w:rFonts w:ascii="宋体" w:hAnsi="宋体" w:eastAsia="宋体" w:cs="Times New Roman"/>
          <w:color w:val="auto"/>
          <w:kern w:val="0"/>
          <w:sz w:val="21"/>
          <w:szCs w:val="21"/>
          <w:highlight w:val="none"/>
        </w:rPr>
      </w:pPr>
      <w:bookmarkStart w:id="125" w:name="_Toc10039"/>
      <w:bookmarkStart w:id="126" w:name="_Toc57494689"/>
      <w:bookmarkStart w:id="127" w:name="_Toc19166"/>
      <w:r>
        <w:rPr>
          <w:rFonts w:ascii="宋体" w:hAnsi="宋体" w:eastAsia="宋体" w:cs="Times New Roman"/>
          <w:color w:val="auto"/>
          <w:kern w:val="0"/>
          <w:sz w:val="21"/>
          <w:szCs w:val="21"/>
          <w:highlight w:val="none"/>
        </w:rPr>
        <w:t xml:space="preserve">10. </w:t>
      </w:r>
      <w:r>
        <w:rPr>
          <w:rFonts w:hint="eastAsia" w:ascii="宋体" w:hAnsi="宋体" w:eastAsia="宋体" w:cs="Times New Roman"/>
          <w:color w:val="auto"/>
          <w:kern w:val="0"/>
          <w:sz w:val="21"/>
          <w:szCs w:val="21"/>
          <w:highlight w:val="none"/>
        </w:rPr>
        <w:t>履约保证金</w:t>
      </w:r>
      <w:bookmarkEnd w:id="125"/>
      <w:bookmarkEnd w:id="126"/>
      <w:bookmarkEnd w:id="127"/>
    </w:p>
    <w:p w14:paraId="44FC0EE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除专用合同条款另有约定外，履约保证金自合同生效之日起生效，在合同设备验收证书或验收款支付函签署之日起</w:t>
      </w:r>
      <w:r>
        <w:rPr>
          <w:rFonts w:ascii="宋体" w:hAnsi="宋体" w:eastAsia="宋体" w:cs="Times New Roman"/>
          <w:color w:val="auto"/>
          <w:kern w:val="0"/>
          <w:szCs w:val="21"/>
          <w:highlight w:val="none"/>
        </w:rPr>
        <w:t>28</w:t>
      </w:r>
      <w:r>
        <w:rPr>
          <w:rFonts w:hint="eastAsia" w:ascii="宋体" w:hAnsi="宋体" w:eastAsia="宋体" w:cs="宋体"/>
          <w:color w:val="auto"/>
          <w:kern w:val="0"/>
          <w:szCs w:val="21"/>
          <w:highlight w:val="none"/>
        </w:rPr>
        <w:t>日后失效。如果卖方不履行合同约定的义务或其履行不符合合同的约定，买方有权扣划相应金额的履约保证金。如卖方采用履约保证保险交纳保证金，将先由保险公司在保险金额以内向买方赔付与违约金、赔偿金或其他费用等额的保险金，再由保险公司向卖方在赔偿金额内进行追偿。</w:t>
      </w:r>
    </w:p>
    <w:p w14:paraId="6C2591CA">
      <w:pPr>
        <w:pStyle w:val="4"/>
        <w:spacing w:before="0" w:after="0" w:line="360" w:lineRule="auto"/>
        <w:rPr>
          <w:rFonts w:ascii="宋体" w:hAnsi="宋体" w:eastAsia="宋体" w:cs="Times New Roman"/>
          <w:color w:val="auto"/>
          <w:kern w:val="0"/>
          <w:sz w:val="21"/>
          <w:szCs w:val="21"/>
          <w:highlight w:val="none"/>
        </w:rPr>
      </w:pPr>
      <w:bookmarkStart w:id="128" w:name="_Toc57494690"/>
      <w:bookmarkStart w:id="129" w:name="_Toc22027"/>
      <w:bookmarkStart w:id="130" w:name="_Toc6309"/>
      <w:r>
        <w:rPr>
          <w:rFonts w:ascii="宋体" w:hAnsi="宋体" w:eastAsia="宋体" w:cs="Times New Roman"/>
          <w:color w:val="auto"/>
          <w:kern w:val="0"/>
          <w:sz w:val="21"/>
          <w:szCs w:val="21"/>
          <w:highlight w:val="none"/>
        </w:rPr>
        <w:t xml:space="preserve">11. </w:t>
      </w:r>
      <w:r>
        <w:rPr>
          <w:rFonts w:hint="eastAsia" w:ascii="宋体" w:hAnsi="宋体" w:eastAsia="宋体" w:cs="Times New Roman"/>
          <w:color w:val="auto"/>
          <w:kern w:val="0"/>
          <w:sz w:val="21"/>
          <w:szCs w:val="21"/>
          <w:highlight w:val="none"/>
        </w:rPr>
        <w:t>保证</w:t>
      </w:r>
      <w:bookmarkEnd w:id="128"/>
      <w:bookmarkEnd w:id="129"/>
      <w:bookmarkEnd w:id="130"/>
    </w:p>
    <w:p w14:paraId="536D7DE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 </w:t>
      </w:r>
      <w:r>
        <w:rPr>
          <w:rFonts w:hint="eastAsia" w:ascii="宋体" w:hAnsi="宋体" w:eastAsia="宋体" w:cs="宋体"/>
          <w:color w:val="auto"/>
          <w:kern w:val="0"/>
          <w:szCs w:val="21"/>
          <w:highlight w:val="none"/>
        </w:rPr>
        <w:t>卖方保证其具有完全的能力履行本合同项下的全部义务。</w:t>
      </w:r>
    </w:p>
    <w:p w14:paraId="5EA85A8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11.2 </w:t>
      </w:r>
      <w:r>
        <w:rPr>
          <w:rFonts w:hint="eastAsia" w:ascii="宋体" w:hAnsi="宋体" w:eastAsia="宋体" w:cs="宋体"/>
          <w:color w:val="auto"/>
          <w:kern w:val="0"/>
          <w:szCs w:val="21"/>
          <w:highlight w:val="none"/>
        </w:rPr>
        <w:t>卖方保证其所提供的合同设备及对合同的履行符合所有应适用的法律、行政法规、地方性法规、自治条例和单行条例、规章及其他规范性文件的强制性规定。</w:t>
      </w:r>
    </w:p>
    <w:p w14:paraId="2E73E4D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11.3 </w:t>
      </w:r>
      <w:r>
        <w:rPr>
          <w:rFonts w:hint="eastAsia" w:ascii="宋体" w:hAnsi="宋体" w:eastAsia="宋体" w:cs="宋体"/>
          <w:color w:val="auto"/>
          <w:kern w:val="0"/>
          <w:szCs w:val="21"/>
          <w:highlight w:val="none"/>
        </w:rPr>
        <w:t>卖方保证其对合同设备的销售不损害任何第三方的合法权益和社会公众利益。任何第三方不会因卖方原因而基于所有权、抵押权、留置权或其他任何权利或事由对合同设备主张权利。</w:t>
      </w:r>
    </w:p>
    <w:p w14:paraId="0E44518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11.4 </w:t>
      </w:r>
      <w:r>
        <w:rPr>
          <w:rFonts w:hint="eastAsia" w:ascii="宋体" w:hAnsi="宋体" w:eastAsia="宋体" w:cs="宋体"/>
          <w:color w:val="auto"/>
          <w:kern w:val="0"/>
          <w:szCs w:val="21"/>
          <w:highlight w:val="none"/>
        </w:rPr>
        <w:t>卖方保证合同设备符合合同约定的规格、标准、技术性能考核指标等，能够安全和稳定地运行，且合同设备（包括全部部件）全新、完整、未使用过，除非专用合同条款和（或）供货要求等合同文件另有约定。</w:t>
      </w:r>
    </w:p>
    <w:p w14:paraId="67239DD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11.5 卖方保证，卖方所提供的技术资料完整、清晰、准确，符合合同约定并且能够满足合同设备的安装、调试、考核、操作以及维修和保养的需要。</w:t>
      </w:r>
    </w:p>
    <w:p w14:paraId="7B99D0A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11.6 </w:t>
      </w:r>
      <w:r>
        <w:rPr>
          <w:rFonts w:hint="eastAsia" w:ascii="宋体" w:hAnsi="宋体" w:eastAsia="宋体" w:cs="宋体"/>
          <w:color w:val="auto"/>
          <w:kern w:val="0"/>
          <w:szCs w:val="21"/>
          <w:highlight w:val="none"/>
        </w:rPr>
        <w:t>卖方保证合同范围内提供的备品备件能够满足合同设备在质量保证期结束前正常运行及维修的需要，如在质量保证期结束前因卖方原因出现备品备件短缺影响合同设备正常运行的，卖方应免费提供。</w:t>
      </w:r>
    </w:p>
    <w:p w14:paraId="02D0A8C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11.7 </w:t>
      </w:r>
      <w:r>
        <w:rPr>
          <w:rFonts w:hint="eastAsia" w:ascii="宋体" w:hAnsi="宋体" w:eastAsia="宋体" w:cs="宋体"/>
          <w:color w:val="auto"/>
          <w:kern w:val="0"/>
          <w:szCs w:val="21"/>
          <w:highlight w:val="none"/>
        </w:rPr>
        <w:t>除专用合同条款和（或）供货要求等合同文件另有约定外，如果在合同设备设计使用寿命期内发生合同项下备品备件停止生产的情况，卖方应事先将拟停止生产的计划通知买方，使买方有足够的时间考虑备品备件的需求量。根据买方要求，卖方应：</w:t>
      </w:r>
    </w:p>
    <w:p w14:paraId="5532110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）以不高于同期市场价格或其向任何第三方销售同类产品的价格提供合同设备正常运行所需的全部备品备件。</w:t>
      </w:r>
    </w:p>
    <w:p w14:paraId="3D46F33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2</w:t>
      </w:r>
      <w:r>
        <w:rPr>
          <w:rFonts w:hint="eastAsia" w:ascii="宋体" w:hAnsi="宋体" w:eastAsia="宋体" w:cs="宋体"/>
          <w:color w:val="auto"/>
          <w:kern w:val="0"/>
          <w:szCs w:val="21"/>
          <w:highlight w:val="none"/>
        </w:rPr>
        <w:t>）免费提供可供买方或第三方制造停产备品备件所需的全部技术资料，以便买方持续获得上述备品备件以满足合同设备在寿命期内正常运行的需要。卖方保证买方或买方委托的第三方制造及买方使用这些备品备件不侵犯任何人的知识产权。</w:t>
      </w:r>
    </w:p>
    <w:p w14:paraId="4D67AD39">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11.8</w:t>
      </w:r>
      <w:r>
        <w:rPr>
          <w:rFonts w:hint="eastAsia" w:ascii="宋体" w:hAnsi="宋体" w:eastAsia="宋体" w:cs="Times New Roman"/>
          <w:color w:val="auto"/>
          <w:kern w:val="0"/>
          <w:szCs w:val="21"/>
          <w:highlight w:val="none"/>
        </w:rPr>
        <w:t xml:space="preserve"> </w:t>
      </w:r>
      <w:r>
        <w:rPr>
          <w:rFonts w:hint="eastAsia" w:ascii="宋体" w:hAnsi="宋体" w:eastAsia="宋体" w:cs="宋体"/>
          <w:color w:val="auto"/>
          <w:kern w:val="0"/>
          <w:szCs w:val="21"/>
          <w:highlight w:val="none"/>
        </w:rPr>
        <w:t>卖方保证，在合同设备设计使用寿命期内，如果卖方发现合同设备由于设计、制造、标识等原因存在足以危及人身、财产安全的缺陷，卖方将及时通知买方并及时采取修正或者补充标识、修理、更换等措施消除缺陷。</w:t>
      </w:r>
    </w:p>
    <w:p w14:paraId="78C9E725">
      <w:pPr>
        <w:pStyle w:val="4"/>
        <w:spacing w:before="0" w:after="0" w:line="360" w:lineRule="auto"/>
        <w:rPr>
          <w:rFonts w:ascii="宋体" w:hAnsi="宋体" w:eastAsia="宋体" w:cs="Times New Roman"/>
          <w:color w:val="auto"/>
          <w:kern w:val="0"/>
          <w:sz w:val="21"/>
          <w:szCs w:val="21"/>
          <w:highlight w:val="none"/>
        </w:rPr>
      </w:pPr>
      <w:bookmarkStart w:id="131" w:name="_Toc57494691"/>
      <w:bookmarkStart w:id="132" w:name="_Toc16362"/>
      <w:bookmarkStart w:id="133" w:name="_Toc2752"/>
      <w:r>
        <w:rPr>
          <w:rFonts w:ascii="宋体" w:hAnsi="宋体" w:eastAsia="宋体" w:cs="Times New Roman"/>
          <w:color w:val="auto"/>
          <w:kern w:val="0"/>
          <w:sz w:val="21"/>
          <w:szCs w:val="21"/>
          <w:highlight w:val="none"/>
        </w:rPr>
        <w:t xml:space="preserve">12. </w:t>
      </w:r>
      <w:r>
        <w:rPr>
          <w:rFonts w:hint="eastAsia" w:ascii="宋体" w:hAnsi="宋体" w:eastAsia="宋体" w:cs="Times New Roman"/>
          <w:color w:val="auto"/>
          <w:kern w:val="0"/>
          <w:sz w:val="21"/>
          <w:szCs w:val="21"/>
          <w:highlight w:val="none"/>
        </w:rPr>
        <w:t>知识产权</w:t>
      </w:r>
      <w:bookmarkEnd w:id="131"/>
      <w:bookmarkEnd w:id="132"/>
      <w:bookmarkEnd w:id="133"/>
    </w:p>
    <w:p w14:paraId="6BFCC50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12.1 </w:t>
      </w:r>
      <w:r>
        <w:rPr>
          <w:rFonts w:hint="eastAsia" w:ascii="宋体" w:hAnsi="宋体" w:eastAsia="宋体" w:cs="宋体"/>
          <w:color w:val="auto"/>
          <w:kern w:val="0"/>
          <w:szCs w:val="21"/>
          <w:highlight w:val="none"/>
        </w:rPr>
        <w:t>买方在履行合同过程中提供给卖方的全部图纸、文件和其他含有数据和信息的资料，其知识产权属于买方。</w:t>
      </w:r>
    </w:p>
    <w:p w14:paraId="6B61621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12.2 </w:t>
      </w:r>
      <w:r>
        <w:rPr>
          <w:rFonts w:hint="eastAsia" w:ascii="宋体" w:hAnsi="宋体" w:eastAsia="宋体" w:cs="宋体"/>
          <w:color w:val="auto"/>
          <w:kern w:val="0"/>
          <w:szCs w:val="21"/>
          <w:highlight w:val="none"/>
        </w:rPr>
        <w:t>除专用合同条款另有约定外，买方不因签署和履行合同而享有卖方在履行合同过程中提供给买方的图纸、文件、配套软件、电子辅助程序和其他含有数据和信息的资料的知识产权。</w:t>
      </w:r>
    </w:p>
    <w:p w14:paraId="09C6D6F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12.3 </w:t>
      </w:r>
      <w:r>
        <w:rPr>
          <w:rFonts w:hint="eastAsia" w:ascii="宋体" w:hAnsi="宋体" w:eastAsia="宋体" w:cs="宋体"/>
          <w:color w:val="auto"/>
          <w:kern w:val="0"/>
          <w:szCs w:val="21"/>
          <w:highlight w:val="none"/>
        </w:rPr>
        <w:t>如合同设备涉及知识产权，则卖方保证买方在使用合同设备过程中免于受到第三方提出的有关知识产权侵权的主张、索赔或诉讼的伤害。</w:t>
      </w:r>
    </w:p>
    <w:p w14:paraId="6CEB0DC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12.4 </w:t>
      </w:r>
      <w:r>
        <w:rPr>
          <w:rFonts w:hint="eastAsia" w:ascii="宋体" w:hAnsi="宋体" w:eastAsia="宋体" w:cs="宋体"/>
          <w:color w:val="auto"/>
          <w:kern w:val="0"/>
          <w:szCs w:val="21"/>
          <w:highlight w:val="none"/>
        </w:rPr>
        <w:t>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w:t>
      </w:r>
      <w:r>
        <w:rPr>
          <w:rFonts w:ascii="宋体" w:hAnsi="宋体" w:eastAsia="宋体" w:cs="Times New Roman"/>
          <w:color w:val="auto"/>
          <w:kern w:val="0"/>
          <w:szCs w:val="21"/>
          <w:highlight w:val="none"/>
        </w:rPr>
        <w:t>28</w:t>
      </w:r>
      <w:r>
        <w:rPr>
          <w:rFonts w:hint="eastAsia" w:ascii="宋体" w:hAnsi="宋体" w:eastAsia="宋体" w:cs="宋体"/>
          <w:color w:val="auto"/>
          <w:kern w:val="0"/>
          <w:szCs w:val="21"/>
          <w:highlight w:val="none"/>
        </w:rPr>
        <w:t>日内未作表示，买方可以自己的名义进行这些索赔或诉讼，因此发生的费用和遭受的损失均应由卖方承担。</w:t>
      </w:r>
    </w:p>
    <w:p w14:paraId="636F5546">
      <w:pPr>
        <w:pStyle w:val="4"/>
        <w:spacing w:before="0" w:after="0" w:line="360" w:lineRule="auto"/>
        <w:rPr>
          <w:rFonts w:ascii="宋体" w:hAnsi="宋体" w:eastAsia="宋体" w:cs="Times New Roman"/>
          <w:color w:val="auto"/>
          <w:kern w:val="0"/>
          <w:sz w:val="21"/>
          <w:szCs w:val="21"/>
          <w:highlight w:val="none"/>
        </w:rPr>
      </w:pPr>
      <w:bookmarkStart w:id="134" w:name="_Toc1739"/>
      <w:bookmarkStart w:id="135" w:name="_Toc57494692"/>
      <w:bookmarkStart w:id="136" w:name="_Toc12584"/>
      <w:r>
        <w:rPr>
          <w:rFonts w:ascii="宋体" w:hAnsi="宋体" w:eastAsia="宋体" w:cs="Times New Roman"/>
          <w:color w:val="auto"/>
          <w:kern w:val="0"/>
          <w:sz w:val="21"/>
          <w:szCs w:val="21"/>
          <w:highlight w:val="none"/>
        </w:rPr>
        <w:t xml:space="preserve">13. </w:t>
      </w:r>
      <w:r>
        <w:rPr>
          <w:rFonts w:hint="eastAsia" w:ascii="宋体" w:hAnsi="宋体" w:eastAsia="宋体" w:cs="Times New Roman"/>
          <w:color w:val="auto"/>
          <w:kern w:val="0"/>
          <w:sz w:val="21"/>
          <w:szCs w:val="21"/>
          <w:highlight w:val="none"/>
        </w:rPr>
        <w:t>保密</w:t>
      </w:r>
      <w:bookmarkEnd w:id="134"/>
      <w:bookmarkEnd w:id="135"/>
      <w:bookmarkEnd w:id="136"/>
    </w:p>
    <w:p w14:paraId="72A6BCC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合同双方应对因履行合同而取得的另一方当事人的信息、资料等予以保密。未经另一方当事人书面同意，任何一方均不得为与履行合同无关的目的使用或向第三方披露另一方当事人提供的信息、资料。</w:t>
      </w:r>
    </w:p>
    <w:p w14:paraId="0DF0572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合同当事人的保密义务不适用于下列信息：</w:t>
      </w:r>
    </w:p>
    <w:p w14:paraId="3E23A9BD">
      <w:pPr>
        <w:keepNext w:val="0"/>
        <w:keepLines w:val="0"/>
        <w:pageBreakBefore w:val="0"/>
        <w:widowControl w:val="0"/>
        <w:kinsoku/>
        <w:wordWrap/>
        <w:overflowPunct/>
        <w:topLinePunct/>
        <w:autoSpaceDE/>
        <w:autoSpaceDN/>
        <w:bidi w:val="0"/>
        <w:adjustRightInd w:val="0"/>
        <w:snapToGrid w:val="0"/>
        <w:spacing w:line="360" w:lineRule="auto"/>
        <w:ind w:firstLine="420" w:firstLineChars="200"/>
        <w:jc w:val="left"/>
        <w:textAlignment w:val="auto"/>
        <w:outlineLvl w:val="9"/>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）非因接受信息一方的过失现在或以后进入公共领域的信息；</w:t>
      </w:r>
    </w:p>
    <w:p w14:paraId="243DA47E">
      <w:pPr>
        <w:keepNext w:val="0"/>
        <w:keepLines w:val="0"/>
        <w:pageBreakBefore w:val="0"/>
        <w:widowControl w:val="0"/>
        <w:kinsoku/>
        <w:wordWrap/>
        <w:overflowPunct/>
        <w:topLinePunct/>
        <w:autoSpaceDE/>
        <w:autoSpaceDN/>
        <w:bidi w:val="0"/>
        <w:adjustRightInd w:val="0"/>
        <w:snapToGrid w:val="0"/>
        <w:spacing w:line="360" w:lineRule="auto"/>
        <w:ind w:firstLine="420" w:firstLineChars="200"/>
        <w:jc w:val="left"/>
        <w:textAlignment w:val="auto"/>
        <w:outlineLvl w:val="9"/>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2</w:t>
      </w:r>
      <w:r>
        <w:rPr>
          <w:rFonts w:hint="eastAsia" w:ascii="宋体" w:hAnsi="宋体" w:eastAsia="宋体" w:cs="宋体"/>
          <w:color w:val="auto"/>
          <w:kern w:val="0"/>
          <w:szCs w:val="21"/>
          <w:highlight w:val="none"/>
        </w:rPr>
        <w:t>）接受信息一方当事人合法地从第三方获得并且据其善意了解第三方也不对此承担保密义务的信息；</w:t>
      </w:r>
    </w:p>
    <w:p w14:paraId="0D14EB04">
      <w:pPr>
        <w:keepNext w:val="0"/>
        <w:keepLines w:val="0"/>
        <w:pageBreakBefore w:val="0"/>
        <w:widowControl w:val="0"/>
        <w:kinsoku/>
        <w:wordWrap/>
        <w:overflowPunct/>
        <w:topLinePunct/>
        <w:autoSpaceDE/>
        <w:autoSpaceDN/>
        <w:bidi w:val="0"/>
        <w:adjustRightInd w:val="0"/>
        <w:snapToGrid w:val="0"/>
        <w:spacing w:line="360" w:lineRule="auto"/>
        <w:ind w:firstLine="420" w:firstLineChars="200"/>
        <w:jc w:val="left"/>
        <w:textAlignment w:val="auto"/>
        <w:outlineLvl w:val="9"/>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3</w:t>
      </w:r>
      <w:r>
        <w:rPr>
          <w:rFonts w:hint="eastAsia" w:ascii="宋体" w:hAnsi="宋体" w:eastAsia="宋体" w:cs="宋体"/>
          <w:color w:val="auto"/>
          <w:kern w:val="0"/>
          <w:szCs w:val="21"/>
          <w:highlight w:val="none"/>
        </w:rPr>
        <w:t>）法律或法律的执行要求披露的信息。</w:t>
      </w:r>
    </w:p>
    <w:p w14:paraId="72C3E0E5">
      <w:pPr>
        <w:pStyle w:val="4"/>
        <w:spacing w:before="0" w:after="0" w:line="360" w:lineRule="auto"/>
        <w:rPr>
          <w:rFonts w:ascii="宋体" w:hAnsi="宋体" w:eastAsia="宋体" w:cs="Times New Roman"/>
          <w:color w:val="auto"/>
          <w:kern w:val="0"/>
          <w:sz w:val="21"/>
          <w:szCs w:val="21"/>
          <w:highlight w:val="none"/>
        </w:rPr>
      </w:pPr>
      <w:bookmarkStart w:id="137" w:name="_Toc57494693"/>
      <w:bookmarkStart w:id="138" w:name="_Toc11656"/>
      <w:bookmarkStart w:id="139" w:name="_Toc23304"/>
      <w:r>
        <w:rPr>
          <w:rFonts w:ascii="宋体" w:hAnsi="宋体" w:eastAsia="宋体" w:cs="Times New Roman"/>
          <w:color w:val="auto"/>
          <w:kern w:val="0"/>
          <w:sz w:val="21"/>
          <w:szCs w:val="21"/>
          <w:highlight w:val="none"/>
        </w:rPr>
        <w:t xml:space="preserve">14. </w:t>
      </w:r>
      <w:r>
        <w:rPr>
          <w:rFonts w:hint="eastAsia" w:ascii="宋体" w:hAnsi="宋体" w:eastAsia="宋体" w:cs="Times New Roman"/>
          <w:color w:val="auto"/>
          <w:kern w:val="0"/>
          <w:sz w:val="21"/>
          <w:szCs w:val="21"/>
          <w:highlight w:val="none"/>
        </w:rPr>
        <w:t>违约责任</w:t>
      </w:r>
      <w:bookmarkEnd w:id="137"/>
      <w:bookmarkEnd w:id="138"/>
      <w:bookmarkEnd w:id="139"/>
    </w:p>
    <w:p w14:paraId="1BC7673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宋体"/>
          <w:color w:val="auto"/>
          <w:kern w:val="0"/>
          <w:szCs w:val="21"/>
          <w:highlight w:val="none"/>
        </w:rPr>
        <w:t>合同一方不履行合同义务、履行合同义务不符合约定或者违反合同项下所作保证的，应向对方承担继续履行、采取修理、更换、退货等补救措施或者赔偿损失等违约责任。</w:t>
      </w:r>
    </w:p>
    <w:p w14:paraId="7E977A2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14.2 </w:t>
      </w:r>
      <w:r>
        <w:rPr>
          <w:rFonts w:hint="eastAsia" w:ascii="宋体" w:hAnsi="宋体" w:eastAsia="宋体" w:cs="宋体"/>
          <w:color w:val="auto"/>
          <w:kern w:val="0"/>
          <w:szCs w:val="21"/>
          <w:highlight w:val="none"/>
        </w:rPr>
        <w:t>卖方未能按时交付合同设备（包括仅迟延交付技术资料但足以导致合同设备安装、调试、考核、验收工作推迟的）的，应向买方支付迟延交付违约金。除专用合同条款另有约定外，迟延交付违约金的计算方法如下：</w:t>
      </w:r>
    </w:p>
    <w:p w14:paraId="15F7527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）从迟交的第一周到第四周，每周迟延交付违约金为迟交合同设备价格的</w:t>
      </w:r>
      <w:r>
        <w:rPr>
          <w:rFonts w:ascii="宋体" w:hAnsi="宋体" w:eastAsia="宋体" w:cs="Times New Roman"/>
          <w:color w:val="auto"/>
          <w:kern w:val="0"/>
          <w:szCs w:val="21"/>
          <w:highlight w:val="none"/>
        </w:rPr>
        <w:t>0.5%</w:t>
      </w:r>
      <w:r>
        <w:rPr>
          <w:rFonts w:hint="eastAsia" w:ascii="宋体" w:hAnsi="宋体" w:eastAsia="宋体" w:cs="宋体"/>
          <w:color w:val="auto"/>
          <w:kern w:val="0"/>
          <w:szCs w:val="21"/>
          <w:highlight w:val="none"/>
        </w:rPr>
        <w:t>；</w:t>
      </w:r>
    </w:p>
    <w:p w14:paraId="41E62D8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2</w:t>
      </w:r>
      <w:r>
        <w:rPr>
          <w:rFonts w:hint="eastAsia" w:ascii="宋体" w:hAnsi="宋体" w:eastAsia="宋体" w:cs="宋体"/>
          <w:color w:val="auto"/>
          <w:kern w:val="0"/>
          <w:szCs w:val="21"/>
          <w:highlight w:val="none"/>
        </w:rPr>
        <w:t>）从迟交的第五周到第八周，每周迟延交付违约金为迟交合同设备价格的</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w:t>
      </w:r>
    </w:p>
    <w:p w14:paraId="1DA3362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3</w:t>
      </w:r>
      <w:r>
        <w:rPr>
          <w:rFonts w:hint="eastAsia" w:ascii="宋体" w:hAnsi="宋体" w:eastAsia="宋体" w:cs="宋体"/>
          <w:color w:val="auto"/>
          <w:kern w:val="0"/>
          <w:szCs w:val="21"/>
          <w:highlight w:val="none"/>
        </w:rPr>
        <w:t>）从迟交第九周起，每周迟延交付违约金为迟交合同设备价格的</w:t>
      </w:r>
      <w:r>
        <w:rPr>
          <w:rFonts w:ascii="宋体" w:hAnsi="宋体" w:eastAsia="宋体" w:cs="Times New Roman"/>
          <w:color w:val="auto"/>
          <w:kern w:val="0"/>
          <w:szCs w:val="21"/>
          <w:highlight w:val="none"/>
        </w:rPr>
        <w:t>1.5%</w:t>
      </w:r>
      <w:r>
        <w:rPr>
          <w:rFonts w:hint="eastAsia" w:ascii="宋体" w:hAnsi="宋体" w:eastAsia="宋体" w:cs="宋体"/>
          <w:color w:val="auto"/>
          <w:kern w:val="0"/>
          <w:szCs w:val="21"/>
          <w:highlight w:val="none"/>
        </w:rPr>
        <w:t>。</w:t>
      </w:r>
    </w:p>
    <w:p w14:paraId="146B492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在计算迟延交付违约金时，迟交不足一周的按一周计算。迟延交付违约金的总额不得超过合同价格的</w:t>
      </w:r>
      <w:r>
        <w:rPr>
          <w:rFonts w:ascii="宋体" w:hAnsi="宋体" w:eastAsia="宋体" w:cs="Times New Roman"/>
          <w:color w:val="auto"/>
          <w:kern w:val="0"/>
          <w:szCs w:val="21"/>
          <w:highlight w:val="none"/>
        </w:rPr>
        <w:t>10%</w:t>
      </w:r>
      <w:r>
        <w:rPr>
          <w:rFonts w:hint="eastAsia" w:ascii="宋体" w:hAnsi="宋体" w:eastAsia="宋体" w:cs="宋体"/>
          <w:color w:val="auto"/>
          <w:kern w:val="0"/>
          <w:szCs w:val="21"/>
          <w:highlight w:val="none"/>
        </w:rPr>
        <w:t>。</w:t>
      </w:r>
    </w:p>
    <w:p w14:paraId="4D7C728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迟延交付违约金的支付不能免除卖方继续交付相关合同设备的义务，但如迟延交付必然导致合同设备安装、调试、考核、验收工作推迟的，相关工作应相应顺延。</w:t>
      </w:r>
    </w:p>
    <w:p w14:paraId="5A04578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14.3 </w:t>
      </w:r>
      <w:r>
        <w:rPr>
          <w:rFonts w:hint="eastAsia" w:ascii="宋体" w:hAnsi="宋体" w:eastAsia="宋体" w:cs="宋体"/>
          <w:color w:val="auto"/>
          <w:kern w:val="0"/>
          <w:szCs w:val="21"/>
          <w:highlight w:val="none"/>
        </w:rPr>
        <w:t>买方未能按合同约定支付合同价款的，应向卖方支付延迟付款违约金。除专用合同条款另有约定外，迟延付款违约金的计算方法如下：</w:t>
      </w:r>
    </w:p>
    <w:p w14:paraId="3118C8B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）从迟付的第一周到第四周，每周迟延付款违约金为迟延付款金额的</w:t>
      </w:r>
      <w:r>
        <w:rPr>
          <w:rFonts w:ascii="宋体" w:hAnsi="宋体" w:eastAsia="宋体" w:cs="Times New Roman"/>
          <w:color w:val="auto"/>
          <w:kern w:val="0"/>
          <w:szCs w:val="21"/>
          <w:highlight w:val="none"/>
        </w:rPr>
        <w:t>0.5%</w:t>
      </w:r>
      <w:r>
        <w:rPr>
          <w:rFonts w:hint="eastAsia" w:ascii="宋体" w:hAnsi="宋体" w:eastAsia="宋体" w:cs="宋体"/>
          <w:color w:val="auto"/>
          <w:kern w:val="0"/>
          <w:szCs w:val="21"/>
          <w:highlight w:val="none"/>
        </w:rPr>
        <w:t>；</w:t>
      </w:r>
    </w:p>
    <w:p w14:paraId="46CC506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2</w:t>
      </w:r>
      <w:r>
        <w:rPr>
          <w:rFonts w:hint="eastAsia" w:ascii="宋体" w:hAnsi="宋体" w:eastAsia="宋体" w:cs="宋体"/>
          <w:color w:val="auto"/>
          <w:kern w:val="0"/>
          <w:szCs w:val="21"/>
          <w:highlight w:val="none"/>
        </w:rPr>
        <w:t>）从迟付的第五周到第八周，每周迟延付款违约金为迟延付款金额的</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w:t>
      </w:r>
    </w:p>
    <w:p w14:paraId="7AE63989">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3</w:t>
      </w:r>
      <w:r>
        <w:rPr>
          <w:rFonts w:hint="eastAsia" w:ascii="宋体" w:hAnsi="宋体" w:eastAsia="宋体" w:cs="宋体"/>
          <w:color w:val="auto"/>
          <w:kern w:val="0"/>
          <w:szCs w:val="21"/>
          <w:highlight w:val="none"/>
        </w:rPr>
        <w:t>）从迟付第九周起，每周迟延付款违约金为迟延付款金额的</w:t>
      </w:r>
      <w:r>
        <w:rPr>
          <w:rFonts w:ascii="宋体" w:hAnsi="宋体" w:eastAsia="宋体" w:cs="Times New Roman"/>
          <w:color w:val="auto"/>
          <w:kern w:val="0"/>
          <w:szCs w:val="21"/>
          <w:highlight w:val="none"/>
        </w:rPr>
        <w:t>1.5%</w:t>
      </w:r>
      <w:r>
        <w:rPr>
          <w:rFonts w:hint="eastAsia" w:ascii="宋体" w:hAnsi="宋体" w:eastAsia="宋体" w:cs="宋体"/>
          <w:color w:val="auto"/>
          <w:kern w:val="0"/>
          <w:szCs w:val="21"/>
          <w:highlight w:val="none"/>
        </w:rPr>
        <w:t>。</w:t>
      </w:r>
    </w:p>
    <w:p w14:paraId="3A344B69">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在计算迟延付款违约金时，迟付不足一周的按一周计算。迟延付款违约金的总额不得超过合同价格的</w:t>
      </w:r>
      <w:r>
        <w:rPr>
          <w:rFonts w:ascii="宋体" w:hAnsi="宋体" w:eastAsia="宋体" w:cs="Times New Roman"/>
          <w:color w:val="auto"/>
          <w:kern w:val="0"/>
          <w:szCs w:val="21"/>
          <w:highlight w:val="none"/>
        </w:rPr>
        <w:t>10%</w:t>
      </w:r>
      <w:r>
        <w:rPr>
          <w:rFonts w:hint="eastAsia" w:ascii="宋体" w:hAnsi="宋体" w:eastAsia="宋体" w:cs="宋体"/>
          <w:color w:val="auto"/>
          <w:kern w:val="0"/>
          <w:szCs w:val="21"/>
          <w:highlight w:val="none"/>
        </w:rPr>
        <w:t>。</w:t>
      </w:r>
    </w:p>
    <w:p w14:paraId="66F2285E">
      <w:pPr>
        <w:pStyle w:val="4"/>
        <w:spacing w:before="0" w:after="0" w:line="360" w:lineRule="auto"/>
        <w:rPr>
          <w:rFonts w:ascii="宋体" w:hAnsi="宋体" w:eastAsia="宋体" w:cs="Times New Roman"/>
          <w:color w:val="auto"/>
          <w:kern w:val="0"/>
          <w:sz w:val="21"/>
          <w:szCs w:val="21"/>
          <w:highlight w:val="none"/>
        </w:rPr>
      </w:pPr>
      <w:bookmarkStart w:id="140" w:name="_Toc1548"/>
      <w:bookmarkStart w:id="141" w:name="_Toc57494694"/>
      <w:bookmarkStart w:id="142" w:name="_Toc29418"/>
      <w:r>
        <w:rPr>
          <w:rFonts w:ascii="宋体" w:hAnsi="宋体" w:eastAsia="宋体" w:cs="Times New Roman"/>
          <w:color w:val="auto"/>
          <w:kern w:val="0"/>
          <w:sz w:val="21"/>
          <w:szCs w:val="21"/>
          <w:highlight w:val="none"/>
        </w:rPr>
        <w:t xml:space="preserve">15. </w:t>
      </w:r>
      <w:r>
        <w:rPr>
          <w:rFonts w:hint="eastAsia" w:ascii="宋体" w:hAnsi="宋体" w:eastAsia="宋体" w:cs="Times New Roman"/>
          <w:color w:val="auto"/>
          <w:kern w:val="0"/>
          <w:sz w:val="21"/>
          <w:szCs w:val="21"/>
          <w:highlight w:val="none"/>
        </w:rPr>
        <w:t>合同的解除</w:t>
      </w:r>
      <w:bookmarkEnd w:id="140"/>
      <w:bookmarkEnd w:id="141"/>
      <w:bookmarkEnd w:id="142"/>
    </w:p>
    <w:p w14:paraId="3FEC3C5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除专用合同条款另有约定外，有下述情形之一，当事人可发出书面通知全部或部分地解除合同，合同自通知到达对方时全部或部分地解除：</w:t>
      </w:r>
    </w:p>
    <w:p w14:paraId="24116FE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）卖方迟延交付合同设备超过</w:t>
      </w:r>
      <w:r>
        <w:rPr>
          <w:rFonts w:ascii="宋体" w:hAnsi="宋体" w:eastAsia="宋体" w:cs="Times New Roman"/>
          <w:color w:val="auto"/>
          <w:kern w:val="0"/>
          <w:szCs w:val="21"/>
          <w:highlight w:val="none"/>
        </w:rPr>
        <w:t>3</w:t>
      </w:r>
      <w:r>
        <w:rPr>
          <w:rFonts w:hint="eastAsia" w:ascii="宋体" w:hAnsi="宋体" w:eastAsia="宋体" w:cs="宋体"/>
          <w:color w:val="auto"/>
          <w:kern w:val="0"/>
          <w:szCs w:val="21"/>
          <w:highlight w:val="none"/>
        </w:rPr>
        <w:t>个月；</w:t>
      </w:r>
    </w:p>
    <w:p w14:paraId="69040C8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2</w:t>
      </w:r>
      <w:r>
        <w:rPr>
          <w:rFonts w:hint="eastAsia" w:ascii="宋体" w:hAnsi="宋体" w:eastAsia="宋体" w:cs="宋体"/>
          <w:color w:val="auto"/>
          <w:kern w:val="0"/>
          <w:szCs w:val="21"/>
          <w:highlight w:val="none"/>
        </w:rPr>
        <w:t>）合同设备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4FFA34D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3</w:t>
      </w:r>
      <w:r>
        <w:rPr>
          <w:rFonts w:hint="eastAsia" w:ascii="宋体" w:hAnsi="宋体" w:eastAsia="宋体" w:cs="宋体"/>
          <w:color w:val="auto"/>
          <w:kern w:val="0"/>
          <w:szCs w:val="21"/>
          <w:highlight w:val="none"/>
        </w:rPr>
        <w:t>）买方迟延付款超过</w:t>
      </w:r>
      <w:r>
        <w:rPr>
          <w:rFonts w:ascii="宋体" w:hAnsi="宋体" w:eastAsia="宋体" w:cs="Times New Roman"/>
          <w:color w:val="auto"/>
          <w:kern w:val="0"/>
          <w:szCs w:val="21"/>
          <w:highlight w:val="none"/>
        </w:rPr>
        <w:t>3</w:t>
      </w:r>
      <w:r>
        <w:rPr>
          <w:rFonts w:hint="eastAsia" w:ascii="宋体" w:hAnsi="宋体" w:eastAsia="宋体" w:cs="宋体"/>
          <w:color w:val="auto"/>
          <w:kern w:val="0"/>
          <w:szCs w:val="21"/>
          <w:highlight w:val="none"/>
        </w:rPr>
        <w:t>个月；</w:t>
      </w:r>
    </w:p>
    <w:p w14:paraId="23B42F3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4</w:t>
      </w:r>
      <w:r>
        <w:rPr>
          <w:rFonts w:hint="eastAsia" w:ascii="宋体" w:hAnsi="宋体" w:eastAsia="宋体" w:cs="宋体"/>
          <w:color w:val="auto"/>
          <w:kern w:val="0"/>
          <w:szCs w:val="21"/>
          <w:highlight w:val="none"/>
        </w:rPr>
        <w:t>）合同一方当事人未能履行合同项下任何其它义务（细微义务除外），或在未事先征得另一方当事人同意的情况下，从事任何可能在实质上不利影响其履行合同能力的活动，经另一方当事人书面通知后</w:t>
      </w:r>
      <w:r>
        <w:rPr>
          <w:rFonts w:ascii="宋体" w:hAnsi="宋体" w:eastAsia="宋体" w:cs="Times New Roman"/>
          <w:color w:val="auto"/>
          <w:kern w:val="0"/>
          <w:szCs w:val="21"/>
          <w:highlight w:val="none"/>
        </w:rPr>
        <w:t>14</w:t>
      </w:r>
      <w:r>
        <w:rPr>
          <w:rFonts w:hint="eastAsia" w:ascii="宋体" w:hAnsi="宋体" w:eastAsia="宋体" w:cs="宋体"/>
          <w:color w:val="auto"/>
          <w:kern w:val="0"/>
          <w:szCs w:val="21"/>
          <w:highlight w:val="none"/>
        </w:rPr>
        <w:t>日内或在专用合同条款约定的其他期限内未能对其行为作出补救；</w:t>
      </w:r>
    </w:p>
    <w:p w14:paraId="1E643C2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5</w:t>
      </w:r>
      <w:r>
        <w:rPr>
          <w:rFonts w:hint="eastAsia" w:ascii="宋体" w:hAnsi="宋体" w:eastAsia="宋体" w:cs="宋体"/>
          <w:color w:val="auto"/>
          <w:kern w:val="0"/>
          <w:szCs w:val="21"/>
          <w:highlight w:val="none"/>
        </w:rPr>
        <w:t>）合同一方当事人出现破产、清算、资不抵债、成为失信被执行人等可能丧失履约能力的情形，且未能提供令对方满意的履约保证金。</w:t>
      </w:r>
    </w:p>
    <w:p w14:paraId="65A2BAB0">
      <w:pPr>
        <w:pStyle w:val="4"/>
        <w:spacing w:before="0" w:after="0" w:line="360" w:lineRule="auto"/>
        <w:rPr>
          <w:rFonts w:ascii="宋体" w:hAnsi="宋体" w:eastAsia="宋体" w:cs="Times New Roman"/>
          <w:color w:val="auto"/>
          <w:kern w:val="0"/>
          <w:sz w:val="21"/>
          <w:szCs w:val="21"/>
          <w:highlight w:val="none"/>
        </w:rPr>
      </w:pPr>
      <w:bookmarkStart w:id="143" w:name="_Toc26310"/>
      <w:bookmarkStart w:id="144" w:name="_Toc5990"/>
      <w:bookmarkStart w:id="145" w:name="_Toc57494695"/>
      <w:r>
        <w:rPr>
          <w:rFonts w:ascii="宋体" w:hAnsi="宋体" w:eastAsia="宋体" w:cs="Times New Roman"/>
          <w:color w:val="auto"/>
          <w:kern w:val="0"/>
          <w:sz w:val="21"/>
          <w:szCs w:val="21"/>
          <w:highlight w:val="none"/>
        </w:rPr>
        <w:t xml:space="preserve">16. </w:t>
      </w:r>
      <w:r>
        <w:rPr>
          <w:rFonts w:hint="eastAsia" w:ascii="宋体" w:hAnsi="宋体" w:eastAsia="宋体" w:cs="Times New Roman"/>
          <w:color w:val="auto"/>
          <w:kern w:val="0"/>
          <w:sz w:val="21"/>
          <w:szCs w:val="21"/>
          <w:highlight w:val="none"/>
        </w:rPr>
        <w:t>不可抗力</w:t>
      </w:r>
      <w:bookmarkEnd w:id="143"/>
      <w:bookmarkEnd w:id="144"/>
      <w:bookmarkEnd w:id="145"/>
    </w:p>
    <w:p w14:paraId="09AA10F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16.1 </w:t>
      </w:r>
      <w:r>
        <w:rPr>
          <w:rFonts w:hint="eastAsia" w:ascii="宋体" w:hAnsi="宋体" w:eastAsia="宋体" w:cs="宋体"/>
          <w:color w:val="auto"/>
          <w:kern w:val="0"/>
          <w:szCs w:val="21"/>
          <w:highlight w:val="none"/>
        </w:rPr>
        <w:t>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w:t>
      </w:r>
      <w:r>
        <w:rPr>
          <w:rFonts w:ascii="宋体" w:hAnsi="宋体" w:eastAsia="宋体" w:cs="Times New Roman"/>
          <w:color w:val="auto"/>
          <w:kern w:val="0"/>
          <w:szCs w:val="21"/>
          <w:highlight w:val="none"/>
        </w:rPr>
        <w:t>28</w:t>
      </w:r>
      <w:r>
        <w:rPr>
          <w:rFonts w:hint="eastAsia" w:ascii="宋体" w:hAnsi="宋体" w:eastAsia="宋体" w:cs="宋体"/>
          <w:color w:val="auto"/>
          <w:kern w:val="0"/>
          <w:szCs w:val="21"/>
          <w:highlight w:val="none"/>
        </w:rPr>
        <w:t>日内将有关当局或机构出具的证明文件提交给另一方当事人。</w:t>
      </w:r>
    </w:p>
    <w:p w14:paraId="16EB5D6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16.2 </w:t>
      </w:r>
      <w:r>
        <w:rPr>
          <w:rFonts w:hint="eastAsia" w:ascii="宋体" w:hAnsi="宋体" w:eastAsia="宋体" w:cs="宋体"/>
          <w:color w:val="auto"/>
          <w:kern w:val="0"/>
          <w:szCs w:val="21"/>
          <w:highlight w:val="none"/>
        </w:rPr>
        <w:t>受不可抗力事件影响的一方当事人对于不可抗力事件导致的任何合同义务的迟延履行或不能履行不承担违约责任。但该方当事人应尽快将不可抗力事件结束或消除的情况通知另一方当事人。</w:t>
      </w:r>
    </w:p>
    <w:p w14:paraId="42CEA96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16.3 </w:t>
      </w:r>
      <w:r>
        <w:rPr>
          <w:rFonts w:hint="eastAsia" w:ascii="宋体" w:hAnsi="宋体" w:eastAsia="宋体" w:cs="宋体"/>
          <w:color w:val="auto"/>
          <w:kern w:val="0"/>
          <w:szCs w:val="21"/>
          <w:highlight w:val="none"/>
        </w:rPr>
        <w:t>双方当事人应在不可抗力事件结束或其影响消除后立即继续履行其合同义务，合同期限也应相应顺延。除专用合同条款另有约定外，如果不可抗力事件的影响持续超过</w:t>
      </w:r>
      <w:r>
        <w:rPr>
          <w:rFonts w:ascii="宋体" w:hAnsi="宋体" w:eastAsia="宋体" w:cs="Times New Roman"/>
          <w:color w:val="auto"/>
          <w:kern w:val="0"/>
          <w:szCs w:val="21"/>
          <w:highlight w:val="none"/>
        </w:rPr>
        <w:t>140</w:t>
      </w:r>
      <w:r>
        <w:rPr>
          <w:rFonts w:hint="eastAsia" w:ascii="宋体" w:hAnsi="宋体" w:eastAsia="宋体" w:cs="宋体"/>
          <w:color w:val="auto"/>
          <w:kern w:val="0"/>
          <w:szCs w:val="21"/>
          <w:highlight w:val="none"/>
        </w:rPr>
        <w:t>日，则任何一方当事人均有权以书面通知解除合同。</w:t>
      </w:r>
    </w:p>
    <w:p w14:paraId="33AA918E">
      <w:pPr>
        <w:pStyle w:val="4"/>
        <w:spacing w:before="0" w:after="0" w:line="360" w:lineRule="auto"/>
        <w:rPr>
          <w:rFonts w:ascii="宋体" w:hAnsi="宋体" w:eastAsia="宋体" w:cs="Times New Roman"/>
          <w:color w:val="auto"/>
          <w:kern w:val="0"/>
          <w:sz w:val="21"/>
          <w:szCs w:val="21"/>
          <w:highlight w:val="none"/>
        </w:rPr>
      </w:pPr>
      <w:bookmarkStart w:id="146" w:name="_Toc10170"/>
      <w:bookmarkStart w:id="147" w:name="_Toc19510"/>
      <w:bookmarkStart w:id="148" w:name="_Toc57494696"/>
      <w:r>
        <w:rPr>
          <w:rFonts w:ascii="宋体" w:hAnsi="宋体" w:eastAsia="宋体" w:cs="Times New Roman"/>
          <w:color w:val="auto"/>
          <w:kern w:val="0"/>
          <w:sz w:val="21"/>
          <w:szCs w:val="21"/>
          <w:highlight w:val="none"/>
        </w:rPr>
        <w:t xml:space="preserve">17. </w:t>
      </w:r>
      <w:r>
        <w:rPr>
          <w:rFonts w:hint="eastAsia" w:ascii="宋体" w:hAnsi="宋体" w:eastAsia="宋体" w:cs="Times New Roman"/>
          <w:color w:val="auto"/>
          <w:kern w:val="0"/>
          <w:sz w:val="21"/>
          <w:szCs w:val="21"/>
          <w:highlight w:val="none"/>
        </w:rPr>
        <w:t>争议的解决</w:t>
      </w:r>
      <w:bookmarkEnd w:id="146"/>
      <w:bookmarkEnd w:id="147"/>
      <w:bookmarkEnd w:id="148"/>
    </w:p>
    <w:p w14:paraId="009D523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因本合同引起的或与本合同有关的任何争议</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双方可通过友好协商解决。友好协商解决不成的，可在专用合同条款中约定下列一种方式解决：</w:t>
      </w:r>
    </w:p>
    <w:p w14:paraId="142E054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1</w:t>
      </w:r>
      <w:r>
        <w:rPr>
          <w:rFonts w:hint="eastAsia" w:ascii="宋体" w:hAnsi="宋体" w:eastAsia="宋体" w:cs="宋体"/>
          <w:color w:val="auto"/>
          <w:kern w:val="0"/>
          <w:szCs w:val="21"/>
          <w:highlight w:val="none"/>
        </w:rPr>
        <w:t>）向约定的仲裁委员会申请仲裁；</w:t>
      </w:r>
    </w:p>
    <w:p w14:paraId="6878B780">
      <w:pPr>
        <w:topLinePunct/>
        <w:adjustRightInd w:val="0"/>
        <w:snapToGrid w:val="0"/>
        <w:spacing w:line="360" w:lineRule="auto"/>
        <w:ind w:firstLine="420" w:firstLineChars="200"/>
        <w:jc w:val="left"/>
        <w:rPr>
          <w:rFonts w:ascii="宋体" w:hAnsi="宋体" w:eastAsia="宋体" w:cs="宋体"/>
          <w:color w:val="auto"/>
          <w:kern w:val="0"/>
          <w:szCs w:val="21"/>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2</w:t>
      </w:r>
      <w:r>
        <w:rPr>
          <w:rFonts w:hint="eastAsia" w:ascii="宋体" w:hAnsi="宋体" w:eastAsia="宋体" w:cs="宋体"/>
          <w:color w:val="auto"/>
          <w:kern w:val="0"/>
          <w:szCs w:val="21"/>
          <w:highlight w:val="none"/>
        </w:rPr>
        <w:t>）向有管辖权的人民法院提起诉讼。</w:t>
      </w:r>
      <w:r>
        <w:rPr>
          <w:rFonts w:ascii="宋体" w:hAnsi="宋体" w:eastAsia="宋体" w:cs="宋体"/>
          <w:color w:val="auto"/>
          <w:kern w:val="0"/>
          <w:szCs w:val="21"/>
          <w:highlight w:val="none"/>
        </w:rPr>
        <w:br w:type="page"/>
      </w:r>
    </w:p>
    <w:p w14:paraId="603CC332">
      <w:pPr>
        <w:pStyle w:val="3"/>
        <w:jc w:val="center"/>
        <w:rPr>
          <w:rFonts w:ascii="宋体" w:hAnsi="宋体" w:eastAsia="宋体"/>
          <w:color w:val="auto"/>
          <w:kern w:val="0"/>
          <w:sz w:val="32"/>
          <w:highlight w:val="none"/>
        </w:rPr>
      </w:pPr>
      <w:bookmarkStart w:id="149" w:name="_Toc57494697"/>
      <w:bookmarkStart w:id="150" w:name="_Toc15935"/>
      <w:bookmarkStart w:id="151" w:name="_Toc10842"/>
      <w:r>
        <w:rPr>
          <w:rFonts w:ascii="宋体" w:hAnsi="宋体" w:eastAsia="宋体"/>
          <w:color w:val="auto"/>
          <w:kern w:val="0"/>
          <w:sz w:val="32"/>
          <w:highlight w:val="none"/>
        </w:rPr>
        <w:t>第</w:t>
      </w:r>
      <w:r>
        <w:rPr>
          <w:rFonts w:hint="eastAsia" w:ascii="宋体" w:hAnsi="宋体" w:eastAsia="宋体"/>
          <w:color w:val="auto"/>
          <w:kern w:val="0"/>
          <w:sz w:val="32"/>
          <w:highlight w:val="none"/>
        </w:rPr>
        <w:t>三</w:t>
      </w:r>
      <w:r>
        <w:rPr>
          <w:rFonts w:ascii="宋体" w:hAnsi="宋体" w:eastAsia="宋体"/>
          <w:color w:val="auto"/>
          <w:kern w:val="0"/>
          <w:sz w:val="32"/>
          <w:highlight w:val="none"/>
        </w:rPr>
        <w:t>节</w:t>
      </w:r>
      <w:r>
        <w:rPr>
          <w:rFonts w:hint="eastAsia" w:ascii="宋体" w:hAnsi="宋体" w:eastAsia="宋体"/>
          <w:color w:val="auto"/>
          <w:kern w:val="0"/>
          <w:sz w:val="32"/>
          <w:highlight w:val="none"/>
        </w:rPr>
        <w:t xml:space="preserve"> </w:t>
      </w:r>
      <w:r>
        <w:rPr>
          <w:rFonts w:ascii="宋体" w:hAnsi="宋体" w:eastAsia="宋体"/>
          <w:color w:val="auto"/>
          <w:kern w:val="0"/>
          <w:sz w:val="32"/>
          <w:highlight w:val="none"/>
        </w:rPr>
        <w:t>专用合同条款</w:t>
      </w:r>
      <w:bookmarkEnd w:id="149"/>
      <w:bookmarkEnd w:id="150"/>
      <w:bookmarkEnd w:id="151"/>
    </w:p>
    <w:p w14:paraId="475A0FF4">
      <w:pPr>
        <w:ind w:firstLine="315" w:firstLineChars="150"/>
        <w:rPr>
          <w:rFonts w:ascii="宋体" w:hAnsi="宋体"/>
          <w:color w:val="auto"/>
          <w:szCs w:val="21"/>
          <w:highlight w:val="none"/>
        </w:rPr>
      </w:pPr>
      <w:r>
        <w:rPr>
          <w:rFonts w:hint="eastAsia" w:ascii="宋体" w:hAnsi="宋体" w:eastAsia="宋体" w:cs="宋体"/>
          <w:color w:val="auto"/>
          <w:kern w:val="0"/>
          <w:szCs w:val="21"/>
          <w:highlight w:val="none"/>
        </w:rPr>
        <w:t>“专用合同条款”是对“通用合同条款”的补充、细化或修改，</w:t>
      </w:r>
      <w:r>
        <w:rPr>
          <w:rFonts w:hint="eastAsia" w:ascii="宋体" w:hAnsi="宋体"/>
          <w:color w:val="auto"/>
          <w:szCs w:val="21"/>
          <w:highlight w:val="none"/>
        </w:rPr>
        <w:t>当两者出现矛盾时，专用条款的优先级高于通用条款。</w:t>
      </w:r>
    </w:p>
    <w:p w14:paraId="37B92C8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p>
    <w:p w14:paraId="0C9BF237">
      <w:pPr>
        <w:pStyle w:val="3"/>
        <w:spacing w:before="120" w:after="0" w:line="360" w:lineRule="auto"/>
        <w:jc w:val="center"/>
        <w:rPr>
          <w:rFonts w:ascii="宋体" w:hAnsi="宋体" w:eastAsia="宋体"/>
          <w:color w:val="auto"/>
          <w:kern w:val="0"/>
          <w:sz w:val="28"/>
          <w:szCs w:val="32"/>
          <w:highlight w:val="none"/>
        </w:rPr>
      </w:pPr>
      <w:bookmarkStart w:id="152" w:name="_Toc16597"/>
      <w:bookmarkStart w:id="153" w:name="_Toc5511"/>
      <w:bookmarkStart w:id="154" w:name="_Toc57494698"/>
      <w:r>
        <w:rPr>
          <w:rFonts w:hint="eastAsia" w:ascii="宋体" w:hAnsi="宋体" w:eastAsia="宋体"/>
          <w:color w:val="auto"/>
          <w:kern w:val="0"/>
          <w:sz w:val="28"/>
          <w:szCs w:val="32"/>
          <w:highlight w:val="none"/>
        </w:rPr>
        <w:t>一、通用部分</w:t>
      </w:r>
      <w:bookmarkEnd w:id="152"/>
      <w:bookmarkEnd w:id="153"/>
      <w:bookmarkEnd w:id="154"/>
    </w:p>
    <w:p w14:paraId="0A4B225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专用合同条款的“通用部分”适用于所有品类的合同设备。</w:t>
      </w:r>
    </w:p>
    <w:p w14:paraId="0E888D0F">
      <w:pPr>
        <w:pStyle w:val="4"/>
        <w:spacing w:before="0" w:after="0" w:line="360" w:lineRule="auto"/>
        <w:rPr>
          <w:rFonts w:ascii="宋体" w:hAnsi="宋体" w:eastAsia="宋体" w:cs="Times New Roman"/>
          <w:color w:val="auto"/>
          <w:kern w:val="0"/>
          <w:sz w:val="21"/>
          <w:szCs w:val="21"/>
          <w:highlight w:val="none"/>
        </w:rPr>
      </w:pPr>
      <w:bookmarkStart w:id="155" w:name="_Toc2619"/>
      <w:bookmarkStart w:id="156" w:name="_Toc57494699"/>
      <w:bookmarkStart w:id="157" w:name="_Toc14020"/>
      <w:bookmarkStart w:id="158" w:name="_Hlk511034515"/>
      <w:r>
        <w:rPr>
          <w:rFonts w:ascii="宋体" w:hAnsi="宋体" w:eastAsia="宋体" w:cs="Times New Roman"/>
          <w:color w:val="auto"/>
          <w:kern w:val="0"/>
          <w:sz w:val="21"/>
          <w:szCs w:val="21"/>
          <w:highlight w:val="none"/>
        </w:rPr>
        <w:t xml:space="preserve">1. </w:t>
      </w:r>
      <w:r>
        <w:rPr>
          <w:rFonts w:hint="eastAsia" w:ascii="宋体" w:hAnsi="宋体" w:eastAsia="宋体" w:cs="Times New Roman"/>
          <w:color w:val="auto"/>
          <w:kern w:val="0"/>
          <w:sz w:val="21"/>
          <w:szCs w:val="21"/>
          <w:highlight w:val="none"/>
        </w:rPr>
        <w:t>一般约定</w:t>
      </w:r>
      <w:bookmarkEnd w:id="155"/>
      <w:bookmarkEnd w:id="156"/>
      <w:bookmarkEnd w:id="157"/>
    </w:p>
    <w:p w14:paraId="6E4E0C9A">
      <w:pPr>
        <w:pStyle w:val="5"/>
        <w:spacing w:before="0" w:after="0" w:line="360" w:lineRule="auto"/>
        <w:rPr>
          <w:rFonts w:ascii="宋体" w:hAnsi="宋体" w:eastAsia="宋体" w:cs="黑体"/>
          <w:color w:val="auto"/>
          <w:kern w:val="0"/>
          <w:sz w:val="21"/>
          <w:szCs w:val="28"/>
          <w:highlight w:val="none"/>
        </w:rPr>
      </w:pPr>
      <w:bookmarkStart w:id="159" w:name="_Toc29799"/>
      <w:bookmarkStart w:id="160" w:name="_Toc57494700"/>
      <w:bookmarkStart w:id="161" w:name="_Toc11139"/>
      <w:bookmarkStart w:id="162" w:name="_Hlk511893944"/>
      <w:r>
        <w:rPr>
          <w:rFonts w:ascii="宋体" w:hAnsi="宋体" w:eastAsia="宋体" w:cs="黑体"/>
          <w:color w:val="auto"/>
          <w:kern w:val="0"/>
          <w:sz w:val="21"/>
          <w:szCs w:val="28"/>
          <w:highlight w:val="none"/>
        </w:rPr>
        <w:t xml:space="preserve">1.1 </w:t>
      </w:r>
      <w:r>
        <w:rPr>
          <w:rFonts w:hint="eastAsia" w:ascii="宋体" w:hAnsi="宋体" w:eastAsia="宋体" w:cs="黑体"/>
          <w:color w:val="auto"/>
          <w:kern w:val="0"/>
          <w:sz w:val="21"/>
          <w:szCs w:val="28"/>
          <w:highlight w:val="none"/>
        </w:rPr>
        <w:t>词语定义</w:t>
      </w:r>
      <w:bookmarkEnd w:id="159"/>
      <w:bookmarkEnd w:id="160"/>
      <w:bookmarkEnd w:id="161"/>
    </w:p>
    <w:bookmarkEnd w:id="158"/>
    <w:bookmarkEnd w:id="162"/>
    <w:p w14:paraId="285D45D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bCs/>
          <w:color w:val="auto"/>
          <w:kern w:val="0"/>
          <w:szCs w:val="21"/>
          <w:highlight w:val="none"/>
        </w:rPr>
        <w:t xml:space="preserve">1.1.1 </w:t>
      </w:r>
      <w:r>
        <w:rPr>
          <w:rFonts w:hint="eastAsia" w:ascii="宋体" w:hAnsi="宋体" w:eastAsia="宋体" w:cs="宋体"/>
          <w:color w:val="auto"/>
          <w:kern w:val="0"/>
          <w:szCs w:val="21"/>
          <w:highlight w:val="none"/>
        </w:rPr>
        <w:t>合同</w:t>
      </w:r>
    </w:p>
    <w:p w14:paraId="08BB3D21">
      <w:pPr>
        <w:topLinePunct/>
        <w:adjustRightInd w:val="0"/>
        <w:snapToGrid w:val="0"/>
        <w:spacing w:line="360" w:lineRule="auto"/>
        <w:ind w:firstLine="420" w:firstLineChars="200"/>
        <w:jc w:val="left"/>
        <w:rPr>
          <w:rFonts w:ascii="宋体" w:hAnsi="宋体" w:eastAsia="宋体" w:cs="Times New Roman"/>
          <w:bCs/>
          <w:color w:val="auto"/>
          <w:kern w:val="0"/>
          <w:szCs w:val="21"/>
          <w:highlight w:val="none"/>
        </w:rPr>
      </w:pPr>
      <w:r>
        <w:rPr>
          <w:rFonts w:hint="eastAsia" w:ascii="宋体" w:hAnsi="宋体" w:eastAsia="宋体" w:cs="Times New Roman"/>
          <w:bCs/>
          <w:color w:val="auto"/>
          <w:kern w:val="0"/>
          <w:szCs w:val="21"/>
          <w:highlight w:val="none"/>
        </w:rPr>
        <w:t>1.1.</w:t>
      </w:r>
      <w:r>
        <w:rPr>
          <w:rFonts w:ascii="宋体" w:hAnsi="宋体" w:eastAsia="宋体" w:cs="Times New Roman"/>
          <w:bCs/>
          <w:color w:val="auto"/>
          <w:kern w:val="0"/>
          <w:szCs w:val="21"/>
          <w:highlight w:val="none"/>
        </w:rPr>
        <w:t>1.</w:t>
      </w:r>
      <w:r>
        <w:rPr>
          <w:rFonts w:hint="eastAsia" w:ascii="宋体" w:hAnsi="宋体" w:eastAsia="宋体" w:cs="Times New Roman"/>
          <w:bCs/>
          <w:color w:val="auto"/>
          <w:kern w:val="0"/>
          <w:szCs w:val="21"/>
          <w:highlight w:val="none"/>
        </w:rPr>
        <w:t xml:space="preserve">11 </w:t>
      </w:r>
      <w:r>
        <w:rPr>
          <w:rFonts w:ascii="宋体" w:hAnsi="宋体" w:eastAsia="宋体" w:cs="Times New Roman"/>
          <w:bCs/>
          <w:color w:val="auto"/>
          <w:kern w:val="0"/>
          <w:szCs w:val="21"/>
          <w:highlight w:val="none"/>
        </w:rPr>
        <w:t>技术协议</w:t>
      </w:r>
      <w:r>
        <w:rPr>
          <w:rFonts w:hint="eastAsia" w:ascii="宋体" w:hAnsi="宋体" w:eastAsia="宋体" w:cs="Times New Roman"/>
          <w:bCs/>
          <w:color w:val="auto"/>
          <w:kern w:val="0"/>
          <w:szCs w:val="21"/>
          <w:highlight w:val="none"/>
        </w:rPr>
        <w:t>：</w:t>
      </w:r>
      <w:r>
        <w:rPr>
          <w:rFonts w:ascii="宋体" w:hAnsi="宋体" w:eastAsia="宋体" w:cs="Times New Roman"/>
          <w:bCs/>
          <w:color w:val="auto"/>
          <w:kern w:val="0"/>
          <w:szCs w:val="21"/>
          <w:highlight w:val="none"/>
        </w:rPr>
        <w:t>指本合同中的技术条款部分，即在采购过程中确定的技术标书（</w:t>
      </w:r>
      <w:r>
        <w:rPr>
          <w:rFonts w:hint="eastAsia" w:ascii="宋体" w:hAnsi="宋体" w:eastAsia="宋体" w:cs="Times New Roman"/>
          <w:bCs/>
          <w:color w:val="auto"/>
          <w:kern w:val="0"/>
          <w:szCs w:val="21"/>
          <w:highlight w:val="none"/>
        </w:rPr>
        <w:t>招标技术规范书、中标单位投标技术文件</w:t>
      </w:r>
      <w:r>
        <w:rPr>
          <w:rFonts w:ascii="宋体" w:hAnsi="宋体" w:eastAsia="宋体" w:cs="Times New Roman"/>
          <w:bCs/>
          <w:color w:val="auto"/>
          <w:kern w:val="0"/>
          <w:szCs w:val="21"/>
          <w:highlight w:val="none"/>
        </w:rPr>
        <w:t>）和技术澄清文件中与本合同相关的部分，包括双方根据约定不时进行的修改和补充。</w:t>
      </w:r>
    </w:p>
    <w:p w14:paraId="1B1037D7">
      <w:pPr>
        <w:topLinePunct/>
        <w:adjustRightInd w:val="0"/>
        <w:snapToGrid w:val="0"/>
        <w:spacing w:line="360" w:lineRule="auto"/>
        <w:ind w:firstLine="420" w:firstLineChars="200"/>
        <w:jc w:val="left"/>
        <w:rPr>
          <w:rFonts w:ascii="宋体" w:hAnsi="宋体" w:eastAsia="宋体" w:cs="Times New Roman"/>
          <w:bCs/>
          <w:color w:val="auto"/>
          <w:kern w:val="0"/>
          <w:szCs w:val="21"/>
          <w:highlight w:val="none"/>
        </w:rPr>
      </w:pPr>
      <w:r>
        <w:rPr>
          <w:rFonts w:ascii="宋体" w:hAnsi="宋体" w:eastAsia="宋体" w:cs="Times New Roman"/>
          <w:bCs/>
          <w:color w:val="auto"/>
          <w:kern w:val="0"/>
          <w:szCs w:val="21"/>
          <w:highlight w:val="none"/>
        </w:rPr>
        <w:t>1.1.1.12 商务条款</w:t>
      </w:r>
      <w:r>
        <w:rPr>
          <w:rFonts w:hint="eastAsia" w:ascii="宋体" w:hAnsi="宋体" w:eastAsia="宋体" w:cs="Times New Roman"/>
          <w:bCs/>
          <w:color w:val="auto"/>
          <w:kern w:val="0"/>
          <w:szCs w:val="21"/>
          <w:highlight w:val="none"/>
        </w:rPr>
        <w:t>：</w:t>
      </w:r>
      <w:r>
        <w:rPr>
          <w:rFonts w:ascii="宋体" w:hAnsi="宋体" w:eastAsia="宋体" w:cs="Times New Roman"/>
          <w:bCs/>
          <w:color w:val="auto"/>
          <w:kern w:val="0"/>
          <w:szCs w:val="21"/>
          <w:highlight w:val="none"/>
        </w:rPr>
        <w:t>指除技术协议外合同文本的</w:t>
      </w:r>
      <w:r>
        <w:rPr>
          <w:rFonts w:hint="eastAsia" w:ascii="宋体" w:hAnsi="宋体" w:eastAsia="宋体" w:cs="Times New Roman"/>
          <w:bCs/>
          <w:color w:val="auto"/>
          <w:kern w:val="0"/>
          <w:szCs w:val="21"/>
          <w:highlight w:val="none"/>
        </w:rPr>
        <w:t>合同协议书</w:t>
      </w:r>
      <w:r>
        <w:rPr>
          <w:rFonts w:ascii="宋体" w:hAnsi="宋体" w:eastAsia="宋体" w:cs="Times New Roman"/>
          <w:bCs/>
          <w:color w:val="auto"/>
          <w:kern w:val="0"/>
          <w:szCs w:val="21"/>
          <w:highlight w:val="none"/>
        </w:rPr>
        <w:t>、通用条款、专用条款和其他附件。</w:t>
      </w:r>
    </w:p>
    <w:p w14:paraId="0EFC15C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bCs/>
          <w:color w:val="auto"/>
          <w:kern w:val="0"/>
          <w:szCs w:val="21"/>
          <w:highlight w:val="none"/>
        </w:rPr>
        <w:t xml:space="preserve">1.1.2 </w:t>
      </w:r>
      <w:r>
        <w:rPr>
          <w:rFonts w:hint="eastAsia" w:ascii="宋体" w:hAnsi="宋体" w:eastAsia="宋体" w:cs="宋体"/>
          <w:color w:val="auto"/>
          <w:kern w:val="0"/>
          <w:szCs w:val="21"/>
          <w:highlight w:val="none"/>
        </w:rPr>
        <w:t>合同当事人</w:t>
      </w:r>
    </w:p>
    <w:p w14:paraId="4513685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1.1.2.4 分包商</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指接受卖方根据本合同所进行的分包的其他法人或组织及该法人或组织的承继方。</w:t>
      </w:r>
    </w:p>
    <w:p w14:paraId="4B2D7CF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1.1.2.5 中小企业：是指在中华人民共和国境内依法设立，依据国家部委批准的中小企业划分标准确定的中型企业、小型企业和微型企业，但与大</w:t>
      </w:r>
      <w:r>
        <w:rPr>
          <w:rFonts w:hint="eastAsia" w:ascii="宋体" w:hAnsi="宋体" w:eastAsia="宋体" w:cs="宋体"/>
          <w:color w:val="auto"/>
          <w:kern w:val="0"/>
          <w:szCs w:val="21"/>
          <w:highlight w:val="none"/>
          <w:lang w:val="en-US" w:eastAsia="zh-CN"/>
        </w:rPr>
        <w:t>型</w:t>
      </w:r>
      <w:r>
        <w:rPr>
          <w:rFonts w:hint="eastAsia" w:ascii="宋体" w:hAnsi="宋体" w:eastAsia="宋体" w:cs="宋体"/>
          <w:color w:val="auto"/>
          <w:kern w:val="0"/>
          <w:szCs w:val="21"/>
          <w:highlight w:val="none"/>
        </w:rPr>
        <w:t>企业的负责人为同一人，或者与大</w:t>
      </w:r>
      <w:r>
        <w:rPr>
          <w:rFonts w:hint="eastAsia" w:ascii="宋体" w:hAnsi="宋体" w:eastAsia="宋体" w:cs="宋体"/>
          <w:color w:val="auto"/>
          <w:kern w:val="0"/>
          <w:szCs w:val="21"/>
          <w:highlight w:val="none"/>
          <w:lang w:val="en-US" w:eastAsia="zh-CN"/>
        </w:rPr>
        <w:t>型</w:t>
      </w:r>
      <w:r>
        <w:rPr>
          <w:rFonts w:hint="eastAsia" w:ascii="宋体" w:hAnsi="宋体" w:eastAsia="宋体" w:cs="宋体"/>
          <w:color w:val="auto"/>
          <w:kern w:val="0"/>
          <w:szCs w:val="21"/>
          <w:highlight w:val="none"/>
        </w:rPr>
        <w:t>企业存在直接控股、管理关系的除外。</w:t>
      </w:r>
    </w:p>
    <w:p w14:paraId="1F79BBD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bCs/>
          <w:color w:val="auto"/>
          <w:kern w:val="0"/>
          <w:szCs w:val="21"/>
          <w:highlight w:val="none"/>
        </w:rPr>
        <w:t xml:space="preserve">1.1.3 </w:t>
      </w:r>
      <w:r>
        <w:rPr>
          <w:rFonts w:hint="eastAsia" w:ascii="宋体" w:hAnsi="宋体" w:eastAsia="宋体" w:cs="宋体"/>
          <w:color w:val="auto"/>
          <w:kern w:val="0"/>
          <w:szCs w:val="21"/>
          <w:highlight w:val="none"/>
        </w:rPr>
        <w:t>合同价格</w:t>
      </w:r>
    </w:p>
    <w:p w14:paraId="0B7608BB">
      <w:pPr>
        <w:topLinePunct/>
        <w:adjustRightInd w:val="0"/>
        <w:snapToGrid w:val="0"/>
        <w:spacing w:line="360" w:lineRule="auto"/>
        <w:ind w:firstLine="420" w:firstLineChars="200"/>
        <w:jc w:val="left"/>
        <w:rPr>
          <w:rFonts w:hint="eastAsia" w:ascii="宋体" w:hAnsi="宋体" w:eastAsia="宋体" w:cs="宋体"/>
          <w:color w:val="auto"/>
          <w:kern w:val="0"/>
          <w:szCs w:val="21"/>
          <w:highlight w:val="none"/>
          <w:lang w:val="en-US" w:eastAsia="zh-CN"/>
        </w:rPr>
      </w:pPr>
      <w:r>
        <w:rPr>
          <w:rFonts w:ascii="宋体" w:hAnsi="宋体" w:eastAsia="宋体" w:cs="Times New Roman"/>
          <w:color w:val="auto"/>
          <w:kern w:val="0"/>
          <w:szCs w:val="21"/>
          <w:highlight w:val="none"/>
        </w:rPr>
        <w:t>1.1.3.</w:t>
      </w:r>
      <w:r>
        <w:rPr>
          <w:rFonts w:hint="eastAsia" w:ascii="宋体" w:hAnsi="宋体" w:eastAsia="宋体" w:cs="Times New Roman"/>
          <w:color w:val="auto"/>
          <w:kern w:val="0"/>
          <w:szCs w:val="21"/>
          <w:highlight w:val="none"/>
          <w:lang w:val="en-US" w:eastAsia="zh-CN"/>
        </w:rPr>
        <w:t>2</w:t>
      </w:r>
      <w:r>
        <w:rPr>
          <w:rFonts w:ascii="宋体" w:hAnsi="宋体" w:eastAsia="宋体" w:cs="Times New Roman"/>
          <w:color w:val="auto"/>
          <w:kern w:val="0"/>
          <w:szCs w:val="21"/>
          <w:highlight w:val="none"/>
        </w:rPr>
        <w:t xml:space="preserve"> </w:t>
      </w:r>
      <w:r>
        <w:rPr>
          <w:rFonts w:hint="eastAsia" w:ascii="宋体" w:hAnsi="宋体" w:eastAsia="宋体" w:cs="宋体"/>
          <w:color w:val="auto"/>
          <w:kern w:val="0"/>
          <w:szCs w:val="21"/>
          <w:highlight w:val="none"/>
        </w:rPr>
        <w:t>合同价格：亦可称为结算合同价格。</w:t>
      </w:r>
    </w:p>
    <w:p w14:paraId="5C9ADBC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1.1.3.</w:t>
      </w:r>
      <w:r>
        <w:rPr>
          <w:rFonts w:hint="eastAsia" w:ascii="宋体" w:hAnsi="宋体" w:eastAsia="宋体" w:cs="宋体"/>
          <w:color w:val="auto"/>
          <w:kern w:val="0"/>
          <w:szCs w:val="21"/>
          <w:highlight w:val="none"/>
          <w:lang w:val="en-US" w:eastAsia="zh-CN"/>
        </w:rPr>
        <w:t>3</w:t>
      </w:r>
      <w:r>
        <w:rPr>
          <w:rFonts w:ascii="宋体" w:hAnsi="宋体" w:eastAsia="宋体" w:cs="宋体"/>
          <w:color w:val="auto"/>
          <w:kern w:val="0"/>
          <w:szCs w:val="21"/>
          <w:highlight w:val="none"/>
        </w:rPr>
        <w:t xml:space="preserve"> 付款周期</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指买方在接受卖方完整申请付款资料后，按照自身财务部门要求进行每月定期申请次月用款计划并进行付款的时间。</w:t>
      </w:r>
    </w:p>
    <w:p w14:paraId="483D1C6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1.1.3.</w:t>
      </w: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 xml:space="preserve"> 电子债权凭证：指买方（应收账款债务人）以真实、合法的交易背景（基础合同）为基础所签发的，一种记载买卖双方之间的合同债权债务关系，具有明确付款期限的数字债权凭证。签发电子债权凭证是买方对卖方应收账款主动确权，并做出的付款承诺，不改变合同付款期限。</w:t>
      </w:r>
    </w:p>
    <w:p w14:paraId="36E09ED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 合同设备</w:t>
      </w:r>
    </w:p>
    <w:p w14:paraId="5622A4A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1.1.4.1 </w:t>
      </w:r>
      <w:r>
        <w:rPr>
          <w:rFonts w:hint="eastAsia" w:ascii="宋体" w:hAnsi="宋体" w:eastAsia="宋体" w:cs="Times New Roman"/>
          <w:color w:val="auto"/>
          <w:kern w:val="0"/>
          <w:szCs w:val="21"/>
          <w:highlight w:val="none"/>
        </w:rPr>
        <w:t>合同设备：</w:t>
      </w:r>
      <w:r>
        <w:rPr>
          <w:rFonts w:ascii="宋体" w:hAnsi="宋体" w:eastAsia="宋体" w:cs="Times New Roman"/>
          <w:color w:val="auto"/>
          <w:kern w:val="0"/>
          <w:szCs w:val="21"/>
          <w:highlight w:val="none"/>
        </w:rPr>
        <w:t>指卖方按合同约定应向买方提供的设备、装置、材料、专用工具、备品、备件、易损易耗件、相关物品、配套使用的软件或其他辅助电子应用程序及技术资料，或其中任何一部分。</w:t>
      </w:r>
    </w:p>
    <w:p w14:paraId="637912A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1.1.4.2</w:t>
      </w:r>
      <w:r>
        <w:rPr>
          <w:rFonts w:ascii="宋体" w:hAnsi="宋体"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批次（批）：指到货批次。</w:t>
      </w:r>
    </w:p>
    <w:p w14:paraId="01C94B4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1.1.4.3</w:t>
      </w:r>
      <w:r>
        <w:rPr>
          <w:rFonts w:hint="eastAsia" w:ascii="宋体" w:hAnsi="宋体" w:eastAsia="宋体" w:cs="Times New Roman"/>
          <w:color w:val="auto"/>
          <w:kern w:val="0"/>
          <w:szCs w:val="21"/>
          <w:highlight w:val="none"/>
        </w:rPr>
        <w:t xml:space="preserve"> 设备监造</w:t>
      </w:r>
    </w:p>
    <w:p w14:paraId="39D07CD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1.1.4.3.1 设备监造：指在合同设备生产制造过程中，由买方自行或委托监造单位根据本合同相关规定，按照预先设置的W点（采用文件见证）、H点（采用停工待检的方式）、S点（采用旁站的方式）等关键点，对合同设备的设计、原材料选用、制造和试验等环节实施的质量监督。</w:t>
      </w:r>
    </w:p>
    <w:p w14:paraId="63A497D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w:t>
      </w:r>
      <w:r>
        <w:rPr>
          <w:rFonts w:hint="eastAsia" w:ascii="宋体" w:hAnsi="宋体" w:eastAsia="宋体" w:cs="Times New Roman"/>
          <w:color w:val="auto"/>
          <w:kern w:val="0"/>
          <w:szCs w:val="21"/>
          <w:highlight w:val="none"/>
        </w:rPr>
        <w:t>1.4.</w:t>
      </w:r>
      <w:r>
        <w:rPr>
          <w:rFonts w:ascii="宋体" w:hAnsi="宋体" w:eastAsia="宋体" w:cs="Times New Roman"/>
          <w:color w:val="auto"/>
          <w:kern w:val="0"/>
          <w:szCs w:val="21"/>
          <w:highlight w:val="none"/>
        </w:rPr>
        <w:t>3</w:t>
      </w:r>
      <w:r>
        <w:rPr>
          <w:rFonts w:hint="eastAsia" w:ascii="宋体" w:hAnsi="宋体" w:eastAsia="宋体" w:cs="Times New Roman"/>
          <w:color w:val="auto"/>
          <w:kern w:val="0"/>
          <w:szCs w:val="21"/>
          <w:highlight w:val="none"/>
        </w:rPr>
        <w:t>.2</w:t>
      </w:r>
      <w:r>
        <w:rPr>
          <w:rFonts w:ascii="宋体" w:hAnsi="宋体" w:eastAsia="宋体" w:cs="Times New Roman"/>
          <w:color w:val="auto"/>
          <w:kern w:val="0"/>
          <w:szCs w:val="21"/>
          <w:highlight w:val="none"/>
        </w:rPr>
        <w:t xml:space="preserve"> 监造代表</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指由买方自行或委托的监造单位派出的对合同</w:t>
      </w:r>
      <w:r>
        <w:rPr>
          <w:rFonts w:hint="eastAsia" w:ascii="宋体" w:hAnsi="宋体" w:eastAsia="宋体" w:cs="Times New Roman"/>
          <w:color w:val="auto"/>
          <w:kern w:val="0"/>
          <w:szCs w:val="21"/>
          <w:highlight w:val="none"/>
        </w:rPr>
        <w:t>设备</w:t>
      </w:r>
      <w:r>
        <w:rPr>
          <w:rFonts w:ascii="宋体" w:hAnsi="宋体" w:eastAsia="宋体" w:cs="Times New Roman"/>
          <w:color w:val="auto"/>
          <w:kern w:val="0"/>
          <w:szCs w:val="21"/>
          <w:highlight w:val="none"/>
        </w:rPr>
        <w:t>进行监造的人员。</w:t>
      </w:r>
    </w:p>
    <w:p w14:paraId="35641DE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1.1.4.4 抽检</w:t>
      </w:r>
    </w:p>
    <w:p w14:paraId="0777243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1.1.4.4.1 到货抽检</w:t>
      </w:r>
      <w:r>
        <w:rPr>
          <w:rFonts w:hint="eastAsia" w:ascii="宋体" w:hAnsi="宋体" w:eastAsia="宋体" w:cs="Times New Roman"/>
          <w:color w:val="auto"/>
          <w:kern w:val="0"/>
          <w:szCs w:val="21"/>
          <w:highlight w:val="none"/>
        </w:rPr>
        <w:t>：为了监督送达交货地点的设备材料的质量而实施的抽样检测。</w:t>
      </w:r>
    </w:p>
    <w:p w14:paraId="11766F0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1.1.4.4.2 专项抽检</w:t>
      </w:r>
      <w:r>
        <w:rPr>
          <w:rFonts w:hint="eastAsia" w:ascii="宋体" w:hAnsi="宋体" w:eastAsia="宋体" w:cs="Times New Roman"/>
          <w:color w:val="auto"/>
          <w:kern w:val="0"/>
          <w:szCs w:val="21"/>
          <w:highlight w:val="none"/>
        </w:rPr>
        <w:t>：针对特定的设备材料及其关键原材料和组附件，专门实施的抽样检测。</w:t>
      </w:r>
    </w:p>
    <w:p w14:paraId="055A954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1.1.4.5 </w:t>
      </w:r>
      <w:r>
        <w:rPr>
          <w:rFonts w:hint="eastAsia" w:ascii="宋体" w:hAnsi="宋体" w:eastAsia="宋体" w:cs="Times New Roman"/>
          <w:color w:val="auto"/>
          <w:kern w:val="0"/>
          <w:szCs w:val="21"/>
          <w:highlight w:val="none"/>
        </w:rPr>
        <w:t>设备缺陷</w:t>
      </w:r>
    </w:p>
    <w:p w14:paraId="51B7B07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w:t>
      </w:r>
      <w:r>
        <w:rPr>
          <w:rFonts w:hint="eastAsia" w:ascii="宋体" w:hAnsi="宋体" w:eastAsia="宋体" w:cs="Times New Roman"/>
          <w:color w:val="auto"/>
          <w:kern w:val="0"/>
          <w:szCs w:val="21"/>
          <w:highlight w:val="none"/>
        </w:rPr>
        <w:t>1.4.</w:t>
      </w:r>
      <w:r>
        <w:rPr>
          <w:rFonts w:ascii="宋体" w:hAnsi="宋体" w:eastAsia="宋体" w:cs="Times New Roman"/>
          <w:color w:val="auto"/>
          <w:kern w:val="0"/>
          <w:szCs w:val="21"/>
          <w:highlight w:val="none"/>
        </w:rPr>
        <w:t>5</w:t>
      </w:r>
      <w:r>
        <w:rPr>
          <w:rFonts w:hint="eastAsia" w:ascii="宋体" w:hAnsi="宋体" w:eastAsia="宋体" w:cs="Times New Roman"/>
          <w:color w:val="auto"/>
          <w:kern w:val="0"/>
          <w:szCs w:val="21"/>
          <w:highlight w:val="none"/>
        </w:rPr>
        <w:t xml:space="preserve">.1 </w:t>
      </w:r>
      <w:r>
        <w:rPr>
          <w:rFonts w:ascii="宋体" w:hAnsi="宋体" w:eastAsia="宋体" w:cs="Times New Roman"/>
          <w:color w:val="auto"/>
          <w:kern w:val="0"/>
          <w:szCs w:val="21"/>
          <w:highlight w:val="none"/>
        </w:rPr>
        <w:t>设备缺陷</w:t>
      </w:r>
      <w:r>
        <w:rPr>
          <w:rFonts w:hint="eastAsia" w:ascii="宋体" w:hAnsi="宋体" w:eastAsia="宋体" w:cs="Times New Roman"/>
          <w:color w:val="auto"/>
          <w:kern w:val="0"/>
          <w:szCs w:val="21"/>
          <w:highlight w:val="none"/>
        </w:rPr>
        <w:t>：指设备在设计、原材料选用、生产制造、运输、安装调试、运行等全生命周期中出现的直接影响其技术性能、运行工况及使用寿命等问题（故障）。</w:t>
      </w:r>
      <w:r>
        <w:rPr>
          <w:rFonts w:ascii="宋体" w:hAnsi="宋体" w:eastAsia="宋体" w:cs="Times New Roman"/>
          <w:color w:val="auto"/>
          <w:kern w:val="0"/>
          <w:szCs w:val="21"/>
          <w:highlight w:val="none"/>
        </w:rPr>
        <w:t>设备缺陷按照严重程度分为紧急缺陷、重大缺陷、一般缺陷、</w:t>
      </w:r>
      <w:r>
        <w:rPr>
          <w:rFonts w:hint="eastAsia" w:ascii="宋体" w:hAnsi="宋体" w:eastAsia="宋体" w:cs="Times New Roman"/>
          <w:color w:val="auto"/>
          <w:kern w:val="0"/>
          <w:szCs w:val="21"/>
          <w:highlight w:val="none"/>
        </w:rPr>
        <w:t>批次</w:t>
      </w:r>
      <w:r>
        <w:rPr>
          <w:rFonts w:ascii="宋体" w:hAnsi="宋体" w:eastAsia="宋体" w:cs="Times New Roman"/>
          <w:color w:val="auto"/>
          <w:kern w:val="0"/>
          <w:szCs w:val="21"/>
          <w:highlight w:val="none"/>
        </w:rPr>
        <w:t>性缺陷和其他缺陷。</w:t>
      </w:r>
      <w:r>
        <w:rPr>
          <w:rFonts w:hint="eastAsia" w:ascii="宋体" w:hAnsi="宋体" w:eastAsia="宋体" w:cs="Times New Roman"/>
          <w:color w:val="auto"/>
          <w:kern w:val="0"/>
          <w:szCs w:val="21"/>
          <w:highlight w:val="none"/>
        </w:rPr>
        <w:t>具体包括但不限于以下几种情况：</w:t>
      </w:r>
    </w:p>
    <w:p w14:paraId="17672CC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1）违反国家相关法律法规、国家（行业）规程规范或强制性条文；</w:t>
      </w:r>
    </w:p>
    <w:p w14:paraId="6567D73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2）违反南方电网企业标准或“反措”要求；</w:t>
      </w:r>
    </w:p>
    <w:p w14:paraId="7EC841B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3）不符合设计或技术规范书要求；</w:t>
      </w:r>
    </w:p>
    <w:p w14:paraId="4DD2609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4）威胁人身、设备材料和电网的安全；</w:t>
      </w:r>
    </w:p>
    <w:p w14:paraId="14775B5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5）影响设备材料和电网的经济运行与环保要求。</w:t>
      </w:r>
    </w:p>
    <w:p w14:paraId="5F3AA62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1.1.4.5.2 紧急缺陷</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指设备存在威胁安全运行并需立即处理的缺陷。若该缺陷不经处理，随时可能造成设备损坏、人身伤亡、大面积停电、火灾等事故。</w:t>
      </w:r>
    </w:p>
    <w:p w14:paraId="3B7DB82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1.1.4.5.3 重大缺陷</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指对安全运行有严重威胁，暂时尚能坚持运行但需尽快处理的缺陷。</w:t>
      </w:r>
    </w:p>
    <w:p w14:paraId="57D7BF3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1.1.4.5.4 一般缺陷</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指上述紧急、重大缺陷以外的设备缺陷，其性质一般，情况较轻，近期内对安全运行影响不大。</w:t>
      </w:r>
    </w:p>
    <w:p w14:paraId="4CDD06D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1.1.4.5.5 批次性缺陷是指因产品结构、设计、选材、工艺、施工不良等共性原因，造成同一厂家、同类型设备质量不良，存在明显或者潜在的，经买方组织相关专家和买卖双方共同评审认定，已经或可能引起设备故障或紧急停运，影响电网及设备安全稳定运行的缺陷。</w:t>
      </w:r>
    </w:p>
    <w:p w14:paraId="76AFB6C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根据批次性缺陷可能导致后果的严重程度等情况，分为</w:t>
      </w:r>
      <w:r>
        <w:rPr>
          <w:rFonts w:ascii="宋体" w:hAnsi="宋体" w:eastAsia="宋体" w:cs="Times New Roman"/>
          <w:color w:val="auto"/>
          <w:kern w:val="0"/>
          <w:szCs w:val="21"/>
          <w:highlight w:val="none"/>
        </w:rPr>
        <w:t>A类、B类、C类共三类，对应不同的处置原则。</w:t>
      </w:r>
    </w:p>
    <w:p w14:paraId="714A634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r>
        <w:rPr>
          <w:rFonts w:ascii="宋体" w:hAnsi="宋体" w:eastAsia="宋体" w:cs="Times New Roman"/>
          <w:color w:val="auto"/>
          <w:kern w:val="0"/>
          <w:szCs w:val="21"/>
          <w:highlight w:val="none"/>
        </w:rPr>
        <w:t>A类批次性缺陷</w:t>
      </w:r>
      <w:r>
        <w:rPr>
          <w:rFonts w:hint="eastAsia" w:ascii="宋体" w:hAnsi="宋体" w:eastAsia="宋体" w:cs="Times New Roman"/>
          <w:color w:val="auto"/>
          <w:kern w:val="0"/>
          <w:szCs w:val="21"/>
          <w:highlight w:val="none"/>
        </w:rPr>
        <w:t>：经评估，运行中缺乏有效监测检测手段，一旦发生设备故障可能造成一级及以上电力安全事故事件的批次性缺陷。</w:t>
      </w:r>
      <w:r>
        <w:rPr>
          <w:rFonts w:ascii="宋体" w:hAnsi="宋体" w:eastAsia="宋体" w:cs="Times New Roman"/>
          <w:color w:val="auto"/>
          <w:kern w:val="0"/>
          <w:szCs w:val="21"/>
          <w:highlight w:val="none"/>
        </w:rPr>
        <w:t>A类批次性缺陷应根据实际情况，限期完成整改，若运行中发现劣化趋势，应立即进行整改；完成整改前，</w:t>
      </w:r>
      <w:r>
        <w:rPr>
          <w:rFonts w:hint="eastAsia" w:ascii="宋体" w:hAnsi="宋体" w:eastAsia="宋体" w:cs="Times New Roman"/>
          <w:color w:val="auto"/>
          <w:kern w:val="0"/>
          <w:szCs w:val="21"/>
          <w:highlight w:val="none"/>
        </w:rPr>
        <w:t>卖方应配合买方</w:t>
      </w:r>
      <w:r>
        <w:rPr>
          <w:rFonts w:ascii="宋体" w:hAnsi="宋体" w:eastAsia="宋体" w:cs="Times New Roman"/>
          <w:color w:val="auto"/>
          <w:kern w:val="0"/>
          <w:szCs w:val="21"/>
          <w:highlight w:val="none"/>
        </w:rPr>
        <w:t>应按照相关反措要求，优化运维管控措施</w:t>
      </w:r>
      <w:r>
        <w:rPr>
          <w:rFonts w:hint="eastAsia" w:ascii="宋体" w:hAnsi="宋体" w:eastAsia="宋体" w:cs="Times New Roman"/>
          <w:color w:val="auto"/>
          <w:kern w:val="0"/>
          <w:szCs w:val="21"/>
          <w:highlight w:val="none"/>
        </w:rPr>
        <w:t>。</w:t>
      </w:r>
    </w:p>
    <w:p w14:paraId="6FD4CA4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w:t>
      </w:r>
      <w:r>
        <w:rPr>
          <w:rFonts w:ascii="宋体" w:hAnsi="宋体" w:eastAsia="宋体" w:cs="Times New Roman"/>
          <w:color w:val="auto"/>
          <w:kern w:val="0"/>
          <w:szCs w:val="21"/>
          <w:highlight w:val="none"/>
        </w:rPr>
        <w:t>B类批次性缺陷</w:t>
      </w:r>
      <w:r>
        <w:rPr>
          <w:rFonts w:hint="eastAsia" w:ascii="宋体" w:hAnsi="宋体" w:eastAsia="宋体" w:cs="Times New Roman"/>
          <w:color w:val="auto"/>
          <w:kern w:val="0"/>
          <w:szCs w:val="21"/>
          <w:highlight w:val="none"/>
        </w:rPr>
        <w:t>：经评估，运行中缺乏有效监测检测手段，一旦发生设备故障可能造成二级及以下电力安全事故事件的批次性缺陷。</w:t>
      </w:r>
      <w:r>
        <w:rPr>
          <w:rFonts w:ascii="宋体" w:hAnsi="宋体" w:eastAsia="宋体" w:cs="Times New Roman"/>
          <w:color w:val="auto"/>
          <w:kern w:val="0"/>
          <w:szCs w:val="21"/>
          <w:highlight w:val="none"/>
        </w:rPr>
        <w:t>B类批次性缺陷应根据实际情况，结合停电完成整改（应在一个检修试验周期内），若运行中发现劣化趋势，应立即进行整改；完成整改前，</w:t>
      </w:r>
      <w:r>
        <w:rPr>
          <w:rFonts w:hint="eastAsia" w:ascii="宋体" w:hAnsi="宋体" w:eastAsia="宋体" w:cs="Times New Roman"/>
          <w:color w:val="auto"/>
          <w:kern w:val="0"/>
          <w:szCs w:val="21"/>
          <w:highlight w:val="none"/>
        </w:rPr>
        <w:t>卖方应配合买方</w:t>
      </w:r>
      <w:r>
        <w:rPr>
          <w:rFonts w:ascii="宋体" w:hAnsi="宋体" w:eastAsia="宋体" w:cs="Times New Roman"/>
          <w:color w:val="auto"/>
          <w:kern w:val="0"/>
          <w:szCs w:val="21"/>
          <w:highlight w:val="none"/>
        </w:rPr>
        <w:t>应按照相关反措要求，优化运维管控措施</w:t>
      </w:r>
      <w:r>
        <w:rPr>
          <w:rFonts w:hint="eastAsia" w:ascii="宋体" w:hAnsi="宋体" w:eastAsia="宋体" w:cs="Times New Roman"/>
          <w:color w:val="auto"/>
          <w:kern w:val="0"/>
          <w:szCs w:val="21"/>
          <w:highlight w:val="none"/>
        </w:rPr>
        <w:t>。</w:t>
      </w:r>
    </w:p>
    <w:p w14:paraId="6F6F5A8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（3）</w:t>
      </w:r>
      <w:r>
        <w:rPr>
          <w:rFonts w:ascii="宋体" w:hAnsi="宋体" w:eastAsia="宋体" w:cs="Times New Roman"/>
          <w:color w:val="auto"/>
          <w:kern w:val="0"/>
          <w:szCs w:val="21"/>
          <w:highlight w:val="none"/>
        </w:rPr>
        <w:t>C类批次性缺陷</w:t>
      </w:r>
      <w:r>
        <w:rPr>
          <w:rFonts w:hint="eastAsia" w:ascii="宋体" w:hAnsi="宋体" w:eastAsia="宋体" w:cs="Times New Roman"/>
          <w:color w:val="auto"/>
          <w:kern w:val="0"/>
          <w:szCs w:val="21"/>
          <w:highlight w:val="none"/>
        </w:rPr>
        <w:t>：经评估，运行中可通过有效监测检测手段，提前发现并及时跟踪缺陷发展情况，设备运行风险可有效得到控制，不会发生电力安全事故事件的批次性缺陷。</w:t>
      </w:r>
      <w:r>
        <w:rPr>
          <w:rFonts w:ascii="宋体" w:hAnsi="宋体" w:eastAsia="宋体" w:cs="Times New Roman"/>
          <w:color w:val="auto"/>
          <w:kern w:val="0"/>
          <w:szCs w:val="21"/>
          <w:highlight w:val="none"/>
        </w:rPr>
        <w:t>C类批次性缺陷应根据实际情况，结合设备检修试验工作完成整改，若运行中发现劣化趋势，应立即进行整改；完成整改前，</w:t>
      </w:r>
      <w:r>
        <w:rPr>
          <w:rFonts w:hint="eastAsia" w:ascii="宋体" w:hAnsi="宋体" w:eastAsia="宋体" w:cs="Times New Roman"/>
          <w:color w:val="auto"/>
          <w:kern w:val="0"/>
          <w:szCs w:val="21"/>
          <w:highlight w:val="none"/>
        </w:rPr>
        <w:t>卖方应配合买方</w:t>
      </w:r>
      <w:r>
        <w:rPr>
          <w:rFonts w:ascii="宋体" w:hAnsi="宋体" w:eastAsia="宋体" w:cs="Times New Roman"/>
          <w:color w:val="auto"/>
          <w:kern w:val="0"/>
          <w:szCs w:val="21"/>
          <w:highlight w:val="none"/>
        </w:rPr>
        <w:t>应按照相关反措要求，优化运维管控措施</w:t>
      </w:r>
      <w:r>
        <w:rPr>
          <w:rFonts w:hint="eastAsia" w:ascii="宋体" w:hAnsi="宋体" w:eastAsia="宋体" w:cs="Times New Roman"/>
          <w:color w:val="auto"/>
          <w:kern w:val="0"/>
          <w:szCs w:val="21"/>
          <w:highlight w:val="none"/>
        </w:rPr>
        <w:t>。</w:t>
      </w:r>
    </w:p>
    <w:p w14:paraId="61C62CB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1.1.4.6 </w:t>
      </w:r>
      <w:r>
        <w:rPr>
          <w:rFonts w:hint="eastAsia" w:ascii="宋体" w:hAnsi="宋体" w:eastAsia="宋体" w:cs="Times New Roman"/>
          <w:color w:val="auto"/>
          <w:kern w:val="0"/>
          <w:szCs w:val="21"/>
          <w:highlight w:val="none"/>
        </w:rPr>
        <w:t>实物编码标签：指合同设备的</w:t>
      </w:r>
      <w:r>
        <w:rPr>
          <w:rFonts w:ascii="宋体" w:hAnsi="宋体" w:eastAsia="宋体" w:cs="Times New Roman"/>
          <w:color w:val="auto"/>
          <w:kern w:val="0"/>
          <w:szCs w:val="21"/>
          <w:highlight w:val="none"/>
        </w:rPr>
        <w:t>RFID标签</w:t>
      </w:r>
      <w:r>
        <w:rPr>
          <w:rFonts w:hint="eastAsia" w:ascii="宋体" w:hAnsi="宋体" w:eastAsia="宋体" w:cs="Times New Roman"/>
          <w:color w:val="auto"/>
          <w:kern w:val="0"/>
          <w:szCs w:val="21"/>
          <w:highlight w:val="none"/>
          <w:lang w:eastAsia="zh-CN"/>
        </w:rPr>
        <w:t>或二维码标签</w:t>
      </w:r>
      <w:r>
        <w:rPr>
          <w:rFonts w:ascii="宋体" w:hAnsi="宋体" w:eastAsia="宋体" w:cs="Times New Roman"/>
          <w:color w:val="auto"/>
          <w:kern w:val="0"/>
          <w:szCs w:val="21"/>
          <w:highlight w:val="none"/>
        </w:rPr>
        <w:t>，作为识别合同设备的唯一标识。</w:t>
      </w:r>
    </w:p>
    <w:p w14:paraId="6331809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1.1.5 技术资料：指各种纸质及电子载体的与合同设备的设计、制造、监造、检验、仓储、配送、安装、调试、考核、验收、操作、维修、保养以及技术服务等有关的技术指标、规格、图纸和说明文件。</w:t>
      </w:r>
    </w:p>
    <w:p w14:paraId="54E7FC1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1.1.9 验收</w:t>
      </w:r>
    </w:p>
    <w:p w14:paraId="270BFC1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 xml:space="preserve">1.1.9.1 </w:t>
      </w:r>
      <w:r>
        <w:rPr>
          <w:rFonts w:hint="eastAsia" w:ascii="宋体" w:hAnsi="宋体" w:eastAsia="宋体" w:cs="宋体"/>
          <w:color w:val="auto"/>
          <w:kern w:val="0"/>
          <w:szCs w:val="21"/>
          <w:highlight w:val="none"/>
        </w:rPr>
        <w:t>到货验收</w:t>
      </w:r>
      <w:r>
        <w:rPr>
          <w:rFonts w:ascii="宋体" w:hAnsi="宋体" w:eastAsia="宋体" w:cs="宋体"/>
          <w:color w:val="auto"/>
          <w:kern w:val="0"/>
          <w:szCs w:val="21"/>
          <w:highlight w:val="none"/>
        </w:rPr>
        <w:t>：指合同</w:t>
      </w:r>
      <w:r>
        <w:rPr>
          <w:rFonts w:hint="eastAsia" w:ascii="宋体" w:hAnsi="宋体" w:eastAsia="宋体" w:cs="宋体"/>
          <w:color w:val="auto"/>
          <w:kern w:val="0"/>
          <w:szCs w:val="21"/>
          <w:highlight w:val="none"/>
        </w:rPr>
        <w:t>设备</w:t>
      </w:r>
      <w:r>
        <w:rPr>
          <w:rFonts w:ascii="宋体" w:hAnsi="宋体" w:eastAsia="宋体" w:cs="宋体"/>
          <w:color w:val="auto"/>
          <w:kern w:val="0"/>
          <w:szCs w:val="21"/>
          <w:highlight w:val="none"/>
        </w:rPr>
        <w:t>运抵目的地后按照合同约定进行的开箱</w:t>
      </w:r>
      <w:r>
        <w:rPr>
          <w:rFonts w:hint="eastAsia" w:ascii="宋体" w:hAnsi="宋体" w:eastAsia="宋体" w:cs="宋体"/>
          <w:color w:val="auto"/>
          <w:kern w:val="0"/>
          <w:szCs w:val="21"/>
          <w:highlight w:val="none"/>
        </w:rPr>
        <w:t>检验</w:t>
      </w:r>
      <w:r>
        <w:rPr>
          <w:rFonts w:ascii="宋体" w:hAnsi="宋体" w:eastAsia="宋体" w:cs="宋体"/>
          <w:color w:val="auto"/>
          <w:kern w:val="0"/>
          <w:szCs w:val="21"/>
          <w:highlight w:val="none"/>
        </w:rPr>
        <w:t>、技术资料的移交等方面的验收工作。不包括对标的物电气性能等质量问题的检测。</w:t>
      </w:r>
    </w:p>
    <w:p w14:paraId="5919334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1.1.9.2 交接试验验收：指合同设备通过考核达到合同约定的技术性能考核指标后，买方作出接受合同设备的确认。</w:t>
      </w:r>
    </w:p>
    <w:p w14:paraId="29980D3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1.1.10 技术服务</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指由卖方提供的与本合同</w:t>
      </w:r>
      <w:r>
        <w:rPr>
          <w:rFonts w:hint="eastAsia" w:ascii="宋体" w:hAnsi="宋体" w:eastAsia="宋体" w:cs="宋体"/>
          <w:color w:val="auto"/>
          <w:kern w:val="0"/>
          <w:szCs w:val="21"/>
          <w:highlight w:val="none"/>
        </w:rPr>
        <w:t>设备</w:t>
      </w:r>
      <w:r>
        <w:rPr>
          <w:rFonts w:ascii="宋体" w:hAnsi="宋体" w:eastAsia="宋体" w:cs="宋体"/>
          <w:color w:val="auto"/>
          <w:kern w:val="0"/>
          <w:szCs w:val="21"/>
          <w:highlight w:val="none"/>
        </w:rPr>
        <w:t>的设计、监造、检验、土建、安装、调试、</w:t>
      </w:r>
      <w:r>
        <w:rPr>
          <w:rFonts w:hint="eastAsia" w:ascii="宋体" w:hAnsi="宋体" w:eastAsia="宋体" w:cs="宋体"/>
          <w:color w:val="auto"/>
          <w:kern w:val="0"/>
          <w:szCs w:val="21"/>
          <w:highlight w:val="none"/>
        </w:rPr>
        <w:t>考核、</w:t>
      </w:r>
      <w:r>
        <w:rPr>
          <w:rFonts w:ascii="宋体" w:hAnsi="宋体" w:eastAsia="宋体" w:cs="宋体"/>
          <w:color w:val="auto"/>
          <w:kern w:val="0"/>
          <w:szCs w:val="21"/>
          <w:highlight w:val="none"/>
        </w:rPr>
        <w:t>验收、运行、检修有关的技术指导、技术配合、</w:t>
      </w:r>
      <w:r>
        <w:rPr>
          <w:rFonts w:hint="eastAsia" w:ascii="宋体" w:hAnsi="宋体" w:eastAsia="宋体" w:cs="宋体"/>
          <w:color w:val="auto"/>
          <w:kern w:val="0"/>
          <w:szCs w:val="21"/>
          <w:highlight w:val="none"/>
        </w:rPr>
        <w:t>技术监督、</w:t>
      </w:r>
      <w:r>
        <w:rPr>
          <w:rFonts w:ascii="宋体" w:hAnsi="宋体" w:eastAsia="宋体" w:cs="宋体"/>
          <w:color w:val="auto"/>
          <w:kern w:val="0"/>
          <w:szCs w:val="21"/>
          <w:highlight w:val="none"/>
        </w:rPr>
        <w:t>技术培训等全过程的服务。</w:t>
      </w:r>
    </w:p>
    <w:p w14:paraId="6320EF0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1.1.11 质量保证期：指合同设备通过交接试验验收并投运后，卖方按合同约定保证合同设备适当、稳定运行，并负责消除合同设备故障的期限。</w:t>
      </w:r>
    </w:p>
    <w:p w14:paraId="5B4FD30C">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1.1.12 质保期服务：指在质量保证期内，卖方向买方提供的合同设备维护服务、咨询服务、技术</w:t>
      </w:r>
      <w:r>
        <w:rPr>
          <w:rFonts w:hint="eastAsia" w:ascii="宋体" w:hAnsi="宋体" w:eastAsia="宋体" w:cs="宋体"/>
          <w:color w:val="auto"/>
          <w:kern w:val="0"/>
          <w:szCs w:val="21"/>
          <w:highlight w:val="none"/>
        </w:rPr>
        <w:t>服务</w:t>
      </w:r>
      <w:r>
        <w:rPr>
          <w:rFonts w:ascii="宋体" w:hAnsi="宋体" w:eastAsia="宋体" w:cs="宋体"/>
          <w:color w:val="auto"/>
          <w:kern w:val="0"/>
          <w:szCs w:val="21"/>
          <w:highlight w:val="none"/>
        </w:rPr>
        <w:t>，对出现故障的合同设备进行</w:t>
      </w:r>
      <w:r>
        <w:rPr>
          <w:rFonts w:hint="eastAsia" w:ascii="宋体" w:hAnsi="宋体" w:eastAsia="宋体" w:cs="宋体"/>
          <w:color w:val="auto"/>
          <w:kern w:val="0"/>
          <w:szCs w:val="21"/>
          <w:highlight w:val="none"/>
        </w:rPr>
        <w:t>的</w:t>
      </w:r>
      <w:r>
        <w:rPr>
          <w:rFonts w:ascii="宋体" w:hAnsi="宋体" w:eastAsia="宋体" w:cs="宋体"/>
          <w:color w:val="auto"/>
          <w:kern w:val="0"/>
          <w:szCs w:val="21"/>
          <w:highlight w:val="none"/>
        </w:rPr>
        <w:t>修理、更换、退货、削价</w:t>
      </w:r>
      <w:r>
        <w:rPr>
          <w:rFonts w:hint="eastAsia" w:ascii="宋体" w:hAnsi="宋体" w:eastAsia="宋体" w:cs="宋体"/>
          <w:color w:val="auto"/>
          <w:kern w:val="0"/>
          <w:szCs w:val="21"/>
          <w:highlight w:val="none"/>
        </w:rPr>
        <w:t>、赔偿</w:t>
      </w:r>
      <w:r>
        <w:rPr>
          <w:rFonts w:ascii="宋体" w:hAnsi="宋体" w:eastAsia="宋体" w:cs="宋体"/>
          <w:color w:val="auto"/>
          <w:kern w:val="0"/>
          <w:szCs w:val="21"/>
          <w:highlight w:val="none"/>
        </w:rPr>
        <w:t>，以及按照合同条款提供的其他相关服务。</w:t>
      </w:r>
    </w:p>
    <w:p w14:paraId="17882DB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bCs/>
          <w:color w:val="auto"/>
          <w:kern w:val="0"/>
          <w:szCs w:val="21"/>
          <w:highlight w:val="none"/>
        </w:rPr>
        <w:t xml:space="preserve">1.1.13 </w:t>
      </w:r>
      <w:r>
        <w:rPr>
          <w:rFonts w:hint="eastAsia" w:ascii="宋体" w:hAnsi="宋体" w:eastAsia="宋体" w:cs="宋体"/>
          <w:color w:val="auto"/>
          <w:kern w:val="0"/>
          <w:szCs w:val="21"/>
          <w:highlight w:val="none"/>
        </w:rPr>
        <w:t>工程</w:t>
      </w:r>
    </w:p>
    <w:p w14:paraId="0C5E90D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1.1.13.1 工程：指在</w:t>
      </w:r>
      <w:r>
        <w:rPr>
          <w:rFonts w:hint="eastAsia" w:ascii="宋体" w:hAnsi="宋体" w:eastAsia="宋体" w:cs="Times New Roman"/>
          <w:color w:val="auto"/>
          <w:kern w:val="0"/>
          <w:szCs w:val="21"/>
          <w:highlight w:val="none"/>
        </w:rPr>
        <w:t>“供货一览表”</w:t>
      </w:r>
      <w:r>
        <w:rPr>
          <w:rFonts w:ascii="宋体" w:hAnsi="宋体" w:eastAsia="宋体" w:cs="Times New Roman"/>
          <w:color w:val="auto"/>
          <w:kern w:val="0"/>
          <w:szCs w:val="21"/>
          <w:highlight w:val="none"/>
        </w:rPr>
        <w:t>中指明的，安装运行合同设备的工程</w:t>
      </w:r>
      <w:r>
        <w:rPr>
          <w:rFonts w:hint="eastAsia" w:ascii="宋体" w:hAnsi="宋体" w:eastAsia="宋体" w:cs="Times New Roman"/>
          <w:color w:val="auto"/>
          <w:kern w:val="0"/>
          <w:szCs w:val="21"/>
          <w:highlight w:val="none"/>
        </w:rPr>
        <w:t>（或项目）</w:t>
      </w:r>
      <w:r>
        <w:rPr>
          <w:rFonts w:ascii="宋体" w:hAnsi="宋体" w:eastAsia="宋体" w:cs="Times New Roman"/>
          <w:color w:val="auto"/>
          <w:kern w:val="0"/>
          <w:szCs w:val="21"/>
          <w:highlight w:val="none"/>
        </w:rPr>
        <w:t>。</w:t>
      </w:r>
    </w:p>
    <w:p w14:paraId="1961D53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1.1.13.2 </w:t>
      </w:r>
      <w:r>
        <w:rPr>
          <w:rFonts w:ascii="宋体" w:hAnsi="宋体" w:eastAsia="宋体" w:cs="宋体"/>
          <w:color w:val="auto"/>
          <w:kern w:val="0"/>
          <w:szCs w:val="21"/>
          <w:highlight w:val="none"/>
        </w:rPr>
        <w:t>现场</w:t>
      </w:r>
      <w:r>
        <w:rPr>
          <w:rFonts w:hint="eastAsia" w:ascii="宋体" w:hAnsi="宋体" w:eastAsia="宋体" w:cs="宋体"/>
          <w:color w:val="auto"/>
          <w:kern w:val="0"/>
          <w:szCs w:val="21"/>
          <w:highlight w:val="none"/>
        </w:rPr>
        <w:t>（施工现场、施工场地、工地）：</w:t>
      </w:r>
      <w:r>
        <w:rPr>
          <w:rFonts w:ascii="宋体" w:hAnsi="宋体" w:eastAsia="宋体" w:cs="宋体"/>
          <w:color w:val="auto"/>
          <w:kern w:val="0"/>
          <w:szCs w:val="21"/>
          <w:highlight w:val="none"/>
        </w:rPr>
        <w:t>指合同</w:t>
      </w:r>
      <w:r>
        <w:rPr>
          <w:rFonts w:hint="eastAsia" w:ascii="宋体" w:hAnsi="宋体" w:eastAsia="宋体" w:cs="宋体"/>
          <w:color w:val="auto"/>
          <w:kern w:val="0"/>
          <w:szCs w:val="21"/>
          <w:highlight w:val="none"/>
        </w:rPr>
        <w:t>设备</w:t>
      </w:r>
      <w:r>
        <w:rPr>
          <w:rFonts w:ascii="宋体" w:hAnsi="宋体" w:eastAsia="宋体" w:cs="宋体"/>
          <w:color w:val="auto"/>
          <w:kern w:val="0"/>
          <w:szCs w:val="21"/>
          <w:highlight w:val="none"/>
        </w:rPr>
        <w:t>安装和运行的地点或买方指定地点。</w:t>
      </w:r>
    </w:p>
    <w:p w14:paraId="37CB8E3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1.1.17 投运</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指合同</w:t>
      </w:r>
      <w:r>
        <w:rPr>
          <w:rFonts w:hint="eastAsia" w:ascii="宋体" w:hAnsi="宋体" w:eastAsia="宋体" w:cs="宋体"/>
          <w:color w:val="auto"/>
          <w:kern w:val="0"/>
          <w:szCs w:val="21"/>
          <w:highlight w:val="none"/>
        </w:rPr>
        <w:t>设备</w:t>
      </w:r>
      <w:r>
        <w:rPr>
          <w:rFonts w:ascii="宋体" w:hAnsi="宋体" w:eastAsia="宋体" w:cs="宋体"/>
          <w:color w:val="auto"/>
          <w:kern w:val="0"/>
          <w:szCs w:val="21"/>
          <w:highlight w:val="none"/>
        </w:rPr>
        <w:t>完成安装调试，经试验合格，正式投入系统运行或充电无问题后转为备用的活动。</w:t>
      </w:r>
    </w:p>
    <w:p w14:paraId="5A3027F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1.1.18  除本合同另有约定外，“以上”、“以下”、“以内”、“届满”，均包括本数；“不满”、“以外”，不包括本数；“×日前”、“×日后”不包括当日。按照日、月、年计算期间的，开始的当日不算入，从下一日开始计算。期间的最后一日不是工作日的，该期间应于下一个工作日终止。</w:t>
      </w:r>
    </w:p>
    <w:p w14:paraId="73183647">
      <w:pPr>
        <w:pStyle w:val="5"/>
        <w:spacing w:before="0" w:after="0" w:line="360" w:lineRule="auto"/>
        <w:rPr>
          <w:rFonts w:ascii="宋体" w:hAnsi="宋体" w:eastAsia="宋体" w:cs="黑体"/>
          <w:color w:val="auto"/>
          <w:kern w:val="0"/>
          <w:sz w:val="21"/>
          <w:szCs w:val="28"/>
          <w:highlight w:val="none"/>
        </w:rPr>
      </w:pPr>
      <w:bookmarkStart w:id="163" w:name="_Toc57494701"/>
      <w:bookmarkStart w:id="164" w:name="_Toc30009"/>
      <w:bookmarkStart w:id="165" w:name="_Toc399"/>
      <w:r>
        <w:rPr>
          <w:rFonts w:ascii="宋体" w:hAnsi="宋体" w:eastAsia="宋体" w:cs="黑体"/>
          <w:color w:val="auto"/>
          <w:kern w:val="0"/>
          <w:sz w:val="21"/>
          <w:szCs w:val="28"/>
          <w:highlight w:val="none"/>
        </w:rPr>
        <w:t xml:space="preserve">1.2 </w:t>
      </w:r>
      <w:r>
        <w:rPr>
          <w:rFonts w:hint="eastAsia" w:ascii="宋体" w:hAnsi="宋体" w:eastAsia="宋体" w:cs="黑体"/>
          <w:color w:val="auto"/>
          <w:kern w:val="0"/>
          <w:sz w:val="21"/>
          <w:szCs w:val="28"/>
          <w:highlight w:val="none"/>
        </w:rPr>
        <w:t>语言文字</w:t>
      </w:r>
      <w:bookmarkEnd w:id="163"/>
      <w:bookmarkEnd w:id="164"/>
      <w:bookmarkEnd w:id="165"/>
    </w:p>
    <w:p w14:paraId="417A776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所有技术资料都应适用公制单位。</w:t>
      </w:r>
      <w:r>
        <w:rPr>
          <w:rFonts w:hint="eastAsia" w:ascii="宋体" w:hAnsi="宋体" w:eastAsia="宋体" w:cs="宋体"/>
          <w:color w:val="auto"/>
          <w:kern w:val="0"/>
          <w:szCs w:val="21"/>
          <w:highlight w:val="none"/>
        </w:rPr>
        <w:t>进口设备还应提供原制造商英文陈述、解释和一式六份的中文翻译版本。</w:t>
      </w:r>
    </w:p>
    <w:p w14:paraId="35A0860B">
      <w:pPr>
        <w:pStyle w:val="5"/>
        <w:spacing w:before="0" w:after="0" w:line="360" w:lineRule="auto"/>
        <w:rPr>
          <w:rFonts w:ascii="宋体" w:hAnsi="宋体" w:eastAsia="宋体" w:cs="黑体"/>
          <w:color w:val="auto"/>
          <w:kern w:val="0"/>
          <w:sz w:val="21"/>
          <w:szCs w:val="28"/>
          <w:highlight w:val="none"/>
        </w:rPr>
      </w:pPr>
      <w:bookmarkStart w:id="166" w:name="_Toc57494702"/>
      <w:bookmarkStart w:id="167" w:name="_Toc31428"/>
      <w:bookmarkStart w:id="168" w:name="_Toc11310"/>
      <w:r>
        <w:rPr>
          <w:rFonts w:ascii="宋体" w:hAnsi="宋体" w:eastAsia="宋体" w:cs="黑体"/>
          <w:color w:val="auto"/>
          <w:kern w:val="0"/>
          <w:sz w:val="21"/>
          <w:szCs w:val="28"/>
          <w:highlight w:val="none"/>
        </w:rPr>
        <w:t xml:space="preserve">1.3 </w:t>
      </w:r>
      <w:r>
        <w:rPr>
          <w:rFonts w:hint="eastAsia" w:ascii="宋体" w:hAnsi="宋体" w:eastAsia="宋体" w:cs="黑体"/>
          <w:color w:val="auto"/>
          <w:kern w:val="0"/>
          <w:sz w:val="21"/>
          <w:szCs w:val="28"/>
          <w:highlight w:val="none"/>
        </w:rPr>
        <w:t>合同文件的优先顺序</w:t>
      </w:r>
      <w:bookmarkEnd w:id="166"/>
      <w:bookmarkEnd w:id="167"/>
      <w:bookmarkEnd w:id="168"/>
    </w:p>
    <w:p w14:paraId="155479D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技术协议是合同中的技术条款部分，即在采购过程中确定的技术标书（技术文件）和技术澄清文件中与本合同相关的部分</w:t>
      </w:r>
      <w:r>
        <w:rPr>
          <w:rFonts w:ascii="宋体" w:hAnsi="宋体" w:eastAsia="宋体" w:cs="Times New Roman"/>
          <w:bCs/>
          <w:color w:val="auto"/>
          <w:kern w:val="0"/>
          <w:szCs w:val="21"/>
          <w:highlight w:val="none"/>
        </w:rPr>
        <w:t>，包括双方根据约定不时进行的修改和补充</w:t>
      </w:r>
      <w:r>
        <w:rPr>
          <w:rFonts w:hint="eastAsia" w:ascii="宋体" w:hAnsi="宋体" w:eastAsia="宋体" w:cs="宋体"/>
          <w:color w:val="auto"/>
          <w:kern w:val="0"/>
          <w:szCs w:val="21"/>
          <w:highlight w:val="none"/>
        </w:rPr>
        <w:t>。技术协议中的规定与合同商务条款对相同事项的规定不能同时成立时，以商务条款的规定为准。</w:t>
      </w:r>
    </w:p>
    <w:p w14:paraId="56E7B5B2">
      <w:pPr>
        <w:pStyle w:val="5"/>
        <w:spacing w:before="0" w:after="0" w:line="360" w:lineRule="auto"/>
        <w:rPr>
          <w:rFonts w:ascii="宋体" w:hAnsi="宋体" w:eastAsia="宋体" w:cs="黑体"/>
          <w:color w:val="auto"/>
          <w:kern w:val="0"/>
          <w:sz w:val="21"/>
          <w:szCs w:val="28"/>
          <w:highlight w:val="none"/>
        </w:rPr>
      </w:pPr>
      <w:bookmarkStart w:id="169" w:name="_Toc5263"/>
      <w:bookmarkStart w:id="170" w:name="_Toc13505"/>
      <w:bookmarkStart w:id="171" w:name="_Toc57494703"/>
      <w:bookmarkStart w:id="172" w:name="_Hlk511221831"/>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合同的生效及变更</w:t>
      </w:r>
      <w:bookmarkEnd w:id="169"/>
      <w:bookmarkEnd w:id="170"/>
      <w:bookmarkEnd w:id="171"/>
    </w:p>
    <w:bookmarkEnd w:id="172"/>
    <w:p w14:paraId="69E8C23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1.4.1加盖单位章</w:t>
      </w:r>
      <w:r>
        <w:rPr>
          <w:rFonts w:hint="eastAsia" w:ascii="宋体" w:hAnsi="宋体" w:eastAsia="宋体" w:cs="Times New Roman"/>
          <w:color w:val="auto"/>
          <w:kern w:val="0"/>
          <w:szCs w:val="21"/>
          <w:highlight w:val="none"/>
        </w:rPr>
        <w:t>（单位公章或合同专用章）时</w:t>
      </w:r>
      <w:r>
        <w:rPr>
          <w:rFonts w:ascii="宋体" w:hAnsi="宋体" w:eastAsia="宋体" w:cs="Times New Roman"/>
          <w:color w:val="auto"/>
          <w:kern w:val="0"/>
          <w:szCs w:val="21"/>
          <w:highlight w:val="none"/>
        </w:rPr>
        <w:t>含骑缝章，</w:t>
      </w:r>
      <w:r>
        <w:rPr>
          <w:rFonts w:hint="eastAsia" w:ascii="宋体" w:hAnsi="宋体" w:eastAsia="宋体" w:cs="Times New Roman"/>
          <w:color w:val="auto"/>
          <w:kern w:val="0"/>
          <w:szCs w:val="21"/>
          <w:highlight w:val="none"/>
        </w:rPr>
        <w:t>但使用</w:t>
      </w:r>
      <w:r>
        <w:rPr>
          <w:rFonts w:ascii="宋体" w:hAnsi="宋体" w:eastAsia="宋体" w:cs="Times New Roman"/>
          <w:color w:val="auto"/>
          <w:kern w:val="0"/>
          <w:szCs w:val="21"/>
          <w:highlight w:val="none"/>
        </w:rPr>
        <w:t>电子签章的可不盖骑缝章。</w:t>
      </w:r>
    </w:p>
    <w:p w14:paraId="2CDC479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1.4.2 </w:t>
      </w:r>
      <w:r>
        <w:rPr>
          <w:rFonts w:hint="eastAsia" w:ascii="宋体" w:hAnsi="宋体" w:eastAsia="宋体" w:cs="Times New Roman"/>
          <w:color w:val="auto"/>
          <w:kern w:val="0"/>
          <w:szCs w:val="21"/>
          <w:highlight w:val="none"/>
        </w:rPr>
        <w:t>合同变更</w:t>
      </w:r>
    </w:p>
    <w:p w14:paraId="273252C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1.4.2.1买方提出合同变更要求时应考虑卖方的设计和生产周期及由此而发生的费用变化。合同变更方式为：</w:t>
      </w:r>
    </w:p>
    <w:p w14:paraId="4DA7A85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1）对合同关键要素（如数量、单价、规格型号和技术参数等）的变更，由买方向卖方发送书面变更通知。卖方接到通知后，应充分考虑买方的意见，7天内给予书面回复，如同意变更，</w:t>
      </w:r>
      <w:r>
        <w:rPr>
          <w:rFonts w:hint="eastAsia" w:ascii="宋体" w:hAnsi="宋体" w:eastAsia="宋体" w:cs="宋体"/>
          <w:color w:val="auto"/>
          <w:kern w:val="0"/>
          <w:szCs w:val="21"/>
          <w:highlight w:val="none"/>
        </w:rPr>
        <w:t>则</w:t>
      </w:r>
      <w:r>
        <w:rPr>
          <w:rFonts w:ascii="宋体" w:hAnsi="宋体" w:eastAsia="宋体" w:cs="宋体"/>
          <w:color w:val="auto"/>
          <w:kern w:val="0"/>
          <w:szCs w:val="21"/>
          <w:highlight w:val="none"/>
        </w:rPr>
        <w:t>与买方尽快签订合同变更协议（具体模板详见附件2：合同变更协议模板）。</w:t>
      </w:r>
    </w:p>
    <w:p w14:paraId="7174B04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2）对合同一般要素（如结算信息、合同交货时间等）的变更，可以买卖双方往来确认文件或信息系统（资产系统、电子商务系统）记录作为执行合同变更的依据，无需另行签订合同变更协议。</w:t>
      </w:r>
    </w:p>
    <w:p w14:paraId="59C37E8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1.4.2.2 买方有权以通知的形式要求提前、推迟、暂停或重新确定合同</w:t>
      </w:r>
      <w:r>
        <w:rPr>
          <w:rFonts w:hint="eastAsia" w:ascii="宋体" w:hAnsi="宋体" w:eastAsia="宋体" w:cs="宋体"/>
          <w:color w:val="auto"/>
          <w:kern w:val="0"/>
          <w:szCs w:val="21"/>
          <w:highlight w:val="none"/>
        </w:rPr>
        <w:t>设备</w:t>
      </w:r>
      <w:r>
        <w:rPr>
          <w:rFonts w:ascii="宋体" w:hAnsi="宋体" w:eastAsia="宋体" w:cs="宋体"/>
          <w:color w:val="auto"/>
          <w:kern w:val="0"/>
          <w:szCs w:val="21"/>
          <w:highlight w:val="none"/>
        </w:rPr>
        <w:t>的交货时间，卖方应执行买方的变更要求。</w:t>
      </w:r>
    </w:p>
    <w:p w14:paraId="4095E65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买方变更交货时间时，应考虑以下因素：</w:t>
      </w:r>
    </w:p>
    <w:p w14:paraId="783BAC2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1）买方应为卖方预留合理的制造、运输工期。</w:t>
      </w:r>
    </w:p>
    <w:p w14:paraId="6506E0E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2）买方应对卖方在设计、制造等各阶段提出相关要求。</w:t>
      </w:r>
    </w:p>
    <w:p w14:paraId="495D701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3）买方应为卖方合同</w:t>
      </w:r>
      <w:r>
        <w:rPr>
          <w:rFonts w:hint="eastAsia" w:ascii="宋体" w:hAnsi="宋体" w:eastAsia="宋体" w:cs="宋体"/>
          <w:color w:val="auto"/>
          <w:kern w:val="0"/>
          <w:szCs w:val="21"/>
          <w:highlight w:val="none"/>
        </w:rPr>
        <w:t>设备</w:t>
      </w:r>
      <w:r>
        <w:rPr>
          <w:rFonts w:ascii="宋体" w:hAnsi="宋体" w:eastAsia="宋体" w:cs="宋体"/>
          <w:color w:val="auto"/>
          <w:kern w:val="0"/>
          <w:szCs w:val="21"/>
          <w:highlight w:val="none"/>
        </w:rPr>
        <w:t>到货、就位、人员指导安装和调试提供配合和便利。</w:t>
      </w:r>
    </w:p>
    <w:p w14:paraId="4AEDED9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1.4.2.3买方变更交货时间时，应书面通知卖方需要卖方配合的事项。卖方收到通知后逾期不回复的，买方有权自主确定新的交货时间，卖方必须执行。</w:t>
      </w:r>
    </w:p>
    <w:p w14:paraId="34E009E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1.4.2.4卖方提出合同变更申请时，应当符合合同条款</w:t>
      </w:r>
      <w:r>
        <w:rPr>
          <w:rFonts w:hint="eastAsia" w:ascii="宋体" w:hAnsi="宋体" w:eastAsia="宋体" w:cs="宋体"/>
          <w:color w:val="auto"/>
          <w:kern w:val="0"/>
          <w:szCs w:val="21"/>
          <w:highlight w:val="none"/>
        </w:rPr>
        <w:t>的</w:t>
      </w:r>
      <w:r>
        <w:rPr>
          <w:rFonts w:ascii="宋体" w:hAnsi="宋体" w:eastAsia="宋体" w:cs="宋体"/>
          <w:color w:val="auto"/>
          <w:kern w:val="0"/>
          <w:szCs w:val="21"/>
          <w:highlight w:val="none"/>
        </w:rPr>
        <w:t>约定，并征得买方同意。双方应根据协商结果签订合同变更协议。</w:t>
      </w:r>
    </w:p>
    <w:p w14:paraId="0BB584B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 xml:space="preserve">1.4.2.5 卖方若变更本合同的收款单位、收款账号等支付信息，应在付款前书面通知结算单位并向其提供其所要求的证明文件。结算单位根据证明文件进行付款。   </w:t>
      </w:r>
    </w:p>
    <w:p w14:paraId="25AEFBD1">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证明文件包括但不限于以下内容：</w:t>
      </w:r>
    </w:p>
    <w:p w14:paraId="08E1EDB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1）卖方账户信息变更：卖方盖公章的支付信息变更说明函；</w:t>
      </w:r>
    </w:p>
    <w:p w14:paraId="0A430D2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2）卖方名称变更：原卖方出具的变更说明函、工商准予变更通知书、变更后的营业执照；</w:t>
      </w:r>
    </w:p>
    <w:p w14:paraId="231C5B4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3）卖方发生合并或分立：原卖方出具记载债权债务的变更说明函、工商准予变更通知书、变更后的营业执照、开户银行出具的账户变更证明。</w:t>
      </w:r>
    </w:p>
    <w:p w14:paraId="7D27549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1.4.2.6卖方修改主要原材料及部件的供应商名单时，应提前6个月向买方提出。未经买方同意并签订合同变更协议，卖方不得变更该名单。</w:t>
      </w:r>
    </w:p>
    <w:p w14:paraId="6FA5B0F5">
      <w:pPr>
        <w:pStyle w:val="5"/>
        <w:spacing w:before="0" w:after="0" w:line="360" w:lineRule="auto"/>
        <w:rPr>
          <w:rFonts w:ascii="宋体" w:hAnsi="宋体" w:eastAsia="宋体" w:cs="黑体"/>
          <w:color w:val="auto"/>
          <w:kern w:val="0"/>
          <w:sz w:val="21"/>
          <w:szCs w:val="28"/>
          <w:highlight w:val="none"/>
        </w:rPr>
      </w:pPr>
      <w:bookmarkStart w:id="173" w:name="_Toc4253"/>
      <w:bookmarkStart w:id="174" w:name="_Toc17831"/>
      <w:bookmarkStart w:id="175" w:name="_Toc57494704"/>
      <w:r>
        <w:rPr>
          <w:rFonts w:ascii="宋体" w:hAnsi="宋体" w:eastAsia="宋体" w:cs="黑体"/>
          <w:color w:val="auto"/>
          <w:kern w:val="0"/>
          <w:sz w:val="21"/>
          <w:szCs w:val="28"/>
          <w:highlight w:val="none"/>
        </w:rPr>
        <w:t xml:space="preserve">1.5 </w:t>
      </w:r>
      <w:r>
        <w:rPr>
          <w:rFonts w:hint="eastAsia" w:ascii="宋体" w:hAnsi="宋体" w:eastAsia="宋体" w:cs="黑体"/>
          <w:color w:val="auto"/>
          <w:kern w:val="0"/>
          <w:sz w:val="21"/>
          <w:szCs w:val="28"/>
          <w:highlight w:val="none"/>
        </w:rPr>
        <w:t>联络</w:t>
      </w:r>
      <w:bookmarkEnd w:id="173"/>
      <w:bookmarkEnd w:id="174"/>
      <w:bookmarkEnd w:id="175"/>
    </w:p>
    <w:p w14:paraId="0EB0C1C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1.5.1.1 一方根据本合同发送给对方的任何通知（包括但不限于批准、证明、同意、确定和请求）均应采用书面形式，并在通知的每一页必须标注合同编号。 </w:t>
      </w:r>
    </w:p>
    <w:p w14:paraId="06EEC7D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1.5.1.2 合同的联系人和联系方式</w:t>
      </w:r>
      <w:r>
        <w:rPr>
          <w:rFonts w:hint="eastAsia" w:ascii="宋体" w:hAnsi="宋体" w:eastAsia="宋体" w:cs="Times New Roman"/>
          <w:color w:val="auto"/>
          <w:kern w:val="0"/>
          <w:szCs w:val="21"/>
          <w:highlight w:val="none"/>
        </w:rPr>
        <w:t>详见</w:t>
      </w:r>
      <w:r>
        <w:rPr>
          <w:rFonts w:ascii="宋体" w:hAnsi="宋体" w:eastAsia="宋体" w:cs="Times New Roman"/>
          <w:color w:val="auto"/>
          <w:kern w:val="0"/>
          <w:szCs w:val="21"/>
          <w:highlight w:val="none"/>
        </w:rPr>
        <w:t>合同协议书和附件1</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供货一览表</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w:t>
      </w:r>
    </w:p>
    <w:p w14:paraId="6EE1051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1.5.2.1 </w:t>
      </w:r>
      <w:r>
        <w:rPr>
          <w:rFonts w:ascii="宋体" w:hAnsi="宋体" w:eastAsia="宋体" w:cs="宋体"/>
          <w:color w:val="auto"/>
          <w:kern w:val="0"/>
          <w:szCs w:val="21"/>
          <w:highlight w:val="none"/>
        </w:rPr>
        <w:t>通知可以由专人送交，也可以通过EMS（邮政特快专递）等快递服务投递，还可以使用数据电文传送。同时通过两种或以上方式发送的通知，以最早的收到时间为接收方收到通知的日期。</w:t>
      </w:r>
    </w:p>
    <w:p w14:paraId="1D9624F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1.5.2.2 </w:t>
      </w:r>
      <w:r>
        <w:rPr>
          <w:rFonts w:ascii="宋体" w:hAnsi="宋体" w:eastAsia="宋体" w:cs="宋体"/>
          <w:color w:val="auto"/>
          <w:kern w:val="0"/>
          <w:szCs w:val="21"/>
          <w:highlight w:val="none"/>
        </w:rPr>
        <w:t>由专人送交时，接收方应当即填写通知接收确认书，并交给送交人带回给通知发出方。确认书需要包括所接收通知内容的基本描述和接收日期等事项。确认书中的接收日期即为接收方收到通知的日期。</w:t>
      </w:r>
    </w:p>
    <w:p w14:paraId="0A9879C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1.5.2.3 </w:t>
      </w:r>
      <w:r>
        <w:rPr>
          <w:rFonts w:ascii="宋体" w:hAnsi="宋体" w:eastAsia="宋体" w:cs="宋体"/>
          <w:color w:val="auto"/>
          <w:kern w:val="0"/>
          <w:szCs w:val="21"/>
          <w:highlight w:val="none"/>
        </w:rPr>
        <w:t>通过EMS等快递服务投递时，接收方签收快递之日即为其收到通知的日期。</w:t>
      </w:r>
    </w:p>
    <w:p w14:paraId="4EE5ABB0">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接收人如果发现邮件内容和回执上的文书名称不一致，应当在收到邮件的三个工作日内将该邮件退回给通知的发出方，并以书面通知的形式告知通知发出方退回的理由。</w:t>
      </w:r>
    </w:p>
    <w:p w14:paraId="3DF34A6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接收人无正当理由拖延签收或拒绝签收的，邮件退回之日视为接收人收到通知的日期。</w:t>
      </w:r>
    </w:p>
    <w:p w14:paraId="75D11C8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1.5.2.4 </w:t>
      </w:r>
      <w:r>
        <w:rPr>
          <w:rFonts w:ascii="宋体" w:hAnsi="宋体" w:eastAsia="宋体" w:cs="宋体"/>
          <w:color w:val="auto"/>
          <w:kern w:val="0"/>
          <w:szCs w:val="21"/>
          <w:highlight w:val="none"/>
        </w:rPr>
        <w:t>通过数据电文方式发送的, 以该数据电文进入接收方指定的特定系统的时间为其收到通知的日期；接收方未指定特定系统的，以该数据电文进入接收方的任何系统的首次时间为其收到通知的日期。</w:t>
      </w:r>
    </w:p>
    <w:p w14:paraId="587EBED6">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1.5.4 对于所有的通知，买卖双方均应在3个工作日内予以正式回复。其他合同条款或具体通知对回复时限另有规定的从其规定。</w:t>
      </w:r>
    </w:p>
    <w:p w14:paraId="7FD4FBEA">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1.5.5 如遇有重大问题需要双方立即研究协商时，任何一方均可建议召开会议，一般情况下，另一方应同意参加。</w:t>
      </w:r>
    </w:p>
    <w:p w14:paraId="06BD880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1.5.6 对每次会议及联络，双方均应签署会议纪要或联络纪要，所签纪要文件与合同具有同等效力，双方均应遵照执行。如涉及合同变更，需经双方协商一致，并按“合同变更”条款的约定办理。</w:t>
      </w:r>
    </w:p>
    <w:p w14:paraId="2AE8DFAF">
      <w:pPr>
        <w:topLinePunct/>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1.5.7 卖方应在南方电网供应链统一服务平台（www.bidding.csg.cn）准确、及时填报排产计划、技术资料、生产进度及其它相关履约过程信息。</w:t>
      </w:r>
    </w:p>
    <w:p w14:paraId="30CAA679">
      <w:pPr>
        <w:topLinePunct/>
        <w:adjustRightInd w:val="0"/>
        <w:snapToGrid w:val="0"/>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1.5.8在具备系统互联互通基础上，卖方应将生产订单、生产状态、智能监造、产能分析等业务数据按照统一的接入标准和接口规范对接南方电网供应链统一服务平台（www.bidding.csg.cn）。</w:t>
      </w:r>
    </w:p>
    <w:p w14:paraId="29CCF850">
      <w:pPr>
        <w:topLinePunct/>
        <w:adjustRightInd w:val="0"/>
        <w:snapToGrid w:val="0"/>
        <w:spacing w:line="360" w:lineRule="auto"/>
        <w:jc w:val="left"/>
        <w:outlineLvl w:val="2"/>
        <w:rPr>
          <w:rFonts w:hint="eastAsia" w:ascii="宋体" w:hAnsi="宋体" w:eastAsia="宋体" w:cs="宋体"/>
          <w:color w:val="auto"/>
          <w:kern w:val="0"/>
          <w:szCs w:val="21"/>
          <w:highlight w:val="none"/>
        </w:rPr>
      </w:pPr>
      <w:r>
        <w:rPr>
          <w:rFonts w:hint="eastAsia" w:ascii="宋体" w:hAnsi="宋体" w:eastAsia="宋体" w:cs="黑体"/>
          <w:b/>
          <w:bCs/>
          <w:color w:val="auto"/>
          <w:kern w:val="0"/>
          <w:sz w:val="21"/>
          <w:szCs w:val="28"/>
          <w:highlight w:val="none"/>
          <w:lang w:val="en-US" w:eastAsia="zh-CN" w:bidi="ar-SA"/>
        </w:rPr>
        <w:t>1.6 联合体</w:t>
      </w:r>
    </w:p>
    <w:p w14:paraId="24582043">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1.6.4 联合体各方均为中小企业的，联合体视同中小企业。</w:t>
      </w:r>
    </w:p>
    <w:p w14:paraId="69D8D1EE">
      <w:pPr>
        <w:pStyle w:val="5"/>
        <w:spacing w:before="0" w:after="0" w:line="360" w:lineRule="auto"/>
        <w:rPr>
          <w:rFonts w:hint="eastAsia" w:ascii="宋体" w:hAnsi="宋体" w:eastAsia="宋体" w:cs="黑体"/>
          <w:color w:val="auto"/>
          <w:kern w:val="0"/>
          <w:sz w:val="21"/>
          <w:szCs w:val="28"/>
          <w:highlight w:val="none"/>
          <w:lang w:val="en-US" w:eastAsia="zh-CN"/>
        </w:rPr>
      </w:pPr>
      <w:bookmarkStart w:id="176" w:name="_Toc57494705"/>
      <w:bookmarkStart w:id="177" w:name="_Toc14916"/>
      <w:bookmarkStart w:id="178" w:name="_Toc29459"/>
      <w:r>
        <w:rPr>
          <w:rFonts w:ascii="宋体" w:hAnsi="宋体" w:eastAsia="宋体" w:cs="黑体"/>
          <w:color w:val="auto"/>
          <w:kern w:val="0"/>
          <w:sz w:val="21"/>
          <w:szCs w:val="28"/>
          <w:highlight w:val="none"/>
        </w:rPr>
        <w:t xml:space="preserve">1.7 </w:t>
      </w:r>
      <w:r>
        <w:rPr>
          <w:rFonts w:hint="eastAsia" w:ascii="宋体" w:hAnsi="宋体" w:eastAsia="宋体" w:cs="黑体"/>
          <w:color w:val="auto"/>
          <w:kern w:val="0"/>
          <w:sz w:val="21"/>
          <w:szCs w:val="28"/>
          <w:highlight w:val="none"/>
        </w:rPr>
        <w:t>转让</w:t>
      </w:r>
      <w:bookmarkEnd w:id="176"/>
      <w:r>
        <w:rPr>
          <w:rFonts w:hint="eastAsia" w:ascii="宋体" w:hAnsi="宋体" w:eastAsia="宋体" w:cs="黑体"/>
          <w:color w:val="auto"/>
          <w:kern w:val="0"/>
          <w:sz w:val="21"/>
          <w:szCs w:val="28"/>
          <w:highlight w:val="none"/>
          <w:lang w:val="en-US" w:eastAsia="zh-CN"/>
        </w:rPr>
        <w:t>及分包</w:t>
      </w:r>
      <w:bookmarkEnd w:id="177"/>
      <w:bookmarkEnd w:id="178"/>
    </w:p>
    <w:p w14:paraId="3FDB3E50">
      <w:pPr>
        <w:pStyle w:val="16"/>
        <w:topLinePunct/>
        <w:snapToGrid w:val="0"/>
        <w:spacing w:line="360" w:lineRule="auto"/>
        <w:ind w:firstLine="420" w:firstLineChars="200"/>
        <w:rPr>
          <w:rFonts w:ascii="宋体" w:hAnsi="宋体" w:eastAsia="宋体" w:cs="宋体"/>
          <w:color w:val="auto"/>
          <w:sz w:val="21"/>
          <w:szCs w:val="21"/>
          <w:highlight w:val="none"/>
        </w:rPr>
      </w:pPr>
      <w:bookmarkStart w:id="179" w:name="_Hlk28545107"/>
      <w:r>
        <w:rPr>
          <w:rFonts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rPr>
        <w:t>卖方只能对项目的非主体设备进行分包，其他工作不得分包。卖方不得向他人转让中标项目，接受分包的人不得再次分包。</w:t>
      </w:r>
    </w:p>
    <w:p w14:paraId="63BC8C65">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w:t>
      </w:r>
      <w:r>
        <w:rPr>
          <w:rFonts w:ascii="宋体" w:hAnsi="宋体" w:eastAsia="宋体" w:cs="宋体"/>
          <w:color w:val="auto"/>
          <w:sz w:val="21"/>
          <w:szCs w:val="21"/>
          <w:highlight w:val="none"/>
        </w:rPr>
        <w:t>卖方投标文件明确合同设备的主要原材料及部件存在两家以上供应商的，卖方应在</w:t>
      </w:r>
      <w:r>
        <w:rPr>
          <w:rFonts w:hint="eastAsia" w:ascii="宋体" w:hAnsi="宋体" w:eastAsia="宋体" w:cs="宋体"/>
          <w:color w:val="auto"/>
          <w:sz w:val="21"/>
          <w:szCs w:val="21"/>
          <w:highlight w:val="none"/>
        </w:rPr>
        <w:t>设备</w:t>
      </w:r>
      <w:r>
        <w:rPr>
          <w:rFonts w:ascii="宋体" w:hAnsi="宋体" w:eastAsia="宋体" w:cs="宋体"/>
          <w:color w:val="auto"/>
          <w:sz w:val="21"/>
          <w:szCs w:val="21"/>
          <w:highlight w:val="none"/>
        </w:rPr>
        <w:t>生产前将供应商名单提交买方确认。未经买方确认，卖方不得开展后续工作。</w:t>
      </w:r>
    </w:p>
    <w:p w14:paraId="58091CE2">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1.7.3 卖方负责的合同设备的部分材料、元器件等由第三方提供的，应按投标文件中列明第三方及其提供配套产品的规格型号。未经买方同意，卖方不得擅自变更投标文件列明的涉及的第三方所有承诺。 </w:t>
      </w:r>
    </w:p>
    <w:p w14:paraId="02247A2A">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1.7.4 未经买方同意，卖方不得租用他人设备、人员进行生产制造。确需租用的，应事先将拟选择的租用情况提交买方，并取得买方同意。 </w:t>
      </w:r>
    </w:p>
    <w:bookmarkEnd w:id="179"/>
    <w:p w14:paraId="279A2506">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1.7.5 卖方应对所有分包或租用的相关事项承担本合同项下的全部责任</w:t>
      </w:r>
      <w:r>
        <w:rPr>
          <w:rFonts w:hint="eastAsia" w:ascii="宋体" w:hAnsi="宋体" w:eastAsia="宋体" w:cs="宋体"/>
          <w:color w:val="auto"/>
          <w:sz w:val="21"/>
          <w:szCs w:val="21"/>
          <w:highlight w:val="none"/>
        </w:rPr>
        <w:t>，接受分包的人就分包项目承担连带责任</w:t>
      </w:r>
      <w:r>
        <w:rPr>
          <w:rFonts w:ascii="宋体" w:hAnsi="宋体" w:eastAsia="宋体" w:cs="宋体"/>
          <w:color w:val="auto"/>
          <w:sz w:val="21"/>
          <w:szCs w:val="21"/>
          <w:highlight w:val="none"/>
        </w:rPr>
        <w:t>。买方对分包商或租用情况的确认与否并不减轻或免除卖方根据本合同所应承担的任何责任。</w:t>
      </w:r>
    </w:p>
    <w:p w14:paraId="5D85B6F9">
      <w:pPr>
        <w:pStyle w:val="4"/>
        <w:spacing w:before="0" w:after="0" w:line="360" w:lineRule="auto"/>
        <w:rPr>
          <w:rFonts w:ascii="宋体" w:hAnsi="宋体" w:eastAsia="宋体" w:cs="Times New Roman"/>
          <w:color w:val="auto"/>
          <w:kern w:val="0"/>
          <w:sz w:val="21"/>
          <w:szCs w:val="21"/>
          <w:highlight w:val="none"/>
        </w:rPr>
      </w:pPr>
      <w:bookmarkStart w:id="180" w:name="_Toc28418"/>
      <w:bookmarkStart w:id="181" w:name="_Toc57494706"/>
      <w:bookmarkStart w:id="182" w:name="_Toc12527"/>
      <w:r>
        <w:rPr>
          <w:rFonts w:ascii="宋体" w:hAnsi="宋体" w:eastAsia="宋体" w:cs="Times New Roman"/>
          <w:color w:val="auto"/>
          <w:kern w:val="0"/>
          <w:sz w:val="21"/>
          <w:szCs w:val="21"/>
          <w:highlight w:val="none"/>
        </w:rPr>
        <w:t xml:space="preserve">2. </w:t>
      </w:r>
      <w:r>
        <w:rPr>
          <w:rFonts w:hint="eastAsia" w:ascii="宋体" w:hAnsi="宋体" w:eastAsia="宋体" w:cs="Times New Roman"/>
          <w:color w:val="auto"/>
          <w:kern w:val="0"/>
          <w:sz w:val="21"/>
          <w:szCs w:val="21"/>
          <w:highlight w:val="none"/>
        </w:rPr>
        <w:t>合同范围</w:t>
      </w:r>
      <w:bookmarkEnd w:id="180"/>
      <w:bookmarkEnd w:id="181"/>
      <w:bookmarkEnd w:id="182"/>
    </w:p>
    <w:p w14:paraId="5ACD8B18">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其中，合同设备应同时满足以下要求：</w:t>
      </w:r>
    </w:p>
    <w:p w14:paraId="013AA472">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2.1 卖方交付的合同</w:t>
      </w:r>
      <w:r>
        <w:rPr>
          <w:rFonts w:hint="eastAsia" w:ascii="宋体" w:hAnsi="宋体" w:eastAsia="宋体" w:cs="宋体"/>
          <w:color w:val="auto"/>
          <w:sz w:val="21"/>
          <w:szCs w:val="21"/>
          <w:highlight w:val="none"/>
        </w:rPr>
        <w:t>设备</w:t>
      </w:r>
      <w:r>
        <w:rPr>
          <w:rFonts w:ascii="宋体" w:hAnsi="宋体" w:eastAsia="宋体" w:cs="宋体"/>
          <w:color w:val="auto"/>
          <w:sz w:val="21"/>
          <w:szCs w:val="21"/>
          <w:highlight w:val="none"/>
        </w:rPr>
        <w:t>的名称、规格(型号)、数量等基本要求详见附件1《供货一览表》；技术规范、技术经济指标和性能等技术要求详见附件4《技术协议》。</w:t>
      </w:r>
    </w:p>
    <w:p w14:paraId="0122F285">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2.2 卖方保证其供应的合同</w:t>
      </w:r>
      <w:r>
        <w:rPr>
          <w:rFonts w:hint="eastAsia" w:ascii="宋体" w:hAnsi="宋体" w:eastAsia="宋体" w:cs="宋体"/>
          <w:color w:val="auto"/>
          <w:sz w:val="21"/>
          <w:szCs w:val="21"/>
          <w:highlight w:val="none"/>
        </w:rPr>
        <w:t>设备</w:t>
      </w:r>
      <w:r>
        <w:rPr>
          <w:rFonts w:ascii="宋体" w:hAnsi="宋体" w:eastAsia="宋体" w:cs="宋体"/>
          <w:color w:val="auto"/>
          <w:sz w:val="21"/>
          <w:szCs w:val="21"/>
          <w:highlight w:val="none"/>
        </w:rPr>
        <w:t>是安全的、技术水平先进的、成熟的、质量优良的，合同设备的选型符合安全可靠、安全运行和易于维护的要求。</w:t>
      </w:r>
    </w:p>
    <w:p w14:paraId="336B32C7">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对于合同设备，卖方应采用有运行经验证明正确的、成熟的技术和材料；若采用卖方过去未采用过的新技术、新材料，应经买方事先同意。买方的同意并不减轻或免除卖方根据本合同所应承担的责任。</w:t>
      </w:r>
    </w:p>
    <w:p w14:paraId="73306191">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2.3 </w:t>
      </w:r>
      <w:r>
        <w:rPr>
          <w:rFonts w:hint="eastAsia" w:ascii="宋体" w:hAnsi="宋体" w:eastAsia="宋体" w:cs="宋体"/>
          <w:color w:val="auto"/>
          <w:sz w:val="21"/>
          <w:szCs w:val="21"/>
          <w:highlight w:val="none"/>
        </w:rPr>
        <w:t>卖方必须保证同型号装置的配置完全一致，必须保证同型号装置配置的各种插件完全通用。</w:t>
      </w:r>
    </w:p>
    <w:p w14:paraId="2A186C32">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卖方必须保证备品备件应可替换合同设备的原部件，其制作材料和质量与原部件相同。</w:t>
      </w:r>
      <w:r>
        <w:rPr>
          <w:rFonts w:ascii="宋体" w:hAnsi="宋体" w:eastAsia="宋体" w:cs="宋体"/>
          <w:color w:val="auto"/>
          <w:sz w:val="21"/>
          <w:szCs w:val="21"/>
          <w:highlight w:val="none"/>
        </w:rPr>
        <w:t xml:space="preserve"> </w:t>
      </w:r>
    </w:p>
    <w:p w14:paraId="38911F29">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卖方提供的软件系统需对硬件具有广泛的适用性。</w:t>
      </w:r>
    </w:p>
    <w:p w14:paraId="6B6F174D">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2.4 如果在执行合同过程中有合同设备材料、技术资料、专用工具、备品备件和技术服务未在合同中约定或约定不清而发生任何漏项和短缺，而该遗漏或短缺部分确实是卖方供货范围中应该有的，并且是满足合同对合同设备的性能保证值要求所必须的，卖方均应负责及时将遗漏或短缺的部分补上，发生的费用由卖方承担。</w:t>
      </w:r>
    </w:p>
    <w:p w14:paraId="62E9A731">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2.5 卖方提供的</w:t>
      </w:r>
      <w:r>
        <w:rPr>
          <w:rFonts w:hint="eastAsia" w:ascii="宋体" w:hAnsi="宋体" w:eastAsia="宋体" w:cs="宋体"/>
          <w:color w:val="auto"/>
          <w:sz w:val="21"/>
          <w:szCs w:val="21"/>
          <w:highlight w:val="none"/>
        </w:rPr>
        <w:t>技术</w:t>
      </w:r>
      <w:r>
        <w:rPr>
          <w:rFonts w:ascii="宋体" w:hAnsi="宋体" w:eastAsia="宋体" w:cs="宋体"/>
          <w:color w:val="auto"/>
          <w:sz w:val="21"/>
          <w:szCs w:val="21"/>
          <w:highlight w:val="none"/>
        </w:rPr>
        <w:t>资料</w:t>
      </w:r>
      <w:r>
        <w:rPr>
          <w:rFonts w:hint="eastAsia" w:ascii="宋体" w:hAnsi="宋体" w:eastAsia="宋体" w:cs="宋体"/>
          <w:color w:val="auto"/>
          <w:sz w:val="21"/>
          <w:szCs w:val="21"/>
          <w:highlight w:val="none"/>
        </w:rPr>
        <w:t>包括但不限于</w:t>
      </w:r>
      <w:r>
        <w:rPr>
          <w:rFonts w:ascii="宋体" w:hAnsi="宋体" w:eastAsia="宋体" w:cs="宋体"/>
          <w:color w:val="auto"/>
          <w:sz w:val="21"/>
          <w:szCs w:val="21"/>
          <w:highlight w:val="none"/>
        </w:rPr>
        <w:t>原理图、安装图、产品说明书、合格证、出厂报告、配套检验软件光盘、装箱单、货运单及其他相应技术资料。</w:t>
      </w:r>
    </w:p>
    <w:p w14:paraId="50291270">
      <w:pPr>
        <w:pStyle w:val="16"/>
        <w:topLinePunct/>
        <w:snapToGrid w:val="0"/>
        <w:spacing w:line="360" w:lineRule="auto"/>
        <w:ind w:firstLine="420" w:firstLineChars="200"/>
        <w:rPr>
          <w:rFonts w:ascii="宋体" w:hAnsi="宋体" w:eastAsia="宋体"/>
          <w:color w:val="auto"/>
          <w:sz w:val="21"/>
          <w:szCs w:val="21"/>
          <w:highlight w:val="none"/>
        </w:rPr>
      </w:pPr>
      <w:bookmarkStart w:id="183" w:name="_Hlk511219475"/>
      <w:r>
        <w:rPr>
          <w:rFonts w:hint="eastAsia" w:ascii="宋体" w:hAnsi="宋体" w:eastAsia="宋体" w:cs="宋体"/>
          <w:color w:val="auto"/>
          <w:sz w:val="21"/>
          <w:szCs w:val="21"/>
          <w:highlight w:val="none"/>
        </w:rPr>
        <w:t>2</w:t>
      </w:r>
      <w:r>
        <w:rPr>
          <w:rFonts w:ascii="宋体" w:hAnsi="宋体" w:eastAsia="宋体" w:cs="宋体"/>
          <w:color w:val="auto"/>
          <w:sz w:val="21"/>
          <w:szCs w:val="21"/>
          <w:highlight w:val="none"/>
        </w:rPr>
        <w:t xml:space="preserve">.6 </w:t>
      </w:r>
      <w:r>
        <w:rPr>
          <w:rFonts w:hint="eastAsia" w:ascii="宋体" w:hAnsi="宋体" w:eastAsia="宋体"/>
          <w:color w:val="auto"/>
          <w:sz w:val="21"/>
          <w:szCs w:val="21"/>
          <w:highlight w:val="none"/>
        </w:rPr>
        <w:t>卖方应向买方提供合同设备的使用手册和图纸（纸质版和电子版），包含产品安装作业指导书（模板见附件</w:t>
      </w:r>
      <w:r>
        <w:rPr>
          <w:rFonts w:ascii="宋体" w:hAnsi="宋体" w:eastAsia="宋体"/>
          <w:color w:val="auto"/>
          <w:sz w:val="21"/>
          <w:szCs w:val="21"/>
          <w:highlight w:val="none"/>
        </w:rPr>
        <w:t>5</w:t>
      </w:r>
      <w:r>
        <w:rPr>
          <w:rFonts w:hint="eastAsia" w:ascii="宋体" w:hAnsi="宋体" w:eastAsia="宋体"/>
          <w:color w:val="auto"/>
          <w:sz w:val="21"/>
          <w:szCs w:val="21"/>
          <w:highlight w:val="none"/>
        </w:rPr>
        <w:t>）、运行维护指导书、检修试验指导书等。</w:t>
      </w:r>
    </w:p>
    <w:p w14:paraId="7AD67C7D">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卖方应按照买方规定的维护检修模板和要求（以买方审核颁布的为准，若尚未审核颁布则按照买方提供的模板提供），以图文并茂的形式（具体检修的部位、方法及要求需附图说明）提供产品的维护检修手册（</w:t>
      </w:r>
      <w:r>
        <w:rPr>
          <w:rFonts w:ascii="宋体" w:hAnsi="宋体" w:eastAsia="宋体"/>
          <w:color w:val="auto"/>
          <w:sz w:val="21"/>
          <w:szCs w:val="21"/>
          <w:highlight w:val="none"/>
        </w:rPr>
        <w:t>模板见附件6</w:t>
      </w:r>
      <w:r>
        <w:rPr>
          <w:rFonts w:hint="eastAsia" w:ascii="宋体" w:hAnsi="宋体" w:eastAsia="宋体"/>
          <w:color w:val="auto"/>
          <w:sz w:val="21"/>
          <w:szCs w:val="21"/>
          <w:highlight w:val="none"/>
        </w:rPr>
        <w:t>），明确对设备运行维护、检修中的要求、标准及措施的建议。</w:t>
      </w:r>
    </w:p>
    <w:bookmarkEnd w:id="183"/>
    <w:p w14:paraId="19DF0686">
      <w:pPr>
        <w:pStyle w:val="4"/>
        <w:spacing w:before="0" w:after="0" w:line="360" w:lineRule="auto"/>
        <w:rPr>
          <w:rFonts w:ascii="宋体" w:hAnsi="宋体" w:eastAsia="宋体" w:cs="Times New Roman"/>
          <w:color w:val="auto"/>
          <w:kern w:val="0"/>
          <w:sz w:val="21"/>
          <w:szCs w:val="21"/>
          <w:highlight w:val="none"/>
        </w:rPr>
      </w:pPr>
      <w:bookmarkStart w:id="184" w:name="_Toc57494707"/>
      <w:bookmarkStart w:id="185" w:name="_Toc12316"/>
      <w:bookmarkStart w:id="186" w:name="_Toc21708"/>
      <w:bookmarkStart w:id="187" w:name="_Hlk510016985"/>
      <w:r>
        <w:rPr>
          <w:rFonts w:ascii="宋体" w:hAnsi="宋体" w:eastAsia="宋体" w:cs="Times New Roman"/>
          <w:color w:val="auto"/>
          <w:kern w:val="0"/>
          <w:sz w:val="21"/>
          <w:szCs w:val="21"/>
          <w:highlight w:val="none"/>
        </w:rPr>
        <w:t xml:space="preserve">3. </w:t>
      </w:r>
      <w:r>
        <w:rPr>
          <w:rFonts w:hint="eastAsia" w:ascii="宋体" w:hAnsi="宋体" w:eastAsia="宋体" w:cs="Times New Roman"/>
          <w:color w:val="auto"/>
          <w:kern w:val="0"/>
          <w:sz w:val="21"/>
          <w:szCs w:val="21"/>
          <w:highlight w:val="none"/>
        </w:rPr>
        <w:t>合同价格与支付</w:t>
      </w:r>
      <w:bookmarkEnd w:id="184"/>
      <w:bookmarkEnd w:id="185"/>
      <w:bookmarkEnd w:id="186"/>
    </w:p>
    <w:bookmarkEnd w:id="187"/>
    <w:p w14:paraId="023264C6">
      <w:pPr>
        <w:pStyle w:val="5"/>
        <w:spacing w:before="0" w:after="0" w:line="360" w:lineRule="auto"/>
        <w:rPr>
          <w:rFonts w:ascii="宋体" w:hAnsi="宋体" w:eastAsia="宋体" w:cs="黑体"/>
          <w:color w:val="auto"/>
          <w:kern w:val="0"/>
          <w:sz w:val="21"/>
          <w:szCs w:val="28"/>
          <w:highlight w:val="none"/>
        </w:rPr>
      </w:pPr>
      <w:bookmarkStart w:id="188" w:name="_Toc9976"/>
      <w:bookmarkStart w:id="189" w:name="_Toc57494708"/>
      <w:bookmarkStart w:id="190" w:name="_Toc18919"/>
      <w:bookmarkStart w:id="191" w:name="_Hlk511401805"/>
      <w:r>
        <w:rPr>
          <w:rFonts w:ascii="宋体" w:hAnsi="宋体" w:eastAsia="宋体" w:cs="黑体"/>
          <w:color w:val="auto"/>
          <w:kern w:val="0"/>
          <w:sz w:val="21"/>
          <w:szCs w:val="28"/>
          <w:highlight w:val="none"/>
        </w:rPr>
        <w:t xml:space="preserve">3.1 </w:t>
      </w:r>
      <w:r>
        <w:rPr>
          <w:rFonts w:hint="eastAsia" w:ascii="宋体" w:hAnsi="宋体" w:eastAsia="宋体" w:cs="黑体"/>
          <w:color w:val="auto"/>
          <w:kern w:val="0"/>
          <w:sz w:val="21"/>
          <w:szCs w:val="28"/>
          <w:highlight w:val="none"/>
        </w:rPr>
        <w:t>合同价格</w:t>
      </w:r>
      <w:bookmarkEnd w:id="188"/>
      <w:bookmarkEnd w:id="189"/>
      <w:bookmarkEnd w:id="190"/>
    </w:p>
    <w:bookmarkEnd w:id="191"/>
    <w:p w14:paraId="706914B9">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3.1.1 合同协议书中载明的签约合同价</w:t>
      </w:r>
      <w:r>
        <w:rPr>
          <w:rFonts w:hint="eastAsia" w:ascii="宋体" w:hAnsi="宋体" w:eastAsia="宋体"/>
          <w:color w:val="auto"/>
          <w:sz w:val="21"/>
          <w:szCs w:val="21"/>
          <w:highlight w:val="none"/>
        </w:rPr>
        <w:t>格</w:t>
      </w:r>
      <w:r>
        <w:rPr>
          <w:rFonts w:ascii="宋体" w:hAnsi="宋体" w:eastAsia="宋体"/>
          <w:color w:val="auto"/>
          <w:sz w:val="21"/>
          <w:szCs w:val="21"/>
          <w:highlight w:val="none"/>
        </w:rPr>
        <w:t>包含卖方将合同设备运抵设备地点并履行完其他合同义务所需的全部成本、费用、</w:t>
      </w:r>
      <w:r>
        <w:rPr>
          <w:rFonts w:hint="eastAsia" w:ascii="宋体" w:hAnsi="宋体" w:eastAsia="宋体"/>
          <w:color w:val="auto"/>
          <w:sz w:val="21"/>
          <w:szCs w:val="21"/>
          <w:highlight w:val="none"/>
        </w:rPr>
        <w:t>支出</w:t>
      </w:r>
      <w:r>
        <w:rPr>
          <w:rFonts w:ascii="宋体" w:hAnsi="宋体" w:eastAsia="宋体"/>
          <w:color w:val="auto"/>
          <w:sz w:val="21"/>
          <w:szCs w:val="21"/>
          <w:highlight w:val="none"/>
        </w:rPr>
        <w:t>，包括但不限于设备价款、</w:t>
      </w:r>
      <w:r>
        <w:rPr>
          <w:rFonts w:hint="eastAsia" w:ascii="宋体" w:hAnsi="宋体" w:eastAsia="宋体"/>
          <w:color w:val="auto"/>
          <w:sz w:val="21"/>
          <w:szCs w:val="21"/>
          <w:highlight w:val="none"/>
        </w:rPr>
        <w:t>知识产权费用、</w:t>
      </w:r>
      <w:r>
        <w:rPr>
          <w:rFonts w:ascii="宋体" w:hAnsi="宋体" w:eastAsia="宋体"/>
          <w:color w:val="auto"/>
          <w:sz w:val="21"/>
          <w:szCs w:val="21"/>
          <w:highlight w:val="none"/>
        </w:rPr>
        <w:t>运输费、保险费、包装费；卖方提供保护措施、质保期内的技术服务、技术资料的费用；与分包商、原材料或部件供应商相关的各项费用。</w:t>
      </w:r>
    </w:p>
    <w:p w14:paraId="131A58F7">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3.1.3 与执行本合同有关的由中国政府根据现行法律向买方征收的全部税费应由买方承担。与执行合同有关的由中国政府根据现行法律向卖方征收的全部税费，以及与执行合同有关的出自中国以外的全部税费由卖方承担。</w:t>
      </w:r>
    </w:p>
    <w:p w14:paraId="40AB4AFD">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3.1.4 遇中国政府调整增值税税率时，尚未完成结算及纳税义务的跨期合同，未完成结算部分的合同价款按以下公式重新确定：未结算部分调整后的含税价格=未结算部分的不含税价格×（1＋中国政府调整后的税率）；未结算部分的不含税价格=未结算部分调整前的含税价格÷（1+卖方投标时明确的增值税税率）</w:t>
      </w:r>
      <w:r>
        <w:rPr>
          <w:rFonts w:hint="eastAsia" w:ascii="宋体" w:hAnsi="宋体" w:eastAsia="宋体"/>
          <w:color w:val="auto"/>
          <w:sz w:val="21"/>
          <w:szCs w:val="21"/>
          <w:highlight w:val="none"/>
        </w:rPr>
        <w:t>。</w:t>
      </w:r>
    </w:p>
    <w:p w14:paraId="79F7850C">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上述计算公式中，（</w:t>
      </w:r>
      <w:r>
        <w:rPr>
          <w:rFonts w:ascii="宋体" w:hAnsi="宋体" w:eastAsia="宋体"/>
          <w:color w:val="auto"/>
          <w:sz w:val="21"/>
          <w:szCs w:val="21"/>
          <w:highlight w:val="none"/>
        </w:rPr>
        <w:t>1）“未结算部分调整前的含税价格”为首次签订主合同时的含税价格；（2）若卖方在投标时没有明确增值税税率的，则“卖方投标时明确的增值税税率”以投标文件提交时中国政府正在实行的税率为准。</w:t>
      </w:r>
    </w:p>
    <w:p w14:paraId="01306337">
      <w:pPr>
        <w:pStyle w:val="5"/>
        <w:spacing w:before="0" w:after="0" w:line="360" w:lineRule="auto"/>
        <w:rPr>
          <w:rFonts w:ascii="宋体" w:hAnsi="宋体" w:eastAsia="宋体" w:cs="黑体"/>
          <w:color w:val="auto"/>
          <w:kern w:val="0"/>
          <w:sz w:val="21"/>
          <w:szCs w:val="28"/>
          <w:highlight w:val="none"/>
        </w:rPr>
      </w:pPr>
      <w:bookmarkStart w:id="192" w:name="_Toc57494709"/>
      <w:bookmarkStart w:id="193" w:name="_Toc19305"/>
      <w:bookmarkStart w:id="194" w:name="_Toc12187"/>
      <w:bookmarkStart w:id="195" w:name="_Hlk510017016"/>
      <w:r>
        <w:rPr>
          <w:rFonts w:ascii="宋体" w:hAnsi="宋体" w:eastAsia="宋体" w:cs="黑体"/>
          <w:color w:val="auto"/>
          <w:kern w:val="0"/>
          <w:sz w:val="21"/>
          <w:szCs w:val="28"/>
          <w:highlight w:val="none"/>
        </w:rPr>
        <w:t xml:space="preserve">3.2 </w:t>
      </w:r>
      <w:r>
        <w:rPr>
          <w:rFonts w:hint="eastAsia" w:ascii="宋体" w:hAnsi="宋体" w:eastAsia="宋体" w:cs="黑体"/>
          <w:color w:val="auto"/>
          <w:kern w:val="0"/>
          <w:sz w:val="21"/>
          <w:szCs w:val="28"/>
          <w:highlight w:val="none"/>
        </w:rPr>
        <w:t>合同价款的支付</w:t>
      </w:r>
      <w:bookmarkEnd w:id="192"/>
      <w:bookmarkEnd w:id="193"/>
      <w:bookmarkEnd w:id="194"/>
    </w:p>
    <w:bookmarkEnd w:id="195"/>
    <w:p w14:paraId="311E580E">
      <w:pPr>
        <w:pStyle w:val="16"/>
        <w:topLinePunct/>
        <w:snapToGrid w:val="0"/>
        <w:spacing w:line="360" w:lineRule="auto"/>
        <w:ind w:firstLine="420" w:firstLineChars="200"/>
        <w:rPr>
          <w:rFonts w:ascii="宋体" w:hAnsi="宋体" w:eastAsia="宋体" w:cs="宋体"/>
          <w:color w:val="auto"/>
          <w:sz w:val="21"/>
          <w:szCs w:val="21"/>
          <w:highlight w:val="none"/>
        </w:rPr>
      </w:pPr>
      <w:bookmarkStart w:id="196" w:name="_Hlk25139876"/>
      <w:r>
        <w:rPr>
          <w:rFonts w:ascii="宋体" w:hAnsi="宋体" w:eastAsia="宋体" w:cs="宋体"/>
          <w:color w:val="auto"/>
          <w:sz w:val="21"/>
          <w:szCs w:val="21"/>
          <w:highlight w:val="none"/>
        </w:rPr>
        <w:t>3.2.1 合同价款分预付款、入卖方成品库款、交货款和结清款四次支付。</w:t>
      </w:r>
    </w:p>
    <w:p w14:paraId="47E27E48">
      <w:pPr>
        <w:pStyle w:val="16"/>
        <w:topLinePunct/>
        <w:snapToGrid w:val="0"/>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ascii="宋体" w:hAnsi="宋体" w:eastAsia="宋体" w:cs="宋体"/>
          <w:color w:val="auto"/>
          <w:sz w:val="21"/>
          <w:szCs w:val="21"/>
          <w:highlight w:val="none"/>
        </w:rPr>
        <w:t>如果合同金额小于或等于50万元，则支付比例为0：0：10：0；如果合同金额大于50万，但不大于100万，则支付比例为0:0:</w:t>
      </w:r>
      <w:r>
        <w:rPr>
          <w:rFonts w:hint="eastAsia" w:ascii="宋体" w:hAnsi="宋体" w:eastAsia="宋体" w:cs="宋体"/>
          <w:color w:val="auto"/>
          <w:sz w:val="21"/>
          <w:szCs w:val="21"/>
          <w:highlight w:val="none"/>
          <w:lang w:val="en-US" w:eastAsia="zh-CN"/>
        </w:rPr>
        <w:t>9.5</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0.5</w:t>
      </w:r>
      <w:r>
        <w:rPr>
          <w:rFonts w:ascii="宋体" w:hAnsi="宋体" w:eastAsia="宋体" w:cs="宋体"/>
          <w:color w:val="auto"/>
          <w:sz w:val="21"/>
          <w:szCs w:val="21"/>
          <w:highlight w:val="none"/>
        </w:rPr>
        <w:t>；其他情况的支付比例详见专用合同条款的专用部分。</w:t>
      </w:r>
      <w:r>
        <w:rPr>
          <w:rFonts w:hint="eastAsia" w:ascii="宋体" w:hAnsi="宋体" w:eastAsia="宋体" w:cs="宋体"/>
          <w:color w:val="auto"/>
          <w:sz w:val="21"/>
          <w:szCs w:val="21"/>
          <w:highlight w:val="none"/>
        </w:rPr>
        <w:t>遇</w:t>
      </w:r>
      <w:r>
        <w:rPr>
          <w:rFonts w:hint="eastAsia" w:ascii="宋体" w:hAnsi="宋体" w:eastAsia="宋体" w:cs="宋体"/>
          <w:color w:val="auto"/>
          <w:sz w:val="21"/>
          <w:szCs w:val="21"/>
          <w:highlight w:val="none"/>
          <w:lang w:val="en-US" w:eastAsia="zh-CN"/>
        </w:rPr>
        <w:t>国家政策</w:t>
      </w:r>
      <w:r>
        <w:rPr>
          <w:rFonts w:hint="eastAsia" w:ascii="宋体" w:hAnsi="宋体" w:eastAsia="宋体" w:cs="宋体"/>
          <w:color w:val="auto"/>
          <w:sz w:val="21"/>
          <w:szCs w:val="21"/>
          <w:highlight w:val="none"/>
        </w:rPr>
        <w:t>调整</w:t>
      </w:r>
      <w:r>
        <w:rPr>
          <w:rFonts w:hint="eastAsia" w:ascii="宋体" w:hAnsi="宋体" w:eastAsia="宋体" w:cs="宋体"/>
          <w:color w:val="auto"/>
          <w:sz w:val="21"/>
          <w:szCs w:val="21"/>
          <w:highlight w:val="none"/>
          <w:lang w:val="en-US" w:eastAsia="zh-CN"/>
        </w:rPr>
        <w:t>有要求的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按最新要求执行。</w:t>
      </w:r>
    </w:p>
    <w:p w14:paraId="045AADEB">
      <w:pPr>
        <w:pStyle w:val="16"/>
        <w:topLinePunct/>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（2）按批次供货的设备，入卖方成品库款和交货款可由卖方选择按批次</w:t>
      </w:r>
      <w:r>
        <w:rPr>
          <w:rFonts w:hint="eastAsia" w:ascii="宋体" w:hAnsi="宋体" w:eastAsia="宋体" w:cs="宋体"/>
          <w:color w:val="auto"/>
          <w:sz w:val="21"/>
          <w:szCs w:val="21"/>
          <w:highlight w:val="none"/>
          <w:lang w:eastAsia="zh-CN"/>
        </w:rPr>
        <w:t>或按订单</w:t>
      </w:r>
      <w:r>
        <w:rPr>
          <w:rFonts w:hint="eastAsia" w:ascii="宋体" w:hAnsi="宋体" w:eastAsia="宋体" w:cs="宋体"/>
          <w:color w:val="auto"/>
          <w:sz w:val="21"/>
          <w:szCs w:val="21"/>
          <w:highlight w:val="none"/>
        </w:rPr>
        <w:t>支付。</w:t>
      </w:r>
    </w:p>
    <w:p w14:paraId="16F4FA29">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3.2.1.1 </w:t>
      </w:r>
      <w:r>
        <w:rPr>
          <w:rFonts w:hint="eastAsia" w:ascii="宋体" w:hAnsi="宋体" w:eastAsia="宋体" w:cs="宋体"/>
          <w:color w:val="auto"/>
          <w:sz w:val="21"/>
          <w:szCs w:val="21"/>
          <w:highlight w:val="none"/>
        </w:rPr>
        <w:t>卖方申请付款</w:t>
      </w:r>
    </w:p>
    <w:p w14:paraId="5DA6B6F5">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3.2.1.1.1 合同价款的支付申请由卖方在</w:t>
      </w:r>
      <w:r>
        <w:rPr>
          <w:rFonts w:hint="eastAsia" w:ascii="宋体" w:hAnsi="宋体" w:eastAsia="宋体" w:cs="宋体"/>
          <w:color w:val="auto"/>
          <w:sz w:val="21"/>
          <w:szCs w:val="21"/>
          <w:highlight w:val="none"/>
        </w:rPr>
        <w:t>南方电网供应链统一服务平台（</w:t>
      </w:r>
      <w:r>
        <w:rPr>
          <w:rFonts w:ascii="宋体" w:hAnsi="宋体" w:eastAsia="宋体" w:cs="宋体"/>
          <w:color w:val="auto"/>
          <w:sz w:val="21"/>
          <w:szCs w:val="21"/>
          <w:highlight w:val="none"/>
        </w:rPr>
        <w:t>www.bidding.csg.cn）中发起申请。</w:t>
      </w:r>
    </w:p>
    <w:p w14:paraId="63B1D25F">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3.2.1.1.2 卖方逾期送达发票的，买方将在下个付款周期予以支付。</w:t>
      </w:r>
    </w:p>
    <w:bookmarkEnd w:id="196"/>
    <w:p w14:paraId="12BD30B0">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3.2.1.2 预付款</w:t>
      </w:r>
    </w:p>
    <w:p w14:paraId="5DA89145">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合同生效后，卖方凭履约保证金/履约保证金保函/履约保证保险、预付款收据办理支付申请手续。买方在收到卖方完整的资料后</w:t>
      </w:r>
      <w:r>
        <w:rPr>
          <w:rFonts w:ascii="宋体" w:hAnsi="宋体" w:eastAsia="宋体" w:cs="宋体"/>
          <w:color w:val="auto"/>
          <w:sz w:val="21"/>
          <w:szCs w:val="21"/>
          <w:highlight w:val="none"/>
        </w:rPr>
        <w:t>60天内（境外支付的，延长30个工作日）支付预付款。合同预付款为零的，不办理相关手续。</w:t>
      </w:r>
    </w:p>
    <w:p w14:paraId="71338330">
      <w:pPr>
        <w:pStyle w:val="16"/>
        <w:topLinePunct/>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卖方未提交支付申请或申请资料不全的，</w:t>
      </w:r>
      <w:r>
        <w:rPr>
          <w:rFonts w:hint="eastAsia" w:ascii="宋体" w:hAnsi="宋体" w:eastAsia="宋体" w:cs="宋体"/>
          <w:color w:val="auto"/>
          <w:sz w:val="21"/>
          <w:szCs w:val="21"/>
          <w:highlight w:val="none"/>
          <w:lang w:val="en-US" w:eastAsia="zh-CN"/>
        </w:rPr>
        <w:t>视为放弃预付款，</w:t>
      </w:r>
      <w:r>
        <w:rPr>
          <w:rFonts w:hint="eastAsia" w:ascii="宋体" w:hAnsi="宋体" w:eastAsia="宋体" w:cs="宋体"/>
          <w:color w:val="auto"/>
          <w:sz w:val="21"/>
          <w:szCs w:val="21"/>
          <w:highlight w:val="none"/>
        </w:rPr>
        <w:t>不予办理支付手续，买方可将该款项在支付交货款时向卖方一并支付。</w:t>
      </w:r>
    </w:p>
    <w:p w14:paraId="7A84E06C">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3.2.1.2.1 卖方企业规模为中小企业的，合同预付款不为零的，预付款支付比例适当提高，详见专用合同条款的专用部分。</w:t>
      </w:r>
    </w:p>
    <w:p w14:paraId="2C9BD8EE">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3.2.1.3 入卖方成品库款</w:t>
      </w:r>
    </w:p>
    <w:p w14:paraId="020A8FD5">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当合同设备涉及单个项目时：全部合同设备生产完毕进入卖方成品库并经买方确认后，卖方凭出厂承诺书（格式见附件</w:t>
      </w:r>
      <w:r>
        <w:rPr>
          <w:rFonts w:ascii="宋体" w:hAnsi="宋体" w:eastAsia="宋体" w:cs="宋体"/>
          <w:color w:val="auto"/>
          <w:sz w:val="21"/>
          <w:szCs w:val="21"/>
          <w:highlight w:val="none"/>
        </w:rPr>
        <w:t>7）、监造报告（没有监造报告的需提交出厂验收报告）和入卖方成品库款财务收据办理入卖方成品库款支付申请手续。买方在收到卖方完整的资料后60天内（境外支付的，延长30个工作日）支付入卖方成品库款。</w:t>
      </w:r>
    </w:p>
    <w:p w14:paraId="1A575F07">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当合同设备涉及多个项目时：合同中某些项目的设备生产完毕进入卖方成品库并经买方确认后，卖方凭出厂承诺书（格式见附件</w:t>
      </w:r>
      <w:r>
        <w:rPr>
          <w:rFonts w:ascii="宋体" w:hAnsi="宋体" w:eastAsia="宋体" w:cs="宋体"/>
          <w:color w:val="auto"/>
          <w:sz w:val="21"/>
          <w:szCs w:val="21"/>
          <w:highlight w:val="none"/>
        </w:rPr>
        <w:t>7）、监造报告（没有监造报告的需提交出厂验收报告）和此比例合同价格的入卖方成品库款财务收据办理入卖方成品库款支付申请手续。买方在收到卖方完整的资料后60天内（境外支付的，延长30个工作日）支付入卖方成品库款。</w:t>
      </w:r>
    </w:p>
    <w:p w14:paraId="41A6D38B">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卖方未提交支付申请或申请资料不全的，不予办理支付手续，买方可将该款项在支付交货款时向卖方一并支付。</w:t>
      </w:r>
    </w:p>
    <w:p w14:paraId="52E334D1">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3.2.1.4 交货款</w:t>
      </w:r>
    </w:p>
    <w:p w14:paraId="6E1CD97C">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当合同设备涉及单个项目时：全部合同设备到货验收合格并移交后，卖方凭该合同设备的增值税专用发票（金额为该采购合同价款的</w:t>
      </w:r>
      <w:r>
        <w:rPr>
          <w:rFonts w:ascii="宋体" w:hAnsi="宋体" w:eastAsia="宋体" w:cs="宋体"/>
          <w:color w:val="auto"/>
          <w:sz w:val="21"/>
          <w:szCs w:val="21"/>
          <w:highlight w:val="none"/>
        </w:rPr>
        <w:t>100%）、到货</w:t>
      </w:r>
      <w:r>
        <w:rPr>
          <w:rFonts w:hint="eastAsia" w:ascii="宋体" w:hAnsi="宋体" w:eastAsia="宋体" w:cs="宋体"/>
          <w:color w:val="auto"/>
          <w:sz w:val="21"/>
          <w:szCs w:val="21"/>
          <w:highlight w:val="none"/>
        </w:rPr>
        <w:t>验收</w:t>
      </w:r>
      <w:r>
        <w:rPr>
          <w:rFonts w:ascii="宋体" w:hAnsi="宋体" w:eastAsia="宋体" w:cs="宋体"/>
          <w:color w:val="auto"/>
          <w:sz w:val="21"/>
          <w:szCs w:val="21"/>
          <w:highlight w:val="none"/>
        </w:rPr>
        <w:t>证明办理交货款支付申请手续。买方在收到卖方完整的资料后60天内（境外支付的，延长30个工作日）支付交货款。</w:t>
      </w:r>
    </w:p>
    <w:p w14:paraId="080B7A50">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当合同设备涉及多个项目时：合同中某些项目的设备到货验收合格并移交后，卖方凭该合同设备的增值税专用发票（金额为该采购合同价款的</w:t>
      </w:r>
      <w:r>
        <w:rPr>
          <w:rFonts w:ascii="宋体" w:hAnsi="宋体" w:eastAsia="宋体" w:cs="宋体"/>
          <w:color w:val="auto"/>
          <w:sz w:val="21"/>
          <w:szCs w:val="21"/>
          <w:highlight w:val="none"/>
        </w:rPr>
        <w:t>100%）、到货</w:t>
      </w:r>
      <w:r>
        <w:rPr>
          <w:rFonts w:hint="eastAsia" w:ascii="宋体" w:hAnsi="宋体" w:eastAsia="宋体" w:cs="宋体"/>
          <w:color w:val="auto"/>
          <w:sz w:val="21"/>
          <w:szCs w:val="21"/>
          <w:highlight w:val="none"/>
        </w:rPr>
        <w:t>验收</w:t>
      </w:r>
      <w:r>
        <w:rPr>
          <w:rFonts w:ascii="宋体" w:hAnsi="宋体" w:eastAsia="宋体" w:cs="宋体"/>
          <w:color w:val="auto"/>
          <w:sz w:val="21"/>
          <w:szCs w:val="21"/>
          <w:highlight w:val="none"/>
        </w:rPr>
        <w:t>证明办理交货款支付申请手续。买方在收到卖方完整的资料后60天内（境外支付的，延长30个工作日）按比例支付交货款。</w:t>
      </w:r>
    </w:p>
    <w:p w14:paraId="2E7EB261">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因买方原因导致未在最后一批设备到达交货地之日起</w:t>
      </w:r>
      <w:r>
        <w:rPr>
          <w:rFonts w:ascii="宋体" w:hAnsi="宋体" w:eastAsia="宋体" w:cs="宋体"/>
          <w:color w:val="auto"/>
          <w:sz w:val="21"/>
          <w:szCs w:val="21"/>
          <w:highlight w:val="none"/>
        </w:rPr>
        <w:t>10个月内完成到货验收，卖方则凭买方签发的最后一批合同设备到达目的地已满10个月的证明申请支付，买方应按要求办理交货款支付。但交货款的支付不解除卖方按照本合同任何其他条款的规定所应履行的相应义务。</w:t>
      </w:r>
    </w:p>
    <w:p w14:paraId="3F680B43">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3.2.1.5 结清款</w:t>
      </w:r>
    </w:p>
    <w:p w14:paraId="5A81A3CF">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1）卖方未</w:t>
      </w:r>
      <w:r>
        <w:rPr>
          <w:rFonts w:hint="eastAsia" w:ascii="宋体" w:hAnsi="宋体" w:eastAsia="宋体" w:cs="宋体"/>
          <w:color w:val="auto"/>
          <w:sz w:val="21"/>
          <w:szCs w:val="21"/>
          <w:highlight w:val="none"/>
        </w:rPr>
        <w:t>提交</w:t>
      </w:r>
      <w:r>
        <w:rPr>
          <w:rFonts w:hint="eastAsia" w:ascii="宋体" w:hAnsi="宋体" w:eastAsia="宋体" w:cs="宋体"/>
          <w:color w:val="auto"/>
          <w:sz w:val="21"/>
          <w:szCs w:val="21"/>
          <w:highlight w:val="none"/>
          <w:lang w:eastAsia="zh-CN"/>
        </w:rPr>
        <w:t>结清款保证金</w:t>
      </w:r>
      <w:r>
        <w:rPr>
          <w:rFonts w:hint="eastAsia" w:ascii="宋体" w:hAnsi="宋体" w:eastAsia="宋体" w:cs="宋体"/>
          <w:color w:val="auto"/>
          <w:sz w:val="21"/>
          <w:szCs w:val="21"/>
          <w:highlight w:val="none"/>
        </w:rPr>
        <w:t>保函</w:t>
      </w:r>
      <w:r>
        <w:rPr>
          <w:rFonts w:ascii="宋体" w:hAnsi="宋体" w:eastAsia="宋体" w:cs="宋体"/>
          <w:color w:val="auto"/>
          <w:sz w:val="21"/>
          <w:szCs w:val="21"/>
          <w:highlight w:val="none"/>
        </w:rPr>
        <w:t>的，按照以下</w:t>
      </w:r>
      <w:r>
        <w:rPr>
          <w:rFonts w:hint="eastAsia" w:ascii="宋体" w:hAnsi="宋体" w:eastAsia="宋体" w:cs="宋体"/>
          <w:color w:val="auto"/>
          <w:sz w:val="21"/>
          <w:szCs w:val="21"/>
          <w:highlight w:val="none"/>
        </w:rPr>
        <w:t>流程</w:t>
      </w:r>
      <w:r>
        <w:rPr>
          <w:rFonts w:ascii="宋体" w:hAnsi="宋体" w:eastAsia="宋体" w:cs="宋体"/>
          <w:color w:val="auto"/>
          <w:sz w:val="21"/>
          <w:szCs w:val="21"/>
          <w:highlight w:val="none"/>
        </w:rPr>
        <w:t>支付结清款：</w:t>
      </w:r>
    </w:p>
    <w:p w14:paraId="5F60DDC8">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本合同中任一项目的合同设备的质保期开始计算后满</w:t>
      </w:r>
      <w:r>
        <w:rPr>
          <w:rFonts w:ascii="宋体" w:hAnsi="宋体" w:eastAsia="宋体" w:cs="宋体"/>
          <w:color w:val="auto"/>
          <w:sz w:val="21"/>
          <w:szCs w:val="21"/>
          <w:highlight w:val="none"/>
        </w:rPr>
        <w:t>1年（并无索赔或索赔完成后，则买方在</w:t>
      </w:r>
      <w:r>
        <w:rPr>
          <w:rFonts w:hint="eastAsia" w:ascii="宋体" w:hAnsi="宋体" w:eastAsia="宋体" w:cs="宋体"/>
          <w:color w:val="auto"/>
          <w:sz w:val="21"/>
          <w:szCs w:val="21"/>
          <w:highlight w:val="none"/>
        </w:rPr>
        <w:t>卖方发起申请后</w:t>
      </w:r>
      <w:r>
        <w:rPr>
          <w:rFonts w:ascii="宋体" w:hAnsi="宋体" w:eastAsia="宋体" w:cs="宋体"/>
          <w:color w:val="auto"/>
          <w:sz w:val="21"/>
          <w:szCs w:val="21"/>
          <w:highlight w:val="none"/>
        </w:rPr>
        <w:t>60天内（境外支付的，延长30个工作日）支付</w:t>
      </w:r>
      <w:r>
        <w:rPr>
          <w:rFonts w:hint="eastAsia" w:ascii="宋体" w:hAnsi="宋体" w:eastAsia="宋体" w:cs="宋体"/>
          <w:color w:val="auto"/>
          <w:sz w:val="21"/>
          <w:szCs w:val="21"/>
          <w:highlight w:val="none"/>
        </w:rPr>
        <w:t>该项目</w:t>
      </w:r>
      <w:r>
        <w:rPr>
          <w:rFonts w:ascii="宋体" w:hAnsi="宋体" w:eastAsia="宋体" w:cs="宋体"/>
          <w:color w:val="auto"/>
          <w:sz w:val="21"/>
          <w:szCs w:val="21"/>
          <w:highlight w:val="none"/>
        </w:rPr>
        <w:t>结清款。</w:t>
      </w:r>
    </w:p>
    <w:p w14:paraId="1E5DC077">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2）卖方</w:t>
      </w:r>
      <w:r>
        <w:rPr>
          <w:rFonts w:hint="eastAsia" w:ascii="宋体" w:hAnsi="宋体" w:eastAsia="宋体" w:cs="宋体"/>
          <w:color w:val="auto"/>
          <w:sz w:val="21"/>
          <w:szCs w:val="21"/>
          <w:highlight w:val="none"/>
        </w:rPr>
        <w:t>提交</w:t>
      </w:r>
      <w:r>
        <w:rPr>
          <w:rFonts w:hint="eastAsia" w:ascii="宋体" w:hAnsi="宋体" w:eastAsia="宋体" w:cs="宋体"/>
          <w:color w:val="auto"/>
          <w:sz w:val="21"/>
          <w:szCs w:val="21"/>
          <w:highlight w:val="none"/>
          <w:lang w:eastAsia="zh-CN"/>
        </w:rPr>
        <w:t>结清款保证金</w:t>
      </w:r>
      <w:r>
        <w:rPr>
          <w:rFonts w:hint="eastAsia" w:ascii="宋体" w:hAnsi="宋体" w:eastAsia="宋体" w:cs="宋体"/>
          <w:color w:val="auto"/>
          <w:sz w:val="21"/>
          <w:szCs w:val="21"/>
          <w:highlight w:val="none"/>
        </w:rPr>
        <w:t>保函</w:t>
      </w:r>
      <w:r>
        <w:rPr>
          <w:rFonts w:ascii="宋体" w:hAnsi="宋体" w:eastAsia="宋体" w:cs="宋体"/>
          <w:color w:val="auto"/>
          <w:sz w:val="21"/>
          <w:szCs w:val="21"/>
          <w:highlight w:val="none"/>
        </w:rPr>
        <w:t>的，按照以下</w:t>
      </w:r>
      <w:r>
        <w:rPr>
          <w:rFonts w:hint="eastAsia" w:ascii="宋体" w:hAnsi="宋体" w:eastAsia="宋体" w:cs="宋体"/>
          <w:color w:val="auto"/>
          <w:sz w:val="21"/>
          <w:szCs w:val="21"/>
          <w:highlight w:val="none"/>
        </w:rPr>
        <w:t>流程</w:t>
      </w:r>
      <w:r>
        <w:rPr>
          <w:rFonts w:ascii="宋体" w:hAnsi="宋体" w:eastAsia="宋体" w:cs="宋体"/>
          <w:color w:val="auto"/>
          <w:sz w:val="21"/>
          <w:szCs w:val="21"/>
          <w:highlight w:val="none"/>
        </w:rPr>
        <w:t>支付结清款：</w:t>
      </w:r>
    </w:p>
    <w:p w14:paraId="0BD9D993">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本合同中任一项目的合同设备的质保期开始计算后，卖方凭</w:t>
      </w:r>
      <w:r>
        <w:rPr>
          <w:rFonts w:hint="eastAsia" w:ascii="宋体" w:hAnsi="宋体" w:eastAsia="宋体" w:cs="宋体"/>
          <w:color w:val="auto"/>
          <w:sz w:val="21"/>
          <w:szCs w:val="21"/>
          <w:highlight w:val="none"/>
          <w:lang w:eastAsia="zh-CN"/>
        </w:rPr>
        <w:t>结清款保证金</w:t>
      </w:r>
      <w:r>
        <w:rPr>
          <w:rFonts w:hint="eastAsia" w:ascii="宋体" w:hAnsi="宋体" w:eastAsia="宋体" w:cs="宋体"/>
          <w:color w:val="auto"/>
          <w:sz w:val="21"/>
          <w:szCs w:val="21"/>
          <w:highlight w:val="none"/>
        </w:rPr>
        <w:t>保函（格式见附件</w:t>
      </w:r>
      <w:r>
        <w:rPr>
          <w:rFonts w:ascii="宋体" w:hAnsi="宋体" w:eastAsia="宋体" w:cs="宋体"/>
          <w:color w:val="auto"/>
          <w:sz w:val="21"/>
          <w:szCs w:val="21"/>
          <w:highlight w:val="none"/>
        </w:rPr>
        <w:t>9.</w:t>
      </w:r>
      <w:r>
        <w:rPr>
          <w:rFonts w:hint="eastAsia" w:ascii="宋体" w:hAnsi="宋体" w:eastAsia="宋体" w:cs="宋体"/>
          <w:color w:val="auto"/>
          <w:sz w:val="21"/>
          <w:szCs w:val="21"/>
          <w:highlight w:val="none"/>
        </w:rPr>
        <w:t>3</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结清款保证金</w:t>
      </w:r>
      <w:r>
        <w:rPr>
          <w:rFonts w:hint="eastAsia" w:ascii="宋体" w:hAnsi="宋体" w:eastAsia="宋体" w:cs="宋体"/>
          <w:color w:val="auto"/>
          <w:sz w:val="21"/>
          <w:szCs w:val="21"/>
          <w:highlight w:val="none"/>
        </w:rPr>
        <w:t>保函</w:t>
      </w:r>
      <w:r>
        <w:rPr>
          <w:rFonts w:ascii="宋体" w:hAnsi="宋体" w:eastAsia="宋体" w:cs="宋体"/>
          <w:color w:val="auto"/>
          <w:sz w:val="21"/>
          <w:szCs w:val="21"/>
          <w:highlight w:val="none"/>
        </w:rPr>
        <w:t>》）办理结清款支付申请手续。买方在收到卖方完整的资料后60天内（境外支付的，延长30个工作日）支付</w:t>
      </w:r>
      <w:r>
        <w:rPr>
          <w:rFonts w:hint="eastAsia" w:ascii="宋体" w:hAnsi="宋体" w:eastAsia="宋体" w:cs="宋体"/>
          <w:color w:val="auto"/>
          <w:sz w:val="21"/>
          <w:szCs w:val="21"/>
          <w:highlight w:val="none"/>
        </w:rPr>
        <w:t>该项目</w:t>
      </w:r>
      <w:r>
        <w:rPr>
          <w:rFonts w:ascii="宋体" w:hAnsi="宋体" w:eastAsia="宋体" w:cs="宋体"/>
          <w:color w:val="auto"/>
          <w:sz w:val="21"/>
          <w:szCs w:val="21"/>
          <w:highlight w:val="none"/>
        </w:rPr>
        <w:t xml:space="preserve">结清款。 </w:t>
      </w:r>
    </w:p>
    <w:p w14:paraId="05EC2640">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买方支付结清款并不意味着质保期的变更，也不免除卖方依照合同应当承担的任何责任。</w:t>
      </w:r>
    </w:p>
    <w:p w14:paraId="49F955E7">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ascii="宋体" w:hAnsi="宋体" w:eastAsia="宋体" w:cs="宋体"/>
          <w:color w:val="auto"/>
          <w:sz w:val="21"/>
          <w:szCs w:val="21"/>
          <w:highlight w:val="none"/>
        </w:rPr>
        <w:t xml:space="preserve">.2.1.6 </w:t>
      </w:r>
      <w:r>
        <w:rPr>
          <w:rFonts w:hint="eastAsia" w:ascii="宋体" w:hAnsi="宋体" w:eastAsia="宋体" w:cs="宋体"/>
          <w:color w:val="auto"/>
          <w:sz w:val="21"/>
          <w:szCs w:val="21"/>
          <w:highlight w:val="none"/>
          <w:lang w:eastAsia="zh-CN"/>
        </w:rPr>
        <w:t>结清款保证金</w:t>
      </w:r>
      <w:r>
        <w:rPr>
          <w:rFonts w:hint="eastAsia" w:ascii="宋体" w:hAnsi="宋体" w:eastAsia="宋体" w:cs="宋体"/>
          <w:color w:val="auto"/>
          <w:sz w:val="21"/>
          <w:szCs w:val="21"/>
          <w:highlight w:val="none"/>
        </w:rPr>
        <w:t>保函</w:t>
      </w:r>
    </w:p>
    <w:p w14:paraId="45B4BCB2">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结清款保证金</w:t>
      </w:r>
      <w:r>
        <w:rPr>
          <w:rFonts w:ascii="宋体" w:hAnsi="宋体" w:eastAsia="宋体" w:cs="宋体"/>
          <w:color w:val="auto"/>
          <w:sz w:val="21"/>
          <w:szCs w:val="21"/>
          <w:highlight w:val="none"/>
        </w:rPr>
        <w:t>保函应为中国境内银行出具的银行保函</w:t>
      </w:r>
      <w:r>
        <w:rPr>
          <w:rFonts w:hint="eastAsia" w:ascii="宋体" w:hAnsi="宋体" w:eastAsia="宋体" w:cs="宋体"/>
          <w:color w:val="auto"/>
          <w:sz w:val="21"/>
          <w:szCs w:val="21"/>
          <w:highlight w:val="none"/>
        </w:rPr>
        <w:t>。卖方必须确保保函的</w:t>
      </w:r>
      <w:r>
        <w:rPr>
          <w:rFonts w:ascii="宋体" w:hAnsi="宋体" w:eastAsia="宋体" w:cs="宋体"/>
          <w:color w:val="auto"/>
          <w:sz w:val="21"/>
          <w:szCs w:val="21"/>
          <w:highlight w:val="none"/>
        </w:rPr>
        <w:t>担保金额不小于结清款</w:t>
      </w:r>
      <w:r>
        <w:rPr>
          <w:rFonts w:hint="eastAsia" w:ascii="宋体" w:hAnsi="宋体" w:eastAsia="宋体" w:cs="宋体"/>
          <w:color w:val="auto"/>
          <w:sz w:val="21"/>
          <w:szCs w:val="21"/>
          <w:highlight w:val="none"/>
        </w:rPr>
        <w:t>；确保保函在</w:t>
      </w:r>
      <w:r>
        <w:rPr>
          <w:rFonts w:ascii="宋体" w:hAnsi="宋体" w:eastAsia="宋体" w:cs="宋体"/>
          <w:color w:val="auto"/>
          <w:sz w:val="21"/>
          <w:szCs w:val="21"/>
          <w:highlight w:val="none"/>
        </w:rPr>
        <w:t>从申请日到质保期达到</w:t>
      </w:r>
      <w:bookmarkStart w:id="197" w:name="_Hlk28545422"/>
      <w:bookmarkStart w:id="198" w:name="_Hlk25140196"/>
      <w:r>
        <w:rPr>
          <w:rFonts w:hint="eastAsia" w:ascii="宋体" w:hAnsi="宋体" w:eastAsia="宋体" w:cs="宋体"/>
          <w:color w:val="auto"/>
          <w:sz w:val="21"/>
          <w:szCs w:val="21"/>
          <w:highlight w:val="none"/>
        </w:rPr>
        <w:t>专用合同条款通用部分</w:t>
      </w:r>
      <w:bookmarkEnd w:id="197"/>
      <w:r>
        <w:rPr>
          <w:rFonts w:hint="eastAsia" w:ascii="宋体" w:hAnsi="宋体" w:eastAsia="宋体" w:cs="宋体"/>
          <w:color w:val="auto"/>
          <w:sz w:val="21"/>
          <w:szCs w:val="21"/>
          <w:highlight w:val="none"/>
        </w:rPr>
        <w:t>3</w:t>
      </w:r>
      <w:r>
        <w:rPr>
          <w:rFonts w:ascii="宋体" w:hAnsi="宋体" w:eastAsia="宋体" w:cs="宋体"/>
          <w:color w:val="auto"/>
          <w:sz w:val="21"/>
          <w:szCs w:val="21"/>
          <w:highlight w:val="none"/>
        </w:rPr>
        <w:t>.2.1.5</w:t>
      </w:r>
      <w:bookmarkEnd w:id="198"/>
      <w:r>
        <w:rPr>
          <w:rFonts w:ascii="宋体" w:hAnsi="宋体" w:eastAsia="宋体" w:cs="宋体"/>
          <w:color w:val="auto"/>
          <w:sz w:val="21"/>
          <w:szCs w:val="21"/>
          <w:highlight w:val="none"/>
        </w:rPr>
        <w:t>（1）中规定年限</w:t>
      </w:r>
      <w:r>
        <w:rPr>
          <w:rFonts w:hint="eastAsia" w:ascii="宋体" w:hAnsi="宋体" w:eastAsia="宋体" w:cs="宋体"/>
          <w:color w:val="auto"/>
          <w:sz w:val="21"/>
          <w:szCs w:val="21"/>
          <w:highlight w:val="none"/>
        </w:rPr>
        <w:t>期间一直有效，如需延期的，应在保函到期前</w:t>
      </w:r>
      <w:r>
        <w:rPr>
          <w:rFonts w:ascii="宋体" w:hAnsi="宋体" w:eastAsia="宋体" w:cs="宋体"/>
          <w:color w:val="auto"/>
          <w:sz w:val="21"/>
          <w:szCs w:val="21"/>
          <w:highlight w:val="none"/>
        </w:rPr>
        <w:t>1个月内延期或重新开具保函。与提供</w:t>
      </w:r>
      <w:r>
        <w:rPr>
          <w:rFonts w:hint="eastAsia" w:ascii="宋体" w:hAnsi="宋体" w:eastAsia="宋体" w:cs="宋体"/>
          <w:color w:val="auto"/>
          <w:sz w:val="21"/>
          <w:szCs w:val="21"/>
          <w:highlight w:val="none"/>
          <w:lang w:eastAsia="zh-CN"/>
        </w:rPr>
        <w:t>结清款保证金</w:t>
      </w:r>
      <w:r>
        <w:rPr>
          <w:rFonts w:ascii="宋体" w:hAnsi="宋体" w:eastAsia="宋体" w:cs="宋体"/>
          <w:color w:val="auto"/>
          <w:sz w:val="21"/>
          <w:szCs w:val="21"/>
          <w:highlight w:val="none"/>
        </w:rPr>
        <w:t>保函有关的费用由卖方负担。采用履约保函替代</w:t>
      </w:r>
      <w:r>
        <w:rPr>
          <w:rFonts w:hint="eastAsia" w:ascii="宋体" w:hAnsi="宋体" w:eastAsia="宋体" w:cs="宋体"/>
          <w:color w:val="auto"/>
          <w:sz w:val="21"/>
          <w:szCs w:val="21"/>
          <w:highlight w:val="none"/>
          <w:lang w:eastAsia="zh-CN"/>
        </w:rPr>
        <w:t>结清款保证金</w:t>
      </w:r>
      <w:r>
        <w:rPr>
          <w:rFonts w:ascii="宋体" w:hAnsi="宋体" w:eastAsia="宋体" w:cs="宋体"/>
          <w:color w:val="auto"/>
          <w:sz w:val="21"/>
          <w:szCs w:val="21"/>
          <w:highlight w:val="none"/>
        </w:rPr>
        <w:t>保函的，也</w:t>
      </w:r>
      <w:r>
        <w:rPr>
          <w:rFonts w:hint="eastAsia" w:ascii="宋体" w:hAnsi="宋体" w:eastAsia="宋体" w:cs="宋体"/>
          <w:color w:val="auto"/>
          <w:sz w:val="21"/>
          <w:szCs w:val="21"/>
          <w:highlight w:val="none"/>
        </w:rPr>
        <w:t>应当符合上述要求。</w:t>
      </w:r>
    </w:p>
    <w:p w14:paraId="678F4F8F">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保函内容有误或买方认定存在风险（包括条款、名称等）的，买方可拒收。</w:t>
      </w:r>
      <w:r>
        <w:rPr>
          <w:rFonts w:hint="eastAsia" w:ascii="宋体" w:hAnsi="宋体" w:eastAsia="宋体" w:cs="宋体"/>
          <w:color w:val="auto"/>
          <w:sz w:val="21"/>
          <w:szCs w:val="21"/>
          <w:highlight w:val="none"/>
        </w:rPr>
        <w:t>卖方办理保函核销手续时，买方应给予必要的协助。</w:t>
      </w:r>
    </w:p>
    <w:p w14:paraId="463F7762">
      <w:pPr>
        <w:pStyle w:val="16"/>
        <w:topLinePunct/>
        <w:snapToGrid w:val="0"/>
        <w:spacing w:line="360" w:lineRule="auto"/>
        <w:ind w:firstLine="420" w:firstLineChars="200"/>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3.2.2.1 付款方式：</w:t>
      </w:r>
      <w:r>
        <w:rPr>
          <w:rFonts w:hint="eastAsia" w:ascii="宋体" w:hAnsi="宋体" w:eastAsia="宋体" w:cs="宋体"/>
          <w:color w:val="auto"/>
          <w:sz w:val="21"/>
          <w:szCs w:val="21"/>
          <w:highlight w:val="none"/>
        </w:rPr>
        <w:t>银行转账、电汇、商业汇票或支票以及双方约定的法律认可的其它方式。</w:t>
      </w:r>
      <w:bookmarkStart w:id="199" w:name="_Hlk28849430"/>
    </w:p>
    <w:p w14:paraId="23DAB9CB">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使用商业汇票支付的，由支付方承担资金成本（买方付息贴现）</w:t>
      </w:r>
      <w:r>
        <w:rPr>
          <w:rFonts w:ascii="宋体" w:hAnsi="宋体" w:eastAsia="宋体" w:cs="宋体"/>
          <w:color w:val="auto"/>
          <w:sz w:val="21"/>
          <w:szCs w:val="21"/>
          <w:highlight w:val="none"/>
        </w:rPr>
        <w:t>。</w:t>
      </w:r>
    </w:p>
    <w:p w14:paraId="61991D4C">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3.2.2.3 使用电汇支付的，买方在收到卖方完整的资料之日起60天内（如境外支付的，延长30个工作日），在不改变本合同约定付款期限条件下，买方可对卖方的应收账款进行确权，向卖方签发电子债权凭证，支持配合卖方开展供应链金融业务，卖方可根据自身情况选择签收凭证或拒绝。</w:t>
      </w:r>
    </w:p>
    <w:bookmarkEnd w:id="199"/>
    <w:p w14:paraId="3531175F">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3.2.3.1 本合同增值税专用发票“购货单位”信息应包括单位名称、住所地址、电话、开户行、账号、税号等。</w:t>
      </w:r>
    </w:p>
    <w:p w14:paraId="56BDE41A">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3.2.3.2 </w:t>
      </w:r>
      <w:r>
        <w:rPr>
          <w:rFonts w:hint="eastAsia" w:ascii="宋体" w:hAnsi="宋体" w:eastAsia="宋体" w:cs="宋体"/>
          <w:color w:val="auto"/>
          <w:sz w:val="21"/>
          <w:szCs w:val="21"/>
          <w:highlight w:val="none"/>
        </w:rPr>
        <w:t>设备</w:t>
      </w:r>
      <w:r>
        <w:rPr>
          <w:rFonts w:ascii="宋体" w:hAnsi="宋体" w:eastAsia="宋体" w:cs="宋体"/>
          <w:color w:val="auto"/>
          <w:sz w:val="21"/>
          <w:szCs w:val="21"/>
          <w:highlight w:val="none"/>
        </w:rPr>
        <w:t>涉及不同产权属性、资金属性、工程名称的，买方应告知上述信息，卖方按产权属性、资金属性、工程名称分别开具增值税专用发票。</w:t>
      </w:r>
    </w:p>
    <w:p w14:paraId="4D5F77FD">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3.2.3.3 </w:t>
      </w:r>
      <w:r>
        <w:rPr>
          <w:rFonts w:hint="eastAsia" w:ascii="宋体" w:hAnsi="宋体" w:eastAsia="宋体" w:cs="宋体"/>
          <w:color w:val="auto"/>
          <w:sz w:val="21"/>
          <w:szCs w:val="21"/>
          <w:highlight w:val="none"/>
        </w:rPr>
        <w:t>卖方应在开具增值税专用发票之日起</w:t>
      </w:r>
      <w:r>
        <w:rPr>
          <w:rFonts w:ascii="宋体" w:hAnsi="宋体" w:eastAsia="宋体" w:cs="宋体"/>
          <w:color w:val="auto"/>
          <w:sz w:val="21"/>
          <w:szCs w:val="21"/>
          <w:highlight w:val="none"/>
        </w:rPr>
        <w:t>15个工作日内（最长不应超过30个工作日）且在到货验收手续办毕后30个工作日内将发票送达至买方。</w:t>
      </w:r>
    </w:p>
    <w:p w14:paraId="445FD14A">
      <w:pPr>
        <w:pStyle w:val="5"/>
        <w:spacing w:before="0" w:after="0" w:line="360" w:lineRule="auto"/>
        <w:rPr>
          <w:rFonts w:ascii="宋体" w:hAnsi="宋体" w:eastAsia="宋体" w:cs="黑体"/>
          <w:color w:val="auto"/>
          <w:kern w:val="0"/>
          <w:sz w:val="21"/>
          <w:szCs w:val="28"/>
          <w:highlight w:val="none"/>
        </w:rPr>
      </w:pPr>
      <w:bookmarkStart w:id="200" w:name="_Toc20600"/>
      <w:bookmarkStart w:id="201" w:name="_Toc15586"/>
      <w:bookmarkStart w:id="202" w:name="_Toc57494710"/>
      <w:r>
        <w:rPr>
          <w:rFonts w:ascii="宋体" w:hAnsi="宋体" w:eastAsia="宋体" w:cs="黑体"/>
          <w:color w:val="auto"/>
          <w:kern w:val="0"/>
          <w:sz w:val="21"/>
          <w:szCs w:val="28"/>
          <w:highlight w:val="none"/>
        </w:rPr>
        <w:t xml:space="preserve">3.3 </w:t>
      </w:r>
      <w:r>
        <w:rPr>
          <w:rFonts w:hint="eastAsia" w:ascii="宋体" w:hAnsi="宋体" w:eastAsia="宋体" w:cs="黑体"/>
          <w:color w:val="auto"/>
          <w:kern w:val="0"/>
          <w:sz w:val="21"/>
          <w:szCs w:val="28"/>
          <w:highlight w:val="none"/>
        </w:rPr>
        <w:t>买方扣款的权利</w:t>
      </w:r>
      <w:bookmarkEnd w:id="200"/>
      <w:bookmarkEnd w:id="201"/>
      <w:bookmarkEnd w:id="202"/>
    </w:p>
    <w:p w14:paraId="3E7BACC4">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当卖方应向买方支付合同项下的违约金、赔偿金或其他费用时，买方有权从上述任何一笔应付款中予以直接扣除和（或）兑付履约保证金（保函）、</w:t>
      </w:r>
      <w:r>
        <w:rPr>
          <w:rFonts w:hint="eastAsia" w:ascii="宋体" w:hAnsi="宋体" w:eastAsia="宋体" w:cs="宋体"/>
          <w:color w:val="auto"/>
          <w:sz w:val="21"/>
          <w:szCs w:val="21"/>
          <w:highlight w:val="none"/>
          <w:lang w:eastAsia="zh-CN"/>
        </w:rPr>
        <w:t>结清款保证金</w:t>
      </w:r>
      <w:r>
        <w:rPr>
          <w:rFonts w:hint="eastAsia" w:ascii="宋体" w:hAnsi="宋体" w:eastAsia="宋体" w:cs="宋体"/>
          <w:color w:val="auto"/>
          <w:sz w:val="21"/>
          <w:szCs w:val="21"/>
          <w:highlight w:val="none"/>
        </w:rPr>
        <w:t>保函，也可以要求卖方另行支付相应款项，或以卖方与买方的其他合同的价款进行抵销。如卖方采用履约保证保险交纳保证金，在合同履约过程中未按照采购合同的相关约定履行相关义务，将先由保险公司在保险金额以内向买方赔付与违约金、赔偿金或其他费用等额的保险金，再由保险公司向卖方在赔偿金额内进行追偿。如卖方采用电子保函交纳保证金，在合同履约过程中未按照采购合同的相关约定履行相关义务，将先由电子保函开立</w:t>
      </w:r>
      <w:r>
        <w:rPr>
          <w:rFonts w:hint="default" w:ascii="宋体" w:hAnsi="宋体" w:eastAsia="宋体" w:cs="宋体"/>
          <w:color w:val="auto"/>
          <w:sz w:val="21"/>
          <w:szCs w:val="21"/>
          <w:highlight w:val="none"/>
          <w:lang w:val="en-US"/>
        </w:rPr>
        <w:t>银行</w:t>
      </w:r>
      <w:r>
        <w:rPr>
          <w:rFonts w:hint="eastAsia" w:ascii="宋体" w:hAnsi="宋体" w:eastAsia="宋体" w:cs="宋体"/>
          <w:color w:val="auto"/>
          <w:sz w:val="21"/>
          <w:szCs w:val="21"/>
          <w:highlight w:val="none"/>
        </w:rPr>
        <w:t>在保函金额以内向买方赔付，再由电子保函开立</w:t>
      </w:r>
      <w:r>
        <w:rPr>
          <w:rFonts w:hint="default" w:ascii="宋体" w:hAnsi="宋体" w:eastAsia="宋体" w:cs="宋体"/>
          <w:color w:val="auto"/>
          <w:sz w:val="21"/>
          <w:szCs w:val="21"/>
          <w:highlight w:val="none"/>
          <w:lang w:val="en-US"/>
        </w:rPr>
        <w:t>银行</w:t>
      </w:r>
      <w:r>
        <w:rPr>
          <w:rFonts w:hint="eastAsia" w:ascii="宋体" w:hAnsi="宋体" w:eastAsia="宋体" w:cs="宋体"/>
          <w:color w:val="auto"/>
          <w:sz w:val="21"/>
          <w:szCs w:val="21"/>
          <w:highlight w:val="none"/>
        </w:rPr>
        <w:t>向卖方进行追偿。</w:t>
      </w:r>
    </w:p>
    <w:p w14:paraId="0616D8F0">
      <w:pPr>
        <w:pStyle w:val="4"/>
        <w:spacing w:before="0" w:after="0" w:line="360" w:lineRule="auto"/>
        <w:rPr>
          <w:rFonts w:ascii="宋体" w:hAnsi="宋体" w:eastAsia="宋体" w:cs="Times New Roman"/>
          <w:color w:val="auto"/>
          <w:kern w:val="0"/>
          <w:sz w:val="21"/>
          <w:szCs w:val="21"/>
          <w:highlight w:val="none"/>
        </w:rPr>
      </w:pPr>
      <w:bookmarkStart w:id="203" w:name="_Toc57494711"/>
      <w:bookmarkStart w:id="204" w:name="_Toc468"/>
      <w:bookmarkStart w:id="205" w:name="_Toc29080"/>
      <w:r>
        <w:rPr>
          <w:rFonts w:ascii="宋体" w:hAnsi="宋体" w:eastAsia="宋体" w:cs="Times New Roman"/>
          <w:color w:val="auto"/>
          <w:kern w:val="0"/>
          <w:sz w:val="21"/>
          <w:szCs w:val="21"/>
          <w:highlight w:val="none"/>
        </w:rPr>
        <w:t xml:space="preserve">4. </w:t>
      </w:r>
      <w:r>
        <w:rPr>
          <w:rFonts w:hint="eastAsia" w:ascii="宋体" w:hAnsi="宋体" w:eastAsia="宋体" w:cs="Times New Roman"/>
          <w:color w:val="auto"/>
          <w:kern w:val="0"/>
          <w:sz w:val="21"/>
          <w:szCs w:val="21"/>
          <w:highlight w:val="none"/>
        </w:rPr>
        <w:t>监造</w:t>
      </w:r>
      <w:bookmarkStart w:id="206" w:name="_Hlk511656160"/>
      <w:r>
        <w:rPr>
          <w:rFonts w:hint="eastAsia" w:ascii="宋体" w:hAnsi="宋体" w:eastAsia="宋体" w:cs="Times New Roman"/>
          <w:color w:val="auto"/>
          <w:kern w:val="0"/>
          <w:sz w:val="21"/>
          <w:szCs w:val="21"/>
          <w:highlight w:val="none"/>
        </w:rPr>
        <w:t>及交货前检验</w:t>
      </w:r>
      <w:bookmarkEnd w:id="203"/>
      <w:bookmarkEnd w:id="204"/>
      <w:bookmarkEnd w:id="205"/>
      <w:bookmarkEnd w:id="206"/>
    </w:p>
    <w:p w14:paraId="60D49A50">
      <w:pPr>
        <w:pStyle w:val="5"/>
        <w:spacing w:before="0" w:after="0" w:line="360" w:lineRule="auto"/>
        <w:ind w:firstLine="211" w:firstLineChars="100"/>
        <w:rPr>
          <w:rFonts w:ascii="宋体" w:hAnsi="宋体" w:eastAsia="宋体" w:cs="黑体"/>
          <w:color w:val="auto"/>
          <w:kern w:val="0"/>
          <w:sz w:val="21"/>
          <w:szCs w:val="28"/>
          <w:highlight w:val="none"/>
        </w:rPr>
      </w:pPr>
      <w:bookmarkStart w:id="207" w:name="_Toc14024"/>
      <w:bookmarkStart w:id="208" w:name="_Toc57494712"/>
      <w:bookmarkStart w:id="209" w:name="_Toc26275190"/>
      <w:bookmarkStart w:id="210" w:name="_Toc9492"/>
      <w:r>
        <w:rPr>
          <w:rFonts w:ascii="宋体" w:hAnsi="宋体" w:eastAsia="宋体" w:cs="黑体"/>
          <w:color w:val="auto"/>
          <w:kern w:val="0"/>
          <w:sz w:val="21"/>
          <w:szCs w:val="28"/>
          <w:highlight w:val="none"/>
        </w:rPr>
        <w:t xml:space="preserve">4.1 </w:t>
      </w:r>
      <w:r>
        <w:rPr>
          <w:rFonts w:hint="eastAsia" w:ascii="宋体" w:hAnsi="宋体" w:eastAsia="宋体" w:cs="黑体"/>
          <w:color w:val="auto"/>
          <w:kern w:val="0"/>
          <w:sz w:val="21"/>
          <w:szCs w:val="28"/>
          <w:highlight w:val="none"/>
        </w:rPr>
        <w:t>监造</w:t>
      </w:r>
      <w:bookmarkEnd w:id="207"/>
      <w:bookmarkEnd w:id="208"/>
      <w:bookmarkEnd w:id="209"/>
      <w:bookmarkEnd w:id="210"/>
    </w:p>
    <w:p w14:paraId="6CF5C007">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4.1.1 </w:t>
      </w:r>
      <w:r>
        <w:rPr>
          <w:rFonts w:hint="eastAsia" w:ascii="宋体" w:hAnsi="宋体" w:eastAsia="宋体" w:cs="宋体"/>
          <w:color w:val="auto"/>
          <w:sz w:val="21"/>
          <w:szCs w:val="21"/>
          <w:highlight w:val="none"/>
        </w:rPr>
        <w:t>买方有权自行或委托第三方监造单位派出监造代表依照本合同的约定以及买方的监造标准，对本合同设备的制造过程进行监造。</w:t>
      </w:r>
    </w:p>
    <w:p w14:paraId="74287C38">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4.1.</w:t>
      </w:r>
      <w:r>
        <w:rPr>
          <w:rFonts w:ascii="宋体" w:hAnsi="宋体" w:eastAsia="宋体"/>
          <w:color w:val="auto"/>
          <w:sz w:val="21"/>
          <w:szCs w:val="21"/>
          <w:highlight w:val="none"/>
        </w:rPr>
        <w:t xml:space="preserve">2.1 </w:t>
      </w:r>
      <w:r>
        <w:rPr>
          <w:rFonts w:hint="eastAsia" w:ascii="宋体" w:hAnsi="宋体" w:eastAsia="宋体"/>
          <w:color w:val="auto"/>
          <w:sz w:val="21"/>
          <w:szCs w:val="21"/>
          <w:highlight w:val="none"/>
        </w:rPr>
        <w:t>买方代表和（或）监造代表的其他权利主要包括：</w:t>
      </w:r>
    </w:p>
    <w:p w14:paraId="0C021628">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1）检查用于制造合同设备的任何卖方设备计量器具及图纸</w:t>
      </w:r>
      <w:r>
        <w:rPr>
          <w:rFonts w:hint="eastAsia" w:ascii="宋体" w:hAnsi="宋体" w:eastAsia="宋体"/>
          <w:color w:val="auto"/>
          <w:sz w:val="21"/>
          <w:szCs w:val="21"/>
          <w:highlight w:val="none"/>
        </w:rPr>
        <w:t>。</w:t>
      </w:r>
    </w:p>
    <w:p w14:paraId="7F812733">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2）按规定检测准备用于制造合同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的材料、部件及其它</w:t>
      </w:r>
      <w:r>
        <w:rPr>
          <w:rFonts w:hint="eastAsia" w:ascii="宋体" w:hAnsi="宋体" w:eastAsia="宋体" w:cs="宋体"/>
          <w:color w:val="auto"/>
          <w:sz w:val="21"/>
          <w:szCs w:val="21"/>
          <w:highlight w:val="none"/>
        </w:rPr>
        <w:t>设备</w:t>
      </w:r>
      <w:r>
        <w:rPr>
          <w:rFonts w:hint="eastAsia" w:ascii="宋体" w:hAnsi="宋体" w:eastAsia="宋体"/>
          <w:color w:val="auto"/>
          <w:sz w:val="21"/>
          <w:szCs w:val="21"/>
          <w:highlight w:val="none"/>
        </w:rPr>
        <w:t>。</w:t>
      </w:r>
    </w:p>
    <w:p w14:paraId="5EEFEC76">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（3）买方有权通过数据采集装置和网关等对合同设备生产全过程数据进行实时采集，使用手机、平板、移动布控球、AR眼镜等智能设备进行拍照、开展远程监造（或视频见证）</w:t>
      </w:r>
      <w:r>
        <w:rPr>
          <w:rFonts w:hint="eastAsia" w:ascii="宋体" w:hAnsi="宋体" w:eastAsia="宋体"/>
          <w:color w:val="auto"/>
          <w:sz w:val="21"/>
          <w:szCs w:val="21"/>
          <w:highlight w:val="none"/>
          <w:lang w:eastAsia="zh-CN"/>
        </w:rPr>
        <w:t>。</w:t>
      </w:r>
    </w:p>
    <w:p w14:paraId="2F8C16DD">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（4）自始至终不受限制地进入制造合同设备的工厂和地方、检查卖方所必须进行的试验、监造合同设备生产过程质量、实施飞行检查。</w:t>
      </w:r>
    </w:p>
    <w:p w14:paraId="556FF33B">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4.1.2.2</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卖方提供的其他配合义务主要包括：</w:t>
      </w:r>
    </w:p>
    <w:p w14:paraId="7DD3FCFA">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1</w:t>
      </w:r>
      <w:r>
        <w:rPr>
          <w:rFonts w:hint="eastAsia" w:ascii="宋体" w:hAnsi="宋体" w:eastAsia="宋体"/>
          <w:color w:val="auto"/>
          <w:sz w:val="21"/>
          <w:szCs w:val="21"/>
          <w:highlight w:val="none"/>
        </w:rPr>
        <w:t>）</w:t>
      </w:r>
      <w:r>
        <w:rPr>
          <w:rFonts w:ascii="宋体" w:hAnsi="宋体" w:eastAsia="宋体"/>
          <w:color w:val="auto"/>
          <w:sz w:val="21"/>
          <w:szCs w:val="21"/>
          <w:highlight w:val="none"/>
        </w:rPr>
        <w:t>在本合同生效之日后15日内按照技术</w:t>
      </w:r>
      <w:r>
        <w:rPr>
          <w:rFonts w:hint="eastAsia" w:ascii="宋体" w:hAnsi="宋体" w:eastAsia="宋体"/>
          <w:color w:val="auto"/>
          <w:sz w:val="21"/>
          <w:szCs w:val="21"/>
          <w:highlight w:val="none"/>
        </w:rPr>
        <w:t>协议</w:t>
      </w:r>
      <w:r>
        <w:rPr>
          <w:rFonts w:ascii="宋体" w:hAnsi="宋体" w:eastAsia="宋体"/>
          <w:color w:val="auto"/>
          <w:sz w:val="21"/>
          <w:szCs w:val="21"/>
          <w:highlight w:val="none"/>
        </w:rPr>
        <w:t>的要求，向买方提供本合同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的设计、制造和检验标准的目录。</w:t>
      </w:r>
    </w:p>
    <w:p w14:paraId="4A198902">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2）根据本合同设备月度生产进度提交月度检验计划</w:t>
      </w:r>
      <w:r>
        <w:rPr>
          <w:rFonts w:hint="eastAsia" w:ascii="宋体" w:hAnsi="宋体" w:eastAsia="宋体"/>
          <w:color w:val="auto"/>
          <w:sz w:val="21"/>
          <w:szCs w:val="21"/>
          <w:highlight w:val="none"/>
        </w:rPr>
        <w:t>。</w:t>
      </w:r>
    </w:p>
    <w:p w14:paraId="6347A1E8">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3</w:t>
      </w:r>
      <w:r>
        <w:rPr>
          <w:rFonts w:hint="eastAsia" w:ascii="宋体" w:hAnsi="宋体" w:eastAsia="宋体"/>
          <w:color w:val="auto"/>
          <w:sz w:val="21"/>
          <w:szCs w:val="21"/>
          <w:highlight w:val="none"/>
        </w:rPr>
        <w:t>）卖方应当提供的技术资料包括但不限于按监造代表的要求及时、无偿提供质量管理体系文件、合同设备的设计文件、工艺文件、工艺标准、检验标准、设计联络会纪要、图纸、工艺和检验记录、试验大纲和方案、监造见证文件、</w:t>
      </w:r>
      <w:r>
        <w:rPr>
          <w:rFonts w:ascii="宋体" w:hAnsi="宋体" w:eastAsia="宋体"/>
          <w:color w:val="auto"/>
          <w:sz w:val="21"/>
          <w:szCs w:val="21"/>
          <w:highlight w:val="none"/>
        </w:rPr>
        <w:t>制造工作报告</w:t>
      </w:r>
      <w:r>
        <w:rPr>
          <w:rFonts w:hint="eastAsia" w:ascii="宋体" w:hAnsi="宋体" w:eastAsia="宋体"/>
          <w:color w:val="auto"/>
          <w:sz w:val="21"/>
          <w:szCs w:val="21"/>
          <w:highlight w:val="none"/>
        </w:rPr>
        <w:t>等资料，并承担由此发生的配合费用。</w:t>
      </w:r>
    </w:p>
    <w:p w14:paraId="2D87DCEF">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卖方应提供生产进度计划，原材料材质和性能检测报告，外购零部件试验报告及合格证，关键工艺说明，设备检验和试验报告等资料，其中对关键的原材料和零部件要求有供货批次、日期记录和质量控制标准。</w:t>
      </w:r>
    </w:p>
    <w:p w14:paraId="21E5E7F9">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4）为监造代表查阅与合同有关的卖方的技术标准、图纸及文件提供方便</w:t>
      </w:r>
      <w:r>
        <w:rPr>
          <w:rFonts w:hint="eastAsia" w:ascii="宋体" w:hAnsi="宋体" w:eastAsia="宋体"/>
          <w:color w:val="auto"/>
          <w:sz w:val="21"/>
          <w:szCs w:val="21"/>
          <w:highlight w:val="none"/>
        </w:rPr>
        <w:t>。</w:t>
      </w:r>
    </w:p>
    <w:p w14:paraId="58583939">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5）为监造代表提供生活方便，费用由买方自理。</w:t>
      </w:r>
    </w:p>
    <w:p w14:paraId="2120F6D0">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w:t>
      </w:r>
      <w:r>
        <w:rPr>
          <w:rFonts w:ascii="宋体" w:hAnsi="宋体" w:eastAsia="宋体"/>
          <w:color w:val="auto"/>
          <w:sz w:val="21"/>
          <w:szCs w:val="21"/>
          <w:highlight w:val="none"/>
        </w:rPr>
        <w:t>）</w:t>
      </w:r>
      <w:r>
        <w:rPr>
          <w:rFonts w:hint="eastAsia" w:ascii="宋体" w:hAnsi="宋体" w:eastAsia="宋体"/>
          <w:color w:val="auto"/>
          <w:sz w:val="21"/>
          <w:szCs w:val="21"/>
          <w:highlight w:val="none"/>
        </w:rPr>
        <w:t>为监造代表提供充分的方便,以使其不受限制地检查卖方所必须进行的试验、监造合同设备生产过程质量。</w:t>
      </w:r>
    </w:p>
    <w:p w14:paraId="661F99CA">
      <w:pPr>
        <w:pStyle w:val="16"/>
        <w:topLinePunct/>
        <w:snapToGrid w:val="0"/>
        <w:spacing w:line="360" w:lineRule="auto"/>
        <w:ind w:firstLine="420"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（7</w:t>
      </w:r>
      <w:r>
        <w:rPr>
          <w:rFonts w:ascii="宋体" w:hAnsi="宋体" w:eastAsia="宋体"/>
          <w:color w:val="auto"/>
          <w:sz w:val="21"/>
          <w:szCs w:val="21"/>
          <w:highlight w:val="none"/>
        </w:rPr>
        <w:t>）</w:t>
      </w:r>
      <w:r>
        <w:rPr>
          <w:rFonts w:hint="eastAsia" w:ascii="宋体" w:hAnsi="宋体" w:eastAsia="宋体"/>
          <w:color w:val="auto"/>
          <w:sz w:val="21"/>
          <w:szCs w:val="21"/>
          <w:highlight w:val="none"/>
        </w:rPr>
        <w:t>为买方代表提供充分的方便,以使其不受限制地检查卖方所必须进行的试验、监造合同设备生产过程质量、实施飞行检查。</w:t>
      </w:r>
    </w:p>
    <w:p w14:paraId="0F3CDB5F">
      <w:pPr>
        <w:pStyle w:val="16"/>
        <w:topLinePunct/>
        <w:snapToGrid w:val="0"/>
        <w:spacing w:line="360" w:lineRule="auto"/>
        <w:ind w:firstLine="420" w:firstLineChars="200"/>
        <w:rPr>
          <w:rFonts w:hint="eastAsia" w:ascii="宋体" w:hAnsi="宋体" w:eastAsia="宋体"/>
          <w:color w:val="auto"/>
          <w:sz w:val="21"/>
          <w:szCs w:val="21"/>
          <w:highlight w:val="none"/>
        </w:rPr>
      </w:pPr>
      <w:r>
        <w:rPr>
          <w:rFonts w:hint="eastAsia" w:ascii="宋体" w:hAnsi="宋体" w:eastAsia="宋体"/>
          <w:color w:val="auto"/>
          <w:sz w:val="21"/>
          <w:szCs w:val="21"/>
          <w:highlight w:val="none"/>
        </w:rPr>
        <w:t>（8）配合买方开展“远程监造”，为买方采集合同货物生产制造及试验过程和结果等信息提供系统接入支持。</w:t>
      </w:r>
    </w:p>
    <w:p w14:paraId="3F5EF691">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4.1.3.1 合同生效后，卖方应将合同签约及执行情况的相关信息和买方拟进行监造的合同设备的生产监造信息定期向合同约定的监造单位及其他相关单位报送。卖方报送的监造信息应包括以下内容:</w:t>
      </w:r>
    </w:p>
    <w:p w14:paraId="27E287FE">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1）制造单位生产质量负责人名单及联系方式</w:t>
      </w:r>
      <w:r>
        <w:rPr>
          <w:rFonts w:hint="eastAsia" w:ascii="宋体" w:hAnsi="宋体" w:eastAsia="宋体"/>
          <w:color w:val="auto"/>
          <w:sz w:val="21"/>
          <w:szCs w:val="21"/>
          <w:highlight w:val="none"/>
        </w:rPr>
        <w:t>（</w:t>
      </w:r>
      <w:r>
        <w:rPr>
          <w:rFonts w:ascii="宋体" w:hAnsi="宋体" w:eastAsia="宋体"/>
          <w:color w:val="auto"/>
          <w:sz w:val="21"/>
          <w:szCs w:val="21"/>
          <w:highlight w:val="none"/>
        </w:rPr>
        <w:t>办公室电话、移动电话、传真、电子</w:t>
      </w:r>
      <w:r>
        <w:rPr>
          <w:rFonts w:hint="eastAsia" w:ascii="宋体" w:hAnsi="宋体" w:eastAsia="宋体"/>
          <w:color w:val="auto"/>
          <w:sz w:val="21"/>
          <w:szCs w:val="21"/>
          <w:highlight w:val="none"/>
        </w:rPr>
        <w:t>邮箱）。</w:t>
      </w:r>
    </w:p>
    <w:p w14:paraId="5631C09C">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2）原材料、元器件到货情况</w:t>
      </w:r>
      <w:r>
        <w:rPr>
          <w:rFonts w:hint="eastAsia" w:ascii="宋体" w:hAnsi="宋体" w:eastAsia="宋体"/>
          <w:color w:val="auto"/>
          <w:sz w:val="21"/>
          <w:szCs w:val="21"/>
          <w:highlight w:val="none"/>
        </w:rPr>
        <w:t>。</w:t>
      </w:r>
    </w:p>
    <w:p w14:paraId="2F8F98D3">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3）生产进度计划</w:t>
      </w:r>
      <w:r>
        <w:rPr>
          <w:rFonts w:hint="eastAsia" w:ascii="宋体" w:hAnsi="宋体" w:eastAsia="宋体"/>
          <w:color w:val="auto"/>
          <w:sz w:val="21"/>
          <w:szCs w:val="21"/>
          <w:highlight w:val="none"/>
        </w:rPr>
        <w:t>和</w:t>
      </w:r>
      <w:r>
        <w:rPr>
          <w:rFonts w:ascii="宋体" w:hAnsi="宋体" w:eastAsia="宋体"/>
          <w:color w:val="auto"/>
          <w:sz w:val="21"/>
          <w:szCs w:val="21"/>
          <w:highlight w:val="none"/>
        </w:rPr>
        <w:t>实际生产进度</w:t>
      </w:r>
      <w:r>
        <w:rPr>
          <w:rFonts w:hint="eastAsia" w:ascii="宋体" w:hAnsi="宋体" w:eastAsia="宋体"/>
          <w:color w:val="auto"/>
          <w:sz w:val="21"/>
          <w:szCs w:val="21"/>
          <w:highlight w:val="none"/>
        </w:rPr>
        <w:t>。</w:t>
      </w:r>
    </w:p>
    <w:p w14:paraId="538CC214">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4）出厂交、验货情况</w:t>
      </w:r>
      <w:r>
        <w:rPr>
          <w:rFonts w:hint="eastAsia" w:ascii="宋体" w:hAnsi="宋体" w:eastAsia="宋体"/>
          <w:color w:val="auto"/>
          <w:sz w:val="21"/>
          <w:szCs w:val="21"/>
          <w:highlight w:val="none"/>
        </w:rPr>
        <w:t>。</w:t>
      </w:r>
    </w:p>
    <w:p w14:paraId="738C3826">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5）生产过程中出现的问题及处理结果。</w:t>
      </w:r>
    </w:p>
    <w:p w14:paraId="41866197">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4.1.3.2 卖方应提前10日将合同设备的监造事项和出厂试验时间通知</w:t>
      </w:r>
      <w:r>
        <w:rPr>
          <w:rFonts w:hint="eastAsia" w:ascii="宋体" w:hAnsi="宋体" w:eastAsia="宋体"/>
          <w:color w:val="auto"/>
          <w:sz w:val="21"/>
          <w:szCs w:val="21"/>
          <w:highlight w:val="none"/>
        </w:rPr>
        <w:t>监造代表</w:t>
      </w:r>
      <w:r>
        <w:rPr>
          <w:rFonts w:ascii="宋体" w:hAnsi="宋体" w:eastAsia="宋体"/>
          <w:color w:val="auto"/>
          <w:sz w:val="21"/>
          <w:szCs w:val="21"/>
          <w:highlight w:val="none"/>
        </w:rPr>
        <w:t>。</w:t>
      </w:r>
    </w:p>
    <w:p w14:paraId="7E1D3BC8">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4.1.3</w:t>
      </w:r>
      <w:r>
        <w:rPr>
          <w:rFonts w:hint="eastAsia" w:ascii="宋体" w:hAnsi="宋体" w:eastAsia="宋体"/>
          <w:color w:val="auto"/>
          <w:sz w:val="21"/>
          <w:szCs w:val="21"/>
          <w:highlight w:val="none"/>
        </w:rPr>
        <w:t>.3</w:t>
      </w:r>
      <w:r>
        <w:rPr>
          <w:rFonts w:ascii="宋体" w:hAnsi="宋体" w:eastAsia="宋体"/>
          <w:color w:val="auto"/>
          <w:sz w:val="21"/>
          <w:szCs w:val="21"/>
          <w:highlight w:val="none"/>
        </w:rPr>
        <w:t xml:space="preserve"> 双方商定的重要试验项目，卖方应在</w:t>
      </w:r>
      <w:r>
        <w:rPr>
          <w:rFonts w:hint="eastAsia" w:ascii="宋体" w:hAnsi="宋体" w:eastAsia="宋体"/>
          <w:color w:val="auto"/>
          <w:sz w:val="21"/>
          <w:szCs w:val="21"/>
          <w:highlight w:val="none"/>
        </w:rPr>
        <w:t>买方代表</w:t>
      </w:r>
      <w:r>
        <w:rPr>
          <w:rFonts w:ascii="宋体" w:hAnsi="宋体" w:eastAsia="宋体"/>
          <w:color w:val="auto"/>
          <w:sz w:val="21"/>
          <w:szCs w:val="21"/>
          <w:highlight w:val="none"/>
        </w:rPr>
        <w:t>现场见证的情况下进行试验，除买方明确表明不派员参加外，否则买方有权要求卖方重新试验，所需费用由卖方承担。</w:t>
      </w:r>
    </w:p>
    <w:p w14:paraId="2BD6DEE8">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现场或文字见证，由卖方提前通知生产进度，买方根据进度安排现场见证或文件检查，监造代表在规定的时间未能到场见证的，卖方可认为已获认可，可继续进行该项作业。</w:t>
      </w:r>
    </w:p>
    <w:p w14:paraId="3B949939">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针对设备的特殊工序的质量控制而设置的监控点，买方应在约定的时间到现场对该控制点进行监督检查，未经检查认可不得超越该控制点而开展后续工序。由卖方提前</w:t>
      </w:r>
      <w:r>
        <w:rPr>
          <w:rFonts w:ascii="宋体" w:hAnsi="宋体" w:eastAsia="宋体"/>
          <w:color w:val="auto"/>
          <w:sz w:val="21"/>
          <w:szCs w:val="21"/>
          <w:highlight w:val="none"/>
        </w:rPr>
        <w:t>10天书面通知，买方接到通知后3天内书面答复。卖方若未接到书面答复，并且</w:t>
      </w:r>
      <w:r>
        <w:rPr>
          <w:rFonts w:hint="eastAsia" w:ascii="宋体" w:hAnsi="宋体" w:eastAsia="宋体"/>
          <w:color w:val="auto"/>
          <w:sz w:val="21"/>
          <w:szCs w:val="21"/>
          <w:highlight w:val="none"/>
        </w:rPr>
        <w:t>监造代表</w:t>
      </w:r>
      <w:r>
        <w:rPr>
          <w:rFonts w:ascii="宋体" w:hAnsi="宋体" w:eastAsia="宋体"/>
          <w:color w:val="auto"/>
          <w:sz w:val="21"/>
          <w:szCs w:val="21"/>
          <w:highlight w:val="none"/>
        </w:rPr>
        <w:t>在第12天仍未到达的情况下，卖方自动转入下一道工序。</w:t>
      </w:r>
    </w:p>
    <w:p w14:paraId="26091C7D">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针对设备的关键部位或关键工序的质量控制而设置的全过程连续监控点。由卖方提前通知生产进度，买方根据进度安排现场过程监造。若监造代表未到达，卖方按进度正常进行。</w:t>
      </w:r>
    </w:p>
    <w:p w14:paraId="4EB08B29">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4.1.4.1 不符合合同标准的事项包括但不限于可能对货物质量产生影响的设计缺陷，零部件、元器件缺陷，装配工序，环、安、卫隐患等。</w:t>
      </w:r>
    </w:p>
    <w:p w14:paraId="4F0268C4">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4.1.4.2 除可以提出意见和建议外，</w:t>
      </w:r>
      <w:r>
        <w:rPr>
          <w:rFonts w:hint="eastAsia" w:ascii="宋体" w:hAnsi="宋体" w:eastAsia="宋体"/>
          <w:color w:val="auto"/>
          <w:sz w:val="21"/>
          <w:szCs w:val="21"/>
          <w:highlight w:val="none"/>
        </w:rPr>
        <w:t>监造代表</w:t>
      </w:r>
      <w:r>
        <w:rPr>
          <w:rFonts w:ascii="宋体" w:hAnsi="宋体" w:eastAsia="宋体"/>
          <w:color w:val="auto"/>
          <w:sz w:val="21"/>
          <w:szCs w:val="21"/>
          <w:highlight w:val="none"/>
        </w:rPr>
        <w:t>还享有以下权利：</w:t>
      </w:r>
    </w:p>
    <w:p w14:paraId="05351B2C">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1）举行会议，与卖方讨论制造过程出现的问题。</w:t>
      </w:r>
    </w:p>
    <w:p w14:paraId="0EB80650">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2）检查合同设备实际加工过程，要求中断或改进与合同不符之加工过程。</w:t>
      </w:r>
    </w:p>
    <w:p w14:paraId="2BCA0ADC">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3）如卖方不履行或拖延执行合同，代表买方提出交涉。</w:t>
      </w:r>
    </w:p>
    <w:p w14:paraId="3B377DA8">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4.1.4.3 如有影响合同设备质量和工期的重大事件发生，卖方应及时通报监造代表和买方。</w:t>
      </w:r>
    </w:p>
    <w:p w14:paraId="53256FAA">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 xml:space="preserve">4.1.4.4 </w:t>
      </w:r>
      <w:r>
        <w:rPr>
          <w:rFonts w:hint="eastAsia" w:ascii="宋体" w:hAnsi="宋体" w:eastAsia="宋体"/>
          <w:color w:val="auto"/>
          <w:sz w:val="21"/>
          <w:szCs w:val="21"/>
          <w:highlight w:val="none"/>
        </w:rPr>
        <w:t>卖方应当根据买方批准的整改方案进行整改。</w:t>
      </w:r>
      <w:r>
        <w:rPr>
          <w:rFonts w:ascii="宋体" w:hAnsi="宋体" w:eastAsia="宋体"/>
          <w:color w:val="auto"/>
          <w:sz w:val="21"/>
          <w:szCs w:val="21"/>
          <w:highlight w:val="none"/>
        </w:rPr>
        <w:t>监造代表</w:t>
      </w:r>
      <w:r>
        <w:rPr>
          <w:rFonts w:hint="eastAsia" w:ascii="宋体" w:hAnsi="宋体" w:eastAsia="宋体"/>
          <w:color w:val="auto"/>
          <w:sz w:val="21"/>
          <w:szCs w:val="21"/>
          <w:highlight w:val="none"/>
        </w:rPr>
        <w:t>和</w:t>
      </w:r>
      <w:r>
        <w:rPr>
          <w:rFonts w:ascii="宋体" w:hAnsi="宋体" w:eastAsia="宋体"/>
          <w:color w:val="auto"/>
          <w:sz w:val="21"/>
          <w:szCs w:val="21"/>
          <w:highlight w:val="none"/>
        </w:rPr>
        <w:t>买方相关人员有权参与、跟踪、检查整改工作并提出意见，卖方应根据监造代表的意见采取相应措施，保障交货质量。</w:t>
      </w:r>
    </w:p>
    <w:p w14:paraId="7853D3E2">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 xml:space="preserve">4.1.5 </w:t>
      </w:r>
      <w:r>
        <w:rPr>
          <w:rFonts w:hint="eastAsia" w:ascii="宋体" w:hAnsi="宋体" w:eastAsia="宋体"/>
          <w:color w:val="auto"/>
          <w:sz w:val="21"/>
          <w:szCs w:val="21"/>
          <w:highlight w:val="none"/>
        </w:rPr>
        <w:t>监造代表</w:t>
      </w:r>
      <w:r>
        <w:rPr>
          <w:rFonts w:ascii="宋体" w:hAnsi="宋体" w:eastAsia="宋体"/>
          <w:color w:val="auto"/>
          <w:sz w:val="21"/>
          <w:szCs w:val="21"/>
          <w:highlight w:val="none"/>
        </w:rPr>
        <w:t>对合同设备的监造也不得替代卖方自行检验的责任。</w:t>
      </w:r>
    </w:p>
    <w:p w14:paraId="180E7A1F">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4.1.6 在卖方或监造代表认为必要时邀请买方参与合同设备的技术设计，并向买方解释技术设计。</w:t>
      </w:r>
    </w:p>
    <w:p w14:paraId="48E81659">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4.1.7 由卖方供应的所有合同设备及部件出厂时，应附有制造厂签发的产品质量合格证，作为交货时的质量证明文件。</w:t>
      </w:r>
      <w:bookmarkStart w:id="211" w:name="_Hlk510017788"/>
      <w:r>
        <w:rPr>
          <w:rFonts w:hint="eastAsia" w:ascii="宋体" w:hAnsi="宋体" w:eastAsia="宋体"/>
          <w:color w:val="auto"/>
          <w:sz w:val="21"/>
          <w:szCs w:val="21"/>
          <w:highlight w:val="none"/>
        </w:rPr>
        <w:t>专用合同条款的专用部分有要求时，还应提供由监造代表签署的监造记录和试验报告。</w:t>
      </w:r>
      <w:r>
        <w:rPr>
          <w:rFonts w:ascii="宋体" w:hAnsi="宋体" w:eastAsia="宋体"/>
          <w:color w:val="auto"/>
          <w:sz w:val="21"/>
          <w:szCs w:val="21"/>
          <w:highlight w:val="none"/>
        </w:rPr>
        <w:t>买方组织驻厂监造的，合同设备在监造代表签署“合同货物</w:t>
      </w:r>
      <w:r>
        <w:rPr>
          <w:rFonts w:hint="eastAsia" w:ascii="宋体" w:hAnsi="宋体" w:eastAsia="宋体"/>
          <w:color w:val="auto"/>
          <w:sz w:val="21"/>
          <w:szCs w:val="21"/>
          <w:highlight w:val="none"/>
        </w:rPr>
        <w:t>出厂</w:t>
      </w:r>
      <w:r>
        <w:rPr>
          <w:rFonts w:hint="eastAsia" w:ascii="宋体" w:hAnsi="宋体" w:eastAsia="宋体"/>
          <w:color w:val="auto"/>
          <w:sz w:val="21"/>
          <w:szCs w:val="21"/>
          <w:highlight w:val="none"/>
          <w:lang w:eastAsia="zh-CN"/>
        </w:rPr>
        <w:t>放行单</w:t>
      </w:r>
      <w:r>
        <w:rPr>
          <w:rFonts w:ascii="宋体" w:hAnsi="宋体" w:eastAsia="宋体"/>
          <w:color w:val="auto"/>
          <w:sz w:val="21"/>
          <w:szCs w:val="21"/>
          <w:highlight w:val="none"/>
        </w:rPr>
        <w:t>”后方可出厂。</w:t>
      </w:r>
      <w:bookmarkEnd w:id="211"/>
    </w:p>
    <w:p w14:paraId="5BCFB347">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4.1.8 买方可在厂内对合同货物的原材料、元器件、关键工艺、成品等进行检测，分为买方自行实施、买方见证卖方实施和买方委托具备相应资质的检验机构实施等方式。卖方应根据买方要求无偿提供合格的试验仪器、配合人员和其他必要条件。</w:t>
      </w:r>
    </w:p>
    <w:p w14:paraId="3660CE7A">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买方见证卖方实施工厂抽检的，卖方应提前</w:t>
      </w:r>
      <w:r>
        <w:rPr>
          <w:rFonts w:ascii="宋体" w:hAnsi="宋体" w:eastAsia="宋体"/>
          <w:color w:val="auto"/>
          <w:sz w:val="21"/>
          <w:szCs w:val="21"/>
          <w:highlight w:val="none"/>
        </w:rPr>
        <w:t>7日通知买方生产进度，邀请买方现场见证，抽检结束后，买卖双方共同签署工厂抽检报告。</w:t>
      </w:r>
    </w:p>
    <w:p w14:paraId="1A401F43">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4.1.9 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试验过程中，试验不合格的，卖方应将处理过程及原因如实填写，</w:t>
      </w:r>
      <w:r>
        <w:rPr>
          <w:rFonts w:hint="eastAsia" w:ascii="宋体" w:hAnsi="宋体" w:eastAsia="宋体"/>
          <w:color w:val="auto"/>
          <w:sz w:val="21"/>
          <w:szCs w:val="21"/>
          <w:highlight w:val="none"/>
          <w:lang w:val="en-US" w:eastAsia="zh-CN"/>
        </w:rPr>
        <w:t>提交</w:t>
      </w:r>
      <w:r>
        <w:rPr>
          <w:rFonts w:ascii="宋体" w:hAnsi="宋体" w:eastAsia="宋体"/>
          <w:color w:val="auto"/>
          <w:sz w:val="21"/>
          <w:szCs w:val="21"/>
          <w:highlight w:val="none"/>
        </w:rPr>
        <w:t>买方。</w:t>
      </w:r>
    </w:p>
    <w:p w14:paraId="4A854AFD">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4.1.10 卖方应根据货物所配用元器件的重要性，提供相应的检测标准和项目，卖方有义务根据买方要求提供原始检测报告，并根据买方要求完善检测标准与增加检测项目。</w:t>
      </w:r>
    </w:p>
    <w:p w14:paraId="650135F8">
      <w:pPr>
        <w:pStyle w:val="5"/>
        <w:spacing w:before="0" w:after="0" w:line="360" w:lineRule="auto"/>
        <w:rPr>
          <w:rFonts w:ascii="宋体" w:hAnsi="宋体" w:eastAsia="宋体" w:cs="黑体"/>
          <w:color w:val="auto"/>
          <w:kern w:val="0"/>
          <w:sz w:val="21"/>
          <w:szCs w:val="28"/>
          <w:highlight w:val="none"/>
        </w:rPr>
      </w:pPr>
      <w:bookmarkStart w:id="212" w:name="_Toc27273"/>
      <w:bookmarkStart w:id="213" w:name="_Toc26275191"/>
      <w:bookmarkStart w:id="214" w:name="_Toc57494713"/>
      <w:bookmarkStart w:id="215" w:name="_Toc4719"/>
      <w:r>
        <w:rPr>
          <w:rFonts w:ascii="宋体" w:hAnsi="宋体" w:eastAsia="宋体" w:cs="黑体"/>
          <w:color w:val="auto"/>
          <w:kern w:val="0"/>
          <w:sz w:val="21"/>
          <w:szCs w:val="28"/>
          <w:highlight w:val="none"/>
        </w:rPr>
        <w:t xml:space="preserve">4.2 </w:t>
      </w:r>
      <w:r>
        <w:rPr>
          <w:rFonts w:hint="eastAsia" w:ascii="宋体" w:hAnsi="宋体" w:eastAsia="宋体" w:cs="黑体"/>
          <w:color w:val="auto"/>
          <w:kern w:val="0"/>
          <w:sz w:val="21"/>
          <w:szCs w:val="28"/>
          <w:highlight w:val="none"/>
        </w:rPr>
        <w:t>交货前检验</w:t>
      </w:r>
      <w:bookmarkEnd w:id="212"/>
      <w:bookmarkEnd w:id="213"/>
      <w:bookmarkEnd w:id="214"/>
      <w:bookmarkEnd w:id="215"/>
    </w:p>
    <w:p w14:paraId="501DE949">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买方是否参与交货前检验以合同履行过程中买方的通知为准。</w:t>
      </w:r>
    </w:p>
    <w:p w14:paraId="52E0DCB6">
      <w:pPr>
        <w:pStyle w:val="5"/>
        <w:spacing w:before="0" w:after="0" w:line="360" w:lineRule="auto"/>
        <w:rPr>
          <w:rFonts w:ascii="宋体" w:hAnsi="宋体" w:eastAsia="宋体" w:cs="黑体"/>
          <w:color w:val="auto"/>
          <w:kern w:val="0"/>
          <w:sz w:val="21"/>
          <w:szCs w:val="28"/>
          <w:highlight w:val="none"/>
        </w:rPr>
      </w:pPr>
      <w:bookmarkStart w:id="216" w:name="_Toc26275192"/>
      <w:bookmarkStart w:id="217" w:name="_Toc57494714"/>
      <w:bookmarkStart w:id="218" w:name="_Toc19707"/>
      <w:bookmarkStart w:id="219" w:name="_Toc15944"/>
      <w:bookmarkStart w:id="220" w:name="_Hlk510018279"/>
      <w:r>
        <w:rPr>
          <w:rFonts w:ascii="宋体" w:hAnsi="宋体" w:eastAsia="宋体" w:cs="黑体"/>
          <w:color w:val="auto"/>
          <w:kern w:val="0"/>
          <w:sz w:val="21"/>
          <w:szCs w:val="28"/>
          <w:highlight w:val="none"/>
        </w:rPr>
        <w:t xml:space="preserve">4.3 </w:t>
      </w:r>
      <w:r>
        <w:rPr>
          <w:rFonts w:hint="eastAsia" w:ascii="宋体" w:hAnsi="宋体" w:eastAsia="宋体" w:cs="黑体"/>
          <w:color w:val="auto"/>
          <w:kern w:val="0"/>
          <w:sz w:val="21"/>
          <w:szCs w:val="28"/>
          <w:highlight w:val="none"/>
        </w:rPr>
        <w:t>抽检</w:t>
      </w:r>
      <w:bookmarkEnd w:id="216"/>
      <w:bookmarkEnd w:id="217"/>
      <w:bookmarkEnd w:id="218"/>
      <w:bookmarkEnd w:id="219"/>
    </w:p>
    <w:bookmarkEnd w:id="220"/>
    <w:p w14:paraId="513663AC">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4.3.1 </w:t>
      </w:r>
      <w:r>
        <w:rPr>
          <w:rFonts w:hint="eastAsia" w:ascii="宋体" w:hAnsi="宋体" w:eastAsia="宋体" w:cs="宋体"/>
          <w:color w:val="auto"/>
          <w:sz w:val="21"/>
          <w:szCs w:val="21"/>
          <w:highlight w:val="none"/>
        </w:rPr>
        <w:t>买方有权对合同设备进行抽检，卖方应积极配合并提供抽检所需的资料和必要条件。买方对抽检另有要求的，按其要求执行。凡是买方自行实施或委托具备相应资质的检验机构做出的抽检（分为到货抽检和专项抽检）结果，卖方应认可。</w:t>
      </w:r>
    </w:p>
    <w:p w14:paraId="78D0438D">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4.3.2 卖方应为买方的抽检提供下列方便：</w:t>
      </w:r>
    </w:p>
    <w:p w14:paraId="5F381BC2">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1）提前10日将合同</w:t>
      </w:r>
      <w:r>
        <w:rPr>
          <w:rFonts w:hint="eastAsia" w:ascii="宋体" w:hAnsi="宋体" w:eastAsia="宋体" w:cs="宋体"/>
          <w:color w:val="auto"/>
          <w:sz w:val="21"/>
          <w:szCs w:val="21"/>
          <w:highlight w:val="none"/>
        </w:rPr>
        <w:t>设备</w:t>
      </w:r>
      <w:r>
        <w:rPr>
          <w:rFonts w:ascii="宋体" w:hAnsi="宋体" w:eastAsia="宋体" w:cs="宋体"/>
          <w:color w:val="auto"/>
          <w:sz w:val="21"/>
          <w:szCs w:val="21"/>
          <w:highlight w:val="none"/>
        </w:rPr>
        <w:t>的出厂试验时间通知买方；</w:t>
      </w:r>
    </w:p>
    <w:p w14:paraId="052378DD">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2）为买方抽检工作人员查阅与合同有关的卖方的技术标准、图纸及文件提卖方便；</w:t>
      </w:r>
    </w:p>
    <w:p w14:paraId="3DC68550">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3）提供生产计划及进度、原材料到货情况等其他有关抽检工作的方便。</w:t>
      </w:r>
    </w:p>
    <w:p w14:paraId="5CF3B851">
      <w:pPr>
        <w:pStyle w:val="16"/>
        <w:topLinePunct/>
        <w:snapToGrid w:val="0"/>
        <w:spacing w:line="360" w:lineRule="auto"/>
        <w:ind w:firstLine="420" w:firstLineChars="200"/>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rPr>
        <w:t>4.3.3</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到货抽检的结果作为买方对卖方每批次到货产品选择接收或拒收的依据之一。设备到货抽检的质量判断以签订的合同为依据</w:t>
      </w:r>
      <w:r>
        <w:rPr>
          <w:rFonts w:hint="eastAsia" w:ascii="宋体" w:hAnsi="宋体" w:eastAsia="宋体" w:cs="宋体"/>
          <w:color w:val="auto"/>
          <w:sz w:val="21"/>
          <w:szCs w:val="21"/>
          <w:highlight w:val="none"/>
        </w:rPr>
        <w:t>，合同未明确的应满足国标、行标等基本要求。</w:t>
      </w:r>
      <w:r>
        <w:rPr>
          <w:rFonts w:ascii="宋体" w:hAnsi="宋体" w:eastAsia="宋体" w:cs="宋体"/>
          <w:color w:val="auto"/>
          <w:sz w:val="21"/>
          <w:szCs w:val="21"/>
          <w:highlight w:val="none"/>
        </w:rPr>
        <w:t>视检测结果及合同约定，作修理、更换、延长质保期、退货、赔偿损失、</w:t>
      </w:r>
      <w:r>
        <w:rPr>
          <w:rFonts w:hint="eastAsia" w:ascii="宋体" w:hAnsi="宋体" w:eastAsia="宋体" w:cs="宋体"/>
          <w:color w:val="auto"/>
          <w:sz w:val="21"/>
          <w:szCs w:val="21"/>
          <w:highlight w:val="none"/>
        </w:rPr>
        <w:t>解除</w:t>
      </w:r>
      <w:r>
        <w:rPr>
          <w:rFonts w:ascii="宋体" w:hAnsi="宋体" w:eastAsia="宋体" w:cs="宋体"/>
          <w:color w:val="auto"/>
          <w:sz w:val="21"/>
          <w:szCs w:val="21"/>
          <w:highlight w:val="none"/>
        </w:rPr>
        <w:t>合同等处理。</w:t>
      </w:r>
      <w:r>
        <w:rPr>
          <w:rFonts w:hint="eastAsia" w:ascii="宋体" w:hAnsi="宋体" w:eastAsia="宋体" w:cs="宋体"/>
          <w:color w:val="auto"/>
          <w:sz w:val="21"/>
          <w:szCs w:val="21"/>
          <w:highlight w:val="none"/>
        </w:rPr>
        <w:t>买卖双方应对处理的要求和时限订立双方签章的书面约定，作为合同的补充</w:t>
      </w:r>
      <w:r>
        <w:rPr>
          <w:rFonts w:hint="eastAsia" w:ascii="宋体" w:hAnsi="宋体" w:eastAsia="宋体" w:cs="宋体"/>
          <w:color w:val="auto"/>
          <w:sz w:val="21"/>
          <w:szCs w:val="21"/>
          <w:highlight w:val="none"/>
          <w:lang w:eastAsia="zh-CN"/>
        </w:rPr>
        <w:t>。</w:t>
      </w:r>
    </w:p>
    <w:p w14:paraId="0422AE95">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4.3.4 专项抽检</w:t>
      </w:r>
      <w:r>
        <w:rPr>
          <w:rFonts w:hint="eastAsia" w:ascii="宋体" w:hAnsi="宋体" w:eastAsia="宋体" w:cs="宋体"/>
          <w:color w:val="auto"/>
          <w:sz w:val="21"/>
          <w:szCs w:val="21"/>
          <w:highlight w:val="none"/>
        </w:rPr>
        <w:t>的结果以合同约定为评判依据。</w:t>
      </w:r>
      <w:r>
        <w:rPr>
          <w:rFonts w:ascii="宋体" w:hAnsi="宋体" w:eastAsia="宋体" w:cs="宋体"/>
          <w:color w:val="auto"/>
          <w:sz w:val="21"/>
          <w:szCs w:val="21"/>
          <w:highlight w:val="none"/>
        </w:rPr>
        <w:t>卖方应配合买方在其成品库实行的抽检工作。</w:t>
      </w:r>
    </w:p>
    <w:p w14:paraId="6B39F6E7">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4.3.5 买方委托具备相应资质检验机构实施抽检的，如抽检的货物不符合合同要求，买方将按照合同约定或GB/T2828等国家相关规定，扩大抽检范围，视检测结果及合同相关约定，作修理、更换、延长质保期、退货、削价、赔偿损失、</w:t>
      </w:r>
      <w:r>
        <w:rPr>
          <w:rFonts w:hint="eastAsia" w:ascii="宋体" w:hAnsi="宋体" w:eastAsia="宋体" w:cs="宋体"/>
          <w:color w:val="auto"/>
          <w:sz w:val="21"/>
          <w:szCs w:val="21"/>
          <w:highlight w:val="none"/>
        </w:rPr>
        <w:t>解除</w:t>
      </w:r>
      <w:r>
        <w:rPr>
          <w:rFonts w:ascii="宋体" w:hAnsi="宋体" w:eastAsia="宋体" w:cs="宋体"/>
          <w:color w:val="auto"/>
          <w:sz w:val="21"/>
          <w:szCs w:val="21"/>
          <w:highlight w:val="none"/>
        </w:rPr>
        <w:t>合同等处理。</w:t>
      </w:r>
    </w:p>
    <w:p w14:paraId="17892B4A">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4.3.6</w:t>
      </w:r>
      <w:r>
        <w:rPr>
          <w:rFonts w:hint="eastAsia" w:ascii="宋体" w:hAnsi="宋体" w:eastAsia="宋体" w:cs="宋体"/>
          <w:color w:val="auto"/>
          <w:sz w:val="21"/>
          <w:szCs w:val="21"/>
          <w:highlight w:val="none"/>
        </w:rPr>
        <w:t xml:space="preserve"> 第一次抽检的费用由买方承担；若需要扩大抽检范围做第二次抽检，则由此产生的费用均由卖方承担。</w:t>
      </w:r>
    </w:p>
    <w:p w14:paraId="0C096A5A">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4.3.7 卖方对抽检的过程和结果有异议的，可在结果公布之日起10个工作日内向负责组织</w:t>
      </w:r>
      <w:r>
        <w:rPr>
          <w:rFonts w:hint="eastAsia" w:ascii="宋体" w:hAnsi="宋体" w:eastAsia="宋体" w:cs="宋体"/>
          <w:color w:val="auto"/>
          <w:sz w:val="21"/>
          <w:szCs w:val="21"/>
          <w:highlight w:val="none"/>
        </w:rPr>
        <w:t>抽检</w:t>
      </w:r>
      <w:r>
        <w:rPr>
          <w:rFonts w:ascii="宋体" w:hAnsi="宋体" w:eastAsia="宋体" w:cs="宋体"/>
          <w:color w:val="auto"/>
          <w:sz w:val="21"/>
          <w:szCs w:val="21"/>
          <w:highlight w:val="none"/>
        </w:rPr>
        <w:t>的供应链管理部门书面提出复查或复检申请并提供相关证明材料。</w:t>
      </w:r>
      <w:r>
        <w:rPr>
          <w:rFonts w:hint="eastAsia" w:ascii="宋体" w:hAnsi="宋体" w:eastAsia="宋体" w:cs="宋体"/>
          <w:color w:val="auto"/>
          <w:sz w:val="21"/>
          <w:szCs w:val="21"/>
          <w:highlight w:val="none"/>
        </w:rPr>
        <w:t>卖方提起复查或复检申请的次数不得超过一次。复检</w:t>
      </w:r>
      <w:r>
        <w:rPr>
          <w:rFonts w:ascii="宋体" w:hAnsi="宋体" w:eastAsia="宋体" w:cs="宋体"/>
          <w:color w:val="auto"/>
          <w:sz w:val="21"/>
          <w:szCs w:val="21"/>
          <w:highlight w:val="none"/>
        </w:rPr>
        <w:t>按以下原则实施：</w:t>
      </w:r>
    </w:p>
    <w:p w14:paraId="478CD6D0">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1）复检只针对原样品，</w:t>
      </w:r>
      <w:r>
        <w:rPr>
          <w:rFonts w:hint="eastAsia" w:ascii="宋体" w:hAnsi="宋体" w:eastAsia="宋体" w:cs="宋体"/>
          <w:color w:val="auto"/>
          <w:sz w:val="21"/>
          <w:szCs w:val="21"/>
          <w:highlight w:val="none"/>
        </w:rPr>
        <w:t>原样品若不具备复检条件，则采用原检测结果；</w:t>
      </w:r>
      <w:r>
        <w:rPr>
          <w:rFonts w:ascii="宋体" w:hAnsi="宋体" w:eastAsia="宋体" w:cs="宋体"/>
          <w:color w:val="auto"/>
          <w:sz w:val="21"/>
          <w:szCs w:val="21"/>
          <w:highlight w:val="none"/>
        </w:rPr>
        <w:t>复检结果若未改变，复检费用由卖方承担。</w:t>
      </w:r>
    </w:p>
    <w:p w14:paraId="093038F2">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卖方对检测结果无异议的，对于允许在原样品上进行修复整改的，</w:t>
      </w:r>
      <w:r>
        <w:rPr>
          <w:rFonts w:ascii="宋体" w:hAnsi="宋体" w:eastAsia="宋体" w:cs="宋体"/>
          <w:color w:val="auto"/>
          <w:sz w:val="21"/>
          <w:szCs w:val="21"/>
          <w:highlight w:val="none"/>
        </w:rPr>
        <w:t>复检项目针对不合格项目</w:t>
      </w:r>
      <w:r>
        <w:rPr>
          <w:rFonts w:hint="eastAsia" w:ascii="宋体" w:hAnsi="宋体" w:eastAsia="宋体" w:cs="宋体"/>
          <w:color w:val="auto"/>
          <w:sz w:val="21"/>
          <w:szCs w:val="21"/>
          <w:highlight w:val="none"/>
        </w:rPr>
        <w:t>，复检费用由卖方承担</w:t>
      </w:r>
      <w:r>
        <w:rPr>
          <w:rFonts w:ascii="宋体" w:hAnsi="宋体" w:eastAsia="宋体" w:cs="宋体"/>
          <w:color w:val="auto"/>
          <w:sz w:val="21"/>
          <w:szCs w:val="21"/>
          <w:highlight w:val="none"/>
        </w:rPr>
        <w:t>。</w:t>
      </w:r>
    </w:p>
    <w:p w14:paraId="2108EBBE">
      <w:pPr>
        <w:pStyle w:val="16"/>
        <w:topLinePunct/>
        <w:snapToGrid w:val="0"/>
        <w:spacing w:line="360" w:lineRule="auto"/>
        <w:ind w:firstLine="420" w:firstLineChars="200"/>
        <w:rPr>
          <w:rFonts w:hint="eastAsia" w:ascii="宋体" w:hAnsi="宋体" w:eastAsia="宋体" w:cs="宋体"/>
          <w:color w:val="auto"/>
          <w:sz w:val="21"/>
          <w:szCs w:val="21"/>
          <w:highlight w:val="none"/>
          <w:lang w:eastAsia="zh-CN"/>
        </w:rPr>
      </w:pPr>
      <w:r>
        <w:rPr>
          <w:rFonts w:ascii="宋体" w:hAnsi="宋体" w:eastAsia="宋体" w:cs="宋体"/>
          <w:color w:val="auto"/>
          <w:sz w:val="21"/>
          <w:szCs w:val="21"/>
          <w:highlight w:val="none"/>
        </w:rPr>
        <w:t>4.3.</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因卖方原因进行更换货的，换货后的抽检（含缺陷整改后复检）按常规到货抽检项目进行全检，检测费用由卖方承担</w:t>
      </w:r>
      <w:r>
        <w:rPr>
          <w:rFonts w:hint="eastAsia" w:ascii="宋体" w:hAnsi="宋体" w:eastAsia="宋体" w:cs="宋体"/>
          <w:color w:val="auto"/>
          <w:sz w:val="21"/>
          <w:szCs w:val="21"/>
          <w:highlight w:val="none"/>
          <w:lang w:eastAsia="zh-CN"/>
        </w:rPr>
        <w:t>。</w:t>
      </w:r>
    </w:p>
    <w:p w14:paraId="33063181">
      <w:pPr>
        <w:pStyle w:val="4"/>
        <w:spacing w:before="0" w:after="0" w:line="360" w:lineRule="auto"/>
        <w:rPr>
          <w:rFonts w:ascii="宋体" w:hAnsi="宋体" w:eastAsia="宋体" w:cs="Times New Roman"/>
          <w:color w:val="auto"/>
          <w:kern w:val="0"/>
          <w:sz w:val="21"/>
          <w:szCs w:val="21"/>
          <w:highlight w:val="none"/>
        </w:rPr>
      </w:pPr>
      <w:bookmarkStart w:id="221" w:name="_Toc31998"/>
      <w:bookmarkStart w:id="222" w:name="_Toc57494715"/>
      <w:bookmarkStart w:id="223" w:name="_Toc3046"/>
      <w:r>
        <w:rPr>
          <w:rFonts w:ascii="宋体" w:hAnsi="宋体" w:eastAsia="宋体" w:cs="Times New Roman"/>
          <w:color w:val="auto"/>
          <w:kern w:val="0"/>
          <w:sz w:val="21"/>
          <w:szCs w:val="21"/>
          <w:highlight w:val="none"/>
        </w:rPr>
        <w:t>5.</w:t>
      </w:r>
      <w:r>
        <w:rPr>
          <w:rFonts w:hint="eastAsia" w:ascii="宋体" w:hAnsi="宋体" w:eastAsia="宋体" w:cs="Times New Roman"/>
          <w:color w:val="auto"/>
          <w:kern w:val="0"/>
          <w:sz w:val="21"/>
          <w:szCs w:val="21"/>
          <w:highlight w:val="none"/>
        </w:rPr>
        <w:t>包装、标记、运输和交付</w:t>
      </w:r>
      <w:bookmarkEnd w:id="221"/>
      <w:bookmarkEnd w:id="222"/>
      <w:bookmarkEnd w:id="223"/>
    </w:p>
    <w:p w14:paraId="795E124E">
      <w:pPr>
        <w:pStyle w:val="5"/>
        <w:spacing w:before="0" w:after="0" w:line="360" w:lineRule="auto"/>
        <w:rPr>
          <w:rFonts w:ascii="宋体" w:hAnsi="宋体" w:eastAsia="宋体" w:cs="黑体"/>
          <w:color w:val="auto"/>
          <w:kern w:val="0"/>
          <w:sz w:val="21"/>
          <w:szCs w:val="28"/>
          <w:highlight w:val="none"/>
        </w:rPr>
      </w:pPr>
      <w:bookmarkStart w:id="224" w:name="_Toc15883"/>
      <w:bookmarkStart w:id="225" w:name="_Toc57494716"/>
      <w:bookmarkStart w:id="226" w:name="_Toc26275194"/>
      <w:bookmarkStart w:id="227" w:name="_Toc24660"/>
      <w:r>
        <w:rPr>
          <w:rFonts w:ascii="宋体" w:hAnsi="宋体" w:eastAsia="宋体" w:cs="黑体"/>
          <w:color w:val="auto"/>
          <w:kern w:val="0"/>
          <w:sz w:val="21"/>
          <w:szCs w:val="28"/>
          <w:highlight w:val="none"/>
        </w:rPr>
        <w:t xml:space="preserve">5.1 </w:t>
      </w:r>
      <w:r>
        <w:rPr>
          <w:rFonts w:hint="eastAsia" w:ascii="宋体" w:hAnsi="宋体" w:eastAsia="宋体" w:cs="黑体"/>
          <w:color w:val="auto"/>
          <w:kern w:val="0"/>
          <w:sz w:val="21"/>
          <w:szCs w:val="28"/>
          <w:highlight w:val="none"/>
        </w:rPr>
        <w:t>包装</w:t>
      </w:r>
      <w:bookmarkEnd w:id="224"/>
      <w:bookmarkEnd w:id="225"/>
      <w:bookmarkEnd w:id="226"/>
      <w:bookmarkEnd w:id="227"/>
    </w:p>
    <w:p w14:paraId="722D1AD7">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5.1.1.1</w:t>
      </w:r>
      <w:r>
        <w:rPr>
          <w:rFonts w:ascii="宋体" w:hAnsi="宋体" w:eastAsia="宋体" w:cs="宋体"/>
          <w:color w:val="auto"/>
          <w:sz w:val="21"/>
          <w:szCs w:val="21"/>
          <w:highlight w:val="none"/>
        </w:rPr>
        <w:t xml:space="preserve"> 合同设备</w:t>
      </w:r>
      <w:r>
        <w:rPr>
          <w:rFonts w:hint="eastAsia" w:ascii="宋体" w:hAnsi="宋体" w:eastAsia="宋体" w:cs="宋体"/>
          <w:color w:val="auto"/>
          <w:sz w:val="21"/>
          <w:szCs w:val="21"/>
          <w:highlight w:val="none"/>
        </w:rPr>
        <w:t>的包装还应</w:t>
      </w:r>
      <w:r>
        <w:rPr>
          <w:rFonts w:ascii="宋体" w:hAnsi="宋体" w:eastAsia="宋体" w:cs="宋体"/>
          <w:color w:val="auto"/>
          <w:sz w:val="21"/>
          <w:szCs w:val="21"/>
          <w:highlight w:val="none"/>
        </w:rPr>
        <w:t>符合相关包装储运指示标志的规定，按照国家有关部门最新的规定进行包装，</w:t>
      </w:r>
      <w:r>
        <w:rPr>
          <w:rFonts w:hint="eastAsia" w:ascii="宋体" w:hAnsi="宋体" w:eastAsia="宋体" w:cs="宋体"/>
          <w:color w:val="auto"/>
          <w:sz w:val="21"/>
          <w:szCs w:val="21"/>
          <w:highlight w:val="none"/>
        </w:rPr>
        <w:t>满足</w:t>
      </w:r>
      <w:r>
        <w:rPr>
          <w:rFonts w:ascii="宋体" w:hAnsi="宋体" w:eastAsia="宋体" w:cs="宋体"/>
          <w:color w:val="auto"/>
          <w:sz w:val="21"/>
          <w:szCs w:val="21"/>
          <w:highlight w:val="none"/>
        </w:rPr>
        <w:t>承受水平受力、</w:t>
      </w:r>
      <w:r>
        <w:rPr>
          <w:rFonts w:hint="eastAsia" w:ascii="宋体" w:hAnsi="宋体" w:eastAsia="宋体" w:cs="宋体"/>
          <w:color w:val="auto"/>
          <w:sz w:val="21"/>
          <w:szCs w:val="21"/>
          <w:highlight w:val="none"/>
        </w:rPr>
        <w:t>承受</w:t>
      </w:r>
      <w:r>
        <w:rPr>
          <w:rFonts w:ascii="宋体" w:hAnsi="宋体" w:eastAsia="宋体" w:cs="宋体"/>
          <w:color w:val="auto"/>
          <w:sz w:val="21"/>
          <w:szCs w:val="21"/>
          <w:highlight w:val="none"/>
        </w:rPr>
        <w:t>垂直受力、防碎等包装要求。</w:t>
      </w:r>
    </w:p>
    <w:p w14:paraId="1D37E4D5">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卖方</w:t>
      </w:r>
      <w:r>
        <w:rPr>
          <w:rFonts w:hint="eastAsia" w:ascii="宋体" w:hAnsi="宋体" w:eastAsia="宋体" w:cs="宋体"/>
          <w:color w:val="auto"/>
          <w:sz w:val="21"/>
          <w:szCs w:val="21"/>
          <w:highlight w:val="none"/>
        </w:rPr>
        <w:t>还</w:t>
      </w:r>
      <w:r>
        <w:rPr>
          <w:rFonts w:ascii="宋体" w:hAnsi="宋体" w:eastAsia="宋体" w:cs="宋体"/>
          <w:color w:val="auto"/>
          <w:sz w:val="21"/>
          <w:szCs w:val="21"/>
          <w:highlight w:val="none"/>
        </w:rPr>
        <w:t>应按照合同设备的特点，按需要分别加上防冲撞、防霉、防冻、防盗的保护措施，以便合同设备在没有任何损坏和腐蚀的情况下安全地运抵合同设备安装现场。</w:t>
      </w:r>
    </w:p>
    <w:p w14:paraId="56C6BA1E">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ascii="宋体" w:hAnsi="宋体" w:eastAsia="宋体" w:cs="宋体"/>
          <w:color w:val="auto"/>
          <w:sz w:val="21"/>
          <w:szCs w:val="21"/>
          <w:highlight w:val="none"/>
        </w:rPr>
        <w:t>1.2</w:t>
      </w:r>
      <w:r>
        <w:rPr>
          <w:rFonts w:hint="eastAsia" w:ascii="宋体" w:hAnsi="宋体" w:eastAsia="宋体" w:cs="宋体"/>
          <w:color w:val="auto"/>
          <w:sz w:val="21"/>
          <w:szCs w:val="21"/>
          <w:highlight w:val="none"/>
        </w:rPr>
        <w:t xml:space="preserve"> 卖方应对合同设备本体（含所有零部件）与合同设备资料分开单独包装。</w:t>
      </w:r>
      <w:r>
        <w:rPr>
          <w:rFonts w:ascii="宋体" w:hAnsi="宋体" w:eastAsia="宋体" w:cs="宋体"/>
          <w:color w:val="auto"/>
          <w:sz w:val="21"/>
          <w:szCs w:val="21"/>
          <w:highlight w:val="none"/>
        </w:rPr>
        <w:t>备品备件</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专用工具</w:t>
      </w:r>
      <w:r>
        <w:rPr>
          <w:rFonts w:hint="eastAsia" w:ascii="宋体" w:hAnsi="宋体" w:eastAsia="宋体" w:cs="宋体"/>
          <w:color w:val="auto"/>
          <w:sz w:val="21"/>
          <w:szCs w:val="21"/>
          <w:highlight w:val="none"/>
        </w:rPr>
        <w:t>、仪器仪表</w:t>
      </w:r>
      <w:r>
        <w:rPr>
          <w:rFonts w:ascii="宋体" w:hAnsi="宋体" w:eastAsia="宋体" w:cs="宋体"/>
          <w:color w:val="auto"/>
          <w:sz w:val="21"/>
          <w:szCs w:val="21"/>
          <w:highlight w:val="none"/>
        </w:rPr>
        <w:t>应按每台/套设备分别独立包装，</w:t>
      </w:r>
      <w:r>
        <w:rPr>
          <w:rFonts w:hint="eastAsia" w:ascii="宋体" w:hAnsi="宋体" w:eastAsia="宋体" w:cs="宋体"/>
          <w:color w:val="auto"/>
          <w:sz w:val="21"/>
          <w:szCs w:val="21"/>
          <w:highlight w:val="none"/>
        </w:rPr>
        <w:t>标记清楚并与主合同设备一起发货</w:t>
      </w:r>
      <w:r>
        <w:rPr>
          <w:rFonts w:ascii="宋体" w:hAnsi="宋体" w:eastAsia="宋体" w:cs="宋体"/>
          <w:color w:val="auto"/>
          <w:sz w:val="21"/>
          <w:szCs w:val="21"/>
          <w:highlight w:val="none"/>
        </w:rPr>
        <w:t>。</w:t>
      </w:r>
    </w:p>
    <w:p w14:paraId="057BE3FB">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5.1.1.</w:t>
      </w:r>
      <w:r>
        <w:rPr>
          <w:rFonts w:ascii="宋体" w:hAnsi="宋体" w:eastAsia="宋体" w:cs="宋体"/>
          <w:color w:val="auto"/>
          <w:sz w:val="21"/>
          <w:szCs w:val="21"/>
          <w:highlight w:val="none"/>
        </w:rPr>
        <w:t>3</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技术资料应装订成册并使用适合于长途运输、多次搬运、防雨和防潮的包装。</w:t>
      </w:r>
    </w:p>
    <w:p w14:paraId="02556488">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5.1.2.1 每件包装箱内，应附有包括分件名称、数量、图号的详细装箱单及装配所必需的机器和部件的装配图。</w:t>
      </w:r>
      <w:r>
        <w:rPr>
          <w:rFonts w:hint="eastAsia" w:ascii="宋体" w:hAnsi="宋体" w:eastAsia="宋体" w:cs="宋体"/>
          <w:color w:val="auto"/>
          <w:sz w:val="21"/>
          <w:szCs w:val="21"/>
          <w:highlight w:val="none"/>
        </w:rPr>
        <w:t>外购件包装箱内还应附有产品出厂质量合格证明书、技术说明各一份。</w:t>
      </w:r>
    </w:p>
    <w:p w14:paraId="7C58D732">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5.1.2.</w:t>
      </w:r>
      <w:r>
        <w:rPr>
          <w:rFonts w:ascii="宋体" w:hAnsi="宋体" w:eastAsia="宋体" w:cs="宋体"/>
          <w:color w:val="auto"/>
          <w:sz w:val="21"/>
          <w:szCs w:val="21"/>
          <w:highlight w:val="none"/>
        </w:rPr>
        <w:t>2</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 xml:space="preserve">合同设备包装前，卖方应负责按部套进行检查清理，不留异物，并保证零部件齐全。 </w:t>
      </w:r>
    </w:p>
    <w:p w14:paraId="43C684AE">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5.1.4</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小件合同设备及松散零星的部件应采用适当的包装方式，装入尽可能小的完好的包装箱内，并尽可能整车发运。</w:t>
      </w:r>
      <w:r>
        <w:rPr>
          <w:rFonts w:hint="eastAsia" w:ascii="宋体" w:hAnsi="宋体" w:eastAsia="宋体" w:cs="宋体"/>
          <w:color w:val="auto"/>
          <w:sz w:val="21"/>
          <w:szCs w:val="21"/>
          <w:highlight w:val="none"/>
        </w:rPr>
        <w:t>大件合同设备应带有足够的设备支撑或垫木。</w:t>
      </w:r>
    </w:p>
    <w:p w14:paraId="611E01FC">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5.1.5 任何在装运中可能散失的合同设备，应用箱式包装或按照买方要求包装，确保合同设备不散失，并清晰标志部件在装配图中的部件号、零件号等识别记号。</w:t>
      </w:r>
    </w:p>
    <w:p w14:paraId="3F4ECA66">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5.1.6 对于需要保证精确装配的洁净加工面的设备，其加工面应采用优良耐久的保护层（不得用油漆）以防止在安装前发生锈蚀。</w:t>
      </w:r>
    </w:p>
    <w:p w14:paraId="5539792E">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5.1.7 </w:t>
      </w:r>
      <w:r>
        <w:rPr>
          <w:rFonts w:hint="eastAsia" w:ascii="宋体" w:hAnsi="宋体" w:eastAsia="宋体" w:cs="宋体"/>
          <w:color w:val="auto"/>
          <w:sz w:val="21"/>
          <w:szCs w:val="21"/>
          <w:highlight w:val="none"/>
        </w:rPr>
        <w:t>包装材料</w:t>
      </w:r>
    </w:p>
    <w:p w14:paraId="6AFFEBEA">
      <w:pPr>
        <w:pStyle w:val="16"/>
        <w:topLinePunct/>
        <w:snapToGrid w:val="0"/>
        <w:spacing w:line="360" w:lineRule="auto"/>
        <w:ind w:firstLine="420" w:firstLineChars="200"/>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5.1.7.1 </w:t>
      </w:r>
      <w:r>
        <w:rPr>
          <w:rFonts w:hint="eastAsia" w:ascii="宋体" w:hAnsi="宋体" w:eastAsia="宋体" w:cs="宋体"/>
          <w:color w:val="auto"/>
          <w:sz w:val="21"/>
          <w:szCs w:val="21"/>
          <w:highlight w:val="none"/>
        </w:rPr>
        <w:t>卖方用于合同设备的包装材料，应符合国家相关环保标准、用材节约、便利回收，否则买方有权拒收。</w:t>
      </w:r>
    </w:p>
    <w:p w14:paraId="3C8BA319">
      <w:pPr>
        <w:pStyle w:val="16"/>
        <w:topLinePunct/>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ascii="宋体" w:hAnsi="宋体" w:eastAsia="宋体" w:cs="宋体"/>
          <w:color w:val="auto"/>
          <w:sz w:val="21"/>
          <w:szCs w:val="21"/>
          <w:highlight w:val="none"/>
        </w:rPr>
        <w:t>7</w:t>
      </w:r>
      <w:r>
        <w:rPr>
          <w:rFonts w:hint="eastAsia" w:ascii="宋体" w:hAnsi="宋体" w:eastAsia="宋体" w:cs="宋体"/>
          <w:color w:val="auto"/>
          <w:sz w:val="21"/>
          <w:szCs w:val="21"/>
          <w:highlight w:val="none"/>
        </w:rPr>
        <w:t>.2 卖方用于合同设备的包装材料属应检验检疫的，应依法办理检验检疫手续并作为接收资料移交给买方，否则，买方有权拒收，并追究卖方违约责任。如因卖方提供的包装材料</w:t>
      </w:r>
      <w:r>
        <w:rPr>
          <w:rFonts w:hint="eastAsia" w:ascii="宋体" w:hAnsi="宋体" w:eastAsia="宋体" w:cs="宋体"/>
          <w:color w:val="auto"/>
          <w:sz w:val="21"/>
          <w:szCs w:val="21"/>
          <w:highlight w:val="none"/>
          <w:lang w:val="en-US" w:eastAsia="zh-CN"/>
        </w:rPr>
        <w:t>问题</w:t>
      </w:r>
      <w:r>
        <w:rPr>
          <w:rFonts w:hint="eastAsia" w:ascii="宋体" w:hAnsi="宋体" w:eastAsia="宋体" w:cs="宋体"/>
          <w:color w:val="auto"/>
          <w:sz w:val="21"/>
          <w:szCs w:val="21"/>
          <w:highlight w:val="none"/>
        </w:rPr>
        <w:t>导致的经济损失由卖方负责。</w:t>
      </w:r>
    </w:p>
    <w:p w14:paraId="354CD749">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5.1.</w:t>
      </w:r>
      <w:r>
        <w:rPr>
          <w:rFonts w:ascii="宋体" w:hAnsi="宋体" w:eastAsia="宋体" w:cs="宋体"/>
          <w:color w:val="auto"/>
          <w:sz w:val="21"/>
          <w:szCs w:val="21"/>
          <w:highlight w:val="none"/>
        </w:rPr>
        <w:t>7</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rPr>
        <w:t>卖方不得以松木材为包装材料，否则买方有权拒收，并追究卖方违约责任。</w:t>
      </w:r>
    </w:p>
    <w:p w14:paraId="2B548BEC">
      <w:pPr>
        <w:pStyle w:val="5"/>
        <w:spacing w:before="0" w:after="0" w:line="360" w:lineRule="auto"/>
        <w:rPr>
          <w:rFonts w:ascii="宋体" w:hAnsi="宋体" w:eastAsia="宋体" w:cs="黑体"/>
          <w:color w:val="auto"/>
          <w:kern w:val="0"/>
          <w:sz w:val="21"/>
          <w:szCs w:val="28"/>
          <w:highlight w:val="none"/>
        </w:rPr>
      </w:pPr>
      <w:bookmarkStart w:id="228" w:name="_Toc57494717"/>
      <w:bookmarkStart w:id="229" w:name="_Toc9132"/>
      <w:bookmarkStart w:id="230" w:name="_Toc30598"/>
      <w:bookmarkStart w:id="231" w:name="_Toc26275195"/>
      <w:bookmarkStart w:id="232" w:name="_Hlk510968006"/>
      <w:r>
        <w:rPr>
          <w:rFonts w:ascii="宋体" w:hAnsi="宋体" w:eastAsia="宋体" w:cs="黑体"/>
          <w:color w:val="auto"/>
          <w:kern w:val="0"/>
          <w:sz w:val="21"/>
          <w:szCs w:val="28"/>
          <w:highlight w:val="none"/>
        </w:rPr>
        <w:t xml:space="preserve">5.2 </w:t>
      </w:r>
      <w:r>
        <w:rPr>
          <w:rFonts w:hint="eastAsia" w:ascii="宋体" w:hAnsi="宋体" w:eastAsia="宋体" w:cs="黑体"/>
          <w:color w:val="auto"/>
          <w:kern w:val="0"/>
          <w:sz w:val="21"/>
          <w:szCs w:val="28"/>
          <w:highlight w:val="none"/>
        </w:rPr>
        <w:t>标记</w:t>
      </w:r>
      <w:bookmarkEnd w:id="228"/>
      <w:bookmarkEnd w:id="229"/>
      <w:bookmarkEnd w:id="230"/>
      <w:bookmarkEnd w:id="231"/>
    </w:p>
    <w:bookmarkEnd w:id="232"/>
    <w:p w14:paraId="0B72225D">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5.2.1.1 卖方应在每件包装箱上标记</w:t>
      </w:r>
      <w:r>
        <w:rPr>
          <w:rFonts w:hint="eastAsia" w:ascii="宋体" w:hAnsi="宋体" w:eastAsia="宋体" w:cs="宋体"/>
          <w:color w:val="auto"/>
          <w:sz w:val="21"/>
          <w:szCs w:val="21"/>
          <w:highlight w:val="none"/>
        </w:rPr>
        <w:t>以下内容</w:t>
      </w:r>
      <w:r>
        <w:rPr>
          <w:rFonts w:ascii="宋体" w:hAnsi="宋体" w:eastAsia="宋体" w:cs="宋体"/>
          <w:color w:val="auto"/>
          <w:sz w:val="21"/>
          <w:szCs w:val="21"/>
          <w:highlight w:val="none"/>
        </w:rPr>
        <w:t>：</w:t>
      </w:r>
    </w:p>
    <w:p w14:paraId="705EC1A6">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1）合同号/产品工号；</w:t>
      </w:r>
    </w:p>
    <w:p w14:paraId="2567F92E">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2）到货站；</w:t>
      </w:r>
    </w:p>
    <w:p w14:paraId="6455EE4C">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3）收货人名称；</w:t>
      </w:r>
    </w:p>
    <w:p w14:paraId="4FB20C4B">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4）合同设备规格型号及部件名称；</w:t>
      </w:r>
    </w:p>
    <w:p w14:paraId="63E79451">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5）箱号/件号；</w:t>
      </w:r>
    </w:p>
    <w:p w14:paraId="51A57E40">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6）毛重/净重；</w:t>
      </w:r>
    </w:p>
    <w:p w14:paraId="1837BDA9">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7）体积(长×宽×高，以毫米表示)；</w:t>
      </w:r>
    </w:p>
    <w:p w14:paraId="7C93A67B">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8）设备运输警示标识；</w:t>
      </w:r>
    </w:p>
    <w:p w14:paraId="205D6D30">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9）工程名称；</w:t>
      </w:r>
    </w:p>
    <w:p w14:paraId="0005E1A6">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10）设备生产日期、有效使用期限；</w:t>
      </w:r>
    </w:p>
    <w:p w14:paraId="6BED79A0">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11）仓储保管要求；</w:t>
      </w:r>
    </w:p>
    <w:p w14:paraId="51762726">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12）其他应标记内容</w:t>
      </w:r>
    </w:p>
    <w:p w14:paraId="54A34A01">
      <w:pPr>
        <w:pStyle w:val="16"/>
        <w:topLinePunct/>
        <w:autoSpaceDE/>
        <w:autoSpaceDN/>
        <w:snapToGrid w:val="0"/>
        <w:spacing w:line="360" w:lineRule="auto"/>
        <w:ind w:firstLine="420" w:firstLineChars="200"/>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5.2.1.2</w:t>
      </w:r>
      <w:r>
        <w:rPr>
          <w:rFonts w:hint="eastAsia" w:ascii="宋体" w:hAnsi="宋体" w:eastAsia="宋体" w:cs="宋体"/>
          <w:color w:val="auto"/>
          <w:sz w:val="21"/>
          <w:szCs w:val="21"/>
          <w:highlight w:val="none"/>
        </w:rPr>
        <w:t xml:space="preserve"> 对于《南方电网公司电网实物编码贴标工作指引》适用范围的物资，由南方电网公司对物资进行“实物编码”授码，卖方应按照南方电网供应链统一服务平台公布的实物编码技术规范和贴标工作指引在设备指定位置贴置符合技术要求的实物编码标签，并将该实物编码与物资出厂编码（序列号）建立关联，在供应商外网平台录入供应商和设备参数。参数录入工作按照南方电网供应链统一服务平台固定的参数模板要求执行。实物编码标签的材料、贴标费用由卖方承担。</w:t>
      </w:r>
    </w:p>
    <w:p w14:paraId="0D6E3955">
      <w:pPr>
        <w:pStyle w:val="16"/>
        <w:topLinePunct/>
        <w:autoSpaceDE/>
        <w:autoSpaceDN/>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5.2.1.3 对于《南方电网公司电网实物编码贴标工作指引》适用范围以外的物资，由南方电网公司授予物资身份编码及身份标签，卖方应在货物产成发运前，在货物本体及其最小包装上贴置。物资身份标签优先采用自带背胶防水PTE标签或塑封标牌，采用背胶粘贴、轧带捆绑等方式固定，物资身份标签的材料、贴标费用由卖方承担。</w:t>
      </w:r>
    </w:p>
    <w:p w14:paraId="5D71647C">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5.2.2.1 其他标记包括但不限于</w:t>
      </w:r>
      <w:r>
        <w:rPr>
          <w:rFonts w:ascii="宋体" w:hAnsi="宋体" w:eastAsia="宋体" w:cs="宋体"/>
          <w:color w:val="auto"/>
          <w:sz w:val="21"/>
          <w:szCs w:val="21"/>
          <w:highlight w:val="none"/>
        </w:rPr>
        <w:t>“禁止溜放”、“防雨”等字样</w:t>
      </w:r>
      <w:r>
        <w:rPr>
          <w:rFonts w:hint="eastAsia" w:ascii="宋体" w:hAnsi="宋体" w:eastAsia="宋体" w:cs="宋体"/>
          <w:color w:val="auto"/>
          <w:sz w:val="21"/>
          <w:szCs w:val="21"/>
          <w:highlight w:val="none"/>
        </w:rPr>
        <w:t>和（或）</w:t>
      </w:r>
      <w:r>
        <w:rPr>
          <w:rFonts w:ascii="宋体" w:hAnsi="宋体" w:eastAsia="宋体" w:cs="宋体"/>
          <w:color w:val="auto"/>
          <w:sz w:val="21"/>
          <w:szCs w:val="21"/>
          <w:highlight w:val="none"/>
        </w:rPr>
        <w:t>适当的习惯用符号</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直观标记。</w:t>
      </w:r>
    </w:p>
    <w:p w14:paraId="6483956C">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5.2.2.2 凡重量达到</w:t>
      </w:r>
      <w:r>
        <w:rPr>
          <w:rFonts w:ascii="宋体" w:hAnsi="宋体" w:eastAsia="宋体" w:cs="宋体"/>
          <w:color w:val="auto"/>
          <w:sz w:val="21"/>
          <w:szCs w:val="21"/>
          <w:highlight w:val="none"/>
        </w:rPr>
        <w:t>2吨的合同设备或特殊形状的设备，</w:t>
      </w:r>
      <w:r>
        <w:rPr>
          <w:rFonts w:hint="eastAsia" w:ascii="宋体" w:hAnsi="宋体" w:eastAsia="宋体" w:cs="宋体"/>
          <w:color w:val="auto"/>
          <w:sz w:val="21"/>
          <w:szCs w:val="21"/>
          <w:highlight w:val="none"/>
        </w:rPr>
        <w:t>属于超大超重件</w:t>
      </w:r>
      <w:r>
        <w:rPr>
          <w:rFonts w:ascii="宋体" w:hAnsi="宋体" w:eastAsia="宋体" w:cs="宋体"/>
          <w:color w:val="auto"/>
          <w:sz w:val="21"/>
          <w:szCs w:val="21"/>
          <w:highlight w:val="none"/>
        </w:rPr>
        <w:t>。</w:t>
      </w:r>
    </w:p>
    <w:p w14:paraId="3BB886C1">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5.2.3 每包技术资料的封面上应注明下述内容：</w:t>
      </w:r>
    </w:p>
    <w:p w14:paraId="73FFCEF4">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1）工程名称/合同号；</w:t>
      </w:r>
    </w:p>
    <w:p w14:paraId="4A1D05A4">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2）收货人名称；</w:t>
      </w:r>
    </w:p>
    <w:p w14:paraId="1D57C4B3">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3）目的地；</w:t>
      </w:r>
    </w:p>
    <w:p w14:paraId="6A1BF16B">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4）毛重；</w:t>
      </w:r>
    </w:p>
    <w:p w14:paraId="02103561">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5）箱号；</w:t>
      </w:r>
    </w:p>
    <w:p w14:paraId="05D687AE">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6）仓储保管要求；</w:t>
      </w:r>
    </w:p>
    <w:p w14:paraId="6CF73106">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7）其他应标计内容。</w:t>
      </w:r>
    </w:p>
    <w:p w14:paraId="74174974">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每一包资料内应附有技术资料的详细清单一式二份，标明技术资料的序号、文件项号、名称和页数的明细表。</w:t>
      </w:r>
    </w:p>
    <w:p w14:paraId="7ECDC305">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5.2.4 卖方在每个备品备件上贴有辨认的标签，该标签应至少包括以下内容：</w:t>
      </w:r>
    </w:p>
    <w:p w14:paraId="46B5FF32">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ascii="宋体" w:hAnsi="宋体" w:eastAsia="宋体" w:cs="宋体"/>
          <w:color w:val="auto"/>
          <w:sz w:val="21"/>
          <w:szCs w:val="21"/>
          <w:highlight w:val="none"/>
        </w:rPr>
        <w:t>一个统一的序号和工厂分类号</w:t>
      </w:r>
      <w:r>
        <w:rPr>
          <w:rFonts w:hint="eastAsia" w:ascii="宋体" w:hAnsi="宋体" w:eastAsia="宋体" w:cs="宋体"/>
          <w:color w:val="auto"/>
          <w:sz w:val="21"/>
          <w:szCs w:val="21"/>
          <w:highlight w:val="none"/>
        </w:rPr>
        <w:t>；</w:t>
      </w:r>
    </w:p>
    <w:p w14:paraId="523E1294">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ascii="宋体" w:hAnsi="宋体" w:eastAsia="宋体" w:cs="宋体"/>
          <w:color w:val="auto"/>
          <w:sz w:val="21"/>
          <w:szCs w:val="21"/>
          <w:highlight w:val="none"/>
        </w:rPr>
        <w:t>品名</w:t>
      </w:r>
      <w:r>
        <w:rPr>
          <w:rFonts w:hint="eastAsia" w:ascii="宋体" w:hAnsi="宋体" w:eastAsia="宋体" w:cs="宋体"/>
          <w:color w:val="auto"/>
          <w:sz w:val="21"/>
          <w:szCs w:val="21"/>
          <w:highlight w:val="none"/>
        </w:rPr>
        <w:t>；</w:t>
      </w:r>
    </w:p>
    <w:p w14:paraId="293B286F">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ascii="宋体" w:hAnsi="宋体" w:eastAsia="宋体" w:cs="宋体"/>
          <w:color w:val="auto"/>
          <w:sz w:val="21"/>
          <w:szCs w:val="21"/>
          <w:highlight w:val="none"/>
        </w:rPr>
        <w:t>图纸参考号</w:t>
      </w:r>
    </w:p>
    <w:p w14:paraId="4D63E942">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ascii="宋体" w:hAnsi="宋体" w:eastAsia="宋体" w:cs="宋体"/>
          <w:color w:val="auto"/>
          <w:sz w:val="21"/>
          <w:szCs w:val="21"/>
          <w:highlight w:val="none"/>
        </w:rPr>
        <w:t>数量</w:t>
      </w:r>
      <w:r>
        <w:rPr>
          <w:rFonts w:hint="eastAsia" w:ascii="宋体" w:hAnsi="宋体" w:eastAsia="宋体" w:cs="宋体"/>
          <w:color w:val="auto"/>
          <w:sz w:val="21"/>
          <w:szCs w:val="21"/>
          <w:highlight w:val="none"/>
        </w:rPr>
        <w:t>；</w:t>
      </w:r>
    </w:p>
    <w:p w14:paraId="71FA671C">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ascii="宋体" w:hAnsi="宋体" w:eastAsia="宋体" w:cs="宋体"/>
          <w:color w:val="auto"/>
          <w:sz w:val="21"/>
          <w:szCs w:val="21"/>
          <w:highlight w:val="none"/>
        </w:rPr>
        <w:t>单价。</w:t>
      </w:r>
    </w:p>
    <w:p w14:paraId="6C2AAA1C">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5.2.5 对于裸装的合同设备应以金属标签或直接在设备本身上注明上述有关内容。</w:t>
      </w:r>
    </w:p>
    <w:p w14:paraId="76DBA51C">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5.2.6</w:t>
      </w:r>
      <w:r>
        <w:rPr>
          <w:rFonts w:hint="eastAsia" w:ascii="宋体" w:hAnsi="宋体" w:eastAsia="宋体" w:cs="宋体"/>
          <w:color w:val="auto"/>
          <w:sz w:val="21"/>
          <w:szCs w:val="21"/>
          <w:highlight w:val="none"/>
        </w:rPr>
        <w:t xml:space="preserve"> </w:t>
      </w:r>
      <w:r>
        <w:rPr>
          <w:rFonts w:ascii="宋体" w:hAnsi="宋体" w:eastAsia="宋体" w:cs="宋体"/>
          <w:color w:val="auto"/>
          <w:sz w:val="21"/>
          <w:szCs w:val="21"/>
          <w:highlight w:val="none"/>
        </w:rPr>
        <w:t>包装箱应连续编号，不能有重号。卖方与其分包商的设备一般不用同一箱号。</w:t>
      </w:r>
    </w:p>
    <w:p w14:paraId="0B9BC286">
      <w:pPr>
        <w:pStyle w:val="5"/>
        <w:spacing w:before="0" w:after="0" w:line="360" w:lineRule="auto"/>
        <w:rPr>
          <w:rFonts w:ascii="宋体" w:hAnsi="宋体" w:eastAsia="宋体" w:cs="黑体"/>
          <w:color w:val="auto"/>
          <w:kern w:val="0"/>
          <w:sz w:val="21"/>
          <w:szCs w:val="28"/>
          <w:highlight w:val="none"/>
        </w:rPr>
      </w:pPr>
      <w:bookmarkStart w:id="233" w:name="_Toc14496"/>
      <w:bookmarkStart w:id="234" w:name="_Toc26275196"/>
      <w:bookmarkStart w:id="235" w:name="_Toc57494718"/>
      <w:bookmarkStart w:id="236" w:name="_Toc31534"/>
      <w:bookmarkStart w:id="237" w:name="_Hlk510967993"/>
      <w:r>
        <w:rPr>
          <w:rFonts w:ascii="宋体" w:hAnsi="宋体" w:eastAsia="宋体" w:cs="黑体"/>
          <w:color w:val="auto"/>
          <w:kern w:val="0"/>
          <w:sz w:val="21"/>
          <w:szCs w:val="28"/>
          <w:highlight w:val="none"/>
        </w:rPr>
        <w:t xml:space="preserve">5.3 </w:t>
      </w:r>
      <w:r>
        <w:rPr>
          <w:rFonts w:hint="eastAsia" w:ascii="宋体" w:hAnsi="宋体" w:eastAsia="宋体" w:cs="黑体"/>
          <w:color w:val="auto"/>
          <w:kern w:val="0"/>
          <w:sz w:val="21"/>
          <w:szCs w:val="28"/>
          <w:highlight w:val="none"/>
        </w:rPr>
        <w:t>运输</w:t>
      </w:r>
      <w:bookmarkEnd w:id="233"/>
      <w:bookmarkEnd w:id="234"/>
      <w:bookmarkEnd w:id="235"/>
      <w:bookmarkEnd w:id="236"/>
    </w:p>
    <w:bookmarkEnd w:id="237"/>
    <w:p w14:paraId="32144AD3">
      <w:pPr>
        <w:pStyle w:val="16"/>
        <w:wordWrap w:val="0"/>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5.3.1</w:t>
      </w:r>
      <w:r>
        <w:rPr>
          <w:rFonts w:hint="eastAsia" w:ascii="宋体" w:hAnsi="宋体" w:eastAsia="宋体"/>
          <w:color w:val="auto"/>
          <w:sz w:val="21"/>
          <w:szCs w:val="21"/>
          <w:highlight w:val="none"/>
          <w:lang w:val="en-US" w:eastAsia="zh-CN"/>
        </w:rPr>
        <w:t>.1</w:t>
      </w:r>
      <w:r>
        <w:rPr>
          <w:rFonts w:hint="eastAsia" w:ascii="宋体" w:hAnsi="宋体" w:eastAsia="宋体"/>
          <w:color w:val="auto"/>
          <w:sz w:val="21"/>
          <w:szCs w:val="21"/>
          <w:highlight w:val="none"/>
        </w:rPr>
        <w:t xml:space="preserve"> 卖方应自行选择适宜的运输工具及线路安排合同设备运输。卖方及其承运单位</w:t>
      </w:r>
      <w:r>
        <w:rPr>
          <w:rFonts w:hint="eastAsia" w:ascii="宋体" w:hAnsi="宋体" w:eastAsia="宋体"/>
          <w:color w:val="auto"/>
          <w:sz w:val="21"/>
          <w:szCs w:val="21"/>
          <w:highlight w:val="none"/>
          <w:lang w:val="en-US" w:eastAsia="zh-CN"/>
        </w:rPr>
        <w:t>应</w:t>
      </w:r>
      <w:r>
        <w:rPr>
          <w:rFonts w:hint="eastAsia" w:ascii="宋体" w:hAnsi="宋体" w:eastAsia="宋体"/>
          <w:color w:val="auto"/>
          <w:sz w:val="21"/>
          <w:szCs w:val="21"/>
          <w:highlight w:val="none"/>
        </w:rPr>
        <w:t>在南网赫兹运力平台（https://l.csgmall.com.cn/）完成注册，并使用平台管理货物运输，按照实际运输流程办理货物发运、运途管理及到货签收等操作，运用赫兹运力平台移动APP或车辆定位装置，实时</w:t>
      </w:r>
      <w:r>
        <w:rPr>
          <w:rFonts w:hint="eastAsia" w:ascii="宋体" w:hAnsi="宋体" w:eastAsia="宋体"/>
          <w:color w:val="auto"/>
          <w:sz w:val="21"/>
          <w:szCs w:val="21"/>
          <w:highlight w:val="none"/>
          <w:lang w:val="en-US" w:eastAsia="zh-CN"/>
        </w:rPr>
        <w:t>记录</w:t>
      </w:r>
      <w:r>
        <w:rPr>
          <w:rFonts w:hint="eastAsia" w:ascii="宋体" w:hAnsi="宋体" w:eastAsia="宋体"/>
          <w:color w:val="auto"/>
          <w:sz w:val="21"/>
          <w:szCs w:val="21"/>
          <w:highlight w:val="none"/>
        </w:rPr>
        <w:t>反馈运输轨迹和图像等</w:t>
      </w:r>
      <w:r>
        <w:rPr>
          <w:rFonts w:hint="eastAsia" w:ascii="宋体" w:hAnsi="宋体" w:eastAsia="宋体"/>
          <w:color w:val="auto"/>
          <w:sz w:val="21"/>
          <w:szCs w:val="21"/>
          <w:highlight w:val="none"/>
          <w:lang w:val="en-US" w:eastAsia="zh-CN"/>
        </w:rPr>
        <w:t>信息</w:t>
      </w:r>
      <w:r>
        <w:rPr>
          <w:rFonts w:hint="eastAsia" w:ascii="宋体" w:hAnsi="宋体" w:eastAsia="宋体"/>
          <w:color w:val="auto"/>
          <w:sz w:val="21"/>
          <w:szCs w:val="21"/>
          <w:highlight w:val="none"/>
        </w:rPr>
        <w:t>，确保运输全过程信息透明。大件合同设备应根据买方需要，在具备条件的情况下，将冲击记录仪等监测仪器数据接入南网赫兹运力平台。</w:t>
      </w:r>
    </w:p>
    <w:p w14:paraId="69C568D4">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5.3.1.</w:t>
      </w:r>
      <w:r>
        <w:rPr>
          <w:rFonts w:hint="eastAsia" w:ascii="宋体" w:hAnsi="宋体" w:eastAsia="宋体"/>
          <w:color w:val="auto"/>
          <w:sz w:val="21"/>
          <w:szCs w:val="21"/>
          <w:highlight w:val="none"/>
          <w:lang w:val="en-US" w:eastAsia="zh-CN"/>
        </w:rPr>
        <w:t>2</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卖方负责办理发运合同设备所需要的运输手续并</w:t>
      </w:r>
      <w:r>
        <w:rPr>
          <w:rFonts w:ascii="宋体" w:hAnsi="宋体" w:eastAsia="宋体"/>
          <w:color w:val="auto"/>
          <w:sz w:val="21"/>
          <w:szCs w:val="21"/>
          <w:highlight w:val="none"/>
        </w:rPr>
        <w:t>将合同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运至合同约定的交货地点。</w:t>
      </w:r>
      <w:r>
        <w:rPr>
          <w:rFonts w:hint="eastAsia" w:ascii="宋体" w:hAnsi="宋体" w:eastAsia="宋体"/>
          <w:color w:val="auto"/>
          <w:sz w:val="21"/>
          <w:szCs w:val="21"/>
          <w:highlight w:val="none"/>
        </w:rPr>
        <w:t>货物发运前，卖方应完成实物编码标签或物资身份标签的贴置。</w:t>
      </w:r>
    </w:p>
    <w:p w14:paraId="0D2A526D">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5.3.1.</w:t>
      </w:r>
      <w:r>
        <w:rPr>
          <w:rFonts w:hint="eastAsia" w:ascii="宋体" w:hAnsi="宋体" w:eastAsia="宋体"/>
          <w:color w:val="auto"/>
          <w:sz w:val="21"/>
          <w:szCs w:val="21"/>
          <w:highlight w:val="none"/>
          <w:lang w:val="en-US" w:eastAsia="zh-CN"/>
        </w:rPr>
        <w:t>3</w:t>
      </w:r>
      <w:r>
        <w:rPr>
          <w:rFonts w:ascii="宋体" w:hAnsi="宋体" w:eastAsia="宋体"/>
          <w:color w:val="auto"/>
          <w:sz w:val="21"/>
          <w:szCs w:val="21"/>
          <w:highlight w:val="none"/>
        </w:rPr>
        <w:t xml:space="preserve"> 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的收货单位、联系人和联系方式见合同附件1</w:t>
      </w:r>
      <w:r>
        <w:rPr>
          <w:rFonts w:hint="eastAsia" w:ascii="宋体" w:hAnsi="宋体" w:eastAsia="宋体"/>
          <w:color w:val="auto"/>
          <w:sz w:val="21"/>
          <w:szCs w:val="21"/>
          <w:highlight w:val="none"/>
        </w:rPr>
        <w:t>《供货一览表》</w:t>
      </w:r>
      <w:r>
        <w:rPr>
          <w:rFonts w:ascii="宋体" w:hAnsi="宋体" w:eastAsia="宋体"/>
          <w:color w:val="auto"/>
          <w:sz w:val="21"/>
          <w:szCs w:val="21"/>
          <w:highlight w:val="none"/>
        </w:rPr>
        <w:t>。若到货地点运输条件复杂时，买方应在附</w:t>
      </w:r>
      <w:r>
        <w:rPr>
          <w:rFonts w:hint="eastAsia" w:ascii="宋体" w:hAnsi="宋体" w:eastAsia="宋体"/>
          <w:color w:val="auto"/>
          <w:sz w:val="21"/>
          <w:szCs w:val="21"/>
          <w:highlight w:val="none"/>
        </w:rPr>
        <w:t>件</w:t>
      </w:r>
      <w:r>
        <w:rPr>
          <w:rFonts w:ascii="宋体" w:hAnsi="宋体" w:eastAsia="宋体"/>
          <w:color w:val="auto"/>
          <w:sz w:val="21"/>
          <w:szCs w:val="21"/>
          <w:highlight w:val="none"/>
        </w:rPr>
        <w:t>1</w:t>
      </w:r>
      <w:r>
        <w:rPr>
          <w:rFonts w:hint="eastAsia" w:ascii="宋体" w:hAnsi="宋体" w:eastAsia="宋体"/>
          <w:color w:val="auto"/>
          <w:sz w:val="21"/>
          <w:szCs w:val="21"/>
          <w:highlight w:val="none"/>
        </w:rPr>
        <w:t>《供货一览表》中</w:t>
      </w:r>
      <w:r>
        <w:rPr>
          <w:rFonts w:ascii="宋体" w:hAnsi="宋体" w:eastAsia="宋体"/>
          <w:color w:val="auto"/>
          <w:sz w:val="21"/>
          <w:szCs w:val="21"/>
          <w:highlight w:val="none"/>
        </w:rPr>
        <w:t>的交货地点注明运输条件以便卖方运输。</w:t>
      </w:r>
    </w:p>
    <w:p w14:paraId="040D7BED">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5.3.1.</w:t>
      </w:r>
      <w:r>
        <w:rPr>
          <w:rFonts w:hint="eastAsia" w:ascii="宋体" w:hAnsi="宋体" w:eastAsia="宋体"/>
          <w:color w:val="auto"/>
          <w:sz w:val="21"/>
          <w:szCs w:val="21"/>
          <w:highlight w:val="none"/>
          <w:lang w:val="en-US" w:eastAsia="zh-CN"/>
        </w:rPr>
        <w:t>4</w:t>
      </w:r>
      <w:r>
        <w:rPr>
          <w:rFonts w:ascii="宋体" w:hAnsi="宋体" w:eastAsia="宋体"/>
          <w:color w:val="auto"/>
          <w:sz w:val="21"/>
          <w:szCs w:val="21"/>
          <w:highlight w:val="none"/>
        </w:rPr>
        <w:t xml:space="preserve"> 以邮寄方式提交技术资料的，每批技术资料交邮后，卖方应在24小时内将技术资料的交邮日期、邮单号、技术资料的详细清单、件数及重量、合同编号等以传真通知买方和买方指定的设计单位。</w:t>
      </w:r>
    </w:p>
    <w:p w14:paraId="56AC0793">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5.3.2.3 所有</w:t>
      </w:r>
      <w:r>
        <w:rPr>
          <w:rFonts w:hint="eastAsia" w:ascii="宋体" w:hAnsi="宋体" w:eastAsia="宋体" w:cs="宋体"/>
          <w:color w:val="auto"/>
          <w:sz w:val="21"/>
          <w:szCs w:val="21"/>
          <w:highlight w:val="none"/>
        </w:rPr>
        <w:t>组</w:t>
      </w:r>
      <w:r>
        <w:rPr>
          <w:rFonts w:ascii="宋体" w:hAnsi="宋体" w:eastAsia="宋体" w:cs="宋体"/>
          <w:color w:val="auto"/>
          <w:sz w:val="21"/>
          <w:szCs w:val="21"/>
          <w:highlight w:val="none"/>
        </w:rPr>
        <w:t>部件的装运方式均应便于卸货、搬运和现场就位安装，标有千斤顶支架位置、吊索布置的起吊图和安装顶升图，应与装运文件一起提供。</w:t>
      </w:r>
    </w:p>
    <w:p w14:paraId="330F6889">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5.3.3 在合同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备妥发出前24小时内，卖方应以传真或函件等方式向买方提交发货通知单，通知应包括以下内容：</w:t>
      </w:r>
    </w:p>
    <w:p w14:paraId="3EB55F01">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1）合同号/产品工号；</w:t>
      </w:r>
    </w:p>
    <w:p w14:paraId="7450260A">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2）</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发运日；</w:t>
      </w:r>
    </w:p>
    <w:p w14:paraId="323B24E9">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3）</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名称、编号及规格型号；</w:t>
      </w:r>
    </w:p>
    <w:p w14:paraId="530FF460">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4）设备总毛重；</w:t>
      </w:r>
    </w:p>
    <w:p w14:paraId="6DA44652">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5）外形尺寸；</w:t>
      </w:r>
    </w:p>
    <w:p w14:paraId="154D7F70">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6）总包装件数及箱号；</w:t>
      </w:r>
    </w:p>
    <w:p w14:paraId="3D62E749">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7）交运车站（码头）名称、车号（船号）、到达港（站）、货运单号和验收单号；</w:t>
      </w:r>
    </w:p>
    <w:p w14:paraId="2690C6AC">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8）本批</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的装箱清单两份；</w:t>
      </w:r>
    </w:p>
    <w:p w14:paraId="3D3C121E">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9）毛重超过20吨或包装尺寸超过9×3×3m的每件设备的名称、重量、重心、起吊点、体积和件数；</w:t>
      </w:r>
    </w:p>
    <w:p w14:paraId="21136A05">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10）工程信息；</w:t>
      </w:r>
    </w:p>
    <w:p w14:paraId="152783B4">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11）供应商仓库编码；</w:t>
      </w:r>
    </w:p>
    <w:p w14:paraId="19A0FA24">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ascii="宋体" w:hAnsi="宋体" w:eastAsia="宋体"/>
          <w:color w:val="auto"/>
          <w:sz w:val="21"/>
          <w:szCs w:val="21"/>
          <w:highlight w:val="none"/>
        </w:rPr>
        <w:t>12）双方约定的其他内容。</w:t>
      </w:r>
    </w:p>
    <w:p w14:paraId="39E1181B">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5.3.4.1 对于毛重超过20吨或包装尺寸超过9×3×3m的</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和特殊形状的包装物，卖方</w:t>
      </w:r>
      <w:r>
        <w:rPr>
          <w:rFonts w:hint="eastAsia" w:ascii="宋体" w:hAnsi="宋体" w:eastAsia="宋体"/>
          <w:color w:val="auto"/>
          <w:sz w:val="21"/>
          <w:szCs w:val="21"/>
          <w:highlight w:val="none"/>
        </w:rPr>
        <w:t>还</w:t>
      </w:r>
      <w:r>
        <w:rPr>
          <w:rFonts w:ascii="宋体" w:hAnsi="宋体" w:eastAsia="宋体"/>
          <w:color w:val="auto"/>
          <w:sz w:val="21"/>
          <w:szCs w:val="21"/>
          <w:highlight w:val="none"/>
        </w:rPr>
        <w:t>应在发运5日前给买方邮寄3份包装说明单，注明重心和起吊点等事项。</w:t>
      </w:r>
    </w:p>
    <w:p w14:paraId="5E606D30">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5.3.4.2</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卖方应在发运15日前向买方提交6份</w:t>
      </w:r>
      <w:r>
        <w:rPr>
          <w:rFonts w:hint="eastAsia" w:ascii="宋体" w:hAnsi="宋体" w:eastAsia="宋体"/>
          <w:color w:val="auto"/>
          <w:sz w:val="21"/>
          <w:szCs w:val="21"/>
          <w:highlight w:val="none"/>
        </w:rPr>
        <w:t>报告说明危险品的相关情况。</w:t>
      </w:r>
      <w:r>
        <w:rPr>
          <w:rFonts w:ascii="宋体" w:hAnsi="宋体" w:eastAsia="宋体"/>
          <w:color w:val="auto"/>
          <w:sz w:val="21"/>
          <w:szCs w:val="21"/>
          <w:highlight w:val="none"/>
        </w:rPr>
        <w:t>若合同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中包含危险化学品，卖方</w:t>
      </w:r>
      <w:r>
        <w:rPr>
          <w:rFonts w:hint="eastAsia" w:ascii="宋体" w:hAnsi="宋体" w:eastAsia="宋体"/>
          <w:color w:val="auto"/>
          <w:sz w:val="21"/>
          <w:szCs w:val="21"/>
          <w:highlight w:val="none"/>
        </w:rPr>
        <w:t>还</w:t>
      </w:r>
      <w:r>
        <w:rPr>
          <w:rFonts w:ascii="宋体" w:hAnsi="宋体" w:eastAsia="宋体"/>
          <w:color w:val="auto"/>
          <w:sz w:val="21"/>
          <w:szCs w:val="21"/>
          <w:highlight w:val="none"/>
        </w:rPr>
        <w:t>应在发运15日前向买方提交6份材料安全技术/数据说明书MSDS。</w:t>
      </w:r>
    </w:p>
    <w:p w14:paraId="2C2A0AEE">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5.3.4.3 如果在运输期间对合同设备温度等有特殊的要求，卖方应在发运前10日向买方送达2份关于注意事项的报告。</w:t>
      </w:r>
    </w:p>
    <w:p w14:paraId="19D099AB">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5.3.5 卖方应交运前5个工作日通知买方交运日期和承运人信息。买方有权派遣代表到卖方工厂及装货车站检查包装质量和监督装车情况。如果买方代表不参加或不能及时参加检查时，卖方有权按原定时间发货。上述买方代表的检查与监督并不减轻或免除卖方应承担的责任。</w:t>
      </w:r>
    </w:p>
    <w:p w14:paraId="0DDE70F1">
      <w:pPr>
        <w:pStyle w:val="16"/>
        <w:topLinePunct/>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5.3.6 货物运抵交货地点并移交买方收货人员后，卖方及其承运商应在2个工作日内通过赫兹运力平台或其移动应用发起合同货物的运输到货签收，并按合同约定配合买方开展货物交付验收。</w:t>
      </w:r>
    </w:p>
    <w:p w14:paraId="46079D71">
      <w:pPr>
        <w:pStyle w:val="5"/>
        <w:spacing w:before="0" w:after="0" w:line="360" w:lineRule="auto"/>
        <w:rPr>
          <w:rFonts w:ascii="宋体" w:hAnsi="宋体" w:eastAsia="宋体" w:cs="黑体"/>
          <w:color w:val="auto"/>
          <w:kern w:val="0"/>
          <w:sz w:val="21"/>
          <w:szCs w:val="28"/>
          <w:highlight w:val="none"/>
        </w:rPr>
      </w:pPr>
      <w:bookmarkStart w:id="238" w:name="_Toc26275197"/>
      <w:bookmarkStart w:id="239" w:name="_Toc16997"/>
      <w:bookmarkStart w:id="240" w:name="_Toc57494719"/>
      <w:bookmarkStart w:id="241" w:name="_Toc9657"/>
      <w:bookmarkStart w:id="242" w:name="_Hlk510968184"/>
      <w:r>
        <w:rPr>
          <w:rFonts w:ascii="宋体" w:hAnsi="宋体" w:eastAsia="宋体" w:cs="黑体"/>
          <w:color w:val="auto"/>
          <w:kern w:val="0"/>
          <w:sz w:val="21"/>
          <w:szCs w:val="28"/>
          <w:highlight w:val="none"/>
        </w:rPr>
        <w:t xml:space="preserve">5.4 </w:t>
      </w:r>
      <w:r>
        <w:rPr>
          <w:rFonts w:hint="eastAsia" w:ascii="宋体" w:hAnsi="宋体" w:eastAsia="宋体" w:cs="黑体"/>
          <w:color w:val="auto"/>
          <w:kern w:val="0"/>
          <w:sz w:val="21"/>
          <w:szCs w:val="28"/>
          <w:highlight w:val="none"/>
        </w:rPr>
        <w:t>交付</w:t>
      </w:r>
      <w:bookmarkEnd w:id="238"/>
      <w:bookmarkEnd w:id="239"/>
      <w:bookmarkEnd w:id="240"/>
      <w:bookmarkEnd w:id="241"/>
    </w:p>
    <w:bookmarkEnd w:id="242"/>
    <w:p w14:paraId="6B432CFC">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5.4.1.1 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交货进度按照约定进行，未约定交货进度的合同设备应按照实际安装进度的需要发货。</w:t>
      </w:r>
    </w:p>
    <w:p w14:paraId="2F8FC65B">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卖方应按照技术</w:t>
      </w:r>
      <w:r>
        <w:rPr>
          <w:rFonts w:hint="eastAsia" w:ascii="宋体" w:hAnsi="宋体" w:eastAsia="宋体"/>
          <w:color w:val="auto"/>
          <w:sz w:val="21"/>
          <w:szCs w:val="21"/>
          <w:highlight w:val="none"/>
        </w:rPr>
        <w:t>协议</w:t>
      </w:r>
      <w:r>
        <w:rPr>
          <w:rFonts w:ascii="宋体" w:hAnsi="宋体" w:eastAsia="宋体"/>
          <w:color w:val="auto"/>
          <w:sz w:val="21"/>
          <w:szCs w:val="21"/>
          <w:highlight w:val="none"/>
        </w:rPr>
        <w:t>要求准备满足工程所需的图纸（纸质版和电子版）及产品合格证书等技术资料，并按技术</w:t>
      </w:r>
      <w:r>
        <w:rPr>
          <w:rFonts w:hint="eastAsia" w:ascii="宋体" w:hAnsi="宋体" w:eastAsia="宋体"/>
          <w:color w:val="auto"/>
          <w:sz w:val="21"/>
          <w:szCs w:val="21"/>
          <w:highlight w:val="none"/>
        </w:rPr>
        <w:t>协议</w:t>
      </w:r>
      <w:r>
        <w:rPr>
          <w:rFonts w:ascii="宋体" w:hAnsi="宋体" w:eastAsia="宋体"/>
          <w:color w:val="auto"/>
          <w:sz w:val="21"/>
          <w:szCs w:val="21"/>
          <w:highlight w:val="none"/>
        </w:rPr>
        <w:t>的时间要求提交给买方或买方指定的设计单位。</w:t>
      </w:r>
    </w:p>
    <w:p w14:paraId="05481B97">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5.4.1.2 卖方如需提前交货，需提出书面要求并征得买方同意。卖方如正常交货，但买方未提出发货通知的，卖方应传真或函件通知买方办理交货手续。</w:t>
      </w:r>
    </w:p>
    <w:p w14:paraId="7B3B5641">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5.4.1.3 采用航空或铁（公）路零担方式送货的，卖方应随货提供《发货通知单》。卖方应在</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送达后</w:t>
      </w:r>
      <w:r>
        <w:rPr>
          <w:rFonts w:hint="eastAsia" w:ascii="宋体" w:hAnsi="宋体" w:eastAsia="宋体"/>
          <w:color w:val="auto"/>
          <w:sz w:val="21"/>
          <w:szCs w:val="21"/>
          <w:highlight w:val="none"/>
        </w:rPr>
        <w:t>3</w:t>
      </w:r>
      <w:r>
        <w:rPr>
          <w:rFonts w:ascii="宋体" w:hAnsi="宋体" w:eastAsia="宋体"/>
          <w:color w:val="auto"/>
          <w:sz w:val="21"/>
          <w:szCs w:val="21"/>
          <w:highlight w:val="none"/>
        </w:rPr>
        <w:t>日内到达</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交接地点办理交接手续。</w:t>
      </w:r>
    </w:p>
    <w:p w14:paraId="4F718ABF">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5.4.1.4 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的交货方式为在双方约定的交货地进行车板交货。</w:t>
      </w:r>
    </w:p>
    <w:p w14:paraId="4F8EE707">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s="宋体"/>
          <w:color w:val="auto"/>
          <w:sz w:val="21"/>
          <w:szCs w:val="21"/>
          <w:highlight w:val="none"/>
        </w:rPr>
        <w:t>在交货时</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卖方应提供合同设备出厂试验报告及主要部件的试验报告</w:t>
      </w:r>
      <w:r>
        <w:rPr>
          <w:rFonts w:hint="eastAsia" w:ascii="宋体" w:hAnsi="宋体" w:eastAsia="宋体" w:cs="宋体"/>
          <w:color w:val="auto"/>
          <w:sz w:val="21"/>
          <w:szCs w:val="21"/>
          <w:highlight w:val="none"/>
        </w:rPr>
        <w:t>，并</w:t>
      </w:r>
      <w:r>
        <w:rPr>
          <w:rFonts w:ascii="宋体" w:hAnsi="宋体" w:eastAsia="宋体" w:cs="宋体"/>
          <w:color w:val="auto"/>
          <w:sz w:val="21"/>
          <w:szCs w:val="21"/>
          <w:highlight w:val="none"/>
        </w:rPr>
        <w:t>同时提交技术资料书面文件</w:t>
      </w:r>
      <w:r>
        <w:rPr>
          <w:rFonts w:hint="eastAsia" w:ascii="宋体" w:hAnsi="宋体" w:eastAsia="宋体" w:cs="宋体"/>
          <w:color w:val="auto"/>
          <w:sz w:val="21"/>
          <w:szCs w:val="21"/>
          <w:highlight w:val="none"/>
        </w:rPr>
        <w:t>和</w:t>
      </w:r>
      <w:r>
        <w:rPr>
          <w:rFonts w:ascii="宋体" w:hAnsi="宋体" w:eastAsia="宋体" w:cs="宋体"/>
          <w:color w:val="auto"/>
          <w:sz w:val="21"/>
          <w:szCs w:val="21"/>
          <w:highlight w:val="none"/>
        </w:rPr>
        <w:t>电子文档。</w:t>
      </w:r>
    </w:p>
    <w:p w14:paraId="1A9A6105">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5.4.1.5 卖方交货后，应通知买方在7日内开具收货</w:t>
      </w:r>
      <w:r>
        <w:rPr>
          <w:rFonts w:hint="eastAsia" w:ascii="宋体" w:hAnsi="宋体" w:eastAsia="宋体"/>
          <w:color w:val="auto"/>
          <w:sz w:val="21"/>
          <w:szCs w:val="21"/>
          <w:highlight w:val="none"/>
        </w:rPr>
        <w:t>清单；</w:t>
      </w:r>
      <w:r>
        <w:rPr>
          <w:rFonts w:ascii="宋体" w:hAnsi="宋体" w:eastAsia="宋体"/>
          <w:color w:val="auto"/>
          <w:sz w:val="21"/>
          <w:szCs w:val="21"/>
          <w:highlight w:val="none"/>
        </w:rPr>
        <w:t>收货单位所开具的收货</w:t>
      </w:r>
      <w:r>
        <w:rPr>
          <w:rFonts w:hint="eastAsia" w:ascii="宋体" w:hAnsi="宋体" w:eastAsia="宋体"/>
          <w:color w:val="auto"/>
          <w:sz w:val="21"/>
          <w:szCs w:val="21"/>
          <w:highlight w:val="none"/>
        </w:rPr>
        <w:t>清单</w:t>
      </w:r>
      <w:r>
        <w:rPr>
          <w:rFonts w:ascii="宋体" w:hAnsi="宋体" w:eastAsia="宋体"/>
          <w:color w:val="auto"/>
          <w:sz w:val="21"/>
          <w:szCs w:val="21"/>
          <w:highlight w:val="none"/>
        </w:rPr>
        <w:t>，并不代表合同履行完毕。</w:t>
      </w:r>
    </w:p>
    <w:p w14:paraId="5F1A03A6">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5.4.4  卖方应为合同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购买全额保险，负责办理合同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从出厂至指定的交货地点运输途中的保险，保险受益人为卖方，保险范围应包括卖方负责运输的全部合同</w:t>
      </w:r>
      <w:r>
        <w:rPr>
          <w:rFonts w:hint="eastAsia" w:ascii="宋体" w:hAnsi="宋体" w:eastAsia="宋体"/>
          <w:color w:val="auto"/>
          <w:sz w:val="21"/>
          <w:szCs w:val="21"/>
          <w:highlight w:val="none"/>
        </w:rPr>
        <w:t>设备</w:t>
      </w:r>
      <w:r>
        <w:rPr>
          <w:rFonts w:ascii="宋体" w:hAnsi="宋体" w:eastAsia="宋体"/>
          <w:color w:val="auto"/>
          <w:sz w:val="21"/>
          <w:szCs w:val="21"/>
          <w:highlight w:val="none"/>
        </w:rPr>
        <w:t>。</w:t>
      </w:r>
    </w:p>
    <w:p w14:paraId="37B590AF">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5.4.5 卖方委托承运人送货，卖方人员未到现场的，卖方可以授权承运人办理交货事宜</w:t>
      </w:r>
      <w:r>
        <w:rPr>
          <w:rFonts w:hint="eastAsia" w:ascii="宋体" w:hAnsi="宋体" w:eastAsia="宋体"/>
          <w:color w:val="auto"/>
          <w:sz w:val="21"/>
          <w:szCs w:val="21"/>
          <w:highlight w:val="none"/>
        </w:rPr>
        <w:t>。</w:t>
      </w:r>
      <w:r>
        <w:rPr>
          <w:rFonts w:ascii="宋体" w:hAnsi="宋体" w:eastAsia="宋体"/>
          <w:color w:val="auto"/>
          <w:sz w:val="21"/>
          <w:szCs w:val="21"/>
          <w:highlight w:val="none"/>
        </w:rPr>
        <w:t>交货时，承运人需向买方出具授权委托书。</w:t>
      </w:r>
    </w:p>
    <w:p w14:paraId="0EAE95D2">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5.4.3.1 对急用技术资料，</w:t>
      </w:r>
      <w:r>
        <w:rPr>
          <w:rFonts w:ascii="宋体" w:hAnsi="宋体" w:eastAsia="宋体"/>
          <w:color w:val="auto"/>
          <w:sz w:val="21"/>
          <w:szCs w:val="21"/>
          <w:highlight w:val="none"/>
        </w:rPr>
        <w:t>卖方应在收到买方通知后3日内</w:t>
      </w:r>
      <w:r>
        <w:rPr>
          <w:rFonts w:hint="eastAsia" w:ascii="宋体" w:hAnsi="宋体" w:eastAsia="宋体"/>
          <w:color w:val="auto"/>
          <w:sz w:val="21"/>
          <w:szCs w:val="21"/>
          <w:highlight w:val="none"/>
        </w:rPr>
        <w:t>完成补齐或替换。</w:t>
      </w:r>
    </w:p>
    <w:p w14:paraId="4123ADF0">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5.4.3.</w:t>
      </w:r>
      <w:r>
        <w:rPr>
          <w:rFonts w:ascii="宋体" w:hAnsi="宋体" w:eastAsia="宋体"/>
          <w:color w:val="auto"/>
          <w:sz w:val="21"/>
          <w:szCs w:val="21"/>
          <w:highlight w:val="none"/>
        </w:rPr>
        <w:t>2</w:t>
      </w:r>
      <w:r>
        <w:rPr>
          <w:rFonts w:hint="eastAsia" w:ascii="宋体" w:hAnsi="宋体" w:eastAsia="宋体"/>
          <w:color w:val="auto"/>
          <w:sz w:val="21"/>
          <w:szCs w:val="21"/>
          <w:highlight w:val="none"/>
        </w:rPr>
        <w:t xml:space="preserve"> 买方指定的设计单位发现技术资料存在短缺和（或）损坏的，按相同方式处理。</w:t>
      </w:r>
    </w:p>
    <w:p w14:paraId="36A09E26">
      <w:pPr>
        <w:pStyle w:val="4"/>
        <w:spacing w:before="0" w:after="0" w:line="360" w:lineRule="auto"/>
        <w:rPr>
          <w:rFonts w:ascii="宋体" w:hAnsi="宋体" w:eastAsia="宋体" w:cs="Times New Roman"/>
          <w:color w:val="auto"/>
          <w:kern w:val="0"/>
          <w:sz w:val="21"/>
          <w:szCs w:val="21"/>
          <w:highlight w:val="none"/>
        </w:rPr>
      </w:pPr>
      <w:bookmarkStart w:id="243" w:name="_Toc4560"/>
      <w:bookmarkStart w:id="244" w:name="_Toc57494720"/>
      <w:bookmarkStart w:id="245" w:name="_Toc15564"/>
      <w:bookmarkStart w:id="246" w:name="_Hlk511037250"/>
      <w:r>
        <w:rPr>
          <w:rFonts w:ascii="宋体" w:hAnsi="宋体" w:eastAsia="宋体" w:cs="Times New Roman"/>
          <w:color w:val="auto"/>
          <w:kern w:val="0"/>
          <w:sz w:val="21"/>
          <w:szCs w:val="21"/>
          <w:highlight w:val="none"/>
        </w:rPr>
        <w:t xml:space="preserve">6. </w:t>
      </w:r>
      <w:r>
        <w:rPr>
          <w:rFonts w:hint="eastAsia" w:ascii="宋体" w:hAnsi="宋体" w:eastAsia="宋体" w:cs="Times New Roman"/>
          <w:color w:val="auto"/>
          <w:kern w:val="0"/>
          <w:sz w:val="21"/>
          <w:szCs w:val="21"/>
          <w:highlight w:val="none"/>
        </w:rPr>
        <w:t>开箱检验、安装、调试、考核、验收</w:t>
      </w:r>
      <w:bookmarkEnd w:id="243"/>
      <w:bookmarkEnd w:id="244"/>
      <w:bookmarkEnd w:id="245"/>
    </w:p>
    <w:bookmarkEnd w:id="246"/>
    <w:p w14:paraId="2727EB40">
      <w:pPr>
        <w:pStyle w:val="5"/>
        <w:spacing w:before="0" w:after="0" w:line="360" w:lineRule="auto"/>
        <w:rPr>
          <w:rFonts w:ascii="宋体" w:hAnsi="宋体" w:eastAsia="宋体" w:cs="黑体"/>
          <w:color w:val="auto"/>
          <w:kern w:val="0"/>
          <w:sz w:val="21"/>
          <w:szCs w:val="28"/>
          <w:highlight w:val="none"/>
        </w:rPr>
      </w:pPr>
      <w:bookmarkStart w:id="247" w:name="_Toc57494721"/>
      <w:bookmarkStart w:id="248" w:name="_Toc26275199"/>
      <w:bookmarkStart w:id="249" w:name="_Toc19861"/>
      <w:bookmarkStart w:id="250" w:name="_Toc18851"/>
      <w:bookmarkStart w:id="251" w:name="_Hlk511634428"/>
      <w:r>
        <w:rPr>
          <w:rFonts w:ascii="宋体" w:hAnsi="宋体" w:eastAsia="宋体" w:cs="黑体"/>
          <w:color w:val="auto"/>
          <w:kern w:val="0"/>
          <w:sz w:val="21"/>
          <w:szCs w:val="28"/>
          <w:highlight w:val="none"/>
        </w:rPr>
        <w:t>6.1 开箱检验</w:t>
      </w:r>
      <w:bookmarkEnd w:id="247"/>
      <w:bookmarkEnd w:id="248"/>
      <w:bookmarkEnd w:id="249"/>
      <w:bookmarkEnd w:id="250"/>
    </w:p>
    <w:bookmarkEnd w:id="251"/>
    <w:p w14:paraId="74BEA29C">
      <w:pPr>
        <w:pStyle w:val="16"/>
        <w:topLinePunct/>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6.1.1.1 合同设备到达交货地点，卖方应在接到买方通知后及时到交货地点与买方一起根据验收单和装箱单组织对合同设备的包装、开箱和技术资料进行</w:t>
      </w:r>
      <w:r>
        <w:rPr>
          <w:rFonts w:hint="eastAsia" w:ascii="宋体" w:hAnsi="宋体" w:eastAsia="宋体"/>
          <w:color w:val="auto"/>
          <w:sz w:val="21"/>
          <w:szCs w:val="21"/>
          <w:highlight w:val="none"/>
        </w:rPr>
        <w:t>到货验收</w:t>
      </w:r>
      <w:r>
        <w:rPr>
          <w:rFonts w:ascii="宋体" w:hAnsi="宋体" w:eastAsia="宋体"/>
          <w:color w:val="auto"/>
          <w:sz w:val="21"/>
          <w:szCs w:val="21"/>
          <w:highlight w:val="none"/>
        </w:rPr>
        <w:t>。</w:t>
      </w:r>
      <w:bookmarkStart w:id="252" w:name="_Hlk511634171"/>
      <w:r>
        <w:rPr>
          <w:rFonts w:hint="eastAsia" w:ascii="宋体" w:hAnsi="宋体" w:eastAsia="宋体"/>
          <w:color w:val="auto"/>
          <w:sz w:val="21"/>
          <w:szCs w:val="21"/>
          <w:highlight w:val="none"/>
        </w:rPr>
        <w:t>到货验收的时间按通用合同条款6.1.1中的（2）执行。</w:t>
      </w:r>
    </w:p>
    <w:p w14:paraId="71ED2726">
      <w:pPr>
        <w:pStyle w:val="16"/>
        <w:topLinePunct/>
        <w:autoSpaceDE/>
        <w:autoSpaceDN/>
        <w:snapToGrid w:val="0"/>
        <w:spacing w:line="360" w:lineRule="auto"/>
        <w:ind w:firstLine="420" w:firstLineChars="200"/>
        <w:rPr>
          <w:rFonts w:ascii="宋体" w:hAnsi="宋体" w:eastAsia="宋体" w:cs="宋体"/>
          <w:color w:val="auto"/>
          <w:sz w:val="21"/>
          <w:szCs w:val="21"/>
          <w:highlight w:val="none"/>
        </w:rPr>
      </w:pPr>
      <w:bookmarkStart w:id="253" w:name="_Hlk26266791"/>
      <w:r>
        <w:rPr>
          <w:rFonts w:ascii="宋体" w:hAnsi="宋体" w:eastAsia="宋体"/>
          <w:color w:val="auto"/>
          <w:sz w:val="21"/>
          <w:szCs w:val="21"/>
          <w:highlight w:val="none"/>
        </w:rPr>
        <w:t xml:space="preserve">6.1.1.2 </w:t>
      </w:r>
      <w:r>
        <w:rPr>
          <w:rFonts w:hint="eastAsia" w:ascii="宋体" w:hAnsi="宋体" w:eastAsia="宋体" w:cs="宋体"/>
          <w:color w:val="auto"/>
          <w:sz w:val="21"/>
          <w:szCs w:val="21"/>
          <w:highlight w:val="none"/>
        </w:rPr>
        <w:t>卖方在安装完实物编码标签后，需进行标签安装正确性的自我检验，并签署《实物编码标签安装自检确认单》（格式详见附件8），与合同设备一并交付。</w:t>
      </w:r>
    </w:p>
    <w:bookmarkEnd w:id="253"/>
    <w:p w14:paraId="399A48D4">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6.1.2</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合同设备的开箱检验应在</w:t>
      </w:r>
      <w:r>
        <w:rPr>
          <w:rFonts w:hint="eastAsia" w:ascii="宋体" w:hAnsi="宋体" w:eastAsia="宋体"/>
          <w:color w:val="auto"/>
          <w:sz w:val="21"/>
          <w:szCs w:val="21"/>
          <w:highlight w:val="none"/>
        </w:rPr>
        <w:t>交货地点</w:t>
      </w:r>
      <w:r>
        <w:rPr>
          <w:rFonts w:ascii="宋体" w:hAnsi="宋体" w:eastAsia="宋体"/>
          <w:color w:val="auto"/>
          <w:sz w:val="21"/>
          <w:szCs w:val="21"/>
          <w:highlight w:val="none"/>
        </w:rPr>
        <w:t>进行。</w:t>
      </w:r>
    </w:p>
    <w:p w14:paraId="26FA5F23">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6.1.3.1</w:t>
      </w:r>
      <w:r>
        <w:rPr>
          <w:rFonts w:hint="eastAsia" w:ascii="宋体" w:hAnsi="宋体" w:eastAsia="宋体"/>
          <w:color w:val="auto"/>
          <w:sz w:val="21"/>
          <w:szCs w:val="21"/>
          <w:highlight w:val="none"/>
        </w:rPr>
        <w:t xml:space="preserve"> 到货验收由买方、卖方和买方指定的承包商等单位一起实施。</w:t>
      </w:r>
    </w:p>
    <w:p w14:paraId="08C06C93">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 xml:space="preserve">6.1.3.2 </w:t>
      </w:r>
      <w:r>
        <w:rPr>
          <w:rFonts w:hint="eastAsia" w:ascii="宋体" w:hAnsi="宋体" w:eastAsia="宋体"/>
          <w:color w:val="auto"/>
          <w:sz w:val="21"/>
          <w:szCs w:val="21"/>
          <w:highlight w:val="none"/>
        </w:rPr>
        <w:t>买方应</w:t>
      </w:r>
      <w:r>
        <w:rPr>
          <w:rFonts w:ascii="宋体" w:hAnsi="宋体" w:eastAsia="宋体"/>
          <w:color w:val="auto"/>
          <w:sz w:val="21"/>
          <w:szCs w:val="21"/>
          <w:highlight w:val="none"/>
        </w:rPr>
        <w:t>为卖方检验人员提供工作和生活方便，费用由卖方自理。</w:t>
      </w:r>
    </w:p>
    <w:bookmarkEnd w:id="252"/>
    <w:p w14:paraId="2A97A76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6.1.4.1 其他与情形包括但不限于</w:t>
      </w:r>
      <w:r>
        <w:rPr>
          <w:rFonts w:hint="eastAsia" w:ascii="宋体" w:hAnsi="宋体" w:eastAsia="宋体" w:cs="Times New Roman"/>
          <w:color w:val="auto"/>
          <w:kern w:val="0"/>
          <w:szCs w:val="21"/>
          <w:highlight w:val="none"/>
        </w:rPr>
        <w:t>到</w:t>
      </w:r>
      <w:r>
        <w:rPr>
          <w:rFonts w:ascii="宋体" w:hAnsi="宋体" w:eastAsia="宋体" w:cs="Times New Roman"/>
          <w:color w:val="auto"/>
          <w:kern w:val="0"/>
          <w:szCs w:val="21"/>
          <w:highlight w:val="none"/>
        </w:rPr>
        <w:t>货验收时发现的合同设备缺陷。</w:t>
      </w:r>
    </w:p>
    <w:p w14:paraId="70A9BED1">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 xml:space="preserve">6.1.4.2 </w:t>
      </w:r>
      <w:r>
        <w:rPr>
          <w:rFonts w:hint="eastAsia" w:ascii="宋体" w:hAnsi="宋体" w:eastAsia="宋体"/>
          <w:color w:val="auto"/>
          <w:sz w:val="21"/>
          <w:szCs w:val="21"/>
          <w:highlight w:val="none"/>
        </w:rPr>
        <w:t>检验报告双方各执一份，并作为买方向卖方提出索赔的有效依据。</w:t>
      </w:r>
    </w:p>
    <w:p w14:paraId="6D42C2EF">
      <w:pPr>
        <w:pStyle w:val="5"/>
        <w:spacing w:before="0" w:after="0" w:line="360" w:lineRule="auto"/>
        <w:rPr>
          <w:rFonts w:ascii="宋体" w:hAnsi="宋体" w:eastAsia="宋体" w:cs="黑体"/>
          <w:color w:val="auto"/>
          <w:kern w:val="0"/>
          <w:sz w:val="21"/>
          <w:szCs w:val="28"/>
          <w:highlight w:val="none"/>
        </w:rPr>
      </w:pPr>
      <w:bookmarkStart w:id="254" w:name="_Toc4247"/>
      <w:bookmarkStart w:id="255" w:name="_Toc26275200"/>
      <w:bookmarkStart w:id="256" w:name="_Toc57494722"/>
      <w:bookmarkStart w:id="257" w:name="_Toc9580"/>
      <w:bookmarkStart w:id="258" w:name="_Hlk511037225"/>
      <w:r>
        <w:rPr>
          <w:rFonts w:ascii="宋体" w:hAnsi="宋体" w:eastAsia="宋体" w:cs="黑体"/>
          <w:color w:val="auto"/>
          <w:kern w:val="0"/>
          <w:sz w:val="21"/>
          <w:szCs w:val="28"/>
          <w:highlight w:val="none"/>
        </w:rPr>
        <w:t xml:space="preserve">6.2 </w:t>
      </w:r>
      <w:r>
        <w:rPr>
          <w:rFonts w:hint="eastAsia" w:ascii="宋体" w:hAnsi="宋体" w:eastAsia="宋体" w:cs="黑体"/>
          <w:color w:val="auto"/>
          <w:kern w:val="0"/>
          <w:sz w:val="21"/>
          <w:szCs w:val="28"/>
          <w:highlight w:val="none"/>
        </w:rPr>
        <w:t>安装、调试</w:t>
      </w:r>
      <w:bookmarkEnd w:id="254"/>
      <w:bookmarkEnd w:id="255"/>
      <w:bookmarkEnd w:id="256"/>
      <w:bookmarkEnd w:id="257"/>
    </w:p>
    <w:bookmarkEnd w:id="258"/>
    <w:p w14:paraId="294B83C8">
      <w:pPr>
        <w:topLinePunct/>
        <w:adjustRightInd w:val="0"/>
        <w:snapToGrid w:val="0"/>
        <w:spacing w:line="360" w:lineRule="auto"/>
        <w:ind w:firstLine="420" w:firstLineChars="200"/>
        <w:jc w:val="left"/>
        <w:rPr>
          <w:rFonts w:ascii="宋体" w:hAnsi="宋体" w:eastAsia="宋体" w:cs="Arial Unicode MS"/>
          <w:color w:val="auto"/>
          <w:kern w:val="0"/>
          <w:szCs w:val="21"/>
          <w:highlight w:val="none"/>
        </w:rPr>
      </w:pPr>
      <w:r>
        <w:rPr>
          <w:rFonts w:ascii="宋体" w:hAnsi="宋体" w:eastAsia="宋体" w:cs="Times New Roman"/>
          <w:color w:val="auto"/>
          <w:kern w:val="0"/>
          <w:szCs w:val="21"/>
          <w:highlight w:val="none"/>
        </w:rPr>
        <w:t>6.2.1.1 安装调试按照</w:t>
      </w:r>
      <w:r>
        <w:rPr>
          <w:rFonts w:hint="eastAsia" w:ascii="宋体" w:hAnsi="宋体" w:eastAsia="宋体"/>
          <w:color w:val="auto"/>
          <w:szCs w:val="21"/>
          <w:highlight w:val="none"/>
        </w:rPr>
        <w:t>通用合同条款6.2.1中的</w:t>
      </w:r>
      <w:r>
        <w:rPr>
          <w:rFonts w:ascii="宋体" w:hAnsi="宋体" w:eastAsia="宋体" w:cs="Times New Roman"/>
          <w:color w:val="auto"/>
          <w:kern w:val="0"/>
          <w:szCs w:val="21"/>
          <w:highlight w:val="none"/>
        </w:rPr>
        <w:t>方式（2）进行，</w:t>
      </w:r>
      <w:r>
        <w:rPr>
          <w:rFonts w:ascii="宋体" w:hAnsi="宋体" w:eastAsia="宋体" w:cs="Arial Unicode MS"/>
          <w:color w:val="auto"/>
          <w:kern w:val="0"/>
          <w:szCs w:val="21"/>
          <w:highlight w:val="none"/>
        </w:rPr>
        <w:t>由买方根据卖方提供的技术资料、检验标准、图纸及说明书进行安装。</w:t>
      </w:r>
    </w:p>
    <w:p w14:paraId="29A1915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Arial Unicode MS"/>
          <w:color w:val="auto"/>
          <w:kern w:val="0"/>
          <w:szCs w:val="21"/>
          <w:highlight w:val="none"/>
        </w:rPr>
        <w:t xml:space="preserve">6.2.1.2 </w:t>
      </w:r>
      <w:r>
        <w:rPr>
          <w:rFonts w:hint="eastAsia" w:ascii="宋体" w:hAnsi="宋体" w:eastAsia="宋体" w:cs="Arial Unicode MS"/>
          <w:color w:val="auto"/>
          <w:kern w:val="0"/>
          <w:szCs w:val="21"/>
          <w:highlight w:val="none"/>
        </w:rPr>
        <w:t>合同设备安装完毕后，卖方应派人参加调试，并尽快解决出现的问题，调试所需时间应按买方要求为准。</w:t>
      </w:r>
    </w:p>
    <w:p w14:paraId="3A101359">
      <w:pPr>
        <w:topLinePunct/>
        <w:adjustRightInd w:val="0"/>
        <w:snapToGrid w:val="0"/>
        <w:spacing w:line="360" w:lineRule="auto"/>
        <w:ind w:firstLine="420" w:firstLineChars="200"/>
        <w:jc w:val="left"/>
        <w:rPr>
          <w:rFonts w:ascii="宋体" w:hAnsi="宋体" w:eastAsia="宋体" w:cs="Arial Unicode MS"/>
          <w:color w:val="auto"/>
          <w:kern w:val="0"/>
          <w:szCs w:val="21"/>
          <w:highlight w:val="none"/>
        </w:rPr>
      </w:pPr>
      <w:r>
        <w:rPr>
          <w:rFonts w:ascii="宋体" w:hAnsi="宋体" w:eastAsia="宋体" w:cs="Arial Unicode MS"/>
          <w:color w:val="auto"/>
          <w:kern w:val="0"/>
          <w:szCs w:val="21"/>
          <w:highlight w:val="none"/>
        </w:rPr>
        <w:t>6.2.1.3 卖方应充分配合，采取一切必要措施，使合同</w:t>
      </w:r>
      <w:r>
        <w:rPr>
          <w:rFonts w:hint="eastAsia" w:ascii="宋体" w:hAnsi="宋体" w:eastAsia="宋体" w:cs="Arial Unicode MS"/>
          <w:color w:val="auto"/>
          <w:kern w:val="0"/>
          <w:szCs w:val="21"/>
          <w:highlight w:val="none"/>
        </w:rPr>
        <w:t>设备</w:t>
      </w:r>
      <w:r>
        <w:rPr>
          <w:rFonts w:ascii="宋体" w:hAnsi="宋体" w:eastAsia="宋体" w:cs="Arial Unicode MS"/>
          <w:color w:val="auto"/>
          <w:kern w:val="0"/>
          <w:szCs w:val="21"/>
          <w:highlight w:val="none"/>
        </w:rPr>
        <w:t>尽快投产。</w:t>
      </w:r>
    </w:p>
    <w:p w14:paraId="77338D2F">
      <w:pPr>
        <w:topLinePunct/>
        <w:adjustRightInd w:val="0"/>
        <w:snapToGrid w:val="0"/>
        <w:spacing w:line="360" w:lineRule="auto"/>
        <w:ind w:firstLine="420" w:firstLineChars="200"/>
        <w:jc w:val="left"/>
        <w:rPr>
          <w:rFonts w:ascii="宋体" w:hAnsi="宋体" w:eastAsia="宋体" w:cs="Arial Unicode MS"/>
          <w:color w:val="auto"/>
          <w:kern w:val="0"/>
          <w:szCs w:val="21"/>
          <w:highlight w:val="none"/>
        </w:rPr>
      </w:pPr>
      <w:r>
        <w:rPr>
          <w:rFonts w:ascii="宋体" w:hAnsi="宋体" w:eastAsia="宋体" w:cs="Arial Unicode MS"/>
          <w:color w:val="auto"/>
          <w:kern w:val="0"/>
          <w:szCs w:val="21"/>
          <w:highlight w:val="none"/>
        </w:rPr>
        <w:t>6.2.1.4 如果由于买方未按照卖方所提供的技术资料、图纸、说明书进行安装、调试，及非卖方技术人员的原因造成合同</w:t>
      </w:r>
      <w:r>
        <w:rPr>
          <w:rFonts w:hint="eastAsia" w:ascii="宋体" w:hAnsi="宋体" w:eastAsia="宋体" w:cs="Arial Unicode MS"/>
          <w:color w:val="auto"/>
          <w:kern w:val="0"/>
          <w:szCs w:val="21"/>
          <w:highlight w:val="none"/>
        </w:rPr>
        <w:t>设备</w:t>
      </w:r>
      <w:r>
        <w:rPr>
          <w:rFonts w:ascii="宋体" w:hAnsi="宋体" w:eastAsia="宋体" w:cs="Arial Unicode MS"/>
          <w:color w:val="auto"/>
          <w:kern w:val="0"/>
          <w:szCs w:val="21"/>
          <w:highlight w:val="none"/>
        </w:rPr>
        <w:t>损坏，由买方负责检修、更换。</w:t>
      </w:r>
    </w:p>
    <w:p w14:paraId="08EFA8BA">
      <w:pPr>
        <w:topLinePunct/>
        <w:adjustRightInd w:val="0"/>
        <w:snapToGrid w:val="0"/>
        <w:spacing w:line="360" w:lineRule="auto"/>
        <w:ind w:firstLine="420" w:firstLineChars="200"/>
        <w:jc w:val="left"/>
        <w:rPr>
          <w:rFonts w:ascii="宋体" w:hAnsi="宋体" w:eastAsia="宋体" w:cs="Arial Unicode MS"/>
          <w:color w:val="auto"/>
          <w:kern w:val="0"/>
          <w:szCs w:val="21"/>
          <w:highlight w:val="none"/>
        </w:rPr>
      </w:pPr>
      <w:r>
        <w:rPr>
          <w:rFonts w:hint="eastAsia" w:ascii="宋体" w:hAnsi="宋体" w:eastAsia="宋体" w:cs="Arial Unicode MS"/>
          <w:color w:val="auto"/>
          <w:kern w:val="0"/>
          <w:szCs w:val="21"/>
          <w:highlight w:val="none"/>
        </w:rPr>
        <w:t>卖方应当在技术、人力、备件、设施、工具等方面予以配合。对于买方要求的紧急部件，卖方应安排最快的方式运输。所有费用均由买方承担。</w:t>
      </w:r>
    </w:p>
    <w:p w14:paraId="4BF87C5A">
      <w:pPr>
        <w:pStyle w:val="5"/>
        <w:spacing w:before="0" w:after="0" w:line="360" w:lineRule="auto"/>
        <w:rPr>
          <w:rFonts w:ascii="宋体" w:hAnsi="宋体" w:eastAsia="宋体" w:cs="黑体"/>
          <w:color w:val="auto"/>
          <w:kern w:val="0"/>
          <w:sz w:val="21"/>
          <w:szCs w:val="28"/>
          <w:highlight w:val="none"/>
        </w:rPr>
      </w:pPr>
      <w:bookmarkStart w:id="259" w:name="_Toc57494723"/>
      <w:bookmarkStart w:id="260" w:name="_Toc16723"/>
      <w:bookmarkStart w:id="261" w:name="_Toc26275201"/>
      <w:bookmarkStart w:id="262" w:name="_Toc26580"/>
      <w:r>
        <w:rPr>
          <w:rFonts w:ascii="宋体" w:hAnsi="宋体" w:eastAsia="宋体" w:cs="黑体"/>
          <w:color w:val="auto"/>
          <w:kern w:val="0"/>
          <w:sz w:val="21"/>
          <w:szCs w:val="28"/>
          <w:highlight w:val="none"/>
        </w:rPr>
        <w:t xml:space="preserve">6.3 </w:t>
      </w:r>
      <w:r>
        <w:rPr>
          <w:rFonts w:hint="eastAsia" w:ascii="宋体" w:hAnsi="宋体" w:eastAsia="宋体" w:cs="黑体"/>
          <w:color w:val="auto"/>
          <w:kern w:val="0"/>
          <w:sz w:val="21"/>
          <w:szCs w:val="28"/>
          <w:highlight w:val="none"/>
        </w:rPr>
        <w:t>考核</w:t>
      </w:r>
      <w:bookmarkEnd w:id="259"/>
      <w:bookmarkEnd w:id="260"/>
      <w:bookmarkEnd w:id="261"/>
      <w:bookmarkEnd w:id="262"/>
    </w:p>
    <w:p w14:paraId="1C7C24FE">
      <w:pPr>
        <w:topLinePunct/>
        <w:adjustRightInd w:val="0"/>
        <w:snapToGrid w:val="0"/>
        <w:spacing w:line="360" w:lineRule="auto"/>
        <w:ind w:firstLine="420" w:firstLineChars="200"/>
        <w:jc w:val="left"/>
        <w:rPr>
          <w:rFonts w:hint="eastAsia" w:ascii="宋体" w:hAnsi="宋体" w:eastAsia="宋体" w:cs="Arial Unicode MS"/>
          <w:color w:val="auto"/>
          <w:kern w:val="0"/>
          <w:szCs w:val="21"/>
          <w:highlight w:val="none"/>
        </w:rPr>
      </w:pPr>
      <w:r>
        <w:rPr>
          <w:rFonts w:hint="eastAsia" w:ascii="宋体" w:hAnsi="宋体" w:eastAsia="宋体" w:cs="Arial Unicode MS"/>
          <w:color w:val="auto"/>
          <w:kern w:val="0"/>
          <w:szCs w:val="21"/>
          <w:highlight w:val="none"/>
        </w:rPr>
        <w:t>6.3.1 合同货物运抵交货地点，买方按国家、行业及买方标准开展现场交接试验。</w:t>
      </w:r>
    </w:p>
    <w:p w14:paraId="12FF8791">
      <w:pPr>
        <w:topLinePunct/>
        <w:adjustRightInd w:val="0"/>
        <w:snapToGrid w:val="0"/>
        <w:spacing w:line="360" w:lineRule="auto"/>
        <w:ind w:firstLine="420" w:firstLineChars="200"/>
        <w:jc w:val="left"/>
        <w:rPr>
          <w:rFonts w:hint="default" w:ascii="宋体" w:hAnsi="宋体" w:eastAsia="宋体" w:cs="Arial Unicode MS"/>
          <w:color w:val="auto"/>
          <w:kern w:val="0"/>
          <w:szCs w:val="21"/>
          <w:highlight w:val="none"/>
          <w:lang w:val="en-US" w:eastAsia="zh-CN"/>
        </w:rPr>
      </w:pPr>
      <w:r>
        <w:rPr>
          <w:rFonts w:hint="eastAsia" w:ascii="宋体" w:hAnsi="宋体" w:eastAsia="宋体" w:cs="Arial Unicode MS"/>
          <w:color w:val="auto"/>
          <w:kern w:val="0"/>
          <w:szCs w:val="21"/>
          <w:highlight w:val="none"/>
          <w:lang w:val="en-US" w:eastAsia="zh-CN"/>
        </w:rPr>
        <w:t>6.3.2 供应商应按照设备实际参数录入有关信息，买方在验收或运行阶段发现卖方所提供参数与实际不符的，对卖方进行履约扣分考核。</w:t>
      </w:r>
    </w:p>
    <w:p w14:paraId="29845257">
      <w:pPr>
        <w:topLinePunct/>
        <w:adjustRightInd w:val="0"/>
        <w:snapToGrid w:val="0"/>
        <w:spacing w:line="360" w:lineRule="auto"/>
        <w:ind w:firstLine="420" w:firstLineChars="200"/>
        <w:jc w:val="left"/>
        <w:rPr>
          <w:rFonts w:ascii="宋体" w:hAnsi="宋体" w:eastAsia="宋体" w:cs="Arial Unicode MS"/>
          <w:color w:val="auto"/>
          <w:kern w:val="0"/>
          <w:szCs w:val="21"/>
          <w:highlight w:val="none"/>
        </w:rPr>
      </w:pPr>
      <w:r>
        <w:rPr>
          <w:rFonts w:hint="eastAsia" w:ascii="宋体" w:hAnsi="宋体" w:eastAsia="宋体" w:cs="Arial Unicode MS"/>
          <w:color w:val="auto"/>
          <w:kern w:val="0"/>
          <w:szCs w:val="21"/>
          <w:highlight w:val="none"/>
        </w:rPr>
        <w:t xml:space="preserve">6.3.3 </w:t>
      </w:r>
      <w:r>
        <w:rPr>
          <w:rFonts w:hint="eastAsia" w:ascii="宋体" w:hAnsi="宋体" w:eastAsia="宋体" w:cs="Times New Roman"/>
          <w:color w:val="auto"/>
          <w:kern w:val="0"/>
          <w:szCs w:val="21"/>
          <w:highlight w:val="none"/>
        </w:rPr>
        <w:t>考核</w:t>
      </w:r>
      <w:r>
        <w:rPr>
          <w:rFonts w:ascii="宋体" w:hAnsi="宋体" w:eastAsia="宋体" w:cs="Times New Roman"/>
          <w:color w:val="auto"/>
          <w:kern w:val="0"/>
          <w:szCs w:val="21"/>
          <w:highlight w:val="none"/>
        </w:rPr>
        <w:t>不合格的，卖方须按照买方认可的方案负责处理并再次进行交接试验。</w:t>
      </w:r>
    </w:p>
    <w:p w14:paraId="6336DDD6">
      <w:pPr>
        <w:topLinePunct/>
        <w:adjustRightInd w:val="0"/>
        <w:snapToGrid w:val="0"/>
        <w:spacing w:line="360" w:lineRule="auto"/>
        <w:ind w:firstLine="420" w:firstLineChars="200"/>
        <w:jc w:val="left"/>
        <w:rPr>
          <w:rFonts w:ascii="宋体" w:hAnsi="宋体" w:eastAsia="宋体" w:cs="Arial Unicode MS"/>
          <w:color w:val="auto"/>
          <w:kern w:val="0"/>
          <w:szCs w:val="21"/>
          <w:highlight w:val="none"/>
        </w:rPr>
      </w:pPr>
      <w:r>
        <w:rPr>
          <w:rFonts w:ascii="宋体" w:hAnsi="宋体" w:eastAsia="宋体" w:cs="Arial Unicode MS"/>
          <w:color w:val="auto"/>
          <w:kern w:val="0"/>
          <w:szCs w:val="21"/>
          <w:highlight w:val="none"/>
        </w:rPr>
        <w:t>6.3.6 在合同履行过程中，对由于卖方原因需要进行的检查、试验、再试验、修理或更换</w:t>
      </w:r>
      <w:r>
        <w:rPr>
          <w:rFonts w:ascii="宋体" w:hAnsi="宋体" w:eastAsia="宋体" w:cs="Times New Roman"/>
          <w:color w:val="auto"/>
          <w:kern w:val="0"/>
          <w:szCs w:val="21"/>
          <w:highlight w:val="none"/>
        </w:rPr>
        <w:t>，卖方应承担进行上述工作所需的全部费用</w:t>
      </w:r>
      <w:r>
        <w:rPr>
          <w:rFonts w:ascii="宋体" w:hAnsi="宋体" w:eastAsia="宋体" w:cs="Arial Unicode MS"/>
          <w:color w:val="auto"/>
          <w:kern w:val="0"/>
          <w:szCs w:val="21"/>
          <w:highlight w:val="none"/>
        </w:rPr>
        <w:t>，买方应做好安排以便进行上述工作。</w:t>
      </w:r>
    </w:p>
    <w:p w14:paraId="2F481CED">
      <w:pPr>
        <w:pStyle w:val="5"/>
        <w:spacing w:before="0" w:after="0" w:line="360" w:lineRule="auto"/>
        <w:rPr>
          <w:rFonts w:ascii="宋体" w:hAnsi="宋体" w:eastAsia="宋体" w:cs="黑体"/>
          <w:color w:val="auto"/>
          <w:kern w:val="0"/>
          <w:sz w:val="21"/>
          <w:szCs w:val="28"/>
          <w:highlight w:val="none"/>
        </w:rPr>
      </w:pPr>
      <w:bookmarkStart w:id="263" w:name="_Toc27592"/>
      <w:bookmarkStart w:id="264" w:name="_Toc57494724"/>
      <w:bookmarkStart w:id="265" w:name="_Toc26275202"/>
      <w:bookmarkStart w:id="266" w:name="_Toc18759"/>
      <w:r>
        <w:rPr>
          <w:rFonts w:ascii="宋体" w:hAnsi="宋体" w:eastAsia="宋体" w:cs="黑体"/>
          <w:color w:val="auto"/>
          <w:kern w:val="0"/>
          <w:sz w:val="21"/>
          <w:szCs w:val="28"/>
          <w:highlight w:val="none"/>
        </w:rPr>
        <w:t xml:space="preserve">6.4 </w:t>
      </w:r>
      <w:r>
        <w:rPr>
          <w:rFonts w:hint="eastAsia" w:ascii="宋体" w:hAnsi="宋体" w:eastAsia="宋体" w:cs="黑体"/>
          <w:color w:val="auto"/>
          <w:kern w:val="0"/>
          <w:sz w:val="21"/>
          <w:szCs w:val="28"/>
          <w:highlight w:val="none"/>
        </w:rPr>
        <w:t>验收</w:t>
      </w:r>
      <w:bookmarkEnd w:id="263"/>
      <w:bookmarkEnd w:id="264"/>
      <w:bookmarkEnd w:id="265"/>
      <w:bookmarkEnd w:id="266"/>
    </w:p>
    <w:p w14:paraId="2492D5B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6.4.1.1 卖方需要设备验收证书时，应向买方书面提出申请。</w:t>
      </w:r>
    </w:p>
    <w:p w14:paraId="68ADABB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6.4.1.2 </w:t>
      </w:r>
      <w:r>
        <w:rPr>
          <w:rFonts w:hint="eastAsia" w:ascii="宋体" w:hAnsi="宋体" w:eastAsia="宋体" w:cs="Times New Roman"/>
          <w:color w:val="auto"/>
          <w:kern w:val="0"/>
          <w:szCs w:val="21"/>
          <w:highlight w:val="none"/>
        </w:rPr>
        <w:t>签署设备验收证书时，还应满足以下条件：</w:t>
      </w:r>
    </w:p>
    <w:p w14:paraId="028601A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（1）对于需要投产的设备，设备已经投产。</w:t>
      </w:r>
    </w:p>
    <w:p w14:paraId="53F8D33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（2）相应合同的结清款不为零。</w:t>
      </w:r>
    </w:p>
    <w:p w14:paraId="1F9A608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6.4.1.</w:t>
      </w:r>
      <w:r>
        <w:rPr>
          <w:rFonts w:ascii="宋体" w:hAnsi="宋体" w:eastAsia="宋体" w:cs="Times New Roman"/>
          <w:color w:val="auto"/>
          <w:kern w:val="0"/>
          <w:szCs w:val="21"/>
          <w:highlight w:val="none"/>
        </w:rPr>
        <w:t xml:space="preserve">3 </w:t>
      </w:r>
      <w:r>
        <w:rPr>
          <w:rFonts w:hint="eastAsia" w:ascii="宋体" w:hAnsi="宋体" w:eastAsia="宋体" w:cs="Times New Roman"/>
          <w:color w:val="auto"/>
          <w:kern w:val="0"/>
          <w:szCs w:val="21"/>
          <w:highlight w:val="none"/>
        </w:rPr>
        <w:t>签署设备验收证书的时间为卖方书面提出相应申请后的合理时间内。</w:t>
      </w:r>
    </w:p>
    <w:p w14:paraId="61B7688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6.4.1.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设备验收证书应当记录验收日期、缺陷清单及其他需要卖方配合的主要工作。卖方完成设备验收证书所列各项工作后，还应当按照合同规定继续履行提供质保期服务等义务。</w:t>
      </w:r>
    </w:p>
    <w:p w14:paraId="2A0D7D0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6.4.2 如由于买方原因合同设备在三次考核中均未能达到技术性能考核指标，卖方有义务</w:t>
      </w:r>
      <w:r>
        <w:rPr>
          <w:rFonts w:hint="eastAsia" w:ascii="宋体" w:hAnsi="宋体" w:eastAsia="宋体" w:cs="Times New Roman"/>
          <w:color w:val="auto"/>
          <w:kern w:val="0"/>
          <w:szCs w:val="21"/>
          <w:highlight w:val="none"/>
        </w:rPr>
        <w:t>继续</w:t>
      </w:r>
      <w:r>
        <w:rPr>
          <w:rFonts w:ascii="宋体" w:hAnsi="宋体" w:eastAsia="宋体" w:cs="Times New Roman"/>
          <w:color w:val="auto"/>
          <w:kern w:val="0"/>
          <w:szCs w:val="21"/>
          <w:highlight w:val="none"/>
        </w:rPr>
        <w:t>应买方要求提供相关技术服务，协助买方采取一切必要措施使合同设备达到技术性能考核指标。买方应承担卖方因此产生的全部费用。</w:t>
      </w:r>
    </w:p>
    <w:p w14:paraId="5016591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如合同设备经过考核达到或视为达到技术性能考核指标，则买卖双方应按照第</w:t>
      </w:r>
      <w:r>
        <w:rPr>
          <w:rFonts w:ascii="宋体" w:hAnsi="宋体" w:eastAsia="宋体" w:cs="Times New Roman"/>
          <w:color w:val="auto"/>
          <w:kern w:val="0"/>
          <w:szCs w:val="21"/>
          <w:highlight w:val="none"/>
        </w:rPr>
        <w:t>6.4.1项的约定签署合同设备验收证书。</w:t>
      </w:r>
    </w:p>
    <w:p w14:paraId="69C6A91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6.4.3 通用条款的规定不适用，相关事项按照其他条款的规定执行。</w:t>
      </w:r>
    </w:p>
    <w:p w14:paraId="5D40571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6.4.</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通用条款的规定不适用，相关事项按照其他条款的规定执行。</w:t>
      </w:r>
    </w:p>
    <w:p w14:paraId="3FCDDA62">
      <w:pPr>
        <w:pStyle w:val="4"/>
        <w:spacing w:before="0" w:after="0" w:line="360" w:lineRule="auto"/>
        <w:rPr>
          <w:rFonts w:ascii="宋体" w:hAnsi="宋体" w:eastAsia="宋体" w:cs="Times New Roman"/>
          <w:color w:val="auto"/>
          <w:kern w:val="0"/>
          <w:sz w:val="21"/>
          <w:szCs w:val="21"/>
          <w:highlight w:val="none"/>
        </w:rPr>
      </w:pPr>
      <w:bookmarkStart w:id="267" w:name="_Toc57494725"/>
      <w:bookmarkStart w:id="268" w:name="_Toc27932"/>
      <w:bookmarkStart w:id="269" w:name="_Toc30874"/>
      <w:r>
        <w:rPr>
          <w:rFonts w:ascii="宋体" w:hAnsi="宋体" w:eastAsia="宋体" w:cs="Times New Roman"/>
          <w:color w:val="auto"/>
          <w:kern w:val="0"/>
          <w:sz w:val="21"/>
          <w:szCs w:val="21"/>
          <w:highlight w:val="none"/>
        </w:rPr>
        <w:t xml:space="preserve">7. </w:t>
      </w:r>
      <w:r>
        <w:rPr>
          <w:rFonts w:hint="eastAsia" w:ascii="宋体" w:hAnsi="宋体" w:eastAsia="宋体" w:cs="Times New Roman"/>
          <w:color w:val="auto"/>
          <w:kern w:val="0"/>
          <w:sz w:val="21"/>
          <w:szCs w:val="21"/>
          <w:highlight w:val="none"/>
        </w:rPr>
        <w:t>技术服务</w:t>
      </w:r>
      <w:bookmarkEnd w:id="267"/>
      <w:bookmarkEnd w:id="268"/>
      <w:bookmarkEnd w:id="269"/>
    </w:p>
    <w:p w14:paraId="1F7256F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7.1.1 卖方应在合同生效后15日内以传真方式向买方提交执行技术协议约定的技术服务计划一份，双方据此确定技术联络会的次数、时间和地点。</w:t>
      </w:r>
    </w:p>
    <w:p w14:paraId="736A082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7.1.2 当买方要求卖方提供现场服务时，卖方技术人员应在接到买方通知后24小时内给予答复并在48小时内到达现场。技术协议另有约定的除外。</w:t>
      </w:r>
    </w:p>
    <w:p w14:paraId="5C525F8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7.1.3 卖方根据合同派往现场参加开箱检验的人员应能够全权处理开箱检验中出现的问题。</w:t>
      </w:r>
    </w:p>
    <w:p w14:paraId="194D46C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7.1.4.1 双方协商确定的安装、调试和运行技术服务方案（如有），卖方如有修改，须以书面形式通知买方，经买方确认后方可实施。为适应现场条件的要求，买方有权提出变更或修改意见，并书面通知卖方，卖方应给予充分考虑，尽量满足买方要求。</w:t>
      </w:r>
    </w:p>
    <w:p w14:paraId="728DCDF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7.1.4.2 卖方应按照合同约定专门指派至少一名经验丰富，有较高技术水平的技术人员到现场提供技术服务（如需要），负责解决合同设备在安装、调试（试运行）过程中发现的全部问题。</w:t>
      </w:r>
    </w:p>
    <w:p w14:paraId="49182CE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该技术人员应现场提供身份证及工作证复印件（盖公司章）留底备案，进入现场时需佩戴工作证。</w:t>
      </w:r>
    </w:p>
    <w:p w14:paraId="24458AB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7.1.5.1 卖方负责为买方提供有关合同设备安装、调试、使用、维护技术的培训，指派熟练称职的技术人员对买方指定的技术人员进行技术培训。培训范围应包含但不限于设备安装使用说明书和检修维护手册。</w:t>
      </w:r>
    </w:p>
    <w:p w14:paraId="007497C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7.1.5.2 卖方应在培训开始前两个月向买方提供培训计划，双方将根据合同规定和买方实际需要，在培训开始前一个月内确定具体培训内容和计划。</w:t>
      </w:r>
    </w:p>
    <w:p w14:paraId="62221B7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7.1.5.3 卖方指派的培训人员的资质要求：具有5年以上相关专业工作经验和类似项目培训经验，熟练掌握设备结构性能、系统功能、操作程序、维修方法等技术。</w:t>
      </w:r>
    </w:p>
    <w:p w14:paraId="673FC58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7.1.5.4 卖方提供所有必要且具有可行性的培训资料和工具，如教材、使用手册（明确日常维护周期、维修周期等事项）、合同设备图纸、专用工具和仪器等。</w:t>
      </w:r>
    </w:p>
    <w:p w14:paraId="5BE08D9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培训教材归买方所有。培训资料如有更新，卖方应及时免费向买方提供最新版本。</w:t>
      </w:r>
    </w:p>
    <w:p w14:paraId="11EC897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7.1.5.5 培训地点在卖方工厂或合同规定的其他地点。培训须用中文普通话完成。卖方必须按照使用手册里的日常维护周期、项目，AB修周期、项目、方法进行演示，保证其可行性。</w:t>
      </w:r>
    </w:p>
    <w:p w14:paraId="66230DE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7.1.6 质保期内，卖方应免费提供设备检修维护所需的技术支持服务。</w:t>
      </w:r>
    </w:p>
    <w:p w14:paraId="2AE3744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7.1.7 </w:t>
      </w:r>
      <w:r>
        <w:rPr>
          <w:rFonts w:hint="eastAsia" w:ascii="宋体" w:hAnsi="宋体" w:eastAsia="宋体" w:cs="Times New Roman"/>
          <w:color w:val="auto"/>
          <w:kern w:val="0"/>
          <w:szCs w:val="21"/>
          <w:highlight w:val="none"/>
        </w:rPr>
        <w:t>买方发生合同设备故障时，需卖方提供技术支持的，卖方应全力配合买方恢复合同设备运行并查明故障原因。由于卖方原因导致故障的，卖方应在</w:t>
      </w:r>
      <w:r>
        <w:rPr>
          <w:rFonts w:ascii="宋体" w:hAnsi="宋体" w:eastAsia="宋体" w:cs="Times New Roman"/>
          <w:color w:val="auto"/>
          <w:kern w:val="0"/>
          <w:szCs w:val="21"/>
          <w:highlight w:val="none"/>
        </w:rPr>
        <w:t>30天内向买方提供详细书面报告。</w:t>
      </w:r>
    </w:p>
    <w:p w14:paraId="2761547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7.3 卖方技术人员、物流人员及车辆在现场提供到货、安装、调试等服务时应严格遵守施工现场的</w:t>
      </w:r>
      <w:r>
        <w:rPr>
          <w:rFonts w:hint="eastAsia" w:ascii="宋体" w:hAnsi="宋体" w:eastAsia="宋体" w:cs="Times New Roman"/>
          <w:color w:val="auto"/>
          <w:kern w:val="0"/>
          <w:szCs w:val="21"/>
          <w:highlight w:val="none"/>
        </w:rPr>
        <w:t>各项规章制度和安全操作规程</w:t>
      </w:r>
      <w:r>
        <w:rPr>
          <w:rFonts w:ascii="宋体" w:hAnsi="宋体" w:eastAsia="宋体" w:cs="Times New Roman"/>
          <w:color w:val="auto"/>
          <w:kern w:val="0"/>
          <w:szCs w:val="21"/>
          <w:highlight w:val="none"/>
        </w:rPr>
        <w:t>，自觉做好安全保护措施（如进入施工现场需佩戴安全帽等），接受现场的监督管理；在施工现场未经许可，不得拆卸、涂抹、损坏任何设备；对合同</w:t>
      </w:r>
      <w:r>
        <w:rPr>
          <w:rFonts w:hint="eastAsia" w:ascii="宋体" w:hAnsi="宋体" w:eastAsia="宋体" w:cs="Times New Roman"/>
          <w:color w:val="auto"/>
          <w:kern w:val="0"/>
          <w:szCs w:val="21"/>
          <w:highlight w:val="none"/>
        </w:rPr>
        <w:t>设备</w:t>
      </w:r>
      <w:r>
        <w:rPr>
          <w:rFonts w:ascii="宋体" w:hAnsi="宋体" w:eastAsia="宋体" w:cs="Times New Roman"/>
          <w:color w:val="auto"/>
          <w:kern w:val="0"/>
          <w:szCs w:val="21"/>
          <w:highlight w:val="none"/>
        </w:rPr>
        <w:t>的调试要在现场监理的监督下进行操作，必要时须经过现场监理或项目部负责人的同意。</w:t>
      </w:r>
      <w:r>
        <w:rPr>
          <w:rFonts w:hint="eastAsia" w:ascii="宋体" w:hAnsi="宋体" w:eastAsia="宋体" w:cs="Times New Roman"/>
          <w:color w:val="auto"/>
          <w:kern w:val="0"/>
          <w:szCs w:val="21"/>
          <w:highlight w:val="none"/>
        </w:rPr>
        <w:t xml:space="preserve"> </w:t>
      </w:r>
    </w:p>
    <w:p w14:paraId="5C2CCBC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7.4.1 若卖方技术人员在现场提供技术服务时违反各项规章制度和安全操作规程，</w:t>
      </w:r>
      <w:r>
        <w:rPr>
          <w:rFonts w:hint="eastAsia" w:ascii="宋体" w:hAnsi="宋体" w:eastAsia="宋体" w:cs="Times New Roman"/>
          <w:color w:val="auto"/>
          <w:kern w:val="0"/>
          <w:szCs w:val="21"/>
          <w:highlight w:val="none"/>
        </w:rPr>
        <w:t>由此引起的一切后果，由卖方承担。并且，</w:t>
      </w:r>
      <w:r>
        <w:rPr>
          <w:rFonts w:ascii="宋体" w:hAnsi="宋体" w:eastAsia="宋体" w:cs="Times New Roman"/>
          <w:color w:val="auto"/>
          <w:kern w:val="0"/>
          <w:szCs w:val="21"/>
          <w:highlight w:val="none"/>
        </w:rPr>
        <w:t>买方有权提出更换违反上述规章制度或不符合要求的卖方现场服务人员，卖方应根据现场需要，重新选派买方认可的服务人员。</w:t>
      </w:r>
    </w:p>
    <w:p w14:paraId="20BA928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7.4.2 </w:t>
      </w:r>
      <w:r>
        <w:rPr>
          <w:rFonts w:hint="eastAsia" w:ascii="宋体" w:hAnsi="宋体" w:eastAsia="宋体" w:cs="Times New Roman"/>
          <w:color w:val="auto"/>
          <w:kern w:val="0"/>
          <w:szCs w:val="21"/>
          <w:highlight w:val="none"/>
        </w:rPr>
        <w:t>卖方不得安排进入南方电网公司基建实名制系统中设备厂家技术服务人员“黑名单”的人员为买方提供技术服务。</w:t>
      </w:r>
    </w:p>
    <w:p w14:paraId="4A7C5EC0">
      <w:pPr>
        <w:topLinePunct/>
        <w:adjustRightInd w:val="0"/>
        <w:snapToGrid w:val="0"/>
        <w:spacing w:line="360" w:lineRule="auto"/>
        <w:ind w:firstLine="420" w:firstLineChars="200"/>
        <w:jc w:val="left"/>
        <w:rPr>
          <w:rFonts w:hint="eastAsia" w:ascii="宋体" w:hAnsi="宋体" w:eastAsia="宋体" w:cs="Times New Roman"/>
          <w:color w:val="auto"/>
          <w:kern w:val="0"/>
          <w:szCs w:val="21"/>
          <w:highlight w:val="none"/>
          <w:lang w:val="en-US" w:eastAsia="zh-CN"/>
        </w:rPr>
      </w:pPr>
      <w:r>
        <w:rPr>
          <w:rFonts w:hint="eastAsia" w:ascii="宋体" w:hAnsi="宋体" w:eastAsia="宋体" w:cs="Times New Roman"/>
          <w:color w:val="auto"/>
          <w:kern w:val="0"/>
          <w:szCs w:val="21"/>
          <w:highlight w:val="none"/>
          <w:lang w:val="en-US" w:eastAsia="zh-CN"/>
        </w:rPr>
        <w:t xml:space="preserve">7.4.3 </w:t>
      </w:r>
      <w:r>
        <w:rPr>
          <w:rFonts w:ascii="宋体" w:hAnsi="宋体" w:eastAsia="宋体" w:cs="Times New Roman"/>
          <w:color w:val="auto"/>
          <w:kern w:val="0"/>
          <w:szCs w:val="21"/>
          <w:highlight w:val="none"/>
        </w:rPr>
        <w:t>现场提供技术服务的人员若不能胜任工作，卖方应按买方要求重新（或增加）选派技术人员，并保证不影响工程进度。相关费用由卖方负责。</w:t>
      </w:r>
    </w:p>
    <w:p w14:paraId="797AC83B">
      <w:pPr>
        <w:pStyle w:val="4"/>
        <w:spacing w:before="0" w:after="0" w:line="360" w:lineRule="auto"/>
        <w:rPr>
          <w:rFonts w:ascii="宋体" w:hAnsi="宋体" w:eastAsia="宋体" w:cs="Times New Roman"/>
          <w:color w:val="auto"/>
          <w:kern w:val="0"/>
          <w:sz w:val="21"/>
          <w:szCs w:val="21"/>
          <w:highlight w:val="none"/>
        </w:rPr>
      </w:pPr>
      <w:bookmarkStart w:id="270" w:name="_Toc57494726"/>
      <w:bookmarkStart w:id="271" w:name="_Toc9990"/>
      <w:bookmarkStart w:id="272" w:name="_Toc8831"/>
      <w:r>
        <w:rPr>
          <w:rFonts w:ascii="宋体" w:hAnsi="宋体" w:eastAsia="宋体" w:cs="Times New Roman"/>
          <w:color w:val="auto"/>
          <w:kern w:val="0"/>
          <w:sz w:val="21"/>
          <w:szCs w:val="21"/>
          <w:highlight w:val="none"/>
        </w:rPr>
        <w:t xml:space="preserve">8. </w:t>
      </w:r>
      <w:r>
        <w:rPr>
          <w:rFonts w:hint="eastAsia" w:ascii="宋体" w:hAnsi="宋体" w:eastAsia="宋体" w:cs="Times New Roman"/>
          <w:color w:val="auto"/>
          <w:kern w:val="0"/>
          <w:sz w:val="21"/>
          <w:szCs w:val="21"/>
          <w:highlight w:val="none"/>
        </w:rPr>
        <w:t>质量保证期</w:t>
      </w:r>
      <w:bookmarkEnd w:id="270"/>
      <w:bookmarkEnd w:id="271"/>
      <w:bookmarkEnd w:id="272"/>
    </w:p>
    <w:p w14:paraId="6D4BF87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8.1 </w:t>
      </w:r>
      <w:bookmarkStart w:id="273" w:name="_Hlk28618258"/>
      <w:r>
        <w:rPr>
          <w:rFonts w:hint="eastAsia" w:ascii="宋体" w:hAnsi="宋体" w:eastAsia="宋体" w:cs="Times New Roman"/>
          <w:color w:val="auto"/>
          <w:kern w:val="0"/>
          <w:szCs w:val="21"/>
          <w:highlight w:val="none"/>
        </w:rPr>
        <w:t>合同设备的质量保证期（质保期）：当合同设备涉及单个项目时，自项目最后一批设备到货验收合格之日起10个月开始计算；当合同设备涉及多个项目时，分别自对应项目最后一批设备到货验收合格之日起10个月开始计算</w:t>
      </w:r>
      <w:r>
        <w:rPr>
          <w:rFonts w:hint="eastAsia" w:ascii="宋体" w:hAnsi="宋体" w:eastAsia="宋体" w:cs="Times New Roman"/>
          <w:color w:val="auto"/>
          <w:kern w:val="0"/>
          <w:szCs w:val="21"/>
          <w:highlight w:val="none"/>
          <w:lang w:eastAsia="zh-CN"/>
        </w:rPr>
        <w:t>。</w:t>
      </w:r>
      <w:bookmarkEnd w:id="273"/>
    </w:p>
    <w:p w14:paraId="702E4DC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8.1.1 合同设备总装后进行试验时，若因主要技术指标不合格，经处理后方合格出厂的，应将原因和处理情况列入出厂文件。质保期在上述期限基础上延长12个月。</w:t>
      </w:r>
    </w:p>
    <w:p w14:paraId="5E4F839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 xml:space="preserve">8.1.2 </w:t>
      </w:r>
      <w:r>
        <w:rPr>
          <w:rFonts w:ascii="宋体" w:hAnsi="宋体" w:eastAsia="宋体" w:cs="Times New Roman"/>
          <w:color w:val="auto"/>
          <w:kern w:val="0"/>
          <w:szCs w:val="21"/>
          <w:highlight w:val="none"/>
        </w:rPr>
        <w:t>合同设备质保期届满前，</w:t>
      </w:r>
      <w:r>
        <w:rPr>
          <w:rFonts w:hint="eastAsia" w:ascii="宋体" w:hAnsi="宋体" w:eastAsia="宋体" w:cs="Times New Roman"/>
          <w:color w:val="auto"/>
          <w:kern w:val="0"/>
          <w:szCs w:val="21"/>
          <w:highlight w:val="none"/>
        </w:rPr>
        <w:t>发现存在缺陷的设备经修理或更换后，应在原有的质保期基础上顺延质保期年限：紧急缺陷顺延</w:t>
      </w:r>
      <w:r>
        <w:rPr>
          <w:rFonts w:ascii="宋体" w:hAnsi="宋体" w:eastAsia="宋体" w:cs="Times New Roman"/>
          <w:color w:val="auto"/>
          <w:kern w:val="0"/>
          <w:szCs w:val="21"/>
          <w:highlight w:val="none"/>
        </w:rPr>
        <w:t>3年，重大缺陷顺延2年，一般缺陷顺延1年。</w:t>
      </w:r>
    </w:p>
    <w:p w14:paraId="71E54B9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8.1.3 质保期的</w:t>
      </w:r>
      <w:r>
        <w:rPr>
          <w:rFonts w:hint="eastAsia" w:ascii="宋体" w:hAnsi="宋体" w:eastAsia="宋体" w:cs="Times New Roman"/>
          <w:color w:val="auto"/>
          <w:kern w:val="0"/>
          <w:szCs w:val="21"/>
          <w:highlight w:val="none"/>
        </w:rPr>
        <w:t>届满</w:t>
      </w:r>
      <w:r>
        <w:rPr>
          <w:rFonts w:ascii="宋体" w:hAnsi="宋体" w:eastAsia="宋体" w:cs="Times New Roman"/>
          <w:color w:val="auto"/>
          <w:kern w:val="0"/>
          <w:szCs w:val="21"/>
          <w:highlight w:val="none"/>
        </w:rPr>
        <w:t>不能视为卖方对合同设备的潜在缺陷所应负的责任的解除。质保期结束后5年内，合同设备出现</w:t>
      </w:r>
      <w:r>
        <w:rPr>
          <w:rFonts w:hint="eastAsia" w:ascii="宋体" w:hAnsi="宋体" w:eastAsia="宋体" w:cs="Times New Roman"/>
          <w:color w:val="auto"/>
          <w:kern w:val="0"/>
          <w:szCs w:val="21"/>
          <w:highlight w:val="none"/>
        </w:rPr>
        <w:t>批次</w:t>
      </w:r>
      <w:r>
        <w:rPr>
          <w:rFonts w:ascii="宋体" w:hAnsi="宋体" w:eastAsia="宋体" w:cs="Times New Roman"/>
          <w:color w:val="auto"/>
          <w:kern w:val="0"/>
          <w:szCs w:val="21"/>
          <w:highlight w:val="none"/>
        </w:rPr>
        <w:t>性缺陷时，买方有权要求卖方对缺陷设备和同一批次的设备免费予以及时修理或更换。质保期结束后5年外，设备使用寿命周期内，合同设备出现</w:t>
      </w:r>
      <w:r>
        <w:rPr>
          <w:rFonts w:hint="eastAsia" w:ascii="宋体" w:hAnsi="宋体" w:eastAsia="宋体" w:cs="Times New Roman"/>
          <w:color w:val="auto"/>
          <w:kern w:val="0"/>
          <w:szCs w:val="21"/>
          <w:highlight w:val="none"/>
        </w:rPr>
        <w:t>批次</w:t>
      </w:r>
      <w:r>
        <w:rPr>
          <w:rFonts w:ascii="宋体" w:hAnsi="宋体" w:eastAsia="宋体" w:cs="Times New Roman"/>
          <w:color w:val="auto"/>
          <w:kern w:val="0"/>
          <w:szCs w:val="21"/>
          <w:highlight w:val="none"/>
        </w:rPr>
        <w:t>性缺陷时，卖方应按合同价对缺陷设备和同一批次的设备予以及时修理或更换，同时供应商应能按照合同价格提供合同元器件或其代替（升级）的产品。</w:t>
      </w:r>
    </w:p>
    <w:p w14:paraId="68DDFA3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8.2.1 所有合同设备本体、附件及螺栓、螺帽、阀门等部件必须防腐</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防锈，质保期内不得出现锈蚀、开裂，否则视为存在缺陷，卖方应无条件更换。</w:t>
      </w:r>
    </w:p>
    <w:p w14:paraId="143AFEB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8.2.2 在质保期内，由于卖方责任需要修理、更换有缺陷的合同设备导致合同设备停运时，</w:t>
      </w:r>
      <w:r>
        <w:rPr>
          <w:rFonts w:hint="eastAsia" w:ascii="宋体" w:hAnsi="宋体" w:eastAsia="宋体" w:cs="Times New Roman"/>
          <w:color w:val="auto"/>
          <w:kern w:val="0"/>
          <w:szCs w:val="21"/>
          <w:highlight w:val="none"/>
        </w:rPr>
        <w:t>或者由于卖方设计、材料或制造缺陷造成网络与信息安全事件或其他电力事件（事故），或者出现两次及以上同类批次</w:t>
      </w:r>
      <w:r>
        <w:rPr>
          <w:rFonts w:ascii="宋体" w:hAnsi="宋体" w:eastAsia="宋体" w:cs="Times New Roman"/>
          <w:color w:val="auto"/>
          <w:kern w:val="0"/>
          <w:szCs w:val="21"/>
          <w:highlight w:val="none"/>
        </w:rPr>
        <w:t>性缺陷</w:t>
      </w:r>
      <w:r>
        <w:rPr>
          <w:rFonts w:hint="eastAsia" w:ascii="宋体" w:hAnsi="宋体" w:eastAsia="宋体" w:cs="Times New Roman"/>
          <w:color w:val="auto"/>
          <w:kern w:val="0"/>
          <w:szCs w:val="21"/>
          <w:highlight w:val="none"/>
        </w:rPr>
        <w:t>时，</w:t>
      </w:r>
      <w:r>
        <w:rPr>
          <w:rFonts w:ascii="宋体" w:hAnsi="宋体" w:eastAsia="宋体" w:cs="Times New Roman"/>
          <w:color w:val="auto"/>
          <w:kern w:val="0"/>
          <w:szCs w:val="21"/>
          <w:highlight w:val="none"/>
        </w:rPr>
        <w:t>质保期自卖方消除该缺陷后重新计算，由此产生的所有费用(包括但不限于由合同设备质量原因引起的相关检测、试验、专家咨询、运输、安装等费用)应由卖方承担。</w:t>
      </w:r>
    </w:p>
    <w:p w14:paraId="67C26F1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8.2.3 在质保期内，发现合同设备部件出现缺陷但不影响设备的正常运行，经维修或更换后的部件的质保期重新计算。</w:t>
      </w:r>
    </w:p>
    <w:p w14:paraId="1C8906F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8.4 通用条款的规定不适用，相关事项按照其他条款的规定</w:t>
      </w:r>
      <w:r>
        <w:rPr>
          <w:rFonts w:hint="eastAsia" w:ascii="宋体" w:hAnsi="宋体" w:eastAsia="宋体" w:cs="Times New Roman"/>
          <w:color w:val="auto"/>
          <w:kern w:val="0"/>
          <w:szCs w:val="21"/>
          <w:highlight w:val="none"/>
        </w:rPr>
        <w:t>执行</w:t>
      </w:r>
      <w:r>
        <w:rPr>
          <w:rFonts w:ascii="宋体" w:hAnsi="宋体" w:eastAsia="宋体" w:cs="Times New Roman"/>
          <w:color w:val="auto"/>
          <w:kern w:val="0"/>
          <w:szCs w:val="21"/>
          <w:highlight w:val="none"/>
        </w:rPr>
        <w:t>。</w:t>
      </w:r>
    </w:p>
    <w:p w14:paraId="480F97B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8.5 通用条款的规定不适用，相关事项按照其他条款的规定</w:t>
      </w:r>
      <w:r>
        <w:rPr>
          <w:rFonts w:hint="eastAsia" w:ascii="宋体" w:hAnsi="宋体" w:eastAsia="宋体" w:cs="Times New Roman"/>
          <w:color w:val="auto"/>
          <w:kern w:val="0"/>
          <w:szCs w:val="21"/>
          <w:highlight w:val="none"/>
        </w:rPr>
        <w:t>执行</w:t>
      </w:r>
      <w:r>
        <w:rPr>
          <w:rFonts w:ascii="宋体" w:hAnsi="宋体" w:eastAsia="宋体" w:cs="Times New Roman"/>
          <w:color w:val="auto"/>
          <w:kern w:val="0"/>
          <w:szCs w:val="21"/>
          <w:highlight w:val="none"/>
        </w:rPr>
        <w:t>。</w:t>
      </w:r>
    </w:p>
    <w:p w14:paraId="241BAAA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8.6 通用条款的规定不适用，相关事项按照其他条款的规定</w:t>
      </w:r>
      <w:r>
        <w:rPr>
          <w:rFonts w:hint="eastAsia" w:ascii="宋体" w:hAnsi="宋体" w:eastAsia="宋体" w:cs="Times New Roman"/>
          <w:color w:val="auto"/>
          <w:kern w:val="0"/>
          <w:szCs w:val="21"/>
          <w:highlight w:val="none"/>
        </w:rPr>
        <w:t>执行</w:t>
      </w:r>
      <w:r>
        <w:rPr>
          <w:rFonts w:ascii="宋体" w:hAnsi="宋体" w:eastAsia="宋体" w:cs="Times New Roman"/>
          <w:color w:val="auto"/>
          <w:kern w:val="0"/>
          <w:szCs w:val="21"/>
          <w:highlight w:val="none"/>
        </w:rPr>
        <w:t>。</w:t>
      </w:r>
    </w:p>
    <w:p w14:paraId="487CF68D">
      <w:pPr>
        <w:pStyle w:val="4"/>
        <w:spacing w:before="0" w:after="0" w:line="360" w:lineRule="auto"/>
        <w:rPr>
          <w:rFonts w:ascii="宋体" w:hAnsi="宋体" w:eastAsia="宋体" w:cs="Times New Roman"/>
          <w:color w:val="auto"/>
          <w:kern w:val="0"/>
          <w:sz w:val="21"/>
          <w:szCs w:val="21"/>
          <w:highlight w:val="none"/>
        </w:rPr>
      </w:pPr>
      <w:bookmarkStart w:id="274" w:name="_Toc29537"/>
      <w:bookmarkStart w:id="275" w:name="_Toc57494727"/>
      <w:bookmarkStart w:id="276" w:name="_Toc28877"/>
      <w:r>
        <w:rPr>
          <w:rFonts w:ascii="宋体" w:hAnsi="宋体" w:eastAsia="宋体" w:cs="Times New Roman"/>
          <w:color w:val="auto"/>
          <w:kern w:val="0"/>
          <w:sz w:val="21"/>
          <w:szCs w:val="21"/>
          <w:highlight w:val="none"/>
        </w:rPr>
        <w:t xml:space="preserve">9. </w:t>
      </w:r>
      <w:r>
        <w:rPr>
          <w:rFonts w:hint="eastAsia" w:ascii="宋体" w:hAnsi="宋体" w:eastAsia="宋体" w:cs="Times New Roman"/>
          <w:color w:val="auto"/>
          <w:kern w:val="0"/>
          <w:sz w:val="21"/>
          <w:szCs w:val="21"/>
          <w:highlight w:val="none"/>
        </w:rPr>
        <w:t>质保期服务</w:t>
      </w:r>
      <w:bookmarkEnd w:id="274"/>
      <w:bookmarkEnd w:id="275"/>
      <w:bookmarkEnd w:id="276"/>
    </w:p>
    <w:p w14:paraId="23A1F5B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9.1 若在质保期内有缺陷发生，买方应以书面形式通知卖方缺陷或损坏的性质及程度，卖方作出响应时应对缺陷或故障提出初步修复建议。</w:t>
      </w:r>
    </w:p>
    <w:p w14:paraId="0B57D90F">
      <w:pPr>
        <w:pStyle w:val="4"/>
        <w:spacing w:before="0" w:after="0" w:line="360" w:lineRule="auto"/>
        <w:rPr>
          <w:rFonts w:ascii="宋体" w:hAnsi="宋体" w:eastAsia="宋体" w:cs="Times New Roman"/>
          <w:color w:val="auto"/>
          <w:kern w:val="0"/>
          <w:sz w:val="21"/>
          <w:szCs w:val="21"/>
          <w:highlight w:val="none"/>
        </w:rPr>
      </w:pPr>
      <w:bookmarkStart w:id="277" w:name="_Toc22851"/>
      <w:bookmarkStart w:id="278" w:name="_Toc29318"/>
      <w:bookmarkStart w:id="279" w:name="_Toc57494728"/>
      <w:r>
        <w:rPr>
          <w:rFonts w:ascii="宋体" w:hAnsi="宋体" w:eastAsia="宋体" w:cs="Times New Roman"/>
          <w:color w:val="auto"/>
          <w:kern w:val="0"/>
          <w:sz w:val="21"/>
          <w:szCs w:val="21"/>
          <w:highlight w:val="none"/>
        </w:rPr>
        <w:t xml:space="preserve">10. </w:t>
      </w:r>
      <w:r>
        <w:rPr>
          <w:rFonts w:hint="eastAsia" w:ascii="宋体" w:hAnsi="宋体" w:eastAsia="宋体" w:cs="Times New Roman"/>
          <w:color w:val="auto"/>
          <w:kern w:val="0"/>
          <w:sz w:val="21"/>
          <w:szCs w:val="21"/>
          <w:highlight w:val="none"/>
        </w:rPr>
        <w:t>履约保证金</w:t>
      </w:r>
      <w:bookmarkEnd w:id="277"/>
      <w:bookmarkEnd w:id="278"/>
      <w:bookmarkEnd w:id="279"/>
    </w:p>
    <w:p w14:paraId="3679B1FB">
      <w:pPr>
        <w:topLinePunct/>
        <w:adjustRightInd w:val="0"/>
        <w:snapToGrid w:val="0"/>
        <w:spacing w:line="360" w:lineRule="auto"/>
        <w:ind w:firstLine="420" w:firstLineChars="200"/>
        <w:jc w:val="left"/>
        <w:rPr>
          <w:rFonts w:hint="eastAsia" w:ascii="宋体" w:hAnsi="宋体" w:eastAsia="宋体" w:cs="宋体"/>
          <w:color w:val="auto"/>
          <w:kern w:val="0"/>
          <w:szCs w:val="21"/>
          <w:highlight w:val="none"/>
        </w:rPr>
      </w:pPr>
      <w:bookmarkStart w:id="280" w:name="_Hlk28638481"/>
      <w:r>
        <w:rPr>
          <w:rFonts w:ascii="宋体" w:hAnsi="宋体" w:eastAsia="宋体" w:cs="宋体"/>
          <w:color w:val="auto"/>
          <w:kern w:val="0"/>
          <w:szCs w:val="21"/>
          <w:highlight w:val="none"/>
        </w:rPr>
        <w:t xml:space="preserve">10.1.1 </w:t>
      </w:r>
      <w:r>
        <w:rPr>
          <w:rFonts w:hint="eastAsia" w:ascii="宋体" w:hAnsi="宋体" w:eastAsia="宋体" w:cs="宋体"/>
          <w:color w:val="auto"/>
          <w:kern w:val="0"/>
          <w:szCs w:val="21"/>
          <w:highlight w:val="none"/>
        </w:rPr>
        <w:t>卖方应在合同签订后向买方提交金额为合同价款10%的履约保证金</w:t>
      </w:r>
      <w:r>
        <w:rPr>
          <w:rFonts w:hint="eastAsia" w:ascii="宋体" w:hAnsi="宋体" w:eastAsia="宋体" w:cs="Times New Roman"/>
          <w:color w:val="auto"/>
          <w:kern w:val="0"/>
          <w:szCs w:val="21"/>
          <w:highlight w:val="none"/>
          <w:lang w:eastAsia="zh-CN"/>
        </w:rPr>
        <w:t>，</w:t>
      </w:r>
      <w:r>
        <w:rPr>
          <w:rFonts w:hint="eastAsia" w:ascii="宋体" w:hAnsi="宋体" w:eastAsia="宋体" w:cs="宋体"/>
          <w:color w:val="auto"/>
          <w:kern w:val="0"/>
          <w:szCs w:val="21"/>
          <w:highlight w:val="none"/>
        </w:rPr>
        <w:t>有效期自合同生效之日起至合同项下全部设备质保期都开始计算之日止。如采用银行保函，格式详见附件9.1《履约保证金保函》；如采用履约保证保险，格式详见附件9.2《采购合同履约保证保险保单》。</w:t>
      </w:r>
      <w:bookmarkEnd w:id="280"/>
      <w:r>
        <w:rPr>
          <w:rFonts w:hint="eastAsia" w:ascii="宋体" w:hAnsi="宋体" w:eastAsia="宋体" w:cs="宋体"/>
          <w:color w:val="auto"/>
          <w:kern w:val="0"/>
          <w:szCs w:val="21"/>
          <w:highlight w:val="none"/>
        </w:rPr>
        <w:t>若卖方未能及时提交履约保证金、履约保函或履约保证保险，则视为卖方</w:t>
      </w:r>
      <w:r>
        <w:rPr>
          <w:rFonts w:hint="eastAsia" w:ascii="宋体" w:hAnsi="宋体" w:eastAsia="宋体" w:cs="宋体"/>
          <w:color w:val="auto"/>
          <w:kern w:val="0"/>
          <w:szCs w:val="21"/>
          <w:highlight w:val="none"/>
          <w:lang w:val="en-US" w:eastAsia="zh-CN"/>
        </w:rPr>
        <w:t>放弃预付款</w:t>
      </w:r>
      <w:r>
        <w:rPr>
          <w:rFonts w:hint="eastAsia" w:ascii="宋体" w:hAnsi="宋体" w:eastAsia="宋体" w:cs="宋体"/>
          <w:color w:val="auto"/>
          <w:kern w:val="0"/>
          <w:szCs w:val="21"/>
          <w:highlight w:val="none"/>
        </w:rPr>
        <w:t>。</w:t>
      </w:r>
    </w:p>
    <w:p w14:paraId="3023B13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10.1.2 </w:t>
      </w:r>
      <w:r>
        <w:rPr>
          <w:rFonts w:hint="eastAsia" w:ascii="宋体" w:hAnsi="宋体" w:eastAsia="宋体" w:cs="Times New Roman"/>
          <w:color w:val="auto"/>
          <w:kern w:val="0"/>
          <w:szCs w:val="21"/>
          <w:highlight w:val="none"/>
        </w:rPr>
        <w:t>卖方必须确保履约保证金保函/履约保险保单在</w:t>
      </w:r>
      <w:r>
        <w:rPr>
          <w:rFonts w:ascii="宋体" w:hAnsi="宋体" w:eastAsia="宋体" w:cs="宋体"/>
          <w:color w:val="auto"/>
          <w:kern w:val="0"/>
          <w:szCs w:val="21"/>
          <w:highlight w:val="none"/>
        </w:rPr>
        <w:t>合同生效之日至合同项下全部设备</w:t>
      </w:r>
      <w:r>
        <w:rPr>
          <w:rFonts w:hint="eastAsia" w:ascii="宋体" w:hAnsi="宋体" w:eastAsia="宋体" w:cs="宋体"/>
          <w:color w:val="auto"/>
          <w:kern w:val="0"/>
          <w:szCs w:val="21"/>
          <w:highlight w:val="none"/>
        </w:rPr>
        <w:t>质保期都开始计算之日期间</w:t>
      </w:r>
      <w:r>
        <w:rPr>
          <w:rFonts w:hint="eastAsia" w:ascii="宋体" w:hAnsi="宋体" w:eastAsia="宋体" w:cs="Times New Roman"/>
          <w:color w:val="auto"/>
          <w:kern w:val="0"/>
          <w:szCs w:val="21"/>
          <w:highlight w:val="none"/>
        </w:rPr>
        <w:t>有效，如需延期的在保函、保险保单到期前</w:t>
      </w:r>
      <w:r>
        <w:rPr>
          <w:rFonts w:ascii="宋体" w:hAnsi="宋体" w:eastAsia="宋体" w:cs="Times New Roman"/>
          <w:color w:val="auto"/>
          <w:kern w:val="0"/>
          <w:szCs w:val="21"/>
          <w:highlight w:val="none"/>
        </w:rPr>
        <w:t>1个月内延期或重新开具保函</w:t>
      </w:r>
      <w:r>
        <w:rPr>
          <w:rFonts w:hint="eastAsia" w:ascii="宋体" w:hAnsi="宋体" w:eastAsia="宋体" w:cs="Times New Roman"/>
          <w:color w:val="auto"/>
          <w:kern w:val="0"/>
          <w:szCs w:val="21"/>
          <w:highlight w:val="none"/>
        </w:rPr>
        <w:t>、办理保单延期批改</w:t>
      </w:r>
      <w:r>
        <w:rPr>
          <w:rFonts w:ascii="宋体" w:hAnsi="宋体" w:eastAsia="宋体" w:cs="Times New Roman"/>
          <w:color w:val="auto"/>
          <w:kern w:val="0"/>
          <w:szCs w:val="21"/>
          <w:highlight w:val="none"/>
        </w:rPr>
        <w:t>。</w:t>
      </w:r>
    </w:p>
    <w:p w14:paraId="0C071BC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10.2.1 卖方提供的履约保证金应为中国境内银行出具的银行保函，或者为现金、支票</w:t>
      </w:r>
      <w:r>
        <w:rPr>
          <w:rFonts w:hint="eastAsia" w:ascii="宋体" w:hAnsi="宋体" w:eastAsia="宋体" w:cs="Times New Roman"/>
          <w:color w:val="auto"/>
          <w:kern w:val="0"/>
          <w:szCs w:val="21"/>
          <w:highlight w:val="none"/>
        </w:rPr>
        <w:t>、保险保单</w:t>
      </w:r>
      <w:r>
        <w:rPr>
          <w:rFonts w:ascii="宋体" w:hAnsi="宋体" w:eastAsia="宋体" w:cs="Times New Roman"/>
          <w:color w:val="auto"/>
          <w:kern w:val="0"/>
          <w:szCs w:val="21"/>
          <w:highlight w:val="none"/>
        </w:rPr>
        <w:t>，与提供履约保证金有关的费用由卖方负担。</w:t>
      </w:r>
    </w:p>
    <w:p w14:paraId="6ED3643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10.2.2 履约保函</w:t>
      </w:r>
      <w:r>
        <w:rPr>
          <w:rFonts w:hint="eastAsia" w:ascii="宋体" w:hAnsi="宋体" w:eastAsia="宋体" w:cs="Times New Roman"/>
          <w:color w:val="auto"/>
          <w:kern w:val="0"/>
          <w:szCs w:val="21"/>
          <w:highlight w:val="none"/>
        </w:rPr>
        <w:t>、履约保险保单</w:t>
      </w:r>
      <w:r>
        <w:rPr>
          <w:rFonts w:ascii="宋体" w:hAnsi="宋体" w:eastAsia="宋体" w:cs="Times New Roman"/>
          <w:color w:val="auto"/>
          <w:kern w:val="0"/>
          <w:szCs w:val="21"/>
          <w:highlight w:val="none"/>
        </w:rPr>
        <w:t>内容有误或买方认定存在风险，包括条款、名称等，买方可拒收履约保函</w:t>
      </w:r>
      <w:r>
        <w:rPr>
          <w:rFonts w:hint="eastAsia" w:ascii="宋体" w:hAnsi="宋体" w:eastAsia="宋体" w:cs="Times New Roman"/>
          <w:color w:val="auto"/>
          <w:kern w:val="0"/>
          <w:szCs w:val="21"/>
          <w:highlight w:val="none"/>
        </w:rPr>
        <w:t>或履约保险保单</w:t>
      </w:r>
      <w:r>
        <w:rPr>
          <w:rFonts w:ascii="宋体" w:hAnsi="宋体" w:eastAsia="宋体" w:cs="Times New Roman"/>
          <w:color w:val="auto"/>
          <w:kern w:val="0"/>
          <w:szCs w:val="21"/>
          <w:highlight w:val="none"/>
        </w:rPr>
        <w:t>，直至履约保函</w:t>
      </w:r>
      <w:r>
        <w:rPr>
          <w:rFonts w:hint="eastAsia" w:ascii="宋体" w:hAnsi="宋体" w:eastAsia="宋体" w:cs="Times New Roman"/>
          <w:color w:val="auto"/>
          <w:kern w:val="0"/>
          <w:szCs w:val="21"/>
          <w:highlight w:val="none"/>
        </w:rPr>
        <w:t>或履约保险保单</w:t>
      </w:r>
      <w:r>
        <w:rPr>
          <w:rFonts w:ascii="宋体" w:hAnsi="宋体" w:eastAsia="宋体" w:cs="Times New Roman"/>
          <w:color w:val="auto"/>
          <w:kern w:val="0"/>
          <w:szCs w:val="21"/>
          <w:highlight w:val="none"/>
        </w:rPr>
        <w:t>符合要求。回退保函</w:t>
      </w:r>
      <w:r>
        <w:rPr>
          <w:rFonts w:hint="eastAsia" w:ascii="宋体" w:hAnsi="宋体" w:eastAsia="宋体" w:cs="Times New Roman"/>
          <w:color w:val="auto"/>
          <w:kern w:val="0"/>
          <w:szCs w:val="21"/>
          <w:highlight w:val="none"/>
        </w:rPr>
        <w:t>、保险保单</w:t>
      </w:r>
      <w:r>
        <w:rPr>
          <w:rFonts w:ascii="宋体" w:hAnsi="宋体" w:eastAsia="宋体" w:cs="Times New Roman"/>
          <w:color w:val="auto"/>
          <w:kern w:val="0"/>
          <w:szCs w:val="21"/>
          <w:highlight w:val="none"/>
        </w:rPr>
        <w:t>或重开保函</w:t>
      </w:r>
      <w:r>
        <w:rPr>
          <w:rFonts w:hint="eastAsia" w:ascii="宋体" w:hAnsi="宋体" w:eastAsia="宋体" w:cs="Times New Roman"/>
          <w:color w:val="auto"/>
          <w:kern w:val="0"/>
          <w:szCs w:val="21"/>
          <w:highlight w:val="none"/>
        </w:rPr>
        <w:t>、保险保单</w:t>
      </w:r>
      <w:r>
        <w:rPr>
          <w:rFonts w:ascii="宋体" w:hAnsi="宋体" w:eastAsia="宋体" w:cs="Times New Roman"/>
          <w:color w:val="auto"/>
          <w:kern w:val="0"/>
          <w:szCs w:val="21"/>
          <w:highlight w:val="none"/>
        </w:rPr>
        <w:t>的有关费用由卖方承担。</w:t>
      </w:r>
    </w:p>
    <w:p w14:paraId="22B611C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10.2.3 如选择以履约保证保险交纳保证金，卖方必须确保保险保单的保险金额不小于合同约定的履约保证金金额，确保保险保单有效期自合同生效之日起至合同项下全部设备质保期都开始计算之日止，保险保单如需延期的，须在保险保单到期前1个月内办理保单延期批改。</w:t>
      </w:r>
    </w:p>
    <w:p w14:paraId="5976DDB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10.3 履约保证金有效期届满时并无索赔（若有索赔则待索赔完成后），买方应在10个工作日内将履约保证金无息退还给卖方。</w:t>
      </w:r>
    </w:p>
    <w:p w14:paraId="70F3DEF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10.4 合同金额不大于人民币100万元的，不适用</w:t>
      </w:r>
      <w:r>
        <w:rPr>
          <w:rFonts w:hint="eastAsia" w:ascii="宋体" w:hAnsi="宋体" w:eastAsia="宋体" w:cs="Times New Roman"/>
          <w:color w:val="auto"/>
          <w:kern w:val="0"/>
          <w:szCs w:val="21"/>
          <w:highlight w:val="none"/>
        </w:rPr>
        <w:t>上述</w:t>
      </w:r>
      <w:r>
        <w:rPr>
          <w:rFonts w:ascii="宋体" w:hAnsi="宋体" w:eastAsia="宋体" w:cs="Times New Roman"/>
          <w:color w:val="auto"/>
          <w:kern w:val="0"/>
          <w:szCs w:val="21"/>
          <w:highlight w:val="none"/>
        </w:rPr>
        <w:t>有关履约保证金的规定。</w:t>
      </w:r>
    </w:p>
    <w:p w14:paraId="350A20A2">
      <w:pPr>
        <w:pStyle w:val="4"/>
        <w:spacing w:before="0" w:after="0" w:line="360" w:lineRule="auto"/>
        <w:rPr>
          <w:rFonts w:ascii="宋体" w:hAnsi="宋体" w:eastAsia="宋体" w:cs="Times New Roman"/>
          <w:color w:val="auto"/>
          <w:kern w:val="0"/>
          <w:sz w:val="21"/>
          <w:szCs w:val="21"/>
          <w:highlight w:val="none"/>
        </w:rPr>
      </w:pPr>
      <w:bookmarkStart w:id="281" w:name="_Toc4328"/>
      <w:bookmarkStart w:id="282" w:name="_Toc16306"/>
      <w:bookmarkStart w:id="283" w:name="_Toc57494729"/>
      <w:r>
        <w:rPr>
          <w:rFonts w:ascii="宋体" w:hAnsi="宋体" w:eastAsia="宋体" w:cs="Times New Roman"/>
          <w:color w:val="auto"/>
          <w:kern w:val="0"/>
          <w:sz w:val="21"/>
          <w:szCs w:val="21"/>
          <w:highlight w:val="none"/>
        </w:rPr>
        <w:t xml:space="preserve">11. </w:t>
      </w:r>
      <w:r>
        <w:rPr>
          <w:rFonts w:hint="eastAsia" w:ascii="宋体" w:hAnsi="宋体" w:eastAsia="宋体" w:cs="Times New Roman"/>
          <w:color w:val="auto"/>
          <w:kern w:val="0"/>
          <w:sz w:val="21"/>
          <w:szCs w:val="21"/>
          <w:highlight w:val="none"/>
        </w:rPr>
        <w:t>保证</w:t>
      </w:r>
      <w:bookmarkEnd w:id="281"/>
      <w:bookmarkEnd w:id="282"/>
      <w:bookmarkEnd w:id="283"/>
    </w:p>
    <w:p w14:paraId="2DC97D62">
      <w:pPr>
        <w:topLinePunct/>
        <w:adjustRightInd w:val="0"/>
        <w:snapToGrid w:val="0"/>
        <w:spacing w:line="360" w:lineRule="auto"/>
        <w:ind w:firstLine="420" w:firstLineChars="200"/>
        <w:jc w:val="left"/>
        <w:rPr>
          <w:rFonts w:hint="eastAsia" w:ascii="宋体" w:hAnsi="宋体" w:eastAsia="宋体" w:cs="Times New Roman"/>
          <w:color w:val="auto"/>
          <w:kern w:val="0"/>
          <w:szCs w:val="21"/>
          <w:highlight w:val="none"/>
        </w:rPr>
      </w:pPr>
      <w:bookmarkStart w:id="284" w:name="_Hlk28541327"/>
      <w:r>
        <w:rPr>
          <w:rFonts w:hint="eastAsia" w:ascii="宋体" w:hAnsi="宋体" w:eastAsia="宋体" w:cs="Times New Roman"/>
          <w:color w:val="auto"/>
          <w:kern w:val="0"/>
          <w:szCs w:val="21"/>
          <w:highlight w:val="none"/>
          <w:lang w:val="en-US" w:eastAsia="zh-CN"/>
        </w:rPr>
        <w:t>11.1 卖方保证，在合同设备设计使用寿命期内，如果卖方发现合同设备由于设计、制造、标识等原因存在足以危及人身、财产安全的缺陷，卖方将及时通知买方并及时采取修正或者补充标识、修理、更换等措施消除缺陷，同时承担由此产生的运输费、拆卸（除）费、安装费、旧产品处理费、鉴定费等所有费用。</w:t>
      </w:r>
    </w:p>
    <w:p w14:paraId="10A8B7A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r>
        <w:rPr>
          <w:rFonts w:ascii="宋体" w:hAnsi="宋体" w:eastAsia="宋体" w:cs="Times New Roman"/>
          <w:color w:val="auto"/>
          <w:kern w:val="0"/>
          <w:szCs w:val="21"/>
          <w:highlight w:val="none"/>
        </w:rPr>
        <w:t>1.2.1 列入国家网信部门制定、公布的网络关键设备和网络安全专用产品目录的产品，应按照《中华人民共和国网络安全法》和《中华人民共和国密码法》要求，经具备资格的机构检测认证合格，并提供相关证书。</w:t>
      </w:r>
    </w:p>
    <w:p w14:paraId="04D2CCB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11.2.2 可能影响国家安全的网络产品和服务，应按照《中华人民共和国网络安全法》和《中华人民共和国密码法》要求，通过国家网信部门会同国家密码管理部门等有关部门组织的国家安全审查。</w:t>
      </w:r>
    </w:p>
    <w:bookmarkEnd w:id="284"/>
    <w:p w14:paraId="63B42A1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11.3 卖方负责处理</w:t>
      </w:r>
      <w:r>
        <w:rPr>
          <w:rFonts w:hint="eastAsia" w:ascii="宋体" w:hAnsi="宋体" w:eastAsia="宋体" w:cs="Times New Roman"/>
          <w:color w:val="auto"/>
          <w:kern w:val="0"/>
          <w:szCs w:val="21"/>
          <w:highlight w:val="none"/>
        </w:rPr>
        <w:t>或配合买方处理</w:t>
      </w:r>
      <w:r>
        <w:rPr>
          <w:rFonts w:ascii="宋体" w:hAnsi="宋体" w:eastAsia="宋体" w:cs="Times New Roman"/>
          <w:color w:val="auto"/>
          <w:kern w:val="0"/>
          <w:szCs w:val="21"/>
          <w:highlight w:val="none"/>
        </w:rPr>
        <w:t>因此而引起的任何纠纷</w:t>
      </w:r>
      <w:r>
        <w:rPr>
          <w:rFonts w:hint="default" w:ascii="宋体" w:hAnsi="宋体" w:eastAsia="宋体" w:cs="Times New Roman"/>
          <w:color w:val="auto"/>
          <w:kern w:val="0"/>
          <w:szCs w:val="21"/>
          <w:highlight w:val="none"/>
        </w:rPr>
        <w:t>，在买方要求的时间内免费更换产品和服务，</w:t>
      </w:r>
      <w:r>
        <w:rPr>
          <w:rFonts w:ascii="宋体" w:hAnsi="宋体" w:eastAsia="宋体" w:cs="Times New Roman"/>
          <w:color w:val="auto"/>
          <w:kern w:val="0"/>
          <w:szCs w:val="21"/>
          <w:highlight w:val="none"/>
        </w:rPr>
        <w:t>并赔偿买方因此而产生的所有损失。</w:t>
      </w:r>
    </w:p>
    <w:p w14:paraId="7676A2D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11.4.1 卖方还应保证合同设备经过正确安装、正常操作和保养，在其使用寿命期内运行良好，卖方承诺合同设备的使用寿命自投运开始不少于30年。</w:t>
      </w:r>
    </w:p>
    <w:p w14:paraId="7AEE665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11.4.2 卖方保证当合同设备在生产运行中发生因合同设备原因造成的故障时，卖方将积极配合问题处理，提出质量整改措施。</w:t>
      </w:r>
    </w:p>
    <w:p w14:paraId="71C11CF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11.5.1 当买方选购与合同设备有关的配套货物时，卖方保证提供接口部分相关设备的技术规范和资料，确保配套设备接入系统后正常运行。</w:t>
      </w:r>
    </w:p>
    <w:p w14:paraId="24A96D7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11.5.2 合同设备质保期结束后，卖方应根据买方要求在合同范围内，免费继续向买方提供有关合同设备的所有技术资料。</w:t>
      </w:r>
    </w:p>
    <w:p w14:paraId="5CEC310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11.6.1 质保期内，对合同范围内的专用工具、元器件等设备的处理方式与备品备件相同。</w:t>
      </w:r>
      <w:r>
        <w:rPr>
          <w:rFonts w:hint="eastAsia" w:ascii="宋体" w:hAnsi="宋体" w:eastAsia="宋体" w:cs="Times New Roman"/>
          <w:color w:val="auto"/>
          <w:kern w:val="0"/>
          <w:szCs w:val="21"/>
          <w:highlight w:val="none"/>
        </w:rPr>
        <w:t>卖方提供合同范围内的上述设备和相关备品备件时，应在收到买方通知后</w:t>
      </w:r>
      <w:r>
        <w:rPr>
          <w:rFonts w:ascii="宋体" w:hAnsi="宋体" w:eastAsia="宋体" w:cs="Times New Roman"/>
          <w:color w:val="auto"/>
          <w:kern w:val="0"/>
          <w:szCs w:val="21"/>
          <w:highlight w:val="none"/>
        </w:rPr>
        <w:t>5个工作日内发出。</w:t>
      </w:r>
    </w:p>
    <w:p w14:paraId="3D4AA51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11.6.2 质保期结束后，在买方要求时，卖方应以合同中约定的价格向买方提供合同设备正常运行所需的全部备品备件</w:t>
      </w:r>
      <w:r>
        <w:rPr>
          <w:rFonts w:hint="eastAsia" w:ascii="宋体" w:hAnsi="宋体" w:eastAsia="宋体" w:cs="Times New Roman"/>
          <w:color w:val="auto"/>
          <w:kern w:val="0"/>
          <w:szCs w:val="21"/>
          <w:highlight w:val="none"/>
        </w:rPr>
        <w:t>、零配件</w:t>
      </w:r>
      <w:r>
        <w:rPr>
          <w:rFonts w:ascii="宋体" w:hAnsi="宋体" w:eastAsia="宋体" w:cs="Times New Roman"/>
          <w:color w:val="auto"/>
          <w:kern w:val="0"/>
          <w:szCs w:val="21"/>
          <w:highlight w:val="none"/>
        </w:rPr>
        <w:t>和技术服务；合同中没有约定备品备件</w:t>
      </w:r>
      <w:r>
        <w:rPr>
          <w:rFonts w:hint="eastAsia" w:ascii="宋体" w:hAnsi="宋体" w:eastAsia="宋体" w:cs="Times New Roman"/>
          <w:color w:val="auto"/>
          <w:kern w:val="0"/>
          <w:szCs w:val="21"/>
          <w:highlight w:val="none"/>
        </w:rPr>
        <w:t>、零配件和技术服务</w:t>
      </w:r>
      <w:r>
        <w:rPr>
          <w:rFonts w:ascii="宋体" w:hAnsi="宋体" w:eastAsia="宋体" w:cs="Times New Roman"/>
          <w:color w:val="auto"/>
          <w:kern w:val="0"/>
          <w:szCs w:val="21"/>
          <w:highlight w:val="none"/>
        </w:rPr>
        <w:t>价格时，以不高于同期市场价格或其向任何第三方销售同类产品的价格为准。</w:t>
      </w:r>
    </w:p>
    <w:p w14:paraId="0A352CC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卖方提供备品备件时，须在收到买方通知后</w:t>
      </w:r>
      <w:r>
        <w:rPr>
          <w:rFonts w:ascii="宋体" w:hAnsi="宋体" w:eastAsia="宋体" w:cs="Times New Roman"/>
          <w:color w:val="auto"/>
          <w:kern w:val="0"/>
          <w:szCs w:val="21"/>
          <w:highlight w:val="none"/>
        </w:rPr>
        <w:t>5个工作日内发出。</w:t>
      </w:r>
    </w:p>
    <w:p w14:paraId="7BB8350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11.7.1 在合同设备使用寿命内</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发生合同项下备品备件停止生产的情况，卖方应提前6个月将</w:t>
      </w:r>
      <w:bookmarkStart w:id="285" w:name="_Hlk28528057"/>
      <w:r>
        <w:rPr>
          <w:rFonts w:hint="eastAsia" w:ascii="宋体" w:hAnsi="宋体" w:eastAsia="宋体" w:cs="Times New Roman"/>
          <w:color w:val="auto"/>
          <w:kern w:val="0"/>
          <w:szCs w:val="21"/>
          <w:highlight w:val="none"/>
        </w:rPr>
        <w:t>拟</w:t>
      </w:r>
      <w:bookmarkEnd w:id="285"/>
      <w:r>
        <w:rPr>
          <w:rFonts w:ascii="宋体" w:hAnsi="宋体" w:eastAsia="宋体" w:cs="Times New Roman"/>
          <w:color w:val="auto"/>
          <w:kern w:val="0"/>
          <w:szCs w:val="21"/>
          <w:highlight w:val="none"/>
        </w:rPr>
        <w:t>停止生产的计划通知买方。</w:t>
      </w:r>
    </w:p>
    <w:p w14:paraId="632AE4C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11.7.2</w:t>
      </w:r>
      <w:r>
        <w:rPr>
          <w:rFonts w:hint="eastAsia" w:ascii="宋体" w:hAnsi="宋体" w:eastAsia="宋体" w:cs="Times New Roman"/>
          <w:color w:val="auto"/>
          <w:kern w:val="0"/>
          <w:szCs w:val="21"/>
          <w:highlight w:val="none"/>
        </w:rPr>
        <w:t xml:space="preserve"> </w:t>
      </w:r>
      <w:r>
        <w:rPr>
          <w:rFonts w:ascii="宋体" w:hAnsi="宋体" w:eastAsia="宋体" w:cs="Times New Roman"/>
          <w:color w:val="auto"/>
          <w:kern w:val="0"/>
          <w:szCs w:val="21"/>
          <w:highlight w:val="none"/>
        </w:rPr>
        <w:t>买方认可由卖方供应替代方案备品备件的，按替代方案执行。</w:t>
      </w:r>
    </w:p>
    <w:p w14:paraId="2BADE31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11.7.3 如果卖方破产或濒临破产，则卖方应免费提供可供买方或第三方制造停产备品备件所需的全部技术资料（包括但不限于图纸、模型、规格）和工具、模具，以便买方持续获得上述备品备件以满足合同设备在寿命期内正常运行的需要。卖方保证买方或买方委托的第三方制造及买方使用这些备品备件不侵犯任何人的知识产权。</w:t>
      </w:r>
    </w:p>
    <w:p w14:paraId="3CA47A1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11.8.1 卖方保证全部合同设备不存在</w:t>
      </w:r>
      <w:r>
        <w:rPr>
          <w:rFonts w:hint="eastAsia" w:ascii="宋体" w:hAnsi="宋体" w:eastAsia="宋体" w:cs="Times New Roman"/>
          <w:color w:val="auto"/>
          <w:kern w:val="0"/>
          <w:szCs w:val="21"/>
          <w:highlight w:val="none"/>
        </w:rPr>
        <w:t>批次</w:t>
      </w:r>
      <w:r>
        <w:rPr>
          <w:rFonts w:ascii="宋体" w:hAnsi="宋体" w:eastAsia="宋体" w:cs="Times New Roman"/>
          <w:color w:val="auto"/>
          <w:kern w:val="0"/>
          <w:szCs w:val="21"/>
          <w:highlight w:val="none"/>
        </w:rPr>
        <w:t>性缺陷。</w:t>
      </w:r>
    </w:p>
    <w:p w14:paraId="29DA5B7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r>
        <w:rPr>
          <w:rFonts w:ascii="宋体" w:hAnsi="宋体" w:eastAsia="宋体" w:cs="Times New Roman"/>
          <w:color w:val="auto"/>
          <w:kern w:val="0"/>
          <w:szCs w:val="21"/>
          <w:highlight w:val="none"/>
        </w:rPr>
        <w:t xml:space="preserve">1.8.2 </w:t>
      </w:r>
      <w:r>
        <w:rPr>
          <w:rFonts w:hint="eastAsia" w:ascii="宋体" w:hAnsi="宋体" w:eastAsia="宋体" w:cs="Times New Roman"/>
          <w:color w:val="auto"/>
          <w:kern w:val="0"/>
          <w:szCs w:val="21"/>
          <w:highlight w:val="none"/>
        </w:rPr>
        <w:t>若设备经认定发生了批次性缺陷，卖方应在</w:t>
      </w:r>
      <w:r>
        <w:rPr>
          <w:rFonts w:ascii="宋体" w:hAnsi="宋体" w:eastAsia="宋体" w:cs="Times New Roman"/>
          <w:color w:val="auto"/>
          <w:kern w:val="0"/>
          <w:szCs w:val="21"/>
          <w:highlight w:val="none"/>
        </w:rPr>
        <w:t>10天内核实并如实向</w:t>
      </w:r>
      <w:r>
        <w:rPr>
          <w:rFonts w:hint="eastAsia" w:ascii="宋体" w:hAnsi="宋体" w:eastAsia="宋体" w:cs="Times New Roman"/>
          <w:color w:val="auto"/>
          <w:kern w:val="0"/>
          <w:szCs w:val="21"/>
          <w:highlight w:val="none"/>
        </w:rPr>
        <w:t>买方</w:t>
      </w:r>
      <w:r>
        <w:rPr>
          <w:rFonts w:ascii="宋体" w:hAnsi="宋体" w:eastAsia="宋体" w:cs="Times New Roman"/>
          <w:color w:val="auto"/>
          <w:kern w:val="0"/>
          <w:szCs w:val="21"/>
          <w:highlight w:val="none"/>
        </w:rPr>
        <w:t>提供同型的产品清单，并在30天内向买方提供书面原因分析报告，买方有义务提供必要的分析数据。同时买方应尽快组织专家开展调查及原因分析，专家组成员由双方协商确定，专家会议应以事实为依据，会议纪要应明确缺陷产生的原因，以此作为费用承担判定的依据，并在充分考虑设备安全稳定运行、可靠性和各种可能性、卖方意见、费用效率及工程标准的情况下，给出修理，重新设计,修改或更新设备和材料等整改建议。</w:t>
      </w:r>
    </w:p>
    <w:p w14:paraId="67FEA8C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r>
        <w:rPr>
          <w:rFonts w:ascii="宋体" w:hAnsi="宋体" w:eastAsia="宋体" w:cs="Times New Roman"/>
          <w:color w:val="auto"/>
          <w:kern w:val="0"/>
          <w:szCs w:val="21"/>
          <w:highlight w:val="none"/>
        </w:rPr>
        <w:t xml:space="preserve">1.8.3 </w:t>
      </w:r>
      <w:r>
        <w:rPr>
          <w:rFonts w:hint="eastAsia" w:ascii="宋体" w:hAnsi="宋体" w:eastAsia="宋体" w:cs="Times New Roman"/>
          <w:color w:val="auto"/>
          <w:kern w:val="0"/>
          <w:szCs w:val="21"/>
          <w:highlight w:val="none"/>
        </w:rPr>
        <w:t>卖方根据专家会议建议，应在</w:t>
      </w:r>
      <w:r>
        <w:rPr>
          <w:rFonts w:ascii="宋体" w:hAnsi="宋体" w:eastAsia="宋体" w:cs="Times New Roman"/>
          <w:color w:val="auto"/>
          <w:kern w:val="0"/>
          <w:szCs w:val="21"/>
          <w:highlight w:val="none"/>
        </w:rPr>
        <w:t>30天内向买方提供书面整改方案，买方应尽快组织专家开展方案评审，专家组成员由双方协商确定。若整改方案通过专家评审后，买方及时制定工作计划，按计划开展处理工作；若专家组综合评估后，认为基于目前技术无可行的整改方案，应将设备整体更换，更换设备所产生的设备费及相关费用均由卖方承担；若卖方未能按要求时间节点提供整改方案，或提供整改方案未通过评审的，买方有权改换其他供应商设备或附件进行整改，相关整改方案由所选用供应商提供（若仅对附件整改，则整改方案仍由原供应商提供），待通过评审后，予以实施，</w:t>
      </w:r>
      <w:r>
        <w:rPr>
          <w:rFonts w:hint="eastAsia" w:ascii="宋体" w:hAnsi="宋体" w:eastAsia="宋体" w:cs="Times New Roman"/>
          <w:color w:val="auto"/>
          <w:kern w:val="0"/>
          <w:szCs w:val="21"/>
          <w:highlight w:val="none"/>
        </w:rPr>
        <w:t>更换设备所产生的设备费及相关费用均由卖方承担。买方保留缺陷造成电网损失索赔的权利。</w:t>
      </w:r>
    </w:p>
    <w:p w14:paraId="4FDB20B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r>
        <w:rPr>
          <w:rFonts w:ascii="宋体" w:hAnsi="宋体" w:eastAsia="宋体" w:cs="Times New Roman"/>
          <w:color w:val="auto"/>
          <w:kern w:val="0"/>
          <w:szCs w:val="21"/>
          <w:highlight w:val="none"/>
        </w:rPr>
        <w:t xml:space="preserve">1.8.4 </w:t>
      </w:r>
      <w:r>
        <w:rPr>
          <w:rFonts w:hint="eastAsia" w:ascii="宋体" w:hAnsi="宋体" w:eastAsia="宋体" w:cs="Times New Roman"/>
          <w:color w:val="auto"/>
          <w:kern w:val="0"/>
          <w:szCs w:val="21"/>
          <w:highlight w:val="none"/>
        </w:rPr>
        <w:t>若经风险评估认定需立即采取消缺措施时，买方在通知卖方后可以在卖方负担风险和费用条件下自行进行消缺工作，但不影响卖方应承担的合同义务或其他方面的责任。</w:t>
      </w:r>
    </w:p>
    <w:p w14:paraId="412A328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bookmarkStart w:id="286" w:name="_Toc505712582"/>
      <w:r>
        <w:rPr>
          <w:rFonts w:ascii="宋体" w:hAnsi="宋体" w:eastAsia="宋体" w:cs="Times New Roman"/>
          <w:color w:val="auto"/>
          <w:kern w:val="0"/>
          <w:szCs w:val="21"/>
          <w:highlight w:val="none"/>
        </w:rPr>
        <w:t xml:space="preserve">11.9 </w:t>
      </w:r>
      <w:r>
        <w:rPr>
          <w:rFonts w:hint="eastAsia" w:ascii="宋体" w:hAnsi="宋体" w:eastAsia="宋体" w:cs="Times New Roman"/>
          <w:color w:val="auto"/>
          <w:kern w:val="0"/>
          <w:szCs w:val="21"/>
          <w:highlight w:val="none"/>
        </w:rPr>
        <w:t>由于买方未按照卖方所提供的技术资料、图纸、说明书进行安装、操作或维护，及非卖方技术人员的原因造成</w:t>
      </w:r>
      <w:r>
        <w:rPr>
          <w:rFonts w:ascii="宋体" w:hAnsi="宋体" w:eastAsia="宋体" w:cs="Times New Roman"/>
          <w:color w:val="auto"/>
          <w:kern w:val="0"/>
          <w:szCs w:val="21"/>
          <w:highlight w:val="none"/>
        </w:rPr>
        <w:t>合同设备损坏</w:t>
      </w:r>
      <w:r>
        <w:rPr>
          <w:rFonts w:hint="eastAsia" w:ascii="宋体" w:hAnsi="宋体" w:eastAsia="宋体" w:cs="Times New Roman"/>
          <w:color w:val="auto"/>
          <w:kern w:val="0"/>
          <w:szCs w:val="21"/>
          <w:highlight w:val="none"/>
        </w:rPr>
        <w:t>或批次性缺陷，相关处理费用由买方负责承担，但卖方需在技术、人力、备件、设施、工具等方面予以配合，按《电网检修工程预算定额》收费（《电网检修工程预算定额》参见供应链统一服务平台相关公示）。对于买方要求的紧急部件，卖方应安排最快的方式运输。</w:t>
      </w:r>
    </w:p>
    <w:p w14:paraId="3E8FF49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r>
        <w:rPr>
          <w:rFonts w:ascii="宋体" w:hAnsi="宋体" w:eastAsia="宋体" w:cs="Times New Roman"/>
          <w:color w:val="auto"/>
          <w:kern w:val="0"/>
          <w:szCs w:val="21"/>
          <w:highlight w:val="none"/>
        </w:rPr>
        <w:t>1.10 由于设备运行环境或工况发生变化造成的批次性缺陷，相关处理费用由买方负责承担，但卖方需在技术、人力、备件、设施、工具等方面予以配合，按合理收费标准收费。</w:t>
      </w:r>
    </w:p>
    <w:p w14:paraId="4596D960">
      <w:pPr>
        <w:pStyle w:val="4"/>
        <w:spacing w:before="0" w:after="0" w:line="360" w:lineRule="auto"/>
        <w:rPr>
          <w:rFonts w:ascii="宋体" w:hAnsi="宋体" w:eastAsia="宋体" w:cs="Times New Roman"/>
          <w:color w:val="auto"/>
          <w:kern w:val="0"/>
          <w:sz w:val="21"/>
          <w:szCs w:val="21"/>
          <w:highlight w:val="none"/>
        </w:rPr>
      </w:pPr>
      <w:bookmarkStart w:id="287" w:name="_Toc57494730"/>
      <w:bookmarkStart w:id="288" w:name="_Toc20160"/>
      <w:bookmarkStart w:id="289" w:name="_Toc6499"/>
      <w:r>
        <w:rPr>
          <w:rFonts w:ascii="宋体" w:hAnsi="宋体" w:eastAsia="宋体" w:cs="Times New Roman"/>
          <w:color w:val="auto"/>
          <w:kern w:val="0"/>
          <w:sz w:val="21"/>
          <w:szCs w:val="21"/>
          <w:highlight w:val="none"/>
        </w:rPr>
        <w:t xml:space="preserve">12. </w:t>
      </w:r>
      <w:r>
        <w:rPr>
          <w:rFonts w:hint="eastAsia" w:ascii="宋体" w:hAnsi="宋体" w:eastAsia="宋体" w:cs="Times New Roman"/>
          <w:color w:val="auto"/>
          <w:kern w:val="0"/>
          <w:sz w:val="21"/>
          <w:szCs w:val="21"/>
          <w:highlight w:val="none"/>
        </w:rPr>
        <w:t>知识产权</w:t>
      </w:r>
      <w:bookmarkEnd w:id="286"/>
      <w:bookmarkEnd w:id="287"/>
      <w:bookmarkEnd w:id="288"/>
      <w:bookmarkEnd w:id="289"/>
    </w:p>
    <w:p w14:paraId="0FE31F7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bookmarkStart w:id="290" w:name="_Hlk28544854"/>
      <w:r>
        <w:rPr>
          <w:rFonts w:ascii="宋体" w:hAnsi="宋体" w:eastAsia="宋体" w:cs="Times New Roman"/>
          <w:color w:val="auto"/>
          <w:kern w:val="0"/>
          <w:szCs w:val="21"/>
          <w:highlight w:val="none"/>
        </w:rPr>
        <w:t>12.4</w:t>
      </w:r>
      <w:r>
        <w:rPr>
          <w:rFonts w:hint="eastAsia" w:ascii="宋体" w:hAnsi="宋体" w:eastAsia="宋体" w:cs="宋体"/>
          <w:color w:val="auto"/>
          <w:kern w:val="0"/>
          <w:szCs w:val="21"/>
          <w:highlight w:val="none"/>
        </w:rPr>
        <w:t xml:space="preserve"> 如果卖方拒绝处理前述索赔或诉讼或在收到买方通知后</w:t>
      </w:r>
      <w:r>
        <w:rPr>
          <w:rFonts w:ascii="宋体" w:hAnsi="宋体" w:eastAsia="宋体" w:cs="Times New Roman"/>
          <w:color w:val="auto"/>
          <w:kern w:val="0"/>
          <w:szCs w:val="21"/>
          <w:highlight w:val="none"/>
        </w:rPr>
        <w:t>10</w:t>
      </w:r>
      <w:r>
        <w:rPr>
          <w:rFonts w:hint="eastAsia" w:ascii="宋体" w:hAnsi="宋体" w:eastAsia="宋体" w:cs="宋体"/>
          <w:color w:val="auto"/>
          <w:kern w:val="0"/>
          <w:szCs w:val="21"/>
          <w:highlight w:val="none"/>
        </w:rPr>
        <w:t>日内未作表示，买方可以自己的名义进行这些索赔或诉讼，因此发生的费用和遭受的损失均应由卖方承担。</w:t>
      </w:r>
    </w:p>
    <w:bookmarkEnd w:id="290"/>
    <w:p w14:paraId="7DF96F13">
      <w:pPr>
        <w:pStyle w:val="4"/>
        <w:spacing w:before="0" w:after="0" w:line="360" w:lineRule="auto"/>
        <w:rPr>
          <w:rFonts w:ascii="宋体" w:hAnsi="宋体" w:eastAsia="宋体" w:cs="Times New Roman"/>
          <w:color w:val="auto"/>
          <w:kern w:val="0"/>
          <w:sz w:val="21"/>
          <w:szCs w:val="21"/>
          <w:highlight w:val="none"/>
        </w:rPr>
      </w:pPr>
      <w:bookmarkStart w:id="291" w:name="_Toc57494731"/>
      <w:bookmarkStart w:id="292" w:name="_Toc17645"/>
      <w:bookmarkStart w:id="293" w:name="_Toc24580"/>
      <w:r>
        <w:rPr>
          <w:rFonts w:ascii="宋体" w:hAnsi="宋体" w:eastAsia="宋体" w:cs="Times New Roman"/>
          <w:color w:val="auto"/>
          <w:kern w:val="0"/>
          <w:sz w:val="21"/>
          <w:szCs w:val="21"/>
          <w:highlight w:val="none"/>
        </w:rPr>
        <w:t xml:space="preserve">13. </w:t>
      </w:r>
      <w:r>
        <w:rPr>
          <w:rFonts w:hint="eastAsia" w:ascii="宋体" w:hAnsi="宋体" w:eastAsia="宋体" w:cs="Times New Roman"/>
          <w:color w:val="auto"/>
          <w:kern w:val="0"/>
          <w:sz w:val="21"/>
          <w:szCs w:val="21"/>
          <w:highlight w:val="none"/>
        </w:rPr>
        <w:t>保密</w:t>
      </w:r>
      <w:bookmarkEnd w:id="291"/>
      <w:bookmarkEnd w:id="292"/>
      <w:bookmarkEnd w:id="293"/>
    </w:p>
    <w:p w14:paraId="08D19D7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13.1 对监造合同设备需要拍照记录的，照片和记录仅用于合同设备监造之目的，涉及技术保密的，</w:t>
      </w:r>
      <w:r>
        <w:rPr>
          <w:rFonts w:hint="eastAsia" w:ascii="宋体" w:hAnsi="宋体" w:eastAsia="宋体" w:cs="Times New Roman"/>
          <w:color w:val="auto"/>
          <w:kern w:val="0"/>
          <w:szCs w:val="21"/>
          <w:highlight w:val="none"/>
        </w:rPr>
        <w:t>买方和监造单位应予以保密</w:t>
      </w:r>
      <w:r>
        <w:rPr>
          <w:rFonts w:ascii="宋体" w:hAnsi="宋体" w:eastAsia="宋体" w:cs="Times New Roman"/>
          <w:color w:val="auto"/>
          <w:kern w:val="0"/>
          <w:szCs w:val="21"/>
          <w:highlight w:val="none"/>
        </w:rPr>
        <w:t>。</w:t>
      </w:r>
    </w:p>
    <w:p w14:paraId="6E6B48A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13.2 买方有权将卖方向其提供的设计、安装和技术服务方案等与</w:t>
      </w:r>
      <w:r>
        <w:rPr>
          <w:rFonts w:hint="eastAsia" w:ascii="宋体" w:hAnsi="宋体" w:eastAsia="宋体" w:cs="Times New Roman"/>
          <w:color w:val="auto"/>
          <w:kern w:val="0"/>
          <w:szCs w:val="21"/>
          <w:highlight w:val="none"/>
        </w:rPr>
        <w:t>合同</w:t>
      </w:r>
      <w:r>
        <w:rPr>
          <w:rFonts w:ascii="宋体" w:hAnsi="宋体" w:eastAsia="宋体" w:cs="Times New Roman"/>
          <w:color w:val="auto"/>
          <w:kern w:val="0"/>
          <w:szCs w:val="21"/>
          <w:highlight w:val="none"/>
        </w:rPr>
        <w:t>设备有关的资料，告知或复印给设备所在工程项目的施工、设计、监理等有关单位。买方应要求相关人员予以保密。</w:t>
      </w:r>
    </w:p>
    <w:p w14:paraId="1CE3389B">
      <w:pPr>
        <w:pStyle w:val="4"/>
        <w:spacing w:before="0" w:after="0" w:line="360" w:lineRule="auto"/>
        <w:rPr>
          <w:rFonts w:ascii="宋体" w:hAnsi="宋体" w:eastAsia="宋体" w:cs="Times New Roman"/>
          <w:color w:val="auto"/>
          <w:kern w:val="0"/>
          <w:sz w:val="21"/>
          <w:szCs w:val="21"/>
          <w:highlight w:val="none"/>
        </w:rPr>
      </w:pPr>
      <w:bookmarkStart w:id="294" w:name="_Toc9021"/>
      <w:bookmarkStart w:id="295" w:name="_Toc24821"/>
      <w:bookmarkStart w:id="296" w:name="_Toc57494732"/>
      <w:r>
        <w:rPr>
          <w:rFonts w:ascii="宋体" w:hAnsi="宋体" w:eastAsia="宋体" w:cs="Times New Roman"/>
          <w:color w:val="auto"/>
          <w:kern w:val="0"/>
          <w:sz w:val="21"/>
          <w:szCs w:val="21"/>
          <w:highlight w:val="none"/>
        </w:rPr>
        <w:t xml:space="preserve">14. </w:t>
      </w:r>
      <w:r>
        <w:rPr>
          <w:rFonts w:hint="eastAsia" w:ascii="宋体" w:hAnsi="宋体" w:eastAsia="宋体" w:cs="Times New Roman"/>
          <w:color w:val="auto"/>
          <w:kern w:val="0"/>
          <w:sz w:val="21"/>
          <w:szCs w:val="21"/>
          <w:highlight w:val="none"/>
        </w:rPr>
        <w:t>违约责任</w:t>
      </w:r>
      <w:bookmarkEnd w:id="294"/>
      <w:bookmarkEnd w:id="295"/>
      <w:bookmarkEnd w:id="296"/>
    </w:p>
    <w:p w14:paraId="085BB103">
      <w:pPr>
        <w:pStyle w:val="5"/>
        <w:spacing w:before="0" w:after="0" w:line="360" w:lineRule="auto"/>
        <w:rPr>
          <w:rFonts w:ascii="宋体" w:hAnsi="宋体" w:eastAsia="宋体" w:cs="黑体"/>
          <w:color w:val="auto"/>
          <w:kern w:val="0"/>
          <w:sz w:val="21"/>
          <w:szCs w:val="28"/>
          <w:highlight w:val="none"/>
        </w:rPr>
      </w:pPr>
      <w:bookmarkStart w:id="297" w:name="_Toc5626"/>
      <w:bookmarkStart w:id="298" w:name="_Toc12240"/>
      <w:bookmarkStart w:id="299" w:name="_Toc57494733"/>
      <w:r>
        <w:rPr>
          <w:rFonts w:ascii="宋体" w:hAnsi="宋体" w:eastAsia="宋体" w:cs="黑体"/>
          <w:color w:val="auto"/>
          <w:kern w:val="0"/>
          <w:sz w:val="21"/>
          <w:szCs w:val="28"/>
          <w:highlight w:val="none"/>
        </w:rPr>
        <w:t xml:space="preserve">14.1 </w:t>
      </w:r>
      <w:r>
        <w:rPr>
          <w:rFonts w:hint="eastAsia" w:ascii="宋体" w:hAnsi="宋体" w:eastAsia="宋体" w:cs="黑体"/>
          <w:color w:val="auto"/>
          <w:kern w:val="0"/>
          <w:sz w:val="21"/>
          <w:szCs w:val="28"/>
          <w:highlight w:val="none"/>
        </w:rPr>
        <w:t>基本规定</w:t>
      </w:r>
      <w:bookmarkEnd w:id="297"/>
      <w:bookmarkEnd w:id="298"/>
      <w:bookmarkEnd w:id="299"/>
    </w:p>
    <w:p w14:paraId="46ACB34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bookmarkStart w:id="300" w:name="_Hlk28953104"/>
      <w:r>
        <w:rPr>
          <w:rFonts w:hint="eastAsia" w:ascii="宋体" w:hAnsi="宋体" w:eastAsia="宋体" w:cs="Times New Roman"/>
          <w:color w:val="auto"/>
          <w:kern w:val="0"/>
          <w:szCs w:val="21"/>
          <w:highlight w:val="none"/>
        </w:rPr>
        <w:t>1</w:t>
      </w:r>
      <w:r>
        <w:rPr>
          <w:rFonts w:ascii="宋体" w:hAnsi="宋体" w:eastAsia="宋体" w:cs="Times New Roman"/>
          <w:color w:val="auto"/>
          <w:kern w:val="0"/>
          <w:szCs w:val="21"/>
          <w:highlight w:val="none"/>
        </w:rPr>
        <w:t xml:space="preserve">4.1.1 </w:t>
      </w:r>
      <w:r>
        <w:rPr>
          <w:rFonts w:hint="eastAsia" w:ascii="宋体" w:hAnsi="宋体" w:eastAsia="宋体" w:cs="Times New Roman"/>
          <w:color w:val="auto"/>
          <w:kern w:val="0"/>
          <w:szCs w:val="21"/>
          <w:highlight w:val="none"/>
        </w:rPr>
        <w:t>合同设备存在缺陷的，买卖双方应共同分析原因，分清责任后，按照技术服务、质量保证期、违约责任等合同条款的规定执行。</w:t>
      </w:r>
      <w:bookmarkEnd w:id="300"/>
    </w:p>
    <w:p w14:paraId="1C54871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2</w:t>
      </w:r>
      <w:r>
        <w:rPr>
          <w:rFonts w:hint="eastAsia" w:ascii="宋体" w:hAnsi="宋体" w:eastAsia="宋体" w:cs="Times New Roman"/>
          <w:color w:val="auto"/>
          <w:kern w:val="0"/>
          <w:szCs w:val="21"/>
          <w:highlight w:val="none"/>
        </w:rPr>
        <w:t xml:space="preserve"> 继续履行</w:t>
      </w:r>
    </w:p>
    <w:p w14:paraId="243FDDC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卖方有违反或拒绝执行合同约定的行为时，买方有权以书面通知的形式要求卖方在接到通知后</w:t>
      </w:r>
      <w:r>
        <w:rPr>
          <w:rFonts w:ascii="宋体" w:hAnsi="宋体" w:eastAsia="宋体" w:cs="Times New Roman"/>
          <w:color w:val="auto"/>
          <w:kern w:val="0"/>
          <w:szCs w:val="21"/>
          <w:highlight w:val="none"/>
        </w:rPr>
        <w:t>5个工作日内进行纠正</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如果</w:t>
      </w:r>
      <w:r>
        <w:rPr>
          <w:rFonts w:hint="eastAsia" w:ascii="宋体" w:hAnsi="宋体" w:eastAsia="宋体" w:cs="Times New Roman"/>
          <w:color w:val="auto"/>
          <w:kern w:val="0"/>
          <w:szCs w:val="21"/>
          <w:highlight w:val="none"/>
        </w:rPr>
        <w:t>卖方</w:t>
      </w:r>
      <w:r>
        <w:rPr>
          <w:rFonts w:ascii="宋体" w:hAnsi="宋体" w:eastAsia="宋体" w:cs="Times New Roman"/>
          <w:color w:val="auto"/>
          <w:kern w:val="0"/>
          <w:szCs w:val="21"/>
          <w:highlight w:val="none"/>
        </w:rPr>
        <w:t>认为在5个工作日内来不及纠正，应在此期限内向买方提出纠正计划。</w:t>
      </w:r>
    </w:p>
    <w:p w14:paraId="662C174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bookmarkStart w:id="301" w:name="_Hlk28545851"/>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3</w:t>
      </w:r>
      <w:r>
        <w:rPr>
          <w:rFonts w:hint="eastAsia" w:ascii="宋体" w:hAnsi="宋体" w:eastAsia="宋体" w:cs="Times New Roman"/>
          <w:color w:val="auto"/>
          <w:kern w:val="0"/>
          <w:szCs w:val="21"/>
          <w:highlight w:val="none"/>
        </w:rPr>
        <w:t xml:space="preserve"> 缺陷产品的召回</w:t>
      </w:r>
    </w:p>
    <w:p w14:paraId="2F40011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（1）卖方主动召回</w:t>
      </w:r>
    </w:p>
    <w:p w14:paraId="1FD75FF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如果卖方发现合同设备存在缺陷，可以向买方递交召回申请和召回方案，经买方同意后召回缺陷设备进行返厂处理。</w:t>
      </w:r>
    </w:p>
    <w:p w14:paraId="45356C9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（2）买方督促召回</w:t>
      </w:r>
    </w:p>
    <w:p w14:paraId="3D70653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根据1</w:t>
      </w:r>
      <w:r>
        <w:rPr>
          <w:rFonts w:ascii="宋体" w:hAnsi="宋体" w:eastAsia="宋体" w:cs="Times New Roman"/>
          <w:color w:val="auto"/>
          <w:kern w:val="0"/>
          <w:szCs w:val="21"/>
          <w:highlight w:val="none"/>
        </w:rPr>
        <w:t>4.1.1</w:t>
      </w:r>
      <w:r>
        <w:rPr>
          <w:rFonts w:hint="eastAsia" w:ascii="宋体" w:hAnsi="宋体" w:eastAsia="宋体" w:cs="Times New Roman"/>
          <w:color w:val="auto"/>
          <w:kern w:val="0"/>
          <w:szCs w:val="21"/>
          <w:highlight w:val="none"/>
        </w:rPr>
        <w:t>认定为卖方责任的，买方可以发出倡议书督促卖方召回缺陷设备。卖方认可倡议书的，应当及时向买方递交召回申请和召回方案，经买方同意后召回缺陷设备进行返厂处理。卖方有异议的，应当自收到倡议书之日起15个工作日内提交书面说明和证明材料。</w:t>
      </w:r>
    </w:p>
    <w:bookmarkEnd w:id="301"/>
    <w:p w14:paraId="65ADE82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09B40E6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14.1.4.1 合同设备质保期届满前，如发现卖方提供的合同设备有缺陷时，卖方应根据买方的要求采取若干种以下补救措施：</w:t>
      </w:r>
    </w:p>
    <w:p w14:paraId="10EB8A5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1） 修理：卖方对不符合合同约定的合同设备应先进行修理（含返厂维修），以使其符合合同要求，费用由卖方承担。除非买方同意，修理工作应在30日内完成</w:t>
      </w:r>
      <w:r>
        <w:rPr>
          <w:rFonts w:hint="eastAsia" w:ascii="宋体" w:hAnsi="宋体" w:eastAsia="宋体" w:cs="Times New Roman"/>
          <w:color w:val="auto"/>
          <w:kern w:val="0"/>
          <w:szCs w:val="21"/>
          <w:highlight w:val="none"/>
        </w:rPr>
        <w:t>。逾期未完成修理工作的，按延迟交货处理。</w:t>
      </w:r>
    </w:p>
    <w:p w14:paraId="5FF7A8F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2） 更换：卖方以符合合同要求的设备替换不符合要求的合同设备，费用由卖方承担</w:t>
      </w:r>
      <w:r>
        <w:rPr>
          <w:rFonts w:hint="eastAsia" w:ascii="宋体" w:hAnsi="宋体" w:eastAsia="宋体" w:cs="Times New Roman"/>
          <w:color w:val="auto"/>
          <w:kern w:val="0"/>
          <w:szCs w:val="21"/>
          <w:highlight w:val="none"/>
        </w:rPr>
        <w:t>（卖方应承担由此产生的到安装现场换货的一切费用，包括但不限于新设备的费用、将新设备运至安装现场的费用及处理被更换设备的费用等）</w:t>
      </w:r>
      <w:r>
        <w:rPr>
          <w:rFonts w:ascii="宋体" w:hAnsi="宋体" w:eastAsia="宋体" w:cs="Times New Roman"/>
          <w:color w:val="auto"/>
          <w:kern w:val="0"/>
          <w:szCs w:val="21"/>
          <w:highlight w:val="none"/>
        </w:rPr>
        <w:t>。除非买方同意，更换应在30日内完成。</w:t>
      </w:r>
      <w:r>
        <w:rPr>
          <w:rFonts w:hint="eastAsia" w:ascii="宋体" w:hAnsi="宋体" w:eastAsia="宋体" w:cs="Times New Roman"/>
          <w:color w:val="auto"/>
          <w:kern w:val="0"/>
          <w:szCs w:val="21"/>
          <w:highlight w:val="none"/>
        </w:rPr>
        <w:t>逾期未完成更换工作的，按延迟交货处理。</w:t>
      </w:r>
    </w:p>
    <w:p w14:paraId="46C269B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3） 退货：买方将有缺陷的合同设备退还卖方，卖方负责将被退还的合同设备运出安装现场。在此种情况下，卖方应退还已收取的该设备的货款并承担买方支出的安装、拆卸、运输、保险及购买替代品的差价等费用。</w:t>
      </w:r>
    </w:p>
    <w:p w14:paraId="07BE711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4） 削价：在买卖双方同意的前提下，对有缺陷的合同设备作削价处理，卖方应将有缺陷的合同设备原合同价与削减后价格之间的差额退回买方。</w:t>
      </w:r>
    </w:p>
    <w:p w14:paraId="2C2EA7F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除已有约定外，卖方应赔偿买方因采取上述补救措施所发生的损失。而且，买方选择任何上述补救措施均不减轻或免除卖方依据合同所应承担的其他违约责任。</w:t>
      </w:r>
    </w:p>
    <w:p w14:paraId="6EA868C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14.1.4.2 合同执行期间，由于卖方技术人员指导错误，造成工程返工、设备报废，卖方应立即无偿进行修理或更换。</w:t>
      </w:r>
    </w:p>
    <w:p w14:paraId="580F15A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14.1.4.3 买方发现卖方或卖方主动提出有以下行为之一的，买方有权决定是否接受卖方行为，如买方接受卖方行为的，则继续按合同约定履行；如买方不接受卖方行为的，买方有权按本合同专用合同条款通用部分第15.2.2条通知卖方解除全部或部分地解除合同。无论买方是否接受卖方行为，卖方均应向买方支付合同价款</w:t>
      </w:r>
      <w:r>
        <w:rPr>
          <w:rFonts w:hint="eastAsia" w:ascii="宋体" w:hAnsi="宋体" w:eastAsia="宋体" w:cs="Times New Roman"/>
          <w:color w:val="auto"/>
          <w:kern w:val="0"/>
          <w:szCs w:val="21"/>
          <w:highlight w:val="none"/>
          <w:lang w:val="en-US" w:eastAsia="zh-CN"/>
        </w:rPr>
        <w:t>5%或</w:t>
      </w:r>
      <w:r>
        <w:rPr>
          <w:rFonts w:hint="eastAsia" w:ascii="宋体" w:hAnsi="宋体" w:eastAsia="宋体" w:cs="Times New Roman"/>
          <w:color w:val="auto"/>
          <w:kern w:val="0"/>
          <w:szCs w:val="21"/>
          <w:highlight w:val="none"/>
        </w:rPr>
        <w:t>10%的违约金，同时承担由此引发的一切相关费用。</w:t>
      </w:r>
    </w:p>
    <w:p w14:paraId="5D55BC28">
      <w:pPr>
        <w:topLinePunct/>
        <w:adjustRightInd w:val="0"/>
        <w:snapToGrid w:val="0"/>
        <w:spacing w:line="360" w:lineRule="auto"/>
        <w:ind w:firstLine="420" w:firstLineChars="20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（1）合同设备不满足投标承诺，但满足技术规范书要求（技术规范书要求高于国家或行业标准），卖方支付买方合同价款5%的违约金；</w:t>
      </w:r>
    </w:p>
    <w:p w14:paraId="4496335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（2）合同设备不满足技术规范书要求，但满足国家标准或行业标准（技术规范书要求高于国家或行业标准），卖方支付买方合同价款10%的违约金。</w:t>
      </w:r>
      <w:bookmarkStart w:id="302" w:name="_Hlk511318243"/>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5</w:t>
      </w:r>
      <w:r>
        <w:rPr>
          <w:rFonts w:hint="eastAsia" w:ascii="宋体" w:hAnsi="宋体" w:eastAsia="宋体" w:cs="Times New Roman"/>
          <w:color w:val="auto"/>
          <w:kern w:val="0"/>
          <w:szCs w:val="21"/>
          <w:highlight w:val="none"/>
        </w:rPr>
        <w:t xml:space="preserve"> 赔偿损失</w:t>
      </w:r>
    </w:p>
    <w:bookmarkEnd w:id="302"/>
    <w:p w14:paraId="25E8532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14.1.5.1 买方有权要求卖方承担继续履行、采取补救措施、赔偿损失等违约责任中的一种或几种。</w:t>
      </w:r>
    </w:p>
    <w:p w14:paraId="3D94EF4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14.1.5.2 卖方按合同约定应支付的违约金低于给买方造成的损失的，并应就差额部分向买方进行赔偿。</w:t>
      </w:r>
    </w:p>
    <w:p w14:paraId="53B8AFC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14.1.5.3 卖方对买方的索赔通知如有异议，应在收到买方索赔通知后7日内以通知的形式提出，否则视为接受买方的索赔要求。</w:t>
      </w:r>
    </w:p>
    <w:p w14:paraId="2D3E274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6</w:t>
      </w:r>
      <w:r>
        <w:rPr>
          <w:rFonts w:hint="eastAsia" w:ascii="宋体" w:hAnsi="宋体" w:eastAsia="宋体" w:cs="Times New Roman"/>
          <w:color w:val="auto"/>
          <w:kern w:val="0"/>
          <w:szCs w:val="21"/>
          <w:highlight w:val="none"/>
        </w:rPr>
        <w:t xml:space="preserve"> 其他基本规定</w:t>
      </w:r>
    </w:p>
    <w:p w14:paraId="76D7014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14.1.6.1 卖方承担违约责任过程中产生的一切费用由卖方承担，包括但不限于搬运、重新安装、运输和保险费用。</w:t>
      </w:r>
    </w:p>
    <w:p w14:paraId="7009896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w:t>
      </w:r>
      <w:r>
        <w:rPr>
          <w:rFonts w:ascii="宋体" w:hAnsi="宋体" w:eastAsia="宋体" w:cs="Times New Roman"/>
          <w:color w:val="auto"/>
          <w:kern w:val="0"/>
          <w:szCs w:val="21"/>
          <w:highlight w:val="none"/>
        </w:rPr>
        <w:t xml:space="preserve">4.1.6.2 </w:t>
      </w:r>
      <w:r>
        <w:rPr>
          <w:rFonts w:hint="eastAsia" w:ascii="宋体" w:hAnsi="宋体" w:eastAsia="宋体" w:cs="Times New Roman"/>
          <w:color w:val="auto"/>
          <w:kern w:val="0"/>
          <w:szCs w:val="21"/>
          <w:highlight w:val="none"/>
        </w:rPr>
        <w:t>合同设备发生批次性缺陷时，买卖双方按照以下原则承担责任：</w:t>
      </w:r>
    </w:p>
    <w:p w14:paraId="0A49B5E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1）由于设备原材料及组部件质量造成的批次性缺陷，由卖方承担处理工作的全部成本。</w:t>
      </w:r>
    </w:p>
    <w:p w14:paraId="7D982CD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2）由于产品结构、设计、选材原因造成的批次性缺陷，由卖方承担处理工作的全部成本。</w:t>
      </w:r>
    </w:p>
    <w:p w14:paraId="1EF6003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3）因现场施工质量造成的批次性缺陷，</w:t>
      </w:r>
      <w:r>
        <w:rPr>
          <w:rFonts w:hint="eastAsia" w:ascii="宋体" w:hAnsi="宋体" w:eastAsia="宋体" w:cs="Times New Roman"/>
          <w:color w:val="auto"/>
          <w:kern w:val="0"/>
          <w:szCs w:val="21"/>
          <w:highlight w:val="none"/>
        </w:rPr>
        <w:t>卖方负责施工的，由卖方承担处理工作的全部成本；由买方负责施工的，由买方承担处理工作的全部成本</w:t>
      </w:r>
      <w:r>
        <w:rPr>
          <w:rFonts w:ascii="宋体" w:hAnsi="宋体" w:eastAsia="宋体" w:cs="Times New Roman"/>
          <w:color w:val="auto"/>
          <w:kern w:val="0"/>
          <w:szCs w:val="21"/>
          <w:highlight w:val="none"/>
        </w:rPr>
        <w:t>。</w:t>
      </w:r>
    </w:p>
    <w:p w14:paraId="7CB0161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4）处理批次性缺陷的成本包括：相关检测、材料购置、缺陷处理、检修维护、设备更换、返厂维修、试验、专家咨询、运输、安装等费用。</w:t>
      </w:r>
    </w:p>
    <w:p w14:paraId="29D7DB6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bookmarkStart w:id="303" w:name="_Hlk28526765"/>
      <w:r>
        <w:rPr>
          <w:rFonts w:ascii="宋体" w:hAnsi="宋体" w:eastAsia="宋体" w:cs="Times New Roman"/>
          <w:color w:val="auto"/>
          <w:kern w:val="0"/>
          <w:szCs w:val="21"/>
          <w:highlight w:val="none"/>
        </w:rPr>
        <w:t>14.1.6.3 除</w:t>
      </w:r>
      <w:r>
        <w:rPr>
          <w:rFonts w:hint="eastAsia" w:ascii="宋体" w:hAnsi="宋体" w:eastAsia="宋体" w:cs="Times New Roman"/>
          <w:color w:val="auto"/>
          <w:kern w:val="0"/>
          <w:szCs w:val="21"/>
          <w:highlight w:val="none"/>
        </w:rPr>
        <w:t>合同</w:t>
      </w:r>
      <w:r>
        <w:rPr>
          <w:rFonts w:ascii="宋体" w:hAnsi="宋体" w:eastAsia="宋体" w:cs="Times New Roman"/>
          <w:color w:val="auto"/>
          <w:kern w:val="0"/>
          <w:szCs w:val="21"/>
          <w:highlight w:val="none"/>
        </w:rPr>
        <w:t>条款已经列明的违约责任外，卖方还应自觉遵守</w:t>
      </w:r>
      <w:r>
        <w:rPr>
          <w:rFonts w:hint="eastAsia" w:ascii="宋体" w:hAnsi="宋体" w:eastAsia="宋体" w:cs="Times New Roman"/>
          <w:color w:val="auto"/>
          <w:kern w:val="0"/>
          <w:szCs w:val="21"/>
          <w:highlight w:val="none"/>
        </w:rPr>
        <w:t>南方电网供应链统一服务平台</w:t>
      </w:r>
      <w:r>
        <w:rPr>
          <w:rFonts w:ascii="宋体" w:hAnsi="宋体" w:eastAsia="宋体" w:cs="Times New Roman"/>
          <w:color w:val="auto"/>
          <w:kern w:val="0"/>
          <w:szCs w:val="21"/>
          <w:highlight w:val="none"/>
        </w:rPr>
        <w:t>(http://www.bidding.csg.cn/)上发布的供货商扣分管理制度等各项相关制度规范，并在违反本合同和各项制度规范时自觉接受买方和南方电网公司系统内相关主体根据</w:t>
      </w:r>
      <w:r>
        <w:rPr>
          <w:rFonts w:hint="eastAsia" w:ascii="宋体" w:hAnsi="宋体" w:eastAsia="宋体" w:cs="Times New Roman"/>
          <w:color w:val="auto"/>
          <w:kern w:val="0"/>
          <w:szCs w:val="21"/>
          <w:highlight w:val="none"/>
        </w:rPr>
        <w:t>上述</w:t>
      </w:r>
      <w:r>
        <w:rPr>
          <w:rFonts w:ascii="宋体" w:hAnsi="宋体" w:eastAsia="宋体" w:cs="Times New Roman"/>
          <w:color w:val="auto"/>
          <w:kern w:val="0"/>
          <w:szCs w:val="21"/>
          <w:highlight w:val="none"/>
        </w:rPr>
        <w:t>制度规范做出的处理。</w:t>
      </w:r>
    </w:p>
    <w:p w14:paraId="6A1388F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14.1.6.4 如卖方发现产品质量问题或隐患，不主动通报或存在故意隐瞒导致质量隐患和安全风险长期存在并造成严重后果的，买方可依据南方电网公司供应商相关扣分管理制度，根据后果严重性实施双倍扣分。</w:t>
      </w:r>
    </w:p>
    <w:bookmarkEnd w:id="303"/>
    <w:p w14:paraId="0BA33E93">
      <w:pPr>
        <w:pStyle w:val="5"/>
        <w:spacing w:before="0" w:after="0" w:line="360" w:lineRule="auto"/>
        <w:rPr>
          <w:rFonts w:ascii="宋体" w:hAnsi="宋体" w:eastAsia="宋体" w:cs="黑体"/>
          <w:color w:val="auto"/>
          <w:kern w:val="0"/>
          <w:sz w:val="21"/>
          <w:szCs w:val="28"/>
          <w:highlight w:val="none"/>
        </w:rPr>
      </w:pPr>
      <w:bookmarkStart w:id="304" w:name="_Toc7593"/>
      <w:bookmarkStart w:id="305" w:name="_Toc25643"/>
      <w:bookmarkStart w:id="306" w:name="_Toc57494734"/>
      <w:r>
        <w:rPr>
          <w:rFonts w:ascii="宋体" w:hAnsi="宋体" w:eastAsia="宋体" w:cs="黑体"/>
          <w:color w:val="auto"/>
          <w:kern w:val="0"/>
          <w:sz w:val="21"/>
          <w:szCs w:val="28"/>
          <w:highlight w:val="none"/>
        </w:rPr>
        <w:t>14.2 交付</w:t>
      </w:r>
      <w:bookmarkEnd w:id="304"/>
      <w:bookmarkEnd w:id="305"/>
      <w:bookmarkEnd w:id="306"/>
    </w:p>
    <w:p w14:paraId="796F54C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14.2.1 </w:t>
      </w:r>
      <w:r>
        <w:rPr>
          <w:rFonts w:hint="eastAsia" w:ascii="宋体" w:hAnsi="宋体" w:eastAsia="宋体" w:cs="Times New Roman"/>
          <w:color w:val="auto"/>
          <w:kern w:val="0"/>
          <w:szCs w:val="21"/>
          <w:highlight w:val="none"/>
        </w:rPr>
        <w:t>合同</w:t>
      </w:r>
      <w:r>
        <w:rPr>
          <w:rFonts w:ascii="宋体" w:hAnsi="宋体" w:eastAsia="宋体" w:cs="Times New Roman"/>
          <w:color w:val="auto"/>
          <w:kern w:val="0"/>
          <w:szCs w:val="21"/>
          <w:highlight w:val="none"/>
        </w:rPr>
        <w:t>设备交付</w:t>
      </w:r>
    </w:p>
    <w:p w14:paraId="6B82F87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14.2.1.1 合同设备实际交付日期以符合合同要求的</w:t>
      </w:r>
      <w:r>
        <w:rPr>
          <w:rFonts w:hint="eastAsia" w:ascii="宋体" w:hAnsi="宋体" w:eastAsia="宋体" w:cs="Times New Roman"/>
          <w:color w:val="auto"/>
          <w:kern w:val="0"/>
          <w:szCs w:val="21"/>
          <w:highlight w:val="none"/>
        </w:rPr>
        <w:t>全部合同</w:t>
      </w:r>
      <w:r>
        <w:rPr>
          <w:rFonts w:ascii="宋体" w:hAnsi="宋体" w:eastAsia="宋体" w:cs="Times New Roman"/>
          <w:color w:val="auto"/>
          <w:kern w:val="0"/>
          <w:szCs w:val="21"/>
          <w:highlight w:val="none"/>
        </w:rPr>
        <w:t>设备到达合同约定的交货地点为准。</w:t>
      </w:r>
    </w:p>
    <w:p w14:paraId="76527B9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14.2.2 技术资料交付</w:t>
      </w:r>
    </w:p>
    <w:p w14:paraId="2EAD100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14.2.3.1 技术资料以符合合同要求的技术资料到达买方或买方指定的设计单位的日期为实际交付日期。</w:t>
      </w:r>
    </w:p>
    <w:p w14:paraId="1D923BA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14.2.3.2 卖方迟延交付技术资料</w:t>
      </w:r>
      <w:r>
        <w:rPr>
          <w:rFonts w:hint="eastAsia" w:ascii="宋体" w:hAnsi="宋体" w:eastAsia="宋体" w:cs="Times New Roman"/>
          <w:color w:val="auto"/>
          <w:kern w:val="0"/>
          <w:szCs w:val="21"/>
          <w:highlight w:val="none"/>
        </w:rPr>
        <w:t>尚不</w:t>
      </w:r>
      <w:r>
        <w:rPr>
          <w:rFonts w:ascii="宋体" w:hAnsi="宋体" w:eastAsia="宋体" w:cs="Times New Roman"/>
          <w:color w:val="auto"/>
          <w:kern w:val="0"/>
          <w:szCs w:val="21"/>
          <w:highlight w:val="none"/>
        </w:rPr>
        <w:t>足以导致合同设备安装、调试、考核、验收工作推迟的，每迟交1日，应向买方支付合同价款0.1%且不超过5000元的违约金。</w:t>
      </w:r>
    </w:p>
    <w:p w14:paraId="2EC60E5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14.2.3.3 卖方提供的图纸有错误的，每发现1张有错误的图纸，应向买方支付合同价款0.1%且不超过5000元的违约金。</w:t>
      </w:r>
    </w:p>
    <w:p w14:paraId="28230DD2">
      <w:pPr>
        <w:pStyle w:val="5"/>
        <w:spacing w:before="0" w:after="0" w:line="360" w:lineRule="auto"/>
        <w:rPr>
          <w:rFonts w:ascii="宋体" w:hAnsi="宋体" w:eastAsia="宋体" w:cs="黑体"/>
          <w:color w:val="auto"/>
          <w:kern w:val="0"/>
          <w:sz w:val="21"/>
          <w:szCs w:val="28"/>
          <w:highlight w:val="none"/>
        </w:rPr>
      </w:pPr>
      <w:bookmarkStart w:id="307" w:name="_Toc5778"/>
      <w:bookmarkStart w:id="308" w:name="_Toc57494735"/>
      <w:bookmarkStart w:id="309" w:name="_Toc22542"/>
      <w:r>
        <w:rPr>
          <w:rFonts w:ascii="宋体" w:hAnsi="宋体" w:eastAsia="宋体" w:cs="黑体"/>
          <w:color w:val="auto"/>
          <w:kern w:val="0"/>
          <w:sz w:val="21"/>
          <w:szCs w:val="28"/>
          <w:highlight w:val="none"/>
        </w:rPr>
        <w:t>14.3 合同价款</w:t>
      </w:r>
      <w:r>
        <w:rPr>
          <w:rFonts w:hint="eastAsia" w:ascii="宋体" w:hAnsi="宋体" w:eastAsia="宋体" w:cs="黑体"/>
          <w:color w:val="auto"/>
          <w:kern w:val="0"/>
          <w:sz w:val="21"/>
          <w:szCs w:val="28"/>
          <w:highlight w:val="none"/>
        </w:rPr>
        <w:t>的</w:t>
      </w:r>
      <w:r>
        <w:rPr>
          <w:rFonts w:ascii="宋体" w:hAnsi="宋体" w:eastAsia="宋体" w:cs="黑体"/>
          <w:color w:val="auto"/>
          <w:kern w:val="0"/>
          <w:sz w:val="21"/>
          <w:szCs w:val="28"/>
          <w:highlight w:val="none"/>
        </w:rPr>
        <w:t>支付</w:t>
      </w:r>
      <w:bookmarkEnd w:id="307"/>
      <w:bookmarkEnd w:id="308"/>
      <w:bookmarkEnd w:id="309"/>
    </w:p>
    <w:p w14:paraId="68173EC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14.3.1 合同价款的实际付款日期以买方签发支票、汇票或办理电汇日期为准，另有约定的除外。</w:t>
      </w:r>
    </w:p>
    <w:p w14:paraId="32B9E09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14.3.2 买方违反合同约定迟延支付合同价款的，除了支付逾期的合同价款外，还应就逾期部分向卖方支付利息</w:t>
      </w:r>
      <w:r>
        <w:rPr>
          <w:rFonts w:hint="eastAsia" w:ascii="宋体" w:hAnsi="宋体" w:eastAsia="宋体" w:cs="Times New Roman"/>
          <w:color w:val="auto"/>
          <w:kern w:val="0"/>
          <w:szCs w:val="21"/>
          <w:highlight w:val="none"/>
        </w:rPr>
        <w:t>作为延迟付款违约金</w:t>
      </w:r>
      <w:r>
        <w:rPr>
          <w:rFonts w:ascii="宋体" w:hAnsi="宋体" w:eastAsia="宋体" w:cs="Times New Roman"/>
          <w:color w:val="auto"/>
          <w:kern w:val="0"/>
          <w:szCs w:val="21"/>
          <w:highlight w:val="none"/>
        </w:rPr>
        <w:t>。</w:t>
      </w:r>
      <w:r>
        <w:rPr>
          <w:rFonts w:hint="eastAsia" w:ascii="宋体" w:hAnsi="宋体" w:eastAsia="宋体" w:cs="Times New Roman"/>
          <w:color w:val="auto"/>
          <w:kern w:val="0"/>
          <w:szCs w:val="21"/>
          <w:highlight w:val="none"/>
        </w:rPr>
        <w:t>利息按照全国银行间同业拆借中心公布的同期贷款市场报价利率（LPR）计算。</w:t>
      </w:r>
    </w:p>
    <w:p w14:paraId="40E68F0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14.3.3 因合同变更需退还发票或返还超付价款的，卖方应在合同变更30日内与买方相互配合办理红字发票手续或超付退款手续。因卖方不在买方规定的时间内办理或无理由拒绝办理红字发票手续、超付退款手续而造成结算滞后的，按对应发票金额×0.4%×逾期交票周数、超付退款金额×0.4%×逾期退款周数由卖方向买方支付违约金，不足一周按一周计。</w:t>
      </w:r>
    </w:p>
    <w:p w14:paraId="72C80A3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14.3.4 </w:t>
      </w:r>
      <w:r>
        <w:rPr>
          <w:rFonts w:hint="eastAsia" w:ascii="宋体" w:hAnsi="宋体" w:eastAsia="宋体" w:cs="Times New Roman"/>
          <w:color w:val="auto"/>
          <w:kern w:val="0"/>
          <w:szCs w:val="21"/>
          <w:highlight w:val="none"/>
          <w:lang w:eastAsia="zh-CN"/>
        </w:rPr>
        <w:t>结清款保证金</w:t>
      </w:r>
      <w:r>
        <w:rPr>
          <w:rFonts w:ascii="宋体" w:hAnsi="宋体" w:eastAsia="宋体" w:cs="Times New Roman"/>
          <w:color w:val="auto"/>
          <w:kern w:val="0"/>
          <w:szCs w:val="21"/>
          <w:highlight w:val="none"/>
        </w:rPr>
        <w:t>保函</w:t>
      </w:r>
      <w:r>
        <w:rPr>
          <w:rFonts w:hint="eastAsia" w:ascii="宋体" w:hAnsi="宋体" w:eastAsia="宋体" w:cs="Times New Roman"/>
          <w:color w:val="auto"/>
          <w:kern w:val="0"/>
          <w:szCs w:val="21"/>
          <w:highlight w:val="none"/>
        </w:rPr>
        <w:t>延期或重新开具</w:t>
      </w:r>
      <w:r>
        <w:rPr>
          <w:rFonts w:ascii="宋体" w:hAnsi="宋体" w:eastAsia="宋体" w:cs="Times New Roman"/>
          <w:color w:val="auto"/>
          <w:kern w:val="0"/>
          <w:szCs w:val="21"/>
          <w:highlight w:val="none"/>
        </w:rPr>
        <w:t>时，卖方每迟延一日，应向买方支付合同价款0.1%且不超过5000元的违约金。</w:t>
      </w:r>
    </w:p>
    <w:p w14:paraId="483E4914">
      <w:pPr>
        <w:pStyle w:val="5"/>
        <w:spacing w:before="0" w:after="0" w:line="360" w:lineRule="auto"/>
        <w:rPr>
          <w:rFonts w:ascii="宋体" w:hAnsi="宋体" w:eastAsia="宋体" w:cs="黑体"/>
          <w:color w:val="auto"/>
          <w:kern w:val="0"/>
          <w:sz w:val="21"/>
          <w:szCs w:val="28"/>
          <w:highlight w:val="none"/>
        </w:rPr>
      </w:pPr>
      <w:bookmarkStart w:id="310" w:name="_Toc12134"/>
      <w:bookmarkStart w:id="311" w:name="_Toc57494736"/>
      <w:bookmarkStart w:id="312" w:name="_Toc11250"/>
      <w:r>
        <w:rPr>
          <w:rFonts w:ascii="宋体" w:hAnsi="宋体" w:eastAsia="宋体" w:cs="黑体"/>
          <w:color w:val="auto"/>
          <w:kern w:val="0"/>
          <w:sz w:val="21"/>
          <w:szCs w:val="28"/>
          <w:highlight w:val="none"/>
        </w:rPr>
        <w:t>14.4 转让</w:t>
      </w:r>
      <w:bookmarkEnd w:id="310"/>
      <w:bookmarkEnd w:id="311"/>
      <w:bookmarkEnd w:id="312"/>
    </w:p>
    <w:p w14:paraId="63709D4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14.4.1 卖方擅自分包</w:t>
      </w:r>
      <w:bookmarkStart w:id="313" w:name="_Hlk28547852"/>
      <w:r>
        <w:rPr>
          <w:rFonts w:hint="eastAsia" w:ascii="宋体" w:hAnsi="宋体" w:eastAsia="宋体" w:cs="Times New Roman"/>
          <w:color w:val="auto"/>
          <w:kern w:val="0"/>
          <w:szCs w:val="21"/>
          <w:highlight w:val="none"/>
        </w:rPr>
        <w:t>、转</w:t>
      </w:r>
      <w:bookmarkEnd w:id="313"/>
      <w:r>
        <w:rPr>
          <w:rFonts w:hint="eastAsia" w:ascii="宋体" w:hAnsi="宋体" w:eastAsia="宋体" w:cs="Times New Roman"/>
          <w:color w:val="auto"/>
          <w:kern w:val="0"/>
          <w:szCs w:val="21"/>
          <w:highlight w:val="none"/>
        </w:rPr>
        <w:t>让</w:t>
      </w:r>
      <w:r>
        <w:rPr>
          <w:rFonts w:ascii="宋体" w:hAnsi="宋体" w:eastAsia="宋体" w:cs="Times New Roman"/>
          <w:color w:val="auto"/>
          <w:kern w:val="0"/>
          <w:szCs w:val="21"/>
          <w:highlight w:val="none"/>
        </w:rPr>
        <w:t>或租用他人设备、人员进行生产制造合同设备的，买方有权拒付分包</w:t>
      </w:r>
      <w:r>
        <w:rPr>
          <w:rFonts w:hint="eastAsia" w:ascii="宋体" w:hAnsi="宋体" w:eastAsia="宋体" w:cs="Times New Roman"/>
          <w:color w:val="auto"/>
          <w:kern w:val="0"/>
          <w:szCs w:val="21"/>
          <w:highlight w:val="none"/>
        </w:rPr>
        <w:t>、转让</w:t>
      </w:r>
      <w:r>
        <w:rPr>
          <w:rFonts w:ascii="宋体" w:hAnsi="宋体" w:eastAsia="宋体" w:cs="Times New Roman"/>
          <w:color w:val="auto"/>
          <w:kern w:val="0"/>
          <w:szCs w:val="21"/>
          <w:highlight w:val="none"/>
        </w:rPr>
        <w:t>或租用他人设备、人员进行生产制造合同设备部分的合同价款，并部分或全部解除合同。因卖方上述行为给买方造成损失的，卖方应全额赔偿。</w:t>
      </w:r>
    </w:p>
    <w:p w14:paraId="0100E733">
      <w:pPr>
        <w:pStyle w:val="5"/>
        <w:spacing w:before="0" w:after="0" w:line="360" w:lineRule="auto"/>
        <w:rPr>
          <w:rFonts w:ascii="宋体" w:hAnsi="宋体" w:eastAsia="宋体" w:cs="黑体"/>
          <w:color w:val="auto"/>
          <w:kern w:val="0"/>
          <w:sz w:val="21"/>
          <w:szCs w:val="28"/>
          <w:highlight w:val="none"/>
        </w:rPr>
      </w:pPr>
      <w:bookmarkStart w:id="314" w:name="_Toc205"/>
      <w:bookmarkStart w:id="315" w:name="_Toc14703"/>
      <w:bookmarkStart w:id="316" w:name="_Toc57494737"/>
      <w:bookmarkStart w:id="317" w:name="_Hlk511057836"/>
      <w:r>
        <w:rPr>
          <w:rFonts w:ascii="宋体" w:hAnsi="宋体" w:eastAsia="宋体" w:cs="黑体"/>
          <w:color w:val="auto"/>
          <w:kern w:val="0"/>
          <w:sz w:val="21"/>
          <w:szCs w:val="28"/>
          <w:highlight w:val="none"/>
        </w:rPr>
        <w:t xml:space="preserve">14.5 </w:t>
      </w:r>
      <w:r>
        <w:rPr>
          <w:rFonts w:hint="eastAsia" w:ascii="宋体" w:hAnsi="宋体" w:eastAsia="宋体" w:cs="黑体"/>
          <w:color w:val="auto"/>
          <w:kern w:val="0"/>
          <w:sz w:val="21"/>
          <w:szCs w:val="28"/>
          <w:highlight w:val="none"/>
        </w:rPr>
        <w:t>监造及交货前检验</w:t>
      </w:r>
      <w:bookmarkEnd w:id="314"/>
      <w:bookmarkEnd w:id="315"/>
      <w:bookmarkEnd w:id="316"/>
    </w:p>
    <w:bookmarkEnd w:id="317"/>
    <w:p w14:paraId="538BDE7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14.5.1 买方在监造过程中发现卖方在制造过程中有不符合本合同要求及制造工艺等情况，买方有权要求整改和索赔。</w:t>
      </w:r>
    </w:p>
    <w:p w14:paraId="1C6E4B8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买方对合同设备进行抽检，发现合同设备不符合合同要求，卖方未能在买方限定的时间内通过整改使其符合合同要求，或者买方扩大范围抽检的结果表明合同设备仍不符合要求的，买方有权要求更换此设备或单方解除本合同，卖方应向买方支付合同总金额</w:t>
      </w:r>
      <w:r>
        <w:rPr>
          <w:rFonts w:ascii="宋体" w:hAnsi="宋体" w:eastAsia="宋体" w:cs="Times New Roman"/>
          <w:color w:val="auto"/>
          <w:kern w:val="0"/>
          <w:szCs w:val="21"/>
          <w:highlight w:val="none"/>
        </w:rPr>
        <w:t>10%违约金，并承担造成的损失。</w:t>
      </w:r>
    </w:p>
    <w:p w14:paraId="3073F30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14.5.2 抽检中发现合同设备存在缺陷需要修理或更换时，</w:t>
      </w:r>
      <w:r>
        <w:rPr>
          <w:rFonts w:hint="eastAsia" w:ascii="宋体" w:hAnsi="宋体" w:eastAsia="宋体" w:cs="Times New Roman"/>
          <w:color w:val="auto"/>
          <w:kern w:val="0"/>
          <w:szCs w:val="21"/>
          <w:highlight w:val="none"/>
        </w:rPr>
        <w:t>修理和更换两种措施只能选择一种，且使用次数限制为</w:t>
      </w:r>
      <w:r>
        <w:rPr>
          <w:rFonts w:ascii="宋体" w:hAnsi="宋体" w:eastAsia="宋体" w:cs="Times New Roman"/>
          <w:color w:val="auto"/>
          <w:kern w:val="0"/>
          <w:szCs w:val="21"/>
          <w:highlight w:val="none"/>
        </w:rPr>
        <w:t>1次</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即经修理、更换后仍然检测不合格的，采取退货处理。修理、更换、退货三种处理措施的适用范围均为被检设备所在合同。</w:t>
      </w:r>
    </w:p>
    <w:p w14:paraId="1D34923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14.5.3 如果在出厂试验时合同设备未满足合同约定的保证值，且卖方在发现不合格之日起2个月内未能通过整改使合同设备满足保证值，买方有权要求更换此设备或解除合同，由此引起的一切后果由卖方承担。</w:t>
      </w:r>
    </w:p>
    <w:p w14:paraId="2B844CD2">
      <w:pPr>
        <w:pStyle w:val="5"/>
        <w:spacing w:before="0" w:after="0" w:line="360" w:lineRule="auto"/>
        <w:rPr>
          <w:rFonts w:ascii="宋体" w:hAnsi="宋体" w:eastAsia="宋体" w:cs="黑体"/>
          <w:color w:val="auto"/>
          <w:kern w:val="0"/>
          <w:sz w:val="21"/>
          <w:szCs w:val="28"/>
          <w:highlight w:val="none"/>
        </w:rPr>
      </w:pPr>
      <w:bookmarkStart w:id="318" w:name="_Toc13080"/>
      <w:bookmarkStart w:id="319" w:name="_Toc16435"/>
      <w:bookmarkStart w:id="320" w:name="_Toc57494738"/>
      <w:bookmarkStart w:id="321" w:name="_Hlk511909432"/>
      <w:r>
        <w:rPr>
          <w:rFonts w:ascii="宋体" w:hAnsi="宋体" w:eastAsia="宋体" w:cs="黑体"/>
          <w:color w:val="auto"/>
          <w:kern w:val="0"/>
          <w:sz w:val="21"/>
          <w:szCs w:val="28"/>
          <w:highlight w:val="none"/>
        </w:rPr>
        <w:t xml:space="preserve">14.6 </w:t>
      </w:r>
      <w:r>
        <w:rPr>
          <w:rFonts w:hint="eastAsia" w:ascii="宋体" w:hAnsi="宋体" w:eastAsia="宋体" w:cs="黑体"/>
          <w:color w:val="auto"/>
          <w:kern w:val="0"/>
          <w:sz w:val="21"/>
          <w:szCs w:val="28"/>
          <w:highlight w:val="none"/>
        </w:rPr>
        <w:t>包装、标记、运输</w:t>
      </w:r>
      <w:bookmarkEnd w:id="318"/>
      <w:bookmarkEnd w:id="319"/>
      <w:bookmarkEnd w:id="320"/>
    </w:p>
    <w:bookmarkEnd w:id="321"/>
    <w:p w14:paraId="0E4CD92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14.6.1 如卖方未在技术资料和合同设备包装物外表提出明确的仓储保管要求或买方按卖方要求进行仓储保管，但合同设备在保管期间发生损坏的，卖方应承担由于补充和/或修理和/或更换损坏的合同设备而发生的一切费用。</w:t>
      </w:r>
    </w:p>
    <w:p w14:paraId="223D423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bookmarkStart w:id="322" w:name="_Hlk26266045"/>
      <w:r>
        <w:rPr>
          <w:rFonts w:ascii="宋体" w:hAnsi="宋体" w:eastAsia="宋体" w:cs="Times New Roman"/>
          <w:color w:val="auto"/>
          <w:kern w:val="0"/>
          <w:szCs w:val="21"/>
          <w:highlight w:val="none"/>
        </w:rPr>
        <w:t xml:space="preserve">14.6.2 </w:t>
      </w:r>
      <w:bookmarkStart w:id="323" w:name="_Hlk26794067"/>
      <w:r>
        <w:rPr>
          <w:rFonts w:hint="eastAsia" w:ascii="宋体" w:hAnsi="宋体" w:eastAsia="宋体" w:cs="Times New Roman"/>
          <w:color w:val="auto"/>
          <w:kern w:val="0"/>
          <w:szCs w:val="21"/>
          <w:highlight w:val="none"/>
        </w:rPr>
        <w:t>若卖方的实物编码标签或物资身份编码标签安装</w:t>
      </w:r>
      <w:r>
        <w:rPr>
          <w:rFonts w:hint="eastAsia" w:ascii="宋体" w:hAnsi="宋体" w:eastAsia="宋体" w:cs="Times New Roman"/>
          <w:color w:val="auto"/>
          <w:kern w:val="0"/>
          <w:szCs w:val="21"/>
          <w:highlight w:val="none"/>
          <w:lang w:val="en-US" w:eastAsia="zh-CN"/>
        </w:rPr>
        <w:t>张贴</w:t>
      </w:r>
      <w:r>
        <w:rPr>
          <w:rFonts w:hint="eastAsia" w:ascii="宋体" w:hAnsi="宋体" w:eastAsia="宋体" w:cs="Times New Roman"/>
          <w:color w:val="auto"/>
          <w:kern w:val="0"/>
          <w:szCs w:val="21"/>
          <w:highlight w:val="none"/>
        </w:rPr>
        <w:t>不规范，或者未提供《实物编码标签安装自检确认单》，买方有权拒绝收货并要求卖方承担修理、更换、退货、削价等违约责任，造成迟交货的应按照延迟交货支付违约金。</w:t>
      </w:r>
      <w:bookmarkEnd w:id="323"/>
    </w:p>
    <w:bookmarkEnd w:id="322"/>
    <w:p w14:paraId="599AB4DB">
      <w:pPr>
        <w:pStyle w:val="5"/>
        <w:spacing w:before="0" w:after="0" w:line="360" w:lineRule="auto"/>
        <w:rPr>
          <w:rFonts w:ascii="宋体" w:hAnsi="宋体" w:eastAsia="宋体" w:cs="黑体"/>
          <w:color w:val="auto"/>
          <w:kern w:val="0"/>
          <w:sz w:val="21"/>
          <w:szCs w:val="28"/>
          <w:highlight w:val="none"/>
        </w:rPr>
      </w:pPr>
      <w:bookmarkStart w:id="324" w:name="_Toc5629"/>
      <w:bookmarkStart w:id="325" w:name="_Toc57494739"/>
      <w:bookmarkStart w:id="326" w:name="_Toc25165"/>
      <w:bookmarkStart w:id="327" w:name="_Hlk511981465"/>
      <w:r>
        <w:rPr>
          <w:rFonts w:ascii="宋体" w:hAnsi="宋体" w:eastAsia="宋体" w:cs="黑体"/>
          <w:color w:val="auto"/>
          <w:kern w:val="0"/>
          <w:sz w:val="21"/>
          <w:szCs w:val="28"/>
          <w:highlight w:val="none"/>
        </w:rPr>
        <w:t>14.7 开箱检验、安装、调试、考核、验收</w:t>
      </w:r>
      <w:bookmarkEnd w:id="324"/>
      <w:bookmarkEnd w:id="325"/>
      <w:bookmarkEnd w:id="326"/>
    </w:p>
    <w:bookmarkEnd w:id="327"/>
    <w:p w14:paraId="37CD20E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14.7.1 到货验收时，如果发现合同</w:t>
      </w:r>
      <w:r>
        <w:rPr>
          <w:rFonts w:hint="eastAsia" w:ascii="宋体" w:hAnsi="宋体" w:eastAsia="宋体" w:cs="Times New Roman"/>
          <w:color w:val="auto"/>
          <w:kern w:val="0"/>
          <w:szCs w:val="21"/>
          <w:highlight w:val="none"/>
        </w:rPr>
        <w:t>设备有</w:t>
      </w:r>
      <w:r>
        <w:rPr>
          <w:rFonts w:ascii="宋体" w:hAnsi="宋体" w:eastAsia="宋体" w:cs="Times New Roman"/>
          <w:color w:val="auto"/>
          <w:kern w:val="0"/>
          <w:szCs w:val="21"/>
          <w:highlight w:val="none"/>
        </w:rPr>
        <w:t>任何损坏、缺陷</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短少</w:t>
      </w:r>
      <w:r>
        <w:rPr>
          <w:rFonts w:hint="eastAsia" w:ascii="宋体" w:hAnsi="宋体" w:eastAsia="宋体" w:cs="Times New Roman"/>
          <w:color w:val="auto"/>
          <w:kern w:val="0"/>
          <w:szCs w:val="21"/>
          <w:highlight w:val="none"/>
        </w:rPr>
        <w:t>等</w:t>
      </w:r>
      <w:r>
        <w:rPr>
          <w:rFonts w:ascii="宋体" w:hAnsi="宋体" w:eastAsia="宋体" w:cs="Times New Roman"/>
          <w:color w:val="auto"/>
          <w:kern w:val="0"/>
          <w:szCs w:val="21"/>
          <w:highlight w:val="none"/>
        </w:rPr>
        <w:t>不符合</w:t>
      </w:r>
      <w:r>
        <w:rPr>
          <w:rFonts w:hint="eastAsia" w:ascii="宋体" w:hAnsi="宋体" w:eastAsia="宋体" w:cs="Times New Roman"/>
          <w:color w:val="auto"/>
          <w:kern w:val="0"/>
          <w:szCs w:val="21"/>
          <w:highlight w:val="none"/>
        </w:rPr>
        <w:t>合同约定</w:t>
      </w:r>
      <w:r>
        <w:rPr>
          <w:rFonts w:ascii="宋体" w:hAnsi="宋体" w:eastAsia="宋体" w:cs="Times New Roman"/>
          <w:color w:val="auto"/>
          <w:kern w:val="0"/>
          <w:szCs w:val="21"/>
          <w:highlight w:val="none"/>
        </w:rPr>
        <w:t>之处</w:t>
      </w:r>
      <w:r>
        <w:rPr>
          <w:rFonts w:hint="eastAsia" w:ascii="宋体" w:hAnsi="宋体" w:eastAsia="宋体" w:cs="Times New Roman"/>
          <w:color w:val="auto"/>
          <w:kern w:val="0"/>
          <w:szCs w:val="21"/>
          <w:highlight w:val="none"/>
        </w:rPr>
        <w:t>且属于买方责任的</w:t>
      </w:r>
      <w:r>
        <w:rPr>
          <w:rFonts w:ascii="宋体" w:hAnsi="宋体" w:eastAsia="宋体" w:cs="Times New Roman"/>
          <w:color w:val="auto"/>
          <w:kern w:val="0"/>
          <w:szCs w:val="21"/>
          <w:highlight w:val="none"/>
        </w:rPr>
        <w:t>，卖方在接到买方通知后，应尽快修理、更换或补齐相应的部件，费用由买方承担。</w:t>
      </w:r>
    </w:p>
    <w:p w14:paraId="55C78A8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14.7.2 如果到货验收时，发现合同设备非买方责任有任何短少或缺陷，修理、更换后的设备或经补齐的短缺部件到达交货地点的时间为该设备的实际交货期，并作为计算卖方迟延交付违约金的依据。</w:t>
      </w:r>
      <w:r>
        <w:rPr>
          <w:rFonts w:hint="eastAsia" w:ascii="宋体" w:hAnsi="宋体" w:eastAsia="宋体" w:cs="Times New Roman"/>
          <w:color w:val="auto"/>
          <w:kern w:val="0"/>
          <w:szCs w:val="21"/>
          <w:highlight w:val="none"/>
        </w:rPr>
        <w:t xml:space="preserve"> </w:t>
      </w:r>
    </w:p>
    <w:p w14:paraId="46D08BF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14.7.3 </w:t>
      </w:r>
      <w:r>
        <w:rPr>
          <w:rFonts w:hint="eastAsia" w:ascii="宋体" w:hAnsi="宋体" w:eastAsia="宋体" w:cs="Times New Roman"/>
          <w:color w:val="auto"/>
          <w:kern w:val="0"/>
          <w:szCs w:val="21"/>
          <w:highlight w:val="none"/>
        </w:rPr>
        <w:t>买方因到货验收不合格提出索赔，</w:t>
      </w:r>
      <w:r>
        <w:rPr>
          <w:rFonts w:ascii="宋体" w:hAnsi="宋体" w:eastAsia="宋体" w:cs="Times New Roman"/>
          <w:color w:val="auto"/>
          <w:kern w:val="0"/>
          <w:szCs w:val="21"/>
          <w:highlight w:val="none"/>
        </w:rPr>
        <w:t>卖方对索赔通知提出异议时，应在接到索赔通知后7日内，自费派代表赴验收现场同买方代表共同复验。</w:t>
      </w:r>
    </w:p>
    <w:p w14:paraId="6DA0F82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14.7.4 合同设备所有部件不应有对安装、运维人员造成身体伤害的危险因素。如果因此危险因素造成买方人员人身损害卖方还需要承担赔偿责任。</w:t>
      </w:r>
    </w:p>
    <w:p w14:paraId="6C97148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14.7.5 </w:t>
      </w:r>
      <w:bookmarkStart w:id="328" w:name="_Hlk26794306"/>
      <w:r>
        <w:rPr>
          <w:rFonts w:ascii="宋体" w:hAnsi="宋体" w:eastAsia="宋体" w:cs="Times New Roman"/>
          <w:color w:val="auto"/>
          <w:kern w:val="0"/>
          <w:szCs w:val="21"/>
          <w:highlight w:val="none"/>
        </w:rPr>
        <w:t>安装、调试、</w:t>
      </w:r>
      <w:r>
        <w:rPr>
          <w:rFonts w:hint="eastAsia" w:ascii="宋体" w:hAnsi="宋体" w:eastAsia="宋体" w:cs="Times New Roman"/>
          <w:color w:val="auto"/>
          <w:kern w:val="0"/>
          <w:szCs w:val="21"/>
          <w:highlight w:val="none"/>
        </w:rPr>
        <w:t>考核</w:t>
      </w:r>
      <w:r>
        <w:rPr>
          <w:rFonts w:ascii="宋体" w:hAnsi="宋体" w:eastAsia="宋体" w:cs="Times New Roman"/>
          <w:color w:val="auto"/>
          <w:kern w:val="0"/>
          <w:szCs w:val="21"/>
          <w:highlight w:val="none"/>
        </w:rPr>
        <w:t>中，</w:t>
      </w:r>
      <w:bookmarkEnd w:id="328"/>
      <w:r>
        <w:rPr>
          <w:rFonts w:ascii="宋体" w:hAnsi="宋体" w:eastAsia="宋体" w:cs="Times New Roman"/>
          <w:color w:val="auto"/>
          <w:kern w:val="0"/>
          <w:szCs w:val="21"/>
          <w:highlight w:val="none"/>
        </w:rPr>
        <w:t xml:space="preserve">卖方对合同设备缺陷的处理不能达到合同要求，买方有权退货。安装过程中卖方处理缺陷超过买方要求期限的，应按延迟交货承担违约责任。 </w:t>
      </w:r>
    </w:p>
    <w:p w14:paraId="76206A8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bookmarkStart w:id="329" w:name="_Hlk26266064"/>
      <w:r>
        <w:rPr>
          <w:rFonts w:hint="eastAsia" w:ascii="宋体" w:hAnsi="宋体" w:eastAsia="宋体" w:cs="Times New Roman"/>
          <w:color w:val="auto"/>
          <w:kern w:val="0"/>
          <w:szCs w:val="21"/>
          <w:highlight w:val="none"/>
        </w:rPr>
        <w:t>1</w:t>
      </w:r>
      <w:r>
        <w:rPr>
          <w:rFonts w:ascii="宋体" w:hAnsi="宋体" w:eastAsia="宋体" w:cs="Times New Roman"/>
          <w:color w:val="auto"/>
          <w:kern w:val="0"/>
          <w:szCs w:val="21"/>
          <w:highlight w:val="none"/>
        </w:rPr>
        <w:t xml:space="preserve">4.7.6 </w:t>
      </w:r>
      <w:bookmarkStart w:id="330" w:name="_Hlk26794320"/>
      <w:r>
        <w:rPr>
          <w:rFonts w:hint="eastAsia" w:ascii="宋体" w:hAnsi="宋体" w:eastAsia="宋体" w:cs="Times New Roman"/>
          <w:color w:val="auto"/>
          <w:kern w:val="0"/>
          <w:szCs w:val="21"/>
          <w:highlight w:val="none"/>
        </w:rPr>
        <w:t>安装、调试、考核中，</w:t>
      </w:r>
      <w:bookmarkEnd w:id="330"/>
      <w:r>
        <w:rPr>
          <w:rFonts w:hint="eastAsia" w:ascii="宋体" w:hAnsi="宋体" w:eastAsia="宋体" w:cs="Times New Roman"/>
          <w:color w:val="auto"/>
          <w:kern w:val="0"/>
          <w:szCs w:val="21"/>
          <w:highlight w:val="none"/>
        </w:rPr>
        <w:t>买方对卖方在南方电网供应链统一服务平台填写的设备技术参数进行审核。对不完整、不准确、不规范的数据，卖方应在</w:t>
      </w:r>
      <w:r>
        <w:rPr>
          <w:rFonts w:ascii="宋体" w:hAnsi="宋体" w:eastAsia="宋体" w:cs="Times New Roman"/>
          <w:color w:val="auto"/>
          <w:kern w:val="0"/>
          <w:szCs w:val="21"/>
          <w:highlight w:val="none"/>
        </w:rPr>
        <w:t>3个工作日内完成修改。</w:t>
      </w:r>
      <w:r>
        <w:rPr>
          <w:rFonts w:hint="eastAsia" w:ascii="宋体" w:hAnsi="宋体" w:eastAsia="宋体" w:cs="Times New Roman"/>
          <w:color w:val="auto"/>
          <w:kern w:val="0"/>
          <w:szCs w:val="21"/>
          <w:highlight w:val="none"/>
        </w:rPr>
        <w:t>更改不及时的，按照延迟交付技术资料承担违约责任。</w:t>
      </w:r>
    </w:p>
    <w:bookmarkEnd w:id="329"/>
    <w:p w14:paraId="7E6A0B0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14.7.7</w:t>
      </w:r>
      <w:r>
        <w:rPr>
          <w:rFonts w:hint="eastAsia" w:ascii="宋体" w:hAnsi="宋体" w:eastAsia="宋体" w:cs="Times New Roman"/>
          <w:color w:val="auto"/>
          <w:kern w:val="0"/>
          <w:szCs w:val="21"/>
          <w:highlight w:val="none"/>
        </w:rPr>
        <w:t xml:space="preserve"> </w:t>
      </w:r>
      <w:r>
        <w:rPr>
          <w:rFonts w:ascii="宋体" w:hAnsi="宋体" w:eastAsia="宋体" w:cs="Times New Roman"/>
          <w:color w:val="auto"/>
          <w:kern w:val="0"/>
          <w:szCs w:val="21"/>
          <w:highlight w:val="none"/>
        </w:rPr>
        <w:t>若因</w:t>
      </w:r>
      <w:r>
        <w:rPr>
          <w:rFonts w:hint="eastAsia" w:ascii="宋体" w:hAnsi="宋体" w:eastAsia="宋体" w:cs="Times New Roman"/>
          <w:color w:val="auto"/>
          <w:kern w:val="0"/>
          <w:szCs w:val="21"/>
          <w:highlight w:val="none"/>
        </w:rPr>
        <w:t>考核</w:t>
      </w:r>
      <w:r>
        <w:rPr>
          <w:rFonts w:ascii="宋体" w:hAnsi="宋体" w:eastAsia="宋体" w:cs="Times New Roman"/>
          <w:color w:val="auto"/>
          <w:kern w:val="0"/>
          <w:szCs w:val="21"/>
          <w:highlight w:val="none"/>
        </w:rPr>
        <w:t xml:space="preserve">不合格不能达到合同要求，卖方须按延迟交货承担违约责任。 </w:t>
      </w:r>
    </w:p>
    <w:p w14:paraId="5EB6AC9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14.7.8 合同设备交付后，由于卖方原因造成的质量问题导致买方工程不能按期投运的，每延误1周，卖方应向买方支付合同价款1％的违约金。</w:t>
      </w:r>
    </w:p>
    <w:p w14:paraId="481FE321">
      <w:pPr>
        <w:pStyle w:val="5"/>
        <w:spacing w:before="0" w:after="0" w:line="360" w:lineRule="auto"/>
        <w:rPr>
          <w:rFonts w:ascii="宋体" w:hAnsi="宋体" w:eastAsia="宋体" w:cs="黑体"/>
          <w:color w:val="auto"/>
          <w:kern w:val="0"/>
          <w:sz w:val="21"/>
          <w:szCs w:val="28"/>
          <w:highlight w:val="none"/>
        </w:rPr>
      </w:pPr>
      <w:bookmarkStart w:id="331" w:name="_Toc57494740"/>
      <w:bookmarkStart w:id="332" w:name="_Toc3153"/>
      <w:bookmarkStart w:id="333" w:name="_Toc14432"/>
      <w:r>
        <w:rPr>
          <w:rFonts w:ascii="宋体" w:hAnsi="宋体" w:eastAsia="宋体" w:cs="黑体"/>
          <w:color w:val="auto"/>
          <w:kern w:val="0"/>
          <w:sz w:val="21"/>
          <w:szCs w:val="28"/>
          <w:highlight w:val="none"/>
        </w:rPr>
        <w:t>14.8 技术服务</w:t>
      </w:r>
      <w:bookmarkEnd w:id="331"/>
      <w:bookmarkEnd w:id="332"/>
      <w:bookmarkEnd w:id="333"/>
    </w:p>
    <w:p w14:paraId="3E75EEE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14.8.1 买方要求卖方进行现场服务时，若卖方未在约定的时间内答复和到达现场，每推迟1日卖方应向买方支付违约金5000元。</w:t>
      </w:r>
    </w:p>
    <w:p w14:paraId="53E5435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14.8.2 由于卖方技术服务的错误或疏忽，造成买方工期延误的，每延误工期1周卖方应向买方支付合同价款0.5％的违约金。</w:t>
      </w:r>
    </w:p>
    <w:p w14:paraId="3FD15494">
      <w:pPr>
        <w:pStyle w:val="5"/>
        <w:spacing w:before="0" w:after="0" w:line="360" w:lineRule="auto"/>
        <w:rPr>
          <w:rFonts w:ascii="宋体" w:hAnsi="宋体" w:eastAsia="宋体" w:cs="黑体"/>
          <w:color w:val="auto"/>
          <w:kern w:val="0"/>
          <w:sz w:val="21"/>
          <w:szCs w:val="28"/>
          <w:highlight w:val="none"/>
        </w:rPr>
      </w:pPr>
      <w:bookmarkStart w:id="334" w:name="_Toc10561"/>
      <w:bookmarkStart w:id="335" w:name="_Toc57494741"/>
      <w:bookmarkStart w:id="336" w:name="_Toc24686"/>
      <w:bookmarkStart w:id="337" w:name="_Hlk511223888"/>
      <w:r>
        <w:rPr>
          <w:rFonts w:ascii="宋体" w:hAnsi="宋体" w:eastAsia="宋体" w:cs="黑体"/>
          <w:color w:val="auto"/>
          <w:kern w:val="0"/>
          <w:sz w:val="21"/>
          <w:szCs w:val="28"/>
          <w:highlight w:val="none"/>
        </w:rPr>
        <w:t xml:space="preserve">14.9 </w:t>
      </w:r>
      <w:r>
        <w:rPr>
          <w:rFonts w:hint="eastAsia" w:ascii="宋体" w:hAnsi="宋体" w:eastAsia="宋体" w:cs="黑体"/>
          <w:color w:val="auto"/>
          <w:kern w:val="0"/>
          <w:sz w:val="21"/>
          <w:szCs w:val="28"/>
          <w:highlight w:val="none"/>
        </w:rPr>
        <w:t>质保期服务</w:t>
      </w:r>
      <w:bookmarkEnd w:id="334"/>
      <w:bookmarkEnd w:id="335"/>
      <w:bookmarkEnd w:id="336"/>
    </w:p>
    <w:bookmarkEnd w:id="337"/>
    <w:p w14:paraId="0287BFC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14.9.1 在质量保证期内，如卖方未按期提供检修维护所需的备品备件或材料，买方有权自行组织采购，所发生的费用和质量责任由卖方负责，并且卖方应向买方支付该设备合同价款1％的违约金。</w:t>
      </w:r>
    </w:p>
    <w:p w14:paraId="1A7EA51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14.9.2 在质保期内产品出现质量问题，卖方接到通知后未在24小时内到达现场进行处置的，重大缺陷的处置每推迟1日卖方应向买方支付违约金5000元，紧急缺陷的处置每推迟1日卖方应向买方支付违约金10000元。</w:t>
      </w:r>
    </w:p>
    <w:p w14:paraId="45916E8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14.9.3 在质量保证期内，由于卖方设计、材料或制造缺陷造成合同设备停运的，每停运一次卖方应向买方支付合同价款2％的违约金，如停运超过72小时，每增加24小时，卖方应向买方额外支付合同总价格0.5%的违约金。</w:t>
      </w:r>
    </w:p>
    <w:p w14:paraId="5116785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由于卖方设计、材料或制造缺陷造成网络与信息安全事件或其他电力事件（事故）的违约金与前款相同。</w:t>
      </w:r>
    </w:p>
    <w:p w14:paraId="306515F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14.9.4在设备使用寿命内，如果发现卖方供货的基于计算机及网络技术的业务系统、智能设备、软件等设备中存在预置的安全漏洞、恶意代码，则卖方应当赔偿问题设备总价款的200%作为违约金。</w:t>
      </w:r>
    </w:p>
    <w:p w14:paraId="45ACDDDA">
      <w:pPr>
        <w:pStyle w:val="5"/>
        <w:spacing w:before="0" w:after="0" w:line="360" w:lineRule="auto"/>
        <w:rPr>
          <w:rFonts w:ascii="宋体" w:hAnsi="宋体" w:eastAsia="宋体" w:cs="黑体"/>
          <w:color w:val="auto"/>
          <w:kern w:val="0"/>
          <w:sz w:val="21"/>
          <w:szCs w:val="28"/>
          <w:highlight w:val="none"/>
        </w:rPr>
      </w:pPr>
      <w:bookmarkStart w:id="338" w:name="_Toc25280"/>
      <w:bookmarkStart w:id="339" w:name="_Toc9271"/>
      <w:bookmarkStart w:id="340" w:name="_Toc57494742"/>
      <w:r>
        <w:rPr>
          <w:rFonts w:ascii="宋体" w:hAnsi="宋体" w:eastAsia="宋体" w:cs="黑体"/>
          <w:color w:val="auto"/>
          <w:kern w:val="0"/>
          <w:sz w:val="21"/>
          <w:szCs w:val="28"/>
          <w:highlight w:val="none"/>
        </w:rPr>
        <w:t>14.10 履约</w:t>
      </w:r>
      <w:r>
        <w:rPr>
          <w:rFonts w:hint="eastAsia" w:ascii="宋体" w:hAnsi="宋体" w:eastAsia="宋体" w:cs="黑体"/>
          <w:color w:val="auto"/>
          <w:kern w:val="0"/>
          <w:sz w:val="21"/>
          <w:szCs w:val="28"/>
          <w:highlight w:val="none"/>
        </w:rPr>
        <w:t>保证金</w:t>
      </w:r>
      <w:bookmarkEnd w:id="338"/>
      <w:bookmarkEnd w:id="339"/>
      <w:bookmarkEnd w:id="340"/>
    </w:p>
    <w:p w14:paraId="0A4260C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14.10.1 卖方以现金</w:t>
      </w:r>
      <w:r>
        <w:rPr>
          <w:rFonts w:hint="eastAsia" w:ascii="宋体" w:hAnsi="宋体" w:eastAsia="宋体" w:cs="Times New Roman"/>
          <w:color w:val="auto"/>
          <w:kern w:val="0"/>
          <w:szCs w:val="21"/>
          <w:highlight w:val="none"/>
        </w:rPr>
        <w:t>或支票的形式</w:t>
      </w:r>
      <w:r>
        <w:rPr>
          <w:rFonts w:ascii="宋体" w:hAnsi="宋体" w:eastAsia="宋体" w:cs="Times New Roman"/>
          <w:color w:val="auto"/>
          <w:kern w:val="0"/>
          <w:szCs w:val="21"/>
          <w:highlight w:val="none"/>
        </w:rPr>
        <w:t>提供履约保证金，买方</w:t>
      </w:r>
      <w:r>
        <w:rPr>
          <w:rFonts w:hint="eastAsia" w:ascii="宋体" w:hAnsi="宋体" w:eastAsia="宋体" w:cs="Times New Roman"/>
          <w:color w:val="auto"/>
          <w:kern w:val="0"/>
          <w:szCs w:val="21"/>
          <w:highlight w:val="none"/>
        </w:rPr>
        <w:t>不按照合同约定时间</w:t>
      </w:r>
      <w:r>
        <w:rPr>
          <w:rFonts w:ascii="宋体" w:hAnsi="宋体" w:eastAsia="宋体" w:cs="Times New Roman"/>
          <w:color w:val="auto"/>
          <w:kern w:val="0"/>
          <w:szCs w:val="21"/>
          <w:highlight w:val="none"/>
        </w:rPr>
        <w:t>退还的，应就逾期部分向卖方支付利息作为违约金。利息按照</w:t>
      </w:r>
      <w:r>
        <w:rPr>
          <w:rFonts w:hint="eastAsia" w:ascii="宋体" w:hAnsi="宋体" w:eastAsia="宋体"/>
          <w:color w:val="auto"/>
          <w:kern w:val="0"/>
          <w:szCs w:val="21"/>
          <w:highlight w:val="none"/>
        </w:rPr>
        <w:t>全国银行间同业拆借中心公布的同期贷款市场报价利率（LPR）</w:t>
      </w:r>
      <w:r>
        <w:rPr>
          <w:rFonts w:ascii="宋体" w:hAnsi="宋体" w:eastAsia="宋体" w:cs="Times New Roman"/>
          <w:color w:val="auto"/>
          <w:kern w:val="0"/>
          <w:szCs w:val="21"/>
          <w:highlight w:val="none"/>
        </w:rPr>
        <w:t>计算。</w:t>
      </w:r>
    </w:p>
    <w:p w14:paraId="3A4D5BF0">
      <w:pPr>
        <w:pStyle w:val="4"/>
        <w:spacing w:before="0" w:after="0" w:line="360" w:lineRule="auto"/>
        <w:rPr>
          <w:rFonts w:ascii="宋体" w:hAnsi="宋体" w:eastAsia="宋体" w:cs="Times New Roman"/>
          <w:color w:val="auto"/>
          <w:kern w:val="0"/>
          <w:sz w:val="21"/>
          <w:szCs w:val="21"/>
          <w:highlight w:val="none"/>
        </w:rPr>
      </w:pPr>
      <w:bookmarkStart w:id="341" w:name="_Toc57494743"/>
      <w:bookmarkStart w:id="342" w:name="_Toc10285"/>
      <w:bookmarkStart w:id="343" w:name="_Toc8594"/>
      <w:r>
        <w:rPr>
          <w:rFonts w:ascii="宋体" w:hAnsi="宋体" w:eastAsia="宋体" w:cs="Times New Roman"/>
          <w:color w:val="auto"/>
          <w:kern w:val="0"/>
          <w:sz w:val="21"/>
          <w:szCs w:val="21"/>
          <w:highlight w:val="none"/>
        </w:rPr>
        <w:t xml:space="preserve">15. </w:t>
      </w:r>
      <w:r>
        <w:rPr>
          <w:rFonts w:hint="eastAsia" w:ascii="宋体" w:hAnsi="宋体" w:eastAsia="宋体" w:cs="Times New Roman"/>
          <w:color w:val="auto"/>
          <w:kern w:val="0"/>
          <w:sz w:val="21"/>
          <w:szCs w:val="21"/>
          <w:highlight w:val="none"/>
        </w:rPr>
        <w:t>合同的解除</w:t>
      </w:r>
      <w:bookmarkEnd w:id="341"/>
      <w:bookmarkEnd w:id="342"/>
      <w:bookmarkEnd w:id="343"/>
    </w:p>
    <w:p w14:paraId="3EACA9E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15.1 合同</w:t>
      </w:r>
      <w:r>
        <w:rPr>
          <w:rFonts w:hint="eastAsia" w:ascii="宋体" w:hAnsi="宋体" w:eastAsia="宋体" w:cs="Times New Roman"/>
          <w:color w:val="auto"/>
          <w:kern w:val="0"/>
          <w:szCs w:val="21"/>
          <w:highlight w:val="none"/>
        </w:rPr>
        <w:t>的</w:t>
      </w:r>
      <w:r>
        <w:rPr>
          <w:rFonts w:ascii="宋体" w:hAnsi="宋体" w:eastAsia="宋体" w:cs="Times New Roman"/>
          <w:color w:val="auto"/>
          <w:kern w:val="0"/>
          <w:szCs w:val="21"/>
          <w:highlight w:val="none"/>
        </w:rPr>
        <w:t>中止</w:t>
      </w:r>
    </w:p>
    <w:p w14:paraId="17A143A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15.1.1 买方书面通知卖方要求其对违反或拒绝执行合同约定的行为进行纠正时，如果卖方未在给定的期限内进行纠正，亦未提出纠正计划，则买方有权暂停履行本合同，且无需另行通知卖方。由此而发生的一切费用、损失由卖方承担。</w:t>
      </w:r>
    </w:p>
    <w:p w14:paraId="668C3AB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15.1.2 买方行使中止权利后，有权停付到期应向卖方支付的暂停部分的合同价款，并有权索回已支付给卖方的暂停部分的合同价款。</w:t>
      </w:r>
    </w:p>
    <w:p w14:paraId="7FBEFAD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15.2 合同</w:t>
      </w:r>
      <w:r>
        <w:rPr>
          <w:rFonts w:hint="eastAsia" w:ascii="宋体" w:hAnsi="宋体" w:eastAsia="宋体" w:cs="Times New Roman"/>
          <w:color w:val="auto"/>
          <w:kern w:val="0"/>
          <w:szCs w:val="21"/>
          <w:highlight w:val="none"/>
        </w:rPr>
        <w:t>的</w:t>
      </w:r>
      <w:r>
        <w:rPr>
          <w:rFonts w:ascii="宋体" w:hAnsi="宋体" w:eastAsia="宋体" w:cs="Times New Roman"/>
          <w:color w:val="auto"/>
          <w:kern w:val="0"/>
          <w:szCs w:val="21"/>
          <w:highlight w:val="none"/>
        </w:rPr>
        <w:t>解除</w:t>
      </w:r>
    </w:p>
    <w:p w14:paraId="3351F75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15.2.1 经双方协商同意解除合同的，签订解除协议后，可解除合同。</w:t>
      </w:r>
    </w:p>
    <w:p w14:paraId="5FA2390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15.2.2 除合同其他条款已有规定外，出现以下情形，买方可向卖方发出书面通知全部或部分地解除合同，合同自通知到达对方时全部或部分地解除：</w:t>
      </w:r>
    </w:p>
    <w:p w14:paraId="3050DAC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1） 卖方明确表示无法供货或买方有理由认为卖方无法供货（卖方出现三次未按供货通知要求及时供货或者设备迟交超过六个月）的，买方有权</w:t>
      </w:r>
      <w:r>
        <w:rPr>
          <w:rFonts w:hint="eastAsia" w:ascii="宋体" w:hAnsi="宋体" w:eastAsia="宋体" w:cs="Times New Roman"/>
          <w:color w:val="auto"/>
          <w:kern w:val="0"/>
          <w:szCs w:val="21"/>
          <w:highlight w:val="none"/>
        </w:rPr>
        <w:t>解除</w:t>
      </w:r>
      <w:r>
        <w:rPr>
          <w:rFonts w:ascii="宋体" w:hAnsi="宋体" w:eastAsia="宋体" w:cs="Times New Roman"/>
          <w:color w:val="auto"/>
          <w:kern w:val="0"/>
          <w:szCs w:val="21"/>
          <w:highlight w:val="none"/>
        </w:rPr>
        <w:t>全部或部分合同。</w:t>
      </w:r>
    </w:p>
    <w:p w14:paraId="4F38E05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除没收卖方的履约保证金</w:t>
      </w:r>
      <w:r>
        <w:rPr>
          <w:rFonts w:hint="eastAsia" w:ascii="宋体" w:hAnsi="宋体" w:eastAsia="宋体" w:cs="Times New Roman"/>
          <w:color w:val="auto"/>
          <w:kern w:val="0"/>
          <w:szCs w:val="21"/>
          <w:highlight w:val="none"/>
        </w:rPr>
        <w:t>（如卖方采用履约保证保险交纳保证金，将先由保险公司在保险金额以内向买方赔付与违约金、赔偿金或其他费用等额的保险金，再由保险公司向卖方进行追偿；如卖方采用电子保函交纳保证金，在合同履约过程中未按照采购合同的相关约定履行相关义务，将先由电子保函开立</w:t>
      </w:r>
      <w:r>
        <w:rPr>
          <w:rFonts w:hint="default" w:ascii="宋体" w:hAnsi="宋体" w:eastAsia="宋体" w:cs="Times New Roman"/>
          <w:color w:val="auto"/>
          <w:kern w:val="0"/>
          <w:szCs w:val="21"/>
          <w:highlight w:val="none"/>
          <w:lang w:val="en-US"/>
        </w:rPr>
        <w:t>银行</w:t>
      </w:r>
      <w:r>
        <w:rPr>
          <w:rFonts w:hint="eastAsia" w:ascii="宋体" w:hAnsi="宋体" w:eastAsia="宋体" w:cs="Times New Roman"/>
          <w:color w:val="auto"/>
          <w:kern w:val="0"/>
          <w:szCs w:val="21"/>
          <w:highlight w:val="none"/>
        </w:rPr>
        <w:t>在保函金额以内向买方赔付，再由电子保函开立</w:t>
      </w:r>
      <w:r>
        <w:rPr>
          <w:rFonts w:hint="default" w:ascii="宋体" w:hAnsi="宋体" w:eastAsia="宋体" w:cs="Times New Roman"/>
          <w:color w:val="auto"/>
          <w:kern w:val="0"/>
          <w:szCs w:val="21"/>
          <w:highlight w:val="none"/>
          <w:lang w:val="en-US"/>
        </w:rPr>
        <w:t>银行</w:t>
      </w:r>
      <w:r>
        <w:rPr>
          <w:rFonts w:hint="eastAsia" w:ascii="宋体" w:hAnsi="宋体" w:eastAsia="宋体" w:cs="Times New Roman"/>
          <w:color w:val="auto"/>
          <w:kern w:val="0"/>
          <w:szCs w:val="21"/>
          <w:highlight w:val="none"/>
        </w:rPr>
        <w:t>向卖方进行追偿）</w:t>
      </w:r>
      <w:r>
        <w:rPr>
          <w:rFonts w:ascii="宋体" w:hAnsi="宋体" w:eastAsia="宋体" w:cs="Times New Roman"/>
          <w:color w:val="auto"/>
          <w:kern w:val="0"/>
          <w:szCs w:val="21"/>
          <w:highlight w:val="none"/>
        </w:rPr>
        <w:t>外，卖方还应退还买方已支付的</w:t>
      </w:r>
      <w:r>
        <w:rPr>
          <w:rFonts w:hint="eastAsia" w:ascii="宋体" w:hAnsi="宋体" w:eastAsia="宋体" w:cs="Times New Roman"/>
          <w:color w:val="auto"/>
          <w:kern w:val="0"/>
          <w:szCs w:val="21"/>
          <w:highlight w:val="none"/>
        </w:rPr>
        <w:t>解除</w:t>
      </w:r>
      <w:r>
        <w:rPr>
          <w:rFonts w:ascii="宋体" w:hAnsi="宋体" w:eastAsia="宋体" w:cs="Times New Roman"/>
          <w:color w:val="auto"/>
          <w:kern w:val="0"/>
          <w:szCs w:val="21"/>
          <w:highlight w:val="none"/>
        </w:rPr>
        <w:t>部分的合同价款，并向买方支付相当于解除部分合同货款总额20％且不超过</w:t>
      </w:r>
      <w:bookmarkStart w:id="344" w:name="_Hlk57500810"/>
      <w:r>
        <w:rPr>
          <w:rFonts w:ascii="宋体" w:hAnsi="宋体" w:eastAsia="宋体" w:cs="Times New Roman"/>
          <w:color w:val="auto"/>
          <w:kern w:val="0"/>
          <w:szCs w:val="21"/>
          <w:highlight w:val="none"/>
        </w:rPr>
        <w:t>合同价格的10%的违约金</w:t>
      </w:r>
      <w:bookmarkEnd w:id="344"/>
      <w:r>
        <w:rPr>
          <w:rFonts w:ascii="宋体" w:hAnsi="宋体" w:eastAsia="宋体" w:cs="Times New Roman"/>
          <w:color w:val="auto"/>
          <w:kern w:val="0"/>
          <w:szCs w:val="21"/>
          <w:highlight w:val="none"/>
        </w:rPr>
        <w:t>，赔偿买方因此产生的</w:t>
      </w:r>
      <w:r>
        <w:rPr>
          <w:rFonts w:hint="eastAsia" w:ascii="宋体" w:hAnsi="宋体" w:eastAsia="宋体" w:cs="Times New Roman"/>
          <w:color w:val="auto"/>
          <w:kern w:val="0"/>
          <w:szCs w:val="21"/>
          <w:highlight w:val="none"/>
        </w:rPr>
        <w:t>误工费等</w:t>
      </w:r>
      <w:r>
        <w:rPr>
          <w:rFonts w:ascii="宋体" w:hAnsi="宋体" w:eastAsia="宋体" w:cs="Times New Roman"/>
          <w:color w:val="auto"/>
          <w:kern w:val="0"/>
          <w:szCs w:val="21"/>
          <w:highlight w:val="none"/>
        </w:rPr>
        <w:t>损失。</w:t>
      </w:r>
    </w:p>
    <w:p w14:paraId="78F16C4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w:t>
      </w:r>
      <w:r>
        <w:rPr>
          <w:rFonts w:ascii="宋体" w:hAnsi="宋体"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卖方</w:t>
      </w:r>
      <w:r>
        <w:rPr>
          <w:rFonts w:ascii="宋体" w:hAnsi="宋体" w:eastAsia="宋体" w:cs="Times New Roman"/>
          <w:color w:val="auto"/>
          <w:kern w:val="0"/>
          <w:szCs w:val="21"/>
          <w:highlight w:val="none"/>
        </w:rPr>
        <w:t>迟延</w:t>
      </w:r>
      <w:r>
        <w:rPr>
          <w:rFonts w:hint="eastAsia" w:ascii="宋体" w:hAnsi="宋体" w:eastAsia="宋体" w:cs="Times New Roman"/>
          <w:color w:val="auto"/>
          <w:kern w:val="0"/>
          <w:szCs w:val="21"/>
          <w:highlight w:val="none"/>
        </w:rPr>
        <w:t>交付</w:t>
      </w:r>
      <w:r>
        <w:rPr>
          <w:rFonts w:ascii="宋体" w:hAnsi="宋体" w:eastAsia="宋体" w:cs="Times New Roman"/>
          <w:color w:val="auto"/>
          <w:kern w:val="0"/>
          <w:szCs w:val="21"/>
          <w:highlight w:val="none"/>
        </w:rPr>
        <w:t>违约金总额达到合同价款的10%或者对安装</w:t>
      </w: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试运行有重大影响的设备迟交超过3个月时，买方有权解除合同并可以依其认为适当的条件和方法购买与未交</w:t>
      </w:r>
      <w:r>
        <w:rPr>
          <w:rFonts w:hint="eastAsia" w:ascii="宋体" w:hAnsi="宋体" w:eastAsia="宋体" w:cs="Times New Roman"/>
          <w:color w:val="auto"/>
          <w:kern w:val="0"/>
          <w:szCs w:val="21"/>
          <w:highlight w:val="none"/>
        </w:rPr>
        <w:t>设备</w:t>
      </w:r>
      <w:r>
        <w:rPr>
          <w:rFonts w:ascii="宋体" w:hAnsi="宋体" w:eastAsia="宋体" w:cs="Times New Roman"/>
          <w:color w:val="auto"/>
          <w:kern w:val="0"/>
          <w:szCs w:val="21"/>
          <w:highlight w:val="none"/>
        </w:rPr>
        <w:t>类似的</w:t>
      </w:r>
      <w:r>
        <w:rPr>
          <w:rFonts w:hint="eastAsia" w:ascii="宋体" w:hAnsi="宋体" w:eastAsia="宋体" w:cs="Times New Roman"/>
          <w:color w:val="auto"/>
          <w:kern w:val="0"/>
          <w:szCs w:val="21"/>
          <w:highlight w:val="none"/>
        </w:rPr>
        <w:t>设备</w:t>
      </w:r>
      <w:r>
        <w:rPr>
          <w:rFonts w:ascii="宋体" w:hAnsi="宋体" w:eastAsia="宋体" w:cs="Times New Roman"/>
          <w:color w:val="auto"/>
          <w:kern w:val="0"/>
          <w:szCs w:val="21"/>
          <w:highlight w:val="none"/>
        </w:rPr>
        <w:t>，由此发生的额外费用及给第三方造成的损失由卖方承担。买方部分解除合同的，卖方应继续执行合同中未解除的部分。</w:t>
      </w:r>
    </w:p>
    <w:p w14:paraId="3F8436A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3）卖方未能按期（在合同约定的期限内或买方认可的延长期限内）履行交货义务或未能履行合同项下的任何其他义务（含未能满足招标文件所列各项要求的情形，但卖方在投标文件的投标偏差表中明确列明的招标文件与投标文件的偏差除外），且卖方在收到买方发出的要求卖方纠正违约行为、按约履行合同的通知后15日内仍未能采取纠正措施</w:t>
      </w:r>
      <w:r>
        <w:rPr>
          <w:rFonts w:hint="eastAsia" w:ascii="宋体" w:hAnsi="宋体" w:eastAsia="宋体" w:cs="Times New Roman"/>
          <w:color w:val="auto"/>
          <w:kern w:val="0"/>
          <w:szCs w:val="21"/>
          <w:highlight w:val="none"/>
        </w:rPr>
        <w:t>，则买方可向卖方发出书面解除合同的通知，解除全部或部分合同</w:t>
      </w:r>
      <w:r>
        <w:rPr>
          <w:rFonts w:ascii="宋体" w:hAnsi="宋体" w:eastAsia="宋体" w:cs="Times New Roman"/>
          <w:color w:val="auto"/>
          <w:kern w:val="0"/>
          <w:szCs w:val="21"/>
          <w:highlight w:val="none"/>
        </w:rPr>
        <w:t>。</w:t>
      </w:r>
    </w:p>
    <w:p w14:paraId="34CADD4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此种合同解除并不损害或影响买方根据本合同已采取或将采取任何补救措施的权利。买方根据本条款解除部分或全部合同后，可以按其认为适当的条件和方式向第三方采购卖方未交付的合同设备（如有）或已交付但被退回的合同设备。卖方应承担买方向第三方购买本应由卖方供应的设备所发生的所有额外费用（包括但不限于合同设备的差价、买方因此遭受的损失），并应继续履行合同未解除部分。</w:t>
      </w:r>
    </w:p>
    <w:p w14:paraId="436D46D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卖方根据合同约定需支付的</w:t>
      </w:r>
      <w:r>
        <w:rPr>
          <w:rFonts w:ascii="宋体" w:hAnsi="宋体" w:eastAsia="宋体" w:cs="Times New Roman"/>
          <w:color w:val="auto"/>
          <w:kern w:val="0"/>
          <w:szCs w:val="21"/>
          <w:highlight w:val="none"/>
        </w:rPr>
        <w:t>各项违约金累计达到合同价款的20%时，买方有权解除合同并退货。</w:t>
      </w:r>
    </w:p>
    <w:p w14:paraId="16F1A8A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买方解除合同后，卖方应退还买方已支付的解除部分的合同价款，并自费将所交付的</w:t>
      </w:r>
      <w:r>
        <w:rPr>
          <w:rFonts w:hint="eastAsia" w:ascii="宋体" w:hAnsi="宋体" w:eastAsia="宋体" w:cs="Times New Roman"/>
          <w:color w:val="auto"/>
          <w:kern w:val="0"/>
          <w:szCs w:val="21"/>
          <w:highlight w:val="none"/>
        </w:rPr>
        <w:t>设备</w:t>
      </w:r>
      <w:r>
        <w:rPr>
          <w:rFonts w:ascii="宋体" w:hAnsi="宋体" w:eastAsia="宋体" w:cs="Times New Roman"/>
          <w:color w:val="auto"/>
          <w:kern w:val="0"/>
          <w:szCs w:val="21"/>
          <w:highlight w:val="none"/>
        </w:rPr>
        <w:t>（如有）运离现场。</w:t>
      </w:r>
    </w:p>
    <w:p w14:paraId="10F30E63">
      <w:pPr>
        <w:numPr>
          <w:ilvl w:val="0"/>
          <w:numId w:val="1"/>
        </w:num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因买方工程规划、设计、施工或需求变更或工程因故取消等原因，导致本合同无需履行的，卖方收到买方解除合同通知书后，本合同即行解除。</w:t>
      </w:r>
    </w:p>
    <w:p w14:paraId="3F77EC7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已交货部分，买卖双方按实结算，结算金额在买方已支付的款项中扣除，不足部分由买方另行支付，买方已支付款项超出部分卖方应及时退还；未交货部分不再履行</w:t>
      </w:r>
      <w:r>
        <w:rPr>
          <w:rFonts w:ascii="宋体" w:hAnsi="宋体" w:eastAsia="宋体" w:cs="Times New Roman"/>
          <w:color w:val="auto"/>
          <w:kern w:val="0"/>
          <w:szCs w:val="21"/>
          <w:highlight w:val="none"/>
        </w:rPr>
        <w:t>,卖方已采购履约所需设备材料并正在生产的，买方可对卖方采购及生产费用进行适当补偿，但卖方已采购的材料属于通用型号且未进行生产的，买方无需向卖方支付任何费用。</w:t>
      </w:r>
    </w:p>
    <w:p w14:paraId="235636CF">
      <w:pPr>
        <w:numPr>
          <w:ilvl w:val="0"/>
          <w:numId w:val="1"/>
        </w:num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因卖方被买方正式发文实施市场禁入措施的，卖方收到买方解除合同通知书后，本合同即行解除。</w:t>
      </w:r>
    </w:p>
    <w:p w14:paraId="6D34BD1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（7）买方发现卖方或卖方主动提出有以下行为之一，且买方不接受卖方行为的，卖方收到买方解除合同通知书后，本合同即行解除。</w:t>
      </w:r>
    </w:p>
    <w:p w14:paraId="6DF5DC1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Calibri" w:hAnsi="Calibri" w:eastAsia="宋体" w:cs="Calibri"/>
          <w:color w:val="auto"/>
          <w:kern w:val="0"/>
          <w:szCs w:val="21"/>
          <w:highlight w:val="none"/>
        </w:rPr>
        <w:t>①</w:t>
      </w:r>
      <w:r>
        <w:rPr>
          <w:rFonts w:hint="eastAsia" w:ascii="宋体" w:hAnsi="宋体" w:eastAsia="宋体" w:cs="Times New Roman"/>
          <w:color w:val="auto"/>
          <w:kern w:val="0"/>
          <w:szCs w:val="21"/>
          <w:highlight w:val="none"/>
        </w:rPr>
        <w:t>合同设备不满足投标承诺，但满足技术规范书要求；</w:t>
      </w:r>
    </w:p>
    <w:p w14:paraId="3FC24FB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Calibri" w:hAnsi="Calibri" w:eastAsia="宋体" w:cs="Calibri"/>
          <w:color w:val="auto"/>
          <w:kern w:val="0"/>
          <w:szCs w:val="21"/>
          <w:highlight w:val="none"/>
        </w:rPr>
        <w:t>②</w:t>
      </w:r>
      <w:r>
        <w:rPr>
          <w:rFonts w:hint="eastAsia" w:ascii="宋体" w:hAnsi="宋体" w:eastAsia="宋体" w:cs="Times New Roman"/>
          <w:color w:val="auto"/>
          <w:kern w:val="0"/>
          <w:szCs w:val="21"/>
          <w:highlight w:val="none"/>
        </w:rPr>
        <w:t>合同设备不满足技术规范书要求或投标承诺，但满足国家标准或行业标准。</w:t>
      </w:r>
    </w:p>
    <w:p w14:paraId="60612E8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15.3 </w:t>
      </w:r>
      <w:r>
        <w:rPr>
          <w:rFonts w:hint="eastAsia" w:ascii="宋体" w:hAnsi="宋体" w:eastAsia="宋体" w:cs="Times New Roman"/>
          <w:color w:val="auto"/>
          <w:kern w:val="0"/>
          <w:szCs w:val="21"/>
          <w:highlight w:val="none"/>
        </w:rPr>
        <w:t>合同设备中的网络产品和服务影响国家安全，未通过国家或南方电网公司的网络安全审查的，自相关通知送达双方之日起合同自动解除，买方有权没收卖方的履约保证金（如卖方采用履约保证保险交纳保证金，将先由保险公司在保险金额以内向买方赔付与违约金、赔偿金或其他费用等额的保险金，再由保险公司向卖方进行追偿；如卖方采用电子保函交纳保证金，在合同履约过程中未按照采购合同的相关约定履行相关义务，将先由电子保函开立</w:t>
      </w:r>
      <w:r>
        <w:rPr>
          <w:rFonts w:hint="default" w:ascii="宋体" w:hAnsi="宋体" w:eastAsia="宋体" w:cs="Times New Roman"/>
          <w:color w:val="auto"/>
          <w:kern w:val="0"/>
          <w:szCs w:val="21"/>
          <w:highlight w:val="none"/>
          <w:lang w:val="en-US"/>
        </w:rPr>
        <w:t>银行</w:t>
      </w:r>
      <w:r>
        <w:rPr>
          <w:rFonts w:hint="eastAsia" w:ascii="宋体" w:hAnsi="宋体" w:eastAsia="宋体" w:cs="Times New Roman"/>
          <w:color w:val="auto"/>
          <w:kern w:val="0"/>
          <w:szCs w:val="21"/>
          <w:highlight w:val="none"/>
        </w:rPr>
        <w:t>在保函金额以内向买方赔付，再由电子保函开立</w:t>
      </w:r>
      <w:r>
        <w:rPr>
          <w:rFonts w:hint="default" w:ascii="宋体" w:hAnsi="宋体" w:eastAsia="宋体" w:cs="Times New Roman"/>
          <w:color w:val="auto"/>
          <w:kern w:val="0"/>
          <w:szCs w:val="21"/>
          <w:highlight w:val="none"/>
          <w:lang w:val="en-US"/>
        </w:rPr>
        <w:t>银行</w:t>
      </w:r>
      <w:r>
        <w:rPr>
          <w:rFonts w:hint="eastAsia" w:ascii="宋体" w:hAnsi="宋体" w:eastAsia="宋体" w:cs="Times New Roman"/>
          <w:color w:val="auto"/>
          <w:kern w:val="0"/>
          <w:szCs w:val="21"/>
          <w:highlight w:val="none"/>
        </w:rPr>
        <w:t>向卖方进行追偿），收回已支付的合同价款，并要求卖方支付合同价格的</w:t>
      </w:r>
      <w:r>
        <w:rPr>
          <w:rFonts w:ascii="宋体" w:hAnsi="宋体" w:eastAsia="宋体" w:cs="Times New Roman"/>
          <w:color w:val="auto"/>
          <w:kern w:val="0"/>
          <w:szCs w:val="21"/>
          <w:highlight w:val="none"/>
        </w:rPr>
        <w:t>10%</w:t>
      </w:r>
      <w:r>
        <w:rPr>
          <w:rFonts w:hint="eastAsia" w:ascii="宋体" w:hAnsi="宋体" w:eastAsia="宋体" w:cs="Times New Roman"/>
          <w:color w:val="auto"/>
          <w:kern w:val="0"/>
          <w:szCs w:val="21"/>
          <w:highlight w:val="none"/>
        </w:rPr>
        <w:t>作为</w:t>
      </w:r>
      <w:r>
        <w:rPr>
          <w:rFonts w:ascii="宋体" w:hAnsi="宋体" w:eastAsia="宋体" w:cs="Times New Roman"/>
          <w:color w:val="auto"/>
          <w:kern w:val="0"/>
          <w:szCs w:val="21"/>
          <w:highlight w:val="none"/>
        </w:rPr>
        <w:t>违约金</w:t>
      </w:r>
      <w:r>
        <w:rPr>
          <w:rFonts w:hint="eastAsia" w:ascii="宋体" w:hAnsi="宋体" w:eastAsia="宋体" w:cs="Times New Roman"/>
          <w:color w:val="auto"/>
          <w:kern w:val="0"/>
          <w:szCs w:val="21"/>
          <w:highlight w:val="none"/>
        </w:rPr>
        <w:t>；未签订合同的，不再签订合同。</w:t>
      </w:r>
    </w:p>
    <w:p w14:paraId="2E37B7E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网络产品和服务可能带来的国家安全风险，包括产品和服务使用后带来的关键信息基础设施被非法控制、遭受干扰或破坏，以及重要数据被窃取、泄露、毁损的风险；产品和服务供应中断对关键信息基础设施业务连续性的危害；产品和服务的安全性、开放性、透明性、来源的多样性，供应渠道的可靠性以及因为政治、外交、贸易等因素导致供应中断的风险；产品和服务提供者遵守中国法律、行政法规、部门规章情况；其他可能危害关键信息基础设施安全和国家安全的因素。</w:t>
      </w:r>
    </w:p>
    <w:p w14:paraId="2F0EEEA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2）网络产品和服务主要指核心网络设备、高性能计算机和服务器、大容量存储设备、大型数据库和大型数据库应用软件、网络安全设备、云计算服务，以及其他对关键信息基础设施安全有重要影响的网络产品和服务。</w:t>
      </w:r>
    </w:p>
    <w:p w14:paraId="43A7112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15.4 因卖方原因导致合同</w:t>
      </w:r>
      <w:r>
        <w:rPr>
          <w:rFonts w:hint="eastAsia" w:ascii="宋体" w:hAnsi="宋体" w:eastAsia="宋体" w:cs="Times New Roman"/>
          <w:color w:val="auto"/>
          <w:kern w:val="0"/>
          <w:szCs w:val="21"/>
          <w:highlight w:val="none"/>
        </w:rPr>
        <w:t>解除</w:t>
      </w:r>
      <w:r>
        <w:rPr>
          <w:rFonts w:ascii="宋体" w:hAnsi="宋体" w:eastAsia="宋体" w:cs="Times New Roman"/>
          <w:color w:val="auto"/>
          <w:kern w:val="0"/>
          <w:szCs w:val="21"/>
          <w:highlight w:val="none"/>
        </w:rPr>
        <w:t>的，卖方除应退还买方已支付的款项外，还应按合同约定承担违约责任。</w:t>
      </w:r>
      <w:r>
        <w:rPr>
          <w:rFonts w:hint="eastAsia" w:ascii="宋体" w:hAnsi="宋体" w:eastAsia="宋体" w:cs="Times New Roman"/>
          <w:color w:val="auto"/>
          <w:kern w:val="0"/>
          <w:szCs w:val="21"/>
          <w:highlight w:val="none"/>
        </w:rPr>
        <w:t>买方退货</w:t>
      </w:r>
      <w:r>
        <w:rPr>
          <w:rFonts w:ascii="宋体" w:hAnsi="宋体" w:eastAsia="宋体" w:cs="Times New Roman"/>
          <w:color w:val="auto"/>
          <w:kern w:val="0"/>
          <w:szCs w:val="21"/>
          <w:highlight w:val="none"/>
        </w:rPr>
        <w:t>的，卖方</w:t>
      </w:r>
      <w:r>
        <w:rPr>
          <w:rFonts w:hint="eastAsia" w:ascii="宋体" w:hAnsi="宋体" w:eastAsia="宋体" w:cs="Times New Roman"/>
          <w:color w:val="auto"/>
          <w:kern w:val="0"/>
          <w:szCs w:val="21"/>
          <w:highlight w:val="none"/>
        </w:rPr>
        <w:t>还</w:t>
      </w:r>
      <w:r>
        <w:rPr>
          <w:rFonts w:ascii="宋体" w:hAnsi="宋体" w:eastAsia="宋体" w:cs="Times New Roman"/>
          <w:color w:val="auto"/>
          <w:kern w:val="0"/>
          <w:szCs w:val="21"/>
          <w:highlight w:val="none"/>
        </w:rPr>
        <w:t>应自费将设备运离现场</w:t>
      </w:r>
      <w:r>
        <w:rPr>
          <w:rFonts w:hint="eastAsia" w:ascii="宋体" w:hAnsi="宋体" w:eastAsia="宋体" w:cs="Times New Roman"/>
          <w:color w:val="auto"/>
          <w:kern w:val="0"/>
          <w:szCs w:val="21"/>
          <w:highlight w:val="none"/>
        </w:rPr>
        <w:t>。买方因退货所产生的费用，包括安装费用、拆卸（除）费用、另行采购合同设备所发生的额外费用等及其他相关损失，由卖方承担。卖方应在收到买方《设备运离现场的通知》起14天内将买方退货的设备运离现场，超出上述期限且收到买方第二次《设备运离现场的通知》后7天内，卖方仍未将所交付的设备（如有）运离现场，视为卖方放弃该设备，买方有权进行处</w:t>
      </w:r>
      <w:r>
        <w:rPr>
          <w:rFonts w:hint="eastAsia" w:ascii="宋体" w:hAnsi="宋体" w:eastAsia="宋体" w:cs="Times New Roman"/>
          <w:color w:val="auto"/>
          <w:kern w:val="0"/>
          <w:szCs w:val="21"/>
          <w:highlight w:val="none"/>
          <w:lang w:eastAsia="zh-CN"/>
        </w:rPr>
        <w:t>置</w:t>
      </w:r>
      <w:r>
        <w:rPr>
          <w:rFonts w:hint="eastAsia" w:ascii="宋体" w:hAnsi="宋体" w:eastAsia="宋体" w:cs="Times New Roman"/>
          <w:color w:val="auto"/>
          <w:kern w:val="0"/>
          <w:szCs w:val="21"/>
          <w:highlight w:val="none"/>
        </w:rPr>
        <w:t>。</w:t>
      </w:r>
    </w:p>
    <w:p w14:paraId="396B4EB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15.5 合同的</w:t>
      </w:r>
      <w:r>
        <w:rPr>
          <w:rFonts w:hint="eastAsia" w:ascii="宋体" w:hAnsi="宋体" w:eastAsia="宋体" w:cs="Times New Roman"/>
          <w:color w:val="auto"/>
          <w:kern w:val="0"/>
          <w:szCs w:val="21"/>
          <w:highlight w:val="none"/>
        </w:rPr>
        <w:t>解除</w:t>
      </w:r>
      <w:r>
        <w:rPr>
          <w:rFonts w:ascii="宋体" w:hAnsi="宋体" w:eastAsia="宋体" w:cs="Times New Roman"/>
          <w:color w:val="auto"/>
          <w:kern w:val="0"/>
          <w:szCs w:val="21"/>
          <w:highlight w:val="none"/>
        </w:rPr>
        <w:t>不影响合同价款结算及争议解决条款的效力，</w:t>
      </w:r>
      <w:r>
        <w:rPr>
          <w:rFonts w:hint="eastAsia" w:ascii="宋体" w:hAnsi="宋体" w:eastAsia="宋体" w:cs="Times New Roman"/>
          <w:color w:val="auto"/>
          <w:kern w:val="0"/>
          <w:szCs w:val="21"/>
          <w:highlight w:val="none"/>
        </w:rPr>
        <w:t>且</w:t>
      </w:r>
      <w:r>
        <w:rPr>
          <w:rFonts w:ascii="宋体" w:hAnsi="宋体" w:eastAsia="宋体" w:cs="Times New Roman"/>
          <w:color w:val="auto"/>
          <w:kern w:val="0"/>
          <w:szCs w:val="21"/>
          <w:highlight w:val="none"/>
        </w:rPr>
        <w:t>卖方应在接到通知后的30个工作日内完成退款。</w:t>
      </w:r>
    </w:p>
    <w:p w14:paraId="357D058A">
      <w:pPr>
        <w:pStyle w:val="4"/>
        <w:spacing w:before="0" w:after="0" w:line="360" w:lineRule="auto"/>
        <w:rPr>
          <w:rFonts w:ascii="宋体" w:hAnsi="宋体" w:eastAsia="宋体" w:cs="Times New Roman"/>
          <w:color w:val="auto"/>
          <w:kern w:val="0"/>
          <w:sz w:val="21"/>
          <w:szCs w:val="21"/>
          <w:highlight w:val="none"/>
        </w:rPr>
      </w:pPr>
      <w:bookmarkStart w:id="345" w:name="_Toc57494744"/>
      <w:bookmarkStart w:id="346" w:name="_Toc16202"/>
      <w:bookmarkStart w:id="347" w:name="_Toc13342"/>
      <w:r>
        <w:rPr>
          <w:rFonts w:ascii="宋体" w:hAnsi="宋体" w:eastAsia="宋体" w:cs="Times New Roman"/>
          <w:color w:val="auto"/>
          <w:kern w:val="0"/>
          <w:sz w:val="21"/>
          <w:szCs w:val="21"/>
          <w:highlight w:val="none"/>
        </w:rPr>
        <w:t xml:space="preserve">16. </w:t>
      </w:r>
      <w:r>
        <w:rPr>
          <w:rFonts w:hint="eastAsia" w:ascii="宋体" w:hAnsi="宋体" w:eastAsia="宋体" w:cs="Times New Roman"/>
          <w:color w:val="auto"/>
          <w:kern w:val="0"/>
          <w:sz w:val="21"/>
          <w:szCs w:val="21"/>
          <w:highlight w:val="none"/>
        </w:rPr>
        <w:t>不可抗力</w:t>
      </w:r>
      <w:bookmarkEnd w:id="345"/>
      <w:bookmarkEnd w:id="346"/>
      <w:bookmarkEnd w:id="347"/>
    </w:p>
    <w:p w14:paraId="7A18679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16.1 受到不可抗力影响的一方</w:t>
      </w:r>
      <w:r>
        <w:rPr>
          <w:rFonts w:hint="eastAsia" w:ascii="宋体" w:hAnsi="宋体" w:eastAsia="宋体" w:cs="Times New Roman"/>
          <w:color w:val="auto"/>
          <w:kern w:val="0"/>
          <w:szCs w:val="21"/>
          <w:highlight w:val="none"/>
        </w:rPr>
        <w:t>未</w:t>
      </w:r>
      <w:r>
        <w:rPr>
          <w:rFonts w:ascii="宋体" w:hAnsi="宋体" w:eastAsia="宋体" w:cs="Times New Roman"/>
          <w:color w:val="auto"/>
          <w:kern w:val="0"/>
          <w:szCs w:val="21"/>
          <w:highlight w:val="none"/>
        </w:rPr>
        <w:t>按期提交不可抗力事件书面证明文件的，无权以不可抗力为由要求减轻或免除合同责任。</w:t>
      </w:r>
    </w:p>
    <w:p w14:paraId="4AE1115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16.2 受不可抗力影响的一方应尽量减小不可抗力引起的延迟履行或其他不利影响。</w:t>
      </w:r>
    </w:p>
    <w:p w14:paraId="77D8318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16.3 如果不可抗力事件的影响已达120日或双方预计不可抗力事件的影响将延续120日以上时，则任何一方当事人均有权以书面通知解除合同。由于合同</w:t>
      </w:r>
      <w:r>
        <w:rPr>
          <w:rFonts w:hint="eastAsia" w:ascii="宋体" w:hAnsi="宋体" w:eastAsia="宋体" w:cs="Times New Roman"/>
          <w:color w:val="auto"/>
          <w:kern w:val="0"/>
          <w:szCs w:val="21"/>
          <w:highlight w:val="none"/>
        </w:rPr>
        <w:t>解除</w:t>
      </w:r>
      <w:r>
        <w:rPr>
          <w:rFonts w:ascii="宋体" w:hAnsi="宋体" w:eastAsia="宋体" w:cs="Times New Roman"/>
          <w:color w:val="auto"/>
          <w:kern w:val="0"/>
          <w:szCs w:val="21"/>
          <w:highlight w:val="none"/>
        </w:rPr>
        <w:t>所引起的后续问题由双方协商解决。</w:t>
      </w:r>
    </w:p>
    <w:p w14:paraId="6E2F1772">
      <w:pPr>
        <w:pStyle w:val="4"/>
        <w:spacing w:before="0" w:after="0" w:line="360" w:lineRule="auto"/>
        <w:rPr>
          <w:rFonts w:ascii="宋体" w:hAnsi="宋体" w:eastAsia="宋体" w:cs="Times New Roman"/>
          <w:color w:val="auto"/>
          <w:kern w:val="0"/>
          <w:sz w:val="21"/>
          <w:szCs w:val="21"/>
          <w:highlight w:val="none"/>
        </w:rPr>
      </w:pPr>
      <w:bookmarkStart w:id="348" w:name="_Toc7711"/>
      <w:bookmarkStart w:id="349" w:name="_Toc7333"/>
      <w:bookmarkStart w:id="350" w:name="_Toc57494745"/>
      <w:r>
        <w:rPr>
          <w:rFonts w:ascii="宋体" w:hAnsi="宋体" w:eastAsia="宋体" w:cs="Times New Roman"/>
          <w:color w:val="auto"/>
          <w:kern w:val="0"/>
          <w:sz w:val="21"/>
          <w:szCs w:val="21"/>
          <w:highlight w:val="none"/>
        </w:rPr>
        <w:t xml:space="preserve">17. </w:t>
      </w:r>
      <w:r>
        <w:rPr>
          <w:rFonts w:hint="eastAsia" w:ascii="宋体" w:hAnsi="宋体" w:eastAsia="宋体" w:cs="Times New Roman"/>
          <w:color w:val="auto"/>
          <w:kern w:val="0"/>
          <w:sz w:val="21"/>
          <w:szCs w:val="21"/>
          <w:highlight w:val="none"/>
        </w:rPr>
        <w:t>争议的解决</w:t>
      </w:r>
      <w:bookmarkEnd w:id="348"/>
      <w:bookmarkEnd w:id="349"/>
      <w:bookmarkEnd w:id="350"/>
    </w:p>
    <w:p w14:paraId="5D0DB72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 xml:space="preserve">17.1 </w:t>
      </w:r>
      <w:r>
        <w:rPr>
          <w:rFonts w:hint="eastAsia" w:ascii="宋体" w:hAnsi="宋体" w:eastAsia="宋体" w:cs="宋体"/>
          <w:color w:val="auto"/>
          <w:kern w:val="0"/>
          <w:szCs w:val="21"/>
          <w:highlight w:val="none"/>
        </w:rPr>
        <w:t>本合同未尽事宜或内容约定不明确的条款，买卖双方应当按照本合同所使用的词句、本合同的有关条款、本合同的目的、交易习惯以及诚实信用原则，以通常理解予以解释、确定合同条款的真实意思。</w:t>
      </w:r>
    </w:p>
    <w:p w14:paraId="1385E59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 xml:space="preserve">17.2.1 </w:t>
      </w:r>
      <w:r>
        <w:rPr>
          <w:rFonts w:hint="eastAsia" w:ascii="宋体" w:hAnsi="宋体" w:eastAsia="宋体" w:cs="宋体"/>
          <w:color w:val="auto"/>
          <w:kern w:val="0"/>
          <w:szCs w:val="21"/>
          <w:highlight w:val="none"/>
        </w:rPr>
        <w:t>本合同在履行过程中发生争议的，应友好协商解决；不能协商解决的，向买方所在地人民法院起诉。</w:t>
      </w:r>
    </w:p>
    <w:p w14:paraId="7838508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17.</w:t>
      </w:r>
      <w:r>
        <w:rPr>
          <w:rFonts w:hint="eastAsia" w:ascii="宋体" w:hAnsi="宋体" w:eastAsia="宋体" w:cs="宋体"/>
          <w:color w:val="auto"/>
          <w:kern w:val="0"/>
          <w:szCs w:val="21"/>
          <w:highlight w:val="none"/>
          <w:lang w:val="en-US" w:eastAsia="zh-CN"/>
        </w:rPr>
        <w:t>2.2</w:t>
      </w:r>
      <w:r>
        <w:rPr>
          <w:rFonts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rPr>
        <w:t>诉讼期间，未发生争议的条款应继续履行。</w:t>
      </w:r>
    </w:p>
    <w:p w14:paraId="6FD7CDC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17.</w:t>
      </w:r>
      <w:r>
        <w:rPr>
          <w:rFonts w:hint="eastAsia" w:ascii="宋体" w:hAnsi="宋体" w:eastAsia="宋体" w:cs="宋体"/>
          <w:color w:val="auto"/>
          <w:kern w:val="0"/>
          <w:szCs w:val="21"/>
          <w:highlight w:val="none"/>
          <w:lang w:val="en-US" w:eastAsia="zh-CN"/>
        </w:rPr>
        <w:t>3</w:t>
      </w:r>
      <w:r>
        <w:rPr>
          <w:rFonts w:ascii="宋体" w:hAnsi="宋体" w:eastAsia="宋体" w:cs="宋体"/>
          <w:color w:val="auto"/>
          <w:kern w:val="0"/>
          <w:szCs w:val="21"/>
          <w:highlight w:val="none"/>
        </w:rPr>
        <w:t xml:space="preserve"> </w:t>
      </w:r>
      <w:r>
        <w:rPr>
          <w:rFonts w:hint="eastAsia" w:ascii="宋体" w:hAnsi="宋体" w:eastAsia="宋体" w:cs="宋体"/>
          <w:color w:val="auto"/>
          <w:kern w:val="0"/>
          <w:szCs w:val="21"/>
          <w:highlight w:val="none"/>
        </w:rPr>
        <w:t>因一方违约发生诉讼的，另一方因此产生的费用（包括但不限于律师费、诉讼费、鉴定费及公证费等）由败诉方承担。</w:t>
      </w:r>
    </w:p>
    <w:p w14:paraId="19A2F1D8">
      <w:pPr>
        <w:topLinePunct/>
        <w:adjustRightInd w:val="0"/>
        <w:snapToGrid w:val="0"/>
        <w:spacing w:line="360" w:lineRule="auto"/>
        <w:ind w:firstLine="420" w:firstLineChars="200"/>
        <w:jc w:val="left"/>
        <w:rPr>
          <w:rFonts w:ascii="宋体" w:hAnsi="宋体" w:eastAsia="宋体" w:cs="宋体"/>
          <w:color w:val="auto"/>
          <w:kern w:val="0"/>
          <w:szCs w:val="21"/>
          <w:highlight w:val="none"/>
        </w:rPr>
        <w:sectPr>
          <w:pgSz w:w="11906" w:h="16838"/>
          <w:pgMar w:top="1440" w:right="1800" w:bottom="1440" w:left="1800" w:header="851" w:footer="992" w:gutter="0"/>
          <w:cols w:space="720" w:num="1"/>
          <w:docGrid w:type="lines" w:linePitch="312" w:charSpace="0"/>
        </w:sectPr>
      </w:pPr>
    </w:p>
    <w:p w14:paraId="715FD4F1">
      <w:pPr>
        <w:pStyle w:val="3"/>
        <w:spacing w:before="0" w:after="0" w:line="360" w:lineRule="auto"/>
        <w:jc w:val="center"/>
        <w:rPr>
          <w:rFonts w:ascii="宋体" w:hAnsi="宋体" w:eastAsia="宋体"/>
          <w:color w:val="auto"/>
          <w:kern w:val="0"/>
          <w:sz w:val="28"/>
          <w:szCs w:val="32"/>
          <w:highlight w:val="none"/>
        </w:rPr>
      </w:pPr>
      <w:bookmarkStart w:id="351" w:name="_Toc57494746"/>
      <w:bookmarkStart w:id="352" w:name="_Toc11664"/>
      <w:bookmarkStart w:id="353" w:name="_Toc6909"/>
      <w:r>
        <w:rPr>
          <w:rFonts w:hint="eastAsia" w:ascii="宋体" w:hAnsi="宋体" w:eastAsia="宋体"/>
          <w:color w:val="auto"/>
          <w:kern w:val="0"/>
          <w:sz w:val="28"/>
          <w:szCs w:val="32"/>
          <w:highlight w:val="none"/>
        </w:rPr>
        <w:t>二、专用部分</w:t>
      </w:r>
      <w:bookmarkEnd w:id="351"/>
      <w:bookmarkEnd w:id="352"/>
      <w:bookmarkEnd w:id="353"/>
    </w:p>
    <w:p w14:paraId="6EC0AF7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专用合同条款的“专用部分”是对专用合同条款的“通用部分”的补充、细化或修改。当“专用部分”和“通用部分”出现矛盾时，以“专用部分”的规定为准。</w:t>
      </w:r>
    </w:p>
    <w:p w14:paraId="59A8785A">
      <w:pPr>
        <w:pStyle w:val="4"/>
        <w:jc w:val="center"/>
        <w:rPr>
          <w:rFonts w:ascii="宋体" w:hAnsi="宋体" w:eastAsia="宋体" w:cs="Times New Roman"/>
          <w:color w:val="auto"/>
          <w:kern w:val="0"/>
          <w:sz w:val="28"/>
          <w:highlight w:val="none"/>
        </w:rPr>
      </w:pPr>
      <w:bookmarkStart w:id="354" w:name="_Toc28380"/>
      <w:bookmarkStart w:id="355" w:name="_Toc29220"/>
      <w:bookmarkStart w:id="356" w:name="_Toc57494747"/>
      <w:r>
        <w:rPr>
          <w:rFonts w:hint="eastAsia" w:ascii="宋体" w:hAnsi="宋体" w:eastAsia="宋体" w:cs="Times New Roman"/>
          <w:color w:val="auto"/>
          <w:kern w:val="0"/>
          <w:sz w:val="28"/>
          <w:highlight w:val="none"/>
        </w:rPr>
        <w:t>（一）</w:t>
      </w:r>
      <w:r>
        <w:rPr>
          <w:rFonts w:ascii="宋体" w:hAnsi="宋体" w:eastAsia="宋体" w:cs="Times New Roman"/>
          <w:color w:val="auto"/>
          <w:kern w:val="0"/>
          <w:sz w:val="28"/>
          <w:highlight w:val="none"/>
        </w:rPr>
        <w:t>35kV及以上交流变压器</w:t>
      </w:r>
      <w:bookmarkEnd w:id="354"/>
      <w:bookmarkEnd w:id="355"/>
      <w:bookmarkEnd w:id="356"/>
    </w:p>
    <w:p w14:paraId="6D4F589C">
      <w:pPr>
        <w:pStyle w:val="5"/>
        <w:spacing w:before="0" w:after="0" w:line="360" w:lineRule="auto"/>
        <w:rPr>
          <w:rFonts w:ascii="宋体" w:hAnsi="宋体" w:eastAsia="宋体" w:cs="黑体"/>
          <w:color w:val="auto"/>
          <w:kern w:val="0"/>
          <w:sz w:val="21"/>
          <w:szCs w:val="28"/>
          <w:highlight w:val="none"/>
        </w:rPr>
      </w:pPr>
      <w:bookmarkStart w:id="357" w:name="_Toc57494748"/>
      <w:bookmarkStart w:id="358" w:name="_Toc534201330"/>
      <w:bookmarkStart w:id="359" w:name="_Toc25212"/>
      <w:bookmarkStart w:id="360" w:name="_Toc26275226"/>
      <w:bookmarkStart w:id="361" w:name="_Toc10148"/>
      <w:r>
        <w:rPr>
          <w:rFonts w:ascii="宋体" w:hAnsi="宋体" w:eastAsia="宋体" w:cs="黑体"/>
          <w:color w:val="auto"/>
          <w:kern w:val="0"/>
          <w:sz w:val="21"/>
          <w:szCs w:val="28"/>
          <w:highlight w:val="none"/>
        </w:rPr>
        <w:t>1. 一般约定</w:t>
      </w:r>
      <w:bookmarkEnd w:id="357"/>
      <w:bookmarkEnd w:id="358"/>
      <w:bookmarkEnd w:id="359"/>
      <w:bookmarkEnd w:id="360"/>
      <w:bookmarkEnd w:id="361"/>
    </w:p>
    <w:p w14:paraId="79D12B5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 合同的生效及变更</w:t>
      </w:r>
    </w:p>
    <w:p w14:paraId="539C2E6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1.4.2.3 如一方变更交货时间，应提前30日传真或函件通知对方。</w:t>
      </w:r>
    </w:p>
    <w:p w14:paraId="12D81313">
      <w:pPr>
        <w:pStyle w:val="5"/>
        <w:spacing w:before="0" w:after="0" w:line="360" w:lineRule="auto"/>
        <w:rPr>
          <w:rFonts w:ascii="宋体" w:hAnsi="宋体" w:eastAsia="宋体" w:cs="黑体"/>
          <w:color w:val="auto"/>
          <w:kern w:val="0"/>
          <w:sz w:val="21"/>
          <w:szCs w:val="28"/>
          <w:highlight w:val="none"/>
        </w:rPr>
      </w:pPr>
      <w:bookmarkStart w:id="362" w:name="_Toc534201331"/>
      <w:bookmarkStart w:id="363" w:name="_Toc26133"/>
      <w:bookmarkStart w:id="364" w:name="_Toc57494749"/>
      <w:bookmarkStart w:id="365" w:name="_Toc26275227"/>
      <w:bookmarkStart w:id="366" w:name="_Toc10651"/>
      <w:r>
        <w:rPr>
          <w:rFonts w:ascii="宋体" w:hAnsi="宋体" w:eastAsia="宋体" w:cs="黑体"/>
          <w:color w:val="auto"/>
          <w:kern w:val="0"/>
          <w:sz w:val="21"/>
          <w:szCs w:val="28"/>
          <w:highlight w:val="none"/>
        </w:rPr>
        <w:t>2. 合同范围</w:t>
      </w:r>
      <w:bookmarkEnd w:id="362"/>
      <w:bookmarkEnd w:id="363"/>
      <w:bookmarkEnd w:id="364"/>
      <w:bookmarkEnd w:id="365"/>
      <w:bookmarkEnd w:id="366"/>
    </w:p>
    <w:p w14:paraId="5E7186E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114AD22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2.5 卖方提供的技术资料包括但不限于全套安装使用说明书，产品合格证明书、出厂试验记录、产品外形尺寸图、运输尺寸图、产品拆卸件一览表、装箱单、铭牌图或铭牌标志图及备件一览表等。</w:t>
      </w:r>
    </w:p>
    <w:p w14:paraId="7B300BCA">
      <w:pPr>
        <w:pStyle w:val="5"/>
        <w:spacing w:before="0" w:after="0" w:line="360" w:lineRule="auto"/>
        <w:rPr>
          <w:rFonts w:ascii="宋体" w:hAnsi="宋体" w:eastAsia="宋体" w:cs="黑体"/>
          <w:color w:val="auto"/>
          <w:kern w:val="0"/>
          <w:sz w:val="21"/>
          <w:szCs w:val="28"/>
          <w:highlight w:val="none"/>
        </w:rPr>
      </w:pPr>
      <w:bookmarkStart w:id="367" w:name="_Toc30656"/>
      <w:bookmarkStart w:id="368" w:name="_Toc57494750"/>
      <w:bookmarkStart w:id="369" w:name="_Toc31569"/>
      <w:bookmarkStart w:id="370" w:name="_Toc534201332"/>
      <w:bookmarkStart w:id="371" w:name="_Toc26275228"/>
      <w:r>
        <w:rPr>
          <w:rFonts w:ascii="宋体" w:hAnsi="宋体" w:eastAsia="宋体" w:cs="黑体"/>
          <w:color w:val="auto"/>
          <w:kern w:val="0"/>
          <w:sz w:val="21"/>
          <w:szCs w:val="28"/>
          <w:highlight w:val="none"/>
        </w:rPr>
        <w:t>3. 合同价格与支付</w:t>
      </w:r>
      <w:bookmarkEnd w:id="367"/>
      <w:bookmarkEnd w:id="368"/>
      <w:bookmarkEnd w:id="369"/>
      <w:bookmarkEnd w:id="370"/>
      <w:bookmarkEnd w:id="371"/>
    </w:p>
    <w:p w14:paraId="3D2CB31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3.1 合同价格</w:t>
      </w:r>
    </w:p>
    <w:p w14:paraId="400ABC6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3.1.1 凡在设计联络会上确认施工现场不吊芯检查即可投运的变压器，由于运输或现场检验后需要吊罩修理或检查，则现场所发生的直接费用由卖方承担。</w:t>
      </w:r>
    </w:p>
    <w:p w14:paraId="5AA6999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6361FF8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bookmarkStart w:id="372" w:name="_Hlk28529861"/>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w:t>
      </w:r>
      <w:bookmarkEnd w:id="372"/>
      <w:r>
        <w:rPr>
          <w:rFonts w:ascii="宋体" w:hAnsi="宋体" w:eastAsia="宋体" w:cs="黑体"/>
          <w:color w:val="auto"/>
          <w:kern w:val="0"/>
          <w:szCs w:val="21"/>
          <w:highlight w:val="none"/>
        </w:rPr>
        <w:t>本合同价款分预付款、入卖方成品库款、交货款和结清款四次支付，支付比例为1:2:6.5:0.5。</w:t>
      </w:r>
      <w:r>
        <w:rPr>
          <w:rFonts w:hint="eastAsia" w:ascii="宋体" w:hAnsi="宋体" w:eastAsia="宋体" w:cs="黑体"/>
          <w:color w:val="auto"/>
          <w:kern w:val="0"/>
          <w:szCs w:val="21"/>
          <w:highlight w:val="none"/>
        </w:rPr>
        <w:t>卖方为中小企业的，合同价款支付比例为2:2:5.5:0.5。</w:t>
      </w:r>
    </w:p>
    <w:p w14:paraId="0DF6BDA7">
      <w:pPr>
        <w:pStyle w:val="5"/>
        <w:spacing w:before="0" w:after="0" w:line="360" w:lineRule="auto"/>
        <w:rPr>
          <w:rFonts w:ascii="宋体" w:hAnsi="宋体" w:eastAsia="宋体" w:cs="黑体"/>
          <w:color w:val="auto"/>
          <w:kern w:val="0"/>
          <w:sz w:val="21"/>
          <w:szCs w:val="28"/>
          <w:highlight w:val="none"/>
        </w:rPr>
      </w:pPr>
      <w:bookmarkStart w:id="373" w:name="_Toc7913"/>
      <w:bookmarkStart w:id="374" w:name="_Toc26933"/>
      <w:bookmarkStart w:id="375" w:name="_Toc57494751"/>
      <w:bookmarkStart w:id="376" w:name="_Toc534201333"/>
      <w:bookmarkStart w:id="377" w:name="_Toc26275229"/>
      <w:r>
        <w:rPr>
          <w:rFonts w:ascii="宋体" w:hAnsi="宋体" w:eastAsia="宋体" w:cs="黑体"/>
          <w:color w:val="auto"/>
          <w:kern w:val="0"/>
          <w:sz w:val="21"/>
          <w:szCs w:val="28"/>
          <w:highlight w:val="none"/>
        </w:rPr>
        <w:t>4. 监造及交货前检验</w:t>
      </w:r>
      <w:bookmarkEnd w:id="373"/>
      <w:bookmarkEnd w:id="374"/>
      <w:bookmarkEnd w:id="375"/>
      <w:bookmarkEnd w:id="376"/>
      <w:bookmarkEnd w:id="377"/>
    </w:p>
    <w:p w14:paraId="1DE9830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1E9122E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卖方所提供的组件或附件如需向第三方外购时，卖方应提供相应出厂和验收证明。</w:t>
      </w:r>
    </w:p>
    <w:p w14:paraId="5EFB8DB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监造验收工作结束后，</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应提交监造报告，并作为设备原始资料存档。</w:t>
      </w:r>
    </w:p>
    <w:p w14:paraId="492AF62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1824ABC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4</w:t>
      </w:r>
      <w:r>
        <w:rPr>
          <w:rFonts w:ascii="宋体" w:hAnsi="宋体" w:eastAsia="宋体" w:cs="黑体"/>
          <w:color w:val="auto"/>
          <w:kern w:val="0"/>
          <w:szCs w:val="21"/>
          <w:highlight w:val="none"/>
        </w:rPr>
        <w:t>.3.6 增加抽检项目包括但不限于：</w:t>
      </w:r>
    </w:p>
    <w:p w14:paraId="66842A1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500kV，温升试验，局放，损耗，噪音，振动，伏安特性曲线。</w:t>
      </w:r>
    </w:p>
    <w:p w14:paraId="7436FCC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220kV，110kV，66kV：突发短路，温升试验，局放，空载损耗，负载损耗，噪音。</w:t>
      </w:r>
    </w:p>
    <w:p w14:paraId="4410265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35kV：突发短路，温升试验，局放（干式），空载损耗，负载损耗，阻抗试验，噪音，匝间感应耐压。</w:t>
      </w:r>
    </w:p>
    <w:p w14:paraId="551A318B">
      <w:pPr>
        <w:pStyle w:val="5"/>
        <w:spacing w:before="0" w:after="0" w:line="360" w:lineRule="auto"/>
        <w:rPr>
          <w:rFonts w:ascii="宋体" w:hAnsi="宋体" w:eastAsia="宋体" w:cs="黑体"/>
          <w:color w:val="auto"/>
          <w:kern w:val="0"/>
          <w:sz w:val="21"/>
          <w:szCs w:val="28"/>
          <w:highlight w:val="none"/>
        </w:rPr>
      </w:pPr>
      <w:bookmarkStart w:id="378" w:name="_Toc26275230"/>
      <w:bookmarkStart w:id="379" w:name="_Toc2962"/>
      <w:bookmarkStart w:id="380" w:name="_Toc57494752"/>
      <w:bookmarkStart w:id="381" w:name="_Toc11694"/>
      <w:bookmarkStart w:id="382" w:name="_Toc534201334"/>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378"/>
      <w:bookmarkEnd w:id="379"/>
      <w:bookmarkEnd w:id="380"/>
      <w:bookmarkEnd w:id="381"/>
      <w:bookmarkEnd w:id="382"/>
    </w:p>
    <w:p w14:paraId="5249F06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0FC9687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卖方应根据双方商定好的标准和买方的实际运输条件，将变压器本体和所有零部件包装好。</w:t>
      </w:r>
    </w:p>
    <w:p w14:paraId="74D79C9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控制箱运输途中应有干燥剂，箱体采用铝复合膜真空包装等防水防潮措施。</w:t>
      </w:r>
    </w:p>
    <w:p w14:paraId="0B92F05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所有独立包装运输的表计应有干燥剂，箱体采用铝复合膜真空包装等防水防潮措施，并应有防震措施。</w:t>
      </w:r>
    </w:p>
    <w:p w14:paraId="34C3A46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5.1.4 笨重件应装在滑板上或板条箱内</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套管瓷件应牢固固定在木制箱中，以防止在严重冲击时发生相对位移。</w:t>
      </w:r>
    </w:p>
    <w:p w14:paraId="188C252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5.1.5 </w:t>
      </w:r>
      <w:r>
        <w:rPr>
          <w:rFonts w:hint="eastAsia" w:ascii="宋体" w:hAnsi="宋体" w:eastAsia="宋体" w:cs="黑体"/>
          <w:color w:val="auto"/>
          <w:kern w:val="0"/>
          <w:szCs w:val="21"/>
          <w:highlight w:val="none"/>
        </w:rPr>
        <w:t>任何在装运中可能丢失的成品应装箱并捆扎牢固，并标志以清晰的记号以便识别。</w:t>
      </w:r>
    </w:p>
    <w:p w14:paraId="279ACD0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 标记</w:t>
      </w:r>
    </w:p>
    <w:p w14:paraId="5BF9E37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5.2.1.1 卖方应在设备、零部件、材料的每件包装箱上标记以下内容：</w:t>
      </w:r>
    </w:p>
    <w:p w14:paraId="24ECA1B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合同号；</w:t>
      </w:r>
    </w:p>
    <w:p w14:paraId="5F03319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w:t>
      </w:r>
      <w:r>
        <w:rPr>
          <w:rFonts w:ascii="宋体" w:hAnsi="宋体" w:eastAsia="宋体" w:cs="黑体"/>
          <w:color w:val="auto"/>
          <w:kern w:val="0"/>
          <w:szCs w:val="21"/>
          <w:highlight w:val="none"/>
        </w:rPr>
        <w:t>装船（海运）标志；</w:t>
      </w:r>
    </w:p>
    <w:p w14:paraId="0DFC603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w:t>
      </w:r>
      <w:r>
        <w:rPr>
          <w:rFonts w:ascii="宋体" w:hAnsi="宋体" w:eastAsia="宋体" w:cs="黑体"/>
          <w:color w:val="auto"/>
          <w:kern w:val="0"/>
          <w:szCs w:val="21"/>
          <w:highlight w:val="none"/>
        </w:rPr>
        <w:t>目的港（海运）或站名称；</w:t>
      </w:r>
    </w:p>
    <w:p w14:paraId="3483E39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（4）</w:t>
      </w:r>
      <w:r>
        <w:rPr>
          <w:rFonts w:ascii="宋体" w:hAnsi="宋体" w:eastAsia="宋体" w:cs="黑体"/>
          <w:color w:val="auto"/>
          <w:kern w:val="0"/>
          <w:szCs w:val="21"/>
          <w:highlight w:val="none"/>
        </w:rPr>
        <w:t>收货人及代码；</w:t>
      </w:r>
    </w:p>
    <w:p w14:paraId="1FE309C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5</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设备名称和项目号；</w:t>
      </w:r>
    </w:p>
    <w:p w14:paraId="09A5274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（6）</w:t>
      </w:r>
      <w:r>
        <w:rPr>
          <w:rFonts w:ascii="宋体" w:hAnsi="宋体" w:eastAsia="宋体" w:cs="黑体"/>
          <w:color w:val="auto"/>
          <w:kern w:val="0"/>
          <w:szCs w:val="21"/>
          <w:highlight w:val="none"/>
        </w:rPr>
        <w:t>箱号；</w:t>
      </w:r>
    </w:p>
    <w:p w14:paraId="7DDCE67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（7）</w:t>
      </w:r>
      <w:r>
        <w:rPr>
          <w:rFonts w:ascii="宋体" w:hAnsi="宋体" w:eastAsia="宋体" w:cs="黑体"/>
          <w:color w:val="auto"/>
          <w:kern w:val="0"/>
          <w:szCs w:val="21"/>
          <w:highlight w:val="none"/>
        </w:rPr>
        <w:t>毛重与净重；</w:t>
      </w:r>
    </w:p>
    <w:p w14:paraId="3CFCA5B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（8）</w:t>
      </w:r>
      <w:r>
        <w:rPr>
          <w:rFonts w:ascii="宋体" w:hAnsi="宋体" w:eastAsia="宋体" w:cs="黑体"/>
          <w:color w:val="auto"/>
          <w:kern w:val="0"/>
          <w:szCs w:val="21"/>
          <w:highlight w:val="none"/>
        </w:rPr>
        <w:t>外形尺寸；</w:t>
      </w:r>
    </w:p>
    <w:p w14:paraId="1E8CC30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（9）</w:t>
      </w:r>
      <w:r>
        <w:rPr>
          <w:rFonts w:ascii="宋体" w:hAnsi="宋体" w:eastAsia="宋体" w:cs="黑体"/>
          <w:color w:val="auto"/>
          <w:kern w:val="0"/>
          <w:szCs w:val="21"/>
          <w:highlight w:val="none"/>
        </w:rPr>
        <w:t>在设备的包装箱外面应标上“重心”、“起吊点”、“小心搬运”、“正面向上”、“防止受潮”、“勿倒”、“勿倾斜”、“防火”等字样。</w:t>
      </w:r>
    </w:p>
    <w:p w14:paraId="2719640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 运输</w:t>
      </w:r>
    </w:p>
    <w:p w14:paraId="045F6E7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5.3.2.3 为了能正确搬运和安装，在必要处应提供吊钩或起吊设施。</w:t>
      </w:r>
    </w:p>
    <w:p w14:paraId="6456E1B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5.3.6 买卖双方应在变压器发运前明确规定变压器是带油运输还是充干燥空气或氮气运输，如充气运输，卖方应对检测仪表和检测数据变化范围给出明确规定。</w:t>
      </w:r>
    </w:p>
    <w:p w14:paraId="2869BB3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变压器及其部件的保管期应在合同中明确规定。</w:t>
      </w:r>
    </w:p>
    <w:p w14:paraId="215BCDA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5.3.7 如变压器充氮或充干燥空气运输至现场未注油安装前，所有阀门均应密封并有效地锁紧以防止运输中被拆动；同时附有随时可补气的氮气或干燥空气罐，并应设有压力表进行监视，以保持变压器内为正压力。</w:t>
      </w:r>
    </w:p>
    <w:p w14:paraId="6DCC70E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5.3.8 卖方在货物本体装运前应直接在货物上装设具有计时功能的经检验合格的三维冲击记录仪（应在油箱顶部和油箱侧面分别规整、牢固地安装1台记录仪），以指示货物在运输途中是否发生过严重冲撞。</w:t>
      </w:r>
    </w:p>
    <w:p w14:paraId="4CDF01A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卖方应保证三维冲撞记录仪在运输全过程中（含上基础）处于正常工作状态，同时保证在运输过程中可能受到的最大加速度</w:t>
      </w:r>
      <w:r>
        <w:rPr>
          <w:rFonts w:ascii="宋体" w:hAnsi="宋体" w:eastAsia="宋体" w:cs="黑体"/>
          <w:color w:val="auto"/>
          <w:kern w:val="0"/>
          <w:szCs w:val="21"/>
          <w:highlight w:val="none"/>
        </w:rPr>
        <w:t>3g（三维空间的任一方向）所产生的冲击力而变压器本体不松动、不损坏、不变形。</w:t>
      </w:r>
    </w:p>
    <w:p w14:paraId="2C4C6D1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变压器达到目的地、基础就位之前不允许拆除或取出记录纸；变压器启运时开启电源，确认冲撞记录仪电源充足，记录指示处于初始状态。到达目的港（车站）时，应检查纪录，主变到达现场后，制造厂、运输单位、监理单位、用户四方人员应共同验收。冲击记录仪的资料归买方所有。</w:t>
      </w:r>
    </w:p>
    <w:p w14:paraId="41B27A6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062D7E7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交货方式为变压器基础就位。卖方负责将设备安全地运到运行单位指定地点，并负责设备卸车落地</w:t>
      </w:r>
      <w:r>
        <w:rPr>
          <w:rFonts w:hint="eastAsia" w:ascii="宋体" w:hAnsi="宋体" w:eastAsia="宋体" w:cs="黑体"/>
          <w:color w:val="auto"/>
          <w:kern w:val="0"/>
          <w:szCs w:val="21"/>
          <w:highlight w:val="none"/>
        </w:rPr>
        <w:t>，</w:t>
      </w:r>
      <w:bookmarkStart w:id="383" w:name="_Hlk28544392"/>
      <w:r>
        <w:rPr>
          <w:rFonts w:hint="eastAsia" w:ascii="宋体" w:hAnsi="宋体" w:eastAsia="宋体" w:cs="宋体"/>
          <w:color w:val="auto"/>
          <w:szCs w:val="21"/>
          <w:highlight w:val="none"/>
        </w:rPr>
        <w:t>相关风险和费用由卖方承担</w:t>
      </w:r>
      <w:bookmarkEnd w:id="383"/>
      <w:r>
        <w:rPr>
          <w:rFonts w:ascii="宋体" w:hAnsi="宋体" w:eastAsia="宋体" w:cs="黑体"/>
          <w:color w:val="auto"/>
          <w:kern w:val="0"/>
          <w:szCs w:val="21"/>
          <w:highlight w:val="none"/>
        </w:rPr>
        <w:t>。</w:t>
      </w:r>
    </w:p>
    <w:p w14:paraId="4F7BB915">
      <w:pPr>
        <w:pStyle w:val="5"/>
        <w:spacing w:before="0" w:after="0" w:line="360" w:lineRule="auto"/>
        <w:rPr>
          <w:rFonts w:ascii="宋体" w:hAnsi="宋体" w:eastAsia="宋体" w:cs="黑体"/>
          <w:color w:val="auto"/>
          <w:kern w:val="0"/>
          <w:sz w:val="21"/>
          <w:szCs w:val="28"/>
          <w:highlight w:val="none"/>
        </w:rPr>
      </w:pPr>
      <w:bookmarkStart w:id="384" w:name="_Toc12550"/>
      <w:bookmarkStart w:id="385" w:name="_Toc26275231"/>
      <w:bookmarkStart w:id="386" w:name="_Toc534201335"/>
      <w:bookmarkStart w:id="387" w:name="_Toc6744"/>
      <w:bookmarkStart w:id="388" w:name="_Toc57494753"/>
      <w:r>
        <w:rPr>
          <w:rFonts w:ascii="宋体" w:hAnsi="宋体" w:eastAsia="宋体" w:cs="黑体"/>
          <w:color w:val="auto"/>
          <w:kern w:val="0"/>
          <w:sz w:val="21"/>
          <w:szCs w:val="28"/>
          <w:highlight w:val="none"/>
        </w:rPr>
        <w:t>6. 开箱检验、安装、调试、考核、验收</w:t>
      </w:r>
      <w:bookmarkEnd w:id="384"/>
      <w:bookmarkEnd w:id="385"/>
      <w:bookmarkEnd w:id="386"/>
      <w:bookmarkEnd w:id="387"/>
      <w:bookmarkEnd w:id="388"/>
    </w:p>
    <w:p w14:paraId="1BEE426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0130430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6.2.1.3 卖方必须免费提供变压器油运输和安装过程中所需的油罐供买方使用，并由卖方自行回收，费用由卖方承担；卖方必须提供符合交接试验标准的变压器油，如变压器油需现场处理，相关费用由卖方承担。</w:t>
      </w:r>
    </w:p>
    <w:p w14:paraId="025B645E">
      <w:pPr>
        <w:pStyle w:val="5"/>
        <w:spacing w:before="0" w:after="0" w:line="360" w:lineRule="auto"/>
        <w:rPr>
          <w:rFonts w:ascii="宋体" w:hAnsi="宋体" w:eastAsia="宋体" w:cs="黑体"/>
          <w:color w:val="auto"/>
          <w:kern w:val="0"/>
          <w:sz w:val="21"/>
          <w:szCs w:val="28"/>
          <w:highlight w:val="none"/>
        </w:rPr>
      </w:pPr>
      <w:bookmarkStart w:id="389" w:name="_Toc26275232"/>
      <w:bookmarkStart w:id="390" w:name="_Toc810"/>
      <w:bookmarkStart w:id="391" w:name="_Toc534201336"/>
      <w:bookmarkStart w:id="392" w:name="_Toc57494754"/>
      <w:bookmarkStart w:id="393" w:name="_Toc15925"/>
      <w:r>
        <w:rPr>
          <w:rFonts w:ascii="宋体" w:hAnsi="宋体" w:eastAsia="宋体" w:cs="黑体"/>
          <w:color w:val="auto"/>
          <w:kern w:val="0"/>
          <w:sz w:val="21"/>
          <w:szCs w:val="28"/>
          <w:highlight w:val="none"/>
        </w:rPr>
        <w:t>7. 技术服务</w:t>
      </w:r>
      <w:bookmarkEnd w:id="389"/>
      <w:bookmarkEnd w:id="390"/>
      <w:bookmarkEnd w:id="391"/>
      <w:bookmarkEnd w:id="392"/>
      <w:bookmarkEnd w:id="393"/>
    </w:p>
    <w:p w14:paraId="665A3C0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7.1.5.6 卖方提供培训服务的总量应当不少于7×8人天。</w:t>
      </w:r>
    </w:p>
    <w:p w14:paraId="5E0F291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对培训合格人员，卖方应授予厂家认可的资质证书。卖方还应定期对合格人员进行培训，以保持其能力水平不下降。</w:t>
      </w:r>
    </w:p>
    <w:p w14:paraId="4B8B1455">
      <w:pPr>
        <w:pStyle w:val="5"/>
        <w:spacing w:before="0" w:after="0" w:line="360" w:lineRule="auto"/>
        <w:rPr>
          <w:rFonts w:ascii="宋体" w:hAnsi="宋体" w:eastAsia="宋体" w:cs="黑体"/>
          <w:color w:val="auto"/>
          <w:kern w:val="0"/>
          <w:sz w:val="21"/>
          <w:szCs w:val="28"/>
          <w:highlight w:val="none"/>
        </w:rPr>
      </w:pPr>
      <w:bookmarkStart w:id="394" w:name="_Toc57494755"/>
      <w:bookmarkStart w:id="395" w:name="_Toc534201337"/>
      <w:bookmarkStart w:id="396" w:name="_Toc26275233"/>
      <w:bookmarkStart w:id="397" w:name="_Toc14021"/>
      <w:bookmarkStart w:id="398" w:name="_Toc19686"/>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394"/>
      <w:bookmarkEnd w:id="395"/>
      <w:bookmarkEnd w:id="396"/>
      <w:bookmarkEnd w:id="397"/>
      <w:bookmarkEnd w:id="398"/>
    </w:p>
    <w:p w14:paraId="53429AB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的质量保证期为72个月。</w:t>
      </w:r>
    </w:p>
    <w:p w14:paraId="12D7280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绝缘油的质保期为</w:t>
      </w:r>
      <w:r>
        <w:rPr>
          <w:rFonts w:ascii="宋体" w:hAnsi="宋体" w:eastAsia="宋体" w:cs="黑体"/>
          <w:color w:val="auto"/>
          <w:kern w:val="0"/>
          <w:szCs w:val="21"/>
          <w:highlight w:val="none"/>
        </w:rPr>
        <w:t>6年，质保期内如出现因油原因的劣化，变压器厂应负责免费更换绝缘油。</w:t>
      </w:r>
    </w:p>
    <w:p w14:paraId="54B4E18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8.1.1 </w:t>
      </w:r>
      <w:r>
        <w:rPr>
          <w:rFonts w:hint="eastAsia" w:ascii="宋体" w:hAnsi="宋体" w:eastAsia="宋体" w:cs="黑体"/>
          <w:color w:val="auto"/>
          <w:kern w:val="0"/>
          <w:szCs w:val="21"/>
          <w:highlight w:val="none"/>
        </w:rPr>
        <w:t>合同设备</w:t>
      </w:r>
      <w:r>
        <w:rPr>
          <w:rFonts w:ascii="宋体" w:hAnsi="宋体" w:eastAsia="宋体" w:cs="黑体"/>
          <w:color w:val="auto"/>
          <w:kern w:val="0"/>
          <w:szCs w:val="21"/>
          <w:highlight w:val="none"/>
        </w:rPr>
        <w:t>总装后，因试验不合格，需拆上铁轭时，每拆装一次，质量保证期应延长2年，并将拆装原因和处理情况列入出厂文件，且拆装和处理过程应有买方人员现场见证。</w:t>
      </w:r>
    </w:p>
    <w:p w14:paraId="510921D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在试验中发现绝缘击穿，对修理部位的质量保证期应延长</w:t>
      </w:r>
      <w:r>
        <w:rPr>
          <w:rFonts w:ascii="宋体" w:hAnsi="宋体" w:eastAsia="宋体" w:cs="黑体"/>
          <w:color w:val="auto"/>
          <w:kern w:val="0"/>
          <w:szCs w:val="21"/>
          <w:highlight w:val="none"/>
        </w:rPr>
        <w:t>2年。</w:t>
      </w:r>
    </w:p>
    <w:p w14:paraId="4F07087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厂内局部放电试验不合格，每重复处理一次，其质保期应延长</w:t>
      </w:r>
      <w:r>
        <w:rPr>
          <w:rFonts w:ascii="宋体" w:hAnsi="宋体" w:eastAsia="宋体" w:cs="黑体"/>
          <w:color w:val="auto"/>
          <w:kern w:val="0"/>
          <w:szCs w:val="21"/>
          <w:highlight w:val="none"/>
        </w:rPr>
        <w:t>1年，并将原因和处理情况列入出厂文件，重复处理三次仍不合格的，买方有权拒收该变压器。</w:t>
      </w:r>
    </w:p>
    <w:p w14:paraId="2300C989">
      <w:pPr>
        <w:pStyle w:val="5"/>
        <w:spacing w:before="0" w:after="0" w:line="360" w:lineRule="auto"/>
        <w:rPr>
          <w:rFonts w:ascii="宋体" w:hAnsi="宋体" w:eastAsia="宋体" w:cs="黑体"/>
          <w:color w:val="auto"/>
          <w:kern w:val="0"/>
          <w:sz w:val="21"/>
          <w:szCs w:val="28"/>
          <w:highlight w:val="none"/>
        </w:rPr>
      </w:pPr>
      <w:bookmarkStart w:id="399" w:name="_Toc57494756"/>
      <w:bookmarkStart w:id="400" w:name="_Toc534201338"/>
      <w:bookmarkStart w:id="401" w:name="_Toc26275234"/>
      <w:bookmarkStart w:id="402" w:name="_Toc28972"/>
      <w:bookmarkStart w:id="403" w:name="_Toc25228"/>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w:t>
      </w:r>
      <w:r>
        <w:rPr>
          <w:rFonts w:hint="eastAsia" w:ascii="宋体" w:hAnsi="宋体" w:eastAsia="宋体" w:cs="黑体"/>
          <w:color w:val="auto"/>
          <w:kern w:val="0"/>
          <w:sz w:val="21"/>
          <w:szCs w:val="28"/>
          <w:highlight w:val="none"/>
        </w:rPr>
        <w:t>保证</w:t>
      </w:r>
      <w:bookmarkEnd w:id="399"/>
      <w:bookmarkEnd w:id="400"/>
      <w:bookmarkEnd w:id="401"/>
      <w:bookmarkEnd w:id="402"/>
      <w:bookmarkEnd w:id="403"/>
    </w:p>
    <w:p w14:paraId="4C66DAA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卖方承诺合同货物的使用寿命不少于40年，密封件寿命不低于15年，除干燥剂外至少六年内免检修。</w:t>
      </w:r>
    </w:p>
    <w:p w14:paraId="522C42E8">
      <w:pPr>
        <w:pStyle w:val="5"/>
        <w:spacing w:before="0" w:after="0" w:line="360" w:lineRule="auto"/>
        <w:rPr>
          <w:rFonts w:ascii="宋体" w:hAnsi="宋体" w:eastAsia="宋体" w:cs="黑体"/>
          <w:color w:val="auto"/>
          <w:kern w:val="0"/>
          <w:sz w:val="21"/>
          <w:szCs w:val="28"/>
          <w:highlight w:val="none"/>
        </w:rPr>
      </w:pPr>
      <w:bookmarkStart w:id="404" w:name="_Toc26275235"/>
      <w:bookmarkStart w:id="405" w:name="_Toc57494757"/>
      <w:bookmarkStart w:id="406" w:name="_Toc534201339"/>
      <w:bookmarkStart w:id="407" w:name="_Toc31263"/>
      <w:bookmarkStart w:id="408" w:name="_Toc6397"/>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404"/>
      <w:bookmarkEnd w:id="405"/>
      <w:bookmarkEnd w:id="406"/>
      <w:bookmarkEnd w:id="407"/>
      <w:bookmarkEnd w:id="408"/>
    </w:p>
    <w:p w14:paraId="2C488A3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1CBD873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66C2CE7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77607A6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1）对于空载损耗，实测值如超过了投标保证值3%以下，则当100%额定电压下每台变压器的空载损耗较投标保证值每超出1kW则支付违约金10万元，超过值不足1kW者支付违约金按比例分摊。</w:t>
      </w:r>
    </w:p>
    <w:p w14:paraId="6FC7447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2）对于负载损耗（包括铜损、杂散损耗）实测值如超过投标保证值3%以下时，则当变压器在额定值下每台变压器的负载损耗较投标保证值每超过1kW则支付违约金4万元，超过值不足1kW者支付违约金按比例分摊。</w:t>
      </w:r>
    </w:p>
    <w:p w14:paraId="429BBF8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如果损耗值较投标保证值高于3%但小于5%时，则空载损耗每高1kW损耗的支付违约金应为前述（1）款规定的两倍，负载损耗（包括铜损、杂散损耗）每高1kW损耗的支付违约金应为前述（2）款规定的两倍；如果空载损耗值或负载损耗较投标保证值大于5%，则买受人拒收该变压器。</w:t>
      </w:r>
    </w:p>
    <w:p w14:paraId="6398A7B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4）最高的绕组温升每超过额定值时的绕组规定温升1K时，支付变压器合同价款2%的违约金。不足1K的值按比例计算,最高温升变化不得超过规定温升3K，否则买方拒收该变压器。</w:t>
      </w:r>
    </w:p>
    <w:p w14:paraId="3B4018A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5）对三绕组变压器高压－中压（双绕组变压器为高压－低压）间阻抗电压实测值在技术</w:t>
      </w:r>
      <w:r>
        <w:rPr>
          <w:rFonts w:hint="eastAsia" w:ascii="宋体" w:hAnsi="宋体" w:eastAsia="宋体" w:cs="黑体"/>
          <w:color w:val="auto"/>
          <w:kern w:val="0"/>
          <w:szCs w:val="21"/>
          <w:highlight w:val="none"/>
        </w:rPr>
        <w:t>规范书</w:t>
      </w:r>
      <w:r>
        <w:rPr>
          <w:rFonts w:ascii="宋体" w:hAnsi="宋体" w:eastAsia="宋体" w:cs="黑体"/>
          <w:color w:val="auto"/>
          <w:kern w:val="0"/>
          <w:szCs w:val="21"/>
          <w:highlight w:val="none"/>
        </w:rPr>
        <w:t>规定的允许偏差基础上，每增大1%支付合同价款5%的违约金。</w:t>
      </w:r>
    </w:p>
    <w:p w14:paraId="3EEAB1C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6）空载状态下，实测噪声声压级较保证值每高出1dB，卖方应进行降噪处理，直至符合保证值要求，并支付合同价款0.5%的违约金。</w:t>
      </w:r>
    </w:p>
    <w:p w14:paraId="2039C2C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7）由于卖方的原因造成变压器不能在额定负载下连续运行，则其负载能力每降低5%，支付合同价款5%的违约金。</w:t>
      </w:r>
    </w:p>
    <w:p w14:paraId="245470D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8）变压器本体不允许有渗漏油，如发现有渗漏情况，每发现1处漏点，支付违约金5000元，并进行现场处理。</w:t>
      </w:r>
    </w:p>
    <w:p w14:paraId="6319F5F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9）现场交接试验中局部放电量每超过50pC（不足50pC按50pC计算），卖方应向买方支付合同价款1%的违约金。</w:t>
      </w:r>
    </w:p>
    <w:p w14:paraId="5F4102E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10）三维冲撞记录仪在运输全过程中记录不全或记录数据发现最大加速度超过3g的，卖方人员负责现场进入变压器箱体内检查或吊罩检查，若发现异常卖方须返厂处理，所产生的一切费用由卖方承担，若未发现异常，卖方必须书面承诺产品无质量问题，同时质保期在原有基础上再延长12个月；同时因此导致交货期延迟的按</w:t>
      </w:r>
      <w:r>
        <w:rPr>
          <w:rFonts w:hint="eastAsia" w:ascii="宋体" w:hAnsi="宋体" w:eastAsia="宋体" w:cs="黑体"/>
          <w:color w:val="auto"/>
          <w:kern w:val="0"/>
          <w:szCs w:val="21"/>
          <w:highlight w:val="none"/>
        </w:rPr>
        <w:t>通用部分的规定计算</w:t>
      </w:r>
      <w:r>
        <w:rPr>
          <w:rFonts w:ascii="宋体" w:hAnsi="宋体" w:eastAsia="宋体" w:cs="黑体"/>
          <w:color w:val="auto"/>
          <w:kern w:val="0"/>
          <w:szCs w:val="21"/>
          <w:highlight w:val="none"/>
        </w:rPr>
        <w:t>迟延交货违约金。</w:t>
      </w:r>
    </w:p>
    <w:p w14:paraId="024AF90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 监造及交货前检验</w:t>
      </w:r>
    </w:p>
    <w:p w14:paraId="0DBBCAF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14.5.4 若卖方在生产前未提早将生产计划告知监造单位和买方，由于卖方擅自开始生产导致货物监造工作无法正常开展的，买方有权拒收该货物。</w:t>
      </w:r>
    </w:p>
    <w:p w14:paraId="75CAE304">
      <w:pPr>
        <w:pStyle w:val="4"/>
        <w:jc w:val="center"/>
        <w:rPr>
          <w:rFonts w:ascii="宋体" w:hAnsi="宋体" w:eastAsia="宋体" w:cs="Times New Roman"/>
          <w:color w:val="auto"/>
          <w:kern w:val="0"/>
          <w:sz w:val="28"/>
          <w:highlight w:val="none"/>
        </w:rPr>
      </w:pPr>
      <w:bookmarkStart w:id="409" w:name="_Toc6603"/>
      <w:bookmarkStart w:id="410" w:name="_Toc20324"/>
      <w:bookmarkStart w:id="411" w:name="_Toc57494758"/>
      <w:r>
        <w:rPr>
          <w:rFonts w:hint="eastAsia" w:ascii="宋体" w:hAnsi="宋体" w:eastAsia="宋体" w:cs="Times New Roman"/>
          <w:color w:val="auto"/>
          <w:kern w:val="0"/>
          <w:sz w:val="28"/>
          <w:highlight w:val="none"/>
        </w:rPr>
        <w:t>（二）10kV配电变压器</w:t>
      </w:r>
      <w:bookmarkEnd w:id="409"/>
      <w:bookmarkEnd w:id="410"/>
      <w:bookmarkEnd w:id="411"/>
    </w:p>
    <w:p w14:paraId="5825AFE3">
      <w:pPr>
        <w:pStyle w:val="5"/>
        <w:spacing w:before="0" w:after="0" w:line="360" w:lineRule="auto"/>
        <w:rPr>
          <w:rFonts w:ascii="宋体" w:hAnsi="宋体" w:eastAsia="宋体" w:cs="黑体"/>
          <w:color w:val="auto"/>
          <w:kern w:val="0"/>
          <w:sz w:val="21"/>
          <w:szCs w:val="28"/>
          <w:highlight w:val="none"/>
        </w:rPr>
      </w:pPr>
      <w:bookmarkStart w:id="412" w:name="_Toc57494759"/>
      <w:bookmarkStart w:id="413" w:name="_Toc534201341"/>
      <w:bookmarkStart w:id="414" w:name="_Toc30386"/>
      <w:bookmarkStart w:id="415" w:name="_Toc26275237"/>
      <w:bookmarkStart w:id="416" w:name="_Toc19175"/>
      <w:r>
        <w:rPr>
          <w:rFonts w:ascii="宋体" w:hAnsi="宋体" w:eastAsia="宋体" w:cs="黑体"/>
          <w:color w:val="auto"/>
          <w:kern w:val="0"/>
          <w:sz w:val="21"/>
          <w:szCs w:val="28"/>
          <w:highlight w:val="none"/>
        </w:rPr>
        <w:t>1. 一般约定</w:t>
      </w:r>
      <w:bookmarkEnd w:id="412"/>
      <w:bookmarkEnd w:id="413"/>
      <w:bookmarkEnd w:id="414"/>
      <w:bookmarkEnd w:id="415"/>
      <w:bookmarkEnd w:id="416"/>
    </w:p>
    <w:p w14:paraId="6E4E52E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 合同的生效及变更</w:t>
      </w:r>
    </w:p>
    <w:p w14:paraId="0B42B17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1.4.2.3 如一方变更交货时间，应提前15日传真或函件通知对方。</w:t>
      </w:r>
    </w:p>
    <w:p w14:paraId="511FA810">
      <w:pPr>
        <w:pStyle w:val="5"/>
        <w:spacing w:before="0" w:after="0" w:line="360" w:lineRule="auto"/>
        <w:rPr>
          <w:rFonts w:ascii="宋体" w:hAnsi="宋体" w:eastAsia="宋体" w:cs="黑体"/>
          <w:color w:val="auto"/>
          <w:kern w:val="0"/>
          <w:sz w:val="21"/>
          <w:szCs w:val="28"/>
          <w:highlight w:val="none"/>
        </w:rPr>
      </w:pPr>
      <w:bookmarkStart w:id="417" w:name="_Toc7925"/>
      <w:bookmarkStart w:id="418" w:name="_Toc17240"/>
      <w:bookmarkStart w:id="419" w:name="_Toc57494760"/>
      <w:bookmarkStart w:id="420" w:name="_Toc26275238"/>
      <w:bookmarkStart w:id="421" w:name="_Toc534201342"/>
      <w:r>
        <w:rPr>
          <w:rFonts w:ascii="宋体" w:hAnsi="宋体" w:eastAsia="宋体" w:cs="黑体"/>
          <w:color w:val="auto"/>
          <w:kern w:val="0"/>
          <w:sz w:val="21"/>
          <w:szCs w:val="28"/>
          <w:highlight w:val="none"/>
        </w:rPr>
        <w:t>2. 合同范围</w:t>
      </w:r>
      <w:bookmarkEnd w:id="417"/>
      <w:bookmarkEnd w:id="418"/>
      <w:bookmarkEnd w:id="419"/>
      <w:bookmarkEnd w:id="420"/>
      <w:bookmarkEnd w:id="421"/>
    </w:p>
    <w:p w14:paraId="5BFF0D8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2319E5DA">
      <w:pPr>
        <w:pStyle w:val="5"/>
        <w:spacing w:before="0" w:after="0" w:line="360" w:lineRule="auto"/>
        <w:rPr>
          <w:rFonts w:ascii="宋体" w:hAnsi="宋体" w:eastAsia="宋体" w:cs="黑体"/>
          <w:color w:val="auto"/>
          <w:kern w:val="0"/>
          <w:sz w:val="21"/>
          <w:szCs w:val="28"/>
          <w:highlight w:val="none"/>
        </w:rPr>
      </w:pPr>
      <w:bookmarkStart w:id="422" w:name="_Toc57494761"/>
      <w:bookmarkStart w:id="423" w:name="_Toc26275239"/>
      <w:bookmarkStart w:id="424" w:name="_Toc4724"/>
      <w:bookmarkStart w:id="425" w:name="_Toc16971"/>
      <w:bookmarkStart w:id="426" w:name="_Toc534201343"/>
      <w:r>
        <w:rPr>
          <w:rFonts w:ascii="宋体" w:hAnsi="宋体" w:eastAsia="宋体" w:cs="黑体"/>
          <w:color w:val="auto"/>
          <w:kern w:val="0"/>
          <w:sz w:val="21"/>
          <w:szCs w:val="28"/>
          <w:highlight w:val="none"/>
        </w:rPr>
        <w:t>3. 合同价格与支付</w:t>
      </w:r>
      <w:bookmarkEnd w:id="422"/>
      <w:bookmarkEnd w:id="423"/>
      <w:bookmarkEnd w:id="424"/>
      <w:bookmarkEnd w:id="425"/>
      <w:bookmarkEnd w:id="426"/>
    </w:p>
    <w:p w14:paraId="2F9EE8D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7E13CFE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56F7EA63">
      <w:pPr>
        <w:pStyle w:val="5"/>
        <w:spacing w:before="0" w:after="0" w:line="360" w:lineRule="auto"/>
        <w:rPr>
          <w:rFonts w:ascii="宋体" w:hAnsi="宋体" w:eastAsia="宋体" w:cs="黑体"/>
          <w:color w:val="auto"/>
          <w:kern w:val="0"/>
          <w:sz w:val="21"/>
          <w:szCs w:val="28"/>
          <w:highlight w:val="none"/>
        </w:rPr>
      </w:pPr>
      <w:bookmarkStart w:id="427" w:name="_Toc14227"/>
      <w:bookmarkStart w:id="428" w:name="_Toc57494762"/>
      <w:bookmarkStart w:id="429" w:name="_Toc534201344"/>
      <w:bookmarkStart w:id="430" w:name="_Toc26275240"/>
      <w:bookmarkStart w:id="431" w:name="_Toc20752"/>
      <w:r>
        <w:rPr>
          <w:rFonts w:ascii="宋体" w:hAnsi="宋体" w:eastAsia="宋体" w:cs="黑体"/>
          <w:color w:val="auto"/>
          <w:kern w:val="0"/>
          <w:sz w:val="21"/>
          <w:szCs w:val="28"/>
          <w:highlight w:val="none"/>
        </w:rPr>
        <w:t xml:space="preserve">4. </w:t>
      </w:r>
      <w:r>
        <w:rPr>
          <w:rFonts w:hint="eastAsia" w:ascii="宋体" w:hAnsi="宋体" w:eastAsia="宋体" w:cs="黑体"/>
          <w:color w:val="auto"/>
          <w:kern w:val="0"/>
          <w:sz w:val="21"/>
          <w:szCs w:val="28"/>
          <w:highlight w:val="none"/>
        </w:rPr>
        <w:t>监造及交货前检验</w:t>
      </w:r>
      <w:bookmarkEnd w:id="427"/>
      <w:bookmarkEnd w:id="428"/>
      <w:bookmarkEnd w:id="429"/>
      <w:bookmarkEnd w:id="430"/>
      <w:bookmarkEnd w:id="431"/>
    </w:p>
    <w:p w14:paraId="38BF0F7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7CAF706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4.3.1 抽检范围覆盖所有供应商。对首次供货的供应商必须进行抽检。若出现抽检不合格，同一供应商的后续连续三个批次的产品必须抽检。</w:t>
      </w:r>
    </w:p>
    <w:p w14:paraId="27E8DD7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对同一厂家、同一合同、同一时间交货的到货批次按照</w:t>
      </w:r>
      <w:r>
        <w:rPr>
          <w:rFonts w:ascii="宋体" w:hAnsi="宋体" w:eastAsia="宋体" w:cs="黑体"/>
          <w:color w:val="auto"/>
          <w:kern w:val="0"/>
          <w:szCs w:val="21"/>
          <w:highlight w:val="none"/>
        </w:rPr>
        <w:t>GB/T2828实施到货抽检。</w:t>
      </w:r>
    </w:p>
    <w:p w14:paraId="46C7E30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4.3.5 到货抽检和专项抽检中，被检样品有一项检测项目不合格，则被检样品判定为不合格，不再扩大抽检范围进行第二次抽检。</w:t>
      </w:r>
    </w:p>
    <w:p w14:paraId="213A7C6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4</w:t>
      </w:r>
      <w:r>
        <w:rPr>
          <w:rFonts w:ascii="宋体" w:hAnsi="宋体" w:eastAsia="宋体" w:cs="黑体"/>
          <w:color w:val="auto"/>
          <w:kern w:val="0"/>
          <w:szCs w:val="21"/>
          <w:highlight w:val="none"/>
        </w:rPr>
        <w:t>.3.6 增加抽检项目包括但不限于：突发短路</w:t>
      </w:r>
      <w:r>
        <w:rPr>
          <w:rFonts w:hint="eastAsia" w:ascii="宋体" w:hAnsi="宋体" w:eastAsia="宋体" w:cs="黑体"/>
          <w:color w:val="auto"/>
          <w:kern w:val="0"/>
          <w:szCs w:val="21"/>
          <w:highlight w:val="none"/>
        </w:rPr>
        <w:t>。</w:t>
      </w:r>
    </w:p>
    <w:p w14:paraId="0236C34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4.3.7 10kV配电变压器的损耗值以到货抽检值为准。</w:t>
      </w:r>
    </w:p>
    <w:p w14:paraId="40CA53FE">
      <w:pPr>
        <w:pStyle w:val="5"/>
        <w:spacing w:before="0" w:after="0" w:line="360" w:lineRule="auto"/>
        <w:rPr>
          <w:rFonts w:ascii="宋体" w:hAnsi="宋体" w:eastAsia="宋体" w:cs="黑体"/>
          <w:color w:val="auto"/>
          <w:kern w:val="0"/>
          <w:sz w:val="21"/>
          <w:szCs w:val="28"/>
          <w:highlight w:val="none"/>
        </w:rPr>
      </w:pPr>
      <w:bookmarkStart w:id="432" w:name="_Toc534201345"/>
      <w:bookmarkStart w:id="433" w:name="_Toc57494763"/>
      <w:bookmarkStart w:id="434" w:name="_Toc26275241"/>
      <w:bookmarkStart w:id="435" w:name="_Toc29849"/>
      <w:bookmarkStart w:id="436" w:name="_Toc15377"/>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432"/>
      <w:bookmarkEnd w:id="433"/>
      <w:bookmarkEnd w:id="434"/>
      <w:bookmarkEnd w:id="435"/>
      <w:bookmarkEnd w:id="436"/>
    </w:p>
    <w:p w14:paraId="684C99C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5ED73BA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应牢固固定在木制箱中，以防止在严重冲击时发生相对位移和损坏。</w:t>
      </w:r>
    </w:p>
    <w:p w14:paraId="204BBB2A">
      <w:pPr>
        <w:pStyle w:val="5"/>
        <w:spacing w:before="0" w:after="0" w:line="360" w:lineRule="auto"/>
        <w:rPr>
          <w:rFonts w:ascii="宋体" w:hAnsi="宋体" w:eastAsia="宋体" w:cs="黑体"/>
          <w:color w:val="auto"/>
          <w:kern w:val="0"/>
          <w:sz w:val="21"/>
          <w:szCs w:val="28"/>
          <w:highlight w:val="none"/>
        </w:rPr>
      </w:pPr>
      <w:bookmarkStart w:id="437" w:name="_Toc26275242"/>
      <w:bookmarkStart w:id="438" w:name="_Toc534201346"/>
      <w:bookmarkStart w:id="439" w:name="_Toc609"/>
      <w:bookmarkStart w:id="440" w:name="_Toc15098"/>
      <w:bookmarkStart w:id="441" w:name="_Toc57494764"/>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437"/>
      <w:bookmarkEnd w:id="438"/>
      <w:bookmarkEnd w:id="439"/>
      <w:bookmarkEnd w:id="440"/>
      <w:bookmarkEnd w:id="441"/>
    </w:p>
    <w:p w14:paraId="0CF86AC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合同设备的质量保证期为72个月。</w:t>
      </w:r>
    </w:p>
    <w:p w14:paraId="05827D2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合同设备总装后,因试验不合格，质量保证期应延长2年，并将拆装原因和处理情况列入出厂文件，且拆装和处理过程应有买方人员现场见证。</w:t>
      </w:r>
    </w:p>
    <w:p w14:paraId="048AC8A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合同货物质保期内，合同货物运行期间，因试验不合格，经卖方修理，试验合格后，其质保期应延长</w:t>
      </w:r>
      <w:r>
        <w:rPr>
          <w:rFonts w:ascii="宋体" w:hAnsi="宋体" w:eastAsia="宋体" w:cs="黑体"/>
          <w:color w:val="auto"/>
          <w:kern w:val="0"/>
          <w:szCs w:val="21"/>
          <w:highlight w:val="none"/>
        </w:rPr>
        <w:t>2年。</w:t>
      </w:r>
    </w:p>
    <w:p w14:paraId="35621E46">
      <w:pPr>
        <w:pStyle w:val="5"/>
        <w:spacing w:before="0" w:after="0" w:line="360" w:lineRule="auto"/>
        <w:rPr>
          <w:rFonts w:ascii="宋体" w:hAnsi="宋体" w:eastAsia="宋体" w:cs="黑体"/>
          <w:color w:val="auto"/>
          <w:kern w:val="0"/>
          <w:sz w:val="21"/>
          <w:szCs w:val="28"/>
          <w:highlight w:val="none"/>
        </w:rPr>
      </w:pPr>
      <w:bookmarkStart w:id="442" w:name="_Toc30732"/>
      <w:bookmarkStart w:id="443" w:name="_Toc8513"/>
      <w:bookmarkStart w:id="444" w:name="_Toc534201347"/>
      <w:bookmarkStart w:id="445" w:name="_Toc57494765"/>
      <w:bookmarkStart w:id="446" w:name="_Toc26275243"/>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442"/>
      <w:bookmarkEnd w:id="443"/>
      <w:bookmarkEnd w:id="444"/>
      <w:bookmarkEnd w:id="445"/>
      <w:bookmarkEnd w:id="446"/>
    </w:p>
    <w:p w14:paraId="19B170C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11.4.3 卖方提供的绝缘油应满足注入条件，符合技术</w:t>
      </w:r>
      <w:r>
        <w:rPr>
          <w:rFonts w:hint="eastAsia" w:ascii="宋体" w:hAnsi="宋体" w:eastAsia="宋体" w:cs="黑体"/>
          <w:color w:val="auto"/>
          <w:kern w:val="0"/>
          <w:szCs w:val="21"/>
          <w:highlight w:val="none"/>
        </w:rPr>
        <w:t>协议</w:t>
      </w:r>
      <w:r>
        <w:rPr>
          <w:rFonts w:ascii="宋体" w:hAnsi="宋体" w:eastAsia="宋体" w:cs="黑体"/>
          <w:color w:val="auto"/>
          <w:kern w:val="0"/>
          <w:szCs w:val="21"/>
          <w:highlight w:val="none"/>
        </w:rPr>
        <w:t>以及国家相关技术标准要求。</w:t>
      </w:r>
    </w:p>
    <w:p w14:paraId="463061F6">
      <w:pPr>
        <w:pStyle w:val="5"/>
        <w:spacing w:before="0" w:after="0" w:line="360" w:lineRule="auto"/>
        <w:rPr>
          <w:rFonts w:ascii="宋体" w:hAnsi="宋体" w:eastAsia="宋体" w:cs="黑体"/>
          <w:color w:val="auto"/>
          <w:kern w:val="0"/>
          <w:sz w:val="21"/>
          <w:szCs w:val="28"/>
          <w:highlight w:val="none"/>
        </w:rPr>
      </w:pPr>
      <w:bookmarkStart w:id="447" w:name="_Toc26275244"/>
      <w:bookmarkStart w:id="448" w:name="_Toc27859"/>
      <w:bookmarkStart w:id="449" w:name="_Toc57494766"/>
      <w:bookmarkStart w:id="450" w:name="_Toc24948"/>
      <w:bookmarkStart w:id="451" w:name="_Toc534201348"/>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447"/>
      <w:bookmarkEnd w:id="448"/>
      <w:bookmarkEnd w:id="449"/>
      <w:bookmarkEnd w:id="450"/>
      <w:bookmarkEnd w:id="451"/>
    </w:p>
    <w:p w14:paraId="16C3572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0FB3AEA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5180F71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13DB268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bookmarkStart w:id="452" w:name="_Hlk518312155"/>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1）对于空载损耗，实测值如超过了投标保证值3%以下，则买方接受该批次中该型号货物</w:t>
      </w:r>
      <w:r>
        <w:rPr>
          <w:rFonts w:hint="eastAsia" w:ascii="宋体" w:hAnsi="宋体" w:eastAsia="宋体" w:cs="黑体"/>
          <w:color w:val="auto"/>
          <w:kern w:val="0"/>
          <w:szCs w:val="21"/>
          <w:highlight w:val="none"/>
        </w:rPr>
        <w:t>。此时，违约金标准为</w:t>
      </w:r>
      <w:r>
        <w:rPr>
          <w:rFonts w:ascii="宋体" w:hAnsi="宋体" w:eastAsia="宋体" w:cs="黑体"/>
          <w:color w:val="auto"/>
          <w:kern w:val="0"/>
          <w:szCs w:val="21"/>
          <w:highlight w:val="none"/>
        </w:rPr>
        <w:t>：当100%额定电压下每台变压器的空载损耗较投标保证值每超出1W则扣减60元，超过值不足1W者按比例</w:t>
      </w:r>
      <w:r>
        <w:rPr>
          <w:rFonts w:hint="eastAsia" w:ascii="宋体" w:hAnsi="宋体" w:eastAsia="宋体" w:cs="黑体"/>
          <w:color w:val="auto"/>
          <w:kern w:val="0"/>
          <w:szCs w:val="21"/>
          <w:highlight w:val="none"/>
        </w:rPr>
        <w:t>分摊</w:t>
      </w:r>
      <w:r>
        <w:rPr>
          <w:rFonts w:ascii="宋体" w:hAnsi="宋体" w:eastAsia="宋体" w:cs="黑体"/>
          <w:color w:val="auto"/>
          <w:kern w:val="0"/>
          <w:szCs w:val="21"/>
          <w:highlight w:val="none"/>
        </w:rPr>
        <w:t>。</w:t>
      </w:r>
    </w:p>
    <w:p w14:paraId="19A7C1E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2）对于负载损耗（包括铜损、杂散损耗）实测值如超过投标保证值3%以下时，则买方接受该批次中该型号货物。</w:t>
      </w:r>
      <w:r>
        <w:rPr>
          <w:rFonts w:hint="eastAsia" w:ascii="宋体" w:hAnsi="宋体" w:eastAsia="宋体" w:cs="黑体"/>
          <w:color w:val="auto"/>
          <w:kern w:val="0"/>
          <w:szCs w:val="21"/>
          <w:highlight w:val="none"/>
        </w:rPr>
        <w:t>此时，违约金标准为</w:t>
      </w:r>
      <w:r>
        <w:rPr>
          <w:rFonts w:ascii="宋体" w:hAnsi="宋体" w:eastAsia="宋体" w:cs="黑体"/>
          <w:color w:val="auto"/>
          <w:kern w:val="0"/>
          <w:szCs w:val="21"/>
          <w:highlight w:val="none"/>
        </w:rPr>
        <w:t>：当变压器在额定值下每台变压器的负载损耗较投标保证值每超过1W则扣减25元，超过值不足1W者按比例</w:t>
      </w:r>
      <w:r>
        <w:rPr>
          <w:rFonts w:hint="eastAsia" w:ascii="宋体" w:hAnsi="宋体" w:eastAsia="宋体" w:cs="黑体"/>
          <w:color w:val="auto"/>
          <w:kern w:val="0"/>
          <w:szCs w:val="21"/>
          <w:highlight w:val="none"/>
        </w:rPr>
        <w:t>分摊</w:t>
      </w:r>
      <w:r>
        <w:rPr>
          <w:rFonts w:ascii="宋体" w:hAnsi="宋体" w:eastAsia="宋体" w:cs="黑体"/>
          <w:color w:val="auto"/>
          <w:kern w:val="0"/>
          <w:szCs w:val="21"/>
          <w:highlight w:val="none"/>
        </w:rPr>
        <w:t>。</w:t>
      </w:r>
    </w:p>
    <w:p w14:paraId="00BC068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3）如果损耗值较保证值高于3%但不超过5%时，则买方接受该批次中该型号货物。</w:t>
      </w:r>
      <w:r>
        <w:rPr>
          <w:rFonts w:hint="eastAsia" w:ascii="宋体" w:hAnsi="宋体" w:eastAsia="宋体" w:cs="黑体"/>
          <w:color w:val="auto"/>
          <w:kern w:val="0"/>
          <w:szCs w:val="21"/>
          <w:highlight w:val="none"/>
        </w:rPr>
        <w:t>此时，违约金标准为</w:t>
      </w:r>
      <w:r>
        <w:rPr>
          <w:rFonts w:ascii="宋体" w:hAnsi="宋体" w:eastAsia="宋体" w:cs="黑体"/>
          <w:color w:val="auto"/>
          <w:kern w:val="0"/>
          <w:szCs w:val="21"/>
          <w:highlight w:val="none"/>
        </w:rPr>
        <w:t>：空载损耗每高1W损耗的</w:t>
      </w:r>
      <w:r>
        <w:rPr>
          <w:rFonts w:hint="eastAsia" w:ascii="宋体" w:hAnsi="宋体" w:eastAsia="宋体" w:cs="黑体"/>
          <w:color w:val="auto"/>
          <w:kern w:val="0"/>
          <w:szCs w:val="21"/>
          <w:highlight w:val="none"/>
        </w:rPr>
        <w:t>违约金</w:t>
      </w:r>
      <w:r>
        <w:rPr>
          <w:rFonts w:ascii="宋体" w:hAnsi="宋体" w:eastAsia="宋体" w:cs="黑体"/>
          <w:color w:val="auto"/>
          <w:kern w:val="0"/>
          <w:szCs w:val="21"/>
          <w:highlight w:val="none"/>
        </w:rPr>
        <w:t>应为前述（1）款规定的两倍，负载损耗（包括铜损、杂散损耗）每高1W损耗的</w:t>
      </w:r>
      <w:r>
        <w:rPr>
          <w:rFonts w:hint="eastAsia" w:ascii="宋体" w:hAnsi="宋体" w:eastAsia="宋体" w:cs="黑体"/>
          <w:color w:val="auto"/>
          <w:kern w:val="0"/>
          <w:szCs w:val="21"/>
          <w:highlight w:val="none"/>
        </w:rPr>
        <w:t>违约金</w:t>
      </w:r>
      <w:r>
        <w:rPr>
          <w:rFonts w:ascii="宋体" w:hAnsi="宋体" w:eastAsia="宋体" w:cs="黑体"/>
          <w:color w:val="auto"/>
          <w:kern w:val="0"/>
          <w:szCs w:val="21"/>
          <w:highlight w:val="none"/>
        </w:rPr>
        <w:t>应为前述（2）款规定的两倍。</w:t>
      </w:r>
      <w:bookmarkEnd w:id="452"/>
      <w:r>
        <w:rPr>
          <w:rFonts w:ascii="宋体" w:hAnsi="宋体" w:eastAsia="宋体" w:cs="黑体"/>
          <w:color w:val="auto"/>
          <w:kern w:val="0"/>
          <w:szCs w:val="21"/>
          <w:highlight w:val="none"/>
        </w:rPr>
        <w:t xml:space="preserve">                                                          </w:t>
      </w:r>
    </w:p>
    <w:p w14:paraId="0ADEAAE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4）如果空载损耗或负载损耗超过保证值的5%以上或者超过招标文件中要求的数值，则买受人拒收该到货批次的所有货物。</w:t>
      </w:r>
    </w:p>
    <w:p w14:paraId="2AB4E7E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卖方应及时更换被拒收的货物，同时向买方支付该到货批次对应货款的</w:t>
      </w:r>
      <w:r>
        <w:rPr>
          <w:rFonts w:ascii="宋体" w:hAnsi="宋体" w:eastAsia="宋体" w:cs="黑体"/>
          <w:color w:val="auto"/>
          <w:kern w:val="0"/>
          <w:szCs w:val="21"/>
          <w:highlight w:val="none"/>
        </w:rPr>
        <w:t>10%作为违约金，并承担由此造成的损失。如果卖方更换后的货物仍被拒收，则买方将解除与卖方的整个合同，同时卖方应向买方支付合同总金额的10%作为违约金，并承担由此造成的损失。</w:t>
      </w:r>
    </w:p>
    <w:p w14:paraId="08D5A2F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5）对实测噪音声级较保证值每高出1dB，卖方应进行降噪处理，直至符合保证值要求，并支付合同价款0.5%的违约金。</w:t>
      </w:r>
    </w:p>
    <w:p w14:paraId="47185E5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计算违约金时，测量噪声水平可使用声压级值与声功率级值计算；如两者不一致，以声功率级值为准。</w:t>
      </w:r>
    </w:p>
    <w:p w14:paraId="3FB7FB4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6）空载损耗、负载损耗及噪声水平超出的，超出值按抽检样品平均值×供货批计算，计算公式为：△P= ∑（P实测值- P投标承诺值）/抽检样品数×供货批台数。</w:t>
      </w:r>
    </w:p>
    <w:p w14:paraId="64D374E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7）由于卖方的原因造成变压器不能在额定负载下连续运行，则其负载能力每降低5%，支付合同价款5%的违约金。</w:t>
      </w:r>
    </w:p>
    <w:p w14:paraId="2539617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8） 最高的绕组温升每超过额定值时的绕组规定温升1K时，支付变压器合同价款2%的违约金。不足1K的值按比例下降,最高温升变化不得超过规定温升3K，否则买受人拒收该变压器。</w:t>
      </w:r>
    </w:p>
    <w:p w14:paraId="15F1F9C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9）变压器本体不允许有渗漏油，如发现有渗漏情况，每发现1处漏点，支付违约金5000元，并进行现场处理。</w:t>
      </w:r>
    </w:p>
    <w:p w14:paraId="03D5B1EF">
      <w:pPr>
        <w:pStyle w:val="4"/>
        <w:jc w:val="center"/>
        <w:rPr>
          <w:rFonts w:ascii="宋体" w:hAnsi="宋体" w:eastAsia="宋体" w:cs="Times New Roman"/>
          <w:color w:val="auto"/>
          <w:kern w:val="0"/>
          <w:sz w:val="28"/>
          <w:highlight w:val="none"/>
        </w:rPr>
      </w:pPr>
      <w:bookmarkStart w:id="453" w:name="_Toc22683"/>
      <w:bookmarkStart w:id="454" w:name="_Toc57494767"/>
      <w:bookmarkStart w:id="455" w:name="_Toc4023"/>
      <w:r>
        <w:rPr>
          <w:rFonts w:hint="eastAsia" w:ascii="宋体" w:hAnsi="宋体" w:eastAsia="宋体" w:cs="Times New Roman"/>
          <w:color w:val="auto"/>
          <w:kern w:val="0"/>
          <w:sz w:val="28"/>
          <w:highlight w:val="none"/>
        </w:rPr>
        <w:t>（三）35kV以下互感器</w:t>
      </w:r>
      <w:bookmarkEnd w:id="453"/>
      <w:bookmarkEnd w:id="454"/>
      <w:bookmarkEnd w:id="455"/>
    </w:p>
    <w:p w14:paraId="563E1F48">
      <w:pPr>
        <w:pStyle w:val="5"/>
        <w:spacing w:before="0" w:after="0" w:line="360" w:lineRule="auto"/>
        <w:rPr>
          <w:rFonts w:ascii="宋体" w:hAnsi="宋体" w:eastAsia="宋体" w:cs="黑体"/>
          <w:color w:val="auto"/>
          <w:kern w:val="0"/>
          <w:sz w:val="21"/>
          <w:szCs w:val="28"/>
          <w:highlight w:val="none"/>
        </w:rPr>
      </w:pPr>
      <w:bookmarkStart w:id="456" w:name="_Toc10344"/>
      <w:bookmarkStart w:id="457" w:name="_Toc3261"/>
      <w:bookmarkStart w:id="458" w:name="_Toc26275246"/>
      <w:bookmarkStart w:id="459" w:name="_Toc534201350"/>
      <w:bookmarkStart w:id="460" w:name="_Toc57494768"/>
      <w:r>
        <w:rPr>
          <w:rFonts w:ascii="宋体" w:hAnsi="宋体" w:eastAsia="宋体" w:cs="黑体"/>
          <w:color w:val="auto"/>
          <w:kern w:val="0"/>
          <w:sz w:val="21"/>
          <w:szCs w:val="28"/>
          <w:highlight w:val="none"/>
        </w:rPr>
        <w:t>1. 一般约定</w:t>
      </w:r>
      <w:bookmarkEnd w:id="456"/>
      <w:bookmarkEnd w:id="457"/>
      <w:bookmarkEnd w:id="458"/>
      <w:bookmarkEnd w:id="459"/>
      <w:bookmarkEnd w:id="460"/>
    </w:p>
    <w:p w14:paraId="5EEFAE3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 合同的生效及变更</w:t>
      </w:r>
    </w:p>
    <w:p w14:paraId="2A01F17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1.4.2.3 如一方变更交货时间，应提前15日传真或函件通知对方。</w:t>
      </w:r>
    </w:p>
    <w:p w14:paraId="7123C1D0">
      <w:pPr>
        <w:pStyle w:val="5"/>
        <w:spacing w:before="0" w:after="0" w:line="360" w:lineRule="auto"/>
        <w:rPr>
          <w:rFonts w:ascii="宋体" w:hAnsi="宋体" w:eastAsia="宋体" w:cs="黑体"/>
          <w:color w:val="auto"/>
          <w:kern w:val="0"/>
          <w:sz w:val="21"/>
          <w:szCs w:val="28"/>
          <w:highlight w:val="none"/>
        </w:rPr>
      </w:pPr>
      <w:bookmarkStart w:id="461" w:name="_Toc57494769"/>
      <w:bookmarkStart w:id="462" w:name="_Toc8467"/>
      <w:bookmarkStart w:id="463" w:name="_Toc26275247"/>
      <w:bookmarkStart w:id="464" w:name="_Toc2834"/>
      <w:bookmarkStart w:id="465" w:name="_Toc534201351"/>
      <w:r>
        <w:rPr>
          <w:rFonts w:ascii="宋体" w:hAnsi="宋体" w:eastAsia="宋体" w:cs="黑体"/>
          <w:color w:val="auto"/>
          <w:kern w:val="0"/>
          <w:sz w:val="21"/>
          <w:szCs w:val="28"/>
          <w:highlight w:val="none"/>
        </w:rPr>
        <w:t>2. 合同范围</w:t>
      </w:r>
      <w:bookmarkEnd w:id="461"/>
      <w:bookmarkEnd w:id="462"/>
      <w:bookmarkEnd w:id="463"/>
      <w:bookmarkEnd w:id="464"/>
      <w:bookmarkEnd w:id="465"/>
    </w:p>
    <w:p w14:paraId="7E05846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2.1所有现场组装安装用的螺栓和螺杆应多发运10%的备件。</w:t>
      </w:r>
    </w:p>
    <w:p w14:paraId="18C04425">
      <w:pPr>
        <w:pStyle w:val="5"/>
        <w:spacing w:before="0" w:after="0" w:line="360" w:lineRule="auto"/>
        <w:rPr>
          <w:rFonts w:ascii="宋体" w:hAnsi="宋体" w:eastAsia="宋体" w:cs="黑体"/>
          <w:color w:val="auto"/>
          <w:kern w:val="0"/>
          <w:sz w:val="21"/>
          <w:szCs w:val="28"/>
          <w:highlight w:val="none"/>
        </w:rPr>
      </w:pPr>
      <w:bookmarkStart w:id="466" w:name="_Toc57494770"/>
      <w:bookmarkStart w:id="467" w:name="_Toc19533"/>
      <w:bookmarkStart w:id="468" w:name="_Toc22354"/>
      <w:bookmarkStart w:id="469" w:name="_Toc26275248"/>
      <w:bookmarkStart w:id="470" w:name="_Toc534201352"/>
      <w:r>
        <w:rPr>
          <w:rFonts w:ascii="宋体" w:hAnsi="宋体" w:eastAsia="宋体" w:cs="黑体"/>
          <w:color w:val="auto"/>
          <w:kern w:val="0"/>
          <w:sz w:val="21"/>
          <w:szCs w:val="28"/>
          <w:highlight w:val="none"/>
        </w:rPr>
        <w:t>3. 合同价格与支付</w:t>
      </w:r>
      <w:bookmarkEnd w:id="466"/>
      <w:bookmarkEnd w:id="467"/>
      <w:bookmarkEnd w:id="468"/>
      <w:bookmarkEnd w:id="469"/>
      <w:bookmarkEnd w:id="470"/>
    </w:p>
    <w:p w14:paraId="53B5481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16472E4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1FAEC5E2">
      <w:pPr>
        <w:pStyle w:val="5"/>
        <w:spacing w:before="0" w:after="0" w:line="360" w:lineRule="auto"/>
        <w:rPr>
          <w:rFonts w:ascii="宋体" w:hAnsi="宋体" w:eastAsia="宋体" w:cs="黑体"/>
          <w:color w:val="auto"/>
          <w:kern w:val="0"/>
          <w:sz w:val="21"/>
          <w:szCs w:val="28"/>
          <w:highlight w:val="none"/>
        </w:rPr>
      </w:pPr>
      <w:bookmarkStart w:id="471" w:name="_Toc534201353"/>
      <w:bookmarkStart w:id="472" w:name="_Toc26250"/>
      <w:bookmarkStart w:id="473" w:name="_Toc57494771"/>
      <w:bookmarkStart w:id="474" w:name="_Toc25242"/>
      <w:bookmarkStart w:id="475" w:name="_Toc26275249"/>
      <w:r>
        <w:rPr>
          <w:rFonts w:ascii="宋体" w:hAnsi="宋体" w:eastAsia="宋体" w:cs="黑体"/>
          <w:color w:val="auto"/>
          <w:kern w:val="0"/>
          <w:sz w:val="21"/>
          <w:szCs w:val="28"/>
          <w:highlight w:val="none"/>
        </w:rPr>
        <w:t>5.</w:t>
      </w:r>
      <w:r>
        <w:rPr>
          <w:rFonts w:hint="eastAsia" w:ascii="宋体" w:hAnsi="宋体" w:eastAsia="宋体" w:cs="黑体"/>
          <w:color w:val="auto"/>
          <w:kern w:val="0"/>
          <w:sz w:val="21"/>
          <w:szCs w:val="28"/>
          <w:highlight w:val="none"/>
        </w:rPr>
        <w:t>包装、标记、运输和交付</w:t>
      </w:r>
      <w:bookmarkEnd w:id="471"/>
      <w:bookmarkEnd w:id="472"/>
      <w:bookmarkEnd w:id="473"/>
      <w:bookmarkEnd w:id="474"/>
      <w:bookmarkEnd w:id="475"/>
    </w:p>
    <w:p w14:paraId="476D832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2EC18EB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应牢固固定在木制箱中，以防止在严重冲击时发生相对位移和损坏。</w:t>
      </w:r>
    </w:p>
    <w:p w14:paraId="2E1EC92F">
      <w:pPr>
        <w:pStyle w:val="5"/>
        <w:spacing w:before="0" w:after="0" w:line="360" w:lineRule="auto"/>
        <w:rPr>
          <w:rFonts w:ascii="宋体" w:hAnsi="宋体" w:eastAsia="宋体" w:cs="黑体"/>
          <w:color w:val="auto"/>
          <w:kern w:val="0"/>
          <w:sz w:val="21"/>
          <w:szCs w:val="28"/>
          <w:highlight w:val="none"/>
        </w:rPr>
      </w:pPr>
      <w:bookmarkStart w:id="476" w:name="_Toc534201354"/>
      <w:bookmarkStart w:id="477" w:name="_Toc10978"/>
      <w:bookmarkStart w:id="478" w:name="_Toc57494772"/>
      <w:bookmarkStart w:id="479" w:name="_Toc26275250"/>
      <w:bookmarkStart w:id="480" w:name="_Toc9651"/>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476"/>
      <w:bookmarkEnd w:id="477"/>
      <w:bookmarkEnd w:id="478"/>
      <w:bookmarkEnd w:id="479"/>
      <w:bookmarkEnd w:id="480"/>
    </w:p>
    <w:p w14:paraId="1FB5492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2FE8C8A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在试验中发现绝缘击穿，对修理部位的质量保证期应延长</w:t>
      </w:r>
      <w:r>
        <w:rPr>
          <w:rFonts w:hint="eastAsia" w:ascii="宋体" w:hAnsi="宋体" w:eastAsia="宋体" w:cs="黑体"/>
          <w:color w:val="auto"/>
          <w:kern w:val="0"/>
          <w:szCs w:val="21"/>
          <w:highlight w:val="none"/>
        </w:rPr>
        <w:t>2</w:t>
      </w:r>
      <w:r>
        <w:rPr>
          <w:rFonts w:ascii="宋体" w:hAnsi="宋体" w:eastAsia="宋体" w:cs="黑体"/>
          <w:color w:val="auto"/>
          <w:kern w:val="0"/>
          <w:szCs w:val="21"/>
          <w:highlight w:val="none"/>
        </w:rPr>
        <w:t>年。</w:t>
      </w:r>
    </w:p>
    <w:p w14:paraId="0DFEDEE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在厂内局放不合格，经反复处理后合格，其质保期应延长</w:t>
      </w:r>
      <w:r>
        <w:rPr>
          <w:rFonts w:ascii="宋体" w:hAnsi="宋体" w:eastAsia="宋体" w:cs="黑体"/>
          <w:color w:val="auto"/>
          <w:kern w:val="0"/>
          <w:szCs w:val="21"/>
          <w:highlight w:val="none"/>
        </w:rPr>
        <w:t>1年，并将原因和处理情况列入出厂文件。</w:t>
      </w:r>
    </w:p>
    <w:p w14:paraId="6E3AA3FB">
      <w:pPr>
        <w:pStyle w:val="5"/>
        <w:spacing w:before="0" w:after="0" w:line="360" w:lineRule="auto"/>
        <w:rPr>
          <w:rFonts w:ascii="宋体" w:hAnsi="宋体" w:eastAsia="宋体" w:cs="黑体"/>
          <w:color w:val="auto"/>
          <w:kern w:val="0"/>
          <w:sz w:val="21"/>
          <w:szCs w:val="28"/>
          <w:highlight w:val="none"/>
        </w:rPr>
      </w:pPr>
      <w:bookmarkStart w:id="481" w:name="_Toc534201355"/>
      <w:bookmarkStart w:id="482" w:name="_Toc24076"/>
      <w:bookmarkStart w:id="483" w:name="_Toc57494773"/>
      <w:bookmarkStart w:id="484" w:name="_Toc8345"/>
      <w:bookmarkStart w:id="485" w:name="_Toc26275251"/>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w:t>
      </w:r>
      <w:r>
        <w:rPr>
          <w:rFonts w:hint="eastAsia" w:ascii="宋体" w:hAnsi="宋体" w:eastAsia="宋体" w:cs="黑体"/>
          <w:color w:val="auto"/>
          <w:kern w:val="0"/>
          <w:sz w:val="21"/>
          <w:szCs w:val="28"/>
          <w:highlight w:val="none"/>
        </w:rPr>
        <w:t>保证</w:t>
      </w:r>
      <w:bookmarkEnd w:id="481"/>
      <w:bookmarkEnd w:id="482"/>
      <w:bookmarkEnd w:id="483"/>
      <w:bookmarkEnd w:id="484"/>
      <w:bookmarkEnd w:id="485"/>
    </w:p>
    <w:p w14:paraId="2A5A10E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卖方承诺合同货物的使用寿命不少于40年。</w:t>
      </w:r>
    </w:p>
    <w:p w14:paraId="004A94A4">
      <w:pPr>
        <w:pStyle w:val="5"/>
        <w:spacing w:before="0" w:after="0" w:line="360" w:lineRule="auto"/>
        <w:rPr>
          <w:rFonts w:ascii="宋体" w:hAnsi="宋体" w:eastAsia="宋体" w:cs="黑体"/>
          <w:color w:val="auto"/>
          <w:kern w:val="0"/>
          <w:sz w:val="21"/>
          <w:szCs w:val="28"/>
          <w:highlight w:val="none"/>
        </w:rPr>
      </w:pPr>
      <w:bookmarkStart w:id="486" w:name="_Toc366"/>
      <w:bookmarkStart w:id="487" w:name="_Toc57494774"/>
      <w:bookmarkStart w:id="488" w:name="_Toc534201356"/>
      <w:bookmarkStart w:id="489" w:name="_Toc8388"/>
      <w:bookmarkStart w:id="490" w:name="_Toc26275252"/>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486"/>
      <w:bookmarkEnd w:id="487"/>
      <w:bookmarkEnd w:id="488"/>
      <w:bookmarkEnd w:id="489"/>
      <w:bookmarkEnd w:id="490"/>
    </w:p>
    <w:p w14:paraId="392E8C9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78F5D38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7F255CC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03837C2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1）对于tgδ、误差极限、局放超标等，</w:t>
      </w:r>
      <w:bookmarkStart w:id="491" w:name="_Hlk512326799"/>
      <w:r>
        <w:rPr>
          <w:rFonts w:ascii="宋体" w:hAnsi="宋体" w:eastAsia="宋体" w:cs="Times New Roman"/>
          <w:color w:val="auto"/>
          <w:kern w:val="0"/>
          <w:szCs w:val="21"/>
          <w:highlight w:val="none"/>
        </w:rPr>
        <w:t>不满足技术规范书要求或投标承诺</w:t>
      </w:r>
      <w:r>
        <w:rPr>
          <w:rFonts w:hint="eastAsia" w:ascii="宋体" w:hAnsi="宋体" w:eastAsia="宋体" w:cs="Times New Roman"/>
          <w:color w:val="auto"/>
          <w:kern w:val="0"/>
          <w:szCs w:val="21"/>
          <w:highlight w:val="none"/>
        </w:rPr>
        <w:t>，但</w:t>
      </w:r>
      <w:r>
        <w:rPr>
          <w:rFonts w:ascii="宋体" w:hAnsi="宋体" w:eastAsia="宋体" w:cs="Times New Roman"/>
          <w:color w:val="auto"/>
          <w:kern w:val="0"/>
          <w:szCs w:val="21"/>
          <w:highlight w:val="none"/>
        </w:rPr>
        <w:t>满足国家标准或行业标准，</w:t>
      </w:r>
      <w:r>
        <w:rPr>
          <w:rFonts w:hint="eastAsia" w:ascii="宋体" w:hAnsi="宋体" w:eastAsia="宋体" w:cs="黑体"/>
          <w:color w:val="auto"/>
          <w:kern w:val="0"/>
          <w:szCs w:val="21"/>
          <w:highlight w:val="none"/>
        </w:rPr>
        <w:t>且经</w:t>
      </w:r>
      <w:r>
        <w:rPr>
          <w:rFonts w:ascii="宋体" w:hAnsi="宋体" w:eastAsia="宋体" w:cs="黑体"/>
          <w:color w:val="auto"/>
          <w:kern w:val="0"/>
          <w:szCs w:val="21"/>
          <w:highlight w:val="none"/>
        </w:rPr>
        <w:t>买方认可接受</w:t>
      </w:r>
      <w:r>
        <w:rPr>
          <w:rFonts w:hint="eastAsia" w:ascii="宋体" w:hAnsi="宋体" w:eastAsia="宋体" w:cs="黑体"/>
          <w:color w:val="auto"/>
          <w:kern w:val="0"/>
          <w:szCs w:val="21"/>
          <w:highlight w:val="none"/>
        </w:rPr>
        <w:t>的</w:t>
      </w:r>
      <w:r>
        <w:rPr>
          <w:rFonts w:ascii="宋体" w:hAnsi="宋体" w:eastAsia="宋体" w:cs="黑体"/>
          <w:color w:val="auto"/>
          <w:kern w:val="0"/>
          <w:szCs w:val="21"/>
          <w:highlight w:val="none"/>
        </w:rPr>
        <w:t>，</w:t>
      </w:r>
      <w:bookmarkEnd w:id="491"/>
      <w:r>
        <w:rPr>
          <w:rFonts w:ascii="宋体" w:hAnsi="宋体" w:eastAsia="宋体" w:cs="黑体"/>
          <w:color w:val="auto"/>
          <w:kern w:val="0"/>
          <w:szCs w:val="21"/>
          <w:highlight w:val="none"/>
        </w:rPr>
        <w:t>卖方应向买方支付</w:t>
      </w:r>
      <w:r>
        <w:rPr>
          <w:rFonts w:hint="eastAsia" w:ascii="宋体" w:hAnsi="宋体" w:eastAsia="宋体" w:cs="黑体"/>
          <w:color w:val="auto"/>
          <w:kern w:val="0"/>
          <w:szCs w:val="21"/>
          <w:highlight w:val="none"/>
        </w:rPr>
        <w:t>违约</w:t>
      </w:r>
      <w:r>
        <w:rPr>
          <w:rFonts w:ascii="宋体" w:hAnsi="宋体" w:eastAsia="宋体" w:cs="黑体"/>
          <w:color w:val="auto"/>
          <w:kern w:val="0"/>
          <w:szCs w:val="21"/>
          <w:highlight w:val="none"/>
        </w:rPr>
        <w:t>金</w:t>
      </w:r>
      <w:r>
        <w:rPr>
          <w:rFonts w:hint="eastAsia" w:ascii="宋体" w:hAnsi="宋体" w:eastAsia="宋体" w:cs="黑体"/>
          <w:color w:val="auto"/>
          <w:kern w:val="0"/>
          <w:szCs w:val="21"/>
          <w:highlight w:val="none"/>
        </w:rPr>
        <w:t>，金额由买卖双方协商</w:t>
      </w:r>
      <w:r>
        <w:rPr>
          <w:rFonts w:ascii="宋体" w:hAnsi="宋体" w:eastAsia="宋体" w:cs="黑体"/>
          <w:color w:val="auto"/>
          <w:kern w:val="0"/>
          <w:szCs w:val="21"/>
          <w:highlight w:val="none"/>
        </w:rPr>
        <w:t>；不满足技术规范书要求且不满足国家标准或行业标准的，应予以退货处理，由此发生的损失，由卖方负责。</w:t>
      </w:r>
    </w:p>
    <w:p w14:paraId="4DDEE83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本体不允许有渗漏现象，如发现有渗漏情况，应允许卖方在现场处理；如处理后再有渗漏，每发现1处漏点，支付违约金5000元。</w:t>
      </w:r>
    </w:p>
    <w:p w14:paraId="7AF0A50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14.5 </w:t>
      </w:r>
      <w:r>
        <w:rPr>
          <w:rFonts w:hint="eastAsia" w:ascii="宋体" w:hAnsi="宋体" w:eastAsia="宋体" w:cs="Times New Roman"/>
          <w:color w:val="auto"/>
          <w:kern w:val="0"/>
          <w:szCs w:val="21"/>
          <w:highlight w:val="none"/>
        </w:rPr>
        <w:t>监造及交货前检验</w:t>
      </w:r>
    </w:p>
    <w:p w14:paraId="48C40B9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14.5.2 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的任何组件如有缺陷，如瓷套有裂纹、破损等情况，应予以拒收。</w:t>
      </w:r>
    </w:p>
    <w:p w14:paraId="0D717F0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14.7 开箱检验、安装、调试、考核、验收</w:t>
      </w:r>
    </w:p>
    <w:p w14:paraId="5230BE3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14.7.8 对于暂态特性不合格的合同货物，应予以退货处理，由此发生的损失，由卖方负责，具体费用由双方协商。</w:t>
      </w:r>
    </w:p>
    <w:p w14:paraId="424DFD8E">
      <w:pPr>
        <w:pStyle w:val="4"/>
        <w:jc w:val="center"/>
        <w:rPr>
          <w:rFonts w:ascii="宋体" w:hAnsi="宋体" w:eastAsia="宋体" w:cs="Times New Roman"/>
          <w:color w:val="auto"/>
          <w:kern w:val="0"/>
          <w:sz w:val="28"/>
          <w:highlight w:val="none"/>
        </w:rPr>
      </w:pPr>
      <w:bookmarkStart w:id="492" w:name="_Toc57494775"/>
      <w:bookmarkStart w:id="493" w:name="_Toc21849"/>
      <w:bookmarkStart w:id="494" w:name="_Toc26717"/>
      <w:r>
        <w:rPr>
          <w:rFonts w:hint="eastAsia" w:ascii="宋体" w:hAnsi="宋体" w:eastAsia="宋体" w:cs="Times New Roman"/>
          <w:color w:val="auto"/>
          <w:kern w:val="0"/>
          <w:sz w:val="28"/>
          <w:highlight w:val="none"/>
        </w:rPr>
        <w:t>（四）</w:t>
      </w:r>
      <w:r>
        <w:rPr>
          <w:rFonts w:ascii="宋体" w:hAnsi="宋体" w:eastAsia="宋体" w:cs="Times New Roman"/>
          <w:color w:val="auto"/>
          <w:kern w:val="0"/>
          <w:sz w:val="28"/>
          <w:highlight w:val="none"/>
        </w:rPr>
        <w:t>35kV</w:t>
      </w:r>
      <w:r>
        <w:rPr>
          <w:rFonts w:hint="eastAsia" w:ascii="宋体" w:hAnsi="宋体" w:eastAsia="宋体" w:cs="Times New Roman"/>
          <w:color w:val="auto"/>
          <w:kern w:val="0"/>
          <w:sz w:val="28"/>
          <w:highlight w:val="none"/>
          <w:lang w:val="en-US" w:eastAsia="zh-CN"/>
        </w:rPr>
        <w:t>及</w:t>
      </w:r>
      <w:r>
        <w:rPr>
          <w:rFonts w:ascii="宋体" w:hAnsi="宋体" w:eastAsia="宋体" w:cs="Times New Roman"/>
          <w:color w:val="auto"/>
          <w:kern w:val="0"/>
          <w:sz w:val="28"/>
          <w:highlight w:val="none"/>
        </w:rPr>
        <w:t>以上互感器</w:t>
      </w:r>
      <w:bookmarkEnd w:id="492"/>
      <w:bookmarkEnd w:id="493"/>
      <w:bookmarkEnd w:id="494"/>
    </w:p>
    <w:p w14:paraId="37E23A9E">
      <w:pPr>
        <w:pStyle w:val="5"/>
        <w:spacing w:before="0" w:after="0" w:line="360" w:lineRule="auto"/>
        <w:rPr>
          <w:rFonts w:ascii="宋体" w:hAnsi="宋体" w:eastAsia="宋体" w:cs="黑体"/>
          <w:color w:val="auto"/>
          <w:kern w:val="0"/>
          <w:sz w:val="21"/>
          <w:szCs w:val="28"/>
          <w:highlight w:val="none"/>
        </w:rPr>
      </w:pPr>
      <w:bookmarkStart w:id="495" w:name="_Toc57494776"/>
      <w:bookmarkStart w:id="496" w:name="_Toc26275254"/>
      <w:bookmarkStart w:id="497" w:name="_Toc26942"/>
      <w:bookmarkStart w:id="498" w:name="_Toc534201358"/>
      <w:bookmarkStart w:id="499" w:name="_Toc16714"/>
      <w:r>
        <w:rPr>
          <w:rFonts w:ascii="宋体" w:hAnsi="宋体" w:eastAsia="宋体" w:cs="黑体"/>
          <w:color w:val="auto"/>
          <w:kern w:val="0"/>
          <w:sz w:val="21"/>
          <w:szCs w:val="28"/>
          <w:highlight w:val="none"/>
        </w:rPr>
        <w:t>1. 一般约定</w:t>
      </w:r>
      <w:bookmarkEnd w:id="495"/>
      <w:bookmarkEnd w:id="496"/>
      <w:bookmarkEnd w:id="497"/>
      <w:bookmarkEnd w:id="498"/>
      <w:bookmarkEnd w:id="499"/>
    </w:p>
    <w:p w14:paraId="259680B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 合同的生效及变更</w:t>
      </w:r>
    </w:p>
    <w:p w14:paraId="3D57452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1.4.2.3 如一方变更交货时间，应提前30日传真或函件通知对方。</w:t>
      </w:r>
    </w:p>
    <w:p w14:paraId="29BD138F">
      <w:pPr>
        <w:pStyle w:val="5"/>
        <w:spacing w:before="0" w:after="0" w:line="360" w:lineRule="auto"/>
        <w:rPr>
          <w:rFonts w:ascii="宋体" w:hAnsi="宋体" w:eastAsia="宋体" w:cs="黑体"/>
          <w:color w:val="auto"/>
          <w:kern w:val="0"/>
          <w:sz w:val="21"/>
          <w:szCs w:val="28"/>
          <w:highlight w:val="none"/>
        </w:rPr>
      </w:pPr>
      <w:bookmarkStart w:id="500" w:name="_Toc26275255"/>
      <w:bookmarkStart w:id="501" w:name="_Toc57494777"/>
      <w:bookmarkStart w:id="502" w:name="_Toc2750"/>
      <w:bookmarkStart w:id="503" w:name="_Toc9623"/>
      <w:bookmarkStart w:id="504" w:name="_Toc534201359"/>
      <w:r>
        <w:rPr>
          <w:rFonts w:ascii="宋体" w:hAnsi="宋体" w:eastAsia="宋体" w:cs="黑体"/>
          <w:color w:val="auto"/>
          <w:kern w:val="0"/>
          <w:sz w:val="21"/>
          <w:szCs w:val="28"/>
          <w:highlight w:val="none"/>
        </w:rPr>
        <w:t>2. 合同范围</w:t>
      </w:r>
      <w:bookmarkEnd w:id="500"/>
      <w:bookmarkEnd w:id="501"/>
      <w:bookmarkEnd w:id="502"/>
      <w:bookmarkEnd w:id="503"/>
      <w:bookmarkEnd w:id="504"/>
    </w:p>
    <w:p w14:paraId="44E493F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w:t>
      </w:r>
    </w:p>
    <w:p w14:paraId="74EC358E">
      <w:pPr>
        <w:pStyle w:val="5"/>
        <w:spacing w:before="0" w:after="0" w:line="360" w:lineRule="auto"/>
        <w:rPr>
          <w:rFonts w:ascii="宋体" w:hAnsi="宋体" w:eastAsia="宋体" w:cs="黑体"/>
          <w:color w:val="auto"/>
          <w:kern w:val="0"/>
          <w:sz w:val="21"/>
          <w:szCs w:val="28"/>
          <w:highlight w:val="none"/>
        </w:rPr>
      </w:pPr>
      <w:bookmarkStart w:id="505" w:name="_Toc28861"/>
      <w:bookmarkStart w:id="506" w:name="_Toc534201360"/>
      <w:bookmarkStart w:id="507" w:name="_Toc10826"/>
      <w:bookmarkStart w:id="508" w:name="_Toc57494778"/>
      <w:bookmarkStart w:id="509" w:name="_Toc26275256"/>
      <w:r>
        <w:rPr>
          <w:rFonts w:ascii="宋体" w:hAnsi="宋体" w:eastAsia="宋体" w:cs="黑体"/>
          <w:color w:val="auto"/>
          <w:kern w:val="0"/>
          <w:sz w:val="21"/>
          <w:szCs w:val="28"/>
          <w:highlight w:val="none"/>
        </w:rPr>
        <w:t>3. 合同价格与支付</w:t>
      </w:r>
      <w:bookmarkEnd w:id="505"/>
      <w:bookmarkEnd w:id="506"/>
      <w:bookmarkEnd w:id="507"/>
      <w:bookmarkEnd w:id="508"/>
      <w:bookmarkEnd w:id="509"/>
    </w:p>
    <w:p w14:paraId="38C863A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2E88361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100万元时，本合同价款分预付款、入卖方成品库款、交货款和结清款四次支付，支付比例为1:2:6.5:0.5。</w:t>
      </w:r>
      <w:r>
        <w:rPr>
          <w:rFonts w:hint="eastAsia" w:ascii="宋体" w:hAnsi="宋体" w:eastAsia="宋体" w:cs="黑体"/>
          <w:color w:val="auto"/>
          <w:kern w:val="0"/>
          <w:szCs w:val="21"/>
          <w:highlight w:val="none"/>
        </w:rPr>
        <w:t>卖方为中小企业的，合同价款支付比例为2:2:5.5:0.5。</w:t>
      </w:r>
    </w:p>
    <w:p w14:paraId="6F57D008">
      <w:pPr>
        <w:pStyle w:val="5"/>
        <w:spacing w:before="0" w:after="0" w:line="360" w:lineRule="auto"/>
        <w:rPr>
          <w:rFonts w:ascii="宋体" w:hAnsi="宋体" w:eastAsia="宋体" w:cs="黑体"/>
          <w:color w:val="auto"/>
          <w:kern w:val="0"/>
          <w:sz w:val="21"/>
          <w:szCs w:val="28"/>
          <w:highlight w:val="none"/>
        </w:rPr>
      </w:pPr>
      <w:bookmarkStart w:id="510" w:name="_Toc26275257"/>
      <w:bookmarkStart w:id="511" w:name="_Toc11825"/>
      <w:bookmarkStart w:id="512" w:name="_Toc5593"/>
      <w:bookmarkStart w:id="513" w:name="_Toc57494779"/>
      <w:bookmarkStart w:id="514" w:name="_Toc534201361"/>
      <w:r>
        <w:rPr>
          <w:rFonts w:ascii="宋体" w:hAnsi="宋体" w:eastAsia="宋体" w:cs="黑体"/>
          <w:color w:val="auto"/>
          <w:kern w:val="0"/>
          <w:sz w:val="21"/>
          <w:szCs w:val="28"/>
          <w:highlight w:val="none"/>
        </w:rPr>
        <w:t>4. 监造及交货前检验</w:t>
      </w:r>
      <w:bookmarkEnd w:id="510"/>
      <w:bookmarkEnd w:id="511"/>
      <w:bookmarkEnd w:id="512"/>
      <w:bookmarkEnd w:id="513"/>
      <w:bookmarkEnd w:id="514"/>
    </w:p>
    <w:p w14:paraId="0FC2B91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0CE5F87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卖方所提供的组件或附件如需向第三方外购时，卖方应提供相应出厂和验收证明。</w:t>
      </w:r>
    </w:p>
    <w:p w14:paraId="1EEE47B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监造验收工作结束后，</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应提交监造报告，并作为设备原始资料存档。</w:t>
      </w:r>
    </w:p>
    <w:p w14:paraId="48B8254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2481057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4.3.6 增加抽检项目包括但不限于：</w:t>
      </w:r>
    </w:p>
    <w:p w14:paraId="58CF2A3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油浸倒立式电流互感器：振动后的耐压、局部放电试验。</w:t>
      </w:r>
    </w:p>
    <w:p w14:paraId="06337CD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油浸正立式电流互感器：动稳定试验；耐压、局部放电试验。</w:t>
      </w:r>
    </w:p>
    <w:p w14:paraId="6385CBF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SF6倒立式电流互感器：振动后的耐压、局部放电试验及检漏试验、零表压（微正压）下的交流耐压试验。</w:t>
      </w:r>
    </w:p>
    <w:p w14:paraId="65EAB8E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干式电流互感器：动稳定试验；温度变化后的耐压、局部放电试验。</w:t>
      </w:r>
    </w:p>
    <w:p w14:paraId="536BF68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电容式电压互感器：耐压、局部放电试验。</w:t>
      </w:r>
    </w:p>
    <w:p w14:paraId="0AE7D5E1">
      <w:pPr>
        <w:pStyle w:val="5"/>
        <w:spacing w:before="0" w:after="0" w:line="360" w:lineRule="auto"/>
        <w:rPr>
          <w:rFonts w:ascii="宋体" w:hAnsi="宋体" w:eastAsia="宋体" w:cs="黑体"/>
          <w:color w:val="auto"/>
          <w:kern w:val="0"/>
          <w:sz w:val="21"/>
          <w:szCs w:val="28"/>
          <w:highlight w:val="none"/>
        </w:rPr>
      </w:pPr>
      <w:bookmarkStart w:id="515" w:name="_Toc534201362"/>
      <w:bookmarkStart w:id="516" w:name="_Toc57494780"/>
      <w:bookmarkStart w:id="517" w:name="_Toc1744"/>
      <w:bookmarkStart w:id="518" w:name="_Toc26275258"/>
      <w:bookmarkStart w:id="519" w:name="_Toc28359"/>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515"/>
      <w:bookmarkEnd w:id="516"/>
      <w:bookmarkEnd w:id="517"/>
      <w:bookmarkEnd w:id="518"/>
      <w:bookmarkEnd w:id="519"/>
    </w:p>
    <w:p w14:paraId="3F52876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5015B17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合同设备应牢固固定在木制箱中，以防止在严重冲击时发生相对位移和损坏。</w:t>
      </w:r>
    </w:p>
    <w:p w14:paraId="0DF1658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5.1.4 套管瓷件应牢固固定在木制箱中，以防止在严重冲击时发生相对位移</w:t>
      </w:r>
      <w:r>
        <w:rPr>
          <w:rFonts w:hint="eastAsia" w:ascii="宋体" w:hAnsi="宋体" w:eastAsia="宋体" w:cs="黑体"/>
          <w:color w:val="auto"/>
          <w:kern w:val="0"/>
          <w:szCs w:val="21"/>
          <w:highlight w:val="none"/>
        </w:rPr>
        <w:t>。</w:t>
      </w:r>
    </w:p>
    <w:p w14:paraId="192C7C1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 运输</w:t>
      </w:r>
    </w:p>
    <w:p w14:paraId="01702FA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5.3.8 对220kV以上SF6电磁式电流（电压）互感器运输过程中应装设冲击记录器，以指示货物在运输途中是否发生过严重冲撞。到达现场卖方应保证冲撞记录器在运输全过程中处于正常工作状态，同时保证在运输过程中可能受到的最大加速度10g所产生的冲击力而互感器不松动、不损坏、不变形。</w:t>
      </w:r>
    </w:p>
    <w:p w14:paraId="0D5A8C4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5.3.9 卖方在货物本体装运前应直接在货物上装设具有计时功能的经检验合格的三维冲击记录器，以指示货物在运输途中是否发生过严重冲撞。到达现场上基础就位后还应检查记录。卖方应保证三维冲撞记录仪在运输全过程中（含上基础）处于正常工作状态，同时保证在运输过程中可能受到的最大加速度3g（三维空间的任一方向）所产生的冲击力而互感器本体不松动、不损坏、不变形。</w:t>
      </w:r>
    </w:p>
    <w:p w14:paraId="53EE1443">
      <w:pPr>
        <w:pStyle w:val="5"/>
        <w:spacing w:before="0" w:after="0" w:line="360" w:lineRule="auto"/>
        <w:rPr>
          <w:rFonts w:ascii="宋体" w:hAnsi="宋体" w:eastAsia="宋体" w:cs="黑体"/>
          <w:color w:val="auto"/>
          <w:kern w:val="0"/>
          <w:sz w:val="21"/>
          <w:szCs w:val="28"/>
          <w:highlight w:val="none"/>
        </w:rPr>
      </w:pPr>
      <w:bookmarkStart w:id="520" w:name="_Toc26275259"/>
      <w:bookmarkStart w:id="521" w:name="_Toc11347"/>
      <w:bookmarkStart w:id="522" w:name="_Toc30521"/>
      <w:bookmarkStart w:id="523" w:name="_Toc57494781"/>
      <w:bookmarkStart w:id="524" w:name="_Toc534201363"/>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520"/>
      <w:bookmarkEnd w:id="521"/>
      <w:bookmarkEnd w:id="522"/>
      <w:bookmarkEnd w:id="523"/>
      <w:bookmarkEnd w:id="524"/>
    </w:p>
    <w:p w14:paraId="4F4FCD6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0C88450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在试验中发现绝缘击穿，对修理部位的质量保证期应延长2年。</w:t>
      </w:r>
    </w:p>
    <w:p w14:paraId="1807026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厂内局部放电试验不合格，每重复处理一次，其质保期应延长</w:t>
      </w:r>
      <w:r>
        <w:rPr>
          <w:rFonts w:ascii="宋体" w:hAnsi="宋体" w:eastAsia="宋体" w:cs="黑体"/>
          <w:color w:val="auto"/>
          <w:kern w:val="0"/>
          <w:szCs w:val="21"/>
          <w:highlight w:val="none"/>
        </w:rPr>
        <w:t>1年，并将原因和处理情况列入出厂文件。现场局部放电试验不满足技术规范书要求但满足国家标准，经协商买方认为可以接受时，其质保期应延长1年。</w:t>
      </w:r>
    </w:p>
    <w:p w14:paraId="2B22CCC7">
      <w:pPr>
        <w:pStyle w:val="5"/>
        <w:spacing w:before="0" w:after="0" w:line="360" w:lineRule="auto"/>
        <w:rPr>
          <w:rFonts w:ascii="宋体" w:hAnsi="宋体" w:eastAsia="宋体" w:cs="黑体"/>
          <w:color w:val="auto"/>
          <w:kern w:val="0"/>
          <w:sz w:val="21"/>
          <w:szCs w:val="28"/>
          <w:highlight w:val="none"/>
        </w:rPr>
      </w:pPr>
      <w:bookmarkStart w:id="525" w:name="_Toc57494782"/>
      <w:bookmarkStart w:id="526" w:name="_Toc534201364"/>
      <w:bookmarkStart w:id="527" w:name="_Toc28547"/>
      <w:bookmarkStart w:id="528" w:name="_Toc2356"/>
      <w:bookmarkStart w:id="529" w:name="_Toc26275260"/>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525"/>
      <w:bookmarkEnd w:id="526"/>
      <w:bookmarkEnd w:id="527"/>
      <w:bookmarkEnd w:id="528"/>
      <w:bookmarkEnd w:id="529"/>
    </w:p>
    <w:p w14:paraId="22A3F15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卖方承诺合同货物的使用寿命不少于40年。</w:t>
      </w:r>
    </w:p>
    <w:p w14:paraId="17801388">
      <w:pPr>
        <w:pStyle w:val="5"/>
        <w:spacing w:before="0" w:after="0" w:line="360" w:lineRule="auto"/>
        <w:rPr>
          <w:rFonts w:ascii="宋体" w:hAnsi="宋体" w:eastAsia="宋体" w:cs="黑体"/>
          <w:color w:val="auto"/>
          <w:kern w:val="0"/>
          <w:sz w:val="21"/>
          <w:szCs w:val="28"/>
          <w:highlight w:val="none"/>
        </w:rPr>
      </w:pPr>
      <w:bookmarkStart w:id="530" w:name="_Toc26275261"/>
      <w:bookmarkStart w:id="531" w:name="_Toc12229"/>
      <w:bookmarkStart w:id="532" w:name="_Toc534201365"/>
      <w:bookmarkStart w:id="533" w:name="_Toc57494783"/>
      <w:bookmarkStart w:id="534" w:name="_Toc14258"/>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530"/>
      <w:bookmarkEnd w:id="531"/>
      <w:bookmarkEnd w:id="532"/>
      <w:bookmarkEnd w:id="533"/>
      <w:bookmarkEnd w:id="534"/>
    </w:p>
    <w:p w14:paraId="7A38BD2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3739293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5E7CD82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14.1.4.3 </w:t>
      </w:r>
      <w:r>
        <w:rPr>
          <w:rFonts w:hint="eastAsia" w:ascii="宋体" w:hAnsi="宋体" w:eastAsia="宋体" w:cs="Times New Roman"/>
          <w:color w:val="auto"/>
          <w:kern w:val="0"/>
          <w:szCs w:val="21"/>
          <w:highlight w:val="none"/>
        </w:rPr>
        <w:t>卖方支付违约</w:t>
      </w:r>
      <w:r>
        <w:rPr>
          <w:rFonts w:hint="eastAsia" w:ascii="宋体" w:hAnsi="宋体" w:eastAsia="宋体" w:cs="黑体"/>
          <w:color w:val="auto"/>
          <w:kern w:val="0"/>
          <w:szCs w:val="21"/>
          <w:highlight w:val="none"/>
        </w:rPr>
        <w:t>金</w:t>
      </w:r>
      <w:r>
        <w:rPr>
          <w:rFonts w:hint="eastAsia" w:ascii="宋体" w:hAnsi="宋体" w:eastAsia="宋体" w:cs="Times New Roman"/>
          <w:color w:val="auto"/>
          <w:kern w:val="0"/>
          <w:szCs w:val="21"/>
          <w:highlight w:val="none"/>
        </w:rPr>
        <w:t>的标准如下：</w:t>
      </w:r>
    </w:p>
    <w:p w14:paraId="21C930B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1）对于tgδ、误差极限、局放超标等，不满足技术规范书要求或投标承诺</w:t>
      </w:r>
      <w:r>
        <w:rPr>
          <w:rFonts w:hint="eastAsia" w:ascii="宋体" w:hAnsi="宋体" w:eastAsia="宋体" w:cs="Times New Roman"/>
          <w:color w:val="auto"/>
          <w:kern w:val="0"/>
          <w:szCs w:val="21"/>
          <w:highlight w:val="none"/>
        </w:rPr>
        <w:t>，但</w:t>
      </w:r>
      <w:r>
        <w:rPr>
          <w:rFonts w:ascii="宋体" w:hAnsi="宋体" w:eastAsia="宋体" w:cs="Times New Roman"/>
          <w:color w:val="auto"/>
          <w:kern w:val="0"/>
          <w:szCs w:val="21"/>
          <w:highlight w:val="none"/>
        </w:rPr>
        <w:t>满足国家标准或行业标准，</w:t>
      </w:r>
      <w:r>
        <w:rPr>
          <w:rFonts w:hint="eastAsia" w:ascii="宋体" w:hAnsi="宋体" w:eastAsia="宋体" w:cs="黑体"/>
          <w:color w:val="auto"/>
          <w:kern w:val="0"/>
          <w:szCs w:val="21"/>
          <w:highlight w:val="none"/>
        </w:rPr>
        <w:t>且经</w:t>
      </w:r>
      <w:r>
        <w:rPr>
          <w:rFonts w:ascii="宋体" w:hAnsi="宋体" w:eastAsia="宋体" w:cs="黑体"/>
          <w:color w:val="auto"/>
          <w:kern w:val="0"/>
          <w:szCs w:val="21"/>
          <w:highlight w:val="none"/>
        </w:rPr>
        <w:t>买方认可接受</w:t>
      </w:r>
      <w:r>
        <w:rPr>
          <w:rFonts w:hint="eastAsia" w:ascii="宋体" w:hAnsi="宋体" w:eastAsia="宋体" w:cs="黑体"/>
          <w:color w:val="auto"/>
          <w:kern w:val="0"/>
          <w:szCs w:val="21"/>
          <w:highlight w:val="none"/>
        </w:rPr>
        <w:t>的</w:t>
      </w:r>
      <w:r>
        <w:rPr>
          <w:rFonts w:ascii="宋体" w:hAnsi="宋体" w:eastAsia="宋体" w:cs="黑体"/>
          <w:color w:val="auto"/>
          <w:kern w:val="0"/>
          <w:szCs w:val="21"/>
          <w:highlight w:val="none"/>
        </w:rPr>
        <w:t>，</w:t>
      </w:r>
      <w:r>
        <w:rPr>
          <w:rFonts w:ascii="宋体" w:hAnsi="宋体" w:eastAsia="宋体" w:cs="Times New Roman"/>
          <w:color w:val="auto"/>
          <w:kern w:val="0"/>
          <w:szCs w:val="21"/>
          <w:highlight w:val="none"/>
        </w:rPr>
        <w:t>卖方应向买方支付</w:t>
      </w:r>
      <w:r>
        <w:rPr>
          <w:rFonts w:hint="eastAsia" w:ascii="宋体" w:hAnsi="宋体" w:eastAsia="宋体" w:cs="Times New Roman"/>
          <w:color w:val="auto"/>
          <w:kern w:val="0"/>
          <w:szCs w:val="21"/>
          <w:highlight w:val="none"/>
        </w:rPr>
        <w:t>违约</w:t>
      </w:r>
      <w:r>
        <w:rPr>
          <w:rFonts w:ascii="宋体" w:hAnsi="宋体" w:eastAsia="宋体" w:cs="Times New Roman"/>
          <w:color w:val="auto"/>
          <w:kern w:val="0"/>
          <w:szCs w:val="21"/>
          <w:highlight w:val="none"/>
        </w:rPr>
        <w:t>金，金额由买卖双方协商；不满足国家标准或行业标准且不满足技术规范书要求的，应予以退货处理，由此而引起的窝工费、推迟投产工期等损失，由卖方负责。</w:t>
      </w:r>
    </w:p>
    <w:p w14:paraId="5225219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2）对于电容式电压互感器不允许有渗漏油。如发现电磁单元有渗漏情况，允许卖方在现场处理，每发现1点，支付违约金1000元。如处理后仍有渗漏现象，卖方应予以免费更换。</w:t>
      </w:r>
    </w:p>
    <w:p w14:paraId="58118BB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3）对于SF6气体绝缘电磁式电流（电压）互感器不允许有气体泄漏。如发现有泄漏情况，允许卖方在现场处理，每发现1处，支付违约金2000元。如处理后仍有泄漏现象，卖方应予以免费更换。</w:t>
      </w:r>
    </w:p>
    <w:p w14:paraId="3A0C9AB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w:t>
      </w:r>
      <w:r>
        <w:rPr>
          <w:rFonts w:ascii="宋体" w:hAnsi="宋体" w:eastAsia="宋体" w:cs="Times New Roman"/>
          <w:color w:val="auto"/>
          <w:kern w:val="0"/>
          <w:szCs w:val="21"/>
          <w:highlight w:val="none"/>
        </w:rPr>
        <w:t>4）对于油浸电磁式电流（电压）互感器不允许有渗漏油。如发现金属膨胀器或底座油箱有渗漏情况，允许卖方在现场处理，每发现1处漏点，支付违约金2000元。如处理后仍有渗漏现象，卖方应予以免费更换。</w:t>
      </w:r>
    </w:p>
    <w:p w14:paraId="41B15D7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14.5 </w:t>
      </w:r>
      <w:r>
        <w:rPr>
          <w:rFonts w:hint="eastAsia" w:ascii="宋体" w:hAnsi="宋体" w:eastAsia="宋体" w:cs="Times New Roman"/>
          <w:color w:val="auto"/>
          <w:kern w:val="0"/>
          <w:szCs w:val="21"/>
          <w:highlight w:val="none"/>
        </w:rPr>
        <w:t>监造及交货前检验</w:t>
      </w:r>
    </w:p>
    <w:p w14:paraId="684CAA4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14.5.2 </w:t>
      </w:r>
      <w:r>
        <w:rPr>
          <w:rFonts w:hint="eastAsia" w:ascii="宋体" w:hAnsi="宋体" w:eastAsia="宋体" w:cs="黑体"/>
          <w:color w:val="auto"/>
          <w:kern w:val="0"/>
          <w:szCs w:val="21"/>
          <w:highlight w:val="none"/>
        </w:rPr>
        <w:t>合同设备的任何组件如有缺陷，如瓷套有裂纹、破损等情况，应予以拒收。</w:t>
      </w:r>
    </w:p>
    <w:p w14:paraId="4BA62E3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14.7 开箱检验、安装、调试、考核、验收</w:t>
      </w:r>
    </w:p>
    <w:p w14:paraId="1406E9F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14.7.8 对于暂态特性不合格的合同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，应予以退货处理，其耽误的工期等损失由卖方负责赔偿，具体费用双方协商。对于铁磁谐振、瞬变响应、高频特性等有一项指标不合格的合同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，予以退货，其耽误的工期等损失由卖方负责赔偿，具体费用由双方协商。</w:t>
      </w:r>
    </w:p>
    <w:p w14:paraId="7F03E8B5">
      <w:pPr>
        <w:pStyle w:val="4"/>
        <w:jc w:val="center"/>
        <w:rPr>
          <w:rFonts w:ascii="宋体" w:hAnsi="宋体" w:eastAsia="宋体" w:cs="Times New Roman"/>
          <w:color w:val="auto"/>
          <w:kern w:val="0"/>
          <w:sz w:val="28"/>
          <w:highlight w:val="none"/>
        </w:rPr>
      </w:pPr>
      <w:bookmarkStart w:id="535" w:name="_Toc3019"/>
      <w:bookmarkStart w:id="536" w:name="_Toc8848"/>
      <w:bookmarkStart w:id="537" w:name="_Toc57494784"/>
      <w:r>
        <w:rPr>
          <w:rFonts w:hint="eastAsia" w:ascii="宋体" w:hAnsi="宋体" w:eastAsia="宋体" w:cs="Times New Roman"/>
          <w:color w:val="auto"/>
          <w:kern w:val="0"/>
          <w:sz w:val="28"/>
          <w:highlight w:val="none"/>
        </w:rPr>
        <w:t>（五）</w:t>
      </w:r>
      <w:r>
        <w:rPr>
          <w:rFonts w:ascii="宋体" w:hAnsi="宋体" w:eastAsia="宋体" w:cs="Times New Roman"/>
          <w:color w:val="auto"/>
          <w:kern w:val="0"/>
          <w:sz w:val="28"/>
          <w:highlight w:val="none"/>
        </w:rPr>
        <w:t>35kV以下断路器</w:t>
      </w:r>
      <w:bookmarkEnd w:id="535"/>
      <w:bookmarkEnd w:id="536"/>
      <w:bookmarkEnd w:id="537"/>
    </w:p>
    <w:p w14:paraId="57FF3984">
      <w:pPr>
        <w:pStyle w:val="5"/>
        <w:spacing w:before="0" w:after="0" w:line="360" w:lineRule="auto"/>
        <w:rPr>
          <w:rFonts w:ascii="宋体" w:hAnsi="宋体" w:eastAsia="宋体" w:cs="黑体"/>
          <w:color w:val="auto"/>
          <w:kern w:val="0"/>
          <w:sz w:val="21"/>
          <w:szCs w:val="28"/>
          <w:highlight w:val="none"/>
        </w:rPr>
      </w:pPr>
      <w:bookmarkStart w:id="538" w:name="_Toc26275263"/>
      <w:bookmarkStart w:id="539" w:name="_Toc25255"/>
      <w:bookmarkStart w:id="540" w:name="_Toc534201367"/>
      <w:bookmarkStart w:id="541" w:name="_Toc9205"/>
      <w:bookmarkStart w:id="542" w:name="_Toc57494785"/>
      <w:r>
        <w:rPr>
          <w:rFonts w:ascii="宋体" w:hAnsi="宋体" w:eastAsia="宋体" w:cs="黑体"/>
          <w:color w:val="auto"/>
          <w:kern w:val="0"/>
          <w:sz w:val="21"/>
          <w:szCs w:val="28"/>
          <w:highlight w:val="none"/>
        </w:rPr>
        <w:t>1. 一般约定</w:t>
      </w:r>
      <w:bookmarkEnd w:id="538"/>
      <w:bookmarkEnd w:id="539"/>
      <w:bookmarkEnd w:id="540"/>
      <w:bookmarkEnd w:id="541"/>
      <w:bookmarkEnd w:id="542"/>
    </w:p>
    <w:p w14:paraId="4A1AC8F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 合同的生效及变更</w:t>
      </w:r>
    </w:p>
    <w:p w14:paraId="52A1B93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1.4.2.3如一方变更交货时间，应提前15日传真或函件通知对方。</w:t>
      </w:r>
    </w:p>
    <w:p w14:paraId="0006F376">
      <w:pPr>
        <w:pStyle w:val="5"/>
        <w:spacing w:before="0" w:after="0" w:line="360" w:lineRule="auto"/>
        <w:rPr>
          <w:rFonts w:ascii="宋体" w:hAnsi="宋体" w:eastAsia="宋体" w:cs="黑体"/>
          <w:color w:val="auto"/>
          <w:kern w:val="0"/>
          <w:sz w:val="21"/>
          <w:szCs w:val="28"/>
          <w:highlight w:val="none"/>
        </w:rPr>
      </w:pPr>
      <w:bookmarkStart w:id="543" w:name="_Toc26275264"/>
      <w:bookmarkStart w:id="544" w:name="_Toc32621"/>
      <w:bookmarkStart w:id="545" w:name="_Toc534201368"/>
      <w:bookmarkStart w:id="546" w:name="_Toc17538"/>
      <w:bookmarkStart w:id="547" w:name="_Toc57494786"/>
      <w:r>
        <w:rPr>
          <w:rFonts w:ascii="宋体" w:hAnsi="宋体" w:eastAsia="宋体" w:cs="黑体"/>
          <w:color w:val="auto"/>
          <w:kern w:val="0"/>
          <w:sz w:val="21"/>
          <w:szCs w:val="28"/>
          <w:highlight w:val="none"/>
        </w:rPr>
        <w:t>2. 合同范围</w:t>
      </w:r>
      <w:bookmarkEnd w:id="543"/>
      <w:bookmarkEnd w:id="544"/>
      <w:bookmarkEnd w:id="545"/>
      <w:bookmarkEnd w:id="546"/>
      <w:bookmarkEnd w:id="547"/>
    </w:p>
    <w:p w14:paraId="51D017E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4624A4F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2.6 卖方应在安装前提供现场安装工作的标准化作业指导书，重点明确安装流程、安装工艺要求及现场检查、验证项目及标准。</w:t>
      </w:r>
    </w:p>
    <w:p w14:paraId="49E329F2">
      <w:pPr>
        <w:pStyle w:val="5"/>
        <w:spacing w:before="0" w:after="0" w:line="360" w:lineRule="auto"/>
        <w:rPr>
          <w:rFonts w:ascii="宋体" w:hAnsi="宋体" w:eastAsia="宋体" w:cs="黑体"/>
          <w:color w:val="auto"/>
          <w:kern w:val="0"/>
          <w:sz w:val="21"/>
          <w:szCs w:val="28"/>
          <w:highlight w:val="none"/>
        </w:rPr>
      </w:pPr>
      <w:bookmarkStart w:id="548" w:name="_Toc534201369"/>
      <w:bookmarkStart w:id="549" w:name="_Toc24232"/>
      <w:bookmarkStart w:id="550" w:name="_Toc57494787"/>
      <w:bookmarkStart w:id="551" w:name="_Toc29801"/>
      <w:bookmarkStart w:id="552" w:name="_Toc26275265"/>
      <w:r>
        <w:rPr>
          <w:rFonts w:ascii="宋体" w:hAnsi="宋体" w:eastAsia="宋体" w:cs="黑体"/>
          <w:color w:val="auto"/>
          <w:kern w:val="0"/>
          <w:sz w:val="21"/>
          <w:szCs w:val="28"/>
          <w:highlight w:val="none"/>
        </w:rPr>
        <w:t>3. 合同价格与支付</w:t>
      </w:r>
      <w:bookmarkEnd w:id="548"/>
      <w:bookmarkEnd w:id="549"/>
      <w:bookmarkEnd w:id="550"/>
      <w:bookmarkEnd w:id="551"/>
      <w:bookmarkEnd w:id="552"/>
    </w:p>
    <w:p w14:paraId="7BBFA63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1E0FE61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60221173">
      <w:pPr>
        <w:pStyle w:val="5"/>
        <w:spacing w:before="0" w:after="0" w:line="360" w:lineRule="auto"/>
        <w:rPr>
          <w:rFonts w:ascii="宋体" w:hAnsi="宋体" w:eastAsia="宋体" w:cs="黑体"/>
          <w:color w:val="auto"/>
          <w:kern w:val="0"/>
          <w:sz w:val="21"/>
          <w:szCs w:val="28"/>
          <w:highlight w:val="none"/>
        </w:rPr>
      </w:pPr>
      <w:bookmarkStart w:id="553" w:name="_Toc31294"/>
      <w:bookmarkStart w:id="554" w:name="_Toc2557"/>
      <w:bookmarkStart w:id="555" w:name="_Toc57494788"/>
      <w:bookmarkStart w:id="556" w:name="_Toc534201370"/>
      <w:bookmarkStart w:id="557" w:name="_Toc26275266"/>
      <w:r>
        <w:rPr>
          <w:rFonts w:ascii="宋体" w:hAnsi="宋体" w:eastAsia="宋体" w:cs="黑体"/>
          <w:color w:val="auto"/>
          <w:kern w:val="0"/>
          <w:sz w:val="21"/>
          <w:szCs w:val="28"/>
          <w:highlight w:val="none"/>
        </w:rPr>
        <w:t>4. 监造及交货前检验</w:t>
      </w:r>
      <w:bookmarkEnd w:id="553"/>
      <w:bookmarkEnd w:id="554"/>
      <w:bookmarkEnd w:id="555"/>
      <w:bookmarkEnd w:id="556"/>
      <w:bookmarkEnd w:id="557"/>
    </w:p>
    <w:p w14:paraId="27DC1D3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79C6496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卖方不得以外购绝缘件出厂试验报告代替本厂试验报告。</w:t>
      </w:r>
    </w:p>
    <w:p w14:paraId="598712C1">
      <w:pPr>
        <w:pStyle w:val="5"/>
        <w:spacing w:before="0" w:after="0" w:line="360" w:lineRule="auto"/>
        <w:rPr>
          <w:rFonts w:ascii="宋体" w:hAnsi="宋体" w:eastAsia="宋体" w:cs="黑体"/>
          <w:color w:val="auto"/>
          <w:kern w:val="0"/>
          <w:sz w:val="21"/>
          <w:szCs w:val="28"/>
          <w:highlight w:val="none"/>
        </w:rPr>
      </w:pPr>
      <w:bookmarkStart w:id="558" w:name="_Toc26275267"/>
      <w:bookmarkStart w:id="559" w:name="_Toc11737"/>
      <w:bookmarkStart w:id="560" w:name="_Toc2972"/>
      <w:bookmarkStart w:id="561" w:name="_Toc57494789"/>
      <w:bookmarkStart w:id="562" w:name="_Toc534201371"/>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558"/>
      <w:bookmarkEnd w:id="559"/>
      <w:bookmarkEnd w:id="560"/>
      <w:bookmarkEnd w:id="561"/>
      <w:bookmarkEnd w:id="562"/>
    </w:p>
    <w:p w14:paraId="505AD0E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 运输</w:t>
      </w:r>
    </w:p>
    <w:p w14:paraId="6A16710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5.3.6 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运输时应在密封、充微正压的干燥气体(如SF6或N2)和放置吸湿剂的情况下包装、运输。如现场验收发现不能满足要求，卖方应按买方要求进行返厂维修。</w:t>
      </w:r>
    </w:p>
    <w:p w14:paraId="4715D566">
      <w:pPr>
        <w:pStyle w:val="5"/>
        <w:spacing w:before="0" w:after="0" w:line="360" w:lineRule="auto"/>
        <w:rPr>
          <w:rFonts w:ascii="宋体" w:hAnsi="宋体" w:eastAsia="宋体" w:cs="黑体"/>
          <w:color w:val="auto"/>
          <w:kern w:val="0"/>
          <w:sz w:val="21"/>
          <w:szCs w:val="28"/>
          <w:highlight w:val="none"/>
        </w:rPr>
      </w:pPr>
      <w:bookmarkStart w:id="563" w:name="_Toc57494790"/>
      <w:bookmarkStart w:id="564" w:name="_Toc26909"/>
      <w:bookmarkStart w:id="565" w:name="_Toc534201372"/>
      <w:bookmarkStart w:id="566" w:name="_Toc26275268"/>
      <w:bookmarkStart w:id="567" w:name="_Toc10595"/>
      <w:r>
        <w:rPr>
          <w:rFonts w:ascii="宋体" w:hAnsi="宋体" w:eastAsia="宋体" w:cs="黑体"/>
          <w:color w:val="auto"/>
          <w:kern w:val="0"/>
          <w:sz w:val="21"/>
          <w:szCs w:val="28"/>
          <w:highlight w:val="none"/>
        </w:rPr>
        <w:t>7. 技术服务</w:t>
      </w:r>
      <w:bookmarkEnd w:id="563"/>
      <w:bookmarkEnd w:id="564"/>
      <w:bookmarkEnd w:id="565"/>
      <w:bookmarkEnd w:id="566"/>
      <w:bookmarkEnd w:id="567"/>
    </w:p>
    <w:p w14:paraId="53D6B5D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7.1.5.6 卖方提供培训服务的总量应当不少于7×8人天。</w:t>
      </w:r>
    </w:p>
    <w:p w14:paraId="2B296CE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对培训合格人员，卖方应授予厂家认可的资质证书。卖方还应定期对合格人员进行培训，以保持其能力水平不下降。</w:t>
      </w:r>
    </w:p>
    <w:p w14:paraId="7F0882B0">
      <w:pPr>
        <w:pStyle w:val="5"/>
        <w:spacing w:before="0" w:after="0" w:line="360" w:lineRule="auto"/>
        <w:rPr>
          <w:rFonts w:ascii="宋体" w:hAnsi="宋体" w:eastAsia="宋体" w:cs="黑体"/>
          <w:color w:val="auto"/>
          <w:kern w:val="0"/>
          <w:sz w:val="21"/>
          <w:szCs w:val="28"/>
          <w:highlight w:val="none"/>
        </w:rPr>
      </w:pPr>
      <w:bookmarkStart w:id="568" w:name="_Toc14174"/>
      <w:bookmarkStart w:id="569" w:name="_Toc27954"/>
      <w:bookmarkStart w:id="570" w:name="_Toc26275269"/>
      <w:bookmarkStart w:id="571" w:name="_Toc57494791"/>
      <w:bookmarkStart w:id="572" w:name="_Toc534201373"/>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568"/>
      <w:bookmarkEnd w:id="569"/>
      <w:bookmarkEnd w:id="570"/>
      <w:bookmarkEnd w:id="571"/>
      <w:bookmarkEnd w:id="572"/>
    </w:p>
    <w:p w14:paraId="16F686A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044C13F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在试验中发现绝缘击穿，对修理部位的质量保证期应延长2年。</w:t>
      </w:r>
    </w:p>
    <w:p w14:paraId="16C5E76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在厂内时间参数、泄露率等不合格，经反复处理后合格，其质保期应延长</w:t>
      </w:r>
      <w:r>
        <w:rPr>
          <w:rFonts w:ascii="宋体" w:hAnsi="宋体" w:eastAsia="宋体" w:cs="黑体"/>
          <w:color w:val="auto"/>
          <w:kern w:val="0"/>
          <w:szCs w:val="21"/>
          <w:highlight w:val="none"/>
        </w:rPr>
        <w:t>1年，并将原因和处理情况列入出厂文件。</w:t>
      </w:r>
    </w:p>
    <w:p w14:paraId="1DF2854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在现场安装时对机构进行重新调整处理的，合同设备质量保证期应延长</w:t>
      </w:r>
      <w:r>
        <w:rPr>
          <w:rFonts w:ascii="宋体" w:hAnsi="宋体" w:eastAsia="宋体" w:cs="黑体"/>
          <w:color w:val="auto"/>
          <w:kern w:val="0"/>
          <w:szCs w:val="21"/>
          <w:highlight w:val="none"/>
        </w:rPr>
        <w:t>2年。</w:t>
      </w:r>
    </w:p>
    <w:p w14:paraId="66BEEE5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在合同设备质量保证期内，现场进行开盖处理的质量保证期重新计算，并延长</w:t>
      </w:r>
      <w:r>
        <w:rPr>
          <w:rFonts w:ascii="宋体" w:hAnsi="宋体" w:eastAsia="宋体" w:cs="黑体"/>
          <w:color w:val="auto"/>
          <w:kern w:val="0"/>
          <w:szCs w:val="21"/>
          <w:highlight w:val="none"/>
        </w:rPr>
        <w:t>2年。</w:t>
      </w:r>
    </w:p>
    <w:p w14:paraId="54FF86EF">
      <w:pPr>
        <w:pStyle w:val="5"/>
        <w:spacing w:before="0" w:after="0" w:line="360" w:lineRule="auto"/>
        <w:rPr>
          <w:rFonts w:ascii="宋体" w:hAnsi="宋体" w:eastAsia="宋体" w:cs="黑体"/>
          <w:color w:val="auto"/>
          <w:kern w:val="0"/>
          <w:sz w:val="21"/>
          <w:szCs w:val="28"/>
          <w:highlight w:val="none"/>
        </w:rPr>
      </w:pPr>
      <w:bookmarkStart w:id="573" w:name="_Toc149"/>
      <w:bookmarkStart w:id="574" w:name="_Toc26275270"/>
      <w:bookmarkStart w:id="575" w:name="_Toc24"/>
      <w:bookmarkStart w:id="576" w:name="_Toc57494792"/>
      <w:bookmarkStart w:id="577" w:name="_Toc534201374"/>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573"/>
      <w:bookmarkEnd w:id="574"/>
      <w:bookmarkEnd w:id="575"/>
      <w:bookmarkEnd w:id="576"/>
      <w:bookmarkEnd w:id="577"/>
    </w:p>
    <w:p w14:paraId="681A665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的使用寿命不少于40年。</w:t>
      </w:r>
    </w:p>
    <w:p w14:paraId="08693CDA">
      <w:pPr>
        <w:pStyle w:val="5"/>
        <w:spacing w:before="0" w:after="0" w:line="360" w:lineRule="auto"/>
        <w:rPr>
          <w:rFonts w:ascii="宋体" w:hAnsi="宋体" w:eastAsia="宋体" w:cs="黑体"/>
          <w:color w:val="auto"/>
          <w:kern w:val="0"/>
          <w:sz w:val="21"/>
          <w:szCs w:val="28"/>
          <w:highlight w:val="none"/>
        </w:rPr>
      </w:pPr>
      <w:bookmarkStart w:id="578" w:name="_Toc26275271"/>
      <w:bookmarkStart w:id="579" w:name="_Toc11437"/>
      <w:bookmarkStart w:id="580" w:name="_Toc534201375"/>
      <w:bookmarkStart w:id="581" w:name="_Toc19235"/>
      <w:bookmarkStart w:id="582" w:name="_Toc57494793"/>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578"/>
      <w:bookmarkEnd w:id="579"/>
      <w:bookmarkEnd w:id="580"/>
      <w:bookmarkEnd w:id="581"/>
      <w:bookmarkEnd w:id="582"/>
    </w:p>
    <w:p w14:paraId="770A5D2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160FAC3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3B620B1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289AC37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1）质量保证期内货物本体不允许有SF6气体超标泄漏现象（年漏气率不大于0.5%）。如发现有超标泄漏情况，每一处漏点卖方应向买方支付违约金1万元。</w:t>
      </w:r>
    </w:p>
    <w:p w14:paraId="01498CC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2）超过质量保证期，且运行时间不超过5年的货物本体不允许有SF6气体超标泄漏现象（年漏气率不大于0.5%）。如发现有超标泄漏情况，每一处漏点卖方应向买方支付违约金5千元。</w:t>
      </w:r>
    </w:p>
    <w:p w14:paraId="03EE1B33">
      <w:pPr>
        <w:pStyle w:val="4"/>
        <w:jc w:val="center"/>
        <w:rPr>
          <w:rFonts w:ascii="宋体" w:hAnsi="宋体" w:eastAsia="宋体" w:cs="Times New Roman"/>
          <w:color w:val="auto"/>
          <w:kern w:val="0"/>
          <w:sz w:val="28"/>
          <w:highlight w:val="none"/>
        </w:rPr>
      </w:pPr>
      <w:bookmarkStart w:id="583" w:name="_Toc31548"/>
      <w:bookmarkStart w:id="584" w:name="_Toc11679"/>
      <w:bookmarkStart w:id="585" w:name="_Toc57494794"/>
      <w:r>
        <w:rPr>
          <w:rFonts w:hint="eastAsia" w:ascii="宋体" w:hAnsi="宋体" w:eastAsia="宋体" w:cs="Times New Roman"/>
          <w:color w:val="auto"/>
          <w:kern w:val="0"/>
          <w:sz w:val="28"/>
          <w:highlight w:val="none"/>
        </w:rPr>
        <w:t>（六）</w:t>
      </w:r>
      <w:r>
        <w:rPr>
          <w:rFonts w:ascii="宋体" w:hAnsi="宋体" w:eastAsia="宋体" w:cs="Times New Roman"/>
          <w:color w:val="auto"/>
          <w:kern w:val="0"/>
          <w:sz w:val="28"/>
          <w:highlight w:val="none"/>
        </w:rPr>
        <w:t>35kV</w:t>
      </w:r>
      <w:r>
        <w:rPr>
          <w:rFonts w:hint="eastAsia" w:ascii="宋体" w:hAnsi="宋体" w:eastAsia="宋体" w:cs="Times New Roman"/>
          <w:color w:val="auto"/>
          <w:kern w:val="0"/>
          <w:sz w:val="28"/>
          <w:highlight w:val="none"/>
          <w:lang w:val="en-US" w:eastAsia="zh-CN"/>
        </w:rPr>
        <w:t>及</w:t>
      </w:r>
      <w:r>
        <w:rPr>
          <w:rFonts w:ascii="宋体" w:hAnsi="宋体" w:eastAsia="宋体" w:cs="Times New Roman"/>
          <w:color w:val="auto"/>
          <w:kern w:val="0"/>
          <w:sz w:val="28"/>
          <w:highlight w:val="none"/>
        </w:rPr>
        <w:t>以上断路器</w:t>
      </w:r>
      <w:bookmarkEnd w:id="583"/>
      <w:bookmarkEnd w:id="584"/>
      <w:bookmarkEnd w:id="585"/>
    </w:p>
    <w:p w14:paraId="0FBDC7F6">
      <w:pPr>
        <w:pStyle w:val="5"/>
        <w:spacing w:before="0" w:after="0" w:line="360" w:lineRule="auto"/>
        <w:rPr>
          <w:rFonts w:ascii="宋体" w:hAnsi="宋体" w:eastAsia="宋体" w:cs="黑体"/>
          <w:color w:val="auto"/>
          <w:kern w:val="0"/>
          <w:sz w:val="21"/>
          <w:szCs w:val="28"/>
          <w:highlight w:val="none"/>
        </w:rPr>
      </w:pPr>
      <w:bookmarkStart w:id="586" w:name="_Toc534201377"/>
      <w:bookmarkStart w:id="587" w:name="_Toc26275273"/>
      <w:bookmarkStart w:id="588" w:name="_Toc1481"/>
      <w:bookmarkStart w:id="589" w:name="_Toc57494795"/>
      <w:bookmarkStart w:id="590" w:name="_Toc8689"/>
      <w:r>
        <w:rPr>
          <w:rFonts w:ascii="宋体" w:hAnsi="宋体" w:eastAsia="宋体" w:cs="黑体"/>
          <w:color w:val="auto"/>
          <w:kern w:val="0"/>
          <w:sz w:val="21"/>
          <w:szCs w:val="28"/>
          <w:highlight w:val="none"/>
        </w:rPr>
        <w:t>1. 一般约定</w:t>
      </w:r>
      <w:bookmarkEnd w:id="586"/>
      <w:bookmarkEnd w:id="587"/>
      <w:bookmarkEnd w:id="588"/>
      <w:bookmarkEnd w:id="589"/>
      <w:bookmarkEnd w:id="590"/>
    </w:p>
    <w:p w14:paraId="4259172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 合同的生效及变更</w:t>
      </w:r>
    </w:p>
    <w:p w14:paraId="3746D18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1.4.2.3 如一方变更交货时间，应提前30日传真或函件通知对方。</w:t>
      </w:r>
    </w:p>
    <w:p w14:paraId="1BEC4E50">
      <w:pPr>
        <w:pStyle w:val="5"/>
        <w:spacing w:before="0" w:after="0" w:line="360" w:lineRule="auto"/>
        <w:rPr>
          <w:rFonts w:ascii="宋体" w:hAnsi="宋体" w:eastAsia="宋体" w:cs="黑体"/>
          <w:color w:val="auto"/>
          <w:kern w:val="0"/>
          <w:sz w:val="21"/>
          <w:szCs w:val="28"/>
          <w:highlight w:val="none"/>
        </w:rPr>
      </w:pPr>
      <w:bookmarkStart w:id="591" w:name="_Toc26275274"/>
      <w:bookmarkStart w:id="592" w:name="_Toc57494796"/>
      <w:bookmarkStart w:id="593" w:name="_Toc2245"/>
      <w:bookmarkStart w:id="594" w:name="_Toc534201378"/>
      <w:bookmarkStart w:id="595" w:name="_Toc27710"/>
      <w:r>
        <w:rPr>
          <w:rFonts w:ascii="宋体" w:hAnsi="宋体" w:eastAsia="宋体" w:cs="黑体"/>
          <w:color w:val="auto"/>
          <w:kern w:val="0"/>
          <w:sz w:val="21"/>
          <w:szCs w:val="28"/>
          <w:highlight w:val="none"/>
        </w:rPr>
        <w:t>2. 合同范围</w:t>
      </w:r>
      <w:bookmarkEnd w:id="591"/>
      <w:bookmarkEnd w:id="592"/>
      <w:bookmarkEnd w:id="593"/>
      <w:bookmarkEnd w:id="594"/>
      <w:bookmarkEnd w:id="595"/>
    </w:p>
    <w:p w14:paraId="3841616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w:t>
      </w:r>
    </w:p>
    <w:p w14:paraId="59930476">
      <w:pPr>
        <w:pStyle w:val="5"/>
        <w:spacing w:before="0" w:after="0" w:line="360" w:lineRule="auto"/>
        <w:rPr>
          <w:rFonts w:ascii="宋体" w:hAnsi="宋体" w:eastAsia="宋体" w:cs="黑体"/>
          <w:color w:val="auto"/>
          <w:kern w:val="0"/>
          <w:sz w:val="21"/>
          <w:szCs w:val="28"/>
          <w:highlight w:val="none"/>
        </w:rPr>
      </w:pPr>
      <w:bookmarkStart w:id="596" w:name="_Toc11319"/>
      <w:bookmarkStart w:id="597" w:name="_Toc534201379"/>
      <w:bookmarkStart w:id="598" w:name="_Toc929"/>
      <w:bookmarkStart w:id="599" w:name="_Toc57494797"/>
      <w:bookmarkStart w:id="600" w:name="_Toc26275275"/>
      <w:r>
        <w:rPr>
          <w:rFonts w:ascii="宋体" w:hAnsi="宋体" w:eastAsia="宋体" w:cs="黑体"/>
          <w:color w:val="auto"/>
          <w:kern w:val="0"/>
          <w:sz w:val="21"/>
          <w:szCs w:val="28"/>
          <w:highlight w:val="none"/>
        </w:rPr>
        <w:t>3. 合同价格与支付</w:t>
      </w:r>
      <w:bookmarkEnd w:id="596"/>
      <w:bookmarkEnd w:id="597"/>
      <w:bookmarkEnd w:id="598"/>
      <w:bookmarkEnd w:id="599"/>
      <w:bookmarkEnd w:id="600"/>
    </w:p>
    <w:p w14:paraId="670A791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7C224CB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100万元时，本合同价款分预付款、入卖方成品库款、交货款和结清款四次支付，支付比例为1:2:6.5:0.5。</w:t>
      </w:r>
      <w:r>
        <w:rPr>
          <w:rFonts w:hint="eastAsia" w:ascii="宋体" w:hAnsi="宋体" w:eastAsia="宋体" w:cs="黑体"/>
          <w:color w:val="auto"/>
          <w:kern w:val="0"/>
          <w:szCs w:val="21"/>
          <w:highlight w:val="none"/>
        </w:rPr>
        <w:t>卖方为中小企业的，合同价款支付比例为2:2:5.5:0.5。</w:t>
      </w:r>
    </w:p>
    <w:p w14:paraId="1AB58188">
      <w:pPr>
        <w:pStyle w:val="5"/>
        <w:spacing w:before="0" w:after="0" w:line="360" w:lineRule="auto"/>
        <w:rPr>
          <w:rFonts w:ascii="宋体" w:hAnsi="宋体" w:eastAsia="宋体" w:cs="黑体"/>
          <w:color w:val="auto"/>
          <w:kern w:val="0"/>
          <w:sz w:val="21"/>
          <w:szCs w:val="28"/>
          <w:highlight w:val="none"/>
        </w:rPr>
      </w:pPr>
      <w:bookmarkStart w:id="601" w:name="_Toc4529"/>
      <w:bookmarkStart w:id="602" w:name="_Toc534201380"/>
      <w:bookmarkStart w:id="603" w:name="_Toc57494798"/>
      <w:bookmarkStart w:id="604" w:name="_Toc1138"/>
      <w:bookmarkStart w:id="605" w:name="_Toc26275276"/>
      <w:r>
        <w:rPr>
          <w:rFonts w:ascii="宋体" w:hAnsi="宋体" w:eastAsia="宋体" w:cs="黑体"/>
          <w:color w:val="auto"/>
          <w:kern w:val="0"/>
          <w:sz w:val="21"/>
          <w:szCs w:val="28"/>
          <w:highlight w:val="none"/>
        </w:rPr>
        <w:t xml:space="preserve">4. </w:t>
      </w:r>
      <w:r>
        <w:rPr>
          <w:rFonts w:hint="eastAsia" w:ascii="宋体" w:hAnsi="宋体" w:eastAsia="宋体" w:cs="黑体"/>
          <w:color w:val="auto"/>
          <w:kern w:val="0"/>
          <w:sz w:val="21"/>
          <w:szCs w:val="28"/>
          <w:highlight w:val="none"/>
        </w:rPr>
        <w:t>监造及交货前检验</w:t>
      </w:r>
      <w:bookmarkEnd w:id="601"/>
      <w:bookmarkEnd w:id="602"/>
      <w:bookmarkEnd w:id="603"/>
      <w:bookmarkEnd w:id="604"/>
      <w:bookmarkEnd w:id="605"/>
    </w:p>
    <w:p w14:paraId="756157C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 </w:t>
      </w:r>
      <w:r>
        <w:rPr>
          <w:rFonts w:hint="eastAsia" w:ascii="宋体" w:hAnsi="宋体" w:eastAsia="宋体" w:cs="黑体"/>
          <w:color w:val="auto"/>
          <w:kern w:val="0"/>
          <w:szCs w:val="21"/>
          <w:highlight w:val="none"/>
        </w:rPr>
        <w:t>监造</w:t>
      </w:r>
    </w:p>
    <w:p w14:paraId="6F2D5C8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卖方需提供由监造代表签署的监造记录和试验报告。</w:t>
      </w:r>
    </w:p>
    <w:p w14:paraId="6B0D412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4.1.10 卖方应对500kV以上绝缘拉杆逐只进行耐压、局放、X光探伤试验，对220kV以下绝缘拉杆按10%比例进行抽检。</w:t>
      </w:r>
    </w:p>
    <w:p w14:paraId="5119D04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3AA0788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4.3.6增加抽检项目包括但不限于：</w:t>
      </w:r>
    </w:p>
    <w:p w14:paraId="5CE160C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机械使用寿命试验；雷电冲击电压试验（仅限罐式断路器）。</w:t>
      </w:r>
    </w:p>
    <w:p w14:paraId="0D895424">
      <w:pPr>
        <w:pStyle w:val="5"/>
        <w:spacing w:before="0" w:after="0" w:line="360" w:lineRule="auto"/>
        <w:rPr>
          <w:rFonts w:ascii="宋体" w:hAnsi="宋体" w:eastAsia="宋体" w:cs="黑体"/>
          <w:color w:val="auto"/>
          <w:kern w:val="0"/>
          <w:sz w:val="21"/>
          <w:szCs w:val="28"/>
          <w:highlight w:val="none"/>
        </w:rPr>
      </w:pPr>
      <w:bookmarkStart w:id="606" w:name="_Toc57494799"/>
      <w:bookmarkStart w:id="607" w:name="_Toc26275277"/>
      <w:bookmarkStart w:id="608" w:name="_Toc28545"/>
      <w:bookmarkStart w:id="609" w:name="_Toc12997"/>
      <w:bookmarkStart w:id="610" w:name="_Toc534201381"/>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606"/>
      <w:bookmarkEnd w:id="607"/>
      <w:bookmarkEnd w:id="608"/>
      <w:bookmarkEnd w:id="609"/>
      <w:bookmarkEnd w:id="610"/>
    </w:p>
    <w:p w14:paraId="76E73B5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0071ECF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合同货物应牢固固定在木制箱中，以防止在严重冲击时发生相对位移和损坏。</w:t>
      </w:r>
    </w:p>
    <w:p w14:paraId="143F0B2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5.1.4 套管瓷件应牢固固定在木制箱中，以防止在严重冲击时发生相对位移。</w:t>
      </w:r>
    </w:p>
    <w:p w14:paraId="3B9C972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 运输</w:t>
      </w:r>
    </w:p>
    <w:p w14:paraId="0CDF7DE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5.3.1.3 卖方应在安装前提供现场安装工作的标准化作业指导书，重点明确安装流程、安装工艺要求及现场检查、验证项目及标准。</w:t>
      </w:r>
    </w:p>
    <w:p w14:paraId="3EA2AE9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5.3.8 对220kV以上断路器运输过程中应装设冲击记录器，以指示货物在运输途中是否发生过严重冲撞。到达现场卖方应保证冲撞记录器在运输全过程中处于正常工作状态，同时保证在运输过程中可能受到的最大加速度10g所产生的冲击力而断路器不松动、不损坏、不变形。</w:t>
      </w:r>
    </w:p>
    <w:p w14:paraId="0918F40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5.3.9 卖方在货物本体装运前应直接在货物上装设具有计时功能的经检验合格的三维冲击记录器，以指示货物在运输途中是否发生过严重冲撞。到达现场上基础就位后还应检查记录。卖方应保证三维冲撞记录仪在运输全过程中（含上基础）处于正常工作状态，同时保证在运输过程中可能受到的最大加速度3g（三维空间的任一方向）所产生的冲击力而断路器本体不松动、不损坏、不变形。</w:t>
      </w:r>
    </w:p>
    <w:p w14:paraId="157D7901">
      <w:pPr>
        <w:pStyle w:val="5"/>
        <w:spacing w:before="0" w:after="0" w:line="360" w:lineRule="auto"/>
        <w:rPr>
          <w:rFonts w:ascii="宋体" w:hAnsi="宋体" w:eastAsia="宋体" w:cs="黑体"/>
          <w:color w:val="auto"/>
          <w:kern w:val="0"/>
          <w:sz w:val="21"/>
          <w:szCs w:val="28"/>
          <w:highlight w:val="none"/>
        </w:rPr>
      </w:pPr>
      <w:bookmarkStart w:id="611" w:name="_Toc22004"/>
      <w:bookmarkStart w:id="612" w:name="_Toc534201382"/>
      <w:bookmarkStart w:id="613" w:name="_Toc24767"/>
      <w:bookmarkStart w:id="614" w:name="_Toc57494800"/>
      <w:bookmarkStart w:id="615" w:name="_Toc26275278"/>
      <w:r>
        <w:rPr>
          <w:rFonts w:ascii="宋体" w:hAnsi="宋体" w:eastAsia="宋体" w:cs="黑体"/>
          <w:color w:val="auto"/>
          <w:kern w:val="0"/>
          <w:sz w:val="21"/>
          <w:szCs w:val="28"/>
          <w:highlight w:val="none"/>
        </w:rPr>
        <w:t xml:space="preserve">6. </w:t>
      </w:r>
      <w:r>
        <w:rPr>
          <w:rFonts w:hint="eastAsia" w:ascii="宋体" w:hAnsi="宋体" w:eastAsia="宋体" w:cs="黑体"/>
          <w:color w:val="auto"/>
          <w:kern w:val="0"/>
          <w:sz w:val="21"/>
          <w:szCs w:val="28"/>
          <w:highlight w:val="none"/>
        </w:rPr>
        <w:t>开箱检验、安装、调试、考核、验收</w:t>
      </w:r>
      <w:bookmarkEnd w:id="611"/>
      <w:bookmarkEnd w:id="612"/>
      <w:bookmarkEnd w:id="613"/>
      <w:bookmarkEnd w:id="614"/>
      <w:bookmarkEnd w:id="615"/>
    </w:p>
    <w:p w14:paraId="5BAE691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5DF56F4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6.2.3 现场安装记录应经施工人员、卖方现场技术人员及监理代表共同</w:t>
      </w:r>
      <w:r>
        <w:rPr>
          <w:rFonts w:hint="eastAsia" w:ascii="宋体" w:hAnsi="宋体" w:eastAsia="宋体" w:cs="宋体"/>
          <w:color w:val="auto"/>
          <w:kern w:val="0"/>
          <w:szCs w:val="21"/>
          <w:highlight w:val="none"/>
          <w:lang w:eastAsia="zh-CN"/>
        </w:rPr>
        <w:t>签名</w:t>
      </w:r>
      <w:r>
        <w:rPr>
          <w:rFonts w:ascii="宋体" w:hAnsi="宋体" w:eastAsia="宋体" w:cs="黑体"/>
          <w:color w:val="auto"/>
          <w:kern w:val="0"/>
          <w:szCs w:val="21"/>
          <w:highlight w:val="none"/>
        </w:rPr>
        <w:t>确认。</w:t>
      </w:r>
    </w:p>
    <w:p w14:paraId="5E729363">
      <w:pPr>
        <w:pStyle w:val="5"/>
        <w:spacing w:before="0" w:after="0" w:line="360" w:lineRule="auto"/>
        <w:rPr>
          <w:rFonts w:ascii="宋体" w:hAnsi="宋体" w:eastAsia="宋体" w:cs="黑体"/>
          <w:color w:val="auto"/>
          <w:kern w:val="0"/>
          <w:sz w:val="21"/>
          <w:szCs w:val="28"/>
          <w:highlight w:val="none"/>
        </w:rPr>
      </w:pPr>
      <w:bookmarkStart w:id="616" w:name="_Toc17654"/>
      <w:bookmarkStart w:id="617" w:name="_Toc26275279"/>
      <w:bookmarkStart w:id="618" w:name="_Toc534201383"/>
      <w:bookmarkStart w:id="619" w:name="_Toc57494801"/>
      <w:bookmarkStart w:id="620" w:name="_Toc10328"/>
      <w:r>
        <w:rPr>
          <w:rFonts w:ascii="宋体" w:hAnsi="宋体" w:eastAsia="宋体" w:cs="黑体"/>
          <w:color w:val="auto"/>
          <w:kern w:val="0"/>
          <w:sz w:val="21"/>
          <w:szCs w:val="28"/>
          <w:highlight w:val="none"/>
        </w:rPr>
        <w:t>7. 技术服务</w:t>
      </w:r>
      <w:bookmarkEnd w:id="616"/>
      <w:bookmarkEnd w:id="617"/>
      <w:bookmarkEnd w:id="618"/>
      <w:bookmarkEnd w:id="619"/>
      <w:bookmarkEnd w:id="620"/>
    </w:p>
    <w:p w14:paraId="6EAC760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卖方提供培训服务的总量应当不少于7×8人天。</w:t>
      </w:r>
    </w:p>
    <w:p w14:paraId="1F4E47D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7.1.5.8 对培训合格人员，卖方应授予厂家认可的资质证书。卖方还应定期对合格人员进行培训，以保持其能力水平不下降。</w:t>
      </w:r>
    </w:p>
    <w:p w14:paraId="30372699">
      <w:pPr>
        <w:pStyle w:val="5"/>
        <w:spacing w:before="0" w:after="0" w:line="360" w:lineRule="auto"/>
        <w:rPr>
          <w:rFonts w:ascii="宋体" w:hAnsi="宋体" w:eastAsia="宋体" w:cs="黑体"/>
          <w:color w:val="auto"/>
          <w:kern w:val="0"/>
          <w:sz w:val="21"/>
          <w:szCs w:val="28"/>
          <w:highlight w:val="none"/>
        </w:rPr>
      </w:pPr>
      <w:bookmarkStart w:id="621" w:name="_Toc534201384"/>
      <w:bookmarkStart w:id="622" w:name="_Toc17131"/>
      <w:bookmarkStart w:id="623" w:name="_Toc26275280"/>
      <w:bookmarkStart w:id="624" w:name="_Toc57494802"/>
      <w:bookmarkStart w:id="625" w:name="_Toc20422"/>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621"/>
      <w:bookmarkEnd w:id="622"/>
      <w:bookmarkEnd w:id="623"/>
      <w:bookmarkEnd w:id="624"/>
      <w:bookmarkEnd w:id="625"/>
    </w:p>
    <w:p w14:paraId="41E025B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6892AF7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产品总装后，因试验不合格，需拆装时，每拆装一次，质量保证期应延长2年，并将拆装原因和处理情况列入出厂文件。</w:t>
      </w:r>
    </w:p>
    <w:p w14:paraId="7332B05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在试验中发现绝缘击穿，对修理部位的质量保证期应延长</w:t>
      </w:r>
      <w:r>
        <w:rPr>
          <w:rFonts w:ascii="宋体" w:hAnsi="宋体" w:eastAsia="宋体" w:cs="黑体"/>
          <w:color w:val="auto"/>
          <w:kern w:val="0"/>
          <w:szCs w:val="21"/>
          <w:highlight w:val="none"/>
        </w:rPr>
        <w:t>2年。</w:t>
      </w:r>
    </w:p>
    <w:p w14:paraId="09EDFB9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在厂内时间参数、泄露率等不合格，经反复处理后合格，其质保期应延长</w:t>
      </w:r>
      <w:r>
        <w:rPr>
          <w:rFonts w:ascii="宋体" w:hAnsi="宋体" w:eastAsia="宋体" w:cs="黑体"/>
          <w:color w:val="auto"/>
          <w:kern w:val="0"/>
          <w:szCs w:val="21"/>
          <w:highlight w:val="none"/>
        </w:rPr>
        <w:t>1年，并将原因和处理情况列入出厂文件。</w:t>
      </w:r>
    </w:p>
    <w:p w14:paraId="44FFD3D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在现场安装时对机构进行重新更换调整处理的，合同设备质量保证期应延长</w:t>
      </w:r>
      <w:r>
        <w:rPr>
          <w:rFonts w:ascii="宋体" w:hAnsi="宋体" w:eastAsia="宋体" w:cs="黑体"/>
          <w:color w:val="auto"/>
          <w:kern w:val="0"/>
          <w:szCs w:val="21"/>
          <w:highlight w:val="none"/>
        </w:rPr>
        <w:t>2年。</w:t>
      </w:r>
    </w:p>
    <w:p w14:paraId="70F5519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在合同设备质量保证期内，现场进行开盖处理的，质保期重新计算，并延长</w:t>
      </w:r>
      <w:r>
        <w:rPr>
          <w:rFonts w:ascii="宋体" w:hAnsi="宋体" w:eastAsia="宋体" w:cs="黑体"/>
          <w:color w:val="auto"/>
          <w:kern w:val="0"/>
          <w:szCs w:val="21"/>
          <w:highlight w:val="none"/>
        </w:rPr>
        <w:t>2年。</w:t>
      </w:r>
    </w:p>
    <w:p w14:paraId="5328FB0D">
      <w:pPr>
        <w:pStyle w:val="5"/>
        <w:spacing w:before="0" w:after="0" w:line="360" w:lineRule="auto"/>
        <w:rPr>
          <w:rFonts w:ascii="宋体" w:hAnsi="宋体" w:eastAsia="宋体" w:cs="黑体"/>
          <w:color w:val="auto"/>
          <w:kern w:val="0"/>
          <w:sz w:val="21"/>
          <w:szCs w:val="28"/>
          <w:highlight w:val="none"/>
        </w:rPr>
      </w:pPr>
      <w:bookmarkStart w:id="626" w:name="_Toc18013"/>
      <w:bookmarkStart w:id="627" w:name="_Toc57494803"/>
      <w:bookmarkStart w:id="628" w:name="_Toc4589"/>
      <w:bookmarkStart w:id="629" w:name="_Toc534201385"/>
      <w:bookmarkStart w:id="630" w:name="_Toc26275281"/>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626"/>
      <w:bookmarkEnd w:id="627"/>
      <w:bookmarkEnd w:id="628"/>
      <w:bookmarkEnd w:id="629"/>
      <w:bookmarkEnd w:id="630"/>
    </w:p>
    <w:p w14:paraId="668A6CF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卖方承诺合同设备的使用寿命不少于40年。</w:t>
      </w:r>
    </w:p>
    <w:p w14:paraId="57EFF742">
      <w:pPr>
        <w:pStyle w:val="5"/>
        <w:spacing w:before="0" w:after="0" w:line="360" w:lineRule="auto"/>
        <w:rPr>
          <w:rFonts w:ascii="宋体" w:hAnsi="宋体" w:eastAsia="宋体" w:cs="黑体"/>
          <w:color w:val="auto"/>
          <w:kern w:val="0"/>
          <w:sz w:val="21"/>
          <w:szCs w:val="28"/>
          <w:highlight w:val="none"/>
        </w:rPr>
      </w:pPr>
      <w:bookmarkStart w:id="631" w:name="_Toc26275282"/>
      <w:bookmarkStart w:id="632" w:name="_Toc486"/>
      <w:bookmarkStart w:id="633" w:name="_Toc534201386"/>
      <w:bookmarkStart w:id="634" w:name="_Toc12341"/>
      <w:bookmarkStart w:id="635" w:name="_Toc57494804"/>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631"/>
      <w:bookmarkEnd w:id="632"/>
      <w:bookmarkEnd w:id="633"/>
      <w:bookmarkEnd w:id="634"/>
      <w:bookmarkEnd w:id="635"/>
    </w:p>
    <w:p w14:paraId="784819C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5DB6C9E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43CF021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06F5F54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1）质量保证期内货物本体不允许有SF6气体超标泄漏现象（年漏气率不大于0.5%）。如发现有超标泄漏情况，每一处漏点卖方应向买方支付违约金1万元。</w:t>
      </w:r>
    </w:p>
    <w:p w14:paraId="34D9AE5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14.7 开箱检验、安装、调试、考核、验收</w:t>
      </w:r>
    </w:p>
    <w:p w14:paraId="0C5AEA5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14.7.8 合同货物运到现场后，发现渗漏超标（本体或操动机构），现场处理或无法处理需返厂，卖方承担由此产生的费用且赔偿由此产生的窝工、延期投产的损失。</w:t>
      </w:r>
    </w:p>
    <w:p w14:paraId="14221C2E">
      <w:pPr>
        <w:pStyle w:val="4"/>
        <w:jc w:val="center"/>
        <w:rPr>
          <w:rFonts w:ascii="宋体" w:hAnsi="宋体" w:eastAsia="宋体" w:cs="Times New Roman"/>
          <w:color w:val="auto"/>
          <w:kern w:val="0"/>
          <w:sz w:val="28"/>
          <w:highlight w:val="none"/>
        </w:rPr>
      </w:pPr>
      <w:bookmarkStart w:id="636" w:name="_Toc57494805"/>
      <w:bookmarkStart w:id="637" w:name="_Toc16804"/>
      <w:bookmarkStart w:id="638" w:name="_Toc32658"/>
      <w:r>
        <w:rPr>
          <w:rFonts w:hint="eastAsia" w:ascii="宋体" w:hAnsi="宋体" w:eastAsia="宋体" w:cs="Times New Roman"/>
          <w:color w:val="auto"/>
          <w:kern w:val="0"/>
          <w:sz w:val="28"/>
          <w:highlight w:val="none"/>
        </w:rPr>
        <w:t>（七）</w:t>
      </w:r>
      <w:r>
        <w:rPr>
          <w:rFonts w:ascii="宋体" w:hAnsi="宋体" w:eastAsia="宋体" w:cs="Times New Roman"/>
          <w:color w:val="auto"/>
          <w:kern w:val="0"/>
          <w:sz w:val="28"/>
          <w:highlight w:val="none"/>
        </w:rPr>
        <w:t>35kV以下隔离开关</w:t>
      </w:r>
      <w:bookmarkEnd w:id="636"/>
      <w:bookmarkEnd w:id="637"/>
      <w:bookmarkEnd w:id="638"/>
    </w:p>
    <w:p w14:paraId="1C7C36E0">
      <w:pPr>
        <w:pStyle w:val="5"/>
        <w:spacing w:before="0" w:after="0" w:line="360" w:lineRule="auto"/>
        <w:rPr>
          <w:rFonts w:ascii="宋体" w:hAnsi="宋体" w:eastAsia="宋体" w:cs="黑体"/>
          <w:color w:val="auto"/>
          <w:kern w:val="0"/>
          <w:sz w:val="21"/>
          <w:szCs w:val="28"/>
          <w:highlight w:val="none"/>
        </w:rPr>
      </w:pPr>
      <w:bookmarkStart w:id="639" w:name="_Toc26275284"/>
      <w:bookmarkStart w:id="640" w:name="_Toc57494806"/>
      <w:bookmarkStart w:id="641" w:name="_Toc534201388"/>
      <w:bookmarkStart w:id="642" w:name="_Toc2857"/>
      <w:bookmarkStart w:id="643" w:name="_Toc24051"/>
      <w:r>
        <w:rPr>
          <w:rFonts w:ascii="宋体" w:hAnsi="宋体" w:eastAsia="宋体" w:cs="黑体"/>
          <w:color w:val="auto"/>
          <w:kern w:val="0"/>
          <w:sz w:val="21"/>
          <w:szCs w:val="28"/>
          <w:highlight w:val="none"/>
        </w:rPr>
        <w:t>2. 合同范围</w:t>
      </w:r>
      <w:bookmarkEnd w:id="639"/>
      <w:bookmarkEnd w:id="640"/>
      <w:bookmarkEnd w:id="641"/>
      <w:bookmarkEnd w:id="642"/>
      <w:bookmarkEnd w:id="643"/>
    </w:p>
    <w:p w14:paraId="58ACB2F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63D393E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2.6 卖方应在安装前提供现场安装工作的标准化作业指导书，重点明确安装流程、安装工艺要求及现场检查、验证项目及标准，包含但不限于回路电阻、触头夹紧力、分合闸动作时间、开合感应电流灭弧装置等。</w:t>
      </w:r>
    </w:p>
    <w:p w14:paraId="0A9C99E9">
      <w:pPr>
        <w:pStyle w:val="5"/>
        <w:spacing w:before="0" w:after="0" w:line="360" w:lineRule="auto"/>
        <w:rPr>
          <w:rFonts w:ascii="宋体" w:hAnsi="宋体" w:eastAsia="宋体" w:cs="黑体"/>
          <w:color w:val="auto"/>
          <w:kern w:val="0"/>
          <w:sz w:val="21"/>
          <w:szCs w:val="28"/>
          <w:highlight w:val="none"/>
        </w:rPr>
      </w:pPr>
      <w:bookmarkStart w:id="644" w:name="_Toc534201389"/>
      <w:bookmarkStart w:id="645" w:name="_Toc23103"/>
      <w:bookmarkStart w:id="646" w:name="_Toc5859"/>
      <w:bookmarkStart w:id="647" w:name="_Toc26275285"/>
      <w:bookmarkStart w:id="648" w:name="_Toc57494807"/>
      <w:r>
        <w:rPr>
          <w:rFonts w:ascii="宋体" w:hAnsi="宋体" w:eastAsia="宋体" w:cs="黑体"/>
          <w:color w:val="auto"/>
          <w:kern w:val="0"/>
          <w:sz w:val="21"/>
          <w:szCs w:val="28"/>
          <w:highlight w:val="none"/>
        </w:rPr>
        <w:t>3. 合同价格与支付</w:t>
      </w:r>
      <w:bookmarkEnd w:id="644"/>
      <w:bookmarkEnd w:id="645"/>
      <w:bookmarkEnd w:id="646"/>
      <w:bookmarkEnd w:id="647"/>
      <w:bookmarkEnd w:id="648"/>
    </w:p>
    <w:p w14:paraId="37FDB1C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3200CC2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5D1F2DBF">
      <w:pPr>
        <w:pStyle w:val="5"/>
        <w:spacing w:before="0" w:after="0" w:line="360" w:lineRule="auto"/>
        <w:rPr>
          <w:rFonts w:ascii="宋体" w:hAnsi="宋体" w:eastAsia="宋体" w:cs="黑体"/>
          <w:color w:val="auto"/>
          <w:kern w:val="0"/>
          <w:sz w:val="21"/>
          <w:szCs w:val="28"/>
          <w:highlight w:val="none"/>
        </w:rPr>
      </w:pPr>
      <w:bookmarkStart w:id="649" w:name="_Toc534201390"/>
      <w:bookmarkStart w:id="650" w:name="_Toc22620"/>
      <w:bookmarkStart w:id="651" w:name="_Toc57494808"/>
      <w:bookmarkStart w:id="652" w:name="_Toc26275286"/>
      <w:bookmarkStart w:id="653" w:name="_Toc880"/>
      <w:r>
        <w:rPr>
          <w:rFonts w:ascii="宋体" w:hAnsi="宋体" w:eastAsia="宋体" w:cs="黑体"/>
          <w:color w:val="auto"/>
          <w:kern w:val="0"/>
          <w:sz w:val="21"/>
          <w:szCs w:val="28"/>
          <w:highlight w:val="none"/>
        </w:rPr>
        <w:t xml:space="preserve">4. </w:t>
      </w:r>
      <w:r>
        <w:rPr>
          <w:rFonts w:hint="eastAsia" w:ascii="宋体" w:hAnsi="宋体" w:eastAsia="宋体" w:cs="黑体"/>
          <w:color w:val="auto"/>
          <w:kern w:val="0"/>
          <w:sz w:val="21"/>
          <w:szCs w:val="28"/>
          <w:highlight w:val="none"/>
        </w:rPr>
        <w:t>监造及交货前检验</w:t>
      </w:r>
      <w:bookmarkEnd w:id="649"/>
      <w:bookmarkEnd w:id="650"/>
      <w:bookmarkEnd w:id="651"/>
      <w:bookmarkEnd w:id="652"/>
      <w:bookmarkEnd w:id="653"/>
    </w:p>
    <w:p w14:paraId="5A3F6BE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 </w:t>
      </w:r>
      <w:r>
        <w:rPr>
          <w:rFonts w:hint="eastAsia" w:ascii="宋体" w:hAnsi="宋体" w:eastAsia="宋体" w:cs="黑体"/>
          <w:color w:val="auto"/>
          <w:kern w:val="0"/>
          <w:szCs w:val="21"/>
          <w:highlight w:val="none"/>
        </w:rPr>
        <w:t>监造</w:t>
      </w:r>
    </w:p>
    <w:p w14:paraId="52BF096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卖方不得以外购绝缘件出厂试验报告代替本厂试验报告。</w:t>
      </w:r>
    </w:p>
    <w:p w14:paraId="5B61951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4.1.10 卖方应对支柱绝缘子按10%比例进行超声探伤试验。</w:t>
      </w:r>
    </w:p>
    <w:p w14:paraId="55EAE67A">
      <w:pPr>
        <w:pStyle w:val="5"/>
        <w:spacing w:before="0" w:after="0" w:line="360" w:lineRule="auto"/>
        <w:rPr>
          <w:rFonts w:ascii="宋体" w:hAnsi="宋体" w:eastAsia="宋体" w:cs="黑体"/>
          <w:color w:val="auto"/>
          <w:kern w:val="0"/>
          <w:sz w:val="21"/>
          <w:szCs w:val="28"/>
          <w:highlight w:val="none"/>
        </w:rPr>
      </w:pPr>
      <w:bookmarkStart w:id="654" w:name="_Toc6426"/>
      <w:bookmarkStart w:id="655" w:name="_Toc534201391"/>
      <w:bookmarkStart w:id="656" w:name="_Toc29921"/>
      <w:bookmarkStart w:id="657" w:name="_Toc57494809"/>
      <w:bookmarkStart w:id="658" w:name="_Toc26275287"/>
      <w:r>
        <w:rPr>
          <w:rFonts w:ascii="宋体" w:hAnsi="宋体" w:eastAsia="宋体" w:cs="黑体"/>
          <w:color w:val="auto"/>
          <w:kern w:val="0"/>
          <w:sz w:val="21"/>
          <w:szCs w:val="28"/>
          <w:highlight w:val="none"/>
        </w:rPr>
        <w:t>7. 技术服务</w:t>
      </w:r>
      <w:bookmarkEnd w:id="654"/>
      <w:bookmarkEnd w:id="655"/>
      <w:bookmarkEnd w:id="656"/>
      <w:bookmarkEnd w:id="657"/>
      <w:bookmarkEnd w:id="658"/>
    </w:p>
    <w:p w14:paraId="49AA50A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7.1.5.6 卖方提供培训服务的总量应当不少于7×8人天。</w:t>
      </w:r>
    </w:p>
    <w:p w14:paraId="56E2666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对培训合格人员，卖方应授予厂家认可的资质证书。卖方还应定期对合格人员进行培训，以保持其能力水平不下降。</w:t>
      </w:r>
    </w:p>
    <w:p w14:paraId="66CD0245">
      <w:pPr>
        <w:pStyle w:val="5"/>
        <w:spacing w:before="0" w:after="0" w:line="360" w:lineRule="auto"/>
        <w:rPr>
          <w:rFonts w:ascii="宋体" w:hAnsi="宋体" w:eastAsia="宋体" w:cs="黑体"/>
          <w:color w:val="auto"/>
          <w:kern w:val="0"/>
          <w:sz w:val="21"/>
          <w:szCs w:val="28"/>
          <w:highlight w:val="none"/>
        </w:rPr>
      </w:pPr>
      <w:bookmarkStart w:id="659" w:name="_Toc57494810"/>
      <w:bookmarkStart w:id="660" w:name="_Toc26275288"/>
      <w:bookmarkStart w:id="661" w:name="_Toc17335"/>
      <w:bookmarkStart w:id="662" w:name="_Toc534201392"/>
      <w:bookmarkStart w:id="663" w:name="_Toc28170"/>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659"/>
      <w:bookmarkEnd w:id="660"/>
      <w:bookmarkEnd w:id="661"/>
      <w:bookmarkEnd w:id="662"/>
      <w:bookmarkEnd w:id="663"/>
    </w:p>
    <w:p w14:paraId="7C15031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的质量保证期为36个月。</w:t>
      </w:r>
    </w:p>
    <w:p w14:paraId="0E1D7E65">
      <w:pPr>
        <w:pStyle w:val="5"/>
        <w:spacing w:before="0" w:after="0" w:line="360" w:lineRule="auto"/>
        <w:rPr>
          <w:rFonts w:ascii="宋体" w:hAnsi="宋体" w:eastAsia="宋体" w:cs="黑体"/>
          <w:color w:val="auto"/>
          <w:kern w:val="0"/>
          <w:sz w:val="21"/>
          <w:szCs w:val="28"/>
          <w:highlight w:val="none"/>
        </w:rPr>
      </w:pPr>
      <w:bookmarkStart w:id="664" w:name="_Toc57494811"/>
      <w:bookmarkStart w:id="665" w:name="_Toc534201393"/>
      <w:bookmarkStart w:id="666" w:name="_Toc26275289"/>
      <w:bookmarkStart w:id="667" w:name="_Toc21605"/>
      <w:bookmarkStart w:id="668" w:name="_Toc4205"/>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664"/>
      <w:bookmarkEnd w:id="665"/>
      <w:bookmarkEnd w:id="666"/>
      <w:bookmarkEnd w:id="667"/>
      <w:bookmarkEnd w:id="668"/>
    </w:p>
    <w:p w14:paraId="013888C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卖方承诺合同货物的使用寿命不少于40年。</w:t>
      </w:r>
    </w:p>
    <w:p w14:paraId="0FFBCF9A">
      <w:pPr>
        <w:pStyle w:val="5"/>
        <w:spacing w:before="0" w:after="0" w:line="360" w:lineRule="auto"/>
        <w:rPr>
          <w:rFonts w:ascii="宋体" w:hAnsi="宋体" w:eastAsia="宋体" w:cs="黑体"/>
          <w:color w:val="auto"/>
          <w:kern w:val="0"/>
          <w:sz w:val="21"/>
          <w:szCs w:val="28"/>
          <w:highlight w:val="none"/>
        </w:rPr>
      </w:pPr>
      <w:bookmarkStart w:id="669" w:name="_Toc14005"/>
      <w:bookmarkStart w:id="670" w:name="_Toc534201394"/>
      <w:bookmarkStart w:id="671" w:name="_Toc20894"/>
      <w:bookmarkStart w:id="672" w:name="_Toc57494812"/>
      <w:bookmarkStart w:id="673" w:name="_Toc26275290"/>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669"/>
      <w:bookmarkEnd w:id="670"/>
      <w:bookmarkEnd w:id="671"/>
      <w:bookmarkEnd w:id="672"/>
      <w:bookmarkEnd w:id="673"/>
    </w:p>
    <w:p w14:paraId="0DAEA8C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6EFADDB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7643B8B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5A4E207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1）质量保证期内，合同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发生质量原因的严重发热造成非计划停运，每次卖方应向买方支付违约金1万元，发生质量原因的机构箱进水，每次卖方应向买方支付违约金3000元。</w:t>
      </w:r>
    </w:p>
    <w:p w14:paraId="7FCF271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2）超过质量保证期，且运行时间不超过5年的合同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发生质量原因的严重发热造成非停，每次卖方应向买方支付违约金3000元。</w:t>
      </w:r>
    </w:p>
    <w:p w14:paraId="71C7F15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14.9 质保期服务</w:t>
      </w:r>
    </w:p>
    <w:p w14:paraId="53933A0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14.9.5 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使用寿命期内发生质量原因的瓷瓶断裂，每次卖方应向买方支付违约金1万元。</w:t>
      </w:r>
    </w:p>
    <w:p w14:paraId="45391B53">
      <w:pPr>
        <w:pStyle w:val="4"/>
        <w:jc w:val="center"/>
        <w:rPr>
          <w:rFonts w:ascii="宋体" w:hAnsi="宋体" w:eastAsia="宋体" w:cs="Times New Roman"/>
          <w:color w:val="auto"/>
          <w:kern w:val="0"/>
          <w:sz w:val="28"/>
          <w:highlight w:val="none"/>
        </w:rPr>
      </w:pPr>
      <w:bookmarkStart w:id="674" w:name="_Toc28394"/>
      <w:bookmarkStart w:id="675" w:name="_Toc12591"/>
      <w:bookmarkStart w:id="676" w:name="_Toc57494813"/>
      <w:r>
        <w:rPr>
          <w:rFonts w:hint="eastAsia" w:ascii="宋体" w:hAnsi="宋体" w:eastAsia="宋体" w:cs="Times New Roman"/>
          <w:color w:val="auto"/>
          <w:kern w:val="0"/>
          <w:sz w:val="28"/>
          <w:highlight w:val="none"/>
        </w:rPr>
        <w:t>（八）</w:t>
      </w:r>
      <w:r>
        <w:rPr>
          <w:rFonts w:ascii="宋体" w:hAnsi="宋体" w:eastAsia="宋体" w:cs="Times New Roman"/>
          <w:color w:val="auto"/>
          <w:kern w:val="0"/>
          <w:sz w:val="28"/>
          <w:highlight w:val="none"/>
        </w:rPr>
        <w:t>35kV</w:t>
      </w:r>
      <w:r>
        <w:rPr>
          <w:rFonts w:hint="eastAsia" w:ascii="宋体" w:hAnsi="宋体" w:eastAsia="宋体" w:cs="Times New Roman"/>
          <w:color w:val="auto"/>
          <w:kern w:val="0"/>
          <w:sz w:val="28"/>
          <w:highlight w:val="none"/>
          <w:lang w:val="en-US" w:eastAsia="zh-CN"/>
        </w:rPr>
        <w:t>及</w:t>
      </w:r>
      <w:r>
        <w:rPr>
          <w:rFonts w:ascii="宋体" w:hAnsi="宋体" w:eastAsia="宋体" w:cs="Times New Roman"/>
          <w:color w:val="auto"/>
          <w:kern w:val="0"/>
          <w:sz w:val="28"/>
          <w:highlight w:val="none"/>
        </w:rPr>
        <w:t>以上隔离开关</w:t>
      </w:r>
      <w:bookmarkEnd w:id="674"/>
      <w:bookmarkEnd w:id="675"/>
      <w:bookmarkEnd w:id="676"/>
    </w:p>
    <w:p w14:paraId="616AF208">
      <w:pPr>
        <w:pStyle w:val="5"/>
        <w:spacing w:before="0" w:after="0" w:line="360" w:lineRule="auto"/>
        <w:rPr>
          <w:rFonts w:ascii="宋体" w:hAnsi="宋体" w:eastAsia="宋体" w:cs="黑体"/>
          <w:color w:val="auto"/>
          <w:kern w:val="0"/>
          <w:sz w:val="21"/>
          <w:szCs w:val="28"/>
          <w:highlight w:val="none"/>
        </w:rPr>
      </w:pPr>
      <w:bookmarkStart w:id="677" w:name="_Toc534201396"/>
      <w:bookmarkStart w:id="678" w:name="_Toc5200"/>
      <w:bookmarkStart w:id="679" w:name="_Toc26275292"/>
      <w:bookmarkStart w:id="680" w:name="_Toc57494814"/>
      <w:bookmarkStart w:id="681" w:name="_Toc5247"/>
      <w:r>
        <w:rPr>
          <w:rFonts w:ascii="宋体" w:hAnsi="宋体" w:eastAsia="宋体" w:cs="黑体"/>
          <w:color w:val="auto"/>
          <w:kern w:val="0"/>
          <w:sz w:val="21"/>
          <w:szCs w:val="28"/>
          <w:highlight w:val="none"/>
        </w:rPr>
        <w:t>2. 合同范围</w:t>
      </w:r>
      <w:bookmarkEnd w:id="677"/>
      <w:bookmarkEnd w:id="678"/>
      <w:bookmarkEnd w:id="679"/>
      <w:bookmarkEnd w:id="680"/>
      <w:bookmarkEnd w:id="681"/>
    </w:p>
    <w:p w14:paraId="4DC06F7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1BA3457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2.6 卖方应在安装前提供现场安装工作的标准化作业指导书，重点明确安装流程、安装工艺要求及现场检查、验证项目及标准，包含但不限于回路电阻、触头夹紧力、分合闸动作时间、开合感应电流灭弧装置等。</w:t>
      </w:r>
    </w:p>
    <w:p w14:paraId="56026F5F">
      <w:pPr>
        <w:pStyle w:val="5"/>
        <w:spacing w:before="0" w:after="0" w:line="360" w:lineRule="auto"/>
        <w:rPr>
          <w:rFonts w:ascii="宋体" w:hAnsi="宋体" w:eastAsia="宋体" w:cs="黑体"/>
          <w:color w:val="auto"/>
          <w:kern w:val="0"/>
          <w:sz w:val="21"/>
          <w:szCs w:val="28"/>
          <w:highlight w:val="none"/>
        </w:rPr>
      </w:pPr>
      <w:bookmarkStart w:id="682" w:name="_Toc14274"/>
      <w:bookmarkStart w:id="683" w:name="_Toc57494815"/>
      <w:bookmarkStart w:id="684" w:name="_Toc25142"/>
      <w:bookmarkStart w:id="685" w:name="_Toc534201397"/>
      <w:bookmarkStart w:id="686" w:name="_Toc26275293"/>
      <w:r>
        <w:rPr>
          <w:rFonts w:ascii="宋体" w:hAnsi="宋体" w:eastAsia="宋体" w:cs="黑体"/>
          <w:color w:val="auto"/>
          <w:kern w:val="0"/>
          <w:sz w:val="21"/>
          <w:szCs w:val="28"/>
          <w:highlight w:val="none"/>
        </w:rPr>
        <w:t>3. 合同价格与支付</w:t>
      </w:r>
      <w:bookmarkEnd w:id="682"/>
      <w:bookmarkEnd w:id="683"/>
      <w:bookmarkEnd w:id="684"/>
      <w:bookmarkEnd w:id="685"/>
      <w:bookmarkEnd w:id="686"/>
    </w:p>
    <w:p w14:paraId="2B81651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182DD84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100万元时，本合同价款分预付款、入卖方成品库款、交货款和结清款四次支付，支付比例为1:2:6.5:0.5。</w:t>
      </w:r>
      <w:r>
        <w:rPr>
          <w:rFonts w:hint="eastAsia" w:ascii="宋体" w:hAnsi="宋体" w:eastAsia="宋体" w:cs="黑体"/>
          <w:color w:val="auto"/>
          <w:kern w:val="0"/>
          <w:szCs w:val="21"/>
          <w:highlight w:val="none"/>
        </w:rPr>
        <w:t>卖方为中小企业的，合同价款支付比例为2:2:5.5:0.5。</w:t>
      </w:r>
    </w:p>
    <w:p w14:paraId="3DC1FBC3">
      <w:pPr>
        <w:pStyle w:val="5"/>
        <w:spacing w:before="0" w:after="0" w:line="360" w:lineRule="auto"/>
        <w:rPr>
          <w:rFonts w:ascii="宋体" w:hAnsi="宋体" w:eastAsia="宋体" w:cs="黑体"/>
          <w:color w:val="auto"/>
          <w:kern w:val="0"/>
          <w:sz w:val="21"/>
          <w:szCs w:val="28"/>
          <w:highlight w:val="none"/>
        </w:rPr>
      </w:pPr>
      <w:bookmarkStart w:id="687" w:name="_Toc22893"/>
      <w:bookmarkStart w:id="688" w:name="_Toc26275294"/>
      <w:bookmarkStart w:id="689" w:name="_Toc57494816"/>
      <w:bookmarkStart w:id="690" w:name="_Toc534201398"/>
      <w:bookmarkStart w:id="691" w:name="_Toc22802"/>
      <w:r>
        <w:rPr>
          <w:rFonts w:ascii="宋体" w:hAnsi="宋体" w:eastAsia="宋体" w:cs="黑体"/>
          <w:color w:val="auto"/>
          <w:kern w:val="0"/>
          <w:sz w:val="21"/>
          <w:szCs w:val="28"/>
          <w:highlight w:val="none"/>
        </w:rPr>
        <w:t>4. 监造及交货前检验</w:t>
      </w:r>
      <w:bookmarkEnd w:id="687"/>
      <w:bookmarkEnd w:id="688"/>
      <w:bookmarkEnd w:id="689"/>
      <w:bookmarkEnd w:id="690"/>
      <w:bookmarkEnd w:id="691"/>
    </w:p>
    <w:p w14:paraId="28F31F8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 </w:t>
      </w:r>
      <w:r>
        <w:rPr>
          <w:rFonts w:hint="eastAsia" w:ascii="宋体" w:hAnsi="宋体" w:eastAsia="宋体" w:cs="黑体"/>
          <w:color w:val="auto"/>
          <w:kern w:val="0"/>
          <w:szCs w:val="21"/>
          <w:highlight w:val="none"/>
        </w:rPr>
        <w:t>监造</w:t>
      </w:r>
    </w:p>
    <w:p w14:paraId="6F1B779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卖方不得以外购绝缘件出厂试验报告代替本厂试验报告。</w:t>
      </w:r>
    </w:p>
    <w:p w14:paraId="6387CB9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4.1.10 卖方应对支柱绝缘子逐只进行超声探伤试验。</w:t>
      </w:r>
    </w:p>
    <w:p w14:paraId="5BCA25E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04F5715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4.3.6 增加抽检项目包括但不限于：温升试验，抗震试验。</w:t>
      </w:r>
    </w:p>
    <w:p w14:paraId="4200B7F1">
      <w:pPr>
        <w:pStyle w:val="5"/>
        <w:spacing w:before="0" w:after="0" w:line="360" w:lineRule="auto"/>
        <w:rPr>
          <w:rFonts w:ascii="宋体" w:hAnsi="宋体" w:eastAsia="宋体" w:cs="黑体"/>
          <w:color w:val="auto"/>
          <w:kern w:val="0"/>
          <w:sz w:val="21"/>
          <w:szCs w:val="28"/>
          <w:highlight w:val="none"/>
        </w:rPr>
      </w:pPr>
      <w:bookmarkStart w:id="692" w:name="_Toc16299"/>
      <w:bookmarkStart w:id="693" w:name="_Toc57494817"/>
      <w:bookmarkStart w:id="694" w:name="_Toc26275295"/>
      <w:bookmarkStart w:id="695" w:name="_Toc15257"/>
      <w:bookmarkStart w:id="696" w:name="_Toc534201399"/>
      <w:r>
        <w:rPr>
          <w:rFonts w:ascii="宋体" w:hAnsi="宋体" w:eastAsia="宋体" w:cs="黑体"/>
          <w:color w:val="auto"/>
          <w:kern w:val="0"/>
          <w:sz w:val="21"/>
          <w:szCs w:val="28"/>
          <w:highlight w:val="none"/>
        </w:rPr>
        <w:t>7. 技术服务</w:t>
      </w:r>
      <w:bookmarkEnd w:id="692"/>
      <w:bookmarkEnd w:id="693"/>
      <w:bookmarkEnd w:id="694"/>
      <w:bookmarkEnd w:id="695"/>
      <w:bookmarkEnd w:id="696"/>
    </w:p>
    <w:p w14:paraId="5B5EF3C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7.1.5.6 卖方提供培训服务的总量应当不少于7×8人天。</w:t>
      </w:r>
    </w:p>
    <w:p w14:paraId="65C3E31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对培训合格人员，卖方应授予厂家认可的资质证书。卖方还应定期对合格人员进行培训，以保持其能力水平不下降。</w:t>
      </w:r>
    </w:p>
    <w:p w14:paraId="4187905C">
      <w:pPr>
        <w:pStyle w:val="5"/>
        <w:spacing w:before="0" w:after="0" w:line="360" w:lineRule="auto"/>
        <w:rPr>
          <w:rFonts w:ascii="宋体" w:hAnsi="宋体" w:eastAsia="宋体" w:cs="黑体"/>
          <w:color w:val="auto"/>
          <w:kern w:val="0"/>
          <w:sz w:val="21"/>
          <w:szCs w:val="28"/>
          <w:highlight w:val="none"/>
        </w:rPr>
      </w:pPr>
      <w:bookmarkStart w:id="697" w:name="_Toc26275296"/>
      <w:bookmarkStart w:id="698" w:name="_Toc57494818"/>
      <w:bookmarkStart w:id="699" w:name="_Toc534201400"/>
      <w:bookmarkStart w:id="700" w:name="_Toc15869"/>
      <w:bookmarkStart w:id="701" w:name="_Toc10440"/>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697"/>
      <w:bookmarkEnd w:id="698"/>
      <w:bookmarkEnd w:id="699"/>
      <w:bookmarkEnd w:id="700"/>
      <w:bookmarkEnd w:id="701"/>
    </w:p>
    <w:p w14:paraId="2C40E7B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6FF66CB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在厂内时间参数、泄露率等不合格，经反复处理后合格，其质保期应延长1年，并将原因和处理情况列入出厂文件。</w:t>
      </w:r>
    </w:p>
    <w:p w14:paraId="51F05CE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产品总装后</w:t>
      </w:r>
      <w:r>
        <w:rPr>
          <w:rFonts w:ascii="宋体" w:hAnsi="宋体" w:eastAsia="宋体" w:cs="黑体"/>
          <w:color w:val="auto"/>
          <w:kern w:val="0"/>
          <w:szCs w:val="21"/>
          <w:highlight w:val="none"/>
        </w:rPr>
        <w:t>,因试验不合格,需拆装时,每拆装一次,质量保证期应延长2年,并将拆装原因和处理情况列入出厂文件。</w:t>
      </w:r>
    </w:p>
    <w:p w14:paraId="225A8C33">
      <w:pPr>
        <w:pStyle w:val="5"/>
        <w:spacing w:before="0" w:after="0" w:line="360" w:lineRule="auto"/>
        <w:rPr>
          <w:rFonts w:ascii="宋体" w:hAnsi="宋体" w:eastAsia="宋体" w:cs="黑体"/>
          <w:color w:val="auto"/>
          <w:kern w:val="0"/>
          <w:sz w:val="21"/>
          <w:szCs w:val="28"/>
          <w:highlight w:val="none"/>
        </w:rPr>
      </w:pPr>
      <w:bookmarkStart w:id="702" w:name="_Toc197"/>
      <w:bookmarkStart w:id="703" w:name="_Toc57494819"/>
      <w:bookmarkStart w:id="704" w:name="_Toc26275297"/>
      <w:bookmarkStart w:id="705" w:name="_Toc23397"/>
      <w:bookmarkStart w:id="706" w:name="_Toc534201401"/>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702"/>
      <w:bookmarkEnd w:id="703"/>
      <w:bookmarkEnd w:id="704"/>
      <w:bookmarkEnd w:id="705"/>
      <w:bookmarkEnd w:id="706"/>
    </w:p>
    <w:p w14:paraId="7F2126E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卖方承诺合同货物的使用寿命不少于40年。</w:t>
      </w:r>
    </w:p>
    <w:p w14:paraId="26B07AF3">
      <w:pPr>
        <w:pStyle w:val="5"/>
        <w:spacing w:before="0" w:after="0" w:line="360" w:lineRule="auto"/>
        <w:rPr>
          <w:rFonts w:ascii="宋体" w:hAnsi="宋体" w:eastAsia="宋体" w:cs="黑体"/>
          <w:color w:val="auto"/>
          <w:kern w:val="0"/>
          <w:sz w:val="21"/>
          <w:szCs w:val="28"/>
          <w:highlight w:val="none"/>
        </w:rPr>
      </w:pPr>
      <w:bookmarkStart w:id="707" w:name="_Toc19587"/>
      <w:bookmarkStart w:id="708" w:name="_Toc27556"/>
      <w:bookmarkStart w:id="709" w:name="_Toc534201402"/>
      <w:bookmarkStart w:id="710" w:name="_Toc57494820"/>
      <w:bookmarkStart w:id="711" w:name="_Toc26275298"/>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707"/>
      <w:bookmarkEnd w:id="708"/>
      <w:bookmarkEnd w:id="709"/>
      <w:bookmarkEnd w:id="710"/>
      <w:bookmarkEnd w:id="711"/>
    </w:p>
    <w:p w14:paraId="58C4030C">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3A00756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3CCBAB3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6A971FC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1）质量保证期内，合同设备发生质量原因的严重发热造成非计划停运，每次卖方应向买方支付违约金1万元，发生质量原因的机构箱进水，每次卖方应向买方支付违约金3000元。</w:t>
      </w:r>
    </w:p>
    <w:p w14:paraId="4338C58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2）合同设备运到现场后，发现渗漏超标（本体或操动机构），现场处理或无渗漏情况，应允许卖方在现场处理；如处理后再有渗漏，每发现1处漏点，卖方应向买方支付违约金5000元。</w:t>
      </w:r>
    </w:p>
    <w:p w14:paraId="52DE693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14.9 质保期服务</w:t>
      </w:r>
    </w:p>
    <w:p w14:paraId="400E494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14.9.5 合同设备使用寿命期内发生质量原因的瓷瓶断裂，每次卖方应向买方支付违约金1万元。</w:t>
      </w:r>
    </w:p>
    <w:p w14:paraId="751B391B">
      <w:pPr>
        <w:pStyle w:val="4"/>
        <w:jc w:val="center"/>
        <w:rPr>
          <w:rFonts w:ascii="宋体" w:hAnsi="宋体" w:eastAsia="宋体" w:cs="Times New Roman"/>
          <w:color w:val="auto"/>
          <w:kern w:val="0"/>
          <w:sz w:val="28"/>
          <w:highlight w:val="none"/>
        </w:rPr>
      </w:pPr>
      <w:bookmarkStart w:id="712" w:name="_Toc5946"/>
      <w:bookmarkStart w:id="713" w:name="_Toc11480"/>
      <w:bookmarkStart w:id="714" w:name="_Toc57494821"/>
      <w:r>
        <w:rPr>
          <w:rFonts w:hint="eastAsia" w:ascii="宋体" w:hAnsi="宋体" w:eastAsia="宋体" w:cs="Times New Roman"/>
          <w:color w:val="auto"/>
          <w:kern w:val="0"/>
          <w:sz w:val="28"/>
          <w:highlight w:val="none"/>
        </w:rPr>
        <w:t>（九）</w:t>
      </w:r>
      <w:r>
        <w:rPr>
          <w:rFonts w:ascii="宋体" w:hAnsi="宋体" w:eastAsia="宋体" w:cs="Times New Roman"/>
          <w:color w:val="auto"/>
          <w:kern w:val="0"/>
          <w:sz w:val="28"/>
          <w:highlight w:val="none"/>
        </w:rPr>
        <w:t>35kV以下电抗器</w:t>
      </w:r>
      <w:bookmarkEnd w:id="712"/>
      <w:bookmarkEnd w:id="713"/>
      <w:bookmarkEnd w:id="714"/>
    </w:p>
    <w:p w14:paraId="639B8456">
      <w:pPr>
        <w:pStyle w:val="5"/>
        <w:spacing w:before="0" w:after="0" w:line="360" w:lineRule="auto"/>
        <w:rPr>
          <w:rFonts w:ascii="宋体" w:hAnsi="宋体" w:eastAsia="宋体" w:cs="黑体"/>
          <w:color w:val="auto"/>
          <w:kern w:val="0"/>
          <w:sz w:val="21"/>
          <w:szCs w:val="28"/>
          <w:highlight w:val="none"/>
        </w:rPr>
      </w:pPr>
      <w:bookmarkStart w:id="715" w:name="_Toc11952"/>
      <w:bookmarkStart w:id="716" w:name="_Toc57494822"/>
      <w:bookmarkStart w:id="717" w:name="_Toc26275300"/>
      <w:bookmarkStart w:id="718" w:name="_Toc5335"/>
      <w:bookmarkStart w:id="719" w:name="_Toc534201404"/>
      <w:r>
        <w:rPr>
          <w:rFonts w:ascii="宋体" w:hAnsi="宋体" w:eastAsia="宋体" w:cs="黑体"/>
          <w:color w:val="auto"/>
          <w:kern w:val="0"/>
          <w:sz w:val="21"/>
          <w:szCs w:val="28"/>
          <w:highlight w:val="none"/>
        </w:rPr>
        <w:t>2. 合同范围</w:t>
      </w:r>
      <w:bookmarkEnd w:id="715"/>
      <w:bookmarkEnd w:id="716"/>
      <w:bookmarkEnd w:id="717"/>
      <w:bookmarkEnd w:id="718"/>
      <w:bookmarkEnd w:id="719"/>
    </w:p>
    <w:p w14:paraId="614DA08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23CC1D13">
      <w:pPr>
        <w:pStyle w:val="5"/>
        <w:spacing w:before="0" w:after="0" w:line="360" w:lineRule="auto"/>
        <w:rPr>
          <w:rFonts w:ascii="宋体" w:hAnsi="宋体" w:eastAsia="宋体" w:cs="黑体"/>
          <w:color w:val="auto"/>
          <w:kern w:val="0"/>
          <w:sz w:val="21"/>
          <w:szCs w:val="28"/>
          <w:highlight w:val="none"/>
        </w:rPr>
      </w:pPr>
      <w:bookmarkStart w:id="720" w:name="_Toc5560"/>
      <w:bookmarkStart w:id="721" w:name="_Toc15660"/>
      <w:bookmarkStart w:id="722" w:name="_Toc26275301"/>
      <w:bookmarkStart w:id="723" w:name="_Toc57494823"/>
      <w:bookmarkStart w:id="724" w:name="_Toc534201405"/>
      <w:r>
        <w:rPr>
          <w:rFonts w:ascii="宋体" w:hAnsi="宋体" w:eastAsia="宋体" w:cs="黑体"/>
          <w:color w:val="auto"/>
          <w:kern w:val="0"/>
          <w:sz w:val="21"/>
          <w:szCs w:val="28"/>
          <w:highlight w:val="none"/>
        </w:rPr>
        <w:t>3. 合同价格与支付</w:t>
      </w:r>
      <w:bookmarkEnd w:id="720"/>
      <w:bookmarkEnd w:id="721"/>
      <w:bookmarkEnd w:id="722"/>
      <w:bookmarkEnd w:id="723"/>
      <w:bookmarkEnd w:id="724"/>
    </w:p>
    <w:p w14:paraId="59824D0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3.1 合同价格</w:t>
      </w:r>
    </w:p>
    <w:p w14:paraId="77AD78A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3.1.1 所订在施工现场不吊芯检查即可投运的电抗器，由于运输或现场检验后需要吊罩修理或检查，则现场所发生的直接费用由卖方负担。</w:t>
      </w:r>
    </w:p>
    <w:p w14:paraId="6554435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383D81F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608B0015">
      <w:pPr>
        <w:pStyle w:val="5"/>
        <w:spacing w:before="0" w:after="0" w:line="360" w:lineRule="auto"/>
        <w:rPr>
          <w:rFonts w:ascii="宋体" w:hAnsi="宋体" w:eastAsia="宋体" w:cs="黑体"/>
          <w:color w:val="auto"/>
          <w:kern w:val="0"/>
          <w:sz w:val="21"/>
          <w:szCs w:val="28"/>
          <w:highlight w:val="none"/>
        </w:rPr>
      </w:pPr>
      <w:bookmarkStart w:id="725" w:name="_Toc57494824"/>
      <w:bookmarkStart w:id="726" w:name="_Toc26275302"/>
      <w:bookmarkStart w:id="727" w:name="_Toc8206"/>
      <w:bookmarkStart w:id="728" w:name="_Toc534201406"/>
      <w:bookmarkStart w:id="729" w:name="_Toc30058"/>
      <w:r>
        <w:rPr>
          <w:rFonts w:ascii="宋体" w:hAnsi="宋体" w:eastAsia="宋体" w:cs="黑体"/>
          <w:color w:val="auto"/>
          <w:kern w:val="0"/>
          <w:sz w:val="21"/>
          <w:szCs w:val="28"/>
          <w:highlight w:val="none"/>
        </w:rPr>
        <w:t>4. 监造及交货前检验</w:t>
      </w:r>
      <w:bookmarkEnd w:id="725"/>
      <w:bookmarkEnd w:id="726"/>
      <w:bookmarkEnd w:id="727"/>
      <w:bookmarkEnd w:id="728"/>
      <w:bookmarkEnd w:id="729"/>
    </w:p>
    <w:p w14:paraId="282D95C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 </w:t>
      </w:r>
      <w:r>
        <w:rPr>
          <w:rFonts w:hint="eastAsia" w:ascii="宋体" w:hAnsi="宋体" w:eastAsia="宋体" w:cs="黑体"/>
          <w:color w:val="auto"/>
          <w:kern w:val="0"/>
          <w:szCs w:val="21"/>
          <w:highlight w:val="none"/>
        </w:rPr>
        <w:t>监造</w:t>
      </w:r>
    </w:p>
    <w:p w14:paraId="224D9BA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卖方需提供由</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签署的监造与检验记录和试验报告。</w:t>
      </w:r>
    </w:p>
    <w:p w14:paraId="1361312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166CDEE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4.3.6 增加干式电抗器抽检项目：高频振荡试验，温升，局放，损耗，噪声，震动。</w:t>
      </w:r>
    </w:p>
    <w:p w14:paraId="0C49E2C3">
      <w:pPr>
        <w:pStyle w:val="5"/>
        <w:spacing w:before="0" w:after="0" w:line="360" w:lineRule="auto"/>
        <w:rPr>
          <w:rFonts w:ascii="宋体" w:hAnsi="宋体" w:eastAsia="宋体" w:cs="黑体"/>
          <w:color w:val="auto"/>
          <w:kern w:val="0"/>
          <w:sz w:val="21"/>
          <w:szCs w:val="28"/>
          <w:highlight w:val="none"/>
        </w:rPr>
      </w:pPr>
      <w:bookmarkStart w:id="730" w:name="_Toc57494825"/>
      <w:bookmarkStart w:id="731" w:name="_Toc26275303"/>
      <w:bookmarkStart w:id="732" w:name="_Toc18564"/>
      <w:bookmarkStart w:id="733" w:name="_Toc534201407"/>
      <w:bookmarkStart w:id="734" w:name="_Toc26011"/>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730"/>
      <w:bookmarkEnd w:id="731"/>
      <w:bookmarkEnd w:id="732"/>
      <w:bookmarkEnd w:id="733"/>
      <w:bookmarkEnd w:id="734"/>
    </w:p>
    <w:p w14:paraId="5078C1B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8.1合同设备的质量保证期为36个月。</w:t>
      </w:r>
    </w:p>
    <w:p w14:paraId="3DF5990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绝缘油质量保证期为最后一批货物到达交货地之日起</w:t>
      </w:r>
      <w:r>
        <w:rPr>
          <w:rFonts w:ascii="宋体" w:hAnsi="宋体" w:eastAsia="宋体" w:cs="黑体"/>
          <w:color w:val="auto"/>
          <w:kern w:val="0"/>
          <w:szCs w:val="21"/>
          <w:highlight w:val="none"/>
        </w:rPr>
        <w:t>36个月。</w:t>
      </w:r>
    </w:p>
    <w:p w14:paraId="41C4721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产品总装后,因试验不合格需拆上铁轭时，每拆装一次质量保证期应延长2年，并将拆装原因和处理情况列入出厂文件。</w:t>
      </w:r>
    </w:p>
    <w:p w14:paraId="17B2EC2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在试验中发现绝缘击穿，对修理部位的质量保证期应延长</w:t>
      </w:r>
      <w:r>
        <w:rPr>
          <w:rFonts w:ascii="宋体" w:hAnsi="宋体" w:eastAsia="宋体" w:cs="黑体"/>
          <w:color w:val="auto"/>
          <w:kern w:val="0"/>
          <w:szCs w:val="21"/>
          <w:highlight w:val="none"/>
        </w:rPr>
        <w:t>2年。</w:t>
      </w:r>
    </w:p>
    <w:p w14:paraId="37099BD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厂内局部放电试验不合格，每重复处理一次其质保期应延长</w:t>
      </w:r>
      <w:r>
        <w:rPr>
          <w:rFonts w:ascii="宋体" w:hAnsi="宋体" w:eastAsia="宋体" w:cs="黑体"/>
          <w:color w:val="auto"/>
          <w:kern w:val="0"/>
          <w:szCs w:val="21"/>
          <w:highlight w:val="none"/>
        </w:rPr>
        <w:t>1年，并将原因和处理情况列入出厂文件。重复处理三次仍不合格的，买方有权拒收此台电抗器。</w:t>
      </w:r>
    </w:p>
    <w:p w14:paraId="0828B7D8">
      <w:pPr>
        <w:pStyle w:val="5"/>
        <w:spacing w:before="0" w:after="0" w:line="360" w:lineRule="auto"/>
        <w:rPr>
          <w:rFonts w:ascii="宋体" w:hAnsi="宋体" w:eastAsia="宋体" w:cs="黑体"/>
          <w:color w:val="auto"/>
          <w:kern w:val="0"/>
          <w:sz w:val="21"/>
          <w:szCs w:val="28"/>
          <w:highlight w:val="none"/>
        </w:rPr>
      </w:pPr>
      <w:bookmarkStart w:id="735" w:name="_Toc26275304"/>
      <w:bookmarkStart w:id="736" w:name="_Toc16077"/>
      <w:bookmarkStart w:id="737" w:name="_Toc27920"/>
      <w:bookmarkStart w:id="738" w:name="_Toc57494826"/>
      <w:bookmarkStart w:id="739" w:name="_Toc534201408"/>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735"/>
      <w:bookmarkEnd w:id="736"/>
      <w:bookmarkEnd w:id="737"/>
      <w:bookmarkEnd w:id="738"/>
      <w:bookmarkEnd w:id="739"/>
    </w:p>
    <w:p w14:paraId="5218BF0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卖方承诺油式电抗器的使用寿命不少于40年，干式电抗器的使用寿命不少于30年。</w:t>
      </w:r>
    </w:p>
    <w:p w14:paraId="244D2BAF">
      <w:pPr>
        <w:pStyle w:val="5"/>
        <w:spacing w:before="0" w:after="0" w:line="360" w:lineRule="auto"/>
        <w:rPr>
          <w:rFonts w:ascii="宋体" w:hAnsi="宋体" w:eastAsia="宋体" w:cs="黑体"/>
          <w:color w:val="auto"/>
          <w:kern w:val="0"/>
          <w:sz w:val="21"/>
          <w:szCs w:val="28"/>
          <w:highlight w:val="none"/>
        </w:rPr>
      </w:pPr>
      <w:bookmarkStart w:id="740" w:name="_Toc6235"/>
      <w:bookmarkStart w:id="741" w:name="_Toc534201409"/>
      <w:bookmarkStart w:id="742" w:name="_Toc2195"/>
      <w:bookmarkStart w:id="743" w:name="_Toc57494827"/>
      <w:bookmarkStart w:id="744" w:name="_Toc26275305"/>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740"/>
      <w:bookmarkEnd w:id="741"/>
      <w:bookmarkEnd w:id="742"/>
      <w:bookmarkEnd w:id="743"/>
      <w:bookmarkEnd w:id="744"/>
    </w:p>
    <w:p w14:paraId="189FF88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74C08039">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6EE1F91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1C8A9BB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1）对于总损耗，实测值如超过保证值3%以下，则当电抗器额定电压下的损耗较保证值每台电抗器每超出1kW则支付违约金10万元，超过值不足1kW者支付违约金按比例分摊。</w:t>
      </w:r>
    </w:p>
    <w:p w14:paraId="0BDCD9A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2）如果损耗值较保证值高于3%但小于5%时，则每高1kW损耗的支付违约金应为（1）中规定的两倍，如果损耗值较保证值大于5%，则买方拒收该电抗器。</w:t>
      </w:r>
    </w:p>
    <w:p w14:paraId="3FD6449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3）最高的顶层油温升,每超过额定值时的绕组规定温升1K时，支付电抗器合同价款2%的违约金。不足1K的值按比例下降,最高温升变化不得超过规定温升3K，否则买方拒收电抗器。</w:t>
      </w:r>
    </w:p>
    <w:p w14:paraId="00B1A56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三维冲撞记录仪在运输全过程中记录不全或记录数据发现最大加速度超过3g的，卖方人员负责现场进入电抗器箱体内检查或吊罩检查，若发现异常卖方须返厂处理，所产生的一切费用由卖方承担，若未发现异常，卖方必须书面承诺产品无质量问题，同时质保期在原有基础上再延长12个月；同时因此导致交货期延迟的按</w:t>
      </w:r>
      <w:r>
        <w:rPr>
          <w:rFonts w:hint="eastAsia" w:ascii="宋体" w:hAnsi="宋体" w:eastAsia="宋体" w:cs="黑体"/>
          <w:color w:val="auto"/>
          <w:kern w:val="0"/>
          <w:szCs w:val="21"/>
          <w:highlight w:val="none"/>
        </w:rPr>
        <w:t>延迟交货</w:t>
      </w:r>
      <w:r>
        <w:rPr>
          <w:rFonts w:ascii="宋体" w:hAnsi="宋体" w:eastAsia="宋体" w:cs="黑体"/>
          <w:color w:val="auto"/>
          <w:kern w:val="0"/>
          <w:szCs w:val="21"/>
          <w:highlight w:val="none"/>
        </w:rPr>
        <w:t>计算违约金。</w:t>
      </w:r>
    </w:p>
    <w:p w14:paraId="65B91BF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（5）对电抗器阻抗实测值在技术</w:t>
      </w:r>
      <w:r>
        <w:rPr>
          <w:rFonts w:hint="eastAsia" w:ascii="宋体" w:hAnsi="宋体" w:eastAsia="宋体" w:cs="黑体"/>
          <w:color w:val="auto"/>
          <w:kern w:val="0"/>
          <w:szCs w:val="21"/>
          <w:highlight w:val="none"/>
        </w:rPr>
        <w:t>规范书</w:t>
      </w:r>
      <w:r>
        <w:rPr>
          <w:rFonts w:ascii="宋体" w:hAnsi="宋体" w:eastAsia="宋体" w:cs="黑体"/>
          <w:color w:val="auto"/>
          <w:kern w:val="0"/>
          <w:szCs w:val="21"/>
          <w:highlight w:val="none"/>
        </w:rPr>
        <w:t>规定的允许偏差基础上，每增大1%支付合同价款5%的违约金。</w:t>
      </w:r>
    </w:p>
    <w:p w14:paraId="78BB6B7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6）实测声级较保证值每高出1dB，卖方应进行降噪处理，直至符合保证值要求，支付合同价款0.5%的违约金。实测声级较保证值高出10%，则买方可以拒收该台电抗器。</w:t>
      </w:r>
    </w:p>
    <w:p w14:paraId="5803B97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7）最高的线圈温升，每超过额定值时的线圈规定温升1k时，</w:t>
      </w:r>
      <w:r>
        <w:rPr>
          <w:rFonts w:hint="eastAsia" w:ascii="宋体" w:hAnsi="宋体" w:eastAsia="宋体" w:cs="黑体"/>
          <w:color w:val="auto"/>
          <w:kern w:val="0"/>
          <w:szCs w:val="21"/>
          <w:highlight w:val="none"/>
        </w:rPr>
        <w:t>支付</w:t>
      </w:r>
      <w:r>
        <w:rPr>
          <w:rFonts w:ascii="宋体" w:hAnsi="宋体" w:eastAsia="宋体" w:cs="黑体"/>
          <w:color w:val="auto"/>
          <w:kern w:val="0"/>
          <w:szCs w:val="21"/>
          <w:highlight w:val="none"/>
        </w:rPr>
        <w:t>合同价款2%的</w:t>
      </w:r>
      <w:r>
        <w:rPr>
          <w:rFonts w:hint="eastAsia" w:ascii="宋体" w:hAnsi="宋体" w:eastAsia="宋体" w:cs="黑体"/>
          <w:color w:val="auto"/>
          <w:kern w:val="0"/>
          <w:szCs w:val="21"/>
          <w:highlight w:val="none"/>
        </w:rPr>
        <w:t>违约金</w:t>
      </w:r>
      <w:r>
        <w:rPr>
          <w:rFonts w:ascii="宋体" w:hAnsi="宋体" w:eastAsia="宋体" w:cs="黑体"/>
          <w:color w:val="auto"/>
          <w:kern w:val="0"/>
          <w:szCs w:val="21"/>
          <w:highlight w:val="none"/>
        </w:rPr>
        <w:t>。不足1k的值按比例</w:t>
      </w:r>
      <w:r>
        <w:rPr>
          <w:rFonts w:hint="eastAsia" w:ascii="宋体" w:hAnsi="宋体" w:eastAsia="宋体" w:cs="黑体"/>
          <w:color w:val="auto"/>
          <w:kern w:val="0"/>
          <w:szCs w:val="21"/>
          <w:highlight w:val="none"/>
        </w:rPr>
        <w:t>分摊</w:t>
      </w:r>
      <w:r>
        <w:rPr>
          <w:rFonts w:ascii="宋体" w:hAnsi="宋体" w:eastAsia="宋体" w:cs="黑体"/>
          <w:color w:val="auto"/>
          <w:kern w:val="0"/>
          <w:szCs w:val="21"/>
          <w:highlight w:val="none"/>
        </w:rPr>
        <w:t>，最高温升变化不得超过规定温升3k，否则买方拒收该台电抗器。</w:t>
      </w:r>
    </w:p>
    <w:p w14:paraId="5DA4C3A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8）由于卖方的原因造成电抗器不能在额定负载下连续运行，则其负载能力每降低5%，卖方应向买方支付合同货物总价5%的违约金。</w:t>
      </w:r>
    </w:p>
    <w:p w14:paraId="048AC71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9）电抗器本体及冷却系统等应无渗漏现象，若由于卖方原因造成渗漏，允许卖方在现场处理修理一次，处理后再有渗漏，每发现一处，卖方应向买方支付5000元违约金。</w:t>
      </w:r>
    </w:p>
    <w:p w14:paraId="1B5A9296">
      <w:pPr>
        <w:pStyle w:val="4"/>
        <w:jc w:val="center"/>
        <w:rPr>
          <w:rFonts w:ascii="宋体" w:hAnsi="宋体" w:eastAsia="宋体" w:cs="Times New Roman"/>
          <w:color w:val="auto"/>
          <w:kern w:val="0"/>
          <w:sz w:val="28"/>
          <w:highlight w:val="none"/>
        </w:rPr>
      </w:pPr>
      <w:bookmarkStart w:id="745" w:name="_Toc29744"/>
      <w:bookmarkStart w:id="746" w:name="_Toc12936"/>
      <w:bookmarkStart w:id="747" w:name="_Toc57494828"/>
      <w:r>
        <w:rPr>
          <w:rFonts w:hint="eastAsia" w:ascii="宋体" w:hAnsi="宋体" w:eastAsia="宋体" w:cs="Times New Roman"/>
          <w:color w:val="auto"/>
          <w:kern w:val="0"/>
          <w:sz w:val="28"/>
          <w:highlight w:val="none"/>
        </w:rPr>
        <w:t>（十）</w:t>
      </w:r>
      <w:r>
        <w:rPr>
          <w:rFonts w:ascii="宋体" w:hAnsi="宋体" w:eastAsia="宋体" w:cs="Times New Roman"/>
          <w:color w:val="auto"/>
          <w:kern w:val="0"/>
          <w:sz w:val="28"/>
          <w:highlight w:val="none"/>
        </w:rPr>
        <w:t>35kV</w:t>
      </w:r>
      <w:r>
        <w:rPr>
          <w:rFonts w:hint="eastAsia" w:ascii="宋体" w:hAnsi="宋体" w:eastAsia="宋体" w:cs="Times New Roman"/>
          <w:color w:val="auto"/>
          <w:kern w:val="0"/>
          <w:sz w:val="28"/>
          <w:highlight w:val="none"/>
          <w:lang w:val="en-US" w:eastAsia="zh-CN"/>
        </w:rPr>
        <w:t>及</w:t>
      </w:r>
      <w:r>
        <w:rPr>
          <w:rFonts w:ascii="宋体" w:hAnsi="宋体" w:eastAsia="宋体" w:cs="Times New Roman"/>
          <w:color w:val="auto"/>
          <w:kern w:val="0"/>
          <w:sz w:val="28"/>
          <w:highlight w:val="none"/>
        </w:rPr>
        <w:t>以上电抗器</w:t>
      </w:r>
      <w:bookmarkEnd w:id="745"/>
      <w:bookmarkEnd w:id="746"/>
      <w:bookmarkEnd w:id="747"/>
    </w:p>
    <w:p w14:paraId="575B854B">
      <w:pPr>
        <w:pStyle w:val="5"/>
        <w:spacing w:before="0" w:after="0" w:line="360" w:lineRule="auto"/>
        <w:rPr>
          <w:rFonts w:ascii="宋体" w:hAnsi="宋体" w:eastAsia="宋体" w:cs="黑体"/>
          <w:color w:val="auto"/>
          <w:kern w:val="0"/>
          <w:sz w:val="21"/>
          <w:szCs w:val="28"/>
          <w:highlight w:val="none"/>
        </w:rPr>
      </w:pPr>
      <w:bookmarkStart w:id="748" w:name="_Toc8034"/>
      <w:bookmarkStart w:id="749" w:name="_Toc534201411"/>
      <w:bookmarkStart w:id="750" w:name="_Toc14168"/>
      <w:bookmarkStart w:id="751" w:name="_Toc57494829"/>
      <w:bookmarkStart w:id="752" w:name="_Toc26275307"/>
      <w:r>
        <w:rPr>
          <w:rFonts w:ascii="宋体" w:hAnsi="宋体" w:eastAsia="宋体" w:cs="黑体"/>
          <w:color w:val="auto"/>
          <w:kern w:val="0"/>
          <w:sz w:val="21"/>
          <w:szCs w:val="28"/>
          <w:highlight w:val="none"/>
        </w:rPr>
        <w:t>2. 合同范围</w:t>
      </w:r>
      <w:bookmarkEnd w:id="748"/>
      <w:bookmarkEnd w:id="749"/>
      <w:bookmarkEnd w:id="750"/>
      <w:bookmarkEnd w:id="751"/>
      <w:bookmarkEnd w:id="752"/>
    </w:p>
    <w:p w14:paraId="16AE8D5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7ABCA5CE">
      <w:pPr>
        <w:pStyle w:val="5"/>
        <w:spacing w:before="0" w:after="0" w:line="360" w:lineRule="auto"/>
        <w:rPr>
          <w:rFonts w:ascii="宋体" w:hAnsi="宋体" w:eastAsia="宋体" w:cs="黑体"/>
          <w:color w:val="auto"/>
          <w:kern w:val="0"/>
          <w:sz w:val="21"/>
          <w:szCs w:val="28"/>
          <w:highlight w:val="none"/>
        </w:rPr>
      </w:pPr>
      <w:bookmarkStart w:id="753" w:name="_Toc57494830"/>
      <w:bookmarkStart w:id="754" w:name="_Toc534201412"/>
      <w:bookmarkStart w:id="755" w:name="_Toc14638"/>
      <w:bookmarkStart w:id="756" w:name="_Toc26275308"/>
      <w:bookmarkStart w:id="757" w:name="_Toc30797"/>
      <w:r>
        <w:rPr>
          <w:rFonts w:ascii="宋体" w:hAnsi="宋体" w:eastAsia="宋体" w:cs="黑体"/>
          <w:color w:val="auto"/>
          <w:kern w:val="0"/>
          <w:sz w:val="21"/>
          <w:szCs w:val="28"/>
          <w:highlight w:val="none"/>
        </w:rPr>
        <w:t>3. 合同价格与支付</w:t>
      </w:r>
      <w:bookmarkEnd w:id="753"/>
      <w:bookmarkEnd w:id="754"/>
      <w:bookmarkEnd w:id="755"/>
      <w:bookmarkEnd w:id="756"/>
      <w:bookmarkEnd w:id="757"/>
    </w:p>
    <w:p w14:paraId="33534D5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29B5B46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100万元时，本合同价款分预付款、入卖方成品库款、交货款和结清款四次支付，支付比例为1:2:6.5:0.5。</w:t>
      </w:r>
      <w:r>
        <w:rPr>
          <w:rFonts w:hint="eastAsia" w:ascii="宋体" w:hAnsi="宋体" w:eastAsia="宋体" w:cs="黑体"/>
          <w:color w:val="auto"/>
          <w:kern w:val="0"/>
          <w:szCs w:val="21"/>
          <w:highlight w:val="none"/>
        </w:rPr>
        <w:t>卖方为中小企业的，合同价款支付比例为2:2:5.5:0.5。</w:t>
      </w:r>
    </w:p>
    <w:p w14:paraId="4834C015">
      <w:pPr>
        <w:pStyle w:val="5"/>
        <w:spacing w:before="0" w:after="0" w:line="360" w:lineRule="auto"/>
        <w:rPr>
          <w:rFonts w:ascii="宋体" w:hAnsi="宋体" w:eastAsia="宋体" w:cs="黑体"/>
          <w:color w:val="auto"/>
          <w:kern w:val="0"/>
          <w:sz w:val="21"/>
          <w:szCs w:val="28"/>
          <w:highlight w:val="none"/>
        </w:rPr>
      </w:pPr>
      <w:bookmarkStart w:id="758" w:name="_Toc26275309"/>
      <w:bookmarkStart w:id="759" w:name="_Toc57494831"/>
      <w:bookmarkStart w:id="760" w:name="_Toc534201413"/>
      <w:bookmarkStart w:id="761" w:name="_Toc246"/>
      <w:bookmarkStart w:id="762" w:name="_Toc21330"/>
      <w:r>
        <w:rPr>
          <w:rFonts w:ascii="宋体" w:hAnsi="宋体" w:eastAsia="宋体" w:cs="黑体"/>
          <w:color w:val="auto"/>
          <w:kern w:val="0"/>
          <w:sz w:val="21"/>
          <w:szCs w:val="28"/>
          <w:highlight w:val="none"/>
        </w:rPr>
        <w:t>4. 监造及交货前检验</w:t>
      </w:r>
      <w:bookmarkEnd w:id="758"/>
      <w:bookmarkEnd w:id="759"/>
      <w:bookmarkEnd w:id="760"/>
      <w:bookmarkEnd w:id="761"/>
      <w:bookmarkEnd w:id="762"/>
    </w:p>
    <w:p w14:paraId="2367958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 </w:t>
      </w:r>
      <w:r>
        <w:rPr>
          <w:rFonts w:hint="eastAsia" w:ascii="宋体" w:hAnsi="宋体" w:eastAsia="宋体" w:cs="黑体"/>
          <w:color w:val="auto"/>
          <w:kern w:val="0"/>
          <w:szCs w:val="21"/>
          <w:highlight w:val="none"/>
        </w:rPr>
        <w:t>监造</w:t>
      </w:r>
    </w:p>
    <w:p w14:paraId="7D421D1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卖方需提供由</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签署的监造与检验记录和试验报告。</w:t>
      </w:r>
    </w:p>
    <w:p w14:paraId="662E2A9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6AD18D2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4.3.6 增加抽检项目包括但不限于：500kV：温升试验，局放，损耗，噪音，振动，伏安特性曲线。</w:t>
      </w:r>
    </w:p>
    <w:p w14:paraId="34FE7C4B">
      <w:pPr>
        <w:pStyle w:val="5"/>
        <w:spacing w:before="0" w:after="0" w:line="360" w:lineRule="auto"/>
        <w:rPr>
          <w:rFonts w:ascii="宋体" w:hAnsi="宋体" w:eastAsia="宋体" w:cs="黑体"/>
          <w:color w:val="auto"/>
          <w:kern w:val="0"/>
          <w:sz w:val="21"/>
          <w:szCs w:val="28"/>
          <w:highlight w:val="none"/>
        </w:rPr>
      </w:pPr>
      <w:bookmarkStart w:id="763" w:name="_Toc57494832"/>
      <w:bookmarkStart w:id="764" w:name="_Toc26275310"/>
      <w:bookmarkStart w:id="765" w:name="_Toc24893"/>
      <w:bookmarkStart w:id="766" w:name="_Toc5970"/>
      <w:bookmarkStart w:id="767" w:name="_Toc534201414"/>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763"/>
      <w:bookmarkEnd w:id="764"/>
      <w:bookmarkEnd w:id="765"/>
      <w:bookmarkEnd w:id="766"/>
      <w:bookmarkEnd w:id="767"/>
    </w:p>
    <w:p w14:paraId="7EB2194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395A5CF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5.1.4 套管瓷件应牢固固定在木制箱中，以防止在严重冲击时发生相对位移。</w:t>
      </w:r>
    </w:p>
    <w:p w14:paraId="1B08B55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 运输</w:t>
      </w:r>
    </w:p>
    <w:p w14:paraId="3C7437F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5.3.6 买卖双方应在电抗器发运前明确规定电抗器是带油运输还是充干燥空气或氮气运输，如充气运输，卖方应对检测仪表和检测数据变化范围给出明确规定。</w:t>
      </w:r>
    </w:p>
    <w:p w14:paraId="532C80A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5.3.8 卖方在货物本体装运前应直接在货物上装设具有计时功能的经检验合格的三维冲击记录器，以指示货物在运输途中是否发生过严重冲撞。到达现场上基础就位后还应检查记录。卖方应保证三维冲撞记录仪在运输全过程中（含上基础）处于正常工作状态，同时保证在运输过程中可能受到的最大加速度3g（三维空间的任一方向）所产生的冲击力而电抗器本体不松动、不损坏、不变形。</w:t>
      </w:r>
    </w:p>
    <w:p w14:paraId="2B52920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7FEE4D5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交货方式为电抗器基础就位</w:t>
      </w:r>
      <w:r>
        <w:rPr>
          <w:rFonts w:hint="eastAsia" w:ascii="宋体" w:hAnsi="宋体" w:eastAsia="宋体" w:cs="黑体"/>
          <w:color w:val="auto"/>
          <w:kern w:val="0"/>
          <w:szCs w:val="21"/>
          <w:highlight w:val="none"/>
        </w:rPr>
        <w:t>（买方首次指定的地面位置）</w:t>
      </w:r>
      <w:r>
        <w:rPr>
          <w:rFonts w:ascii="宋体" w:hAnsi="宋体" w:eastAsia="宋体" w:cs="黑体"/>
          <w:color w:val="auto"/>
          <w:kern w:val="0"/>
          <w:szCs w:val="21"/>
          <w:highlight w:val="none"/>
        </w:rPr>
        <w:t>。卖方负责将设备安全地运到运行单位指定地点，并负责设备卸车落地</w:t>
      </w:r>
      <w:r>
        <w:rPr>
          <w:rFonts w:hint="eastAsia" w:ascii="宋体" w:hAnsi="宋体" w:eastAsia="宋体" w:cs="黑体"/>
          <w:color w:val="auto"/>
          <w:kern w:val="0"/>
          <w:szCs w:val="21"/>
          <w:highlight w:val="none"/>
        </w:rPr>
        <w:t>，</w:t>
      </w:r>
      <w:r>
        <w:rPr>
          <w:rFonts w:hint="eastAsia" w:ascii="宋体" w:hAnsi="宋体" w:eastAsia="宋体" w:cs="宋体"/>
          <w:color w:val="auto"/>
          <w:szCs w:val="21"/>
          <w:highlight w:val="none"/>
        </w:rPr>
        <w:t>相关风险和费用由卖方承担</w:t>
      </w:r>
      <w:r>
        <w:rPr>
          <w:rFonts w:ascii="宋体" w:hAnsi="宋体" w:eastAsia="宋体" w:cs="黑体"/>
          <w:color w:val="auto"/>
          <w:kern w:val="0"/>
          <w:szCs w:val="21"/>
          <w:highlight w:val="none"/>
        </w:rPr>
        <w:t>。</w:t>
      </w:r>
    </w:p>
    <w:p w14:paraId="53BDE95B">
      <w:pPr>
        <w:pStyle w:val="5"/>
        <w:spacing w:before="0" w:after="0" w:line="360" w:lineRule="auto"/>
        <w:rPr>
          <w:rFonts w:ascii="宋体" w:hAnsi="宋体" w:eastAsia="宋体" w:cs="黑体"/>
          <w:color w:val="auto"/>
          <w:kern w:val="0"/>
          <w:sz w:val="21"/>
          <w:szCs w:val="28"/>
          <w:highlight w:val="none"/>
        </w:rPr>
      </w:pPr>
      <w:bookmarkStart w:id="768" w:name="_Toc26275311"/>
      <w:bookmarkStart w:id="769" w:name="_Toc57494833"/>
      <w:bookmarkStart w:id="770" w:name="_Toc10659"/>
      <w:bookmarkStart w:id="771" w:name="_Toc534201415"/>
      <w:bookmarkStart w:id="772" w:name="_Toc19045"/>
      <w:r>
        <w:rPr>
          <w:rFonts w:ascii="宋体" w:hAnsi="宋体" w:eastAsia="宋体" w:cs="黑体"/>
          <w:color w:val="auto"/>
          <w:kern w:val="0"/>
          <w:sz w:val="21"/>
          <w:szCs w:val="28"/>
          <w:highlight w:val="none"/>
        </w:rPr>
        <w:t>6. 开箱检验、安装、调试、考核、验收</w:t>
      </w:r>
      <w:bookmarkEnd w:id="768"/>
      <w:bookmarkEnd w:id="769"/>
      <w:bookmarkEnd w:id="770"/>
      <w:bookmarkEnd w:id="771"/>
      <w:bookmarkEnd w:id="772"/>
    </w:p>
    <w:p w14:paraId="2CFB983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7A9E64A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6.2.1.3 卖方必须免费提供电抗器油运输和安装过程中所需的油罐供买方使用，并由卖方自行回收，费用由卖方承担；卖方必须提供符合交接试验标准的电抗器油，如电抗器油需现场处理，相关费用由卖方承担。</w:t>
      </w:r>
    </w:p>
    <w:p w14:paraId="4B3CEC0C">
      <w:pPr>
        <w:pStyle w:val="5"/>
        <w:spacing w:before="0" w:after="0" w:line="360" w:lineRule="auto"/>
        <w:rPr>
          <w:rFonts w:ascii="宋体" w:hAnsi="宋体" w:eastAsia="宋体" w:cs="黑体"/>
          <w:color w:val="auto"/>
          <w:kern w:val="0"/>
          <w:sz w:val="21"/>
          <w:szCs w:val="28"/>
          <w:highlight w:val="none"/>
        </w:rPr>
      </w:pPr>
      <w:bookmarkStart w:id="773" w:name="_Toc31013"/>
      <w:bookmarkStart w:id="774" w:name="_Toc57494834"/>
      <w:bookmarkStart w:id="775" w:name="_Toc9322"/>
      <w:bookmarkStart w:id="776" w:name="_Toc534201416"/>
      <w:bookmarkStart w:id="777" w:name="_Toc26275312"/>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773"/>
      <w:bookmarkEnd w:id="774"/>
      <w:bookmarkEnd w:id="775"/>
      <w:bookmarkEnd w:id="776"/>
      <w:bookmarkEnd w:id="777"/>
    </w:p>
    <w:p w14:paraId="1029AE7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5804B05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绝缘油质量保证期为最后一批货物到达交货地之日起</w:t>
      </w:r>
      <w:r>
        <w:rPr>
          <w:rFonts w:ascii="宋体" w:hAnsi="宋体" w:eastAsia="宋体" w:cs="黑体"/>
          <w:color w:val="auto"/>
          <w:kern w:val="0"/>
          <w:szCs w:val="21"/>
          <w:highlight w:val="none"/>
        </w:rPr>
        <w:t>36个月。</w:t>
      </w:r>
    </w:p>
    <w:p w14:paraId="5A3F9D9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产品总装后,因试验不合格，需拆上铁轭时，每拆装一次，质量保证期应延长2年，并将拆装原因和处理情况列入出厂文件。</w:t>
      </w:r>
    </w:p>
    <w:p w14:paraId="4BD094B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在试验中发现绝缘击穿，对修理部位的质量保证期应延长</w:t>
      </w:r>
      <w:r>
        <w:rPr>
          <w:rFonts w:ascii="宋体" w:hAnsi="宋体" w:eastAsia="宋体" w:cs="黑体"/>
          <w:color w:val="auto"/>
          <w:kern w:val="0"/>
          <w:szCs w:val="21"/>
          <w:highlight w:val="none"/>
        </w:rPr>
        <w:t>2年。</w:t>
      </w:r>
    </w:p>
    <w:p w14:paraId="69E73C0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厂内局部放电试验不合格，每重复处理一次，其质保期应延长</w:t>
      </w:r>
      <w:r>
        <w:rPr>
          <w:rFonts w:ascii="宋体" w:hAnsi="宋体" w:eastAsia="宋体" w:cs="黑体"/>
          <w:color w:val="auto"/>
          <w:kern w:val="0"/>
          <w:szCs w:val="21"/>
          <w:highlight w:val="none"/>
        </w:rPr>
        <w:t>1年，并将原因和处理情况列入出厂文件。重复处理三次仍不合格的，买方有权拒收该台电抗器。</w:t>
      </w:r>
    </w:p>
    <w:p w14:paraId="14C9815D">
      <w:pPr>
        <w:pStyle w:val="5"/>
        <w:spacing w:before="0" w:after="0" w:line="360" w:lineRule="auto"/>
        <w:rPr>
          <w:rFonts w:ascii="宋体" w:hAnsi="宋体" w:eastAsia="宋体" w:cs="黑体"/>
          <w:color w:val="auto"/>
          <w:kern w:val="0"/>
          <w:sz w:val="21"/>
          <w:szCs w:val="28"/>
          <w:highlight w:val="none"/>
        </w:rPr>
      </w:pPr>
      <w:bookmarkStart w:id="778" w:name="_Toc26275313"/>
      <w:bookmarkStart w:id="779" w:name="_Toc534201417"/>
      <w:bookmarkStart w:id="780" w:name="_Toc30941"/>
      <w:bookmarkStart w:id="781" w:name="_Toc21933"/>
      <w:bookmarkStart w:id="782" w:name="_Toc57494835"/>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778"/>
      <w:bookmarkEnd w:id="779"/>
      <w:bookmarkEnd w:id="780"/>
      <w:bookmarkEnd w:id="781"/>
      <w:bookmarkEnd w:id="782"/>
    </w:p>
    <w:p w14:paraId="107B4E3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卖方承诺合同设备的使用寿命不少于40年。</w:t>
      </w:r>
    </w:p>
    <w:p w14:paraId="3941C488">
      <w:pPr>
        <w:pStyle w:val="5"/>
        <w:spacing w:before="0" w:after="0" w:line="360" w:lineRule="auto"/>
        <w:rPr>
          <w:rFonts w:ascii="宋体" w:hAnsi="宋体" w:eastAsia="宋体" w:cs="黑体"/>
          <w:color w:val="auto"/>
          <w:kern w:val="0"/>
          <w:sz w:val="21"/>
          <w:szCs w:val="28"/>
          <w:highlight w:val="none"/>
        </w:rPr>
      </w:pPr>
      <w:bookmarkStart w:id="783" w:name="_Toc945"/>
      <w:bookmarkStart w:id="784" w:name="_Toc26275314"/>
      <w:bookmarkStart w:id="785" w:name="_Toc534201418"/>
      <w:bookmarkStart w:id="786" w:name="_Toc11040"/>
      <w:bookmarkStart w:id="787" w:name="_Toc57494836"/>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783"/>
      <w:bookmarkEnd w:id="784"/>
      <w:bookmarkEnd w:id="785"/>
      <w:bookmarkEnd w:id="786"/>
      <w:bookmarkEnd w:id="787"/>
    </w:p>
    <w:p w14:paraId="47FCCD0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15B6343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066FA16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6B0B015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1）对于总损耗，实测值如超过保证值3%以下，则当电抗器额定电压下的损耗较保证值每台电抗器每超出1kW则支付违约金10万元，超过值不足1kW者支付违约金按比例分摊。</w:t>
      </w:r>
    </w:p>
    <w:p w14:paraId="1EEDFBB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2）如果损耗值较保证值高于3%但小于5%时，则每高1kW损耗的支付违约金应为（1）中规定的两倍，如果损耗值较保证值大于5%，则买方拒收该电抗器。</w:t>
      </w:r>
    </w:p>
    <w:p w14:paraId="75DE01E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3）最高的顶层油温升,每超过额定值时的绕组规定温升1K时，支付电抗器合同价款2%的违约金。不足1K的值按比例下降,最高温升变化不得超过规定温升3K，否则买方拒收电抗器。</w:t>
      </w:r>
    </w:p>
    <w:p w14:paraId="34D2BE5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三维冲撞记录仪在运输全过程中记录不全或记录数据发现最大加速度超过3g的，卖方人员负责现场进入电抗器箱体内检查或吊罩检查，若发现异常卖方须返厂处理，所产生的一切费用由卖方承担，若未发现异常，卖方必须书面承诺产品无质量问题，同时质保期在原有基础上再延长12个月；同时因此导致交货期延迟的按</w:t>
      </w:r>
      <w:r>
        <w:rPr>
          <w:rFonts w:hint="eastAsia" w:ascii="宋体" w:hAnsi="宋体" w:eastAsia="宋体" w:cs="黑体"/>
          <w:color w:val="auto"/>
          <w:kern w:val="0"/>
          <w:szCs w:val="21"/>
          <w:highlight w:val="none"/>
        </w:rPr>
        <w:t>延迟交货</w:t>
      </w:r>
      <w:r>
        <w:rPr>
          <w:rFonts w:ascii="宋体" w:hAnsi="宋体" w:eastAsia="宋体" w:cs="黑体"/>
          <w:color w:val="auto"/>
          <w:kern w:val="0"/>
          <w:szCs w:val="21"/>
          <w:highlight w:val="none"/>
        </w:rPr>
        <w:t>计算违约金。</w:t>
      </w:r>
    </w:p>
    <w:p w14:paraId="5135896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（5）对电抗器阻抗实测值在技术</w:t>
      </w:r>
      <w:r>
        <w:rPr>
          <w:rFonts w:hint="eastAsia" w:ascii="宋体" w:hAnsi="宋体" w:eastAsia="宋体" w:cs="黑体"/>
          <w:color w:val="auto"/>
          <w:kern w:val="0"/>
          <w:szCs w:val="21"/>
          <w:highlight w:val="none"/>
        </w:rPr>
        <w:t>规范书</w:t>
      </w:r>
      <w:r>
        <w:rPr>
          <w:rFonts w:ascii="宋体" w:hAnsi="宋体" w:eastAsia="宋体" w:cs="黑体"/>
          <w:color w:val="auto"/>
          <w:kern w:val="0"/>
          <w:szCs w:val="21"/>
          <w:highlight w:val="none"/>
        </w:rPr>
        <w:t>规定的允许偏差基础上，每增大1%支付合同价款5%的违约金。</w:t>
      </w:r>
    </w:p>
    <w:p w14:paraId="2B3DC59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6）实测声级较保证值每高出1dB，卖方应进行降噪处理，直至符合保证值要求，支付合同价款0.5%的违约金。实测声级较保证值高出10%，则买方可以拒收该台电抗器。</w:t>
      </w:r>
    </w:p>
    <w:p w14:paraId="323C822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7）最高的线圈温升，每超过额定值时的线圈规定温升1k时，</w:t>
      </w:r>
      <w:r>
        <w:rPr>
          <w:rFonts w:hint="eastAsia" w:ascii="宋体" w:hAnsi="宋体" w:eastAsia="宋体" w:cs="黑体"/>
          <w:color w:val="auto"/>
          <w:kern w:val="0"/>
          <w:szCs w:val="21"/>
          <w:highlight w:val="none"/>
        </w:rPr>
        <w:t>支付</w:t>
      </w:r>
      <w:r>
        <w:rPr>
          <w:rFonts w:ascii="宋体" w:hAnsi="宋体" w:eastAsia="宋体" w:cs="黑体"/>
          <w:color w:val="auto"/>
          <w:kern w:val="0"/>
          <w:szCs w:val="21"/>
          <w:highlight w:val="none"/>
        </w:rPr>
        <w:t>合同价款2%的</w:t>
      </w:r>
      <w:r>
        <w:rPr>
          <w:rFonts w:hint="eastAsia" w:ascii="宋体" w:hAnsi="宋体" w:eastAsia="宋体" w:cs="黑体"/>
          <w:color w:val="auto"/>
          <w:kern w:val="0"/>
          <w:szCs w:val="21"/>
          <w:highlight w:val="none"/>
        </w:rPr>
        <w:t>违约金</w:t>
      </w:r>
      <w:r>
        <w:rPr>
          <w:rFonts w:ascii="宋体" w:hAnsi="宋体" w:eastAsia="宋体" w:cs="黑体"/>
          <w:color w:val="auto"/>
          <w:kern w:val="0"/>
          <w:szCs w:val="21"/>
          <w:highlight w:val="none"/>
        </w:rPr>
        <w:t>。不足1k的值按比例</w:t>
      </w:r>
      <w:r>
        <w:rPr>
          <w:rFonts w:hint="eastAsia" w:ascii="宋体" w:hAnsi="宋体" w:eastAsia="宋体" w:cs="黑体"/>
          <w:color w:val="auto"/>
          <w:kern w:val="0"/>
          <w:szCs w:val="21"/>
          <w:highlight w:val="none"/>
        </w:rPr>
        <w:t>分摊</w:t>
      </w:r>
      <w:r>
        <w:rPr>
          <w:rFonts w:ascii="宋体" w:hAnsi="宋体" w:eastAsia="宋体" w:cs="黑体"/>
          <w:color w:val="auto"/>
          <w:kern w:val="0"/>
          <w:szCs w:val="21"/>
          <w:highlight w:val="none"/>
        </w:rPr>
        <w:t>，最高温升变化不得超过规定温升3k，否则买方拒收该台电抗器。</w:t>
      </w:r>
    </w:p>
    <w:p w14:paraId="1DD001C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8）由于卖方的原因造成电抗器不能在额定负载下连续运行，则其负载能力每降低5%，卖方应向买方支付合同货物总价5%的违约金。</w:t>
      </w:r>
    </w:p>
    <w:p w14:paraId="0902863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9）电抗器本体及冷却系统等应无渗漏现象，若由于卖方原因造成渗漏，允许卖方在现场处理修理一次，处理后再有渗漏，每发现一处，卖方应向买方支付5000元违约金。</w:t>
      </w:r>
    </w:p>
    <w:p w14:paraId="73E70E44">
      <w:pPr>
        <w:pStyle w:val="4"/>
        <w:jc w:val="center"/>
        <w:rPr>
          <w:rFonts w:ascii="宋体" w:hAnsi="宋体" w:eastAsia="宋体" w:cs="Times New Roman"/>
          <w:color w:val="auto"/>
          <w:kern w:val="0"/>
          <w:sz w:val="28"/>
          <w:highlight w:val="none"/>
        </w:rPr>
      </w:pPr>
      <w:bookmarkStart w:id="788" w:name="_Toc19378"/>
      <w:bookmarkStart w:id="789" w:name="_Toc57494837"/>
      <w:bookmarkStart w:id="790" w:name="_Toc29952"/>
      <w:r>
        <w:rPr>
          <w:rFonts w:hint="eastAsia" w:ascii="宋体" w:hAnsi="宋体" w:eastAsia="宋体" w:cs="Times New Roman"/>
          <w:color w:val="auto"/>
          <w:kern w:val="0"/>
          <w:sz w:val="28"/>
          <w:highlight w:val="none"/>
        </w:rPr>
        <w:t>（十一）消弧线圈、接地变及小电阻接地成套装置</w:t>
      </w:r>
      <w:bookmarkEnd w:id="788"/>
      <w:bookmarkEnd w:id="789"/>
      <w:bookmarkEnd w:id="790"/>
    </w:p>
    <w:p w14:paraId="290CA274">
      <w:pPr>
        <w:pStyle w:val="5"/>
        <w:spacing w:before="0" w:after="0" w:line="360" w:lineRule="auto"/>
        <w:rPr>
          <w:rFonts w:ascii="宋体" w:hAnsi="宋体" w:eastAsia="宋体" w:cs="黑体"/>
          <w:color w:val="auto"/>
          <w:kern w:val="0"/>
          <w:sz w:val="21"/>
          <w:szCs w:val="28"/>
          <w:highlight w:val="none"/>
        </w:rPr>
      </w:pPr>
      <w:bookmarkStart w:id="791" w:name="_Toc7278"/>
      <w:bookmarkStart w:id="792" w:name="_Toc57494838"/>
      <w:bookmarkStart w:id="793" w:name="_Toc12631"/>
      <w:bookmarkStart w:id="794" w:name="_Toc26275316"/>
      <w:bookmarkStart w:id="795" w:name="_Toc534201420"/>
      <w:r>
        <w:rPr>
          <w:rFonts w:ascii="宋体" w:hAnsi="宋体" w:eastAsia="宋体" w:cs="黑体"/>
          <w:color w:val="auto"/>
          <w:kern w:val="0"/>
          <w:sz w:val="21"/>
          <w:szCs w:val="28"/>
          <w:highlight w:val="none"/>
        </w:rPr>
        <w:t>3. 合同价格与支付</w:t>
      </w:r>
      <w:bookmarkEnd w:id="791"/>
      <w:bookmarkEnd w:id="792"/>
      <w:bookmarkEnd w:id="793"/>
      <w:bookmarkEnd w:id="794"/>
      <w:bookmarkEnd w:id="795"/>
    </w:p>
    <w:p w14:paraId="40E14A2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1F01BFB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1F919F4F">
      <w:pPr>
        <w:pStyle w:val="5"/>
        <w:spacing w:before="0" w:after="0" w:line="360" w:lineRule="auto"/>
        <w:rPr>
          <w:rFonts w:ascii="宋体" w:hAnsi="宋体" w:eastAsia="宋体" w:cs="黑体"/>
          <w:color w:val="auto"/>
          <w:kern w:val="0"/>
          <w:sz w:val="21"/>
          <w:szCs w:val="28"/>
          <w:highlight w:val="none"/>
        </w:rPr>
      </w:pPr>
      <w:bookmarkStart w:id="796" w:name="_Toc26275317"/>
      <w:bookmarkStart w:id="797" w:name="_Toc11206"/>
      <w:bookmarkStart w:id="798" w:name="_Toc8714"/>
      <w:bookmarkStart w:id="799" w:name="_Toc57494839"/>
      <w:bookmarkStart w:id="800" w:name="_Toc534201421"/>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796"/>
      <w:bookmarkEnd w:id="797"/>
      <w:bookmarkEnd w:id="798"/>
      <w:bookmarkEnd w:id="799"/>
      <w:bookmarkEnd w:id="800"/>
    </w:p>
    <w:p w14:paraId="318872F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5FF2879D">
      <w:pPr>
        <w:pStyle w:val="5"/>
        <w:spacing w:before="0" w:after="0" w:line="360" w:lineRule="auto"/>
        <w:rPr>
          <w:rFonts w:ascii="宋体" w:hAnsi="宋体" w:eastAsia="宋体" w:cs="黑体"/>
          <w:color w:val="auto"/>
          <w:kern w:val="0"/>
          <w:sz w:val="21"/>
          <w:szCs w:val="28"/>
          <w:highlight w:val="none"/>
        </w:rPr>
      </w:pPr>
      <w:bookmarkStart w:id="801" w:name="_Toc57494840"/>
      <w:bookmarkStart w:id="802" w:name="_Toc26275318"/>
      <w:bookmarkStart w:id="803" w:name="_Toc534201422"/>
      <w:bookmarkStart w:id="804" w:name="_Toc17403"/>
      <w:bookmarkStart w:id="805" w:name="_Toc17864"/>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801"/>
      <w:bookmarkEnd w:id="802"/>
      <w:bookmarkEnd w:id="803"/>
      <w:bookmarkEnd w:id="804"/>
      <w:bookmarkEnd w:id="805"/>
    </w:p>
    <w:p w14:paraId="152D21F5">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45E2C6C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2DC3678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w:t>
      </w:r>
      <w:r>
        <w:rPr>
          <w:rFonts w:hint="eastAsia" w:ascii="宋体" w:hAnsi="宋体" w:eastAsia="宋体" w:cs="黑体"/>
          <w:color w:val="auto"/>
          <w:kern w:val="0"/>
          <w:szCs w:val="21"/>
          <w:highlight w:val="none"/>
        </w:rPr>
        <w:t>金</w:t>
      </w:r>
      <w:r>
        <w:rPr>
          <w:rFonts w:ascii="宋体" w:hAnsi="宋体" w:eastAsia="宋体" w:cs="黑体"/>
          <w:color w:val="auto"/>
          <w:kern w:val="0"/>
          <w:szCs w:val="21"/>
          <w:highlight w:val="none"/>
        </w:rPr>
        <w:t>的标准如下：</w:t>
      </w:r>
    </w:p>
    <w:p w14:paraId="529C515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1）合同货物本体不允许有渗漏油，如发现有渗漏情况，允许卖方在现场处理；如处理后再有渗漏，每发现1处漏点，支付违约金2000元。</w:t>
      </w:r>
    </w:p>
    <w:p w14:paraId="5DFF8F0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2）对于消弧线圈成套装置如补偿电流不能达到技术</w:t>
      </w:r>
      <w:r>
        <w:rPr>
          <w:rFonts w:hint="eastAsia" w:ascii="宋体" w:hAnsi="宋体" w:eastAsia="宋体" w:cs="黑体"/>
          <w:color w:val="auto"/>
          <w:kern w:val="0"/>
          <w:szCs w:val="21"/>
          <w:highlight w:val="none"/>
        </w:rPr>
        <w:t>规范书</w:t>
      </w:r>
      <w:r>
        <w:rPr>
          <w:rFonts w:ascii="宋体" w:hAnsi="宋体" w:eastAsia="宋体" w:cs="黑体"/>
          <w:color w:val="auto"/>
          <w:kern w:val="0"/>
          <w:szCs w:val="21"/>
          <w:highlight w:val="none"/>
        </w:rPr>
        <w:t>要求，卖方应及时改进。若改进后仍不能满足，支付合同价款10%的违约金。</w:t>
      </w:r>
    </w:p>
    <w:p w14:paraId="35AE51EF">
      <w:pPr>
        <w:pStyle w:val="4"/>
        <w:jc w:val="center"/>
        <w:rPr>
          <w:rFonts w:ascii="宋体" w:hAnsi="宋体" w:eastAsia="宋体" w:cs="Times New Roman"/>
          <w:color w:val="auto"/>
          <w:kern w:val="0"/>
          <w:sz w:val="28"/>
          <w:highlight w:val="none"/>
        </w:rPr>
      </w:pPr>
      <w:bookmarkStart w:id="806" w:name="_Toc21712"/>
      <w:bookmarkStart w:id="807" w:name="_Toc57494841"/>
      <w:bookmarkStart w:id="808" w:name="_Toc14134"/>
      <w:r>
        <w:rPr>
          <w:rFonts w:hint="eastAsia" w:ascii="宋体" w:hAnsi="宋体" w:eastAsia="宋体" w:cs="Times New Roman"/>
          <w:color w:val="auto"/>
          <w:kern w:val="0"/>
          <w:sz w:val="28"/>
          <w:highlight w:val="none"/>
        </w:rPr>
        <w:t>（十二）组合电器</w:t>
      </w:r>
      <w:bookmarkEnd w:id="806"/>
      <w:bookmarkEnd w:id="807"/>
      <w:bookmarkEnd w:id="808"/>
    </w:p>
    <w:p w14:paraId="0C4AC71A">
      <w:pPr>
        <w:pStyle w:val="5"/>
        <w:spacing w:before="0" w:after="0" w:line="360" w:lineRule="auto"/>
        <w:rPr>
          <w:rFonts w:ascii="宋体" w:hAnsi="宋体" w:eastAsia="宋体" w:cs="黑体"/>
          <w:color w:val="auto"/>
          <w:kern w:val="0"/>
          <w:sz w:val="21"/>
          <w:szCs w:val="28"/>
          <w:highlight w:val="none"/>
        </w:rPr>
      </w:pPr>
      <w:bookmarkStart w:id="809" w:name="_Toc57494842"/>
      <w:bookmarkStart w:id="810" w:name="_Toc534201424"/>
      <w:bookmarkStart w:id="811" w:name="_Toc12544"/>
      <w:bookmarkStart w:id="812" w:name="_Toc29389"/>
      <w:bookmarkStart w:id="813" w:name="_Toc26275320"/>
      <w:r>
        <w:rPr>
          <w:rFonts w:ascii="宋体" w:hAnsi="宋体" w:eastAsia="宋体" w:cs="黑体"/>
          <w:color w:val="auto"/>
          <w:kern w:val="0"/>
          <w:sz w:val="21"/>
          <w:szCs w:val="28"/>
          <w:highlight w:val="none"/>
        </w:rPr>
        <w:t>2. 合同范围</w:t>
      </w:r>
      <w:bookmarkEnd w:id="809"/>
      <w:bookmarkEnd w:id="810"/>
      <w:bookmarkEnd w:id="811"/>
      <w:bookmarkEnd w:id="812"/>
      <w:bookmarkEnd w:id="813"/>
    </w:p>
    <w:p w14:paraId="38DEBBE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7286FE7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2.6 卖方应在安装前提供现场安装工作的标准化作业指导书，重点明确安装流程、安装工艺要求及现场检查、验证项目及标准。</w:t>
      </w:r>
    </w:p>
    <w:p w14:paraId="71CE8B9D">
      <w:pPr>
        <w:pStyle w:val="5"/>
        <w:spacing w:before="0" w:after="0" w:line="360" w:lineRule="auto"/>
        <w:rPr>
          <w:rFonts w:ascii="宋体" w:hAnsi="宋体" w:eastAsia="宋体" w:cs="黑体"/>
          <w:color w:val="auto"/>
          <w:kern w:val="0"/>
          <w:sz w:val="21"/>
          <w:szCs w:val="28"/>
          <w:highlight w:val="none"/>
        </w:rPr>
      </w:pPr>
      <w:bookmarkStart w:id="814" w:name="_Toc57494843"/>
      <w:bookmarkStart w:id="815" w:name="_Toc534201425"/>
      <w:bookmarkStart w:id="816" w:name="_Toc26275321"/>
      <w:bookmarkStart w:id="817" w:name="_Toc24392"/>
      <w:bookmarkStart w:id="818" w:name="_Toc24288"/>
      <w:r>
        <w:rPr>
          <w:rFonts w:ascii="宋体" w:hAnsi="宋体" w:eastAsia="宋体" w:cs="黑体"/>
          <w:color w:val="auto"/>
          <w:kern w:val="0"/>
          <w:sz w:val="21"/>
          <w:szCs w:val="28"/>
          <w:highlight w:val="none"/>
        </w:rPr>
        <w:t>3. 合同价格与支付</w:t>
      </w:r>
      <w:bookmarkEnd w:id="814"/>
      <w:bookmarkEnd w:id="815"/>
      <w:bookmarkEnd w:id="816"/>
      <w:bookmarkEnd w:id="817"/>
      <w:bookmarkEnd w:id="818"/>
    </w:p>
    <w:p w14:paraId="760F605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0D0F17E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100万元时，本合同价款分预付款、入卖方成品库款、交货款和结清款四次支付，支付比例为1:2:6.5:0.5。</w:t>
      </w:r>
      <w:r>
        <w:rPr>
          <w:rFonts w:hint="eastAsia" w:ascii="宋体" w:hAnsi="宋体" w:eastAsia="宋体" w:cs="黑体"/>
          <w:color w:val="auto"/>
          <w:kern w:val="0"/>
          <w:szCs w:val="21"/>
          <w:highlight w:val="none"/>
        </w:rPr>
        <w:t>卖方为中小企业的，合同价款支付比例为2:2:5.5:0.5。</w:t>
      </w:r>
    </w:p>
    <w:p w14:paraId="1859198F">
      <w:pPr>
        <w:pStyle w:val="5"/>
        <w:spacing w:before="0" w:after="0" w:line="360" w:lineRule="auto"/>
        <w:rPr>
          <w:rFonts w:ascii="宋体" w:hAnsi="宋体" w:eastAsia="宋体" w:cs="黑体"/>
          <w:color w:val="auto"/>
          <w:kern w:val="0"/>
          <w:sz w:val="21"/>
          <w:szCs w:val="28"/>
          <w:highlight w:val="none"/>
        </w:rPr>
      </w:pPr>
      <w:bookmarkStart w:id="819" w:name="_Toc26275322"/>
      <w:bookmarkStart w:id="820" w:name="_Toc25102"/>
      <w:bookmarkStart w:id="821" w:name="_Toc57494844"/>
      <w:bookmarkStart w:id="822" w:name="_Toc534201426"/>
      <w:bookmarkStart w:id="823" w:name="_Toc12247"/>
      <w:r>
        <w:rPr>
          <w:rFonts w:ascii="宋体" w:hAnsi="宋体" w:eastAsia="宋体" w:cs="黑体"/>
          <w:color w:val="auto"/>
          <w:kern w:val="0"/>
          <w:sz w:val="21"/>
          <w:szCs w:val="28"/>
          <w:highlight w:val="none"/>
        </w:rPr>
        <w:t>4. 监造及交货前检验</w:t>
      </w:r>
      <w:bookmarkEnd w:id="819"/>
      <w:bookmarkEnd w:id="820"/>
      <w:bookmarkEnd w:id="821"/>
      <w:bookmarkEnd w:id="822"/>
      <w:bookmarkEnd w:id="823"/>
    </w:p>
    <w:p w14:paraId="3181DF9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19C03FE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卖方不得以外购绝缘件出厂试验报告代替本厂试验报告。</w:t>
      </w:r>
    </w:p>
    <w:p w14:paraId="5A91ABE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4.1.10 卖方应对绝缘盆子、绝缘拉杆、支持绝缘子逐只进行耐压、局放、X光探伤试验，对绝缘盆子还应逐只进行水压和检漏试验，并提供检验报告。</w:t>
      </w:r>
    </w:p>
    <w:p w14:paraId="4639620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597C05D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4.3.6 增加抽检项目包括但不限于：</w:t>
      </w:r>
    </w:p>
    <w:p w14:paraId="4DC0C7D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机械使用寿命试验，雷电冲击电压试验，零表压（微正压）下交流耐压试验。</w:t>
      </w:r>
    </w:p>
    <w:p w14:paraId="2A8D7DAF">
      <w:pPr>
        <w:pStyle w:val="5"/>
        <w:spacing w:before="0" w:after="0" w:line="360" w:lineRule="auto"/>
        <w:rPr>
          <w:rFonts w:ascii="宋体" w:hAnsi="宋体" w:eastAsia="宋体" w:cs="黑体"/>
          <w:color w:val="auto"/>
          <w:kern w:val="0"/>
          <w:sz w:val="21"/>
          <w:szCs w:val="28"/>
          <w:highlight w:val="none"/>
        </w:rPr>
      </w:pPr>
      <w:bookmarkStart w:id="824" w:name="_Toc22143"/>
      <w:bookmarkStart w:id="825" w:name="_Toc37"/>
      <w:bookmarkStart w:id="826" w:name="_Toc26275323"/>
      <w:bookmarkStart w:id="827" w:name="_Toc534201427"/>
      <w:bookmarkStart w:id="828" w:name="_Toc57494845"/>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824"/>
      <w:bookmarkEnd w:id="825"/>
      <w:bookmarkEnd w:id="826"/>
      <w:bookmarkEnd w:id="827"/>
      <w:bookmarkEnd w:id="828"/>
    </w:p>
    <w:p w14:paraId="41B3753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5E67431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5.1.4 套管瓷件应牢固固定在木制箱中，以防止在严重冲击时发生相对位移。</w:t>
      </w:r>
    </w:p>
    <w:p w14:paraId="2674B67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 运输</w:t>
      </w:r>
    </w:p>
    <w:p w14:paraId="5B7FA11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5.3.6 货物运输时其功能单元气室应在密封、充微正压的干燥气体(如SF6或N2)和放置吸湿剂的情况下包装、运输。单独运输的母线绝缘件应密封运输并做好防撞措施。如现场验收发现不能满足要求，卖方应按买方要求进行返厂维修。</w:t>
      </w:r>
    </w:p>
    <w:p w14:paraId="4E0CF4A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5.3.8 货物在运输中断路器、隔离刀闸、电流互感器、电压互感器及避雷器气室上应安装有三维冲击记录仪或三维冲击指示器。如果在运输和装卸过程中出现冲击加速度大于3g时，买方有权要求增加试验项目或返厂处理。</w:t>
      </w:r>
    </w:p>
    <w:p w14:paraId="0519AD5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5.3.9 为缩短现场安装周期，减少现场对接的单元，在运输尺寸的限制下最大程度地在工厂组装各单元，卖方应提供货物运输单元拆分原则，在设联会阶段买方予以确认。未经买方同意，不得变更，否则买方有权拒收。</w:t>
      </w:r>
    </w:p>
    <w:p w14:paraId="05A73F3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5.3.10 货物出厂运输必须以完整的功能单元为基本运输单位，具体分割原则为220kV以下货物整间隔运输，220kV以上货物，原则上按断路器（含两侧CT）、母线刀闸（含部分主母线）、母线货物、母线（分支母线）、汇控柜、支架等进行拆分，除母线（分支母线）外不得散件运输。</w:t>
      </w:r>
    </w:p>
    <w:p w14:paraId="577C6523">
      <w:pPr>
        <w:pStyle w:val="5"/>
        <w:spacing w:before="0" w:after="0" w:line="360" w:lineRule="auto"/>
        <w:rPr>
          <w:rFonts w:ascii="宋体" w:hAnsi="宋体" w:eastAsia="宋体" w:cs="黑体"/>
          <w:color w:val="auto"/>
          <w:kern w:val="0"/>
          <w:sz w:val="21"/>
          <w:szCs w:val="28"/>
          <w:highlight w:val="none"/>
        </w:rPr>
      </w:pPr>
      <w:bookmarkStart w:id="829" w:name="_Toc17069"/>
      <w:bookmarkStart w:id="830" w:name="_Toc26275324"/>
      <w:bookmarkStart w:id="831" w:name="_Toc57494846"/>
      <w:bookmarkStart w:id="832" w:name="_Toc534201428"/>
      <w:bookmarkStart w:id="833" w:name="_Toc3260"/>
      <w:r>
        <w:rPr>
          <w:rFonts w:ascii="宋体" w:hAnsi="宋体" w:eastAsia="宋体" w:cs="黑体"/>
          <w:color w:val="auto"/>
          <w:kern w:val="0"/>
          <w:sz w:val="21"/>
          <w:szCs w:val="28"/>
          <w:highlight w:val="none"/>
        </w:rPr>
        <w:t>6. 开箱检验、安装、调试、考核、验收</w:t>
      </w:r>
      <w:bookmarkEnd w:id="829"/>
      <w:bookmarkEnd w:id="830"/>
      <w:bookmarkEnd w:id="831"/>
      <w:bookmarkEnd w:id="832"/>
      <w:bookmarkEnd w:id="833"/>
    </w:p>
    <w:p w14:paraId="0239E06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3633732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6.2.1.1 </w:t>
      </w:r>
      <w:r>
        <w:rPr>
          <w:rFonts w:hint="eastAsia" w:ascii="宋体" w:hAnsi="宋体" w:eastAsia="宋体" w:cs="黑体"/>
          <w:color w:val="auto"/>
          <w:kern w:val="0"/>
          <w:szCs w:val="21"/>
          <w:highlight w:val="none"/>
        </w:rPr>
        <w:t>卖</w:t>
      </w:r>
      <w:r>
        <w:rPr>
          <w:rFonts w:ascii="宋体" w:hAnsi="宋体" w:eastAsia="宋体" w:cs="黑体"/>
          <w:color w:val="auto"/>
          <w:kern w:val="0"/>
          <w:szCs w:val="21"/>
          <w:highlight w:val="none"/>
        </w:rPr>
        <w:t>方应在安装前提供现场安装的环境要求，如现场安装环境不能满足施工要求，应及时告知监理代表。如因卖方现场技术人员未及时告知而造成的所有损失由卖方承担。</w:t>
      </w:r>
    </w:p>
    <w:p w14:paraId="30B1A2BC">
      <w:pPr>
        <w:pStyle w:val="5"/>
        <w:spacing w:before="0" w:after="0" w:line="360" w:lineRule="auto"/>
        <w:rPr>
          <w:rFonts w:ascii="宋体" w:hAnsi="宋体" w:eastAsia="宋体" w:cs="黑体"/>
          <w:color w:val="auto"/>
          <w:kern w:val="0"/>
          <w:sz w:val="21"/>
          <w:szCs w:val="28"/>
          <w:highlight w:val="none"/>
        </w:rPr>
      </w:pPr>
      <w:bookmarkStart w:id="834" w:name="_Toc5966"/>
      <w:bookmarkStart w:id="835" w:name="_Toc25634"/>
      <w:bookmarkStart w:id="836" w:name="_Toc534201429"/>
      <w:bookmarkStart w:id="837" w:name="_Toc26275325"/>
      <w:bookmarkStart w:id="838" w:name="_Toc57494847"/>
      <w:r>
        <w:rPr>
          <w:rFonts w:ascii="宋体" w:hAnsi="宋体" w:eastAsia="宋体" w:cs="黑体"/>
          <w:color w:val="auto"/>
          <w:kern w:val="0"/>
          <w:sz w:val="21"/>
          <w:szCs w:val="28"/>
          <w:highlight w:val="none"/>
        </w:rPr>
        <w:t>7. 技术服务</w:t>
      </w:r>
      <w:bookmarkEnd w:id="834"/>
      <w:bookmarkEnd w:id="835"/>
      <w:bookmarkEnd w:id="836"/>
      <w:bookmarkEnd w:id="837"/>
      <w:bookmarkEnd w:id="838"/>
    </w:p>
    <w:p w14:paraId="7FD7B75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7.1.5.6 卖方提供培训服务的总量应当不少于7×8人天。</w:t>
      </w:r>
    </w:p>
    <w:p w14:paraId="7C05108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对培训合格人员，卖方应授予厂家认可的资质证书。卖方还应定期对合格人员进行培训，以保持其能力水平不下降。</w:t>
      </w:r>
    </w:p>
    <w:p w14:paraId="1138AB08">
      <w:pPr>
        <w:pStyle w:val="5"/>
        <w:spacing w:before="0" w:after="0" w:line="360" w:lineRule="auto"/>
        <w:rPr>
          <w:rFonts w:ascii="宋体" w:hAnsi="宋体" w:eastAsia="宋体" w:cs="黑体"/>
          <w:color w:val="auto"/>
          <w:kern w:val="0"/>
          <w:sz w:val="21"/>
          <w:szCs w:val="28"/>
          <w:highlight w:val="none"/>
        </w:rPr>
      </w:pPr>
      <w:bookmarkStart w:id="839" w:name="_Toc534201430"/>
      <w:bookmarkStart w:id="840" w:name="_Toc17759"/>
      <w:bookmarkStart w:id="841" w:name="_Toc57494848"/>
      <w:bookmarkStart w:id="842" w:name="_Toc26275326"/>
      <w:bookmarkStart w:id="843" w:name="_Toc11482"/>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839"/>
      <w:bookmarkEnd w:id="840"/>
      <w:bookmarkEnd w:id="841"/>
      <w:bookmarkEnd w:id="842"/>
      <w:bookmarkEnd w:id="843"/>
    </w:p>
    <w:p w14:paraId="46F62ED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合同货物的质量保证期为120个月。</w:t>
      </w:r>
    </w:p>
    <w:p w14:paraId="6F9DB7C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在现场安装时非对接需要对货物进行开盖处理的，质量保证期应延长2年。在货物质量保证期内，现场开盖处理的部件的质量保证期重新计算，并延长2年。</w:t>
      </w:r>
    </w:p>
    <w:p w14:paraId="22E7F0D1">
      <w:pPr>
        <w:pStyle w:val="5"/>
        <w:spacing w:before="0" w:after="0" w:line="360" w:lineRule="auto"/>
        <w:rPr>
          <w:rFonts w:ascii="宋体" w:hAnsi="宋体" w:eastAsia="宋体" w:cs="黑体"/>
          <w:color w:val="auto"/>
          <w:kern w:val="0"/>
          <w:sz w:val="21"/>
          <w:szCs w:val="28"/>
          <w:highlight w:val="none"/>
        </w:rPr>
      </w:pPr>
      <w:bookmarkStart w:id="844" w:name="_Toc3723"/>
      <w:bookmarkStart w:id="845" w:name="_Toc534201431"/>
      <w:bookmarkStart w:id="846" w:name="_Toc26275327"/>
      <w:bookmarkStart w:id="847" w:name="_Toc57494849"/>
      <w:bookmarkStart w:id="848" w:name="_Toc21786"/>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844"/>
      <w:bookmarkEnd w:id="845"/>
      <w:bookmarkEnd w:id="846"/>
      <w:bookmarkEnd w:id="847"/>
      <w:bookmarkEnd w:id="848"/>
    </w:p>
    <w:p w14:paraId="290C3CF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卖方承诺合同设备的使用寿命不少于40年。</w:t>
      </w:r>
    </w:p>
    <w:p w14:paraId="08D4C7E8">
      <w:pPr>
        <w:pStyle w:val="5"/>
        <w:spacing w:before="0" w:after="0" w:line="360" w:lineRule="auto"/>
        <w:rPr>
          <w:rFonts w:ascii="宋体" w:hAnsi="宋体" w:eastAsia="宋体" w:cs="黑体"/>
          <w:color w:val="auto"/>
          <w:kern w:val="0"/>
          <w:sz w:val="21"/>
          <w:szCs w:val="28"/>
          <w:highlight w:val="none"/>
        </w:rPr>
      </w:pPr>
      <w:bookmarkStart w:id="849" w:name="_Toc17101"/>
      <w:bookmarkStart w:id="850" w:name="_Toc26275328"/>
      <w:bookmarkStart w:id="851" w:name="_Toc30754"/>
      <w:bookmarkStart w:id="852" w:name="_Toc534201432"/>
      <w:bookmarkStart w:id="853" w:name="_Toc57494850"/>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849"/>
      <w:bookmarkEnd w:id="850"/>
      <w:bookmarkEnd w:id="851"/>
      <w:bookmarkEnd w:id="852"/>
      <w:bookmarkEnd w:id="853"/>
    </w:p>
    <w:p w14:paraId="45E56FA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40E84A6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5F59D0D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 出现下列情况需返厂维修：</w:t>
      </w:r>
    </w:p>
    <w:p w14:paraId="54F1AC6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1）货物在现场耐压试验不合格，应整间隔返厂维修。</w:t>
      </w:r>
    </w:p>
    <w:p w14:paraId="0F87D58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2）货物在现场试验发现回路电阻超标，应整间隔返厂维修。</w:t>
      </w:r>
    </w:p>
    <w:p w14:paraId="6FD44FA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3）在工厂组装密封好的气室，除对接需要外，不得打开。如卖方擅自打开，应整间隔返厂维修。</w:t>
      </w:r>
    </w:p>
    <w:p w14:paraId="762984A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w:t>
      </w:r>
      <w:r>
        <w:rPr>
          <w:rFonts w:hint="eastAsia" w:ascii="宋体" w:hAnsi="宋体" w:eastAsia="宋体" w:cs="黑体"/>
          <w:color w:val="auto"/>
          <w:kern w:val="0"/>
          <w:szCs w:val="21"/>
          <w:highlight w:val="none"/>
        </w:rPr>
        <w:t>金</w:t>
      </w:r>
      <w:r>
        <w:rPr>
          <w:rFonts w:ascii="宋体" w:hAnsi="宋体" w:eastAsia="宋体" w:cs="黑体"/>
          <w:color w:val="auto"/>
          <w:kern w:val="0"/>
          <w:szCs w:val="21"/>
          <w:highlight w:val="none"/>
        </w:rPr>
        <w:t>的标准如下：</w:t>
      </w:r>
    </w:p>
    <w:p w14:paraId="473CE7D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1）质量保证期内货物本体不允许有SF6气体超标泄漏现象（年漏气率不大于0.5%）。如发现有超标泄漏情况，每一处漏点卖方应向买方支付违约金1万元。</w:t>
      </w:r>
    </w:p>
    <w:p w14:paraId="52C092E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 监造及交货前检验</w:t>
      </w:r>
    </w:p>
    <w:p w14:paraId="1B0E22A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14.5.4 若卖方在生产前未提早将生产计划告知监造单位和买方，由于卖方擅自开始生产导致货物监造工作无法正常开展的，买方有权拒收该货物。</w:t>
      </w:r>
    </w:p>
    <w:p w14:paraId="4BC4B291">
      <w:pPr>
        <w:pStyle w:val="4"/>
        <w:jc w:val="center"/>
        <w:rPr>
          <w:rFonts w:ascii="宋体" w:hAnsi="宋体" w:eastAsia="宋体" w:cs="Times New Roman"/>
          <w:color w:val="auto"/>
          <w:kern w:val="0"/>
          <w:sz w:val="28"/>
          <w:highlight w:val="none"/>
        </w:rPr>
      </w:pPr>
      <w:bookmarkStart w:id="854" w:name="_Toc57494851"/>
      <w:bookmarkStart w:id="855" w:name="_Toc30818"/>
      <w:bookmarkStart w:id="856" w:name="_Toc13154"/>
      <w:r>
        <w:rPr>
          <w:rFonts w:hint="eastAsia" w:ascii="宋体" w:hAnsi="宋体" w:eastAsia="宋体" w:cs="Times New Roman"/>
          <w:color w:val="auto"/>
          <w:kern w:val="0"/>
          <w:sz w:val="28"/>
          <w:highlight w:val="none"/>
        </w:rPr>
        <w:t>（十三）开关柜（箱）</w:t>
      </w:r>
      <w:bookmarkEnd w:id="854"/>
      <w:bookmarkEnd w:id="855"/>
      <w:bookmarkEnd w:id="856"/>
    </w:p>
    <w:p w14:paraId="06F6352C">
      <w:pPr>
        <w:pStyle w:val="5"/>
        <w:spacing w:before="0" w:after="0" w:line="360" w:lineRule="auto"/>
        <w:rPr>
          <w:rFonts w:ascii="宋体" w:hAnsi="宋体" w:eastAsia="宋体" w:cs="黑体"/>
          <w:color w:val="auto"/>
          <w:kern w:val="0"/>
          <w:sz w:val="21"/>
          <w:szCs w:val="28"/>
          <w:highlight w:val="none"/>
        </w:rPr>
      </w:pPr>
      <w:bookmarkStart w:id="857" w:name="_Toc17287"/>
      <w:bookmarkStart w:id="858" w:name="_Toc534201434"/>
      <w:bookmarkStart w:id="859" w:name="_Toc17798"/>
      <w:bookmarkStart w:id="860" w:name="_Toc26275330"/>
      <w:bookmarkStart w:id="861" w:name="_Toc57494852"/>
      <w:r>
        <w:rPr>
          <w:rFonts w:ascii="宋体" w:hAnsi="宋体" w:eastAsia="宋体" w:cs="黑体"/>
          <w:color w:val="auto"/>
          <w:kern w:val="0"/>
          <w:sz w:val="21"/>
          <w:szCs w:val="28"/>
          <w:highlight w:val="none"/>
        </w:rPr>
        <w:t>2. 合同范围</w:t>
      </w:r>
      <w:bookmarkEnd w:id="857"/>
      <w:bookmarkEnd w:id="858"/>
      <w:bookmarkEnd w:id="859"/>
      <w:bookmarkEnd w:id="860"/>
      <w:bookmarkEnd w:id="861"/>
    </w:p>
    <w:p w14:paraId="1E6BDBD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1625DDE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2.6 卖方应在安装前提供现场安装工作的标准化作业指导书重点明确安装流程、安装工艺要求及现场检查、验证项目及标准。</w:t>
      </w:r>
    </w:p>
    <w:p w14:paraId="3FB12A88">
      <w:pPr>
        <w:pStyle w:val="5"/>
        <w:spacing w:before="0" w:after="0" w:line="360" w:lineRule="auto"/>
        <w:rPr>
          <w:rFonts w:ascii="宋体" w:hAnsi="宋体" w:eastAsia="宋体" w:cs="黑体"/>
          <w:color w:val="auto"/>
          <w:kern w:val="0"/>
          <w:sz w:val="21"/>
          <w:szCs w:val="28"/>
          <w:highlight w:val="none"/>
        </w:rPr>
      </w:pPr>
      <w:bookmarkStart w:id="862" w:name="_Toc4000"/>
      <w:bookmarkStart w:id="863" w:name="_Toc5794"/>
      <w:bookmarkStart w:id="864" w:name="_Toc534201435"/>
      <w:bookmarkStart w:id="865" w:name="_Toc57494853"/>
      <w:bookmarkStart w:id="866" w:name="_Toc26275331"/>
      <w:r>
        <w:rPr>
          <w:rFonts w:ascii="宋体" w:hAnsi="宋体" w:eastAsia="宋体" w:cs="黑体"/>
          <w:color w:val="auto"/>
          <w:kern w:val="0"/>
          <w:sz w:val="21"/>
          <w:szCs w:val="28"/>
          <w:highlight w:val="none"/>
        </w:rPr>
        <w:t>3. 合同价格与支付</w:t>
      </w:r>
      <w:bookmarkEnd w:id="862"/>
      <w:bookmarkEnd w:id="863"/>
      <w:bookmarkEnd w:id="864"/>
      <w:bookmarkEnd w:id="865"/>
      <w:bookmarkEnd w:id="866"/>
    </w:p>
    <w:p w14:paraId="74B3715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4B5EBE9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5E35A1E8">
      <w:pPr>
        <w:pStyle w:val="5"/>
        <w:spacing w:before="0" w:after="0" w:line="360" w:lineRule="auto"/>
        <w:rPr>
          <w:rFonts w:ascii="宋体" w:hAnsi="宋体" w:eastAsia="宋体" w:cs="黑体"/>
          <w:color w:val="auto"/>
          <w:kern w:val="0"/>
          <w:sz w:val="21"/>
          <w:szCs w:val="28"/>
          <w:highlight w:val="none"/>
        </w:rPr>
      </w:pPr>
      <w:bookmarkStart w:id="867" w:name="_Toc21287"/>
      <w:bookmarkStart w:id="868" w:name="_Toc3886"/>
      <w:bookmarkStart w:id="869" w:name="_Toc26275332"/>
      <w:bookmarkStart w:id="870" w:name="_Toc534201436"/>
      <w:bookmarkStart w:id="871" w:name="_Toc57494854"/>
      <w:r>
        <w:rPr>
          <w:rFonts w:ascii="宋体" w:hAnsi="宋体" w:eastAsia="宋体" w:cs="黑体"/>
          <w:color w:val="auto"/>
          <w:kern w:val="0"/>
          <w:sz w:val="21"/>
          <w:szCs w:val="28"/>
          <w:highlight w:val="none"/>
        </w:rPr>
        <w:t>4. 监造及交货前检验</w:t>
      </w:r>
      <w:bookmarkEnd w:id="867"/>
      <w:bookmarkEnd w:id="868"/>
      <w:bookmarkEnd w:id="869"/>
      <w:bookmarkEnd w:id="870"/>
      <w:bookmarkEnd w:id="871"/>
    </w:p>
    <w:p w14:paraId="3E85A9B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0A27BDD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4.1.10 对于35kV以下高压开关柜，出厂前应进行试操作30次（手车进出、断路器电动分合闸、地刀分合闸），并提供相应试验证明文件，否则用户有权拒收。</w:t>
      </w:r>
    </w:p>
    <w:p w14:paraId="3D17898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1699779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4.3.6 增加抽检项目包括但不限于：</w:t>
      </w:r>
    </w:p>
    <w:p w14:paraId="4FA01B7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内部燃弧试验，机械操作试验和机械使用寿命试验，温升试验，动热稳定试验。</w:t>
      </w:r>
    </w:p>
    <w:p w14:paraId="59CE0933">
      <w:pPr>
        <w:pStyle w:val="5"/>
        <w:spacing w:before="0" w:after="0" w:line="360" w:lineRule="auto"/>
        <w:rPr>
          <w:rFonts w:ascii="宋体" w:hAnsi="宋体" w:eastAsia="宋体" w:cs="黑体"/>
          <w:color w:val="auto"/>
          <w:kern w:val="0"/>
          <w:sz w:val="21"/>
          <w:szCs w:val="28"/>
          <w:highlight w:val="none"/>
        </w:rPr>
      </w:pPr>
      <w:bookmarkStart w:id="872" w:name="_Toc6311"/>
      <w:bookmarkStart w:id="873" w:name="_Toc534201437"/>
      <w:bookmarkStart w:id="874" w:name="_Toc16828"/>
      <w:bookmarkStart w:id="875" w:name="_Toc26275333"/>
      <w:bookmarkStart w:id="876" w:name="_Toc57494855"/>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872"/>
      <w:bookmarkEnd w:id="873"/>
      <w:bookmarkEnd w:id="874"/>
      <w:bookmarkEnd w:id="875"/>
      <w:bookmarkEnd w:id="876"/>
    </w:p>
    <w:p w14:paraId="43DD2FB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2C7FEA9E">
      <w:pPr>
        <w:pStyle w:val="5"/>
        <w:spacing w:before="0" w:after="0" w:line="360" w:lineRule="auto"/>
        <w:rPr>
          <w:rFonts w:ascii="宋体" w:hAnsi="宋体" w:eastAsia="宋体" w:cs="黑体"/>
          <w:color w:val="auto"/>
          <w:kern w:val="0"/>
          <w:sz w:val="21"/>
          <w:szCs w:val="28"/>
          <w:highlight w:val="none"/>
        </w:rPr>
      </w:pPr>
      <w:bookmarkStart w:id="877" w:name="_Toc2238"/>
      <w:bookmarkStart w:id="878" w:name="_Toc26275334"/>
      <w:bookmarkStart w:id="879" w:name="_Toc57494856"/>
      <w:bookmarkStart w:id="880" w:name="_Toc534201438"/>
      <w:bookmarkStart w:id="881" w:name="_Toc11905"/>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877"/>
      <w:bookmarkEnd w:id="878"/>
      <w:bookmarkEnd w:id="879"/>
      <w:bookmarkEnd w:id="880"/>
      <w:bookmarkEnd w:id="881"/>
    </w:p>
    <w:p w14:paraId="30E0C4F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卖方承诺合同设备的使用寿命不少于40年。</w:t>
      </w:r>
    </w:p>
    <w:p w14:paraId="7DD6F38B">
      <w:pPr>
        <w:pStyle w:val="5"/>
        <w:spacing w:before="0" w:after="0" w:line="360" w:lineRule="auto"/>
        <w:rPr>
          <w:rFonts w:ascii="宋体" w:hAnsi="宋体" w:eastAsia="宋体" w:cs="黑体"/>
          <w:color w:val="auto"/>
          <w:kern w:val="0"/>
          <w:sz w:val="21"/>
          <w:szCs w:val="28"/>
          <w:highlight w:val="none"/>
        </w:rPr>
      </w:pPr>
      <w:bookmarkStart w:id="882" w:name="_Toc26275335"/>
      <w:bookmarkStart w:id="883" w:name="_Toc4056"/>
      <w:bookmarkStart w:id="884" w:name="_Toc57494857"/>
      <w:bookmarkStart w:id="885" w:name="_Toc534201439"/>
      <w:bookmarkStart w:id="886" w:name="_Toc7020"/>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882"/>
      <w:bookmarkEnd w:id="883"/>
      <w:bookmarkEnd w:id="884"/>
      <w:bookmarkEnd w:id="885"/>
      <w:bookmarkEnd w:id="886"/>
    </w:p>
    <w:p w14:paraId="2D2EA02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4A9AFF8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14A45DF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5CC35C9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1）质量保证期内合同货物发生质量原因的严重发热、柜内放电造成非计划停运，每次卖方应向买方支付违约金1万元。</w:t>
      </w:r>
    </w:p>
    <w:p w14:paraId="7532B26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2）超过质量保证期，且运行时间不超过5年的合同货物发生质量原因的严重发热、柜内放电造成非停，每次卖方应向买方支付违约金3千元。</w:t>
      </w:r>
    </w:p>
    <w:p w14:paraId="7E5F7E7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3）合同货物使用寿命期内发生质量原因需更换箱体的，每次卖方应向买方支付违约金1万元。</w:t>
      </w:r>
    </w:p>
    <w:p w14:paraId="2211A2A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4）安装期间由于柜内元器件质量问题导致工期延误的，卖方应向买方支付违约金5千元。</w:t>
      </w:r>
    </w:p>
    <w:p w14:paraId="5F1F27D8">
      <w:pPr>
        <w:pStyle w:val="4"/>
        <w:jc w:val="center"/>
        <w:rPr>
          <w:rFonts w:ascii="宋体" w:hAnsi="宋体" w:eastAsia="宋体" w:cs="Times New Roman"/>
          <w:color w:val="auto"/>
          <w:kern w:val="0"/>
          <w:sz w:val="28"/>
          <w:highlight w:val="none"/>
        </w:rPr>
      </w:pPr>
      <w:bookmarkStart w:id="887" w:name="_Toc57494858"/>
      <w:bookmarkStart w:id="888" w:name="_Toc29657"/>
      <w:bookmarkStart w:id="889" w:name="_Toc1857"/>
      <w:r>
        <w:rPr>
          <w:rFonts w:hint="eastAsia" w:ascii="宋体" w:hAnsi="宋体" w:eastAsia="宋体" w:cs="Times New Roman"/>
          <w:color w:val="auto"/>
          <w:kern w:val="0"/>
          <w:sz w:val="28"/>
          <w:highlight w:val="none"/>
        </w:rPr>
        <w:t>（十四）电力电容器</w:t>
      </w:r>
      <w:bookmarkEnd w:id="887"/>
      <w:bookmarkEnd w:id="888"/>
      <w:bookmarkEnd w:id="889"/>
    </w:p>
    <w:p w14:paraId="511B943E">
      <w:pPr>
        <w:pStyle w:val="5"/>
        <w:spacing w:before="0" w:after="0" w:line="360" w:lineRule="auto"/>
        <w:rPr>
          <w:rFonts w:ascii="宋体" w:hAnsi="宋体" w:eastAsia="宋体" w:cs="黑体"/>
          <w:color w:val="auto"/>
          <w:kern w:val="0"/>
          <w:sz w:val="21"/>
          <w:szCs w:val="28"/>
          <w:highlight w:val="none"/>
        </w:rPr>
      </w:pPr>
      <w:bookmarkStart w:id="890" w:name="_Toc26275337"/>
      <w:bookmarkStart w:id="891" w:name="_Toc534201441"/>
      <w:bookmarkStart w:id="892" w:name="_Toc22121"/>
      <w:bookmarkStart w:id="893" w:name="_Toc8098"/>
      <w:bookmarkStart w:id="894" w:name="_Toc57494859"/>
      <w:r>
        <w:rPr>
          <w:rFonts w:ascii="宋体" w:hAnsi="宋体" w:eastAsia="宋体" w:cs="黑体"/>
          <w:color w:val="auto"/>
          <w:kern w:val="0"/>
          <w:sz w:val="21"/>
          <w:szCs w:val="28"/>
          <w:highlight w:val="none"/>
        </w:rPr>
        <w:t>2. 合同范围</w:t>
      </w:r>
      <w:bookmarkEnd w:id="890"/>
      <w:bookmarkEnd w:id="891"/>
      <w:bookmarkEnd w:id="892"/>
      <w:bookmarkEnd w:id="893"/>
      <w:bookmarkEnd w:id="894"/>
    </w:p>
    <w:p w14:paraId="290D865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61B921F6">
      <w:pPr>
        <w:pStyle w:val="5"/>
        <w:spacing w:before="0" w:after="0" w:line="360" w:lineRule="auto"/>
        <w:rPr>
          <w:rFonts w:ascii="宋体" w:hAnsi="宋体" w:eastAsia="宋体" w:cs="黑体"/>
          <w:color w:val="auto"/>
          <w:kern w:val="0"/>
          <w:sz w:val="21"/>
          <w:szCs w:val="28"/>
          <w:highlight w:val="none"/>
        </w:rPr>
      </w:pPr>
      <w:bookmarkStart w:id="895" w:name="_Toc11596"/>
      <w:bookmarkStart w:id="896" w:name="_Toc13814"/>
      <w:bookmarkStart w:id="897" w:name="_Toc26275338"/>
      <w:bookmarkStart w:id="898" w:name="_Toc57494860"/>
      <w:bookmarkStart w:id="899" w:name="_Toc534201442"/>
      <w:r>
        <w:rPr>
          <w:rFonts w:ascii="宋体" w:hAnsi="宋体" w:eastAsia="宋体" w:cs="黑体"/>
          <w:color w:val="auto"/>
          <w:kern w:val="0"/>
          <w:sz w:val="21"/>
          <w:szCs w:val="28"/>
          <w:highlight w:val="none"/>
        </w:rPr>
        <w:t>3. 合同价格与支付</w:t>
      </w:r>
      <w:bookmarkEnd w:id="895"/>
      <w:bookmarkEnd w:id="896"/>
      <w:bookmarkEnd w:id="897"/>
      <w:bookmarkEnd w:id="898"/>
      <w:bookmarkEnd w:id="899"/>
    </w:p>
    <w:p w14:paraId="0E0B26A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5F873BC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46814627">
      <w:pPr>
        <w:pStyle w:val="5"/>
        <w:spacing w:before="0" w:after="0" w:line="360" w:lineRule="auto"/>
        <w:rPr>
          <w:rFonts w:ascii="宋体" w:hAnsi="宋体" w:eastAsia="宋体" w:cs="黑体"/>
          <w:color w:val="auto"/>
          <w:kern w:val="0"/>
          <w:sz w:val="21"/>
          <w:szCs w:val="28"/>
          <w:highlight w:val="none"/>
        </w:rPr>
      </w:pPr>
      <w:bookmarkStart w:id="900" w:name="_Toc24495"/>
      <w:bookmarkStart w:id="901" w:name="_Toc534201443"/>
      <w:bookmarkStart w:id="902" w:name="_Toc174"/>
      <w:bookmarkStart w:id="903" w:name="_Toc26275339"/>
      <w:bookmarkStart w:id="904" w:name="_Toc57494861"/>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900"/>
      <w:bookmarkEnd w:id="901"/>
      <w:bookmarkEnd w:id="902"/>
      <w:bookmarkEnd w:id="903"/>
      <w:bookmarkEnd w:id="904"/>
    </w:p>
    <w:p w14:paraId="2865AFC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4D983EB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在交接试验中发生电容器绝缘击穿，卖方须免费更换，并将同一批次电容器的质量保证期延长2年。</w:t>
      </w:r>
    </w:p>
    <w:p w14:paraId="3F660F67">
      <w:pPr>
        <w:pStyle w:val="5"/>
        <w:spacing w:before="0" w:after="0" w:line="360" w:lineRule="auto"/>
        <w:rPr>
          <w:rFonts w:ascii="宋体" w:hAnsi="宋体" w:eastAsia="宋体" w:cs="黑体"/>
          <w:color w:val="auto"/>
          <w:kern w:val="0"/>
          <w:sz w:val="21"/>
          <w:szCs w:val="28"/>
          <w:highlight w:val="none"/>
        </w:rPr>
      </w:pPr>
      <w:bookmarkStart w:id="905" w:name="_Toc26275340"/>
      <w:bookmarkStart w:id="906" w:name="_Toc17175"/>
      <w:bookmarkStart w:id="907" w:name="_Toc57494862"/>
      <w:bookmarkStart w:id="908" w:name="_Toc534201444"/>
      <w:bookmarkStart w:id="909" w:name="_Toc15124"/>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905"/>
      <w:bookmarkEnd w:id="906"/>
      <w:bookmarkEnd w:id="907"/>
      <w:bookmarkEnd w:id="908"/>
      <w:bookmarkEnd w:id="909"/>
    </w:p>
    <w:p w14:paraId="5D280F1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238CCFA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1C21EB6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7F88B42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（1）电容器不允许有渗漏油，如发现有渗漏情况，允许卖方在现场处理；如处理后再有渗漏，每发现</w:t>
      </w:r>
      <w:r>
        <w:rPr>
          <w:rFonts w:ascii="宋体" w:hAnsi="宋体" w:eastAsia="宋体" w:cs="黑体"/>
          <w:color w:val="auto"/>
          <w:kern w:val="0"/>
          <w:szCs w:val="21"/>
          <w:highlight w:val="none"/>
        </w:rPr>
        <w:t>1处漏点，支付违约金2000元。</w:t>
      </w:r>
    </w:p>
    <w:p w14:paraId="6B081D57">
      <w:pPr>
        <w:pStyle w:val="4"/>
        <w:jc w:val="center"/>
        <w:rPr>
          <w:rFonts w:ascii="宋体" w:hAnsi="宋体" w:eastAsia="宋体" w:cs="Times New Roman"/>
          <w:color w:val="auto"/>
          <w:kern w:val="0"/>
          <w:sz w:val="28"/>
          <w:highlight w:val="none"/>
        </w:rPr>
      </w:pPr>
      <w:bookmarkStart w:id="910" w:name="_Toc28960"/>
      <w:bookmarkStart w:id="911" w:name="_Toc18988"/>
      <w:bookmarkStart w:id="912" w:name="_Toc57494863"/>
      <w:r>
        <w:rPr>
          <w:rFonts w:hint="eastAsia" w:ascii="宋体" w:hAnsi="宋体" w:eastAsia="宋体" w:cs="Times New Roman"/>
          <w:color w:val="auto"/>
          <w:kern w:val="0"/>
          <w:sz w:val="28"/>
          <w:highlight w:val="none"/>
        </w:rPr>
        <w:t>（十五）串联补偿成套装置</w:t>
      </w:r>
      <w:bookmarkEnd w:id="910"/>
      <w:bookmarkEnd w:id="911"/>
      <w:bookmarkEnd w:id="912"/>
    </w:p>
    <w:p w14:paraId="148A034E">
      <w:pPr>
        <w:pStyle w:val="5"/>
        <w:spacing w:before="0" w:after="0" w:line="360" w:lineRule="auto"/>
        <w:rPr>
          <w:rFonts w:ascii="宋体" w:hAnsi="宋体" w:eastAsia="宋体" w:cs="黑体"/>
          <w:color w:val="auto"/>
          <w:kern w:val="0"/>
          <w:sz w:val="21"/>
          <w:szCs w:val="28"/>
          <w:highlight w:val="none"/>
        </w:rPr>
      </w:pPr>
      <w:bookmarkStart w:id="913" w:name="_Toc30785"/>
      <w:bookmarkStart w:id="914" w:name="_Toc18019"/>
      <w:bookmarkStart w:id="915" w:name="_Toc534201446"/>
      <w:bookmarkStart w:id="916" w:name="_Toc57494864"/>
      <w:bookmarkStart w:id="917" w:name="_Toc26275342"/>
      <w:r>
        <w:rPr>
          <w:rFonts w:ascii="宋体" w:hAnsi="宋体" w:eastAsia="宋体" w:cs="黑体"/>
          <w:color w:val="auto"/>
          <w:kern w:val="0"/>
          <w:sz w:val="21"/>
          <w:szCs w:val="28"/>
          <w:highlight w:val="none"/>
        </w:rPr>
        <w:t>2. 合同范围</w:t>
      </w:r>
      <w:bookmarkEnd w:id="913"/>
      <w:bookmarkEnd w:id="914"/>
      <w:bookmarkEnd w:id="915"/>
      <w:bookmarkEnd w:id="916"/>
      <w:bookmarkEnd w:id="917"/>
    </w:p>
    <w:p w14:paraId="19E3A5D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4CA09424">
      <w:pPr>
        <w:pStyle w:val="5"/>
        <w:spacing w:before="0" w:after="0" w:line="360" w:lineRule="auto"/>
        <w:rPr>
          <w:rFonts w:ascii="宋体" w:hAnsi="宋体" w:eastAsia="宋体" w:cs="黑体"/>
          <w:color w:val="auto"/>
          <w:kern w:val="0"/>
          <w:sz w:val="21"/>
          <w:szCs w:val="28"/>
          <w:highlight w:val="none"/>
        </w:rPr>
      </w:pPr>
      <w:bookmarkStart w:id="918" w:name="_Toc26275343"/>
      <w:bookmarkStart w:id="919" w:name="_Toc24151"/>
      <w:bookmarkStart w:id="920" w:name="_Toc534201447"/>
      <w:bookmarkStart w:id="921" w:name="_Toc10994"/>
      <w:bookmarkStart w:id="922" w:name="_Toc57494865"/>
      <w:r>
        <w:rPr>
          <w:rFonts w:ascii="宋体" w:hAnsi="宋体" w:eastAsia="宋体" w:cs="黑体"/>
          <w:color w:val="auto"/>
          <w:kern w:val="0"/>
          <w:sz w:val="21"/>
          <w:szCs w:val="28"/>
          <w:highlight w:val="none"/>
        </w:rPr>
        <w:t>3. 合同价格与支付</w:t>
      </w:r>
      <w:bookmarkEnd w:id="918"/>
      <w:bookmarkEnd w:id="919"/>
      <w:bookmarkEnd w:id="920"/>
      <w:bookmarkEnd w:id="921"/>
      <w:bookmarkEnd w:id="922"/>
    </w:p>
    <w:p w14:paraId="486FDC4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4EDF177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749B53CE">
      <w:pPr>
        <w:pStyle w:val="5"/>
        <w:spacing w:before="0" w:after="0" w:line="360" w:lineRule="auto"/>
        <w:rPr>
          <w:rFonts w:ascii="宋体" w:hAnsi="宋体" w:eastAsia="宋体" w:cs="黑体"/>
          <w:color w:val="auto"/>
          <w:kern w:val="0"/>
          <w:sz w:val="21"/>
          <w:szCs w:val="28"/>
          <w:highlight w:val="none"/>
        </w:rPr>
      </w:pPr>
      <w:bookmarkStart w:id="923" w:name="_Toc534201448"/>
      <w:bookmarkStart w:id="924" w:name="_Toc5058"/>
      <w:bookmarkStart w:id="925" w:name="_Toc26275344"/>
      <w:bookmarkStart w:id="926" w:name="_Toc57494866"/>
      <w:bookmarkStart w:id="927" w:name="_Toc2289"/>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923"/>
      <w:bookmarkEnd w:id="924"/>
      <w:bookmarkEnd w:id="925"/>
      <w:bookmarkEnd w:id="926"/>
      <w:bookmarkEnd w:id="927"/>
    </w:p>
    <w:p w14:paraId="680541D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094914A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在交接试验中发生电容器单元绝缘击穿，卖方须免费更换，并将同一批次电容器的质量保证期延长2年。</w:t>
      </w:r>
    </w:p>
    <w:p w14:paraId="6EDC4AA7">
      <w:pPr>
        <w:pStyle w:val="4"/>
        <w:jc w:val="center"/>
        <w:rPr>
          <w:rFonts w:ascii="宋体" w:hAnsi="宋体" w:eastAsia="宋体" w:cs="Times New Roman"/>
          <w:color w:val="auto"/>
          <w:kern w:val="0"/>
          <w:sz w:val="28"/>
          <w:highlight w:val="none"/>
        </w:rPr>
      </w:pPr>
      <w:bookmarkStart w:id="928" w:name="_Toc21101"/>
      <w:bookmarkStart w:id="929" w:name="_Toc25053"/>
      <w:bookmarkStart w:id="930" w:name="_Toc57494867"/>
      <w:r>
        <w:rPr>
          <w:rFonts w:hint="eastAsia" w:ascii="宋体" w:hAnsi="宋体" w:eastAsia="宋体" w:cs="Times New Roman"/>
          <w:color w:val="auto"/>
          <w:kern w:val="0"/>
          <w:sz w:val="28"/>
          <w:highlight w:val="none"/>
        </w:rPr>
        <w:t>（十六）避雷器</w:t>
      </w:r>
      <w:bookmarkEnd w:id="928"/>
      <w:bookmarkEnd w:id="929"/>
      <w:bookmarkEnd w:id="930"/>
    </w:p>
    <w:p w14:paraId="2F693298">
      <w:pPr>
        <w:pStyle w:val="5"/>
        <w:spacing w:before="0" w:after="0" w:line="360" w:lineRule="auto"/>
        <w:rPr>
          <w:rFonts w:ascii="宋体" w:hAnsi="宋体" w:eastAsia="宋体" w:cs="黑体"/>
          <w:color w:val="auto"/>
          <w:kern w:val="0"/>
          <w:sz w:val="21"/>
          <w:szCs w:val="28"/>
          <w:highlight w:val="none"/>
        </w:rPr>
      </w:pPr>
      <w:bookmarkStart w:id="931" w:name="_Toc31884"/>
      <w:bookmarkStart w:id="932" w:name="_Toc26275346"/>
      <w:bookmarkStart w:id="933" w:name="_Toc534201450"/>
      <w:bookmarkStart w:id="934" w:name="_Toc30686"/>
      <w:bookmarkStart w:id="935" w:name="_Toc57494868"/>
      <w:r>
        <w:rPr>
          <w:rFonts w:ascii="宋体" w:hAnsi="宋体" w:eastAsia="宋体" w:cs="黑体"/>
          <w:color w:val="auto"/>
          <w:kern w:val="0"/>
          <w:sz w:val="21"/>
          <w:szCs w:val="28"/>
          <w:highlight w:val="none"/>
        </w:rPr>
        <w:t>2. 合同范围</w:t>
      </w:r>
      <w:bookmarkEnd w:id="931"/>
      <w:bookmarkEnd w:id="932"/>
      <w:bookmarkEnd w:id="933"/>
      <w:bookmarkEnd w:id="934"/>
      <w:bookmarkEnd w:id="935"/>
    </w:p>
    <w:p w14:paraId="5CA575C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51E6881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2.6 卖方应在安装前提供现场安装工作的标准化作业指导书，重点明确安装流程、安装工艺要求及现场检查、验证项目及标准。</w:t>
      </w:r>
    </w:p>
    <w:p w14:paraId="1276BCB4">
      <w:pPr>
        <w:pStyle w:val="5"/>
        <w:spacing w:before="0" w:after="0" w:line="360" w:lineRule="auto"/>
        <w:rPr>
          <w:rFonts w:ascii="宋体" w:hAnsi="宋体" w:eastAsia="宋体" w:cs="黑体"/>
          <w:color w:val="auto"/>
          <w:kern w:val="0"/>
          <w:sz w:val="21"/>
          <w:szCs w:val="28"/>
          <w:highlight w:val="none"/>
        </w:rPr>
      </w:pPr>
      <w:bookmarkStart w:id="936" w:name="_Toc10402"/>
      <w:bookmarkStart w:id="937" w:name="_Toc409"/>
      <w:bookmarkStart w:id="938" w:name="_Toc26275347"/>
      <w:bookmarkStart w:id="939" w:name="_Toc57494869"/>
      <w:bookmarkStart w:id="940" w:name="_Toc534201451"/>
      <w:r>
        <w:rPr>
          <w:rFonts w:ascii="宋体" w:hAnsi="宋体" w:eastAsia="宋体" w:cs="黑体"/>
          <w:color w:val="auto"/>
          <w:kern w:val="0"/>
          <w:sz w:val="21"/>
          <w:szCs w:val="28"/>
          <w:highlight w:val="none"/>
        </w:rPr>
        <w:t>3. 合同价格与支付</w:t>
      </w:r>
      <w:bookmarkEnd w:id="936"/>
      <w:bookmarkEnd w:id="937"/>
      <w:bookmarkEnd w:id="938"/>
      <w:bookmarkEnd w:id="939"/>
      <w:bookmarkEnd w:id="940"/>
    </w:p>
    <w:p w14:paraId="0CA2183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6717B3F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6B0DE13B">
      <w:pPr>
        <w:pStyle w:val="5"/>
        <w:spacing w:before="0" w:after="0" w:line="360" w:lineRule="auto"/>
        <w:rPr>
          <w:rFonts w:ascii="宋体" w:hAnsi="宋体" w:eastAsia="宋体" w:cs="黑体"/>
          <w:color w:val="auto"/>
          <w:kern w:val="0"/>
          <w:sz w:val="21"/>
          <w:szCs w:val="28"/>
          <w:highlight w:val="none"/>
        </w:rPr>
      </w:pPr>
      <w:bookmarkStart w:id="941" w:name="_Toc25304"/>
      <w:bookmarkStart w:id="942" w:name="_Toc8892"/>
      <w:bookmarkStart w:id="943" w:name="_Toc57494870"/>
      <w:bookmarkStart w:id="944" w:name="_Toc534201452"/>
      <w:bookmarkStart w:id="945" w:name="_Toc26275348"/>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941"/>
      <w:bookmarkEnd w:id="942"/>
      <w:bookmarkEnd w:id="943"/>
      <w:bookmarkEnd w:id="944"/>
      <w:bookmarkEnd w:id="945"/>
    </w:p>
    <w:p w14:paraId="0201AAB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10DE1BB1">
      <w:pPr>
        <w:pStyle w:val="4"/>
        <w:jc w:val="center"/>
        <w:rPr>
          <w:rFonts w:ascii="宋体" w:hAnsi="宋体" w:eastAsia="宋体" w:cs="Times New Roman"/>
          <w:color w:val="auto"/>
          <w:kern w:val="0"/>
          <w:sz w:val="28"/>
          <w:highlight w:val="none"/>
        </w:rPr>
      </w:pPr>
      <w:bookmarkStart w:id="946" w:name="_Toc24277"/>
      <w:bookmarkStart w:id="947" w:name="_Toc41"/>
      <w:bookmarkStart w:id="948" w:name="_Toc57494871"/>
      <w:r>
        <w:rPr>
          <w:rFonts w:hint="eastAsia" w:ascii="宋体" w:hAnsi="宋体" w:eastAsia="宋体" w:cs="Times New Roman"/>
          <w:color w:val="auto"/>
          <w:kern w:val="0"/>
          <w:sz w:val="28"/>
          <w:highlight w:val="none"/>
        </w:rPr>
        <w:t>（十七）开关</w:t>
      </w:r>
      <w:bookmarkEnd w:id="946"/>
      <w:bookmarkEnd w:id="947"/>
      <w:bookmarkEnd w:id="948"/>
    </w:p>
    <w:p w14:paraId="4A88540C">
      <w:pPr>
        <w:pStyle w:val="5"/>
        <w:spacing w:before="0" w:after="0" w:line="360" w:lineRule="auto"/>
        <w:rPr>
          <w:rFonts w:ascii="宋体" w:hAnsi="宋体" w:eastAsia="宋体" w:cs="黑体"/>
          <w:color w:val="auto"/>
          <w:kern w:val="0"/>
          <w:sz w:val="21"/>
          <w:szCs w:val="28"/>
          <w:highlight w:val="none"/>
        </w:rPr>
      </w:pPr>
      <w:bookmarkStart w:id="949" w:name="_Toc534201454"/>
      <w:bookmarkStart w:id="950" w:name="_Toc57494872"/>
      <w:bookmarkStart w:id="951" w:name="_Toc30944"/>
      <w:bookmarkStart w:id="952" w:name="_Toc29158"/>
      <w:bookmarkStart w:id="953" w:name="_Toc26275350"/>
      <w:r>
        <w:rPr>
          <w:rFonts w:ascii="宋体" w:hAnsi="宋体" w:eastAsia="宋体" w:cs="黑体"/>
          <w:color w:val="auto"/>
          <w:kern w:val="0"/>
          <w:sz w:val="21"/>
          <w:szCs w:val="28"/>
          <w:highlight w:val="none"/>
        </w:rPr>
        <w:t>2. 合同范围</w:t>
      </w:r>
      <w:bookmarkEnd w:id="949"/>
      <w:bookmarkEnd w:id="950"/>
      <w:bookmarkEnd w:id="951"/>
      <w:bookmarkEnd w:id="952"/>
      <w:bookmarkEnd w:id="953"/>
    </w:p>
    <w:p w14:paraId="28EE3FC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78835B18">
      <w:pPr>
        <w:pStyle w:val="5"/>
        <w:spacing w:before="0" w:after="0" w:line="360" w:lineRule="auto"/>
        <w:rPr>
          <w:rFonts w:ascii="宋体" w:hAnsi="宋体" w:eastAsia="宋体" w:cs="黑体"/>
          <w:color w:val="auto"/>
          <w:kern w:val="0"/>
          <w:sz w:val="21"/>
          <w:szCs w:val="28"/>
          <w:highlight w:val="none"/>
        </w:rPr>
      </w:pPr>
      <w:bookmarkStart w:id="954" w:name="_Toc30483"/>
      <w:bookmarkStart w:id="955" w:name="_Toc26275351"/>
      <w:bookmarkStart w:id="956" w:name="_Toc31014"/>
      <w:bookmarkStart w:id="957" w:name="_Toc57494873"/>
      <w:bookmarkStart w:id="958" w:name="_Toc534201455"/>
      <w:r>
        <w:rPr>
          <w:rFonts w:ascii="宋体" w:hAnsi="宋体" w:eastAsia="宋体" w:cs="黑体"/>
          <w:color w:val="auto"/>
          <w:kern w:val="0"/>
          <w:sz w:val="21"/>
          <w:szCs w:val="28"/>
          <w:highlight w:val="none"/>
        </w:rPr>
        <w:t>3. 合同价格与支付</w:t>
      </w:r>
      <w:bookmarkEnd w:id="954"/>
      <w:bookmarkEnd w:id="955"/>
      <w:bookmarkEnd w:id="956"/>
      <w:bookmarkEnd w:id="957"/>
      <w:bookmarkEnd w:id="958"/>
    </w:p>
    <w:p w14:paraId="2CC12C0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32010AC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3B0CEF5D">
      <w:pPr>
        <w:pStyle w:val="5"/>
        <w:spacing w:before="0" w:after="0" w:line="360" w:lineRule="auto"/>
        <w:rPr>
          <w:rFonts w:ascii="宋体" w:hAnsi="宋体" w:eastAsia="宋体" w:cs="黑体"/>
          <w:color w:val="auto"/>
          <w:kern w:val="0"/>
          <w:sz w:val="21"/>
          <w:szCs w:val="28"/>
          <w:highlight w:val="none"/>
        </w:rPr>
      </w:pPr>
      <w:bookmarkStart w:id="959" w:name="_Toc57494874"/>
      <w:bookmarkStart w:id="960" w:name="_Toc26275352"/>
      <w:bookmarkStart w:id="961" w:name="_Toc12043"/>
      <w:bookmarkStart w:id="962" w:name="_Toc534201456"/>
      <w:bookmarkStart w:id="963" w:name="_Toc25554"/>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959"/>
      <w:bookmarkEnd w:id="960"/>
      <w:bookmarkEnd w:id="961"/>
      <w:bookmarkEnd w:id="962"/>
      <w:bookmarkEnd w:id="963"/>
    </w:p>
    <w:p w14:paraId="0A0DE24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7C5DAA6B">
      <w:pPr>
        <w:pStyle w:val="5"/>
        <w:spacing w:before="0" w:after="0" w:line="360" w:lineRule="auto"/>
        <w:rPr>
          <w:rFonts w:ascii="宋体" w:hAnsi="宋体" w:eastAsia="宋体" w:cs="黑体"/>
          <w:color w:val="auto"/>
          <w:kern w:val="0"/>
          <w:sz w:val="21"/>
          <w:szCs w:val="28"/>
          <w:highlight w:val="none"/>
        </w:rPr>
      </w:pPr>
      <w:bookmarkStart w:id="964" w:name="_Toc27802"/>
      <w:bookmarkStart w:id="965" w:name="_Toc7491"/>
      <w:bookmarkStart w:id="966" w:name="_Toc534201457"/>
      <w:bookmarkStart w:id="967" w:name="_Toc26275353"/>
      <w:bookmarkStart w:id="968" w:name="_Toc57494875"/>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964"/>
      <w:bookmarkEnd w:id="965"/>
      <w:bookmarkEnd w:id="966"/>
      <w:bookmarkEnd w:id="967"/>
      <w:bookmarkEnd w:id="968"/>
    </w:p>
    <w:p w14:paraId="75695EA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3CE2D74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2DDF18F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309F678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（1）卖方需承担合同价款</w:t>
      </w:r>
      <w:r>
        <w:rPr>
          <w:rFonts w:ascii="宋体" w:hAnsi="宋体" w:eastAsia="宋体" w:cs="黑体"/>
          <w:color w:val="auto"/>
          <w:kern w:val="0"/>
          <w:szCs w:val="21"/>
          <w:highlight w:val="none"/>
        </w:rPr>
        <w:t>1％的违约金。</w:t>
      </w:r>
    </w:p>
    <w:p w14:paraId="0E345942">
      <w:pPr>
        <w:pStyle w:val="4"/>
        <w:jc w:val="center"/>
        <w:rPr>
          <w:rFonts w:ascii="宋体" w:hAnsi="宋体" w:eastAsia="宋体" w:cs="Times New Roman"/>
          <w:color w:val="auto"/>
          <w:kern w:val="0"/>
          <w:sz w:val="28"/>
          <w:highlight w:val="none"/>
        </w:rPr>
      </w:pPr>
      <w:bookmarkStart w:id="969" w:name="_Toc4290"/>
      <w:bookmarkStart w:id="970" w:name="_Toc57494876"/>
      <w:bookmarkStart w:id="971" w:name="_Toc4029"/>
      <w:r>
        <w:rPr>
          <w:rFonts w:hint="eastAsia" w:ascii="宋体" w:hAnsi="宋体" w:eastAsia="宋体" w:cs="Times New Roman"/>
          <w:color w:val="auto"/>
          <w:kern w:val="0"/>
          <w:sz w:val="28"/>
          <w:highlight w:val="none"/>
        </w:rPr>
        <w:t>（十八）滤波器</w:t>
      </w:r>
      <w:bookmarkEnd w:id="969"/>
      <w:bookmarkEnd w:id="970"/>
      <w:bookmarkEnd w:id="971"/>
    </w:p>
    <w:p w14:paraId="7189CA2F">
      <w:pPr>
        <w:pStyle w:val="5"/>
        <w:spacing w:before="0" w:after="0" w:line="360" w:lineRule="auto"/>
        <w:rPr>
          <w:rFonts w:ascii="宋体" w:hAnsi="宋体" w:eastAsia="宋体" w:cs="黑体"/>
          <w:color w:val="auto"/>
          <w:kern w:val="0"/>
          <w:sz w:val="21"/>
          <w:szCs w:val="28"/>
          <w:highlight w:val="none"/>
        </w:rPr>
      </w:pPr>
      <w:bookmarkStart w:id="972" w:name="_Toc29251"/>
      <w:bookmarkStart w:id="973" w:name="_Toc11860"/>
      <w:bookmarkStart w:id="974" w:name="_Toc26275355"/>
      <w:bookmarkStart w:id="975" w:name="_Toc57494877"/>
      <w:bookmarkStart w:id="976" w:name="_Toc534201459"/>
      <w:r>
        <w:rPr>
          <w:rFonts w:ascii="宋体" w:hAnsi="宋体" w:eastAsia="宋体" w:cs="黑体"/>
          <w:color w:val="auto"/>
          <w:kern w:val="0"/>
          <w:sz w:val="21"/>
          <w:szCs w:val="28"/>
          <w:highlight w:val="none"/>
        </w:rPr>
        <w:t>2. 合同范围</w:t>
      </w:r>
      <w:bookmarkEnd w:id="972"/>
      <w:bookmarkEnd w:id="973"/>
      <w:bookmarkEnd w:id="974"/>
      <w:bookmarkEnd w:id="975"/>
      <w:bookmarkEnd w:id="976"/>
    </w:p>
    <w:p w14:paraId="20F7EF8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776540E5">
      <w:pPr>
        <w:pStyle w:val="5"/>
        <w:spacing w:before="0" w:after="0" w:line="360" w:lineRule="auto"/>
        <w:rPr>
          <w:rFonts w:ascii="宋体" w:hAnsi="宋体" w:eastAsia="宋体" w:cs="黑体"/>
          <w:color w:val="auto"/>
          <w:kern w:val="0"/>
          <w:sz w:val="21"/>
          <w:szCs w:val="28"/>
          <w:highlight w:val="none"/>
        </w:rPr>
      </w:pPr>
      <w:bookmarkStart w:id="977" w:name="_Toc534201460"/>
      <w:bookmarkStart w:id="978" w:name="_Toc1907"/>
      <w:bookmarkStart w:id="979" w:name="_Toc57494878"/>
      <w:bookmarkStart w:id="980" w:name="_Toc10303"/>
      <w:bookmarkStart w:id="981" w:name="_Toc26275356"/>
      <w:r>
        <w:rPr>
          <w:rFonts w:ascii="宋体" w:hAnsi="宋体" w:eastAsia="宋体" w:cs="黑体"/>
          <w:color w:val="auto"/>
          <w:kern w:val="0"/>
          <w:sz w:val="21"/>
          <w:szCs w:val="28"/>
          <w:highlight w:val="none"/>
        </w:rPr>
        <w:t>3. 合同价格与支付</w:t>
      </w:r>
      <w:bookmarkEnd w:id="977"/>
      <w:bookmarkEnd w:id="978"/>
      <w:bookmarkEnd w:id="979"/>
      <w:bookmarkEnd w:id="980"/>
      <w:bookmarkEnd w:id="981"/>
    </w:p>
    <w:p w14:paraId="641D36F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5BC49B9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0FCCA20B">
      <w:pPr>
        <w:pStyle w:val="5"/>
        <w:spacing w:before="0" w:after="0" w:line="360" w:lineRule="auto"/>
        <w:rPr>
          <w:rFonts w:ascii="宋体" w:hAnsi="宋体" w:eastAsia="宋体" w:cs="黑体"/>
          <w:color w:val="auto"/>
          <w:kern w:val="0"/>
          <w:sz w:val="21"/>
          <w:szCs w:val="28"/>
          <w:highlight w:val="none"/>
        </w:rPr>
      </w:pPr>
      <w:bookmarkStart w:id="982" w:name="_Toc57494879"/>
      <w:bookmarkStart w:id="983" w:name="_Toc4544"/>
      <w:bookmarkStart w:id="984" w:name="_Toc26275357"/>
      <w:bookmarkStart w:id="985" w:name="_Toc12379"/>
      <w:bookmarkStart w:id="986" w:name="_Toc534201461"/>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982"/>
      <w:bookmarkEnd w:id="983"/>
      <w:bookmarkEnd w:id="984"/>
      <w:bookmarkEnd w:id="985"/>
      <w:bookmarkEnd w:id="986"/>
    </w:p>
    <w:p w14:paraId="4B09C31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55B5CAA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合同设备质保期内，电容器因质量或工艺原因发生损坏的，卖方应免费更换，同一批次电容器的质量保证期延长2年。</w:t>
      </w:r>
    </w:p>
    <w:p w14:paraId="266C0A5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合同设备质保期内，累计周期</w:t>
      </w:r>
      <w:r>
        <w:rPr>
          <w:rFonts w:ascii="宋体" w:hAnsi="宋体" w:eastAsia="宋体" w:cs="黑体"/>
          <w:color w:val="auto"/>
          <w:kern w:val="0"/>
          <w:szCs w:val="21"/>
          <w:highlight w:val="none"/>
        </w:rPr>
        <w:t>1年内，电容器发生10只以上损坏且原因不明的，卖方应免费更换，同一批次电容器的质量保证期应延长3年。</w:t>
      </w:r>
    </w:p>
    <w:p w14:paraId="22AB3A74">
      <w:pPr>
        <w:pStyle w:val="5"/>
        <w:spacing w:before="0" w:after="0" w:line="360" w:lineRule="auto"/>
        <w:rPr>
          <w:rFonts w:ascii="宋体" w:hAnsi="宋体" w:eastAsia="宋体" w:cs="黑体"/>
          <w:color w:val="auto"/>
          <w:kern w:val="0"/>
          <w:sz w:val="21"/>
          <w:szCs w:val="28"/>
          <w:highlight w:val="none"/>
        </w:rPr>
      </w:pPr>
      <w:bookmarkStart w:id="987" w:name="_Toc534201462"/>
      <w:bookmarkStart w:id="988" w:name="_Toc57494880"/>
      <w:bookmarkStart w:id="989" w:name="_Toc28784"/>
      <w:bookmarkStart w:id="990" w:name="_Toc26275358"/>
      <w:bookmarkStart w:id="991" w:name="_Toc12154"/>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987"/>
      <w:bookmarkEnd w:id="988"/>
      <w:bookmarkEnd w:id="989"/>
      <w:bookmarkEnd w:id="990"/>
      <w:bookmarkEnd w:id="991"/>
    </w:p>
    <w:p w14:paraId="6B253B2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41FD9FA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72495BB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 在验收检测、现场调试运行中,如发现合同设备的主要参数(电压等级、调谐次数、材质等)不符合产品型式试验报告和合同中技术参数要求，影响合同设备的安全运行和使用使用寿命，买方有权退货。</w:t>
      </w:r>
    </w:p>
    <w:p w14:paraId="7DC8EBF6">
      <w:pPr>
        <w:pStyle w:val="4"/>
        <w:jc w:val="center"/>
        <w:rPr>
          <w:rFonts w:ascii="宋体" w:hAnsi="宋体" w:eastAsia="宋体" w:cs="Times New Roman"/>
          <w:color w:val="auto"/>
          <w:kern w:val="0"/>
          <w:sz w:val="28"/>
          <w:highlight w:val="none"/>
        </w:rPr>
      </w:pPr>
      <w:bookmarkStart w:id="992" w:name="_Toc57494881"/>
      <w:bookmarkStart w:id="993" w:name="_Toc17832"/>
      <w:bookmarkStart w:id="994" w:name="_Toc2565"/>
      <w:r>
        <w:rPr>
          <w:rFonts w:hint="eastAsia" w:ascii="宋体" w:hAnsi="宋体" w:eastAsia="宋体" w:cs="Times New Roman"/>
          <w:color w:val="auto"/>
          <w:kern w:val="0"/>
          <w:sz w:val="28"/>
          <w:highlight w:val="none"/>
        </w:rPr>
        <w:t>（十九）支柱绝缘子</w:t>
      </w:r>
      <w:bookmarkEnd w:id="992"/>
      <w:bookmarkEnd w:id="993"/>
      <w:bookmarkEnd w:id="994"/>
    </w:p>
    <w:p w14:paraId="0D7A4759">
      <w:pPr>
        <w:pStyle w:val="5"/>
        <w:spacing w:before="0" w:after="0" w:line="360" w:lineRule="auto"/>
        <w:rPr>
          <w:rFonts w:ascii="宋体" w:hAnsi="宋体" w:eastAsia="宋体" w:cs="黑体"/>
          <w:color w:val="auto"/>
          <w:kern w:val="0"/>
          <w:sz w:val="21"/>
          <w:szCs w:val="28"/>
          <w:highlight w:val="none"/>
        </w:rPr>
      </w:pPr>
      <w:bookmarkStart w:id="995" w:name="_Toc20744"/>
      <w:bookmarkStart w:id="996" w:name="_Toc57494882"/>
      <w:bookmarkStart w:id="997" w:name="_Toc534201464"/>
      <w:bookmarkStart w:id="998" w:name="_Toc26275360"/>
      <w:bookmarkStart w:id="999" w:name="_Toc21966"/>
      <w:r>
        <w:rPr>
          <w:rFonts w:ascii="宋体" w:hAnsi="宋体" w:eastAsia="宋体" w:cs="黑体"/>
          <w:color w:val="auto"/>
          <w:kern w:val="0"/>
          <w:sz w:val="21"/>
          <w:szCs w:val="28"/>
          <w:highlight w:val="none"/>
        </w:rPr>
        <w:t>2. 合同范围</w:t>
      </w:r>
      <w:bookmarkEnd w:id="995"/>
      <w:bookmarkEnd w:id="996"/>
      <w:bookmarkEnd w:id="997"/>
      <w:bookmarkEnd w:id="998"/>
      <w:bookmarkEnd w:id="999"/>
    </w:p>
    <w:p w14:paraId="319A8B0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48FC8C4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2.5 卖方提供的技术资料包括但不限于全套安装使用说明书、产品合格证明书、出厂试验记录、产品外形尺寸图、运输尺寸图、产品拆卸件一览表、装箱单、铭牌图或铭牌标志图及备件一览表等。</w:t>
      </w:r>
    </w:p>
    <w:p w14:paraId="353F1D59">
      <w:pPr>
        <w:pStyle w:val="5"/>
        <w:spacing w:before="0" w:after="0" w:line="360" w:lineRule="auto"/>
        <w:rPr>
          <w:rFonts w:ascii="宋体" w:hAnsi="宋体" w:eastAsia="宋体" w:cs="黑体"/>
          <w:color w:val="auto"/>
          <w:kern w:val="0"/>
          <w:sz w:val="21"/>
          <w:szCs w:val="28"/>
          <w:highlight w:val="none"/>
        </w:rPr>
      </w:pPr>
      <w:bookmarkStart w:id="1000" w:name="_Toc57494883"/>
      <w:bookmarkStart w:id="1001" w:name="_Toc26275361"/>
      <w:bookmarkStart w:id="1002" w:name="_Toc534201465"/>
      <w:bookmarkStart w:id="1003" w:name="_Toc25262"/>
      <w:bookmarkStart w:id="1004" w:name="_Toc1915"/>
      <w:r>
        <w:rPr>
          <w:rFonts w:ascii="宋体" w:hAnsi="宋体" w:eastAsia="宋体" w:cs="黑体"/>
          <w:color w:val="auto"/>
          <w:kern w:val="0"/>
          <w:sz w:val="21"/>
          <w:szCs w:val="28"/>
          <w:highlight w:val="none"/>
        </w:rPr>
        <w:t>3. 合同价格与支付</w:t>
      </w:r>
      <w:bookmarkEnd w:id="1000"/>
      <w:bookmarkEnd w:id="1001"/>
      <w:bookmarkEnd w:id="1002"/>
      <w:bookmarkEnd w:id="1003"/>
      <w:bookmarkEnd w:id="1004"/>
    </w:p>
    <w:p w14:paraId="623F6AF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3F082C8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1A889B3A">
      <w:pPr>
        <w:pStyle w:val="5"/>
        <w:spacing w:before="0" w:after="0" w:line="360" w:lineRule="auto"/>
        <w:rPr>
          <w:rFonts w:ascii="宋体" w:hAnsi="宋体" w:eastAsia="宋体" w:cs="黑体"/>
          <w:color w:val="auto"/>
          <w:kern w:val="0"/>
          <w:sz w:val="21"/>
          <w:szCs w:val="28"/>
          <w:highlight w:val="none"/>
        </w:rPr>
      </w:pPr>
      <w:bookmarkStart w:id="1005" w:name="_Toc534201466"/>
      <w:bookmarkStart w:id="1006" w:name="_Toc32137"/>
      <w:bookmarkStart w:id="1007" w:name="_Toc21465"/>
      <w:bookmarkStart w:id="1008" w:name="_Toc57494884"/>
      <w:bookmarkStart w:id="1009" w:name="_Toc26275362"/>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005"/>
      <w:bookmarkEnd w:id="1006"/>
      <w:bookmarkEnd w:id="1007"/>
      <w:bookmarkEnd w:id="1008"/>
      <w:bookmarkEnd w:id="1009"/>
    </w:p>
    <w:p w14:paraId="27A549D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49A9B5D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卖方应根据双方商定好的标准和买方的实际运输条件，将货物本体和所有零部件包装好。</w:t>
      </w:r>
    </w:p>
    <w:p w14:paraId="0D50B27C">
      <w:pPr>
        <w:pStyle w:val="5"/>
        <w:spacing w:before="0" w:after="0" w:line="360" w:lineRule="auto"/>
        <w:rPr>
          <w:rFonts w:ascii="宋体" w:hAnsi="宋体" w:eastAsia="宋体" w:cs="黑体"/>
          <w:color w:val="auto"/>
          <w:kern w:val="0"/>
          <w:sz w:val="21"/>
          <w:szCs w:val="28"/>
          <w:highlight w:val="none"/>
        </w:rPr>
      </w:pPr>
      <w:bookmarkStart w:id="1010" w:name="_Toc16240"/>
      <w:bookmarkStart w:id="1011" w:name="_Toc57494885"/>
      <w:bookmarkStart w:id="1012" w:name="_Toc534201467"/>
      <w:bookmarkStart w:id="1013" w:name="_Toc26275363"/>
      <w:bookmarkStart w:id="1014" w:name="_Toc9673"/>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010"/>
      <w:bookmarkEnd w:id="1011"/>
      <w:bookmarkEnd w:id="1012"/>
      <w:bookmarkEnd w:id="1013"/>
      <w:bookmarkEnd w:id="1014"/>
    </w:p>
    <w:p w14:paraId="2A1F4CA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2E7EE1AC">
      <w:pPr>
        <w:pStyle w:val="5"/>
        <w:spacing w:before="0" w:after="0" w:line="360" w:lineRule="auto"/>
        <w:rPr>
          <w:rFonts w:ascii="宋体" w:hAnsi="宋体" w:eastAsia="宋体" w:cs="黑体"/>
          <w:color w:val="auto"/>
          <w:kern w:val="0"/>
          <w:sz w:val="21"/>
          <w:szCs w:val="28"/>
          <w:highlight w:val="none"/>
        </w:rPr>
      </w:pPr>
      <w:bookmarkStart w:id="1015" w:name="_Toc534201468"/>
      <w:bookmarkStart w:id="1016" w:name="_Toc27413"/>
      <w:bookmarkStart w:id="1017" w:name="_Toc57494886"/>
      <w:bookmarkStart w:id="1018" w:name="_Toc26275364"/>
      <w:bookmarkStart w:id="1019" w:name="_Toc19131"/>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015"/>
      <w:bookmarkEnd w:id="1016"/>
      <w:bookmarkEnd w:id="1017"/>
      <w:bookmarkEnd w:id="1018"/>
      <w:bookmarkEnd w:id="1019"/>
    </w:p>
    <w:p w14:paraId="43FA39C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卖方承诺800kV支柱绝缘子的使用寿命不少于50年。</w:t>
      </w:r>
    </w:p>
    <w:p w14:paraId="09223C62">
      <w:pPr>
        <w:pStyle w:val="4"/>
        <w:jc w:val="center"/>
        <w:rPr>
          <w:rFonts w:ascii="宋体" w:hAnsi="宋体" w:eastAsia="宋体" w:cs="Times New Roman"/>
          <w:color w:val="auto"/>
          <w:kern w:val="0"/>
          <w:sz w:val="28"/>
          <w:highlight w:val="none"/>
        </w:rPr>
      </w:pPr>
      <w:bookmarkStart w:id="1020" w:name="_Toc22999"/>
      <w:bookmarkStart w:id="1021" w:name="_Toc57494887"/>
      <w:bookmarkStart w:id="1022" w:name="_Toc3077"/>
      <w:r>
        <w:rPr>
          <w:rFonts w:hint="eastAsia" w:ascii="宋体" w:hAnsi="宋体" w:eastAsia="宋体" w:cs="Times New Roman"/>
          <w:color w:val="auto"/>
          <w:kern w:val="0"/>
          <w:sz w:val="28"/>
          <w:highlight w:val="none"/>
        </w:rPr>
        <w:t>（二十）穿墙套管</w:t>
      </w:r>
      <w:bookmarkEnd w:id="1020"/>
      <w:bookmarkEnd w:id="1021"/>
      <w:bookmarkEnd w:id="1022"/>
    </w:p>
    <w:p w14:paraId="7E3D0A88">
      <w:pPr>
        <w:pStyle w:val="5"/>
        <w:spacing w:before="0" w:after="0" w:line="360" w:lineRule="auto"/>
        <w:rPr>
          <w:rFonts w:ascii="宋体" w:hAnsi="宋体" w:eastAsia="宋体" w:cs="黑体"/>
          <w:color w:val="auto"/>
          <w:kern w:val="0"/>
          <w:sz w:val="21"/>
          <w:szCs w:val="28"/>
          <w:highlight w:val="none"/>
        </w:rPr>
      </w:pPr>
      <w:bookmarkStart w:id="1023" w:name="_Toc16815"/>
      <w:bookmarkStart w:id="1024" w:name="_Toc23611"/>
      <w:bookmarkStart w:id="1025" w:name="_Toc26275366"/>
      <w:bookmarkStart w:id="1026" w:name="_Toc57494888"/>
      <w:bookmarkStart w:id="1027" w:name="_Toc534201470"/>
      <w:r>
        <w:rPr>
          <w:rFonts w:ascii="宋体" w:hAnsi="宋体" w:eastAsia="宋体" w:cs="黑体"/>
          <w:color w:val="auto"/>
          <w:kern w:val="0"/>
          <w:sz w:val="21"/>
          <w:szCs w:val="28"/>
          <w:highlight w:val="none"/>
        </w:rPr>
        <w:t>2. 合同范围</w:t>
      </w:r>
      <w:bookmarkEnd w:id="1023"/>
      <w:bookmarkEnd w:id="1024"/>
      <w:bookmarkEnd w:id="1025"/>
      <w:bookmarkEnd w:id="1026"/>
      <w:bookmarkEnd w:id="1027"/>
    </w:p>
    <w:p w14:paraId="3ECF4E5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362AA036">
      <w:pPr>
        <w:pStyle w:val="5"/>
        <w:spacing w:before="0" w:after="0" w:line="360" w:lineRule="auto"/>
        <w:rPr>
          <w:rFonts w:ascii="宋体" w:hAnsi="宋体" w:eastAsia="宋体" w:cs="黑体"/>
          <w:color w:val="auto"/>
          <w:kern w:val="0"/>
          <w:sz w:val="21"/>
          <w:szCs w:val="28"/>
          <w:highlight w:val="none"/>
        </w:rPr>
      </w:pPr>
      <w:bookmarkStart w:id="1028" w:name="_Toc57494889"/>
      <w:bookmarkStart w:id="1029" w:name="_Toc534201471"/>
      <w:bookmarkStart w:id="1030" w:name="_Toc522"/>
      <w:bookmarkStart w:id="1031" w:name="_Toc26275367"/>
      <w:bookmarkStart w:id="1032" w:name="_Toc4670"/>
      <w:r>
        <w:rPr>
          <w:rFonts w:ascii="宋体" w:hAnsi="宋体" w:eastAsia="宋体" w:cs="黑体"/>
          <w:color w:val="auto"/>
          <w:kern w:val="0"/>
          <w:sz w:val="21"/>
          <w:szCs w:val="28"/>
          <w:highlight w:val="none"/>
        </w:rPr>
        <w:t>3. 合同价格与支付</w:t>
      </w:r>
      <w:bookmarkEnd w:id="1028"/>
      <w:bookmarkEnd w:id="1029"/>
      <w:bookmarkEnd w:id="1030"/>
      <w:bookmarkEnd w:id="1031"/>
      <w:bookmarkEnd w:id="1032"/>
    </w:p>
    <w:p w14:paraId="0C776AF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652CD69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48D917B7">
      <w:pPr>
        <w:pStyle w:val="5"/>
        <w:spacing w:before="0" w:after="0" w:line="360" w:lineRule="auto"/>
        <w:rPr>
          <w:rFonts w:ascii="宋体" w:hAnsi="宋体" w:eastAsia="宋体" w:cs="黑体"/>
          <w:color w:val="auto"/>
          <w:kern w:val="0"/>
          <w:sz w:val="21"/>
          <w:szCs w:val="28"/>
          <w:highlight w:val="none"/>
        </w:rPr>
      </w:pPr>
      <w:bookmarkStart w:id="1033" w:name="_Toc534201472"/>
      <w:bookmarkStart w:id="1034" w:name="_Toc26275368"/>
      <w:bookmarkStart w:id="1035" w:name="_Toc23298"/>
      <w:bookmarkStart w:id="1036" w:name="_Toc57494890"/>
      <w:bookmarkStart w:id="1037" w:name="_Toc5433"/>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033"/>
      <w:bookmarkEnd w:id="1034"/>
      <w:bookmarkEnd w:id="1035"/>
      <w:bookmarkEnd w:id="1036"/>
      <w:bookmarkEnd w:id="1037"/>
    </w:p>
    <w:p w14:paraId="70BFEEB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5572B92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合同设备质保期内，穿墙套管出现漏油或漏气等问题每出现1次，质保期应延长1年。</w:t>
      </w:r>
    </w:p>
    <w:p w14:paraId="39B5C76E">
      <w:pPr>
        <w:pStyle w:val="5"/>
        <w:spacing w:before="0" w:after="0" w:line="360" w:lineRule="auto"/>
        <w:rPr>
          <w:rFonts w:ascii="宋体" w:hAnsi="宋体" w:eastAsia="宋体" w:cs="黑体"/>
          <w:color w:val="auto"/>
          <w:kern w:val="0"/>
          <w:sz w:val="21"/>
          <w:szCs w:val="28"/>
          <w:highlight w:val="none"/>
        </w:rPr>
      </w:pPr>
      <w:bookmarkStart w:id="1038" w:name="_Toc26275369"/>
      <w:bookmarkStart w:id="1039" w:name="_Toc13831"/>
      <w:bookmarkStart w:id="1040" w:name="_Toc57494891"/>
      <w:bookmarkStart w:id="1041" w:name="_Toc534201473"/>
      <w:bookmarkStart w:id="1042" w:name="_Toc6482"/>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038"/>
      <w:bookmarkEnd w:id="1039"/>
      <w:bookmarkEnd w:id="1040"/>
      <w:bookmarkEnd w:id="1041"/>
      <w:bookmarkEnd w:id="1042"/>
    </w:p>
    <w:p w14:paraId="19A8A15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79D2AC3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31DBECE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 若合同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的主要参数（包括但不限于外绝缘材质、绝缘介质、导体材质）不符合产品型式试验报告和合同中技术参数要求，影响合同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的安全运行和使用使用寿命，买方有权要求卖方退货。</w:t>
      </w:r>
      <w:r>
        <w:rPr>
          <w:rFonts w:hint="eastAsia" w:ascii="宋体" w:hAnsi="宋体" w:eastAsia="宋体" w:cs="黑体"/>
          <w:color w:val="auto"/>
          <w:kern w:val="0"/>
          <w:szCs w:val="21"/>
          <w:highlight w:val="none"/>
        </w:rPr>
        <w:t xml:space="preserve"> </w:t>
      </w:r>
    </w:p>
    <w:p w14:paraId="20113D3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凡交货合同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的技术参数(额定电流、额定电压等)不满足技术规范书要求，且买方可以接受时，买方有权要求卖方</w:t>
      </w:r>
      <w:r>
        <w:rPr>
          <w:rFonts w:hint="eastAsia" w:ascii="宋体" w:hAnsi="宋体" w:eastAsia="宋体" w:cs="黑体"/>
          <w:color w:val="auto"/>
          <w:kern w:val="0"/>
          <w:szCs w:val="21"/>
          <w:highlight w:val="none"/>
        </w:rPr>
        <w:t>就</w:t>
      </w:r>
      <w:r>
        <w:rPr>
          <w:rFonts w:ascii="宋体" w:hAnsi="宋体" w:eastAsia="宋体" w:cs="黑体"/>
          <w:color w:val="auto"/>
          <w:kern w:val="0"/>
          <w:szCs w:val="21"/>
          <w:highlight w:val="none"/>
        </w:rPr>
        <w:t>每一不符合项</w:t>
      </w:r>
      <w:r>
        <w:rPr>
          <w:rFonts w:hint="eastAsia" w:ascii="宋体" w:hAnsi="宋体" w:eastAsia="宋体" w:cs="黑体"/>
          <w:color w:val="auto"/>
          <w:kern w:val="0"/>
          <w:szCs w:val="21"/>
          <w:highlight w:val="none"/>
        </w:rPr>
        <w:t>支付</w:t>
      </w:r>
      <w:r>
        <w:rPr>
          <w:rFonts w:ascii="宋体" w:hAnsi="宋体" w:eastAsia="宋体" w:cs="黑体"/>
          <w:color w:val="auto"/>
          <w:kern w:val="0"/>
          <w:szCs w:val="21"/>
          <w:highlight w:val="none"/>
        </w:rPr>
        <w:t>合同总价1%</w:t>
      </w:r>
      <w:r>
        <w:rPr>
          <w:rFonts w:hint="eastAsia" w:ascii="宋体" w:hAnsi="宋体" w:eastAsia="宋体" w:cs="黑体"/>
          <w:color w:val="auto"/>
          <w:kern w:val="0"/>
          <w:szCs w:val="21"/>
          <w:highlight w:val="none"/>
        </w:rPr>
        <w:t>的违约金</w:t>
      </w:r>
      <w:r>
        <w:rPr>
          <w:rFonts w:ascii="宋体" w:hAnsi="宋体" w:eastAsia="宋体" w:cs="黑体"/>
          <w:color w:val="auto"/>
          <w:kern w:val="0"/>
          <w:szCs w:val="21"/>
          <w:highlight w:val="none"/>
        </w:rPr>
        <w:t>。</w:t>
      </w:r>
    </w:p>
    <w:p w14:paraId="7E132BFA">
      <w:pPr>
        <w:pStyle w:val="4"/>
        <w:jc w:val="center"/>
        <w:rPr>
          <w:rFonts w:ascii="宋体" w:hAnsi="宋体" w:eastAsia="宋体" w:cs="Times New Roman"/>
          <w:color w:val="auto"/>
          <w:kern w:val="0"/>
          <w:sz w:val="28"/>
          <w:highlight w:val="none"/>
        </w:rPr>
      </w:pPr>
      <w:bookmarkStart w:id="1043" w:name="_Toc19453"/>
      <w:bookmarkStart w:id="1044" w:name="_Toc31932"/>
      <w:bookmarkStart w:id="1045" w:name="_Toc57494892"/>
      <w:r>
        <w:rPr>
          <w:rFonts w:hint="eastAsia" w:ascii="宋体" w:hAnsi="宋体" w:eastAsia="宋体" w:cs="Times New Roman"/>
          <w:color w:val="auto"/>
          <w:kern w:val="0"/>
          <w:sz w:val="28"/>
          <w:highlight w:val="none"/>
        </w:rPr>
        <w:t>（二十一）母线</w:t>
      </w:r>
      <w:bookmarkEnd w:id="1043"/>
      <w:bookmarkEnd w:id="1044"/>
      <w:bookmarkEnd w:id="1045"/>
    </w:p>
    <w:p w14:paraId="5C956585">
      <w:pPr>
        <w:pStyle w:val="5"/>
        <w:spacing w:before="0" w:after="0" w:line="360" w:lineRule="auto"/>
        <w:rPr>
          <w:rFonts w:ascii="宋体" w:hAnsi="宋体" w:eastAsia="宋体" w:cs="黑体"/>
          <w:color w:val="auto"/>
          <w:kern w:val="0"/>
          <w:sz w:val="21"/>
          <w:szCs w:val="28"/>
          <w:highlight w:val="none"/>
        </w:rPr>
      </w:pPr>
      <w:bookmarkStart w:id="1046" w:name="_Toc534201475"/>
      <w:bookmarkStart w:id="1047" w:name="_Toc32476"/>
      <w:bookmarkStart w:id="1048" w:name="_Toc26275371"/>
      <w:bookmarkStart w:id="1049" w:name="_Toc57494893"/>
      <w:bookmarkStart w:id="1050" w:name="_Toc19117"/>
      <w:r>
        <w:rPr>
          <w:rFonts w:ascii="宋体" w:hAnsi="宋体" w:eastAsia="宋体" w:cs="黑体"/>
          <w:color w:val="auto"/>
          <w:kern w:val="0"/>
          <w:sz w:val="21"/>
          <w:szCs w:val="28"/>
          <w:highlight w:val="none"/>
        </w:rPr>
        <w:t>2. 合同范围</w:t>
      </w:r>
      <w:bookmarkEnd w:id="1046"/>
      <w:bookmarkEnd w:id="1047"/>
      <w:bookmarkEnd w:id="1048"/>
      <w:bookmarkEnd w:id="1049"/>
      <w:bookmarkEnd w:id="1050"/>
    </w:p>
    <w:p w14:paraId="2F452F3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07BE024C">
      <w:pPr>
        <w:pStyle w:val="5"/>
        <w:spacing w:before="0" w:after="0" w:line="360" w:lineRule="auto"/>
        <w:rPr>
          <w:rFonts w:ascii="宋体" w:hAnsi="宋体" w:eastAsia="宋体" w:cs="黑体"/>
          <w:color w:val="auto"/>
          <w:kern w:val="0"/>
          <w:sz w:val="21"/>
          <w:szCs w:val="28"/>
          <w:highlight w:val="none"/>
        </w:rPr>
      </w:pPr>
      <w:bookmarkStart w:id="1051" w:name="_Toc534201476"/>
      <w:bookmarkStart w:id="1052" w:name="_Toc57494894"/>
      <w:bookmarkStart w:id="1053" w:name="_Toc20434"/>
      <w:bookmarkStart w:id="1054" w:name="_Toc7441"/>
      <w:bookmarkStart w:id="1055" w:name="_Toc26275372"/>
      <w:r>
        <w:rPr>
          <w:rFonts w:ascii="宋体" w:hAnsi="宋体" w:eastAsia="宋体" w:cs="黑体"/>
          <w:color w:val="auto"/>
          <w:kern w:val="0"/>
          <w:sz w:val="21"/>
          <w:szCs w:val="28"/>
          <w:highlight w:val="none"/>
        </w:rPr>
        <w:t>3. 合同价格与支付</w:t>
      </w:r>
      <w:bookmarkEnd w:id="1051"/>
      <w:bookmarkEnd w:id="1052"/>
      <w:bookmarkEnd w:id="1053"/>
      <w:bookmarkEnd w:id="1054"/>
      <w:bookmarkEnd w:id="1055"/>
    </w:p>
    <w:p w14:paraId="4964A86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185AF02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4F46BB9F">
      <w:pPr>
        <w:pStyle w:val="5"/>
        <w:spacing w:before="0" w:after="0" w:line="360" w:lineRule="auto"/>
        <w:rPr>
          <w:rFonts w:ascii="宋体" w:hAnsi="宋体" w:eastAsia="宋体" w:cs="黑体"/>
          <w:color w:val="auto"/>
          <w:kern w:val="0"/>
          <w:sz w:val="21"/>
          <w:szCs w:val="28"/>
          <w:highlight w:val="none"/>
        </w:rPr>
      </w:pPr>
      <w:bookmarkStart w:id="1056" w:name="_Toc534201477"/>
      <w:bookmarkStart w:id="1057" w:name="_Toc6055"/>
      <w:bookmarkStart w:id="1058" w:name="_Toc57494895"/>
      <w:bookmarkStart w:id="1059" w:name="_Toc13303"/>
      <w:bookmarkStart w:id="1060" w:name="_Toc26275373"/>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056"/>
      <w:bookmarkEnd w:id="1057"/>
      <w:bookmarkEnd w:id="1058"/>
      <w:bookmarkEnd w:id="1059"/>
      <w:bookmarkEnd w:id="1060"/>
    </w:p>
    <w:p w14:paraId="2EC2AC4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12D3F99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卖方在交货时应提供合同设备批次的材质检测报告。</w:t>
      </w:r>
    </w:p>
    <w:p w14:paraId="743ABF5A">
      <w:pPr>
        <w:pStyle w:val="5"/>
        <w:spacing w:before="0" w:after="0" w:line="360" w:lineRule="auto"/>
        <w:rPr>
          <w:rFonts w:ascii="宋体" w:hAnsi="宋体" w:eastAsia="宋体" w:cs="黑体"/>
          <w:color w:val="auto"/>
          <w:kern w:val="0"/>
          <w:sz w:val="21"/>
          <w:szCs w:val="28"/>
          <w:highlight w:val="none"/>
        </w:rPr>
      </w:pPr>
      <w:bookmarkStart w:id="1061" w:name="_Toc1851"/>
      <w:bookmarkStart w:id="1062" w:name="_Toc26275374"/>
      <w:bookmarkStart w:id="1063" w:name="_Toc8057"/>
      <w:bookmarkStart w:id="1064" w:name="_Toc534201478"/>
      <w:bookmarkStart w:id="1065" w:name="_Toc57494896"/>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061"/>
      <w:bookmarkEnd w:id="1062"/>
      <w:bookmarkEnd w:id="1063"/>
      <w:bookmarkEnd w:id="1064"/>
      <w:bookmarkEnd w:id="1065"/>
    </w:p>
    <w:p w14:paraId="4E28185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8.1合同设备的质量保证期为36个月。</w:t>
      </w:r>
    </w:p>
    <w:p w14:paraId="4E0C24C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在现场安装时对机构进行重新更换调整处理的，合同货物质量保证期应延长2年。</w:t>
      </w:r>
    </w:p>
    <w:p w14:paraId="2B18884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在合同设备质量保证期内，现场进行开盖处理的质量保证期重新计算，并延长</w:t>
      </w:r>
      <w:r>
        <w:rPr>
          <w:rFonts w:ascii="宋体" w:hAnsi="宋体" w:eastAsia="宋体" w:cs="黑体"/>
          <w:color w:val="auto"/>
          <w:kern w:val="0"/>
          <w:szCs w:val="21"/>
          <w:highlight w:val="none"/>
        </w:rPr>
        <w:t>2年。</w:t>
      </w:r>
    </w:p>
    <w:p w14:paraId="1CF33DD4">
      <w:pPr>
        <w:pStyle w:val="4"/>
        <w:jc w:val="center"/>
        <w:rPr>
          <w:rFonts w:ascii="宋体" w:hAnsi="宋体" w:eastAsia="宋体" w:cs="Times New Roman"/>
          <w:color w:val="auto"/>
          <w:kern w:val="0"/>
          <w:sz w:val="28"/>
          <w:highlight w:val="none"/>
        </w:rPr>
      </w:pPr>
      <w:bookmarkStart w:id="1066" w:name="_Toc31670"/>
      <w:bookmarkStart w:id="1067" w:name="_Toc57494897"/>
      <w:bookmarkStart w:id="1068" w:name="_Toc16131"/>
      <w:r>
        <w:rPr>
          <w:rFonts w:hint="eastAsia" w:ascii="宋体" w:hAnsi="宋体" w:eastAsia="宋体" w:cs="Times New Roman"/>
          <w:color w:val="auto"/>
          <w:kern w:val="0"/>
          <w:sz w:val="28"/>
          <w:highlight w:val="none"/>
        </w:rPr>
        <w:t>（二十二）继电保护及自动装置</w:t>
      </w:r>
      <w:bookmarkEnd w:id="1066"/>
      <w:bookmarkEnd w:id="1067"/>
      <w:bookmarkEnd w:id="1068"/>
    </w:p>
    <w:p w14:paraId="7867CDDD">
      <w:pPr>
        <w:pStyle w:val="5"/>
        <w:spacing w:before="0" w:after="0" w:line="360" w:lineRule="auto"/>
        <w:rPr>
          <w:rFonts w:ascii="宋体" w:hAnsi="宋体" w:eastAsia="宋体" w:cs="黑体"/>
          <w:color w:val="auto"/>
          <w:kern w:val="0"/>
          <w:sz w:val="21"/>
          <w:szCs w:val="28"/>
          <w:highlight w:val="none"/>
        </w:rPr>
      </w:pPr>
      <w:bookmarkStart w:id="1069" w:name="_Toc534201480"/>
      <w:bookmarkStart w:id="1070" w:name="_Toc57494898"/>
      <w:bookmarkStart w:id="1071" w:name="_Toc26275376"/>
      <w:bookmarkStart w:id="1072" w:name="_Toc12514"/>
      <w:bookmarkStart w:id="1073" w:name="_Toc15507"/>
      <w:r>
        <w:rPr>
          <w:rFonts w:ascii="宋体" w:hAnsi="宋体" w:eastAsia="宋体" w:cs="黑体"/>
          <w:color w:val="auto"/>
          <w:kern w:val="0"/>
          <w:sz w:val="21"/>
          <w:szCs w:val="28"/>
          <w:highlight w:val="none"/>
        </w:rPr>
        <w:t>3. 合同价格与支付</w:t>
      </w:r>
      <w:bookmarkEnd w:id="1069"/>
      <w:bookmarkEnd w:id="1070"/>
      <w:bookmarkEnd w:id="1071"/>
      <w:bookmarkEnd w:id="1072"/>
      <w:bookmarkEnd w:id="1073"/>
    </w:p>
    <w:p w14:paraId="3B1B165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7F5E34D2">
      <w:pPr>
        <w:topLinePunct/>
        <w:adjustRightInd w:val="0"/>
        <w:snapToGrid w:val="0"/>
        <w:spacing w:line="360" w:lineRule="auto"/>
        <w:ind w:firstLine="420" w:firstLineChars="200"/>
        <w:jc w:val="left"/>
        <w:rPr>
          <w:rFonts w:ascii="宋体" w:hAnsi="宋体" w:eastAsia="宋体" w:cs="黑体"/>
          <w:strike w:val="0"/>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w:t>
      </w:r>
      <w:r>
        <w:rPr>
          <w:rFonts w:hint="eastAsia" w:ascii="宋体" w:hAnsi="宋体" w:eastAsia="宋体" w:cs="黑体"/>
          <w:color w:val="auto"/>
          <w:kern w:val="0"/>
          <w:szCs w:val="21"/>
          <w:highlight w:val="none"/>
        </w:rPr>
        <w:t>，</w:t>
      </w:r>
      <w:r>
        <w:rPr>
          <w:rFonts w:ascii="宋体" w:hAnsi="宋体" w:eastAsia="宋体" w:cs="黑体"/>
          <w:strike w:val="0"/>
          <w:color w:val="auto"/>
          <w:kern w:val="0"/>
          <w:szCs w:val="21"/>
          <w:highlight w:val="none"/>
        </w:rPr>
        <w:t>35kV</w:t>
      </w:r>
      <w:r>
        <w:rPr>
          <w:rFonts w:hint="eastAsia" w:ascii="宋体" w:hAnsi="宋体" w:eastAsia="宋体" w:cs="黑体"/>
          <w:strike w:val="0"/>
          <w:color w:val="auto"/>
          <w:kern w:val="0"/>
          <w:szCs w:val="21"/>
          <w:highlight w:val="none"/>
          <w:lang w:val="en-US" w:eastAsia="zh-CN"/>
        </w:rPr>
        <w:t>及</w:t>
      </w:r>
      <w:r>
        <w:rPr>
          <w:rFonts w:ascii="宋体" w:hAnsi="宋体" w:eastAsia="宋体" w:cs="黑体"/>
          <w:strike w:val="0"/>
          <w:color w:val="auto"/>
          <w:kern w:val="0"/>
          <w:szCs w:val="21"/>
          <w:highlight w:val="none"/>
        </w:rPr>
        <w:t>以上，</w:t>
      </w:r>
      <w:r>
        <w:rPr>
          <w:rFonts w:ascii="宋体" w:hAnsi="宋体" w:eastAsia="宋体" w:cs="黑体"/>
          <w:color w:val="auto"/>
          <w:kern w:val="0"/>
          <w:szCs w:val="21"/>
          <w:highlight w:val="none"/>
        </w:rPr>
        <w:t>支付比例为1:2:6.5:0.5</w:t>
      </w:r>
      <w:r>
        <w:rPr>
          <w:rFonts w:hint="eastAsia" w:ascii="宋体" w:hAnsi="宋体" w:eastAsia="宋体" w:cs="黑体"/>
          <w:strike w:val="0"/>
          <w:color w:val="auto"/>
          <w:kern w:val="0"/>
          <w:szCs w:val="21"/>
          <w:highlight w:val="none"/>
        </w:rPr>
        <w:t>；</w:t>
      </w:r>
      <w:r>
        <w:rPr>
          <w:rFonts w:ascii="宋体" w:hAnsi="宋体" w:eastAsia="宋体" w:cs="黑体"/>
          <w:strike w:val="0"/>
          <w:color w:val="auto"/>
          <w:kern w:val="0"/>
          <w:szCs w:val="21"/>
          <w:highlight w:val="none"/>
        </w:rPr>
        <w:t>35kV以下，支付比例为1:0:</w:t>
      </w:r>
      <w:r>
        <w:rPr>
          <w:rFonts w:hint="eastAsia" w:ascii="宋体" w:hAnsi="宋体" w:eastAsia="宋体" w:cs="黑体"/>
          <w:strike w:val="0"/>
          <w:color w:val="auto"/>
          <w:kern w:val="0"/>
          <w:szCs w:val="21"/>
          <w:highlight w:val="none"/>
          <w:lang w:val="en-US" w:eastAsia="zh-CN"/>
        </w:rPr>
        <w:t>8.5</w:t>
      </w:r>
      <w:r>
        <w:rPr>
          <w:rFonts w:ascii="宋体" w:hAnsi="宋体" w:eastAsia="宋体" w:cs="黑体"/>
          <w:strike w:val="0"/>
          <w:color w:val="auto"/>
          <w:kern w:val="0"/>
          <w:szCs w:val="21"/>
          <w:highlight w:val="none"/>
        </w:rPr>
        <w:t>:</w:t>
      </w:r>
      <w:r>
        <w:rPr>
          <w:rFonts w:hint="eastAsia" w:ascii="宋体" w:hAnsi="宋体" w:eastAsia="宋体" w:cs="黑体"/>
          <w:strike w:val="0"/>
          <w:color w:val="auto"/>
          <w:kern w:val="0"/>
          <w:szCs w:val="21"/>
          <w:highlight w:val="none"/>
          <w:lang w:val="en-US" w:eastAsia="zh-CN"/>
        </w:rPr>
        <w:t>0.5</w:t>
      </w:r>
      <w:r>
        <w:rPr>
          <w:rFonts w:ascii="宋体" w:hAnsi="宋体" w:eastAsia="宋体" w:cs="黑体"/>
          <w:strike w:val="0"/>
          <w:color w:val="auto"/>
          <w:kern w:val="0"/>
          <w:szCs w:val="21"/>
          <w:highlight w:val="none"/>
        </w:rPr>
        <w:t>。</w:t>
      </w:r>
      <w:r>
        <w:rPr>
          <w:rFonts w:hint="eastAsia" w:ascii="宋体" w:hAnsi="宋体" w:eastAsia="宋体" w:cs="黑体"/>
          <w:strike w:val="0"/>
          <w:color w:val="auto"/>
          <w:kern w:val="0"/>
          <w:szCs w:val="21"/>
          <w:highlight w:val="none"/>
        </w:rPr>
        <w:t>卖方为中小企业的，35kV及以上，合同价款支付比例为2:2:5.5:0.5；35kV以下，支付比例为2:0:7.5:0.5。</w:t>
      </w:r>
    </w:p>
    <w:p w14:paraId="51F6BA7C">
      <w:pPr>
        <w:pStyle w:val="5"/>
        <w:spacing w:before="0" w:after="0" w:line="360" w:lineRule="auto"/>
        <w:rPr>
          <w:rFonts w:ascii="宋体" w:hAnsi="宋体" w:eastAsia="宋体" w:cs="黑体"/>
          <w:color w:val="auto"/>
          <w:kern w:val="0"/>
          <w:sz w:val="21"/>
          <w:szCs w:val="28"/>
          <w:highlight w:val="none"/>
        </w:rPr>
      </w:pPr>
      <w:bookmarkStart w:id="1074" w:name="_Toc57494899"/>
      <w:bookmarkStart w:id="1075" w:name="_Toc17871"/>
      <w:bookmarkStart w:id="1076" w:name="_Toc534201481"/>
      <w:bookmarkStart w:id="1077" w:name="_Toc26275377"/>
      <w:bookmarkStart w:id="1078" w:name="_Toc10034"/>
      <w:r>
        <w:rPr>
          <w:rFonts w:ascii="宋体" w:hAnsi="宋体" w:eastAsia="宋体" w:cs="黑体"/>
          <w:color w:val="auto"/>
          <w:kern w:val="0"/>
          <w:sz w:val="21"/>
          <w:szCs w:val="28"/>
          <w:highlight w:val="none"/>
        </w:rPr>
        <w:t>4. 监造及交货前检验</w:t>
      </w:r>
      <w:bookmarkEnd w:id="1074"/>
      <w:bookmarkEnd w:id="1075"/>
      <w:bookmarkEnd w:id="1076"/>
      <w:bookmarkEnd w:id="1077"/>
      <w:bookmarkEnd w:id="1078"/>
    </w:p>
    <w:p w14:paraId="7511752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1EB57EE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4.1.3.1 不适用。</w:t>
      </w:r>
    </w:p>
    <w:p w14:paraId="6E34635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4.1.3.2 合同设备出厂前，买方将视工程项目实际情况，派员前往卖方工厂参加出厂试验以及相关合同设备的联合调试。</w:t>
      </w:r>
    </w:p>
    <w:p w14:paraId="10F7435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4.1.10 合同货物中的所有装置必须进行72小时、45℃的连续烤机试验。</w:t>
      </w:r>
    </w:p>
    <w:p w14:paraId="77957202">
      <w:pPr>
        <w:pStyle w:val="5"/>
        <w:spacing w:before="0" w:after="0" w:line="360" w:lineRule="auto"/>
        <w:rPr>
          <w:rFonts w:ascii="宋体" w:hAnsi="宋体" w:eastAsia="宋体" w:cs="黑体"/>
          <w:color w:val="auto"/>
          <w:kern w:val="0"/>
          <w:sz w:val="21"/>
          <w:szCs w:val="28"/>
          <w:highlight w:val="none"/>
        </w:rPr>
      </w:pPr>
      <w:bookmarkStart w:id="1079" w:name="_Toc5597"/>
      <w:bookmarkStart w:id="1080" w:name="_Toc26275378"/>
      <w:bookmarkStart w:id="1081" w:name="_Toc57494900"/>
      <w:bookmarkStart w:id="1082" w:name="_Toc25821"/>
      <w:bookmarkStart w:id="1083" w:name="_Toc534201482"/>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079"/>
      <w:bookmarkEnd w:id="1080"/>
      <w:bookmarkEnd w:id="1081"/>
      <w:bookmarkEnd w:id="1082"/>
      <w:bookmarkEnd w:id="1083"/>
    </w:p>
    <w:p w14:paraId="3DA79E5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2D33532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5.1.4 保护屏柜应采用木箱或纸板等硬质材料包装，同时必须满足机械吊装功能，并标注起吊点位置。</w:t>
      </w:r>
    </w:p>
    <w:p w14:paraId="483EC6A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5EA9805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5.4.1.1 为保证二次设备的接口，计算机监控系统厂家负责系统集成、技术协调工作。卖方在合同签订后合同设备供货前应主动向（根据买方需要向）买方和计算机监控系统厂家提供通信规约和解释文本及装置调试软件和后台分析软件，以便与监控系统及与保护和故障信息管理子站系统联调，并应参加联调，相应费用均应包含在合同价款中</w:t>
      </w:r>
    </w:p>
    <w:p w14:paraId="505098F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卖方必须将合同设备中各装置的详细配置（包括构成装置的各插件的型号、数量、生产日期）及CPU的软件版本、校验码、程序生成时间书面提供给买方人员。</w:t>
      </w:r>
    </w:p>
    <w:p w14:paraId="6E3823E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5.4.3.1 产品在运输途中若发生损坏、丢失等，卖方承诺在接到通知时起，急件产品在8小时内发出，一般产品在24小时内发出。</w:t>
      </w:r>
    </w:p>
    <w:p w14:paraId="3D1BED36">
      <w:pPr>
        <w:pStyle w:val="5"/>
        <w:spacing w:before="0" w:after="0" w:line="360" w:lineRule="auto"/>
        <w:rPr>
          <w:rFonts w:ascii="宋体" w:hAnsi="宋体" w:eastAsia="宋体" w:cs="黑体"/>
          <w:color w:val="auto"/>
          <w:kern w:val="0"/>
          <w:sz w:val="21"/>
          <w:szCs w:val="28"/>
          <w:highlight w:val="none"/>
        </w:rPr>
      </w:pPr>
      <w:bookmarkStart w:id="1084" w:name="_Toc26275379"/>
      <w:bookmarkStart w:id="1085" w:name="_Toc21984"/>
      <w:bookmarkStart w:id="1086" w:name="_Toc23476"/>
      <w:bookmarkStart w:id="1087" w:name="_Toc534201483"/>
      <w:bookmarkStart w:id="1088" w:name="_Toc57494901"/>
      <w:r>
        <w:rPr>
          <w:rFonts w:ascii="宋体" w:hAnsi="宋体" w:eastAsia="宋体" w:cs="黑体"/>
          <w:color w:val="auto"/>
          <w:kern w:val="0"/>
          <w:sz w:val="21"/>
          <w:szCs w:val="28"/>
          <w:highlight w:val="none"/>
        </w:rPr>
        <w:t>7. 技术服务</w:t>
      </w:r>
      <w:bookmarkEnd w:id="1084"/>
      <w:bookmarkEnd w:id="1085"/>
      <w:bookmarkEnd w:id="1086"/>
      <w:bookmarkEnd w:id="1087"/>
      <w:bookmarkEnd w:id="1088"/>
    </w:p>
    <w:p w14:paraId="321ACED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7.1.2 当装置出现异常、设备缺陷、元件损坏或不正确动作， 现场无法处理，买方要求卖方进行现场服务的情况，卖方应在接到买方通知的2小时内给予答复，并在24小时内到达现场，在5个工作日内提交解决方案。</w:t>
      </w:r>
    </w:p>
    <w:p w14:paraId="656CF98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经过培训的买方技术人员应能熟悉产品的安装和运行，并能进行一般的维护。</w:t>
      </w:r>
    </w:p>
    <w:p w14:paraId="49E6C1E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7.1.6 卖方须设立24小时售服热线电话，提供合同货物的使用寿命周期内终身技术支持，做到买方提出问题后，2小时内</w:t>
      </w:r>
      <w:r>
        <w:rPr>
          <w:rFonts w:hint="eastAsia" w:ascii="宋体" w:hAnsi="宋体" w:eastAsia="宋体" w:cs="黑体"/>
          <w:color w:val="auto"/>
          <w:kern w:val="0"/>
          <w:szCs w:val="21"/>
          <w:highlight w:val="none"/>
        </w:rPr>
        <w:t>做</w:t>
      </w:r>
      <w:r>
        <w:rPr>
          <w:rFonts w:ascii="宋体" w:hAnsi="宋体" w:eastAsia="宋体" w:cs="黑体"/>
          <w:color w:val="auto"/>
          <w:kern w:val="0"/>
          <w:szCs w:val="21"/>
          <w:highlight w:val="none"/>
        </w:rPr>
        <w:t>出应答和技术指导。</w:t>
      </w:r>
    </w:p>
    <w:p w14:paraId="3AC6DAE2">
      <w:pPr>
        <w:pStyle w:val="5"/>
        <w:spacing w:before="0" w:after="0" w:line="360" w:lineRule="auto"/>
        <w:rPr>
          <w:rFonts w:ascii="宋体" w:hAnsi="宋体" w:eastAsia="宋体" w:cs="黑体"/>
          <w:color w:val="auto"/>
          <w:kern w:val="0"/>
          <w:sz w:val="21"/>
          <w:szCs w:val="28"/>
          <w:highlight w:val="none"/>
        </w:rPr>
      </w:pPr>
      <w:bookmarkStart w:id="1089" w:name="_Toc15452"/>
      <w:bookmarkStart w:id="1090" w:name="_Toc534201484"/>
      <w:bookmarkStart w:id="1091" w:name="_Toc57494902"/>
      <w:bookmarkStart w:id="1092" w:name="_Toc26275380"/>
      <w:bookmarkStart w:id="1093" w:name="_Toc8512"/>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089"/>
      <w:bookmarkEnd w:id="1090"/>
      <w:bookmarkEnd w:id="1091"/>
      <w:bookmarkEnd w:id="1092"/>
      <w:bookmarkEnd w:id="1093"/>
    </w:p>
    <w:p w14:paraId="1C84054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5220FCF5">
      <w:pPr>
        <w:pStyle w:val="5"/>
        <w:spacing w:before="0" w:after="0" w:line="360" w:lineRule="auto"/>
        <w:rPr>
          <w:rFonts w:ascii="宋体" w:hAnsi="宋体" w:eastAsia="宋体" w:cs="黑体"/>
          <w:color w:val="auto"/>
          <w:kern w:val="0"/>
          <w:sz w:val="21"/>
          <w:szCs w:val="28"/>
          <w:highlight w:val="none"/>
        </w:rPr>
      </w:pPr>
      <w:bookmarkStart w:id="1094" w:name="_Toc534201485"/>
      <w:bookmarkStart w:id="1095" w:name="_Toc57494903"/>
      <w:bookmarkStart w:id="1096" w:name="_Toc3277"/>
      <w:bookmarkStart w:id="1097" w:name="_Toc2329"/>
      <w:bookmarkStart w:id="1098" w:name="_Toc26275381"/>
      <w:r>
        <w:rPr>
          <w:rFonts w:ascii="宋体" w:hAnsi="宋体" w:eastAsia="宋体" w:cs="黑体"/>
          <w:color w:val="auto"/>
          <w:kern w:val="0"/>
          <w:sz w:val="21"/>
          <w:szCs w:val="28"/>
          <w:highlight w:val="none"/>
        </w:rPr>
        <w:t xml:space="preserve">9. </w:t>
      </w:r>
      <w:r>
        <w:rPr>
          <w:rFonts w:hint="eastAsia" w:ascii="宋体" w:hAnsi="宋体" w:eastAsia="宋体" w:cs="黑体"/>
          <w:color w:val="auto"/>
          <w:kern w:val="0"/>
          <w:sz w:val="21"/>
          <w:szCs w:val="28"/>
          <w:highlight w:val="none"/>
        </w:rPr>
        <w:t>质保期服务</w:t>
      </w:r>
      <w:bookmarkEnd w:id="1094"/>
      <w:bookmarkEnd w:id="1095"/>
      <w:bookmarkEnd w:id="1096"/>
      <w:bookmarkEnd w:id="1097"/>
      <w:bookmarkEnd w:id="1098"/>
    </w:p>
    <w:p w14:paraId="0B87D7C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9.1 合同设备投运之后，卖方在接到买方维修通知后须在24小时内完成修理工作。如不能完成，必须在规定时间内提供性能应等于或高于原产品</w:t>
      </w:r>
      <w:r>
        <w:rPr>
          <w:rFonts w:hint="eastAsia" w:ascii="宋体" w:hAnsi="宋体" w:eastAsia="宋体" w:cs="黑体"/>
          <w:color w:val="auto"/>
          <w:kern w:val="0"/>
          <w:szCs w:val="21"/>
          <w:highlight w:val="none"/>
        </w:rPr>
        <w:t>的</w:t>
      </w:r>
      <w:r>
        <w:rPr>
          <w:rFonts w:ascii="宋体" w:hAnsi="宋体" w:eastAsia="宋体" w:cs="黑体"/>
          <w:color w:val="auto"/>
          <w:kern w:val="0"/>
          <w:szCs w:val="21"/>
          <w:highlight w:val="none"/>
        </w:rPr>
        <w:t>备用设备或插件给买方。</w:t>
      </w:r>
    </w:p>
    <w:p w14:paraId="14C915FC">
      <w:pPr>
        <w:pStyle w:val="5"/>
        <w:spacing w:before="0" w:after="0" w:line="360" w:lineRule="auto"/>
        <w:rPr>
          <w:rFonts w:ascii="宋体" w:hAnsi="宋体" w:eastAsia="宋体" w:cs="黑体"/>
          <w:color w:val="auto"/>
          <w:kern w:val="0"/>
          <w:sz w:val="21"/>
          <w:szCs w:val="28"/>
          <w:highlight w:val="none"/>
        </w:rPr>
      </w:pPr>
      <w:bookmarkStart w:id="1099" w:name="_Toc534201486"/>
      <w:bookmarkStart w:id="1100" w:name="_Toc17426"/>
      <w:bookmarkStart w:id="1101" w:name="_Toc57494904"/>
      <w:bookmarkStart w:id="1102" w:name="_Toc26275382"/>
      <w:bookmarkStart w:id="1103" w:name="_Toc26995"/>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099"/>
      <w:bookmarkEnd w:id="1100"/>
      <w:bookmarkEnd w:id="1101"/>
      <w:bookmarkEnd w:id="1102"/>
      <w:bookmarkEnd w:id="1103"/>
    </w:p>
    <w:p w14:paraId="7250287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卖方承诺合同设备的使用寿命不少于12年。</w:t>
      </w:r>
    </w:p>
    <w:p w14:paraId="7185FD8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11.6.2 </w:t>
      </w:r>
    </w:p>
    <w:p w14:paraId="2D8E932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线路保护对端设备卖方应承诺以不高于现有本端合同价款供货。若合同设备市场行情降低，则卖方应根据市场行情给予优惠。</w:t>
      </w:r>
    </w:p>
    <w:p w14:paraId="7096105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（2）卖方应免费提供设备、板卡、网管的最新版本软件升级服务，网管升级后应兼容现有设备及板卡。</w:t>
      </w:r>
    </w:p>
    <w:p w14:paraId="12660CC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（3）设备使用寿命期内，因弥补软件缺陷所需的软硬件投资，均由卖方负责。</w:t>
      </w:r>
    </w:p>
    <w:p w14:paraId="7ADCD1C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（4）设备使用寿命周期内，以</w:t>
      </w:r>
      <w:r>
        <w:rPr>
          <w:rFonts w:ascii="宋体" w:hAnsi="宋体" w:eastAsia="宋体" w:cs="黑体"/>
          <w:color w:val="auto"/>
          <w:kern w:val="0"/>
          <w:szCs w:val="21"/>
          <w:highlight w:val="none"/>
        </w:rPr>
        <w:t>5年为周期，卖方提供合同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中所有装置电源插件的免费更换，具体更换时间由买方提前1年通知卖方，卖方负责发货至买方指定地点。</w:t>
      </w:r>
    </w:p>
    <w:p w14:paraId="6894D39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（5）若设备技术要求发生变化，卖方应配合买方的要求完成设备的升级变更。因增补材料、变更材质、提升反措要求及增加试验检测项目等造成需增加费才能满足要求的，由买方承担费用。</w:t>
      </w:r>
    </w:p>
    <w:p w14:paraId="644C02C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 卖方应保证供货设备、板卡等部件在正式投运后6年内不停产。如停产，至少提前2年将产品的停产信息及替换方案书面告知买方，且保证有同类型或不低于原型号的设备或板卡供应，更换后设备及板卡等部件不影响系统正常运行，包括但不限于系统的功能、性能以及与原设备网管系统的兼容性等。卖方将以不高于本项目合同的价格提供同类型或不低于原型号的设备或板卡。</w:t>
      </w:r>
    </w:p>
    <w:p w14:paraId="0E7EADA5">
      <w:pPr>
        <w:pStyle w:val="5"/>
        <w:spacing w:before="0" w:after="0" w:line="360" w:lineRule="auto"/>
        <w:rPr>
          <w:rFonts w:ascii="宋体" w:hAnsi="宋体" w:eastAsia="宋体" w:cs="黑体"/>
          <w:color w:val="auto"/>
          <w:kern w:val="0"/>
          <w:sz w:val="21"/>
          <w:szCs w:val="28"/>
          <w:highlight w:val="none"/>
        </w:rPr>
      </w:pPr>
      <w:bookmarkStart w:id="1104" w:name="_Toc26275383"/>
      <w:bookmarkStart w:id="1105" w:name="_Toc534201487"/>
      <w:bookmarkStart w:id="1106" w:name="_Toc57494905"/>
      <w:bookmarkStart w:id="1107" w:name="_Toc14852"/>
      <w:bookmarkStart w:id="1108" w:name="_Toc2636"/>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104"/>
      <w:bookmarkEnd w:id="1105"/>
      <w:bookmarkEnd w:id="1106"/>
      <w:bookmarkEnd w:id="1107"/>
      <w:bookmarkEnd w:id="1108"/>
    </w:p>
    <w:p w14:paraId="471A160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553C665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6F2151E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r>
        <w:rPr>
          <w:rFonts w:hint="eastAsia" w:ascii="宋体" w:hAnsi="宋体" w:eastAsia="宋体" w:cs="黑体"/>
          <w:color w:val="auto"/>
          <w:kern w:val="0"/>
          <w:szCs w:val="21"/>
          <w:highlight w:val="none"/>
        </w:rPr>
        <w:t>卖方应支付设备价格</w:t>
      </w:r>
      <w:r>
        <w:rPr>
          <w:rFonts w:ascii="宋体" w:hAnsi="宋体" w:eastAsia="宋体" w:cs="黑体"/>
          <w:color w:val="auto"/>
          <w:kern w:val="0"/>
          <w:szCs w:val="21"/>
          <w:highlight w:val="none"/>
        </w:rPr>
        <w:t>10%的违约金。</w:t>
      </w:r>
    </w:p>
    <w:p w14:paraId="28E319B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14.1.5 赔偿损失</w:t>
      </w:r>
    </w:p>
    <w:p w14:paraId="4C9DC07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14.1.5.3 合同设备在质保期内运行过程中发生经过认定的误动或拒动，卖方应赔偿由此给买方造成的损失。</w:t>
      </w:r>
    </w:p>
    <w:p w14:paraId="2037D1F5">
      <w:pPr>
        <w:pStyle w:val="4"/>
        <w:jc w:val="center"/>
        <w:rPr>
          <w:rFonts w:ascii="宋体" w:hAnsi="宋体" w:eastAsia="宋体" w:cs="Times New Roman"/>
          <w:color w:val="auto"/>
          <w:kern w:val="0"/>
          <w:sz w:val="28"/>
          <w:highlight w:val="none"/>
        </w:rPr>
      </w:pPr>
      <w:bookmarkStart w:id="1109" w:name="_Toc9760"/>
      <w:bookmarkStart w:id="1110" w:name="_Toc57494906"/>
      <w:bookmarkStart w:id="1111" w:name="_Toc25460"/>
      <w:r>
        <w:rPr>
          <w:rFonts w:hint="eastAsia" w:ascii="宋体" w:hAnsi="宋体" w:eastAsia="宋体" w:cs="Times New Roman"/>
          <w:color w:val="auto"/>
          <w:kern w:val="0"/>
          <w:sz w:val="28"/>
          <w:highlight w:val="none"/>
        </w:rPr>
        <w:t>（二十三）自动化系统及设备</w:t>
      </w:r>
      <w:bookmarkEnd w:id="1109"/>
      <w:bookmarkEnd w:id="1110"/>
      <w:bookmarkEnd w:id="1111"/>
    </w:p>
    <w:p w14:paraId="56B561CA">
      <w:pPr>
        <w:pStyle w:val="5"/>
        <w:spacing w:before="0" w:after="0" w:line="360" w:lineRule="auto"/>
        <w:rPr>
          <w:rFonts w:ascii="宋体" w:hAnsi="宋体" w:eastAsia="宋体" w:cs="黑体"/>
          <w:color w:val="auto"/>
          <w:kern w:val="0"/>
          <w:sz w:val="21"/>
          <w:szCs w:val="28"/>
          <w:highlight w:val="none"/>
        </w:rPr>
      </w:pPr>
      <w:bookmarkStart w:id="1112" w:name="_Toc26275385"/>
      <w:bookmarkStart w:id="1113" w:name="_Toc534201489"/>
      <w:bookmarkStart w:id="1114" w:name="_Toc27049"/>
      <w:bookmarkStart w:id="1115" w:name="_Toc57494907"/>
      <w:bookmarkStart w:id="1116" w:name="_Toc19273"/>
      <w:r>
        <w:rPr>
          <w:rFonts w:ascii="宋体" w:hAnsi="宋体" w:eastAsia="宋体" w:cs="黑体"/>
          <w:color w:val="auto"/>
          <w:kern w:val="0"/>
          <w:sz w:val="21"/>
          <w:szCs w:val="28"/>
          <w:highlight w:val="none"/>
        </w:rPr>
        <w:t>3. 合同价格与支付</w:t>
      </w:r>
      <w:bookmarkEnd w:id="1112"/>
      <w:bookmarkEnd w:id="1113"/>
      <w:bookmarkEnd w:id="1114"/>
      <w:bookmarkEnd w:id="1115"/>
      <w:bookmarkEnd w:id="1116"/>
    </w:p>
    <w:p w14:paraId="327B8A8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0854C45A">
      <w:pPr>
        <w:topLinePunct/>
        <w:adjustRightInd w:val="0"/>
        <w:snapToGrid w:val="0"/>
        <w:spacing w:line="360" w:lineRule="auto"/>
        <w:ind w:firstLine="420" w:firstLineChars="200"/>
        <w:jc w:val="left"/>
        <w:rPr>
          <w:rFonts w:ascii="宋体" w:hAnsi="宋体" w:eastAsia="宋体" w:cs="黑体"/>
          <w:strike w:val="0"/>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w:t>
      </w:r>
      <w:r>
        <w:rPr>
          <w:rFonts w:hint="eastAsia" w:ascii="宋体" w:hAnsi="宋体" w:eastAsia="宋体" w:cs="黑体"/>
          <w:strike w:val="0"/>
          <w:color w:val="auto"/>
          <w:kern w:val="0"/>
          <w:szCs w:val="21"/>
          <w:highlight w:val="none"/>
        </w:rPr>
        <w:t>；</w:t>
      </w:r>
      <w:r>
        <w:rPr>
          <w:rFonts w:ascii="宋体" w:hAnsi="宋体" w:eastAsia="宋体" w:cs="黑体"/>
          <w:strike w:val="0"/>
          <w:color w:val="auto"/>
          <w:kern w:val="0"/>
          <w:szCs w:val="21"/>
          <w:highlight w:val="none"/>
        </w:rPr>
        <w:t>35kV</w:t>
      </w:r>
      <w:r>
        <w:rPr>
          <w:rFonts w:hint="eastAsia" w:ascii="宋体" w:hAnsi="宋体" w:eastAsia="宋体" w:cs="黑体"/>
          <w:strike w:val="0"/>
          <w:color w:val="auto"/>
          <w:kern w:val="0"/>
          <w:szCs w:val="21"/>
          <w:highlight w:val="none"/>
          <w:lang w:val="en-US" w:eastAsia="zh-CN"/>
        </w:rPr>
        <w:t>及</w:t>
      </w:r>
      <w:r>
        <w:rPr>
          <w:rFonts w:ascii="宋体" w:hAnsi="宋体" w:eastAsia="宋体" w:cs="黑体"/>
          <w:strike w:val="0"/>
          <w:color w:val="auto"/>
          <w:kern w:val="0"/>
          <w:szCs w:val="21"/>
          <w:highlight w:val="none"/>
        </w:rPr>
        <w:t>以上</w:t>
      </w:r>
      <w:r>
        <w:rPr>
          <w:rFonts w:ascii="宋体" w:hAnsi="宋体" w:eastAsia="宋体" w:cs="黑体"/>
          <w:color w:val="auto"/>
          <w:kern w:val="0"/>
          <w:szCs w:val="21"/>
          <w:highlight w:val="none"/>
        </w:rPr>
        <w:t>，支付比例为1:2:6.5:0.5</w:t>
      </w:r>
      <w:r>
        <w:rPr>
          <w:rFonts w:hint="eastAsia" w:ascii="宋体" w:hAnsi="宋体" w:eastAsia="宋体" w:cs="黑体"/>
          <w:strike w:val="0"/>
          <w:color w:val="auto"/>
          <w:kern w:val="0"/>
          <w:szCs w:val="21"/>
          <w:highlight w:val="none"/>
        </w:rPr>
        <w:t>；</w:t>
      </w:r>
      <w:r>
        <w:rPr>
          <w:rFonts w:ascii="宋体" w:hAnsi="宋体" w:eastAsia="宋体" w:cs="黑体"/>
          <w:strike w:val="0"/>
          <w:color w:val="auto"/>
          <w:kern w:val="0"/>
          <w:szCs w:val="21"/>
          <w:highlight w:val="none"/>
        </w:rPr>
        <w:t>35kV以下，支付比例为1:0:</w:t>
      </w:r>
      <w:r>
        <w:rPr>
          <w:rFonts w:hint="eastAsia" w:ascii="宋体" w:hAnsi="宋体" w:eastAsia="宋体" w:cs="黑体"/>
          <w:strike w:val="0"/>
          <w:color w:val="auto"/>
          <w:kern w:val="0"/>
          <w:szCs w:val="21"/>
          <w:highlight w:val="none"/>
          <w:lang w:val="en-US" w:eastAsia="zh-CN"/>
        </w:rPr>
        <w:t>8.5</w:t>
      </w:r>
      <w:r>
        <w:rPr>
          <w:rFonts w:ascii="宋体" w:hAnsi="宋体" w:eastAsia="宋体" w:cs="黑体"/>
          <w:strike w:val="0"/>
          <w:color w:val="auto"/>
          <w:kern w:val="0"/>
          <w:szCs w:val="21"/>
          <w:highlight w:val="none"/>
        </w:rPr>
        <w:t>:</w:t>
      </w:r>
      <w:r>
        <w:rPr>
          <w:rFonts w:hint="eastAsia" w:ascii="宋体" w:hAnsi="宋体" w:eastAsia="宋体" w:cs="黑体"/>
          <w:strike w:val="0"/>
          <w:color w:val="auto"/>
          <w:kern w:val="0"/>
          <w:szCs w:val="21"/>
          <w:highlight w:val="none"/>
          <w:lang w:val="en-US" w:eastAsia="zh-CN"/>
        </w:rPr>
        <w:t>0.5</w:t>
      </w:r>
      <w:r>
        <w:rPr>
          <w:rFonts w:ascii="宋体" w:hAnsi="宋体" w:eastAsia="宋体" w:cs="黑体"/>
          <w:strike w:val="0"/>
          <w:color w:val="auto"/>
          <w:kern w:val="0"/>
          <w:szCs w:val="21"/>
          <w:highlight w:val="none"/>
        </w:rPr>
        <w:t>。</w:t>
      </w:r>
      <w:r>
        <w:rPr>
          <w:rFonts w:hint="eastAsia" w:ascii="宋体" w:hAnsi="宋体" w:eastAsia="宋体" w:cs="黑体"/>
          <w:strike w:val="0"/>
          <w:color w:val="auto"/>
          <w:kern w:val="0"/>
          <w:szCs w:val="21"/>
          <w:highlight w:val="none"/>
        </w:rPr>
        <w:t>卖方为中小企业的，35kV及以上，合同价款支付比例为2:2:5.5:0.5；35kV以下，支付比例为2:0:7.5:0.5。</w:t>
      </w:r>
    </w:p>
    <w:p w14:paraId="65261426">
      <w:pPr>
        <w:pStyle w:val="5"/>
        <w:spacing w:before="0" w:after="0" w:line="360" w:lineRule="auto"/>
        <w:rPr>
          <w:rFonts w:ascii="宋体" w:hAnsi="宋体" w:eastAsia="宋体" w:cs="黑体"/>
          <w:color w:val="auto"/>
          <w:kern w:val="0"/>
          <w:sz w:val="21"/>
          <w:szCs w:val="28"/>
          <w:highlight w:val="none"/>
        </w:rPr>
      </w:pPr>
      <w:bookmarkStart w:id="1117" w:name="_Toc57494908"/>
      <w:bookmarkStart w:id="1118" w:name="_Toc25932"/>
      <w:bookmarkStart w:id="1119" w:name="_Toc5039"/>
      <w:bookmarkStart w:id="1120" w:name="_Toc534201490"/>
      <w:bookmarkStart w:id="1121" w:name="_Toc26275386"/>
      <w:r>
        <w:rPr>
          <w:rFonts w:ascii="宋体" w:hAnsi="宋体" w:eastAsia="宋体" w:cs="黑体"/>
          <w:color w:val="auto"/>
          <w:kern w:val="0"/>
          <w:sz w:val="21"/>
          <w:szCs w:val="28"/>
          <w:highlight w:val="none"/>
        </w:rPr>
        <w:t>4. 监造及交货前检验</w:t>
      </w:r>
      <w:bookmarkEnd w:id="1117"/>
      <w:bookmarkEnd w:id="1118"/>
      <w:bookmarkEnd w:id="1119"/>
      <w:bookmarkEnd w:id="1120"/>
      <w:bookmarkEnd w:id="1121"/>
    </w:p>
    <w:p w14:paraId="0F8D71F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4A35074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4.1.3.1 不适用。</w:t>
      </w:r>
    </w:p>
    <w:p w14:paraId="7EECB22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4.1.3.2 合同设备出厂前，买方将视工程项目实际情况，派员前往卖方工厂参加出厂试验以及相关合同设备的联合调试。</w:t>
      </w:r>
    </w:p>
    <w:p w14:paraId="7917796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4.1.10 合同货物中的所有装置必须进行72小时、45℃的连续烤机试验。</w:t>
      </w:r>
    </w:p>
    <w:p w14:paraId="2E82BE15">
      <w:pPr>
        <w:pStyle w:val="5"/>
        <w:spacing w:before="0" w:after="0" w:line="360" w:lineRule="auto"/>
        <w:rPr>
          <w:rFonts w:ascii="宋体" w:hAnsi="宋体" w:eastAsia="宋体" w:cs="黑体"/>
          <w:color w:val="auto"/>
          <w:kern w:val="0"/>
          <w:sz w:val="21"/>
          <w:szCs w:val="28"/>
          <w:highlight w:val="none"/>
        </w:rPr>
      </w:pPr>
      <w:bookmarkStart w:id="1122" w:name="_Toc21275"/>
      <w:bookmarkStart w:id="1123" w:name="_Toc26275387"/>
      <w:bookmarkStart w:id="1124" w:name="_Toc57494909"/>
      <w:bookmarkStart w:id="1125" w:name="_Toc24699"/>
      <w:bookmarkStart w:id="1126" w:name="_Toc534201491"/>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122"/>
      <w:bookmarkEnd w:id="1123"/>
      <w:bookmarkEnd w:id="1124"/>
      <w:bookmarkEnd w:id="1125"/>
      <w:bookmarkEnd w:id="1126"/>
    </w:p>
    <w:p w14:paraId="50ACCE1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0E15EE8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5.1.4 保护屏柜应采用木箱或纸板等硬质材料包装，同时必须满足机械吊装功能，并标注起吊点位置。</w:t>
      </w:r>
    </w:p>
    <w:p w14:paraId="437B2A0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0B9D0A1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卖方必须将合同设备中各装置的详细配置（包括构成装置的各插件的型号、数量、生产日期）及CPU的软件版本、校验码、程序生成时间书面提供给买方人员。</w:t>
      </w:r>
    </w:p>
    <w:p w14:paraId="3A7FF01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5.4.3.1 产品在运输途中若发生损坏、丢失等，卖方承诺在接到通知时起，急件产品在8小时内发出，一般产品在24小时内发出。</w:t>
      </w:r>
    </w:p>
    <w:p w14:paraId="59886E32">
      <w:pPr>
        <w:pStyle w:val="5"/>
        <w:spacing w:before="0" w:after="0" w:line="360" w:lineRule="auto"/>
        <w:rPr>
          <w:rFonts w:ascii="宋体" w:hAnsi="宋体" w:eastAsia="宋体" w:cs="黑体"/>
          <w:color w:val="auto"/>
          <w:kern w:val="0"/>
          <w:sz w:val="21"/>
          <w:szCs w:val="28"/>
          <w:highlight w:val="none"/>
        </w:rPr>
      </w:pPr>
      <w:bookmarkStart w:id="1127" w:name="_Toc534201492"/>
      <w:bookmarkStart w:id="1128" w:name="_Toc57494910"/>
      <w:bookmarkStart w:id="1129" w:name="_Toc16911"/>
      <w:bookmarkStart w:id="1130" w:name="_Toc26275388"/>
      <w:bookmarkStart w:id="1131" w:name="_Toc8760"/>
      <w:r>
        <w:rPr>
          <w:rFonts w:ascii="宋体" w:hAnsi="宋体" w:eastAsia="宋体" w:cs="黑体"/>
          <w:color w:val="auto"/>
          <w:kern w:val="0"/>
          <w:sz w:val="21"/>
          <w:szCs w:val="28"/>
          <w:highlight w:val="none"/>
        </w:rPr>
        <w:t>7. 技术服务</w:t>
      </w:r>
      <w:bookmarkEnd w:id="1127"/>
      <w:bookmarkEnd w:id="1128"/>
      <w:bookmarkEnd w:id="1129"/>
      <w:bookmarkEnd w:id="1130"/>
      <w:bookmarkEnd w:id="1131"/>
    </w:p>
    <w:p w14:paraId="2BBDCEE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7.1.2 当装置出现异常、设备缺陷、元件损坏或不正确动作， 现场无法处理，买方要求卖方进行现场服务的情况，卖方应在接到买方通知的2小时内给予答复，并在24小时内到达现场，在5个工作日内提交解决方案。</w:t>
      </w:r>
    </w:p>
    <w:p w14:paraId="37FB137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7.1.6 卖方须设立24小时售服热线电话，提供合同货物的使用寿命周期内终身技术支持，做到买方提出问题后，2小时内</w:t>
      </w:r>
      <w:r>
        <w:rPr>
          <w:rFonts w:hint="eastAsia" w:ascii="宋体" w:hAnsi="宋体" w:eastAsia="宋体" w:cs="黑体"/>
          <w:color w:val="auto"/>
          <w:kern w:val="0"/>
          <w:szCs w:val="21"/>
          <w:highlight w:val="none"/>
        </w:rPr>
        <w:t>做</w:t>
      </w:r>
      <w:r>
        <w:rPr>
          <w:rFonts w:ascii="宋体" w:hAnsi="宋体" w:eastAsia="宋体" w:cs="黑体"/>
          <w:color w:val="auto"/>
          <w:kern w:val="0"/>
          <w:szCs w:val="21"/>
          <w:highlight w:val="none"/>
        </w:rPr>
        <w:t>出应答和技术指导。</w:t>
      </w:r>
    </w:p>
    <w:p w14:paraId="26595087">
      <w:pPr>
        <w:pStyle w:val="5"/>
        <w:spacing w:before="0" w:after="0" w:line="360" w:lineRule="auto"/>
        <w:rPr>
          <w:rFonts w:ascii="宋体" w:hAnsi="宋体" w:eastAsia="宋体" w:cs="黑体"/>
          <w:color w:val="auto"/>
          <w:kern w:val="0"/>
          <w:sz w:val="21"/>
          <w:szCs w:val="28"/>
          <w:highlight w:val="none"/>
        </w:rPr>
      </w:pPr>
      <w:bookmarkStart w:id="1132" w:name="_Toc534201493"/>
      <w:bookmarkStart w:id="1133" w:name="_Toc57494911"/>
      <w:bookmarkStart w:id="1134" w:name="_Toc31869"/>
      <w:bookmarkStart w:id="1135" w:name="_Toc22096"/>
      <w:bookmarkStart w:id="1136" w:name="_Toc26275389"/>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132"/>
      <w:bookmarkEnd w:id="1133"/>
      <w:bookmarkEnd w:id="1134"/>
      <w:bookmarkEnd w:id="1135"/>
      <w:bookmarkEnd w:id="1136"/>
    </w:p>
    <w:p w14:paraId="405B46D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合同设备的质量保证期应满足以下条件：</w:t>
      </w:r>
    </w:p>
    <w:p w14:paraId="3E63B81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1）变电站环境及视频监控系统36个月。</w:t>
      </w:r>
    </w:p>
    <w:p w14:paraId="3712524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2）其他合同设备60个月。</w:t>
      </w:r>
    </w:p>
    <w:p w14:paraId="7CCB19F1">
      <w:pPr>
        <w:pStyle w:val="5"/>
        <w:spacing w:before="0" w:after="0" w:line="360" w:lineRule="auto"/>
        <w:rPr>
          <w:rFonts w:ascii="宋体" w:hAnsi="宋体" w:eastAsia="宋体" w:cs="黑体"/>
          <w:color w:val="auto"/>
          <w:kern w:val="0"/>
          <w:sz w:val="21"/>
          <w:szCs w:val="28"/>
          <w:highlight w:val="none"/>
        </w:rPr>
      </w:pPr>
      <w:bookmarkStart w:id="1137" w:name="_Toc21644"/>
      <w:bookmarkStart w:id="1138" w:name="_Toc19074"/>
      <w:bookmarkStart w:id="1139" w:name="_Toc534201494"/>
      <w:bookmarkStart w:id="1140" w:name="_Toc26275390"/>
      <w:bookmarkStart w:id="1141" w:name="_Toc57494912"/>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137"/>
      <w:bookmarkEnd w:id="1138"/>
      <w:bookmarkEnd w:id="1139"/>
      <w:bookmarkEnd w:id="1140"/>
      <w:bookmarkEnd w:id="1141"/>
    </w:p>
    <w:p w14:paraId="78B5284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卖方承诺PC服务器、工作站使用寿命不少于5年，其他合同设备的使用寿命不少于12年。</w:t>
      </w:r>
    </w:p>
    <w:p w14:paraId="3C19AD0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11.6.2 </w:t>
      </w:r>
    </w:p>
    <w:p w14:paraId="3DB82F6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1）在质保期过后，对于产品原理性故障，卖方应免费负责进行改进。</w:t>
      </w:r>
    </w:p>
    <w:p w14:paraId="7D79056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2）在质保期过后，卖方应视买方需要，免费提供系统软件升级换版。</w:t>
      </w:r>
    </w:p>
    <w:p w14:paraId="5E5C370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3）在合同设备的使用寿命周期内，以5年为周期，卖方提供合同设备中所有装置电源插件的免费更换，具体更换时间由买方提前1年通知卖方，卖方负责发货至买方指定地点。</w:t>
      </w:r>
    </w:p>
    <w:p w14:paraId="4B1C956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4）若设备技术要求发生变化，卖方应配合买方的要求完成货物的升级变更。因增补材料、变更材质、提升反措要求及增加试验检测项目等，造成需增加费才能满足要求的，由买方承担费用。</w:t>
      </w:r>
    </w:p>
    <w:p w14:paraId="494C748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11.7.1 如果当前系统所匹配的硬件合同货物停产，卖方保证最新的硬件合同货物可以确保原有软件的正常运行。</w:t>
      </w:r>
    </w:p>
    <w:p w14:paraId="58993062">
      <w:pPr>
        <w:pStyle w:val="4"/>
        <w:jc w:val="center"/>
        <w:rPr>
          <w:rFonts w:ascii="宋体" w:hAnsi="宋体" w:eastAsia="宋体" w:cs="Times New Roman"/>
          <w:color w:val="auto"/>
          <w:kern w:val="0"/>
          <w:sz w:val="28"/>
          <w:highlight w:val="none"/>
        </w:rPr>
      </w:pPr>
      <w:bookmarkStart w:id="1142" w:name="_Toc28406"/>
      <w:bookmarkStart w:id="1143" w:name="_Toc14080"/>
      <w:bookmarkStart w:id="1144" w:name="_Toc57494913"/>
      <w:r>
        <w:rPr>
          <w:rFonts w:hint="eastAsia" w:ascii="宋体" w:hAnsi="宋体" w:eastAsia="宋体" w:cs="Times New Roman"/>
          <w:color w:val="auto"/>
          <w:kern w:val="0"/>
          <w:sz w:val="28"/>
          <w:highlight w:val="none"/>
        </w:rPr>
        <w:t>（二十四）在线监测系统等设备</w:t>
      </w:r>
      <w:bookmarkEnd w:id="1142"/>
      <w:bookmarkEnd w:id="1143"/>
      <w:bookmarkEnd w:id="1144"/>
    </w:p>
    <w:p w14:paraId="71B8173C">
      <w:pPr>
        <w:pStyle w:val="5"/>
        <w:spacing w:before="0" w:after="0" w:line="360" w:lineRule="auto"/>
        <w:rPr>
          <w:rFonts w:ascii="宋体" w:hAnsi="宋体" w:eastAsia="宋体" w:cs="黑体"/>
          <w:color w:val="auto"/>
          <w:kern w:val="0"/>
          <w:sz w:val="21"/>
          <w:szCs w:val="28"/>
          <w:highlight w:val="none"/>
        </w:rPr>
      </w:pPr>
      <w:bookmarkStart w:id="1145" w:name="_Toc26275392"/>
      <w:bookmarkStart w:id="1146" w:name="_Toc12834"/>
      <w:bookmarkStart w:id="1147" w:name="_Toc703"/>
      <w:bookmarkStart w:id="1148" w:name="_Toc534201496"/>
      <w:bookmarkStart w:id="1149" w:name="_Toc57494914"/>
      <w:r>
        <w:rPr>
          <w:rFonts w:ascii="宋体" w:hAnsi="宋体" w:eastAsia="宋体" w:cs="黑体"/>
          <w:color w:val="auto"/>
          <w:kern w:val="0"/>
          <w:sz w:val="21"/>
          <w:szCs w:val="28"/>
          <w:highlight w:val="none"/>
        </w:rPr>
        <w:t>3. 合同价格与支付</w:t>
      </w:r>
      <w:bookmarkEnd w:id="1145"/>
      <w:bookmarkEnd w:id="1146"/>
      <w:bookmarkEnd w:id="1147"/>
      <w:bookmarkEnd w:id="1148"/>
      <w:bookmarkEnd w:id="1149"/>
    </w:p>
    <w:p w14:paraId="0E425DD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57248A0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4C11BF8E">
      <w:pPr>
        <w:pStyle w:val="5"/>
        <w:spacing w:before="0" w:after="0" w:line="360" w:lineRule="auto"/>
        <w:rPr>
          <w:rFonts w:ascii="宋体" w:hAnsi="宋体" w:eastAsia="宋体" w:cs="黑体"/>
          <w:color w:val="auto"/>
          <w:kern w:val="0"/>
          <w:sz w:val="21"/>
          <w:szCs w:val="28"/>
          <w:highlight w:val="none"/>
        </w:rPr>
      </w:pPr>
      <w:bookmarkStart w:id="1150" w:name="_Toc534201497"/>
      <w:bookmarkStart w:id="1151" w:name="_Toc27502"/>
      <w:bookmarkStart w:id="1152" w:name="_Toc57494915"/>
      <w:bookmarkStart w:id="1153" w:name="_Toc32227"/>
      <w:bookmarkStart w:id="1154" w:name="_Toc26275393"/>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150"/>
      <w:bookmarkEnd w:id="1151"/>
      <w:bookmarkEnd w:id="1152"/>
      <w:bookmarkEnd w:id="1153"/>
      <w:bookmarkEnd w:id="1154"/>
    </w:p>
    <w:p w14:paraId="407FFF4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5949D3E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卖方必须将合同设备中各装置的详细配置（包括构成装置的各插件的型号、数量、生产日期）及软件版本书面提供给买方人员。</w:t>
      </w:r>
    </w:p>
    <w:p w14:paraId="0FB6246D">
      <w:pPr>
        <w:pStyle w:val="5"/>
        <w:spacing w:before="0" w:after="0" w:line="360" w:lineRule="auto"/>
        <w:rPr>
          <w:rFonts w:ascii="宋体" w:hAnsi="宋体" w:eastAsia="宋体" w:cs="黑体"/>
          <w:color w:val="auto"/>
          <w:kern w:val="0"/>
          <w:sz w:val="21"/>
          <w:szCs w:val="28"/>
          <w:highlight w:val="none"/>
        </w:rPr>
      </w:pPr>
      <w:bookmarkStart w:id="1155" w:name="_Toc534201498"/>
      <w:bookmarkStart w:id="1156" w:name="_Toc26275394"/>
      <w:bookmarkStart w:id="1157" w:name="_Toc18655"/>
      <w:bookmarkStart w:id="1158" w:name="_Toc57494916"/>
      <w:bookmarkStart w:id="1159" w:name="_Toc31532"/>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155"/>
      <w:bookmarkEnd w:id="1156"/>
      <w:bookmarkEnd w:id="1157"/>
      <w:bookmarkEnd w:id="1158"/>
      <w:bookmarkEnd w:id="1159"/>
    </w:p>
    <w:p w14:paraId="744B5C5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146826A4">
      <w:pPr>
        <w:pStyle w:val="5"/>
        <w:spacing w:before="0" w:after="0" w:line="360" w:lineRule="auto"/>
        <w:rPr>
          <w:rFonts w:ascii="宋体" w:hAnsi="宋体" w:eastAsia="宋体" w:cs="黑体"/>
          <w:color w:val="auto"/>
          <w:kern w:val="0"/>
          <w:sz w:val="21"/>
          <w:szCs w:val="28"/>
          <w:highlight w:val="none"/>
        </w:rPr>
      </w:pPr>
      <w:bookmarkStart w:id="1160" w:name="_Toc534201499"/>
      <w:bookmarkStart w:id="1161" w:name="_Toc14397"/>
      <w:bookmarkStart w:id="1162" w:name="_Toc16550"/>
      <w:bookmarkStart w:id="1163" w:name="_Toc57494917"/>
      <w:bookmarkStart w:id="1164" w:name="_Toc26275395"/>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160"/>
      <w:bookmarkEnd w:id="1161"/>
      <w:bookmarkEnd w:id="1162"/>
      <w:bookmarkEnd w:id="1163"/>
      <w:bookmarkEnd w:id="1164"/>
    </w:p>
    <w:p w14:paraId="6CF2708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卖方承诺合同设备的使用寿命不少于12年。</w:t>
      </w:r>
    </w:p>
    <w:p w14:paraId="39AB0FB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11.6.2 </w:t>
      </w:r>
    </w:p>
    <w:p w14:paraId="0B6ED92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1）在质保期过后，对于产品原理性故障，卖方应免费负责进行改进。</w:t>
      </w:r>
    </w:p>
    <w:p w14:paraId="5399B24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2）在质保期过后，卖方应视买方需要，免费提供系统软件升级换版。</w:t>
      </w:r>
    </w:p>
    <w:p w14:paraId="05FB8C4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11.7.1 如果当前系统所匹配的硬件合同设备停产，卖方保证最新的硬件合同设备可以确保原有软件的正常运行。</w:t>
      </w:r>
    </w:p>
    <w:p w14:paraId="48DA886E">
      <w:pPr>
        <w:pStyle w:val="4"/>
        <w:jc w:val="center"/>
        <w:rPr>
          <w:rFonts w:ascii="宋体" w:hAnsi="宋体" w:eastAsia="宋体" w:cs="Times New Roman"/>
          <w:color w:val="auto"/>
          <w:kern w:val="0"/>
          <w:sz w:val="28"/>
          <w:highlight w:val="none"/>
        </w:rPr>
      </w:pPr>
      <w:bookmarkStart w:id="1165" w:name="_Toc10242"/>
      <w:bookmarkStart w:id="1166" w:name="_Toc23529"/>
      <w:bookmarkStart w:id="1167" w:name="_Toc57494918"/>
      <w:r>
        <w:rPr>
          <w:rFonts w:hint="eastAsia" w:ascii="宋体" w:hAnsi="宋体" w:eastAsia="宋体" w:cs="Times New Roman"/>
          <w:color w:val="auto"/>
          <w:kern w:val="0"/>
          <w:sz w:val="28"/>
          <w:highlight w:val="none"/>
        </w:rPr>
        <w:t>（二十五）低压屏（柜）、箱</w:t>
      </w:r>
      <w:bookmarkEnd w:id="1165"/>
      <w:bookmarkEnd w:id="1166"/>
      <w:bookmarkEnd w:id="1167"/>
    </w:p>
    <w:p w14:paraId="42F2666D">
      <w:pPr>
        <w:pStyle w:val="5"/>
        <w:spacing w:before="0" w:after="0" w:line="360" w:lineRule="auto"/>
        <w:rPr>
          <w:rFonts w:ascii="宋体" w:hAnsi="宋体" w:eastAsia="宋体" w:cs="黑体"/>
          <w:color w:val="auto"/>
          <w:kern w:val="0"/>
          <w:sz w:val="21"/>
          <w:szCs w:val="28"/>
          <w:highlight w:val="none"/>
        </w:rPr>
      </w:pPr>
      <w:bookmarkStart w:id="1168" w:name="_Toc7166"/>
      <w:bookmarkStart w:id="1169" w:name="_Toc57494919"/>
      <w:bookmarkStart w:id="1170" w:name="_Toc24648"/>
      <w:bookmarkStart w:id="1171" w:name="_Toc26275397"/>
      <w:bookmarkStart w:id="1172" w:name="_Toc534201501"/>
      <w:r>
        <w:rPr>
          <w:rFonts w:ascii="宋体" w:hAnsi="宋体" w:eastAsia="宋体" w:cs="黑体"/>
          <w:color w:val="auto"/>
          <w:kern w:val="0"/>
          <w:sz w:val="21"/>
          <w:szCs w:val="28"/>
          <w:highlight w:val="none"/>
        </w:rPr>
        <w:t>2. 合同范围</w:t>
      </w:r>
      <w:bookmarkEnd w:id="1168"/>
      <w:bookmarkEnd w:id="1169"/>
      <w:bookmarkEnd w:id="1170"/>
      <w:bookmarkEnd w:id="1171"/>
      <w:bookmarkEnd w:id="1172"/>
    </w:p>
    <w:p w14:paraId="5EE1457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69FE0ACE">
      <w:pPr>
        <w:pStyle w:val="5"/>
        <w:spacing w:before="0" w:after="0" w:line="360" w:lineRule="auto"/>
        <w:rPr>
          <w:rFonts w:ascii="宋体" w:hAnsi="宋体" w:eastAsia="宋体" w:cs="黑体"/>
          <w:color w:val="auto"/>
          <w:kern w:val="0"/>
          <w:sz w:val="21"/>
          <w:szCs w:val="28"/>
          <w:highlight w:val="none"/>
        </w:rPr>
      </w:pPr>
      <w:bookmarkStart w:id="1173" w:name="_Toc26450"/>
      <w:bookmarkStart w:id="1174" w:name="_Toc534201502"/>
      <w:bookmarkStart w:id="1175" w:name="_Toc26275398"/>
      <w:bookmarkStart w:id="1176" w:name="_Toc7464"/>
      <w:bookmarkStart w:id="1177" w:name="_Toc57494920"/>
      <w:r>
        <w:rPr>
          <w:rFonts w:ascii="宋体" w:hAnsi="宋体" w:eastAsia="宋体" w:cs="黑体"/>
          <w:color w:val="auto"/>
          <w:kern w:val="0"/>
          <w:sz w:val="21"/>
          <w:szCs w:val="28"/>
          <w:highlight w:val="none"/>
        </w:rPr>
        <w:t>3. 合同价格与支付</w:t>
      </w:r>
      <w:bookmarkEnd w:id="1173"/>
      <w:bookmarkEnd w:id="1174"/>
      <w:bookmarkEnd w:id="1175"/>
      <w:bookmarkEnd w:id="1176"/>
      <w:bookmarkEnd w:id="1177"/>
    </w:p>
    <w:p w14:paraId="5DA7507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5B99207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7516D3A9">
      <w:pPr>
        <w:pStyle w:val="5"/>
        <w:spacing w:before="0" w:after="0" w:line="360" w:lineRule="auto"/>
        <w:rPr>
          <w:rFonts w:ascii="宋体" w:hAnsi="宋体" w:eastAsia="宋体" w:cs="黑体"/>
          <w:color w:val="auto"/>
          <w:kern w:val="0"/>
          <w:sz w:val="21"/>
          <w:szCs w:val="28"/>
          <w:highlight w:val="none"/>
        </w:rPr>
      </w:pPr>
      <w:bookmarkStart w:id="1178" w:name="_Toc24331"/>
      <w:bookmarkStart w:id="1179" w:name="_Toc534201503"/>
      <w:bookmarkStart w:id="1180" w:name="_Toc30"/>
      <w:bookmarkStart w:id="1181" w:name="_Toc57494921"/>
      <w:bookmarkStart w:id="1182" w:name="_Toc26275399"/>
      <w:r>
        <w:rPr>
          <w:rFonts w:ascii="宋体" w:hAnsi="宋体" w:eastAsia="宋体" w:cs="黑体"/>
          <w:color w:val="auto"/>
          <w:kern w:val="0"/>
          <w:sz w:val="21"/>
          <w:szCs w:val="28"/>
          <w:highlight w:val="none"/>
        </w:rPr>
        <w:t>6. 开箱检验、安装、调试、考核、验收</w:t>
      </w:r>
      <w:bookmarkEnd w:id="1178"/>
      <w:bookmarkEnd w:id="1179"/>
      <w:bookmarkEnd w:id="1180"/>
      <w:bookmarkEnd w:id="1181"/>
      <w:bookmarkEnd w:id="1182"/>
    </w:p>
    <w:p w14:paraId="3498491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67D6E0F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6.2.1.1 卖方应提供所有合同设备及锁具并负责现场调试，不再另外收取费用。</w:t>
      </w:r>
    </w:p>
    <w:p w14:paraId="2F599F57">
      <w:pPr>
        <w:pStyle w:val="5"/>
        <w:spacing w:before="0" w:after="0" w:line="360" w:lineRule="auto"/>
        <w:rPr>
          <w:rFonts w:ascii="宋体" w:hAnsi="宋体" w:eastAsia="宋体" w:cs="黑体"/>
          <w:color w:val="auto"/>
          <w:kern w:val="0"/>
          <w:sz w:val="21"/>
          <w:szCs w:val="28"/>
          <w:highlight w:val="none"/>
        </w:rPr>
      </w:pPr>
      <w:bookmarkStart w:id="1183" w:name="_Toc26275400"/>
      <w:bookmarkStart w:id="1184" w:name="_Toc534201504"/>
      <w:bookmarkStart w:id="1185" w:name="_Toc13686"/>
      <w:bookmarkStart w:id="1186" w:name="_Toc27240"/>
      <w:bookmarkStart w:id="1187" w:name="_Toc57494922"/>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183"/>
      <w:bookmarkEnd w:id="1184"/>
      <w:bookmarkEnd w:id="1185"/>
      <w:bookmarkEnd w:id="1186"/>
      <w:bookmarkEnd w:id="1187"/>
    </w:p>
    <w:p w14:paraId="39BEC5C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4ADC0569">
      <w:pPr>
        <w:pStyle w:val="4"/>
        <w:jc w:val="center"/>
        <w:rPr>
          <w:rFonts w:ascii="宋体" w:hAnsi="宋体" w:eastAsia="宋体" w:cs="Times New Roman"/>
          <w:color w:val="auto"/>
          <w:kern w:val="0"/>
          <w:sz w:val="28"/>
          <w:highlight w:val="none"/>
        </w:rPr>
      </w:pPr>
      <w:bookmarkStart w:id="1188" w:name="_Toc57494923"/>
      <w:bookmarkStart w:id="1189" w:name="_Toc4666"/>
      <w:bookmarkStart w:id="1190" w:name="_Toc22881"/>
      <w:r>
        <w:rPr>
          <w:rFonts w:hint="eastAsia" w:ascii="宋体" w:hAnsi="宋体" w:eastAsia="宋体" w:cs="Times New Roman"/>
          <w:color w:val="auto"/>
          <w:kern w:val="0"/>
          <w:sz w:val="28"/>
          <w:highlight w:val="none"/>
        </w:rPr>
        <w:t>（二十六）电源系统</w:t>
      </w:r>
      <w:bookmarkEnd w:id="1188"/>
      <w:bookmarkEnd w:id="1189"/>
      <w:bookmarkEnd w:id="1190"/>
    </w:p>
    <w:p w14:paraId="72CEBFCC">
      <w:pPr>
        <w:pStyle w:val="5"/>
        <w:spacing w:before="0" w:after="0" w:line="360" w:lineRule="auto"/>
        <w:rPr>
          <w:rFonts w:ascii="宋体" w:hAnsi="宋体" w:eastAsia="宋体" w:cs="黑体"/>
          <w:color w:val="auto"/>
          <w:kern w:val="0"/>
          <w:sz w:val="21"/>
          <w:szCs w:val="28"/>
          <w:highlight w:val="none"/>
        </w:rPr>
      </w:pPr>
      <w:bookmarkStart w:id="1191" w:name="_Toc534201506"/>
      <w:bookmarkStart w:id="1192" w:name="_Toc57494924"/>
      <w:bookmarkStart w:id="1193" w:name="_Toc17953"/>
      <w:bookmarkStart w:id="1194" w:name="_Toc26275402"/>
      <w:bookmarkStart w:id="1195" w:name="_Toc6224"/>
      <w:r>
        <w:rPr>
          <w:rFonts w:ascii="宋体" w:hAnsi="宋体" w:eastAsia="宋体" w:cs="黑体"/>
          <w:color w:val="auto"/>
          <w:kern w:val="0"/>
          <w:sz w:val="21"/>
          <w:szCs w:val="28"/>
          <w:highlight w:val="none"/>
        </w:rPr>
        <w:t>2. 合同范围</w:t>
      </w:r>
      <w:bookmarkEnd w:id="1191"/>
      <w:bookmarkEnd w:id="1192"/>
      <w:bookmarkEnd w:id="1193"/>
      <w:bookmarkEnd w:id="1194"/>
      <w:bookmarkEnd w:id="1195"/>
    </w:p>
    <w:p w14:paraId="6C14443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2.1.1 所有现场组装安装用的螺栓和螺杆应多发运10%的备件</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且应提供现场安装需更换的密封件。</w:t>
      </w:r>
    </w:p>
    <w:p w14:paraId="2EC5D2A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2.1.2合同货物为蓄电池的，每</w:t>
      </w:r>
      <w:r>
        <w:rPr>
          <w:rFonts w:hint="eastAsia" w:ascii="宋体" w:hAnsi="宋体" w:eastAsia="宋体" w:cs="黑体"/>
          <w:color w:val="auto"/>
          <w:kern w:val="0"/>
          <w:szCs w:val="21"/>
          <w:highlight w:val="none"/>
        </w:rPr>
        <w:t>组</w:t>
      </w:r>
      <w:r>
        <w:rPr>
          <w:rFonts w:ascii="宋体" w:hAnsi="宋体" w:eastAsia="宋体" w:cs="黑体"/>
          <w:color w:val="auto"/>
          <w:kern w:val="0"/>
          <w:szCs w:val="21"/>
          <w:highlight w:val="none"/>
        </w:rPr>
        <w:t>应当额外赠送1只相同的蓄电池用于</w:t>
      </w:r>
      <w:r>
        <w:rPr>
          <w:rFonts w:hint="eastAsia" w:ascii="宋体" w:hAnsi="宋体" w:eastAsia="宋体" w:cs="黑体"/>
          <w:color w:val="auto"/>
          <w:kern w:val="0"/>
          <w:szCs w:val="21"/>
          <w:highlight w:val="none"/>
        </w:rPr>
        <w:t>解体验收和</w:t>
      </w:r>
      <w:r>
        <w:rPr>
          <w:rFonts w:ascii="宋体" w:hAnsi="宋体" w:eastAsia="宋体" w:cs="黑体"/>
          <w:color w:val="auto"/>
          <w:kern w:val="0"/>
          <w:szCs w:val="21"/>
          <w:highlight w:val="none"/>
        </w:rPr>
        <w:t>抽检。</w:t>
      </w:r>
    </w:p>
    <w:p w14:paraId="29E85A85">
      <w:pPr>
        <w:pStyle w:val="5"/>
        <w:spacing w:before="0" w:after="0" w:line="360" w:lineRule="auto"/>
        <w:rPr>
          <w:rFonts w:ascii="宋体" w:hAnsi="宋体" w:eastAsia="宋体" w:cs="黑体"/>
          <w:color w:val="auto"/>
          <w:kern w:val="0"/>
          <w:sz w:val="21"/>
          <w:szCs w:val="28"/>
          <w:highlight w:val="none"/>
        </w:rPr>
      </w:pPr>
      <w:bookmarkStart w:id="1196" w:name="_Toc26275403"/>
      <w:bookmarkStart w:id="1197" w:name="_Toc534201507"/>
      <w:bookmarkStart w:id="1198" w:name="_Toc57494925"/>
      <w:bookmarkStart w:id="1199" w:name="_Toc18951"/>
      <w:bookmarkStart w:id="1200" w:name="_Toc22218"/>
      <w:r>
        <w:rPr>
          <w:rFonts w:ascii="宋体" w:hAnsi="宋体" w:eastAsia="宋体" w:cs="黑体"/>
          <w:color w:val="auto"/>
          <w:kern w:val="0"/>
          <w:sz w:val="21"/>
          <w:szCs w:val="28"/>
          <w:highlight w:val="none"/>
        </w:rPr>
        <w:t>3. 合同价格与支付</w:t>
      </w:r>
      <w:bookmarkEnd w:id="1196"/>
      <w:bookmarkEnd w:id="1197"/>
      <w:bookmarkEnd w:id="1198"/>
      <w:bookmarkEnd w:id="1199"/>
      <w:bookmarkEnd w:id="1200"/>
    </w:p>
    <w:p w14:paraId="5811A87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59127DC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5DDC4128">
      <w:pPr>
        <w:pStyle w:val="5"/>
        <w:spacing w:before="0" w:after="0" w:line="360" w:lineRule="auto"/>
        <w:rPr>
          <w:rFonts w:ascii="宋体" w:hAnsi="宋体" w:eastAsia="宋体" w:cs="黑体"/>
          <w:color w:val="auto"/>
          <w:kern w:val="0"/>
          <w:sz w:val="21"/>
          <w:szCs w:val="28"/>
          <w:highlight w:val="none"/>
        </w:rPr>
      </w:pPr>
      <w:bookmarkStart w:id="1201" w:name="_Toc14968"/>
      <w:bookmarkStart w:id="1202" w:name="_Toc26275404"/>
      <w:bookmarkStart w:id="1203" w:name="_Toc57494926"/>
      <w:bookmarkStart w:id="1204" w:name="_Toc21292"/>
      <w:bookmarkStart w:id="1205" w:name="_Toc534201508"/>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201"/>
      <w:bookmarkEnd w:id="1202"/>
      <w:bookmarkEnd w:id="1203"/>
      <w:bookmarkEnd w:id="1204"/>
      <w:bookmarkEnd w:id="1205"/>
    </w:p>
    <w:p w14:paraId="4C5C29F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2AA5ABB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卖方必须将合同设备中各装置的详细配置（包括构成装置的各插件的型号、数量、生产日期）及软件版本书面提供给买方人员。</w:t>
      </w:r>
    </w:p>
    <w:p w14:paraId="55C04CF7">
      <w:pPr>
        <w:pStyle w:val="5"/>
        <w:spacing w:before="0" w:after="0" w:line="360" w:lineRule="auto"/>
        <w:rPr>
          <w:rFonts w:ascii="宋体" w:hAnsi="宋体" w:eastAsia="宋体" w:cs="黑体"/>
          <w:color w:val="auto"/>
          <w:kern w:val="0"/>
          <w:sz w:val="21"/>
          <w:szCs w:val="28"/>
          <w:highlight w:val="none"/>
        </w:rPr>
      </w:pPr>
      <w:bookmarkStart w:id="1206" w:name="_Toc7376"/>
      <w:bookmarkStart w:id="1207" w:name="_Toc26275405"/>
      <w:bookmarkStart w:id="1208" w:name="_Toc534201509"/>
      <w:bookmarkStart w:id="1209" w:name="_Toc9198"/>
      <w:bookmarkStart w:id="1210" w:name="_Toc57494927"/>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206"/>
      <w:bookmarkEnd w:id="1207"/>
      <w:bookmarkEnd w:id="1208"/>
      <w:bookmarkEnd w:id="1209"/>
      <w:bookmarkEnd w:id="1210"/>
    </w:p>
    <w:p w14:paraId="31C223D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w:t>
      </w:r>
      <w:r>
        <w:rPr>
          <w:rFonts w:hint="default" w:ascii="宋体" w:hAnsi="宋体" w:eastAsia="宋体" w:cs="黑体"/>
          <w:color w:val="auto"/>
          <w:kern w:val="0"/>
          <w:szCs w:val="21"/>
          <w:highlight w:val="none"/>
          <w:lang w:val="en-US"/>
        </w:rPr>
        <w:t>36</w:t>
      </w:r>
      <w:r>
        <w:rPr>
          <w:rFonts w:ascii="宋体" w:hAnsi="宋体" w:eastAsia="宋体" w:cs="黑体"/>
          <w:color w:val="auto"/>
          <w:kern w:val="0"/>
          <w:szCs w:val="21"/>
          <w:highlight w:val="none"/>
        </w:rPr>
        <w:t>个月。</w:t>
      </w:r>
    </w:p>
    <w:p w14:paraId="41F06EE0">
      <w:pPr>
        <w:pStyle w:val="5"/>
        <w:spacing w:before="0" w:after="0" w:line="360" w:lineRule="auto"/>
        <w:rPr>
          <w:rFonts w:ascii="宋体" w:hAnsi="宋体" w:eastAsia="宋体" w:cs="黑体"/>
          <w:color w:val="auto"/>
          <w:kern w:val="0"/>
          <w:sz w:val="21"/>
          <w:szCs w:val="28"/>
          <w:highlight w:val="none"/>
        </w:rPr>
      </w:pPr>
      <w:bookmarkStart w:id="1211" w:name="_Toc534201510"/>
      <w:bookmarkStart w:id="1212" w:name="_Toc26275406"/>
      <w:bookmarkStart w:id="1213" w:name="_Toc13815"/>
      <w:bookmarkStart w:id="1214" w:name="_Toc57494928"/>
      <w:bookmarkStart w:id="1215" w:name="_Toc27037"/>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w:t>
      </w:r>
      <w:r>
        <w:rPr>
          <w:rFonts w:hint="eastAsia" w:ascii="宋体" w:hAnsi="宋体" w:eastAsia="宋体" w:cs="黑体"/>
          <w:color w:val="auto"/>
          <w:kern w:val="0"/>
          <w:sz w:val="21"/>
          <w:szCs w:val="28"/>
          <w:highlight w:val="none"/>
        </w:rPr>
        <w:t>保证</w:t>
      </w:r>
      <w:bookmarkEnd w:id="1211"/>
      <w:bookmarkEnd w:id="1212"/>
      <w:bookmarkEnd w:id="1213"/>
      <w:bookmarkEnd w:id="1214"/>
      <w:bookmarkEnd w:id="1215"/>
    </w:p>
    <w:p w14:paraId="0F01E75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卖方承诺合同设备的使用寿命不少于12年。</w:t>
      </w:r>
    </w:p>
    <w:p w14:paraId="75EFE55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11.6.2</w:t>
      </w:r>
    </w:p>
    <w:p w14:paraId="657519B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1）在质保期过后，对于产品原理性故障，卖方应免费负责进行改进。</w:t>
      </w:r>
    </w:p>
    <w:p w14:paraId="1E55696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2）在质保期过后，卖方应视买方需要，免费提供系统软件升级换版。</w:t>
      </w:r>
    </w:p>
    <w:p w14:paraId="4215A8B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11.7.1 如果当前系统所匹配的硬件合同设备停产，卖方保证最新的硬件合同设备可以确保原有软件的正常运行。</w:t>
      </w:r>
    </w:p>
    <w:p w14:paraId="46B3A54C">
      <w:pPr>
        <w:pStyle w:val="5"/>
        <w:spacing w:before="0" w:after="0" w:line="360" w:lineRule="auto"/>
        <w:rPr>
          <w:rFonts w:ascii="宋体" w:hAnsi="宋体" w:eastAsia="宋体" w:cs="黑体"/>
          <w:color w:val="auto"/>
          <w:kern w:val="0"/>
          <w:sz w:val="21"/>
          <w:szCs w:val="28"/>
          <w:highlight w:val="none"/>
        </w:rPr>
      </w:pPr>
      <w:bookmarkStart w:id="1216" w:name="_Toc12538"/>
      <w:bookmarkStart w:id="1217" w:name="_Toc15114"/>
      <w:bookmarkStart w:id="1218" w:name="_Toc57494929"/>
      <w:bookmarkStart w:id="1219" w:name="_Toc26275407"/>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216"/>
      <w:bookmarkEnd w:id="1217"/>
      <w:bookmarkEnd w:id="1218"/>
      <w:bookmarkEnd w:id="1219"/>
    </w:p>
    <w:p w14:paraId="3B3F9502">
      <w:pPr>
        <w:topLinePunct/>
        <w:adjustRightInd w:val="0"/>
        <w:snapToGrid w:val="0"/>
        <w:spacing w:line="360" w:lineRule="auto"/>
        <w:ind w:firstLine="420" w:firstLineChars="200"/>
        <w:jc w:val="left"/>
        <w:rPr>
          <w:color w:val="auto"/>
          <w:highlight w:val="none"/>
        </w:rPr>
      </w:pPr>
      <w:r>
        <w:rPr>
          <w:rFonts w:ascii="宋体" w:hAnsi="宋体" w:eastAsia="宋体" w:cs="黑体"/>
          <w:color w:val="auto"/>
          <w:kern w:val="0"/>
          <w:szCs w:val="21"/>
          <w:highlight w:val="none"/>
        </w:rPr>
        <w:t xml:space="preserve">14.5 </w:t>
      </w:r>
      <w:r>
        <w:rPr>
          <w:rFonts w:hint="eastAsia" w:ascii="宋体" w:hAnsi="宋体" w:eastAsia="宋体" w:cs="黑体"/>
          <w:color w:val="auto"/>
          <w:kern w:val="0"/>
          <w:szCs w:val="21"/>
          <w:highlight w:val="none"/>
        </w:rPr>
        <w:t>监造及交货前检验</w:t>
      </w:r>
    </w:p>
    <w:p w14:paraId="7FF7390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14.5.2 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为蓄电池的，抽检不合格应当更换，更换后仍不合格，则</w:t>
      </w:r>
      <w:r>
        <w:rPr>
          <w:rFonts w:hint="eastAsia"/>
          <w:color w:val="auto"/>
          <w:highlight w:val="none"/>
        </w:rPr>
        <w:t>解除</w:t>
      </w:r>
      <w:r>
        <w:rPr>
          <w:rFonts w:ascii="宋体" w:hAnsi="宋体" w:eastAsia="宋体" w:cs="黑体"/>
          <w:color w:val="auto"/>
          <w:kern w:val="0"/>
          <w:szCs w:val="21"/>
          <w:highlight w:val="none"/>
        </w:rPr>
        <w:t>合同。</w:t>
      </w:r>
    </w:p>
    <w:p w14:paraId="6E949CD5">
      <w:pPr>
        <w:pStyle w:val="4"/>
        <w:jc w:val="center"/>
        <w:rPr>
          <w:rFonts w:ascii="宋体" w:hAnsi="宋体" w:eastAsia="宋体" w:cs="Times New Roman"/>
          <w:color w:val="auto"/>
          <w:kern w:val="0"/>
          <w:sz w:val="28"/>
          <w:highlight w:val="none"/>
        </w:rPr>
      </w:pPr>
      <w:bookmarkStart w:id="1220" w:name="_Toc9544"/>
      <w:bookmarkStart w:id="1221" w:name="_Toc12920"/>
      <w:bookmarkStart w:id="1222" w:name="_Toc57494930"/>
      <w:r>
        <w:rPr>
          <w:rFonts w:hint="eastAsia" w:ascii="宋体" w:hAnsi="宋体" w:eastAsia="宋体" w:cs="Times New Roman"/>
          <w:color w:val="auto"/>
          <w:kern w:val="0"/>
          <w:sz w:val="28"/>
          <w:highlight w:val="none"/>
        </w:rPr>
        <w:t>（二十七）通信设备</w:t>
      </w:r>
      <w:bookmarkEnd w:id="1220"/>
      <w:bookmarkEnd w:id="1221"/>
      <w:bookmarkEnd w:id="1222"/>
    </w:p>
    <w:p w14:paraId="3B0AA35A">
      <w:pPr>
        <w:pStyle w:val="5"/>
        <w:spacing w:before="0" w:after="0" w:line="360" w:lineRule="auto"/>
        <w:rPr>
          <w:rFonts w:ascii="宋体" w:hAnsi="宋体" w:eastAsia="宋体" w:cs="黑体"/>
          <w:color w:val="auto"/>
          <w:kern w:val="0"/>
          <w:sz w:val="21"/>
          <w:szCs w:val="28"/>
          <w:highlight w:val="none"/>
        </w:rPr>
      </w:pPr>
      <w:bookmarkStart w:id="1223" w:name="_Toc534201512"/>
      <w:bookmarkStart w:id="1224" w:name="_Toc17564"/>
      <w:bookmarkStart w:id="1225" w:name="_Toc31504"/>
      <w:bookmarkStart w:id="1226" w:name="_Toc57494931"/>
      <w:bookmarkStart w:id="1227" w:name="_Toc26275409"/>
      <w:r>
        <w:rPr>
          <w:rFonts w:ascii="宋体" w:hAnsi="宋体" w:eastAsia="宋体" w:cs="黑体"/>
          <w:color w:val="auto"/>
          <w:kern w:val="0"/>
          <w:sz w:val="21"/>
          <w:szCs w:val="28"/>
          <w:highlight w:val="none"/>
        </w:rPr>
        <w:t>3. 合同价格与支付</w:t>
      </w:r>
      <w:bookmarkEnd w:id="1223"/>
      <w:bookmarkEnd w:id="1224"/>
      <w:bookmarkEnd w:id="1225"/>
      <w:bookmarkEnd w:id="1226"/>
      <w:bookmarkEnd w:id="1227"/>
    </w:p>
    <w:p w14:paraId="73EE399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04A9AEE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0590B5F1">
      <w:pPr>
        <w:pStyle w:val="5"/>
        <w:spacing w:before="0" w:after="0" w:line="360" w:lineRule="auto"/>
        <w:rPr>
          <w:rFonts w:ascii="宋体" w:hAnsi="宋体" w:eastAsia="宋体" w:cs="黑体"/>
          <w:color w:val="auto"/>
          <w:kern w:val="0"/>
          <w:sz w:val="21"/>
          <w:szCs w:val="28"/>
          <w:highlight w:val="none"/>
        </w:rPr>
      </w:pPr>
      <w:bookmarkStart w:id="1228" w:name="_Toc534201513"/>
      <w:bookmarkStart w:id="1229" w:name="_Toc57494932"/>
      <w:bookmarkStart w:id="1230" w:name="_Toc16326"/>
      <w:bookmarkStart w:id="1231" w:name="_Toc7262"/>
      <w:bookmarkStart w:id="1232" w:name="_Toc26275410"/>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228"/>
      <w:bookmarkEnd w:id="1229"/>
      <w:bookmarkEnd w:id="1230"/>
      <w:bookmarkEnd w:id="1231"/>
      <w:bookmarkEnd w:id="1232"/>
    </w:p>
    <w:p w14:paraId="70BE56D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5142B6E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卖方必须将合同货物中各装置的详细配置（包括构成装置的各插件的型号、数量、生产日期）及软件版本书面提供给买方人员。</w:t>
      </w:r>
    </w:p>
    <w:p w14:paraId="26F44369">
      <w:pPr>
        <w:pStyle w:val="5"/>
        <w:spacing w:before="0" w:after="0" w:line="360" w:lineRule="auto"/>
        <w:rPr>
          <w:rFonts w:ascii="宋体" w:hAnsi="宋体" w:eastAsia="宋体" w:cs="黑体"/>
          <w:color w:val="auto"/>
          <w:kern w:val="0"/>
          <w:sz w:val="21"/>
          <w:szCs w:val="28"/>
          <w:highlight w:val="none"/>
        </w:rPr>
      </w:pPr>
      <w:bookmarkStart w:id="1233" w:name="_Toc534201514"/>
      <w:bookmarkStart w:id="1234" w:name="_Toc9353"/>
      <w:bookmarkStart w:id="1235" w:name="_Toc26275411"/>
      <w:bookmarkStart w:id="1236" w:name="_Toc57494933"/>
      <w:bookmarkStart w:id="1237" w:name="_Toc6457"/>
      <w:r>
        <w:rPr>
          <w:rFonts w:ascii="宋体" w:hAnsi="宋体" w:eastAsia="宋体" w:cs="黑体"/>
          <w:color w:val="auto"/>
          <w:kern w:val="0"/>
          <w:sz w:val="21"/>
          <w:szCs w:val="28"/>
          <w:highlight w:val="none"/>
        </w:rPr>
        <w:t>7.技术服务</w:t>
      </w:r>
      <w:bookmarkEnd w:id="1233"/>
      <w:bookmarkEnd w:id="1234"/>
      <w:bookmarkEnd w:id="1235"/>
      <w:bookmarkEnd w:id="1236"/>
      <w:bookmarkEnd w:id="1237"/>
    </w:p>
    <w:p w14:paraId="30D35D3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7.1.2 质量保证期内，卖方提供的软件、硬件出现缺陷，免费修复或更换，要求7×24小时响应，备件先行，4小时到达现场，重大缺陷工程师4小时内赶到现场处理。</w:t>
      </w:r>
    </w:p>
    <w:p w14:paraId="4022E1D4">
      <w:pPr>
        <w:pStyle w:val="5"/>
        <w:spacing w:before="0" w:after="0" w:line="360" w:lineRule="auto"/>
        <w:rPr>
          <w:rFonts w:ascii="宋体" w:hAnsi="宋体" w:eastAsia="宋体" w:cs="黑体"/>
          <w:color w:val="auto"/>
          <w:kern w:val="0"/>
          <w:sz w:val="21"/>
          <w:szCs w:val="28"/>
          <w:highlight w:val="none"/>
        </w:rPr>
      </w:pPr>
      <w:bookmarkStart w:id="1238" w:name="_Toc57494934"/>
      <w:bookmarkStart w:id="1239" w:name="_Toc19702"/>
      <w:bookmarkStart w:id="1240" w:name="_Toc26275412"/>
      <w:bookmarkStart w:id="1241" w:name="_Toc9462"/>
      <w:bookmarkStart w:id="1242" w:name="_Toc534201515"/>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238"/>
      <w:bookmarkEnd w:id="1239"/>
      <w:bookmarkEnd w:id="1240"/>
      <w:bookmarkEnd w:id="1241"/>
      <w:bookmarkEnd w:id="1242"/>
    </w:p>
    <w:p w14:paraId="3A9090B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7ABCA726">
      <w:pPr>
        <w:pStyle w:val="5"/>
        <w:spacing w:before="0" w:after="0" w:line="360" w:lineRule="auto"/>
        <w:rPr>
          <w:rFonts w:ascii="宋体" w:hAnsi="宋体" w:eastAsia="宋体" w:cs="黑体"/>
          <w:color w:val="auto"/>
          <w:kern w:val="0"/>
          <w:sz w:val="21"/>
          <w:szCs w:val="28"/>
          <w:highlight w:val="none"/>
        </w:rPr>
      </w:pPr>
      <w:bookmarkStart w:id="1243" w:name="_Toc20144"/>
      <w:bookmarkStart w:id="1244" w:name="_Toc534201516"/>
      <w:bookmarkStart w:id="1245" w:name="_Toc57494935"/>
      <w:bookmarkStart w:id="1246" w:name="_Toc336"/>
      <w:bookmarkStart w:id="1247" w:name="_Toc26275413"/>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243"/>
      <w:bookmarkEnd w:id="1244"/>
      <w:bookmarkEnd w:id="1245"/>
      <w:bookmarkEnd w:id="1246"/>
      <w:bookmarkEnd w:id="1247"/>
    </w:p>
    <w:p w14:paraId="741E024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卖方承诺合同设备的使用寿命不少于12年。</w:t>
      </w:r>
    </w:p>
    <w:p w14:paraId="2BAD6F8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11.6.2 </w:t>
      </w:r>
    </w:p>
    <w:p w14:paraId="027B4F7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1）卖方应保证设备投运后使用寿命期内免费提供设备、板卡、网管的最新版本软件升级服务，网管升级后应兼容现有设备及板卡。</w:t>
      </w:r>
    </w:p>
    <w:p w14:paraId="6CA13C3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2）设备使用寿命期内，因弥补软件缺陷所需的软硬件投资，均由卖方负责。</w:t>
      </w:r>
    </w:p>
    <w:p w14:paraId="487AA82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 卖方应保证供货设备、板卡等部件在正式投运后6年内不停产。如停产，至少提前2年将产品的停产信息及替换方案书面告知买方，且保证有同类型或不低于原型号的设备或板卡供应，更换后设备及板卡等部件不影响系统正常运行，包括但不限于系统的功能、性能以及与原设备网管系统的兼容性等。卖方将以不高于本项目合同的价格提供同类型或不低于原型号的设备或板卡。</w:t>
      </w:r>
    </w:p>
    <w:p w14:paraId="7D1518F8">
      <w:pPr>
        <w:pStyle w:val="4"/>
        <w:jc w:val="center"/>
        <w:rPr>
          <w:rFonts w:ascii="宋体" w:hAnsi="宋体" w:eastAsia="宋体" w:cs="Times New Roman"/>
          <w:color w:val="auto"/>
          <w:kern w:val="0"/>
          <w:sz w:val="28"/>
          <w:highlight w:val="none"/>
        </w:rPr>
      </w:pPr>
      <w:bookmarkStart w:id="1248" w:name="_Toc6668"/>
      <w:bookmarkStart w:id="1249" w:name="_Toc6947"/>
      <w:bookmarkStart w:id="1250" w:name="_Toc57494936"/>
      <w:r>
        <w:rPr>
          <w:rFonts w:hint="eastAsia" w:ascii="宋体" w:hAnsi="宋体" w:eastAsia="宋体" w:cs="Times New Roman"/>
          <w:color w:val="auto"/>
          <w:kern w:val="0"/>
          <w:sz w:val="28"/>
          <w:highlight w:val="none"/>
        </w:rPr>
        <w:t>（二十八）通信电源等设备</w:t>
      </w:r>
      <w:bookmarkEnd w:id="1248"/>
      <w:bookmarkEnd w:id="1249"/>
      <w:bookmarkEnd w:id="1250"/>
    </w:p>
    <w:p w14:paraId="3CEAF305">
      <w:pPr>
        <w:pStyle w:val="5"/>
        <w:spacing w:before="0" w:after="0" w:line="360" w:lineRule="auto"/>
        <w:rPr>
          <w:rFonts w:ascii="宋体" w:hAnsi="宋体" w:eastAsia="宋体" w:cs="黑体"/>
          <w:color w:val="auto"/>
          <w:kern w:val="0"/>
          <w:sz w:val="21"/>
          <w:szCs w:val="28"/>
          <w:highlight w:val="none"/>
        </w:rPr>
      </w:pPr>
      <w:bookmarkStart w:id="1251" w:name="_Toc1940"/>
      <w:bookmarkStart w:id="1252" w:name="_Toc534201518"/>
      <w:bookmarkStart w:id="1253" w:name="_Toc26275415"/>
      <w:bookmarkStart w:id="1254" w:name="_Toc57494937"/>
      <w:bookmarkStart w:id="1255" w:name="_Toc12906"/>
      <w:r>
        <w:rPr>
          <w:rFonts w:ascii="宋体" w:hAnsi="宋体" w:eastAsia="宋体" w:cs="黑体"/>
          <w:color w:val="auto"/>
          <w:kern w:val="0"/>
          <w:sz w:val="21"/>
          <w:szCs w:val="28"/>
          <w:highlight w:val="none"/>
        </w:rPr>
        <w:t>2. 合同范围</w:t>
      </w:r>
      <w:bookmarkEnd w:id="1251"/>
      <w:bookmarkEnd w:id="1252"/>
      <w:bookmarkEnd w:id="1253"/>
      <w:bookmarkEnd w:id="1254"/>
      <w:bookmarkEnd w:id="1255"/>
    </w:p>
    <w:p w14:paraId="7483EBB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22902AA9">
      <w:pPr>
        <w:pStyle w:val="5"/>
        <w:spacing w:before="0" w:after="0" w:line="360" w:lineRule="auto"/>
        <w:rPr>
          <w:rFonts w:ascii="宋体" w:hAnsi="宋体" w:eastAsia="宋体" w:cs="黑体"/>
          <w:color w:val="auto"/>
          <w:kern w:val="0"/>
          <w:sz w:val="21"/>
          <w:szCs w:val="28"/>
          <w:highlight w:val="none"/>
        </w:rPr>
      </w:pPr>
      <w:bookmarkStart w:id="1256" w:name="_Toc26275416"/>
      <w:bookmarkStart w:id="1257" w:name="_Toc534201519"/>
      <w:bookmarkStart w:id="1258" w:name="_Toc15822"/>
      <w:bookmarkStart w:id="1259" w:name="_Toc14546"/>
      <w:bookmarkStart w:id="1260" w:name="_Toc57494938"/>
      <w:r>
        <w:rPr>
          <w:rFonts w:ascii="宋体" w:hAnsi="宋体" w:eastAsia="宋体" w:cs="黑体"/>
          <w:color w:val="auto"/>
          <w:kern w:val="0"/>
          <w:sz w:val="21"/>
          <w:szCs w:val="28"/>
          <w:highlight w:val="none"/>
        </w:rPr>
        <w:t>3. 合同价格与支付</w:t>
      </w:r>
      <w:bookmarkEnd w:id="1256"/>
      <w:bookmarkEnd w:id="1257"/>
      <w:bookmarkEnd w:id="1258"/>
      <w:bookmarkEnd w:id="1259"/>
      <w:bookmarkEnd w:id="1260"/>
    </w:p>
    <w:p w14:paraId="30AD833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34CD8C1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70DC27E1">
      <w:pPr>
        <w:pStyle w:val="5"/>
        <w:spacing w:before="0" w:after="0" w:line="360" w:lineRule="auto"/>
        <w:rPr>
          <w:rFonts w:ascii="宋体" w:hAnsi="宋体" w:eastAsia="宋体" w:cs="黑体"/>
          <w:color w:val="auto"/>
          <w:kern w:val="0"/>
          <w:sz w:val="21"/>
          <w:szCs w:val="28"/>
          <w:highlight w:val="none"/>
        </w:rPr>
      </w:pPr>
      <w:bookmarkStart w:id="1261" w:name="_Toc26275417"/>
      <w:bookmarkStart w:id="1262" w:name="_Toc23020"/>
      <w:bookmarkStart w:id="1263" w:name="_Toc15764"/>
      <w:bookmarkStart w:id="1264" w:name="_Toc57494939"/>
      <w:bookmarkStart w:id="1265" w:name="_Toc534201520"/>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261"/>
      <w:bookmarkEnd w:id="1262"/>
      <w:bookmarkEnd w:id="1263"/>
      <w:bookmarkEnd w:id="1264"/>
      <w:bookmarkEnd w:id="1265"/>
    </w:p>
    <w:p w14:paraId="3CF20DF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4A7A9C6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卖方必须将合同货物中各装置的详细配置（包括构成装置的各插件的型号、数量、生产日期）及软件版本书面提供给买方人员。</w:t>
      </w:r>
    </w:p>
    <w:p w14:paraId="17DDB495">
      <w:pPr>
        <w:pStyle w:val="5"/>
        <w:spacing w:before="0" w:after="0" w:line="360" w:lineRule="auto"/>
        <w:rPr>
          <w:rFonts w:ascii="宋体" w:hAnsi="宋体" w:eastAsia="宋体" w:cs="黑体"/>
          <w:color w:val="auto"/>
          <w:kern w:val="0"/>
          <w:sz w:val="21"/>
          <w:szCs w:val="28"/>
          <w:highlight w:val="none"/>
        </w:rPr>
      </w:pPr>
      <w:bookmarkStart w:id="1266" w:name="_Toc21689"/>
      <w:bookmarkStart w:id="1267" w:name="_Toc57494940"/>
      <w:bookmarkStart w:id="1268" w:name="_Toc534201521"/>
      <w:bookmarkStart w:id="1269" w:name="_Toc12620"/>
      <w:bookmarkStart w:id="1270" w:name="_Toc26275418"/>
      <w:r>
        <w:rPr>
          <w:rFonts w:ascii="宋体" w:hAnsi="宋体" w:eastAsia="宋体" w:cs="黑体"/>
          <w:color w:val="auto"/>
          <w:kern w:val="0"/>
          <w:sz w:val="21"/>
          <w:szCs w:val="28"/>
          <w:highlight w:val="none"/>
        </w:rPr>
        <w:t>7. 技术服务</w:t>
      </w:r>
      <w:bookmarkEnd w:id="1266"/>
      <w:bookmarkEnd w:id="1267"/>
      <w:bookmarkEnd w:id="1268"/>
      <w:bookmarkEnd w:id="1269"/>
      <w:bookmarkEnd w:id="1270"/>
    </w:p>
    <w:p w14:paraId="56323E3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7.1.2 质量保证期内，卖方提供的软件、硬件出现缺陷，免费修复或更换，要求7×24小时响应，备件先行，4小时到达现场，重大缺陷工程师4小时内赶到现场处理。</w:t>
      </w:r>
    </w:p>
    <w:p w14:paraId="29217773">
      <w:pPr>
        <w:pStyle w:val="5"/>
        <w:spacing w:before="0" w:after="0" w:line="360" w:lineRule="auto"/>
        <w:rPr>
          <w:rFonts w:ascii="宋体" w:hAnsi="宋体" w:eastAsia="宋体" w:cs="黑体"/>
          <w:color w:val="auto"/>
          <w:kern w:val="0"/>
          <w:sz w:val="21"/>
          <w:szCs w:val="28"/>
          <w:highlight w:val="none"/>
        </w:rPr>
      </w:pPr>
      <w:bookmarkStart w:id="1271" w:name="_Toc19542"/>
      <w:bookmarkStart w:id="1272" w:name="_Toc57494941"/>
      <w:bookmarkStart w:id="1273" w:name="_Toc534201522"/>
      <w:bookmarkStart w:id="1274" w:name="_Toc11744"/>
      <w:bookmarkStart w:id="1275" w:name="_Toc26275419"/>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271"/>
      <w:bookmarkEnd w:id="1272"/>
      <w:bookmarkEnd w:id="1273"/>
      <w:bookmarkEnd w:id="1274"/>
      <w:bookmarkEnd w:id="1275"/>
    </w:p>
    <w:p w14:paraId="330B9B9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385F05E5">
      <w:pPr>
        <w:pStyle w:val="5"/>
        <w:spacing w:before="0" w:after="0" w:line="360" w:lineRule="auto"/>
        <w:rPr>
          <w:rFonts w:ascii="宋体" w:hAnsi="宋体" w:eastAsia="宋体" w:cs="黑体"/>
          <w:color w:val="auto"/>
          <w:kern w:val="0"/>
          <w:sz w:val="21"/>
          <w:szCs w:val="28"/>
          <w:highlight w:val="none"/>
        </w:rPr>
      </w:pPr>
      <w:bookmarkStart w:id="1276" w:name="_Toc534201523"/>
      <w:bookmarkStart w:id="1277" w:name="_Toc26275420"/>
      <w:bookmarkStart w:id="1278" w:name="_Toc22494"/>
      <w:bookmarkStart w:id="1279" w:name="_Toc3040"/>
      <w:bookmarkStart w:id="1280" w:name="_Toc57494942"/>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276"/>
      <w:bookmarkEnd w:id="1277"/>
      <w:bookmarkEnd w:id="1278"/>
      <w:bookmarkEnd w:id="1279"/>
      <w:bookmarkEnd w:id="1280"/>
    </w:p>
    <w:p w14:paraId="45B2E03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卖方承诺合同设备的使用寿命不少于12年。</w:t>
      </w:r>
    </w:p>
    <w:p w14:paraId="7461188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11.6.2 </w:t>
      </w:r>
    </w:p>
    <w:p w14:paraId="4B9F8F6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1）卖方应保证设备投运后使用寿命期内免费提供设备、板卡、网管的最新版本软件升级服务，网管升级后应兼容现有设备及板卡。</w:t>
      </w:r>
    </w:p>
    <w:p w14:paraId="6BF1344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2）设备使用寿命期内，因弥补软件缺陷所需的软硬件投资，均由卖方负责。</w:t>
      </w:r>
    </w:p>
    <w:p w14:paraId="13C2BA1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 卖方应保证供货设备、板卡等部件在正式投运后6年内不停产。如停产，至少提前2年将产品的停产信息及替换方案书面告知买方，且保证有同类型或不低于原型号的设备或板卡供应，更换后设备及板卡等部件不影响系统正常运行，包括但不限于系统的功能、性能以及与原设备网管系统的兼容性等。卖方将以不高于本项目合同的价格提供同类型或不低于原型号的设备或板卡。</w:t>
      </w:r>
    </w:p>
    <w:p w14:paraId="68B2A647">
      <w:pPr>
        <w:pStyle w:val="4"/>
        <w:jc w:val="center"/>
        <w:rPr>
          <w:rFonts w:ascii="宋体" w:hAnsi="宋体" w:eastAsia="宋体" w:cs="Times New Roman"/>
          <w:color w:val="auto"/>
          <w:kern w:val="0"/>
          <w:sz w:val="28"/>
          <w:highlight w:val="none"/>
        </w:rPr>
      </w:pPr>
      <w:bookmarkStart w:id="1281" w:name="_Toc17896"/>
      <w:bookmarkStart w:id="1282" w:name="_Toc32464"/>
      <w:bookmarkStart w:id="1283" w:name="_Toc57494943"/>
      <w:r>
        <w:rPr>
          <w:rFonts w:hint="eastAsia" w:ascii="宋体" w:hAnsi="宋体" w:eastAsia="宋体" w:cs="Times New Roman"/>
          <w:color w:val="auto"/>
          <w:kern w:val="0"/>
          <w:sz w:val="28"/>
          <w:highlight w:val="none"/>
        </w:rPr>
        <w:t>（二十九）电气标准器及检测装置</w:t>
      </w:r>
      <w:bookmarkEnd w:id="1281"/>
      <w:bookmarkEnd w:id="1282"/>
      <w:bookmarkEnd w:id="1283"/>
    </w:p>
    <w:p w14:paraId="1908146C">
      <w:pPr>
        <w:pStyle w:val="5"/>
        <w:spacing w:before="0" w:after="0" w:line="360" w:lineRule="auto"/>
        <w:rPr>
          <w:rFonts w:ascii="宋体" w:hAnsi="宋体" w:eastAsia="宋体" w:cs="黑体"/>
          <w:color w:val="auto"/>
          <w:kern w:val="0"/>
          <w:sz w:val="21"/>
          <w:szCs w:val="28"/>
          <w:highlight w:val="none"/>
        </w:rPr>
      </w:pPr>
      <w:bookmarkStart w:id="1284" w:name="_Toc26275422"/>
      <w:bookmarkStart w:id="1285" w:name="_Toc25419"/>
      <w:bookmarkStart w:id="1286" w:name="_Toc57494944"/>
      <w:bookmarkStart w:id="1287" w:name="_Toc534201525"/>
      <w:bookmarkStart w:id="1288" w:name="_Toc5674"/>
      <w:r>
        <w:rPr>
          <w:rFonts w:ascii="宋体" w:hAnsi="宋体" w:eastAsia="宋体" w:cs="黑体"/>
          <w:color w:val="auto"/>
          <w:kern w:val="0"/>
          <w:sz w:val="21"/>
          <w:szCs w:val="28"/>
          <w:highlight w:val="none"/>
        </w:rPr>
        <w:t>3. 合同价格与支付</w:t>
      </w:r>
      <w:bookmarkEnd w:id="1284"/>
      <w:bookmarkEnd w:id="1285"/>
      <w:bookmarkEnd w:id="1286"/>
      <w:bookmarkEnd w:id="1287"/>
      <w:bookmarkEnd w:id="1288"/>
    </w:p>
    <w:p w14:paraId="29549D7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13C20BA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1E456ED9">
      <w:pPr>
        <w:pStyle w:val="5"/>
        <w:spacing w:before="0" w:after="0" w:line="360" w:lineRule="auto"/>
        <w:rPr>
          <w:rFonts w:ascii="宋体" w:hAnsi="宋体" w:eastAsia="宋体" w:cs="黑体"/>
          <w:color w:val="auto"/>
          <w:kern w:val="0"/>
          <w:sz w:val="21"/>
          <w:szCs w:val="28"/>
          <w:highlight w:val="none"/>
        </w:rPr>
      </w:pPr>
      <w:bookmarkStart w:id="1289" w:name="_Toc534201526"/>
      <w:bookmarkStart w:id="1290" w:name="_Toc57494945"/>
      <w:bookmarkStart w:id="1291" w:name="_Toc26275423"/>
      <w:bookmarkStart w:id="1292" w:name="_Toc31472"/>
      <w:bookmarkStart w:id="1293" w:name="_Toc18467"/>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289"/>
      <w:bookmarkEnd w:id="1290"/>
      <w:bookmarkEnd w:id="1291"/>
      <w:bookmarkEnd w:id="1292"/>
      <w:bookmarkEnd w:id="1293"/>
    </w:p>
    <w:p w14:paraId="404CA46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6DAFF5BF">
      <w:pPr>
        <w:pStyle w:val="5"/>
        <w:spacing w:before="0" w:after="0" w:line="360" w:lineRule="auto"/>
        <w:rPr>
          <w:rFonts w:ascii="宋体" w:hAnsi="宋体" w:eastAsia="宋体" w:cs="黑体"/>
          <w:color w:val="auto"/>
          <w:kern w:val="0"/>
          <w:sz w:val="21"/>
          <w:szCs w:val="28"/>
          <w:highlight w:val="none"/>
        </w:rPr>
      </w:pPr>
      <w:bookmarkStart w:id="1294" w:name="_Toc26275424"/>
      <w:bookmarkStart w:id="1295" w:name="_Toc7660"/>
      <w:bookmarkStart w:id="1296" w:name="_Toc534201527"/>
      <w:bookmarkStart w:id="1297" w:name="_Toc57494946"/>
      <w:bookmarkStart w:id="1298" w:name="_Toc17456"/>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294"/>
      <w:bookmarkEnd w:id="1295"/>
      <w:bookmarkEnd w:id="1296"/>
      <w:bookmarkEnd w:id="1297"/>
      <w:bookmarkEnd w:id="1298"/>
    </w:p>
    <w:p w14:paraId="5FA417D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卖方承诺合同设备的使用寿命不少于10年。</w:t>
      </w:r>
    </w:p>
    <w:p w14:paraId="33C0CD6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11.6.2</w:t>
      </w:r>
    </w:p>
    <w:p w14:paraId="5D7C792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1）在质保期过后，对于产品原理性故障，卖方应免费负责进行改进。</w:t>
      </w:r>
    </w:p>
    <w:p w14:paraId="56B5F89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2）在质保期过后，卖方应视买方需要，免费提供系统软件升级换版。</w:t>
      </w:r>
    </w:p>
    <w:p w14:paraId="4F79C76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11.7.1 如果当前系统所匹配的硬件合同货物停产，卖方保证最新的硬件合同货物可以确保原有软件的正常运行。</w:t>
      </w:r>
    </w:p>
    <w:p w14:paraId="461C0DC7">
      <w:pPr>
        <w:pStyle w:val="4"/>
        <w:jc w:val="center"/>
        <w:rPr>
          <w:rFonts w:ascii="宋体" w:hAnsi="宋体" w:eastAsia="宋体" w:cs="Times New Roman"/>
          <w:color w:val="auto"/>
          <w:kern w:val="0"/>
          <w:sz w:val="28"/>
          <w:highlight w:val="none"/>
        </w:rPr>
      </w:pPr>
      <w:bookmarkStart w:id="1299" w:name="_Toc27647"/>
      <w:bookmarkStart w:id="1300" w:name="_Toc57494947"/>
      <w:bookmarkStart w:id="1301" w:name="_Toc2880"/>
      <w:r>
        <w:rPr>
          <w:rFonts w:hint="eastAsia" w:ascii="宋体" w:hAnsi="宋体" w:eastAsia="宋体" w:cs="Times New Roman"/>
          <w:color w:val="auto"/>
          <w:kern w:val="0"/>
          <w:sz w:val="28"/>
          <w:highlight w:val="none"/>
        </w:rPr>
        <w:t>（三十）仪器仪表</w:t>
      </w:r>
      <w:bookmarkEnd w:id="1299"/>
      <w:bookmarkEnd w:id="1300"/>
      <w:bookmarkEnd w:id="1301"/>
    </w:p>
    <w:p w14:paraId="49D920DD">
      <w:pPr>
        <w:pStyle w:val="5"/>
        <w:spacing w:before="0" w:after="0" w:line="360" w:lineRule="auto"/>
        <w:rPr>
          <w:rFonts w:ascii="宋体" w:hAnsi="宋体" w:eastAsia="宋体" w:cs="黑体"/>
          <w:color w:val="auto"/>
          <w:kern w:val="0"/>
          <w:sz w:val="21"/>
          <w:szCs w:val="28"/>
          <w:highlight w:val="none"/>
        </w:rPr>
      </w:pPr>
      <w:bookmarkStart w:id="1302" w:name="_Toc3487"/>
      <w:bookmarkStart w:id="1303" w:name="_Toc57494948"/>
      <w:bookmarkStart w:id="1304" w:name="_Toc8663"/>
      <w:bookmarkStart w:id="1305" w:name="_Toc534201529"/>
      <w:bookmarkStart w:id="1306" w:name="_Toc26275426"/>
      <w:r>
        <w:rPr>
          <w:rFonts w:ascii="宋体" w:hAnsi="宋体" w:eastAsia="宋体" w:cs="黑体"/>
          <w:color w:val="auto"/>
          <w:kern w:val="0"/>
          <w:sz w:val="21"/>
          <w:szCs w:val="28"/>
          <w:highlight w:val="none"/>
        </w:rPr>
        <w:t>2. 合同范围</w:t>
      </w:r>
      <w:bookmarkEnd w:id="1302"/>
      <w:bookmarkEnd w:id="1303"/>
      <w:bookmarkEnd w:id="1304"/>
      <w:bookmarkEnd w:id="1305"/>
      <w:bookmarkEnd w:id="1306"/>
    </w:p>
    <w:p w14:paraId="3B775F3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2.5 卖方提供的技术资料包括但不限于产品（包括进口产品）正确完整的中文技术手册及使用说明书、产品合格证明书、出厂试验记录、产品外形尺寸图、运输尺寸图、铭牌图或铭牌标志图及备件一览表等。</w:t>
      </w:r>
    </w:p>
    <w:p w14:paraId="35591F74">
      <w:pPr>
        <w:pStyle w:val="5"/>
        <w:spacing w:before="0" w:after="0" w:line="360" w:lineRule="auto"/>
        <w:rPr>
          <w:rFonts w:ascii="宋体" w:hAnsi="宋体" w:eastAsia="宋体" w:cs="黑体"/>
          <w:color w:val="auto"/>
          <w:kern w:val="0"/>
          <w:sz w:val="21"/>
          <w:szCs w:val="28"/>
          <w:highlight w:val="none"/>
        </w:rPr>
      </w:pPr>
      <w:bookmarkStart w:id="1307" w:name="_Toc24075"/>
      <w:bookmarkStart w:id="1308" w:name="_Toc26275427"/>
      <w:bookmarkStart w:id="1309" w:name="_Toc22217"/>
      <w:bookmarkStart w:id="1310" w:name="_Toc534201530"/>
      <w:bookmarkStart w:id="1311" w:name="_Toc57494949"/>
      <w:r>
        <w:rPr>
          <w:rFonts w:ascii="宋体" w:hAnsi="宋体" w:eastAsia="宋体" w:cs="黑体"/>
          <w:color w:val="auto"/>
          <w:kern w:val="0"/>
          <w:sz w:val="21"/>
          <w:szCs w:val="28"/>
          <w:highlight w:val="none"/>
        </w:rPr>
        <w:t>3. 合同价格与支付</w:t>
      </w:r>
      <w:bookmarkEnd w:id="1307"/>
      <w:bookmarkEnd w:id="1308"/>
      <w:bookmarkEnd w:id="1309"/>
      <w:bookmarkEnd w:id="1310"/>
      <w:bookmarkEnd w:id="1311"/>
    </w:p>
    <w:p w14:paraId="5368966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3.1 合同价格</w:t>
      </w:r>
    </w:p>
    <w:p w14:paraId="7FF6653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3.1.1 需要进行周期检测的合同设备，首次检测及费用由卖方承担。</w:t>
      </w:r>
    </w:p>
    <w:p w14:paraId="058316E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69FB7AB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5D138890">
      <w:pPr>
        <w:pStyle w:val="5"/>
        <w:spacing w:before="0" w:after="0" w:line="360" w:lineRule="auto"/>
        <w:rPr>
          <w:rFonts w:ascii="宋体" w:hAnsi="宋体" w:eastAsia="宋体" w:cs="黑体"/>
          <w:color w:val="auto"/>
          <w:kern w:val="0"/>
          <w:sz w:val="21"/>
          <w:szCs w:val="28"/>
          <w:highlight w:val="none"/>
        </w:rPr>
      </w:pPr>
      <w:bookmarkStart w:id="1312" w:name="_Toc5755"/>
      <w:bookmarkStart w:id="1313" w:name="_Toc17818"/>
      <w:bookmarkStart w:id="1314" w:name="_Toc534201531"/>
      <w:bookmarkStart w:id="1315" w:name="_Toc26275428"/>
      <w:bookmarkStart w:id="1316" w:name="_Toc57494950"/>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312"/>
      <w:bookmarkEnd w:id="1313"/>
      <w:bookmarkEnd w:id="1314"/>
      <w:bookmarkEnd w:id="1315"/>
      <w:bookmarkEnd w:id="1316"/>
    </w:p>
    <w:p w14:paraId="1914320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08957E1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卖方应根据双方商定好的标准和买方的实际运输条件，将变合同设备和所有零部件包装好。</w:t>
      </w:r>
    </w:p>
    <w:p w14:paraId="6162671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1C54D13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5.4.1.1 卖方应及时按合同相关规定向买方提供系统的硬件合同货物、软件设计、制造、试验、检验、包装运输、仓储、安装、调试、运行、培训等全过程的技术资料、图纸、文件及手册等。</w:t>
      </w:r>
    </w:p>
    <w:p w14:paraId="5A67AC7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卖方在交货时应提供必需的试验报告，如型式试验报告、出厂试验报告、主要部件试验报告等。</w:t>
      </w:r>
    </w:p>
    <w:p w14:paraId="574FD055">
      <w:pPr>
        <w:pStyle w:val="5"/>
        <w:spacing w:before="0" w:after="0" w:line="360" w:lineRule="auto"/>
        <w:rPr>
          <w:rFonts w:ascii="宋体" w:hAnsi="宋体" w:eastAsia="宋体" w:cs="黑体"/>
          <w:color w:val="auto"/>
          <w:kern w:val="0"/>
          <w:sz w:val="21"/>
          <w:szCs w:val="28"/>
          <w:highlight w:val="none"/>
        </w:rPr>
      </w:pPr>
      <w:bookmarkStart w:id="1317" w:name="_Toc57494951"/>
      <w:bookmarkStart w:id="1318" w:name="_Toc26275429"/>
      <w:bookmarkStart w:id="1319" w:name="_Toc7987"/>
      <w:bookmarkStart w:id="1320" w:name="_Toc534201532"/>
      <w:bookmarkStart w:id="1321" w:name="_Toc23781"/>
      <w:r>
        <w:rPr>
          <w:rFonts w:ascii="宋体" w:hAnsi="宋体" w:eastAsia="宋体" w:cs="黑体"/>
          <w:color w:val="auto"/>
          <w:kern w:val="0"/>
          <w:sz w:val="21"/>
          <w:szCs w:val="28"/>
          <w:highlight w:val="none"/>
        </w:rPr>
        <w:t>7. 技术服务</w:t>
      </w:r>
      <w:bookmarkEnd w:id="1317"/>
      <w:bookmarkEnd w:id="1318"/>
      <w:bookmarkEnd w:id="1319"/>
      <w:bookmarkEnd w:id="1320"/>
      <w:bookmarkEnd w:id="1321"/>
    </w:p>
    <w:p w14:paraId="51A9136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7.1.5.6 对操作复杂的仪器仪表应每年组织培训, 卖方应及时通知买方单位派员参加。</w:t>
      </w:r>
    </w:p>
    <w:p w14:paraId="58EB7DE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经过培训的买方技术人员应能达到熟悉产品的运行，并能进行一般的维护。</w:t>
      </w:r>
    </w:p>
    <w:p w14:paraId="4E8D9866">
      <w:pPr>
        <w:pStyle w:val="5"/>
        <w:spacing w:before="0" w:after="0" w:line="360" w:lineRule="auto"/>
        <w:rPr>
          <w:rFonts w:ascii="宋体" w:hAnsi="宋体" w:eastAsia="宋体" w:cs="黑体"/>
          <w:color w:val="auto"/>
          <w:kern w:val="0"/>
          <w:sz w:val="21"/>
          <w:szCs w:val="28"/>
          <w:highlight w:val="none"/>
        </w:rPr>
      </w:pPr>
      <w:bookmarkStart w:id="1322" w:name="_Toc25534"/>
      <w:bookmarkStart w:id="1323" w:name="_Toc534201533"/>
      <w:bookmarkStart w:id="1324" w:name="_Toc17245"/>
      <w:bookmarkStart w:id="1325" w:name="_Toc26275430"/>
      <w:bookmarkStart w:id="1326" w:name="_Toc57494952"/>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322"/>
      <w:bookmarkEnd w:id="1323"/>
      <w:bookmarkEnd w:id="1324"/>
      <w:bookmarkEnd w:id="1325"/>
      <w:bookmarkEnd w:id="1326"/>
    </w:p>
    <w:p w14:paraId="3641EBB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18FE0F4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在合同设备质量保证期内，如发现卖方提供的合同货物有缺陷，不符合合同规定，卖方应按照买方要求进行修理或更换,同时质量保证期延长1年。</w:t>
      </w:r>
    </w:p>
    <w:p w14:paraId="453C9DC5">
      <w:pPr>
        <w:pStyle w:val="5"/>
        <w:spacing w:before="0" w:after="0" w:line="360" w:lineRule="auto"/>
        <w:rPr>
          <w:rFonts w:ascii="宋体" w:hAnsi="宋体" w:eastAsia="宋体" w:cs="黑体"/>
          <w:color w:val="auto"/>
          <w:kern w:val="0"/>
          <w:sz w:val="21"/>
          <w:szCs w:val="28"/>
          <w:highlight w:val="none"/>
        </w:rPr>
      </w:pPr>
      <w:bookmarkStart w:id="1327" w:name="_Toc534201534"/>
      <w:bookmarkStart w:id="1328" w:name="_Toc24220"/>
      <w:bookmarkStart w:id="1329" w:name="_Toc26275431"/>
      <w:bookmarkStart w:id="1330" w:name="_Toc57494953"/>
      <w:bookmarkStart w:id="1331" w:name="_Toc16697"/>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327"/>
      <w:bookmarkEnd w:id="1328"/>
      <w:bookmarkEnd w:id="1329"/>
      <w:bookmarkEnd w:id="1330"/>
      <w:bookmarkEnd w:id="1331"/>
    </w:p>
    <w:p w14:paraId="178D926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卖方承诺合同设备的使用寿命不少于10年。</w:t>
      </w:r>
    </w:p>
    <w:p w14:paraId="34F2279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11.7.1 如果当前系统所匹配的硬件合同设备停产，卖方保证最新的硬件设备可以确保原有软件的正常运行。如果买方选择另外的硬件设备，卖方保证系统可以正常运行。</w:t>
      </w:r>
    </w:p>
    <w:p w14:paraId="559706F5">
      <w:pPr>
        <w:pStyle w:val="5"/>
        <w:spacing w:before="0" w:after="0" w:line="360" w:lineRule="auto"/>
        <w:rPr>
          <w:rFonts w:ascii="宋体" w:hAnsi="宋体" w:eastAsia="宋体" w:cs="黑体"/>
          <w:color w:val="auto"/>
          <w:kern w:val="0"/>
          <w:sz w:val="21"/>
          <w:szCs w:val="28"/>
          <w:highlight w:val="none"/>
        </w:rPr>
      </w:pPr>
      <w:bookmarkStart w:id="1332" w:name="_Toc57494954"/>
      <w:bookmarkStart w:id="1333" w:name="_Toc28055"/>
      <w:bookmarkStart w:id="1334" w:name="_Toc534201535"/>
      <w:bookmarkStart w:id="1335" w:name="_Toc26275432"/>
      <w:bookmarkStart w:id="1336" w:name="_Toc2594"/>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332"/>
      <w:bookmarkEnd w:id="1333"/>
      <w:bookmarkEnd w:id="1334"/>
      <w:bookmarkEnd w:id="1335"/>
      <w:bookmarkEnd w:id="1336"/>
    </w:p>
    <w:p w14:paraId="79F0142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1C8AE59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50B863E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 卖方更换合同货物的期限：更换应在接到买方通知后的5日内完成。</w:t>
      </w:r>
    </w:p>
    <w:p w14:paraId="4BD3B10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626C600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（1）卖方应支付货物价格</w:t>
      </w:r>
      <w:r>
        <w:rPr>
          <w:rFonts w:ascii="宋体" w:hAnsi="宋体" w:eastAsia="宋体" w:cs="黑体"/>
          <w:color w:val="auto"/>
          <w:kern w:val="0"/>
          <w:szCs w:val="21"/>
          <w:highlight w:val="none"/>
        </w:rPr>
        <w:t>10%的违约金。</w:t>
      </w:r>
    </w:p>
    <w:p w14:paraId="55A9FABB">
      <w:pPr>
        <w:pStyle w:val="4"/>
        <w:jc w:val="center"/>
        <w:rPr>
          <w:rFonts w:ascii="宋体" w:hAnsi="宋体" w:eastAsia="宋体" w:cs="Times New Roman"/>
          <w:color w:val="auto"/>
          <w:kern w:val="0"/>
          <w:sz w:val="28"/>
          <w:highlight w:val="none"/>
        </w:rPr>
      </w:pPr>
      <w:bookmarkStart w:id="1337" w:name="_Toc57494955"/>
      <w:bookmarkStart w:id="1338" w:name="_Toc9480"/>
      <w:bookmarkStart w:id="1339" w:name="_Toc30383"/>
      <w:r>
        <w:rPr>
          <w:rFonts w:hint="eastAsia" w:ascii="宋体" w:hAnsi="宋体" w:eastAsia="宋体" w:cs="Times New Roman"/>
          <w:color w:val="auto"/>
          <w:kern w:val="0"/>
          <w:sz w:val="28"/>
          <w:highlight w:val="none"/>
        </w:rPr>
        <w:t>（三十一）铁附件</w:t>
      </w:r>
      <w:bookmarkEnd w:id="1337"/>
      <w:bookmarkEnd w:id="1338"/>
      <w:bookmarkEnd w:id="1339"/>
    </w:p>
    <w:p w14:paraId="19F5856A">
      <w:pPr>
        <w:pStyle w:val="5"/>
        <w:spacing w:before="0" w:after="0" w:line="360" w:lineRule="auto"/>
        <w:rPr>
          <w:rFonts w:ascii="宋体" w:hAnsi="宋体" w:eastAsia="宋体" w:cs="黑体"/>
          <w:color w:val="auto"/>
          <w:kern w:val="0"/>
          <w:sz w:val="21"/>
          <w:szCs w:val="28"/>
          <w:highlight w:val="none"/>
        </w:rPr>
      </w:pPr>
      <w:bookmarkStart w:id="1340" w:name="_Toc534201537"/>
      <w:bookmarkStart w:id="1341" w:name="_Toc28865"/>
      <w:bookmarkStart w:id="1342" w:name="_Toc26213"/>
      <w:bookmarkStart w:id="1343" w:name="_Toc57494956"/>
      <w:bookmarkStart w:id="1344" w:name="_Toc26275434"/>
      <w:r>
        <w:rPr>
          <w:rFonts w:ascii="宋体" w:hAnsi="宋体" w:eastAsia="宋体" w:cs="黑体"/>
          <w:color w:val="auto"/>
          <w:kern w:val="0"/>
          <w:sz w:val="21"/>
          <w:szCs w:val="28"/>
          <w:highlight w:val="none"/>
        </w:rPr>
        <w:t>3. 合同价格与支付</w:t>
      </w:r>
      <w:bookmarkEnd w:id="1340"/>
      <w:bookmarkEnd w:id="1341"/>
      <w:bookmarkEnd w:id="1342"/>
      <w:bookmarkEnd w:id="1343"/>
      <w:bookmarkEnd w:id="1344"/>
    </w:p>
    <w:p w14:paraId="03E082E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30F548E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4C41FE68">
      <w:pPr>
        <w:pStyle w:val="5"/>
        <w:spacing w:before="0" w:after="0" w:line="360" w:lineRule="auto"/>
        <w:rPr>
          <w:rFonts w:ascii="宋体" w:hAnsi="宋体" w:eastAsia="宋体" w:cs="黑体"/>
          <w:color w:val="auto"/>
          <w:kern w:val="0"/>
          <w:sz w:val="21"/>
          <w:szCs w:val="28"/>
          <w:highlight w:val="none"/>
        </w:rPr>
      </w:pPr>
      <w:bookmarkStart w:id="1345" w:name="_Toc534201538"/>
      <w:bookmarkStart w:id="1346" w:name="_Toc23596"/>
      <w:bookmarkStart w:id="1347" w:name="_Toc57494957"/>
      <w:bookmarkStart w:id="1348" w:name="_Toc21326"/>
      <w:bookmarkStart w:id="1349" w:name="_Toc26275435"/>
      <w:r>
        <w:rPr>
          <w:rFonts w:ascii="宋体" w:hAnsi="宋体" w:eastAsia="宋体" w:cs="黑体"/>
          <w:color w:val="auto"/>
          <w:kern w:val="0"/>
          <w:sz w:val="21"/>
          <w:szCs w:val="28"/>
          <w:highlight w:val="none"/>
        </w:rPr>
        <w:t>4. 监造及交货前检验</w:t>
      </w:r>
      <w:bookmarkEnd w:id="1345"/>
      <w:bookmarkEnd w:id="1346"/>
      <w:bookmarkEnd w:id="1347"/>
      <w:bookmarkEnd w:id="1348"/>
      <w:bookmarkEnd w:id="1349"/>
    </w:p>
    <w:p w14:paraId="4B2E524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2D57763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4.3.3 现场检验：根据情况，必要时买方可能在现场组织有关方，按“产品质量等级及质量指标”重点进行检查，检查出的缺陷，由卖方负责处理。</w:t>
      </w:r>
    </w:p>
    <w:p w14:paraId="5085BFE0">
      <w:pPr>
        <w:pStyle w:val="5"/>
        <w:spacing w:before="0" w:after="0" w:line="360" w:lineRule="auto"/>
        <w:rPr>
          <w:rFonts w:ascii="宋体" w:hAnsi="宋体" w:eastAsia="宋体" w:cs="黑体"/>
          <w:color w:val="auto"/>
          <w:kern w:val="0"/>
          <w:sz w:val="21"/>
          <w:szCs w:val="28"/>
          <w:highlight w:val="none"/>
        </w:rPr>
      </w:pPr>
      <w:bookmarkStart w:id="1350" w:name="_Toc26275436"/>
      <w:bookmarkStart w:id="1351" w:name="_Toc57494958"/>
      <w:bookmarkStart w:id="1352" w:name="_Toc1029"/>
      <w:bookmarkStart w:id="1353" w:name="_Toc534201539"/>
      <w:bookmarkStart w:id="1354" w:name="_Toc32762"/>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350"/>
      <w:bookmarkEnd w:id="1351"/>
      <w:bookmarkEnd w:id="1352"/>
      <w:bookmarkEnd w:id="1353"/>
      <w:bookmarkEnd w:id="1354"/>
    </w:p>
    <w:p w14:paraId="79EBB19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1D8C5E1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不同铁附件的包装</w:t>
      </w:r>
      <w:r>
        <w:rPr>
          <w:rFonts w:hint="eastAsia" w:ascii="宋体" w:hAnsi="宋体" w:eastAsia="宋体" w:cs="黑体"/>
          <w:color w:val="auto"/>
          <w:kern w:val="0"/>
          <w:szCs w:val="21"/>
          <w:highlight w:val="none"/>
        </w:rPr>
        <w:t>还应满足以下</w:t>
      </w:r>
      <w:r>
        <w:rPr>
          <w:rFonts w:ascii="宋体" w:hAnsi="宋体" w:eastAsia="宋体" w:cs="黑体"/>
          <w:color w:val="auto"/>
          <w:kern w:val="0"/>
          <w:szCs w:val="21"/>
          <w:highlight w:val="none"/>
        </w:rPr>
        <w:t>要求：</w:t>
      </w:r>
    </w:p>
    <w:p w14:paraId="4067607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1）角钢类产品一般采用包捆型式包装，单包重量一般不超过4吨，包装长度、捆扎道数应便于吊装、运输。</w:t>
      </w:r>
    </w:p>
    <w:p w14:paraId="1546DA4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2）弯曲角钢、角钢焊接件等不能包捆的，可以用角钢框架或镀锌铁线包装。</w:t>
      </w:r>
    </w:p>
    <w:p w14:paraId="1AA81BD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3）包捆的捆扎可采用角钢框架（螺栓连接）形式或钢带形式，角钢框架、螺栓、钢带应做防腐处理。</w:t>
      </w:r>
    </w:p>
    <w:p w14:paraId="3C9D9B0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4）钢板类包装一般采用螺栓穿入或镀锌铁丝捆扎的方法。</w:t>
      </w:r>
    </w:p>
    <w:p w14:paraId="27F1ACE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5）钢管管体的突出部分，如法兰、节点板等，采用有弹性、牢固的包装物包装。</w:t>
      </w:r>
    </w:p>
    <w:p w14:paraId="6F1C850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6）连接螺栓、脚钉等应单独包装，一般采用铁桶包装。</w:t>
      </w:r>
    </w:p>
    <w:p w14:paraId="5C2B821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7）接地铁及拉线棒等一般采用镀锌铁丝或镀锌钢带捆扎包装。</w:t>
      </w:r>
    </w:p>
    <w:p w14:paraId="3E47E35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8）包装应牢固，保证在运输过程中包捆不松动，所有包装形式均应加设软垫防护，避免构件之间、构件与包装物之间相互磨擦，损坏镀锌层。</w:t>
      </w:r>
    </w:p>
    <w:p w14:paraId="67EB400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 标记</w:t>
      </w:r>
    </w:p>
    <w:p w14:paraId="3B594A6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5.2.1.1 </w:t>
      </w:r>
      <w:r>
        <w:rPr>
          <w:rFonts w:hint="eastAsia" w:ascii="宋体" w:hAnsi="宋体" w:eastAsia="宋体" w:cs="黑体"/>
          <w:color w:val="auto"/>
          <w:kern w:val="0"/>
          <w:szCs w:val="21"/>
          <w:highlight w:val="none"/>
        </w:rPr>
        <w:t>铁附件的</w:t>
      </w:r>
      <w:r>
        <w:rPr>
          <w:rFonts w:ascii="宋体" w:hAnsi="宋体" w:eastAsia="宋体" w:cs="黑体"/>
          <w:color w:val="auto"/>
          <w:kern w:val="0"/>
          <w:szCs w:val="21"/>
          <w:highlight w:val="none"/>
        </w:rPr>
        <w:t>标记</w:t>
      </w:r>
      <w:r>
        <w:rPr>
          <w:rFonts w:hint="eastAsia" w:ascii="宋体" w:hAnsi="宋体" w:eastAsia="宋体" w:cs="黑体"/>
          <w:color w:val="auto"/>
          <w:kern w:val="0"/>
          <w:szCs w:val="21"/>
          <w:highlight w:val="none"/>
        </w:rPr>
        <w:t>还应满足以下要求：</w:t>
      </w:r>
    </w:p>
    <w:p w14:paraId="09EBE1B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1）铁附件标记为钢印，字形排列整齐无残缺，钢印深度根据钢材厚度可在0.5mm～l.0mm以内，焊接部件的钢印不得被覆盖。</w:t>
      </w:r>
    </w:p>
    <w:p w14:paraId="619EAEF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2）所有构件标记“杆型－零件号”等明显的工程标记符号。</w:t>
      </w:r>
    </w:p>
    <w:p w14:paraId="0535AB8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3）全部包装标识标记清楚、正确，以保证安全地到达目的地，特别注意避免产品丢失或包装错误的可能性。</w:t>
      </w:r>
    </w:p>
    <w:p w14:paraId="3F5B13C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4）外包装标记明确标明（但不限于）制造厂商名称、收货单位、项目名称、杆型及到达目的地。</w:t>
      </w:r>
    </w:p>
    <w:p w14:paraId="3BF33B4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5）多捆（箱/包）包装的，应在每捆（箱/包）外包装上注明“共捆（箱/包），第捆（箱/包）”等信息。</w:t>
      </w:r>
    </w:p>
    <w:p w14:paraId="15464DA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1AFBD4E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货物出厂必须同时具备该货物有关的完整的资料，包括：产品质量合格证，设计及加工变更通知单，原材料质量保证书和复检报告，配套螺栓产品合格证，必要的焊缝检验报告。一式五份，一份交给工程监理方，四份交收货单位。</w:t>
      </w:r>
    </w:p>
    <w:p w14:paraId="47E4E78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5.4.1.5 在交货时，由卖方、收货单位点交大件捆数，收货单位应积极配合点收，但不作为最后验收数量。</w:t>
      </w:r>
    </w:p>
    <w:p w14:paraId="25A9C234">
      <w:pPr>
        <w:pStyle w:val="5"/>
        <w:spacing w:before="0" w:after="0" w:line="360" w:lineRule="auto"/>
        <w:rPr>
          <w:rFonts w:ascii="宋体" w:hAnsi="宋体" w:eastAsia="宋体" w:cs="黑体"/>
          <w:color w:val="auto"/>
          <w:kern w:val="0"/>
          <w:sz w:val="21"/>
          <w:szCs w:val="28"/>
          <w:highlight w:val="none"/>
        </w:rPr>
      </w:pPr>
      <w:bookmarkStart w:id="1355" w:name="_Toc534201540"/>
      <w:bookmarkStart w:id="1356" w:name="_Toc18831"/>
      <w:bookmarkStart w:id="1357" w:name="_Toc26275437"/>
      <w:bookmarkStart w:id="1358" w:name="_Toc11326"/>
      <w:bookmarkStart w:id="1359" w:name="_Toc57494959"/>
      <w:r>
        <w:rPr>
          <w:rFonts w:ascii="宋体" w:hAnsi="宋体" w:eastAsia="宋体" w:cs="黑体"/>
          <w:color w:val="auto"/>
          <w:kern w:val="0"/>
          <w:sz w:val="21"/>
          <w:szCs w:val="28"/>
          <w:highlight w:val="none"/>
        </w:rPr>
        <w:t xml:space="preserve">6. </w:t>
      </w:r>
      <w:r>
        <w:rPr>
          <w:rFonts w:hint="eastAsia" w:ascii="宋体" w:hAnsi="宋体" w:eastAsia="宋体" w:cs="黑体"/>
          <w:color w:val="auto"/>
          <w:kern w:val="0"/>
          <w:sz w:val="21"/>
          <w:szCs w:val="28"/>
          <w:highlight w:val="none"/>
        </w:rPr>
        <w:t>开箱检验、安装、调试、考核、验收</w:t>
      </w:r>
      <w:bookmarkEnd w:id="1355"/>
      <w:bookmarkEnd w:id="1356"/>
      <w:bookmarkEnd w:id="1357"/>
      <w:bookmarkEnd w:id="1358"/>
      <w:bookmarkEnd w:id="1359"/>
    </w:p>
    <w:p w14:paraId="1246059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6.1 开箱检验</w:t>
      </w:r>
    </w:p>
    <w:p w14:paraId="1550B9A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6.1.3.1 现场到货验收时，卖方与买方及施工单位协商，按杆塔属性选定下列验收方案：</w:t>
      </w:r>
    </w:p>
    <w:p w14:paraId="410AE56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1）按捆（箱/包）数抽检5-10%，检出短缺件的数量，再除以此百分率，得出应补数量，在与买方及施工单位协商后，卖方按此数量补足。</w:t>
      </w:r>
    </w:p>
    <w:p w14:paraId="38890ED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货物运抵施工现场7日内，由相关单位代表和卖方共同派人按选定的检查方案对货物开捆，进行外观检查及数量清点，并将检查结果填报验收单后送交买方。如发现货物包装数量与清单不符，双方应立即在验收单上注明，且由卖方在双方确认之日起7日内免费补供到现场。检查验收之后，如再发现数量短缺或损坏，卖方不承担相关责任。</w:t>
      </w:r>
    </w:p>
    <w:p w14:paraId="38577A4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5A915FC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6.2.1.5 安装检验：结构件安装过程中接受品质检验，卖方应配合安装、派出必要技术服务人员，如发现加工工艺、质量与合同不符，卖方应立即采取措施，消除缺陷或进行更换。合同货物的本体或任何组件如有缺陷卖方必须及时处理，否则买方有权拒收。</w:t>
      </w:r>
    </w:p>
    <w:p w14:paraId="701EC975">
      <w:pPr>
        <w:pStyle w:val="5"/>
        <w:spacing w:before="0" w:after="0" w:line="360" w:lineRule="auto"/>
        <w:rPr>
          <w:rFonts w:ascii="宋体" w:hAnsi="宋体" w:eastAsia="宋体" w:cs="黑体"/>
          <w:color w:val="auto"/>
          <w:kern w:val="0"/>
          <w:sz w:val="21"/>
          <w:szCs w:val="28"/>
          <w:highlight w:val="none"/>
        </w:rPr>
      </w:pPr>
      <w:bookmarkStart w:id="1360" w:name="_Toc22592"/>
      <w:bookmarkStart w:id="1361" w:name="_Toc534201541"/>
      <w:bookmarkStart w:id="1362" w:name="_Toc25190"/>
      <w:bookmarkStart w:id="1363" w:name="_Toc57494960"/>
      <w:bookmarkStart w:id="1364" w:name="_Toc26275438"/>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360"/>
      <w:bookmarkEnd w:id="1361"/>
      <w:bookmarkEnd w:id="1362"/>
      <w:bookmarkEnd w:id="1363"/>
      <w:bookmarkEnd w:id="1364"/>
    </w:p>
    <w:p w14:paraId="6AAA7F7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3E0ADAB0">
      <w:pPr>
        <w:pStyle w:val="5"/>
        <w:spacing w:before="0" w:after="0" w:line="360" w:lineRule="auto"/>
        <w:rPr>
          <w:rFonts w:ascii="宋体" w:hAnsi="宋体" w:eastAsia="宋体" w:cs="黑体"/>
          <w:color w:val="auto"/>
          <w:kern w:val="0"/>
          <w:sz w:val="21"/>
          <w:szCs w:val="28"/>
          <w:highlight w:val="none"/>
        </w:rPr>
      </w:pPr>
      <w:bookmarkStart w:id="1365" w:name="_Toc22946"/>
      <w:bookmarkStart w:id="1366" w:name="_Toc2702"/>
      <w:bookmarkStart w:id="1367" w:name="_Toc57494961"/>
      <w:bookmarkStart w:id="1368" w:name="_Toc26275439"/>
      <w:bookmarkStart w:id="1369" w:name="_Toc534201542"/>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365"/>
      <w:bookmarkEnd w:id="1366"/>
      <w:bookmarkEnd w:id="1367"/>
      <w:bookmarkEnd w:id="1368"/>
      <w:bookmarkEnd w:id="1369"/>
    </w:p>
    <w:p w14:paraId="572C898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卖方承诺800kV以上的合同设备的使用寿命不少于50年。</w:t>
      </w:r>
    </w:p>
    <w:p w14:paraId="4902B19B">
      <w:pPr>
        <w:pStyle w:val="4"/>
        <w:jc w:val="center"/>
        <w:rPr>
          <w:rFonts w:ascii="宋体" w:hAnsi="宋体" w:eastAsia="宋体" w:cs="Times New Roman"/>
          <w:color w:val="auto"/>
          <w:kern w:val="0"/>
          <w:sz w:val="28"/>
          <w:highlight w:val="none"/>
        </w:rPr>
      </w:pPr>
      <w:bookmarkStart w:id="1370" w:name="_Toc13943"/>
      <w:bookmarkStart w:id="1371" w:name="_Toc29761"/>
      <w:bookmarkStart w:id="1372" w:name="_Toc57494962"/>
      <w:r>
        <w:rPr>
          <w:rFonts w:hint="eastAsia" w:ascii="宋体" w:hAnsi="宋体" w:eastAsia="宋体" w:cs="Times New Roman"/>
          <w:color w:val="auto"/>
          <w:kern w:val="0"/>
          <w:sz w:val="28"/>
          <w:highlight w:val="none"/>
        </w:rPr>
        <w:t>（三十二）金具</w:t>
      </w:r>
      <w:bookmarkEnd w:id="1370"/>
      <w:bookmarkEnd w:id="1371"/>
      <w:bookmarkEnd w:id="1372"/>
    </w:p>
    <w:p w14:paraId="5770ED9E">
      <w:pPr>
        <w:pStyle w:val="5"/>
        <w:spacing w:before="0" w:after="0" w:line="360" w:lineRule="auto"/>
        <w:rPr>
          <w:rFonts w:ascii="宋体" w:hAnsi="宋体" w:eastAsia="宋体" w:cs="黑体"/>
          <w:color w:val="auto"/>
          <w:kern w:val="0"/>
          <w:sz w:val="21"/>
          <w:szCs w:val="28"/>
          <w:highlight w:val="none"/>
        </w:rPr>
      </w:pPr>
      <w:bookmarkStart w:id="1373" w:name="_Toc26275441"/>
      <w:bookmarkStart w:id="1374" w:name="_Toc31518"/>
      <w:bookmarkStart w:id="1375" w:name="_Toc57494963"/>
      <w:bookmarkStart w:id="1376" w:name="_Toc534201544"/>
      <w:bookmarkStart w:id="1377" w:name="_Toc4208"/>
      <w:r>
        <w:rPr>
          <w:rFonts w:ascii="宋体" w:hAnsi="宋体" w:eastAsia="宋体" w:cs="黑体"/>
          <w:color w:val="auto"/>
          <w:kern w:val="0"/>
          <w:sz w:val="21"/>
          <w:szCs w:val="28"/>
          <w:highlight w:val="none"/>
        </w:rPr>
        <w:t>3. 合同价格与支付</w:t>
      </w:r>
      <w:bookmarkEnd w:id="1373"/>
      <w:bookmarkEnd w:id="1374"/>
      <w:bookmarkEnd w:id="1375"/>
      <w:bookmarkEnd w:id="1376"/>
      <w:bookmarkEnd w:id="1377"/>
    </w:p>
    <w:p w14:paraId="4952F4E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10C5B28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20974024">
      <w:pPr>
        <w:pStyle w:val="5"/>
        <w:spacing w:before="0" w:after="0" w:line="360" w:lineRule="auto"/>
        <w:rPr>
          <w:rFonts w:ascii="宋体" w:hAnsi="宋体" w:eastAsia="宋体" w:cs="黑体"/>
          <w:color w:val="auto"/>
          <w:kern w:val="0"/>
          <w:sz w:val="21"/>
          <w:szCs w:val="28"/>
          <w:highlight w:val="none"/>
        </w:rPr>
      </w:pPr>
      <w:bookmarkStart w:id="1378" w:name="_Toc26275442"/>
      <w:bookmarkStart w:id="1379" w:name="_Toc57494964"/>
      <w:bookmarkStart w:id="1380" w:name="_Toc6988"/>
      <w:bookmarkStart w:id="1381" w:name="_Toc14040"/>
      <w:bookmarkStart w:id="1382" w:name="_Toc534201545"/>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378"/>
      <w:bookmarkEnd w:id="1379"/>
      <w:bookmarkEnd w:id="1380"/>
      <w:bookmarkEnd w:id="1381"/>
      <w:bookmarkEnd w:id="1382"/>
    </w:p>
    <w:p w14:paraId="53EBC8E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2865079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货物包装要求按同型号的产品分类包装，必须满足各类电力金具产品包装技术要求，被包装的产品、零部件、随机工具、备品备件齐全，符合数量要求，在包装箱内有明确的定位，方法、位置恰当。</w:t>
      </w:r>
    </w:p>
    <w:p w14:paraId="3427125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5.1.2.1 包装物内要求技术文件和产品清单齐全，明确产品名称、型号、数量、时间、生产人员及检验人员，以便交货时买方清点数量。</w:t>
      </w:r>
    </w:p>
    <w:p w14:paraId="5ED1AD2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 标记</w:t>
      </w:r>
    </w:p>
    <w:p w14:paraId="3A04235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5.2.1.1 包装物上应标明制造厂名称、产品名称、型号、数量、质量。</w:t>
      </w:r>
    </w:p>
    <w:p w14:paraId="7CE3C0F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4F1BECE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货物出厂必须同时具备该货物有关的完整的资料，包括：产品质量合格证，设计及加工变更通知单，原材料质量保证书和复检报告，配套螺栓产品合格证，必要的焊缝检验报告。一式五份，一份交给工程监理方，四份交收货单位。</w:t>
      </w:r>
    </w:p>
    <w:p w14:paraId="424E0AD8">
      <w:pPr>
        <w:pStyle w:val="5"/>
        <w:spacing w:before="0" w:after="0" w:line="360" w:lineRule="auto"/>
        <w:rPr>
          <w:rFonts w:ascii="宋体" w:hAnsi="宋体" w:eastAsia="宋体" w:cs="黑体"/>
          <w:color w:val="auto"/>
          <w:kern w:val="0"/>
          <w:sz w:val="21"/>
          <w:szCs w:val="28"/>
          <w:highlight w:val="none"/>
        </w:rPr>
      </w:pPr>
      <w:bookmarkStart w:id="1383" w:name="_Toc12710"/>
      <w:bookmarkStart w:id="1384" w:name="_Toc26275443"/>
      <w:bookmarkStart w:id="1385" w:name="_Toc57494965"/>
      <w:bookmarkStart w:id="1386" w:name="_Toc32345"/>
      <w:bookmarkStart w:id="1387" w:name="_Toc534201546"/>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383"/>
      <w:bookmarkEnd w:id="1384"/>
      <w:bookmarkEnd w:id="1385"/>
      <w:bookmarkEnd w:id="1386"/>
      <w:bookmarkEnd w:id="1387"/>
    </w:p>
    <w:p w14:paraId="51B349C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31156CE2">
      <w:pPr>
        <w:pStyle w:val="5"/>
        <w:spacing w:before="0" w:after="0" w:line="360" w:lineRule="auto"/>
        <w:rPr>
          <w:rFonts w:ascii="宋体" w:hAnsi="宋体" w:eastAsia="宋体" w:cs="黑体"/>
          <w:color w:val="auto"/>
          <w:kern w:val="0"/>
          <w:sz w:val="21"/>
          <w:szCs w:val="28"/>
          <w:highlight w:val="none"/>
        </w:rPr>
      </w:pPr>
      <w:bookmarkStart w:id="1388" w:name="_Toc26275444"/>
      <w:bookmarkStart w:id="1389" w:name="_Toc57494966"/>
      <w:bookmarkStart w:id="1390" w:name="_Toc2647"/>
      <w:bookmarkStart w:id="1391" w:name="_Toc12441"/>
      <w:bookmarkStart w:id="1392" w:name="_Toc534201547"/>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388"/>
      <w:bookmarkEnd w:id="1389"/>
      <w:bookmarkEnd w:id="1390"/>
      <w:bookmarkEnd w:id="1391"/>
      <w:bookmarkEnd w:id="1392"/>
    </w:p>
    <w:p w14:paraId="6AED25E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卖方承诺800kV以上的合同设备的使用寿命不少于50年。</w:t>
      </w:r>
    </w:p>
    <w:p w14:paraId="052B24F8">
      <w:pPr>
        <w:pStyle w:val="5"/>
        <w:spacing w:before="0" w:after="0" w:line="360" w:lineRule="auto"/>
        <w:rPr>
          <w:rFonts w:ascii="宋体" w:hAnsi="宋体" w:eastAsia="宋体" w:cs="黑体"/>
          <w:color w:val="auto"/>
          <w:kern w:val="0"/>
          <w:sz w:val="21"/>
          <w:szCs w:val="28"/>
          <w:highlight w:val="none"/>
        </w:rPr>
      </w:pPr>
      <w:bookmarkStart w:id="1393" w:name="_Toc5312"/>
      <w:bookmarkStart w:id="1394" w:name="_Toc534201548"/>
      <w:bookmarkStart w:id="1395" w:name="_Toc57494967"/>
      <w:bookmarkStart w:id="1396" w:name="_Toc27572"/>
      <w:bookmarkStart w:id="1397" w:name="_Toc26275445"/>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393"/>
      <w:bookmarkEnd w:id="1394"/>
      <w:bookmarkEnd w:id="1395"/>
      <w:bookmarkEnd w:id="1396"/>
      <w:bookmarkEnd w:id="1397"/>
    </w:p>
    <w:p w14:paraId="45AFCE2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 xml:space="preserve">基本规定 </w:t>
      </w:r>
    </w:p>
    <w:p w14:paraId="714F982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1E581A0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w:t>
      </w:r>
      <w:r>
        <w:rPr>
          <w:rFonts w:hint="eastAsia" w:ascii="宋体" w:hAnsi="宋体" w:eastAsia="宋体" w:cs="黑体"/>
          <w:color w:val="auto"/>
          <w:kern w:val="0"/>
          <w:szCs w:val="21"/>
          <w:highlight w:val="none"/>
        </w:rPr>
        <w:t xml:space="preserve"> </w:t>
      </w:r>
      <w:r>
        <w:rPr>
          <w:rFonts w:ascii="宋体" w:hAnsi="宋体" w:eastAsia="宋体" w:cs="黑体"/>
          <w:color w:val="auto"/>
          <w:kern w:val="0"/>
          <w:szCs w:val="21"/>
          <w:highlight w:val="none"/>
        </w:rPr>
        <w:t>对由于设计、制造、运输和材料的缺陷等原因而造成的任何设备损坏、缺陷或故障，卖方在收到买方书面通知后，应在10日内免费修理或更换。</w:t>
      </w:r>
    </w:p>
    <w:p w14:paraId="47655841">
      <w:pPr>
        <w:pStyle w:val="4"/>
        <w:jc w:val="center"/>
        <w:rPr>
          <w:rFonts w:ascii="宋体" w:hAnsi="宋体" w:eastAsia="宋体" w:cs="Times New Roman"/>
          <w:color w:val="auto"/>
          <w:kern w:val="0"/>
          <w:sz w:val="28"/>
          <w:highlight w:val="none"/>
        </w:rPr>
      </w:pPr>
      <w:bookmarkStart w:id="1398" w:name="_Toc30730"/>
      <w:bookmarkStart w:id="1399" w:name="_Toc2366"/>
      <w:bookmarkStart w:id="1400" w:name="_Toc57494968"/>
      <w:r>
        <w:rPr>
          <w:rFonts w:hint="eastAsia" w:ascii="宋体" w:hAnsi="宋体" w:eastAsia="宋体" w:cs="Times New Roman"/>
          <w:color w:val="auto"/>
          <w:kern w:val="0"/>
          <w:sz w:val="28"/>
          <w:highlight w:val="none"/>
        </w:rPr>
        <w:t>（三十三）杆塔</w:t>
      </w:r>
      <w:bookmarkEnd w:id="1398"/>
      <w:bookmarkEnd w:id="1399"/>
      <w:bookmarkEnd w:id="1400"/>
    </w:p>
    <w:p w14:paraId="1744E726">
      <w:pPr>
        <w:pStyle w:val="5"/>
        <w:spacing w:before="0" w:after="0" w:line="360" w:lineRule="auto"/>
        <w:rPr>
          <w:rFonts w:ascii="宋体" w:hAnsi="宋体" w:eastAsia="宋体" w:cs="黑体"/>
          <w:color w:val="auto"/>
          <w:kern w:val="0"/>
          <w:sz w:val="21"/>
          <w:szCs w:val="28"/>
          <w:highlight w:val="none"/>
        </w:rPr>
      </w:pPr>
      <w:bookmarkStart w:id="1401" w:name="_Toc8178"/>
      <w:bookmarkStart w:id="1402" w:name="_Toc23964"/>
      <w:bookmarkStart w:id="1403" w:name="_Toc26275447"/>
      <w:bookmarkStart w:id="1404" w:name="_Toc57494969"/>
      <w:bookmarkStart w:id="1405" w:name="_Toc534201550"/>
      <w:bookmarkStart w:id="1406" w:name="_Hlk28533565"/>
      <w:r>
        <w:rPr>
          <w:rFonts w:ascii="宋体" w:hAnsi="宋体" w:eastAsia="宋体" w:cs="黑体"/>
          <w:color w:val="auto"/>
          <w:kern w:val="0"/>
          <w:sz w:val="21"/>
          <w:szCs w:val="28"/>
          <w:highlight w:val="none"/>
        </w:rPr>
        <w:t>2. 合同范围</w:t>
      </w:r>
      <w:bookmarkEnd w:id="1401"/>
      <w:bookmarkEnd w:id="1402"/>
      <w:bookmarkEnd w:id="1403"/>
      <w:bookmarkEnd w:id="1404"/>
      <w:bookmarkEnd w:id="1405"/>
    </w:p>
    <w:p w14:paraId="785B75B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产品质量还应当满足以下要求：</w:t>
      </w:r>
    </w:p>
    <w:p w14:paraId="4C15287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1）产品加工质量应达到一等品（SDZ025-87输电线路铁塔质量分等标准）。在此基础上，满足《110～500kV架空电力线路工程施工质量及评定规程》（DL/T5168-2002）的要求。</w:t>
      </w:r>
    </w:p>
    <w:p w14:paraId="7F39263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2）铁塔材料尺寸负偏差不超过国家标准规定的0.5倍。且抽检产品材料尺寸存在负偏差的比例不得高于所有抽检产品数量的50%。直流杆塔和塔材不允许有负偏差。</w:t>
      </w:r>
      <w:r>
        <w:rPr>
          <w:rFonts w:hint="eastAsia" w:ascii="宋体" w:hAnsi="宋体" w:eastAsia="宋体" w:cs="黑体"/>
          <w:color w:val="auto"/>
          <w:kern w:val="0"/>
          <w:szCs w:val="21"/>
          <w:highlight w:val="none"/>
        </w:rPr>
        <w:t>结算时，以符合要求的实际重量，进行结算。</w:t>
      </w:r>
    </w:p>
    <w:p w14:paraId="05FE6E7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3）钢结构加工依据设计施工图（包括设计修改及变更文件）及相应的标准。</w:t>
      </w:r>
    </w:p>
    <w:p w14:paraId="12616CCF">
      <w:pPr>
        <w:pStyle w:val="5"/>
        <w:spacing w:before="0" w:after="0" w:line="360" w:lineRule="auto"/>
        <w:rPr>
          <w:rFonts w:ascii="宋体" w:hAnsi="宋体" w:eastAsia="宋体" w:cs="黑体"/>
          <w:color w:val="auto"/>
          <w:kern w:val="0"/>
          <w:sz w:val="21"/>
          <w:szCs w:val="28"/>
          <w:highlight w:val="none"/>
        </w:rPr>
      </w:pPr>
      <w:bookmarkStart w:id="1407" w:name="_Toc26275448"/>
      <w:bookmarkStart w:id="1408" w:name="_Toc534201551"/>
      <w:bookmarkStart w:id="1409" w:name="_Toc647"/>
      <w:bookmarkStart w:id="1410" w:name="_Toc57494970"/>
      <w:bookmarkStart w:id="1411" w:name="_Toc12624"/>
      <w:r>
        <w:rPr>
          <w:rFonts w:ascii="宋体" w:hAnsi="宋体" w:eastAsia="宋体" w:cs="黑体"/>
          <w:color w:val="auto"/>
          <w:kern w:val="0"/>
          <w:sz w:val="21"/>
          <w:szCs w:val="28"/>
          <w:highlight w:val="none"/>
        </w:rPr>
        <w:t>3. 合同价格与支付</w:t>
      </w:r>
      <w:bookmarkEnd w:id="1407"/>
      <w:bookmarkEnd w:id="1408"/>
      <w:bookmarkEnd w:id="1409"/>
      <w:bookmarkEnd w:id="1410"/>
      <w:bookmarkEnd w:id="1411"/>
    </w:p>
    <w:p w14:paraId="4F3F817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5AD23B7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w:t>
      </w:r>
      <w:r>
        <w:rPr>
          <w:rFonts w:hint="eastAsia" w:ascii="宋体" w:hAnsi="宋体" w:eastAsia="宋体" w:cs="黑体"/>
          <w:strike w:val="0"/>
          <w:color w:val="auto"/>
          <w:kern w:val="0"/>
          <w:szCs w:val="21"/>
          <w:highlight w:val="none"/>
        </w:rPr>
        <w:t>直流杆塔的支付比例为</w:t>
      </w:r>
      <w:r>
        <w:rPr>
          <w:rFonts w:ascii="宋体" w:hAnsi="宋体" w:eastAsia="宋体" w:cs="黑体"/>
          <w:strike w:val="0"/>
          <w:color w:val="auto"/>
          <w:kern w:val="0"/>
          <w:szCs w:val="21"/>
          <w:highlight w:val="none"/>
        </w:rPr>
        <w:t>1:3:5.5:0.5</w:t>
      </w:r>
      <w:r>
        <w:rPr>
          <w:rFonts w:hint="eastAsia" w:ascii="宋体" w:hAnsi="宋体" w:eastAsia="宋体" w:cs="黑体"/>
          <w:strike w:val="0"/>
          <w:color w:val="auto"/>
          <w:kern w:val="0"/>
          <w:szCs w:val="21"/>
          <w:highlight w:val="none"/>
        </w:rPr>
        <w:t>；</w:t>
      </w:r>
      <w:r>
        <w:rPr>
          <w:rFonts w:ascii="宋体" w:hAnsi="宋体" w:eastAsia="宋体" w:cs="黑体"/>
          <w:strike w:val="0"/>
          <w:color w:val="auto"/>
          <w:kern w:val="0"/>
          <w:szCs w:val="21"/>
          <w:highlight w:val="none"/>
        </w:rPr>
        <w:t>35kV</w:t>
      </w:r>
      <w:r>
        <w:rPr>
          <w:rFonts w:hint="eastAsia" w:ascii="宋体" w:hAnsi="宋体" w:eastAsia="宋体" w:cs="黑体"/>
          <w:strike w:val="0"/>
          <w:color w:val="auto"/>
          <w:kern w:val="0"/>
          <w:szCs w:val="21"/>
          <w:highlight w:val="none"/>
          <w:lang w:val="en-US" w:eastAsia="zh-CN"/>
        </w:rPr>
        <w:t>及</w:t>
      </w:r>
      <w:r>
        <w:rPr>
          <w:rFonts w:ascii="宋体" w:hAnsi="宋体" w:eastAsia="宋体" w:cs="黑体"/>
          <w:strike w:val="0"/>
          <w:color w:val="auto"/>
          <w:kern w:val="0"/>
          <w:szCs w:val="21"/>
          <w:highlight w:val="none"/>
        </w:rPr>
        <w:t>以上杆塔</w:t>
      </w:r>
      <w:r>
        <w:rPr>
          <w:rFonts w:ascii="宋体" w:hAnsi="宋体" w:eastAsia="宋体" w:cs="黑体"/>
          <w:color w:val="auto"/>
          <w:kern w:val="0"/>
          <w:szCs w:val="21"/>
          <w:highlight w:val="none"/>
        </w:rPr>
        <w:t>支付比例为1:2:6.5:0.5</w:t>
      </w:r>
      <w:r>
        <w:rPr>
          <w:rFonts w:ascii="宋体" w:hAnsi="宋体" w:eastAsia="宋体" w:cs="黑体"/>
          <w:strike w:val="0"/>
          <w:color w:val="auto"/>
          <w:kern w:val="0"/>
          <w:szCs w:val="21"/>
          <w:highlight w:val="none"/>
        </w:rPr>
        <w:t>；35kV以下杆塔支付比例为1:0:</w:t>
      </w:r>
      <w:r>
        <w:rPr>
          <w:rFonts w:hint="eastAsia" w:ascii="宋体" w:hAnsi="宋体" w:eastAsia="宋体" w:cs="黑体"/>
          <w:strike w:val="0"/>
          <w:color w:val="auto"/>
          <w:kern w:val="0"/>
          <w:szCs w:val="21"/>
          <w:highlight w:val="none"/>
          <w:lang w:val="en-US" w:eastAsia="zh-CN"/>
        </w:rPr>
        <w:t>8.5</w:t>
      </w:r>
      <w:r>
        <w:rPr>
          <w:rFonts w:ascii="宋体" w:hAnsi="宋体" w:eastAsia="宋体" w:cs="黑体"/>
          <w:strike w:val="0"/>
          <w:color w:val="auto"/>
          <w:kern w:val="0"/>
          <w:szCs w:val="21"/>
          <w:highlight w:val="none"/>
        </w:rPr>
        <w:t>:</w:t>
      </w:r>
      <w:r>
        <w:rPr>
          <w:rFonts w:hint="eastAsia" w:ascii="宋体" w:hAnsi="宋体" w:eastAsia="宋体" w:cs="黑体"/>
          <w:strike w:val="0"/>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卖方为中小企业的，直流杆塔的支付比例为2:3:4.5:0.5，35kV及以上杆塔支付比例为2:2:5.5:0.5，35kV以下杆塔支付比例为2:0:7.5:0.5。</w:t>
      </w:r>
    </w:p>
    <w:p w14:paraId="463F357F">
      <w:pPr>
        <w:pStyle w:val="5"/>
        <w:spacing w:before="0" w:after="0" w:line="360" w:lineRule="auto"/>
        <w:rPr>
          <w:rFonts w:ascii="宋体" w:hAnsi="宋体" w:eastAsia="宋体" w:cs="黑体"/>
          <w:color w:val="auto"/>
          <w:kern w:val="0"/>
          <w:sz w:val="21"/>
          <w:szCs w:val="28"/>
          <w:highlight w:val="none"/>
        </w:rPr>
      </w:pPr>
      <w:bookmarkStart w:id="1412" w:name="_Toc21113"/>
      <w:bookmarkStart w:id="1413" w:name="_Toc534201552"/>
      <w:bookmarkStart w:id="1414" w:name="_Toc26275449"/>
      <w:bookmarkStart w:id="1415" w:name="_Toc57494971"/>
      <w:bookmarkStart w:id="1416" w:name="_Toc18199"/>
      <w:r>
        <w:rPr>
          <w:rFonts w:ascii="宋体" w:hAnsi="宋体" w:eastAsia="宋体" w:cs="黑体"/>
          <w:color w:val="auto"/>
          <w:kern w:val="0"/>
          <w:sz w:val="21"/>
          <w:szCs w:val="28"/>
          <w:highlight w:val="none"/>
        </w:rPr>
        <w:t>4. 监造及交货前检验</w:t>
      </w:r>
      <w:bookmarkEnd w:id="1412"/>
      <w:bookmarkEnd w:id="1413"/>
      <w:bookmarkEnd w:id="1414"/>
      <w:bookmarkEnd w:id="1415"/>
      <w:bookmarkEnd w:id="1416"/>
    </w:p>
    <w:p w14:paraId="4850BDA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288EEFB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4.1.2.1 </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的其他权利还包括：</w:t>
      </w:r>
    </w:p>
    <w:p w14:paraId="6CAE369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1）买方派出监造代表，了解加工工艺、加工过程的质量控制、加工进度，并参加检验及试验等。买方将根据实际情况，必要时派人到卖方进行协调及检查。</w:t>
      </w:r>
    </w:p>
    <w:p w14:paraId="2F0C42C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2）买方的代表自始至终应有权进入制造产品的工厂和地方,卖方应向买方代表提供充分的方便,以使其不受限制地检查卖方所必须进行的试验和在生产过程中进行质量监造。</w:t>
      </w:r>
    </w:p>
    <w:p w14:paraId="5AD13F8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原材料管理</w:t>
      </w:r>
    </w:p>
    <w:p w14:paraId="5826BF7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卖方对所提供的钢材、防盗螺丝、扣紧螺母的材质负责，全部具备合格的材质证明。卖方对所有成品的原材料的材质负责。成品出厂前，必须具有完整的产品质量证明和卖方复核资料。</w:t>
      </w:r>
    </w:p>
    <w:p w14:paraId="00EF882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4.1.3.1 卖方应在合同签订后两周内，以书面形式向</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提供一份详细的合同设备生产进度计划表，以便进行工厂监造。</w:t>
      </w:r>
    </w:p>
    <w:p w14:paraId="12E6014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实际生产进度应尽量与计划相符，如有偏差应在实际生产行为发生</w:t>
      </w:r>
      <w:r>
        <w:rPr>
          <w:rFonts w:ascii="宋体" w:hAnsi="宋体" w:eastAsia="宋体" w:cs="黑体"/>
          <w:color w:val="auto"/>
          <w:kern w:val="0"/>
          <w:szCs w:val="21"/>
          <w:highlight w:val="none"/>
        </w:rPr>
        <w:t>1周前，以书面形式通知监造代表。</w:t>
      </w:r>
    </w:p>
    <w:p w14:paraId="4BA2AAA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卖方需提供由</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签署的监造与检验记录和试验报告。</w:t>
      </w:r>
    </w:p>
    <w:p w14:paraId="7B2BC23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4.1.8 卖方应在</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见证的情况下进行出厂1%抽检试验，买方不因此而发生任何费用。</w:t>
      </w:r>
    </w:p>
    <w:p w14:paraId="6B7A9EC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4.1.12 对于每种产品，在放样试制后，进行单基试组装，经买方认可或者组织设计、监理、施工单位检查验收后方可投入批量生产。</w:t>
      </w:r>
    </w:p>
    <w:p w14:paraId="2CCC79D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工厂每加工完成并交验一批产品时，买方将根据情况，重点组织各有关单位到厂按“产品质量等级及质量指标”集中进行全面检查，或者责成施工单位代表作例行检查，然后做出判定。</w:t>
      </w:r>
    </w:p>
    <w:p w14:paraId="18F9EB4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卖方所加工的各批成品须经报验、检查、判定，以便最终评定。</w:t>
      </w:r>
    </w:p>
    <w:p w14:paraId="231892B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4FC5FE4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4.3.2 各类抽样检验方案如下：</w:t>
      </w:r>
      <w:r>
        <w:rPr>
          <w:rFonts w:hint="eastAsia" w:ascii="宋体" w:hAnsi="宋体" w:eastAsia="宋体" w:cs="黑体"/>
          <w:color w:val="auto"/>
          <w:kern w:val="0"/>
          <w:szCs w:val="21"/>
          <w:highlight w:val="none"/>
        </w:rPr>
        <w:t xml:space="preserve"> </w:t>
      </w:r>
    </w:p>
    <w:p w14:paraId="4359C114">
      <w:pPr>
        <w:jc w:val="center"/>
        <w:rPr>
          <w:rFonts w:ascii="宋体" w:hAnsi="宋体" w:eastAsia="宋体"/>
          <w:color w:val="auto"/>
          <w:szCs w:val="21"/>
          <w:highlight w:val="none"/>
        </w:rPr>
      </w:pPr>
      <w:r>
        <w:rPr>
          <w:rFonts w:hint="eastAsia" w:ascii="宋体" w:hAnsi="宋体" w:eastAsia="宋体"/>
          <w:b/>
          <w:color w:val="auto"/>
          <w:szCs w:val="21"/>
          <w:highlight w:val="none"/>
        </w:rPr>
        <w:t>表</w:t>
      </w:r>
      <w:r>
        <w:rPr>
          <w:rFonts w:ascii="宋体" w:hAnsi="宋体" w:eastAsia="宋体"/>
          <w:b/>
          <w:color w:val="auto"/>
          <w:szCs w:val="21"/>
          <w:highlight w:val="none"/>
        </w:rPr>
        <w:t>1</w:t>
      </w:r>
      <w:r>
        <w:rPr>
          <w:rFonts w:hint="eastAsia" w:ascii="宋体" w:hAnsi="宋体" w:eastAsia="宋体"/>
          <w:b/>
          <w:color w:val="auto"/>
          <w:szCs w:val="21"/>
          <w:highlight w:val="none"/>
        </w:rPr>
        <w:t>：零部件尺寸抽样方案（角钢）</w:t>
      </w:r>
      <w:r>
        <w:rPr>
          <w:rFonts w:hint="eastAsia" w:ascii="宋体" w:hAnsi="宋体" w:eastAsia="宋体"/>
          <w:color w:val="auto"/>
          <w:szCs w:val="21"/>
          <w:highlight w:val="none"/>
        </w:rPr>
        <w:t>（单位：件）</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1134"/>
        <w:gridCol w:w="850"/>
        <w:gridCol w:w="1134"/>
        <w:gridCol w:w="992"/>
        <w:gridCol w:w="1418"/>
        <w:gridCol w:w="1134"/>
      </w:tblGrid>
      <w:tr w14:paraId="493D0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555" w:type="dxa"/>
            <w:vMerge w:val="restart"/>
            <w:noWrap w:val="0"/>
            <w:vAlign w:val="center"/>
          </w:tcPr>
          <w:p w14:paraId="55C59E04">
            <w:pPr>
              <w:jc w:val="center"/>
              <w:rPr>
                <w:rFonts w:ascii="宋体" w:hAnsi="宋体" w:eastAsia="宋体"/>
                <w:color w:val="auto"/>
                <w:szCs w:val="21"/>
                <w:highlight w:val="none"/>
              </w:rPr>
            </w:pPr>
            <w:r>
              <w:rPr>
                <w:rFonts w:hint="eastAsia" w:ascii="宋体" w:hAnsi="宋体" w:eastAsia="宋体"/>
                <w:color w:val="auto"/>
                <w:szCs w:val="21"/>
                <w:highlight w:val="none"/>
              </w:rPr>
              <w:t>批量范围</w:t>
            </w:r>
          </w:p>
        </w:tc>
        <w:tc>
          <w:tcPr>
            <w:tcW w:w="1134" w:type="dxa"/>
            <w:vMerge w:val="restart"/>
            <w:noWrap w:val="0"/>
            <w:vAlign w:val="center"/>
          </w:tcPr>
          <w:p w14:paraId="375319C3">
            <w:pPr>
              <w:jc w:val="center"/>
              <w:rPr>
                <w:rFonts w:ascii="宋体" w:hAnsi="宋体" w:eastAsia="宋体"/>
                <w:color w:val="auto"/>
                <w:szCs w:val="21"/>
                <w:highlight w:val="none"/>
              </w:rPr>
            </w:pPr>
            <w:r>
              <w:rPr>
                <w:rFonts w:hint="eastAsia" w:ascii="宋体" w:hAnsi="宋体" w:eastAsia="宋体"/>
                <w:color w:val="auto"/>
                <w:szCs w:val="21"/>
                <w:highlight w:val="none"/>
              </w:rPr>
              <w:t>样本大小</w:t>
            </w:r>
          </w:p>
        </w:tc>
        <w:tc>
          <w:tcPr>
            <w:tcW w:w="5528" w:type="dxa"/>
            <w:gridSpan w:val="5"/>
            <w:noWrap w:val="0"/>
            <w:vAlign w:val="center"/>
          </w:tcPr>
          <w:p w14:paraId="4DBE7C3C">
            <w:pPr>
              <w:jc w:val="center"/>
              <w:rPr>
                <w:rFonts w:ascii="宋体" w:hAnsi="宋体" w:eastAsia="宋体"/>
                <w:color w:val="auto"/>
                <w:szCs w:val="21"/>
                <w:highlight w:val="none"/>
              </w:rPr>
            </w:pPr>
            <w:r>
              <w:rPr>
                <w:rFonts w:hint="eastAsia" w:ascii="宋体" w:hAnsi="宋体" w:eastAsia="宋体"/>
                <w:color w:val="auto"/>
                <w:szCs w:val="21"/>
                <w:highlight w:val="none"/>
              </w:rPr>
              <w:t>样本内应有</w:t>
            </w:r>
          </w:p>
        </w:tc>
      </w:tr>
      <w:tr w14:paraId="18945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555" w:type="dxa"/>
            <w:vMerge w:val="continue"/>
            <w:noWrap w:val="0"/>
            <w:vAlign w:val="center"/>
          </w:tcPr>
          <w:p w14:paraId="25FC9EB8">
            <w:pPr>
              <w:ind w:firstLine="315" w:firstLineChars="150"/>
              <w:jc w:val="center"/>
              <w:rPr>
                <w:rFonts w:ascii="宋体" w:hAnsi="宋体" w:eastAsia="宋体"/>
                <w:color w:val="auto"/>
                <w:szCs w:val="21"/>
                <w:highlight w:val="none"/>
              </w:rPr>
            </w:pPr>
          </w:p>
        </w:tc>
        <w:tc>
          <w:tcPr>
            <w:tcW w:w="1134" w:type="dxa"/>
            <w:vMerge w:val="continue"/>
            <w:noWrap w:val="0"/>
            <w:vAlign w:val="center"/>
          </w:tcPr>
          <w:p w14:paraId="6E151F9E">
            <w:pPr>
              <w:ind w:firstLine="315" w:firstLineChars="150"/>
              <w:jc w:val="center"/>
              <w:rPr>
                <w:rFonts w:ascii="宋体" w:hAnsi="宋体" w:eastAsia="宋体"/>
                <w:color w:val="auto"/>
                <w:szCs w:val="21"/>
                <w:highlight w:val="none"/>
              </w:rPr>
            </w:pPr>
          </w:p>
        </w:tc>
        <w:tc>
          <w:tcPr>
            <w:tcW w:w="850" w:type="dxa"/>
            <w:noWrap w:val="0"/>
            <w:vAlign w:val="center"/>
          </w:tcPr>
          <w:p w14:paraId="7F017AA5">
            <w:pPr>
              <w:jc w:val="center"/>
              <w:rPr>
                <w:rFonts w:ascii="宋体" w:hAnsi="宋体" w:eastAsia="宋体"/>
                <w:color w:val="auto"/>
                <w:szCs w:val="21"/>
                <w:highlight w:val="none"/>
              </w:rPr>
            </w:pPr>
            <w:r>
              <w:rPr>
                <w:rFonts w:hint="eastAsia" w:ascii="宋体" w:hAnsi="宋体" w:eastAsia="宋体"/>
                <w:color w:val="auto"/>
                <w:szCs w:val="21"/>
                <w:highlight w:val="none"/>
              </w:rPr>
              <w:t>主材</w:t>
            </w:r>
          </w:p>
        </w:tc>
        <w:tc>
          <w:tcPr>
            <w:tcW w:w="1134" w:type="dxa"/>
            <w:noWrap w:val="0"/>
            <w:vAlign w:val="center"/>
          </w:tcPr>
          <w:p w14:paraId="42E8374E">
            <w:pPr>
              <w:jc w:val="center"/>
              <w:rPr>
                <w:rFonts w:ascii="宋体" w:hAnsi="宋体" w:eastAsia="宋体"/>
                <w:color w:val="auto"/>
                <w:szCs w:val="21"/>
                <w:highlight w:val="none"/>
              </w:rPr>
            </w:pPr>
            <w:r>
              <w:rPr>
                <w:rFonts w:hint="eastAsia" w:ascii="宋体" w:hAnsi="宋体" w:eastAsia="宋体"/>
                <w:color w:val="auto"/>
                <w:szCs w:val="21"/>
                <w:highlight w:val="none"/>
              </w:rPr>
              <w:t>连续材</w:t>
            </w:r>
          </w:p>
        </w:tc>
        <w:tc>
          <w:tcPr>
            <w:tcW w:w="992" w:type="dxa"/>
            <w:noWrap w:val="0"/>
            <w:vAlign w:val="center"/>
          </w:tcPr>
          <w:p w14:paraId="2BE005BB">
            <w:pPr>
              <w:jc w:val="center"/>
              <w:rPr>
                <w:rFonts w:ascii="宋体" w:hAnsi="宋体" w:eastAsia="宋体"/>
                <w:color w:val="auto"/>
                <w:szCs w:val="21"/>
                <w:highlight w:val="none"/>
              </w:rPr>
            </w:pPr>
            <w:r>
              <w:rPr>
                <w:rFonts w:hint="eastAsia" w:ascii="宋体" w:hAnsi="宋体" w:eastAsia="宋体"/>
                <w:color w:val="auto"/>
                <w:szCs w:val="21"/>
                <w:highlight w:val="none"/>
              </w:rPr>
              <w:t>腹材</w:t>
            </w:r>
          </w:p>
        </w:tc>
        <w:tc>
          <w:tcPr>
            <w:tcW w:w="1418" w:type="dxa"/>
            <w:noWrap w:val="0"/>
            <w:vAlign w:val="center"/>
          </w:tcPr>
          <w:p w14:paraId="028A6BCA">
            <w:pPr>
              <w:jc w:val="center"/>
              <w:rPr>
                <w:rFonts w:ascii="宋体" w:hAnsi="宋体" w:eastAsia="宋体"/>
                <w:color w:val="auto"/>
                <w:szCs w:val="21"/>
                <w:highlight w:val="none"/>
              </w:rPr>
            </w:pPr>
            <w:r>
              <w:rPr>
                <w:rFonts w:hint="eastAsia" w:ascii="宋体" w:hAnsi="宋体" w:eastAsia="宋体"/>
                <w:color w:val="auto"/>
                <w:szCs w:val="21"/>
                <w:highlight w:val="none"/>
              </w:rPr>
              <w:t>连接板</w:t>
            </w:r>
          </w:p>
        </w:tc>
        <w:tc>
          <w:tcPr>
            <w:tcW w:w="1134" w:type="dxa"/>
            <w:noWrap w:val="0"/>
            <w:vAlign w:val="center"/>
          </w:tcPr>
          <w:p w14:paraId="14B02C71">
            <w:pPr>
              <w:jc w:val="center"/>
              <w:rPr>
                <w:rFonts w:ascii="宋体" w:hAnsi="宋体" w:eastAsia="宋体"/>
                <w:color w:val="auto"/>
                <w:szCs w:val="21"/>
                <w:highlight w:val="none"/>
              </w:rPr>
            </w:pPr>
            <w:r>
              <w:rPr>
                <w:rFonts w:hint="eastAsia" w:ascii="宋体" w:hAnsi="宋体" w:eastAsia="宋体"/>
                <w:color w:val="auto"/>
                <w:szCs w:val="21"/>
                <w:highlight w:val="none"/>
              </w:rPr>
              <w:t>焊接板</w:t>
            </w:r>
          </w:p>
        </w:tc>
      </w:tr>
      <w:tr w14:paraId="6E9D2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1555" w:type="dxa"/>
            <w:noWrap w:val="0"/>
            <w:vAlign w:val="center"/>
          </w:tcPr>
          <w:p w14:paraId="569145BB">
            <w:pPr>
              <w:jc w:val="center"/>
              <w:rPr>
                <w:rFonts w:ascii="宋体" w:hAnsi="宋体" w:eastAsia="宋体"/>
                <w:color w:val="auto"/>
                <w:szCs w:val="21"/>
                <w:highlight w:val="none"/>
              </w:rPr>
            </w:pPr>
            <w:r>
              <w:rPr>
                <w:rFonts w:ascii="宋体" w:hAnsi="宋体" w:eastAsia="宋体"/>
                <w:color w:val="auto"/>
                <w:szCs w:val="21"/>
                <w:highlight w:val="none"/>
              </w:rPr>
              <w:t>50-1200</w:t>
            </w:r>
          </w:p>
        </w:tc>
        <w:tc>
          <w:tcPr>
            <w:tcW w:w="1134" w:type="dxa"/>
            <w:noWrap w:val="0"/>
            <w:vAlign w:val="center"/>
          </w:tcPr>
          <w:p w14:paraId="3DE6F525">
            <w:pPr>
              <w:jc w:val="center"/>
              <w:rPr>
                <w:rFonts w:ascii="宋体" w:hAnsi="宋体" w:eastAsia="宋体"/>
                <w:color w:val="auto"/>
                <w:szCs w:val="21"/>
                <w:highlight w:val="none"/>
              </w:rPr>
            </w:pPr>
            <w:r>
              <w:rPr>
                <w:rFonts w:ascii="宋体" w:hAnsi="宋体" w:eastAsia="宋体"/>
                <w:color w:val="auto"/>
                <w:szCs w:val="21"/>
                <w:highlight w:val="none"/>
              </w:rPr>
              <w:t>20</w:t>
            </w:r>
          </w:p>
        </w:tc>
        <w:tc>
          <w:tcPr>
            <w:tcW w:w="850" w:type="dxa"/>
            <w:noWrap w:val="0"/>
            <w:vAlign w:val="center"/>
          </w:tcPr>
          <w:p w14:paraId="56656A8A">
            <w:pPr>
              <w:jc w:val="center"/>
              <w:rPr>
                <w:rFonts w:ascii="宋体" w:hAnsi="宋体" w:eastAsia="宋体"/>
                <w:color w:val="auto"/>
                <w:szCs w:val="21"/>
                <w:highlight w:val="none"/>
              </w:rPr>
            </w:pPr>
            <w:r>
              <w:rPr>
                <w:rFonts w:ascii="宋体" w:hAnsi="宋体" w:eastAsia="宋体"/>
                <w:color w:val="auto"/>
                <w:szCs w:val="21"/>
                <w:highlight w:val="none"/>
              </w:rPr>
              <w:t>4</w:t>
            </w:r>
          </w:p>
        </w:tc>
        <w:tc>
          <w:tcPr>
            <w:tcW w:w="1134" w:type="dxa"/>
            <w:noWrap w:val="0"/>
            <w:vAlign w:val="center"/>
          </w:tcPr>
          <w:p w14:paraId="51102FE0">
            <w:pPr>
              <w:jc w:val="center"/>
              <w:rPr>
                <w:rFonts w:ascii="宋体" w:hAnsi="宋体" w:eastAsia="宋体"/>
                <w:color w:val="auto"/>
                <w:szCs w:val="21"/>
                <w:highlight w:val="none"/>
              </w:rPr>
            </w:pPr>
            <w:r>
              <w:rPr>
                <w:rFonts w:ascii="宋体" w:hAnsi="宋体" w:eastAsia="宋体"/>
                <w:color w:val="auto"/>
                <w:szCs w:val="21"/>
                <w:highlight w:val="none"/>
              </w:rPr>
              <w:t>2</w:t>
            </w:r>
          </w:p>
        </w:tc>
        <w:tc>
          <w:tcPr>
            <w:tcW w:w="992" w:type="dxa"/>
            <w:noWrap w:val="0"/>
            <w:vAlign w:val="center"/>
          </w:tcPr>
          <w:p w14:paraId="5A73E3FE">
            <w:pPr>
              <w:jc w:val="center"/>
              <w:rPr>
                <w:rFonts w:ascii="宋体" w:hAnsi="宋体" w:eastAsia="宋体"/>
                <w:color w:val="auto"/>
                <w:szCs w:val="21"/>
                <w:highlight w:val="none"/>
              </w:rPr>
            </w:pPr>
            <w:r>
              <w:rPr>
                <w:rFonts w:ascii="宋体" w:hAnsi="宋体" w:eastAsia="宋体"/>
                <w:color w:val="auto"/>
                <w:szCs w:val="21"/>
                <w:highlight w:val="none"/>
              </w:rPr>
              <w:t>8</w:t>
            </w:r>
          </w:p>
        </w:tc>
        <w:tc>
          <w:tcPr>
            <w:tcW w:w="1418" w:type="dxa"/>
            <w:noWrap w:val="0"/>
            <w:vAlign w:val="center"/>
          </w:tcPr>
          <w:p w14:paraId="0E158AE4">
            <w:pPr>
              <w:jc w:val="center"/>
              <w:rPr>
                <w:rFonts w:ascii="宋体" w:hAnsi="宋体" w:eastAsia="宋体"/>
                <w:color w:val="auto"/>
                <w:szCs w:val="21"/>
                <w:highlight w:val="none"/>
              </w:rPr>
            </w:pPr>
            <w:r>
              <w:rPr>
                <w:rFonts w:ascii="宋体" w:hAnsi="宋体" w:eastAsia="宋体"/>
                <w:color w:val="auto"/>
                <w:szCs w:val="21"/>
                <w:highlight w:val="none"/>
              </w:rPr>
              <w:t>4</w:t>
            </w:r>
          </w:p>
        </w:tc>
        <w:tc>
          <w:tcPr>
            <w:tcW w:w="1134" w:type="dxa"/>
            <w:noWrap w:val="0"/>
            <w:vAlign w:val="center"/>
          </w:tcPr>
          <w:p w14:paraId="3978A43D">
            <w:pPr>
              <w:ind w:firstLine="315" w:firstLineChars="150"/>
              <w:jc w:val="center"/>
              <w:rPr>
                <w:rFonts w:ascii="宋体" w:hAnsi="宋体" w:eastAsia="宋体"/>
                <w:color w:val="auto"/>
                <w:szCs w:val="21"/>
                <w:highlight w:val="none"/>
              </w:rPr>
            </w:pPr>
          </w:p>
        </w:tc>
      </w:tr>
      <w:tr w14:paraId="2E76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555" w:type="dxa"/>
            <w:noWrap w:val="0"/>
            <w:vAlign w:val="center"/>
          </w:tcPr>
          <w:p w14:paraId="6691D718">
            <w:pPr>
              <w:jc w:val="center"/>
              <w:rPr>
                <w:rFonts w:ascii="宋体" w:hAnsi="宋体" w:eastAsia="宋体"/>
                <w:color w:val="auto"/>
                <w:szCs w:val="21"/>
                <w:highlight w:val="none"/>
              </w:rPr>
            </w:pPr>
            <w:r>
              <w:rPr>
                <w:rFonts w:ascii="宋体" w:hAnsi="宋体" w:eastAsia="宋体"/>
                <w:color w:val="auto"/>
                <w:szCs w:val="21"/>
                <w:highlight w:val="none"/>
              </w:rPr>
              <w:t>1201-10000</w:t>
            </w:r>
          </w:p>
        </w:tc>
        <w:tc>
          <w:tcPr>
            <w:tcW w:w="1134" w:type="dxa"/>
            <w:noWrap w:val="0"/>
            <w:vAlign w:val="center"/>
          </w:tcPr>
          <w:p w14:paraId="2D782E37">
            <w:pPr>
              <w:jc w:val="center"/>
              <w:rPr>
                <w:rFonts w:ascii="宋体" w:hAnsi="宋体" w:eastAsia="宋体"/>
                <w:color w:val="auto"/>
                <w:szCs w:val="21"/>
                <w:highlight w:val="none"/>
              </w:rPr>
            </w:pPr>
            <w:r>
              <w:rPr>
                <w:rFonts w:ascii="宋体" w:hAnsi="宋体" w:eastAsia="宋体"/>
                <w:color w:val="auto"/>
                <w:szCs w:val="21"/>
                <w:highlight w:val="none"/>
              </w:rPr>
              <w:t>32</w:t>
            </w:r>
          </w:p>
        </w:tc>
        <w:tc>
          <w:tcPr>
            <w:tcW w:w="850" w:type="dxa"/>
            <w:noWrap w:val="0"/>
            <w:vAlign w:val="center"/>
          </w:tcPr>
          <w:p w14:paraId="014AFEC3">
            <w:pPr>
              <w:jc w:val="center"/>
              <w:rPr>
                <w:rFonts w:ascii="宋体" w:hAnsi="宋体" w:eastAsia="宋体"/>
                <w:color w:val="auto"/>
                <w:szCs w:val="21"/>
                <w:highlight w:val="none"/>
              </w:rPr>
            </w:pPr>
            <w:r>
              <w:rPr>
                <w:rFonts w:ascii="宋体" w:hAnsi="宋体" w:eastAsia="宋体"/>
                <w:color w:val="auto"/>
                <w:szCs w:val="21"/>
                <w:highlight w:val="none"/>
              </w:rPr>
              <w:t>4</w:t>
            </w:r>
          </w:p>
        </w:tc>
        <w:tc>
          <w:tcPr>
            <w:tcW w:w="1134" w:type="dxa"/>
            <w:noWrap w:val="0"/>
            <w:vAlign w:val="center"/>
          </w:tcPr>
          <w:p w14:paraId="27A5A0FB">
            <w:pPr>
              <w:jc w:val="center"/>
              <w:rPr>
                <w:rFonts w:ascii="宋体" w:hAnsi="宋体" w:eastAsia="宋体"/>
                <w:color w:val="auto"/>
                <w:szCs w:val="21"/>
                <w:highlight w:val="none"/>
              </w:rPr>
            </w:pPr>
            <w:r>
              <w:rPr>
                <w:rFonts w:ascii="宋体" w:hAnsi="宋体" w:eastAsia="宋体"/>
                <w:color w:val="auto"/>
                <w:szCs w:val="21"/>
                <w:highlight w:val="none"/>
              </w:rPr>
              <w:t>2</w:t>
            </w:r>
          </w:p>
        </w:tc>
        <w:tc>
          <w:tcPr>
            <w:tcW w:w="992" w:type="dxa"/>
            <w:noWrap w:val="0"/>
            <w:vAlign w:val="center"/>
          </w:tcPr>
          <w:p w14:paraId="2D4AC020">
            <w:pPr>
              <w:jc w:val="center"/>
              <w:rPr>
                <w:rFonts w:ascii="宋体" w:hAnsi="宋体" w:eastAsia="宋体"/>
                <w:color w:val="auto"/>
                <w:szCs w:val="21"/>
                <w:highlight w:val="none"/>
              </w:rPr>
            </w:pPr>
            <w:r>
              <w:rPr>
                <w:rFonts w:ascii="宋体" w:hAnsi="宋体" w:eastAsia="宋体"/>
                <w:color w:val="auto"/>
                <w:szCs w:val="21"/>
                <w:highlight w:val="none"/>
              </w:rPr>
              <w:t>15</w:t>
            </w:r>
          </w:p>
        </w:tc>
        <w:tc>
          <w:tcPr>
            <w:tcW w:w="1418" w:type="dxa"/>
            <w:noWrap w:val="0"/>
            <w:vAlign w:val="center"/>
          </w:tcPr>
          <w:p w14:paraId="72AF6743">
            <w:pPr>
              <w:jc w:val="center"/>
              <w:rPr>
                <w:rFonts w:ascii="宋体" w:hAnsi="宋体" w:eastAsia="宋体"/>
                <w:color w:val="auto"/>
                <w:szCs w:val="21"/>
                <w:highlight w:val="none"/>
              </w:rPr>
            </w:pPr>
            <w:r>
              <w:rPr>
                <w:rFonts w:ascii="宋体" w:hAnsi="宋体" w:eastAsia="宋体"/>
                <w:color w:val="auto"/>
                <w:szCs w:val="21"/>
                <w:highlight w:val="none"/>
              </w:rPr>
              <w:t>8</w:t>
            </w:r>
          </w:p>
        </w:tc>
        <w:tc>
          <w:tcPr>
            <w:tcW w:w="1134" w:type="dxa"/>
            <w:noWrap w:val="0"/>
            <w:vAlign w:val="center"/>
          </w:tcPr>
          <w:p w14:paraId="2AE2A2CE">
            <w:pPr>
              <w:ind w:firstLine="315" w:firstLineChars="150"/>
              <w:jc w:val="center"/>
              <w:rPr>
                <w:rFonts w:ascii="宋体" w:hAnsi="宋体" w:eastAsia="宋体"/>
                <w:color w:val="auto"/>
                <w:szCs w:val="21"/>
                <w:highlight w:val="none"/>
              </w:rPr>
            </w:pPr>
          </w:p>
        </w:tc>
      </w:tr>
      <w:tr w14:paraId="4B53C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1555" w:type="dxa"/>
            <w:noWrap w:val="0"/>
            <w:vAlign w:val="center"/>
          </w:tcPr>
          <w:p w14:paraId="7584470B">
            <w:pPr>
              <w:jc w:val="center"/>
              <w:rPr>
                <w:rFonts w:ascii="宋体" w:hAnsi="宋体" w:eastAsia="宋体"/>
                <w:color w:val="auto"/>
                <w:szCs w:val="21"/>
                <w:highlight w:val="none"/>
              </w:rPr>
            </w:pPr>
            <w:r>
              <w:rPr>
                <w:rFonts w:ascii="宋体" w:hAnsi="宋体" w:eastAsia="宋体"/>
                <w:color w:val="auto"/>
                <w:szCs w:val="21"/>
                <w:highlight w:val="none"/>
              </w:rPr>
              <w:t>10001-35000</w:t>
            </w:r>
          </w:p>
        </w:tc>
        <w:tc>
          <w:tcPr>
            <w:tcW w:w="1134" w:type="dxa"/>
            <w:noWrap w:val="0"/>
            <w:vAlign w:val="center"/>
          </w:tcPr>
          <w:p w14:paraId="78910DCF">
            <w:pPr>
              <w:jc w:val="center"/>
              <w:rPr>
                <w:rFonts w:ascii="宋体" w:hAnsi="宋体" w:eastAsia="宋体"/>
                <w:color w:val="auto"/>
                <w:szCs w:val="21"/>
                <w:highlight w:val="none"/>
              </w:rPr>
            </w:pPr>
            <w:r>
              <w:rPr>
                <w:rFonts w:ascii="宋体" w:hAnsi="宋体" w:eastAsia="宋体"/>
                <w:color w:val="auto"/>
                <w:szCs w:val="21"/>
                <w:highlight w:val="none"/>
              </w:rPr>
              <w:t>50</w:t>
            </w:r>
          </w:p>
        </w:tc>
        <w:tc>
          <w:tcPr>
            <w:tcW w:w="850" w:type="dxa"/>
            <w:noWrap w:val="0"/>
            <w:vAlign w:val="center"/>
          </w:tcPr>
          <w:p w14:paraId="5E81B5A7">
            <w:pPr>
              <w:jc w:val="center"/>
              <w:rPr>
                <w:rFonts w:ascii="宋体" w:hAnsi="宋体" w:eastAsia="宋体"/>
                <w:color w:val="auto"/>
                <w:szCs w:val="21"/>
                <w:highlight w:val="none"/>
              </w:rPr>
            </w:pPr>
            <w:r>
              <w:rPr>
                <w:rFonts w:ascii="宋体" w:hAnsi="宋体" w:eastAsia="宋体"/>
                <w:color w:val="auto"/>
                <w:szCs w:val="21"/>
                <w:highlight w:val="none"/>
              </w:rPr>
              <w:t>6</w:t>
            </w:r>
          </w:p>
        </w:tc>
        <w:tc>
          <w:tcPr>
            <w:tcW w:w="1134" w:type="dxa"/>
            <w:noWrap w:val="0"/>
            <w:vAlign w:val="center"/>
          </w:tcPr>
          <w:p w14:paraId="2476E54D">
            <w:pPr>
              <w:jc w:val="center"/>
              <w:rPr>
                <w:rFonts w:ascii="宋体" w:hAnsi="宋体" w:eastAsia="宋体"/>
                <w:color w:val="auto"/>
                <w:szCs w:val="21"/>
                <w:highlight w:val="none"/>
              </w:rPr>
            </w:pPr>
            <w:r>
              <w:rPr>
                <w:rFonts w:ascii="宋体" w:hAnsi="宋体" w:eastAsia="宋体"/>
                <w:color w:val="auto"/>
                <w:szCs w:val="21"/>
                <w:highlight w:val="none"/>
              </w:rPr>
              <w:t>3</w:t>
            </w:r>
          </w:p>
        </w:tc>
        <w:tc>
          <w:tcPr>
            <w:tcW w:w="992" w:type="dxa"/>
            <w:noWrap w:val="0"/>
            <w:vAlign w:val="center"/>
          </w:tcPr>
          <w:p w14:paraId="4E9E1B45">
            <w:pPr>
              <w:jc w:val="center"/>
              <w:rPr>
                <w:rFonts w:ascii="宋体" w:hAnsi="宋体" w:eastAsia="宋体"/>
                <w:color w:val="auto"/>
                <w:szCs w:val="21"/>
                <w:highlight w:val="none"/>
              </w:rPr>
            </w:pPr>
            <w:r>
              <w:rPr>
                <w:rFonts w:ascii="宋体" w:hAnsi="宋体" w:eastAsia="宋体"/>
                <w:color w:val="auto"/>
                <w:szCs w:val="21"/>
                <w:highlight w:val="none"/>
              </w:rPr>
              <w:t>25</w:t>
            </w:r>
          </w:p>
        </w:tc>
        <w:tc>
          <w:tcPr>
            <w:tcW w:w="1418" w:type="dxa"/>
            <w:noWrap w:val="0"/>
            <w:vAlign w:val="center"/>
          </w:tcPr>
          <w:p w14:paraId="1303FC3F">
            <w:pPr>
              <w:jc w:val="center"/>
              <w:rPr>
                <w:rFonts w:ascii="宋体" w:hAnsi="宋体" w:eastAsia="宋体"/>
                <w:color w:val="auto"/>
                <w:szCs w:val="21"/>
                <w:highlight w:val="none"/>
              </w:rPr>
            </w:pPr>
            <w:r>
              <w:rPr>
                <w:rFonts w:ascii="宋体" w:hAnsi="宋体" w:eastAsia="宋体"/>
                <w:color w:val="auto"/>
                <w:szCs w:val="21"/>
                <w:highlight w:val="none"/>
              </w:rPr>
              <w:t>12</w:t>
            </w:r>
          </w:p>
        </w:tc>
        <w:tc>
          <w:tcPr>
            <w:tcW w:w="1134" w:type="dxa"/>
            <w:noWrap w:val="0"/>
            <w:vAlign w:val="center"/>
          </w:tcPr>
          <w:p w14:paraId="43E97AFF">
            <w:pPr>
              <w:ind w:firstLine="315" w:firstLineChars="150"/>
              <w:jc w:val="center"/>
              <w:rPr>
                <w:rFonts w:ascii="宋体" w:hAnsi="宋体" w:eastAsia="宋体"/>
                <w:color w:val="auto"/>
                <w:szCs w:val="21"/>
                <w:highlight w:val="none"/>
              </w:rPr>
            </w:pPr>
          </w:p>
        </w:tc>
      </w:tr>
      <w:tr w14:paraId="62F96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1555" w:type="dxa"/>
            <w:noWrap w:val="0"/>
            <w:vAlign w:val="center"/>
          </w:tcPr>
          <w:p w14:paraId="16B58D33">
            <w:pPr>
              <w:jc w:val="center"/>
              <w:rPr>
                <w:rFonts w:ascii="宋体" w:hAnsi="宋体" w:eastAsia="宋体"/>
                <w:color w:val="auto"/>
                <w:szCs w:val="21"/>
                <w:highlight w:val="none"/>
              </w:rPr>
            </w:pPr>
            <w:r>
              <w:rPr>
                <w:rFonts w:ascii="宋体" w:hAnsi="宋体" w:eastAsia="宋体"/>
                <w:color w:val="auto"/>
                <w:szCs w:val="21"/>
                <w:highlight w:val="none"/>
              </w:rPr>
              <w:t>35000以上</w:t>
            </w:r>
          </w:p>
        </w:tc>
        <w:tc>
          <w:tcPr>
            <w:tcW w:w="1134" w:type="dxa"/>
            <w:noWrap w:val="0"/>
            <w:vAlign w:val="center"/>
          </w:tcPr>
          <w:p w14:paraId="298FD9BF">
            <w:pPr>
              <w:jc w:val="center"/>
              <w:rPr>
                <w:rFonts w:ascii="宋体" w:hAnsi="宋体" w:eastAsia="宋体"/>
                <w:color w:val="auto"/>
                <w:szCs w:val="21"/>
                <w:highlight w:val="none"/>
              </w:rPr>
            </w:pPr>
            <w:r>
              <w:rPr>
                <w:rFonts w:ascii="宋体" w:hAnsi="宋体" w:eastAsia="宋体"/>
                <w:color w:val="auto"/>
                <w:szCs w:val="21"/>
                <w:highlight w:val="none"/>
              </w:rPr>
              <w:t>80</w:t>
            </w:r>
          </w:p>
        </w:tc>
        <w:tc>
          <w:tcPr>
            <w:tcW w:w="850" w:type="dxa"/>
            <w:noWrap w:val="0"/>
            <w:vAlign w:val="center"/>
          </w:tcPr>
          <w:p w14:paraId="49EBFE7D">
            <w:pPr>
              <w:jc w:val="center"/>
              <w:rPr>
                <w:rFonts w:ascii="宋体" w:hAnsi="宋体" w:eastAsia="宋体"/>
                <w:color w:val="auto"/>
                <w:szCs w:val="21"/>
                <w:highlight w:val="none"/>
              </w:rPr>
            </w:pPr>
            <w:r>
              <w:rPr>
                <w:rFonts w:ascii="宋体" w:hAnsi="宋体" w:eastAsia="宋体"/>
                <w:color w:val="auto"/>
                <w:szCs w:val="21"/>
                <w:highlight w:val="none"/>
              </w:rPr>
              <w:t>8</w:t>
            </w:r>
          </w:p>
        </w:tc>
        <w:tc>
          <w:tcPr>
            <w:tcW w:w="1134" w:type="dxa"/>
            <w:noWrap w:val="0"/>
            <w:vAlign w:val="center"/>
          </w:tcPr>
          <w:p w14:paraId="7905A656">
            <w:pPr>
              <w:jc w:val="center"/>
              <w:rPr>
                <w:rFonts w:ascii="宋体" w:hAnsi="宋体" w:eastAsia="宋体"/>
                <w:color w:val="auto"/>
                <w:szCs w:val="21"/>
                <w:highlight w:val="none"/>
              </w:rPr>
            </w:pPr>
            <w:r>
              <w:rPr>
                <w:rFonts w:ascii="宋体" w:hAnsi="宋体" w:eastAsia="宋体"/>
                <w:color w:val="auto"/>
                <w:szCs w:val="21"/>
                <w:highlight w:val="none"/>
              </w:rPr>
              <w:t>4</w:t>
            </w:r>
          </w:p>
        </w:tc>
        <w:tc>
          <w:tcPr>
            <w:tcW w:w="992" w:type="dxa"/>
            <w:noWrap w:val="0"/>
            <w:vAlign w:val="center"/>
          </w:tcPr>
          <w:p w14:paraId="2DA1CA2C">
            <w:pPr>
              <w:jc w:val="center"/>
              <w:rPr>
                <w:rFonts w:ascii="宋体" w:hAnsi="宋体" w:eastAsia="宋体"/>
                <w:color w:val="auto"/>
                <w:szCs w:val="21"/>
                <w:highlight w:val="none"/>
              </w:rPr>
            </w:pPr>
            <w:r>
              <w:rPr>
                <w:rFonts w:ascii="宋体" w:hAnsi="宋体" w:eastAsia="宋体"/>
                <w:color w:val="auto"/>
                <w:szCs w:val="21"/>
                <w:highlight w:val="none"/>
              </w:rPr>
              <w:t>40</w:t>
            </w:r>
          </w:p>
        </w:tc>
        <w:tc>
          <w:tcPr>
            <w:tcW w:w="1418" w:type="dxa"/>
            <w:noWrap w:val="0"/>
            <w:vAlign w:val="center"/>
          </w:tcPr>
          <w:p w14:paraId="4C4B1233">
            <w:pPr>
              <w:jc w:val="center"/>
              <w:rPr>
                <w:rFonts w:ascii="宋体" w:hAnsi="宋体" w:eastAsia="宋体"/>
                <w:color w:val="auto"/>
                <w:szCs w:val="21"/>
                <w:highlight w:val="none"/>
              </w:rPr>
            </w:pPr>
            <w:r>
              <w:rPr>
                <w:rFonts w:ascii="宋体" w:hAnsi="宋体" w:eastAsia="宋体"/>
                <w:color w:val="auto"/>
                <w:szCs w:val="21"/>
                <w:highlight w:val="none"/>
              </w:rPr>
              <w:t>22</w:t>
            </w:r>
          </w:p>
        </w:tc>
        <w:tc>
          <w:tcPr>
            <w:tcW w:w="1134" w:type="dxa"/>
            <w:noWrap w:val="0"/>
            <w:vAlign w:val="center"/>
          </w:tcPr>
          <w:p w14:paraId="511EC2EC">
            <w:pPr>
              <w:ind w:firstLine="315" w:firstLineChars="150"/>
              <w:jc w:val="center"/>
              <w:rPr>
                <w:rFonts w:ascii="宋体" w:hAnsi="宋体" w:eastAsia="宋体"/>
                <w:color w:val="auto"/>
                <w:szCs w:val="21"/>
                <w:highlight w:val="none"/>
              </w:rPr>
            </w:pPr>
          </w:p>
        </w:tc>
      </w:tr>
    </w:tbl>
    <w:p w14:paraId="0AAFCC8F">
      <w:pPr>
        <w:rPr>
          <w:rFonts w:ascii="宋体" w:hAnsi="宋体" w:eastAsia="宋体"/>
          <w:color w:val="auto"/>
          <w:sz w:val="18"/>
          <w:szCs w:val="21"/>
          <w:highlight w:val="none"/>
        </w:rPr>
      </w:pPr>
      <w:r>
        <w:rPr>
          <w:rFonts w:hint="eastAsia" w:ascii="宋体" w:hAnsi="宋体" w:eastAsia="宋体"/>
          <w:color w:val="auto"/>
          <w:szCs w:val="21"/>
          <w:highlight w:val="none"/>
        </w:rPr>
        <w:t>注：</w:t>
      </w:r>
      <w:r>
        <w:rPr>
          <w:rFonts w:ascii="宋体" w:hAnsi="宋体" w:eastAsia="宋体"/>
          <w:color w:val="auto"/>
          <w:sz w:val="18"/>
          <w:szCs w:val="21"/>
          <w:highlight w:val="none"/>
        </w:rPr>
        <w:fldChar w:fldCharType="begin"/>
      </w:r>
      <w:r>
        <w:rPr>
          <w:rFonts w:ascii="宋体" w:hAnsi="宋体" w:eastAsia="宋体"/>
          <w:color w:val="auto"/>
          <w:sz w:val="18"/>
          <w:szCs w:val="21"/>
          <w:highlight w:val="none"/>
        </w:rPr>
        <w:instrText xml:space="preserve"> </w:instrText>
      </w:r>
      <w:r>
        <w:rPr>
          <w:rFonts w:hint="eastAsia" w:ascii="宋体" w:hAnsi="宋体" w:eastAsia="宋体"/>
          <w:color w:val="auto"/>
          <w:sz w:val="18"/>
          <w:szCs w:val="21"/>
          <w:highlight w:val="none"/>
        </w:rPr>
        <w:instrText xml:space="preserve">= 1 \* GB3</w:instrText>
      </w:r>
      <w:r>
        <w:rPr>
          <w:rFonts w:ascii="宋体" w:hAnsi="宋体" w:eastAsia="宋体"/>
          <w:color w:val="auto"/>
          <w:sz w:val="18"/>
          <w:szCs w:val="21"/>
          <w:highlight w:val="none"/>
        </w:rPr>
        <w:instrText xml:space="preserve"> </w:instrText>
      </w:r>
      <w:r>
        <w:rPr>
          <w:rFonts w:ascii="宋体" w:hAnsi="宋体" w:eastAsia="宋体"/>
          <w:color w:val="auto"/>
          <w:sz w:val="18"/>
          <w:szCs w:val="21"/>
          <w:highlight w:val="none"/>
        </w:rPr>
        <w:fldChar w:fldCharType="separate"/>
      </w:r>
      <w:r>
        <w:rPr>
          <w:rFonts w:hint="eastAsia" w:ascii="宋体" w:hAnsi="宋体" w:eastAsia="宋体"/>
          <w:color w:val="auto"/>
          <w:sz w:val="18"/>
          <w:szCs w:val="21"/>
          <w:highlight w:val="none"/>
        </w:rPr>
        <w:t>①</w:t>
      </w:r>
      <w:r>
        <w:rPr>
          <w:rFonts w:ascii="宋体" w:hAnsi="宋体" w:eastAsia="宋体"/>
          <w:color w:val="auto"/>
          <w:sz w:val="18"/>
          <w:szCs w:val="21"/>
          <w:highlight w:val="none"/>
        </w:rPr>
        <w:fldChar w:fldCharType="end"/>
      </w:r>
      <w:r>
        <w:rPr>
          <w:rFonts w:hint="eastAsia" w:ascii="宋体" w:hAnsi="宋体" w:eastAsia="宋体"/>
          <w:color w:val="auto"/>
          <w:sz w:val="18"/>
          <w:szCs w:val="21"/>
          <w:highlight w:val="none"/>
        </w:rPr>
        <w:t>主材、连续材（接头）、连接板内应有相应的制弯件。</w:t>
      </w:r>
    </w:p>
    <w:p w14:paraId="0CA8F969">
      <w:pPr>
        <w:ind w:firstLine="360" w:firstLineChars="200"/>
        <w:rPr>
          <w:rFonts w:ascii="宋体" w:hAnsi="宋体" w:eastAsia="宋体"/>
          <w:color w:val="auto"/>
          <w:sz w:val="18"/>
          <w:szCs w:val="21"/>
          <w:highlight w:val="none"/>
        </w:rPr>
      </w:pPr>
      <w:r>
        <w:rPr>
          <w:rFonts w:ascii="宋体" w:hAnsi="宋体" w:eastAsia="宋体"/>
          <w:color w:val="auto"/>
          <w:sz w:val="18"/>
          <w:szCs w:val="21"/>
          <w:highlight w:val="none"/>
        </w:rPr>
        <w:fldChar w:fldCharType="begin"/>
      </w:r>
      <w:r>
        <w:rPr>
          <w:rFonts w:ascii="宋体" w:hAnsi="宋体" w:eastAsia="宋体"/>
          <w:color w:val="auto"/>
          <w:sz w:val="18"/>
          <w:szCs w:val="21"/>
          <w:highlight w:val="none"/>
        </w:rPr>
        <w:instrText xml:space="preserve"> </w:instrText>
      </w:r>
      <w:r>
        <w:rPr>
          <w:rFonts w:hint="eastAsia" w:ascii="宋体" w:hAnsi="宋体" w:eastAsia="宋体"/>
          <w:color w:val="auto"/>
          <w:sz w:val="18"/>
          <w:szCs w:val="21"/>
          <w:highlight w:val="none"/>
        </w:rPr>
        <w:instrText xml:space="preserve">= 2 \* GB3</w:instrText>
      </w:r>
      <w:r>
        <w:rPr>
          <w:rFonts w:ascii="宋体" w:hAnsi="宋体" w:eastAsia="宋体"/>
          <w:color w:val="auto"/>
          <w:sz w:val="18"/>
          <w:szCs w:val="21"/>
          <w:highlight w:val="none"/>
        </w:rPr>
        <w:instrText xml:space="preserve"> </w:instrText>
      </w:r>
      <w:r>
        <w:rPr>
          <w:rFonts w:ascii="宋体" w:hAnsi="宋体" w:eastAsia="宋体"/>
          <w:color w:val="auto"/>
          <w:sz w:val="18"/>
          <w:szCs w:val="21"/>
          <w:highlight w:val="none"/>
        </w:rPr>
        <w:fldChar w:fldCharType="separate"/>
      </w:r>
      <w:r>
        <w:rPr>
          <w:rFonts w:hint="eastAsia" w:ascii="宋体" w:hAnsi="宋体" w:eastAsia="宋体"/>
          <w:color w:val="auto"/>
          <w:sz w:val="18"/>
          <w:szCs w:val="21"/>
          <w:highlight w:val="none"/>
        </w:rPr>
        <w:t>②</w:t>
      </w:r>
      <w:r>
        <w:rPr>
          <w:rFonts w:ascii="宋体" w:hAnsi="宋体" w:eastAsia="宋体"/>
          <w:color w:val="auto"/>
          <w:sz w:val="18"/>
          <w:szCs w:val="21"/>
          <w:highlight w:val="none"/>
        </w:rPr>
        <w:fldChar w:fldCharType="end"/>
      </w:r>
      <w:r>
        <w:rPr>
          <w:rFonts w:hint="eastAsia" w:ascii="宋体" w:hAnsi="宋体" w:eastAsia="宋体"/>
          <w:color w:val="auto"/>
          <w:sz w:val="18"/>
          <w:szCs w:val="21"/>
          <w:highlight w:val="none"/>
        </w:rPr>
        <w:t>腹材内应有相应的切角、切肢件。</w:t>
      </w:r>
    </w:p>
    <w:p w14:paraId="0D6048D1">
      <w:pPr>
        <w:ind w:firstLine="360" w:firstLineChars="200"/>
        <w:rPr>
          <w:rFonts w:ascii="宋体" w:hAnsi="宋体" w:eastAsia="宋体"/>
          <w:color w:val="auto"/>
          <w:sz w:val="18"/>
          <w:szCs w:val="21"/>
          <w:highlight w:val="none"/>
        </w:rPr>
      </w:pPr>
      <w:r>
        <w:rPr>
          <w:rFonts w:ascii="宋体" w:hAnsi="宋体" w:eastAsia="宋体"/>
          <w:color w:val="auto"/>
          <w:sz w:val="18"/>
          <w:szCs w:val="21"/>
          <w:highlight w:val="none"/>
        </w:rPr>
        <w:fldChar w:fldCharType="begin"/>
      </w:r>
      <w:r>
        <w:rPr>
          <w:rFonts w:ascii="宋体" w:hAnsi="宋体" w:eastAsia="宋体"/>
          <w:color w:val="auto"/>
          <w:sz w:val="18"/>
          <w:szCs w:val="21"/>
          <w:highlight w:val="none"/>
        </w:rPr>
        <w:instrText xml:space="preserve"> </w:instrText>
      </w:r>
      <w:r>
        <w:rPr>
          <w:rFonts w:hint="eastAsia" w:ascii="宋体" w:hAnsi="宋体" w:eastAsia="宋体"/>
          <w:color w:val="auto"/>
          <w:sz w:val="18"/>
          <w:szCs w:val="21"/>
          <w:highlight w:val="none"/>
        </w:rPr>
        <w:instrText xml:space="preserve">= 3 \* GB3</w:instrText>
      </w:r>
      <w:r>
        <w:rPr>
          <w:rFonts w:ascii="宋体" w:hAnsi="宋体" w:eastAsia="宋体"/>
          <w:color w:val="auto"/>
          <w:sz w:val="18"/>
          <w:szCs w:val="21"/>
          <w:highlight w:val="none"/>
        </w:rPr>
        <w:instrText xml:space="preserve"> </w:instrText>
      </w:r>
      <w:r>
        <w:rPr>
          <w:rFonts w:ascii="宋体" w:hAnsi="宋体" w:eastAsia="宋体"/>
          <w:color w:val="auto"/>
          <w:sz w:val="18"/>
          <w:szCs w:val="21"/>
          <w:highlight w:val="none"/>
        </w:rPr>
        <w:fldChar w:fldCharType="separate"/>
      </w:r>
      <w:r>
        <w:rPr>
          <w:rFonts w:hint="eastAsia" w:ascii="宋体" w:hAnsi="宋体" w:eastAsia="宋体"/>
          <w:color w:val="auto"/>
          <w:sz w:val="18"/>
          <w:szCs w:val="21"/>
          <w:highlight w:val="none"/>
        </w:rPr>
        <w:t>③</w:t>
      </w:r>
      <w:r>
        <w:rPr>
          <w:rFonts w:ascii="宋体" w:hAnsi="宋体" w:eastAsia="宋体"/>
          <w:color w:val="auto"/>
          <w:sz w:val="18"/>
          <w:szCs w:val="21"/>
          <w:highlight w:val="none"/>
        </w:rPr>
        <w:fldChar w:fldCharType="end"/>
      </w:r>
      <w:r>
        <w:rPr>
          <w:rFonts w:hint="eastAsia" w:ascii="宋体" w:hAnsi="宋体" w:eastAsia="宋体"/>
          <w:color w:val="auto"/>
          <w:sz w:val="18"/>
          <w:szCs w:val="21"/>
          <w:highlight w:val="none"/>
        </w:rPr>
        <w:t>批内无制弯、切角、切肢时例外。</w:t>
      </w:r>
    </w:p>
    <w:p w14:paraId="1BDF3529">
      <w:pPr>
        <w:ind w:firstLine="360" w:firstLineChars="200"/>
        <w:rPr>
          <w:rFonts w:ascii="宋体" w:hAnsi="宋体" w:eastAsia="宋体"/>
          <w:color w:val="auto"/>
          <w:sz w:val="18"/>
          <w:szCs w:val="21"/>
          <w:highlight w:val="none"/>
        </w:rPr>
      </w:pPr>
      <w:r>
        <w:rPr>
          <w:rFonts w:ascii="宋体" w:hAnsi="宋体" w:eastAsia="宋体"/>
          <w:color w:val="auto"/>
          <w:sz w:val="18"/>
          <w:szCs w:val="21"/>
          <w:highlight w:val="none"/>
        </w:rPr>
        <w:fldChar w:fldCharType="begin"/>
      </w:r>
      <w:r>
        <w:rPr>
          <w:rFonts w:ascii="宋体" w:hAnsi="宋体" w:eastAsia="宋体"/>
          <w:color w:val="auto"/>
          <w:sz w:val="18"/>
          <w:szCs w:val="21"/>
          <w:highlight w:val="none"/>
        </w:rPr>
        <w:instrText xml:space="preserve"> </w:instrText>
      </w:r>
      <w:r>
        <w:rPr>
          <w:rFonts w:hint="eastAsia" w:ascii="宋体" w:hAnsi="宋体" w:eastAsia="宋体"/>
          <w:color w:val="auto"/>
          <w:sz w:val="18"/>
          <w:szCs w:val="21"/>
          <w:highlight w:val="none"/>
        </w:rPr>
        <w:instrText xml:space="preserve">= 4 \* GB3</w:instrText>
      </w:r>
      <w:r>
        <w:rPr>
          <w:rFonts w:ascii="宋体" w:hAnsi="宋体" w:eastAsia="宋体"/>
          <w:color w:val="auto"/>
          <w:sz w:val="18"/>
          <w:szCs w:val="21"/>
          <w:highlight w:val="none"/>
        </w:rPr>
        <w:instrText xml:space="preserve"> </w:instrText>
      </w:r>
      <w:r>
        <w:rPr>
          <w:rFonts w:ascii="宋体" w:hAnsi="宋体" w:eastAsia="宋体"/>
          <w:color w:val="auto"/>
          <w:sz w:val="18"/>
          <w:szCs w:val="21"/>
          <w:highlight w:val="none"/>
        </w:rPr>
        <w:fldChar w:fldCharType="separate"/>
      </w:r>
      <w:r>
        <w:rPr>
          <w:rFonts w:hint="eastAsia" w:ascii="宋体" w:hAnsi="宋体" w:eastAsia="宋体"/>
          <w:color w:val="auto"/>
          <w:sz w:val="18"/>
          <w:szCs w:val="21"/>
          <w:highlight w:val="none"/>
        </w:rPr>
        <w:t>④</w:t>
      </w:r>
      <w:r>
        <w:rPr>
          <w:rFonts w:ascii="宋体" w:hAnsi="宋体" w:eastAsia="宋体"/>
          <w:color w:val="auto"/>
          <w:sz w:val="18"/>
          <w:szCs w:val="21"/>
          <w:highlight w:val="none"/>
        </w:rPr>
        <w:fldChar w:fldCharType="end"/>
      </w:r>
      <w:r>
        <w:rPr>
          <w:rFonts w:hint="eastAsia" w:ascii="宋体" w:hAnsi="宋体" w:eastAsia="宋体"/>
          <w:color w:val="auto"/>
          <w:sz w:val="18"/>
          <w:szCs w:val="21"/>
          <w:highlight w:val="none"/>
        </w:rPr>
        <w:t>批内缺少样本内应有的品种时，所缺样本可由其它品种补充。</w:t>
      </w:r>
    </w:p>
    <w:p w14:paraId="6D703D9B">
      <w:pPr>
        <w:ind w:firstLine="422" w:firstLineChars="200"/>
        <w:jc w:val="center"/>
        <w:rPr>
          <w:rFonts w:ascii="宋体" w:hAnsi="宋体" w:eastAsia="宋体"/>
          <w:color w:val="auto"/>
          <w:sz w:val="18"/>
          <w:szCs w:val="21"/>
          <w:highlight w:val="none"/>
        </w:rPr>
      </w:pPr>
      <w:r>
        <w:rPr>
          <w:rFonts w:hint="eastAsia" w:ascii="宋体" w:hAnsi="宋体" w:eastAsia="宋体"/>
          <w:b/>
          <w:color w:val="auto"/>
          <w:szCs w:val="21"/>
          <w:highlight w:val="none"/>
        </w:rPr>
        <w:t>表</w:t>
      </w:r>
      <w:r>
        <w:rPr>
          <w:rFonts w:ascii="宋体" w:hAnsi="宋体" w:eastAsia="宋体"/>
          <w:b/>
          <w:color w:val="auto"/>
          <w:szCs w:val="21"/>
          <w:highlight w:val="none"/>
        </w:rPr>
        <w:t>2</w:t>
      </w:r>
      <w:r>
        <w:rPr>
          <w:rFonts w:hint="eastAsia" w:ascii="宋体" w:hAnsi="宋体" w:eastAsia="宋体"/>
          <w:b/>
          <w:color w:val="auto"/>
          <w:szCs w:val="21"/>
          <w:highlight w:val="none"/>
        </w:rPr>
        <w:t>：热浸镀锌件二次抽样检查方案（角钢）</w:t>
      </w:r>
      <w:r>
        <w:rPr>
          <w:rFonts w:hint="eastAsia" w:ascii="宋体" w:hAnsi="宋体" w:eastAsia="宋体"/>
          <w:color w:val="auto"/>
          <w:szCs w:val="21"/>
          <w:highlight w:val="none"/>
        </w:rPr>
        <w:t>（单位：件）</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176"/>
        <w:gridCol w:w="1200"/>
        <w:gridCol w:w="778"/>
        <w:gridCol w:w="954"/>
        <w:gridCol w:w="947"/>
        <w:gridCol w:w="947"/>
        <w:gridCol w:w="802"/>
      </w:tblGrid>
      <w:tr w14:paraId="1B8F1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13" w:type="dxa"/>
            <w:vMerge w:val="restart"/>
            <w:noWrap w:val="0"/>
            <w:vAlign w:val="center"/>
          </w:tcPr>
          <w:p w14:paraId="6C20AC61">
            <w:pPr>
              <w:jc w:val="center"/>
              <w:rPr>
                <w:rFonts w:ascii="宋体" w:hAnsi="宋体" w:eastAsia="宋体"/>
                <w:color w:val="auto"/>
                <w:szCs w:val="21"/>
                <w:highlight w:val="none"/>
              </w:rPr>
            </w:pPr>
            <w:r>
              <w:rPr>
                <w:rFonts w:hint="eastAsia" w:ascii="宋体" w:hAnsi="宋体" w:eastAsia="宋体"/>
                <w:color w:val="auto"/>
                <w:szCs w:val="21"/>
                <w:highlight w:val="none"/>
              </w:rPr>
              <w:t>批量范围</w:t>
            </w:r>
          </w:p>
        </w:tc>
        <w:tc>
          <w:tcPr>
            <w:tcW w:w="1176" w:type="dxa"/>
            <w:vMerge w:val="restart"/>
            <w:noWrap w:val="0"/>
            <w:vAlign w:val="center"/>
          </w:tcPr>
          <w:p w14:paraId="3A0DCDE0">
            <w:pPr>
              <w:jc w:val="center"/>
              <w:rPr>
                <w:rFonts w:ascii="宋体" w:hAnsi="宋体" w:eastAsia="宋体"/>
                <w:color w:val="auto"/>
                <w:szCs w:val="21"/>
                <w:highlight w:val="none"/>
              </w:rPr>
            </w:pPr>
            <w:r>
              <w:rPr>
                <w:rFonts w:hint="eastAsia" w:ascii="宋体" w:hAnsi="宋体" w:eastAsia="宋体"/>
                <w:color w:val="auto"/>
                <w:szCs w:val="21"/>
                <w:highlight w:val="none"/>
              </w:rPr>
              <w:t>样本大小</w:t>
            </w:r>
          </w:p>
        </w:tc>
        <w:tc>
          <w:tcPr>
            <w:tcW w:w="1200" w:type="dxa"/>
            <w:vMerge w:val="restart"/>
            <w:noWrap w:val="0"/>
            <w:vAlign w:val="center"/>
          </w:tcPr>
          <w:p w14:paraId="53D7C1F2">
            <w:pPr>
              <w:jc w:val="center"/>
              <w:rPr>
                <w:rFonts w:ascii="宋体" w:hAnsi="宋体" w:eastAsia="宋体"/>
                <w:color w:val="auto"/>
                <w:szCs w:val="21"/>
                <w:highlight w:val="none"/>
              </w:rPr>
            </w:pPr>
            <w:r>
              <w:rPr>
                <w:rFonts w:hint="eastAsia" w:ascii="宋体" w:hAnsi="宋体" w:eastAsia="宋体"/>
                <w:color w:val="auto"/>
                <w:szCs w:val="21"/>
                <w:highlight w:val="none"/>
              </w:rPr>
              <w:t>累计样本大小</w:t>
            </w:r>
          </w:p>
        </w:tc>
        <w:tc>
          <w:tcPr>
            <w:tcW w:w="2679" w:type="dxa"/>
            <w:gridSpan w:val="3"/>
            <w:noWrap w:val="0"/>
            <w:vAlign w:val="center"/>
          </w:tcPr>
          <w:p w14:paraId="48A87079">
            <w:pPr>
              <w:jc w:val="center"/>
              <w:rPr>
                <w:rFonts w:ascii="宋体" w:hAnsi="宋体" w:eastAsia="宋体"/>
                <w:color w:val="auto"/>
                <w:szCs w:val="21"/>
                <w:highlight w:val="none"/>
              </w:rPr>
            </w:pPr>
            <w:r>
              <w:rPr>
                <w:rFonts w:hint="eastAsia" w:ascii="宋体" w:hAnsi="宋体" w:eastAsia="宋体"/>
                <w:color w:val="auto"/>
                <w:szCs w:val="21"/>
                <w:highlight w:val="none"/>
              </w:rPr>
              <w:t>样本中镀件厚度</w:t>
            </w:r>
          </w:p>
        </w:tc>
        <w:tc>
          <w:tcPr>
            <w:tcW w:w="1749" w:type="dxa"/>
            <w:gridSpan w:val="2"/>
            <w:noWrap w:val="0"/>
            <w:vAlign w:val="center"/>
          </w:tcPr>
          <w:p w14:paraId="1EBE47FE">
            <w:pPr>
              <w:ind w:firstLine="315" w:firstLineChars="150"/>
              <w:jc w:val="center"/>
              <w:rPr>
                <w:rFonts w:ascii="宋体" w:hAnsi="宋体" w:eastAsia="宋体"/>
                <w:color w:val="auto"/>
                <w:szCs w:val="21"/>
                <w:highlight w:val="none"/>
              </w:rPr>
            </w:pPr>
            <w:r>
              <w:rPr>
                <w:rFonts w:hint="eastAsia" w:ascii="宋体" w:hAnsi="宋体" w:eastAsia="宋体"/>
                <w:color w:val="auto"/>
                <w:szCs w:val="21"/>
                <w:highlight w:val="none"/>
              </w:rPr>
              <w:t>判定数组</w:t>
            </w:r>
          </w:p>
        </w:tc>
      </w:tr>
      <w:tr w14:paraId="5C571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13" w:type="dxa"/>
            <w:vMerge w:val="continue"/>
            <w:noWrap w:val="0"/>
            <w:vAlign w:val="center"/>
          </w:tcPr>
          <w:p w14:paraId="56878882">
            <w:pPr>
              <w:ind w:firstLine="315" w:firstLineChars="150"/>
              <w:jc w:val="center"/>
              <w:rPr>
                <w:rFonts w:ascii="宋体" w:hAnsi="宋体" w:eastAsia="宋体"/>
                <w:color w:val="auto"/>
                <w:szCs w:val="21"/>
                <w:highlight w:val="none"/>
              </w:rPr>
            </w:pPr>
          </w:p>
        </w:tc>
        <w:tc>
          <w:tcPr>
            <w:tcW w:w="1176" w:type="dxa"/>
            <w:vMerge w:val="continue"/>
            <w:noWrap w:val="0"/>
            <w:vAlign w:val="center"/>
          </w:tcPr>
          <w:p w14:paraId="2E0830E9">
            <w:pPr>
              <w:ind w:firstLine="315" w:firstLineChars="150"/>
              <w:jc w:val="center"/>
              <w:rPr>
                <w:rFonts w:ascii="宋体" w:hAnsi="宋体" w:eastAsia="宋体"/>
                <w:color w:val="auto"/>
                <w:szCs w:val="21"/>
                <w:highlight w:val="none"/>
              </w:rPr>
            </w:pPr>
          </w:p>
        </w:tc>
        <w:tc>
          <w:tcPr>
            <w:tcW w:w="1200" w:type="dxa"/>
            <w:vMerge w:val="continue"/>
            <w:noWrap w:val="0"/>
            <w:vAlign w:val="center"/>
          </w:tcPr>
          <w:p w14:paraId="67843432">
            <w:pPr>
              <w:ind w:firstLine="315" w:firstLineChars="150"/>
              <w:jc w:val="center"/>
              <w:rPr>
                <w:rFonts w:ascii="宋体" w:hAnsi="宋体" w:eastAsia="宋体"/>
                <w:color w:val="auto"/>
                <w:szCs w:val="21"/>
                <w:highlight w:val="none"/>
              </w:rPr>
            </w:pPr>
          </w:p>
        </w:tc>
        <w:tc>
          <w:tcPr>
            <w:tcW w:w="778" w:type="dxa"/>
            <w:noWrap w:val="0"/>
            <w:vAlign w:val="center"/>
          </w:tcPr>
          <w:p w14:paraId="6719A3A8">
            <w:pPr>
              <w:ind w:right="210"/>
              <w:jc w:val="center"/>
              <w:rPr>
                <w:rFonts w:ascii="宋体" w:hAnsi="宋体" w:eastAsia="宋体"/>
                <w:color w:val="auto"/>
                <w:szCs w:val="21"/>
                <w:highlight w:val="none"/>
              </w:rPr>
            </w:pPr>
            <w:r>
              <w:rPr>
                <w:rFonts w:ascii="宋体" w:hAnsi="宋体" w:eastAsia="宋体"/>
                <w:color w:val="auto"/>
                <w:szCs w:val="21"/>
                <w:highlight w:val="none"/>
              </w:rPr>
              <w:t>3-4</w:t>
            </w:r>
          </w:p>
        </w:tc>
        <w:tc>
          <w:tcPr>
            <w:tcW w:w="954" w:type="dxa"/>
            <w:noWrap w:val="0"/>
            <w:vAlign w:val="center"/>
          </w:tcPr>
          <w:p w14:paraId="39AB3F3C">
            <w:pPr>
              <w:jc w:val="center"/>
              <w:rPr>
                <w:rFonts w:ascii="宋体" w:hAnsi="宋体" w:eastAsia="宋体"/>
                <w:color w:val="auto"/>
                <w:szCs w:val="21"/>
                <w:highlight w:val="none"/>
              </w:rPr>
            </w:pPr>
            <w:r>
              <w:rPr>
                <w:rFonts w:ascii="宋体" w:hAnsi="宋体" w:eastAsia="宋体"/>
                <w:color w:val="auto"/>
                <w:szCs w:val="21"/>
                <w:highlight w:val="none"/>
              </w:rPr>
              <w:t>5-6</w:t>
            </w:r>
          </w:p>
        </w:tc>
        <w:tc>
          <w:tcPr>
            <w:tcW w:w="947" w:type="dxa"/>
            <w:noWrap w:val="0"/>
            <w:vAlign w:val="center"/>
          </w:tcPr>
          <w:p w14:paraId="0FC096C8">
            <w:pPr>
              <w:jc w:val="center"/>
              <w:rPr>
                <w:rFonts w:ascii="宋体" w:hAnsi="宋体" w:eastAsia="宋体"/>
                <w:color w:val="auto"/>
                <w:szCs w:val="21"/>
                <w:highlight w:val="none"/>
              </w:rPr>
            </w:pPr>
            <w:r>
              <w:rPr>
                <w:rFonts w:ascii="宋体" w:hAnsi="宋体" w:eastAsia="宋体"/>
                <w:color w:val="auto"/>
                <w:szCs w:val="21"/>
                <w:highlight w:val="none"/>
              </w:rPr>
              <w:t>&gt;8</w:t>
            </w:r>
          </w:p>
        </w:tc>
        <w:tc>
          <w:tcPr>
            <w:tcW w:w="947" w:type="dxa"/>
            <w:noWrap w:val="0"/>
            <w:vAlign w:val="center"/>
          </w:tcPr>
          <w:p w14:paraId="0C69B4DC">
            <w:pPr>
              <w:jc w:val="center"/>
              <w:rPr>
                <w:rFonts w:ascii="宋体" w:hAnsi="宋体" w:eastAsia="宋体"/>
                <w:color w:val="auto"/>
                <w:szCs w:val="21"/>
                <w:highlight w:val="none"/>
              </w:rPr>
            </w:pPr>
            <w:r>
              <w:rPr>
                <w:rFonts w:ascii="宋体" w:hAnsi="宋体" w:eastAsia="宋体"/>
                <w:color w:val="auto"/>
                <w:szCs w:val="21"/>
                <w:highlight w:val="none"/>
              </w:rPr>
              <w:t>Ac</w:t>
            </w:r>
          </w:p>
        </w:tc>
        <w:tc>
          <w:tcPr>
            <w:tcW w:w="802" w:type="dxa"/>
            <w:noWrap w:val="0"/>
            <w:vAlign w:val="center"/>
          </w:tcPr>
          <w:p w14:paraId="6E47E156">
            <w:pPr>
              <w:jc w:val="center"/>
              <w:rPr>
                <w:rFonts w:ascii="宋体" w:hAnsi="宋体" w:eastAsia="宋体"/>
                <w:color w:val="auto"/>
                <w:szCs w:val="21"/>
                <w:highlight w:val="none"/>
              </w:rPr>
            </w:pPr>
            <w:r>
              <w:rPr>
                <w:rFonts w:ascii="宋体" w:hAnsi="宋体" w:eastAsia="宋体"/>
                <w:color w:val="auto"/>
                <w:szCs w:val="21"/>
                <w:highlight w:val="none"/>
              </w:rPr>
              <w:t>Re</w:t>
            </w:r>
          </w:p>
        </w:tc>
      </w:tr>
      <w:tr w14:paraId="79682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7" w:hRule="atLeast"/>
          <w:jc w:val="center"/>
        </w:trPr>
        <w:tc>
          <w:tcPr>
            <w:tcW w:w="1413" w:type="dxa"/>
            <w:noWrap w:val="0"/>
            <w:vAlign w:val="center"/>
          </w:tcPr>
          <w:p w14:paraId="3B5AB513">
            <w:pPr>
              <w:jc w:val="center"/>
              <w:rPr>
                <w:rFonts w:ascii="宋体" w:hAnsi="宋体" w:eastAsia="宋体"/>
                <w:color w:val="auto"/>
                <w:szCs w:val="21"/>
                <w:highlight w:val="none"/>
              </w:rPr>
            </w:pPr>
            <w:r>
              <w:rPr>
                <w:rFonts w:ascii="宋体" w:hAnsi="宋体" w:eastAsia="宋体"/>
                <w:color w:val="auto"/>
                <w:szCs w:val="21"/>
                <w:highlight w:val="none"/>
              </w:rPr>
              <w:t>50-500</w:t>
            </w:r>
          </w:p>
        </w:tc>
        <w:tc>
          <w:tcPr>
            <w:tcW w:w="1176" w:type="dxa"/>
            <w:noWrap w:val="0"/>
            <w:vAlign w:val="center"/>
          </w:tcPr>
          <w:p w14:paraId="357704F6">
            <w:pPr>
              <w:jc w:val="center"/>
              <w:rPr>
                <w:rFonts w:ascii="宋体" w:hAnsi="宋体" w:eastAsia="宋体"/>
                <w:color w:val="auto"/>
                <w:szCs w:val="21"/>
                <w:highlight w:val="none"/>
              </w:rPr>
            </w:pPr>
            <w:r>
              <w:rPr>
                <w:rFonts w:hint="eastAsia" w:ascii="宋体" w:hAnsi="宋体" w:eastAsia="宋体"/>
                <w:color w:val="auto"/>
                <w:szCs w:val="21"/>
                <w:highlight w:val="none"/>
              </w:rPr>
              <w:t>第一</w:t>
            </w:r>
            <w:r>
              <w:rPr>
                <w:rFonts w:ascii="宋体" w:hAnsi="宋体" w:eastAsia="宋体"/>
                <w:color w:val="auto"/>
                <w:szCs w:val="21"/>
                <w:highlight w:val="none"/>
              </w:rPr>
              <w:t xml:space="preserve">  13</w:t>
            </w:r>
          </w:p>
          <w:p w14:paraId="44616D42">
            <w:pPr>
              <w:jc w:val="center"/>
              <w:rPr>
                <w:rFonts w:ascii="宋体" w:hAnsi="宋体" w:eastAsia="宋体"/>
                <w:color w:val="auto"/>
                <w:szCs w:val="21"/>
                <w:highlight w:val="none"/>
              </w:rPr>
            </w:pPr>
            <w:r>
              <w:rPr>
                <w:rFonts w:hint="eastAsia" w:ascii="宋体" w:hAnsi="宋体" w:eastAsia="宋体"/>
                <w:color w:val="auto"/>
                <w:szCs w:val="21"/>
                <w:highlight w:val="none"/>
              </w:rPr>
              <w:t>第二</w:t>
            </w:r>
            <w:r>
              <w:rPr>
                <w:rFonts w:ascii="宋体" w:hAnsi="宋体" w:eastAsia="宋体"/>
                <w:color w:val="auto"/>
                <w:szCs w:val="21"/>
                <w:highlight w:val="none"/>
              </w:rPr>
              <w:t xml:space="preserve">  13</w:t>
            </w:r>
          </w:p>
        </w:tc>
        <w:tc>
          <w:tcPr>
            <w:tcW w:w="1200" w:type="dxa"/>
            <w:noWrap w:val="0"/>
            <w:vAlign w:val="center"/>
          </w:tcPr>
          <w:p w14:paraId="4E88E8BC">
            <w:pPr>
              <w:ind w:firstLine="315" w:firstLineChars="150"/>
              <w:jc w:val="center"/>
              <w:rPr>
                <w:rFonts w:ascii="宋体" w:hAnsi="宋体" w:eastAsia="宋体"/>
                <w:color w:val="auto"/>
                <w:szCs w:val="21"/>
                <w:highlight w:val="none"/>
              </w:rPr>
            </w:pPr>
          </w:p>
        </w:tc>
        <w:tc>
          <w:tcPr>
            <w:tcW w:w="778" w:type="dxa"/>
            <w:noWrap w:val="0"/>
            <w:vAlign w:val="center"/>
          </w:tcPr>
          <w:p w14:paraId="2D46FE6D">
            <w:pPr>
              <w:jc w:val="center"/>
              <w:rPr>
                <w:rFonts w:ascii="宋体" w:hAnsi="宋体" w:eastAsia="宋体"/>
                <w:color w:val="auto"/>
                <w:szCs w:val="21"/>
                <w:highlight w:val="none"/>
              </w:rPr>
            </w:pPr>
            <w:r>
              <w:rPr>
                <w:rFonts w:ascii="宋体" w:hAnsi="宋体" w:eastAsia="宋体"/>
                <w:color w:val="auto"/>
                <w:szCs w:val="21"/>
                <w:highlight w:val="none"/>
              </w:rPr>
              <w:t>4</w:t>
            </w:r>
          </w:p>
          <w:p w14:paraId="7C44C761">
            <w:pPr>
              <w:jc w:val="center"/>
              <w:rPr>
                <w:rFonts w:ascii="宋体" w:hAnsi="宋体" w:eastAsia="宋体"/>
                <w:color w:val="auto"/>
                <w:szCs w:val="21"/>
                <w:highlight w:val="none"/>
              </w:rPr>
            </w:pPr>
            <w:r>
              <w:rPr>
                <w:rFonts w:ascii="宋体" w:hAnsi="宋体" w:eastAsia="宋体"/>
                <w:color w:val="auto"/>
                <w:szCs w:val="21"/>
                <w:highlight w:val="none"/>
              </w:rPr>
              <w:t>8</w:t>
            </w:r>
          </w:p>
        </w:tc>
        <w:tc>
          <w:tcPr>
            <w:tcW w:w="954" w:type="dxa"/>
            <w:noWrap w:val="0"/>
            <w:vAlign w:val="center"/>
          </w:tcPr>
          <w:p w14:paraId="4D010A2D">
            <w:pPr>
              <w:jc w:val="center"/>
              <w:rPr>
                <w:rFonts w:ascii="宋体" w:hAnsi="宋体" w:eastAsia="宋体"/>
                <w:color w:val="auto"/>
                <w:szCs w:val="21"/>
                <w:highlight w:val="none"/>
              </w:rPr>
            </w:pPr>
            <w:r>
              <w:rPr>
                <w:rFonts w:ascii="宋体" w:hAnsi="宋体" w:eastAsia="宋体"/>
                <w:color w:val="auto"/>
                <w:szCs w:val="21"/>
                <w:highlight w:val="none"/>
              </w:rPr>
              <w:t>5</w:t>
            </w:r>
          </w:p>
          <w:p w14:paraId="16D21915">
            <w:pPr>
              <w:jc w:val="center"/>
              <w:rPr>
                <w:rFonts w:ascii="宋体" w:hAnsi="宋体" w:eastAsia="宋体"/>
                <w:color w:val="auto"/>
                <w:szCs w:val="21"/>
                <w:highlight w:val="none"/>
              </w:rPr>
            </w:pPr>
            <w:r>
              <w:rPr>
                <w:rFonts w:ascii="宋体" w:hAnsi="宋体" w:eastAsia="宋体"/>
                <w:color w:val="auto"/>
                <w:szCs w:val="21"/>
                <w:highlight w:val="none"/>
              </w:rPr>
              <w:t>10</w:t>
            </w:r>
          </w:p>
        </w:tc>
        <w:tc>
          <w:tcPr>
            <w:tcW w:w="947" w:type="dxa"/>
            <w:noWrap w:val="0"/>
            <w:vAlign w:val="center"/>
          </w:tcPr>
          <w:p w14:paraId="20F5D922">
            <w:pPr>
              <w:jc w:val="center"/>
              <w:rPr>
                <w:rFonts w:ascii="宋体" w:hAnsi="宋体" w:eastAsia="宋体"/>
                <w:color w:val="auto"/>
                <w:szCs w:val="21"/>
                <w:highlight w:val="none"/>
              </w:rPr>
            </w:pPr>
            <w:r>
              <w:rPr>
                <w:rFonts w:ascii="宋体" w:hAnsi="宋体" w:eastAsia="宋体"/>
                <w:color w:val="auto"/>
                <w:szCs w:val="21"/>
                <w:highlight w:val="none"/>
              </w:rPr>
              <w:t>4</w:t>
            </w:r>
          </w:p>
          <w:p w14:paraId="4B28B26B">
            <w:pPr>
              <w:jc w:val="center"/>
              <w:rPr>
                <w:rFonts w:ascii="宋体" w:hAnsi="宋体" w:eastAsia="宋体"/>
                <w:color w:val="auto"/>
                <w:szCs w:val="21"/>
                <w:highlight w:val="none"/>
              </w:rPr>
            </w:pPr>
            <w:r>
              <w:rPr>
                <w:rFonts w:ascii="宋体" w:hAnsi="宋体" w:eastAsia="宋体"/>
                <w:color w:val="auto"/>
                <w:szCs w:val="21"/>
                <w:highlight w:val="none"/>
              </w:rPr>
              <w:t>8</w:t>
            </w:r>
          </w:p>
        </w:tc>
        <w:tc>
          <w:tcPr>
            <w:tcW w:w="947" w:type="dxa"/>
            <w:noWrap w:val="0"/>
            <w:vAlign w:val="center"/>
          </w:tcPr>
          <w:p w14:paraId="1E2498C9">
            <w:pPr>
              <w:jc w:val="center"/>
              <w:rPr>
                <w:rFonts w:ascii="宋体" w:hAnsi="宋体" w:eastAsia="宋体"/>
                <w:color w:val="auto"/>
                <w:szCs w:val="21"/>
                <w:highlight w:val="none"/>
              </w:rPr>
            </w:pPr>
            <w:r>
              <w:rPr>
                <w:rFonts w:ascii="宋体" w:hAnsi="宋体" w:eastAsia="宋体"/>
                <w:color w:val="auto"/>
                <w:szCs w:val="21"/>
                <w:highlight w:val="none"/>
              </w:rPr>
              <w:t>0</w:t>
            </w:r>
          </w:p>
          <w:p w14:paraId="10161611">
            <w:pPr>
              <w:jc w:val="center"/>
              <w:rPr>
                <w:rFonts w:ascii="宋体" w:hAnsi="宋体" w:eastAsia="宋体"/>
                <w:color w:val="auto"/>
                <w:szCs w:val="21"/>
                <w:highlight w:val="none"/>
              </w:rPr>
            </w:pPr>
            <w:r>
              <w:rPr>
                <w:rFonts w:ascii="宋体" w:hAnsi="宋体" w:eastAsia="宋体"/>
                <w:color w:val="auto"/>
                <w:szCs w:val="21"/>
                <w:highlight w:val="none"/>
              </w:rPr>
              <w:t>3</w:t>
            </w:r>
          </w:p>
        </w:tc>
        <w:tc>
          <w:tcPr>
            <w:tcW w:w="802" w:type="dxa"/>
            <w:noWrap w:val="0"/>
            <w:vAlign w:val="center"/>
          </w:tcPr>
          <w:p w14:paraId="01F25E03">
            <w:pPr>
              <w:jc w:val="center"/>
              <w:rPr>
                <w:rFonts w:ascii="宋体" w:hAnsi="宋体" w:eastAsia="宋体"/>
                <w:color w:val="auto"/>
                <w:szCs w:val="21"/>
                <w:highlight w:val="none"/>
              </w:rPr>
            </w:pPr>
            <w:r>
              <w:rPr>
                <w:rFonts w:ascii="宋体" w:hAnsi="宋体" w:eastAsia="宋体"/>
                <w:color w:val="auto"/>
                <w:szCs w:val="21"/>
                <w:highlight w:val="none"/>
              </w:rPr>
              <w:t>3</w:t>
            </w:r>
          </w:p>
          <w:p w14:paraId="3FEEE546">
            <w:pPr>
              <w:jc w:val="center"/>
              <w:rPr>
                <w:rFonts w:ascii="宋体" w:hAnsi="宋体" w:eastAsia="宋体"/>
                <w:color w:val="auto"/>
                <w:szCs w:val="21"/>
                <w:highlight w:val="none"/>
              </w:rPr>
            </w:pPr>
            <w:r>
              <w:rPr>
                <w:rFonts w:ascii="宋体" w:hAnsi="宋体" w:eastAsia="宋体"/>
                <w:color w:val="auto"/>
                <w:szCs w:val="21"/>
                <w:highlight w:val="none"/>
              </w:rPr>
              <w:t>4</w:t>
            </w:r>
          </w:p>
        </w:tc>
      </w:tr>
      <w:tr w14:paraId="265D6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3" w:hRule="atLeast"/>
          <w:jc w:val="center"/>
        </w:trPr>
        <w:tc>
          <w:tcPr>
            <w:tcW w:w="1413" w:type="dxa"/>
            <w:noWrap w:val="0"/>
            <w:vAlign w:val="center"/>
          </w:tcPr>
          <w:p w14:paraId="0E0512FB">
            <w:pPr>
              <w:jc w:val="center"/>
              <w:rPr>
                <w:rFonts w:ascii="宋体" w:hAnsi="宋体" w:eastAsia="宋体"/>
                <w:color w:val="auto"/>
                <w:szCs w:val="21"/>
                <w:highlight w:val="none"/>
              </w:rPr>
            </w:pPr>
            <w:r>
              <w:rPr>
                <w:rFonts w:ascii="宋体" w:hAnsi="宋体" w:eastAsia="宋体"/>
                <w:color w:val="auto"/>
                <w:szCs w:val="21"/>
                <w:highlight w:val="none"/>
              </w:rPr>
              <w:t>501-1200</w:t>
            </w:r>
          </w:p>
        </w:tc>
        <w:tc>
          <w:tcPr>
            <w:tcW w:w="1176" w:type="dxa"/>
            <w:noWrap w:val="0"/>
            <w:vAlign w:val="center"/>
          </w:tcPr>
          <w:p w14:paraId="7E4316E1">
            <w:pPr>
              <w:jc w:val="center"/>
              <w:rPr>
                <w:rFonts w:ascii="宋体" w:hAnsi="宋体" w:eastAsia="宋体"/>
                <w:color w:val="auto"/>
                <w:szCs w:val="21"/>
                <w:highlight w:val="none"/>
              </w:rPr>
            </w:pPr>
            <w:r>
              <w:rPr>
                <w:rFonts w:hint="eastAsia" w:ascii="宋体" w:hAnsi="宋体" w:eastAsia="宋体"/>
                <w:color w:val="auto"/>
                <w:szCs w:val="21"/>
                <w:highlight w:val="none"/>
              </w:rPr>
              <w:t>第一</w:t>
            </w:r>
            <w:r>
              <w:rPr>
                <w:rFonts w:ascii="宋体" w:hAnsi="宋体" w:eastAsia="宋体"/>
                <w:color w:val="auto"/>
                <w:szCs w:val="21"/>
                <w:highlight w:val="none"/>
              </w:rPr>
              <w:t xml:space="preserve">  20</w:t>
            </w:r>
          </w:p>
          <w:p w14:paraId="78D082B6">
            <w:pPr>
              <w:jc w:val="center"/>
              <w:rPr>
                <w:rFonts w:ascii="宋体" w:hAnsi="宋体" w:eastAsia="宋体"/>
                <w:color w:val="auto"/>
                <w:szCs w:val="21"/>
                <w:highlight w:val="none"/>
              </w:rPr>
            </w:pPr>
            <w:r>
              <w:rPr>
                <w:rFonts w:hint="eastAsia" w:ascii="宋体" w:hAnsi="宋体" w:eastAsia="宋体"/>
                <w:color w:val="auto"/>
                <w:szCs w:val="21"/>
                <w:highlight w:val="none"/>
              </w:rPr>
              <w:t>第二</w:t>
            </w:r>
            <w:r>
              <w:rPr>
                <w:rFonts w:ascii="宋体" w:hAnsi="宋体" w:eastAsia="宋体"/>
                <w:color w:val="auto"/>
                <w:szCs w:val="21"/>
                <w:highlight w:val="none"/>
              </w:rPr>
              <w:t xml:space="preserve">  20</w:t>
            </w:r>
          </w:p>
        </w:tc>
        <w:tc>
          <w:tcPr>
            <w:tcW w:w="1200" w:type="dxa"/>
            <w:noWrap w:val="0"/>
            <w:vAlign w:val="center"/>
          </w:tcPr>
          <w:p w14:paraId="443C580F">
            <w:pPr>
              <w:ind w:firstLine="315" w:firstLineChars="150"/>
              <w:jc w:val="center"/>
              <w:rPr>
                <w:rFonts w:ascii="宋体" w:hAnsi="宋体" w:eastAsia="宋体"/>
                <w:color w:val="auto"/>
                <w:szCs w:val="21"/>
                <w:highlight w:val="none"/>
              </w:rPr>
            </w:pPr>
          </w:p>
        </w:tc>
        <w:tc>
          <w:tcPr>
            <w:tcW w:w="778" w:type="dxa"/>
            <w:noWrap w:val="0"/>
            <w:vAlign w:val="center"/>
          </w:tcPr>
          <w:p w14:paraId="1BC4AB4D">
            <w:pPr>
              <w:jc w:val="center"/>
              <w:rPr>
                <w:rFonts w:ascii="宋体" w:hAnsi="宋体" w:eastAsia="宋体"/>
                <w:color w:val="auto"/>
                <w:szCs w:val="21"/>
                <w:highlight w:val="none"/>
              </w:rPr>
            </w:pPr>
            <w:r>
              <w:rPr>
                <w:rFonts w:ascii="宋体" w:hAnsi="宋体" w:eastAsia="宋体"/>
                <w:color w:val="auto"/>
                <w:szCs w:val="21"/>
                <w:highlight w:val="none"/>
              </w:rPr>
              <w:t>6</w:t>
            </w:r>
          </w:p>
          <w:p w14:paraId="43F3C304">
            <w:pPr>
              <w:jc w:val="center"/>
              <w:rPr>
                <w:rFonts w:ascii="宋体" w:hAnsi="宋体" w:eastAsia="宋体"/>
                <w:color w:val="auto"/>
                <w:szCs w:val="21"/>
                <w:highlight w:val="none"/>
              </w:rPr>
            </w:pPr>
            <w:r>
              <w:rPr>
                <w:rFonts w:ascii="宋体" w:hAnsi="宋体" w:eastAsia="宋体"/>
                <w:color w:val="auto"/>
                <w:szCs w:val="21"/>
                <w:highlight w:val="none"/>
              </w:rPr>
              <w:t>12</w:t>
            </w:r>
          </w:p>
        </w:tc>
        <w:tc>
          <w:tcPr>
            <w:tcW w:w="954" w:type="dxa"/>
            <w:noWrap w:val="0"/>
            <w:vAlign w:val="center"/>
          </w:tcPr>
          <w:p w14:paraId="6EEDD827">
            <w:pPr>
              <w:jc w:val="center"/>
              <w:rPr>
                <w:rFonts w:ascii="宋体" w:hAnsi="宋体" w:eastAsia="宋体"/>
                <w:color w:val="auto"/>
                <w:szCs w:val="21"/>
                <w:highlight w:val="none"/>
              </w:rPr>
            </w:pPr>
            <w:r>
              <w:rPr>
                <w:rFonts w:ascii="宋体" w:hAnsi="宋体" w:eastAsia="宋体"/>
                <w:color w:val="auto"/>
                <w:szCs w:val="21"/>
                <w:highlight w:val="none"/>
              </w:rPr>
              <w:t>8</w:t>
            </w:r>
          </w:p>
          <w:p w14:paraId="00293283">
            <w:pPr>
              <w:jc w:val="center"/>
              <w:rPr>
                <w:rFonts w:ascii="宋体" w:hAnsi="宋体" w:eastAsia="宋体"/>
                <w:color w:val="auto"/>
                <w:szCs w:val="21"/>
                <w:highlight w:val="none"/>
              </w:rPr>
            </w:pPr>
            <w:r>
              <w:rPr>
                <w:rFonts w:ascii="宋体" w:hAnsi="宋体" w:eastAsia="宋体"/>
                <w:color w:val="auto"/>
                <w:szCs w:val="21"/>
                <w:highlight w:val="none"/>
              </w:rPr>
              <w:t>16</w:t>
            </w:r>
          </w:p>
        </w:tc>
        <w:tc>
          <w:tcPr>
            <w:tcW w:w="947" w:type="dxa"/>
            <w:noWrap w:val="0"/>
            <w:vAlign w:val="center"/>
          </w:tcPr>
          <w:p w14:paraId="3C79EE74">
            <w:pPr>
              <w:jc w:val="center"/>
              <w:rPr>
                <w:rFonts w:ascii="宋体" w:hAnsi="宋体" w:eastAsia="宋体"/>
                <w:color w:val="auto"/>
                <w:szCs w:val="21"/>
                <w:highlight w:val="none"/>
              </w:rPr>
            </w:pPr>
            <w:r>
              <w:rPr>
                <w:rFonts w:ascii="宋体" w:hAnsi="宋体" w:eastAsia="宋体"/>
                <w:color w:val="auto"/>
                <w:szCs w:val="21"/>
                <w:highlight w:val="none"/>
              </w:rPr>
              <w:t>6</w:t>
            </w:r>
          </w:p>
          <w:p w14:paraId="1271252D">
            <w:pPr>
              <w:jc w:val="center"/>
              <w:rPr>
                <w:rFonts w:ascii="宋体" w:hAnsi="宋体" w:eastAsia="宋体"/>
                <w:color w:val="auto"/>
                <w:szCs w:val="21"/>
                <w:highlight w:val="none"/>
              </w:rPr>
            </w:pPr>
            <w:r>
              <w:rPr>
                <w:rFonts w:ascii="宋体" w:hAnsi="宋体" w:eastAsia="宋体"/>
                <w:color w:val="auto"/>
                <w:szCs w:val="21"/>
                <w:highlight w:val="none"/>
              </w:rPr>
              <w:t>12</w:t>
            </w:r>
          </w:p>
        </w:tc>
        <w:tc>
          <w:tcPr>
            <w:tcW w:w="947" w:type="dxa"/>
            <w:noWrap w:val="0"/>
            <w:vAlign w:val="center"/>
          </w:tcPr>
          <w:p w14:paraId="7E95D076">
            <w:pPr>
              <w:jc w:val="center"/>
              <w:rPr>
                <w:rFonts w:ascii="宋体" w:hAnsi="宋体" w:eastAsia="宋体"/>
                <w:color w:val="auto"/>
                <w:szCs w:val="21"/>
                <w:highlight w:val="none"/>
              </w:rPr>
            </w:pPr>
            <w:r>
              <w:rPr>
                <w:rFonts w:ascii="宋体" w:hAnsi="宋体" w:eastAsia="宋体"/>
                <w:color w:val="auto"/>
                <w:szCs w:val="21"/>
                <w:highlight w:val="none"/>
              </w:rPr>
              <w:t>1</w:t>
            </w:r>
          </w:p>
          <w:p w14:paraId="2AE55021">
            <w:pPr>
              <w:jc w:val="center"/>
              <w:rPr>
                <w:rFonts w:ascii="宋体" w:hAnsi="宋体" w:eastAsia="宋体"/>
                <w:color w:val="auto"/>
                <w:szCs w:val="21"/>
                <w:highlight w:val="none"/>
              </w:rPr>
            </w:pPr>
            <w:r>
              <w:rPr>
                <w:rFonts w:ascii="宋体" w:hAnsi="宋体" w:eastAsia="宋体"/>
                <w:color w:val="auto"/>
                <w:szCs w:val="21"/>
                <w:highlight w:val="none"/>
              </w:rPr>
              <w:t>4</w:t>
            </w:r>
          </w:p>
        </w:tc>
        <w:tc>
          <w:tcPr>
            <w:tcW w:w="802" w:type="dxa"/>
            <w:noWrap w:val="0"/>
            <w:vAlign w:val="center"/>
          </w:tcPr>
          <w:p w14:paraId="4F602892">
            <w:pPr>
              <w:jc w:val="center"/>
              <w:rPr>
                <w:rFonts w:ascii="宋体" w:hAnsi="宋体" w:eastAsia="宋体"/>
                <w:color w:val="auto"/>
                <w:szCs w:val="21"/>
                <w:highlight w:val="none"/>
              </w:rPr>
            </w:pPr>
            <w:r>
              <w:rPr>
                <w:rFonts w:ascii="宋体" w:hAnsi="宋体" w:eastAsia="宋体"/>
                <w:color w:val="auto"/>
                <w:szCs w:val="21"/>
                <w:highlight w:val="none"/>
              </w:rPr>
              <w:t>3</w:t>
            </w:r>
          </w:p>
          <w:p w14:paraId="6469AF6C">
            <w:pPr>
              <w:jc w:val="center"/>
              <w:rPr>
                <w:rFonts w:ascii="宋体" w:hAnsi="宋体" w:eastAsia="宋体"/>
                <w:color w:val="auto"/>
                <w:szCs w:val="21"/>
                <w:highlight w:val="none"/>
              </w:rPr>
            </w:pPr>
            <w:r>
              <w:rPr>
                <w:rFonts w:ascii="宋体" w:hAnsi="宋体" w:eastAsia="宋体"/>
                <w:color w:val="auto"/>
                <w:szCs w:val="21"/>
                <w:highlight w:val="none"/>
              </w:rPr>
              <w:t>5</w:t>
            </w:r>
          </w:p>
        </w:tc>
      </w:tr>
      <w:tr w14:paraId="7AA80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13" w:type="dxa"/>
            <w:noWrap w:val="0"/>
            <w:vAlign w:val="center"/>
          </w:tcPr>
          <w:p w14:paraId="3EA3A488">
            <w:pPr>
              <w:jc w:val="center"/>
              <w:rPr>
                <w:rFonts w:ascii="宋体" w:hAnsi="宋体" w:eastAsia="宋体"/>
                <w:color w:val="auto"/>
                <w:szCs w:val="21"/>
                <w:highlight w:val="none"/>
              </w:rPr>
            </w:pPr>
            <w:r>
              <w:rPr>
                <w:rFonts w:ascii="宋体" w:hAnsi="宋体" w:eastAsia="宋体"/>
                <w:color w:val="auto"/>
                <w:szCs w:val="21"/>
                <w:highlight w:val="none"/>
              </w:rPr>
              <w:t>1201-3200</w:t>
            </w:r>
          </w:p>
        </w:tc>
        <w:tc>
          <w:tcPr>
            <w:tcW w:w="1176" w:type="dxa"/>
            <w:noWrap w:val="0"/>
            <w:vAlign w:val="center"/>
          </w:tcPr>
          <w:p w14:paraId="1EB9A2AD">
            <w:pPr>
              <w:jc w:val="center"/>
              <w:rPr>
                <w:rFonts w:ascii="宋体" w:hAnsi="宋体" w:eastAsia="宋体"/>
                <w:color w:val="auto"/>
                <w:szCs w:val="21"/>
                <w:highlight w:val="none"/>
              </w:rPr>
            </w:pPr>
            <w:r>
              <w:rPr>
                <w:rFonts w:hint="eastAsia" w:ascii="宋体" w:hAnsi="宋体" w:eastAsia="宋体"/>
                <w:color w:val="auto"/>
                <w:szCs w:val="21"/>
                <w:highlight w:val="none"/>
              </w:rPr>
              <w:t>第一</w:t>
            </w:r>
            <w:r>
              <w:rPr>
                <w:rFonts w:ascii="宋体" w:hAnsi="宋体" w:eastAsia="宋体"/>
                <w:color w:val="auto"/>
                <w:szCs w:val="21"/>
                <w:highlight w:val="none"/>
              </w:rPr>
              <w:t xml:space="preserve">  32</w:t>
            </w:r>
          </w:p>
          <w:p w14:paraId="45F80D1F">
            <w:pPr>
              <w:jc w:val="center"/>
              <w:rPr>
                <w:rFonts w:ascii="宋体" w:hAnsi="宋体" w:eastAsia="宋体"/>
                <w:color w:val="auto"/>
                <w:szCs w:val="21"/>
                <w:highlight w:val="none"/>
              </w:rPr>
            </w:pPr>
            <w:r>
              <w:rPr>
                <w:rFonts w:hint="eastAsia" w:ascii="宋体" w:hAnsi="宋体" w:eastAsia="宋体"/>
                <w:color w:val="auto"/>
                <w:szCs w:val="21"/>
                <w:highlight w:val="none"/>
              </w:rPr>
              <w:t>第二</w:t>
            </w:r>
            <w:r>
              <w:rPr>
                <w:rFonts w:ascii="宋体" w:hAnsi="宋体" w:eastAsia="宋体"/>
                <w:color w:val="auto"/>
                <w:szCs w:val="21"/>
                <w:highlight w:val="none"/>
              </w:rPr>
              <w:t xml:space="preserve">  32</w:t>
            </w:r>
          </w:p>
        </w:tc>
        <w:tc>
          <w:tcPr>
            <w:tcW w:w="1200" w:type="dxa"/>
            <w:noWrap w:val="0"/>
            <w:vAlign w:val="center"/>
          </w:tcPr>
          <w:p w14:paraId="05F70DEB">
            <w:pPr>
              <w:ind w:firstLine="315" w:firstLineChars="150"/>
              <w:jc w:val="center"/>
              <w:rPr>
                <w:rFonts w:ascii="宋体" w:hAnsi="宋体" w:eastAsia="宋体"/>
                <w:color w:val="auto"/>
                <w:szCs w:val="21"/>
                <w:highlight w:val="none"/>
              </w:rPr>
            </w:pPr>
          </w:p>
        </w:tc>
        <w:tc>
          <w:tcPr>
            <w:tcW w:w="778" w:type="dxa"/>
            <w:noWrap w:val="0"/>
            <w:vAlign w:val="center"/>
          </w:tcPr>
          <w:p w14:paraId="483DD06F">
            <w:pPr>
              <w:jc w:val="center"/>
              <w:rPr>
                <w:rFonts w:ascii="宋体" w:hAnsi="宋体" w:eastAsia="宋体"/>
                <w:color w:val="auto"/>
                <w:szCs w:val="21"/>
                <w:highlight w:val="none"/>
              </w:rPr>
            </w:pPr>
            <w:r>
              <w:rPr>
                <w:rFonts w:ascii="宋体" w:hAnsi="宋体" w:eastAsia="宋体"/>
                <w:color w:val="auto"/>
                <w:szCs w:val="21"/>
                <w:highlight w:val="none"/>
              </w:rPr>
              <w:t>10</w:t>
            </w:r>
          </w:p>
          <w:p w14:paraId="3AAC3FDF">
            <w:pPr>
              <w:jc w:val="center"/>
              <w:rPr>
                <w:rFonts w:ascii="宋体" w:hAnsi="宋体" w:eastAsia="宋体"/>
                <w:color w:val="auto"/>
                <w:szCs w:val="21"/>
                <w:highlight w:val="none"/>
              </w:rPr>
            </w:pPr>
            <w:r>
              <w:rPr>
                <w:rFonts w:ascii="宋体" w:hAnsi="宋体" w:eastAsia="宋体"/>
                <w:color w:val="auto"/>
                <w:szCs w:val="21"/>
                <w:highlight w:val="none"/>
              </w:rPr>
              <w:t>20</w:t>
            </w:r>
          </w:p>
        </w:tc>
        <w:tc>
          <w:tcPr>
            <w:tcW w:w="954" w:type="dxa"/>
            <w:noWrap w:val="0"/>
            <w:vAlign w:val="center"/>
          </w:tcPr>
          <w:p w14:paraId="540A91FA">
            <w:pPr>
              <w:jc w:val="center"/>
              <w:rPr>
                <w:rFonts w:ascii="宋体" w:hAnsi="宋体" w:eastAsia="宋体"/>
                <w:color w:val="auto"/>
                <w:szCs w:val="21"/>
                <w:highlight w:val="none"/>
              </w:rPr>
            </w:pPr>
            <w:r>
              <w:rPr>
                <w:rFonts w:ascii="宋体" w:hAnsi="宋体" w:eastAsia="宋体"/>
                <w:color w:val="auto"/>
                <w:szCs w:val="21"/>
                <w:highlight w:val="none"/>
              </w:rPr>
              <w:t>12</w:t>
            </w:r>
          </w:p>
          <w:p w14:paraId="5E11B475">
            <w:pPr>
              <w:jc w:val="center"/>
              <w:rPr>
                <w:rFonts w:ascii="宋体" w:hAnsi="宋体" w:eastAsia="宋体"/>
                <w:color w:val="auto"/>
                <w:szCs w:val="21"/>
                <w:highlight w:val="none"/>
              </w:rPr>
            </w:pPr>
            <w:r>
              <w:rPr>
                <w:rFonts w:ascii="宋体" w:hAnsi="宋体" w:eastAsia="宋体"/>
                <w:color w:val="auto"/>
                <w:szCs w:val="21"/>
                <w:highlight w:val="none"/>
              </w:rPr>
              <w:t>24</w:t>
            </w:r>
          </w:p>
        </w:tc>
        <w:tc>
          <w:tcPr>
            <w:tcW w:w="947" w:type="dxa"/>
            <w:noWrap w:val="0"/>
            <w:vAlign w:val="center"/>
          </w:tcPr>
          <w:p w14:paraId="3157E471">
            <w:pPr>
              <w:jc w:val="center"/>
              <w:rPr>
                <w:rFonts w:ascii="宋体" w:hAnsi="宋体" w:eastAsia="宋体"/>
                <w:color w:val="auto"/>
                <w:szCs w:val="21"/>
                <w:highlight w:val="none"/>
              </w:rPr>
            </w:pPr>
            <w:r>
              <w:rPr>
                <w:rFonts w:ascii="宋体" w:hAnsi="宋体" w:eastAsia="宋体"/>
                <w:color w:val="auto"/>
                <w:szCs w:val="21"/>
                <w:highlight w:val="none"/>
              </w:rPr>
              <w:t>10</w:t>
            </w:r>
          </w:p>
          <w:p w14:paraId="02498106">
            <w:pPr>
              <w:jc w:val="center"/>
              <w:rPr>
                <w:rFonts w:ascii="宋体" w:hAnsi="宋体" w:eastAsia="宋体"/>
                <w:color w:val="auto"/>
                <w:szCs w:val="21"/>
                <w:highlight w:val="none"/>
              </w:rPr>
            </w:pPr>
            <w:r>
              <w:rPr>
                <w:rFonts w:ascii="宋体" w:hAnsi="宋体" w:eastAsia="宋体"/>
                <w:color w:val="auto"/>
                <w:szCs w:val="21"/>
                <w:highlight w:val="none"/>
              </w:rPr>
              <w:t>20</w:t>
            </w:r>
          </w:p>
        </w:tc>
        <w:tc>
          <w:tcPr>
            <w:tcW w:w="947" w:type="dxa"/>
            <w:noWrap w:val="0"/>
            <w:vAlign w:val="center"/>
          </w:tcPr>
          <w:p w14:paraId="6EDF0BA3">
            <w:pPr>
              <w:jc w:val="center"/>
              <w:rPr>
                <w:rFonts w:ascii="宋体" w:hAnsi="宋体" w:eastAsia="宋体"/>
                <w:color w:val="auto"/>
                <w:szCs w:val="21"/>
                <w:highlight w:val="none"/>
              </w:rPr>
            </w:pPr>
            <w:r>
              <w:rPr>
                <w:rFonts w:ascii="宋体" w:hAnsi="宋体" w:eastAsia="宋体"/>
                <w:color w:val="auto"/>
                <w:szCs w:val="21"/>
                <w:highlight w:val="none"/>
              </w:rPr>
              <w:t>2</w:t>
            </w:r>
          </w:p>
          <w:p w14:paraId="1B5D92E9">
            <w:pPr>
              <w:jc w:val="center"/>
              <w:rPr>
                <w:rFonts w:ascii="宋体" w:hAnsi="宋体" w:eastAsia="宋体"/>
                <w:color w:val="auto"/>
                <w:szCs w:val="21"/>
                <w:highlight w:val="none"/>
              </w:rPr>
            </w:pPr>
            <w:r>
              <w:rPr>
                <w:rFonts w:ascii="宋体" w:hAnsi="宋体" w:eastAsia="宋体"/>
                <w:color w:val="auto"/>
                <w:szCs w:val="21"/>
                <w:highlight w:val="none"/>
              </w:rPr>
              <w:t>6</w:t>
            </w:r>
          </w:p>
        </w:tc>
        <w:tc>
          <w:tcPr>
            <w:tcW w:w="802" w:type="dxa"/>
            <w:noWrap w:val="0"/>
            <w:vAlign w:val="center"/>
          </w:tcPr>
          <w:p w14:paraId="177FC9F5">
            <w:pPr>
              <w:jc w:val="center"/>
              <w:rPr>
                <w:rFonts w:ascii="宋体" w:hAnsi="宋体" w:eastAsia="宋体"/>
                <w:color w:val="auto"/>
                <w:szCs w:val="21"/>
                <w:highlight w:val="none"/>
              </w:rPr>
            </w:pPr>
            <w:r>
              <w:rPr>
                <w:rFonts w:ascii="宋体" w:hAnsi="宋体" w:eastAsia="宋体"/>
                <w:color w:val="auto"/>
                <w:szCs w:val="21"/>
                <w:highlight w:val="none"/>
              </w:rPr>
              <w:t>5</w:t>
            </w:r>
          </w:p>
          <w:p w14:paraId="6336E4E6">
            <w:pPr>
              <w:jc w:val="center"/>
              <w:rPr>
                <w:rFonts w:ascii="宋体" w:hAnsi="宋体" w:eastAsia="宋体"/>
                <w:color w:val="auto"/>
                <w:szCs w:val="21"/>
                <w:highlight w:val="none"/>
              </w:rPr>
            </w:pPr>
            <w:r>
              <w:rPr>
                <w:rFonts w:ascii="宋体" w:hAnsi="宋体" w:eastAsia="宋体"/>
                <w:color w:val="auto"/>
                <w:szCs w:val="21"/>
                <w:highlight w:val="none"/>
              </w:rPr>
              <w:t>7</w:t>
            </w:r>
          </w:p>
        </w:tc>
      </w:tr>
      <w:tr w14:paraId="33D36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13" w:type="dxa"/>
            <w:noWrap w:val="0"/>
            <w:vAlign w:val="center"/>
          </w:tcPr>
          <w:p w14:paraId="3C9F66FB">
            <w:pPr>
              <w:jc w:val="center"/>
              <w:rPr>
                <w:rFonts w:ascii="宋体" w:hAnsi="宋体" w:eastAsia="宋体"/>
                <w:color w:val="auto"/>
                <w:szCs w:val="21"/>
                <w:highlight w:val="none"/>
              </w:rPr>
            </w:pPr>
            <w:r>
              <w:rPr>
                <w:rFonts w:ascii="宋体" w:hAnsi="宋体" w:eastAsia="宋体"/>
                <w:color w:val="auto"/>
                <w:szCs w:val="21"/>
                <w:highlight w:val="none"/>
              </w:rPr>
              <w:t>3201-10000</w:t>
            </w:r>
          </w:p>
        </w:tc>
        <w:tc>
          <w:tcPr>
            <w:tcW w:w="1176" w:type="dxa"/>
            <w:noWrap w:val="0"/>
            <w:vAlign w:val="center"/>
          </w:tcPr>
          <w:p w14:paraId="71F3E2F0">
            <w:pPr>
              <w:jc w:val="center"/>
              <w:rPr>
                <w:rFonts w:ascii="宋体" w:hAnsi="宋体" w:eastAsia="宋体"/>
                <w:color w:val="auto"/>
                <w:szCs w:val="21"/>
                <w:highlight w:val="none"/>
              </w:rPr>
            </w:pPr>
            <w:r>
              <w:rPr>
                <w:rFonts w:hint="eastAsia" w:ascii="宋体" w:hAnsi="宋体" w:eastAsia="宋体"/>
                <w:color w:val="auto"/>
                <w:szCs w:val="21"/>
                <w:highlight w:val="none"/>
              </w:rPr>
              <w:t>第一</w:t>
            </w:r>
            <w:r>
              <w:rPr>
                <w:rFonts w:ascii="宋体" w:hAnsi="宋体" w:eastAsia="宋体"/>
                <w:color w:val="auto"/>
                <w:szCs w:val="21"/>
                <w:highlight w:val="none"/>
              </w:rPr>
              <w:t xml:space="preserve">  50</w:t>
            </w:r>
          </w:p>
          <w:p w14:paraId="5A5C9514">
            <w:pPr>
              <w:jc w:val="center"/>
              <w:rPr>
                <w:rFonts w:ascii="宋体" w:hAnsi="宋体" w:eastAsia="宋体"/>
                <w:color w:val="auto"/>
                <w:szCs w:val="21"/>
                <w:highlight w:val="none"/>
              </w:rPr>
            </w:pPr>
            <w:r>
              <w:rPr>
                <w:rFonts w:hint="eastAsia" w:ascii="宋体" w:hAnsi="宋体" w:eastAsia="宋体"/>
                <w:color w:val="auto"/>
                <w:szCs w:val="21"/>
                <w:highlight w:val="none"/>
              </w:rPr>
              <w:t>第二</w:t>
            </w:r>
            <w:r>
              <w:rPr>
                <w:rFonts w:ascii="宋体" w:hAnsi="宋体" w:eastAsia="宋体"/>
                <w:color w:val="auto"/>
                <w:szCs w:val="21"/>
                <w:highlight w:val="none"/>
              </w:rPr>
              <w:t xml:space="preserve">  50</w:t>
            </w:r>
          </w:p>
        </w:tc>
        <w:tc>
          <w:tcPr>
            <w:tcW w:w="1200" w:type="dxa"/>
            <w:noWrap w:val="0"/>
            <w:vAlign w:val="center"/>
          </w:tcPr>
          <w:p w14:paraId="5616130C">
            <w:pPr>
              <w:ind w:firstLine="315" w:firstLineChars="150"/>
              <w:jc w:val="center"/>
              <w:rPr>
                <w:rFonts w:ascii="宋体" w:hAnsi="宋体" w:eastAsia="宋体"/>
                <w:color w:val="auto"/>
                <w:szCs w:val="21"/>
                <w:highlight w:val="none"/>
              </w:rPr>
            </w:pPr>
          </w:p>
        </w:tc>
        <w:tc>
          <w:tcPr>
            <w:tcW w:w="778" w:type="dxa"/>
            <w:noWrap w:val="0"/>
            <w:vAlign w:val="center"/>
          </w:tcPr>
          <w:p w14:paraId="1FDF03EA">
            <w:pPr>
              <w:jc w:val="center"/>
              <w:rPr>
                <w:rFonts w:ascii="宋体" w:hAnsi="宋体" w:eastAsia="宋体"/>
                <w:color w:val="auto"/>
                <w:szCs w:val="21"/>
                <w:highlight w:val="none"/>
              </w:rPr>
            </w:pPr>
            <w:r>
              <w:rPr>
                <w:rFonts w:ascii="宋体" w:hAnsi="宋体" w:eastAsia="宋体"/>
                <w:color w:val="auto"/>
                <w:szCs w:val="21"/>
                <w:highlight w:val="none"/>
              </w:rPr>
              <w:t>16</w:t>
            </w:r>
          </w:p>
          <w:p w14:paraId="20733C45">
            <w:pPr>
              <w:jc w:val="center"/>
              <w:rPr>
                <w:rFonts w:ascii="宋体" w:hAnsi="宋体" w:eastAsia="宋体"/>
                <w:color w:val="auto"/>
                <w:szCs w:val="21"/>
                <w:highlight w:val="none"/>
              </w:rPr>
            </w:pPr>
            <w:r>
              <w:rPr>
                <w:rFonts w:ascii="宋体" w:hAnsi="宋体" w:eastAsia="宋体"/>
                <w:color w:val="auto"/>
                <w:szCs w:val="21"/>
                <w:highlight w:val="none"/>
              </w:rPr>
              <w:t>32</w:t>
            </w:r>
          </w:p>
        </w:tc>
        <w:tc>
          <w:tcPr>
            <w:tcW w:w="954" w:type="dxa"/>
            <w:noWrap w:val="0"/>
            <w:vAlign w:val="center"/>
          </w:tcPr>
          <w:p w14:paraId="47048DCB">
            <w:pPr>
              <w:jc w:val="center"/>
              <w:rPr>
                <w:rFonts w:ascii="宋体" w:hAnsi="宋体" w:eastAsia="宋体"/>
                <w:color w:val="auto"/>
                <w:szCs w:val="21"/>
                <w:highlight w:val="none"/>
              </w:rPr>
            </w:pPr>
            <w:r>
              <w:rPr>
                <w:rFonts w:ascii="宋体" w:hAnsi="宋体" w:eastAsia="宋体"/>
                <w:color w:val="auto"/>
                <w:szCs w:val="21"/>
                <w:highlight w:val="none"/>
              </w:rPr>
              <w:t>18</w:t>
            </w:r>
          </w:p>
          <w:p w14:paraId="2A1DBDD0">
            <w:pPr>
              <w:jc w:val="center"/>
              <w:rPr>
                <w:rFonts w:ascii="宋体" w:hAnsi="宋体" w:eastAsia="宋体"/>
                <w:color w:val="auto"/>
                <w:szCs w:val="21"/>
                <w:highlight w:val="none"/>
              </w:rPr>
            </w:pPr>
            <w:r>
              <w:rPr>
                <w:rFonts w:ascii="宋体" w:hAnsi="宋体" w:eastAsia="宋体"/>
                <w:color w:val="auto"/>
                <w:szCs w:val="21"/>
                <w:highlight w:val="none"/>
              </w:rPr>
              <w:t>36</w:t>
            </w:r>
          </w:p>
        </w:tc>
        <w:tc>
          <w:tcPr>
            <w:tcW w:w="947" w:type="dxa"/>
            <w:noWrap w:val="0"/>
            <w:vAlign w:val="center"/>
          </w:tcPr>
          <w:p w14:paraId="050E7161">
            <w:pPr>
              <w:jc w:val="center"/>
              <w:rPr>
                <w:rFonts w:ascii="宋体" w:hAnsi="宋体" w:eastAsia="宋体"/>
                <w:color w:val="auto"/>
                <w:szCs w:val="21"/>
                <w:highlight w:val="none"/>
              </w:rPr>
            </w:pPr>
            <w:r>
              <w:rPr>
                <w:rFonts w:ascii="宋体" w:hAnsi="宋体" w:eastAsia="宋体"/>
                <w:color w:val="auto"/>
                <w:szCs w:val="21"/>
                <w:highlight w:val="none"/>
              </w:rPr>
              <w:t>16</w:t>
            </w:r>
          </w:p>
          <w:p w14:paraId="6D554B41">
            <w:pPr>
              <w:jc w:val="center"/>
              <w:rPr>
                <w:rFonts w:ascii="宋体" w:hAnsi="宋体" w:eastAsia="宋体"/>
                <w:color w:val="auto"/>
                <w:szCs w:val="21"/>
                <w:highlight w:val="none"/>
              </w:rPr>
            </w:pPr>
            <w:r>
              <w:rPr>
                <w:rFonts w:ascii="宋体" w:hAnsi="宋体" w:eastAsia="宋体"/>
                <w:color w:val="auto"/>
                <w:szCs w:val="21"/>
                <w:highlight w:val="none"/>
              </w:rPr>
              <w:t>32</w:t>
            </w:r>
          </w:p>
        </w:tc>
        <w:tc>
          <w:tcPr>
            <w:tcW w:w="947" w:type="dxa"/>
            <w:noWrap w:val="0"/>
            <w:vAlign w:val="center"/>
          </w:tcPr>
          <w:p w14:paraId="227E2A5D">
            <w:pPr>
              <w:jc w:val="center"/>
              <w:rPr>
                <w:rFonts w:ascii="宋体" w:hAnsi="宋体" w:eastAsia="宋体"/>
                <w:color w:val="auto"/>
                <w:szCs w:val="21"/>
                <w:highlight w:val="none"/>
              </w:rPr>
            </w:pPr>
            <w:r>
              <w:rPr>
                <w:rFonts w:ascii="宋体" w:hAnsi="宋体" w:eastAsia="宋体"/>
                <w:color w:val="auto"/>
                <w:szCs w:val="21"/>
                <w:highlight w:val="none"/>
              </w:rPr>
              <w:t>3</w:t>
            </w:r>
          </w:p>
          <w:p w14:paraId="2BE974D8">
            <w:pPr>
              <w:jc w:val="center"/>
              <w:rPr>
                <w:rFonts w:ascii="宋体" w:hAnsi="宋体" w:eastAsia="宋体"/>
                <w:color w:val="auto"/>
                <w:szCs w:val="21"/>
                <w:highlight w:val="none"/>
              </w:rPr>
            </w:pPr>
            <w:r>
              <w:rPr>
                <w:rFonts w:ascii="宋体" w:hAnsi="宋体" w:eastAsia="宋体"/>
                <w:color w:val="auto"/>
                <w:szCs w:val="21"/>
                <w:highlight w:val="none"/>
              </w:rPr>
              <w:t>9</w:t>
            </w:r>
          </w:p>
        </w:tc>
        <w:tc>
          <w:tcPr>
            <w:tcW w:w="802" w:type="dxa"/>
            <w:noWrap w:val="0"/>
            <w:vAlign w:val="center"/>
          </w:tcPr>
          <w:p w14:paraId="3FCFFC62">
            <w:pPr>
              <w:jc w:val="center"/>
              <w:rPr>
                <w:rFonts w:ascii="宋体" w:hAnsi="宋体" w:eastAsia="宋体"/>
                <w:color w:val="auto"/>
                <w:szCs w:val="21"/>
                <w:highlight w:val="none"/>
              </w:rPr>
            </w:pPr>
            <w:r>
              <w:rPr>
                <w:rFonts w:ascii="宋体" w:hAnsi="宋体" w:eastAsia="宋体"/>
                <w:color w:val="auto"/>
                <w:szCs w:val="21"/>
                <w:highlight w:val="none"/>
              </w:rPr>
              <w:t>6</w:t>
            </w:r>
          </w:p>
          <w:p w14:paraId="41927A15">
            <w:pPr>
              <w:jc w:val="center"/>
              <w:rPr>
                <w:rFonts w:ascii="宋体" w:hAnsi="宋体" w:eastAsia="宋体"/>
                <w:color w:val="auto"/>
                <w:szCs w:val="21"/>
                <w:highlight w:val="none"/>
              </w:rPr>
            </w:pPr>
            <w:r>
              <w:rPr>
                <w:rFonts w:ascii="宋体" w:hAnsi="宋体" w:eastAsia="宋体"/>
                <w:color w:val="auto"/>
                <w:szCs w:val="21"/>
                <w:highlight w:val="none"/>
              </w:rPr>
              <w:t>10</w:t>
            </w:r>
          </w:p>
        </w:tc>
      </w:tr>
      <w:tr w14:paraId="2E63E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413" w:type="dxa"/>
            <w:noWrap w:val="0"/>
            <w:vAlign w:val="center"/>
          </w:tcPr>
          <w:p w14:paraId="78FCAB03">
            <w:pPr>
              <w:jc w:val="center"/>
              <w:rPr>
                <w:rFonts w:ascii="宋体" w:hAnsi="宋体" w:eastAsia="宋体"/>
                <w:color w:val="auto"/>
                <w:szCs w:val="21"/>
                <w:highlight w:val="none"/>
              </w:rPr>
            </w:pPr>
            <w:r>
              <w:rPr>
                <w:rFonts w:ascii="宋体" w:hAnsi="宋体" w:eastAsia="宋体"/>
                <w:color w:val="auto"/>
                <w:szCs w:val="21"/>
                <w:highlight w:val="none"/>
              </w:rPr>
              <w:t>10000以上</w:t>
            </w:r>
          </w:p>
        </w:tc>
        <w:tc>
          <w:tcPr>
            <w:tcW w:w="1176" w:type="dxa"/>
            <w:noWrap w:val="0"/>
            <w:vAlign w:val="center"/>
          </w:tcPr>
          <w:p w14:paraId="517A1C15">
            <w:pPr>
              <w:jc w:val="center"/>
              <w:rPr>
                <w:rFonts w:ascii="宋体" w:hAnsi="宋体" w:eastAsia="宋体"/>
                <w:color w:val="auto"/>
                <w:szCs w:val="21"/>
                <w:highlight w:val="none"/>
              </w:rPr>
            </w:pPr>
            <w:r>
              <w:rPr>
                <w:rFonts w:hint="eastAsia" w:ascii="宋体" w:hAnsi="宋体" w:eastAsia="宋体"/>
                <w:color w:val="auto"/>
                <w:szCs w:val="21"/>
                <w:highlight w:val="none"/>
              </w:rPr>
              <w:t>第一</w:t>
            </w:r>
            <w:r>
              <w:rPr>
                <w:rFonts w:ascii="宋体" w:hAnsi="宋体" w:eastAsia="宋体"/>
                <w:color w:val="auto"/>
                <w:szCs w:val="21"/>
                <w:highlight w:val="none"/>
              </w:rPr>
              <w:t xml:space="preserve">  80</w:t>
            </w:r>
          </w:p>
          <w:p w14:paraId="05DC8536">
            <w:pPr>
              <w:jc w:val="center"/>
              <w:rPr>
                <w:rFonts w:ascii="宋体" w:hAnsi="宋体" w:eastAsia="宋体"/>
                <w:color w:val="auto"/>
                <w:szCs w:val="21"/>
                <w:highlight w:val="none"/>
              </w:rPr>
            </w:pPr>
            <w:r>
              <w:rPr>
                <w:rFonts w:hint="eastAsia" w:ascii="宋体" w:hAnsi="宋体" w:eastAsia="宋体"/>
                <w:color w:val="auto"/>
                <w:szCs w:val="21"/>
                <w:highlight w:val="none"/>
              </w:rPr>
              <w:t>第二</w:t>
            </w:r>
            <w:r>
              <w:rPr>
                <w:rFonts w:ascii="宋体" w:hAnsi="宋体" w:eastAsia="宋体"/>
                <w:color w:val="auto"/>
                <w:szCs w:val="21"/>
                <w:highlight w:val="none"/>
              </w:rPr>
              <w:t xml:space="preserve">  80</w:t>
            </w:r>
          </w:p>
        </w:tc>
        <w:tc>
          <w:tcPr>
            <w:tcW w:w="1200" w:type="dxa"/>
            <w:noWrap w:val="0"/>
            <w:vAlign w:val="center"/>
          </w:tcPr>
          <w:p w14:paraId="4699FE5C">
            <w:pPr>
              <w:ind w:firstLine="315" w:firstLineChars="150"/>
              <w:jc w:val="center"/>
              <w:rPr>
                <w:rFonts w:ascii="宋体" w:hAnsi="宋体" w:eastAsia="宋体"/>
                <w:color w:val="auto"/>
                <w:szCs w:val="21"/>
                <w:highlight w:val="none"/>
              </w:rPr>
            </w:pPr>
          </w:p>
        </w:tc>
        <w:tc>
          <w:tcPr>
            <w:tcW w:w="778" w:type="dxa"/>
            <w:noWrap w:val="0"/>
            <w:vAlign w:val="center"/>
          </w:tcPr>
          <w:p w14:paraId="6C95B5A7">
            <w:pPr>
              <w:jc w:val="center"/>
              <w:rPr>
                <w:rFonts w:ascii="宋体" w:hAnsi="宋体" w:eastAsia="宋体"/>
                <w:color w:val="auto"/>
                <w:szCs w:val="21"/>
                <w:highlight w:val="none"/>
              </w:rPr>
            </w:pPr>
            <w:r>
              <w:rPr>
                <w:rFonts w:ascii="宋体" w:hAnsi="宋体" w:eastAsia="宋体"/>
                <w:color w:val="auto"/>
                <w:szCs w:val="21"/>
                <w:highlight w:val="none"/>
              </w:rPr>
              <w:t>26</w:t>
            </w:r>
          </w:p>
          <w:p w14:paraId="44E6E5B8">
            <w:pPr>
              <w:jc w:val="center"/>
              <w:rPr>
                <w:rFonts w:ascii="宋体" w:hAnsi="宋体" w:eastAsia="宋体"/>
                <w:color w:val="auto"/>
                <w:szCs w:val="21"/>
                <w:highlight w:val="none"/>
              </w:rPr>
            </w:pPr>
            <w:r>
              <w:rPr>
                <w:rFonts w:ascii="宋体" w:hAnsi="宋体" w:eastAsia="宋体"/>
                <w:color w:val="auto"/>
                <w:szCs w:val="21"/>
                <w:highlight w:val="none"/>
              </w:rPr>
              <w:t>52</w:t>
            </w:r>
          </w:p>
        </w:tc>
        <w:tc>
          <w:tcPr>
            <w:tcW w:w="954" w:type="dxa"/>
            <w:noWrap w:val="0"/>
            <w:vAlign w:val="center"/>
          </w:tcPr>
          <w:p w14:paraId="7A5938A4">
            <w:pPr>
              <w:jc w:val="center"/>
              <w:rPr>
                <w:rFonts w:ascii="宋体" w:hAnsi="宋体" w:eastAsia="宋体"/>
                <w:color w:val="auto"/>
                <w:szCs w:val="21"/>
                <w:highlight w:val="none"/>
              </w:rPr>
            </w:pPr>
            <w:r>
              <w:rPr>
                <w:rFonts w:ascii="宋体" w:hAnsi="宋体" w:eastAsia="宋体"/>
                <w:color w:val="auto"/>
                <w:szCs w:val="21"/>
                <w:highlight w:val="none"/>
              </w:rPr>
              <w:t>28</w:t>
            </w:r>
          </w:p>
          <w:p w14:paraId="4C0BC3EC">
            <w:pPr>
              <w:jc w:val="center"/>
              <w:rPr>
                <w:rFonts w:ascii="宋体" w:hAnsi="宋体" w:eastAsia="宋体"/>
                <w:color w:val="auto"/>
                <w:szCs w:val="21"/>
                <w:highlight w:val="none"/>
              </w:rPr>
            </w:pPr>
            <w:r>
              <w:rPr>
                <w:rFonts w:ascii="宋体" w:hAnsi="宋体" w:eastAsia="宋体"/>
                <w:color w:val="auto"/>
                <w:szCs w:val="21"/>
                <w:highlight w:val="none"/>
              </w:rPr>
              <w:t>56</w:t>
            </w:r>
          </w:p>
        </w:tc>
        <w:tc>
          <w:tcPr>
            <w:tcW w:w="947" w:type="dxa"/>
            <w:noWrap w:val="0"/>
            <w:vAlign w:val="center"/>
          </w:tcPr>
          <w:p w14:paraId="7A5D5456">
            <w:pPr>
              <w:jc w:val="center"/>
              <w:rPr>
                <w:rFonts w:ascii="宋体" w:hAnsi="宋体" w:eastAsia="宋体"/>
                <w:color w:val="auto"/>
                <w:szCs w:val="21"/>
                <w:highlight w:val="none"/>
              </w:rPr>
            </w:pPr>
            <w:r>
              <w:rPr>
                <w:rFonts w:ascii="宋体" w:hAnsi="宋体" w:eastAsia="宋体"/>
                <w:color w:val="auto"/>
                <w:szCs w:val="21"/>
                <w:highlight w:val="none"/>
              </w:rPr>
              <w:t>26</w:t>
            </w:r>
          </w:p>
          <w:p w14:paraId="1FEAEE1A">
            <w:pPr>
              <w:jc w:val="center"/>
              <w:rPr>
                <w:rFonts w:ascii="宋体" w:hAnsi="宋体" w:eastAsia="宋体"/>
                <w:color w:val="auto"/>
                <w:szCs w:val="21"/>
                <w:highlight w:val="none"/>
              </w:rPr>
            </w:pPr>
            <w:r>
              <w:rPr>
                <w:rFonts w:ascii="宋体" w:hAnsi="宋体" w:eastAsia="宋体"/>
                <w:color w:val="auto"/>
                <w:szCs w:val="21"/>
                <w:highlight w:val="none"/>
              </w:rPr>
              <w:t>52</w:t>
            </w:r>
          </w:p>
        </w:tc>
        <w:tc>
          <w:tcPr>
            <w:tcW w:w="947" w:type="dxa"/>
            <w:noWrap w:val="0"/>
            <w:vAlign w:val="center"/>
          </w:tcPr>
          <w:p w14:paraId="58880F15">
            <w:pPr>
              <w:jc w:val="center"/>
              <w:rPr>
                <w:rFonts w:ascii="宋体" w:hAnsi="宋体" w:eastAsia="宋体"/>
                <w:color w:val="auto"/>
                <w:szCs w:val="21"/>
                <w:highlight w:val="none"/>
              </w:rPr>
            </w:pPr>
            <w:r>
              <w:rPr>
                <w:rFonts w:ascii="宋体" w:hAnsi="宋体" w:eastAsia="宋体"/>
                <w:color w:val="auto"/>
                <w:szCs w:val="21"/>
                <w:highlight w:val="none"/>
              </w:rPr>
              <w:t>5</w:t>
            </w:r>
          </w:p>
          <w:p w14:paraId="46EB616E">
            <w:pPr>
              <w:jc w:val="center"/>
              <w:rPr>
                <w:rFonts w:ascii="宋体" w:hAnsi="宋体" w:eastAsia="宋体"/>
                <w:color w:val="auto"/>
                <w:szCs w:val="21"/>
                <w:highlight w:val="none"/>
              </w:rPr>
            </w:pPr>
            <w:r>
              <w:rPr>
                <w:rFonts w:ascii="宋体" w:hAnsi="宋体" w:eastAsia="宋体"/>
                <w:color w:val="auto"/>
                <w:szCs w:val="21"/>
                <w:highlight w:val="none"/>
              </w:rPr>
              <w:t>12</w:t>
            </w:r>
          </w:p>
        </w:tc>
        <w:tc>
          <w:tcPr>
            <w:tcW w:w="802" w:type="dxa"/>
            <w:noWrap w:val="0"/>
            <w:vAlign w:val="center"/>
          </w:tcPr>
          <w:p w14:paraId="562BEDCD">
            <w:pPr>
              <w:jc w:val="center"/>
              <w:rPr>
                <w:rFonts w:ascii="宋体" w:hAnsi="宋体" w:eastAsia="宋体"/>
                <w:color w:val="auto"/>
                <w:szCs w:val="21"/>
                <w:highlight w:val="none"/>
              </w:rPr>
            </w:pPr>
            <w:r>
              <w:rPr>
                <w:rFonts w:ascii="宋体" w:hAnsi="宋体" w:eastAsia="宋体"/>
                <w:color w:val="auto"/>
                <w:szCs w:val="21"/>
                <w:highlight w:val="none"/>
              </w:rPr>
              <w:t>9</w:t>
            </w:r>
          </w:p>
          <w:p w14:paraId="6C027052">
            <w:pPr>
              <w:jc w:val="center"/>
              <w:rPr>
                <w:rFonts w:ascii="宋体" w:hAnsi="宋体" w:eastAsia="宋体"/>
                <w:color w:val="auto"/>
                <w:szCs w:val="21"/>
                <w:highlight w:val="none"/>
              </w:rPr>
            </w:pPr>
            <w:r>
              <w:rPr>
                <w:rFonts w:ascii="宋体" w:hAnsi="宋体" w:eastAsia="宋体"/>
                <w:color w:val="auto"/>
                <w:szCs w:val="21"/>
                <w:highlight w:val="none"/>
              </w:rPr>
              <w:t>13</w:t>
            </w:r>
          </w:p>
        </w:tc>
      </w:tr>
    </w:tbl>
    <w:p w14:paraId="67905339">
      <w:pPr>
        <w:rPr>
          <w:rFonts w:ascii="宋体" w:hAnsi="宋体" w:eastAsia="宋体"/>
          <w:color w:val="auto"/>
          <w:sz w:val="18"/>
          <w:szCs w:val="21"/>
          <w:highlight w:val="none"/>
        </w:rPr>
      </w:pPr>
      <w:r>
        <w:rPr>
          <w:rFonts w:hint="eastAsia" w:ascii="宋体" w:hAnsi="宋体" w:eastAsia="宋体"/>
          <w:color w:val="auto"/>
          <w:szCs w:val="21"/>
          <w:highlight w:val="none"/>
        </w:rPr>
        <w:t>注：</w:t>
      </w:r>
      <w:r>
        <w:rPr>
          <w:rFonts w:ascii="宋体" w:hAnsi="宋体" w:eastAsia="宋体"/>
          <w:color w:val="auto"/>
          <w:sz w:val="18"/>
          <w:szCs w:val="21"/>
          <w:highlight w:val="none"/>
        </w:rPr>
        <w:fldChar w:fldCharType="begin"/>
      </w:r>
      <w:r>
        <w:rPr>
          <w:rFonts w:ascii="宋体" w:hAnsi="宋体" w:eastAsia="宋体"/>
          <w:color w:val="auto"/>
          <w:sz w:val="18"/>
          <w:szCs w:val="21"/>
          <w:highlight w:val="none"/>
        </w:rPr>
        <w:instrText xml:space="preserve"> </w:instrText>
      </w:r>
      <w:r>
        <w:rPr>
          <w:rFonts w:hint="eastAsia" w:ascii="宋体" w:hAnsi="宋体" w:eastAsia="宋体"/>
          <w:color w:val="auto"/>
          <w:sz w:val="18"/>
          <w:szCs w:val="21"/>
          <w:highlight w:val="none"/>
        </w:rPr>
        <w:instrText xml:space="preserve">= 1 \* GB3</w:instrText>
      </w:r>
      <w:r>
        <w:rPr>
          <w:rFonts w:ascii="宋体" w:hAnsi="宋体" w:eastAsia="宋体"/>
          <w:color w:val="auto"/>
          <w:sz w:val="18"/>
          <w:szCs w:val="21"/>
          <w:highlight w:val="none"/>
        </w:rPr>
        <w:instrText xml:space="preserve"> </w:instrText>
      </w:r>
      <w:r>
        <w:rPr>
          <w:rFonts w:ascii="宋体" w:hAnsi="宋体" w:eastAsia="宋体"/>
          <w:color w:val="auto"/>
          <w:sz w:val="18"/>
          <w:szCs w:val="21"/>
          <w:highlight w:val="none"/>
        </w:rPr>
        <w:fldChar w:fldCharType="separate"/>
      </w:r>
      <w:r>
        <w:rPr>
          <w:rFonts w:hint="eastAsia" w:ascii="宋体" w:hAnsi="宋体" w:eastAsia="宋体"/>
          <w:color w:val="auto"/>
          <w:sz w:val="18"/>
          <w:szCs w:val="21"/>
          <w:highlight w:val="none"/>
        </w:rPr>
        <w:t>①</w:t>
      </w:r>
      <w:r>
        <w:rPr>
          <w:rFonts w:ascii="宋体" w:hAnsi="宋体" w:eastAsia="宋体"/>
          <w:color w:val="auto"/>
          <w:sz w:val="18"/>
          <w:szCs w:val="21"/>
          <w:highlight w:val="none"/>
        </w:rPr>
        <w:fldChar w:fldCharType="end"/>
      </w:r>
      <w:r>
        <w:rPr>
          <w:rFonts w:ascii="宋体" w:hAnsi="宋体" w:eastAsia="宋体"/>
          <w:color w:val="auto"/>
          <w:sz w:val="18"/>
          <w:szCs w:val="21"/>
          <w:highlight w:val="none"/>
        </w:rPr>
        <w:t>Ac-合格判定数；Re-不合格判定数。</w:t>
      </w:r>
    </w:p>
    <w:p w14:paraId="1381D604">
      <w:pPr>
        <w:ind w:left="420" w:leftChars="200"/>
        <w:rPr>
          <w:rFonts w:ascii="宋体" w:hAnsi="宋体" w:eastAsia="宋体"/>
          <w:color w:val="auto"/>
          <w:sz w:val="18"/>
          <w:szCs w:val="21"/>
          <w:highlight w:val="none"/>
        </w:rPr>
      </w:pPr>
      <w:r>
        <w:rPr>
          <w:rFonts w:ascii="宋体" w:hAnsi="宋体" w:eastAsia="宋体"/>
          <w:color w:val="auto"/>
          <w:sz w:val="18"/>
          <w:szCs w:val="21"/>
          <w:highlight w:val="none"/>
        </w:rPr>
        <w:fldChar w:fldCharType="begin"/>
      </w:r>
      <w:r>
        <w:rPr>
          <w:rFonts w:ascii="宋体" w:hAnsi="宋体" w:eastAsia="宋体"/>
          <w:color w:val="auto"/>
          <w:sz w:val="18"/>
          <w:szCs w:val="21"/>
          <w:highlight w:val="none"/>
        </w:rPr>
        <w:instrText xml:space="preserve"> </w:instrText>
      </w:r>
      <w:r>
        <w:rPr>
          <w:rFonts w:hint="eastAsia" w:ascii="宋体" w:hAnsi="宋体" w:eastAsia="宋体"/>
          <w:color w:val="auto"/>
          <w:sz w:val="18"/>
          <w:szCs w:val="21"/>
          <w:highlight w:val="none"/>
        </w:rPr>
        <w:instrText xml:space="preserve">= 2 \* GB3</w:instrText>
      </w:r>
      <w:r>
        <w:rPr>
          <w:rFonts w:ascii="宋体" w:hAnsi="宋体" w:eastAsia="宋体"/>
          <w:color w:val="auto"/>
          <w:sz w:val="18"/>
          <w:szCs w:val="21"/>
          <w:highlight w:val="none"/>
        </w:rPr>
        <w:instrText xml:space="preserve"> </w:instrText>
      </w:r>
      <w:r>
        <w:rPr>
          <w:rFonts w:ascii="宋体" w:hAnsi="宋体" w:eastAsia="宋体"/>
          <w:color w:val="auto"/>
          <w:sz w:val="18"/>
          <w:szCs w:val="21"/>
          <w:highlight w:val="none"/>
        </w:rPr>
        <w:fldChar w:fldCharType="separate"/>
      </w:r>
      <w:r>
        <w:rPr>
          <w:rFonts w:hint="eastAsia" w:ascii="宋体" w:hAnsi="宋体" w:eastAsia="宋体"/>
          <w:color w:val="auto"/>
          <w:sz w:val="18"/>
          <w:szCs w:val="21"/>
          <w:highlight w:val="none"/>
        </w:rPr>
        <w:t>②</w:t>
      </w:r>
      <w:r>
        <w:rPr>
          <w:rFonts w:ascii="宋体" w:hAnsi="宋体" w:eastAsia="宋体"/>
          <w:color w:val="auto"/>
          <w:sz w:val="18"/>
          <w:szCs w:val="21"/>
          <w:highlight w:val="none"/>
        </w:rPr>
        <w:fldChar w:fldCharType="end"/>
      </w:r>
      <w:r>
        <w:rPr>
          <w:rFonts w:hint="eastAsia" w:ascii="宋体" w:hAnsi="宋体" w:eastAsia="宋体"/>
          <w:color w:val="auto"/>
          <w:sz w:val="18"/>
          <w:szCs w:val="21"/>
          <w:highlight w:val="none"/>
        </w:rPr>
        <w:t>根据第一样本检查结果，判定批合格、不合格或者检查；如果再做检查，则根据第一和第二样本检查结果，判断批合格或不合格。</w:t>
      </w:r>
    </w:p>
    <w:p w14:paraId="33A0CCFE">
      <w:pPr>
        <w:ind w:firstLine="360" w:firstLineChars="200"/>
        <w:rPr>
          <w:rFonts w:ascii="宋体" w:hAnsi="宋体" w:eastAsia="宋体"/>
          <w:color w:val="auto"/>
          <w:sz w:val="18"/>
          <w:szCs w:val="21"/>
          <w:highlight w:val="none"/>
        </w:rPr>
      </w:pPr>
      <w:r>
        <w:rPr>
          <w:rFonts w:ascii="宋体" w:hAnsi="宋体" w:eastAsia="宋体"/>
          <w:color w:val="auto"/>
          <w:sz w:val="18"/>
          <w:szCs w:val="21"/>
          <w:highlight w:val="none"/>
        </w:rPr>
        <w:fldChar w:fldCharType="begin"/>
      </w:r>
      <w:r>
        <w:rPr>
          <w:rFonts w:ascii="宋体" w:hAnsi="宋体" w:eastAsia="宋体"/>
          <w:color w:val="auto"/>
          <w:sz w:val="18"/>
          <w:szCs w:val="21"/>
          <w:highlight w:val="none"/>
        </w:rPr>
        <w:instrText xml:space="preserve"> </w:instrText>
      </w:r>
      <w:r>
        <w:rPr>
          <w:rFonts w:hint="eastAsia" w:ascii="宋体" w:hAnsi="宋体" w:eastAsia="宋体"/>
          <w:color w:val="auto"/>
          <w:sz w:val="18"/>
          <w:szCs w:val="21"/>
          <w:highlight w:val="none"/>
        </w:rPr>
        <w:instrText xml:space="preserve">= 3 \* GB3</w:instrText>
      </w:r>
      <w:r>
        <w:rPr>
          <w:rFonts w:ascii="宋体" w:hAnsi="宋体" w:eastAsia="宋体"/>
          <w:color w:val="auto"/>
          <w:sz w:val="18"/>
          <w:szCs w:val="21"/>
          <w:highlight w:val="none"/>
        </w:rPr>
        <w:instrText xml:space="preserve"> </w:instrText>
      </w:r>
      <w:r>
        <w:rPr>
          <w:rFonts w:ascii="宋体" w:hAnsi="宋体" w:eastAsia="宋体"/>
          <w:color w:val="auto"/>
          <w:sz w:val="18"/>
          <w:szCs w:val="21"/>
          <w:highlight w:val="none"/>
        </w:rPr>
        <w:fldChar w:fldCharType="separate"/>
      </w:r>
      <w:r>
        <w:rPr>
          <w:rFonts w:hint="eastAsia" w:ascii="宋体" w:hAnsi="宋体" w:eastAsia="宋体"/>
          <w:color w:val="auto"/>
          <w:sz w:val="18"/>
          <w:szCs w:val="21"/>
          <w:highlight w:val="none"/>
        </w:rPr>
        <w:t>③</w:t>
      </w:r>
      <w:r>
        <w:rPr>
          <w:rFonts w:ascii="宋体" w:hAnsi="宋体" w:eastAsia="宋体"/>
          <w:color w:val="auto"/>
          <w:sz w:val="18"/>
          <w:szCs w:val="21"/>
          <w:highlight w:val="none"/>
        </w:rPr>
        <w:fldChar w:fldCharType="end"/>
      </w:r>
      <w:r>
        <w:rPr>
          <w:rFonts w:hint="eastAsia" w:ascii="宋体" w:hAnsi="宋体" w:eastAsia="宋体"/>
          <w:color w:val="auto"/>
          <w:sz w:val="18"/>
          <w:szCs w:val="21"/>
          <w:highlight w:val="none"/>
        </w:rPr>
        <w:t>样本内应有占该批产品比率相应的角钢、钢板及焊接件。</w:t>
      </w:r>
    </w:p>
    <w:p w14:paraId="40405941">
      <w:pPr>
        <w:ind w:firstLine="420" w:firstLineChars="200"/>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69D5E094">
      <w:pPr>
        <w:ind w:firstLine="420" w:firstLineChars="200"/>
        <w:rPr>
          <w:rFonts w:ascii="宋体" w:hAnsi="宋体" w:eastAsia="宋体" w:cs="黑体"/>
          <w:color w:val="auto"/>
          <w:kern w:val="0"/>
          <w:szCs w:val="21"/>
          <w:highlight w:val="none"/>
        </w:rPr>
      </w:pPr>
      <w:r>
        <w:rPr>
          <w:rFonts w:ascii="宋体" w:hAnsi="宋体" w:eastAsia="宋体" w:cs="黑体"/>
          <w:color w:val="auto"/>
          <w:kern w:val="0"/>
          <w:szCs w:val="21"/>
          <w:highlight w:val="none"/>
        </w:rPr>
        <w:t>4.3.3 在现场检验时，根据情况，必要时买方可能在现场组织各有关方，按“产品质量等级及质量指标”重点进行检查，检查出的缺陷，由卖方负责处理。</w:t>
      </w:r>
    </w:p>
    <w:p w14:paraId="3EEE8214">
      <w:pPr>
        <w:pStyle w:val="5"/>
        <w:spacing w:before="0" w:after="0" w:line="360" w:lineRule="auto"/>
        <w:rPr>
          <w:rFonts w:ascii="宋体" w:hAnsi="宋体" w:eastAsia="宋体" w:cs="黑体"/>
          <w:color w:val="auto"/>
          <w:kern w:val="0"/>
          <w:sz w:val="21"/>
          <w:szCs w:val="28"/>
          <w:highlight w:val="none"/>
        </w:rPr>
      </w:pPr>
      <w:bookmarkStart w:id="1417" w:name="_Toc534201553"/>
      <w:bookmarkStart w:id="1418" w:name="_Toc11814"/>
      <w:bookmarkStart w:id="1419" w:name="_Toc735"/>
      <w:bookmarkStart w:id="1420" w:name="_Toc26275450"/>
      <w:bookmarkStart w:id="1421" w:name="_Toc57494972"/>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417"/>
      <w:bookmarkEnd w:id="1418"/>
      <w:bookmarkEnd w:id="1419"/>
      <w:bookmarkEnd w:id="1420"/>
      <w:bookmarkEnd w:id="1421"/>
    </w:p>
    <w:p w14:paraId="0CBF7BB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3CC2D1D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卖方应将货物以可组立的单基为单位打捆包装，保证螺栓、垫片等的同步与配套，并在货物交付时提供单基包装清单，否则买方有权拒收货物并责成卖方将货物返厂重新包装。</w:t>
      </w:r>
    </w:p>
    <w:p w14:paraId="31D2380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264043B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产品出厂必须同时具备该产品有关的完整的资料，包括：产品质量合格证，设计及加工变更通知单。单基部件制作明细表</w:t>
      </w:r>
      <w:r>
        <w:rPr>
          <w:rFonts w:hint="eastAsia" w:ascii="宋体" w:hAnsi="宋体" w:eastAsia="宋体" w:cs="黑体"/>
          <w:color w:val="auto"/>
          <w:kern w:val="0"/>
          <w:szCs w:val="21"/>
          <w:highlight w:val="none"/>
        </w:rPr>
        <w:t>出厂</w:t>
      </w:r>
      <w:r>
        <w:rPr>
          <w:rFonts w:ascii="宋体" w:hAnsi="宋体" w:eastAsia="宋体" w:cs="黑体"/>
          <w:color w:val="auto"/>
          <w:kern w:val="0"/>
          <w:szCs w:val="21"/>
          <w:highlight w:val="none"/>
        </w:rPr>
        <w:t>验收报告，检查结果及判定资料，均一式两份，一份交给买方，一份交收货单位。</w:t>
      </w:r>
    </w:p>
    <w:p w14:paraId="132A304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塔加工全部完成后，</w:t>
      </w:r>
      <w:r>
        <w:rPr>
          <w:rFonts w:ascii="宋体" w:hAnsi="宋体" w:eastAsia="宋体" w:cs="黑体"/>
          <w:color w:val="auto"/>
          <w:kern w:val="0"/>
          <w:szCs w:val="21"/>
          <w:highlight w:val="none"/>
        </w:rPr>
        <w:t>30日内交付含修改内容的竣工图两套。</w:t>
      </w:r>
    </w:p>
    <w:p w14:paraId="4789E81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5.4.1.5 合同设备在交货时，由卖方、收货单位点交大件捆数，收货单位应积极配合点收，但不作为最后验收数量。</w:t>
      </w:r>
    </w:p>
    <w:p w14:paraId="743FF973">
      <w:pPr>
        <w:pStyle w:val="5"/>
        <w:spacing w:before="0" w:after="0" w:line="360" w:lineRule="auto"/>
        <w:rPr>
          <w:rFonts w:ascii="宋体" w:hAnsi="宋体" w:eastAsia="宋体" w:cs="黑体"/>
          <w:color w:val="auto"/>
          <w:kern w:val="0"/>
          <w:sz w:val="21"/>
          <w:szCs w:val="28"/>
          <w:highlight w:val="none"/>
        </w:rPr>
      </w:pPr>
      <w:bookmarkStart w:id="1422" w:name="_Toc534201554"/>
      <w:bookmarkStart w:id="1423" w:name="_Toc26275451"/>
      <w:bookmarkStart w:id="1424" w:name="_Toc2252"/>
      <w:bookmarkStart w:id="1425" w:name="_Toc57494973"/>
      <w:bookmarkStart w:id="1426" w:name="_Toc24793"/>
      <w:r>
        <w:rPr>
          <w:rFonts w:ascii="宋体" w:hAnsi="宋体" w:eastAsia="宋体" w:cs="黑体"/>
          <w:color w:val="auto"/>
          <w:kern w:val="0"/>
          <w:sz w:val="21"/>
          <w:szCs w:val="28"/>
          <w:highlight w:val="none"/>
        </w:rPr>
        <w:t xml:space="preserve">6. </w:t>
      </w:r>
      <w:r>
        <w:rPr>
          <w:rFonts w:hint="eastAsia" w:ascii="宋体" w:hAnsi="宋体" w:eastAsia="宋体" w:cs="黑体"/>
          <w:color w:val="auto"/>
          <w:kern w:val="0"/>
          <w:sz w:val="21"/>
          <w:szCs w:val="28"/>
          <w:highlight w:val="none"/>
        </w:rPr>
        <w:t>开箱检验、安装、调试、考核、验收</w:t>
      </w:r>
      <w:bookmarkEnd w:id="1422"/>
      <w:bookmarkEnd w:id="1423"/>
      <w:bookmarkEnd w:id="1424"/>
      <w:bookmarkEnd w:id="1425"/>
      <w:bookmarkEnd w:id="1426"/>
    </w:p>
    <w:p w14:paraId="6330922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6.1 开箱检验</w:t>
      </w:r>
    </w:p>
    <w:p w14:paraId="27FD145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6.1.3.1 现场收货验收时，卖方与买方及施工单位协商，按杆塔属性选定下列验收方案：</w:t>
      </w:r>
    </w:p>
    <w:p w14:paraId="6DB317C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1）按塔型、数量抽检5%进行过磅称重，若检出重量与图纸理论重量不一致，与图纸理论重量偏差值为正偏差时，按图纸理论重量结算；与图纸理论重量偏差值为负偏差时且超出规定的范围时， 经鉴定满足工程要求，则本批次货物的实际结算重量按扣除偏差比例计算所得的重量结算，不满足工程要求时，卖方负责更换。</w:t>
      </w:r>
    </w:p>
    <w:p w14:paraId="4EC7576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合同设备运抵施工现场7日内，由相关单位代表和卖方共同派人按选定的检查方案对货物开捆，进行外观检查及数量清点，并将检查结果填报检查验收单后送交买方。如发现货物包装数量与清单不符，双方应立即在验收单上注明，且由卖方在双方确认之日起7日内免费补供到现场。检查验收之后，如再发现数量短缺或损坏，卖方不承担相关责任。</w:t>
      </w:r>
    </w:p>
    <w:p w14:paraId="6FEB090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395DD34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6.2.1.5 安装检验：结构件安装过程中接受品质检验，卖方应配合安装、派出必要技术服务人员，如发现加工工艺、质量与合同不符，卖方应立即采取措施，消除缺陷或进行更换。</w:t>
      </w:r>
    </w:p>
    <w:p w14:paraId="6EC6B8C8">
      <w:pPr>
        <w:pStyle w:val="5"/>
        <w:spacing w:before="0" w:after="0" w:line="360" w:lineRule="auto"/>
        <w:rPr>
          <w:rFonts w:ascii="宋体" w:hAnsi="宋体" w:eastAsia="宋体" w:cs="黑体"/>
          <w:color w:val="auto"/>
          <w:kern w:val="0"/>
          <w:sz w:val="21"/>
          <w:szCs w:val="28"/>
          <w:highlight w:val="none"/>
        </w:rPr>
      </w:pPr>
      <w:bookmarkStart w:id="1427" w:name="_Toc2602"/>
      <w:bookmarkStart w:id="1428" w:name="_Toc534201555"/>
      <w:bookmarkStart w:id="1429" w:name="_Toc11774"/>
      <w:bookmarkStart w:id="1430" w:name="_Toc57494974"/>
      <w:bookmarkStart w:id="1431" w:name="_Toc26275452"/>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427"/>
      <w:bookmarkEnd w:id="1428"/>
      <w:bookmarkEnd w:id="1429"/>
      <w:bookmarkEnd w:id="1430"/>
      <w:bookmarkEnd w:id="1431"/>
    </w:p>
    <w:p w14:paraId="605EBB6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024C6B8B">
      <w:pPr>
        <w:pStyle w:val="5"/>
        <w:spacing w:before="0" w:after="0" w:line="360" w:lineRule="auto"/>
        <w:rPr>
          <w:rFonts w:ascii="宋体" w:hAnsi="宋体" w:eastAsia="宋体" w:cs="黑体"/>
          <w:color w:val="auto"/>
          <w:kern w:val="0"/>
          <w:sz w:val="21"/>
          <w:szCs w:val="28"/>
          <w:highlight w:val="none"/>
        </w:rPr>
      </w:pPr>
      <w:bookmarkStart w:id="1432" w:name="_Toc534201556"/>
      <w:bookmarkStart w:id="1433" w:name="_Toc26275453"/>
      <w:bookmarkStart w:id="1434" w:name="_Toc13185"/>
      <w:bookmarkStart w:id="1435" w:name="_Toc20427"/>
      <w:bookmarkStart w:id="1436" w:name="_Toc57494975"/>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432"/>
      <w:bookmarkEnd w:id="1433"/>
      <w:bookmarkEnd w:id="1434"/>
      <w:bookmarkEnd w:id="1435"/>
      <w:bookmarkEnd w:id="1436"/>
    </w:p>
    <w:p w14:paraId="17A3505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卖方承诺合同设备使用寿命满足以下条件：</w:t>
      </w:r>
    </w:p>
    <w:p w14:paraId="6E13000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1）复合材料杆、钢结构制品防腐使用寿命不少于20年  。</w:t>
      </w:r>
    </w:p>
    <w:p w14:paraId="41680D1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2）800kV及以上杆塔50年。</w:t>
      </w:r>
    </w:p>
    <w:p w14:paraId="0EE0A944">
      <w:pPr>
        <w:pStyle w:val="5"/>
        <w:spacing w:before="0" w:after="0" w:line="360" w:lineRule="auto"/>
        <w:rPr>
          <w:rFonts w:ascii="宋体" w:hAnsi="宋体" w:eastAsia="宋体" w:cs="黑体"/>
          <w:color w:val="auto"/>
          <w:kern w:val="0"/>
          <w:sz w:val="21"/>
          <w:szCs w:val="28"/>
          <w:highlight w:val="none"/>
        </w:rPr>
      </w:pPr>
      <w:bookmarkStart w:id="1437" w:name="_Toc17938"/>
      <w:bookmarkStart w:id="1438" w:name="_Toc26275454"/>
      <w:bookmarkStart w:id="1439" w:name="_Toc534201557"/>
      <w:bookmarkStart w:id="1440" w:name="_Toc57494976"/>
      <w:bookmarkStart w:id="1441" w:name="_Toc22569"/>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437"/>
      <w:bookmarkEnd w:id="1438"/>
      <w:bookmarkEnd w:id="1439"/>
      <w:bookmarkEnd w:id="1440"/>
      <w:bookmarkEnd w:id="1441"/>
    </w:p>
    <w:p w14:paraId="7EC8895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0FFF299E">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6A159F5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 如果合同设备主要技术指标不满足技术规范书要求且不满足国家标准或行业标准的，卖方在买方规定的时间内，及时进行更换</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更换周期应满足工期要求，否则卖方应按延迟交货支付违约金。</w:t>
      </w:r>
    </w:p>
    <w:p w14:paraId="13171F1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7D87F4C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1）卖方应支付货物价格1%的违约金。</w:t>
      </w:r>
    </w:p>
    <w:p w14:paraId="11AC012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 监造及交货前检验</w:t>
      </w:r>
    </w:p>
    <w:p w14:paraId="783010D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14.5.4 如卖方未在规定的时间内提交合同货物生产进度计划表，每迟交1周，卖方应向买方支付违约金5000元。</w:t>
      </w:r>
    </w:p>
    <w:bookmarkEnd w:id="1406"/>
    <w:p w14:paraId="7DA4ED46">
      <w:pPr>
        <w:pStyle w:val="4"/>
        <w:jc w:val="center"/>
        <w:rPr>
          <w:rFonts w:ascii="宋体" w:hAnsi="宋体" w:eastAsia="宋体" w:cs="Times New Roman"/>
          <w:color w:val="auto"/>
          <w:kern w:val="0"/>
          <w:sz w:val="28"/>
          <w:highlight w:val="none"/>
        </w:rPr>
      </w:pPr>
      <w:bookmarkStart w:id="1442" w:name="_Toc20481"/>
      <w:bookmarkStart w:id="1443" w:name="_Toc10049"/>
      <w:bookmarkStart w:id="1444" w:name="_Toc57494977"/>
      <w:r>
        <w:rPr>
          <w:rFonts w:hint="eastAsia" w:ascii="宋体" w:hAnsi="宋体" w:eastAsia="宋体" w:cs="Times New Roman"/>
          <w:color w:val="auto"/>
          <w:kern w:val="0"/>
          <w:sz w:val="28"/>
          <w:highlight w:val="none"/>
        </w:rPr>
        <w:t>（三十四）导地线</w:t>
      </w:r>
      <w:bookmarkEnd w:id="1442"/>
      <w:bookmarkEnd w:id="1443"/>
      <w:bookmarkEnd w:id="1444"/>
    </w:p>
    <w:p w14:paraId="2E89B18F">
      <w:pPr>
        <w:pStyle w:val="5"/>
        <w:spacing w:before="0" w:after="0" w:line="360" w:lineRule="auto"/>
        <w:rPr>
          <w:rFonts w:ascii="宋体" w:hAnsi="宋体" w:eastAsia="宋体" w:cs="黑体"/>
          <w:color w:val="auto"/>
          <w:kern w:val="0"/>
          <w:sz w:val="21"/>
          <w:szCs w:val="28"/>
          <w:highlight w:val="none"/>
        </w:rPr>
      </w:pPr>
      <w:bookmarkStart w:id="1445" w:name="_Toc57494978"/>
      <w:bookmarkStart w:id="1446" w:name="_Toc534201559"/>
      <w:bookmarkStart w:id="1447" w:name="_Toc29316"/>
      <w:bookmarkStart w:id="1448" w:name="_Toc26275456"/>
      <w:bookmarkStart w:id="1449" w:name="_Toc8082"/>
      <w:bookmarkStart w:id="1450" w:name="_Hlk28534047"/>
      <w:r>
        <w:rPr>
          <w:rFonts w:ascii="宋体" w:hAnsi="宋体" w:eastAsia="宋体" w:cs="黑体"/>
          <w:color w:val="auto"/>
          <w:kern w:val="0"/>
          <w:sz w:val="21"/>
          <w:szCs w:val="28"/>
          <w:highlight w:val="none"/>
        </w:rPr>
        <w:t>2. 合同范围</w:t>
      </w:r>
      <w:bookmarkEnd w:id="1445"/>
      <w:bookmarkEnd w:id="1446"/>
      <w:bookmarkEnd w:id="1447"/>
      <w:bookmarkEnd w:id="1448"/>
      <w:bookmarkEnd w:id="1449"/>
    </w:p>
    <w:p w14:paraId="79879A5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每盘导线的交货长度为2500m，允许偏差+0.5%，-0%。结算时，以符合要求的实际长度计算的理论重量，进行结算。</w:t>
      </w:r>
    </w:p>
    <w:p w14:paraId="5357238B">
      <w:pPr>
        <w:pStyle w:val="5"/>
        <w:spacing w:before="0" w:after="0" w:line="360" w:lineRule="auto"/>
        <w:rPr>
          <w:rFonts w:ascii="宋体" w:hAnsi="宋体" w:eastAsia="宋体" w:cs="黑体"/>
          <w:color w:val="auto"/>
          <w:kern w:val="0"/>
          <w:sz w:val="21"/>
          <w:szCs w:val="28"/>
          <w:highlight w:val="none"/>
        </w:rPr>
      </w:pPr>
      <w:bookmarkStart w:id="1451" w:name="_Toc26275457"/>
      <w:bookmarkStart w:id="1452" w:name="_Toc22519"/>
      <w:bookmarkStart w:id="1453" w:name="_Toc534201560"/>
      <w:bookmarkStart w:id="1454" w:name="_Toc3519"/>
      <w:bookmarkStart w:id="1455" w:name="_Toc57494979"/>
      <w:r>
        <w:rPr>
          <w:rFonts w:ascii="宋体" w:hAnsi="宋体" w:eastAsia="宋体" w:cs="黑体"/>
          <w:color w:val="auto"/>
          <w:kern w:val="0"/>
          <w:sz w:val="21"/>
          <w:szCs w:val="28"/>
          <w:highlight w:val="none"/>
        </w:rPr>
        <w:t>3. 合同价格与支付</w:t>
      </w:r>
      <w:bookmarkEnd w:id="1451"/>
      <w:bookmarkEnd w:id="1452"/>
      <w:bookmarkEnd w:id="1453"/>
      <w:bookmarkEnd w:id="1454"/>
      <w:bookmarkEnd w:id="1455"/>
    </w:p>
    <w:p w14:paraId="0E2B439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2132BDF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w:t>
      </w:r>
      <w:r>
        <w:rPr>
          <w:rFonts w:ascii="宋体" w:hAnsi="宋体" w:eastAsia="宋体" w:cs="黑体"/>
          <w:strike w:val="0"/>
          <w:color w:val="auto"/>
          <w:kern w:val="0"/>
          <w:szCs w:val="21"/>
          <w:highlight w:val="none"/>
        </w:rPr>
        <w:t>，</w:t>
      </w:r>
      <w:r>
        <w:rPr>
          <w:rFonts w:hint="eastAsia" w:ascii="宋体" w:hAnsi="宋体" w:eastAsia="宋体" w:cs="黑体"/>
          <w:strike w:val="0"/>
          <w:color w:val="auto"/>
          <w:kern w:val="0"/>
          <w:szCs w:val="21"/>
          <w:highlight w:val="none"/>
        </w:rPr>
        <w:t>直流导地线的支付比例为</w:t>
      </w:r>
      <w:r>
        <w:rPr>
          <w:rFonts w:ascii="宋体" w:hAnsi="宋体" w:eastAsia="宋体" w:cs="黑体"/>
          <w:strike w:val="0"/>
          <w:color w:val="auto"/>
          <w:kern w:val="0"/>
          <w:szCs w:val="21"/>
          <w:highlight w:val="none"/>
        </w:rPr>
        <w:t>1:3:5.5:0.5</w:t>
      </w:r>
      <w:r>
        <w:rPr>
          <w:rFonts w:hint="eastAsia" w:ascii="宋体" w:hAnsi="宋体" w:eastAsia="宋体" w:cs="黑体"/>
          <w:strike w:val="0"/>
          <w:color w:val="auto"/>
          <w:kern w:val="0"/>
          <w:szCs w:val="21"/>
          <w:highlight w:val="none"/>
        </w:rPr>
        <w:t>；</w:t>
      </w:r>
      <w:r>
        <w:rPr>
          <w:rFonts w:ascii="宋体" w:hAnsi="宋体" w:eastAsia="宋体" w:cs="黑体"/>
          <w:strike w:val="0"/>
          <w:color w:val="auto"/>
          <w:kern w:val="0"/>
          <w:szCs w:val="21"/>
          <w:highlight w:val="none"/>
        </w:rPr>
        <w:t>35kV</w:t>
      </w:r>
      <w:r>
        <w:rPr>
          <w:rFonts w:hint="eastAsia" w:ascii="宋体" w:hAnsi="宋体" w:eastAsia="宋体" w:cs="黑体"/>
          <w:strike w:val="0"/>
          <w:color w:val="auto"/>
          <w:kern w:val="0"/>
          <w:szCs w:val="21"/>
          <w:highlight w:val="none"/>
          <w:lang w:val="en-US" w:eastAsia="zh-CN"/>
        </w:rPr>
        <w:t>及</w:t>
      </w:r>
      <w:r>
        <w:rPr>
          <w:rFonts w:ascii="宋体" w:hAnsi="宋体" w:eastAsia="宋体" w:cs="黑体"/>
          <w:strike w:val="0"/>
          <w:color w:val="auto"/>
          <w:kern w:val="0"/>
          <w:szCs w:val="21"/>
          <w:highlight w:val="none"/>
        </w:rPr>
        <w:t>以上导地线</w:t>
      </w:r>
      <w:r>
        <w:rPr>
          <w:rFonts w:ascii="宋体" w:hAnsi="宋体" w:eastAsia="宋体" w:cs="黑体"/>
          <w:color w:val="auto"/>
          <w:kern w:val="0"/>
          <w:szCs w:val="21"/>
          <w:highlight w:val="none"/>
        </w:rPr>
        <w:t>支付比例为1:2:6.5:0.5</w:t>
      </w:r>
      <w:r>
        <w:rPr>
          <w:rFonts w:ascii="宋体" w:hAnsi="宋体" w:eastAsia="宋体" w:cs="黑体"/>
          <w:strike w:val="0"/>
          <w:color w:val="auto"/>
          <w:kern w:val="0"/>
          <w:szCs w:val="21"/>
          <w:highlight w:val="none"/>
        </w:rPr>
        <w:t>；35kV以下导地线支付比例为1:0:</w:t>
      </w:r>
      <w:r>
        <w:rPr>
          <w:rFonts w:hint="eastAsia" w:ascii="宋体" w:hAnsi="宋体" w:eastAsia="宋体" w:cs="黑体"/>
          <w:strike w:val="0"/>
          <w:color w:val="auto"/>
          <w:kern w:val="0"/>
          <w:szCs w:val="21"/>
          <w:highlight w:val="none"/>
          <w:lang w:val="en-US" w:eastAsia="zh-CN"/>
        </w:rPr>
        <w:t>8.5</w:t>
      </w:r>
      <w:r>
        <w:rPr>
          <w:rFonts w:ascii="宋体" w:hAnsi="宋体" w:eastAsia="宋体" w:cs="黑体"/>
          <w:strike w:val="0"/>
          <w:color w:val="auto"/>
          <w:kern w:val="0"/>
          <w:szCs w:val="21"/>
          <w:highlight w:val="none"/>
        </w:rPr>
        <w:t>:</w:t>
      </w:r>
      <w:r>
        <w:rPr>
          <w:rFonts w:hint="eastAsia" w:ascii="宋体" w:hAnsi="宋体" w:eastAsia="宋体" w:cs="黑体"/>
          <w:strike w:val="0"/>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卖方为中小企业的，直流导地线的支付比例为2:3:4.5:0.5，35kV及以上导地线支付比例为2:2:5.5:0.5，35kV以下导地线支付比例为2:0:7.5:0.5。</w:t>
      </w:r>
    </w:p>
    <w:p w14:paraId="10AC8E7D">
      <w:pPr>
        <w:pStyle w:val="5"/>
        <w:spacing w:before="0" w:after="0" w:line="360" w:lineRule="auto"/>
        <w:rPr>
          <w:rFonts w:ascii="宋体" w:hAnsi="宋体" w:eastAsia="宋体" w:cs="黑体"/>
          <w:color w:val="auto"/>
          <w:kern w:val="0"/>
          <w:sz w:val="21"/>
          <w:szCs w:val="28"/>
          <w:highlight w:val="none"/>
        </w:rPr>
      </w:pPr>
      <w:bookmarkStart w:id="1456" w:name="_Toc26123"/>
      <w:bookmarkStart w:id="1457" w:name="_Toc57494980"/>
      <w:bookmarkStart w:id="1458" w:name="_Toc22234"/>
      <w:bookmarkStart w:id="1459" w:name="_Toc26275458"/>
      <w:bookmarkStart w:id="1460" w:name="_Toc534201561"/>
      <w:r>
        <w:rPr>
          <w:rFonts w:ascii="宋体" w:hAnsi="宋体" w:eastAsia="宋体" w:cs="黑体"/>
          <w:color w:val="auto"/>
          <w:kern w:val="0"/>
          <w:sz w:val="21"/>
          <w:szCs w:val="28"/>
          <w:highlight w:val="none"/>
        </w:rPr>
        <w:t>4. 监造及交货前检验</w:t>
      </w:r>
      <w:bookmarkEnd w:id="1456"/>
      <w:bookmarkEnd w:id="1457"/>
      <w:bookmarkEnd w:id="1458"/>
      <w:bookmarkEnd w:id="1459"/>
      <w:bookmarkEnd w:id="1460"/>
    </w:p>
    <w:p w14:paraId="5ED86BA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56FF2B9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4.1.3.1 卖方应在合同签订后两周内，以书面形式向</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提供一份详细的合同设备生产进度计划表，以便进行工厂监造。</w:t>
      </w:r>
    </w:p>
    <w:p w14:paraId="054566F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实际生产进度应尽量与计划相符，如有偏差应在实际生产行为发生</w:t>
      </w:r>
      <w:r>
        <w:rPr>
          <w:rFonts w:ascii="宋体" w:hAnsi="宋体" w:eastAsia="宋体" w:cs="黑体"/>
          <w:color w:val="auto"/>
          <w:kern w:val="0"/>
          <w:szCs w:val="21"/>
          <w:highlight w:val="none"/>
        </w:rPr>
        <w:t>1周前，以书面形式通知监造代表。</w:t>
      </w:r>
    </w:p>
    <w:p w14:paraId="2981C40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卖方应提供由</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签署的监造记录、与合同设备同类的型式试验报告，该试验报告的有效期为5年。</w:t>
      </w:r>
    </w:p>
    <w:p w14:paraId="246690C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200C943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4.3.1 卖方应预留到货抽检或专项抽检所必须的样品数量（包含备样）。</w:t>
      </w:r>
    </w:p>
    <w:p w14:paraId="1429792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4.3.3 按照GB/T2828实施到货抽检，具体抽检比例根据到货情况而定。</w:t>
      </w:r>
    </w:p>
    <w:p w14:paraId="1676AF9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4.3.5 导线到现场后，买方有抽样送检的权利，送国家质量检测单位检查、试验，如导线质量合格，送检费用由买方承担；如检验结果为不合格，将再次加倍检验。</w:t>
      </w:r>
    </w:p>
    <w:p w14:paraId="320DD258">
      <w:pPr>
        <w:pStyle w:val="5"/>
        <w:spacing w:before="0" w:after="0" w:line="360" w:lineRule="auto"/>
        <w:rPr>
          <w:rFonts w:ascii="宋体" w:hAnsi="宋体" w:eastAsia="宋体" w:cs="黑体"/>
          <w:color w:val="auto"/>
          <w:kern w:val="0"/>
          <w:sz w:val="21"/>
          <w:szCs w:val="28"/>
          <w:highlight w:val="none"/>
        </w:rPr>
      </w:pPr>
      <w:bookmarkStart w:id="1461" w:name="_Toc32177"/>
      <w:bookmarkStart w:id="1462" w:name="_Toc534201562"/>
      <w:bookmarkStart w:id="1463" w:name="_Toc2146"/>
      <w:bookmarkStart w:id="1464" w:name="_Toc57494981"/>
      <w:bookmarkStart w:id="1465" w:name="_Toc26275459"/>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461"/>
      <w:bookmarkEnd w:id="1462"/>
      <w:bookmarkEnd w:id="1463"/>
      <w:bookmarkEnd w:id="1464"/>
      <w:bookmarkEnd w:id="1465"/>
    </w:p>
    <w:p w14:paraId="75BD5FE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14B7EB53">
      <w:pPr>
        <w:pStyle w:val="5"/>
        <w:spacing w:before="0" w:after="0" w:line="360" w:lineRule="auto"/>
        <w:rPr>
          <w:rFonts w:ascii="宋体" w:hAnsi="宋体" w:eastAsia="宋体" w:cs="黑体"/>
          <w:color w:val="auto"/>
          <w:kern w:val="0"/>
          <w:sz w:val="21"/>
          <w:szCs w:val="28"/>
          <w:highlight w:val="none"/>
        </w:rPr>
      </w:pPr>
      <w:bookmarkStart w:id="1466" w:name="_Toc57494982"/>
      <w:bookmarkStart w:id="1467" w:name="_Toc9366"/>
      <w:bookmarkStart w:id="1468" w:name="_Toc26275460"/>
      <w:bookmarkStart w:id="1469" w:name="_Toc19225"/>
      <w:bookmarkStart w:id="1470" w:name="_Toc534201563"/>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466"/>
      <w:bookmarkEnd w:id="1467"/>
      <w:bookmarkEnd w:id="1468"/>
      <w:bookmarkEnd w:id="1469"/>
      <w:bookmarkEnd w:id="1470"/>
    </w:p>
    <w:p w14:paraId="6783EDA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卖方承诺800kV以上的合同设备的使用寿命不少于50年。</w:t>
      </w:r>
    </w:p>
    <w:p w14:paraId="2693CA79">
      <w:pPr>
        <w:pStyle w:val="5"/>
        <w:spacing w:before="0" w:after="0" w:line="360" w:lineRule="auto"/>
        <w:rPr>
          <w:rFonts w:ascii="宋体" w:hAnsi="宋体" w:eastAsia="宋体" w:cs="黑体"/>
          <w:color w:val="auto"/>
          <w:kern w:val="0"/>
          <w:sz w:val="21"/>
          <w:szCs w:val="28"/>
          <w:highlight w:val="none"/>
        </w:rPr>
      </w:pPr>
      <w:bookmarkStart w:id="1471" w:name="_Toc57494983"/>
      <w:bookmarkStart w:id="1472" w:name="_Toc26275461"/>
      <w:bookmarkStart w:id="1473" w:name="_Toc22471"/>
      <w:bookmarkStart w:id="1474" w:name="_Toc534201564"/>
      <w:bookmarkStart w:id="1475" w:name="_Toc30587"/>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471"/>
      <w:bookmarkEnd w:id="1472"/>
      <w:bookmarkEnd w:id="1473"/>
      <w:bookmarkEnd w:id="1474"/>
      <w:bookmarkEnd w:id="1475"/>
    </w:p>
    <w:p w14:paraId="60727C8F">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78DF214D">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3658905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 卖方还应根据买方的要求采取以下补救措施：</w:t>
      </w:r>
    </w:p>
    <w:p w14:paraId="1495FFC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1）合同设备主要技术指标不满足合同要求且不满足国家标准或行业标准的，卖方在买方规定的时间内，及时进行更换；更换周期应满足工期要求，否则卖方应按延迟交货支付违约金。</w:t>
      </w:r>
    </w:p>
    <w:p w14:paraId="3308B99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2）如导线更换后还不能达到买方要求，则买方有权做退货处理，且卖方应赔偿由此给买方造成的损失。</w:t>
      </w:r>
    </w:p>
    <w:p w14:paraId="5D8F5EF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3）在施工架线过程中，不允许有断股、松股和“起灯笼”现象出现，一经发现，买方有权拒收此批导线。</w:t>
      </w:r>
    </w:p>
    <w:p w14:paraId="33F781D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4）导线最外层单丝不允许有接头，如有接头，一经发现买方有权拒收该盘导线。</w:t>
      </w:r>
    </w:p>
    <w:p w14:paraId="372FF9F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5）如</w:t>
      </w:r>
      <w:r>
        <w:rPr>
          <w:rFonts w:hint="eastAsia" w:ascii="宋体" w:hAnsi="宋体" w:eastAsia="宋体" w:cs="黑体"/>
          <w:color w:val="auto"/>
          <w:kern w:val="0"/>
          <w:szCs w:val="21"/>
          <w:highlight w:val="none"/>
        </w:rPr>
        <w:t>果</w:t>
      </w:r>
      <w:r>
        <w:rPr>
          <w:rFonts w:ascii="宋体" w:hAnsi="宋体" w:eastAsia="宋体" w:cs="黑体"/>
          <w:color w:val="auto"/>
          <w:kern w:val="0"/>
          <w:szCs w:val="21"/>
          <w:highlight w:val="none"/>
        </w:rPr>
        <w:t>导线盘</w:t>
      </w:r>
      <w:r>
        <w:rPr>
          <w:rFonts w:hint="eastAsia" w:ascii="宋体" w:hAnsi="宋体" w:eastAsia="宋体" w:cs="黑体"/>
          <w:color w:val="auto"/>
          <w:kern w:val="0"/>
          <w:szCs w:val="21"/>
          <w:highlight w:val="none"/>
        </w:rPr>
        <w:t>不</w:t>
      </w:r>
      <w:r>
        <w:rPr>
          <w:rFonts w:ascii="宋体" w:hAnsi="宋体" w:eastAsia="宋体" w:cs="黑体"/>
          <w:color w:val="auto"/>
          <w:kern w:val="0"/>
          <w:szCs w:val="21"/>
          <w:highlight w:val="none"/>
        </w:rPr>
        <w:t>符合技术</w:t>
      </w:r>
      <w:r>
        <w:rPr>
          <w:rFonts w:hint="eastAsia" w:ascii="宋体" w:hAnsi="宋体" w:eastAsia="宋体" w:cs="黑体"/>
          <w:color w:val="auto"/>
          <w:kern w:val="0"/>
          <w:szCs w:val="21"/>
          <w:highlight w:val="none"/>
        </w:rPr>
        <w:t>规范书的</w:t>
      </w:r>
      <w:r>
        <w:rPr>
          <w:rFonts w:ascii="宋体" w:hAnsi="宋体" w:eastAsia="宋体" w:cs="黑体"/>
          <w:color w:val="auto"/>
          <w:kern w:val="0"/>
          <w:szCs w:val="21"/>
          <w:highlight w:val="none"/>
        </w:rPr>
        <w:t>要求并给施工现场造成困难，买方有权拒收，或要求卖方向施工单位进行补偿。</w:t>
      </w:r>
    </w:p>
    <w:p w14:paraId="1D27A97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6）导线到现场后，国家质量检测单位的检验结果为不合格，再次加倍检验仍不合格的，买方有权拒收合同项下的全部导线，送检费用由卖方负担，并赔偿由此给买方造成的经济损失。</w:t>
      </w:r>
    </w:p>
    <w:p w14:paraId="626630D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40E01F9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1）卖方应支付货物价格10%的违约金。</w:t>
      </w:r>
    </w:p>
    <w:p w14:paraId="25C2713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 监造及交货前检验</w:t>
      </w:r>
    </w:p>
    <w:p w14:paraId="1E7206F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14.5.4 如卖方未在规定的时间内提交合同货物生产进度计划表，每迟交1周，卖方应向买方支付违约金5000元。</w:t>
      </w:r>
    </w:p>
    <w:p w14:paraId="326811A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14.7 开箱检验、安装、调试、考核、验收</w:t>
      </w:r>
    </w:p>
    <w:p w14:paraId="6098D3D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4.7.1 如果导线实际的交货长度不满足要求，买方有权拒收。</w:t>
      </w:r>
    </w:p>
    <w:bookmarkEnd w:id="1450"/>
    <w:p w14:paraId="34ADEE6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p>
    <w:p w14:paraId="2BAB9E0F">
      <w:pPr>
        <w:pStyle w:val="4"/>
        <w:jc w:val="center"/>
        <w:rPr>
          <w:rFonts w:ascii="宋体" w:hAnsi="宋体" w:eastAsia="宋体" w:cs="Times New Roman"/>
          <w:color w:val="auto"/>
          <w:kern w:val="0"/>
          <w:sz w:val="28"/>
          <w:highlight w:val="none"/>
        </w:rPr>
      </w:pPr>
      <w:bookmarkStart w:id="1476" w:name="_Toc57494984"/>
      <w:bookmarkStart w:id="1477" w:name="_Toc25347"/>
      <w:bookmarkStart w:id="1478" w:name="_Toc13499"/>
      <w:r>
        <w:rPr>
          <w:rFonts w:hint="eastAsia" w:ascii="宋体" w:hAnsi="宋体" w:eastAsia="宋体" w:cs="Times New Roman"/>
          <w:color w:val="auto"/>
          <w:kern w:val="0"/>
          <w:sz w:val="28"/>
          <w:highlight w:val="none"/>
        </w:rPr>
        <w:t>（三十五）绝缘子</w:t>
      </w:r>
      <w:bookmarkEnd w:id="1476"/>
      <w:bookmarkEnd w:id="1477"/>
      <w:bookmarkEnd w:id="1478"/>
    </w:p>
    <w:p w14:paraId="205EB3F9">
      <w:pPr>
        <w:pStyle w:val="5"/>
        <w:spacing w:before="0" w:after="0" w:line="360" w:lineRule="auto"/>
        <w:rPr>
          <w:rFonts w:ascii="宋体" w:hAnsi="宋体" w:eastAsia="宋体" w:cs="黑体"/>
          <w:color w:val="auto"/>
          <w:kern w:val="0"/>
          <w:sz w:val="21"/>
          <w:szCs w:val="28"/>
          <w:highlight w:val="none"/>
        </w:rPr>
      </w:pPr>
      <w:bookmarkStart w:id="1479" w:name="_Toc15788"/>
      <w:bookmarkStart w:id="1480" w:name="_Toc26275463"/>
      <w:bookmarkStart w:id="1481" w:name="_Toc5598"/>
      <w:bookmarkStart w:id="1482" w:name="_Toc534201566"/>
      <w:bookmarkStart w:id="1483" w:name="_Toc57494985"/>
      <w:r>
        <w:rPr>
          <w:rFonts w:ascii="宋体" w:hAnsi="宋体" w:eastAsia="宋体" w:cs="黑体"/>
          <w:color w:val="auto"/>
          <w:kern w:val="0"/>
          <w:sz w:val="21"/>
          <w:szCs w:val="28"/>
          <w:highlight w:val="none"/>
        </w:rPr>
        <w:t>2. 合同范围</w:t>
      </w:r>
      <w:bookmarkEnd w:id="1479"/>
      <w:bookmarkEnd w:id="1480"/>
      <w:bookmarkEnd w:id="1481"/>
      <w:bookmarkEnd w:id="1482"/>
      <w:bookmarkEnd w:id="1483"/>
    </w:p>
    <w:p w14:paraId="13C08E5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2.5 卖方提供的技术资料包括但不限于全套安装使用说明书、产品合格证明书、出厂试验记录、产品外形尺寸图、运输尺寸图、铭牌图或铭牌标志图及备件一览表等。</w:t>
      </w:r>
    </w:p>
    <w:p w14:paraId="5A749CFC">
      <w:pPr>
        <w:pStyle w:val="5"/>
        <w:spacing w:before="0" w:after="0" w:line="360" w:lineRule="auto"/>
        <w:rPr>
          <w:rFonts w:ascii="宋体" w:hAnsi="宋体" w:eastAsia="宋体" w:cs="黑体"/>
          <w:color w:val="auto"/>
          <w:kern w:val="0"/>
          <w:sz w:val="21"/>
          <w:szCs w:val="28"/>
          <w:highlight w:val="none"/>
        </w:rPr>
      </w:pPr>
      <w:bookmarkStart w:id="1484" w:name="_Toc57494986"/>
      <w:bookmarkStart w:id="1485" w:name="_Toc26275464"/>
      <w:bookmarkStart w:id="1486" w:name="_Toc534201567"/>
      <w:bookmarkStart w:id="1487" w:name="_Toc14267"/>
      <w:bookmarkStart w:id="1488" w:name="_Toc18440"/>
      <w:r>
        <w:rPr>
          <w:rFonts w:ascii="宋体" w:hAnsi="宋体" w:eastAsia="宋体" w:cs="黑体"/>
          <w:color w:val="auto"/>
          <w:kern w:val="0"/>
          <w:sz w:val="21"/>
          <w:szCs w:val="28"/>
          <w:highlight w:val="none"/>
        </w:rPr>
        <w:t>3. 合同价格与支付</w:t>
      </w:r>
      <w:bookmarkEnd w:id="1484"/>
      <w:bookmarkEnd w:id="1485"/>
      <w:bookmarkEnd w:id="1486"/>
      <w:bookmarkEnd w:id="1487"/>
      <w:bookmarkEnd w:id="1488"/>
    </w:p>
    <w:p w14:paraId="117A622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625A80A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65F2A1B7">
      <w:pPr>
        <w:pStyle w:val="5"/>
        <w:spacing w:before="0" w:after="0" w:line="360" w:lineRule="auto"/>
        <w:rPr>
          <w:rFonts w:ascii="宋体" w:hAnsi="宋体" w:eastAsia="宋体" w:cs="黑体"/>
          <w:color w:val="auto"/>
          <w:kern w:val="0"/>
          <w:sz w:val="21"/>
          <w:szCs w:val="28"/>
          <w:highlight w:val="none"/>
        </w:rPr>
      </w:pPr>
      <w:bookmarkStart w:id="1489" w:name="_Toc4738"/>
      <w:bookmarkStart w:id="1490" w:name="_Toc534201568"/>
      <w:bookmarkStart w:id="1491" w:name="_Toc26275465"/>
      <w:bookmarkStart w:id="1492" w:name="_Toc27546"/>
      <w:bookmarkStart w:id="1493" w:name="_Toc57494987"/>
      <w:r>
        <w:rPr>
          <w:rFonts w:ascii="宋体" w:hAnsi="宋体" w:eastAsia="宋体" w:cs="黑体"/>
          <w:color w:val="auto"/>
          <w:kern w:val="0"/>
          <w:sz w:val="21"/>
          <w:szCs w:val="28"/>
          <w:highlight w:val="none"/>
        </w:rPr>
        <w:t xml:space="preserve">4. </w:t>
      </w:r>
      <w:r>
        <w:rPr>
          <w:rFonts w:hint="eastAsia" w:ascii="宋体" w:hAnsi="宋体" w:eastAsia="宋体" w:cs="黑体"/>
          <w:color w:val="auto"/>
          <w:kern w:val="0"/>
          <w:sz w:val="21"/>
          <w:szCs w:val="28"/>
          <w:highlight w:val="none"/>
        </w:rPr>
        <w:t>监造及交货前检验</w:t>
      </w:r>
      <w:bookmarkEnd w:id="1489"/>
      <w:bookmarkEnd w:id="1490"/>
      <w:bookmarkEnd w:id="1491"/>
      <w:bookmarkEnd w:id="1492"/>
      <w:bookmarkEnd w:id="1493"/>
    </w:p>
    <w:p w14:paraId="2714EDD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 </w:t>
      </w:r>
      <w:r>
        <w:rPr>
          <w:rFonts w:hint="eastAsia" w:ascii="宋体" w:hAnsi="宋体" w:eastAsia="宋体" w:cs="黑体"/>
          <w:color w:val="auto"/>
          <w:kern w:val="0"/>
          <w:szCs w:val="21"/>
          <w:highlight w:val="none"/>
        </w:rPr>
        <w:t>监造</w:t>
      </w:r>
    </w:p>
    <w:p w14:paraId="4EE9D27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卖方应提供与合同货物同型号的型式试验报告，该试验报告的有效期为5年。</w:t>
      </w:r>
    </w:p>
    <w:p w14:paraId="21115CB2">
      <w:pPr>
        <w:pStyle w:val="5"/>
        <w:spacing w:before="0" w:after="0" w:line="360" w:lineRule="auto"/>
        <w:rPr>
          <w:rFonts w:ascii="宋体" w:hAnsi="宋体" w:eastAsia="宋体" w:cs="黑体"/>
          <w:color w:val="auto"/>
          <w:kern w:val="0"/>
          <w:sz w:val="21"/>
          <w:szCs w:val="28"/>
          <w:highlight w:val="none"/>
        </w:rPr>
      </w:pPr>
      <w:bookmarkStart w:id="1494" w:name="_Toc17379"/>
      <w:bookmarkStart w:id="1495" w:name="_Toc20615"/>
      <w:bookmarkStart w:id="1496" w:name="_Toc57494988"/>
      <w:bookmarkStart w:id="1497" w:name="_Toc534201569"/>
      <w:bookmarkStart w:id="1498" w:name="_Toc26275466"/>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494"/>
      <w:bookmarkEnd w:id="1495"/>
      <w:bookmarkEnd w:id="1496"/>
      <w:bookmarkEnd w:id="1497"/>
      <w:bookmarkEnd w:id="1498"/>
    </w:p>
    <w:p w14:paraId="27B9728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5864B89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合同设备的包装还应满足以下要求：</w:t>
      </w:r>
    </w:p>
    <w:p w14:paraId="076773C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1）瓷式绝缘子类货物必须采用坚固木箱或木质板条箱进行包装，不得采用柳条或其他方式的包装，包装箱内应设有合适的缓冲垫、保护垫或隔离块，以防止运输和搬运过程中的损坏和腐蚀。</w:t>
      </w:r>
    </w:p>
    <w:p w14:paraId="6650839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2）合成绝缘子包装应符合有关的规定，能满足长途运输多次搬运、装卸的要求，采取防冲撞变形、防腐蚀等保护措施，以便货物在没有任何损坏和腐蚀的情况下安全地运抵合同货物安装现场。</w:t>
      </w:r>
    </w:p>
    <w:p w14:paraId="700AEE9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3）卖方应根据双方商定好的标准和买方的实际运输条件，将绝缘子及相应零部件包装好，产品各部件的包装设计应便于装卸、运输，包装应具有良好的防震保护措施，包装应有防止鼠害和防止变形措施。</w:t>
      </w:r>
    </w:p>
    <w:p w14:paraId="5AEF3000">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5.1.7 </w:t>
      </w:r>
      <w:r>
        <w:rPr>
          <w:rFonts w:hint="eastAsia" w:ascii="宋体" w:hAnsi="宋体" w:eastAsia="宋体" w:cs="宋体"/>
          <w:color w:val="auto"/>
          <w:sz w:val="21"/>
          <w:szCs w:val="21"/>
          <w:highlight w:val="none"/>
        </w:rPr>
        <w:t>包装材料</w:t>
      </w:r>
    </w:p>
    <w:p w14:paraId="7C6D0AD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5.1.7.3 包装用材应是干燥的、封闭箱板，箱挡板含水率为8%-22%，其他包装用材含水率不大于25%；包装箱用胶合板、纤维板、瓦楞纸板、菱镁砼等材料应符合国家相关标准要求；包装箱为竹制品或藤制品的，不允许有虫害、腐朽、损伤、干枯等降低制品强度的各种缺陷。</w:t>
      </w:r>
    </w:p>
    <w:p w14:paraId="7978141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7A9ECD5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货物出厂必须同时具备该货物有关的完整的资料，包括：产品质量合格证，设计及加工变更通知单，原材料质量保证书和复检报告，配套均压环及端部金具产品合格证，必要的压接检验报告。一式五份，一份交给工程监理方，四份交收货单位。</w:t>
      </w:r>
    </w:p>
    <w:p w14:paraId="37941EE1">
      <w:pPr>
        <w:pStyle w:val="5"/>
        <w:spacing w:before="0" w:after="0" w:line="360" w:lineRule="auto"/>
        <w:rPr>
          <w:rFonts w:ascii="宋体" w:hAnsi="宋体" w:eastAsia="宋体" w:cs="黑体"/>
          <w:color w:val="auto"/>
          <w:kern w:val="0"/>
          <w:sz w:val="21"/>
          <w:szCs w:val="28"/>
          <w:highlight w:val="none"/>
        </w:rPr>
      </w:pPr>
      <w:bookmarkStart w:id="1499" w:name="_Toc534201570"/>
      <w:bookmarkStart w:id="1500" w:name="_Toc26275467"/>
      <w:bookmarkStart w:id="1501" w:name="_Toc57494989"/>
      <w:bookmarkStart w:id="1502" w:name="_Toc15646"/>
      <w:bookmarkStart w:id="1503" w:name="_Toc4414"/>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499"/>
      <w:bookmarkEnd w:id="1500"/>
      <w:bookmarkEnd w:id="1501"/>
      <w:bookmarkEnd w:id="1502"/>
      <w:bookmarkEnd w:id="1503"/>
    </w:p>
    <w:p w14:paraId="78FCA86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0B7DF9EF">
      <w:pPr>
        <w:pStyle w:val="5"/>
        <w:spacing w:before="0" w:after="0" w:line="360" w:lineRule="auto"/>
        <w:rPr>
          <w:rFonts w:ascii="宋体" w:hAnsi="宋体" w:eastAsia="宋体" w:cs="黑体"/>
          <w:color w:val="auto"/>
          <w:kern w:val="0"/>
          <w:sz w:val="21"/>
          <w:szCs w:val="28"/>
          <w:highlight w:val="none"/>
        </w:rPr>
      </w:pPr>
      <w:bookmarkStart w:id="1504" w:name="_Toc57494990"/>
      <w:bookmarkStart w:id="1505" w:name="_Toc2299"/>
      <w:bookmarkStart w:id="1506" w:name="_Toc534201571"/>
      <w:bookmarkStart w:id="1507" w:name="_Toc26275468"/>
      <w:bookmarkStart w:id="1508" w:name="_Toc3672"/>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504"/>
      <w:bookmarkEnd w:id="1505"/>
      <w:bookmarkEnd w:id="1506"/>
      <w:bookmarkEnd w:id="1507"/>
      <w:bookmarkEnd w:id="1508"/>
    </w:p>
    <w:p w14:paraId="51EA0C4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卖方承诺800kV绝缘子的使用寿命不少于50年。</w:t>
      </w:r>
    </w:p>
    <w:p w14:paraId="753B8B57">
      <w:pPr>
        <w:pStyle w:val="5"/>
        <w:spacing w:before="0" w:after="0" w:line="360" w:lineRule="auto"/>
        <w:rPr>
          <w:rFonts w:ascii="宋体" w:hAnsi="宋体" w:eastAsia="宋体" w:cs="黑体"/>
          <w:color w:val="auto"/>
          <w:kern w:val="0"/>
          <w:sz w:val="21"/>
          <w:szCs w:val="28"/>
          <w:highlight w:val="none"/>
        </w:rPr>
      </w:pPr>
      <w:bookmarkStart w:id="1509" w:name="_Toc534201572"/>
      <w:bookmarkStart w:id="1510" w:name="_Toc26275469"/>
      <w:bookmarkStart w:id="1511" w:name="_Toc29919"/>
      <w:bookmarkStart w:id="1512" w:name="_Toc6919"/>
      <w:bookmarkStart w:id="1513" w:name="_Toc57494991"/>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509"/>
      <w:bookmarkEnd w:id="1510"/>
      <w:bookmarkEnd w:id="1511"/>
      <w:bookmarkEnd w:id="1512"/>
      <w:bookmarkEnd w:id="1513"/>
    </w:p>
    <w:p w14:paraId="026AA560">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2BEB88D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375394F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w:t>
      </w:r>
      <w:r>
        <w:rPr>
          <w:rFonts w:hint="eastAsia" w:ascii="宋体" w:hAnsi="宋体" w:eastAsia="宋体" w:cs="黑体"/>
          <w:color w:val="auto"/>
          <w:kern w:val="0"/>
          <w:szCs w:val="21"/>
          <w:highlight w:val="none"/>
        </w:rPr>
        <w:t xml:space="preserve"> </w:t>
      </w:r>
      <w:r>
        <w:rPr>
          <w:rFonts w:ascii="宋体" w:hAnsi="宋体" w:eastAsia="宋体" w:cs="黑体"/>
          <w:color w:val="auto"/>
          <w:kern w:val="0"/>
          <w:szCs w:val="21"/>
          <w:highlight w:val="none"/>
        </w:rPr>
        <w:t>对由于设计、制造、运输和材料的缺陷等原因而造成的任何设备损坏、缺陷或故障，卖方在收到买方书面通知后，应在10日内免费修理或更换。</w:t>
      </w:r>
    </w:p>
    <w:p w14:paraId="4306EA5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14E423A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1）卖方应支付货物价格10%的违约金。</w:t>
      </w:r>
    </w:p>
    <w:p w14:paraId="5EC803D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14.1.5 赔偿损失</w:t>
      </w:r>
    </w:p>
    <w:p w14:paraId="4E25DD3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14.1.5.3 当线路投运12个月以后，将进行瓷绝缘子的劣化率和玻璃绝缘子的自爆率测试，如果测试结果高于卖方所提供的瓷绝缘子年劣化率和玻璃绝缘子自爆率的保证值，每种绝缘子每超过保证值的一个万分点，卖方应</w:t>
      </w:r>
      <w:r>
        <w:rPr>
          <w:rFonts w:hint="eastAsia" w:ascii="宋体" w:hAnsi="宋体" w:eastAsia="宋体" w:cs="黑体"/>
          <w:color w:val="auto"/>
          <w:kern w:val="0"/>
          <w:szCs w:val="21"/>
          <w:highlight w:val="none"/>
        </w:rPr>
        <w:t>赔偿</w:t>
      </w:r>
      <w:r>
        <w:rPr>
          <w:rFonts w:ascii="宋体" w:hAnsi="宋体" w:eastAsia="宋体" w:cs="黑体"/>
          <w:color w:val="auto"/>
          <w:kern w:val="0"/>
          <w:szCs w:val="21"/>
          <w:highlight w:val="none"/>
        </w:rPr>
        <w:t>合同价款的1%。</w:t>
      </w:r>
    </w:p>
    <w:p w14:paraId="3ABDC1C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14.1.5.4 当线路投运12个月以后，对于复合绝缘子将进行憎水性能和机械强度的测定，如果测试结果不符合标准DL/T864第4.3.2条和第11.1条的规定数值，买方有权向卖方索赔。</w:t>
      </w:r>
    </w:p>
    <w:p w14:paraId="7DD06F69">
      <w:pPr>
        <w:pStyle w:val="4"/>
        <w:jc w:val="center"/>
        <w:rPr>
          <w:rFonts w:ascii="宋体" w:hAnsi="宋体" w:eastAsia="宋体" w:cs="Times New Roman"/>
          <w:color w:val="auto"/>
          <w:kern w:val="0"/>
          <w:sz w:val="28"/>
          <w:highlight w:val="none"/>
        </w:rPr>
      </w:pPr>
      <w:bookmarkStart w:id="1514" w:name="_Toc5398"/>
      <w:bookmarkStart w:id="1515" w:name="_Toc28422"/>
      <w:bookmarkStart w:id="1516" w:name="_Toc57494992"/>
      <w:r>
        <w:rPr>
          <w:rFonts w:hint="eastAsia" w:ascii="宋体" w:hAnsi="宋体" w:eastAsia="宋体" w:cs="Times New Roman"/>
          <w:color w:val="auto"/>
          <w:kern w:val="0"/>
          <w:sz w:val="28"/>
          <w:highlight w:val="none"/>
        </w:rPr>
        <w:t>（三十六）电缆及附件</w:t>
      </w:r>
      <w:bookmarkEnd w:id="1514"/>
      <w:bookmarkEnd w:id="1515"/>
      <w:bookmarkEnd w:id="1516"/>
    </w:p>
    <w:p w14:paraId="2F6A7D31">
      <w:pPr>
        <w:pStyle w:val="5"/>
        <w:spacing w:before="0" w:after="0" w:line="360" w:lineRule="auto"/>
        <w:rPr>
          <w:rFonts w:ascii="宋体" w:hAnsi="宋体" w:eastAsia="宋体" w:cs="黑体"/>
          <w:color w:val="auto"/>
          <w:kern w:val="0"/>
          <w:sz w:val="21"/>
          <w:szCs w:val="28"/>
          <w:highlight w:val="none"/>
        </w:rPr>
      </w:pPr>
      <w:bookmarkStart w:id="1517" w:name="_Toc13012"/>
      <w:bookmarkStart w:id="1518" w:name="_Toc20919"/>
      <w:bookmarkStart w:id="1519" w:name="_Toc26275471"/>
      <w:bookmarkStart w:id="1520" w:name="_Toc57494993"/>
      <w:bookmarkStart w:id="1521" w:name="_Toc534201574"/>
      <w:r>
        <w:rPr>
          <w:rFonts w:ascii="宋体" w:hAnsi="宋体" w:eastAsia="宋体" w:cs="黑体"/>
          <w:color w:val="auto"/>
          <w:kern w:val="0"/>
          <w:sz w:val="21"/>
          <w:szCs w:val="28"/>
          <w:highlight w:val="none"/>
        </w:rPr>
        <w:t>2. 合同范围</w:t>
      </w:r>
      <w:bookmarkEnd w:id="1517"/>
      <w:bookmarkEnd w:id="1518"/>
      <w:bookmarkEnd w:id="1519"/>
      <w:bookmarkEnd w:id="1520"/>
      <w:bookmarkEnd w:id="1521"/>
    </w:p>
    <w:p w14:paraId="453ED9A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电缆盘长按照买方提供分盘长度为准，允许偏差+0.5%</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-0%。</w:t>
      </w:r>
    </w:p>
    <w:p w14:paraId="57FB18F3">
      <w:pPr>
        <w:pStyle w:val="5"/>
        <w:spacing w:before="0" w:after="0" w:line="360" w:lineRule="auto"/>
        <w:rPr>
          <w:rFonts w:ascii="宋体" w:hAnsi="宋体" w:eastAsia="宋体" w:cs="黑体"/>
          <w:color w:val="auto"/>
          <w:kern w:val="0"/>
          <w:sz w:val="21"/>
          <w:szCs w:val="28"/>
          <w:highlight w:val="none"/>
        </w:rPr>
      </w:pPr>
      <w:bookmarkStart w:id="1522" w:name="_Toc57494994"/>
      <w:bookmarkStart w:id="1523" w:name="_Toc19834"/>
      <w:bookmarkStart w:id="1524" w:name="_Toc26275472"/>
      <w:bookmarkStart w:id="1525" w:name="_Toc14839"/>
      <w:bookmarkStart w:id="1526" w:name="_Toc534201575"/>
      <w:r>
        <w:rPr>
          <w:rFonts w:ascii="宋体" w:hAnsi="宋体" w:eastAsia="宋体" w:cs="黑体"/>
          <w:color w:val="auto"/>
          <w:kern w:val="0"/>
          <w:sz w:val="21"/>
          <w:szCs w:val="28"/>
          <w:highlight w:val="none"/>
        </w:rPr>
        <w:t>3. 合同价格与支付</w:t>
      </w:r>
      <w:bookmarkEnd w:id="1522"/>
      <w:bookmarkEnd w:id="1523"/>
      <w:bookmarkEnd w:id="1524"/>
      <w:bookmarkEnd w:id="1525"/>
      <w:bookmarkEnd w:id="1526"/>
    </w:p>
    <w:p w14:paraId="79FDE60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0F36345E">
      <w:pPr>
        <w:topLinePunct/>
        <w:adjustRightInd w:val="0"/>
        <w:snapToGrid w:val="0"/>
        <w:spacing w:line="360" w:lineRule="auto"/>
        <w:ind w:firstLine="420" w:firstLineChars="200"/>
        <w:jc w:val="left"/>
        <w:rPr>
          <w:rFonts w:ascii="宋体" w:hAnsi="宋体" w:eastAsia="宋体" w:cs="黑体"/>
          <w:strike w:val="0"/>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w:t>
      </w:r>
      <w:r>
        <w:rPr>
          <w:rFonts w:ascii="宋体" w:hAnsi="宋体" w:eastAsia="宋体" w:cs="黑体"/>
          <w:strike w:val="0"/>
          <w:color w:val="auto"/>
          <w:kern w:val="0"/>
          <w:szCs w:val="21"/>
          <w:highlight w:val="none"/>
        </w:rPr>
        <w:t>35kV</w:t>
      </w:r>
      <w:r>
        <w:rPr>
          <w:rFonts w:hint="eastAsia" w:ascii="宋体" w:hAnsi="宋体" w:eastAsia="宋体" w:cs="黑体"/>
          <w:strike w:val="0"/>
          <w:color w:val="auto"/>
          <w:kern w:val="0"/>
          <w:szCs w:val="21"/>
          <w:highlight w:val="none"/>
          <w:lang w:val="en-US" w:eastAsia="zh-CN"/>
        </w:rPr>
        <w:t>及</w:t>
      </w:r>
      <w:r>
        <w:rPr>
          <w:rFonts w:ascii="宋体" w:hAnsi="宋体" w:eastAsia="宋体" w:cs="黑体"/>
          <w:strike w:val="0"/>
          <w:color w:val="auto"/>
          <w:kern w:val="0"/>
          <w:szCs w:val="21"/>
          <w:highlight w:val="none"/>
        </w:rPr>
        <w:t>以上电缆的</w:t>
      </w:r>
      <w:r>
        <w:rPr>
          <w:rFonts w:ascii="宋体" w:hAnsi="宋体" w:eastAsia="宋体" w:cs="黑体"/>
          <w:color w:val="auto"/>
          <w:kern w:val="0"/>
          <w:szCs w:val="21"/>
          <w:highlight w:val="none"/>
        </w:rPr>
        <w:t>支付比例为1:2:6.5:0.5</w:t>
      </w:r>
      <w:r>
        <w:rPr>
          <w:rFonts w:ascii="宋体" w:hAnsi="宋体" w:eastAsia="宋体" w:cs="黑体"/>
          <w:strike w:val="0"/>
          <w:color w:val="auto"/>
          <w:kern w:val="0"/>
          <w:szCs w:val="21"/>
          <w:highlight w:val="none"/>
        </w:rPr>
        <w:t>；35kV以下电缆和各类电缆附件的支付比例为1:0:</w:t>
      </w:r>
      <w:r>
        <w:rPr>
          <w:rFonts w:hint="eastAsia" w:ascii="宋体" w:hAnsi="宋体" w:eastAsia="宋体" w:cs="黑体"/>
          <w:strike w:val="0"/>
          <w:color w:val="auto"/>
          <w:kern w:val="0"/>
          <w:szCs w:val="21"/>
          <w:highlight w:val="none"/>
          <w:lang w:val="en-US" w:eastAsia="zh-CN"/>
        </w:rPr>
        <w:t>8.5</w:t>
      </w:r>
      <w:r>
        <w:rPr>
          <w:rFonts w:ascii="宋体" w:hAnsi="宋体" w:eastAsia="宋体" w:cs="黑体"/>
          <w:strike w:val="0"/>
          <w:color w:val="auto"/>
          <w:kern w:val="0"/>
          <w:szCs w:val="21"/>
          <w:highlight w:val="none"/>
        </w:rPr>
        <w:t>:</w:t>
      </w:r>
      <w:r>
        <w:rPr>
          <w:rFonts w:hint="eastAsia" w:ascii="宋体" w:hAnsi="宋体" w:eastAsia="宋体" w:cs="黑体"/>
          <w:strike w:val="0"/>
          <w:color w:val="auto"/>
          <w:kern w:val="0"/>
          <w:szCs w:val="21"/>
          <w:highlight w:val="none"/>
          <w:lang w:val="en-US" w:eastAsia="zh-CN"/>
        </w:rPr>
        <w:t>0.5</w:t>
      </w:r>
      <w:r>
        <w:rPr>
          <w:rFonts w:ascii="宋体" w:hAnsi="宋体" w:eastAsia="宋体" w:cs="黑体"/>
          <w:strike w:val="0"/>
          <w:color w:val="auto"/>
          <w:kern w:val="0"/>
          <w:szCs w:val="21"/>
          <w:highlight w:val="none"/>
        </w:rPr>
        <w:t>。</w:t>
      </w:r>
      <w:r>
        <w:rPr>
          <w:rFonts w:hint="eastAsia" w:ascii="宋体" w:hAnsi="宋体" w:eastAsia="宋体" w:cs="黑体"/>
          <w:strike w:val="0"/>
          <w:color w:val="auto"/>
          <w:kern w:val="0"/>
          <w:szCs w:val="21"/>
          <w:highlight w:val="none"/>
        </w:rPr>
        <w:t>卖方为中小企业的，35kV及以上电缆的支付比例为2:2:5.5:0.5；35kV以下电缆和各类电缆附件的支付比例为2:0:7.5:0.5。</w:t>
      </w:r>
    </w:p>
    <w:p w14:paraId="10DA267D">
      <w:pPr>
        <w:pStyle w:val="5"/>
        <w:spacing w:before="0" w:after="0" w:line="360" w:lineRule="auto"/>
        <w:rPr>
          <w:rFonts w:ascii="宋体" w:hAnsi="宋体" w:eastAsia="宋体" w:cs="黑体"/>
          <w:color w:val="auto"/>
          <w:kern w:val="0"/>
          <w:sz w:val="21"/>
          <w:szCs w:val="28"/>
          <w:highlight w:val="none"/>
        </w:rPr>
      </w:pPr>
      <w:bookmarkStart w:id="1527" w:name="_Toc26275473"/>
      <w:bookmarkStart w:id="1528" w:name="_Toc534201576"/>
      <w:bookmarkStart w:id="1529" w:name="_Toc57494995"/>
      <w:bookmarkStart w:id="1530" w:name="_Toc1282"/>
      <w:bookmarkStart w:id="1531" w:name="_Toc10961"/>
      <w:r>
        <w:rPr>
          <w:rFonts w:ascii="宋体" w:hAnsi="宋体" w:eastAsia="宋体" w:cs="黑体"/>
          <w:color w:val="auto"/>
          <w:kern w:val="0"/>
          <w:sz w:val="21"/>
          <w:szCs w:val="28"/>
          <w:highlight w:val="none"/>
        </w:rPr>
        <w:t xml:space="preserve">4. </w:t>
      </w:r>
      <w:r>
        <w:rPr>
          <w:rFonts w:hint="eastAsia" w:ascii="宋体" w:hAnsi="宋体" w:eastAsia="宋体" w:cs="黑体"/>
          <w:color w:val="auto"/>
          <w:kern w:val="0"/>
          <w:sz w:val="21"/>
          <w:szCs w:val="28"/>
          <w:highlight w:val="none"/>
        </w:rPr>
        <w:t>监造及交货前检验</w:t>
      </w:r>
      <w:bookmarkEnd w:id="1527"/>
      <w:bookmarkEnd w:id="1528"/>
      <w:bookmarkEnd w:id="1529"/>
      <w:bookmarkEnd w:id="1530"/>
      <w:bookmarkEnd w:id="1531"/>
    </w:p>
    <w:p w14:paraId="6CB4D9B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 </w:t>
      </w:r>
      <w:r>
        <w:rPr>
          <w:rFonts w:hint="eastAsia" w:ascii="宋体" w:hAnsi="宋体" w:eastAsia="宋体" w:cs="黑体"/>
          <w:color w:val="auto"/>
          <w:kern w:val="0"/>
          <w:szCs w:val="21"/>
          <w:highlight w:val="none"/>
        </w:rPr>
        <w:t>监造</w:t>
      </w:r>
    </w:p>
    <w:p w14:paraId="49872EA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卖方所提供的组件或附件如需向第三方外购时，卖方应提供相应出厂和验收证明。</w:t>
      </w:r>
    </w:p>
    <w:p w14:paraId="0C640EF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4.1.3.1 </w:t>
      </w:r>
      <w:r>
        <w:rPr>
          <w:rFonts w:hint="eastAsia" w:ascii="宋体" w:hAnsi="宋体" w:eastAsia="宋体" w:cs="黑体"/>
          <w:color w:val="auto"/>
          <w:kern w:val="0"/>
          <w:szCs w:val="21"/>
          <w:highlight w:val="none"/>
        </w:rPr>
        <w:t>卖方</w:t>
      </w:r>
      <w:r>
        <w:rPr>
          <w:rFonts w:ascii="宋体" w:hAnsi="宋体" w:eastAsia="宋体" w:cs="黑体"/>
          <w:color w:val="auto"/>
          <w:kern w:val="0"/>
          <w:szCs w:val="21"/>
          <w:highlight w:val="none"/>
        </w:rPr>
        <w:t>必须在签订合同后10天之内以书面形式提供所供设备的</w:t>
      </w:r>
      <w:r>
        <w:rPr>
          <w:rFonts w:ascii="宋体" w:hAnsi="宋体" w:eastAsia="宋体"/>
          <w:color w:val="auto"/>
          <w:szCs w:val="21"/>
          <w:highlight w:val="none"/>
        </w:rPr>
        <w:t>生产进度计划</w:t>
      </w:r>
      <w:r>
        <w:rPr>
          <w:rFonts w:hint="eastAsia" w:ascii="宋体" w:hAnsi="宋体" w:eastAsia="宋体"/>
          <w:color w:val="auto"/>
          <w:szCs w:val="21"/>
          <w:highlight w:val="none"/>
        </w:rPr>
        <w:t>（</w:t>
      </w:r>
      <w:r>
        <w:rPr>
          <w:rFonts w:ascii="宋体" w:hAnsi="宋体" w:eastAsia="宋体" w:cs="黑体"/>
          <w:color w:val="auto"/>
          <w:kern w:val="0"/>
          <w:szCs w:val="21"/>
          <w:highlight w:val="none"/>
        </w:rPr>
        <w:t>制造进度表</w:t>
      </w:r>
      <w:r>
        <w:rPr>
          <w:rFonts w:hint="eastAsia" w:ascii="宋体" w:hAnsi="宋体" w:eastAsia="宋体"/>
          <w:color w:val="auto"/>
          <w:szCs w:val="21"/>
          <w:highlight w:val="none"/>
        </w:rPr>
        <w:t>）</w:t>
      </w:r>
      <w:r>
        <w:rPr>
          <w:rFonts w:ascii="宋体" w:hAnsi="宋体" w:eastAsia="宋体" w:cs="黑体"/>
          <w:color w:val="auto"/>
          <w:kern w:val="0"/>
          <w:szCs w:val="21"/>
          <w:highlight w:val="none"/>
        </w:rPr>
        <w:t>。</w:t>
      </w:r>
    </w:p>
    <w:p w14:paraId="6F59401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卖方应提供与合同设备同类的型式试验报告，该试验报告的有效期为5年。</w:t>
      </w:r>
    </w:p>
    <w:p w14:paraId="4EA0805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071ECE3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4.3.1 卖方应预留到货抽检或专项抽检所必须的样品数量（包含备样）。</w:t>
      </w:r>
    </w:p>
    <w:p w14:paraId="5CDC859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4.3.3 按照GB/T2828实施到货抽检，具体抽检比例根据到货情况而定。</w:t>
      </w:r>
    </w:p>
    <w:p w14:paraId="514564D3">
      <w:pPr>
        <w:pStyle w:val="5"/>
        <w:spacing w:before="0" w:after="0" w:line="360" w:lineRule="auto"/>
        <w:rPr>
          <w:rFonts w:ascii="宋体" w:hAnsi="宋体" w:eastAsia="宋体" w:cs="黑体"/>
          <w:color w:val="auto"/>
          <w:kern w:val="0"/>
          <w:sz w:val="21"/>
          <w:szCs w:val="28"/>
          <w:highlight w:val="none"/>
        </w:rPr>
      </w:pPr>
      <w:bookmarkStart w:id="1532" w:name="_Toc534201577"/>
      <w:bookmarkStart w:id="1533" w:name="_Toc57494996"/>
      <w:bookmarkStart w:id="1534" w:name="_Toc26275474"/>
      <w:bookmarkStart w:id="1535" w:name="_Toc24401"/>
      <w:bookmarkStart w:id="1536" w:name="_Toc15857"/>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532"/>
      <w:bookmarkEnd w:id="1533"/>
      <w:bookmarkEnd w:id="1534"/>
      <w:bookmarkEnd w:id="1535"/>
      <w:bookmarkEnd w:id="1536"/>
    </w:p>
    <w:p w14:paraId="116ED6A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374954B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5.1.1.1.1 电缆包装的技术要求</w:t>
      </w:r>
    </w:p>
    <w:p w14:paraId="2794962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（1）每个线盘上只能卷绕一根电缆。电缆盘的结构牢固，筒体部分采用钢结构。</w:t>
      </w:r>
    </w:p>
    <w:p w14:paraId="6A8F397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（2）每盘电缆内端头应装密封保护罩、外端头应装牵引头，牢固地固定在电缆盘侧板上以防止移动，不能施工放线而拉脱。</w:t>
      </w:r>
    </w:p>
    <w:p w14:paraId="66707E2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电缆卷绕在电缆盘上后，用护板保护，护板可以用木板或钢板。如采用木护板，在其外表面还用金属带扎紧，并在护板之下的电缆盘最外层电缆表面上覆盖一层硬纸或其他具有类似功能的材料，以防碎石或煤渣等坚硬物体掉落在每匝电缆之间在运输或搬运过程中损伤电缆外护套；如用钢板，则宜采用轧边或螺栓与电缆盘固定，而不采用焊接固定。</w:t>
      </w:r>
    </w:p>
    <w:p w14:paraId="670DADB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4）包装应能满足重盘装卸、长途运输和施工安装的要求。在运输电缆时，卖方应采取防止电缆盘滚动的措施，例如将电缆盘放在托盘上。卖方应对由于未将电缆或电缆盘正确地扣紧、密封、包装和固定而造成的电缆损伤负责。</w:t>
      </w:r>
    </w:p>
    <w:p w14:paraId="07930AD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5.1.1.1.2 电缆附件包装</w:t>
      </w:r>
      <w:r>
        <w:rPr>
          <w:rFonts w:hint="eastAsia" w:ascii="宋体" w:hAnsi="宋体" w:eastAsia="宋体" w:cs="黑体"/>
          <w:color w:val="auto"/>
          <w:kern w:val="0"/>
          <w:szCs w:val="21"/>
          <w:highlight w:val="none"/>
        </w:rPr>
        <w:t>的</w:t>
      </w:r>
      <w:r>
        <w:rPr>
          <w:rFonts w:ascii="宋体" w:hAnsi="宋体" w:eastAsia="宋体" w:cs="黑体"/>
          <w:color w:val="auto"/>
          <w:kern w:val="0"/>
          <w:szCs w:val="21"/>
          <w:highlight w:val="none"/>
        </w:rPr>
        <w:t>技术要求</w:t>
      </w:r>
    </w:p>
    <w:p w14:paraId="4F57636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（1）电缆附件外包装宜为木箱，并分套包装。</w:t>
      </w:r>
    </w:p>
    <w:p w14:paraId="587C3EE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w:t>
      </w:r>
      <w:r>
        <w:rPr>
          <w:rFonts w:ascii="宋体" w:hAnsi="宋体" w:eastAsia="宋体" w:cs="黑体"/>
          <w:color w:val="auto"/>
          <w:kern w:val="0"/>
          <w:szCs w:val="21"/>
          <w:highlight w:val="none"/>
        </w:rPr>
        <w:t>终端的瓷套与金属部件应分开包装或组装在一起后包装，或者采用其他能防止金属件碰坏瓷套的包装方法。附件用的内绝缘材料宜分箱密封包装。</w:t>
      </w:r>
    </w:p>
    <w:p w14:paraId="3296075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（3）电缆附件所有部件包装要有防潮湿、防碰撞、防鼠害的保护层。电缆附件产品运输过程中不得将包装箱倒置及碰撞。电缆附件储存在清洁干燥和阴凉处，不得在户外和阳光下存放。</w:t>
      </w:r>
    </w:p>
    <w:p w14:paraId="32F61FC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5.1.2.1每盘电缆应有制造厂的产品质量检验合格证。</w:t>
      </w:r>
    </w:p>
    <w:p w14:paraId="13EFEEE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5.1.7 </w:t>
      </w:r>
      <w:r>
        <w:rPr>
          <w:rFonts w:hint="eastAsia" w:ascii="宋体" w:hAnsi="宋体" w:eastAsia="宋体" w:cs="黑体"/>
          <w:color w:val="auto"/>
          <w:kern w:val="0"/>
          <w:szCs w:val="21"/>
          <w:highlight w:val="none"/>
        </w:rPr>
        <w:t>包装材料</w:t>
      </w:r>
    </w:p>
    <w:p w14:paraId="21B0145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5.1.7.3.1 包装材料应为结实的钢木线盘有加固钢骨架的钢木结构线盘，具有良好的防震、防锈、防腐蚀、防盗等措施。使用的包装材料应具有化学稳定性，在任何时候不应损伤</w:t>
      </w:r>
      <w:r>
        <w:rPr>
          <w:rFonts w:hint="eastAsia" w:ascii="宋体" w:hAnsi="宋体" w:eastAsia="宋体" w:cs="黑体"/>
          <w:color w:val="auto"/>
          <w:kern w:val="0"/>
          <w:szCs w:val="21"/>
          <w:highlight w:val="none"/>
        </w:rPr>
        <w:t>合同设备</w:t>
      </w:r>
      <w:r>
        <w:rPr>
          <w:rFonts w:ascii="宋体" w:hAnsi="宋体" w:eastAsia="宋体" w:cs="黑体"/>
          <w:color w:val="auto"/>
          <w:kern w:val="0"/>
          <w:szCs w:val="21"/>
          <w:highlight w:val="none"/>
        </w:rPr>
        <w:t>。</w:t>
      </w:r>
    </w:p>
    <w:p w14:paraId="726F4C2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5.1.7.3.2电缆附件外包装宜为木箱。</w:t>
      </w:r>
    </w:p>
    <w:p w14:paraId="7ED0223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 标记</w:t>
      </w:r>
    </w:p>
    <w:p w14:paraId="1923A00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5.2.1.1.1 电缆标记的技术要求</w:t>
      </w:r>
    </w:p>
    <w:p w14:paraId="2E04FA9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（1）电缆盘要标明买方名称、合同号、盘号、电缆型式（电压、规格、截面）、长度、制造厂名、制造日期、盘转动方向、起吊点、外形尺寸、毛重、净重、必要的警告文字和符号等标志。</w:t>
      </w:r>
    </w:p>
    <w:p w14:paraId="123F8CD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（2）成品电缆的护套表面上应有制造厂名、产品型号、额定电压、连续计米、制造日期、盘号、批次编号等标志。标志应字迹清楚、醒目耐磨，符合</w:t>
      </w:r>
      <w:r>
        <w:rPr>
          <w:rFonts w:ascii="宋体" w:hAnsi="宋体" w:eastAsia="宋体" w:cs="黑体"/>
          <w:color w:val="auto"/>
          <w:kern w:val="0"/>
          <w:szCs w:val="21"/>
          <w:highlight w:val="none"/>
        </w:rPr>
        <w:t>GB/T 6995的规定。</w:t>
      </w:r>
    </w:p>
    <w:p w14:paraId="1CC69A8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5.2.1.1.2 电缆附件标记</w:t>
      </w:r>
      <w:r>
        <w:rPr>
          <w:rFonts w:hint="eastAsia" w:ascii="宋体" w:hAnsi="宋体" w:eastAsia="宋体" w:cs="黑体"/>
          <w:color w:val="auto"/>
          <w:kern w:val="0"/>
          <w:szCs w:val="21"/>
          <w:highlight w:val="none"/>
        </w:rPr>
        <w:t>的</w:t>
      </w:r>
      <w:r>
        <w:rPr>
          <w:rFonts w:ascii="宋体" w:hAnsi="宋体" w:eastAsia="宋体" w:cs="黑体"/>
          <w:color w:val="auto"/>
          <w:kern w:val="0"/>
          <w:szCs w:val="21"/>
          <w:highlight w:val="none"/>
        </w:rPr>
        <w:t>技术要求</w:t>
      </w:r>
    </w:p>
    <w:p w14:paraId="64780C4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（1）电缆附件外包装箱两侧注明产品、型号、规格、数量、质量、制造商，并有轻放、防雨、不得倒置等标识。</w:t>
      </w:r>
    </w:p>
    <w:p w14:paraId="01A7B7A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（2）在电缆附件的保护管表面粘接一金属软标牌标明：制造厂名称、型号、规格、额定电压、制造日期。</w:t>
      </w:r>
    </w:p>
    <w:p w14:paraId="46934C4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（3）附件用的内绝缘材料包装箱上应注明贮存条件和有效期。</w:t>
      </w:r>
    </w:p>
    <w:p w14:paraId="630FC30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5</w:t>
      </w:r>
      <w:r>
        <w:rPr>
          <w:rFonts w:ascii="宋体" w:hAnsi="宋体" w:eastAsia="宋体" w:cs="黑体"/>
          <w:color w:val="auto"/>
          <w:kern w:val="0"/>
          <w:szCs w:val="21"/>
          <w:highlight w:val="none"/>
        </w:rPr>
        <w:t xml:space="preserve">.4 </w:t>
      </w:r>
      <w:r>
        <w:rPr>
          <w:rFonts w:hint="eastAsia" w:ascii="宋体" w:hAnsi="宋体" w:eastAsia="宋体" w:cs="黑体"/>
          <w:color w:val="auto"/>
          <w:kern w:val="0"/>
          <w:szCs w:val="21"/>
          <w:highlight w:val="none"/>
        </w:rPr>
        <w:t>交付</w:t>
      </w:r>
    </w:p>
    <w:p w14:paraId="0CC86C6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随电缆一起提供的技术资料包括产品包装清单、产品出厂合格证明书及主要外购件的产品合格证、例行试验与抽样试验报告、每盘电缆的绝缘电阻试验结果（归算至20°C）、安装、使用及维护说明书等。上述技术资料应当装在不透水的袋内。</w:t>
      </w:r>
    </w:p>
    <w:p w14:paraId="3907559C">
      <w:pPr>
        <w:pStyle w:val="5"/>
        <w:spacing w:before="0" w:after="0" w:line="360" w:lineRule="auto"/>
        <w:rPr>
          <w:rFonts w:ascii="宋体" w:hAnsi="宋体" w:eastAsia="宋体" w:cs="黑体"/>
          <w:color w:val="auto"/>
          <w:kern w:val="0"/>
          <w:sz w:val="21"/>
          <w:szCs w:val="28"/>
          <w:highlight w:val="none"/>
        </w:rPr>
      </w:pPr>
      <w:bookmarkStart w:id="1537" w:name="_Toc28335"/>
      <w:bookmarkStart w:id="1538" w:name="_Toc534201578"/>
      <w:bookmarkStart w:id="1539" w:name="_Toc57494997"/>
      <w:bookmarkStart w:id="1540" w:name="_Toc26275475"/>
      <w:bookmarkStart w:id="1541" w:name="_Toc5283"/>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537"/>
      <w:bookmarkEnd w:id="1538"/>
      <w:bookmarkEnd w:id="1539"/>
      <w:bookmarkEnd w:id="1540"/>
      <w:bookmarkEnd w:id="1541"/>
    </w:p>
    <w:p w14:paraId="4904179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57B7E48E">
      <w:pPr>
        <w:pStyle w:val="5"/>
        <w:spacing w:before="0" w:after="0" w:line="360" w:lineRule="auto"/>
        <w:rPr>
          <w:rFonts w:ascii="宋体" w:hAnsi="宋体" w:eastAsia="宋体" w:cs="黑体"/>
          <w:color w:val="auto"/>
          <w:kern w:val="0"/>
          <w:sz w:val="21"/>
          <w:szCs w:val="28"/>
          <w:highlight w:val="none"/>
        </w:rPr>
      </w:pPr>
      <w:bookmarkStart w:id="1542" w:name="_Toc534201579"/>
      <w:bookmarkStart w:id="1543" w:name="_Toc23805"/>
      <w:bookmarkStart w:id="1544" w:name="_Toc28842"/>
      <w:bookmarkStart w:id="1545" w:name="_Toc26275476"/>
      <w:bookmarkStart w:id="1546" w:name="_Toc57494998"/>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542"/>
      <w:bookmarkEnd w:id="1543"/>
      <w:bookmarkEnd w:id="1544"/>
      <w:bookmarkEnd w:id="1545"/>
      <w:bookmarkEnd w:id="1546"/>
    </w:p>
    <w:p w14:paraId="5EDD35F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519AD85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387550C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 卖方还应根据买方的要求采取以下补救措施：</w:t>
      </w:r>
    </w:p>
    <w:p w14:paraId="6B8EF67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1）如果电缆盘不符合技术</w:t>
      </w:r>
      <w:r>
        <w:rPr>
          <w:rFonts w:hint="eastAsia" w:ascii="宋体" w:hAnsi="宋体" w:eastAsia="宋体" w:cs="黑体"/>
          <w:color w:val="auto"/>
          <w:kern w:val="0"/>
          <w:szCs w:val="21"/>
          <w:highlight w:val="none"/>
        </w:rPr>
        <w:t>规范书</w:t>
      </w:r>
      <w:r>
        <w:rPr>
          <w:rFonts w:ascii="宋体" w:hAnsi="宋体" w:eastAsia="宋体" w:cs="黑体"/>
          <w:color w:val="auto"/>
          <w:kern w:val="0"/>
          <w:szCs w:val="21"/>
          <w:highlight w:val="none"/>
        </w:rPr>
        <w:t>的要求并给施工现场造成困难，买方有权拒收，或要求卖方向施工单位进行补偿。</w:t>
      </w:r>
    </w:p>
    <w:p w14:paraId="5ADBABB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14.7 开箱检验、安装、调试、考核、验收</w:t>
      </w:r>
    </w:p>
    <w:p w14:paraId="58348D6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4.7.1 如果实际到货的电缆盘长不满足上述要求，买方有权拒收。</w:t>
      </w:r>
    </w:p>
    <w:p w14:paraId="14EFCD22">
      <w:pPr>
        <w:pStyle w:val="4"/>
        <w:jc w:val="center"/>
        <w:rPr>
          <w:rFonts w:ascii="宋体" w:hAnsi="宋体" w:eastAsia="宋体" w:cs="Times New Roman"/>
          <w:color w:val="auto"/>
          <w:kern w:val="0"/>
          <w:sz w:val="28"/>
          <w:highlight w:val="none"/>
        </w:rPr>
      </w:pPr>
      <w:bookmarkStart w:id="1547" w:name="_Toc57494999"/>
      <w:bookmarkStart w:id="1548" w:name="_Toc30309"/>
      <w:bookmarkStart w:id="1549" w:name="_Toc27594"/>
      <w:r>
        <w:rPr>
          <w:rFonts w:hint="eastAsia" w:ascii="宋体" w:hAnsi="宋体" w:eastAsia="宋体" w:cs="Times New Roman"/>
          <w:color w:val="auto"/>
          <w:kern w:val="0"/>
          <w:sz w:val="28"/>
          <w:highlight w:val="none"/>
        </w:rPr>
        <w:t>（三十七）光缆及附件</w:t>
      </w:r>
      <w:bookmarkEnd w:id="1547"/>
      <w:bookmarkEnd w:id="1548"/>
      <w:bookmarkEnd w:id="1549"/>
    </w:p>
    <w:p w14:paraId="03083AF6">
      <w:pPr>
        <w:pStyle w:val="5"/>
        <w:spacing w:before="0" w:after="0" w:line="360" w:lineRule="auto"/>
        <w:rPr>
          <w:rFonts w:ascii="宋体" w:hAnsi="宋体" w:eastAsia="宋体" w:cs="黑体"/>
          <w:color w:val="auto"/>
          <w:kern w:val="0"/>
          <w:sz w:val="21"/>
          <w:szCs w:val="28"/>
          <w:highlight w:val="none"/>
        </w:rPr>
      </w:pPr>
      <w:bookmarkStart w:id="1550" w:name="_Toc24641"/>
      <w:bookmarkStart w:id="1551" w:name="_Toc11869"/>
      <w:bookmarkStart w:id="1552" w:name="_Toc26275478"/>
      <w:bookmarkStart w:id="1553" w:name="_Toc57495000"/>
      <w:bookmarkStart w:id="1554" w:name="_Toc534201581"/>
      <w:r>
        <w:rPr>
          <w:rFonts w:ascii="宋体" w:hAnsi="宋体" w:eastAsia="宋体" w:cs="黑体"/>
          <w:color w:val="auto"/>
          <w:kern w:val="0"/>
          <w:sz w:val="21"/>
          <w:szCs w:val="28"/>
          <w:highlight w:val="none"/>
        </w:rPr>
        <w:t>2. 合同范围</w:t>
      </w:r>
      <w:bookmarkEnd w:id="1550"/>
      <w:bookmarkEnd w:id="1551"/>
      <w:bookmarkEnd w:id="1552"/>
      <w:bookmarkEnd w:id="1553"/>
      <w:bookmarkEnd w:id="1554"/>
    </w:p>
    <w:p w14:paraId="4320B89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光缆盘长按照买方提供分盘长度为准，允许偏差+0.5%</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-0%。</w:t>
      </w:r>
    </w:p>
    <w:p w14:paraId="6385901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2.2 卖方提供的光缆通信系统必须是标准的，软件版本是最新的。</w:t>
      </w:r>
    </w:p>
    <w:p w14:paraId="4D0FF8D7">
      <w:pPr>
        <w:pStyle w:val="5"/>
        <w:spacing w:before="0" w:after="0" w:line="360" w:lineRule="auto"/>
        <w:rPr>
          <w:rFonts w:ascii="宋体" w:hAnsi="宋体" w:eastAsia="宋体" w:cs="黑体"/>
          <w:color w:val="auto"/>
          <w:kern w:val="0"/>
          <w:sz w:val="21"/>
          <w:szCs w:val="28"/>
          <w:highlight w:val="none"/>
        </w:rPr>
      </w:pPr>
      <w:bookmarkStart w:id="1555" w:name="_Toc57495001"/>
      <w:bookmarkStart w:id="1556" w:name="_Toc9836"/>
      <w:bookmarkStart w:id="1557" w:name="_Toc534201582"/>
      <w:bookmarkStart w:id="1558" w:name="_Toc22258"/>
      <w:bookmarkStart w:id="1559" w:name="_Toc26275479"/>
      <w:r>
        <w:rPr>
          <w:rFonts w:ascii="宋体" w:hAnsi="宋体" w:eastAsia="宋体" w:cs="黑体"/>
          <w:color w:val="auto"/>
          <w:kern w:val="0"/>
          <w:sz w:val="21"/>
          <w:szCs w:val="28"/>
          <w:highlight w:val="none"/>
        </w:rPr>
        <w:t>3. 合同价格与支付</w:t>
      </w:r>
      <w:bookmarkEnd w:id="1555"/>
      <w:bookmarkEnd w:id="1556"/>
      <w:bookmarkEnd w:id="1557"/>
      <w:bookmarkEnd w:id="1558"/>
      <w:bookmarkEnd w:id="1559"/>
    </w:p>
    <w:p w14:paraId="41E46DA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643BAD5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422B5C58">
      <w:pPr>
        <w:pStyle w:val="5"/>
        <w:spacing w:before="0" w:after="0" w:line="360" w:lineRule="auto"/>
        <w:rPr>
          <w:rFonts w:ascii="宋体" w:hAnsi="宋体" w:eastAsia="宋体" w:cs="黑体"/>
          <w:color w:val="auto"/>
          <w:kern w:val="0"/>
          <w:sz w:val="21"/>
          <w:szCs w:val="28"/>
          <w:highlight w:val="none"/>
        </w:rPr>
      </w:pPr>
      <w:bookmarkStart w:id="1560" w:name="_Toc57495002"/>
      <w:bookmarkStart w:id="1561" w:name="_Toc4750"/>
      <w:bookmarkStart w:id="1562" w:name="_Toc26275480"/>
      <w:bookmarkStart w:id="1563" w:name="_Toc534201583"/>
      <w:bookmarkStart w:id="1564" w:name="_Toc11273"/>
      <w:r>
        <w:rPr>
          <w:rFonts w:ascii="宋体" w:hAnsi="宋体" w:eastAsia="宋体" w:cs="黑体"/>
          <w:color w:val="auto"/>
          <w:kern w:val="0"/>
          <w:sz w:val="21"/>
          <w:szCs w:val="28"/>
          <w:highlight w:val="none"/>
        </w:rPr>
        <w:t xml:space="preserve">4. </w:t>
      </w:r>
      <w:r>
        <w:rPr>
          <w:rFonts w:hint="eastAsia" w:ascii="宋体" w:hAnsi="宋体" w:eastAsia="宋体" w:cs="黑体"/>
          <w:color w:val="auto"/>
          <w:kern w:val="0"/>
          <w:sz w:val="21"/>
          <w:szCs w:val="28"/>
          <w:highlight w:val="none"/>
        </w:rPr>
        <w:t>监造及交货前检验</w:t>
      </w:r>
      <w:bookmarkEnd w:id="1560"/>
      <w:bookmarkEnd w:id="1561"/>
      <w:bookmarkEnd w:id="1562"/>
      <w:bookmarkEnd w:id="1563"/>
      <w:bookmarkEnd w:id="1564"/>
    </w:p>
    <w:p w14:paraId="075AA46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 </w:t>
      </w:r>
      <w:r>
        <w:rPr>
          <w:rFonts w:hint="eastAsia" w:ascii="宋体" w:hAnsi="宋体" w:eastAsia="宋体" w:cs="黑体"/>
          <w:color w:val="auto"/>
          <w:kern w:val="0"/>
          <w:szCs w:val="21"/>
          <w:highlight w:val="none"/>
        </w:rPr>
        <w:t>监造</w:t>
      </w:r>
    </w:p>
    <w:p w14:paraId="09F38A1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 买方将指定监造单位对卖方主要生产工艺装备、主要检测合同货物与条件、质量保证体系和生产进度、原材料、生产工艺进行监证与监督检查，并对半成品和光缆抽样检测</w:t>
      </w:r>
      <w:r>
        <w:rPr>
          <w:rFonts w:hint="eastAsia" w:ascii="宋体" w:hAnsi="宋体" w:eastAsia="宋体" w:cs="黑体"/>
          <w:color w:val="auto"/>
          <w:kern w:val="0"/>
          <w:szCs w:val="21"/>
          <w:highlight w:val="none"/>
        </w:rPr>
        <w:t>。</w:t>
      </w:r>
    </w:p>
    <w:p w14:paraId="35343C6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在整个监造过程中卖方应给予及时有效的配合。</w:t>
      </w:r>
    </w:p>
    <w:p w14:paraId="48A800D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4.1.4.1 监造单位将依据DL/T832-2003及其相关标准、招标文件中明确的其它技术规范、合同规定、投标人承诺及买方的要求进行监造。</w:t>
      </w:r>
    </w:p>
    <w:p w14:paraId="2497CDA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4.1.4.2 对不符合上述文件要求的环节，</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有权要求卖方暂时停止产品生产，并将所出现问题及时上报买方，买方视具体情况进行处理。</w:t>
      </w:r>
    </w:p>
    <w:p w14:paraId="3885972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卖方应提供与合同设备同类光缆及其配套金具的型式试验报告，该试验报告的有效期为4年。</w:t>
      </w:r>
      <w:r>
        <w:rPr>
          <w:rFonts w:hint="eastAsia" w:ascii="宋体" w:hAnsi="宋体" w:eastAsia="宋体" w:cs="黑体"/>
          <w:color w:val="auto"/>
          <w:kern w:val="0"/>
          <w:szCs w:val="21"/>
          <w:highlight w:val="none"/>
        </w:rPr>
        <w:t xml:space="preserve"> </w:t>
      </w:r>
    </w:p>
    <w:p w14:paraId="574E119C">
      <w:pPr>
        <w:pStyle w:val="5"/>
        <w:spacing w:before="0" w:after="0" w:line="360" w:lineRule="auto"/>
        <w:rPr>
          <w:rFonts w:ascii="宋体" w:hAnsi="宋体" w:eastAsia="宋体" w:cs="黑体"/>
          <w:color w:val="auto"/>
          <w:kern w:val="0"/>
          <w:sz w:val="21"/>
          <w:szCs w:val="28"/>
          <w:highlight w:val="none"/>
        </w:rPr>
      </w:pPr>
      <w:bookmarkStart w:id="1565" w:name="_Toc534201584"/>
      <w:bookmarkStart w:id="1566" w:name="_Toc10438"/>
      <w:bookmarkStart w:id="1567" w:name="_Toc57495003"/>
      <w:bookmarkStart w:id="1568" w:name="_Toc26275481"/>
      <w:bookmarkStart w:id="1569" w:name="_Toc27875"/>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565"/>
      <w:bookmarkEnd w:id="1566"/>
      <w:bookmarkEnd w:id="1567"/>
      <w:bookmarkEnd w:id="1568"/>
      <w:bookmarkEnd w:id="1569"/>
    </w:p>
    <w:p w14:paraId="43A1D59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66EFB78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包装的技术要求</w:t>
      </w:r>
    </w:p>
    <w:p w14:paraId="425A279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1）在每个线盘上只绕一根光缆。线盘的轮轴必须为钢制品且应表面光滑，轴径应能满足施工放线要求。</w:t>
      </w:r>
    </w:p>
    <w:p w14:paraId="54F16D5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2）每盘光缆的端头必须牢固固定，不能因张力放线而拉脱。</w:t>
      </w:r>
    </w:p>
    <w:p w14:paraId="6536802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3）绞线盘外层包装应有能防止绞线磨损、碰撞等的措施；在外保护层的内面和外层绞线之间应提供70mm的最小间隔。</w:t>
      </w:r>
    </w:p>
    <w:p w14:paraId="65657F8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4）线盘上的缆盘最外层应覆以一层防潮保护层。两层缆线间应有垫层，外层缆线上应覆盖牢固的保护板，扎牢固定。</w:t>
      </w:r>
    </w:p>
    <w:p w14:paraId="0AC4884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5）包装应能满足重盘装卸、长途运输和施工放线的要求。</w:t>
      </w:r>
    </w:p>
    <w:p w14:paraId="070E9D0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5.1.7.3 包装材料应为有加固钢骨架的钢木结构线盘，具有良好的防震、防锈、防腐蚀、防盗等措施。使用的包装材料应具有化学稳定性，在任何时候不应损</w:t>
      </w:r>
      <w:r>
        <w:rPr>
          <w:rFonts w:hint="eastAsia" w:ascii="宋体" w:hAnsi="宋体" w:eastAsia="宋体" w:cs="黑体"/>
          <w:color w:val="auto"/>
          <w:kern w:val="0"/>
          <w:szCs w:val="21"/>
          <w:highlight w:val="none"/>
        </w:rPr>
        <w:t>伤</w:t>
      </w:r>
      <w:r>
        <w:rPr>
          <w:rFonts w:ascii="宋体" w:hAnsi="宋体" w:eastAsia="宋体" w:cs="黑体"/>
          <w:color w:val="auto"/>
          <w:kern w:val="0"/>
          <w:szCs w:val="21"/>
          <w:highlight w:val="none"/>
        </w:rPr>
        <w:t>光缆。</w:t>
      </w:r>
    </w:p>
    <w:p w14:paraId="7B3D526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5</w:t>
      </w:r>
      <w:r>
        <w:rPr>
          <w:rFonts w:ascii="宋体" w:hAnsi="宋体" w:eastAsia="宋体" w:cs="黑体"/>
          <w:color w:val="auto"/>
          <w:kern w:val="0"/>
          <w:szCs w:val="21"/>
          <w:highlight w:val="none"/>
        </w:rPr>
        <w:t xml:space="preserve">.4 </w:t>
      </w:r>
      <w:r>
        <w:rPr>
          <w:rFonts w:hint="eastAsia" w:ascii="宋体" w:hAnsi="宋体" w:eastAsia="宋体" w:cs="黑体"/>
          <w:color w:val="auto"/>
          <w:kern w:val="0"/>
          <w:szCs w:val="21"/>
          <w:highlight w:val="none"/>
        </w:rPr>
        <w:t>交付</w:t>
      </w:r>
    </w:p>
    <w:p w14:paraId="6202F47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卖方应根据买方确定的时间、地点及时到现场参加盘测，买方应提前三日通知卖方；卖方未及时到场所延误的时间，视为交货延期时间。</w:t>
      </w:r>
    </w:p>
    <w:p w14:paraId="7BFF3CE5">
      <w:pPr>
        <w:pStyle w:val="5"/>
        <w:spacing w:before="0" w:after="0" w:line="360" w:lineRule="auto"/>
        <w:rPr>
          <w:rFonts w:ascii="宋体" w:hAnsi="宋体" w:eastAsia="宋体" w:cs="黑体"/>
          <w:color w:val="auto"/>
          <w:kern w:val="0"/>
          <w:sz w:val="21"/>
          <w:szCs w:val="28"/>
          <w:highlight w:val="none"/>
        </w:rPr>
      </w:pPr>
      <w:bookmarkStart w:id="1570" w:name="_Toc534201585"/>
      <w:bookmarkStart w:id="1571" w:name="_Toc57495004"/>
      <w:bookmarkStart w:id="1572" w:name="_Toc26275482"/>
      <w:bookmarkStart w:id="1573" w:name="_Toc12763"/>
      <w:bookmarkStart w:id="1574" w:name="_Toc17664"/>
      <w:r>
        <w:rPr>
          <w:rFonts w:ascii="宋体" w:hAnsi="宋体" w:eastAsia="宋体" w:cs="黑体"/>
          <w:color w:val="auto"/>
          <w:kern w:val="0"/>
          <w:sz w:val="21"/>
          <w:szCs w:val="28"/>
          <w:highlight w:val="none"/>
        </w:rPr>
        <w:t xml:space="preserve">6. </w:t>
      </w:r>
      <w:r>
        <w:rPr>
          <w:rFonts w:hint="eastAsia" w:ascii="宋体" w:hAnsi="宋体" w:eastAsia="宋体" w:cs="黑体"/>
          <w:color w:val="auto"/>
          <w:kern w:val="0"/>
          <w:sz w:val="21"/>
          <w:szCs w:val="28"/>
          <w:highlight w:val="none"/>
        </w:rPr>
        <w:t>开箱检验、安装、调试、考核、验收</w:t>
      </w:r>
      <w:bookmarkEnd w:id="1570"/>
      <w:bookmarkEnd w:id="1571"/>
      <w:bookmarkEnd w:id="1572"/>
      <w:bookmarkEnd w:id="1573"/>
      <w:bookmarkEnd w:id="1574"/>
    </w:p>
    <w:p w14:paraId="3FC477D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6</w:t>
      </w:r>
      <w:r>
        <w:rPr>
          <w:rFonts w:ascii="宋体" w:hAnsi="宋体" w:eastAsia="宋体" w:cs="黑体"/>
          <w:color w:val="auto"/>
          <w:kern w:val="0"/>
          <w:szCs w:val="21"/>
          <w:highlight w:val="none"/>
        </w:rPr>
        <w:t xml:space="preserve">.3 </w:t>
      </w:r>
      <w:r>
        <w:rPr>
          <w:rFonts w:hint="eastAsia" w:ascii="宋体" w:hAnsi="宋体" w:eastAsia="宋体" w:cs="黑体"/>
          <w:color w:val="auto"/>
          <w:kern w:val="0"/>
          <w:szCs w:val="21"/>
          <w:highlight w:val="none"/>
        </w:rPr>
        <w:t>考核</w:t>
      </w:r>
    </w:p>
    <w:p w14:paraId="3540883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6.3.1 当线路投运12个月以后，将进行光缆及附件的验收测试，卖方有权自费参加检验。</w:t>
      </w:r>
    </w:p>
    <w:p w14:paraId="1AAB1FA8">
      <w:pPr>
        <w:pStyle w:val="5"/>
        <w:spacing w:before="0" w:after="0" w:line="360" w:lineRule="auto"/>
        <w:rPr>
          <w:rFonts w:ascii="宋体" w:hAnsi="宋体" w:eastAsia="宋体" w:cs="黑体"/>
          <w:color w:val="auto"/>
          <w:kern w:val="0"/>
          <w:sz w:val="21"/>
          <w:szCs w:val="28"/>
          <w:highlight w:val="none"/>
        </w:rPr>
      </w:pPr>
      <w:bookmarkStart w:id="1575" w:name="_Toc26275483"/>
      <w:bookmarkStart w:id="1576" w:name="_Toc18287"/>
      <w:bookmarkStart w:id="1577" w:name="_Toc534201586"/>
      <w:bookmarkStart w:id="1578" w:name="_Toc13501"/>
      <w:bookmarkStart w:id="1579" w:name="_Toc57495005"/>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575"/>
      <w:bookmarkEnd w:id="1576"/>
      <w:bookmarkEnd w:id="1577"/>
      <w:bookmarkEnd w:id="1578"/>
      <w:bookmarkEnd w:id="1579"/>
    </w:p>
    <w:p w14:paraId="48F5EEA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396BFB1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8</w:t>
      </w:r>
      <w:r>
        <w:rPr>
          <w:rFonts w:ascii="宋体" w:hAnsi="宋体" w:eastAsia="宋体" w:cs="黑体"/>
          <w:color w:val="auto"/>
          <w:kern w:val="0"/>
          <w:szCs w:val="21"/>
          <w:highlight w:val="none"/>
        </w:rPr>
        <w:t>.1.1质保期</w:t>
      </w:r>
      <w:r>
        <w:rPr>
          <w:rFonts w:hint="eastAsia" w:ascii="宋体" w:hAnsi="宋体" w:eastAsia="宋体" w:cs="黑体"/>
          <w:color w:val="auto"/>
          <w:kern w:val="0"/>
          <w:szCs w:val="21"/>
          <w:highlight w:val="none"/>
        </w:rPr>
        <w:t>届满前</w:t>
      </w:r>
      <w:r>
        <w:rPr>
          <w:rFonts w:ascii="宋体" w:hAnsi="宋体" w:eastAsia="宋体" w:cs="黑体"/>
          <w:color w:val="auto"/>
          <w:kern w:val="0"/>
          <w:szCs w:val="21"/>
          <w:highlight w:val="none"/>
        </w:rPr>
        <w:t>，对由于设计、制造、运输和材料的缺陷等原因而造成产品的任何破坏、缺陷或故障，卖方修理或更换</w:t>
      </w:r>
      <w:r>
        <w:rPr>
          <w:rFonts w:hint="eastAsia" w:ascii="宋体" w:hAnsi="宋体" w:eastAsia="宋体" w:cs="黑体"/>
          <w:color w:val="auto"/>
          <w:kern w:val="0"/>
          <w:szCs w:val="21"/>
          <w:highlight w:val="none"/>
        </w:rPr>
        <w:t>后，有关质保期应另外重新计算，相应的试运行期也应重新计算。</w:t>
      </w:r>
    </w:p>
    <w:p w14:paraId="6C82002F">
      <w:pPr>
        <w:pStyle w:val="5"/>
        <w:spacing w:before="0" w:after="0" w:line="360" w:lineRule="auto"/>
        <w:rPr>
          <w:rFonts w:ascii="宋体" w:hAnsi="宋体" w:eastAsia="宋体" w:cs="黑体"/>
          <w:color w:val="auto"/>
          <w:kern w:val="0"/>
          <w:sz w:val="21"/>
          <w:szCs w:val="28"/>
          <w:highlight w:val="none"/>
        </w:rPr>
      </w:pPr>
      <w:bookmarkStart w:id="1580" w:name="_Toc534201587"/>
      <w:bookmarkStart w:id="1581" w:name="_Toc3499"/>
      <w:bookmarkStart w:id="1582" w:name="_Toc57495006"/>
      <w:bookmarkStart w:id="1583" w:name="_Toc20348"/>
      <w:bookmarkStart w:id="1584" w:name="_Toc26275484"/>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580"/>
      <w:bookmarkEnd w:id="1581"/>
      <w:bookmarkEnd w:id="1582"/>
      <w:bookmarkEnd w:id="1583"/>
      <w:bookmarkEnd w:id="1584"/>
    </w:p>
    <w:p w14:paraId="428E222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卖方承诺合同设备的使用寿命满足以下条件：</w:t>
      </w:r>
    </w:p>
    <w:p w14:paraId="4FD43E4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 xml:space="preserve">1）ADSS及管道光缆不少于12年。  </w:t>
      </w:r>
    </w:p>
    <w:p w14:paraId="3871ABD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2）OPGW光缆不少于25年。</w:t>
      </w:r>
    </w:p>
    <w:p w14:paraId="7CFF318E">
      <w:pPr>
        <w:pStyle w:val="5"/>
        <w:spacing w:before="0" w:after="0" w:line="360" w:lineRule="auto"/>
        <w:rPr>
          <w:rFonts w:ascii="宋体" w:hAnsi="宋体" w:eastAsia="宋体" w:cs="黑体"/>
          <w:color w:val="auto"/>
          <w:kern w:val="0"/>
          <w:sz w:val="21"/>
          <w:szCs w:val="28"/>
          <w:highlight w:val="none"/>
        </w:rPr>
      </w:pPr>
      <w:bookmarkStart w:id="1585" w:name="_Toc2877"/>
      <w:bookmarkStart w:id="1586" w:name="_Toc26275485"/>
      <w:bookmarkStart w:id="1587" w:name="_Toc57495007"/>
      <w:bookmarkStart w:id="1588" w:name="_Toc16761"/>
      <w:bookmarkStart w:id="1589" w:name="_Toc534201588"/>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585"/>
      <w:bookmarkEnd w:id="1586"/>
      <w:bookmarkEnd w:id="1587"/>
      <w:bookmarkEnd w:id="1588"/>
      <w:bookmarkEnd w:id="1589"/>
    </w:p>
    <w:p w14:paraId="7B68C3D1">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0AC021D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2D6DF6C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w:t>
      </w:r>
      <w:r>
        <w:rPr>
          <w:rFonts w:hint="eastAsia" w:ascii="宋体" w:hAnsi="宋体" w:eastAsia="宋体" w:cs="黑体"/>
          <w:color w:val="auto"/>
          <w:kern w:val="0"/>
          <w:szCs w:val="21"/>
          <w:highlight w:val="none"/>
        </w:rPr>
        <w:t xml:space="preserve"> 卖方还应根据买方的要求采取以下补救措施：</w:t>
      </w:r>
    </w:p>
    <w:p w14:paraId="4E5457B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如果</w:t>
      </w:r>
      <w:r>
        <w:rPr>
          <w:rFonts w:hint="eastAsia" w:ascii="宋体" w:hAnsi="宋体" w:eastAsia="宋体" w:cs="黑体"/>
          <w:color w:val="auto"/>
          <w:kern w:val="0"/>
          <w:szCs w:val="21"/>
          <w:highlight w:val="none"/>
        </w:rPr>
        <w:t>验收</w:t>
      </w:r>
      <w:r>
        <w:rPr>
          <w:rFonts w:ascii="宋体" w:hAnsi="宋体" w:eastAsia="宋体" w:cs="黑体"/>
          <w:color w:val="auto"/>
          <w:kern w:val="0"/>
          <w:szCs w:val="21"/>
          <w:highlight w:val="none"/>
        </w:rPr>
        <w:t>测试结果不能满足本技术协议中对系统指标和技术条件的要求，卖方应及时对产品进行免费维修或更换。</w:t>
      </w:r>
    </w:p>
    <w:p w14:paraId="4B67A50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2）对由于设计、制造、运输和材料的缺陷等原因而造成产品的任何破坏、缺陷或故障，卖方在收到买方的书面通知后，应在10日内免费修理或更换，以达到技术协议的要求。</w:t>
      </w:r>
    </w:p>
    <w:p w14:paraId="7D7104F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3）如果光缆盘不符合技术</w:t>
      </w:r>
      <w:r>
        <w:rPr>
          <w:rFonts w:hint="eastAsia" w:ascii="宋体" w:hAnsi="宋体" w:eastAsia="宋体" w:cs="黑体"/>
          <w:color w:val="auto"/>
          <w:kern w:val="0"/>
          <w:szCs w:val="21"/>
          <w:highlight w:val="none"/>
        </w:rPr>
        <w:t>规范书</w:t>
      </w:r>
      <w:r>
        <w:rPr>
          <w:rFonts w:ascii="宋体" w:hAnsi="宋体" w:eastAsia="宋体" w:cs="黑体"/>
          <w:color w:val="auto"/>
          <w:kern w:val="0"/>
          <w:szCs w:val="21"/>
          <w:highlight w:val="none"/>
        </w:rPr>
        <w:t>的要求并给施工现场造成困难，买方有权拒收，或要求卖方向施工单位进行补偿。</w:t>
      </w:r>
    </w:p>
    <w:p w14:paraId="6986EBF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4）在施工架线过程中，不允许有断股、松股和“起灯笼”的现象出现，一经发现，买方有权拒收此批光缆。</w:t>
      </w:r>
    </w:p>
    <w:p w14:paraId="2AE53CB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5）光缆最外层单丝不允许有接头，如有接头，一经发现买方有权拒收该盘光缆。</w:t>
      </w:r>
    </w:p>
    <w:p w14:paraId="4B68C90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7FFC758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1）卖方应支付货物价格10%的违约金。</w:t>
      </w:r>
    </w:p>
    <w:p w14:paraId="0AA9550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14.7 开箱检验、安装、调试、考核、验收</w:t>
      </w:r>
    </w:p>
    <w:p w14:paraId="0556658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4.7.1 如果实际到货的光缆盘长长度不满足要求，买方有权拒收。</w:t>
      </w:r>
    </w:p>
    <w:p w14:paraId="4160A2A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p>
    <w:p w14:paraId="6283F2AE">
      <w:pPr>
        <w:pStyle w:val="4"/>
        <w:jc w:val="center"/>
        <w:rPr>
          <w:rFonts w:ascii="宋体" w:hAnsi="宋体" w:eastAsia="宋体" w:cs="Times New Roman"/>
          <w:color w:val="auto"/>
          <w:kern w:val="0"/>
          <w:sz w:val="28"/>
          <w:highlight w:val="none"/>
        </w:rPr>
      </w:pPr>
      <w:bookmarkStart w:id="1590" w:name="_Toc5745"/>
      <w:bookmarkStart w:id="1591" w:name="_Toc31836"/>
      <w:bookmarkStart w:id="1592" w:name="_Toc57495008"/>
      <w:r>
        <w:rPr>
          <w:rFonts w:hint="eastAsia" w:ascii="宋体" w:hAnsi="宋体" w:eastAsia="宋体" w:cs="Times New Roman"/>
          <w:color w:val="auto"/>
          <w:kern w:val="0"/>
          <w:sz w:val="28"/>
          <w:highlight w:val="none"/>
        </w:rPr>
        <w:t>（三十八）电力设施安全防护防盗、消防系统</w:t>
      </w:r>
      <w:bookmarkEnd w:id="1590"/>
      <w:bookmarkEnd w:id="1591"/>
      <w:bookmarkEnd w:id="1592"/>
    </w:p>
    <w:p w14:paraId="225ED433">
      <w:pPr>
        <w:pStyle w:val="5"/>
        <w:spacing w:before="0" w:after="0" w:line="360" w:lineRule="auto"/>
        <w:rPr>
          <w:rFonts w:ascii="宋体" w:hAnsi="宋体" w:eastAsia="宋体" w:cs="黑体"/>
          <w:color w:val="auto"/>
          <w:kern w:val="0"/>
          <w:sz w:val="21"/>
          <w:szCs w:val="28"/>
          <w:highlight w:val="none"/>
        </w:rPr>
      </w:pPr>
      <w:bookmarkStart w:id="1593" w:name="_Toc26275487"/>
      <w:bookmarkStart w:id="1594" w:name="_Toc13213"/>
      <w:bookmarkStart w:id="1595" w:name="_Toc534201590"/>
      <w:bookmarkStart w:id="1596" w:name="_Toc19172"/>
      <w:bookmarkStart w:id="1597" w:name="_Toc57495009"/>
      <w:r>
        <w:rPr>
          <w:rFonts w:ascii="宋体" w:hAnsi="宋体" w:eastAsia="宋体" w:cs="黑体"/>
          <w:color w:val="auto"/>
          <w:kern w:val="0"/>
          <w:sz w:val="21"/>
          <w:szCs w:val="28"/>
          <w:highlight w:val="none"/>
        </w:rPr>
        <w:t>3. 合同价格与支付</w:t>
      </w:r>
      <w:bookmarkEnd w:id="1593"/>
      <w:bookmarkEnd w:id="1594"/>
      <w:bookmarkEnd w:id="1595"/>
      <w:bookmarkEnd w:id="1596"/>
      <w:bookmarkEnd w:id="1597"/>
    </w:p>
    <w:p w14:paraId="71FE364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73E7021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3A5B81E8">
      <w:pPr>
        <w:pStyle w:val="5"/>
        <w:spacing w:before="0" w:after="0" w:line="360" w:lineRule="auto"/>
        <w:rPr>
          <w:rFonts w:ascii="宋体" w:hAnsi="宋体" w:eastAsia="宋体" w:cs="黑体"/>
          <w:color w:val="auto"/>
          <w:kern w:val="0"/>
          <w:sz w:val="21"/>
          <w:szCs w:val="28"/>
          <w:highlight w:val="none"/>
        </w:rPr>
      </w:pPr>
      <w:bookmarkStart w:id="1598" w:name="_Toc57495010"/>
      <w:bookmarkStart w:id="1599" w:name="_Toc4174"/>
      <w:bookmarkStart w:id="1600" w:name="_Toc534201591"/>
      <w:bookmarkStart w:id="1601" w:name="_Toc26275488"/>
      <w:bookmarkStart w:id="1602" w:name="_Toc14093"/>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598"/>
      <w:bookmarkEnd w:id="1599"/>
      <w:bookmarkEnd w:id="1600"/>
      <w:bookmarkEnd w:id="1601"/>
      <w:bookmarkEnd w:id="1602"/>
    </w:p>
    <w:p w14:paraId="4D5FCD4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342035E9">
      <w:pPr>
        <w:pStyle w:val="5"/>
        <w:spacing w:before="0" w:after="0" w:line="360" w:lineRule="auto"/>
        <w:rPr>
          <w:rFonts w:ascii="宋体" w:hAnsi="宋体" w:eastAsia="宋体" w:cs="黑体"/>
          <w:color w:val="auto"/>
          <w:kern w:val="0"/>
          <w:sz w:val="21"/>
          <w:szCs w:val="28"/>
          <w:highlight w:val="none"/>
        </w:rPr>
      </w:pPr>
      <w:bookmarkStart w:id="1603" w:name="_Toc26275489"/>
      <w:bookmarkStart w:id="1604" w:name="_Toc57495011"/>
      <w:bookmarkStart w:id="1605" w:name="_Toc534201592"/>
      <w:bookmarkStart w:id="1606" w:name="_Toc29434"/>
      <w:bookmarkStart w:id="1607" w:name="_Toc1098"/>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603"/>
      <w:bookmarkEnd w:id="1604"/>
      <w:bookmarkEnd w:id="1605"/>
      <w:bookmarkEnd w:id="1606"/>
      <w:bookmarkEnd w:id="1607"/>
    </w:p>
    <w:p w14:paraId="6646895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卖方承诺合同设备的使用寿命不少于12年。</w:t>
      </w:r>
    </w:p>
    <w:p w14:paraId="0819E822">
      <w:pPr>
        <w:pStyle w:val="5"/>
        <w:spacing w:before="0" w:after="0" w:line="360" w:lineRule="auto"/>
        <w:rPr>
          <w:rFonts w:ascii="宋体" w:hAnsi="宋体" w:eastAsia="宋体" w:cs="黑体"/>
          <w:color w:val="auto"/>
          <w:kern w:val="0"/>
          <w:sz w:val="21"/>
          <w:szCs w:val="28"/>
          <w:highlight w:val="none"/>
        </w:rPr>
      </w:pPr>
      <w:bookmarkStart w:id="1608" w:name="_Toc10024"/>
      <w:bookmarkStart w:id="1609" w:name="_Toc26275490"/>
      <w:bookmarkStart w:id="1610" w:name="_Toc5592"/>
      <w:bookmarkStart w:id="1611" w:name="_Toc534201593"/>
      <w:bookmarkStart w:id="1612" w:name="_Toc57495012"/>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608"/>
      <w:bookmarkEnd w:id="1609"/>
      <w:bookmarkEnd w:id="1610"/>
      <w:bookmarkEnd w:id="1611"/>
      <w:bookmarkEnd w:id="1612"/>
    </w:p>
    <w:p w14:paraId="3683C4C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167DAB7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67C80BE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3C06643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1）卖方应支付货物价格10%的违约金。</w:t>
      </w:r>
    </w:p>
    <w:p w14:paraId="6E1B695D">
      <w:pPr>
        <w:pStyle w:val="4"/>
        <w:jc w:val="center"/>
        <w:rPr>
          <w:rFonts w:ascii="宋体" w:hAnsi="宋体" w:eastAsia="宋体" w:cs="Times New Roman"/>
          <w:color w:val="auto"/>
          <w:kern w:val="0"/>
          <w:sz w:val="28"/>
          <w:highlight w:val="none"/>
        </w:rPr>
      </w:pPr>
      <w:bookmarkStart w:id="1613" w:name="_Toc13719"/>
      <w:bookmarkStart w:id="1614" w:name="_Toc57495013"/>
      <w:bookmarkStart w:id="1615" w:name="_Toc22315"/>
      <w:r>
        <w:rPr>
          <w:rFonts w:hint="eastAsia" w:ascii="宋体" w:hAnsi="宋体" w:eastAsia="宋体" w:cs="Times New Roman"/>
          <w:color w:val="auto"/>
          <w:kern w:val="0"/>
          <w:sz w:val="28"/>
          <w:highlight w:val="none"/>
        </w:rPr>
        <w:t>（三十九）继电器</w:t>
      </w:r>
      <w:bookmarkEnd w:id="1613"/>
      <w:bookmarkEnd w:id="1614"/>
      <w:bookmarkEnd w:id="1615"/>
    </w:p>
    <w:p w14:paraId="04FA6129">
      <w:pPr>
        <w:pStyle w:val="5"/>
        <w:spacing w:before="0" w:after="0" w:line="360" w:lineRule="auto"/>
        <w:rPr>
          <w:rFonts w:ascii="宋体" w:hAnsi="宋体" w:eastAsia="宋体" w:cs="黑体"/>
          <w:color w:val="auto"/>
          <w:kern w:val="0"/>
          <w:sz w:val="21"/>
          <w:szCs w:val="28"/>
          <w:highlight w:val="none"/>
        </w:rPr>
      </w:pPr>
      <w:bookmarkStart w:id="1616" w:name="_Toc5164"/>
      <w:bookmarkStart w:id="1617" w:name="_Toc16978"/>
      <w:bookmarkStart w:id="1618" w:name="_Toc57495014"/>
      <w:bookmarkStart w:id="1619" w:name="_Toc534201595"/>
      <w:bookmarkStart w:id="1620" w:name="_Toc26275492"/>
      <w:r>
        <w:rPr>
          <w:rFonts w:ascii="宋体" w:hAnsi="宋体" w:eastAsia="宋体" w:cs="黑体"/>
          <w:color w:val="auto"/>
          <w:kern w:val="0"/>
          <w:sz w:val="21"/>
          <w:szCs w:val="28"/>
          <w:highlight w:val="none"/>
        </w:rPr>
        <w:t>3. 合同价格与支付</w:t>
      </w:r>
      <w:bookmarkEnd w:id="1616"/>
      <w:bookmarkEnd w:id="1617"/>
      <w:bookmarkEnd w:id="1618"/>
      <w:bookmarkEnd w:id="1619"/>
      <w:bookmarkEnd w:id="1620"/>
    </w:p>
    <w:p w14:paraId="24842D1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47D4F6A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09C584E9">
      <w:pPr>
        <w:pStyle w:val="5"/>
        <w:spacing w:before="0" w:after="0" w:line="360" w:lineRule="auto"/>
        <w:rPr>
          <w:rFonts w:ascii="宋体" w:hAnsi="宋体" w:eastAsia="宋体" w:cs="黑体"/>
          <w:color w:val="auto"/>
          <w:kern w:val="0"/>
          <w:sz w:val="21"/>
          <w:szCs w:val="28"/>
          <w:highlight w:val="none"/>
        </w:rPr>
      </w:pPr>
      <w:bookmarkStart w:id="1621" w:name="_Toc7678"/>
      <w:bookmarkStart w:id="1622" w:name="_Toc23726"/>
      <w:bookmarkStart w:id="1623" w:name="_Toc57495015"/>
      <w:bookmarkStart w:id="1624" w:name="_Toc534201596"/>
      <w:bookmarkStart w:id="1625" w:name="_Toc26275493"/>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621"/>
      <w:bookmarkEnd w:id="1622"/>
      <w:bookmarkEnd w:id="1623"/>
      <w:bookmarkEnd w:id="1624"/>
      <w:bookmarkEnd w:id="1625"/>
    </w:p>
    <w:p w14:paraId="4327D63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6360EC17">
      <w:pPr>
        <w:pStyle w:val="5"/>
        <w:spacing w:before="0" w:after="0" w:line="360" w:lineRule="auto"/>
        <w:rPr>
          <w:rFonts w:ascii="宋体" w:hAnsi="宋体" w:eastAsia="宋体" w:cs="黑体"/>
          <w:color w:val="auto"/>
          <w:kern w:val="0"/>
          <w:sz w:val="21"/>
          <w:szCs w:val="28"/>
          <w:highlight w:val="none"/>
        </w:rPr>
      </w:pPr>
      <w:bookmarkStart w:id="1626" w:name="_Toc26275494"/>
      <w:bookmarkStart w:id="1627" w:name="_Toc1594"/>
      <w:bookmarkStart w:id="1628" w:name="_Toc534201597"/>
      <w:bookmarkStart w:id="1629" w:name="_Toc57495016"/>
      <w:bookmarkStart w:id="1630" w:name="_Toc32419"/>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626"/>
      <w:bookmarkEnd w:id="1627"/>
      <w:bookmarkEnd w:id="1628"/>
      <w:bookmarkEnd w:id="1629"/>
      <w:bookmarkEnd w:id="1630"/>
    </w:p>
    <w:p w14:paraId="7E58E3A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卖方承诺合同设备的使用寿命不少于40年。</w:t>
      </w:r>
    </w:p>
    <w:p w14:paraId="20C4348C">
      <w:pPr>
        <w:pStyle w:val="5"/>
        <w:spacing w:before="0" w:after="0" w:line="360" w:lineRule="auto"/>
        <w:rPr>
          <w:rFonts w:ascii="宋体" w:hAnsi="宋体" w:eastAsia="宋体" w:cs="黑体"/>
          <w:color w:val="auto"/>
          <w:kern w:val="0"/>
          <w:sz w:val="21"/>
          <w:szCs w:val="28"/>
          <w:highlight w:val="none"/>
        </w:rPr>
      </w:pPr>
      <w:bookmarkStart w:id="1631" w:name="_Toc27248"/>
      <w:bookmarkStart w:id="1632" w:name="_Toc9180"/>
      <w:bookmarkStart w:id="1633" w:name="_Toc534201598"/>
      <w:bookmarkStart w:id="1634" w:name="_Toc57495017"/>
      <w:bookmarkStart w:id="1635" w:name="_Toc26275495"/>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631"/>
      <w:bookmarkEnd w:id="1632"/>
      <w:bookmarkEnd w:id="1633"/>
      <w:bookmarkEnd w:id="1634"/>
      <w:bookmarkEnd w:id="1635"/>
    </w:p>
    <w:p w14:paraId="32A22324">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2FD0765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35C0154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291468D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1）卖方应支付货物价格10%的违约金。</w:t>
      </w:r>
    </w:p>
    <w:p w14:paraId="6257FE73">
      <w:pPr>
        <w:pStyle w:val="4"/>
        <w:jc w:val="center"/>
        <w:rPr>
          <w:rFonts w:ascii="宋体" w:hAnsi="宋体" w:eastAsia="宋体" w:cs="Times New Roman"/>
          <w:color w:val="auto"/>
          <w:kern w:val="0"/>
          <w:sz w:val="28"/>
          <w:highlight w:val="none"/>
        </w:rPr>
      </w:pPr>
      <w:bookmarkStart w:id="1636" w:name="_Toc20900"/>
      <w:bookmarkStart w:id="1637" w:name="_Toc32314"/>
      <w:bookmarkStart w:id="1638" w:name="_Toc57495018"/>
      <w:r>
        <w:rPr>
          <w:rFonts w:hint="eastAsia" w:ascii="宋体" w:hAnsi="宋体" w:eastAsia="宋体" w:cs="Times New Roman"/>
          <w:color w:val="auto"/>
          <w:kern w:val="0"/>
          <w:sz w:val="28"/>
          <w:highlight w:val="none"/>
        </w:rPr>
        <w:t>（四十）照明设备</w:t>
      </w:r>
      <w:bookmarkEnd w:id="1636"/>
      <w:bookmarkEnd w:id="1637"/>
      <w:bookmarkEnd w:id="1638"/>
    </w:p>
    <w:p w14:paraId="3AE5CB4F">
      <w:pPr>
        <w:pStyle w:val="5"/>
        <w:spacing w:before="0" w:after="0" w:line="360" w:lineRule="auto"/>
        <w:rPr>
          <w:rFonts w:ascii="宋体" w:hAnsi="宋体" w:eastAsia="宋体" w:cs="黑体"/>
          <w:color w:val="auto"/>
          <w:kern w:val="0"/>
          <w:sz w:val="21"/>
          <w:szCs w:val="28"/>
          <w:highlight w:val="none"/>
        </w:rPr>
      </w:pPr>
      <w:bookmarkStart w:id="1639" w:name="_Toc57495019"/>
      <w:bookmarkStart w:id="1640" w:name="_Toc22328"/>
      <w:bookmarkStart w:id="1641" w:name="_Toc534201600"/>
      <w:bookmarkStart w:id="1642" w:name="_Toc11655"/>
      <w:bookmarkStart w:id="1643" w:name="_Toc26275497"/>
      <w:r>
        <w:rPr>
          <w:rFonts w:ascii="宋体" w:hAnsi="宋体" w:eastAsia="宋体" w:cs="黑体"/>
          <w:color w:val="auto"/>
          <w:kern w:val="0"/>
          <w:sz w:val="21"/>
          <w:szCs w:val="28"/>
          <w:highlight w:val="none"/>
        </w:rPr>
        <w:t>3. 合同价格与支付</w:t>
      </w:r>
      <w:bookmarkEnd w:id="1639"/>
      <w:bookmarkEnd w:id="1640"/>
      <w:bookmarkEnd w:id="1641"/>
      <w:bookmarkEnd w:id="1642"/>
      <w:bookmarkEnd w:id="1643"/>
    </w:p>
    <w:p w14:paraId="21C6754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20CB0B1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47E10BEB">
      <w:pPr>
        <w:pStyle w:val="5"/>
        <w:spacing w:before="0" w:after="0" w:line="360" w:lineRule="auto"/>
        <w:rPr>
          <w:rFonts w:ascii="宋体" w:hAnsi="宋体" w:eastAsia="宋体" w:cs="黑体"/>
          <w:color w:val="auto"/>
          <w:kern w:val="0"/>
          <w:sz w:val="21"/>
          <w:szCs w:val="28"/>
          <w:highlight w:val="none"/>
        </w:rPr>
      </w:pPr>
      <w:bookmarkStart w:id="1644" w:name="_Toc28902"/>
      <w:bookmarkStart w:id="1645" w:name="_Toc534201601"/>
      <w:bookmarkStart w:id="1646" w:name="_Toc57495020"/>
      <w:bookmarkStart w:id="1647" w:name="_Toc26275498"/>
      <w:bookmarkStart w:id="1648" w:name="_Toc653"/>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644"/>
      <w:bookmarkEnd w:id="1645"/>
      <w:bookmarkEnd w:id="1646"/>
      <w:bookmarkEnd w:id="1647"/>
      <w:bookmarkEnd w:id="1648"/>
    </w:p>
    <w:p w14:paraId="083F49A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05BF8DA7">
      <w:pPr>
        <w:pStyle w:val="5"/>
        <w:spacing w:before="0" w:after="0" w:line="360" w:lineRule="auto"/>
        <w:rPr>
          <w:rFonts w:ascii="宋体" w:hAnsi="宋体" w:eastAsia="宋体" w:cs="黑体"/>
          <w:color w:val="auto"/>
          <w:kern w:val="0"/>
          <w:sz w:val="21"/>
          <w:szCs w:val="28"/>
          <w:highlight w:val="none"/>
        </w:rPr>
      </w:pPr>
      <w:bookmarkStart w:id="1649" w:name="_Toc24328"/>
      <w:bookmarkStart w:id="1650" w:name="_Toc534201602"/>
      <w:bookmarkStart w:id="1651" w:name="_Toc57495021"/>
      <w:bookmarkStart w:id="1652" w:name="_Toc26275499"/>
      <w:bookmarkStart w:id="1653" w:name="_Toc12776"/>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649"/>
      <w:bookmarkEnd w:id="1650"/>
      <w:bookmarkEnd w:id="1651"/>
      <w:bookmarkEnd w:id="1652"/>
      <w:bookmarkEnd w:id="1653"/>
    </w:p>
    <w:p w14:paraId="0EE57FD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56A6B937">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4B9B942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596CE77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1）卖方应支付货物价格10%的违约金。</w:t>
      </w:r>
    </w:p>
    <w:p w14:paraId="3CBF7157">
      <w:pPr>
        <w:pStyle w:val="4"/>
        <w:jc w:val="center"/>
        <w:rPr>
          <w:rFonts w:ascii="宋体" w:hAnsi="宋体" w:eastAsia="宋体" w:cs="Times New Roman"/>
          <w:color w:val="auto"/>
          <w:kern w:val="0"/>
          <w:sz w:val="28"/>
          <w:highlight w:val="none"/>
        </w:rPr>
      </w:pPr>
      <w:bookmarkStart w:id="1654" w:name="_Toc21251"/>
      <w:bookmarkStart w:id="1655" w:name="_Toc57495022"/>
      <w:bookmarkStart w:id="1656" w:name="_Toc29645"/>
      <w:r>
        <w:rPr>
          <w:rFonts w:hint="eastAsia" w:ascii="宋体" w:hAnsi="宋体" w:eastAsia="宋体" w:cs="Times New Roman"/>
          <w:color w:val="auto"/>
          <w:kern w:val="0"/>
          <w:sz w:val="28"/>
          <w:highlight w:val="none"/>
        </w:rPr>
        <w:t>（四十一）营销设备</w:t>
      </w:r>
      <w:bookmarkEnd w:id="1654"/>
      <w:bookmarkEnd w:id="1655"/>
      <w:bookmarkEnd w:id="1656"/>
    </w:p>
    <w:p w14:paraId="14C01D85">
      <w:pPr>
        <w:pStyle w:val="5"/>
        <w:spacing w:before="0" w:after="0" w:line="360" w:lineRule="auto"/>
        <w:rPr>
          <w:rFonts w:ascii="宋体" w:hAnsi="宋体" w:eastAsia="宋体" w:cs="黑体"/>
          <w:color w:val="auto"/>
          <w:kern w:val="0"/>
          <w:sz w:val="21"/>
          <w:szCs w:val="28"/>
          <w:highlight w:val="none"/>
        </w:rPr>
      </w:pPr>
      <w:bookmarkStart w:id="1657" w:name="_Toc9710"/>
      <w:bookmarkStart w:id="1658" w:name="_Toc26275501"/>
      <w:bookmarkStart w:id="1659" w:name="_Toc534201604"/>
      <w:bookmarkStart w:id="1660" w:name="_Toc29405"/>
      <w:bookmarkStart w:id="1661" w:name="_Toc57495023"/>
      <w:r>
        <w:rPr>
          <w:rFonts w:ascii="宋体" w:hAnsi="宋体" w:eastAsia="宋体" w:cs="黑体"/>
          <w:color w:val="auto"/>
          <w:kern w:val="0"/>
          <w:sz w:val="21"/>
          <w:szCs w:val="28"/>
          <w:highlight w:val="none"/>
        </w:rPr>
        <w:t>2. 合同范围</w:t>
      </w:r>
      <w:bookmarkEnd w:id="1657"/>
      <w:bookmarkEnd w:id="1658"/>
      <w:bookmarkEnd w:id="1659"/>
      <w:bookmarkEnd w:id="1660"/>
      <w:bookmarkEnd w:id="1661"/>
    </w:p>
    <w:p w14:paraId="1EEE377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2.1.1 卖方除提供合同所列出的货物之外，还应提供为保护货物的安全、稳定运行及安装维护所必须的备品备件、专用工具等附件；并应免费提供必需的编程器等辅助装置。</w:t>
      </w:r>
    </w:p>
    <w:p w14:paraId="412248E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2.1.2 各类智能电能表的故障率应不超过南方电网公司企业标准中可靠性要求指标</w:t>
      </w:r>
      <w:r>
        <w:rPr>
          <w:rFonts w:hint="eastAsia" w:ascii="宋体" w:hAnsi="宋体" w:eastAsia="宋体" w:cs="黑体"/>
          <w:color w:val="auto"/>
          <w:kern w:val="0"/>
          <w:szCs w:val="21"/>
          <w:highlight w:val="none"/>
        </w:rPr>
        <w:t>。其他设备</w:t>
      </w:r>
      <w:r>
        <w:rPr>
          <w:rFonts w:ascii="宋体" w:hAnsi="宋体" w:eastAsia="宋体" w:cs="黑体"/>
          <w:color w:val="auto"/>
          <w:kern w:val="0"/>
          <w:szCs w:val="21"/>
          <w:highlight w:val="none"/>
        </w:rPr>
        <w:t>的故障率参照南方电网公司企业标准执行，应不超过其中的可靠性要求指标。</w:t>
      </w:r>
    </w:p>
    <w:p w14:paraId="55143980">
      <w:pPr>
        <w:pStyle w:val="5"/>
        <w:spacing w:before="0" w:after="0" w:line="360" w:lineRule="auto"/>
        <w:rPr>
          <w:rFonts w:ascii="宋体" w:hAnsi="宋体" w:eastAsia="宋体" w:cs="黑体"/>
          <w:color w:val="auto"/>
          <w:kern w:val="0"/>
          <w:sz w:val="21"/>
          <w:szCs w:val="28"/>
          <w:highlight w:val="none"/>
        </w:rPr>
      </w:pPr>
      <w:bookmarkStart w:id="1662" w:name="_Toc6079"/>
      <w:bookmarkStart w:id="1663" w:name="_Toc534201605"/>
      <w:bookmarkStart w:id="1664" w:name="_Toc21611"/>
      <w:bookmarkStart w:id="1665" w:name="_Toc57495024"/>
      <w:bookmarkStart w:id="1666" w:name="_Toc26275502"/>
      <w:r>
        <w:rPr>
          <w:rFonts w:ascii="宋体" w:hAnsi="宋体" w:eastAsia="宋体" w:cs="黑体"/>
          <w:color w:val="auto"/>
          <w:kern w:val="0"/>
          <w:sz w:val="21"/>
          <w:szCs w:val="28"/>
          <w:highlight w:val="none"/>
        </w:rPr>
        <w:t>3. 合同价格与支付</w:t>
      </w:r>
      <w:bookmarkEnd w:id="1662"/>
      <w:bookmarkEnd w:id="1663"/>
      <w:bookmarkEnd w:id="1664"/>
      <w:bookmarkEnd w:id="1665"/>
      <w:bookmarkEnd w:id="1666"/>
    </w:p>
    <w:p w14:paraId="710E7FE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02D70A3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69DB0DF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3.2.1.4 到货后进行抽检，抽检合格后按批次付</w:t>
      </w:r>
      <w:r>
        <w:rPr>
          <w:rFonts w:hint="eastAsia" w:ascii="宋体" w:hAnsi="宋体" w:eastAsia="宋体" w:cs="黑体"/>
          <w:color w:val="auto"/>
          <w:kern w:val="0"/>
          <w:szCs w:val="21"/>
          <w:highlight w:val="none"/>
        </w:rPr>
        <w:t>交</w:t>
      </w:r>
      <w:r>
        <w:rPr>
          <w:rFonts w:ascii="宋体" w:hAnsi="宋体" w:eastAsia="宋体" w:cs="黑体"/>
          <w:color w:val="auto"/>
          <w:kern w:val="0"/>
          <w:szCs w:val="21"/>
          <w:highlight w:val="none"/>
        </w:rPr>
        <w:t>货款。</w:t>
      </w:r>
    </w:p>
    <w:p w14:paraId="74DE254F">
      <w:pPr>
        <w:pStyle w:val="5"/>
        <w:spacing w:before="0" w:after="0" w:line="360" w:lineRule="auto"/>
        <w:rPr>
          <w:rFonts w:ascii="宋体" w:hAnsi="宋体" w:eastAsia="宋体" w:cs="黑体"/>
          <w:color w:val="auto"/>
          <w:kern w:val="0"/>
          <w:sz w:val="21"/>
          <w:szCs w:val="28"/>
          <w:highlight w:val="none"/>
        </w:rPr>
      </w:pPr>
      <w:bookmarkStart w:id="1667" w:name="_Toc26275503"/>
      <w:bookmarkStart w:id="1668" w:name="_Toc30658"/>
      <w:bookmarkStart w:id="1669" w:name="_Toc12793"/>
      <w:bookmarkStart w:id="1670" w:name="_Toc534201606"/>
      <w:bookmarkStart w:id="1671" w:name="_Toc57495025"/>
      <w:r>
        <w:rPr>
          <w:rFonts w:ascii="宋体" w:hAnsi="宋体" w:eastAsia="宋体" w:cs="黑体"/>
          <w:color w:val="auto"/>
          <w:kern w:val="0"/>
          <w:sz w:val="21"/>
          <w:szCs w:val="28"/>
          <w:highlight w:val="none"/>
        </w:rPr>
        <w:t>4. 监造及交货前检验</w:t>
      </w:r>
      <w:bookmarkEnd w:id="1667"/>
      <w:bookmarkEnd w:id="1668"/>
      <w:bookmarkEnd w:id="1669"/>
      <w:bookmarkEnd w:id="1670"/>
      <w:bookmarkEnd w:id="1671"/>
    </w:p>
    <w:p w14:paraId="6149690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5843286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4.1.3.2 合同设备出厂前，买方将视工程项目实际情况，派员前往卖方工厂参加出厂试验，卖方应提供相关便利条件。</w:t>
      </w:r>
    </w:p>
    <w:p w14:paraId="457FB0F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4.1.10 由制造单位对所生产的每个产品按照本合同提供的试验方法进行检验，检验合格后应施加出厂封印，并出具质量合格证明，检验项目按照南方电网公司的相关标准要求。</w:t>
      </w:r>
    </w:p>
    <w:p w14:paraId="036AD61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4</w:t>
      </w:r>
      <w:r>
        <w:rPr>
          <w:rFonts w:ascii="宋体" w:hAnsi="宋体" w:eastAsia="宋体" w:cs="黑体"/>
          <w:color w:val="auto"/>
          <w:kern w:val="0"/>
          <w:szCs w:val="21"/>
          <w:highlight w:val="none"/>
        </w:rPr>
        <w:t xml:space="preserve">.3 </w:t>
      </w:r>
      <w:r>
        <w:rPr>
          <w:rFonts w:hint="eastAsia" w:ascii="宋体" w:hAnsi="宋体" w:eastAsia="宋体" w:cs="黑体"/>
          <w:color w:val="auto"/>
          <w:kern w:val="0"/>
          <w:szCs w:val="21"/>
          <w:highlight w:val="none"/>
        </w:rPr>
        <w:t>抽检</w:t>
      </w:r>
    </w:p>
    <w:p w14:paraId="16CF1F8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4.3.1 买方有权对合同设备（包括原材料）进行以下检测： </w:t>
      </w:r>
    </w:p>
    <w:p w14:paraId="061EA9E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1）到货前的全性能试验；</w:t>
      </w:r>
    </w:p>
    <w:p w14:paraId="6483CEF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2）到货后的抽样验收试验；</w:t>
      </w:r>
    </w:p>
    <w:p w14:paraId="57495E1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3）到货后的全检验收试验。具体检验标准见南方电网公司企业标准。</w:t>
      </w:r>
    </w:p>
    <w:p w14:paraId="1B840E46">
      <w:pPr>
        <w:pStyle w:val="5"/>
        <w:spacing w:before="0" w:after="0" w:line="360" w:lineRule="auto"/>
        <w:rPr>
          <w:rFonts w:ascii="宋体" w:hAnsi="宋体" w:eastAsia="宋体" w:cs="黑体"/>
          <w:color w:val="auto"/>
          <w:kern w:val="0"/>
          <w:sz w:val="21"/>
          <w:szCs w:val="28"/>
          <w:highlight w:val="none"/>
        </w:rPr>
      </w:pPr>
      <w:bookmarkStart w:id="1672" w:name="_Toc17945"/>
      <w:bookmarkStart w:id="1673" w:name="_Toc534201607"/>
      <w:bookmarkStart w:id="1674" w:name="_Toc57495026"/>
      <w:bookmarkStart w:id="1675" w:name="_Toc18691"/>
      <w:bookmarkStart w:id="1676" w:name="_Toc26275504"/>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672"/>
      <w:bookmarkEnd w:id="1673"/>
      <w:bookmarkEnd w:id="1674"/>
      <w:bookmarkEnd w:id="1675"/>
      <w:bookmarkEnd w:id="1676"/>
    </w:p>
    <w:p w14:paraId="38C65DD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5.2 </w:t>
      </w:r>
      <w:r>
        <w:rPr>
          <w:rFonts w:hint="eastAsia" w:ascii="宋体" w:hAnsi="宋体" w:eastAsia="宋体" w:cs="黑体"/>
          <w:color w:val="auto"/>
          <w:kern w:val="0"/>
          <w:szCs w:val="21"/>
          <w:highlight w:val="none"/>
        </w:rPr>
        <w:t>标记</w:t>
      </w:r>
    </w:p>
    <w:p w14:paraId="2BC235B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5.2.1.2 卖方应按买方制定的标准，在指定位置刻制和粘贴相关条码。</w:t>
      </w:r>
    </w:p>
    <w:p w14:paraId="0E07D1C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5.4 </w:t>
      </w:r>
      <w:r>
        <w:rPr>
          <w:rFonts w:hint="eastAsia" w:ascii="宋体" w:hAnsi="宋体" w:eastAsia="宋体" w:cs="黑体"/>
          <w:color w:val="auto"/>
          <w:kern w:val="0"/>
          <w:szCs w:val="21"/>
          <w:highlight w:val="none"/>
        </w:rPr>
        <w:t>交付</w:t>
      </w:r>
    </w:p>
    <w:p w14:paraId="3AC190E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卖方应按买方要求格式提供出厂测试数据电子版。</w:t>
      </w:r>
    </w:p>
    <w:p w14:paraId="6216D1C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5.4.3.1 产品在运输途中若发生损坏、丢失等，卖方承诺在接到通知时起，急件产品在8小时内发出，其他产品在24小时内发出。</w:t>
      </w:r>
    </w:p>
    <w:p w14:paraId="42C55C0C">
      <w:pPr>
        <w:pStyle w:val="5"/>
        <w:spacing w:before="0" w:after="0" w:line="360" w:lineRule="auto"/>
        <w:rPr>
          <w:rFonts w:ascii="宋体" w:hAnsi="宋体" w:eastAsia="宋体" w:cs="黑体"/>
          <w:color w:val="auto"/>
          <w:kern w:val="0"/>
          <w:sz w:val="21"/>
          <w:szCs w:val="28"/>
          <w:highlight w:val="none"/>
        </w:rPr>
      </w:pPr>
      <w:bookmarkStart w:id="1677" w:name="_Toc534201608"/>
      <w:bookmarkStart w:id="1678" w:name="_Toc3167"/>
      <w:bookmarkStart w:id="1679" w:name="_Toc10495"/>
      <w:bookmarkStart w:id="1680" w:name="_Toc57495027"/>
      <w:bookmarkStart w:id="1681" w:name="_Toc26275505"/>
      <w:r>
        <w:rPr>
          <w:rFonts w:ascii="宋体" w:hAnsi="宋体" w:eastAsia="宋体" w:cs="黑体"/>
          <w:color w:val="auto"/>
          <w:kern w:val="0"/>
          <w:sz w:val="21"/>
          <w:szCs w:val="28"/>
          <w:highlight w:val="none"/>
        </w:rPr>
        <w:t xml:space="preserve">6. </w:t>
      </w:r>
      <w:r>
        <w:rPr>
          <w:rFonts w:hint="eastAsia" w:ascii="宋体" w:hAnsi="宋体" w:eastAsia="宋体" w:cs="黑体"/>
          <w:color w:val="auto"/>
          <w:kern w:val="0"/>
          <w:sz w:val="21"/>
          <w:szCs w:val="28"/>
          <w:highlight w:val="none"/>
        </w:rPr>
        <w:t>开箱检验、安装、调试、考核、验收</w:t>
      </w:r>
      <w:bookmarkEnd w:id="1677"/>
      <w:bookmarkEnd w:id="1678"/>
      <w:bookmarkEnd w:id="1679"/>
      <w:bookmarkEnd w:id="1680"/>
      <w:bookmarkEnd w:id="1681"/>
    </w:p>
    <w:p w14:paraId="44190CE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6.3 </w:t>
      </w:r>
      <w:r>
        <w:rPr>
          <w:rFonts w:hint="eastAsia" w:ascii="宋体" w:hAnsi="宋体" w:eastAsia="宋体" w:cs="黑体"/>
          <w:color w:val="auto"/>
          <w:kern w:val="0"/>
          <w:szCs w:val="21"/>
          <w:highlight w:val="none"/>
        </w:rPr>
        <w:t>考核</w:t>
      </w:r>
    </w:p>
    <w:p w14:paraId="4508A11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6.3.1 验收与运行质量问题以买方委托的计量技术机构的判定为准。</w:t>
      </w:r>
    </w:p>
    <w:p w14:paraId="27EA134B">
      <w:pPr>
        <w:pStyle w:val="5"/>
        <w:spacing w:before="0" w:after="0" w:line="360" w:lineRule="auto"/>
        <w:rPr>
          <w:rFonts w:ascii="宋体" w:hAnsi="宋体" w:eastAsia="宋体" w:cs="黑体"/>
          <w:color w:val="auto"/>
          <w:kern w:val="0"/>
          <w:sz w:val="21"/>
          <w:szCs w:val="28"/>
          <w:highlight w:val="none"/>
        </w:rPr>
      </w:pPr>
      <w:bookmarkStart w:id="1682" w:name="_Toc57495028"/>
      <w:bookmarkStart w:id="1683" w:name="_Toc2924"/>
      <w:bookmarkStart w:id="1684" w:name="_Toc26275506"/>
      <w:bookmarkStart w:id="1685" w:name="_Toc8733"/>
      <w:bookmarkStart w:id="1686" w:name="_Toc534201609"/>
      <w:r>
        <w:rPr>
          <w:rFonts w:ascii="宋体" w:hAnsi="宋体" w:eastAsia="宋体" w:cs="黑体"/>
          <w:color w:val="auto"/>
          <w:kern w:val="0"/>
          <w:sz w:val="21"/>
          <w:szCs w:val="28"/>
          <w:highlight w:val="none"/>
        </w:rPr>
        <w:t>7. 技术服务</w:t>
      </w:r>
      <w:bookmarkEnd w:id="1682"/>
      <w:bookmarkEnd w:id="1683"/>
      <w:bookmarkEnd w:id="1684"/>
      <w:bookmarkEnd w:id="1685"/>
      <w:bookmarkEnd w:id="1686"/>
    </w:p>
    <w:p w14:paraId="117FA76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7.1.2 当买方要求卖方进行现场服务时，卖方技术人员应在接到买方通知后4小时内给予答复并在24小时内到达现场，并在5个工作日内提交解决方案。</w:t>
      </w:r>
    </w:p>
    <w:p w14:paraId="73F20E5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7.1.5.7 经过培训的买方技术人员应能达到熟悉产品的运行，并能进行一般的维护。 </w:t>
      </w:r>
    </w:p>
    <w:p w14:paraId="37A6BD8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7</w:t>
      </w:r>
      <w:r>
        <w:rPr>
          <w:rFonts w:ascii="宋体" w:hAnsi="宋体" w:eastAsia="宋体" w:cs="黑体"/>
          <w:color w:val="auto"/>
          <w:kern w:val="0"/>
          <w:szCs w:val="21"/>
          <w:highlight w:val="none"/>
        </w:rPr>
        <w:t xml:space="preserve">.1.6 </w:t>
      </w:r>
      <w:r>
        <w:rPr>
          <w:rFonts w:hint="eastAsia" w:ascii="宋体" w:hAnsi="宋体" w:eastAsia="宋体" w:cs="黑体"/>
          <w:color w:val="auto"/>
          <w:kern w:val="0"/>
          <w:szCs w:val="21"/>
          <w:highlight w:val="none"/>
        </w:rPr>
        <w:t>卖方须设立</w:t>
      </w:r>
      <w:r>
        <w:rPr>
          <w:rFonts w:ascii="宋体" w:hAnsi="宋体" w:eastAsia="宋体" w:cs="黑体"/>
          <w:color w:val="auto"/>
          <w:kern w:val="0"/>
          <w:szCs w:val="21"/>
          <w:highlight w:val="none"/>
        </w:rPr>
        <w:t>24小时售服热线电话，做到买方提出问题后，4小时内作出应答和技术指导。</w:t>
      </w:r>
    </w:p>
    <w:p w14:paraId="14827FED">
      <w:pPr>
        <w:pStyle w:val="5"/>
        <w:spacing w:before="0" w:after="0" w:line="360" w:lineRule="auto"/>
        <w:rPr>
          <w:rFonts w:ascii="宋体" w:hAnsi="宋体" w:eastAsia="宋体" w:cs="黑体"/>
          <w:color w:val="auto"/>
          <w:kern w:val="0"/>
          <w:sz w:val="21"/>
          <w:szCs w:val="28"/>
          <w:highlight w:val="none"/>
        </w:rPr>
      </w:pPr>
      <w:bookmarkStart w:id="1687" w:name="_Toc534201610"/>
      <w:bookmarkStart w:id="1688" w:name="_Toc57495029"/>
      <w:bookmarkStart w:id="1689" w:name="_Toc18423"/>
      <w:bookmarkStart w:id="1690" w:name="_Toc29150"/>
      <w:bookmarkStart w:id="1691" w:name="_Toc26275507"/>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687"/>
      <w:bookmarkEnd w:id="1688"/>
      <w:bookmarkEnd w:id="1689"/>
      <w:bookmarkEnd w:id="1690"/>
      <w:bookmarkEnd w:id="1691"/>
    </w:p>
    <w:p w14:paraId="46A1773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280A4EE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卖方按买方要求进行修理、更换，或赔偿买方的损失后，合同设备的质量保证期延长1年。</w:t>
      </w:r>
    </w:p>
    <w:p w14:paraId="4F5E7EF4">
      <w:pPr>
        <w:pStyle w:val="5"/>
        <w:spacing w:before="0" w:after="0" w:line="360" w:lineRule="auto"/>
        <w:rPr>
          <w:rFonts w:ascii="宋体" w:hAnsi="宋体" w:eastAsia="宋体" w:cs="黑体"/>
          <w:color w:val="auto"/>
          <w:kern w:val="0"/>
          <w:sz w:val="21"/>
          <w:szCs w:val="28"/>
          <w:highlight w:val="none"/>
        </w:rPr>
      </w:pPr>
      <w:bookmarkStart w:id="1692" w:name="_Toc26275508"/>
      <w:bookmarkStart w:id="1693" w:name="_Toc534201611"/>
      <w:bookmarkStart w:id="1694" w:name="_Toc5969"/>
      <w:bookmarkStart w:id="1695" w:name="_Toc32344"/>
      <w:bookmarkStart w:id="1696" w:name="_Toc57495030"/>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692"/>
      <w:bookmarkEnd w:id="1693"/>
      <w:bookmarkEnd w:id="1694"/>
      <w:bookmarkEnd w:id="1695"/>
      <w:bookmarkEnd w:id="1696"/>
    </w:p>
    <w:p w14:paraId="624A3B1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卖方承诺合同设备的使用寿命不少于以下标准：电子式电能表10年；互感器20年；厂站电能量采集终端10年、其他终端7年；其他货物10年。</w:t>
      </w:r>
    </w:p>
    <w:p w14:paraId="3EFDDFF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11.6.2 </w:t>
      </w:r>
    </w:p>
    <w:p w14:paraId="76AEABB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1）在质保期过后，对于产品原理性故障，卖方应免费负责进行改进。</w:t>
      </w:r>
    </w:p>
    <w:p w14:paraId="5C6D4A7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2）在质保期过后，卖方应视买方需要，免费提供系统软件升级换版。</w:t>
      </w:r>
    </w:p>
    <w:p w14:paraId="5C7A52B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3）若因质量问题导致产品不能正常运行，在产品整个使用寿命周期实行免费更换同类新产品；对软件进行定期更新并提供免费升级。</w:t>
      </w:r>
    </w:p>
    <w:p w14:paraId="34BCA38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11.7.1 如果当前系统所匹配的硬件合同设备停产，卖方保证最新的硬件设备可以确保原有软件的正常运行。</w:t>
      </w:r>
    </w:p>
    <w:p w14:paraId="258EB24A">
      <w:pPr>
        <w:pStyle w:val="5"/>
        <w:spacing w:before="0" w:after="0" w:line="360" w:lineRule="auto"/>
        <w:rPr>
          <w:rFonts w:ascii="宋体" w:hAnsi="宋体" w:eastAsia="宋体" w:cs="黑体"/>
          <w:color w:val="auto"/>
          <w:kern w:val="0"/>
          <w:sz w:val="21"/>
          <w:szCs w:val="28"/>
          <w:highlight w:val="none"/>
        </w:rPr>
      </w:pPr>
      <w:bookmarkStart w:id="1697" w:name="_Toc57495031"/>
      <w:bookmarkStart w:id="1698" w:name="_Toc6567"/>
      <w:bookmarkStart w:id="1699" w:name="_Toc18688"/>
      <w:bookmarkStart w:id="1700" w:name="_Toc534201612"/>
      <w:bookmarkStart w:id="1701" w:name="_Toc26275509"/>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697"/>
      <w:bookmarkEnd w:id="1698"/>
      <w:bookmarkEnd w:id="1699"/>
      <w:bookmarkEnd w:id="1700"/>
      <w:bookmarkEnd w:id="1701"/>
    </w:p>
    <w:p w14:paraId="3879BB4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3FA2D77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 </w:t>
      </w:r>
      <w:r>
        <w:rPr>
          <w:rFonts w:hint="eastAsia" w:ascii="宋体" w:hAnsi="宋体" w:eastAsia="宋体" w:cs="Times New Roman"/>
          <w:color w:val="auto"/>
          <w:kern w:val="0"/>
          <w:szCs w:val="21"/>
          <w:highlight w:val="none"/>
        </w:rPr>
        <w:t>采取补救措施</w:t>
      </w:r>
    </w:p>
    <w:p w14:paraId="39C891C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14.1.4.1 </w:t>
      </w:r>
    </w:p>
    <w:p w14:paraId="2BCB6E2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（1）合同质保期内，合同设备有缺陷时，卖方应根据买方的要求修理或更换，每只故障表卖方应按照合同单价的1.5倍进行赔偿，并对由此引起的买方损失进行全额赔偿。</w:t>
      </w:r>
    </w:p>
    <w:p w14:paraId="7042E90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（2）超出质保期但仍在使用寿命期限内，未达到质量事件、合同设备有缺陷时，卖方应根据买方的要求对缺陷设备进行修理或更换。</w:t>
      </w:r>
    </w:p>
    <w:p w14:paraId="3E0BC12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超出质保期但仍在使用寿命期限内，出现批量质量问题的，所涉及批次的货物由卖方负责全数免费更换。超出故障率部分，每只故障表卖方应按照合同单价的1.5倍进行赔偿，并对由此引起的买方损失进行全额赔偿。</w:t>
      </w:r>
    </w:p>
    <w:p w14:paraId="6469060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4.1.5 </w:t>
      </w:r>
      <w:r>
        <w:rPr>
          <w:rFonts w:hint="eastAsia" w:ascii="宋体" w:hAnsi="宋体" w:eastAsia="宋体" w:cs="黑体"/>
          <w:color w:val="auto"/>
          <w:kern w:val="0"/>
          <w:szCs w:val="21"/>
          <w:highlight w:val="none"/>
        </w:rPr>
        <w:t>赔偿损失</w:t>
      </w:r>
    </w:p>
    <w:p w14:paraId="29A8460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14.1.5.3 由于合同设备质量问题导致退货所产生的损失，买方有权向卖方提出索赔。对整批退货的情况，卖方在向买方退还货款后还应赔偿的费用=本批次电能表中标单价×本批次到货数量×15%。</w:t>
      </w:r>
    </w:p>
    <w:p w14:paraId="6AA4C14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4.5 </w:t>
      </w:r>
      <w:r>
        <w:rPr>
          <w:rFonts w:hint="eastAsia" w:ascii="宋体" w:hAnsi="宋体" w:eastAsia="宋体" w:cs="黑体"/>
          <w:color w:val="auto"/>
          <w:kern w:val="0"/>
          <w:szCs w:val="21"/>
          <w:highlight w:val="none"/>
        </w:rPr>
        <w:t>监造及交货前检验</w:t>
      </w:r>
    </w:p>
    <w:p w14:paraId="6E9070F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4.5.4 到货前的全性能试验</w:t>
      </w:r>
    </w:p>
    <w:p w14:paraId="4F051F5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如果判定不合格，则卖方</w:t>
      </w:r>
      <w:r>
        <w:rPr>
          <w:rFonts w:hint="eastAsia" w:ascii="宋体" w:hAnsi="宋体" w:eastAsia="宋体" w:cs="黑体"/>
          <w:color w:val="auto"/>
          <w:kern w:val="0"/>
          <w:szCs w:val="21"/>
          <w:highlight w:val="none"/>
        </w:rPr>
        <w:t>应在</w:t>
      </w:r>
      <w:r>
        <w:rPr>
          <w:rFonts w:ascii="宋体" w:hAnsi="宋体" w:eastAsia="宋体" w:cs="黑体"/>
          <w:color w:val="auto"/>
          <w:kern w:val="0"/>
          <w:szCs w:val="21"/>
          <w:highlight w:val="none"/>
        </w:rPr>
        <w:t>整改后重新送检，并承担相应的检测费用。</w:t>
      </w:r>
    </w:p>
    <w:p w14:paraId="4E3AFCA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w:t>
      </w:r>
      <w:r>
        <w:rPr>
          <w:rFonts w:ascii="宋体" w:hAnsi="宋体" w:eastAsia="宋体" w:cs="黑体"/>
          <w:color w:val="auto"/>
          <w:kern w:val="0"/>
          <w:szCs w:val="21"/>
          <w:highlight w:val="none"/>
        </w:rPr>
        <w:t>依据检测样品，未经买方有效书面确认，出现元器件不符、工艺简化、软件改动等改动产品的情况，买方有权</w:t>
      </w:r>
      <w:r>
        <w:rPr>
          <w:rFonts w:hint="eastAsia" w:ascii="宋体" w:hAnsi="宋体" w:eastAsia="宋体" w:cs="黑体"/>
          <w:color w:val="auto"/>
          <w:kern w:val="0"/>
          <w:szCs w:val="21"/>
          <w:highlight w:val="none"/>
        </w:rPr>
        <w:t>解除</w:t>
      </w:r>
      <w:r>
        <w:rPr>
          <w:rFonts w:ascii="宋体" w:hAnsi="宋体" w:eastAsia="宋体" w:cs="黑体"/>
          <w:color w:val="auto"/>
          <w:kern w:val="0"/>
          <w:szCs w:val="21"/>
          <w:highlight w:val="none"/>
        </w:rPr>
        <w:t>合同。</w:t>
      </w:r>
    </w:p>
    <w:p w14:paraId="312B430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（3）合同</w:t>
      </w:r>
      <w:r>
        <w:rPr>
          <w:rFonts w:ascii="宋体" w:hAnsi="宋体" w:eastAsia="宋体" w:cs="黑体"/>
          <w:color w:val="auto"/>
          <w:kern w:val="0"/>
          <w:szCs w:val="21"/>
          <w:highlight w:val="none"/>
        </w:rPr>
        <w:t>执行过程中整改两次仍不能通过</w:t>
      </w:r>
      <w:r>
        <w:rPr>
          <w:rFonts w:hint="eastAsia" w:ascii="宋体" w:hAnsi="宋体" w:eastAsia="宋体" w:cs="黑体"/>
          <w:color w:val="auto"/>
          <w:kern w:val="0"/>
          <w:szCs w:val="21"/>
          <w:highlight w:val="none"/>
        </w:rPr>
        <w:t>到</w:t>
      </w:r>
      <w:r>
        <w:rPr>
          <w:rFonts w:ascii="宋体" w:hAnsi="宋体" w:eastAsia="宋体" w:cs="黑体"/>
          <w:color w:val="auto"/>
          <w:kern w:val="0"/>
          <w:szCs w:val="21"/>
          <w:highlight w:val="none"/>
        </w:rPr>
        <w:t>货前全性能试验，买方有权</w:t>
      </w:r>
      <w:r>
        <w:rPr>
          <w:rFonts w:hint="eastAsia" w:ascii="宋体" w:hAnsi="宋体" w:eastAsia="宋体" w:cs="黑体"/>
          <w:color w:val="auto"/>
          <w:kern w:val="0"/>
          <w:szCs w:val="21"/>
          <w:highlight w:val="none"/>
        </w:rPr>
        <w:t>解除</w:t>
      </w:r>
      <w:r>
        <w:rPr>
          <w:rFonts w:ascii="宋体" w:hAnsi="宋体" w:eastAsia="宋体" w:cs="黑体"/>
          <w:color w:val="auto"/>
          <w:kern w:val="0"/>
          <w:szCs w:val="21"/>
          <w:highlight w:val="none"/>
        </w:rPr>
        <w:t>合同。</w:t>
      </w:r>
    </w:p>
    <w:p w14:paraId="4F9C1AA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14.5.5 到货后的抽样验收试验</w:t>
      </w:r>
    </w:p>
    <w:p w14:paraId="42F7D74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（1）到货后抽样验收出现样品不合格，买方有权整批退货或要求卖方限期30日整改，整改延期或整改后再次抽样验收试验仍不合格的，买方有权解除合同。</w:t>
      </w:r>
    </w:p>
    <w:p w14:paraId="301E9ED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（2）到货后样品比对出现未经买方书面确认的不一致（包括主要元器件和软件版本信息等），买方有权整批退货或要求卖方限期30日整改，整改后仍不合格的，买方有权解除合同。</w:t>
      </w:r>
    </w:p>
    <w:p w14:paraId="018E3ED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14.5.6 到货后的全检验收试验</w:t>
      </w:r>
    </w:p>
    <w:p w14:paraId="6A2AAEF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（1）全检验收试验过程中发现有3只及以上产品不合格，且全检验收合格率低于99%，整批退货。</w:t>
      </w:r>
    </w:p>
    <w:p w14:paraId="1F4F224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（2）全检验收合格率大于等于99%，或未达到上述退货条件时，不合格产品逐只退换。</w:t>
      </w:r>
    </w:p>
    <w:p w14:paraId="2D9B0EF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w:t>
      </w:r>
      <w:r>
        <w:rPr>
          <w:rFonts w:ascii="宋体" w:hAnsi="宋体" w:eastAsia="宋体" w:cs="黑体"/>
          <w:color w:val="auto"/>
          <w:kern w:val="0"/>
          <w:szCs w:val="21"/>
          <w:highlight w:val="none"/>
        </w:rPr>
        <w:t>）合同执行过程中同一批次退货两次以上，买方有权</w:t>
      </w:r>
      <w:r>
        <w:rPr>
          <w:rFonts w:hint="eastAsia" w:ascii="宋体" w:hAnsi="宋体" w:eastAsia="宋体" w:cs="黑体"/>
          <w:color w:val="auto"/>
          <w:kern w:val="0"/>
          <w:szCs w:val="21"/>
          <w:highlight w:val="none"/>
        </w:rPr>
        <w:t>解除</w:t>
      </w:r>
      <w:r>
        <w:rPr>
          <w:rFonts w:ascii="宋体" w:hAnsi="宋体" w:eastAsia="宋体" w:cs="黑体"/>
          <w:color w:val="auto"/>
          <w:kern w:val="0"/>
          <w:szCs w:val="21"/>
          <w:highlight w:val="none"/>
        </w:rPr>
        <w:t>合同。</w:t>
      </w:r>
    </w:p>
    <w:p w14:paraId="5883E1DA">
      <w:pPr>
        <w:pStyle w:val="5"/>
        <w:spacing w:before="0" w:after="0" w:line="360" w:lineRule="auto"/>
        <w:rPr>
          <w:rFonts w:ascii="宋体" w:hAnsi="宋体" w:eastAsia="宋体" w:cs="黑体"/>
          <w:color w:val="auto"/>
          <w:kern w:val="0"/>
          <w:sz w:val="21"/>
          <w:szCs w:val="28"/>
          <w:highlight w:val="none"/>
        </w:rPr>
      </w:pPr>
      <w:bookmarkStart w:id="1702" w:name="_Toc10680"/>
      <w:bookmarkStart w:id="1703" w:name="_Toc534201613"/>
      <w:bookmarkStart w:id="1704" w:name="_Toc2223"/>
      <w:bookmarkStart w:id="1705" w:name="_Toc26275510"/>
      <w:bookmarkStart w:id="1706" w:name="_Toc57495032"/>
      <w:r>
        <w:rPr>
          <w:rFonts w:ascii="宋体" w:hAnsi="宋体" w:eastAsia="宋体" w:cs="黑体"/>
          <w:color w:val="auto"/>
          <w:kern w:val="0"/>
          <w:sz w:val="21"/>
          <w:szCs w:val="28"/>
          <w:highlight w:val="none"/>
        </w:rPr>
        <w:t xml:space="preserve">15. </w:t>
      </w:r>
      <w:r>
        <w:rPr>
          <w:rFonts w:hint="eastAsia" w:ascii="宋体" w:hAnsi="宋体" w:eastAsia="宋体" w:cs="黑体"/>
          <w:color w:val="auto"/>
          <w:kern w:val="0"/>
          <w:sz w:val="21"/>
          <w:szCs w:val="28"/>
          <w:highlight w:val="none"/>
        </w:rPr>
        <w:t>合同的解除</w:t>
      </w:r>
      <w:bookmarkEnd w:id="1702"/>
      <w:bookmarkEnd w:id="1703"/>
      <w:bookmarkEnd w:id="1704"/>
      <w:bookmarkEnd w:id="1705"/>
      <w:bookmarkEnd w:id="1706"/>
    </w:p>
    <w:p w14:paraId="29CC0D2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15.2 </w:t>
      </w:r>
      <w:r>
        <w:rPr>
          <w:rFonts w:hint="eastAsia" w:ascii="宋体" w:hAnsi="宋体" w:eastAsia="宋体" w:cs="黑体"/>
          <w:color w:val="auto"/>
          <w:kern w:val="0"/>
          <w:szCs w:val="21"/>
          <w:highlight w:val="none"/>
        </w:rPr>
        <w:t>合同的解除</w:t>
      </w:r>
    </w:p>
    <w:p w14:paraId="51B7042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15.2.2 合同执行过程中，累计出现三个到货批次退货以上，买方有权解除合同，并要求相应赔偿。</w:t>
      </w:r>
    </w:p>
    <w:p w14:paraId="69677726">
      <w:pPr>
        <w:pStyle w:val="4"/>
        <w:jc w:val="center"/>
        <w:rPr>
          <w:rFonts w:ascii="宋体" w:hAnsi="宋体" w:eastAsia="宋体" w:cs="Times New Roman"/>
          <w:color w:val="auto"/>
          <w:kern w:val="0"/>
          <w:sz w:val="28"/>
          <w:highlight w:val="none"/>
        </w:rPr>
      </w:pPr>
      <w:bookmarkStart w:id="1707" w:name="_Toc9977"/>
      <w:bookmarkStart w:id="1708" w:name="_Toc57495033"/>
      <w:bookmarkStart w:id="1709" w:name="_Toc28574"/>
      <w:r>
        <w:rPr>
          <w:rFonts w:hint="eastAsia" w:ascii="宋体" w:hAnsi="宋体" w:eastAsia="宋体" w:cs="Times New Roman"/>
          <w:color w:val="auto"/>
          <w:kern w:val="0"/>
          <w:sz w:val="28"/>
          <w:highlight w:val="none"/>
        </w:rPr>
        <w:t>（四十二）二级维护类物资</w:t>
      </w:r>
      <w:bookmarkEnd w:id="1707"/>
      <w:bookmarkEnd w:id="1708"/>
      <w:bookmarkEnd w:id="1709"/>
    </w:p>
    <w:p w14:paraId="4BECB94E">
      <w:pPr>
        <w:pStyle w:val="5"/>
        <w:spacing w:before="0" w:after="0" w:line="360" w:lineRule="auto"/>
        <w:rPr>
          <w:rFonts w:ascii="宋体" w:hAnsi="宋体" w:eastAsia="宋体" w:cs="黑体"/>
          <w:color w:val="auto"/>
          <w:kern w:val="0"/>
          <w:sz w:val="21"/>
          <w:szCs w:val="28"/>
          <w:highlight w:val="none"/>
        </w:rPr>
      </w:pPr>
      <w:bookmarkStart w:id="1710" w:name="_Toc57495034"/>
      <w:bookmarkStart w:id="1711" w:name="_Toc27782"/>
      <w:bookmarkStart w:id="1712" w:name="_Toc26275512"/>
      <w:bookmarkStart w:id="1713" w:name="_Toc534201615"/>
      <w:bookmarkStart w:id="1714" w:name="_Toc7240"/>
      <w:r>
        <w:rPr>
          <w:rFonts w:ascii="宋体" w:hAnsi="宋体" w:eastAsia="宋体" w:cs="黑体"/>
          <w:color w:val="auto"/>
          <w:kern w:val="0"/>
          <w:sz w:val="21"/>
          <w:szCs w:val="28"/>
          <w:highlight w:val="none"/>
        </w:rPr>
        <w:t>3. 合同价格与支付</w:t>
      </w:r>
      <w:bookmarkEnd w:id="1710"/>
      <w:bookmarkEnd w:id="1711"/>
      <w:bookmarkEnd w:id="1712"/>
      <w:bookmarkEnd w:id="1713"/>
      <w:bookmarkEnd w:id="1714"/>
    </w:p>
    <w:p w14:paraId="0A21F6A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0C67D88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100万元时，本合同价款分预付款、入卖方成品库款、交货款和结清款四次支付，支付比例为0:0:</w:t>
      </w:r>
      <w:r>
        <w:rPr>
          <w:rFonts w:hint="eastAsia" w:ascii="宋体" w:hAnsi="宋体" w:eastAsia="宋体" w:cs="黑体"/>
          <w:color w:val="auto"/>
          <w:kern w:val="0"/>
          <w:szCs w:val="21"/>
          <w:highlight w:val="none"/>
          <w:lang w:val="en-US" w:eastAsia="zh-CN"/>
        </w:rPr>
        <w:t>9.5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p>
    <w:p w14:paraId="1BF40D3D">
      <w:pPr>
        <w:pStyle w:val="5"/>
        <w:spacing w:before="0" w:after="0" w:line="360" w:lineRule="auto"/>
        <w:rPr>
          <w:rFonts w:ascii="宋体" w:hAnsi="宋体" w:eastAsia="宋体" w:cs="黑体"/>
          <w:color w:val="auto"/>
          <w:kern w:val="0"/>
          <w:sz w:val="21"/>
          <w:szCs w:val="28"/>
          <w:highlight w:val="none"/>
        </w:rPr>
      </w:pPr>
      <w:bookmarkStart w:id="1715" w:name="_Toc57495035"/>
      <w:bookmarkStart w:id="1716" w:name="_Toc14234"/>
      <w:bookmarkStart w:id="1717" w:name="_Toc26275513"/>
      <w:bookmarkStart w:id="1718" w:name="_Toc534201616"/>
      <w:bookmarkStart w:id="1719" w:name="_Toc21218"/>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715"/>
      <w:bookmarkEnd w:id="1716"/>
      <w:bookmarkEnd w:id="1717"/>
      <w:bookmarkEnd w:id="1718"/>
      <w:bookmarkEnd w:id="1719"/>
    </w:p>
    <w:p w14:paraId="1E42107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合同设备的质量保证期为36个月。</w:t>
      </w:r>
    </w:p>
    <w:p w14:paraId="1D97D247">
      <w:pPr>
        <w:pStyle w:val="4"/>
        <w:jc w:val="center"/>
        <w:rPr>
          <w:rFonts w:ascii="宋体" w:hAnsi="宋体" w:eastAsia="宋体" w:cs="Times New Roman"/>
          <w:color w:val="auto"/>
          <w:kern w:val="0"/>
          <w:sz w:val="28"/>
          <w:highlight w:val="none"/>
        </w:rPr>
      </w:pPr>
      <w:bookmarkStart w:id="1720" w:name="_Toc28148"/>
      <w:bookmarkStart w:id="1721" w:name="_Toc57495038"/>
      <w:bookmarkStart w:id="1722" w:name="_Toc4772"/>
      <w:bookmarkStart w:id="1723" w:name="_Toc28839"/>
      <w:bookmarkStart w:id="1724" w:name="_Toc57495036"/>
      <w:bookmarkStart w:id="1725" w:name="_Toc534201617"/>
      <w:bookmarkStart w:id="1726" w:name="_Toc26275514"/>
      <w:r>
        <w:rPr>
          <w:rFonts w:hint="eastAsia" w:ascii="宋体" w:hAnsi="宋体" w:eastAsia="宋体" w:cs="Times New Roman"/>
          <w:color w:val="auto"/>
          <w:kern w:val="0"/>
          <w:sz w:val="28"/>
          <w:highlight w:val="none"/>
        </w:rPr>
        <w:t>（四十三）主配网调度主站系统</w:t>
      </w:r>
      <w:bookmarkEnd w:id="1720"/>
      <w:bookmarkEnd w:id="1721"/>
      <w:bookmarkEnd w:id="1722"/>
    </w:p>
    <w:p w14:paraId="7509C18E">
      <w:pPr>
        <w:pStyle w:val="5"/>
        <w:spacing w:before="0" w:after="0" w:line="360" w:lineRule="auto"/>
        <w:rPr>
          <w:rFonts w:ascii="宋体" w:hAnsi="宋体" w:eastAsia="宋体" w:cs="黑体"/>
          <w:color w:val="auto"/>
          <w:kern w:val="0"/>
          <w:sz w:val="21"/>
          <w:szCs w:val="28"/>
          <w:highlight w:val="none"/>
        </w:rPr>
      </w:pPr>
      <w:bookmarkStart w:id="1727" w:name="_Toc26275517"/>
      <w:bookmarkStart w:id="1728" w:name="_Toc57495039"/>
      <w:bookmarkStart w:id="1729" w:name="_Toc534201620"/>
      <w:bookmarkStart w:id="1730" w:name="_Toc6330"/>
      <w:bookmarkStart w:id="1731" w:name="_Toc24167"/>
      <w:r>
        <w:rPr>
          <w:rFonts w:ascii="宋体" w:hAnsi="宋体" w:eastAsia="宋体" w:cs="黑体"/>
          <w:color w:val="auto"/>
          <w:kern w:val="0"/>
          <w:sz w:val="21"/>
          <w:szCs w:val="28"/>
          <w:highlight w:val="none"/>
        </w:rPr>
        <w:t>1. 一般约定</w:t>
      </w:r>
      <w:bookmarkEnd w:id="1727"/>
      <w:bookmarkEnd w:id="1728"/>
      <w:bookmarkEnd w:id="1729"/>
      <w:bookmarkEnd w:id="1730"/>
      <w:bookmarkEnd w:id="1731"/>
    </w:p>
    <w:p w14:paraId="71E8E6F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 词语定义</w:t>
      </w:r>
    </w:p>
    <w:p w14:paraId="7195BA3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1.1.9 项目验收分为出厂验收、到货验收、试运行验收（投入试运行）、现场验收（投入正式运行）。验收中应对卖方提供的设备及软件功能模块进行功能、性能、容量、标准符合性、稳定性等方面的检验。</w:t>
      </w:r>
    </w:p>
    <w:p w14:paraId="3E76AC8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1.7 转让</w:t>
      </w:r>
    </w:p>
    <w:p w14:paraId="6AE0689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1.7.5 对合同设备的软硬件进行维护、完善等工作时，如需相关原厂商参与的，由卖方负责协调并承担相应的责任。</w:t>
      </w:r>
    </w:p>
    <w:p w14:paraId="2BDCB99B">
      <w:pPr>
        <w:pStyle w:val="5"/>
        <w:spacing w:before="0" w:after="0" w:line="360" w:lineRule="auto"/>
        <w:rPr>
          <w:rFonts w:ascii="宋体" w:hAnsi="宋体" w:eastAsia="宋体" w:cs="黑体"/>
          <w:color w:val="auto"/>
          <w:kern w:val="0"/>
          <w:sz w:val="21"/>
          <w:szCs w:val="28"/>
          <w:highlight w:val="none"/>
        </w:rPr>
      </w:pPr>
      <w:bookmarkStart w:id="1732" w:name="_Toc534201621"/>
      <w:bookmarkStart w:id="1733" w:name="_Toc9367"/>
      <w:bookmarkStart w:id="1734" w:name="_Toc14228"/>
      <w:bookmarkStart w:id="1735" w:name="_Toc57495040"/>
      <w:bookmarkStart w:id="1736" w:name="_Toc26275518"/>
      <w:r>
        <w:rPr>
          <w:rFonts w:ascii="宋体" w:hAnsi="宋体" w:eastAsia="宋体" w:cs="黑体"/>
          <w:color w:val="auto"/>
          <w:kern w:val="0"/>
          <w:sz w:val="21"/>
          <w:szCs w:val="28"/>
          <w:highlight w:val="none"/>
        </w:rPr>
        <w:t>2. 合同范围</w:t>
      </w:r>
      <w:bookmarkEnd w:id="1732"/>
      <w:bookmarkEnd w:id="1733"/>
      <w:bookmarkEnd w:id="1734"/>
      <w:bookmarkEnd w:id="1735"/>
      <w:bookmarkEnd w:id="1736"/>
    </w:p>
    <w:p w14:paraId="6FDC029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2.2 卖方提供的产品必须是标准的，具有先进结构，符合环保要求。</w:t>
      </w:r>
    </w:p>
    <w:p w14:paraId="1AD489C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2.5 卖方应提供项目完整的技术资料，包括设计、运行、维护</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测试、培训资料</w:t>
      </w:r>
      <w:r>
        <w:rPr>
          <w:rFonts w:hint="eastAsia" w:ascii="宋体" w:hAnsi="宋体" w:eastAsia="宋体" w:cs="黑体"/>
          <w:color w:val="auto"/>
          <w:kern w:val="0"/>
          <w:szCs w:val="21"/>
          <w:highlight w:val="none"/>
        </w:rPr>
        <w:t>、覆盖各采购模块的详细</w:t>
      </w:r>
      <w:r>
        <w:rPr>
          <w:rFonts w:ascii="宋体" w:hAnsi="宋体" w:eastAsia="宋体" w:cs="黑体"/>
          <w:color w:val="auto"/>
          <w:kern w:val="0"/>
          <w:szCs w:val="21"/>
          <w:highlight w:val="none"/>
        </w:rPr>
        <w:t xml:space="preserve"> “一书三册”（功能说明书、检验手册、安装手册、运维手册）</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以及招标文件中要求的</w:t>
      </w:r>
      <w:r>
        <w:rPr>
          <w:rFonts w:hint="eastAsia" w:ascii="宋体" w:hAnsi="宋体" w:eastAsia="宋体" w:cs="黑体"/>
          <w:color w:val="auto"/>
          <w:kern w:val="0"/>
          <w:szCs w:val="21"/>
          <w:highlight w:val="none"/>
        </w:rPr>
        <w:t>其他</w:t>
      </w:r>
      <w:r>
        <w:rPr>
          <w:rFonts w:ascii="宋体" w:hAnsi="宋体" w:eastAsia="宋体" w:cs="黑体"/>
          <w:color w:val="auto"/>
          <w:kern w:val="0"/>
          <w:szCs w:val="21"/>
          <w:highlight w:val="none"/>
        </w:rPr>
        <w:t>技术资料。</w:t>
      </w:r>
    </w:p>
    <w:p w14:paraId="2B54C5F7">
      <w:pPr>
        <w:pStyle w:val="5"/>
        <w:spacing w:before="0" w:after="0" w:line="360" w:lineRule="auto"/>
        <w:rPr>
          <w:rFonts w:ascii="宋体" w:hAnsi="宋体" w:eastAsia="宋体" w:cs="黑体"/>
          <w:color w:val="auto"/>
          <w:kern w:val="0"/>
          <w:sz w:val="21"/>
          <w:szCs w:val="28"/>
          <w:highlight w:val="none"/>
        </w:rPr>
      </w:pPr>
      <w:bookmarkStart w:id="1737" w:name="_Toc57495041"/>
      <w:bookmarkStart w:id="1738" w:name="_Toc10074"/>
      <w:bookmarkStart w:id="1739" w:name="_Toc26275519"/>
      <w:bookmarkStart w:id="1740" w:name="_Toc26525"/>
      <w:bookmarkStart w:id="1741" w:name="_Toc534201622"/>
      <w:r>
        <w:rPr>
          <w:rFonts w:ascii="宋体" w:hAnsi="宋体" w:eastAsia="宋体" w:cs="黑体"/>
          <w:color w:val="auto"/>
          <w:kern w:val="0"/>
          <w:sz w:val="21"/>
          <w:szCs w:val="28"/>
          <w:highlight w:val="none"/>
        </w:rPr>
        <w:t>3. 合同价格与支付</w:t>
      </w:r>
      <w:bookmarkEnd w:id="1737"/>
      <w:bookmarkEnd w:id="1738"/>
      <w:bookmarkEnd w:id="1739"/>
      <w:bookmarkEnd w:id="1740"/>
      <w:bookmarkEnd w:id="1741"/>
    </w:p>
    <w:p w14:paraId="1588FEE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1274759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100万元时，本合同价款分预付款、入卖方成品库款（即出厂验收款）、交货款（即现场验收款）和结清款四次支付，支付比例为1:4:</w:t>
      </w:r>
      <w:r>
        <w:rPr>
          <w:rFonts w:hint="default" w:ascii="宋体" w:hAnsi="宋体" w:eastAsia="宋体" w:cs="黑体"/>
          <w:color w:val="auto"/>
          <w:kern w:val="0"/>
          <w:szCs w:val="21"/>
          <w:highlight w:val="none"/>
          <w:lang w:val="en-US"/>
        </w:rPr>
        <w:t>4</w:t>
      </w:r>
      <w:r>
        <w:rPr>
          <w:rFonts w:hint="eastAsia" w:ascii="宋体" w:hAnsi="宋体" w:eastAsia="宋体" w:cs="黑体"/>
          <w:color w:val="auto"/>
          <w:kern w:val="0"/>
          <w:szCs w:val="21"/>
          <w:highlight w:val="none"/>
          <w:lang w:val="en-US" w:eastAsia="zh-CN"/>
        </w:rPr>
        <w:t>.5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卖方为中小企业的，合同价款支付比例为2:4:3.5:0.5。</w:t>
      </w:r>
    </w:p>
    <w:p w14:paraId="4B9A6A71">
      <w:pPr>
        <w:pStyle w:val="5"/>
        <w:spacing w:before="0" w:after="0" w:line="360" w:lineRule="auto"/>
        <w:rPr>
          <w:rFonts w:ascii="宋体" w:hAnsi="宋体" w:eastAsia="宋体" w:cs="黑体"/>
          <w:color w:val="auto"/>
          <w:kern w:val="0"/>
          <w:sz w:val="21"/>
          <w:szCs w:val="28"/>
          <w:highlight w:val="none"/>
        </w:rPr>
      </w:pPr>
      <w:bookmarkStart w:id="1742" w:name="_Toc25940"/>
      <w:bookmarkStart w:id="1743" w:name="_Toc534201623"/>
      <w:bookmarkStart w:id="1744" w:name="_Toc14422"/>
      <w:bookmarkStart w:id="1745" w:name="_Toc26275520"/>
      <w:bookmarkStart w:id="1746" w:name="_Toc57495042"/>
      <w:r>
        <w:rPr>
          <w:rFonts w:ascii="宋体" w:hAnsi="宋体" w:eastAsia="宋体" w:cs="黑体"/>
          <w:color w:val="auto"/>
          <w:kern w:val="0"/>
          <w:sz w:val="21"/>
          <w:szCs w:val="28"/>
          <w:highlight w:val="none"/>
        </w:rPr>
        <w:t>5.</w:t>
      </w:r>
      <w:r>
        <w:rPr>
          <w:rFonts w:hint="eastAsia" w:ascii="宋体" w:hAnsi="宋体" w:eastAsia="宋体" w:cs="黑体"/>
          <w:color w:val="auto"/>
          <w:kern w:val="0"/>
          <w:sz w:val="21"/>
          <w:szCs w:val="28"/>
          <w:highlight w:val="none"/>
        </w:rPr>
        <w:t>包装、标记、运输和交付</w:t>
      </w:r>
      <w:bookmarkEnd w:id="1742"/>
      <w:bookmarkEnd w:id="1743"/>
      <w:bookmarkEnd w:id="1744"/>
      <w:bookmarkEnd w:id="1745"/>
      <w:bookmarkEnd w:id="1746"/>
    </w:p>
    <w:p w14:paraId="14E5EE8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6B1DB81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5.1.4 机柜应采用木箱或纸板等硬质材料包装，同时必须满足机械吊装功能，并标注起吊点位置。</w:t>
      </w:r>
    </w:p>
    <w:p w14:paraId="43C8BA7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5</w:t>
      </w:r>
      <w:r>
        <w:rPr>
          <w:rFonts w:ascii="宋体" w:hAnsi="宋体" w:eastAsia="宋体" w:cs="黑体"/>
          <w:color w:val="auto"/>
          <w:kern w:val="0"/>
          <w:szCs w:val="21"/>
          <w:highlight w:val="none"/>
        </w:rPr>
        <w:t xml:space="preserve">.4 </w:t>
      </w:r>
      <w:r>
        <w:rPr>
          <w:rFonts w:hint="eastAsia" w:ascii="宋体" w:hAnsi="宋体" w:eastAsia="宋体" w:cs="黑体"/>
          <w:color w:val="auto"/>
          <w:kern w:val="0"/>
          <w:szCs w:val="21"/>
          <w:highlight w:val="none"/>
        </w:rPr>
        <w:t>交付</w:t>
      </w:r>
    </w:p>
    <w:p w14:paraId="778BC97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交货地点包括本项目工厂系统集成所在地及卖方指定的最终用户所在地。</w:t>
      </w:r>
    </w:p>
    <w:p w14:paraId="127BAF7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设备搬运工作包括运至买方指定地点后，将货物搬运到买方机房、调试间及设备贮藏间。</w:t>
      </w:r>
    </w:p>
    <w:p w14:paraId="0A1A0F1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现场货物交接完成后，卖方代表将设备移交买方进行贮存。</w:t>
      </w:r>
    </w:p>
    <w:p w14:paraId="10CB75F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5.4.3.1 合同设备在运输途中若发生损坏、丢失等，卖方承诺在接到通知时起，急件产品在8小时内发出，一般产品在24小时内发出。</w:t>
      </w:r>
    </w:p>
    <w:p w14:paraId="7DE86AEA">
      <w:pPr>
        <w:pStyle w:val="5"/>
        <w:spacing w:before="0" w:after="0" w:line="360" w:lineRule="auto"/>
        <w:rPr>
          <w:rFonts w:ascii="宋体" w:hAnsi="宋体" w:eastAsia="宋体" w:cs="黑体"/>
          <w:color w:val="auto"/>
          <w:kern w:val="0"/>
          <w:sz w:val="21"/>
          <w:szCs w:val="28"/>
          <w:highlight w:val="none"/>
        </w:rPr>
      </w:pPr>
      <w:bookmarkStart w:id="1747" w:name="_Toc26275521"/>
      <w:bookmarkStart w:id="1748" w:name="_Toc57495043"/>
      <w:bookmarkStart w:id="1749" w:name="_Toc534201624"/>
      <w:bookmarkStart w:id="1750" w:name="_Toc26665"/>
      <w:bookmarkStart w:id="1751" w:name="_Toc19653"/>
      <w:r>
        <w:rPr>
          <w:rFonts w:ascii="宋体" w:hAnsi="宋体" w:eastAsia="宋体" w:cs="黑体"/>
          <w:color w:val="auto"/>
          <w:kern w:val="0"/>
          <w:sz w:val="21"/>
          <w:szCs w:val="28"/>
          <w:highlight w:val="none"/>
        </w:rPr>
        <w:t xml:space="preserve">6. </w:t>
      </w:r>
      <w:r>
        <w:rPr>
          <w:rFonts w:hint="eastAsia" w:ascii="宋体" w:hAnsi="宋体" w:eastAsia="宋体" w:cs="黑体"/>
          <w:color w:val="auto"/>
          <w:kern w:val="0"/>
          <w:sz w:val="21"/>
          <w:szCs w:val="28"/>
          <w:highlight w:val="none"/>
        </w:rPr>
        <w:t>开箱检验、安装、调试、考核、验收</w:t>
      </w:r>
      <w:bookmarkEnd w:id="1747"/>
      <w:bookmarkEnd w:id="1748"/>
      <w:bookmarkEnd w:id="1749"/>
      <w:bookmarkEnd w:id="1750"/>
      <w:bookmarkEnd w:id="1751"/>
    </w:p>
    <w:p w14:paraId="3C9DE73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1B65BA5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6.2.1.1 卖方应根据买方提供的现场安装环境，提出具体的系统安装方案，经双方讨论确认后，作为安装依据。系统设备到达买方安装现场后，卖方应按照确定的施工图纸和有关要求进行设备的安装调试，并负责设备上架及设备线缆连接，验收投运后由卖方提供工程竣工安装的图纸。</w:t>
      </w:r>
    </w:p>
    <w:p w14:paraId="5B9FC16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6.2.1.3 卖方技术服务人员在现场除了应解答和解决由买方在合同范围内提出的问题外，还应详细解答图纸、设备性能以及设备运行注意事项。</w:t>
      </w:r>
    </w:p>
    <w:p w14:paraId="570673A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6.3 </w:t>
      </w:r>
      <w:r>
        <w:rPr>
          <w:rFonts w:hint="eastAsia" w:ascii="宋体" w:hAnsi="宋体" w:eastAsia="宋体" w:cs="黑体"/>
          <w:color w:val="auto"/>
          <w:kern w:val="0"/>
          <w:szCs w:val="21"/>
          <w:highlight w:val="none"/>
        </w:rPr>
        <w:t>考核</w:t>
      </w:r>
    </w:p>
    <w:p w14:paraId="2246304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6.3.1 合同设备中的所有设备必须进行72小时连续稳定运行试验。</w:t>
      </w:r>
    </w:p>
    <w:p w14:paraId="2DB40ED9">
      <w:pPr>
        <w:pStyle w:val="5"/>
        <w:spacing w:before="0" w:after="0" w:line="360" w:lineRule="auto"/>
        <w:rPr>
          <w:rFonts w:ascii="宋体" w:hAnsi="宋体" w:eastAsia="宋体" w:cs="黑体"/>
          <w:color w:val="auto"/>
          <w:kern w:val="0"/>
          <w:sz w:val="21"/>
          <w:szCs w:val="28"/>
          <w:highlight w:val="none"/>
        </w:rPr>
      </w:pPr>
      <w:bookmarkStart w:id="1752" w:name="_Toc57495044"/>
      <w:bookmarkStart w:id="1753" w:name="_Toc26275522"/>
      <w:bookmarkStart w:id="1754" w:name="_Toc25929"/>
      <w:bookmarkStart w:id="1755" w:name="_Toc534201625"/>
      <w:bookmarkStart w:id="1756" w:name="_Toc5599"/>
      <w:r>
        <w:rPr>
          <w:rFonts w:ascii="宋体" w:hAnsi="宋体" w:eastAsia="宋体" w:cs="黑体"/>
          <w:color w:val="auto"/>
          <w:kern w:val="0"/>
          <w:sz w:val="21"/>
          <w:szCs w:val="28"/>
          <w:highlight w:val="none"/>
        </w:rPr>
        <w:t>7. 技术服务</w:t>
      </w:r>
      <w:bookmarkEnd w:id="1752"/>
      <w:bookmarkEnd w:id="1753"/>
      <w:bookmarkEnd w:id="1754"/>
      <w:bookmarkEnd w:id="1755"/>
      <w:bookmarkEnd w:id="1756"/>
    </w:p>
    <w:p w14:paraId="02BBF0B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7.1.2 当装置出现异常、设备缺陷、元件损坏或不正确动作， 现场无法处理，买方要求卖方进行现场服务的情况，卖方应在接到买方通知的2小时内给予答复，并在24小时内到达现场，在5个工作日内提交解决方案。</w:t>
      </w:r>
    </w:p>
    <w:p w14:paraId="1C9F7B7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7.1.6 </w:t>
      </w:r>
    </w:p>
    <w:p w14:paraId="29994C3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卖方须设立24小时售服热线电话，提供合同货物的使用寿命周期内终身技术支持，做到买方提出问题后，2小时内作出应答和技术指导。</w:t>
      </w:r>
    </w:p>
    <w:p w14:paraId="736FA2F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对于紧急技术支持，买方可要求卖方采用远程拨号诊断的方式进行。</w:t>
      </w:r>
    </w:p>
    <w:p w14:paraId="3BCE69F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w:t>
      </w:r>
      <w:r>
        <w:rPr>
          <w:rFonts w:ascii="宋体" w:hAnsi="宋体" w:eastAsia="宋体" w:cs="黑体"/>
          <w:color w:val="auto"/>
          <w:kern w:val="0"/>
          <w:szCs w:val="21"/>
          <w:highlight w:val="none"/>
        </w:rPr>
        <w:t>质量保证期内，因软件功能本身因素导致需要相关的维护、升级，由卖方负责协调处理，费用由卖方负责。</w:t>
      </w:r>
    </w:p>
    <w:p w14:paraId="33C3711B">
      <w:pPr>
        <w:pStyle w:val="5"/>
        <w:spacing w:before="0" w:after="0" w:line="360" w:lineRule="auto"/>
        <w:rPr>
          <w:rFonts w:ascii="宋体" w:hAnsi="宋体" w:eastAsia="宋体" w:cs="黑体"/>
          <w:color w:val="auto"/>
          <w:kern w:val="0"/>
          <w:sz w:val="21"/>
          <w:szCs w:val="28"/>
          <w:highlight w:val="none"/>
        </w:rPr>
      </w:pPr>
      <w:bookmarkStart w:id="1757" w:name="_Toc26275523"/>
      <w:bookmarkStart w:id="1758" w:name="_Toc534201626"/>
      <w:bookmarkStart w:id="1759" w:name="_Toc26965"/>
      <w:bookmarkStart w:id="1760" w:name="_Toc6333"/>
      <w:bookmarkStart w:id="1761" w:name="_Toc57495045"/>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757"/>
      <w:bookmarkEnd w:id="1758"/>
      <w:bookmarkEnd w:id="1759"/>
      <w:bookmarkEnd w:id="1760"/>
      <w:bookmarkEnd w:id="1761"/>
    </w:p>
    <w:p w14:paraId="2CD238C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2B683C5B">
      <w:pPr>
        <w:pStyle w:val="5"/>
        <w:spacing w:before="0" w:after="0" w:line="360" w:lineRule="auto"/>
        <w:rPr>
          <w:rFonts w:ascii="宋体" w:hAnsi="宋体" w:eastAsia="宋体" w:cs="黑体"/>
          <w:color w:val="auto"/>
          <w:kern w:val="0"/>
          <w:sz w:val="21"/>
          <w:szCs w:val="28"/>
          <w:highlight w:val="none"/>
        </w:rPr>
      </w:pPr>
      <w:bookmarkStart w:id="1762" w:name="_Toc8276"/>
      <w:bookmarkStart w:id="1763" w:name="_Toc57495046"/>
      <w:bookmarkStart w:id="1764" w:name="_Toc534201627"/>
      <w:bookmarkStart w:id="1765" w:name="_Toc26275524"/>
      <w:bookmarkStart w:id="1766" w:name="_Toc18266"/>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762"/>
      <w:bookmarkEnd w:id="1763"/>
      <w:bookmarkEnd w:id="1764"/>
      <w:bookmarkEnd w:id="1765"/>
      <w:bookmarkEnd w:id="1766"/>
    </w:p>
    <w:p w14:paraId="483CB2E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卖方承诺合同设备的使用寿命满足以下标准：</w:t>
      </w:r>
    </w:p>
    <w:p w14:paraId="591F156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1）系统功能不少于12年。</w:t>
      </w:r>
    </w:p>
    <w:p w14:paraId="49F37E9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2）其中包含的服务器和工作站不少于6年。</w:t>
      </w:r>
    </w:p>
    <w:p w14:paraId="26F8154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11.6.2 软件功能在设备寿命期内应保证系统技术支持，保证软件功能消缺、升级所需技术保障。</w:t>
      </w:r>
    </w:p>
    <w:p w14:paraId="6FA7A59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 卖方应保证供货的硬件装置类设备（如通道板卡、通道箱、语音告警装置等自产或外购的硬件装置类设备）正式投运后6年内不停产。硬件设备如其它原因停产，应至少提前2年将产品的停产信息及替换方案书面告知买方，且保证有同类型或不低于原型号的备件供应，更换后设备不影响系统正常运行，包括但不限于系统的功能、性能以及与原设备的兼容性等。卖方将以不高于本项目合同的价格提供同类型或不低于原型号的备件。</w:t>
      </w:r>
    </w:p>
    <w:p w14:paraId="32A4F972">
      <w:pPr>
        <w:pStyle w:val="5"/>
        <w:spacing w:before="0" w:after="0" w:line="360" w:lineRule="auto"/>
        <w:rPr>
          <w:rFonts w:ascii="宋体" w:hAnsi="宋体" w:eastAsia="宋体" w:cs="黑体"/>
          <w:color w:val="auto"/>
          <w:kern w:val="0"/>
          <w:sz w:val="21"/>
          <w:szCs w:val="28"/>
          <w:highlight w:val="none"/>
        </w:rPr>
      </w:pPr>
      <w:bookmarkStart w:id="1767" w:name="_Toc6385"/>
      <w:bookmarkStart w:id="1768" w:name="_Toc6524"/>
      <w:bookmarkStart w:id="1769" w:name="_Toc57495047"/>
      <w:bookmarkStart w:id="1770" w:name="_Toc26275525"/>
      <w:bookmarkStart w:id="1771" w:name="_Toc534201628"/>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767"/>
      <w:bookmarkEnd w:id="1768"/>
      <w:bookmarkEnd w:id="1769"/>
      <w:bookmarkEnd w:id="1770"/>
      <w:bookmarkEnd w:id="1771"/>
    </w:p>
    <w:p w14:paraId="54F5E432">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3BE2F07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 </w:t>
      </w:r>
      <w:r>
        <w:rPr>
          <w:rFonts w:hint="eastAsia" w:ascii="宋体" w:hAnsi="宋体" w:eastAsia="宋体" w:cs="Times New Roman"/>
          <w:color w:val="auto"/>
          <w:kern w:val="0"/>
          <w:szCs w:val="21"/>
          <w:highlight w:val="none"/>
        </w:rPr>
        <w:t xml:space="preserve">采取补救措施 </w:t>
      </w:r>
    </w:p>
    <w:p w14:paraId="47776E5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 质量保证期内，需要保修的故障部/配件将由卖方根据缺陷级别及时更换（紧急缺陷24小时，重大缺陷72小时），卖方所提供部件必须按原厂型号配置，不得购买除原厂外的第三方部/配件。</w:t>
      </w:r>
    </w:p>
    <w:p w14:paraId="20FE6009">
      <w:pPr>
        <w:pStyle w:val="5"/>
        <w:spacing w:before="0" w:after="0" w:line="360" w:lineRule="auto"/>
        <w:rPr>
          <w:rFonts w:ascii="宋体" w:hAnsi="宋体" w:eastAsia="宋体" w:cs="黑体"/>
          <w:color w:val="auto"/>
          <w:kern w:val="0"/>
          <w:sz w:val="21"/>
          <w:szCs w:val="28"/>
          <w:highlight w:val="none"/>
        </w:rPr>
      </w:pPr>
      <w:bookmarkStart w:id="1772" w:name="_Toc7800"/>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723"/>
      <w:bookmarkEnd w:id="1724"/>
      <w:bookmarkEnd w:id="1725"/>
      <w:bookmarkEnd w:id="1726"/>
      <w:bookmarkEnd w:id="1772"/>
    </w:p>
    <w:p w14:paraId="6A128D8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如招标文件有明确要求，则以招标文件为准。</w:t>
      </w:r>
    </w:p>
    <w:p w14:paraId="0898E562">
      <w:pPr>
        <w:pStyle w:val="5"/>
        <w:spacing w:before="0" w:after="0" w:line="360" w:lineRule="auto"/>
        <w:rPr>
          <w:rFonts w:ascii="宋体" w:hAnsi="宋体" w:eastAsia="宋体" w:cs="黑体"/>
          <w:color w:val="auto"/>
          <w:kern w:val="0"/>
          <w:sz w:val="21"/>
          <w:szCs w:val="28"/>
          <w:highlight w:val="none"/>
        </w:rPr>
      </w:pPr>
      <w:bookmarkStart w:id="1773" w:name="_Toc7564"/>
      <w:bookmarkStart w:id="1774" w:name="_Toc6054"/>
      <w:bookmarkStart w:id="1775" w:name="_Toc26275515"/>
      <w:bookmarkStart w:id="1776" w:name="_Toc534201618"/>
      <w:bookmarkStart w:id="1777" w:name="_Toc57495037"/>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773"/>
      <w:bookmarkEnd w:id="1774"/>
      <w:bookmarkEnd w:id="1775"/>
      <w:bookmarkEnd w:id="1776"/>
      <w:bookmarkEnd w:id="1777"/>
    </w:p>
    <w:p w14:paraId="1F20763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1AD0CC3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 </w:t>
      </w:r>
      <w:r>
        <w:rPr>
          <w:rFonts w:hint="eastAsia" w:ascii="宋体" w:hAnsi="宋体" w:eastAsia="宋体" w:cs="Times New Roman"/>
          <w:color w:val="auto"/>
          <w:kern w:val="0"/>
          <w:szCs w:val="21"/>
          <w:highlight w:val="none"/>
        </w:rPr>
        <w:t xml:space="preserve">采取补救措施 </w:t>
      </w:r>
    </w:p>
    <w:p w14:paraId="54EDCB0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189A39C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1）卖方应支付货物价格10%的违约金。</w:t>
      </w:r>
    </w:p>
    <w:p w14:paraId="62DC55AD">
      <w:pPr>
        <w:pStyle w:val="4"/>
        <w:jc w:val="center"/>
        <w:rPr>
          <w:rFonts w:ascii="宋体" w:hAnsi="宋体" w:eastAsia="宋体" w:cs="Times New Roman"/>
          <w:color w:val="auto"/>
          <w:kern w:val="0"/>
          <w:sz w:val="28"/>
          <w:highlight w:val="none"/>
        </w:rPr>
      </w:pPr>
      <w:bookmarkStart w:id="1778" w:name="_Toc13733"/>
      <w:bookmarkStart w:id="1779" w:name="_Toc57495048"/>
      <w:bookmarkStart w:id="1780" w:name="_Toc290"/>
      <w:r>
        <w:rPr>
          <w:rFonts w:hint="eastAsia" w:ascii="宋体" w:hAnsi="宋体" w:eastAsia="宋体" w:cs="Times New Roman"/>
          <w:color w:val="auto"/>
          <w:kern w:val="0"/>
          <w:sz w:val="28"/>
          <w:highlight w:val="none"/>
        </w:rPr>
        <w:t>（四十四）计算机设备</w:t>
      </w:r>
      <w:bookmarkEnd w:id="1778"/>
      <w:bookmarkEnd w:id="1779"/>
      <w:bookmarkEnd w:id="1780"/>
    </w:p>
    <w:p w14:paraId="2EA8EEEC">
      <w:pPr>
        <w:pStyle w:val="5"/>
        <w:spacing w:before="0" w:after="0" w:line="360" w:lineRule="auto"/>
        <w:rPr>
          <w:rFonts w:ascii="宋体" w:hAnsi="宋体" w:eastAsia="宋体" w:cs="黑体"/>
          <w:color w:val="auto"/>
          <w:kern w:val="0"/>
          <w:sz w:val="21"/>
          <w:szCs w:val="28"/>
          <w:highlight w:val="none"/>
        </w:rPr>
      </w:pPr>
      <w:bookmarkStart w:id="1781" w:name="_Toc4579"/>
      <w:bookmarkStart w:id="1782" w:name="_Toc534201630"/>
      <w:bookmarkStart w:id="1783" w:name="_Toc26275527"/>
      <w:bookmarkStart w:id="1784" w:name="_Toc12045"/>
      <w:bookmarkStart w:id="1785" w:name="_Toc57495049"/>
      <w:r>
        <w:rPr>
          <w:rFonts w:ascii="宋体" w:hAnsi="宋体" w:eastAsia="宋体" w:cs="黑体"/>
          <w:color w:val="auto"/>
          <w:kern w:val="0"/>
          <w:sz w:val="21"/>
          <w:szCs w:val="28"/>
          <w:highlight w:val="none"/>
        </w:rPr>
        <w:t>1. 一般约定</w:t>
      </w:r>
      <w:bookmarkEnd w:id="1781"/>
      <w:bookmarkEnd w:id="1782"/>
      <w:bookmarkEnd w:id="1783"/>
      <w:bookmarkEnd w:id="1784"/>
      <w:bookmarkEnd w:id="1785"/>
    </w:p>
    <w:p w14:paraId="26DFB06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 合同的生效及变更</w:t>
      </w:r>
    </w:p>
    <w:p w14:paraId="59879FE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1.4.2.3 如买方需变更交货时间，应提前30日（含本数）采用传真或函件等方式通知卖方。</w:t>
      </w:r>
    </w:p>
    <w:p w14:paraId="57C88A9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1.4.2.7 买方有权在交货期15天前（含本数）以书面通知方式要求卖方变更运输方式、包装方式、交货地点及卖方需提供的服务，卖方应当执行买方的变更要求。</w:t>
      </w:r>
    </w:p>
    <w:p w14:paraId="6FE97D0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1.4.2.8 在合同执行过程中，若因国家计划调整引起本合同无法正常执行时，任何一方均可以向对方提出暂停执行合同或修改合同有关条款的建议，与之有关的事宜双方协商处理。</w:t>
      </w:r>
    </w:p>
    <w:p w14:paraId="73DF58F9">
      <w:pPr>
        <w:pStyle w:val="5"/>
        <w:spacing w:before="0" w:after="0" w:line="360" w:lineRule="auto"/>
        <w:rPr>
          <w:rFonts w:ascii="宋体" w:hAnsi="宋体" w:eastAsia="宋体" w:cs="黑体"/>
          <w:color w:val="auto"/>
          <w:kern w:val="0"/>
          <w:sz w:val="21"/>
          <w:szCs w:val="28"/>
          <w:highlight w:val="none"/>
        </w:rPr>
      </w:pPr>
      <w:bookmarkStart w:id="1786" w:name="_Toc1361"/>
      <w:bookmarkStart w:id="1787" w:name="_Toc57495050"/>
      <w:bookmarkStart w:id="1788" w:name="_Toc534201631"/>
      <w:bookmarkStart w:id="1789" w:name="_Toc14509"/>
      <w:bookmarkStart w:id="1790" w:name="_Toc26275528"/>
      <w:r>
        <w:rPr>
          <w:rFonts w:ascii="宋体" w:hAnsi="宋体" w:eastAsia="宋体" w:cs="黑体"/>
          <w:color w:val="auto"/>
          <w:kern w:val="0"/>
          <w:sz w:val="21"/>
          <w:szCs w:val="28"/>
          <w:highlight w:val="none"/>
        </w:rPr>
        <w:t>3. 合同价格与支付</w:t>
      </w:r>
      <w:bookmarkEnd w:id="1786"/>
      <w:bookmarkEnd w:id="1787"/>
      <w:bookmarkEnd w:id="1788"/>
      <w:bookmarkEnd w:id="1789"/>
      <w:bookmarkEnd w:id="1790"/>
    </w:p>
    <w:p w14:paraId="760899C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3DC19A3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w:t>
      </w:r>
      <w:r>
        <w:rPr>
          <w:rFonts w:hint="eastAsia" w:ascii="宋体" w:hAnsi="宋体" w:eastAsia="宋体" w:cs="黑体"/>
          <w:color w:val="auto"/>
          <w:kern w:val="0"/>
          <w:szCs w:val="21"/>
          <w:highlight w:val="none"/>
        </w:rPr>
        <w:t>:0:</w:t>
      </w:r>
      <w:r>
        <w:rPr>
          <w:rFonts w:hint="eastAsia" w:ascii="宋体" w:hAnsi="宋体" w:eastAsia="宋体" w:cs="黑体"/>
          <w:color w:val="auto"/>
          <w:kern w:val="0"/>
          <w:szCs w:val="21"/>
          <w:highlight w:val="none"/>
          <w:lang w:val="en-US" w:eastAsia="zh-CN"/>
        </w:rPr>
        <w:t>8.5</w:t>
      </w:r>
      <w:r>
        <w:rPr>
          <w:rFonts w:hint="eastAsia"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79B66844">
      <w:pPr>
        <w:pStyle w:val="5"/>
        <w:spacing w:before="0" w:after="0" w:line="360" w:lineRule="auto"/>
        <w:rPr>
          <w:rFonts w:ascii="宋体" w:hAnsi="宋体" w:eastAsia="宋体" w:cs="黑体"/>
          <w:color w:val="auto"/>
          <w:kern w:val="0"/>
          <w:sz w:val="21"/>
          <w:szCs w:val="28"/>
          <w:highlight w:val="none"/>
        </w:rPr>
      </w:pPr>
      <w:bookmarkStart w:id="1791" w:name="_Toc29922"/>
      <w:bookmarkStart w:id="1792" w:name="_Toc18799"/>
      <w:bookmarkStart w:id="1793" w:name="_Toc534201632"/>
      <w:bookmarkStart w:id="1794" w:name="_Toc26275529"/>
      <w:bookmarkStart w:id="1795" w:name="_Toc57495051"/>
      <w:r>
        <w:rPr>
          <w:rFonts w:ascii="宋体" w:hAnsi="宋体" w:eastAsia="宋体" w:cs="黑体"/>
          <w:color w:val="auto"/>
          <w:kern w:val="0"/>
          <w:sz w:val="21"/>
          <w:szCs w:val="28"/>
          <w:highlight w:val="none"/>
        </w:rPr>
        <w:t>4. 监造及交货前检验</w:t>
      </w:r>
      <w:bookmarkEnd w:id="1791"/>
      <w:bookmarkEnd w:id="1792"/>
      <w:bookmarkEnd w:id="1793"/>
      <w:bookmarkEnd w:id="1794"/>
      <w:bookmarkEnd w:id="1795"/>
    </w:p>
    <w:p w14:paraId="661251F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76596C0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买方不对合同设备进行监造，相关条款不适用。</w:t>
      </w:r>
    </w:p>
    <w:p w14:paraId="59966FE4">
      <w:pPr>
        <w:pStyle w:val="5"/>
        <w:spacing w:before="0" w:after="0" w:line="360" w:lineRule="auto"/>
        <w:rPr>
          <w:rFonts w:ascii="宋体" w:hAnsi="宋体" w:eastAsia="宋体" w:cs="黑体"/>
          <w:color w:val="auto"/>
          <w:kern w:val="0"/>
          <w:sz w:val="21"/>
          <w:szCs w:val="28"/>
          <w:highlight w:val="none"/>
        </w:rPr>
      </w:pPr>
      <w:bookmarkStart w:id="1796" w:name="_Toc534201633"/>
      <w:bookmarkStart w:id="1797" w:name="_Toc26275530"/>
      <w:bookmarkStart w:id="1798" w:name="_Toc22481"/>
      <w:bookmarkStart w:id="1799" w:name="_Toc57495052"/>
      <w:bookmarkStart w:id="1800" w:name="_Toc8371"/>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796"/>
      <w:bookmarkEnd w:id="1797"/>
      <w:bookmarkEnd w:id="1798"/>
      <w:bookmarkEnd w:id="1799"/>
      <w:bookmarkEnd w:id="1800"/>
    </w:p>
    <w:p w14:paraId="69E9186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5.2 </w:t>
      </w:r>
      <w:r>
        <w:rPr>
          <w:rFonts w:hint="eastAsia" w:ascii="宋体" w:hAnsi="宋体" w:eastAsia="宋体" w:cs="黑体"/>
          <w:color w:val="auto"/>
          <w:kern w:val="0"/>
          <w:szCs w:val="21"/>
          <w:highlight w:val="none"/>
        </w:rPr>
        <w:t>标记</w:t>
      </w:r>
    </w:p>
    <w:p w14:paraId="0D26188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5.2.7 卖方应按照买方机房标签规范完成服务器标签及跳线标签的制作。</w:t>
      </w:r>
    </w:p>
    <w:p w14:paraId="2E56626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5.4 </w:t>
      </w:r>
      <w:r>
        <w:rPr>
          <w:rFonts w:hint="eastAsia" w:ascii="宋体" w:hAnsi="宋体" w:eastAsia="宋体" w:cs="黑体"/>
          <w:color w:val="auto"/>
          <w:kern w:val="0"/>
          <w:szCs w:val="21"/>
          <w:highlight w:val="none"/>
        </w:rPr>
        <w:t>交付</w:t>
      </w:r>
    </w:p>
    <w:p w14:paraId="1BE7B86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卖方在交货时应提供合同设备及部件的制造厂签发的产品质量合格证和出厂试验报告，作为交货时的质量证明文件。</w:t>
      </w:r>
    </w:p>
    <w:p w14:paraId="44F530A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5.4.4.1 卖方所办理的合同货物从出厂至指定的交货地点运输途中的保险的险种为合同货物价值110％的“一切险”，保险费由卖方承担。</w:t>
      </w:r>
    </w:p>
    <w:p w14:paraId="0DA0F71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5.4.4.2 在运输中如非卖方包装原因发生货物损坏和丢失时，买方及时提供到货站出具的用于索赔的商务证明，由卖方负责与承运部门及保险公司交涉，买方协助卖方尽快处理，同时卖方应尽快向买方补供货物以满足工期需要。</w:t>
      </w:r>
    </w:p>
    <w:p w14:paraId="70021F4D">
      <w:pPr>
        <w:pStyle w:val="5"/>
        <w:spacing w:before="0" w:after="0" w:line="360" w:lineRule="auto"/>
        <w:rPr>
          <w:rFonts w:ascii="宋体" w:hAnsi="宋体" w:eastAsia="宋体" w:cs="黑体"/>
          <w:color w:val="auto"/>
          <w:kern w:val="0"/>
          <w:sz w:val="21"/>
          <w:szCs w:val="28"/>
          <w:highlight w:val="none"/>
        </w:rPr>
      </w:pPr>
      <w:bookmarkStart w:id="1801" w:name="_Toc57495053"/>
      <w:bookmarkStart w:id="1802" w:name="_Toc1784"/>
      <w:bookmarkStart w:id="1803" w:name="_Toc11406"/>
      <w:bookmarkStart w:id="1804" w:name="_Toc26275531"/>
      <w:bookmarkStart w:id="1805" w:name="_Toc534201634"/>
      <w:r>
        <w:rPr>
          <w:rFonts w:ascii="宋体" w:hAnsi="宋体" w:eastAsia="宋体" w:cs="黑体"/>
          <w:color w:val="auto"/>
          <w:kern w:val="0"/>
          <w:sz w:val="21"/>
          <w:szCs w:val="28"/>
          <w:highlight w:val="none"/>
        </w:rPr>
        <w:t xml:space="preserve">6. </w:t>
      </w:r>
      <w:r>
        <w:rPr>
          <w:rFonts w:hint="eastAsia" w:ascii="宋体" w:hAnsi="宋体" w:eastAsia="宋体" w:cs="黑体"/>
          <w:color w:val="auto"/>
          <w:kern w:val="0"/>
          <w:sz w:val="21"/>
          <w:szCs w:val="28"/>
          <w:highlight w:val="none"/>
        </w:rPr>
        <w:t>开箱检验、安装、调试、考核、验收</w:t>
      </w:r>
      <w:bookmarkEnd w:id="1801"/>
      <w:bookmarkEnd w:id="1802"/>
      <w:bookmarkEnd w:id="1803"/>
      <w:bookmarkEnd w:id="1804"/>
      <w:bookmarkEnd w:id="1805"/>
    </w:p>
    <w:p w14:paraId="4111E2E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0DD0D8B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6.2.1.1 卖方应提供服务器、交换机等设备接入网络和存储的跳线及综合布线相关线材及布线工作。</w:t>
      </w:r>
      <w:r>
        <w:rPr>
          <w:rFonts w:hint="eastAsia" w:ascii="宋体" w:hAnsi="宋体" w:eastAsia="宋体" w:cs="黑体"/>
          <w:color w:val="auto"/>
          <w:kern w:val="0"/>
          <w:szCs w:val="21"/>
          <w:highlight w:val="none"/>
        </w:rPr>
        <w:t>合同设备的安装和调试（试运行）的其他要求按照技术协议书执行。</w:t>
      </w:r>
    </w:p>
    <w:p w14:paraId="7A07EB4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6.3 </w:t>
      </w:r>
      <w:r>
        <w:rPr>
          <w:rFonts w:hint="eastAsia" w:ascii="宋体" w:hAnsi="宋体" w:eastAsia="宋体" w:cs="黑体"/>
          <w:color w:val="auto"/>
          <w:kern w:val="0"/>
          <w:szCs w:val="21"/>
          <w:highlight w:val="none"/>
        </w:rPr>
        <w:t>考核</w:t>
      </w:r>
    </w:p>
    <w:p w14:paraId="71AC4F4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6.3.1 合同设备的性能试验的其他要求按照技术协议书执行。</w:t>
      </w:r>
    </w:p>
    <w:p w14:paraId="4CDF45E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6</w:t>
      </w:r>
      <w:r>
        <w:rPr>
          <w:rFonts w:ascii="宋体" w:hAnsi="宋体" w:eastAsia="宋体" w:cs="黑体"/>
          <w:color w:val="auto"/>
          <w:kern w:val="0"/>
          <w:szCs w:val="21"/>
          <w:highlight w:val="none"/>
        </w:rPr>
        <w:t xml:space="preserve">.4 </w:t>
      </w:r>
      <w:r>
        <w:rPr>
          <w:rFonts w:hint="eastAsia" w:ascii="宋体" w:hAnsi="宋体" w:eastAsia="宋体" w:cs="黑体"/>
          <w:color w:val="auto"/>
          <w:kern w:val="0"/>
          <w:szCs w:val="21"/>
          <w:highlight w:val="none"/>
        </w:rPr>
        <w:t>验收</w:t>
      </w:r>
    </w:p>
    <w:p w14:paraId="48862A9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6.4.1 完成安装、调试和性能试验且试运行合格后，买卖双方应签署合同设备的最终验收证明书。该证明书共两份正本，双方各执一份。</w:t>
      </w:r>
    </w:p>
    <w:p w14:paraId="2963DADC">
      <w:pPr>
        <w:pStyle w:val="5"/>
        <w:spacing w:before="0" w:after="0" w:line="360" w:lineRule="auto"/>
        <w:rPr>
          <w:rFonts w:ascii="宋体" w:hAnsi="宋体" w:eastAsia="宋体" w:cs="黑体"/>
          <w:color w:val="auto"/>
          <w:kern w:val="0"/>
          <w:sz w:val="21"/>
          <w:szCs w:val="28"/>
          <w:highlight w:val="none"/>
        </w:rPr>
      </w:pPr>
      <w:bookmarkStart w:id="1806" w:name="_Toc26275532"/>
      <w:bookmarkStart w:id="1807" w:name="_Toc57495054"/>
      <w:bookmarkStart w:id="1808" w:name="_Toc534201635"/>
      <w:bookmarkStart w:id="1809" w:name="_Toc15976"/>
      <w:bookmarkStart w:id="1810" w:name="_Toc13799"/>
      <w:r>
        <w:rPr>
          <w:rFonts w:ascii="宋体" w:hAnsi="宋体" w:eastAsia="宋体" w:cs="黑体"/>
          <w:color w:val="auto"/>
          <w:kern w:val="0"/>
          <w:sz w:val="21"/>
          <w:szCs w:val="28"/>
          <w:highlight w:val="none"/>
        </w:rPr>
        <w:t>7. 技术服务</w:t>
      </w:r>
      <w:bookmarkEnd w:id="1806"/>
      <w:bookmarkEnd w:id="1807"/>
      <w:bookmarkEnd w:id="1808"/>
      <w:bookmarkEnd w:id="1809"/>
      <w:bookmarkEnd w:id="1810"/>
    </w:p>
    <w:p w14:paraId="35D50D6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7.1.5 </w:t>
      </w:r>
      <w:r>
        <w:rPr>
          <w:rFonts w:hint="eastAsia" w:ascii="宋体" w:hAnsi="宋体" w:eastAsia="宋体" w:cs="黑体"/>
          <w:color w:val="auto"/>
          <w:kern w:val="0"/>
          <w:szCs w:val="21"/>
          <w:highlight w:val="none"/>
        </w:rPr>
        <w:t>卖方提供的技术培训/技术指导应满足以下要求：</w:t>
      </w:r>
    </w:p>
    <w:p w14:paraId="6AEA12F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卖方负责为买方提供有关合同设备安装、调试、使用、维护技术的技术指导，指派熟练称职的技术人员对买方指定的技术人员进行技术指导。</w:t>
      </w:r>
    </w:p>
    <w:p w14:paraId="06CC4BD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w:t>
      </w:r>
      <w:r>
        <w:rPr>
          <w:rFonts w:ascii="宋体" w:hAnsi="宋体" w:eastAsia="宋体" w:cs="黑体"/>
          <w:color w:val="auto"/>
          <w:kern w:val="0"/>
          <w:szCs w:val="21"/>
          <w:highlight w:val="none"/>
        </w:rPr>
        <w:t>卖方指派的技术人员的资质要求：具有5年以上相关专业工作经验和类似项目实施经验，熟练掌握设备结构性能、系统功能、操作程序、维修方法等技术。</w:t>
      </w:r>
    </w:p>
    <w:p w14:paraId="6A607A9F">
      <w:pPr>
        <w:pStyle w:val="2"/>
        <w:rPr>
          <w:rFonts w:ascii="宋体" w:hAnsi="宋体" w:eastAsia="宋体" w:cs="黑体"/>
          <w:color w:val="auto"/>
          <w:kern w:val="0"/>
          <w:szCs w:val="21"/>
          <w:highlight w:val="none"/>
        </w:rPr>
      </w:pPr>
      <w:r>
        <w:rPr>
          <w:rFonts w:ascii="宋体" w:hAnsi="宋体" w:eastAsia="宋体" w:cs="黑体"/>
          <w:color w:val="auto"/>
          <w:kern w:val="0"/>
          <w:szCs w:val="21"/>
          <w:highlight w:val="none"/>
        </w:rPr>
        <w:t>7.1.6 质保期内卖方及设备制造厂商必须提供合同货物至少每半年1次的深度巡检，特殊保供电（两会、党代会等）及重要节假日（元旦、国庆、中秋、春节等）时期的节前特巡及节中保障服务，提交巡检报告并处理发现的隐患、故障及风险。</w:t>
      </w:r>
    </w:p>
    <w:p w14:paraId="0D707D75">
      <w:pPr>
        <w:pStyle w:val="2"/>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 xml:space="preserve">7.6 卖方在设备运行之日起至质保期结束期间，须及时响应和解决设备故障单，要求如下： </w:t>
      </w:r>
    </w:p>
    <w:p w14:paraId="22B1BE9E">
      <w:pPr>
        <w:pStyle w:val="2"/>
        <w:rPr>
          <w:rFonts w:hint="eastAsia" w:ascii="宋体" w:hAnsi="宋体" w:eastAsia="宋体" w:cs="黑体"/>
          <w:color w:val="auto"/>
          <w:kern w:val="0"/>
          <w:szCs w:val="21"/>
          <w:highlight w:val="none"/>
        </w:rPr>
      </w:pPr>
      <w:r>
        <w:rPr>
          <w:rFonts w:hint="eastAsia" w:ascii="宋体" w:hAnsi="宋体" w:cs="黑体"/>
          <w:color w:val="auto"/>
          <w:kern w:val="0"/>
          <w:szCs w:val="21"/>
          <w:highlight w:val="none"/>
          <w:lang w:val="en-US" w:eastAsia="zh-CN"/>
        </w:rPr>
        <w:t>(</w:t>
      </w:r>
      <w:r>
        <w:rPr>
          <w:rFonts w:hint="eastAsia" w:ascii="宋体" w:hAnsi="宋体" w:eastAsia="宋体" w:cs="黑体"/>
          <w:color w:val="auto"/>
          <w:kern w:val="0"/>
          <w:szCs w:val="21"/>
          <w:highlight w:val="none"/>
        </w:rPr>
        <w:t>1)紧急事件，卖方应在10分钟内响应，4小时之内解决问题。</w:t>
      </w:r>
    </w:p>
    <w:p w14:paraId="0F70AC6F">
      <w:pPr>
        <w:pStyle w:val="2"/>
        <w:rPr>
          <w:rFonts w:hint="eastAsia" w:ascii="宋体" w:hAnsi="宋体" w:eastAsia="宋体" w:cs="黑体"/>
          <w:color w:val="auto"/>
          <w:kern w:val="0"/>
          <w:szCs w:val="21"/>
          <w:highlight w:val="none"/>
        </w:rPr>
      </w:pPr>
      <w:r>
        <w:rPr>
          <w:rFonts w:hint="eastAsia" w:ascii="宋体" w:hAnsi="宋体" w:cs="黑体"/>
          <w:color w:val="auto"/>
          <w:kern w:val="0"/>
          <w:szCs w:val="21"/>
          <w:highlight w:val="none"/>
          <w:lang w:val="en-US" w:eastAsia="zh-CN"/>
        </w:rPr>
        <w:t>(</w:t>
      </w:r>
      <w:r>
        <w:rPr>
          <w:rFonts w:hint="eastAsia" w:ascii="宋体" w:hAnsi="宋体" w:eastAsia="宋体" w:cs="黑体"/>
          <w:color w:val="auto"/>
          <w:kern w:val="0"/>
          <w:szCs w:val="21"/>
          <w:highlight w:val="none"/>
        </w:rPr>
        <w:t>2)高优先级事件，卖方应在20分钟内响应，8小时之内解决问题。</w:t>
      </w:r>
    </w:p>
    <w:p w14:paraId="48783516">
      <w:pPr>
        <w:pStyle w:val="2"/>
        <w:rPr>
          <w:rFonts w:hint="eastAsia" w:ascii="宋体" w:hAnsi="宋体" w:eastAsia="宋体" w:cs="黑体"/>
          <w:color w:val="auto"/>
          <w:kern w:val="0"/>
          <w:szCs w:val="21"/>
          <w:highlight w:val="none"/>
        </w:rPr>
      </w:pPr>
      <w:r>
        <w:rPr>
          <w:rFonts w:hint="eastAsia" w:ascii="宋体" w:hAnsi="宋体" w:cs="黑体"/>
          <w:color w:val="auto"/>
          <w:kern w:val="0"/>
          <w:szCs w:val="21"/>
          <w:highlight w:val="none"/>
          <w:lang w:val="en-US" w:eastAsia="zh-CN"/>
        </w:rPr>
        <w:t>(</w:t>
      </w:r>
      <w:r>
        <w:rPr>
          <w:rFonts w:hint="eastAsia" w:ascii="宋体" w:hAnsi="宋体" w:eastAsia="宋体" w:cs="黑体"/>
          <w:color w:val="auto"/>
          <w:kern w:val="0"/>
          <w:szCs w:val="21"/>
          <w:highlight w:val="none"/>
        </w:rPr>
        <w:t>3)中优先级事件，卖方应在30分钟内响应，48小时之内解决问题。</w:t>
      </w:r>
    </w:p>
    <w:p w14:paraId="07920B4F">
      <w:pPr>
        <w:pStyle w:val="2"/>
        <w:rPr>
          <w:rFonts w:hint="eastAsia" w:ascii="宋体" w:hAnsi="宋体" w:eastAsia="宋体" w:cs="黑体"/>
          <w:color w:val="auto"/>
          <w:kern w:val="0"/>
          <w:szCs w:val="21"/>
          <w:highlight w:val="none"/>
        </w:rPr>
      </w:pPr>
      <w:r>
        <w:rPr>
          <w:rFonts w:hint="eastAsia" w:ascii="宋体" w:hAnsi="宋体" w:cs="黑体"/>
          <w:color w:val="auto"/>
          <w:kern w:val="0"/>
          <w:szCs w:val="21"/>
          <w:highlight w:val="none"/>
          <w:lang w:val="en-US" w:eastAsia="zh-CN"/>
        </w:rPr>
        <w:t>(</w:t>
      </w:r>
      <w:r>
        <w:rPr>
          <w:rFonts w:hint="eastAsia" w:ascii="宋体" w:hAnsi="宋体" w:eastAsia="宋体" w:cs="黑体"/>
          <w:color w:val="auto"/>
          <w:kern w:val="0"/>
          <w:szCs w:val="21"/>
          <w:highlight w:val="none"/>
        </w:rPr>
        <w:t>4)低优先级事件，卖方应在30分钟内响应，72小时之内解决问题。</w:t>
      </w:r>
    </w:p>
    <w:p w14:paraId="6FD6BB5A">
      <w:pPr>
        <w:pStyle w:val="2"/>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由于卖方产品故障或者缺陷造成根据《中国南方电网有限责任公司信息安全事件管理办法》认定四级及以上信息安全事件的，每发生一起扣除合同总额10%违约金，还应赔偿买方因此造成的损失，并按买方要求免费修复或更换，承担因此发生的所有费用。</w:t>
      </w:r>
    </w:p>
    <w:p w14:paraId="6D4A0355">
      <w:pPr>
        <w:pStyle w:val="5"/>
        <w:spacing w:before="0" w:after="0" w:line="360" w:lineRule="auto"/>
        <w:rPr>
          <w:rFonts w:ascii="宋体" w:hAnsi="宋体" w:eastAsia="宋体" w:cs="黑体"/>
          <w:color w:val="auto"/>
          <w:kern w:val="0"/>
          <w:sz w:val="21"/>
          <w:szCs w:val="28"/>
          <w:highlight w:val="none"/>
        </w:rPr>
      </w:pPr>
      <w:bookmarkStart w:id="1811" w:name="_Toc57495055"/>
      <w:bookmarkStart w:id="1812" w:name="_Toc534201636"/>
      <w:bookmarkStart w:id="1813" w:name="_Toc26275533"/>
      <w:bookmarkStart w:id="1814" w:name="_Toc32408"/>
      <w:bookmarkStart w:id="1815" w:name="_Toc21008"/>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811"/>
      <w:bookmarkEnd w:id="1812"/>
      <w:bookmarkEnd w:id="1813"/>
      <w:bookmarkEnd w:id="1814"/>
      <w:bookmarkEnd w:id="1815"/>
    </w:p>
    <w:p w14:paraId="10F0B87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2E05F49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产品总装后，因试验不合格，须拆装器身的，每拆装一次，质量保证期应延长24个月，并将拆装原因和处理情况列入出厂文件。</w:t>
      </w:r>
    </w:p>
    <w:p w14:paraId="3975C45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8.3 在保证期满后，当合同设备符合合同的规定时，20天内双方签署合同设备质保期届满证书，该证书共两份正本，双方各执一份。</w:t>
      </w:r>
    </w:p>
    <w:p w14:paraId="49673CF7">
      <w:pPr>
        <w:pStyle w:val="5"/>
        <w:spacing w:before="0" w:after="0" w:line="360" w:lineRule="auto"/>
        <w:rPr>
          <w:rFonts w:ascii="宋体" w:hAnsi="宋体" w:eastAsia="宋体" w:cs="黑体"/>
          <w:color w:val="auto"/>
          <w:kern w:val="0"/>
          <w:sz w:val="21"/>
          <w:szCs w:val="28"/>
          <w:highlight w:val="none"/>
        </w:rPr>
      </w:pPr>
      <w:bookmarkStart w:id="1816" w:name="_Toc534201637"/>
      <w:bookmarkStart w:id="1817" w:name="_Toc11006"/>
      <w:bookmarkStart w:id="1818" w:name="_Toc57495056"/>
      <w:bookmarkStart w:id="1819" w:name="_Toc26275534"/>
      <w:bookmarkStart w:id="1820" w:name="_Toc30202"/>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816"/>
      <w:bookmarkEnd w:id="1817"/>
      <w:bookmarkEnd w:id="1818"/>
      <w:bookmarkEnd w:id="1819"/>
      <w:bookmarkEnd w:id="1820"/>
    </w:p>
    <w:p w14:paraId="6FA8B13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11.6.2 </w:t>
      </w:r>
    </w:p>
    <w:p w14:paraId="59A38F4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（1）对于产品原理性故障，卖方应免费负责进行改进。</w:t>
      </w:r>
    </w:p>
    <w:p w14:paraId="0B81080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w:t>
      </w:r>
      <w:r>
        <w:rPr>
          <w:rFonts w:ascii="宋体" w:hAnsi="宋体" w:eastAsia="宋体" w:cs="黑体"/>
          <w:color w:val="auto"/>
          <w:kern w:val="0"/>
          <w:szCs w:val="21"/>
          <w:highlight w:val="none"/>
        </w:rPr>
        <w:t>在质保期过后，卖方负责设备维护。</w:t>
      </w:r>
    </w:p>
    <w:p w14:paraId="075B30E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（3）卖方应保证耗材、设备配件、系统固件升级版本的供应。</w:t>
      </w:r>
    </w:p>
    <w:p w14:paraId="02E0A2D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11.7 卖方保证合同设备、板卡等部件如停产，至少提前半年将产品的停产信息及替换方案书面告知买方，并提供原厂相关的证明材料。且保证有同类型或不低于原型号的设备或板卡供应，更换后设备及板卡等部件不影响系统正常运行，包括但不限于系统的功能、性能以及与原设备网管系统的兼容性等。卖方将以不高于本项目合同的价格提供同类型或不低于原型号的设备或板卡。</w:t>
      </w:r>
    </w:p>
    <w:p w14:paraId="180FFED8">
      <w:pPr>
        <w:pStyle w:val="5"/>
        <w:spacing w:before="0" w:after="0" w:line="360" w:lineRule="auto"/>
        <w:rPr>
          <w:rFonts w:ascii="宋体" w:hAnsi="宋体" w:eastAsia="宋体" w:cs="黑体"/>
          <w:color w:val="auto"/>
          <w:kern w:val="0"/>
          <w:sz w:val="21"/>
          <w:szCs w:val="28"/>
          <w:highlight w:val="none"/>
        </w:rPr>
      </w:pPr>
      <w:bookmarkStart w:id="1821" w:name="_Toc3391"/>
      <w:bookmarkStart w:id="1822" w:name="_Toc57495057"/>
      <w:bookmarkStart w:id="1823" w:name="_Toc534201638"/>
      <w:bookmarkStart w:id="1824" w:name="_Toc26275535"/>
      <w:bookmarkStart w:id="1825" w:name="_Toc13400"/>
      <w:r>
        <w:rPr>
          <w:rFonts w:ascii="宋体" w:hAnsi="宋体" w:eastAsia="宋体" w:cs="黑体"/>
          <w:color w:val="auto"/>
          <w:kern w:val="0"/>
          <w:sz w:val="21"/>
          <w:szCs w:val="28"/>
          <w:highlight w:val="none"/>
        </w:rPr>
        <w:t xml:space="preserve">12. </w:t>
      </w:r>
      <w:r>
        <w:rPr>
          <w:rFonts w:hint="eastAsia" w:ascii="宋体" w:hAnsi="宋体" w:eastAsia="宋体" w:cs="黑体"/>
          <w:color w:val="auto"/>
          <w:kern w:val="0"/>
          <w:sz w:val="21"/>
          <w:szCs w:val="28"/>
          <w:highlight w:val="none"/>
        </w:rPr>
        <w:t>知识产权</w:t>
      </w:r>
      <w:bookmarkEnd w:id="1821"/>
      <w:bookmarkEnd w:id="1822"/>
      <w:bookmarkEnd w:id="1823"/>
      <w:bookmarkEnd w:id="1824"/>
      <w:bookmarkEnd w:id="1825"/>
    </w:p>
    <w:p w14:paraId="120CD20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12.1 </w:t>
      </w:r>
      <w:r>
        <w:rPr>
          <w:rFonts w:hint="eastAsia" w:ascii="宋体" w:hAnsi="宋体" w:eastAsia="宋体" w:cs="黑体"/>
          <w:color w:val="auto"/>
          <w:kern w:val="0"/>
          <w:szCs w:val="21"/>
          <w:highlight w:val="none"/>
        </w:rPr>
        <w:t>如果卖方在本合同项下提供的设备及服务或与本合同有关的设备及服务已经在中华人民共和国申请了专利或其他知识产权，卖方应提供有关的证明文件，否则对买方没有约束力。</w:t>
      </w:r>
    </w:p>
    <w:p w14:paraId="362FC429">
      <w:pPr>
        <w:pStyle w:val="5"/>
        <w:spacing w:before="0" w:after="0" w:line="360" w:lineRule="auto"/>
        <w:rPr>
          <w:rFonts w:ascii="宋体" w:hAnsi="宋体" w:eastAsia="宋体" w:cs="黑体"/>
          <w:color w:val="auto"/>
          <w:kern w:val="0"/>
          <w:sz w:val="21"/>
          <w:szCs w:val="28"/>
          <w:highlight w:val="none"/>
        </w:rPr>
      </w:pPr>
      <w:bookmarkStart w:id="1826" w:name="_Toc12853"/>
      <w:bookmarkStart w:id="1827" w:name="_Toc57495058"/>
      <w:bookmarkStart w:id="1828" w:name="_Toc11349"/>
      <w:bookmarkStart w:id="1829" w:name="_Toc26275536"/>
      <w:bookmarkStart w:id="1830" w:name="_Toc534201639"/>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826"/>
      <w:bookmarkEnd w:id="1827"/>
      <w:bookmarkEnd w:id="1828"/>
      <w:bookmarkEnd w:id="1829"/>
      <w:bookmarkEnd w:id="1830"/>
    </w:p>
    <w:p w14:paraId="2DB9C636">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124D145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 </w:t>
      </w:r>
      <w:r>
        <w:rPr>
          <w:rFonts w:hint="eastAsia" w:ascii="宋体" w:hAnsi="宋体" w:eastAsia="宋体" w:cs="Times New Roman"/>
          <w:color w:val="auto"/>
          <w:kern w:val="0"/>
          <w:szCs w:val="21"/>
          <w:highlight w:val="none"/>
        </w:rPr>
        <w:t xml:space="preserve">采取补救措施 </w:t>
      </w:r>
    </w:p>
    <w:p w14:paraId="297A49B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 产品总装后，因试验不合格，须拆装器身2次以上（含本数）的，卖方应无条件换货，相应的费用由卖方承担，因此延期交货的，应承担相应的违约责任。</w:t>
      </w:r>
    </w:p>
    <w:p w14:paraId="52BCB97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14.1.4.4 若卖方未按买方要求采取补救措施，买方可委托第三方处理，相应的费用和造成买方的损失均由卖方承担。</w:t>
      </w:r>
    </w:p>
    <w:p w14:paraId="520FF17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14.1.5 赔偿损失</w:t>
      </w:r>
    </w:p>
    <w:p w14:paraId="045A1F3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14.1.5.3 由卖方运至目的地的设备和材料，一经发现短缺、误装和破损，买方应以信函或传真方式向卖方提出索赔，并同时附上由买方和卖方代表签署的证明短装、误装和破损的确认书。</w:t>
      </w:r>
    </w:p>
    <w:p w14:paraId="7C0E167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卖方收到索赔通知后，无偿地补足短装货物，替换错装或损坏的货物。除非双方另有协议，该补足或替换应在三十天内完成。起始日期应以买方以信函或传真发出索赔文件之日起计算。</w:t>
      </w:r>
    </w:p>
    <w:p w14:paraId="2AB9347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若索赔应属于保险赔偿范围，则卖方应负责处理保险索赔，但买方在接受补足或替换货物方面应不受任何影响。</w:t>
      </w:r>
    </w:p>
    <w:p w14:paraId="2D54988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14.2 </w:t>
      </w:r>
      <w:r>
        <w:rPr>
          <w:rFonts w:hint="eastAsia" w:ascii="宋体" w:hAnsi="宋体" w:eastAsia="宋体" w:cs="黑体"/>
          <w:color w:val="auto"/>
          <w:kern w:val="0"/>
          <w:szCs w:val="21"/>
          <w:highlight w:val="none"/>
        </w:rPr>
        <w:t>交付</w:t>
      </w:r>
    </w:p>
    <w:p w14:paraId="315F21F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14.2.1.2 卖方违反合同约定迟延交付合同设备的（不含技术资料），迟延交付违约金的计算方法如下：</w:t>
      </w:r>
    </w:p>
    <w:p w14:paraId="261DA4C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1）迟交1-4周（含本数），每周支付迟交货物金额的0.6%；</w:t>
      </w:r>
    </w:p>
    <w:p w14:paraId="49FB3C3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2）迟交5-8周（含本数），每周支付迟交货物金额的1%；</w:t>
      </w:r>
    </w:p>
    <w:p w14:paraId="703775C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3）迟交9周以上（含本数），每周支付迟交货物金额的1.4%。</w:t>
      </w:r>
    </w:p>
    <w:p w14:paraId="1E9A616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在计算迟延交付违约金时，迟交不足一周的按一周计算。</w:t>
      </w:r>
    </w:p>
    <w:p w14:paraId="2CC9043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 监造及交货前检验</w:t>
      </w:r>
    </w:p>
    <w:p w14:paraId="1FB0978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14.5.1  买方对合同货物进行抽检，发现合同货物不符合合同要求，卖方未能在买方限定的时间内通过整改使其符合合同要求，或者买方扩大范围抽检的结果表明合同货物仍不符合要求的，买方有权要求更换此货物或</w:t>
      </w:r>
      <w:r>
        <w:rPr>
          <w:rFonts w:hint="eastAsia" w:ascii="宋体" w:hAnsi="宋体" w:eastAsia="宋体" w:cs="黑体"/>
          <w:color w:val="auto"/>
          <w:kern w:val="0"/>
          <w:szCs w:val="21"/>
          <w:highlight w:val="none"/>
        </w:rPr>
        <w:t>解除</w:t>
      </w:r>
      <w:r>
        <w:rPr>
          <w:rFonts w:ascii="宋体" w:hAnsi="宋体" w:eastAsia="宋体" w:cs="黑体"/>
          <w:color w:val="auto"/>
          <w:kern w:val="0"/>
          <w:szCs w:val="21"/>
          <w:highlight w:val="none"/>
        </w:rPr>
        <w:t>合同，由此引起的一切后果由卖方承担。</w:t>
      </w:r>
    </w:p>
    <w:p w14:paraId="7C0DB4C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14.6 包装、标记、运输</w:t>
      </w:r>
    </w:p>
    <w:p w14:paraId="554F9AD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14.6.3凡由于卖方包装或保管不善致使货物遭到损坏或丢失时，不论在何时何地发现，一经证实，卖方均按本合同的规定负责及时修理、更换或赔偿。</w:t>
      </w:r>
    </w:p>
    <w:p w14:paraId="737D568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14.7 开箱检验、安装、调试、考核、验收</w:t>
      </w:r>
    </w:p>
    <w:p w14:paraId="1E062C5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14.7.1 到货验收检测连续两次不合格，则买方有权对本批次货物做退货处理。</w:t>
      </w:r>
    </w:p>
    <w:p w14:paraId="113CA20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14.7.3 不适用。</w:t>
      </w:r>
    </w:p>
    <w:p w14:paraId="266E917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14.9.4 卖方供应的设备存在安全漏洞、恶意代码、缺陷等，由于卖方设计、材料或制造缺陷造成根据《中国南方电网有限责任公司网络安全事件及风险隐患调查规范》认定四级及以上网络安全事件的或根据《中国南方电网有限责任公司信息运行事件调查规程》认定四级及以上信息运行事件，每发生一起扣除合同总额2%违约金，还应赔偿买方因此造成的损失，并按买方要求免费修复或更换，承担因此发生的所有费用。</w:t>
      </w:r>
    </w:p>
    <w:p w14:paraId="6906D83C">
      <w:pPr>
        <w:pStyle w:val="5"/>
        <w:spacing w:before="0" w:after="0" w:line="360" w:lineRule="auto"/>
        <w:rPr>
          <w:rFonts w:ascii="宋体" w:hAnsi="宋体" w:eastAsia="宋体" w:cs="黑体"/>
          <w:color w:val="auto"/>
          <w:kern w:val="0"/>
          <w:sz w:val="21"/>
          <w:szCs w:val="28"/>
          <w:highlight w:val="none"/>
        </w:rPr>
      </w:pPr>
      <w:bookmarkStart w:id="1831" w:name="_Toc57495059"/>
      <w:bookmarkStart w:id="1832" w:name="_Toc26275537"/>
      <w:bookmarkStart w:id="1833" w:name="_Toc2926"/>
      <w:bookmarkStart w:id="1834" w:name="_Toc2348"/>
      <w:bookmarkStart w:id="1835" w:name="_Toc534201640"/>
      <w:r>
        <w:rPr>
          <w:rFonts w:ascii="宋体" w:hAnsi="宋体" w:eastAsia="宋体" w:cs="黑体"/>
          <w:color w:val="auto"/>
          <w:kern w:val="0"/>
          <w:sz w:val="21"/>
          <w:szCs w:val="28"/>
          <w:highlight w:val="none"/>
        </w:rPr>
        <w:t xml:space="preserve">16. </w:t>
      </w:r>
      <w:r>
        <w:rPr>
          <w:rFonts w:hint="eastAsia" w:ascii="宋体" w:hAnsi="宋体" w:eastAsia="宋体" w:cs="黑体"/>
          <w:color w:val="auto"/>
          <w:kern w:val="0"/>
          <w:sz w:val="21"/>
          <w:szCs w:val="28"/>
          <w:highlight w:val="none"/>
        </w:rPr>
        <w:t>不可抗力</w:t>
      </w:r>
      <w:bookmarkEnd w:id="1831"/>
      <w:bookmarkEnd w:id="1832"/>
      <w:bookmarkEnd w:id="1833"/>
      <w:bookmarkEnd w:id="1834"/>
      <w:bookmarkEnd w:id="1835"/>
    </w:p>
    <w:p w14:paraId="4626C8B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16.4 任何一方不得因不可抗力造成的延迟而要求调整合同价格。</w:t>
      </w:r>
    </w:p>
    <w:p w14:paraId="060B13C7">
      <w:pPr>
        <w:pStyle w:val="4"/>
        <w:jc w:val="center"/>
        <w:rPr>
          <w:rFonts w:ascii="宋体" w:hAnsi="宋体" w:eastAsia="宋体" w:cs="Times New Roman"/>
          <w:color w:val="auto"/>
          <w:kern w:val="0"/>
          <w:sz w:val="28"/>
          <w:highlight w:val="none"/>
        </w:rPr>
      </w:pPr>
      <w:bookmarkStart w:id="1836" w:name="_Toc20004"/>
      <w:bookmarkStart w:id="1837" w:name="_Toc57495060"/>
      <w:bookmarkStart w:id="1838" w:name="_Toc24943"/>
      <w:r>
        <w:rPr>
          <w:rFonts w:hint="eastAsia" w:ascii="宋体" w:hAnsi="宋体" w:eastAsia="宋体" w:cs="Times New Roman"/>
          <w:color w:val="auto"/>
          <w:kern w:val="0"/>
          <w:sz w:val="28"/>
          <w:highlight w:val="none"/>
        </w:rPr>
        <w:t>（四十五）其他物资</w:t>
      </w:r>
      <w:bookmarkEnd w:id="1836"/>
      <w:bookmarkEnd w:id="1837"/>
      <w:bookmarkEnd w:id="1838"/>
    </w:p>
    <w:p w14:paraId="7A7B710B">
      <w:pPr>
        <w:pStyle w:val="5"/>
        <w:spacing w:before="0" w:after="0" w:line="360" w:lineRule="auto"/>
        <w:rPr>
          <w:rFonts w:ascii="宋体" w:hAnsi="宋体" w:eastAsia="宋体" w:cs="黑体"/>
          <w:color w:val="auto"/>
          <w:kern w:val="0"/>
          <w:sz w:val="21"/>
          <w:szCs w:val="28"/>
          <w:highlight w:val="none"/>
        </w:rPr>
      </w:pPr>
      <w:bookmarkStart w:id="1839" w:name="_Toc57495061"/>
      <w:bookmarkStart w:id="1840" w:name="_Toc5313"/>
      <w:bookmarkStart w:id="1841" w:name="_Toc26315"/>
      <w:bookmarkStart w:id="1842" w:name="_Toc26275539"/>
      <w:bookmarkStart w:id="1843" w:name="_Toc534201642"/>
      <w:r>
        <w:rPr>
          <w:rFonts w:ascii="宋体" w:hAnsi="宋体" w:eastAsia="宋体" w:cs="黑体"/>
          <w:color w:val="auto"/>
          <w:kern w:val="0"/>
          <w:sz w:val="21"/>
          <w:szCs w:val="28"/>
          <w:highlight w:val="none"/>
        </w:rPr>
        <w:t>3. 合同价格与支付</w:t>
      </w:r>
      <w:bookmarkEnd w:id="1839"/>
      <w:bookmarkEnd w:id="1840"/>
      <w:bookmarkEnd w:id="1841"/>
      <w:bookmarkEnd w:id="1842"/>
      <w:bookmarkEnd w:id="1843"/>
    </w:p>
    <w:p w14:paraId="6DB91F1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4009721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100万元时，本合同价款分预付款、入卖方成品库款、交货款和结清款四次支付，支付比例为1:0:</w:t>
      </w:r>
      <w:r>
        <w:rPr>
          <w:rFonts w:hint="eastAsia" w:ascii="宋体" w:hAnsi="宋体" w:eastAsia="宋体" w:cs="黑体"/>
          <w:color w:val="auto"/>
          <w:kern w:val="0"/>
          <w:szCs w:val="21"/>
          <w:highlight w:val="none"/>
          <w:lang w:val="en-US" w:eastAsia="zh-CN"/>
        </w:rPr>
        <w:t>8.5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38F44BA7">
      <w:pPr>
        <w:pStyle w:val="5"/>
        <w:spacing w:before="0" w:after="0" w:line="360" w:lineRule="auto"/>
        <w:rPr>
          <w:rFonts w:ascii="宋体" w:hAnsi="宋体" w:eastAsia="宋体" w:cs="黑体"/>
          <w:color w:val="auto"/>
          <w:kern w:val="0"/>
          <w:sz w:val="21"/>
          <w:szCs w:val="28"/>
          <w:highlight w:val="none"/>
        </w:rPr>
      </w:pPr>
      <w:bookmarkStart w:id="1844" w:name="_Toc26275540"/>
      <w:bookmarkStart w:id="1845" w:name="_Toc27948"/>
      <w:bookmarkStart w:id="1846" w:name="_Toc57495062"/>
      <w:bookmarkStart w:id="1847" w:name="_Toc534201643"/>
      <w:bookmarkStart w:id="1848" w:name="_Toc22187"/>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844"/>
      <w:bookmarkEnd w:id="1845"/>
      <w:bookmarkEnd w:id="1846"/>
      <w:bookmarkEnd w:id="1847"/>
      <w:bookmarkEnd w:id="1848"/>
    </w:p>
    <w:p w14:paraId="6EC06AC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合同设备的质量保证期为应满足以下条件：</w:t>
      </w:r>
    </w:p>
    <w:p w14:paraId="57ABBAD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1）换流变压器72个月。</w:t>
      </w:r>
    </w:p>
    <w:p w14:paraId="7D3FDA4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2）易耗品12个月。</w:t>
      </w:r>
    </w:p>
    <w:p w14:paraId="41A77A9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3）其他设备36个月。</w:t>
      </w:r>
    </w:p>
    <w:p w14:paraId="13D46733">
      <w:pPr>
        <w:pStyle w:val="5"/>
        <w:spacing w:before="0" w:after="0" w:line="360" w:lineRule="auto"/>
        <w:rPr>
          <w:rFonts w:ascii="宋体" w:hAnsi="宋体" w:eastAsia="宋体" w:cs="黑体"/>
          <w:color w:val="auto"/>
          <w:kern w:val="0"/>
          <w:sz w:val="21"/>
          <w:szCs w:val="28"/>
          <w:highlight w:val="none"/>
        </w:rPr>
      </w:pPr>
      <w:bookmarkStart w:id="1849" w:name="_Toc57495063"/>
      <w:bookmarkStart w:id="1850" w:name="_Toc22708"/>
      <w:bookmarkStart w:id="1851" w:name="_Toc26275541"/>
      <w:bookmarkStart w:id="1852" w:name="_Toc534201644"/>
      <w:bookmarkStart w:id="1853" w:name="_Toc1280"/>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849"/>
      <w:bookmarkEnd w:id="1850"/>
      <w:bookmarkEnd w:id="1851"/>
      <w:bookmarkEnd w:id="1852"/>
      <w:bookmarkEnd w:id="1853"/>
    </w:p>
    <w:p w14:paraId="6A7F243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11.4.1 卖方承诺合同设备的使用寿命满足以下标准：</w:t>
      </w:r>
    </w:p>
    <w:p w14:paraId="5CE3053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1）非复合沟盖板不少于20年。</w:t>
      </w:r>
    </w:p>
    <w:p w14:paraId="07D277C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2）换流变压器不少于40年。</w:t>
      </w:r>
    </w:p>
    <w:p w14:paraId="3EA13BA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3）其他设备应当满足产品设计寿命时间要求。</w:t>
      </w:r>
    </w:p>
    <w:p w14:paraId="73028A3C">
      <w:pPr>
        <w:pStyle w:val="5"/>
        <w:spacing w:before="0" w:after="0" w:line="360" w:lineRule="auto"/>
        <w:rPr>
          <w:rFonts w:ascii="宋体" w:hAnsi="宋体" w:eastAsia="宋体" w:cs="黑体"/>
          <w:color w:val="auto"/>
          <w:kern w:val="0"/>
          <w:sz w:val="21"/>
          <w:szCs w:val="28"/>
          <w:highlight w:val="none"/>
        </w:rPr>
      </w:pPr>
      <w:bookmarkStart w:id="1854" w:name="_Toc534201645"/>
      <w:bookmarkStart w:id="1855" w:name="_Toc26275542"/>
      <w:bookmarkStart w:id="1856" w:name="_Toc15831"/>
      <w:bookmarkStart w:id="1857" w:name="_Toc5105"/>
      <w:bookmarkStart w:id="1858" w:name="_Toc57495064"/>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854"/>
      <w:bookmarkEnd w:id="1855"/>
      <w:bookmarkEnd w:id="1856"/>
      <w:bookmarkEnd w:id="1857"/>
      <w:bookmarkEnd w:id="1858"/>
    </w:p>
    <w:p w14:paraId="41B0020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02E3773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 </w:t>
      </w:r>
      <w:r>
        <w:rPr>
          <w:rFonts w:hint="eastAsia" w:ascii="宋体" w:hAnsi="宋体" w:eastAsia="宋体" w:cs="Times New Roman"/>
          <w:color w:val="auto"/>
          <w:kern w:val="0"/>
          <w:szCs w:val="21"/>
          <w:highlight w:val="none"/>
        </w:rPr>
        <w:t>采取补救措施</w:t>
      </w:r>
    </w:p>
    <w:p w14:paraId="1003AA6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卖方支付违约金的标准如下：</w:t>
      </w:r>
    </w:p>
    <w:p w14:paraId="23D0A65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1）卖方应支付货物价格10%的违约金。</w:t>
      </w:r>
    </w:p>
    <w:p w14:paraId="7B034472">
      <w:pPr>
        <w:pStyle w:val="4"/>
        <w:jc w:val="center"/>
        <w:rPr>
          <w:rFonts w:ascii="宋体" w:hAnsi="宋体" w:eastAsia="宋体" w:cs="Times New Roman"/>
          <w:color w:val="auto"/>
          <w:kern w:val="0"/>
          <w:sz w:val="28"/>
          <w:highlight w:val="none"/>
        </w:rPr>
      </w:pPr>
      <w:bookmarkStart w:id="1859" w:name="_Toc57495065"/>
      <w:bookmarkStart w:id="1860" w:name="_Toc5166"/>
      <w:bookmarkStart w:id="1861" w:name="_Toc20162"/>
      <w:bookmarkStart w:id="1862" w:name="_Hlk57475324"/>
      <w:r>
        <w:rPr>
          <w:rFonts w:hint="eastAsia" w:ascii="宋体" w:hAnsi="宋体" w:eastAsia="宋体" w:cs="Times New Roman"/>
          <w:color w:val="auto"/>
          <w:kern w:val="0"/>
          <w:sz w:val="28"/>
          <w:highlight w:val="none"/>
        </w:rPr>
        <w:t>（四十六）</w:t>
      </w:r>
      <w:r>
        <w:rPr>
          <w:rFonts w:ascii="宋体" w:hAnsi="宋体" w:eastAsia="宋体" w:cs="Times New Roman"/>
          <w:color w:val="auto"/>
          <w:kern w:val="0"/>
          <w:sz w:val="28"/>
          <w:highlight w:val="none"/>
        </w:rPr>
        <w:t>35kV及以上交流变压器</w:t>
      </w:r>
      <w:r>
        <w:rPr>
          <w:rFonts w:hint="eastAsia" w:ascii="宋体" w:hAnsi="宋体" w:eastAsia="宋体" w:cs="Times New Roman"/>
          <w:color w:val="auto"/>
          <w:kern w:val="0"/>
          <w:sz w:val="28"/>
          <w:highlight w:val="none"/>
        </w:rPr>
        <w:t>（L</w:t>
      </w:r>
      <w:r>
        <w:rPr>
          <w:rFonts w:ascii="宋体" w:hAnsi="宋体" w:eastAsia="宋体" w:cs="Times New Roman"/>
          <w:color w:val="auto"/>
          <w:kern w:val="0"/>
          <w:sz w:val="28"/>
          <w:highlight w:val="none"/>
        </w:rPr>
        <w:t>CC</w:t>
      </w:r>
      <w:r>
        <w:rPr>
          <w:rFonts w:hint="eastAsia" w:ascii="宋体" w:hAnsi="宋体" w:eastAsia="宋体" w:cs="Times New Roman"/>
          <w:color w:val="auto"/>
          <w:kern w:val="0"/>
          <w:sz w:val="28"/>
          <w:highlight w:val="none"/>
        </w:rPr>
        <w:t>采购）</w:t>
      </w:r>
      <w:bookmarkEnd w:id="1859"/>
      <w:bookmarkEnd w:id="1860"/>
      <w:bookmarkEnd w:id="1861"/>
    </w:p>
    <w:p w14:paraId="6C5B5CB3">
      <w:pPr>
        <w:pStyle w:val="5"/>
        <w:spacing w:before="0" w:after="0" w:line="360" w:lineRule="auto"/>
        <w:rPr>
          <w:rFonts w:ascii="宋体" w:hAnsi="宋体" w:eastAsia="宋体" w:cs="黑体"/>
          <w:color w:val="auto"/>
          <w:kern w:val="0"/>
          <w:sz w:val="21"/>
          <w:szCs w:val="28"/>
          <w:highlight w:val="none"/>
        </w:rPr>
      </w:pPr>
      <w:bookmarkStart w:id="1863" w:name="_Toc5341"/>
      <w:bookmarkStart w:id="1864" w:name="_Toc15179"/>
      <w:bookmarkStart w:id="1865" w:name="_Toc57495066"/>
      <w:r>
        <w:rPr>
          <w:rFonts w:ascii="宋体" w:hAnsi="宋体" w:eastAsia="宋体" w:cs="黑体"/>
          <w:color w:val="auto"/>
          <w:kern w:val="0"/>
          <w:sz w:val="21"/>
          <w:szCs w:val="28"/>
          <w:highlight w:val="none"/>
        </w:rPr>
        <w:t>1. 一般约定</w:t>
      </w:r>
      <w:bookmarkEnd w:id="1863"/>
      <w:bookmarkEnd w:id="1864"/>
      <w:bookmarkEnd w:id="1865"/>
    </w:p>
    <w:p w14:paraId="2FB81F4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 合同的生效及变更</w:t>
      </w:r>
    </w:p>
    <w:p w14:paraId="1CE4109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1.4.2.3 如一方变更交货时间，应提前30日传真或函件通知对方。</w:t>
      </w:r>
    </w:p>
    <w:p w14:paraId="2F2D27E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bookmarkStart w:id="1866" w:name="_Hlk51165087"/>
      <w:r>
        <w:rPr>
          <w:rFonts w:ascii="宋体" w:hAnsi="宋体" w:eastAsia="宋体" w:cs="宋体"/>
          <w:color w:val="auto"/>
          <w:kern w:val="0"/>
          <w:szCs w:val="21"/>
          <w:highlight w:val="none"/>
        </w:rPr>
        <w:t xml:space="preserve">1.1.4.5.6 </w:t>
      </w:r>
      <w:r>
        <w:rPr>
          <w:rFonts w:hint="eastAsia" w:ascii="宋体" w:hAnsi="宋体" w:eastAsia="宋体" w:cs="宋体"/>
          <w:color w:val="auto"/>
          <w:kern w:val="0"/>
          <w:szCs w:val="21"/>
          <w:highlight w:val="none"/>
        </w:rPr>
        <w:t>故障：本补充协议中的故障是指合同设备不能执行规定功能的状态。</w:t>
      </w:r>
      <w:r>
        <w:rPr>
          <w:rFonts w:ascii="宋体" w:hAnsi="宋体" w:eastAsia="宋体" w:cs="宋体"/>
          <w:color w:val="auto"/>
          <w:kern w:val="0"/>
          <w:szCs w:val="21"/>
          <w:highlight w:val="none"/>
        </w:rPr>
        <w:t>A类故障</w:t>
      </w:r>
      <w:r>
        <w:rPr>
          <w:rFonts w:hint="eastAsia" w:ascii="宋体" w:hAnsi="宋体" w:eastAsia="宋体" w:cs="宋体"/>
          <w:color w:val="auto"/>
          <w:kern w:val="0"/>
          <w:szCs w:val="21"/>
          <w:highlight w:val="none"/>
        </w:rPr>
        <w:t>是指因合同</w:t>
      </w:r>
      <w:r>
        <w:rPr>
          <w:rFonts w:ascii="宋体" w:hAnsi="宋体" w:eastAsia="宋体" w:cs="宋体"/>
          <w:color w:val="auto"/>
          <w:kern w:val="0"/>
          <w:szCs w:val="21"/>
          <w:highlight w:val="none"/>
        </w:rPr>
        <w:t>设备</w:t>
      </w:r>
      <w:r>
        <w:rPr>
          <w:rFonts w:hint="eastAsia" w:ascii="宋体" w:hAnsi="宋体" w:eastAsia="宋体" w:cs="宋体"/>
          <w:color w:val="auto"/>
          <w:kern w:val="0"/>
          <w:szCs w:val="21"/>
          <w:highlight w:val="none"/>
        </w:rPr>
        <w:t>缺陷</w:t>
      </w:r>
      <w:r>
        <w:rPr>
          <w:rFonts w:ascii="宋体" w:hAnsi="宋体" w:eastAsia="宋体" w:cs="宋体"/>
          <w:color w:val="auto"/>
          <w:kern w:val="0"/>
          <w:szCs w:val="21"/>
          <w:highlight w:val="none"/>
        </w:rPr>
        <w:t>导致的事故事件和紧急</w:t>
      </w:r>
      <w:r>
        <w:rPr>
          <w:rFonts w:hint="eastAsia" w:ascii="宋体" w:hAnsi="宋体" w:eastAsia="宋体" w:cs="宋体"/>
          <w:color w:val="auto"/>
          <w:kern w:val="0"/>
          <w:szCs w:val="21"/>
          <w:highlight w:val="none"/>
        </w:rPr>
        <w:t>、重大缺陷</w:t>
      </w:r>
      <w:r>
        <w:rPr>
          <w:rFonts w:ascii="宋体" w:hAnsi="宋体" w:eastAsia="宋体" w:cs="宋体"/>
          <w:color w:val="auto"/>
          <w:kern w:val="0"/>
          <w:szCs w:val="21"/>
          <w:highlight w:val="none"/>
        </w:rPr>
        <w:t>，B类故障</w:t>
      </w:r>
      <w:r>
        <w:rPr>
          <w:rFonts w:hint="eastAsia" w:ascii="宋体" w:hAnsi="宋体" w:eastAsia="宋体" w:cs="宋体"/>
          <w:color w:val="auto"/>
          <w:kern w:val="0"/>
          <w:szCs w:val="21"/>
          <w:highlight w:val="none"/>
        </w:rPr>
        <w:t>是指</w:t>
      </w:r>
      <w:r>
        <w:rPr>
          <w:rFonts w:ascii="宋体" w:hAnsi="宋体" w:eastAsia="宋体" w:cs="宋体"/>
          <w:color w:val="auto"/>
          <w:kern w:val="0"/>
          <w:szCs w:val="21"/>
          <w:highlight w:val="none"/>
        </w:rPr>
        <w:t>一般和其他缺陷</w:t>
      </w:r>
      <w:r>
        <w:rPr>
          <w:rFonts w:hint="eastAsia" w:ascii="宋体" w:hAnsi="宋体" w:eastAsia="宋体" w:cs="宋体"/>
          <w:color w:val="auto"/>
          <w:kern w:val="0"/>
          <w:szCs w:val="21"/>
          <w:highlight w:val="none"/>
        </w:rPr>
        <w:t>。缺陷定级标准详见LCC采购补充技术规范书附录H。</w:t>
      </w:r>
    </w:p>
    <w:bookmarkEnd w:id="1866"/>
    <w:p w14:paraId="6ADACAB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宋体"/>
          <w:color w:val="auto"/>
          <w:kern w:val="0"/>
          <w:szCs w:val="21"/>
          <w:highlight w:val="none"/>
        </w:rPr>
        <w:t xml:space="preserve">1.1.19 </w:t>
      </w:r>
      <w:r>
        <w:rPr>
          <w:rFonts w:hint="eastAsia" w:ascii="宋体" w:hAnsi="宋体" w:eastAsia="宋体" w:cs="宋体"/>
          <w:color w:val="auto"/>
          <w:kern w:val="0"/>
          <w:szCs w:val="21"/>
          <w:highlight w:val="none"/>
        </w:rPr>
        <w:t>全寿命周期成本（</w:t>
      </w:r>
      <w:r>
        <w:rPr>
          <w:rFonts w:ascii="宋体" w:hAnsi="宋体" w:eastAsia="宋体" w:cs="宋体"/>
          <w:color w:val="auto"/>
          <w:kern w:val="0"/>
          <w:szCs w:val="21"/>
          <w:highlight w:val="none"/>
        </w:rPr>
        <w:t>Life Cycle Cost</w:t>
      </w:r>
      <w:r>
        <w:rPr>
          <w:rFonts w:hint="eastAsia" w:ascii="宋体" w:hAnsi="宋体" w:eastAsia="宋体" w:cs="宋体"/>
          <w:color w:val="auto"/>
          <w:kern w:val="0"/>
          <w:szCs w:val="21"/>
          <w:highlight w:val="none"/>
        </w:rPr>
        <w:t>，简称</w:t>
      </w:r>
      <w:r>
        <w:rPr>
          <w:rFonts w:ascii="宋体" w:hAnsi="宋体" w:eastAsia="宋体" w:cs="宋体"/>
          <w:color w:val="auto"/>
          <w:kern w:val="0"/>
          <w:szCs w:val="21"/>
          <w:highlight w:val="none"/>
        </w:rPr>
        <w:t>LCC）</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是指产品在有效使用期间所发生的与该产品有关的</w:t>
      </w:r>
      <w:r>
        <w:rPr>
          <w:rFonts w:hint="eastAsia" w:ascii="宋体" w:hAnsi="宋体" w:eastAsia="宋体" w:cs="宋体"/>
          <w:color w:val="auto"/>
          <w:kern w:val="0"/>
          <w:szCs w:val="21"/>
          <w:highlight w:val="none"/>
        </w:rPr>
        <w:t>所有成本。L</w:t>
      </w:r>
      <w:r>
        <w:rPr>
          <w:rFonts w:ascii="宋体" w:hAnsi="宋体" w:eastAsia="宋体" w:cs="宋体"/>
          <w:color w:val="auto"/>
          <w:kern w:val="0"/>
          <w:szCs w:val="21"/>
          <w:highlight w:val="none"/>
        </w:rPr>
        <w:t>CC</w:t>
      </w:r>
      <w:r>
        <w:rPr>
          <w:rFonts w:hint="eastAsia" w:ascii="宋体" w:hAnsi="宋体" w:eastAsia="宋体" w:cs="宋体"/>
          <w:color w:val="auto"/>
          <w:kern w:val="0"/>
          <w:szCs w:val="21"/>
          <w:highlight w:val="none"/>
        </w:rPr>
        <w:t>采购</w:t>
      </w:r>
      <w:r>
        <w:rPr>
          <w:rFonts w:ascii="宋体" w:hAnsi="宋体" w:eastAsia="宋体" w:cs="宋体"/>
          <w:color w:val="auto"/>
          <w:kern w:val="0"/>
          <w:szCs w:val="21"/>
          <w:highlight w:val="none"/>
        </w:rPr>
        <w:t>从</w:t>
      </w:r>
      <w:r>
        <w:rPr>
          <w:rFonts w:hint="eastAsia" w:ascii="宋体" w:hAnsi="宋体" w:eastAsia="宋体" w:cs="宋体"/>
          <w:color w:val="auto"/>
          <w:kern w:val="0"/>
          <w:szCs w:val="21"/>
          <w:highlight w:val="none"/>
        </w:rPr>
        <w:t>合同</w:t>
      </w:r>
      <w:r>
        <w:rPr>
          <w:rFonts w:ascii="宋体" w:hAnsi="宋体" w:eastAsia="宋体" w:cs="宋体"/>
          <w:color w:val="auto"/>
          <w:kern w:val="0"/>
          <w:szCs w:val="21"/>
          <w:highlight w:val="none"/>
        </w:rPr>
        <w:t>设备的长期经济效益出发，全面考虑</w:t>
      </w:r>
      <w:r>
        <w:rPr>
          <w:rFonts w:hint="eastAsia" w:ascii="宋体" w:hAnsi="宋体" w:eastAsia="宋体" w:cs="宋体"/>
          <w:color w:val="auto"/>
          <w:kern w:val="0"/>
          <w:szCs w:val="21"/>
          <w:highlight w:val="none"/>
        </w:rPr>
        <w:t>合同设备</w:t>
      </w:r>
      <w:r>
        <w:rPr>
          <w:rFonts w:ascii="宋体" w:hAnsi="宋体" w:eastAsia="宋体" w:cs="宋体"/>
          <w:color w:val="auto"/>
          <w:kern w:val="0"/>
          <w:szCs w:val="21"/>
          <w:highlight w:val="none"/>
        </w:rPr>
        <w:t>的规划、设计、制造、购置、安装、运行、维修、改造、更新直至报废的全过程，在满足性能/可靠性</w:t>
      </w:r>
      <w:r>
        <w:rPr>
          <w:rFonts w:hint="eastAsia" w:ascii="宋体" w:hAnsi="宋体" w:eastAsia="宋体" w:cs="宋体"/>
          <w:color w:val="auto"/>
          <w:kern w:val="0"/>
          <w:szCs w:val="21"/>
          <w:highlight w:val="none"/>
        </w:rPr>
        <w:t>要求</w:t>
      </w:r>
      <w:r>
        <w:rPr>
          <w:rFonts w:ascii="宋体" w:hAnsi="宋体" w:eastAsia="宋体" w:cs="宋体"/>
          <w:color w:val="auto"/>
          <w:kern w:val="0"/>
          <w:szCs w:val="21"/>
          <w:highlight w:val="none"/>
        </w:rPr>
        <w:t>的前提下使</w:t>
      </w:r>
      <w:r>
        <w:rPr>
          <w:rFonts w:hint="eastAsia" w:ascii="宋体" w:hAnsi="宋体" w:eastAsia="宋体" w:cs="宋体"/>
          <w:color w:val="auto"/>
          <w:kern w:val="0"/>
          <w:szCs w:val="21"/>
          <w:highlight w:val="none"/>
        </w:rPr>
        <w:t>所有成本总额</w:t>
      </w:r>
      <w:r>
        <w:rPr>
          <w:rFonts w:ascii="宋体" w:hAnsi="宋体" w:eastAsia="宋体" w:cs="宋体"/>
          <w:color w:val="auto"/>
          <w:kern w:val="0"/>
          <w:szCs w:val="21"/>
          <w:highlight w:val="none"/>
        </w:rPr>
        <w:t>最小。</w:t>
      </w:r>
      <w:bookmarkStart w:id="1867" w:name="_Hlk51230028"/>
      <w:r>
        <w:rPr>
          <w:rFonts w:hint="eastAsia" w:ascii="宋体" w:hAnsi="宋体" w:eastAsia="宋体" w:cs="宋体"/>
          <w:color w:val="auto"/>
          <w:kern w:val="0"/>
          <w:szCs w:val="21"/>
          <w:highlight w:val="none"/>
        </w:rPr>
        <w:t>L</w:t>
      </w:r>
      <w:r>
        <w:rPr>
          <w:rFonts w:ascii="宋体" w:hAnsi="宋体" w:eastAsia="宋体" w:cs="宋体"/>
          <w:color w:val="auto"/>
          <w:kern w:val="0"/>
          <w:szCs w:val="21"/>
          <w:highlight w:val="none"/>
        </w:rPr>
        <w:t>CC</w:t>
      </w:r>
      <w:r>
        <w:rPr>
          <w:rFonts w:hint="eastAsia" w:ascii="宋体" w:hAnsi="宋体" w:eastAsia="宋体" w:cs="宋体"/>
          <w:color w:val="auto"/>
          <w:kern w:val="0"/>
          <w:szCs w:val="21"/>
          <w:highlight w:val="none"/>
        </w:rPr>
        <w:t>计算方法见LCC采购补充技术规范书附录A。</w:t>
      </w:r>
      <w:bookmarkEnd w:id="1867"/>
    </w:p>
    <w:p w14:paraId="109BB02D">
      <w:pPr>
        <w:pStyle w:val="5"/>
        <w:spacing w:before="0" w:after="0" w:line="360" w:lineRule="auto"/>
        <w:rPr>
          <w:rFonts w:ascii="宋体" w:hAnsi="宋体" w:eastAsia="宋体" w:cs="黑体"/>
          <w:color w:val="auto"/>
          <w:kern w:val="0"/>
          <w:sz w:val="21"/>
          <w:szCs w:val="28"/>
          <w:highlight w:val="none"/>
        </w:rPr>
      </w:pPr>
      <w:bookmarkStart w:id="1868" w:name="_Toc57495067"/>
      <w:bookmarkStart w:id="1869" w:name="_Toc21863"/>
      <w:bookmarkStart w:id="1870" w:name="_Toc5735"/>
      <w:r>
        <w:rPr>
          <w:rFonts w:ascii="宋体" w:hAnsi="宋体" w:eastAsia="宋体" w:cs="黑体"/>
          <w:color w:val="auto"/>
          <w:kern w:val="0"/>
          <w:sz w:val="21"/>
          <w:szCs w:val="28"/>
          <w:highlight w:val="none"/>
        </w:rPr>
        <w:t>2. 合同范围</w:t>
      </w:r>
      <w:bookmarkEnd w:id="1868"/>
      <w:bookmarkEnd w:id="1869"/>
      <w:bookmarkEnd w:id="1870"/>
    </w:p>
    <w:p w14:paraId="1C083A2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L</w:t>
      </w:r>
      <w:r>
        <w:rPr>
          <w:rFonts w:ascii="宋体" w:hAnsi="宋体" w:eastAsia="宋体" w:cs="宋体"/>
          <w:color w:val="auto"/>
          <w:kern w:val="0"/>
          <w:szCs w:val="21"/>
          <w:highlight w:val="none"/>
        </w:rPr>
        <w:t>CC</w:t>
      </w:r>
      <w:r>
        <w:rPr>
          <w:rFonts w:hint="eastAsia" w:ascii="宋体" w:hAnsi="宋体" w:eastAsia="宋体" w:cs="宋体"/>
          <w:color w:val="auto"/>
          <w:kern w:val="0"/>
          <w:szCs w:val="21"/>
          <w:highlight w:val="none"/>
        </w:rPr>
        <w:t>采购中，新增的合同范围主要有：（1）合同设备全生命周期内，除了LCC采购补充技术规范书“</w:t>
      </w:r>
      <w:r>
        <w:rPr>
          <w:rFonts w:ascii="宋体" w:hAnsi="宋体" w:eastAsia="宋体" w:cs="宋体"/>
          <w:color w:val="auto"/>
          <w:kern w:val="0"/>
          <w:szCs w:val="21"/>
          <w:highlight w:val="none"/>
        </w:rPr>
        <w:t>8质量保证”</w:t>
      </w:r>
      <w:r>
        <w:rPr>
          <w:rFonts w:hint="eastAsia" w:ascii="宋体" w:hAnsi="宋体" w:eastAsia="宋体" w:cs="宋体"/>
          <w:color w:val="auto"/>
          <w:kern w:val="0"/>
          <w:szCs w:val="21"/>
          <w:highlight w:val="none"/>
        </w:rPr>
        <w:t>规定由买方负责的检查、检测、分析工作（详见LCC采购补充技术规范书附录F油浸式电力变压器检修规程和附录G变压器及油浸式电抗器运维规程），其他所有工作由卖方负责；（2）合同设备</w:t>
      </w:r>
      <w:r>
        <w:rPr>
          <w:rFonts w:hint="eastAsia" w:ascii="宋体" w:hAnsi="宋体" w:eastAsia="宋体" w:cs="黑体"/>
          <w:color w:val="auto"/>
          <w:kern w:val="0"/>
          <w:szCs w:val="21"/>
          <w:highlight w:val="none"/>
        </w:rPr>
        <w:t>安装的具体工作由工程承包人按照工程施工合同执行，卖方负责安装指导以保障安装工作不存在损害合同设备质量的因素。</w:t>
      </w:r>
    </w:p>
    <w:p w14:paraId="330B0CB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10E01AA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2.5 卖方提供的技术资料包括但不限于全套安装使用说明书，产品合格证明书、出厂试验记录、产品外形尺寸图、运输尺寸图、产品拆卸件一览表、装箱单、铭牌图或铭牌标志图及备件一览表等。</w:t>
      </w:r>
    </w:p>
    <w:p w14:paraId="0128A202">
      <w:pPr>
        <w:pStyle w:val="5"/>
        <w:spacing w:before="0" w:after="0" w:line="360" w:lineRule="auto"/>
        <w:rPr>
          <w:rFonts w:ascii="宋体" w:hAnsi="宋体" w:eastAsia="宋体" w:cs="黑体"/>
          <w:color w:val="auto"/>
          <w:kern w:val="0"/>
          <w:sz w:val="21"/>
          <w:szCs w:val="28"/>
          <w:highlight w:val="none"/>
        </w:rPr>
      </w:pPr>
      <w:bookmarkStart w:id="1871" w:name="_Toc6892"/>
      <w:bookmarkStart w:id="1872" w:name="_Toc57495068"/>
      <w:bookmarkStart w:id="1873" w:name="_Toc1006"/>
      <w:r>
        <w:rPr>
          <w:rFonts w:ascii="宋体" w:hAnsi="宋体" w:eastAsia="宋体" w:cs="黑体"/>
          <w:color w:val="auto"/>
          <w:kern w:val="0"/>
          <w:sz w:val="21"/>
          <w:szCs w:val="28"/>
          <w:highlight w:val="none"/>
        </w:rPr>
        <w:t>3. 合同价格与支付</w:t>
      </w:r>
      <w:bookmarkEnd w:id="1871"/>
      <w:bookmarkEnd w:id="1872"/>
      <w:bookmarkEnd w:id="1873"/>
    </w:p>
    <w:p w14:paraId="47502FC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3.1 合同价格</w:t>
      </w:r>
    </w:p>
    <w:p w14:paraId="03DDD518">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3.1.1 合同协议书中载明的签约合同价</w:t>
      </w:r>
      <w:r>
        <w:rPr>
          <w:rFonts w:hint="eastAsia" w:ascii="宋体" w:hAnsi="宋体" w:eastAsia="宋体"/>
          <w:color w:val="auto"/>
          <w:sz w:val="21"/>
          <w:szCs w:val="21"/>
          <w:highlight w:val="none"/>
        </w:rPr>
        <w:t>格</w:t>
      </w:r>
      <w:r>
        <w:rPr>
          <w:rFonts w:ascii="宋体" w:hAnsi="宋体" w:eastAsia="宋体"/>
          <w:color w:val="auto"/>
          <w:sz w:val="21"/>
          <w:szCs w:val="21"/>
          <w:highlight w:val="none"/>
        </w:rPr>
        <w:t>包含卖方将合同设备运抵设备地点并履行完其他合同义务所需的全部成本、费用、</w:t>
      </w:r>
      <w:r>
        <w:rPr>
          <w:rFonts w:hint="eastAsia" w:ascii="宋体" w:hAnsi="宋体" w:eastAsia="宋体"/>
          <w:color w:val="auto"/>
          <w:sz w:val="21"/>
          <w:szCs w:val="21"/>
          <w:highlight w:val="none"/>
        </w:rPr>
        <w:t>支出</w:t>
      </w:r>
      <w:r>
        <w:rPr>
          <w:rFonts w:ascii="宋体" w:hAnsi="宋体" w:eastAsia="宋体"/>
          <w:color w:val="auto"/>
          <w:sz w:val="21"/>
          <w:szCs w:val="21"/>
          <w:highlight w:val="none"/>
        </w:rPr>
        <w:t>，包括但不限于设备价款、</w:t>
      </w:r>
      <w:r>
        <w:rPr>
          <w:rFonts w:hint="eastAsia" w:ascii="宋体" w:hAnsi="宋体" w:eastAsia="宋体"/>
          <w:color w:val="auto"/>
          <w:sz w:val="21"/>
          <w:szCs w:val="21"/>
          <w:highlight w:val="none"/>
        </w:rPr>
        <w:t>知识产权费用、</w:t>
      </w:r>
      <w:r>
        <w:rPr>
          <w:rFonts w:ascii="宋体" w:hAnsi="宋体" w:eastAsia="宋体"/>
          <w:color w:val="auto"/>
          <w:sz w:val="21"/>
          <w:szCs w:val="21"/>
          <w:highlight w:val="none"/>
        </w:rPr>
        <w:t>运输费、保险费、包装费</w:t>
      </w:r>
      <w:r>
        <w:rPr>
          <w:rFonts w:hint="eastAsia" w:ascii="宋体" w:hAnsi="宋体" w:eastAsia="宋体"/>
          <w:color w:val="auto"/>
          <w:sz w:val="21"/>
          <w:szCs w:val="21"/>
          <w:highlight w:val="none"/>
        </w:rPr>
        <w:t>、安装指导费</w:t>
      </w:r>
      <w:r>
        <w:rPr>
          <w:rFonts w:ascii="宋体" w:hAnsi="宋体" w:eastAsia="宋体"/>
          <w:color w:val="auto"/>
          <w:sz w:val="21"/>
          <w:szCs w:val="21"/>
          <w:highlight w:val="none"/>
        </w:rPr>
        <w:t>；卖方提供保护措施、技术服务、技术资料的费用；与分包商、原材料或部件供应商相关的各项费用。</w:t>
      </w:r>
    </w:p>
    <w:p w14:paraId="5D078B8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凡在设计联络会上确认施工现场不吊芯检查即可投运的变压器，由于运输或现场检验后需要吊罩修理或检查，则现场所发生的直接费用由卖方承担。</w:t>
      </w:r>
    </w:p>
    <w:p w14:paraId="624B21C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02FBB48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100万元时，本合同价款分预付款、入卖方成品库款、交货款和结清款四次支付，支付比例为1:2:6.5:0.5。</w:t>
      </w:r>
      <w:r>
        <w:rPr>
          <w:rFonts w:hint="eastAsia" w:ascii="宋体" w:hAnsi="宋体" w:eastAsia="宋体" w:cs="黑体"/>
          <w:color w:val="auto"/>
          <w:kern w:val="0"/>
          <w:szCs w:val="21"/>
          <w:highlight w:val="none"/>
        </w:rPr>
        <w:t>卖方为中小企业的，合同价款支付比例为2:2:5.5:0.5。</w:t>
      </w:r>
    </w:p>
    <w:p w14:paraId="12E612E8">
      <w:pPr>
        <w:pStyle w:val="16"/>
        <w:topLinePunct/>
        <w:snapToGrid w:val="0"/>
        <w:spacing w:line="360" w:lineRule="auto"/>
        <w:ind w:firstLine="420" w:firstLineChars="200"/>
        <w:rPr>
          <w:rFonts w:ascii="宋体" w:hAnsi="宋体" w:eastAsia="宋体" w:cs="宋体"/>
          <w:color w:val="auto"/>
          <w:sz w:val="21"/>
          <w:szCs w:val="21"/>
          <w:highlight w:val="none"/>
        </w:rPr>
      </w:pPr>
      <w:bookmarkStart w:id="1874" w:name="_Hlk57489368"/>
      <w:r>
        <w:rPr>
          <w:rFonts w:ascii="宋体" w:hAnsi="宋体" w:eastAsia="宋体" w:cs="宋体"/>
          <w:color w:val="auto"/>
          <w:sz w:val="21"/>
          <w:szCs w:val="21"/>
          <w:highlight w:val="none"/>
        </w:rPr>
        <w:t>3.2.1.5 结清款</w:t>
      </w:r>
    </w:p>
    <w:p w14:paraId="64D59E00">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本合同中任一项目的合同设备的质保期开始计算后满</w:t>
      </w:r>
      <w:r>
        <w:rPr>
          <w:rFonts w:hint="eastAsia" w:ascii="宋体" w:hAnsi="宋体" w:eastAsia="宋体" w:cs="宋体"/>
          <w:color w:val="auto"/>
          <w:sz w:val="21"/>
          <w:szCs w:val="21"/>
          <w:highlight w:val="none"/>
          <w:lang w:val="en-US" w:eastAsia="zh-CN"/>
        </w:rPr>
        <w:t>1</w:t>
      </w:r>
      <w:r>
        <w:rPr>
          <w:rFonts w:ascii="宋体" w:hAnsi="宋体" w:eastAsia="宋体" w:cs="宋体"/>
          <w:color w:val="auto"/>
          <w:sz w:val="21"/>
          <w:szCs w:val="21"/>
          <w:highlight w:val="none"/>
        </w:rPr>
        <w:t>年，并无索赔或索赔完成后，则卖方可凭相应的合同设备验收证书办理结清款支付申请手续，买方在卖方发起申请后60天内（境外支付的，延长30个工作日）支付</w:t>
      </w:r>
      <w:r>
        <w:rPr>
          <w:rFonts w:hint="eastAsia" w:ascii="宋体" w:hAnsi="宋体" w:eastAsia="宋体" w:cs="宋体"/>
          <w:color w:val="auto"/>
          <w:sz w:val="21"/>
          <w:szCs w:val="21"/>
          <w:highlight w:val="none"/>
        </w:rPr>
        <w:t>该项目</w:t>
      </w:r>
      <w:r>
        <w:rPr>
          <w:rFonts w:ascii="宋体" w:hAnsi="宋体" w:eastAsia="宋体" w:cs="宋体"/>
          <w:color w:val="auto"/>
          <w:sz w:val="21"/>
          <w:szCs w:val="21"/>
          <w:highlight w:val="none"/>
        </w:rPr>
        <w:t>结清款。</w:t>
      </w:r>
    </w:p>
    <w:bookmarkEnd w:id="1874"/>
    <w:p w14:paraId="639674C1">
      <w:pPr>
        <w:pStyle w:val="5"/>
        <w:spacing w:before="0" w:after="0" w:line="360" w:lineRule="auto"/>
        <w:rPr>
          <w:rFonts w:ascii="宋体" w:hAnsi="宋体" w:eastAsia="宋体" w:cs="黑体"/>
          <w:color w:val="auto"/>
          <w:kern w:val="0"/>
          <w:sz w:val="21"/>
          <w:szCs w:val="28"/>
          <w:highlight w:val="none"/>
        </w:rPr>
      </w:pPr>
      <w:bookmarkStart w:id="1875" w:name="_Toc9185"/>
      <w:bookmarkStart w:id="1876" w:name="_Toc16434"/>
      <w:bookmarkStart w:id="1877" w:name="_Toc57495069"/>
      <w:r>
        <w:rPr>
          <w:rFonts w:ascii="宋体" w:hAnsi="宋体" w:eastAsia="宋体" w:cs="黑体"/>
          <w:color w:val="auto"/>
          <w:kern w:val="0"/>
          <w:sz w:val="21"/>
          <w:szCs w:val="28"/>
          <w:highlight w:val="none"/>
        </w:rPr>
        <w:t>4. 监造及交货前检验</w:t>
      </w:r>
      <w:bookmarkEnd w:id="1875"/>
      <w:bookmarkEnd w:id="1876"/>
      <w:bookmarkEnd w:id="1877"/>
    </w:p>
    <w:p w14:paraId="53F06D5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71185D0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卖方所提供的组件或附件如需向第三方外购时，卖方应提供相应出厂和验收证明。</w:t>
      </w:r>
    </w:p>
    <w:p w14:paraId="55D6FA0E">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 xml:space="preserve">4.1.6 </w:t>
      </w:r>
      <w:r>
        <w:rPr>
          <w:rFonts w:hint="eastAsia" w:ascii="宋体" w:hAnsi="宋体" w:eastAsia="宋体"/>
          <w:color w:val="auto"/>
          <w:sz w:val="21"/>
          <w:szCs w:val="21"/>
          <w:highlight w:val="none"/>
        </w:rPr>
        <w:t>卖方应按照设计需要随时召开设计联络会，向买方提交相关技术资料，配合买方开展设计方案审查。卖方应按照买方批准的设计方案制造合同设备。</w:t>
      </w:r>
    </w:p>
    <w:p w14:paraId="1BC6CEE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4.1.7 监造验收工作结束后，</w:t>
      </w:r>
      <w:r>
        <w:rPr>
          <w:rFonts w:hint="eastAsia" w:ascii="宋体" w:hAnsi="宋体" w:eastAsia="宋体"/>
          <w:color w:val="auto"/>
          <w:szCs w:val="21"/>
          <w:highlight w:val="none"/>
        </w:rPr>
        <w:t>监造代表</w:t>
      </w:r>
      <w:r>
        <w:rPr>
          <w:rFonts w:ascii="宋体" w:hAnsi="宋体" w:eastAsia="宋体" w:cs="黑体"/>
          <w:color w:val="auto"/>
          <w:kern w:val="0"/>
          <w:szCs w:val="21"/>
          <w:highlight w:val="none"/>
        </w:rPr>
        <w:t>应提交监造报告，并作为设备原始资料存档。</w:t>
      </w:r>
    </w:p>
    <w:p w14:paraId="36E70F4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25BA555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4</w:t>
      </w:r>
      <w:r>
        <w:rPr>
          <w:rFonts w:ascii="宋体" w:hAnsi="宋体" w:eastAsia="宋体" w:cs="黑体"/>
          <w:color w:val="auto"/>
          <w:kern w:val="0"/>
          <w:szCs w:val="21"/>
          <w:highlight w:val="none"/>
        </w:rPr>
        <w:t>.3.6 增加抽检项目包括但不限于：</w:t>
      </w:r>
    </w:p>
    <w:p w14:paraId="7EA132B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500kV，温升试验，局放，损耗，噪音，振动，伏安特性曲线。</w:t>
      </w:r>
    </w:p>
    <w:p w14:paraId="14E6A9D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220kV，110kV，66kV：突发短路，温升试验，局放，空载损耗，负载损耗，噪音。</w:t>
      </w:r>
    </w:p>
    <w:p w14:paraId="3BE0AB3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35kV：突发短路，温升试验，局放（干式），空载损耗，负载损耗，阻抗试验，噪音，匝间感应耐压。</w:t>
      </w:r>
    </w:p>
    <w:p w14:paraId="10ED9970">
      <w:pPr>
        <w:pStyle w:val="5"/>
        <w:spacing w:before="0" w:after="0" w:line="360" w:lineRule="auto"/>
        <w:rPr>
          <w:rFonts w:ascii="宋体" w:hAnsi="宋体" w:eastAsia="宋体" w:cs="黑体"/>
          <w:color w:val="auto"/>
          <w:kern w:val="0"/>
          <w:sz w:val="21"/>
          <w:szCs w:val="28"/>
          <w:highlight w:val="none"/>
        </w:rPr>
      </w:pPr>
      <w:bookmarkStart w:id="1878" w:name="_Toc28581"/>
      <w:bookmarkStart w:id="1879" w:name="_Toc57495070"/>
      <w:bookmarkStart w:id="1880" w:name="_Toc14476"/>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878"/>
      <w:bookmarkEnd w:id="1879"/>
      <w:bookmarkEnd w:id="1880"/>
    </w:p>
    <w:p w14:paraId="0B62239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13009A9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5.1.1.1 卖方应根据双方商定好的标准和买方的实际运输条件，将变压器本体和所有零部件包装好。</w:t>
      </w:r>
    </w:p>
    <w:p w14:paraId="5FBE566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控制箱运输途中应有干燥剂，箱体采用铝复合膜真空包装等防水防潮措施。</w:t>
      </w:r>
    </w:p>
    <w:p w14:paraId="6FDA155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所有独立包装运输的表计应有干燥剂，箱体采用铝复合膜真空包装等防水防潮措施，并应有防震措施。</w:t>
      </w:r>
    </w:p>
    <w:p w14:paraId="633C728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5.1.4 笨重件应装在滑板上或板条箱内</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套管瓷件应牢固固定在木制箱中，以防止在严重冲击时发生相对位移。</w:t>
      </w:r>
    </w:p>
    <w:p w14:paraId="1236B96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5.1.5 </w:t>
      </w:r>
      <w:r>
        <w:rPr>
          <w:rFonts w:hint="eastAsia" w:ascii="宋体" w:hAnsi="宋体" w:eastAsia="宋体" w:cs="黑体"/>
          <w:color w:val="auto"/>
          <w:kern w:val="0"/>
          <w:szCs w:val="21"/>
          <w:highlight w:val="none"/>
        </w:rPr>
        <w:t>任何在装运中可能丢失的成品应装箱并捆扎牢固，并标志以清晰的记号以便识别。</w:t>
      </w:r>
    </w:p>
    <w:p w14:paraId="78FA9BD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 标记</w:t>
      </w:r>
    </w:p>
    <w:p w14:paraId="0907AA7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5.2.1.1 卖方应在设备、零部件、材料的每件包装箱上标记以下内容：</w:t>
      </w:r>
    </w:p>
    <w:p w14:paraId="4C8F463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合同号；</w:t>
      </w:r>
    </w:p>
    <w:p w14:paraId="17F2EAC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w:t>
      </w:r>
      <w:r>
        <w:rPr>
          <w:rFonts w:ascii="宋体" w:hAnsi="宋体" w:eastAsia="宋体" w:cs="黑体"/>
          <w:color w:val="auto"/>
          <w:kern w:val="0"/>
          <w:szCs w:val="21"/>
          <w:highlight w:val="none"/>
        </w:rPr>
        <w:t>装船（海运）标志；</w:t>
      </w:r>
    </w:p>
    <w:p w14:paraId="7056529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w:t>
      </w:r>
      <w:r>
        <w:rPr>
          <w:rFonts w:ascii="宋体" w:hAnsi="宋体" w:eastAsia="宋体" w:cs="黑体"/>
          <w:color w:val="auto"/>
          <w:kern w:val="0"/>
          <w:szCs w:val="21"/>
          <w:highlight w:val="none"/>
        </w:rPr>
        <w:t>目的港（海运）或站名称；</w:t>
      </w:r>
    </w:p>
    <w:p w14:paraId="46FC206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（4）</w:t>
      </w:r>
      <w:r>
        <w:rPr>
          <w:rFonts w:ascii="宋体" w:hAnsi="宋体" w:eastAsia="宋体" w:cs="黑体"/>
          <w:color w:val="auto"/>
          <w:kern w:val="0"/>
          <w:szCs w:val="21"/>
          <w:highlight w:val="none"/>
        </w:rPr>
        <w:t>收货人及代码；</w:t>
      </w:r>
    </w:p>
    <w:p w14:paraId="39904C0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5</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设备名称和项目号；</w:t>
      </w:r>
    </w:p>
    <w:p w14:paraId="36B0295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（6）</w:t>
      </w:r>
      <w:r>
        <w:rPr>
          <w:rFonts w:ascii="宋体" w:hAnsi="宋体" w:eastAsia="宋体" w:cs="黑体"/>
          <w:color w:val="auto"/>
          <w:kern w:val="0"/>
          <w:szCs w:val="21"/>
          <w:highlight w:val="none"/>
        </w:rPr>
        <w:t>箱号；</w:t>
      </w:r>
    </w:p>
    <w:p w14:paraId="49B39BA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（7）</w:t>
      </w:r>
      <w:r>
        <w:rPr>
          <w:rFonts w:ascii="宋体" w:hAnsi="宋体" w:eastAsia="宋体" w:cs="黑体"/>
          <w:color w:val="auto"/>
          <w:kern w:val="0"/>
          <w:szCs w:val="21"/>
          <w:highlight w:val="none"/>
        </w:rPr>
        <w:t>毛重与净重；</w:t>
      </w:r>
    </w:p>
    <w:p w14:paraId="787F3BE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（8）</w:t>
      </w:r>
      <w:r>
        <w:rPr>
          <w:rFonts w:ascii="宋体" w:hAnsi="宋体" w:eastAsia="宋体" w:cs="黑体"/>
          <w:color w:val="auto"/>
          <w:kern w:val="0"/>
          <w:szCs w:val="21"/>
          <w:highlight w:val="none"/>
        </w:rPr>
        <w:t>外形尺寸；</w:t>
      </w:r>
    </w:p>
    <w:p w14:paraId="07B26E9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（9）</w:t>
      </w:r>
      <w:r>
        <w:rPr>
          <w:rFonts w:ascii="宋体" w:hAnsi="宋体" w:eastAsia="宋体" w:cs="黑体"/>
          <w:color w:val="auto"/>
          <w:kern w:val="0"/>
          <w:szCs w:val="21"/>
          <w:highlight w:val="none"/>
        </w:rPr>
        <w:t>在设备的包装箱外面应标上“重心”、“起吊点”、“小心搬运”、“正面向上”、“防止受潮”、“勿倒”、“勿倾斜”、“防火”等字样。</w:t>
      </w:r>
    </w:p>
    <w:p w14:paraId="00F5F8B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 运输</w:t>
      </w:r>
    </w:p>
    <w:p w14:paraId="2A899F6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5.3.2.3 为了能正确搬运和安装，在必要处应提供吊钩或起吊设施。</w:t>
      </w:r>
    </w:p>
    <w:p w14:paraId="0CE7D5D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5.3.6 买卖双方应在变压器发运前明确规定变压器是带油运输还是充干燥空气或氮气运输，如充气运输，卖方应对检测仪表和检测数据变化范围给出明确规定。</w:t>
      </w:r>
    </w:p>
    <w:p w14:paraId="1C27693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变压器及其部件的保管期应在合同中明确规定。</w:t>
      </w:r>
    </w:p>
    <w:p w14:paraId="29D4F02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5.3.7 如变压器充氮或充干燥空气运输至现场未注油安装前，所有阀门均应密封并有效地锁紧以防止运输中被拆动；同时附有随时可补气的氮气或干燥空气罐，并应设有压力表进行监视，以保持变压器内为正压力。</w:t>
      </w:r>
    </w:p>
    <w:p w14:paraId="5283D6E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5.3.8 卖方在货物本体装运前应直接在货物上装设具有计时功能的经检验合格的三维冲击记录仪（应在油箱顶部和油箱侧面分别规整、牢固地安装1台记录仪），以指示货物在运输途中是否发生过严重冲撞。</w:t>
      </w:r>
    </w:p>
    <w:p w14:paraId="051FCE4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卖方应保证三维冲撞记录仪在运输全过程中（含上基础）处于正常工作状态，同时保证在运输过程中可能受到的最大加速度</w:t>
      </w:r>
      <w:r>
        <w:rPr>
          <w:rFonts w:ascii="宋体" w:hAnsi="宋体" w:eastAsia="宋体" w:cs="黑体"/>
          <w:color w:val="auto"/>
          <w:kern w:val="0"/>
          <w:szCs w:val="21"/>
          <w:highlight w:val="none"/>
        </w:rPr>
        <w:t>3g（三维空间的任一方向）所产生的冲击力而变压器本体不松动、不损坏、不变形。</w:t>
      </w:r>
    </w:p>
    <w:p w14:paraId="4982141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变压器达到目的地、基础就位之前不允许拆除或取出记录纸；变压器启运时开启电源，确认冲撞记录仪电源充足，记录指示处于初始状态。到达目的港（车站）时，应检查纪录，主变到达现场后，制造厂、运输单位、监理单位、用户四方人员应共同验收。冲击记录仪的资料归买方所有。</w:t>
      </w:r>
    </w:p>
    <w:p w14:paraId="111BE70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 交付</w:t>
      </w:r>
    </w:p>
    <w:p w14:paraId="1895EF0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5.4.1.4 交货方式为变压器基础就位。卖方负责将设备安全地运到运行单位指定地点，并负责设备卸车落地</w:t>
      </w:r>
      <w:r>
        <w:rPr>
          <w:rFonts w:hint="eastAsia" w:ascii="宋体" w:hAnsi="宋体" w:eastAsia="宋体" w:cs="黑体"/>
          <w:color w:val="auto"/>
          <w:kern w:val="0"/>
          <w:szCs w:val="21"/>
          <w:highlight w:val="none"/>
        </w:rPr>
        <w:t>，</w:t>
      </w:r>
      <w:r>
        <w:rPr>
          <w:rFonts w:hint="eastAsia" w:ascii="宋体" w:hAnsi="宋体" w:eastAsia="宋体" w:cs="宋体"/>
          <w:color w:val="auto"/>
          <w:szCs w:val="21"/>
          <w:highlight w:val="none"/>
        </w:rPr>
        <w:t>相关风险和费用由卖方承担</w:t>
      </w:r>
      <w:r>
        <w:rPr>
          <w:rFonts w:ascii="宋体" w:hAnsi="宋体" w:eastAsia="宋体" w:cs="黑体"/>
          <w:color w:val="auto"/>
          <w:kern w:val="0"/>
          <w:szCs w:val="21"/>
          <w:highlight w:val="none"/>
        </w:rPr>
        <w:t>。</w:t>
      </w:r>
    </w:p>
    <w:p w14:paraId="226C8451">
      <w:pPr>
        <w:pStyle w:val="5"/>
        <w:spacing w:before="0" w:after="0" w:line="360" w:lineRule="auto"/>
        <w:rPr>
          <w:rFonts w:ascii="宋体" w:hAnsi="宋体" w:eastAsia="宋体" w:cs="黑体"/>
          <w:color w:val="auto"/>
          <w:kern w:val="0"/>
          <w:sz w:val="21"/>
          <w:szCs w:val="28"/>
          <w:highlight w:val="none"/>
        </w:rPr>
      </w:pPr>
      <w:bookmarkStart w:id="1881" w:name="_Toc31234"/>
      <w:bookmarkStart w:id="1882" w:name="_Toc6629"/>
      <w:bookmarkStart w:id="1883" w:name="_Toc57495071"/>
      <w:r>
        <w:rPr>
          <w:rFonts w:ascii="宋体" w:hAnsi="宋体" w:eastAsia="宋体" w:cs="黑体"/>
          <w:color w:val="auto"/>
          <w:kern w:val="0"/>
          <w:sz w:val="21"/>
          <w:szCs w:val="28"/>
          <w:highlight w:val="none"/>
        </w:rPr>
        <w:t>6. 开箱检验、安装、调试、考核、验收</w:t>
      </w:r>
      <w:bookmarkEnd w:id="1881"/>
      <w:bookmarkEnd w:id="1882"/>
      <w:bookmarkEnd w:id="1883"/>
    </w:p>
    <w:p w14:paraId="0F5238F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768F4A2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bookmarkStart w:id="1884" w:name="_Hlk46704853"/>
      <w:r>
        <w:rPr>
          <w:rFonts w:ascii="宋体" w:hAnsi="宋体" w:eastAsia="宋体" w:cs="黑体"/>
          <w:color w:val="auto"/>
          <w:kern w:val="0"/>
          <w:szCs w:val="21"/>
          <w:highlight w:val="none"/>
        </w:rPr>
        <w:t>6.2.1.1 安装调试按照方式（2）进行</w:t>
      </w:r>
      <w:r>
        <w:rPr>
          <w:rFonts w:hint="eastAsia" w:ascii="宋体" w:hAnsi="宋体" w:eastAsia="宋体" w:cs="黑体"/>
          <w:color w:val="auto"/>
          <w:kern w:val="0"/>
          <w:szCs w:val="21"/>
          <w:highlight w:val="none"/>
        </w:rPr>
        <w:t>，安装调试的具体工作由工程承包人按照工程施工合同执行</w:t>
      </w:r>
      <w:bookmarkStart w:id="1885" w:name="_Hlk51574035"/>
      <w:r>
        <w:rPr>
          <w:rFonts w:hint="eastAsia" w:ascii="宋体" w:hAnsi="宋体" w:eastAsia="宋体" w:cs="黑体"/>
          <w:color w:val="auto"/>
          <w:kern w:val="0"/>
          <w:szCs w:val="21"/>
          <w:highlight w:val="none"/>
        </w:rPr>
        <w:t>。卖方全权负责施工图纸及施工图工程量清单范围内变电安装工程的主变压器安装的指导，保证安装工作符合合同设备质量的要求，保证在安装过程中不发生导致合同设备质量受损的问题。</w:t>
      </w:r>
    </w:p>
    <w:bookmarkEnd w:id="1885"/>
    <w:p w14:paraId="03D56AA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6</w:t>
      </w:r>
      <w:r>
        <w:rPr>
          <w:rFonts w:ascii="宋体" w:hAnsi="宋体" w:eastAsia="宋体" w:cs="黑体"/>
          <w:color w:val="auto"/>
          <w:kern w:val="0"/>
          <w:szCs w:val="21"/>
          <w:highlight w:val="none"/>
        </w:rPr>
        <w:t xml:space="preserve">.2.1.2 </w:t>
      </w:r>
      <w:r>
        <w:rPr>
          <w:rFonts w:hint="eastAsia" w:ascii="宋体" w:hAnsi="宋体" w:eastAsia="宋体" w:cs="黑体"/>
          <w:color w:val="auto"/>
          <w:kern w:val="0"/>
          <w:szCs w:val="21"/>
          <w:highlight w:val="none"/>
        </w:rPr>
        <w:t>合同设备安装过程中，卖方应遵守技术协议的相关规定，并严格执行《中国南方电网有限责任公司电网建设施工作业指导书</w:t>
      </w:r>
      <w:r>
        <w:rPr>
          <w:rFonts w:ascii="宋体" w:hAnsi="宋体" w:eastAsia="宋体" w:cs="黑体"/>
          <w:color w:val="auto"/>
          <w:kern w:val="0"/>
          <w:szCs w:val="21"/>
          <w:highlight w:val="none"/>
        </w:rPr>
        <w:t>第2部分：变电电气安装》</w:t>
      </w:r>
      <w:r>
        <w:rPr>
          <w:rFonts w:hint="eastAsia" w:ascii="宋体" w:hAnsi="宋体" w:eastAsia="宋体" w:cs="黑体"/>
          <w:color w:val="auto"/>
          <w:kern w:val="0"/>
          <w:szCs w:val="21"/>
          <w:highlight w:val="none"/>
        </w:rPr>
        <w:t>，保证安装工程按期完工并达成以下管理目标：</w:t>
      </w:r>
    </w:p>
    <w:p w14:paraId="22DE311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全过程项目质量目标：以规范达标、绿色可靠、文档齐全、零缺陷作为质量总体目标。杜绝重大设备一般及以上质量事故，确保工程无永久性缺陷。满足国家、行业、南方电网公司质量标准、控制标准和验收规范，在质量管理过程中达到或超过质量标准，通过各级验收合格并完成启动投产。</w:t>
      </w:r>
    </w:p>
    <w:p w14:paraId="6B0DA72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（2）安全目标：杜绝人身死亡事故、杜绝人身重伤事故。</w:t>
      </w:r>
    </w:p>
    <w:p w14:paraId="2E579C7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（3）文明施工目标：按照《中国南方电网有限责任公司基建安全管理办法》的要求和标准布置施工现场的文明施工设施，创造良好和规范的安全文明施工环境。</w:t>
      </w:r>
    </w:p>
    <w:p w14:paraId="7AF98C3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卖方必须根据工程特点设立现场项目管理团队并按公司基建管理有关规定向业主、监理方报审，项目管理团队包括项目经理、技术负责人及具备安装工作经验的技术熟练工人，进入施工现场的人员应通过安全规程考试。</w:t>
      </w:r>
    </w:p>
    <w:p w14:paraId="0A479D3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6</w:t>
      </w:r>
      <w:r>
        <w:rPr>
          <w:rFonts w:ascii="宋体" w:hAnsi="宋体" w:eastAsia="宋体" w:cs="黑体"/>
          <w:color w:val="auto"/>
          <w:kern w:val="0"/>
          <w:szCs w:val="21"/>
          <w:highlight w:val="none"/>
        </w:rPr>
        <w:t xml:space="preserve">.2.1.3 </w:t>
      </w:r>
      <w:r>
        <w:rPr>
          <w:rFonts w:hint="eastAsia" w:ascii="宋体" w:hAnsi="宋体" w:eastAsia="宋体" w:cs="黑体"/>
          <w:color w:val="auto"/>
          <w:kern w:val="0"/>
          <w:szCs w:val="21"/>
          <w:highlight w:val="none"/>
        </w:rPr>
        <w:t>在合同设备安装过程中，</w:t>
      </w:r>
      <w:r>
        <w:rPr>
          <w:rFonts w:ascii="宋体" w:hAnsi="宋体" w:eastAsia="宋体" w:cs="黑体"/>
          <w:color w:val="auto"/>
          <w:kern w:val="0"/>
          <w:szCs w:val="21"/>
          <w:highlight w:val="none"/>
        </w:rPr>
        <w:t>卖方认为必要时应</w:t>
      </w:r>
      <w:r>
        <w:rPr>
          <w:rFonts w:hint="eastAsia" w:ascii="宋体" w:hAnsi="宋体" w:eastAsia="宋体" w:cs="黑体"/>
          <w:color w:val="auto"/>
          <w:kern w:val="0"/>
          <w:szCs w:val="21"/>
          <w:highlight w:val="none"/>
        </w:rPr>
        <w:t>及时</w:t>
      </w:r>
      <w:r>
        <w:rPr>
          <w:rFonts w:ascii="宋体" w:hAnsi="宋体" w:eastAsia="宋体" w:cs="黑体"/>
          <w:color w:val="auto"/>
          <w:kern w:val="0"/>
          <w:szCs w:val="21"/>
          <w:highlight w:val="none"/>
        </w:rPr>
        <w:t>提出</w:t>
      </w:r>
      <w:r>
        <w:rPr>
          <w:rFonts w:hint="eastAsia" w:ascii="宋体" w:hAnsi="宋体" w:eastAsia="宋体" w:cs="黑体"/>
          <w:color w:val="auto"/>
          <w:kern w:val="0"/>
          <w:szCs w:val="21"/>
          <w:highlight w:val="none"/>
        </w:rPr>
        <w:t>指导意见</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以保护合同设备的质量不受影响</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卖方在指导合同设备安装时享有的权利包括但不限于：</w:t>
      </w:r>
    </w:p>
    <w:p w14:paraId="0316A57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（1）根据需要提出</w:t>
      </w:r>
      <w:r>
        <w:rPr>
          <w:rFonts w:ascii="宋体" w:hAnsi="宋体" w:eastAsia="宋体" w:cs="黑体"/>
          <w:color w:val="auto"/>
          <w:kern w:val="0"/>
          <w:szCs w:val="21"/>
          <w:highlight w:val="none"/>
        </w:rPr>
        <w:t>进入现场</w:t>
      </w:r>
      <w:r>
        <w:rPr>
          <w:rFonts w:hint="eastAsia" w:ascii="宋体" w:hAnsi="宋体" w:eastAsia="宋体" w:cs="黑体"/>
          <w:color w:val="auto"/>
          <w:kern w:val="0"/>
          <w:szCs w:val="21"/>
          <w:highlight w:val="none"/>
        </w:rPr>
        <w:t>的权利。</w:t>
      </w:r>
    </w:p>
    <w:p w14:paraId="23B611A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（2）根据需要提出</w:t>
      </w:r>
      <w:r>
        <w:rPr>
          <w:rFonts w:ascii="宋体" w:hAnsi="宋体" w:eastAsia="宋体" w:cs="黑体"/>
          <w:color w:val="auto"/>
          <w:kern w:val="0"/>
          <w:szCs w:val="21"/>
          <w:highlight w:val="none"/>
        </w:rPr>
        <w:t>对承包人</w:t>
      </w:r>
      <w:r>
        <w:rPr>
          <w:rFonts w:hint="eastAsia" w:ascii="宋体" w:hAnsi="宋体" w:eastAsia="宋体" w:cs="黑体"/>
          <w:color w:val="auto"/>
          <w:kern w:val="0"/>
          <w:szCs w:val="21"/>
          <w:highlight w:val="none"/>
        </w:rPr>
        <w:t>的</w:t>
      </w:r>
      <w:r>
        <w:rPr>
          <w:rFonts w:ascii="宋体" w:hAnsi="宋体" w:eastAsia="宋体" w:cs="黑体"/>
          <w:color w:val="auto"/>
          <w:kern w:val="0"/>
          <w:szCs w:val="21"/>
          <w:highlight w:val="none"/>
        </w:rPr>
        <w:t>建议、检查、监督、奖罚</w:t>
      </w:r>
      <w:r>
        <w:rPr>
          <w:rFonts w:hint="eastAsia" w:ascii="宋体" w:hAnsi="宋体" w:eastAsia="宋体" w:cs="黑体"/>
          <w:color w:val="auto"/>
          <w:kern w:val="0"/>
          <w:szCs w:val="21"/>
          <w:highlight w:val="none"/>
        </w:rPr>
        <w:t>的权利。</w:t>
      </w:r>
    </w:p>
    <w:p w14:paraId="3E33A18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（3）根据需要提出</w:t>
      </w:r>
      <w:r>
        <w:rPr>
          <w:rFonts w:ascii="宋体" w:hAnsi="宋体" w:eastAsia="宋体" w:cs="黑体"/>
          <w:color w:val="auto"/>
          <w:kern w:val="0"/>
          <w:szCs w:val="21"/>
          <w:highlight w:val="none"/>
        </w:rPr>
        <w:t>获得相关工程资料</w:t>
      </w:r>
      <w:r>
        <w:rPr>
          <w:rFonts w:hint="eastAsia" w:ascii="宋体" w:hAnsi="宋体" w:eastAsia="宋体" w:cs="黑体"/>
          <w:color w:val="auto"/>
          <w:kern w:val="0"/>
          <w:szCs w:val="21"/>
          <w:highlight w:val="none"/>
        </w:rPr>
        <w:t>的权利。</w:t>
      </w:r>
    </w:p>
    <w:p w14:paraId="365C4BD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（4）根据需要</w:t>
      </w:r>
      <w:r>
        <w:rPr>
          <w:rFonts w:ascii="宋体" w:hAnsi="宋体" w:eastAsia="宋体" w:cs="黑体"/>
          <w:color w:val="auto"/>
          <w:kern w:val="0"/>
          <w:szCs w:val="21"/>
          <w:highlight w:val="none"/>
        </w:rPr>
        <w:t>建议承包人撤换不具备相关工作经验、资质或不能履行工作任务的承包人人员</w:t>
      </w:r>
      <w:r>
        <w:rPr>
          <w:rFonts w:hint="eastAsia" w:ascii="宋体" w:hAnsi="宋体" w:eastAsia="宋体" w:cs="黑体"/>
          <w:color w:val="auto"/>
          <w:kern w:val="0"/>
          <w:szCs w:val="21"/>
          <w:highlight w:val="none"/>
        </w:rPr>
        <w:t>的权利</w:t>
      </w:r>
      <w:r>
        <w:rPr>
          <w:rFonts w:ascii="宋体" w:hAnsi="宋体" w:eastAsia="宋体" w:cs="黑体"/>
          <w:color w:val="auto"/>
          <w:kern w:val="0"/>
          <w:szCs w:val="21"/>
          <w:highlight w:val="none"/>
        </w:rPr>
        <w:t>。</w:t>
      </w:r>
    </w:p>
    <w:p w14:paraId="7C52657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（5）根据需要提出参与审核批准施工的权利，根据需要建议停工的权利。</w:t>
      </w:r>
    </w:p>
    <w:p w14:paraId="63A066F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6</w:t>
      </w:r>
      <w:r>
        <w:rPr>
          <w:rFonts w:hint="eastAsia" w:ascii="宋体" w:hAnsi="宋体" w:eastAsia="宋体" w:cs="黑体"/>
          <w:color w:val="auto"/>
          <w:kern w:val="0"/>
          <w:szCs w:val="21"/>
          <w:highlight w:val="none"/>
        </w:rPr>
        <w:t>）根据需要提出参与审批承包人指导现场施工的技术文件及方案的权利。</w:t>
      </w:r>
    </w:p>
    <w:p w14:paraId="685900F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（7）根据需要提出整改要求的权利。</w:t>
      </w:r>
    </w:p>
    <w:p w14:paraId="2D289F5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（8）根据需要提出其他卖方认为涉及合同设备质量的建议的权利。</w:t>
      </w:r>
    </w:p>
    <w:p w14:paraId="1D919CC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6.2.1.4 卖方必须免费提供变压器油运输和安装过程中所需的油罐供买方使用，并由卖方自行回收，费用由卖方承担；卖方必须提供符合交接试验标准的变压器油，如变压器油需现场处理，相关费用由卖方承担。</w:t>
      </w:r>
    </w:p>
    <w:p w14:paraId="4C95DDD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6.2.1.5 合同设备安装完毕后，卖方应派人参加调试，并尽快解决出现的问题，调试所需时间应按买方要求为准。</w:t>
      </w:r>
    </w:p>
    <w:p w14:paraId="0F5B81D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6.2.1.6 如果由于买方未按照卖方所提供的技术资料、图纸、说明书进行调试</w:t>
      </w:r>
      <w:r>
        <w:rPr>
          <w:rFonts w:hint="eastAsia" w:ascii="宋体" w:hAnsi="宋体" w:eastAsia="宋体" w:cs="黑体"/>
          <w:color w:val="auto"/>
          <w:kern w:val="0"/>
          <w:szCs w:val="21"/>
          <w:highlight w:val="none"/>
        </w:rPr>
        <w:t>，或不可抗力</w:t>
      </w:r>
      <w:r>
        <w:rPr>
          <w:rFonts w:ascii="宋体" w:hAnsi="宋体" w:eastAsia="宋体" w:cs="黑体"/>
          <w:color w:val="auto"/>
          <w:kern w:val="0"/>
          <w:szCs w:val="21"/>
          <w:highlight w:val="none"/>
        </w:rPr>
        <w:t>造成</w:t>
      </w:r>
      <w:r>
        <w:rPr>
          <w:rFonts w:hint="eastAsia" w:ascii="宋体" w:hAnsi="宋体" w:eastAsia="宋体" w:cs="黑体"/>
          <w:color w:val="auto"/>
          <w:kern w:val="0"/>
          <w:szCs w:val="21"/>
          <w:highlight w:val="none"/>
        </w:rPr>
        <w:t>的</w:t>
      </w:r>
      <w:r>
        <w:rPr>
          <w:rFonts w:ascii="宋体" w:hAnsi="宋体" w:eastAsia="宋体" w:cs="黑体"/>
          <w:color w:val="auto"/>
          <w:kern w:val="0"/>
          <w:szCs w:val="21"/>
          <w:highlight w:val="none"/>
        </w:rPr>
        <w:t>合同设备</w:t>
      </w:r>
      <w:r>
        <w:rPr>
          <w:rFonts w:hint="eastAsia" w:ascii="宋体" w:hAnsi="宋体" w:eastAsia="宋体" w:cs="黑体"/>
          <w:color w:val="auto"/>
          <w:kern w:val="0"/>
          <w:szCs w:val="21"/>
          <w:highlight w:val="none"/>
        </w:rPr>
        <w:t>故障，</w:t>
      </w:r>
      <w:r>
        <w:rPr>
          <w:rFonts w:ascii="宋体" w:hAnsi="宋体" w:eastAsia="宋体" w:cs="黑体"/>
          <w:color w:val="auto"/>
          <w:kern w:val="0"/>
          <w:szCs w:val="21"/>
          <w:highlight w:val="none"/>
        </w:rPr>
        <w:t>由买方负责</w:t>
      </w:r>
      <w:r>
        <w:rPr>
          <w:rFonts w:hint="eastAsia" w:ascii="宋体" w:hAnsi="宋体" w:eastAsia="宋体" w:cs="黑体"/>
          <w:color w:val="auto"/>
          <w:kern w:val="0"/>
          <w:szCs w:val="21"/>
          <w:highlight w:val="none"/>
        </w:rPr>
        <w:t>维修或</w:t>
      </w:r>
      <w:r>
        <w:rPr>
          <w:rFonts w:ascii="宋体" w:hAnsi="宋体" w:eastAsia="宋体" w:cs="黑体"/>
          <w:color w:val="auto"/>
          <w:kern w:val="0"/>
          <w:szCs w:val="21"/>
          <w:highlight w:val="none"/>
        </w:rPr>
        <w:t>更换。</w:t>
      </w:r>
      <w:r>
        <w:rPr>
          <w:rFonts w:hint="eastAsia" w:ascii="宋体" w:hAnsi="宋体" w:eastAsia="宋体" w:cs="黑体"/>
          <w:color w:val="auto"/>
          <w:kern w:val="0"/>
          <w:szCs w:val="21"/>
          <w:highlight w:val="none"/>
        </w:rPr>
        <w:t>卖方应当在技术、人力、备件、设施、工具等方面予以配合。对于买方要求的紧急部件，卖方应安排最快的方式运输。所有费用均由买方承担。</w:t>
      </w:r>
      <w:bookmarkEnd w:id="1884"/>
    </w:p>
    <w:p w14:paraId="07469620">
      <w:pPr>
        <w:pStyle w:val="5"/>
        <w:spacing w:before="0" w:after="0" w:line="360" w:lineRule="auto"/>
        <w:rPr>
          <w:rFonts w:ascii="宋体" w:hAnsi="宋体" w:eastAsia="宋体" w:cs="黑体"/>
          <w:color w:val="auto"/>
          <w:kern w:val="0"/>
          <w:sz w:val="21"/>
          <w:szCs w:val="28"/>
          <w:highlight w:val="none"/>
        </w:rPr>
      </w:pPr>
      <w:bookmarkStart w:id="1886" w:name="_Toc24642"/>
      <w:bookmarkStart w:id="1887" w:name="_Toc57495072"/>
      <w:bookmarkStart w:id="1888" w:name="_Toc28211"/>
      <w:r>
        <w:rPr>
          <w:rFonts w:ascii="宋体" w:hAnsi="宋体" w:eastAsia="宋体" w:cs="黑体"/>
          <w:color w:val="auto"/>
          <w:kern w:val="0"/>
          <w:sz w:val="21"/>
          <w:szCs w:val="28"/>
          <w:highlight w:val="none"/>
        </w:rPr>
        <w:t>7. 技术服务</w:t>
      </w:r>
      <w:bookmarkEnd w:id="1886"/>
      <w:bookmarkEnd w:id="1887"/>
      <w:bookmarkEnd w:id="1888"/>
    </w:p>
    <w:p w14:paraId="0032BB6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7.1.5.6 卖方提供培训服务的总量应当不少于7×8人天。</w:t>
      </w:r>
    </w:p>
    <w:p w14:paraId="520B298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对培训合格人员，卖方应授予厂家认可的资质证书。卖方还应定期对合格人员进行培训，以保持其能力水平不下降。</w:t>
      </w:r>
    </w:p>
    <w:p w14:paraId="2C2E3B8C">
      <w:pPr>
        <w:pStyle w:val="5"/>
        <w:spacing w:before="0" w:after="0" w:line="360" w:lineRule="auto"/>
        <w:rPr>
          <w:rFonts w:ascii="宋体" w:hAnsi="宋体" w:eastAsia="宋体" w:cs="黑体"/>
          <w:color w:val="auto"/>
          <w:kern w:val="0"/>
          <w:sz w:val="21"/>
          <w:szCs w:val="28"/>
          <w:highlight w:val="none"/>
        </w:rPr>
      </w:pPr>
      <w:bookmarkStart w:id="1889" w:name="_Toc17677"/>
      <w:bookmarkStart w:id="1890" w:name="_Toc28427"/>
      <w:bookmarkStart w:id="1891" w:name="_Toc57495073"/>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889"/>
      <w:bookmarkEnd w:id="1890"/>
      <w:bookmarkEnd w:id="1891"/>
    </w:p>
    <w:p w14:paraId="516C1F9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的质量保证期为72个月。</w:t>
      </w:r>
    </w:p>
    <w:p w14:paraId="4364F4A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绝缘油的质保期为</w:t>
      </w:r>
      <w:r>
        <w:rPr>
          <w:rFonts w:ascii="宋体" w:hAnsi="宋体" w:eastAsia="宋体" w:cs="黑体"/>
          <w:color w:val="auto"/>
          <w:kern w:val="0"/>
          <w:szCs w:val="21"/>
          <w:highlight w:val="none"/>
        </w:rPr>
        <w:t>6年，质保期内如出现因油原因的劣化，变压器厂应负责免费更换绝缘油。</w:t>
      </w:r>
    </w:p>
    <w:p w14:paraId="6B5A6ED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8.1.1 </w:t>
      </w:r>
      <w:r>
        <w:rPr>
          <w:rFonts w:hint="eastAsia" w:ascii="宋体" w:hAnsi="宋体" w:eastAsia="宋体" w:cs="黑体"/>
          <w:color w:val="auto"/>
          <w:kern w:val="0"/>
          <w:szCs w:val="21"/>
          <w:highlight w:val="none"/>
        </w:rPr>
        <w:t>合同设备</w:t>
      </w:r>
      <w:r>
        <w:rPr>
          <w:rFonts w:ascii="宋体" w:hAnsi="宋体" w:eastAsia="宋体" w:cs="黑体"/>
          <w:color w:val="auto"/>
          <w:kern w:val="0"/>
          <w:szCs w:val="21"/>
          <w:highlight w:val="none"/>
        </w:rPr>
        <w:t>总装后，因试验不合格，需拆上铁轭时，每拆装一次，质量保证期应延长2年，并将拆装原因和处理情况列入出厂文件，且拆装和处理过程应有买方人员现场见证。</w:t>
      </w:r>
    </w:p>
    <w:p w14:paraId="589D14E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在试验中发现绝缘击穿，对修理部位的质量保证期应延长</w:t>
      </w:r>
      <w:r>
        <w:rPr>
          <w:rFonts w:ascii="宋体" w:hAnsi="宋体" w:eastAsia="宋体" w:cs="黑体"/>
          <w:color w:val="auto"/>
          <w:kern w:val="0"/>
          <w:szCs w:val="21"/>
          <w:highlight w:val="none"/>
        </w:rPr>
        <w:t>2年。</w:t>
      </w:r>
    </w:p>
    <w:p w14:paraId="6A60882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厂内局部放电试验不合格，每重复处理一次，其质保期应延长</w:t>
      </w:r>
      <w:r>
        <w:rPr>
          <w:rFonts w:ascii="宋体" w:hAnsi="宋体" w:eastAsia="宋体" w:cs="黑体"/>
          <w:color w:val="auto"/>
          <w:kern w:val="0"/>
          <w:szCs w:val="21"/>
          <w:highlight w:val="none"/>
        </w:rPr>
        <w:t>1年，并将原因和处理情况列入出厂文件，重复处理三次仍不合格的，买方有权拒收该变压器。</w:t>
      </w:r>
    </w:p>
    <w:p w14:paraId="3A056B51">
      <w:pPr>
        <w:pStyle w:val="5"/>
        <w:spacing w:before="0" w:after="0" w:line="360" w:lineRule="auto"/>
        <w:rPr>
          <w:rFonts w:ascii="宋体" w:hAnsi="宋体" w:eastAsia="宋体" w:cs="黑体"/>
          <w:color w:val="auto"/>
          <w:kern w:val="0"/>
          <w:sz w:val="21"/>
          <w:szCs w:val="28"/>
          <w:highlight w:val="none"/>
        </w:rPr>
      </w:pPr>
      <w:bookmarkStart w:id="1892" w:name="_Toc31167"/>
      <w:bookmarkStart w:id="1893" w:name="_Toc7777"/>
      <w:bookmarkStart w:id="1894" w:name="_Toc57495074"/>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w:t>
      </w:r>
      <w:r>
        <w:rPr>
          <w:rFonts w:hint="eastAsia" w:ascii="宋体" w:hAnsi="宋体" w:eastAsia="宋体" w:cs="黑体"/>
          <w:color w:val="auto"/>
          <w:kern w:val="0"/>
          <w:sz w:val="21"/>
          <w:szCs w:val="28"/>
          <w:highlight w:val="none"/>
        </w:rPr>
        <w:t>保证</w:t>
      </w:r>
      <w:bookmarkEnd w:id="1892"/>
      <w:bookmarkEnd w:id="1893"/>
      <w:bookmarkEnd w:id="1894"/>
    </w:p>
    <w:p w14:paraId="129AF57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bookmarkStart w:id="1895" w:name="_Hlk51161525"/>
      <w:r>
        <w:rPr>
          <w:rFonts w:ascii="宋体" w:hAnsi="宋体" w:eastAsia="宋体" w:cs="黑体"/>
          <w:color w:val="auto"/>
          <w:kern w:val="0"/>
          <w:szCs w:val="21"/>
          <w:highlight w:val="none"/>
        </w:rPr>
        <w:t>11.4.1 卖方承诺</w:t>
      </w:r>
      <w:bookmarkStart w:id="1896" w:name="_Hlk51761921"/>
      <w:r>
        <w:rPr>
          <w:rFonts w:ascii="宋体" w:hAnsi="宋体" w:eastAsia="宋体" w:cs="黑体"/>
          <w:color w:val="auto"/>
          <w:kern w:val="0"/>
          <w:szCs w:val="21"/>
          <w:highlight w:val="none"/>
        </w:rPr>
        <w:t>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的使用寿命不少于40年。</w:t>
      </w:r>
      <w:bookmarkEnd w:id="1896"/>
      <w:r>
        <w:rPr>
          <w:rFonts w:ascii="宋体" w:hAnsi="宋体" w:eastAsia="宋体" w:cs="黑体"/>
          <w:color w:val="auto"/>
          <w:kern w:val="0"/>
          <w:szCs w:val="21"/>
          <w:highlight w:val="none"/>
        </w:rPr>
        <w:t>在全生命周期内，</w:t>
      </w:r>
      <w:r>
        <w:rPr>
          <w:rFonts w:hint="eastAsia" w:ascii="宋体" w:hAnsi="宋体" w:eastAsia="宋体" w:cs="黑体"/>
          <w:color w:val="auto"/>
          <w:kern w:val="0"/>
          <w:szCs w:val="21"/>
          <w:highlight w:val="none"/>
        </w:rPr>
        <w:t>买方负责</w:t>
      </w:r>
      <w:r>
        <w:rPr>
          <w:rFonts w:hint="eastAsia" w:ascii="宋体" w:hAnsi="宋体" w:eastAsia="宋体" w:cs="宋体"/>
          <w:color w:val="auto"/>
          <w:kern w:val="0"/>
          <w:szCs w:val="21"/>
          <w:highlight w:val="none"/>
        </w:rPr>
        <w:t>LCC采购补充技术规范书“</w:t>
      </w:r>
      <w:r>
        <w:rPr>
          <w:rFonts w:ascii="宋体" w:hAnsi="宋体" w:eastAsia="宋体" w:cs="宋体"/>
          <w:color w:val="auto"/>
          <w:kern w:val="0"/>
          <w:szCs w:val="21"/>
          <w:highlight w:val="none"/>
        </w:rPr>
        <w:t>8质量保证”</w:t>
      </w:r>
      <w:r>
        <w:rPr>
          <w:rFonts w:hint="eastAsia" w:ascii="宋体" w:hAnsi="宋体" w:eastAsia="宋体" w:cs="宋体"/>
          <w:color w:val="auto"/>
          <w:kern w:val="0"/>
          <w:szCs w:val="21"/>
          <w:highlight w:val="none"/>
        </w:rPr>
        <w:t>规定的检查、检测、分析工作</w:t>
      </w:r>
      <w:bookmarkStart w:id="1897" w:name="_Hlk54164600"/>
      <w:r>
        <w:rPr>
          <w:rFonts w:hint="eastAsia" w:ascii="宋体" w:hAnsi="宋体" w:eastAsia="宋体" w:cs="宋体"/>
          <w:color w:val="auto"/>
          <w:kern w:val="0"/>
          <w:szCs w:val="21"/>
          <w:highlight w:val="none"/>
        </w:rPr>
        <w:t>（详见LCC采购补充技术规范书附录F油浸式电力变压器检修规程和附录G变压器及油浸式电抗器运维规程）</w:t>
      </w:r>
      <w:bookmarkEnd w:id="1897"/>
      <w:r>
        <w:rPr>
          <w:rFonts w:hint="eastAsia" w:ascii="宋体" w:hAnsi="宋体" w:eastAsia="宋体" w:cs="宋体"/>
          <w:color w:val="auto"/>
          <w:kern w:val="0"/>
          <w:szCs w:val="21"/>
          <w:highlight w:val="none"/>
        </w:rPr>
        <w:t>，其他所有工作由卖方负责。在全生命周期内，卖方保证合同设备的故障次数不会超过LCC采购补充技术规范书“</w:t>
      </w:r>
      <w:r>
        <w:rPr>
          <w:rFonts w:ascii="宋体" w:hAnsi="宋体" w:eastAsia="宋体" w:cs="宋体"/>
          <w:color w:val="auto"/>
          <w:kern w:val="0"/>
          <w:szCs w:val="21"/>
          <w:highlight w:val="none"/>
        </w:rPr>
        <w:t>8质量保证”</w:t>
      </w:r>
      <w:r>
        <w:rPr>
          <w:rFonts w:hint="eastAsia" w:ascii="宋体" w:hAnsi="宋体" w:eastAsia="宋体" w:cs="宋体"/>
          <w:color w:val="auto"/>
          <w:kern w:val="0"/>
          <w:szCs w:val="21"/>
          <w:highlight w:val="none"/>
        </w:rPr>
        <w:t>规定的全生命周期极限值（与极限值计算相关的缺陷定级标准详见LCC采购补充技术规范书附录H），并保证免费对合同设备发生的所有非不可抗力因素造成的故障进行维修或更换。</w:t>
      </w:r>
    </w:p>
    <w:bookmarkEnd w:id="1895"/>
    <w:p w14:paraId="6F75492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1.10 </w:t>
      </w:r>
      <w:r>
        <w:rPr>
          <w:rFonts w:hint="eastAsia" w:ascii="宋体" w:hAnsi="宋体" w:eastAsia="宋体" w:cs="黑体"/>
          <w:color w:val="auto"/>
          <w:kern w:val="0"/>
          <w:szCs w:val="21"/>
          <w:highlight w:val="none"/>
        </w:rPr>
        <w:t>买方在符合公司保密和数据管理要求的前提下将合同设备全生命周期的运维数据和运行数据开放给卖方，卖方可以通过定期派人查看、分析的模式，获知设备的运行情况</w:t>
      </w:r>
      <w:r>
        <w:rPr>
          <w:rFonts w:hint="eastAsia" w:ascii="宋体" w:hAnsi="宋体" w:eastAsia="宋体" w:cs="黑体"/>
          <w:color w:val="auto"/>
          <w:kern w:val="0"/>
          <w:szCs w:val="21"/>
          <w:highlight w:val="none"/>
          <w:lang w:eastAsia="zh-CN"/>
        </w:rPr>
        <w:t>。</w:t>
      </w:r>
      <w:r>
        <w:rPr>
          <w:rFonts w:hint="eastAsia" w:ascii="宋体" w:hAnsi="宋体" w:eastAsia="宋体" w:cs="黑体"/>
          <w:color w:val="auto"/>
          <w:kern w:val="0"/>
          <w:szCs w:val="21"/>
          <w:highlight w:val="none"/>
        </w:rPr>
        <w:t>卖方应对相关数据进行分析，及时发现问题和风险并向买方发送提示通知。必要时与买方一同制定应对方案并执行。</w:t>
      </w:r>
    </w:p>
    <w:p w14:paraId="73717D7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1.11 </w:t>
      </w:r>
      <w:r>
        <w:rPr>
          <w:rFonts w:hint="eastAsia" w:ascii="宋体" w:hAnsi="宋体" w:eastAsia="宋体" w:cs="黑体"/>
          <w:color w:val="auto"/>
          <w:kern w:val="0"/>
          <w:szCs w:val="21"/>
          <w:highlight w:val="none"/>
        </w:rPr>
        <w:t>买方应及时将合同设备异常状况通知卖方。卖方应在买方规定或双方商定的时间内提供合格的处理方案，并完成相关工作。买方应及时审核卖方的处理方案，在卖方执行方案时提供必要的协助，并及时考核卖方的处理结果。</w:t>
      </w:r>
    </w:p>
    <w:p w14:paraId="56571211">
      <w:pPr>
        <w:pStyle w:val="5"/>
        <w:spacing w:before="0" w:after="0" w:line="360" w:lineRule="auto"/>
        <w:rPr>
          <w:rFonts w:ascii="宋体" w:hAnsi="宋体" w:eastAsia="宋体" w:cs="黑体"/>
          <w:color w:val="auto"/>
          <w:kern w:val="0"/>
          <w:sz w:val="21"/>
          <w:szCs w:val="28"/>
          <w:highlight w:val="none"/>
        </w:rPr>
      </w:pPr>
      <w:bookmarkStart w:id="1898" w:name="_Toc11565"/>
      <w:bookmarkStart w:id="1899" w:name="_Toc362"/>
      <w:bookmarkStart w:id="1900" w:name="_Toc57495075"/>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898"/>
      <w:bookmarkEnd w:id="1899"/>
      <w:bookmarkEnd w:id="1900"/>
    </w:p>
    <w:p w14:paraId="3F2AEA13">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2972691B">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09F3A84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2625AE8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1）对于空载损耗，实测值如超过了投标保证值3%以下，则当100%额定电压下每台变压器的空载损耗较投标保证值每超出1kW则支付违约金10万元，超过值不足1kW者支付违约金按比例分摊。</w:t>
      </w:r>
    </w:p>
    <w:p w14:paraId="64B98FD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2）对于负载损耗（包括铜损、杂散损耗）实测值如超过投标保证值3%以下时，则当变压器在额定值下每台变压器的负载损耗较投标保证值每超过1kW则支付违约金4万元，超过值不足1kW者支付违约金按比例分摊。</w:t>
      </w:r>
    </w:p>
    <w:p w14:paraId="4A27EED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如果损耗值较投标保证值高于3%但小于5%时，则空载损耗每高1kW损耗的支付违约金应为前述（1）款规定的两倍，负载损耗（包括铜损、杂散损耗）每高1kW损耗的支付违约金应为前述（2）款规定的两倍；如果空载损耗值或负载损耗较投标保证值大于5%，则买受人拒收该变压器。</w:t>
      </w:r>
    </w:p>
    <w:p w14:paraId="2AC123B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4）最高的绕组温升每超过额定值时的绕组规定温升1K时，支付变压器合同价款2%的违约金。不足1K的值按比例计算,最高温升变化不得超过规定温升3K，否则买方拒收该变压器。</w:t>
      </w:r>
    </w:p>
    <w:p w14:paraId="4CA623A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5）对三绕组变压器高压－中压（双绕组变压器为高压－低压）间阻抗电压实测值在技术</w:t>
      </w:r>
      <w:r>
        <w:rPr>
          <w:rFonts w:hint="eastAsia" w:ascii="宋体" w:hAnsi="宋体" w:eastAsia="宋体" w:cs="黑体"/>
          <w:color w:val="auto"/>
          <w:kern w:val="0"/>
          <w:szCs w:val="21"/>
          <w:highlight w:val="none"/>
        </w:rPr>
        <w:t>规范书</w:t>
      </w:r>
      <w:r>
        <w:rPr>
          <w:rFonts w:ascii="宋体" w:hAnsi="宋体" w:eastAsia="宋体" w:cs="黑体"/>
          <w:color w:val="auto"/>
          <w:kern w:val="0"/>
          <w:szCs w:val="21"/>
          <w:highlight w:val="none"/>
        </w:rPr>
        <w:t>规定的允许偏差基础上，每增大1%支付合同价款5%的违约金。</w:t>
      </w:r>
    </w:p>
    <w:p w14:paraId="2E292B4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6）空载状态下，实测噪声声压级较保证值每高出1dB，卖方应进行降噪处理，直至符合保证值要求，并支付合同价款0.5%的违约金。</w:t>
      </w:r>
    </w:p>
    <w:p w14:paraId="1514D51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7）由于卖方的原因造成变压器不能在额定负载下连续运行，则其负载能力每降低5%，支付合同价款5%的违约金。</w:t>
      </w:r>
    </w:p>
    <w:p w14:paraId="572AC05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8）变压器本体不允许有渗漏油，如发现有渗漏情况，每发现1处漏点，支付违约金5000元，并进行现场处理。</w:t>
      </w:r>
    </w:p>
    <w:p w14:paraId="02A7A4C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9）现场交接试验中局部放电量每超过50pC（不足50pC按50pC计算），卖方应向买方支付合同价款1%的违约金。</w:t>
      </w:r>
    </w:p>
    <w:p w14:paraId="4ECED00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10）三维冲撞记录仪在运输全过程中记录不全或记录数据发现最大加速度超过3g的，卖方人员负责现场进入变压器箱体内检查或吊罩检查，若发现异常卖方须返厂处理，所产生的一切费用由卖方承担，若未发现异常，卖方必须书面承诺产品无质量问题，同时质保期在原有基础上再延长12个月；同时因此导致交货期延迟的按</w:t>
      </w:r>
      <w:r>
        <w:rPr>
          <w:rFonts w:hint="eastAsia" w:ascii="宋体" w:hAnsi="宋体" w:eastAsia="宋体" w:cs="黑体"/>
          <w:color w:val="auto"/>
          <w:kern w:val="0"/>
          <w:szCs w:val="21"/>
          <w:highlight w:val="none"/>
        </w:rPr>
        <w:t>通用部分的规定计算</w:t>
      </w:r>
      <w:r>
        <w:rPr>
          <w:rFonts w:ascii="宋体" w:hAnsi="宋体" w:eastAsia="宋体" w:cs="黑体"/>
          <w:color w:val="auto"/>
          <w:kern w:val="0"/>
          <w:szCs w:val="21"/>
          <w:highlight w:val="none"/>
        </w:rPr>
        <w:t>迟延交货违约金。</w:t>
      </w:r>
    </w:p>
    <w:p w14:paraId="0080C45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 监造及交货前检验</w:t>
      </w:r>
    </w:p>
    <w:p w14:paraId="1E88B3D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14.5.4 若卖方在生产前未提早将生产计划告知监造单位和买方，由于卖方擅自开始生产导致货物监造工作无法正常开展的，买方有权拒收该货物。</w:t>
      </w:r>
    </w:p>
    <w:p w14:paraId="37BF6E7A">
      <w:pPr>
        <w:topLinePunct/>
        <w:adjustRightInd w:val="0"/>
        <w:snapToGrid w:val="0"/>
        <w:spacing w:line="360" w:lineRule="auto"/>
        <w:ind w:firstLine="422" w:firstLineChars="200"/>
        <w:jc w:val="left"/>
        <w:rPr>
          <w:rFonts w:ascii="宋体" w:hAnsi="宋体" w:eastAsia="宋体" w:cs="黑体"/>
          <w:b/>
          <w:bCs/>
          <w:color w:val="auto"/>
          <w:kern w:val="0"/>
          <w:szCs w:val="21"/>
          <w:highlight w:val="none"/>
        </w:rPr>
      </w:pPr>
      <w:bookmarkStart w:id="1901" w:name="_Hlk46705745"/>
      <w:r>
        <w:rPr>
          <w:rFonts w:ascii="宋体" w:hAnsi="宋体" w:eastAsia="宋体" w:cs="黑体"/>
          <w:b/>
          <w:bCs/>
          <w:color w:val="auto"/>
          <w:kern w:val="0"/>
          <w:szCs w:val="21"/>
          <w:highlight w:val="none"/>
        </w:rPr>
        <w:t>14.7 开箱检验、安装、调试、考核、验收</w:t>
      </w:r>
    </w:p>
    <w:p w14:paraId="5F621D5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bookmarkStart w:id="1902" w:name="_Hlk51160241"/>
      <w:r>
        <w:rPr>
          <w:rFonts w:ascii="宋体" w:hAnsi="宋体" w:eastAsia="宋体" w:cs="黑体"/>
          <w:color w:val="auto"/>
          <w:kern w:val="0"/>
          <w:szCs w:val="21"/>
          <w:highlight w:val="none"/>
        </w:rPr>
        <w:t>14.7.9.1</w:t>
      </w:r>
      <w:r>
        <w:rPr>
          <w:rFonts w:hint="eastAsia" w:ascii="宋体" w:hAnsi="宋体" w:eastAsia="宋体" w:cs="黑体"/>
          <w:color w:val="auto"/>
          <w:kern w:val="0"/>
          <w:szCs w:val="21"/>
          <w:highlight w:val="none"/>
        </w:rPr>
        <w:t xml:space="preserve"> 卖方原因导致安装工程没有按时完成的，卖方应</w:t>
      </w:r>
      <w:r>
        <w:rPr>
          <w:rFonts w:ascii="宋体" w:hAnsi="宋体" w:eastAsia="宋体" w:cs="黑体"/>
          <w:color w:val="auto"/>
          <w:kern w:val="0"/>
          <w:szCs w:val="21"/>
          <w:highlight w:val="none"/>
        </w:rPr>
        <w:t>按延迟交货承担违约责任。</w:t>
      </w:r>
    </w:p>
    <w:p w14:paraId="6C6D0BC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4.7.9.2 </w:t>
      </w:r>
      <w:r>
        <w:rPr>
          <w:rFonts w:hint="eastAsia" w:ascii="宋体" w:hAnsi="宋体" w:eastAsia="宋体" w:cs="黑体"/>
          <w:color w:val="auto"/>
          <w:kern w:val="0"/>
          <w:szCs w:val="21"/>
          <w:highlight w:val="none"/>
        </w:rPr>
        <w:t>安装过程中发生的所有质量问题均由卖方承担全部责任，并负责自费整改。</w:t>
      </w:r>
    </w:p>
    <w:bookmarkEnd w:id="1901"/>
    <w:bookmarkEnd w:id="1902"/>
    <w:p w14:paraId="5796CBF7">
      <w:pPr>
        <w:topLinePunct/>
        <w:adjustRightInd w:val="0"/>
        <w:snapToGrid w:val="0"/>
        <w:spacing w:line="360" w:lineRule="auto"/>
        <w:ind w:firstLine="422" w:firstLineChars="200"/>
        <w:jc w:val="left"/>
        <w:rPr>
          <w:rFonts w:ascii="宋体" w:hAnsi="宋体" w:eastAsia="宋体" w:cs="黑体"/>
          <w:b/>
          <w:bCs/>
          <w:color w:val="auto"/>
          <w:kern w:val="0"/>
          <w:szCs w:val="21"/>
          <w:highlight w:val="none"/>
        </w:rPr>
      </w:pPr>
      <w:r>
        <w:rPr>
          <w:rFonts w:ascii="宋体" w:hAnsi="宋体" w:eastAsia="宋体" w:cs="黑体"/>
          <w:b/>
          <w:bCs/>
          <w:color w:val="auto"/>
          <w:kern w:val="0"/>
          <w:szCs w:val="21"/>
          <w:highlight w:val="none"/>
        </w:rPr>
        <w:t>14.11 保证</w:t>
      </w:r>
    </w:p>
    <w:p w14:paraId="4F15D81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bookmarkStart w:id="1903" w:name="_Hlk51228214"/>
      <w:bookmarkStart w:id="1904" w:name="_Hlk51167471"/>
      <w:r>
        <w:rPr>
          <w:rFonts w:ascii="宋体" w:hAnsi="宋体" w:eastAsia="宋体" w:cs="黑体"/>
          <w:color w:val="auto"/>
          <w:kern w:val="0"/>
          <w:szCs w:val="21"/>
          <w:highlight w:val="none"/>
        </w:rPr>
        <w:t>14.11.1 在全生命周期内</w:t>
      </w:r>
      <w:r>
        <w:rPr>
          <w:rFonts w:hint="eastAsia" w:ascii="宋体" w:hAnsi="宋体" w:eastAsia="宋体" w:cs="黑体"/>
          <w:color w:val="auto"/>
          <w:kern w:val="0"/>
          <w:szCs w:val="21"/>
          <w:highlight w:val="none"/>
        </w:rPr>
        <w:t>，买方负责</w:t>
      </w:r>
      <w:r>
        <w:rPr>
          <w:rFonts w:hint="eastAsia" w:ascii="宋体" w:hAnsi="宋体" w:eastAsia="宋体" w:cs="宋体"/>
          <w:color w:val="auto"/>
          <w:kern w:val="0"/>
          <w:szCs w:val="21"/>
          <w:highlight w:val="none"/>
        </w:rPr>
        <w:t>LCC采购补充技术规范书“</w:t>
      </w:r>
      <w:r>
        <w:rPr>
          <w:rFonts w:ascii="宋体" w:hAnsi="宋体" w:eastAsia="宋体" w:cs="宋体"/>
          <w:color w:val="auto"/>
          <w:kern w:val="0"/>
          <w:szCs w:val="21"/>
          <w:highlight w:val="none"/>
        </w:rPr>
        <w:t>8质量保证”</w:t>
      </w:r>
      <w:r>
        <w:rPr>
          <w:rFonts w:hint="eastAsia" w:ascii="宋体" w:hAnsi="宋体" w:eastAsia="宋体" w:cs="宋体"/>
          <w:color w:val="auto"/>
          <w:kern w:val="0"/>
          <w:szCs w:val="21"/>
          <w:highlight w:val="none"/>
        </w:rPr>
        <w:t>规定的检查、检测、分析工作（详见LCC采购补充技术规范书附录F油浸式电力变压器检修规程和附录G变压器及油浸式电抗器运维规程），</w:t>
      </w:r>
      <w:r>
        <w:rPr>
          <w:rFonts w:hint="eastAsia" w:ascii="宋体" w:hAnsi="宋体" w:eastAsia="宋体" w:cs="黑体"/>
          <w:color w:val="auto"/>
          <w:kern w:val="0"/>
          <w:szCs w:val="21"/>
          <w:highlight w:val="none"/>
        </w:rPr>
        <w:t>合同设备发生的所有非不可抗力因素造成的故障由卖方免费进行维修或更换。</w:t>
      </w:r>
    </w:p>
    <w:bookmarkEnd w:id="1903"/>
    <w:p w14:paraId="72D1F65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bookmarkStart w:id="1905" w:name="_Hlk51228341"/>
      <w:r>
        <w:rPr>
          <w:rFonts w:ascii="宋体" w:hAnsi="宋体" w:eastAsia="宋体" w:cs="黑体"/>
          <w:color w:val="auto"/>
          <w:kern w:val="0"/>
          <w:szCs w:val="21"/>
          <w:highlight w:val="none"/>
        </w:rPr>
        <w:t>14.11.2 在全生命周期内</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合同设备</w:t>
      </w:r>
      <w:r>
        <w:rPr>
          <w:rFonts w:hint="eastAsia" w:ascii="宋体" w:hAnsi="宋体" w:eastAsia="宋体" w:cs="黑体"/>
          <w:color w:val="auto"/>
          <w:kern w:val="0"/>
          <w:szCs w:val="21"/>
          <w:highlight w:val="none"/>
        </w:rPr>
        <w:t>的故障次数超过</w:t>
      </w:r>
      <w:r>
        <w:rPr>
          <w:rFonts w:hint="eastAsia" w:ascii="宋体" w:hAnsi="宋体" w:eastAsia="宋体" w:cs="宋体"/>
          <w:color w:val="auto"/>
          <w:kern w:val="0"/>
          <w:szCs w:val="21"/>
          <w:highlight w:val="none"/>
        </w:rPr>
        <w:t>LCC采购补充技术规范书“</w:t>
      </w:r>
      <w:r>
        <w:rPr>
          <w:rFonts w:ascii="宋体" w:hAnsi="宋体" w:eastAsia="宋体" w:cs="宋体"/>
          <w:color w:val="auto"/>
          <w:kern w:val="0"/>
          <w:szCs w:val="21"/>
          <w:highlight w:val="none"/>
        </w:rPr>
        <w:t>8质量保证”</w:t>
      </w:r>
      <w:r>
        <w:rPr>
          <w:rFonts w:hint="eastAsia" w:ascii="宋体" w:hAnsi="宋体" w:eastAsia="宋体" w:cs="宋体"/>
          <w:color w:val="auto"/>
          <w:kern w:val="0"/>
          <w:szCs w:val="21"/>
          <w:highlight w:val="none"/>
        </w:rPr>
        <w:t>规定的全生命周期极限值时，卖方应免费对故障设备</w:t>
      </w:r>
      <w:r>
        <w:rPr>
          <w:rFonts w:hint="eastAsia" w:ascii="宋体" w:hAnsi="宋体" w:eastAsia="宋体" w:cs="黑体"/>
          <w:color w:val="auto"/>
          <w:kern w:val="0"/>
          <w:szCs w:val="21"/>
          <w:highlight w:val="none"/>
        </w:rPr>
        <w:t>进行维修或更换，并赔偿买方因此产生的损失。</w:t>
      </w:r>
    </w:p>
    <w:p w14:paraId="499C5659">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ascii="宋体" w:hAnsi="宋体" w:eastAsia="宋体" w:cs="黑体"/>
          <w:color w:val="auto"/>
          <w:kern w:val="0"/>
          <w:szCs w:val="21"/>
          <w:highlight w:val="none"/>
        </w:rPr>
        <w:t>买方的损失包括但不限于人工费、材料费、重新安装费</w:t>
      </w:r>
      <w:r>
        <w:rPr>
          <w:rFonts w:hint="eastAsia" w:ascii="宋体" w:hAnsi="宋体" w:eastAsia="宋体" w:cs="黑体"/>
          <w:color w:val="auto"/>
          <w:kern w:val="0"/>
          <w:szCs w:val="21"/>
          <w:highlight w:val="none"/>
          <w:lang w:eastAsia="zh-CN"/>
        </w:rPr>
        <w:t>、</w:t>
      </w:r>
      <w:r>
        <w:rPr>
          <w:rFonts w:hint="eastAsia" w:ascii="宋体" w:hAnsi="宋体" w:eastAsia="宋体" w:cs="黑体"/>
          <w:color w:val="auto"/>
          <w:kern w:val="0"/>
          <w:szCs w:val="21"/>
          <w:highlight w:val="none"/>
        </w:rPr>
        <w:t>故障停运损失等，其他合同条款对赔偿标准有相关规定的比照其规定确定赔偿金额。</w:t>
      </w:r>
    </w:p>
    <w:p w14:paraId="4DD80834">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合同设备的故障次数超过LCC采购补充技术规范书“8质量保证”规定的全生命周期极限值时，因故障造成停运的，每停运一次卖方应向买方支付合同价款2％的违约金。如停运超过72小时，每增加24小时，卖方应向买方额外支付合同总价格0.5%的违约金。</w:t>
      </w:r>
    </w:p>
    <w:p w14:paraId="4898A1F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4.11.3 </w:t>
      </w:r>
      <w:r>
        <w:rPr>
          <w:rFonts w:hint="eastAsia" w:ascii="宋体" w:hAnsi="宋体" w:eastAsia="宋体" w:cs="黑体"/>
          <w:color w:val="auto"/>
          <w:kern w:val="0"/>
          <w:szCs w:val="21"/>
          <w:highlight w:val="none"/>
        </w:rPr>
        <w:t>卖方实施修理或更换前，应先将处理方案提交买方审批。故障处理过程中产生的所有费用由卖方承担，包括但不限于人工费、所需更换的材料费。</w:t>
      </w:r>
    </w:p>
    <w:bookmarkEnd w:id="1905"/>
    <w:p w14:paraId="5CF30F2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14.11.</w:t>
      </w:r>
      <w:r>
        <w:rPr>
          <w:rFonts w:hint="eastAsia" w:ascii="宋体" w:hAnsi="宋体" w:eastAsia="宋体" w:cs="黑体"/>
          <w:color w:val="auto"/>
          <w:kern w:val="0"/>
          <w:szCs w:val="21"/>
          <w:highlight w:val="none"/>
          <w:lang w:val="en-US" w:eastAsia="zh-CN"/>
        </w:rPr>
        <w:t>4</w:t>
      </w:r>
      <w:r>
        <w:rPr>
          <w:rFonts w:ascii="宋体" w:hAnsi="宋体" w:eastAsia="宋体" w:cs="黑体"/>
          <w:color w:val="auto"/>
          <w:kern w:val="0"/>
          <w:szCs w:val="21"/>
          <w:highlight w:val="none"/>
        </w:rPr>
        <w:t xml:space="preserve"> 卖方不及时提供合格的处理方案，或不及时实施</w:t>
      </w:r>
      <w:r>
        <w:rPr>
          <w:rFonts w:hint="eastAsia" w:ascii="宋体" w:hAnsi="宋体" w:eastAsia="宋体" w:cs="黑体"/>
          <w:color w:val="auto"/>
          <w:kern w:val="0"/>
          <w:szCs w:val="21"/>
          <w:highlight w:val="none"/>
        </w:rPr>
        <w:t>维修、更换</w:t>
      </w:r>
      <w:r>
        <w:rPr>
          <w:rFonts w:ascii="宋体" w:hAnsi="宋体" w:eastAsia="宋体" w:cs="黑体"/>
          <w:color w:val="auto"/>
          <w:kern w:val="0"/>
          <w:szCs w:val="21"/>
          <w:highlight w:val="none"/>
        </w:rPr>
        <w:t>等工作</w:t>
      </w:r>
      <w:r>
        <w:rPr>
          <w:rFonts w:hint="eastAsia" w:ascii="宋体" w:hAnsi="宋体" w:eastAsia="宋体" w:cs="黑体"/>
          <w:color w:val="auto"/>
          <w:kern w:val="0"/>
          <w:szCs w:val="21"/>
          <w:highlight w:val="none"/>
        </w:rPr>
        <w:t>，</w:t>
      </w:r>
      <w:bookmarkStart w:id="1906" w:name="_Hlk45540833"/>
      <w:r>
        <w:rPr>
          <w:rFonts w:hint="eastAsia" w:ascii="宋体" w:hAnsi="宋体" w:eastAsia="宋体" w:cs="黑体"/>
          <w:color w:val="auto"/>
          <w:kern w:val="0"/>
          <w:szCs w:val="21"/>
          <w:highlight w:val="none"/>
        </w:rPr>
        <w:t>或合同设备状况需要紧急处理</w:t>
      </w:r>
      <w:r>
        <w:rPr>
          <w:rFonts w:ascii="宋体" w:hAnsi="宋体" w:eastAsia="宋体" w:cs="黑体"/>
          <w:color w:val="auto"/>
          <w:kern w:val="0"/>
          <w:szCs w:val="21"/>
          <w:highlight w:val="none"/>
        </w:rPr>
        <w:t>的，</w:t>
      </w:r>
      <w:bookmarkEnd w:id="1906"/>
      <w:r>
        <w:rPr>
          <w:rFonts w:ascii="宋体" w:hAnsi="宋体" w:eastAsia="宋体" w:cs="黑体"/>
          <w:color w:val="auto"/>
          <w:kern w:val="0"/>
          <w:szCs w:val="21"/>
          <w:highlight w:val="none"/>
        </w:rPr>
        <w:t>买方有权自主或交由第三方</w:t>
      </w:r>
      <w:r>
        <w:rPr>
          <w:rFonts w:hint="eastAsia" w:ascii="宋体" w:hAnsi="宋体" w:eastAsia="宋体" w:cs="黑体"/>
          <w:color w:val="auto"/>
          <w:kern w:val="0"/>
          <w:szCs w:val="21"/>
          <w:highlight w:val="none"/>
        </w:rPr>
        <w:t>进行故障处理</w:t>
      </w:r>
      <w:r>
        <w:rPr>
          <w:rFonts w:ascii="宋体" w:hAnsi="宋体" w:eastAsia="宋体" w:cs="黑体"/>
          <w:color w:val="auto"/>
          <w:kern w:val="0"/>
          <w:szCs w:val="21"/>
          <w:highlight w:val="none"/>
        </w:rPr>
        <w:t>。卖方承担</w:t>
      </w:r>
      <w:r>
        <w:rPr>
          <w:rFonts w:hint="eastAsia" w:ascii="宋体" w:hAnsi="宋体" w:eastAsia="宋体" w:cs="黑体"/>
          <w:color w:val="auto"/>
          <w:kern w:val="0"/>
          <w:szCs w:val="21"/>
          <w:highlight w:val="none"/>
        </w:rPr>
        <w:t>所有</w:t>
      </w:r>
      <w:r>
        <w:rPr>
          <w:rFonts w:ascii="宋体" w:hAnsi="宋体" w:eastAsia="宋体" w:cs="黑体"/>
          <w:color w:val="auto"/>
          <w:kern w:val="0"/>
          <w:szCs w:val="21"/>
          <w:highlight w:val="none"/>
        </w:rPr>
        <w:t>费用</w:t>
      </w:r>
      <w:r>
        <w:rPr>
          <w:rFonts w:hint="eastAsia" w:ascii="宋体" w:hAnsi="宋体" w:eastAsia="宋体" w:cs="黑体"/>
          <w:color w:val="auto"/>
          <w:kern w:val="0"/>
          <w:szCs w:val="21"/>
          <w:highlight w:val="none"/>
        </w:rPr>
        <w:t>，并</w:t>
      </w:r>
      <w:r>
        <w:rPr>
          <w:rFonts w:ascii="宋体" w:hAnsi="宋体" w:eastAsia="宋体" w:cs="黑体"/>
          <w:color w:val="auto"/>
          <w:kern w:val="0"/>
          <w:szCs w:val="21"/>
          <w:highlight w:val="none"/>
        </w:rPr>
        <w:t>赔偿买方的</w:t>
      </w:r>
      <w:r>
        <w:rPr>
          <w:rFonts w:hint="eastAsia" w:ascii="宋体" w:hAnsi="宋体" w:eastAsia="宋体" w:cs="黑体"/>
          <w:color w:val="auto"/>
          <w:kern w:val="0"/>
          <w:szCs w:val="21"/>
          <w:highlight w:val="none"/>
        </w:rPr>
        <w:t>全部</w:t>
      </w:r>
      <w:r>
        <w:rPr>
          <w:rFonts w:ascii="宋体" w:hAnsi="宋体" w:eastAsia="宋体" w:cs="黑体"/>
          <w:color w:val="auto"/>
          <w:kern w:val="0"/>
          <w:szCs w:val="21"/>
          <w:highlight w:val="none"/>
        </w:rPr>
        <w:t>损失。</w:t>
      </w:r>
    </w:p>
    <w:p w14:paraId="5449355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bookmarkStart w:id="1907" w:name="_Hlk46706466"/>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4.11.</w:t>
      </w:r>
      <w:r>
        <w:rPr>
          <w:rFonts w:hint="eastAsia" w:ascii="宋体" w:hAnsi="宋体" w:eastAsia="宋体" w:cs="黑体"/>
          <w:color w:val="auto"/>
          <w:kern w:val="0"/>
          <w:szCs w:val="21"/>
          <w:highlight w:val="none"/>
          <w:lang w:val="en-US" w:eastAsia="zh-CN"/>
        </w:rPr>
        <w:t>5</w:t>
      </w:r>
      <w:r>
        <w:rPr>
          <w:rFonts w:ascii="宋体" w:hAnsi="宋体" w:eastAsia="宋体" w:cs="黑体"/>
          <w:color w:val="auto"/>
          <w:kern w:val="0"/>
          <w:szCs w:val="21"/>
          <w:highlight w:val="none"/>
        </w:rPr>
        <w:t xml:space="preserve"> </w:t>
      </w:r>
      <w:r>
        <w:rPr>
          <w:rFonts w:hint="eastAsia" w:ascii="宋体" w:hAnsi="宋体" w:eastAsia="宋体" w:cs="黑体"/>
          <w:color w:val="auto"/>
          <w:kern w:val="0"/>
          <w:szCs w:val="21"/>
          <w:highlight w:val="none"/>
        </w:rPr>
        <w:t>卖方认为买方提供的合同设备全生命周期运维数据在真实性、全面性、合规性、合理性等方面存在问题的，应当在收到通知后的7日内提出异议，否则视为数据合格。</w:t>
      </w:r>
      <w:bookmarkEnd w:id="1904"/>
      <w:bookmarkEnd w:id="1907"/>
    </w:p>
    <w:p w14:paraId="4D13F690">
      <w:pPr>
        <w:pStyle w:val="4"/>
        <w:jc w:val="center"/>
        <w:rPr>
          <w:rFonts w:ascii="宋体" w:hAnsi="宋体" w:eastAsia="宋体" w:cs="Times New Roman"/>
          <w:color w:val="auto"/>
          <w:kern w:val="0"/>
          <w:sz w:val="28"/>
          <w:highlight w:val="none"/>
        </w:rPr>
      </w:pPr>
      <w:bookmarkStart w:id="1908" w:name="_Toc19531"/>
      <w:bookmarkStart w:id="1909" w:name="_Toc57495076"/>
      <w:bookmarkStart w:id="1910" w:name="_Toc21279"/>
      <w:r>
        <w:rPr>
          <w:rFonts w:hint="eastAsia" w:ascii="宋体" w:hAnsi="宋体" w:eastAsia="宋体" w:cs="Times New Roman"/>
          <w:color w:val="auto"/>
          <w:kern w:val="0"/>
          <w:sz w:val="28"/>
          <w:highlight w:val="none"/>
        </w:rPr>
        <w:t>（四十七）组合电器（L</w:t>
      </w:r>
      <w:r>
        <w:rPr>
          <w:rFonts w:ascii="宋体" w:hAnsi="宋体" w:eastAsia="宋体" w:cs="Times New Roman"/>
          <w:color w:val="auto"/>
          <w:kern w:val="0"/>
          <w:sz w:val="28"/>
          <w:highlight w:val="none"/>
        </w:rPr>
        <w:t>CC</w:t>
      </w:r>
      <w:r>
        <w:rPr>
          <w:rFonts w:hint="eastAsia" w:ascii="宋体" w:hAnsi="宋体" w:eastAsia="宋体" w:cs="Times New Roman"/>
          <w:color w:val="auto"/>
          <w:kern w:val="0"/>
          <w:sz w:val="28"/>
          <w:highlight w:val="none"/>
        </w:rPr>
        <w:t>采购）</w:t>
      </w:r>
      <w:bookmarkEnd w:id="1908"/>
      <w:bookmarkEnd w:id="1909"/>
      <w:bookmarkEnd w:id="1910"/>
    </w:p>
    <w:p w14:paraId="3B0858B9">
      <w:pPr>
        <w:pStyle w:val="5"/>
        <w:spacing w:before="0" w:after="0" w:line="360" w:lineRule="auto"/>
        <w:rPr>
          <w:rFonts w:ascii="宋体" w:hAnsi="宋体" w:eastAsia="宋体" w:cs="黑体"/>
          <w:color w:val="auto"/>
          <w:kern w:val="0"/>
          <w:sz w:val="21"/>
          <w:szCs w:val="28"/>
          <w:highlight w:val="none"/>
        </w:rPr>
      </w:pPr>
      <w:bookmarkStart w:id="1911" w:name="_Toc31344"/>
      <w:bookmarkStart w:id="1912" w:name="_Toc57495077"/>
      <w:bookmarkStart w:id="1913" w:name="_Toc16953"/>
      <w:r>
        <w:rPr>
          <w:rFonts w:ascii="宋体" w:hAnsi="宋体" w:eastAsia="宋体" w:cs="黑体"/>
          <w:color w:val="auto"/>
          <w:kern w:val="0"/>
          <w:sz w:val="21"/>
          <w:szCs w:val="28"/>
          <w:highlight w:val="none"/>
        </w:rPr>
        <w:t>1.</w:t>
      </w:r>
      <w:r>
        <w:rPr>
          <w:rFonts w:hint="eastAsia" w:ascii="宋体" w:hAnsi="宋体" w:eastAsia="宋体" w:cs="黑体"/>
          <w:color w:val="auto"/>
          <w:kern w:val="0"/>
          <w:sz w:val="21"/>
          <w:szCs w:val="28"/>
          <w:highlight w:val="none"/>
        </w:rPr>
        <w:t>一般约定</w:t>
      </w:r>
      <w:bookmarkEnd w:id="1911"/>
      <w:bookmarkEnd w:id="1912"/>
      <w:bookmarkEnd w:id="1913"/>
    </w:p>
    <w:p w14:paraId="24E83205">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 xml:space="preserve">1.1.4.5.6 </w:t>
      </w:r>
      <w:r>
        <w:rPr>
          <w:rFonts w:hint="eastAsia" w:ascii="宋体" w:hAnsi="宋体" w:eastAsia="宋体" w:cs="宋体"/>
          <w:color w:val="auto"/>
          <w:kern w:val="0"/>
          <w:szCs w:val="21"/>
          <w:highlight w:val="none"/>
        </w:rPr>
        <w:t>故障：本补充协议中的故障是指合同设备不能执行规定功能的状态。</w:t>
      </w:r>
      <w:r>
        <w:rPr>
          <w:rFonts w:ascii="宋体" w:hAnsi="宋体" w:eastAsia="宋体" w:cs="宋体"/>
          <w:color w:val="auto"/>
          <w:kern w:val="0"/>
          <w:szCs w:val="21"/>
          <w:highlight w:val="none"/>
        </w:rPr>
        <w:t>A类故障</w:t>
      </w:r>
      <w:r>
        <w:rPr>
          <w:rFonts w:hint="eastAsia" w:ascii="宋体" w:hAnsi="宋体" w:eastAsia="宋体" w:cs="宋体"/>
          <w:color w:val="auto"/>
          <w:kern w:val="0"/>
          <w:szCs w:val="21"/>
          <w:highlight w:val="none"/>
        </w:rPr>
        <w:t>是指因合同</w:t>
      </w:r>
      <w:r>
        <w:rPr>
          <w:rFonts w:ascii="宋体" w:hAnsi="宋体" w:eastAsia="宋体" w:cs="宋体"/>
          <w:color w:val="auto"/>
          <w:kern w:val="0"/>
          <w:szCs w:val="21"/>
          <w:highlight w:val="none"/>
        </w:rPr>
        <w:t>设备</w:t>
      </w:r>
      <w:r>
        <w:rPr>
          <w:rFonts w:hint="eastAsia" w:ascii="宋体" w:hAnsi="宋体" w:eastAsia="宋体" w:cs="宋体"/>
          <w:color w:val="auto"/>
          <w:kern w:val="0"/>
          <w:szCs w:val="21"/>
          <w:highlight w:val="none"/>
        </w:rPr>
        <w:t>缺陷</w:t>
      </w:r>
      <w:r>
        <w:rPr>
          <w:rFonts w:ascii="宋体" w:hAnsi="宋体" w:eastAsia="宋体" w:cs="宋体"/>
          <w:color w:val="auto"/>
          <w:kern w:val="0"/>
          <w:szCs w:val="21"/>
          <w:highlight w:val="none"/>
        </w:rPr>
        <w:t>导致的事故事件和紧急</w:t>
      </w:r>
      <w:r>
        <w:rPr>
          <w:rFonts w:hint="eastAsia" w:ascii="宋体" w:hAnsi="宋体" w:eastAsia="宋体" w:cs="宋体"/>
          <w:color w:val="auto"/>
          <w:kern w:val="0"/>
          <w:szCs w:val="21"/>
          <w:highlight w:val="none"/>
        </w:rPr>
        <w:t>、重大缺陷</w:t>
      </w:r>
      <w:r>
        <w:rPr>
          <w:rFonts w:ascii="宋体" w:hAnsi="宋体" w:eastAsia="宋体" w:cs="宋体"/>
          <w:color w:val="auto"/>
          <w:kern w:val="0"/>
          <w:szCs w:val="21"/>
          <w:highlight w:val="none"/>
        </w:rPr>
        <w:t>，B类故障</w:t>
      </w:r>
      <w:r>
        <w:rPr>
          <w:rFonts w:hint="eastAsia" w:ascii="宋体" w:hAnsi="宋体" w:eastAsia="宋体" w:cs="宋体"/>
          <w:color w:val="auto"/>
          <w:kern w:val="0"/>
          <w:szCs w:val="21"/>
          <w:highlight w:val="none"/>
        </w:rPr>
        <w:t>是指</w:t>
      </w:r>
      <w:r>
        <w:rPr>
          <w:rFonts w:ascii="宋体" w:hAnsi="宋体" w:eastAsia="宋体" w:cs="宋体"/>
          <w:color w:val="auto"/>
          <w:kern w:val="0"/>
          <w:szCs w:val="21"/>
          <w:highlight w:val="none"/>
        </w:rPr>
        <w:t>一般和其他缺陷</w:t>
      </w:r>
      <w:r>
        <w:rPr>
          <w:rFonts w:hint="eastAsia" w:ascii="宋体" w:hAnsi="宋体" w:eastAsia="宋体" w:cs="宋体"/>
          <w:color w:val="auto"/>
          <w:kern w:val="0"/>
          <w:szCs w:val="21"/>
          <w:highlight w:val="none"/>
        </w:rPr>
        <w:t>。缺陷定级标准详见LCC采购补充技术规范书附录</w:t>
      </w:r>
      <w:r>
        <w:rPr>
          <w:rFonts w:ascii="宋体" w:hAnsi="宋体" w:eastAsia="宋体" w:cs="宋体"/>
          <w:color w:val="auto"/>
          <w:kern w:val="0"/>
          <w:szCs w:val="21"/>
          <w:highlight w:val="none"/>
        </w:rPr>
        <w:t>F</w:t>
      </w:r>
      <w:r>
        <w:rPr>
          <w:rFonts w:hint="eastAsia" w:ascii="宋体" w:hAnsi="宋体" w:eastAsia="宋体" w:cs="宋体"/>
          <w:color w:val="auto"/>
          <w:kern w:val="0"/>
          <w:szCs w:val="21"/>
          <w:highlight w:val="none"/>
        </w:rPr>
        <w:t>。</w:t>
      </w:r>
    </w:p>
    <w:p w14:paraId="68249EF2">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 xml:space="preserve">1.1.19 </w:t>
      </w:r>
      <w:r>
        <w:rPr>
          <w:rFonts w:hint="eastAsia" w:ascii="宋体" w:hAnsi="宋体" w:eastAsia="宋体" w:cs="宋体"/>
          <w:color w:val="auto"/>
          <w:kern w:val="0"/>
          <w:szCs w:val="21"/>
          <w:highlight w:val="none"/>
        </w:rPr>
        <w:t>全寿命周期成本（</w:t>
      </w:r>
      <w:r>
        <w:rPr>
          <w:rFonts w:ascii="宋体" w:hAnsi="宋体" w:eastAsia="宋体" w:cs="宋体"/>
          <w:color w:val="auto"/>
          <w:kern w:val="0"/>
          <w:szCs w:val="21"/>
          <w:highlight w:val="none"/>
        </w:rPr>
        <w:t>Life Cycle Cost</w:t>
      </w:r>
      <w:r>
        <w:rPr>
          <w:rFonts w:hint="eastAsia" w:ascii="宋体" w:hAnsi="宋体" w:eastAsia="宋体" w:cs="宋体"/>
          <w:color w:val="auto"/>
          <w:kern w:val="0"/>
          <w:szCs w:val="21"/>
          <w:highlight w:val="none"/>
        </w:rPr>
        <w:t>，简称</w:t>
      </w:r>
      <w:r>
        <w:rPr>
          <w:rFonts w:ascii="宋体" w:hAnsi="宋体" w:eastAsia="宋体" w:cs="宋体"/>
          <w:color w:val="auto"/>
          <w:kern w:val="0"/>
          <w:szCs w:val="21"/>
          <w:highlight w:val="none"/>
        </w:rPr>
        <w:t>LCC）</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是指产品在有效使用期间所发生的与该产品有关的</w:t>
      </w:r>
      <w:r>
        <w:rPr>
          <w:rFonts w:hint="eastAsia" w:ascii="宋体" w:hAnsi="宋体" w:eastAsia="宋体" w:cs="宋体"/>
          <w:color w:val="auto"/>
          <w:kern w:val="0"/>
          <w:szCs w:val="21"/>
          <w:highlight w:val="none"/>
        </w:rPr>
        <w:t>所有成本。L</w:t>
      </w:r>
      <w:r>
        <w:rPr>
          <w:rFonts w:ascii="宋体" w:hAnsi="宋体" w:eastAsia="宋体" w:cs="宋体"/>
          <w:color w:val="auto"/>
          <w:kern w:val="0"/>
          <w:szCs w:val="21"/>
          <w:highlight w:val="none"/>
        </w:rPr>
        <w:t>CC</w:t>
      </w:r>
      <w:r>
        <w:rPr>
          <w:rFonts w:hint="eastAsia" w:ascii="宋体" w:hAnsi="宋体" w:eastAsia="宋体" w:cs="宋体"/>
          <w:color w:val="auto"/>
          <w:kern w:val="0"/>
          <w:szCs w:val="21"/>
          <w:highlight w:val="none"/>
        </w:rPr>
        <w:t>采购</w:t>
      </w:r>
      <w:r>
        <w:rPr>
          <w:rFonts w:ascii="宋体" w:hAnsi="宋体" w:eastAsia="宋体" w:cs="宋体"/>
          <w:color w:val="auto"/>
          <w:kern w:val="0"/>
          <w:szCs w:val="21"/>
          <w:highlight w:val="none"/>
        </w:rPr>
        <w:t>从</w:t>
      </w:r>
      <w:r>
        <w:rPr>
          <w:rFonts w:hint="eastAsia" w:ascii="宋体" w:hAnsi="宋体" w:eastAsia="宋体" w:cs="宋体"/>
          <w:color w:val="auto"/>
          <w:kern w:val="0"/>
          <w:szCs w:val="21"/>
          <w:highlight w:val="none"/>
        </w:rPr>
        <w:t>合同</w:t>
      </w:r>
      <w:r>
        <w:rPr>
          <w:rFonts w:ascii="宋体" w:hAnsi="宋体" w:eastAsia="宋体" w:cs="宋体"/>
          <w:color w:val="auto"/>
          <w:kern w:val="0"/>
          <w:szCs w:val="21"/>
          <w:highlight w:val="none"/>
        </w:rPr>
        <w:t>设备的长期经济效益出发，全面考虑</w:t>
      </w:r>
      <w:r>
        <w:rPr>
          <w:rFonts w:hint="eastAsia" w:ascii="宋体" w:hAnsi="宋体" w:eastAsia="宋体" w:cs="宋体"/>
          <w:color w:val="auto"/>
          <w:kern w:val="0"/>
          <w:szCs w:val="21"/>
          <w:highlight w:val="none"/>
        </w:rPr>
        <w:t>合同设备</w:t>
      </w:r>
      <w:r>
        <w:rPr>
          <w:rFonts w:ascii="宋体" w:hAnsi="宋体" w:eastAsia="宋体" w:cs="宋体"/>
          <w:color w:val="auto"/>
          <w:kern w:val="0"/>
          <w:szCs w:val="21"/>
          <w:highlight w:val="none"/>
        </w:rPr>
        <w:t>的规划、设计、制造、购置、安装、运行、维修、改造、更新直至报废的全过程，在满足性能/可靠性</w:t>
      </w:r>
      <w:r>
        <w:rPr>
          <w:rFonts w:hint="eastAsia" w:ascii="宋体" w:hAnsi="宋体" w:eastAsia="宋体" w:cs="宋体"/>
          <w:color w:val="auto"/>
          <w:kern w:val="0"/>
          <w:szCs w:val="21"/>
          <w:highlight w:val="none"/>
        </w:rPr>
        <w:t>要求</w:t>
      </w:r>
      <w:r>
        <w:rPr>
          <w:rFonts w:ascii="宋体" w:hAnsi="宋体" w:eastAsia="宋体" w:cs="宋体"/>
          <w:color w:val="auto"/>
          <w:kern w:val="0"/>
          <w:szCs w:val="21"/>
          <w:highlight w:val="none"/>
        </w:rPr>
        <w:t>的前提下使</w:t>
      </w:r>
      <w:r>
        <w:rPr>
          <w:rFonts w:hint="eastAsia" w:ascii="宋体" w:hAnsi="宋体" w:eastAsia="宋体" w:cs="宋体"/>
          <w:color w:val="auto"/>
          <w:kern w:val="0"/>
          <w:szCs w:val="21"/>
          <w:highlight w:val="none"/>
        </w:rPr>
        <w:t>所有成本总额</w:t>
      </w:r>
      <w:r>
        <w:rPr>
          <w:rFonts w:ascii="宋体" w:hAnsi="宋体" w:eastAsia="宋体" w:cs="宋体"/>
          <w:color w:val="auto"/>
          <w:kern w:val="0"/>
          <w:szCs w:val="21"/>
          <w:highlight w:val="none"/>
        </w:rPr>
        <w:t>最小。</w:t>
      </w:r>
      <w:r>
        <w:rPr>
          <w:rFonts w:hint="eastAsia" w:ascii="宋体" w:hAnsi="宋体" w:eastAsia="宋体" w:cs="宋体"/>
          <w:color w:val="auto"/>
          <w:kern w:val="0"/>
          <w:szCs w:val="21"/>
          <w:highlight w:val="none"/>
        </w:rPr>
        <w:t>L</w:t>
      </w:r>
      <w:r>
        <w:rPr>
          <w:rFonts w:ascii="宋体" w:hAnsi="宋体" w:eastAsia="宋体" w:cs="宋体"/>
          <w:color w:val="auto"/>
          <w:kern w:val="0"/>
          <w:szCs w:val="21"/>
          <w:highlight w:val="none"/>
        </w:rPr>
        <w:t>CC</w:t>
      </w:r>
      <w:r>
        <w:rPr>
          <w:rFonts w:hint="eastAsia" w:ascii="宋体" w:hAnsi="宋体" w:eastAsia="宋体" w:cs="宋体"/>
          <w:color w:val="auto"/>
          <w:kern w:val="0"/>
          <w:szCs w:val="21"/>
          <w:highlight w:val="none"/>
        </w:rPr>
        <w:t>计算方法见LCC采购补充技术规范书附录A。</w:t>
      </w:r>
    </w:p>
    <w:p w14:paraId="516A2BCF">
      <w:pPr>
        <w:pStyle w:val="5"/>
        <w:spacing w:before="0" w:after="0" w:line="360" w:lineRule="auto"/>
        <w:rPr>
          <w:rFonts w:ascii="宋体" w:hAnsi="宋体" w:eastAsia="宋体" w:cs="黑体"/>
          <w:color w:val="auto"/>
          <w:kern w:val="0"/>
          <w:sz w:val="21"/>
          <w:szCs w:val="28"/>
          <w:highlight w:val="none"/>
        </w:rPr>
      </w:pPr>
      <w:bookmarkStart w:id="1914" w:name="_Toc26199"/>
      <w:bookmarkStart w:id="1915" w:name="_Toc2634"/>
      <w:bookmarkStart w:id="1916" w:name="_Toc57495078"/>
      <w:r>
        <w:rPr>
          <w:rFonts w:ascii="宋体" w:hAnsi="宋体" w:eastAsia="宋体" w:cs="黑体"/>
          <w:color w:val="auto"/>
          <w:kern w:val="0"/>
          <w:sz w:val="21"/>
          <w:szCs w:val="28"/>
          <w:highlight w:val="none"/>
        </w:rPr>
        <w:t>2. 合同范围</w:t>
      </w:r>
      <w:bookmarkEnd w:id="1914"/>
      <w:bookmarkEnd w:id="1915"/>
      <w:bookmarkEnd w:id="1916"/>
    </w:p>
    <w:p w14:paraId="56D6BE5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L</w:t>
      </w:r>
      <w:r>
        <w:rPr>
          <w:rFonts w:ascii="宋体" w:hAnsi="宋体" w:eastAsia="宋体" w:cs="宋体"/>
          <w:color w:val="auto"/>
          <w:kern w:val="0"/>
          <w:szCs w:val="21"/>
          <w:highlight w:val="none"/>
        </w:rPr>
        <w:t>CC</w:t>
      </w:r>
      <w:r>
        <w:rPr>
          <w:rFonts w:hint="eastAsia" w:ascii="宋体" w:hAnsi="宋体" w:eastAsia="宋体" w:cs="宋体"/>
          <w:color w:val="auto"/>
          <w:kern w:val="0"/>
          <w:szCs w:val="21"/>
          <w:highlight w:val="none"/>
        </w:rPr>
        <w:t>采购中，新增的合同范围主要有：（1）合同设备全生命周期内，除了LCC采购补充技术规范书“</w:t>
      </w:r>
      <w:r>
        <w:rPr>
          <w:rFonts w:hint="eastAsia" w:ascii="宋体" w:hAnsi="宋体" w:eastAsia="宋体" w:cs="宋体"/>
          <w:color w:val="auto"/>
          <w:kern w:val="0"/>
          <w:szCs w:val="21"/>
          <w:highlight w:val="none"/>
          <w:lang w:eastAsia="zh-CN"/>
        </w:rPr>
        <w:t>8质量保证</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规定由买方负责的检查、检测、分析工作（详见LCC采购补充技术规范书附录</w:t>
      </w:r>
      <w:r>
        <w:rPr>
          <w:rFonts w:ascii="宋体" w:hAnsi="宋体" w:eastAsia="宋体" w:cs="宋体"/>
          <w:color w:val="auto"/>
          <w:kern w:val="0"/>
          <w:szCs w:val="21"/>
          <w:highlight w:val="none"/>
        </w:rPr>
        <w:t>D: GIS（含 HGIS、GIL）运维规程</w:t>
      </w:r>
      <w:r>
        <w:rPr>
          <w:rFonts w:hint="eastAsia" w:ascii="宋体" w:hAnsi="宋体" w:eastAsia="宋体" w:cs="宋体"/>
          <w:color w:val="auto"/>
          <w:kern w:val="0"/>
          <w:szCs w:val="21"/>
          <w:highlight w:val="none"/>
        </w:rPr>
        <w:t>和附录</w:t>
      </w:r>
      <w:r>
        <w:rPr>
          <w:rFonts w:ascii="宋体" w:hAnsi="宋体" w:eastAsia="宋体" w:cs="宋体"/>
          <w:color w:val="auto"/>
          <w:kern w:val="0"/>
          <w:szCs w:val="21"/>
          <w:highlight w:val="none"/>
        </w:rPr>
        <w:t>E: GIS（含HGIS）检修试验规程</w:t>
      </w:r>
      <w:r>
        <w:rPr>
          <w:rFonts w:hint="eastAsia" w:ascii="宋体" w:hAnsi="宋体" w:eastAsia="宋体" w:cs="宋体"/>
          <w:color w:val="auto"/>
          <w:kern w:val="0"/>
          <w:szCs w:val="21"/>
          <w:highlight w:val="none"/>
        </w:rPr>
        <w:t>），其他所有工作由卖方负责；（2）合同设备</w:t>
      </w:r>
      <w:r>
        <w:rPr>
          <w:rFonts w:hint="eastAsia" w:ascii="宋体" w:hAnsi="宋体" w:eastAsia="宋体" w:cs="黑体"/>
          <w:color w:val="auto"/>
          <w:kern w:val="0"/>
          <w:szCs w:val="21"/>
          <w:highlight w:val="none"/>
        </w:rPr>
        <w:t>安装的具体工作由工程承包人按照工程施工合同执行，卖方负责安装指导以保障安装工作不存在损害合同设备质量的因素。</w:t>
      </w:r>
    </w:p>
    <w:p w14:paraId="0F5ED99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2F8B051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2.6 卖方应在安装前提供现场安装工作的标准化作业指导书，重点明确安装流程、安装工艺要求及现场检查、验证项目及标准。</w:t>
      </w:r>
    </w:p>
    <w:p w14:paraId="2B17FF90">
      <w:pPr>
        <w:pStyle w:val="5"/>
        <w:spacing w:before="0" w:after="0" w:line="360" w:lineRule="auto"/>
        <w:rPr>
          <w:rFonts w:ascii="宋体" w:hAnsi="宋体" w:eastAsia="宋体" w:cs="黑体"/>
          <w:color w:val="auto"/>
          <w:kern w:val="0"/>
          <w:sz w:val="21"/>
          <w:szCs w:val="28"/>
          <w:highlight w:val="none"/>
        </w:rPr>
      </w:pPr>
      <w:bookmarkStart w:id="1917" w:name="_Toc6034"/>
      <w:bookmarkStart w:id="1918" w:name="_Toc2411"/>
      <w:bookmarkStart w:id="1919" w:name="_Toc57495079"/>
      <w:r>
        <w:rPr>
          <w:rFonts w:ascii="宋体" w:hAnsi="宋体" w:eastAsia="宋体" w:cs="黑体"/>
          <w:color w:val="auto"/>
          <w:kern w:val="0"/>
          <w:sz w:val="21"/>
          <w:szCs w:val="28"/>
          <w:highlight w:val="none"/>
        </w:rPr>
        <w:t>3. 合同价格与支付</w:t>
      </w:r>
      <w:bookmarkEnd w:id="1917"/>
      <w:bookmarkEnd w:id="1918"/>
      <w:bookmarkEnd w:id="1919"/>
    </w:p>
    <w:p w14:paraId="10EBD79B">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3.1 </w:t>
      </w:r>
      <w:r>
        <w:rPr>
          <w:rFonts w:hint="eastAsia" w:ascii="宋体" w:hAnsi="宋体" w:eastAsia="宋体" w:cs="宋体"/>
          <w:color w:val="auto"/>
          <w:sz w:val="21"/>
          <w:szCs w:val="21"/>
          <w:highlight w:val="none"/>
        </w:rPr>
        <w:t>合同价格</w:t>
      </w:r>
    </w:p>
    <w:p w14:paraId="7142C2E2">
      <w:pPr>
        <w:pStyle w:val="16"/>
        <w:topLinePunct/>
        <w:autoSpaceDE/>
        <w:autoSpaceDN/>
        <w:snapToGrid w:val="0"/>
        <w:spacing w:line="360" w:lineRule="auto"/>
        <w:ind w:firstLine="420" w:firstLineChars="200"/>
        <w:rPr>
          <w:rFonts w:ascii="宋体" w:hAnsi="宋体" w:eastAsia="宋体"/>
          <w:color w:val="auto"/>
          <w:sz w:val="21"/>
          <w:szCs w:val="21"/>
          <w:highlight w:val="none"/>
        </w:rPr>
      </w:pPr>
      <w:r>
        <w:rPr>
          <w:rFonts w:ascii="宋体" w:hAnsi="宋体" w:eastAsia="宋体"/>
          <w:color w:val="auto"/>
          <w:sz w:val="21"/>
          <w:szCs w:val="21"/>
          <w:highlight w:val="none"/>
        </w:rPr>
        <w:t>3.1.1 合同协议书中载明的签约合同价</w:t>
      </w:r>
      <w:r>
        <w:rPr>
          <w:rFonts w:hint="eastAsia" w:ascii="宋体" w:hAnsi="宋体" w:eastAsia="宋体"/>
          <w:color w:val="auto"/>
          <w:sz w:val="21"/>
          <w:szCs w:val="21"/>
          <w:highlight w:val="none"/>
        </w:rPr>
        <w:t>格</w:t>
      </w:r>
      <w:r>
        <w:rPr>
          <w:rFonts w:ascii="宋体" w:hAnsi="宋体" w:eastAsia="宋体"/>
          <w:color w:val="auto"/>
          <w:sz w:val="21"/>
          <w:szCs w:val="21"/>
          <w:highlight w:val="none"/>
        </w:rPr>
        <w:t>包含卖方将合同设备运抵设备地点并履行完其他合同义务所需的全部成本、费用、</w:t>
      </w:r>
      <w:r>
        <w:rPr>
          <w:rFonts w:hint="eastAsia" w:ascii="宋体" w:hAnsi="宋体" w:eastAsia="宋体"/>
          <w:color w:val="auto"/>
          <w:sz w:val="21"/>
          <w:szCs w:val="21"/>
          <w:highlight w:val="none"/>
        </w:rPr>
        <w:t>支出</w:t>
      </w:r>
      <w:r>
        <w:rPr>
          <w:rFonts w:ascii="宋体" w:hAnsi="宋体" w:eastAsia="宋体"/>
          <w:color w:val="auto"/>
          <w:sz w:val="21"/>
          <w:szCs w:val="21"/>
          <w:highlight w:val="none"/>
        </w:rPr>
        <w:t>，包括但不限于设备价款、</w:t>
      </w:r>
      <w:r>
        <w:rPr>
          <w:rFonts w:hint="eastAsia" w:ascii="宋体" w:hAnsi="宋体" w:eastAsia="宋体"/>
          <w:color w:val="auto"/>
          <w:sz w:val="21"/>
          <w:szCs w:val="21"/>
          <w:highlight w:val="none"/>
        </w:rPr>
        <w:t>知识产权费用、</w:t>
      </w:r>
      <w:r>
        <w:rPr>
          <w:rFonts w:ascii="宋体" w:hAnsi="宋体" w:eastAsia="宋体"/>
          <w:color w:val="auto"/>
          <w:sz w:val="21"/>
          <w:szCs w:val="21"/>
          <w:highlight w:val="none"/>
        </w:rPr>
        <w:t>运输费、保险费、包装费</w:t>
      </w:r>
      <w:r>
        <w:rPr>
          <w:rFonts w:hint="eastAsia" w:ascii="宋体" w:hAnsi="宋体" w:eastAsia="宋体"/>
          <w:color w:val="auto"/>
          <w:sz w:val="21"/>
          <w:szCs w:val="21"/>
          <w:highlight w:val="none"/>
        </w:rPr>
        <w:t>、安装指导费</w:t>
      </w:r>
      <w:r>
        <w:rPr>
          <w:rFonts w:ascii="宋体" w:hAnsi="宋体" w:eastAsia="宋体"/>
          <w:color w:val="auto"/>
          <w:sz w:val="21"/>
          <w:szCs w:val="21"/>
          <w:highlight w:val="none"/>
        </w:rPr>
        <w:t>；卖方提供保护措施、技术服务、技术资料的费用；与分包商、原材料或部件供应商相关的各项费用。</w:t>
      </w:r>
    </w:p>
    <w:p w14:paraId="6A97165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76FC9F2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100万元时，本合同价款分预付款、入卖方成品库款、交货款和结清款四次支付，支付比例为1:2:6.5:0.5。</w:t>
      </w:r>
      <w:r>
        <w:rPr>
          <w:rFonts w:hint="eastAsia" w:ascii="宋体" w:hAnsi="宋体" w:eastAsia="宋体" w:cs="黑体"/>
          <w:color w:val="auto"/>
          <w:kern w:val="0"/>
          <w:szCs w:val="21"/>
          <w:highlight w:val="none"/>
        </w:rPr>
        <w:t>卖方为中小企业的，合同价款支付比例为2:2:5.5:0.5。</w:t>
      </w:r>
    </w:p>
    <w:p w14:paraId="7D16D372">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3.2.1.5 结清款</w:t>
      </w:r>
    </w:p>
    <w:p w14:paraId="32AF2006">
      <w:pPr>
        <w:pStyle w:val="16"/>
        <w:topLinePunct/>
        <w:snapToGrid w:val="0"/>
        <w:spacing w:line="360"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本合同中任一项目的合同设备的质保期开始计算后满</w:t>
      </w:r>
      <w:r>
        <w:rPr>
          <w:rFonts w:hint="eastAsia" w:ascii="宋体" w:hAnsi="宋体" w:eastAsia="宋体" w:cs="宋体"/>
          <w:color w:val="auto"/>
          <w:sz w:val="21"/>
          <w:szCs w:val="21"/>
          <w:highlight w:val="none"/>
          <w:lang w:val="en-US" w:eastAsia="zh-CN"/>
        </w:rPr>
        <w:t>1</w:t>
      </w:r>
      <w:r>
        <w:rPr>
          <w:rFonts w:ascii="宋体" w:hAnsi="宋体" w:eastAsia="宋体" w:cs="宋体"/>
          <w:color w:val="auto"/>
          <w:sz w:val="21"/>
          <w:szCs w:val="21"/>
          <w:highlight w:val="none"/>
        </w:rPr>
        <w:t>年，并无索赔或索赔完成后，则卖方可凭相应的合同设备验收证书办理结清款支付申请手续，买方在卖方发起申请后60天内（境外支付的，延长30个工作日）支付</w:t>
      </w:r>
      <w:r>
        <w:rPr>
          <w:rFonts w:hint="eastAsia" w:ascii="宋体" w:hAnsi="宋体" w:eastAsia="宋体" w:cs="宋体"/>
          <w:color w:val="auto"/>
          <w:sz w:val="21"/>
          <w:szCs w:val="21"/>
          <w:highlight w:val="none"/>
        </w:rPr>
        <w:t>该项目</w:t>
      </w:r>
      <w:r>
        <w:rPr>
          <w:rFonts w:ascii="宋体" w:hAnsi="宋体" w:eastAsia="宋体" w:cs="宋体"/>
          <w:color w:val="auto"/>
          <w:sz w:val="21"/>
          <w:szCs w:val="21"/>
          <w:highlight w:val="none"/>
        </w:rPr>
        <w:t>结清款。</w:t>
      </w:r>
    </w:p>
    <w:p w14:paraId="6C435E16">
      <w:pPr>
        <w:pStyle w:val="5"/>
        <w:spacing w:before="0" w:after="0" w:line="360" w:lineRule="auto"/>
        <w:rPr>
          <w:rFonts w:ascii="宋体" w:hAnsi="宋体" w:eastAsia="宋体" w:cs="黑体"/>
          <w:color w:val="auto"/>
          <w:kern w:val="0"/>
          <w:sz w:val="21"/>
          <w:szCs w:val="28"/>
          <w:highlight w:val="none"/>
        </w:rPr>
      </w:pPr>
      <w:bookmarkStart w:id="1920" w:name="_Toc57495080"/>
      <w:bookmarkStart w:id="1921" w:name="_Toc32703"/>
      <w:bookmarkStart w:id="1922" w:name="_Toc23871"/>
      <w:r>
        <w:rPr>
          <w:rFonts w:ascii="宋体" w:hAnsi="宋体" w:eastAsia="宋体" w:cs="黑体"/>
          <w:color w:val="auto"/>
          <w:kern w:val="0"/>
          <w:sz w:val="21"/>
          <w:szCs w:val="28"/>
          <w:highlight w:val="none"/>
        </w:rPr>
        <w:t>4. 监造及交货前检验</w:t>
      </w:r>
      <w:bookmarkEnd w:id="1920"/>
      <w:bookmarkEnd w:id="1921"/>
      <w:bookmarkEnd w:id="1922"/>
    </w:p>
    <w:p w14:paraId="6094225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 监造</w:t>
      </w:r>
    </w:p>
    <w:p w14:paraId="28DD6385">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卖方不得以外购绝缘件出厂试验报告代替本厂试验报告。</w:t>
      </w:r>
    </w:p>
    <w:p w14:paraId="61C29D3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4.1.10 卖方应对绝缘盆子、绝缘拉杆、支持绝缘子逐只进行耐压、局放、X光探伤试验，对绝缘盆子还应逐只进行水压和检漏试验，并提供检验报告。</w:t>
      </w:r>
    </w:p>
    <w:p w14:paraId="2741CB3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1534663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4.3.6 增加抽检项目包括但不限于：</w:t>
      </w:r>
    </w:p>
    <w:p w14:paraId="21DEE6E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机械使用寿命试验，雷电冲击电压试验，零表压（微正压）下交流耐压试验。</w:t>
      </w:r>
    </w:p>
    <w:p w14:paraId="7C1538AA">
      <w:pPr>
        <w:pStyle w:val="5"/>
        <w:spacing w:before="0" w:after="0" w:line="360" w:lineRule="auto"/>
        <w:rPr>
          <w:rFonts w:ascii="宋体" w:hAnsi="宋体" w:eastAsia="宋体" w:cs="黑体"/>
          <w:color w:val="auto"/>
          <w:kern w:val="0"/>
          <w:sz w:val="21"/>
          <w:szCs w:val="28"/>
          <w:highlight w:val="none"/>
        </w:rPr>
      </w:pPr>
      <w:bookmarkStart w:id="1923" w:name="_Toc6026"/>
      <w:bookmarkStart w:id="1924" w:name="_Toc5258"/>
      <w:bookmarkStart w:id="1925" w:name="_Toc57495081"/>
      <w:r>
        <w:rPr>
          <w:rFonts w:ascii="宋体" w:hAnsi="宋体" w:eastAsia="宋体" w:cs="黑体"/>
          <w:color w:val="auto"/>
          <w:kern w:val="0"/>
          <w:sz w:val="21"/>
          <w:szCs w:val="28"/>
          <w:highlight w:val="none"/>
        </w:rPr>
        <w:t xml:space="preserve">5. </w:t>
      </w:r>
      <w:r>
        <w:rPr>
          <w:rFonts w:hint="eastAsia" w:ascii="宋体" w:hAnsi="宋体" w:eastAsia="宋体" w:cs="黑体"/>
          <w:color w:val="auto"/>
          <w:kern w:val="0"/>
          <w:sz w:val="21"/>
          <w:szCs w:val="28"/>
          <w:highlight w:val="none"/>
        </w:rPr>
        <w:t>包装、标记、运输和交付</w:t>
      </w:r>
      <w:bookmarkEnd w:id="1923"/>
      <w:bookmarkEnd w:id="1924"/>
      <w:bookmarkEnd w:id="1925"/>
    </w:p>
    <w:p w14:paraId="3981FDA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5.1 </w:t>
      </w:r>
      <w:r>
        <w:rPr>
          <w:rFonts w:hint="eastAsia" w:ascii="宋体" w:hAnsi="宋体" w:eastAsia="宋体" w:cs="黑体"/>
          <w:color w:val="auto"/>
          <w:kern w:val="0"/>
          <w:szCs w:val="21"/>
          <w:highlight w:val="none"/>
        </w:rPr>
        <w:t>包装</w:t>
      </w:r>
    </w:p>
    <w:p w14:paraId="078584A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5.1.4 套管瓷件应牢固固定在木制箱中，以防止在严重冲击时发生相对位移。</w:t>
      </w:r>
    </w:p>
    <w:p w14:paraId="0DADB03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 运输</w:t>
      </w:r>
    </w:p>
    <w:p w14:paraId="23490DF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5.3.6 货物运输时其功能单元气室应在密封、充微正压的干燥气体(如SF6或N2)和放置吸湿剂的情况下包装、运输。单独运输的母线绝缘件应密封运输并做好防撞措施。如现场验收发现不能满足要求，卖方应按买方要求进行返厂维修。</w:t>
      </w:r>
    </w:p>
    <w:p w14:paraId="5A39D51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5.3.8 货物在运输中断路器、隔离刀闸、电流互感器、电压互感器及避雷器气室上应安装有三维冲击记录仪或三维冲击指示器。如果在运输和装卸过程中出现冲击加速度大于3g时，买方有权要求增加试验项目或返厂处理。</w:t>
      </w:r>
    </w:p>
    <w:p w14:paraId="2EAAD13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5.3.9 为缩短现场安装周期，减少现场对接的单元，在运输尺寸的限制下最大程度地在工厂组装各单元，卖方应提供货物运输单元拆分原则，在设联会阶段买方予以确认。未经买方同意，不得变更，否则买方有权拒收。</w:t>
      </w:r>
    </w:p>
    <w:p w14:paraId="5C06A84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5.3.10 货物出厂运输必须以完整的功能单元为基本运输单位，具体分割原则为220kV以下货物整间隔运输，220kV以上货物，原则上按断路器（含两侧CT）、母线刀闸（含部分主母线）、母线货物、母线（分支母线）、汇控柜、支架等进行拆分，除母线（分支母线）外不得散件运输。</w:t>
      </w:r>
    </w:p>
    <w:p w14:paraId="771D8C00">
      <w:pPr>
        <w:pStyle w:val="5"/>
        <w:spacing w:before="0" w:after="0" w:line="360" w:lineRule="auto"/>
        <w:rPr>
          <w:rFonts w:ascii="宋体" w:hAnsi="宋体" w:eastAsia="宋体" w:cs="黑体"/>
          <w:color w:val="auto"/>
          <w:kern w:val="0"/>
          <w:sz w:val="21"/>
          <w:szCs w:val="28"/>
          <w:highlight w:val="none"/>
        </w:rPr>
      </w:pPr>
      <w:bookmarkStart w:id="1926" w:name="_Toc57495082"/>
      <w:bookmarkStart w:id="1927" w:name="_Toc13825"/>
      <w:bookmarkStart w:id="1928" w:name="_Toc16483"/>
      <w:r>
        <w:rPr>
          <w:rFonts w:ascii="宋体" w:hAnsi="宋体" w:eastAsia="宋体" w:cs="黑体"/>
          <w:color w:val="auto"/>
          <w:kern w:val="0"/>
          <w:sz w:val="21"/>
          <w:szCs w:val="28"/>
          <w:highlight w:val="none"/>
        </w:rPr>
        <w:t>6. 开箱检验、安装、调试、考核、验收</w:t>
      </w:r>
      <w:bookmarkEnd w:id="1926"/>
      <w:bookmarkEnd w:id="1927"/>
      <w:bookmarkEnd w:id="1928"/>
    </w:p>
    <w:p w14:paraId="7A88A50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 安装、调试</w:t>
      </w:r>
    </w:p>
    <w:p w14:paraId="6C45220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6.2.1.1 安装调试按照方式（2）进行</w:t>
      </w:r>
      <w:r>
        <w:rPr>
          <w:rFonts w:hint="eastAsia" w:ascii="宋体" w:hAnsi="宋体" w:eastAsia="宋体" w:cs="黑体"/>
          <w:color w:val="auto"/>
          <w:kern w:val="0"/>
          <w:szCs w:val="21"/>
          <w:highlight w:val="none"/>
        </w:rPr>
        <w:t>，安装调试的具体工作由工程承包人按照工程施工合同执行。卖方全权负责施工图纸及施工图工程量清单范围内变电安装工程的组合电器安装的指导，保证安装工作符合合同设备质量的要求，保证在安装过程中不发生导致合同设备质量受损的问题。</w:t>
      </w:r>
    </w:p>
    <w:p w14:paraId="25FAA1C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卖</w:t>
      </w:r>
      <w:r>
        <w:rPr>
          <w:rFonts w:ascii="宋体" w:hAnsi="宋体" w:eastAsia="宋体" w:cs="黑体"/>
          <w:color w:val="auto"/>
          <w:kern w:val="0"/>
          <w:szCs w:val="21"/>
          <w:highlight w:val="none"/>
        </w:rPr>
        <w:t>方应在安装前提供现场安装的环境要求，如现场安装环境不能满足施工要求，应及时告知监理代表。如因卖方现场技术人员未及时告知而造成的所有损失由卖方承担。</w:t>
      </w:r>
    </w:p>
    <w:p w14:paraId="48206BA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6</w:t>
      </w:r>
      <w:r>
        <w:rPr>
          <w:rFonts w:ascii="宋体" w:hAnsi="宋体" w:eastAsia="宋体" w:cs="黑体"/>
          <w:color w:val="auto"/>
          <w:kern w:val="0"/>
          <w:szCs w:val="21"/>
          <w:highlight w:val="none"/>
        </w:rPr>
        <w:t xml:space="preserve">.2.1.2 </w:t>
      </w:r>
      <w:r>
        <w:rPr>
          <w:rFonts w:hint="eastAsia" w:ascii="宋体" w:hAnsi="宋体" w:eastAsia="宋体" w:cs="黑体"/>
          <w:color w:val="auto"/>
          <w:kern w:val="0"/>
          <w:szCs w:val="21"/>
          <w:highlight w:val="none"/>
        </w:rPr>
        <w:t>合同设备安装过程中，卖方应遵守技术协议的相关规定，并严格执行《中国南方电网有限责任公司电网建设施工作业指导书</w:t>
      </w:r>
      <w:r>
        <w:rPr>
          <w:rFonts w:ascii="宋体" w:hAnsi="宋体" w:eastAsia="宋体" w:cs="黑体"/>
          <w:color w:val="auto"/>
          <w:kern w:val="0"/>
          <w:szCs w:val="21"/>
          <w:highlight w:val="none"/>
        </w:rPr>
        <w:t>第2部分：变电电气安装》</w:t>
      </w:r>
      <w:r>
        <w:rPr>
          <w:rFonts w:hint="eastAsia" w:ascii="宋体" w:hAnsi="宋体" w:eastAsia="宋体" w:cs="黑体"/>
          <w:color w:val="auto"/>
          <w:kern w:val="0"/>
          <w:szCs w:val="21"/>
          <w:highlight w:val="none"/>
        </w:rPr>
        <w:t>，保证安装工程按期完工并达成以下管理目标：</w:t>
      </w:r>
    </w:p>
    <w:p w14:paraId="4C12B56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全过程项目质量目标：以规范达标、绿色可靠、文档齐全、零缺陷作为质量总体目标。杜绝重大设备一般及以上质量事故，确保工程无永久性缺陷。满足国家、行业、南方电网公司质量标准、控制标准和验收规范，在质量管理过程中达到或超过质量标准，通过各级验收合格并完成启动投产。</w:t>
      </w:r>
    </w:p>
    <w:p w14:paraId="6556C19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（2）安全目标：杜绝人身死亡事故、杜绝人身重伤事故。</w:t>
      </w:r>
    </w:p>
    <w:p w14:paraId="38CF397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（3）文明施工目标：按照《中国南方电网有限责任公司基建安全管理办法》的要求和标准布置施工现场的文明施工设施，创造良好和规范的安全文明施工环境。</w:t>
      </w:r>
    </w:p>
    <w:p w14:paraId="1ECCBDC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4）卖方必须根据工程特点设立现场项目管理团队并按公司基建管理有关规定向业主、监理方报审，项目管理团队包括项目经理、技术负责人及具备安装工作经验的技术熟练工人，进入施工现场的人员应通过安全规程考试。</w:t>
      </w:r>
    </w:p>
    <w:p w14:paraId="09FD4D9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6</w:t>
      </w:r>
      <w:r>
        <w:rPr>
          <w:rFonts w:ascii="宋体" w:hAnsi="宋体" w:eastAsia="宋体" w:cs="黑体"/>
          <w:color w:val="auto"/>
          <w:kern w:val="0"/>
          <w:szCs w:val="21"/>
          <w:highlight w:val="none"/>
        </w:rPr>
        <w:t xml:space="preserve">.2.1.3 </w:t>
      </w:r>
      <w:r>
        <w:rPr>
          <w:rFonts w:hint="eastAsia" w:ascii="宋体" w:hAnsi="宋体" w:eastAsia="宋体" w:cs="黑体"/>
          <w:color w:val="auto"/>
          <w:kern w:val="0"/>
          <w:szCs w:val="21"/>
          <w:highlight w:val="none"/>
        </w:rPr>
        <w:t>在合同设备安装过程中，</w:t>
      </w:r>
      <w:r>
        <w:rPr>
          <w:rFonts w:ascii="宋体" w:hAnsi="宋体" w:eastAsia="宋体" w:cs="黑体"/>
          <w:color w:val="auto"/>
          <w:kern w:val="0"/>
          <w:szCs w:val="21"/>
          <w:highlight w:val="none"/>
        </w:rPr>
        <w:t>卖方认为必要时应</w:t>
      </w:r>
      <w:r>
        <w:rPr>
          <w:rFonts w:hint="eastAsia" w:ascii="宋体" w:hAnsi="宋体" w:eastAsia="宋体" w:cs="黑体"/>
          <w:color w:val="auto"/>
          <w:kern w:val="0"/>
          <w:szCs w:val="21"/>
          <w:highlight w:val="none"/>
        </w:rPr>
        <w:t>及时</w:t>
      </w:r>
      <w:r>
        <w:rPr>
          <w:rFonts w:ascii="宋体" w:hAnsi="宋体" w:eastAsia="宋体" w:cs="黑体"/>
          <w:color w:val="auto"/>
          <w:kern w:val="0"/>
          <w:szCs w:val="21"/>
          <w:highlight w:val="none"/>
        </w:rPr>
        <w:t>提出</w:t>
      </w:r>
      <w:r>
        <w:rPr>
          <w:rFonts w:hint="eastAsia" w:ascii="宋体" w:hAnsi="宋体" w:eastAsia="宋体" w:cs="黑体"/>
          <w:color w:val="auto"/>
          <w:kern w:val="0"/>
          <w:szCs w:val="21"/>
          <w:highlight w:val="none"/>
        </w:rPr>
        <w:t>指导意见</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以保护合同设备的质量不受影响</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卖方在指导合同设备安装时享有的权利包括但不限于：</w:t>
      </w:r>
    </w:p>
    <w:p w14:paraId="6CA87CE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（1）根据需要提出</w:t>
      </w:r>
      <w:r>
        <w:rPr>
          <w:rFonts w:ascii="宋体" w:hAnsi="宋体" w:eastAsia="宋体" w:cs="黑体"/>
          <w:color w:val="auto"/>
          <w:kern w:val="0"/>
          <w:szCs w:val="21"/>
          <w:highlight w:val="none"/>
        </w:rPr>
        <w:t>进入现场</w:t>
      </w:r>
      <w:r>
        <w:rPr>
          <w:rFonts w:hint="eastAsia" w:ascii="宋体" w:hAnsi="宋体" w:eastAsia="宋体" w:cs="黑体"/>
          <w:color w:val="auto"/>
          <w:kern w:val="0"/>
          <w:szCs w:val="21"/>
          <w:highlight w:val="none"/>
        </w:rPr>
        <w:t>的权利。</w:t>
      </w:r>
    </w:p>
    <w:p w14:paraId="6586C8A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（2）根据需要提出</w:t>
      </w:r>
      <w:r>
        <w:rPr>
          <w:rFonts w:ascii="宋体" w:hAnsi="宋体" w:eastAsia="宋体" w:cs="黑体"/>
          <w:color w:val="auto"/>
          <w:kern w:val="0"/>
          <w:szCs w:val="21"/>
          <w:highlight w:val="none"/>
        </w:rPr>
        <w:t>对承包人</w:t>
      </w:r>
      <w:r>
        <w:rPr>
          <w:rFonts w:hint="eastAsia" w:ascii="宋体" w:hAnsi="宋体" w:eastAsia="宋体" w:cs="黑体"/>
          <w:color w:val="auto"/>
          <w:kern w:val="0"/>
          <w:szCs w:val="21"/>
          <w:highlight w:val="none"/>
        </w:rPr>
        <w:t>的</w:t>
      </w:r>
      <w:r>
        <w:rPr>
          <w:rFonts w:ascii="宋体" w:hAnsi="宋体" w:eastAsia="宋体" w:cs="黑体"/>
          <w:color w:val="auto"/>
          <w:kern w:val="0"/>
          <w:szCs w:val="21"/>
          <w:highlight w:val="none"/>
        </w:rPr>
        <w:t>建议、检查、监督、奖罚</w:t>
      </w:r>
      <w:r>
        <w:rPr>
          <w:rFonts w:hint="eastAsia" w:ascii="宋体" w:hAnsi="宋体" w:eastAsia="宋体" w:cs="黑体"/>
          <w:color w:val="auto"/>
          <w:kern w:val="0"/>
          <w:szCs w:val="21"/>
          <w:highlight w:val="none"/>
        </w:rPr>
        <w:t>的权利。</w:t>
      </w:r>
    </w:p>
    <w:p w14:paraId="1EC0696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（3）根据需要提出</w:t>
      </w:r>
      <w:r>
        <w:rPr>
          <w:rFonts w:ascii="宋体" w:hAnsi="宋体" w:eastAsia="宋体" w:cs="黑体"/>
          <w:color w:val="auto"/>
          <w:kern w:val="0"/>
          <w:szCs w:val="21"/>
          <w:highlight w:val="none"/>
        </w:rPr>
        <w:t>获得相关工程资料</w:t>
      </w:r>
      <w:r>
        <w:rPr>
          <w:rFonts w:hint="eastAsia" w:ascii="宋体" w:hAnsi="宋体" w:eastAsia="宋体" w:cs="黑体"/>
          <w:color w:val="auto"/>
          <w:kern w:val="0"/>
          <w:szCs w:val="21"/>
          <w:highlight w:val="none"/>
        </w:rPr>
        <w:t>的权利。</w:t>
      </w:r>
    </w:p>
    <w:p w14:paraId="14E39FD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（4）根据需要</w:t>
      </w:r>
      <w:r>
        <w:rPr>
          <w:rFonts w:ascii="宋体" w:hAnsi="宋体" w:eastAsia="宋体" w:cs="黑体"/>
          <w:color w:val="auto"/>
          <w:kern w:val="0"/>
          <w:szCs w:val="21"/>
          <w:highlight w:val="none"/>
        </w:rPr>
        <w:t>建议承包人撤换不具备相关工作经验、资质或不能履行工作任务的承包人人员</w:t>
      </w:r>
      <w:r>
        <w:rPr>
          <w:rFonts w:hint="eastAsia" w:ascii="宋体" w:hAnsi="宋体" w:eastAsia="宋体" w:cs="黑体"/>
          <w:color w:val="auto"/>
          <w:kern w:val="0"/>
          <w:szCs w:val="21"/>
          <w:highlight w:val="none"/>
        </w:rPr>
        <w:t>的权利</w:t>
      </w:r>
      <w:r>
        <w:rPr>
          <w:rFonts w:ascii="宋体" w:hAnsi="宋体" w:eastAsia="宋体" w:cs="黑体"/>
          <w:color w:val="auto"/>
          <w:kern w:val="0"/>
          <w:szCs w:val="21"/>
          <w:highlight w:val="none"/>
        </w:rPr>
        <w:t>。</w:t>
      </w:r>
    </w:p>
    <w:p w14:paraId="613A344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（5）根据需要提出参与审核批准施工的权利，根据需要建议停工的权利。</w:t>
      </w:r>
    </w:p>
    <w:p w14:paraId="60F6713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6</w:t>
      </w:r>
      <w:r>
        <w:rPr>
          <w:rFonts w:hint="eastAsia" w:ascii="宋体" w:hAnsi="宋体" w:eastAsia="宋体" w:cs="黑体"/>
          <w:color w:val="auto"/>
          <w:kern w:val="0"/>
          <w:szCs w:val="21"/>
          <w:highlight w:val="none"/>
        </w:rPr>
        <w:t>）根据需要提出参与审批承包人指导现场施工的技术文件及方案的权利。</w:t>
      </w:r>
    </w:p>
    <w:p w14:paraId="293FF55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（7）根据需要提出整改要求的权利。</w:t>
      </w:r>
    </w:p>
    <w:p w14:paraId="348CF7D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（8）根据需要提出其他卖方认为涉及合同设备质量的建议的权利。</w:t>
      </w:r>
    </w:p>
    <w:p w14:paraId="73547A3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6.2.1.4 </w:t>
      </w:r>
      <w:r>
        <w:rPr>
          <w:rFonts w:hint="eastAsia" w:ascii="宋体" w:hAnsi="宋体" w:eastAsia="宋体" w:cs="黑体"/>
          <w:color w:val="auto"/>
          <w:kern w:val="0"/>
          <w:szCs w:val="21"/>
          <w:highlight w:val="none"/>
        </w:rPr>
        <w:t>卖</w:t>
      </w:r>
      <w:r>
        <w:rPr>
          <w:rFonts w:ascii="宋体" w:hAnsi="宋体" w:eastAsia="宋体" w:cs="黑体"/>
          <w:color w:val="auto"/>
          <w:kern w:val="0"/>
          <w:szCs w:val="21"/>
          <w:highlight w:val="none"/>
        </w:rPr>
        <w:t>方应在安装前提供现场安装的环境要求，如现场安装环境不能满足施工要求，应及时告知</w:t>
      </w:r>
      <w:r>
        <w:rPr>
          <w:rFonts w:hint="eastAsia" w:ascii="宋体" w:hAnsi="宋体" w:eastAsia="宋体" w:cs="黑体"/>
          <w:color w:val="auto"/>
          <w:kern w:val="0"/>
          <w:szCs w:val="21"/>
          <w:highlight w:val="none"/>
        </w:rPr>
        <w:t>承包人和</w:t>
      </w:r>
      <w:r>
        <w:rPr>
          <w:rFonts w:ascii="宋体" w:hAnsi="宋体" w:eastAsia="宋体" w:cs="黑体"/>
          <w:color w:val="auto"/>
          <w:kern w:val="0"/>
          <w:szCs w:val="21"/>
          <w:highlight w:val="none"/>
        </w:rPr>
        <w:t>监理代表。如因卖方未及时告知而造成的所有损失由卖方承担。</w:t>
      </w:r>
    </w:p>
    <w:p w14:paraId="3D8F468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6.2.1.5 合同设备安装完毕后，卖方应派人参加调试，并尽快解决出现的问题，调试所需时间应按买方要求为准。</w:t>
      </w:r>
    </w:p>
    <w:p w14:paraId="6441F3D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6.2.1.6 如果由于买方未按照卖方所提供的技术资料、图纸、说明书进行调试</w:t>
      </w:r>
      <w:r>
        <w:rPr>
          <w:rFonts w:hint="eastAsia" w:ascii="宋体" w:hAnsi="宋体" w:eastAsia="宋体" w:cs="黑体"/>
          <w:color w:val="auto"/>
          <w:kern w:val="0"/>
          <w:szCs w:val="21"/>
          <w:highlight w:val="none"/>
        </w:rPr>
        <w:t>，或不可抗力</w:t>
      </w:r>
      <w:r>
        <w:rPr>
          <w:rFonts w:ascii="宋体" w:hAnsi="宋体" w:eastAsia="宋体" w:cs="黑体"/>
          <w:color w:val="auto"/>
          <w:kern w:val="0"/>
          <w:szCs w:val="21"/>
          <w:highlight w:val="none"/>
        </w:rPr>
        <w:t>造成</w:t>
      </w:r>
      <w:r>
        <w:rPr>
          <w:rFonts w:hint="eastAsia" w:ascii="宋体" w:hAnsi="宋体" w:eastAsia="宋体" w:cs="黑体"/>
          <w:color w:val="auto"/>
          <w:kern w:val="0"/>
          <w:szCs w:val="21"/>
          <w:highlight w:val="none"/>
        </w:rPr>
        <w:t>的</w:t>
      </w:r>
      <w:r>
        <w:rPr>
          <w:rFonts w:ascii="宋体" w:hAnsi="宋体" w:eastAsia="宋体" w:cs="黑体"/>
          <w:color w:val="auto"/>
          <w:kern w:val="0"/>
          <w:szCs w:val="21"/>
          <w:highlight w:val="none"/>
        </w:rPr>
        <w:t>合同设备</w:t>
      </w:r>
      <w:r>
        <w:rPr>
          <w:rFonts w:hint="eastAsia" w:ascii="宋体" w:hAnsi="宋体" w:eastAsia="宋体" w:cs="黑体"/>
          <w:color w:val="auto"/>
          <w:kern w:val="0"/>
          <w:szCs w:val="21"/>
          <w:highlight w:val="none"/>
        </w:rPr>
        <w:t>故障，</w:t>
      </w:r>
      <w:r>
        <w:rPr>
          <w:rFonts w:ascii="宋体" w:hAnsi="宋体" w:eastAsia="宋体" w:cs="黑体"/>
          <w:color w:val="auto"/>
          <w:kern w:val="0"/>
          <w:szCs w:val="21"/>
          <w:highlight w:val="none"/>
        </w:rPr>
        <w:t>由买方负责</w:t>
      </w:r>
      <w:r>
        <w:rPr>
          <w:rFonts w:hint="eastAsia" w:ascii="宋体" w:hAnsi="宋体" w:eastAsia="宋体" w:cs="黑体"/>
          <w:color w:val="auto"/>
          <w:kern w:val="0"/>
          <w:szCs w:val="21"/>
          <w:highlight w:val="none"/>
        </w:rPr>
        <w:t>维修或</w:t>
      </w:r>
      <w:r>
        <w:rPr>
          <w:rFonts w:ascii="宋体" w:hAnsi="宋体" w:eastAsia="宋体" w:cs="黑体"/>
          <w:color w:val="auto"/>
          <w:kern w:val="0"/>
          <w:szCs w:val="21"/>
          <w:highlight w:val="none"/>
        </w:rPr>
        <w:t>更换。</w:t>
      </w:r>
      <w:r>
        <w:rPr>
          <w:rFonts w:hint="eastAsia" w:ascii="宋体" w:hAnsi="宋体" w:eastAsia="宋体" w:cs="黑体"/>
          <w:color w:val="auto"/>
          <w:kern w:val="0"/>
          <w:szCs w:val="21"/>
          <w:highlight w:val="none"/>
        </w:rPr>
        <w:t>卖方应当在技术、人力、备件、设施、工具等方面予以配合。对于买方要求的紧急部件，卖方应安排最快的方式运输。所有费用均由买方承担。</w:t>
      </w:r>
    </w:p>
    <w:p w14:paraId="1DEE6856">
      <w:pPr>
        <w:pStyle w:val="5"/>
        <w:spacing w:before="0" w:after="0" w:line="360" w:lineRule="auto"/>
        <w:rPr>
          <w:rFonts w:ascii="宋体" w:hAnsi="宋体" w:eastAsia="宋体" w:cs="黑体"/>
          <w:color w:val="auto"/>
          <w:kern w:val="0"/>
          <w:sz w:val="21"/>
          <w:szCs w:val="28"/>
          <w:highlight w:val="none"/>
        </w:rPr>
      </w:pPr>
      <w:bookmarkStart w:id="1929" w:name="_Toc4511"/>
      <w:bookmarkStart w:id="1930" w:name="_Toc7301"/>
      <w:bookmarkStart w:id="1931" w:name="_Toc57495083"/>
      <w:r>
        <w:rPr>
          <w:rFonts w:ascii="宋体" w:hAnsi="宋体" w:eastAsia="宋体" w:cs="黑体"/>
          <w:color w:val="auto"/>
          <w:kern w:val="0"/>
          <w:sz w:val="21"/>
          <w:szCs w:val="28"/>
          <w:highlight w:val="none"/>
        </w:rPr>
        <w:t>7. 技术服务</w:t>
      </w:r>
      <w:bookmarkEnd w:id="1929"/>
      <w:bookmarkEnd w:id="1930"/>
      <w:bookmarkEnd w:id="1931"/>
    </w:p>
    <w:p w14:paraId="594C488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7.1.5.6 卖方提供培训服务的总量应当不少于7×8人天。</w:t>
      </w:r>
    </w:p>
    <w:p w14:paraId="4B21BAA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对培训合格人员，卖方应授予厂家认可的资质证书。卖方还应定期对合格人员进行培训，以保持其能力水平不下降。</w:t>
      </w:r>
    </w:p>
    <w:p w14:paraId="7FB6A413">
      <w:pPr>
        <w:pStyle w:val="5"/>
        <w:spacing w:before="0" w:after="0" w:line="360" w:lineRule="auto"/>
        <w:rPr>
          <w:rFonts w:ascii="宋体" w:hAnsi="宋体" w:eastAsia="宋体" w:cs="黑体"/>
          <w:color w:val="auto"/>
          <w:kern w:val="0"/>
          <w:sz w:val="21"/>
          <w:szCs w:val="28"/>
          <w:highlight w:val="none"/>
        </w:rPr>
      </w:pPr>
      <w:bookmarkStart w:id="1932" w:name="_Toc57495084"/>
      <w:bookmarkStart w:id="1933" w:name="_Toc451"/>
      <w:bookmarkStart w:id="1934" w:name="_Toc2288"/>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932"/>
      <w:bookmarkEnd w:id="1933"/>
      <w:bookmarkEnd w:id="1934"/>
    </w:p>
    <w:p w14:paraId="3D05B7C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合同货物的质量保证期为120个月。</w:t>
      </w:r>
    </w:p>
    <w:p w14:paraId="22EA6C4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在现场安装时非对接需要对货物进行开盖处理的，质量保证期应延长2年。在货物质量保证期内，现场开盖处理的部件的质量保证期重新计算，并延长2年。</w:t>
      </w:r>
    </w:p>
    <w:p w14:paraId="1D9D2961">
      <w:pPr>
        <w:pStyle w:val="5"/>
        <w:spacing w:before="0" w:after="0" w:line="360" w:lineRule="auto"/>
        <w:rPr>
          <w:rFonts w:ascii="宋体" w:hAnsi="宋体" w:eastAsia="宋体" w:cs="黑体"/>
          <w:color w:val="auto"/>
          <w:kern w:val="0"/>
          <w:sz w:val="21"/>
          <w:szCs w:val="28"/>
          <w:highlight w:val="none"/>
        </w:rPr>
      </w:pPr>
      <w:bookmarkStart w:id="1935" w:name="_Toc57495085"/>
      <w:bookmarkStart w:id="1936" w:name="_Toc28736"/>
      <w:bookmarkStart w:id="1937" w:name="_Toc8633"/>
      <w:r>
        <w:rPr>
          <w:rFonts w:hint="eastAsia" w:ascii="宋体" w:hAnsi="宋体" w:eastAsia="宋体" w:cs="黑体"/>
          <w:color w:val="auto"/>
          <w:kern w:val="0"/>
          <w:sz w:val="21"/>
          <w:szCs w:val="28"/>
          <w:highlight w:val="none"/>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935"/>
      <w:bookmarkEnd w:id="1936"/>
      <w:bookmarkEnd w:id="1937"/>
    </w:p>
    <w:p w14:paraId="11B4AF1F">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黑体"/>
          <w:color w:val="auto"/>
          <w:kern w:val="0"/>
          <w:szCs w:val="21"/>
          <w:highlight w:val="none"/>
        </w:rPr>
        <w:t>11.4.1 卖方承诺合同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的使用寿命不少于40年。在全生命周期内，</w:t>
      </w:r>
      <w:r>
        <w:rPr>
          <w:rFonts w:hint="eastAsia" w:ascii="宋体" w:hAnsi="宋体" w:eastAsia="宋体" w:cs="黑体"/>
          <w:color w:val="auto"/>
          <w:kern w:val="0"/>
          <w:szCs w:val="21"/>
          <w:highlight w:val="none"/>
        </w:rPr>
        <w:t>买方负责</w:t>
      </w:r>
      <w:r>
        <w:rPr>
          <w:rFonts w:hint="eastAsia" w:ascii="宋体" w:hAnsi="宋体" w:eastAsia="宋体" w:cs="宋体"/>
          <w:color w:val="auto"/>
          <w:kern w:val="0"/>
          <w:szCs w:val="21"/>
          <w:highlight w:val="none"/>
        </w:rPr>
        <w:t>LCC采购补充技术规范书“</w:t>
      </w:r>
      <w:r>
        <w:rPr>
          <w:rFonts w:hint="eastAsia" w:ascii="宋体" w:hAnsi="宋体" w:eastAsia="宋体" w:cs="宋体"/>
          <w:color w:val="auto"/>
          <w:kern w:val="0"/>
          <w:szCs w:val="21"/>
          <w:highlight w:val="none"/>
          <w:lang w:eastAsia="zh-CN"/>
        </w:rPr>
        <w:t>8质量保证</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规定的检查、检测、分析工作（详见LCC采购补充技术规范书附录</w:t>
      </w:r>
      <w:r>
        <w:rPr>
          <w:rFonts w:ascii="宋体" w:hAnsi="宋体" w:eastAsia="宋体" w:cs="宋体"/>
          <w:color w:val="auto"/>
          <w:kern w:val="0"/>
          <w:szCs w:val="21"/>
          <w:highlight w:val="none"/>
        </w:rPr>
        <w:t>D: GIS（含 HGIS、GIL）运维规程</w:t>
      </w:r>
      <w:r>
        <w:rPr>
          <w:rFonts w:hint="eastAsia" w:ascii="宋体" w:hAnsi="宋体" w:eastAsia="宋体" w:cs="宋体"/>
          <w:color w:val="auto"/>
          <w:kern w:val="0"/>
          <w:szCs w:val="21"/>
          <w:highlight w:val="none"/>
        </w:rPr>
        <w:t>和附录</w:t>
      </w:r>
      <w:r>
        <w:rPr>
          <w:rFonts w:ascii="宋体" w:hAnsi="宋体" w:eastAsia="宋体" w:cs="宋体"/>
          <w:color w:val="auto"/>
          <w:kern w:val="0"/>
          <w:szCs w:val="21"/>
          <w:highlight w:val="none"/>
        </w:rPr>
        <w:t>E: GIS（含HGIS）检修试验规程</w:t>
      </w:r>
      <w:r>
        <w:rPr>
          <w:rFonts w:hint="eastAsia" w:ascii="宋体" w:hAnsi="宋体" w:eastAsia="宋体" w:cs="宋体"/>
          <w:color w:val="auto"/>
          <w:kern w:val="0"/>
          <w:szCs w:val="21"/>
          <w:highlight w:val="none"/>
        </w:rPr>
        <w:t>），其他所有工作由卖方负责。在全生命周期内，卖方保证合同设备的故障次数不会超过LCC采购补充技术规范书“</w:t>
      </w:r>
      <w:r>
        <w:rPr>
          <w:rFonts w:hint="eastAsia" w:ascii="宋体" w:hAnsi="宋体" w:eastAsia="宋体" w:cs="宋体"/>
          <w:color w:val="auto"/>
          <w:kern w:val="0"/>
          <w:szCs w:val="21"/>
          <w:highlight w:val="none"/>
          <w:lang w:eastAsia="zh-CN"/>
        </w:rPr>
        <w:t>8质量保证</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规定的全生命周期极限值（与极限值计算相关的缺陷定级标准详见LCC采购补充技术规范书附录</w:t>
      </w:r>
      <w:r>
        <w:rPr>
          <w:rFonts w:ascii="宋体" w:hAnsi="宋体" w:eastAsia="宋体" w:cs="宋体"/>
          <w:color w:val="auto"/>
          <w:kern w:val="0"/>
          <w:szCs w:val="21"/>
          <w:highlight w:val="none"/>
        </w:rPr>
        <w:t>F</w:t>
      </w:r>
      <w:r>
        <w:rPr>
          <w:rFonts w:hint="eastAsia" w:ascii="宋体" w:hAnsi="宋体" w:eastAsia="宋体" w:cs="宋体"/>
          <w:color w:val="auto"/>
          <w:kern w:val="0"/>
          <w:szCs w:val="21"/>
          <w:highlight w:val="none"/>
        </w:rPr>
        <w:t>），并保证免费对合同设备发生的所有非不可抗力因素造成的故障进行维修或更换。</w:t>
      </w:r>
    </w:p>
    <w:p w14:paraId="1184D1C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1.10 </w:t>
      </w:r>
      <w:r>
        <w:rPr>
          <w:rFonts w:hint="eastAsia" w:ascii="宋体" w:hAnsi="宋体" w:eastAsia="宋体" w:cs="黑体"/>
          <w:color w:val="auto"/>
          <w:kern w:val="0"/>
          <w:szCs w:val="21"/>
          <w:highlight w:val="none"/>
        </w:rPr>
        <w:t>买方在符合公司保密和数据管理要求的前提下将合同设备全生命周期的运维数据和运行数据开放给卖方，卖方可以通过定期派人查看、分析的模式，获知设备的运行情况</w:t>
      </w:r>
      <w:r>
        <w:rPr>
          <w:rFonts w:hint="eastAsia" w:ascii="宋体" w:hAnsi="宋体" w:eastAsia="宋体" w:cs="黑体"/>
          <w:color w:val="auto"/>
          <w:kern w:val="0"/>
          <w:szCs w:val="21"/>
          <w:highlight w:val="none"/>
          <w:lang w:eastAsia="zh-CN"/>
        </w:rPr>
        <w:t>。</w:t>
      </w:r>
      <w:r>
        <w:rPr>
          <w:rFonts w:hint="eastAsia" w:ascii="宋体" w:hAnsi="宋体" w:eastAsia="宋体" w:cs="黑体"/>
          <w:color w:val="auto"/>
          <w:kern w:val="0"/>
          <w:szCs w:val="21"/>
          <w:highlight w:val="none"/>
        </w:rPr>
        <w:t>卖方应对相关数据进行分析，及时发现问题和风险并向买方发送提示通知。必要时与买方一同制定应对方案并执行。</w:t>
      </w:r>
    </w:p>
    <w:p w14:paraId="4A94218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1.11 </w:t>
      </w:r>
      <w:r>
        <w:rPr>
          <w:rFonts w:hint="eastAsia" w:ascii="宋体" w:hAnsi="宋体" w:eastAsia="宋体" w:cs="黑体"/>
          <w:color w:val="auto"/>
          <w:kern w:val="0"/>
          <w:szCs w:val="21"/>
          <w:highlight w:val="none"/>
        </w:rPr>
        <w:t>买方应及时将合同设备异常状况通知卖方。卖方应在买方规定或双方商定的时间内提供合格的处理方案，并完成相关工作。买方应及时审核卖方的处理方案，在卖方执行方案时提供必要的协助，并及时考核卖方的处理结果。</w:t>
      </w:r>
    </w:p>
    <w:p w14:paraId="77D7AF58">
      <w:pPr>
        <w:pStyle w:val="5"/>
        <w:spacing w:before="0" w:after="0" w:line="360" w:lineRule="auto"/>
        <w:rPr>
          <w:rFonts w:ascii="宋体" w:hAnsi="宋体" w:eastAsia="宋体" w:cs="黑体"/>
          <w:color w:val="auto"/>
          <w:kern w:val="0"/>
          <w:sz w:val="21"/>
          <w:szCs w:val="28"/>
          <w:highlight w:val="none"/>
        </w:rPr>
      </w:pPr>
      <w:bookmarkStart w:id="1938" w:name="_Toc26816"/>
      <w:bookmarkStart w:id="1939" w:name="_Toc17259"/>
      <w:bookmarkStart w:id="1940" w:name="_Toc57495086"/>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938"/>
      <w:bookmarkEnd w:id="1939"/>
      <w:bookmarkEnd w:id="1940"/>
    </w:p>
    <w:p w14:paraId="5BD65978">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ascii="宋体" w:hAnsi="宋体" w:eastAsia="宋体" w:cs="Times New Roman"/>
          <w:color w:val="auto"/>
          <w:kern w:val="0"/>
          <w:szCs w:val="21"/>
          <w:highlight w:val="none"/>
        </w:rPr>
        <w:t xml:space="preserve">14.1 </w:t>
      </w:r>
      <w:r>
        <w:rPr>
          <w:rFonts w:hint="eastAsia" w:ascii="宋体" w:hAnsi="宋体" w:eastAsia="宋体" w:cs="Times New Roman"/>
          <w:color w:val="auto"/>
          <w:kern w:val="0"/>
          <w:szCs w:val="21"/>
          <w:highlight w:val="none"/>
        </w:rPr>
        <w:t>基本规定</w:t>
      </w:r>
    </w:p>
    <w:p w14:paraId="343C9A1A">
      <w:pPr>
        <w:topLinePunct/>
        <w:adjustRightInd w:val="0"/>
        <w:snapToGrid w:val="0"/>
        <w:spacing w:line="360" w:lineRule="auto"/>
        <w:ind w:firstLine="420" w:firstLineChars="200"/>
        <w:jc w:val="left"/>
        <w:rPr>
          <w:rFonts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14.1.</w:t>
      </w:r>
      <w:r>
        <w:rPr>
          <w:rFonts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 xml:space="preserve"> 采取补救措施</w:t>
      </w:r>
    </w:p>
    <w:p w14:paraId="5FCE374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14.1.4.1 出现下列情况需返厂维修：</w:t>
      </w:r>
    </w:p>
    <w:p w14:paraId="094C602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1）货物在现场耐压试验不合格，应整间隔返厂维修。</w:t>
      </w:r>
    </w:p>
    <w:p w14:paraId="563885A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2）货物在现场试验发现回路电阻超标，应整间隔返厂维修。</w:t>
      </w:r>
    </w:p>
    <w:p w14:paraId="4DFB82B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3）在工厂组装密封好的气室，除对接需要外，不得打开。如卖方擅自打开，应整间隔返厂维修。</w:t>
      </w:r>
    </w:p>
    <w:p w14:paraId="242101C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14.1.4.3 卖方支付违约</w:t>
      </w:r>
      <w:r>
        <w:rPr>
          <w:rFonts w:hint="eastAsia" w:ascii="宋体" w:hAnsi="宋体" w:eastAsia="宋体" w:cs="黑体"/>
          <w:color w:val="auto"/>
          <w:kern w:val="0"/>
          <w:szCs w:val="21"/>
          <w:highlight w:val="none"/>
        </w:rPr>
        <w:t>金</w:t>
      </w:r>
      <w:r>
        <w:rPr>
          <w:rFonts w:ascii="宋体" w:hAnsi="宋体" w:eastAsia="宋体" w:cs="黑体"/>
          <w:color w:val="auto"/>
          <w:kern w:val="0"/>
          <w:szCs w:val="21"/>
          <w:highlight w:val="none"/>
        </w:rPr>
        <w:t>的标准如下：</w:t>
      </w:r>
    </w:p>
    <w:p w14:paraId="6EEF33B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1）质量保证期内货物本体不允许有SF6气体超标泄漏现象（年漏气率不大于0.5%）。如发现有超标泄漏情况，每一处漏点卖方应向买方支付违约金1万元。</w:t>
      </w:r>
    </w:p>
    <w:p w14:paraId="684FBF9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 监造及交货前检验</w:t>
      </w:r>
    </w:p>
    <w:p w14:paraId="41CC5CB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14.5.4 若卖方在生产前未提早将生产计划告知监造单位和买方，由于卖方擅自开始生产导致货物监造工作无法正常开展的，买方有权拒收该货物。</w:t>
      </w:r>
    </w:p>
    <w:p w14:paraId="52B9F4A8">
      <w:pPr>
        <w:topLinePunct/>
        <w:adjustRightInd w:val="0"/>
        <w:snapToGrid w:val="0"/>
        <w:spacing w:line="360" w:lineRule="auto"/>
        <w:ind w:firstLine="422" w:firstLineChars="200"/>
        <w:jc w:val="left"/>
        <w:rPr>
          <w:rFonts w:ascii="宋体" w:hAnsi="宋体" w:eastAsia="宋体" w:cs="黑体"/>
          <w:b/>
          <w:bCs/>
          <w:color w:val="auto"/>
          <w:kern w:val="0"/>
          <w:szCs w:val="21"/>
          <w:highlight w:val="none"/>
        </w:rPr>
      </w:pPr>
      <w:r>
        <w:rPr>
          <w:rFonts w:ascii="宋体" w:hAnsi="宋体" w:eastAsia="宋体" w:cs="黑体"/>
          <w:b/>
          <w:bCs/>
          <w:color w:val="auto"/>
          <w:kern w:val="0"/>
          <w:szCs w:val="21"/>
          <w:highlight w:val="none"/>
        </w:rPr>
        <w:t>14.7 开箱检验、安装、调试、考核、验收</w:t>
      </w:r>
    </w:p>
    <w:p w14:paraId="5B39F842">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14.7.9.1</w:t>
      </w:r>
      <w:r>
        <w:rPr>
          <w:rFonts w:hint="eastAsia" w:ascii="宋体" w:hAnsi="宋体" w:eastAsia="宋体" w:cs="黑体"/>
          <w:color w:val="auto"/>
          <w:kern w:val="0"/>
          <w:szCs w:val="21"/>
          <w:highlight w:val="none"/>
        </w:rPr>
        <w:t xml:space="preserve"> 卖方原因导致安装工程没有按时完成的，卖方应</w:t>
      </w:r>
      <w:r>
        <w:rPr>
          <w:rFonts w:ascii="宋体" w:hAnsi="宋体" w:eastAsia="宋体" w:cs="黑体"/>
          <w:color w:val="auto"/>
          <w:kern w:val="0"/>
          <w:szCs w:val="21"/>
          <w:highlight w:val="none"/>
        </w:rPr>
        <w:t>按延迟交货承担违约责任。</w:t>
      </w:r>
    </w:p>
    <w:p w14:paraId="22B9013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4.7.9.2 </w:t>
      </w:r>
      <w:r>
        <w:rPr>
          <w:rFonts w:hint="eastAsia" w:ascii="宋体" w:hAnsi="宋体" w:eastAsia="宋体" w:cs="黑体"/>
          <w:color w:val="auto"/>
          <w:kern w:val="0"/>
          <w:szCs w:val="21"/>
          <w:highlight w:val="none"/>
        </w:rPr>
        <w:t>安装过程中发生的所有质量问题均由卖方承担全部责任，并负责自费整改。</w:t>
      </w:r>
    </w:p>
    <w:p w14:paraId="101B58F8">
      <w:pPr>
        <w:topLinePunct/>
        <w:adjustRightInd w:val="0"/>
        <w:snapToGrid w:val="0"/>
        <w:spacing w:line="360" w:lineRule="auto"/>
        <w:ind w:firstLine="422" w:firstLineChars="200"/>
        <w:jc w:val="left"/>
        <w:rPr>
          <w:rFonts w:ascii="宋体" w:hAnsi="宋体" w:eastAsia="宋体" w:cs="黑体"/>
          <w:b/>
          <w:bCs/>
          <w:color w:val="auto"/>
          <w:kern w:val="0"/>
          <w:szCs w:val="21"/>
          <w:highlight w:val="none"/>
        </w:rPr>
      </w:pPr>
      <w:r>
        <w:rPr>
          <w:rFonts w:ascii="宋体" w:hAnsi="宋体" w:eastAsia="宋体" w:cs="黑体"/>
          <w:b/>
          <w:bCs/>
          <w:color w:val="auto"/>
          <w:kern w:val="0"/>
          <w:szCs w:val="21"/>
          <w:highlight w:val="none"/>
        </w:rPr>
        <w:t>14.11 保证</w:t>
      </w:r>
    </w:p>
    <w:p w14:paraId="7A81929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14.11.1 在全生命周期内</w:t>
      </w:r>
      <w:r>
        <w:rPr>
          <w:rFonts w:hint="eastAsia" w:ascii="宋体" w:hAnsi="宋体" w:eastAsia="宋体" w:cs="黑体"/>
          <w:color w:val="auto"/>
          <w:kern w:val="0"/>
          <w:szCs w:val="21"/>
          <w:highlight w:val="none"/>
        </w:rPr>
        <w:t>，买方负责</w:t>
      </w:r>
      <w:r>
        <w:rPr>
          <w:rFonts w:hint="eastAsia" w:ascii="宋体" w:hAnsi="宋体" w:eastAsia="宋体" w:cs="宋体"/>
          <w:color w:val="auto"/>
          <w:kern w:val="0"/>
          <w:szCs w:val="21"/>
          <w:highlight w:val="none"/>
        </w:rPr>
        <w:t>LCC采购补充技术规范书“</w:t>
      </w:r>
      <w:r>
        <w:rPr>
          <w:rFonts w:hint="eastAsia" w:ascii="宋体" w:hAnsi="宋体" w:eastAsia="宋体" w:cs="宋体"/>
          <w:color w:val="auto"/>
          <w:kern w:val="0"/>
          <w:szCs w:val="21"/>
          <w:highlight w:val="none"/>
          <w:lang w:eastAsia="zh-CN"/>
        </w:rPr>
        <w:t>8质量保证</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规定的检查、检测、分析工作（详见LCC采购补充技术规范书附录</w:t>
      </w:r>
      <w:r>
        <w:rPr>
          <w:rFonts w:ascii="宋体" w:hAnsi="宋体" w:eastAsia="宋体" w:cs="宋体"/>
          <w:color w:val="auto"/>
          <w:kern w:val="0"/>
          <w:szCs w:val="21"/>
          <w:highlight w:val="none"/>
        </w:rPr>
        <w:t>D: GIS（含 HGIS、GIL）运维规程</w:t>
      </w:r>
      <w:r>
        <w:rPr>
          <w:rFonts w:hint="eastAsia" w:ascii="宋体" w:hAnsi="宋体" w:eastAsia="宋体" w:cs="宋体"/>
          <w:color w:val="auto"/>
          <w:kern w:val="0"/>
          <w:szCs w:val="21"/>
          <w:highlight w:val="none"/>
        </w:rPr>
        <w:t>和附录</w:t>
      </w:r>
      <w:r>
        <w:rPr>
          <w:rFonts w:ascii="宋体" w:hAnsi="宋体" w:eastAsia="宋体" w:cs="宋体"/>
          <w:color w:val="auto"/>
          <w:kern w:val="0"/>
          <w:szCs w:val="21"/>
          <w:highlight w:val="none"/>
        </w:rPr>
        <w:t>E: GIS（含HGIS）检修试验规程</w:t>
      </w:r>
      <w:r>
        <w:rPr>
          <w:rFonts w:hint="eastAsia" w:ascii="宋体" w:hAnsi="宋体" w:eastAsia="宋体" w:cs="宋体"/>
          <w:color w:val="auto"/>
          <w:kern w:val="0"/>
          <w:szCs w:val="21"/>
          <w:highlight w:val="none"/>
        </w:rPr>
        <w:t>），</w:t>
      </w:r>
      <w:r>
        <w:rPr>
          <w:rFonts w:hint="eastAsia" w:ascii="宋体" w:hAnsi="宋体" w:eastAsia="宋体" w:cs="黑体"/>
          <w:color w:val="auto"/>
          <w:kern w:val="0"/>
          <w:szCs w:val="21"/>
          <w:highlight w:val="none"/>
        </w:rPr>
        <w:t>合同设备发生的所有非不可抗力因素造成的故障由卖方免费进行维修或更换。</w:t>
      </w:r>
    </w:p>
    <w:p w14:paraId="5E7DA2E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14.11.2 在全生命周期内</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合同设备</w:t>
      </w:r>
      <w:r>
        <w:rPr>
          <w:rFonts w:hint="eastAsia" w:ascii="宋体" w:hAnsi="宋体" w:eastAsia="宋体" w:cs="黑体"/>
          <w:color w:val="auto"/>
          <w:kern w:val="0"/>
          <w:szCs w:val="21"/>
          <w:highlight w:val="none"/>
        </w:rPr>
        <w:t>的故障次数超过</w:t>
      </w:r>
      <w:r>
        <w:rPr>
          <w:rFonts w:hint="eastAsia" w:ascii="宋体" w:hAnsi="宋体" w:eastAsia="宋体" w:cs="宋体"/>
          <w:color w:val="auto"/>
          <w:kern w:val="0"/>
          <w:szCs w:val="21"/>
          <w:highlight w:val="none"/>
        </w:rPr>
        <w:t>LCC采购补充技术规范书“</w:t>
      </w:r>
      <w:r>
        <w:rPr>
          <w:rFonts w:hint="eastAsia" w:ascii="宋体" w:hAnsi="宋体" w:eastAsia="宋体" w:cs="宋体"/>
          <w:color w:val="auto"/>
          <w:kern w:val="0"/>
          <w:szCs w:val="21"/>
          <w:highlight w:val="none"/>
          <w:lang w:eastAsia="zh-CN"/>
        </w:rPr>
        <w:t>8质量保证</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规定的全生命周期极限值时，卖方应免费对故障设备</w:t>
      </w:r>
      <w:r>
        <w:rPr>
          <w:rFonts w:hint="eastAsia" w:ascii="宋体" w:hAnsi="宋体" w:eastAsia="宋体" w:cs="黑体"/>
          <w:color w:val="auto"/>
          <w:kern w:val="0"/>
          <w:szCs w:val="21"/>
          <w:highlight w:val="none"/>
        </w:rPr>
        <w:t>进行维修或更换，并赔偿买方因此产生的损失。</w:t>
      </w:r>
    </w:p>
    <w:p w14:paraId="74BDCD95">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ascii="宋体" w:hAnsi="宋体" w:eastAsia="宋体" w:cs="黑体"/>
          <w:color w:val="auto"/>
          <w:kern w:val="0"/>
          <w:szCs w:val="21"/>
          <w:highlight w:val="none"/>
        </w:rPr>
        <w:t>买方的损失包括但不限于人工费、材料费、重新安装费</w:t>
      </w:r>
      <w:r>
        <w:rPr>
          <w:rFonts w:hint="eastAsia" w:ascii="宋体" w:hAnsi="宋体" w:eastAsia="宋体" w:cs="黑体"/>
          <w:color w:val="auto"/>
          <w:kern w:val="0"/>
          <w:szCs w:val="21"/>
          <w:highlight w:val="none"/>
          <w:lang w:eastAsia="zh-CN"/>
        </w:rPr>
        <w:t>、</w:t>
      </w:r>
      <w:r>
        <w:rPr>
          <w:rFonts w:hint="eastAsia" w:ascii="宋体" w:hAnsi="宋体" w:eastAsia="宋体" w:cs="黑体"/>
          <w:color w:val="auto"/>
          <w:kern w:val="0"/>
          <w:szCs w:val="21"/>
          <w:highlight w:val="none"/>
        </w:rPr>
        <w:t>故障停运损失等，其他合同条款对赔偿标准有相关规定的比照其规定确定赔偿金额。</w:t>
      </w:r>
    </w:p>
    <w:p w14:paraId="6FDCADFB">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合同设备的故障次数超过LCC采购补充技术规范书“</w:t>
      </w:r>
      <w:r>
        <w:rPr>
          <w:rFonts w:hint="eastAsia" w:ascii="宋体" w:hAnsi="宋体" w:eastAsia="宋体" w:cs="黑体"/>
          <w:color w:val="auto"/>
          <w:kern w:val="0"/>
          <w:szCs w:val="21"/>
          <w:highlight w:val="none"/>
          <w:lang w:val="en-US" w:eastAsia="zh-CN"/>
        </w:rPr>
        <w:t>8质量保证</w:t>
      </w:r>
      <w:r>
        <w:rPr>
          <w:rFonts w:hint="eastAsia" w:ascii="宋体" w:hAnsi="宋体" w:eastAsia="宋体" w:cs="黑体"/>
          <w:color w:val="auto"/>
          <w:kern w:val="0"/>
          <w:szCs w:val="21"/>
          <w:highlight w:val="none"/>
        </w:rPr>
        <w:t>”规定的全生命周期极限值时，因故障造成停运的，每停运一次卖方应向买方支付合同价款2％的违约金。如停运超过72小时，每增加24小时，卖方应向买方额外支付合同总价格0.5%的违约金。</w:t>
      </w:r>
    </w:p>
    <w:p w14:paraId="7639873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4.11.3 </w:t>
      </w:r>
      <w:r>
        <w:rPr>
          <w:rFonts w:hint="eastAsia" w:ascii="宋体" w:hAnsi="宋体" w:eastAsia="宋体" w:cs="黑体"/>
          <w:color w:val="auto"/>
          <w:kern w:val="0"/>
          <w:szCs w:val="21"/>
          <w:highlight w:val="none"/>
        </w:rPr>
        <w:t>卖方实施修理或更换前，应先将处理方案提交买方审批。故障处理过程中产生的所有费用由卖方承担，包括但不限于人工费、所需更换的材料费。</w:t>
      </w:r>
    </w:p>
    <w:p w14:paraId="5A44DA9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14.11.</w:t>
      </w:r>
      <w:r>
        <w:rPr>
          <w:rFonts w:hint="eastAsia" w:ascii="宋体" w:hAnsi="宋体" w:eastAsia="宋体" w:cs="黑体"/>
          <w:color w:val="auto"/>
          <w:kern w:val="0"/>
          <w:szCs w:val="21"/>
          <w:highlight w:val="none"/>
          <w:lang w:val="en-US" w:eastAsia="zh-CN"/>
        </w:rPr>
        <w:t>4</w:t>
      </w:r>
      <w:r>
        <w:rPr>
          <w:rFonts w:ascii="宋体" w:hAnsi="宋体" w:eastAsia="宋体" w:cs="黑体"/>
          <w:color w:val="auto"/>
          <w:kern w:val="0"/>
          <w:szCs w:val="21"/>
          <w:highlight w:val="none"/>
        </w:rPr>
        <w:t xml:space="preserve"> 卖方不及时提供合格的处理方案，或不及时实施</w:t>
      </w:r>
      <w:r>
        <w:rPr>
          <w:rFonts w:hint="eastAsia" w:ascii="宋体" w:hAnsi="宋体" w:eastAsia="宋体" w:cs="黑体"/>
          <w:color w:val="auto"/>
          <w:kern w:val="0"/>
          <w:szCs w:val="21"/>
          <w:highlight w:val="none"/>
        </w:rPr>
        <w:t>维修、更换</w:t>
      </w:r>
      <w:r>
        <w:rPr>
          <w:rFonts w:ascii="宋体" w:hAnsi="宋体" w:eastAsia="宋体" w:cs="黑体"/>
          <w:color w:val="auto"/>
          <w:kern w:val="0"/>
          <w:szCs w:val="21"/>
          <w:highlight w:val="none"/>
        </w:rPr>
        <w:t>等工作</w:t>
      </w:r>
      <w:r>
        <w:rPr>
          <w:rFonts w:hint="eastAsia" w:ascii="宋体" w:hAnsi="宋体" w:eastAsia="宋体" w:cs="黑体"/>
          <w:color w:val="auto"/>
          <w:kern w:val="0"/>
          <w:szCs w:val="21"/>
          <w:highlight w:val="none"/>
        </w:rPr>
        <w:t>，或合同设备状况需要紧急处理</w:t>
      </w:r>
      <w:r>
        <w:rPr>
          <w:rFonts w:ascii="宋体" w:hAnsi="宋体" w:eastAsia="宋体" w:cs="黑体"/>
          <w:color w:val="auto"/>
          <w:kern w:val="0"/>
          <w:szCs w:val="21"/>
          <w:highlight w:val="none"/>
        </w:rPr>
        <w:t>的，买方有权自主或交由第三方</w:t>
      </w:r>
      <w:r>
        <w:rPr>
          <w:rFonts w:hint="eastAsia" w:ascii="宋体" w:hAnsi="宋体" w:eastAsia="宋体" w:cs="黑体"/>
          <w:color w:val="auto"/>
          <w:kern w:val="0"/>
          <w:szCs w:val="21"/>
          <w:highlight w:val="none"/>
        </w:rPr>
        <w:t>进行故障处理</w:t>
      </w:r>
      <w:r>
        <w:rPr>
          <w:rFonts w:ascii="宋体" w:hAnsi="宋体" w:eastAsia="宋体" w:cs="黑体"/>
          <w:color w:val="auto"/>
          <w:kern w:val="0"/>
          <w:szCs w:val="21"/>
          <w:highlight w:val="none"/>
        </w:rPr>
        <w:t>。卖方承担</w:t>
      </w:r>
      <w:r>
        <w:rPr>
          <w:rFonts w:hint="eastAsia" w:ascii="宋体" w:hAnsi="宋体" w:eastAsia="宋体" w:cs="黑体"/>
          <w:color w:val="auto"/>
          <w:kern w:val="0"/>
          <w:szCs w:val="21"/>
          <w:highlight w:val="none"/>
        </w:rPr>
        <w:t>所有</w:t>
      </w:r>
      <w:r>
        <w:rPr>
          <w:rFonts w:ascii="宋体" w:hAnsi="宋体" w:eastAsia="宋体" w:cs="黑体"/>
          <w:color w:val="auto"/>
          <w:kern w:val="0"/>
          <w:szCs w:val="21"/>
          <w:highlight w:val="none"/>
        </w:rPr>
        <w:t>费用</w:t>
      </w:r>
      <w:r>
        <w:rPr>
          <w:rFonts w:hint="eastAsia" w:ascii="宋体" w:hAnsi="宋体" w:eastAsia="宋体" w:cs="黑体"/>
          <w:color w:val="auto"/>
          <w:kern w:val="0"/>
          <w:szCs w:val="21"/>
          <w:highlight w:val="none"/>
        </w:rPr>
        <w:t>，并</w:t>
      </w:r>
      <w:r>
        <w:rPr>
          <w:rFonts w:ascii="宋体" w:hAnsi="宋体" w:eastAsia="宋体" w:cs="黑体"/>
          <w:color w:val="auto"/>
          <w:kern w:val="0"/>
          <w:szCs w:val="21"/>
          <w:highlight w:val="none"/>
        </w:rPr>
        <w:t>赔偿买方的</w:t>
      </w:r>
      <w:r>
        <w:rPr>
          <w:rFonts w:hint="eastAsia" w:ascii="宋体" w:hAnsi="宋体" w:eastAsia="宋体" w:cs="黑体"/>
          <w:color w:val="auto"/>
          <w:kern w:val="0"/>
          <w:szCs w:val="21"/>
          <w:highlight w:val="none"/>
        </w:rPr>
        <w:t>全部</w:t>
      </w:r>
      <w:r>
        <w:rPr>
          <w:rFonts w:ascii="宋体" w:hAnsi="宋体" w:eastAsia="宋体" w:cs="黑体"/>
          <w:color w:val="auto"/>
          <w:kern w:val="0"/>
          <w:szCs w:val="21"/>
          <w:highlight w:val="none"/>
        </w:rPr>
        <w:t>损失。</w:t>
      </w:r>
    </w:p>
    <w:p w14:paraId="73B1597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4.11.</w:t>
      </w:r>
      <w:r>
        <w:rPr>
          <w:rFonts w:hint="eastAsia" w:ascii="宋体" w:hAnsi="宋体" w:eastAsia="宋体" w:cs="黑体"/>
          <w:color w:val="auto"/>
          <w:kern w:val="0"/>
          <w:szCs w:val="21"/>
          <w:highlight w:val="none"/>
          <w:lang w:val="en-US" w:eastAsia="zh-CN"/>
        </w:rPr>
        <w:t>5</w:t>
      </w:r>
      <w:r>
        <w:rPr>
          <w:rFonts w:ascii="宋体" w:hAnsi="宋体" w:eastAsia="宋体" w:cs="黑体"/>
          <w:color w:val="auto"/>
          <w:kern w:val="0"/>
          <w:szCs w:val="21"/>
          <w:highlight w:val="none"/>
        </w:rPr>
        <w:t xml:space="preserve"> </w:t>
      </w:r>
      <w:r>
        <w:rPr>
          <w:rFonts w:hint="eastAsia" w:ascii="宋体" w:hAnsi="宋体" w:eastAsia="宋体" w:cs="黑体"/>
          <w:color w:val="auto"/>
          <w:kern w:val="0"/>
          <w:szCs w:val="21"/>
          <w:highlight w:val="none"/>
        </w:rPr>
        <w:t>卖方认为买方提供的合同设备全生命周期运维数据在真实性、全面性、合规性、合理性等方面存在问题的，应当在收到通知后的7日内提出异议，否则视为数据合格。</w:t>
      </w:r>
    </w:p>
    <w:bookmarkEnd w:id="1862"/>
    <w:p w14:paraId="0906385C">
      <w:pPr>
        <w:pStyle w:val="4"/>
        <w:jc w:val="center"/>
        <w:rPr>
          <w:rFonts w:hint="eastAsia" w:ascii="宋体" w:hAnsi="宋体" w:eastAsia="宋体" w:cs="Times New Roman"/>
          <w:color w:val="auto"/>
          <w:kern w:val="0"/>
          <w:sz w:val="28"/>
          <w:highlight w:val="none"/>
        </w:rPr>
      </w:pPr>
      <w:bookmarkStart w:id="1941" w:name="_Toc29002"/>
      <w:bookmarkStart w:id="1942" w:name="_Toc18336"/>
      <w:r>
        <w:rPr>
          <w:rFonts w:hint="eastAsia" w:ascii="宋体" w:hAnsi="宋体" w:eastAsia="宋体" w:cs="Times New Roman"/>
          <w:color w:val="auto"/>
          <w:kern w:val="0"/>
          <w:sz w:val="28"/>
          <w:highlight w:val="none"/>
        </w:rPr>
        <w:t>（四十</w:t>
      </w:r>
      <w:r>
        <w:rPr>
          <w:rFonts w:hint="eastAsia" w:ascii="宋体" w:hAnsi="宋体" w:eastAsia="宋体" w:cs="Times New Roman"/>
          <w:color w:val="auto"/>
          <w:kern w:val="0"/>
          <w:sz w:val="28"/>
          <w:highlight w:val="none"/>
          <w:lang w:eastAsia="zh-CN"/>
        </w:rPr>
        <w:t>八</w:t>
      </w:r>
      <w:r>
        <w:rPr>
          <w:rFonts w:hint="eastAsia" w:ascii="宋体" w:hAnsi="宋体" w:eastAsia="宋体" w:cs="Times New Roman"/>
          <w:color w:val="auto"/>
          <w:kern w:val="0"/>
          <w:sz w:val="28"/>
          <w:highlight w:val="none"/>
        </w:rPr>
        <w:t>）</w:t>
      </w:r>
      <w:r>
        <w:rPr>
          <w:rFonts w:ascii="宋体" w:hAnsi="宋体" w:eastAsia="宋体"/>
          <w:color w:val="auto"/>
          <w:kern w:val="0"/>
          <w:sz w:val="28"/>
          <w:highlight w:val="none"/>
        </w:rPr>
        <w:t>35kV以上隔离开关</w:t>
      </w:r>
      <w:r>
        <w:rPr>
          <w:rFonts w:hint="eastAsia" w:ascii="宋体" w:hAnsi="宋体" w:eastAsia="宋体" w:cs="Times New Roman"/>
          <w:color w:val="auto"/>
          <w:kern w:val="0"/>
          <w:sz w:val="28"/>
          <w:highlight w:val="none"/>
        </w:rPr>
        <w:t>（L</w:t>
      </w:r>
      <w:r>
        <w:rPr>
          <w:rFonts w:ascii="宋体" w:hAnsi="宋体" w:eastAsia="宋体" w:cs="Times New Roman"/>
          <w:color w:val="auto"/>
          <w:kern w:val="0"/>
          <w:sz w:val="28"/>
          <w:highlight w:val="none"/>
        </w:rPr>
        <w:t>CC</w:t>
      </w:r>
      <w:r>
        <w:rPr>
          <w:rFonts w:hint="eastAsia" w:ascii="宋体" w:hAnsi="宋体" w:eastAsia="宋体" w:cs="Times New Roman"/>
          <w:color w:val="auto"/>
          <w:kern w:val="0"/>
          <w:sz w:val="28"/>
          <w:highlight w:val="none"/>
        </w:rPr>
        <w:t>采购）</w:t>
      </w:r>
      <w:bookmarkEnd w:id="1941"/>
      <w:bookmarkEnd w:id="1942"/>
    </w:p>
    <w:p w14:paraId="57498914">
      <w:pPr>
        <w:pStyle w:val="5"/>
        <w:spacing w:before="0" w:after="0" w:line="360" w:lineRule="auto"/>
        <w:rPr>
          <w:rFonts w:ascii="宋体" w:hAnsi="宋体" w:eastAsia="宋体" w:cs="黑体"/>
          <w:color w:val="auto"/>
          <w:kern w:val="0"/>
          <w:sz w:val="21"/>
          <w:szCs w:val="28"/>
          <w:highlight w:val="none"/>
        </w:rPr>
      </w:pPr>
      <w:bookmarkStart w:id="1943" w:name="_Toc14034"/>
      <w:bookmarkStart w:id="1944" w:name="_Toc1977"/>
      <w:r>
        <w:rPr>
          <w:rFonts w:ascii="宋体" w:hAnsi="宋体" w:eastAsia="宋体" w:cs="黑体"/>
          <w:color w:val="auto"/>
          <w:kern w:val="0"/>
          <w:sz w:val="21"/>
          <w:szCs w:val="28"/>
          <w:highlight w:val="none"/>
        </w:rPr>
        <w:t>1.</w:t>
      </w:r>
      <w:r>
        <w:rPr>
          <w:rFonts w:hint="eastAsia" w:ascii="宋体" w:hAnsi="宋体" w:eastAsia="宋体" w:cs="黑体"/>
          <w:color w:val="auto"/>
          <w:kern w:val="0"/>
          <w:sz w:val="21"/>
          <w:szCs w:val="28"/>
          <w:highlight w:val="none"/>
        </w:rPr>
        <w:t>一般约定</w:t>
      </w:r>
      <w:bookmarkEnd w:id="1943"/>
      <w:bookmarkEnd w:id="1944"/>
    </w:p>
    <w:p w14:paraId="1E290B5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 xml:space="preserve">1.1.4.5.6 </w:t>
      </w:r>
      <w:r>
        <w:rPr>
          <w:rFonts w:hint="eastAsia" w:ascii="宋体" w:hAnsi="宋体" w:eastAsia="宋体" w:cs="宋体"/>
          <w:color w:val="auto"/>
          <w:kern w:val="0"/>
          <w:szCs w:val="21"/>
          <w:highlight w:val="none"/>
        </w:rPr>
        <w:t>故障：本补充协议中的故障是指合同设备不能执行规定功能的状态。</w:t>
      </w:r>
      <w:r>
        <w:rPr>
          <w:rFonts w:ascii="宋体" w:hAnsi="宋体" w:eastAsia="宋体" w:cs="宋体"/>
          <w:color w:val="auto"/>
          <w:kern w:val="0"/>
          <w:szCs w:val="21"/>
          <w:highlight w:val="none"/>
        </w:rPr>
        <w:t>A类故障</w:t>
      </w:r>
      <w:r>
        <w:rPr>
          <w:rFonts w:hint="eastAsia" w:ascii="宋体" w:hAnsi="宋体" w:eastAsia="宋体" w:cs="宋体"/>
          <w:color w:val="auto"/>
          <w:kern w:val="0"/>
          <w:szCs w:val="21"/>
          <w:highlight w:val="none"/>
        </w:rPr>
        <w:t>是指因合同</w:t>
      </w:r>
      <w:r>
        <w:rPr>
          <w:rFonts w:ascii="宋体" w:hAnsi="宋体" w:eastAsia="宋体" w:cs="宋体"/>
          <w:color w:val="auto"/>
          <w:kern w:val="0"/>
          <w:szCs w:val="21"/>
          <w:highlight w:val="none"/>
        </w:rPr>
        <w:t>设备</w:t>
      </w:r>
      <w:r>
        <w:rPr>
          <w:rFonts w:hint="eastAsia" w:ascii="宋体" w:hAnsi="宋体" w:eastAsia="宋体" w:cs="宋体"/>
          <w:color w:val="auto"/>
          <w:kern w:val="0"/>
          <w:szCs w:val="21"/>
          <w:highlight w:val="none"/>
        </w:rPr>
        <w:t>缺陷</w:t>
      </w:r>
      <w:r>
        <w:rPr>
          <w:rFonts w:ascii="宋体" w:hAnsi="宋体" w:eastAsia="宋体" w:cs="宋体"/>
          <w:color w:val="auto"/>
          <w:kern w:val="0"/>
          <w:szCs w:val="21"/>
          <w:highlight w:val="none"/>
        </w:rPr>
        <w:t>导致的事故事件和紧急</w:t>
      </w:r>
      <w:r>
        <w:rPr>
          <w:rFonts w:hint="eastAsia" w:ascii="宋体" w:hAnsi="宋体" w:eastAsia="宋体" w:cs="宋体"/>
          <w:color w:val="auto"/>
          <w:kern w:val="0"/>
          <w:szCs w:val="21"/>
          <w:highlight w:val="none"/>
          <w:lang w:val="en-US" w:eastAsia="zh-CN"/>
        </w:rPr>
        <w:t>a</w:t>
      </w:r>
      <w:r>
        <w:rPr>
          <w:rFonts w:hint="eastAsia" w:ascii="宋体" w:hAnsi="宋体" w:eastAsia="宋体" w:cs="宋体"/>
          <w:color w:val="auto"/>
          <w:kern w:val="0"/>
          <w:szCs w:val="21"/>
          <w:highlight w:val="none"/>
        </w:rPr>
        <w:t>、重大缺陷</w:t>
      </w:r>
      <w:r>
        <w:rPr>
          <w:rFonts w:ascii="宋体" w:hAnsi="宋体" w:eastAsia="宋体" w:cs="宋体"/>
          <w:color w:val="auto"/>
          <w:kern w:val="0"/>
          <w:szCs w:val="21"/>
          <w:highlight w:val="none"/>
        </w:rPr>
        <w:t>，B类故障</w:t>
      </w:r>
      <w:r>
        <w:rPr>
          <w:rFonts w:hint="eastAsia" w:ascii="宋体" w:hAnsi="宋体" w:eastAsia="宋体" w:cs="宋体"/>
          <w:color w:val="auto"/>
          <w:kern w:val="0"/>
          <w:szCs w:val="21"/>
          <w:highlight w:val="none"/>
        </w:rPr>
        <w:t>是指</w:t>
      </w:r>
      <w:r>
        <w:rPr>
          <w:rFonts w:ascii="宋体" w:hAnsi="宋体" w:eastAsia="宋体" w:cs="宋体"/>
          <w:color w:val="auto"/>
          <w:kern w:val="0"/>
          <w:szCs w:val="21"/>
          <w:highlight w:val="none"/>
        </w:rPr>
        <w:t>一般和其他缺陷</w:t>
      </w:r>
      <w:r>
        <w:rPr>
          <w:rFonts w:hint="eastAsia" w:ascii="宋体" w:hAnsi="宋体" w:eastAsia="宋体" w:cs="宋体"/>
          <w:color w:val="auto"/>
          <w:kern w:val="0"/>
          <w:szCs w:val="21"/>
          <w:highlight w:val="none"/>
        </w:rPr>
        <w:t>。缺陷定级标准详见LCC采购补充技术规范书附录</w:t>
      </w:r>
      <w:r>
        <w:rPr>
          <w:rFonts w:ascii="宋体" w:hAnsi="宋体" w:eastAsia="宋体" w:cs="宋体"/>
          <w:color w:val="auto"/>
          <w:kern w:val="0"/>
          <w:szCs w:val="21"/>
          <w:highlight w:val="none"/>
        </w:rPr>
        <w:t>F</w:t>
      </w:r>
      <w:r>
        <w:rPr>
          <w:rFonts w:hint="eastAsia" w:ascii="宋体" w:hAnsi="宋体" w:eastAsia="宋体" w:cs="宋体"/>
          <w:color w:val="auto"/>
          <w:kern w:val="0"/>
          <w:szCs w:val="21"/>
          <w:highlight w:val="none"/>
        </w:rPr>
        <w:t>。</w:t>
      </w:r>
    </w:p>
    <w:p w14:paraId="5B87C444">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宋体"/>
          <w:color w:val="auto"/>
          <w:kern w:val="0"/>
          <w:szCs w:val="21"/>
          <w:highlight w:val="none"/>
        </w:rPr>
        <w:t xml:space="preserve">1.1.19 </w:t>
      </w:r>
      <w:r>
        <w:rPr>
          <w:rFonts w:hint="eastAsia" w:ascii="宋体" w:hAnsi="宋体" w:eastAsia="宋体" w:cs="宋体"/>
          <w:color w:val="auto"/>
          <w:kern w:val="0"/>
          <w:szCs w:val="21"/>
          <w:highlight w:val="none"/>
        </w:rPr>
        <w:t>全寿命周期成本（</w:t>
      </w:r>
      <w:r>
        <w:rPr>
          <w:rFonts w:ascii="宋体" w:hAnsi="宋体" w:eastAsia="宋体" w:cs="宋体"/>
          <w:color w:val="auto"/>
          <w:kern w:val="0"/>
          <w:szCs w:val="21"/>
          <w:highlight w:val="none"/>
        </w:rPr>
        <w:t>Life Cycle Cost</w:t>
      </w:r>
      <w:r>
        <w:rPr>
          <w:rFonts w:hint="eastAsia" w:ascii="宋体" w:hAnsi="宋体" w:eastAsia="宋体" w:cs="宋体"/>
          <w:color w:val="auto"/>
          <w:kern w:val="0"/>
          <w:szCs w:val="21"/>
          <w:highlight w:val="none"/>
        </w:rPr>
        <w:t>，简称</w:t>
      </w:r>
      <w:r>
        <w:rPr>
          <w:rFonts w:ascii="宋体" w:hAnsi="宋体" w:eastAsia="宋体" w:cs="宋体"/>
          <w:color w:val="auto"/>
          <w:kern w:val="0"/>
          <w:szCs w:val="21"/>
          <w:highlight w:val="none"/>
        </w:rPr>
        <w:t>LCC）</w:t>
      </w:r>
      <w:r>
        <w:rPr>
          <w:rFonts w:hint="eastAsia" w:ascii="宋体" w:hAnsi="宋体" w:eastAsia="宋体" w:cs="宋体"/>
          <w:color w:val="auto"/>
          <w:kern w:val="0"/>
          <w:szCs w:val="21"/>
          <w:highlight w:val="none"/>
        </w:rPr>
        <w:t>：</w:t>
      </w:r>
      <w:r>
        <w:rPr>
          <w:rFonts w:ascii="宋体" w:hAnsi="宋体" w:eastAsia="宋体" w:cs="宋体"/>
          <w:color w:val="auto"/>
          <w:kern w:val="0"/>
          <w:szCs w:val="21"/>
          <w:highlight w:val="none"/>
        </w:rPr>
        <w:t>是指产品在有效使用期间所发生的与该产品有关的</w:t>
      </w:r>
      <w:r>
        <w:rPr>
          <w:rFonts w:hint="eastAsia" w:ascii="宋体" w:hAnsi="宋体" w:eastAsia="宋体" w:cs="宋体"/>
          <w:color w:val="auto"/>
          <w:kern w:val="0"/>
          <w:szCs w:val="21"/>
          <w:highlight w:val="none"/>
        </w:rPr>
        <w:t>所有成本。L</w:t>
      </w:r>
      <w:r>
        <w:rPr>
          <w:rFonts w:ascii="宋体" w:hAnsi="宋体" w:eastAsia="宋体" w:cs="宋体"/>
          <w:color w:val="auto"/>
          <w:kern w:val="0"/>
          <w:szCs w:val="21"/>
          <w:highlight w:val="none"/>
        </w:rPr>
        <w:t>CC</w:t>
      </w:r>
      <w:r>
        <w:rPr>
          <w:rFonts w:hint="eastAsia" w:ascii="宋体" w:hAnsi="宋体" w:eastAsia="宋体" w:cs="宋体"/>
          <w:color w:val="auto"/>
          <w:kern w:val="0"/>
          <w:szCs w:val="21"/>
          <w:highlight w:val="none"/>
        </w:rPr>
        <w:t>采购</w:t>
      </w:r>
      <w:r>
        <w:rPr>
          <w:rFonts w:ascii="宋体" w:hAnsi="宋体" w:eastAsia="宋体" w:cs="宋体"/>
          <w:color w:val="auto"/>
          <w:kern w:val="0"/>
          <w:szCs w:val="21"/>
          <w:highlight w:val="none"/>
        </w:rPr>
        <w:t>从</w:t>
      </w:r>
      <w:r>
        <w:rPr>
          <w:rFonts w:hint="eastAsia" w:ascii="宋体" w:hAnsi="宋体" w:eastAsia="宋体" w:cs="宋体"/>
          <w:color w:val="auto"/>
          <w:kern w:val="0"/>
          <w:szCs w:val="21"/>
          <w:highlight w:val="none"/>
        </w:rPr>
        <w:t>合同</w:t>
      </w:r>
      <w:r>
        <w:rPr>
          <w:rFonts w:ascii="宋体" w:hAnsi="宋体" w:eastAsia="宋体" w:cs="宋体"/>
          <w:color w:val="auto"/>
          <w:kern w:val="0"/>
          <w:szCs w:val="21"/>
          <w:highlight w:val="none"/>
        </w:rPr>
        <w:t>设备的长期经济效益出发，全面考虑</w:t>
      </w:r>
      <w:r>
        <w:rPr>
          <w:rFonts w:hint="eastAsia" w:ascii="宋体" w:hAnsi="宋体" w:eastAsia="宋体" w:cs="宋体"/>
          <w:color w:val="auto"/>
          <w:kern w:val="0"/>
          <w:szCs w:val="21"/>
          <w:highlight w:val="none"/>
        </w:rPr>
        <w:t>合同设备</w:t>
      </w:r>
      <w:r>
        <w:rPr>
          <w:rFonts w:ascii="宋体" w:hAnsi="宋体" w:eastAsia="宋体" w:cs="宋体"/>
          <w:color w:val="auto"/>
          <w:kern w:val="0"/>
          <w:szCs w:val="21"/>
          <w:highlight w:val="none"/>
        </w:rPr>
        <w:t>的规划、设计、制造、购置、安装、运行、维修、改造、更新直至报废的全过程，在满足性能/可靠性</w:t>
      </w:r>
      <w:r>
        <w:rPr>
          <w:rFonts w:hint="eastAsia" w:ascii="宋体" w:hAnsi="宋体" w:eastAsia="宋体" w:cs="宋体"/>
          <w:color w:val="auto"/>
          <w:kern w:val="0"/>
          <w:szCs w:val="21"/>
          <w:highlight w:val="none"/>
        </w:rPr>
        <w:t>要求</w:t>
      </w:r>
      <w:r>
        <w:rPr>
          <w:rFonts w:ascii="宋体" w:hAnsi="宋体" w:eastAsia="宋体" w:cs="宋体"/>
          <w:color w:val="auto"/>
          <w:kern w:val="0"/>
          <w:szCs w:val="21"/>
          <w:highlight w:val="none"/>
        </w:rPr>
        <w:t>的前提下使</w:t>
      </w:r>
      <w:r>
        <w:rPr>
          <w:rFonts w:hint="eastAsia" w:ascii="宋体" w:hAnsi="宋体" w:eastAsia="宋体" w:cs="宋体"/>
          <w:color w:val="auto"/>
          <w:kern w:val="0"/>
          <w:szCs w:val="21"/>
          <w:highlight w:val="none"/>
        </w:rPr>
        <w:t>所有成本总额</w:t>
      </w:r>
      <w:r>
        <w:rPr>
          <w:rFonts w:ascii="宋体" w:hAnsi="宋体" w:eastAsia="宋体" w:cs="宋体"/>
          <w:color w:val="auto"/>
          <w:kern w:val="0"/>
          <w:szCs w:val="21"/>
          <w:highlight w:val="none"/>
        </w:rPr>
        <w:t>最小。</w:t>
      </w:r>
      <w:r>
        <w:rPr>
          <w:rFonts w:hint="eastAsia" w:ascii="宋体" w:hAnsi="宋体" w:eastAsia="宋体" w:cs="宋体"/>
          <w:color w:val="auto"/>
          <w:kern w:val="0"/>
          <w:szCs w:val="21"/>
          <w:highlight w:val="none"/>
        </w:rPr>
        <w:t>L</w:t>
      </w:r>
      <w:r>
        <w:rPr>
          <w:rFonts w:ascii="宋体" w:hAnsi="宋体" w:eastAsia="宋体" w:cs="宋体"/>
          <w:color w:val="auto"/>
          <w:kern w:val="0"/>
          <w:szCs w:val="21"/>
          <w:highlight w:val="none"/>
        </w:rPr>
        <w:t>CC</w:t>
      </w:r>
      <w:r>
        <w:rPr>
          <w:rFonts w:hint="eastAsia" w:ascii="宋体" w:hAnsi="宋体" w:eastAsia="宋体" w:cs="宋体"/>
          <w:color w:val="auto"/>
          <w:kern w:val="0"/>
          <w:szCs w:val="21"/>
          <w:highlight w:val="none"/>
        </w:rPr>
        <w:t>计算方法见LCC采购补充技术规范书附录A。</w:t>
      </w:r>
    </w:p>
    <w:p w14:paraId="519D0689">
      <w:pPr>
        <w:pStyle w:val="5"/>
        <w:spacing w:before="0" w:after="0" w:line="360" w:lineRule="auto"/>
        <w:rPr>
          <w:rFonts w:ascii="宋体" w:hAnsi="宋体" w:eastAsia="宋体" w:cs="黑体"/>
          <w:color w:val="auto"/>
          <w:kern w:val="0"/>
          <w:sz w:val="21"/>
          <w:szCs w:val="28"/>
          <w:highlight w:val="none"/>
        </w:rPr>
      </w:pPr>
      <w:bookmarkStart w:id="1945" w:name="_Toc3770"/>
      <w:bookmarkStart w:id="1946" w:name="_Toc25015"/>
      <w:r>
        <w:rPr>
          <w:rFonts w:ascii="宋体" w:hAnsi="宋体" w:eastAsia="宋体" w:cs="黑体"/>
          <w:color w:val="auto"/>
          <w:kern w:val="0"/>
          <w:sz w:val="21"/>
          <w:szCs w:val="28"/>
          <w:highlight w:val="none"/>
        </w:rPr>
        <w:t>2. 合同范围</w:t>
      </w:r>
      <w:bookmarkEnd w:id="1945"/>
      <w:bookmarkEnd w:id="1946"/>
    </w:p>
    <w:p w14:paraId="32CFEB0C">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lang w:eastAsia="zh-CN"/>
        </w:rPr>
      </w:pPr>
      <w:r>
        <w:rPr>
          <w:rFonts w:hint="eastAsia" w:ascii="宋体" w:hAnsi="宋体" w:eastAsia="宋体" w:cs="宋体"/>
          <w:color w:val="auto"/>
          <w:kern w:val="0"/>
          <w:szCs w:val="21"/>
          <w:highlight w:val="none"/>
        </w:rPr>
        <w:t>L</w:t>
      </w:r>
      <w:r>
        <w:rPr>
          <w:rFonts w:ascii="宋体" w:hAnsi="宋体" w:eastAsia="宋体" w:cs="宋体"/>
          <w:color w:val="auto"/>
          <w:kern w:val="0"/>
          <w:szCs w:val="21"/>
          <w:highlight w:val="none"/>
        </w:rPr>
        <w:t>CC</w:t>
      </w:r>
      <w:r>
        <w:rPr>
          <w:rFonts w:hint="eastAsia" w:ascii="宋体" w:hAnsi="宋体" w:eastAsia="宋体" w:cs="宋体"/>
          <w:color w:val="auto"/>
          <w:kern w:val="0"/>
          <w:szCs w:val="21"/>
          <w:highlight w:val="none"/>
        </w:rPr>
        <w:t>采购中，新增的合同范围主要有：（1）合同设备全生命周期内，除了LCC采购补充技术规范书“</w:t>
      </w:r>
      <w:r>
        <w:rPr>
          <w:rFonts w:hint="eastAsia" w:ascii="宋体" w:hAnsi="宋体" w:eastAsia="宋体" w:cs="宋体"/>
          <w:color w:val="auto"/>
          <w:kern w:val="0"/>
          <w:szCs w:val="21"/>
          <w:highlight w:val="none"/>
          <w:lang w:eastAsia="zh-CN"/>
        </w:rPr>
        <w:t>8质量保证</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规定由买方负责的检查、检测、分析工作（详见LCC采购补充技术规范书附录</w:t>
      </w:r>
      <w:r>
        <w:rPr>
          <w:rFonts w:hint="eastAsia" w:ascii="宋体" w:hAnsi="宋体" w:eastAsia="宋体" w:cs="宋体"/>
          <w:color w:val="auto"/>
          <w:kern w:val="0"/>
          <w:szCs w:val="21"/>
          <w:highlight w:val="none"/>
          <w:lang w:val="en-US" w:eastAsia="zh-CN"/>
        </w:rPr>
        <w:t>B:维修项目和附录C</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隔离开关</w:t>
      </w:r>
      <w:r>
        <w:rPr>
          <w:rFonts w:ascii="宋体" w:hAnsi="宋体" w:eastAsia="宋体" w:cs="宋体"/>
          <w:color w:val="auto"/>
          <w:kern w:val="0"/>
          <w:szCs w:val="21"/>
          <w:highlight w:val="none"/>
        </w:rPr>
        <w:t>运维规程</w:t>
      </w:r>
      <w:r>
        <w:rPr>
          <w:rFonts w:hint="eastAsia" w:ascii="宋体" w:hAnsi="宋体" w:eastAsia="宋体" w:cs="宋体"/>
          <w:color w:val="auto"/>
          <w:kern w:val="0"/>
          <w:szCs w:val="21"/>
          <w:highlight w:val="none"/>
        </w:rPr>
        <w:t>），其他所有工作由卖方负责；（2）合同设备</w:t>
      </w:r>
      <w:r>
        <w:rPr>
          <w:rFonts w:hint="eastAsia" w:ascii="宋体" w:hAnsi="宋体" w:eastAsia="宋体" w:cs="黑体"/>
          <w:color w:val="auto"/>
          <w:kern w:val="0"/>
          <w:szCs w:val="21"/>
          <w:highlight w:val="none"/>
        </w:rPr>
        <w:t>安装的具体工作由工程承包人按照工程施工合同执行，卖方负责安装指导以保障安装工作不存在损害合同设备质量的因素。</w:t>
      </w:r>
    </w:p>
    <w:p w14:paraId="63B2DA3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2.1 所有现场组装安装用的螺栓和螺杆应多发运10%的备件，且应提供现场安装需更换的密封件。</w:t>
      </w:r>
    </w:p>
    <w:p w14:paraId="02AFB47D">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w:t>
      </w:r>
      <w:r>
        <w:rPr>
          <w:rFonts w:hint="eastAsia" w:ascii="宋体" w:hAnsi="宋体" w:eastAsia="宋体" w:cs="黑体"/>
          <w:color w:val="auto"/>
          <w:kern w:val="0"/>
          <w:szCs w:val="21"/>
          <w:highlight w:val="none"/>
          <w:lang w:val="en-US" w:eastAsia="zh-CN"/>
        </w:rPr>
        <w:t>2</w:t>
      </w:r>
      <w:r>
        <w:rPr>
          <w:rFonts w:ascii="宋体" w:hAnsi="宋体" w:eastAsia="宋体" w:cs="黑体"/>
          <w:color w:val="auto"/>
          <w:kern w:val="0"/>
          <w:szCs w:val="21"/>
          <w:highlight w:val="none"/>
        </w:rPr>
        <w:t xml:space="preserve"> 卖方应在安装前提供现场安装工作的标准化作业指导书，重点明确安装流程、安装工艺要求及现场检查、验证项目及标准，包含但不限于回路电阻、触头夹紧力、分合闸动作时间、开合感应电流灭弧装置等。</w:t>
      </w:r>
    </w:p>
    <w:p w14:paraId="1C455D7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2.</w:t>
      </w:r>
      <w:r>
        <w:rPr>
          <w:rFonts w:hint="eastAsia" w:ascii="宋体" w:hAnsi="宋体" w:eastAsia="宋体" w:cs="黑体"/>
          <w:color w:val="auto"/>
          <w:kern w:val="0"/>
          <w:szCs w:val="21"/>
          <w:highlight w:val="none"/>
          <w:lang w:val="en-US" w:eastAsia="zh-CN"/>
        </w:rPr>
        <w:t>3</w:t>
      </w:r>
      <w:r>
        <w:rPr>
          <w:rFonts w:ascii="宋体" w:hAnsi="宋体" w:eastAsia="宋体" w:cs="黑体"/>
          <w:color w:val="auto"/>
          <w:kern w:val="0"/>
          <w:szCs w:val="21"/>
          <w:highlight w:val="none"/>
        </w:rPr>
        <w:t xml:space="preserve"> 卖方提供的技术资料包括但不限于全套安装使用说明书，产品合格证明书、出厂试验记录、产品外形尺寸图、运输尺寸图、产品拆卸件一览表、装箱单、铭牌图或铭牌标志图</w:t>
      </w:r>
      <w:r>
        <w:rPr>
          <w:rFonts w:hint="eastAsia" w:ascii="宋体" w:hAnsi="宋体" w:eastAsia="宋体" w:cs="黑体"/>
          <w:color w:val="auto"/>
          <w:kern w:val="0"/>
          <w:szCs w:val="21"/>
          <w:highlight w:val="none"/>
          <w:lang w:eastAsia="zh-CN"/>
        </w:rPr>
        <w:t>（铭牌上应注明为“</w:t>
      </w:r>
      <w:r>
        <w:rPr>
          <w:rFonts w:hint="eastAsia" w:ascii="宋体" w:hAnsi="宋体" w:eastAsia="宋体" w:cs="黑体"/>
          <w:color w:val="auto"/>
          <w:kern w:val="0"/>
          <w:szCs w:val="21"/>
          <w:highlight w:val="none"/>
          <w:lang w:val="en-US" w:eastAsia="zh-CN"/>
        </w:rPr>
        <w:t>LCC设备</w:t>
      </w:r>
      <w:r>
        <w:rPr>
          <w:rFonts w:hint="eastAsia" w:ascii="宋体" w:hAnsi="宋体" w:eastAsia="宋体" w:cs="黑体"/>
          <w:color w:val="auto"/>
          <w:kern w:val="0"/>
          <w:szCs w:val="21"/>
          <w:highlight w:val="none"/>
          <w:lang w:eastAsia="zh-CN"/>
        </w:rPr>
        <w:t>”）</w:t>
      </w:r>
      <w:r>
        <w:rPr>
          <w:rFonts w:ascii="宋体" w:hAnsi="宋体" w:eastAsia="宋体" w:cs="黑体"/>
          <w:color w:val="auto"/>
          <w:kern w:val="0"/>
          <w:szCs w:val="21"/>
          <w:highlight w:val="none"/>
        </w:rPr>
        <w:t>及备件一览表等。</w:t>
      </w:r>
    </w:p>
    <w:p w14:paraId="35AB279A">
      <w:pPr>
        <w:pStyle w:val="5"/>
        <w:spacing w:before="0" w:after="0" w:line="360" w:lineRule="auto"/>
        <w:rPr>
          <w:rFonts w:ascii="宋体" w:hAnsi="宋体" w:eastAsia="宋体" w:cs="黑体"/>
          <w:color w:val="auto"/>
          <w:kern w:val="0"/>
          <w:sz w:val="21"/>
          <w:szCs w:val="28"/>
          <w:highlight w:val="none"/>
        </w:rPr>
      </w:pPr>
      <w:bookmarkStart w:id="1947" w:name="_Toc13197"/>
      <w:bookmarkStart w:id="1948" w:name="_Toc3007"/>
      <w:r>
        <w:rPr>
          <w:rFonts w:ascii="宋体" w:hAnsi="宋体" w:eastAsia="宋体" w:cs="黑体"/>
          <w:color w:val="auto"/>
          <w:kern w:val="0"/>
          <w:sz w:val="21"/>
          <w:szCs w:val="28"/>
          <w:highlight w:val="none"/>
        </w:rPr>
        <w:t>3. 合同价格与支付</w:t>
      </w:r>
      <w:bookmarkEnd w:id="1947"/>
      <w:bookmarkEnd w:id="1948"/>
    </w:p>
    <w:p w14:paraId="53E83A7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5DECE243">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100万元时，本合同价款分预付款、入卖方成品库款、交货款和结清款四次支付，支付比例为1:2:6.5:0.5。</w:t>
      </w:r>
      <w:r>
        <w:rPr>
          <w:rFonts w:hint="eastAsia" w:ascii="宋体" w:hAnsi="宋体" w:eastAsia="宋体" w:cs="黑体"/>
          <w:color w:val="auto"/>
          <w:kern w:val="0"/>
          <w:szCs w:val="21"/>
          <w:highlight w:val="none"/>
        </w:rPr>
        <w:t>卖方为中小企业的，合同价款支付比例为2:2:5.5:0.5。</w:t>
      </w:r>
    </w:p>
    <w:p w14:paraId="3614B665">
      <w:pPr>
        <w:pStyle w:val="16"/>
        <w:topLinePunct/>
        <w:snapToGrid w:val="0"/>
        <w:spacing w:line="360" w:lineRule="auto"/>
        <w:ind w:firstLine="420" w:firstLineChars="200"/>
        <w:rPr>
          <w:rFonts w:ascii="宋体" w:hAnsi="宋体" w:eastAsia="宋体" w:cs="宋体"/>
          <w:color w:val="auto"/>
          <w:sz w:val="21"/>
          <w:szCs w:val="21"/>
          <w:highlight w:val="none"/>
        </w:rPr>
      </w:pPr>
      <w:r>
        <w:rPr>
          <w:rFonts w:ascii="宋体" w:hAnsi="宋体" w:eastAsia="宋体" w:cs="宋体"/>
          <w:color w:val="auto"/>
          <w:sz w:val="21"/>
          <w:szCs w:val="21"/>
          <w:highlight w:val="none"/>
        </w:rPr>
        <w:t>3.2.1.5 结清款</w:t>
      </w:r>
    </w:p>
    <w:p w14:paraId="49DB788F">
      <w:pPr>
        <w:pStyle w:val="16"/>
        <w:topLinePunct/>
        <w:snapToGrid w:val="0"/>
        <w:spacing w:line="360" w:lineRule="auto"/>
        <w:ind w:firstLine="420" w:firstLineChars="200"/>
        <w:rPr>
          <w:rFonts w:ascii="宋体" w:hAnsi="宋体" w:eastAsia="宋体" w:cs="黑体"/>
          <w:color w:val="auto"/>
          <w:szCs w:val="21"/>
          <w:highlight w:val="none"/>
        </w:rPr>
      </w:pPr>
      <w:r>
        <w:rPr>
          <w:rFonts w:hint="eastAsia" w:ascii="宋体" w:hAnsi="宋体" w:eastAsia="宋体" w:cs="宋体"/>
          <w:color w:val="auto"/>
          <w:sz w:val="21"/>
          <w:szCs w:val="21"/>
          <w:highlight w:val="none"/>
        </w:rPr>
        <w:t>本合同中任一项目的合同设备的质保期开始计算后满</w:t>
      </w:r>
      <w:r>
        <w:rPr>
          <w:rFonts w:hint="eastAsia" w:ascii="宋体" w:hAnsi="宋体" w:eastAsia="宋体" w:cs="宋体"/>
          <w:color w:val="auto"/>
          <w:sz w:val="21"/>
          <w:szCs w:val="21"/>
          <w:highlight w:val="none"/>
          <w:lang w:val="en-US" w:eastAsia="zh-CN"/>
        </w:rPr>
        <w:t>1</w:t>
      </w:r>
      <w:r>
        <w:rPr>
          <w:rFonts w:ascii="宋体" w:hAnsi="宋体" w:eastAsia="宋体" w:cs="宋体"/>
          <w:color w:val="auto"/>
          <w:sz w:val="21"/>
          <w:szCs w:val="21"/>
          <w:highlight w:val="none"/>
        </w:rPr>
        <w:t>年，并无索赔或索赔完成后，则买方在</w:t>
      </w:r>
      <w:r>
        <w:rPr>
          <w:rFonts w:hint="eastAsia" w:ascii="宋体" w:hAnsi="宋体" w:eastAsia="宋体" w:cs="宋体"/>
          <w:color w:val="auto"/>
          <w:sz w:val="21"/>
          <w:szCs w:val="21"/>
          <w:highlight w:val="none"/>
        </w:rPr>
        <w:t>卖方发起申请后</w:t>
      </w:r>
      <w:r>
        <w:rPr>
          <w:rFonts w:ascii="宋体" w:hAnsi="宋体" w:eastAsia="宋体" w:cs="宋体"/>
          <w:color w:val="auto"/>
          <w:sz w:val="21"/>
          <w:szCs w:val="21"/>
          <w:highlight w:val="none"/>
        </w:rPr>
        <w:t>60天内（境外支付的，延长30个工作日）支付</w:t>
      </w:r>
      <w:r>
        <w:rPr>
          <w:rFonts w:hint="eastAsia" w:ascii="宋体" w:hAnsi="宋体" w:eastAsia="宋体" w:cs="宋体"/>
          <w:color w:val="auto"/>
          <w:sz w:val="21"/>
          <w:szCs w:val="21"/>
          <w:highlight w:val="none"/>
        </w:rPr>
        <w:t>该项目</w:t>
      </w:r>
      <w:r>
        <w:rPr>
          <w:rFonts w:ascii="宋体" w:hAnsi="宋体" w:eastAsia="宋体" w:cs="宋体"/>
          <w:color w:val="auto"/>
          <w:sz w:val="21"/>
          <w:szCs w:val="21"/>
          <w:highlight w:val="none"/>
        </w:rPr>
        <w:t>结清款。</w:t>
      </w:r>
    </w:p>
    <w:p w14:paraId="286CF7C5">
      <w:pPr>
        <w:pStyle w:val="5"/>
        <w:spacing w:before="0" w:after="0" w:line="360" w:lineRule="auto"/>
        <w:rPr>
          <w:rFonts w:ascii="宋体" w:hAnsi="宋体" w:eastAsia="宋体" w:cs="黑体"/>
          <w:color w:val="auto"/>
          <w:kern w:val="0"/>
          <w:sz w:val="21"/>
          <w:szCs w:val="28"/>
          <w:highlight w:val="none"/>
        </w:rPr>
      </w:pPr>
      <w:bookmarkStart w:id="1949" w:name="_Toc14214"/>
      <w:bookmarkStart w:id="1950" w:name="_Toc26343"/>
      <w:r>
        <w:rPr>
          <w:rFonts w:ascii="宋体" w:hAnsi="宋体" w:eastAsia="宋体" w:cs="黑体"/>
          <w:color w:val="auto"/>
          <w:kern w:val="0"/>
          <w:sz w:val="21"/>
          <w:szCs w:val="28"/>
          <w:highlight w:val="none"/>
        </w:rPr>
        <w:t>4. 监造及交货前检验</w:t>
      </w:r>
      <w:bookmarkEnd w:id="1949"/>
      <w:bookmarkEnd w:id="1950"/>
    </w:p>
    <w:p w14:paraId="1C25405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4.1 </w:t>
      </w:r>
      <w:r>
        <w:rPr>
          <w:rFonts w:hint="eastAsia" w:ascii="宋体" w:hAnsi="宋体" w:eastAsia="宋体" w:cs="黑体"/>
          <w:color w:val="auto"/>
          <w:kern w:val="0"/>
          <w:szCs w:val="21"/>
          <w:highlight w:val="none"/>
        </w:rPr>
        <w:t>监造</w:t>
      </w:r>
    </w:p>
    <w:p w14:paraId="36438F1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4.1.2.2 卖方不得以外购绝缘件出厂试验报告代替本厂试验报告。</w:t>
      </w:r>
    </w:p>
    <w:p w14:paraId="31E3B53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4.1.10 卖方应对支柱绝缘子逐只进行超声探伤试验。</w:t>
      </w:r>
    </w:p>
    <w:p w14:paraId="29ED3C5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 抽检</w:t>
      </w:r>
    </w:p>
    <w:p w14:paraId="5D7C307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4.3.6 增加抽检项目包括但不限于：</w:t>
      </w:r>
    </w:p>
    <w:p w14:paraId="6CA62A0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温升试验，抗震试验。</w:t>
      </w:r>
    </w:p>
    <w:p w14:paraId="34B1A87F">
      <w:pPr>
        <w:pStyle w:val="5"/>
        <w:spacing w:before="0" w:after="0" w:line="360" w:lineRule="auto"/>
        <w:rPr>
          <w:rFonts w:ascii="宋体" w:hAnsi="宋体" w:eastAsia="宋体" w:cs="黑体"/>
          <w:color w:val="auto"/>
          <w:kern w:val="0"/>
          <w:sz w:val="21"/>
          <w:szCs w:val="28"/>
          <w:highlight w:val="none"/>
        </w:rPr>
      </w:pPr>
      <w:bookmarkStart w:id="1951" w:name="_Toc13401"/>
      <w:bookmarkStart w:id="1952" w:name="_Toc32120"/>
      <w:r>
        <w:rPr>
          <w:rFonts w:ascii="宋体" w:hAnsi="宋体" w:eastAsia="宋体" w:cs="黑体"/>
          <w:color w:val="auto"/>
          <w:kern w:val="0"/>
          <w:sz w:val="21"/>
          <w:szCs w:val="28"/>
          <w:highlight w:val="none"/>
        </w:rPr>
        <w:t>7. 技术服务</w:t>
      </w:r>
      <w:bookmarkEnd w:id="1951"/>
      <w:bookmarkEnd w:id="1952"/>
    </w:p>
    <w:p w14:paraId="68170BC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7.1.5.6 卖方提供培训服务的总量应当不少于7×8人天。</w:t>
      </w:r>
    </w:p>
    <w:p w14:paraId="3B64060F">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7.1.5.7 对培训合格人员，卖方应授予厂家认可的资质证书。卖方还应定期对合格人员进行培训，以保持其能力水平不下降。</w:t>
      </w:r>
    </w:p>
    <w:p w14:paraId="50636E26">
      <w:pPr>
        <w:pStyle w:val="5"/>
        <w:spacing w:before="0" w:after="0" w:line="360" w:lineRule="auto"/>
        <w:rPr>
          <w:rFonts w:ascii="宋体" w:hAnsi="宋体" w:eastAsia="宋体" w:cs="黑体"/>
          <w:color w:val="auto"/>
          <w:kern w:val="0"/>
          <w:sz w:val="21"/>
          <w:szCs w:val="28"/>
          <w:highlight w:val="none"/>
        </w:rPr>
      </w:pPr>
      <w:bookmarkStart w:id="1953" w:name="_Toc9627"/>
      <w:bookmarkStart w:id="1954" w:name="_Toc1049"/>
      <w:r>
        <w:rPr>
          <w:rFonts w:ascii="宋体" w:hAnsi="宋体" w:eastAsia="宋体" w:cs="黑体"/>
          <w:color w:val="auto"/>
          <w:kern w:val="0"/>
          <w:sz w:val="21"/>
          <w:szCs w:val="28"/>
          <w:highlight w:val="none"/>
        </w:rPr>
        <w:t xml:space="preserve">8. </w:t>
      </w:r>
      <w:r>
        <w:rPr>
          <w:rFonts w:hint="eastAsia" w:ascii="宋体" w:hAnsi="宋体" w:eastAsia="宋体" w:cs="黑体"/>
          <w:color w:val="auto"/>
          <w:kern w:val="0"/>
          <w:sz w:val="21"/>
          <w:szCs w:val="28"/>
          <w:highlight w:val="none"/>
        </w:rPr>
        <w:t>质量保证期</w:t>
      </w:r>
      <w:bookmarkEnd w:id="1953"/>
      <w:bookmarkEnd w:id="1954"/>
    </w:p>
    <w:p w14:paraId="3B00C89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 合同设备的质量保证期为60个月。</w:t>
      </w:r>
    </w:p>
    <w:p w14:paraId="4C65C6F6">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8.1.1 在厂内时间参数等不合格，经反复处理后合格，其质保期应延长1年，并将原因和处理情况列入出厂文件。</w:t>
      </w:r>
    </w:p>
    <w:p w14:paraId="1535F0F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产品总装后</w:t>
      </w:r>
      <w:r>
        <w:rPr>
          <w:rFonts w:ascii="宋体" w:hAnsi="宋体" w:eastAsia="宋体" w:cs="黑体"/>
          <w:color w:val="auto"/>
          <w:kern w:val="0"/>
          <w:szCs w:val="21"/>
          <w:highlight w:val="none"/>
        </w:rPr>
        <w:t>,因试验不合格,需拆装时,每拆装一次,质量保证期应延长2年,并将拆装原因和处理情况列入出厂文件。</w:t>
      </w:r>
    </w:p>
    <w:p w14:paraId="058D0C09">
      <w:pPr>
        <w:pStyle w:val="5"/>
        <w:spacing w:before="0" w:after="0" w:line="360" w:lineRule="auto"/>
        <w:rPr>
          <w:rFonts w:ascii="宋体" w:hAnsi="宋体" w:eastAsia="宋体" w:cs="黑体"/>
          <w:color w:val="auto"/>
          <w:kern w:val="0"/>
          <w:sz w:val="21"/>
          <w:szCs w:val="28"/>
          <w:highlight w:val="none"/>
        </w:rPr>
      </w:pPr>
      <w:bookmarkStart w:id="1955" w:name="_Toc24800"/>
      <w:bookmarkStart w:id="1956" w:name="_Toc32221"/>
      <w:r>
        <w:rPr>
          <w:rFonts w:hint="eastAsia" w:ascii="宋体" w:hAnsi="宋体" w:eastAsia="宋体" w:cs="黑体"/>
          <w:color w:val="auto"/>
          <w:kern w:val="0"/>
          <w:sz w:val="21"/>
          <w:szCs w:val="28"/>
          <w:highlight w:val="none"/>
          <w:lang w:val="en-US" w:eastAsia="zh-CN"/>
        </w:rPr>
        <w:t>11</w:t>
      </w:r>
      <w:r>
        <w:rPr>
          <w:rFonts w:ascii="宋体" w:hAnsi="宋体" w:eastAsia="宋体" w:cs="黑体"/>
          <w:color w:val="auto"/>
          <w:kern w:val="0"/>
          <w:sz w:val="21"/>
          <w:szCs w:val="28"/>
          <w:highlight w:val="none"/>
        </w:rPr>
        <w:t xml:space="preserve">. </w:t>
      </w:r>
      <w:r>
        <w:rPr>
          <w:rFonts w:hint="eastAsia" w:ascii="宋体" w:hAnsi="宋体" w:eastAsia="宋体" w:cs="黑体"/>
          <w:color w:val="auto"/>
          <w:kern w:val="0"/>
          <w:sz w:val="21"/>
          <w:szCs w:val="28"/>
          <w:highlight w:val="none"/>
        </w:rPr>
        <w:t>保证</w:t>
      </w:r>
      <w:bookmarkEnd w:id="1955"/>
      <w:bookmarkEnd w:id="1956"/>
    </w:p>
    <w:p w14:paraId="4F0E457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黑体"/>
          <w:color w:val="auto"/>
          <w:kern w:val="0"/>
          <w:szCs w:val="21"/>
          <w:highlight w:val="none"/>
          <w:lang w:val="en-US" w:eastAsia="zh-CN"/>
        </w:rPr>
        <w:t>11</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4.</w:t>
      </w:r>
      <w:r>
        <w:rPr>
          <w:rFonts w:ascii="宋体" w:hAnsi="宋体" w:eastAsia="宋体" w:cs="黑体"/>
          <w:color w:val="auto"/>
          <w:kern w:val="0"/>
          <w:szCs w:val="21"/>
          <w:highlight w:val="none"/>
        </w:rPr>
        <w:t>1 卖方承诺合同</w:t>
      </w:r>
      <w:r>
        <w:rPr>
          <w:rFonts w:hint="eastAsia" w:ascii="宋体" w:hAnsi="宋体" w:eastAsia="宋体" w:cs="黑体"/>
          <w:color w:val="auto"/>
          <w:kern w:val="0"/>
          <w:szCs w:val="21"/>
          <w:highlight w:val="none"/>
        </w:rPr>
        <w:t>设备</w:t>
      </w:r>
      <w:r>
        <w:rPr>
          <w:rFonts w:ascii="宋体" w:hAnsi="宋体" w:eastAsia="宋体" w:cs="黑体"/>
          <w:color w:val="auto"/>
          <w:kern w:val="0"/>
          <w:szCs w:val="21"/>
          <w:highlight w:val="none"/>
        </w:rPr>
        <w:t>的使用寿命不少于40年。在全生命周期内，</w:t>
      </w:r>
      <w:r>
        <w:rPr>
          <w:rFonts w:hint="eastAsia" w:ascii="宋体" w:hAnsi="宋体" w:eastAsia="宋体" w:cs="黑体"/>
          <w:color w:val="auto"/>
          <w:kern w:val="0"/>
          <w:szCs w:val="21"/>
          <w:highlight w:val="none"/>
        </w:rPr>
        <w:t>买方负责</w:t>
      </w:r>
      <w:r>
        <w:rPr>
          <w:rFonts w:hint="eastAsia" w:ascii="宋体" w:hAnsi="宋体" w:eastAsia="宋体" w:cs="宋体"/>
          <w:color w:val="auto"/>
          <w:kern w:val="0"/>
          <w:szCs w:val="21"/>
          <w:highlight w:val="none"/>
        </w:rPr>
        <w:t>LCC采购补充技术规范书“</w:t>
      </w:r>
      <w:r>
        <w:rPr>
          <w:rFonts w:hint="eastAsia" w:ascii="宋体" w:hAnsi="宋体" w:eastAsia="宋体" w:cs="宋体"/>
          <w:color w:val="auto"/>
          <w:kern w:val="0"/>
          <w:szCs w:val="21"/>
          <w:highlight w:val="none"/>
          <w:lang w:eastAsia="zh-CN"/>
        </w:rPr>
        <w:t>8质量保证</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规定的检查、检测、分析工作（详见LCC采购补充技术规范书附录</w:t>
      </w:r>
      <w:r>
        <w:rPr>
          <w:rFonts w:hint="eastAsia" w:ascii="宋体" w:hAnsi="宋体" w:eastAsia="宋体" w:cs="宋体"/>
          <w:color w:val="auto"/>
          <w:kern w:val="0"/>
          <w:szCs w:val="21"/>
          <w:highlight w:val="none"/>
          <w:lang w:val="en-US" w:eastAsia="zh-CN"/>
        </w:rPr>
        <w:t>B:维修项目和附录C</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隔离开关</w:t>
      </w:r>
      <w:r>
        <w:rPr>
          <w:rFonts w:ascii="宋体" w:hAnsi="宋体" w:eastAsia="宋体" w:cs="宋体"/>
          <w:color w:val="auto"/>
          <w:kern w:val="0"/>
          <w:szCs w:val="21"/>
          <w:highlight w:val="none"/>
        </w:rPr>
        <w:t>运维规程</w:t>
      </w:r>
      <w:r>
        <w:rPr>
          <w:rFonts w:hint="eastAsia" w:ascii="宋体" w:hAnsi="宋体" w:eastAsia="宋体" w:cs="宋体"/>
          <w:color w:val="auto"/>
          <w:kern w:val="0"/>
          <w:szCs w:val="21"/>
          <w:highlight w:val="none"/>
        </w:rPr>
        <w:t>），其他所有工作由卖方负责。在全生命周期内，卖方保证合同设备的故障次数不会超过LCC采购补充技术规范书“</w:t>
      </w:r>
      <w:r>
        <w:rPr>
          <w:rFonts w:hint="eastAsia" w:ascii="宋体" w:hAnsi="宋体" w:eastAsia="宋体" w:cs="宋体"/>
          <w:color w:val="auto"/>
          <w:kern w:val="0"/>
          <w:szCs w:val="21"/>
          <w:highlight w:val="none"/>
          <w:lang w:eastAsia="zh-CN"/>
        </w:rPr>
        <w:t>8质量保证</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规定的全生命周期极限值（与极限值计算相关的缺陷定级标准详见LCC采购补充技术规范书附录</w:t>
      </w:r>
      <w:r>
        <w:rPr>
          <w:rFonts w:ascii="宋体" w:hAnsi="宋体" w:eastAsia="宋体" w:cs="宋体"/>
          <w:color w:val="auto"/>
          <w:kern w:val="0"/>
          <w:szCs w:val="21"/>
          <w:highlight w:val="none"/>
        </w:rPr>
        <w:t>F</w:t>
      </w:r>
      <w:r>
        <w:rPr>
          <w:rFonts w:hint="eastAsia" w:ascii="宋体" w:hAnsi="宋体" w:eastAsia="宋体" w:cs="宋体"/>
          <w:color w:val="auto"/>
          <w:kern w:val="0"/>
          <w:szCs w:val="21"/>
          <w:highlight w:val="none"/>
        </w:rPr>
        <w:t>），并保证免费对合同设备发生的所有非不可抗力因素造成的故障进行维修或更换。</w:t>
      </w:r>
    </w:p>
    <w:p w14:paraId="616E064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lang w:val="en-US" w:eastAsia="zh-CN"/>
        </w:rPr>
        <w:t>11.10</w:t>
      </w:r>
      <w:r>
        <w:rPr>
          <w:rFonts w:ascii="宋体" w:hAnsi="宋体" w:eastAsia="宋体" w:cs="黑体"/>
          <w:color w:val="auto"/>
          <w:kern w:val="0"/>
          <w:szCs w:val="21"/>
          <w:highlight w:val="none"/>
        </w:rPr>
        <w:t xml:space="preserve"> </w:t>
      </w:r>
      <w:r>
        <w:rPr>
          <w:rFonts w:hint="eastAsia" w:ascii="宋体" w:hAnsi="宋体" w:eastAsia="宋体" w:cs="黑体"/>
          <w:color w:val="auto"/>
          <w:kern w:val="0"/>
          <w:szCs w:val="21"/>
          <w:highlight w:val="none"/>
        </w:rPr>
        <w:t>买方在符合公司保密和数据管理要求的前提下将合同设备全生命周期的运维数据和运行数据开放给卖方，卖方可以通过定期派人查看、分析的模式，获知设备的运行情况。卖方应对相关数据进行分析，及时发现问题和风险并向买方发送提示通知。必要时与买方一同制定应对方案并执行。</w:t>
      </w:r>
    </w:p>
    <w:p w14:paraId="0C11A739">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lang w:val="en-US" w:eastAsia="zh-CN"/>
        </w:rPr>
        <w:t>11.11</w:t>
      </w:r>
      <w:r>
        <w:rPr>
          <w:rFonts w:hint="eastAsia" w:ascii="宋体" w:hAnsi="宋体" w:eastAsia="宋体" w:cs="黑体"/>
          <w:color w:val="auto"/>
          <w:kern w:val="0"/>
          <w:szCs w:val="21"/>
          <w:highlight w:val="none"/>
        </w:rPr>
        <w:t>买方应及时将合同设备异常状况通知卖方。卖方应在买方规定或双方商定的时间内提供合格的处理方案，并完成相关工作。买方应及时审核卖方的处理方案，在卖方执行方案时提供必要的协助，并及时考核卖方的处理结果。</w:t>
      </w:r>
    </w:p>
    <w:p w14:paraId="7094E926">
      <w:pPr>
        <w:pStyle w:val="5"/>
        <w:spacing w:before="0" w:after="0" w:line="360" w:lineRule="auto"/>
        <w:rPr>
          <w:rFonts w:ascii="宋体" w:hAnsi="宋体" w:eastAsia="宋体" w:cs="黑体"/>
          <w:color w:val="auto"/>
          <w:kern w:val="0"/>
          <w:sz w:val="21"/>
          <w:szCs w:val="28"/>
          <w:highlight w:val="none"/>
        </w:rPr>
      </w:pPr>
      <w:bookmarkStart w:id="1957" w:name="_Toc19043"/>
      <w:bookmarkStart w:id="1958" w:name="_Toc1671"/>
      <w:r>
        <w:rPr>
          <w:rFonts w:ascii="宋体" w:hAnsi="宋体" w:eastAsia="宋体" w:cs="黑体"/>
          <w:color w:val="auto"/>
          <w:kern w:val="0"/>
          <w:sz w:val="21"/>
          <w:szCs w:val="28"/>
          <w:highlight w:val="none"/>
        </w:rPr>
        <w:t xml:space="preserve">14. </w:t>
      </w:r>
      <w:r>
        <w:rPr>
          <w:rFonts w:hint="eastAsia" w:ascii="宋体" w:hAnsi="宋体" w:eastAsia="宋体" w:cs="黑体"/>
          <w:color w:val="auto"/>
          <w:kern w:val="0"/>
          <w:sz w:val="21"/>
          <w:szCs w:val="28"/>
          <w:highlight w:val="none"/>
        </w:rPr>
        <w:t>违约责任</w:t>
      </w:r>
      <w:bookmarkEnd w:id="1957"/>
      <w:bookmarkEnd w:id="1958"/>
    </w:p>
    <w:p w14:paraId="69EA6557">
      <w:pPr>
        <w:topLinePunct/>
        <w:adjustRightInd w:val="0"/>
        <w:snapToGrid w:val="0"/>
        <w:spacing w:line="360" w:lineRule="auto"/>
        <w:ind w:firstLine="420" w:firstLineChars="200"/>
        <w:jc w:val="left"/>
        <w:rPr>
          <w:rFonts w:ascii="宋体" w:hAnsi="宋体" w:eastAsia="宋体"/>
          <w:color w:val="auto"/>
          <w:kern w:val="0"/>
          <w:szCs w:val="21"/>
          <w:highlight w:val="none"/>
        </w:rPr>
      </w:pPr>
      <w:r>
        <w:rPr>
          <w:rFonts w:ascii="宋体" w:hAnsi="宋体" w:eastAsia="宋体"/>
          <w:color w:val="auto"/>
          <w:kern w:val="0"/>
          <w:szCs w:val="21"/>
          <w:highlight w:val="none"/>
        </w:rPr>
        <w:t xml:space="preserve">14.1 </w:t>
      </w:r>
      <w:r>
        <w:rPr>
          <w:rFonts w:hint="eastAsia" w:ascii="宋体" w:hAnsi="宋体" w:eastAsia="宋体"/>
          <w:color w:val="auto"/>
          <w:kern w:val="0"/>
          <w:szCs w:val="21"/>
          <w:highlight w:val="none"/>
        </w:rPr>
        <w:t>基本规定</w:t>
      </w:r>
    </w:p>
    <w:p w14:paraId="28554236">
      <w:pPr>
        <w:topLinePunct/>
        <w:adjustRightInd w:val="0"/>
        <w:snapToGrid w:val="0"/>
        <w:spacing w:line="360" w:lineRule="auto"/>
        <w:ind w:firstLine="420" w:firstLineChars="200"/>
        <w:jc w:val="left"/>
        <w:rPr>
          <w:rFonts w:ascii="宋体" w:hAnsi="宋体" w:eastAsia="宋体"/>
          <w:color w:val="auto"/>
          <w:kern w:val="0"/>
          <w:szCs w:val="21"/>
          <w:highlight w:val="none"/>
        </w:rPr>
      </w:pPr>
      <w:r>
        <w:rPr>
          <w:rFonts w:hint="eastAsia" w:ascii="宋体" w:hAnsi="宋体" w:eastAsia="宋体"/>
          <w:color w:val="auto"/>
          <w:kern w:val="0"/>
          <w:szCs w:val="21"/>
          <w:highlight w:val="none"/>
        </w:rPr>
        <w:t>14.1.</w:t>
      </w:r>
      <w:r>
        <w:rPr>
          <w:rFonts w:ascii="宋体" w:hAnsi="宋体" w:eastAsia="宋体"/>
          <w:color w:val="auto"/>
          <w:kern w:val="0"/>
          <w:szCs w:val="21"/>
          <w:highlight w:val="none"/>
        </w:rPr>
        <w:t>4</w:t>
      </w:r>
      <w:r>
        <w:rPr>
          <w:rFonts w:hint="eastAsia" w:ascii="宋体" w:hAnsi="宋体" w:eastAsia="宋体"/>
          <w:color w:val="auto"/>
          <w:kern w:val="0"/>
          <w:szCs w:val="21"/>
          <w:highlight w:val="none"/>
        </w:rPr>
        <w:t xml:space="preserve"> 采取补救措施</w:t>
      </w:r>
    </w:p>
    <w:p w14:paraId="302A36D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14.1.4.3 </w:t>
      </w:r>
      <w:r>
        <w:rPr>
          <w:rFonts w:hint="eastAsia" w:ascii="宋体" w:hAnsi="宋体" w:eastAsia="宋体" w:cs="黑体"/>
          <w:color w:val="auto"/>
          <w:kern w:val="0"/>
          <w:szCs w:val="21"/>
          <w:highlight w:val="none"/>
        </w:rPr>
        <w:t>卖方支付违约金的标准如下：</w:t>
      </w:r>
    </w:p>
    <w:p w14:paraId="2347657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1）质量保证期内，合同设备发生质量原因的严重发热造成非计划停运，每次卖方应向买方支付违约金1万元，发生质量原因的机构箱进水，每次卖方应向买方支付违约金3000元。</w:t>
      </w:r>
    </w:p>
    <w:p w14:paraId="442D786A">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2）合同设备运到现场后，发现渗漏超标（本体或操动机构），现场处理或无渗漏情况，应允许卖方在现场处理；如处理后再有渗漏，每发现1处漏点，卖方应向买方支付违约金5000元。</w:t>
      </w:r>
    </w:p>
    <w:p w14:paraId="7246E308">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14.9 质保期服务</w:t>
      </w:r>
    </w:p>
    <w:p w14:paraId="6397F45B">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14.9.5 合同设备使用寿命期内发生质量原因的瓷瓶断裂，每次卖方应向买方支付违约金1万元。</w:t>
      </w:r>
    </w:p>
    <w:p w14:paraId="28B4B41D">
      <w:pPr>
        <w:topLinePunct/>
        <w:adjustRightInd w:val="0"/>
        <w:snapToGrid w:val="0"/>
        <w:spacing w:line="360" w:lineRule="auto"/>
        <w:ind w:firstLine="422" w:firstLineChars="200"/>
        <w:jc w:val="left"/>
        <w:rPr>
          <w:rFonts w:ascii="宋体" w:hAnsi="宋体" w:eastAsia="宋体" w:cs="黑体"/>
          <w:b/>
          <w:bCs/>
          <w:color w:val="auto"/>
          <w:kern w:val="0"/>
          <w:szCs w:val="21"/>
          <w:highlight w:val="none"/>
        </w:rPr>
      </w:pPr>
      <w:r>
        <w:rPr>
          <w:rFonts w:ascii="宋体" w:hAnsi="宋体" w:eastAsia="宋体" w:cs="黑体"/>
          <w:b/>
          <w:bCs/>
          <w:color w:val="auto"/>
          <w:kern w:val="0"/>
          <w:szCs w:val="21"/>
          <w:highlight w:val="none"/>
        </w:rPr>
        <w:t>14.11 保证</w:t>
      </w:r>
    </w:p>
    <w:p w14:paraId="665C48A4">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14.11.1 在全生命周期内</w:t>
      </w:r>
      <w:r>
        <w:rPr>
          <w:rFonts w:hint="eastAsia" w:ascii="宋体" w:hAnsi="宋体" w:eastAsia="宋体" w:cs="黑体"/>
          <w:color w:val="auto"/>
          <w:kern w:val="0"/>
          <w:szCs w:val="21"/>
          <w:highlight w:val="none"/>
        </w:rPr>
        <w:t>，买方负责</w:t>
      </w:r>
      <w:r>
        <w:rPr>
          <w:rFonts w:hint="eastAsia" w:ascii="宋体" w:hAnsi="宋体" w:eastAsia="宋体" w:cs="宋体"/>
          <w:color w:val="auto"/>
          <w:kern w:val="0"/>
          <w:szCs w:val="21"/>
          <w:highlight w:val="none"/>
        </w:rPr>
        <w:t>LCC采购补充技术规范书“</w:t>
      </w:r>
      <w:r>
        <w:rPr>
          <w:rFonts w:hint="eastAsia" w:ascii="宋体" w:hAnsi="宋体" w:eastAsia="宋体" w:cs="宋体"/>
          <w:color w:val="auto"/>
          <w:kern w:val="0"/>
          <w:szCs w:val="21"/>
          <w:highlight w:val="none"/>
          <w:lang w:eastAsia="zh-CN"/>
        </w:rPr>
        <w:t>8质量保证</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规定的检查、检测、分析工作（详见LCC采购补充技术规范书附录</w:t>
      </w:r>
      <w:r>
        <w:rPr>
          <w:rFonts w:hint="eastAsia" w:ascii="宋体" w:hAnsi="宋体" w:eastAsia="宋体" w:cs="宋体"/>
          <w:color w:val="auto"/>
          <w:kern w:val="0"/>
          <w:szCs w:val="21"/>
          <w:highlight w:val="none"/>
          <w:lang w:val="en-US" w:eastAsia="zh-CN"/>
        </w:rPr>
        <w:t>B:维修项目和附录C</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隔离开关</w:t>
      </w:r>
      <w:r>
        <w:rPr>
          <w:rFonts w:ascii="宋体" w:hAnsi="宋体" w:eastAsia="宋体" w:cs="宋体"/>
          <w:color w:val="auto"/>
          <w:kern w:val="0"/>
          <w:szCs w:val="21"/>
          <w:highlight w:val="none"/>
        </w:rPr>
        <w:t>运维规程</w:t>
      </w:r>
      <w:r>
        <w:rPr>
          <w:rFonts w:hint="eastAsia" w:ascii="宋体" w:hAnsi="宋体" w:eastAsia="宋体" w:cs="宋体"/>
          <w:color w:val="auto"/>
          <w:kern w:val="0"/>
          <w:szCs w:val="21"/>
          <w:highlight w:val="none"/>
        </w:rPr>
        <w:t>），</w:t>
      </w:r>
      <w:r>
        <w:rPr>
          <w:rFonts w:hint="eastAsia" w:ascii="宋体" w:hAnsi="宋体" w:eastAsia="宋体" w:cs="黑体"/>
          <w:color w:val="auto"/>
          <w:kern w:val="0"/>
          <w:szCs w:val="21"/>
          <w:highlight w:val="none"/>
        </w:rPr>
        <w:t>合同设备发生的所有非不可抗力因素造成的故障由卖方免费进行维修或更换。</w:t>
      </w:r>
    </w:p>
    <w:p w14:paraId="4BB89F0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14.11.2 在全生命周期内</w:t>
      </w:r>
      <w:r>
        <w:rPr>
          <w:rFonts w:hint="eastAsia" w:ascii="宋体" w:hAnsi="宋体" w:eastAsia="宋体" w:cs="黑体"/>
          <w:color w:val="auto"/>
          <w:kern w:val="0"/>
          <w:szCs w:val="21"/>
          <w:highlight w:val="none"/>
        </w:rPr>
        <w:t>，</w:t>
      </w:r>
      <w:r>
        <w:rPr>
          <w:rFonts w:ascii="宋体" w:hAnsi="宋体" w:eastAsia="宋体" w:cs="黑体"/>
          <w:color w:val="auto"/>
          <w:kern w:val="0"/>
          <w:szCs w:val="21"/>
          <w:highlight w:val="none"/>
        </w:rPr>
        <w:t>合同设备</w:t>
      </w:r>
      <w:r>
        <w:rPr>
          <w:rFonts w:hint="eastAsia" w:ascii="宋体" w:hAnsi="宋体" w:eastAsia="宋体" w:cs="黑体"/>
          <w:color w:val="auto"/>
          <w:kern w:val="0"/>
          <w:szCs w:val="21"/>
          <w:highlight w:val="none"/>
        </w:rPr>
        <w:t>的故障次数超过</w:t>
      </w:r>
      <w:r>
        <w:rPr>
          <w:rFonts w:hint="eastAsia" w:ascii="宋体" w:hAnsi="宋体" w:eastAsia="宋体" w:cs="宋体"/>
          <w:color w:val="auto"/>
          <w:kern w:val="0"/>
          <w:szCs w:val="21"/>
          <w:highlight w:val="none"/>
        </w:rPr>
        <w:t>LCC采购补充技术规范书“</w:t>
      </w:r>
      <w:r>
        <w:rPr>
          <w:rFonts w:hint="eastAsia" w:ascii="宋体" w:hAnsi="宋体" w:eastAsia="宋体" w:cs="宋体"/>
          <w:color w:val="auto"/>
          <w:kern w:val="0"/>
          <w:szCs w:val="21"/>
          <w:highlight w:val="none"/>
          <w:lang w:eastAsia="zh-CN"/>
        </w:rPr>
        <w:t>8质量保证</w:t>
      </w:r>
      <w:r>
        <w:rPr>
          <w:rFonts w:ascii="宋体" w:hAnsi="宋体" w:eastAsia="宋体" w:cs="宋体"/>
          <w:color w:val="auto"/>
          <w:kern w:val="0"/>
          <w:szCs w:val="21"/>
          <w:highlight w:val="none"/>
        </w:rPr>
        <w:t>”</w:t>
      </w:r>
      <w:r>
        <w:rPr>
          <w:rFonts w:hint="eastAsia" w:ascii="宋体" w:hAnsi="宋体" w:eastAsia="宋体" w:cs="宋体"/>
          <w:color w:val="auto"/>
          <w:kern w:val="0"/>
          <w:szCs w:val="21"/>
          <w:highlight w:val="none"/>
        </w:rPr>
        <w:t>规定的全生命周期极限值时，卖方应免费对故障设备</w:t>
      </w:r>
      <w:r>
        <w:rPr>
          <w:rFonts w:hint="eastAsia" w:ascii="宋体" w:hAnsi="宋体" w:eastAsia="宋体" w:cs="黑体"/>
          <w:color w:val="auto"/>
          <w:kern w:val="0"/>
          <w:szCs w:val="21"/>
          <w:highlight w:val="none"/>
        </w:rPr>
        <w:t>进行维修或更换，并赔偿买方因此产生的损失。</w:t>
      </w:r>
    </w:p>
    <w:p w14:paraId="000857B8">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ascii="宋体" w:hAnsi="宋体" w:eastAsia="宋体" w:cs="黑体"/>
          <w:color w:val="auto"/>
          <w:kern w:val="0"/>
          <w:szCs w:val="21"/>
          <w:highlight w:val="none"/>
        </w:rPr>
        <w:t>买方的损失包括但不限于人工费、材料费、重新安装费</w:t>
      </w:r>
      <w:r>
        <w:rPr>
          <w:rFonts w:hint="eastAsia" w:ascii="宋体" w:hAnsi="宋体" w:eastAsia="宋体" w:cs="黑体"/>
          <w:color w:val="auto"/>
          <w:kern w:val="0"/>
          <w:szCs w:val="21"/>
          <w:highlight w:val="none"/>
          <w:lang w:eastAsia="zh-CN"/>
        </w:rPr>
        <w:t>、</w:t>
      </w:r>
      <w:r>
        <w:rPr>
          <w:rFonts w:hint="eastAsia" w:ascii="宋体" w:hAnsi="宋体" w:eastAsia="宋体" w:cs="黑体"/>
          <w:color w:val="auto"/>
          <w:kern w:val="0"/>
          <w:szCs w:val="21"/>
          <w:highlight w:val="none"/>
        </w:rPr>
        <w:t>故障停运损失等，其他合同条款对赔偿标准有相关规定的比照其规定确定赔偿金额。</w:t>
      </w:r>
    </w:p>
    <w:p w14:paraId="45B768A4">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合同设备的故障次数超过LCC采购补充技术规范书“</w:t>
      </w:r>
      <w:r>
        <w:rPr>
          <w:rFonts w:hint="eastAsia" w:ascii="宋体" w:hAnsi="宋体" w:eastAsia="宋体" w:cs="黑体"/>
          <w:color w:val="auto"/>
          <w:kern w:val="0"/>
          <w:szCs w:val="21"/>
          <w:highlight w:val="none"/>
          <w:lang w:val="en-US" w:eastAsia="zh-CN"/>
        </w:rPr>
        <w:t>8质量保证</w:t>
      </w:r>
      <w:r>
        <w:rPr>
          <w:rFonts w:hint="eastAsia" w:ascii="宋体" w:hAnsi="宋体" w:eastAsia="宋体" w:cs="黑体"/>
          <w:color w:val="auto"/>
          <w:kern w:val="0"/>
          <w:szCs w:val="21"/>
          <w:highlight w:val="none"/>
        </w:rPr>
        <w:t>”规定的全生命周期极限值时，因故障造成停运的，每停运一次卖方应向买方支付合同价款2％的违约金。如停运超过72小时，每增加24小时，卖方应向买方额外支付合同总价格0.5%的违约金。</w:t>
      </w:r>
    </w:p>
    <w:p w14:paraId="7AA7ADF1">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 xml:space="preserve">4.11.3 </w:t>
      </w:r>
      <w:r>
        <w:rPr>
          <w:rFonts w:hint="eastAsia" w:ascii="宋体" w:hAnsi="宋体" w:eastAsia="宋体" w:cs="黑体"/>
          <w:color w:val="auto"/>
          <w:kern w:val="0"/>
          <w:szCs w:val="21"/>
          <w:highlight w:val="none"/>
        </w:rPr>
        <w:t>卖方实施修理或更换前，应先将处理方案提交买方审批。故障处理过程中产生的所有费用由卖方承担，包括但不限于人工费、所需更换的材料费。</w:t>
      </w:r>
    </w:p>
    <w:p w14:paraId="52BFC260">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14.11.</w:t>
      </w:r>
      <w:r>
        <w:rPr>
          <w:rFonts w:hint="eastAsia" w:ascii="宋体" w:hAnsi="宋体" w:eastAsia="宋体" w:cs="黑体"/>
          <w:color w:val="auto"/>
          <w:kern w:val="0"/>
          <w:szCs w:val="21"/>
          <w:highlight w:val="none"/>
          <w:lang w:val="en-US" w:eastAsia="zh-CN"/>
        </w:rPr>
        <w:t>4</w:t>
      </w:r>
      <w:r>
        <w:rPr>
          <w:rFonts w:ascii="宋体" w:hAnsi="宋体" w:eastAsia="宋体" w:cs="黑体"/>
          <w:color w:val="auto"/>
          <w:kern w:val="0"/>
          <w:szCs w:val="21"/>
          <w:highlight w:val="none"/>
        </w:rPr>
        <w:t xml:space="preserve"> 卖方不及时提供合格的处理方案，或不及时实施</w:t>
      </w:r>
      <w:r>
        <w:rPr>
          <w:rFonts w:hint="eastAsia" w:ascii="宋体" w:hAnsi="宋体" w:eastAsia="宋体" w:cs="黑体"/>
          <w:color w:val="auto"/>
          <w:kern w:val="0"/>
          <w:szCs w:val="21"/>
          <w:highlight w:val="none"/>
        </w:rPr>
        <w:t>维修、更换</w:t>
      </w:r>
      <w:r>
        <w:rPr>
          <w:rFonts w:ascii="宋体" w:hAnsi="宋体" w:eastAsia="宋体" w:cs="黑体"/>
          <w:color w:val="auto"/>
          <w:kern w:val="0"/>
          <w:szCs w:val="21"/>
          <w:highlight w:val="none"/>
        </w:rPr>
        <w:t>等工作</w:t>
      </w:r>
      <w:r>
        <w:rPr>
          <w:rFonts w:hint="eastAsia" w:ascii="宋体" w:hAnsi="宋体" w:eastAsia="宋体" w:cs="黑体"/>
          <w:color w:val="auto"/>
          <w:kern w:val="0"/>
          <w:szCs w:val="21"/>
          <w:highlight w:val="none"/>
        </w:rPr>
        <w:t>，或合同设备状况需要紧急处理</w:t>
      </w:r>
      <w:r>
        <w:rPr>
          <w:rFonts w:ascii="宋体" w:hAnsi="宋体" w:eastAsia="宋体" w:cs="黑体"/>
          <w:color w:val="auto"/>
          <w:kern w:val="0"/>
          <w:szCs w:val="21"/>
          <w:highlight w:val="none"/>
        </w:rPr>
        <w:t>的，买方有权自主或交由第三方</w:t>
      </w:r>
      <w:r>
        <w:rPr>
          <w:rFonts w:hint="eastAsia" w:ascii="宋体" w:hAnsi="宋体" w:eastAsia="宋体" w:cs="黑体"/>
          <w:color w:val="auto"/>
          <w:kern w:val="0"/>
          <w:szCs w:val="21"/>
          <w:highlight w:val="none"/>
        </w:rPr>
        <w:t>进行故障处理</w:t>
      </w:r>
      <w:r>
        <w:rPr>
          <w:rFonts w:ascii="宋体" w:hAnsi="宋体" w:eastAsia="宋体" w:cs="黑体"/>
          <w:color w:val="auto"/>
          <w:kern w:val="0"/>
          <w:szCs w:val="21"/>
          <w:highlight w:val="none"/>
        </w:rPr>
        <w:t>。卖方承担</w:t>
      </w:r>
      <w:r>
        <w:rPr>
          <w:rFonts w:hint="eastAsia" w:ascii="宋体" w:hAnsi="宋体" w:eastAsia="宋体" w:cs="黑体"/>
          <w:color w:val="auto"/>
          <w:kern w:val="0"/>
          <w:szCs w:val="21"/>
          <w:highlight w:val="none"/>
        </w:rPr>
        <w:t>所有</w:t>
      </w:r>
      <w:r>
        <w:rPr>
          <w:rFonts w:ascii="宋体" w:hAnsi="宋体" w:eastAsia="宋体" w:cs="黑体"/>
          <w:color w:val="auto"/>
          <w:kern w:val="0"/>
          <w:szCs w:val="21"/>
          <w:highlight w:val="none"/>
        </w:rPr>
        <w:t>费用</w:t>
      </w:r>
      <w:r>
        <w:rPr>
          <w:rFonts w:hint="eastAsia" w:ascii="宋体" w:hAnsi="宋体" w:eastAsia="宋体" w:cs="黑体"/>
          <w:color w:val="auto"/>
          <w:kern w:val="0"/>
          <w:szCs w:val="21"/>
          <w:highlight w:val="none"/>
        </w:rPr>
        <w:t>，并</w:t>
      </w:r>
      <w:r>
        <w:rPr>
          <w:rFonts w:ascii="宋体" w:hAnsi="宋体" w:eastAsia="宋体" w:cs="黑体"/>
          <w:color w:val="auto"/>
          <w:kern w:val="0"/>
          <w:szCs w:val="21"/>
          <w:highlight w:val="none"/>
        </w:rPr>
        <w:t>赔偿买方的</w:t>
      </w:r>
      <w:r>
        <w:rPr>
          <w:rFonts w:hint="eastAsia" w:ascii="宋体" w:hAnsi="宋体" w:eastAsia="宋体" w:cs="黑体"/>
          <w:color w:val="auto"/>
          <w:kern w:val="0"/>
          <w:szCs w:val="21"/>
          <w:highlight w:val="none"/>
        </w:rPr>
        <w:t>全部</w:t>
      </w:r>
      <w:r>
        <w:rPr>
          <w:rFonts w:ascii="宋体" w:hAnsi="宋体" w:eastAsia="宋体" w:cs="黑体"/>
          <w:color w:val="auto"/>
          <w:kern w:val="0"/>
          <w:szCs w:val="21"/>
          <w:highlight w:val="none"/>
        </w:rPr>
        <w:t>损失。</w:t>
      </w:r>
    </w:p>
    <w:p w14:paraId="1563489E">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hint="eastAsia" w:ascii="宋体" w:hAnsi="宋体" w:eastAsia="宋体" w:cs="黑体"/>
          <w:color w:val="auto"/>
          <w:kern w:val="0"/>
          <w:szCs w:val="21"/>
          <w:highlight w:val="none"/>
        </w:rPr>
        <w:t>1</w:t>
      </w:r>
      <w:r>
        <w:rPr>
          <w:rFonts w:ascii="宋体" w:hAnsi="宋体" w:eastAsia="宋体" w:cs="黑体"/>
          <w:color w:val="auto"/>
          <w:kern w:val="0"/>
          <w:szCs w:val="21"/>
          <w:highlight w:val="none"/>
        </w:rPr>
        <w:t>4.11.</w:t>
      </w:r>
      <w:r>
        <w:rPr>
          <w:rFonts w:hint="eastAsia" w:ascii="宋体" w:hAnsi="宋体" w:eastAsia="宋体" w:cs="黑体"/>
          <w:color w:val="auto"/>
          <w:kern w:val="0"/>
          <w:szCs w:val="21"/>
          <w:highlight w:val="none"/>
          <w:lang w:val="en-US" w:eastAsia="zh-CN"/>
        </w:rPr>
        <w:t>5</w:t>
      </w:r>
      <w:r>
        <w:rPr>
          <w:rFonts w:ascii="宋体" w:hAnsi="宋体" w:eastAsia="宋体" w:cs="黑体"/>
          <w:color w:val="auto"/>
          <w:kern w:val="0"/>
          <w:szCs w:val="21"/>
          <w:highlight w:val="none"/>
        </w:rPr>
        <w:t xml:space="preserve"> </w:t>
      </w:r>
      <w:r>
        <w:rPr>
          <w:rFonts w:hint="eastAsia" w:ascii="宋体" w:hAnsi="宋体" w:eastAsia="宋体" w:cs="黑体"/>
          <w:color w:val="auto"/>
          <w:kern w:val="0"/>
          <w:szCs w:val="21"/>
          <w:highlight w:val="none"/>
        </w:rPr>
        <w:t>卖方认为买方提供的合同设备全生命周期运维数据在真实性、全面性、合规性、合理性等方面存在问题的，应当在收到通知后的7日内提出异议，否则视为数据合格。</w:t>
      </w:r>
    </w:p>
    <w:p w14:paraId="11E7A40B">
      <w:pPr>
        <w:topLinePunct/>
        <w:adjustRightInd w:val="0"/>
        <w:snapToGrid w:val="0"/>
        <w:spacing w:line="360" w:lineRule="auto"/>
        <w:ind w:firstLine="562" w:firstLineChars="200"/>
        <w:jc w:val="center"/>
        <w:rPr>
          <w:rFonts w:hint="eastAsia" w:ascii="宋体" w:hAnsi="宋体" w:eastAsia="宋体" w:cs="Times New Roman"/>
          <w:b/>
          <w:bCs/>
          <w:color w:val="auto"/>
          <w:kern w:val="0"/>
          <w:sz w:val="28"/>
          <w:szCs w:val="32"/>
          <w:highlight w:val="none"/>
        </w:rPr>
      </w:pPr>
    </w:p>
    <w:p w14:paraId="0E39164B">
      <w:pPr>
        <w:topLinePunct/>
        <w:adjustRightInd w:val="0"/>
        <w:snapToGrid w:val="0"/>
        <w:spacing w:line="360" w:lineRule="auto"/>
        <w:ind w:firstLine="562" w:firstLineChars="200"/>
        <w:jc w:val="center"/>
        <w:outlineLvl w:val="1"/>
        <w:rPr>
          <w:rFonts w:hint="eastAsia" w:ascii="宋体" w:hAnsi="宋体" w:eastAsia="宋体" w:cs="黑体"/>
          <w:color w:val="auto"/>
          <w:kern w:val="0"/>
          <w:szCs w:val="21"/>
          <w:highlight w:val="none"/>
        </w:rPr>
      </w:pPr>
      <w:bookmarkStart w:id="1959" w:name="_Toc28132"/>
      <w:r>
        <w:rPr>
          <w:rFonts w:hint="eastAsia" w:ascii="宋体" w:hAnsi="宋体" w:eastAsia="宋体" w:cs="Times New Roman"/>
          <w:b/>
          <w:bCs/>
          <w:color w:val="auto"/>
          <w:kern w:val="0"/>
          <w:sz w:val="28"/>
          <w:szCs w:val="32"/>
          <w:highlight w:val="none"/>
          <w:lang w:eastAsia="zh-CN"/>
        </w:rPr>
        <w:t>（</w:t>
      </w:r>
      <w:r>
        <w:rPr>
          <w:rFonts w:hint="eastAsia" w:ascii="宋体" w:hAnsi="宋体" w:eastAsia="宋体" w:cs="Times New Roman"/>
          <w:b/>
          <w:bCs/>
          <w:color w:val="auto"/>
          <w:kern w:val="0"/>
          <w:sz w:val="28"/>
          <w:szCs w:val="32"/>
          <w:highlight w:val="none"/>
        </w:rPr>
        <w:t>四十九</w:t>
      </w:r>
      <w:r>
        <w:rPr>
          <w:rFonts w:hint="eastAsia" w:ascii="宋体" w:hAnsi="宋体" w:eastAsia="宋体" w:cs="Times New Roman"/>
          <w:b/>
          <w:bCs/>
          <w:color w:val="auto"/>
          <w:kern w:val="0"/>
          <w:sz w:val="28"/>
          <w:szCs w:val="32"/>
          <w:highlight w:val="none"/>
          <w:lang w:eastAsia="zh-CN"/>
        </w:rPr>
        <w:t>）</w:t>
      </w:r>
      <w:r>
        <w:rPr>
          <w:rFonts w:hint="eastAsia" w:ascii="宋体" w:hAnsi="宋体" w:eastAsia="宋体" w:cs="Times New Roman"/>
          <w:b/>
          <w:bCs/>
          <w:color w:val="auto"/>
          <w:kern w:val="0"/>
          <w:sz w:val="28"/>
          <w:szCs w:val="32"/>
          <w:highlight w:val="none"/>
        </w:rPr>
        <w:t>计算机软件产品</w:t>
      </w:r>
      <w:bookmarkEnd w:id="1959"/>
    </w:p>
    <w:p w14:paraId="6B38E3CD">
      <w:pPr>
        <w:topLinePunct/>
        <w:adjustRightInd w:val="0"/>
        <w:snapToGrid w:val="0"/>
        <w:spacing w:line="360" w:lineRule="auto"/>
        <w:jc w:val="left"/>
        <w:outlineLvl w:val="2"/>
        <w:rPr>
          <w:rFonts w:hint="eastAsia" w:ascii="宋体" w:hAnsi="宋体" w:eastAsia="宋体" w:cs="黑体"/>
          <w:b/>
          <w:bCs/>
          <w:color w:val="auto"/>
          <w:kern w:val="0"/>
          <w:szCs w:val="21"/>
          <w:highlight w:val="none"/>
        </w:rPr>
      </w:pPr>
      <w:bookmarkStart w:id="1960" w:name="_Toc21166"/>
      <w:r>
        <w:rPr>
          <w:rFonts w:hint="eastAsia" w:ascii="宋体" w:hAnsi="宋体" w:eastAsia="宋体" w:cs="黑体"/>
          <w:b/>
          <w:bCs/>
          <w:color w:val="auto"/>
          <w:kern w:val="0"/>
          <w:szCs w:val="21"/>
          <w:highlight w:val="none"/>
        </w:rPr>
        <w:t>1. 一般约定</w:t>
      </w:r>
      <w:bookmarkEnd w:id="1960"/>
    </w:p>
    <w:p w14:paraId="5D3C7225">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1.1 词语定义</w:t>
      </w:r>
    </w:p>
    <w:p w14:paraId="56FAF094">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1.1.5 “技术资料”是指由卖方提供的，软件资料及与软件有关的文件、数据、技术指标。</w:t>
      </w:r>
    </w:p>
    <w:p w14:paraId="26084F35">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1.1.19 “软件产品”是卖方提供的计算机软件、信息系统或者设备中嵌入的软件或者在提供计算机信息系统集成、应用服务等技术服务时提供的计算机软件。</w:t>
      </w:r>
    </w:p>
    <w:p w14:paraId="6673F4C2">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1.1.20 “同版本软件”是指按卖方产品规则命名的大版本号软件。如V1.1、V1.2同属一个大版本，V1.0，V2.0及以上版本与V1.0不属同一个版本。</w:t>
      </w:r>
    </w:p>
    <w:p w14:paraId="2E32439E">
      <w:pPr>
        <w:topLinePunct/>
        <w:adjustRightInd w:val="0"/>
        <w:snapToGrid w:val="0"/>
        <w:spacing w:line="360" w:lineRule="auto"/>
        <w:jc w:val="left"/>
        <w:outlineLvl w:val="2"/>
        <w:rPr>
          <w:rFonts w:hint="eastAsia" w:ascii="宋体" w:hAnsi="宋体" w:eastAsia="宋体" w:cs="黑体"/>
          <w:b/>
          <w:bCs/>
          <w:color w:val="auto"/>
          <w:kern w:val="0"/>
          <w:szCs w:val="21"/>
          <w:highlight w:val="none"/>
        </w:rPr>
      </w:pPr>
      <w:bookmarkStart w:id="1961" w:name="_Toc14050"/>
      <w:r>
        <w:rPr>
          <w:rFonts w:hint="eastAsia" w:ascii="宋体" w:hAnsi="宋体" w:eastAsia="宋体" w:cs="黑体"/>
          <w:b/>
          <w:bCs/>
          <w:color w:val="auto"/>
          <w:kern w:val="0"/>
          <w:szCs w:val="21"/>
          <w:highlight w:val="none"/>
        </w:rPr>
        <w:t>2.</w:t>
      </w:r>
      <w:r>
        <w:rPr>
          <w:rFonts w:hint="eastAsia" w:ascii="宋体" w:hAnsi="宋体" w:eastAsia="宋体" w:cs="黑体"/>
          <w:b/>
          <w:bCs/>
          <w:color w:val="auto"/>
          <w:kern w:val="0"/>
          <w:szCs w:val="21"/>
          <w:highlight w:val="none"/>
          <w:lang w:val="en-US" w:eastAsia="zh-CN"/>
        </w:rPr>
        <w:t xml:space="preserve"> </w:t>
      </w:r>
      <w:r>
        <w:rPr>
          <w:rFonts w:hint="eastAsia" w:ascii="宋体" w:hAnsi="宋体" w:eastAsia="宋体" w:cs="黑体"/>
          <w:b/>
          <w:bCs/>
          <w:color w:val="auto"/>
          <w:kern w:val="0"/>
          <w:szCs w:val="21"/>
          <w:highlight w:val="none"/>
        </w:rPr>
        <w:t>合同范围</w:t>
      </w:r>
      <w:bookmarkEnd w:id="1961"/>
    </w:p>
    <w:p w14:paraId="273E6E77">
      <w:pPr>
        <w:topLinePunct/>
        <w:adjustRightInd w:val="0"/>
        <w:snapToGrid w:val="0"/>
        <w:spacing w:line="360" w:lineRule="auto"/>
        <w:ind w:firstLine="420" w:firstLineChars="200"/>
        <w:jc w:val="left"/>
        <w:rPr>
          <w:rFonts w:hint="default" w:ascii="宋体" w:hAnsi="宋体" w:eastAsia="宋体" w:cs="黑体"/>
          <w:color w:val="auto"/>
          <w:kern w:val="0"/>
          <w:szCs w:val="21"/>
          <w:highlight w:val="none"/>
          <w:lang w:val="en-US" w:eastAsia="zh-CN"/>
        </w:rPr>
      </w:pPr>
      <w:r>
        <w:rPr>
          <w:rFonts w:hint="eastAsia" w:ascii="宋体" w:hAnsi="宋体" w:eastAsia="宋体" w:cs="黑体"/>
          <w:color w:val="auto"/>
          <w:kern w:val="0"/>
          <w:szCs w:val="21"/>
          <w:highlight w:val="none"/>
        </w:rPr>
        <w:t>2.1 软件产品的基本情况需包含：</w:t>
      </w:r>
      <w:r>
        <w:rPr>
          <w:rFonts w:hint="eastAsia" w:ascii="宋体" w:hAnsi="宋体" w:eastAsia="宋体" w:cs="黑体"/>
          <w:color w:val="auto"/>
          <w:kern w:val="0"/>
          <w:szCs w:val="21"/>
          <w:highlight w:val="none"/>
          <w:lang w:val="en-US" w:eastAsia="zh-CN"/>
        </w:rPr>
        <w:t xml:space="preserve">  </w:t>
      </w:r>
    </w:p>
    <w:p w14:paraId="64AA3AD5">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 xml:space="preserve">（1）软件名称、版本号、软件产品登记号；     </w:t>
      </w:r>
    </w:p>
    <w:p w14:paraId="2E81000B">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 xml:space="preserve">（2）计算机软件著作权人、软件著作权保护期、软件产品生产单位（进口单位）、软件主要功能、软件单价、数量。 </w:t>
      </w:r>
    </w:p>
    <w:p w14:paraId="1BEF10B4">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2.7 卖方对软件产品的销售权</w:t>
      </w:r>
    </w:p>
    <w:p w14:paraId="147F787F">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卖方须为软件产品开发、或者生产单位、或者软件产品代理销售单位、或者以许可证贸易形式经营软件的单位，卖方确保其有权销售软件产品，并有权向买方提供软件使用权及本合同约定的其他权利。</w:t>
      </w:r>
    </w:p>
    <w:p w14:paraId="7E619C98">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2.8 买方对软件使用权及相关权利</w:t>
      </w:r>
    </w:p>
    <w:p w14:paraId="33B80A95">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卖方提供给买方的软件使用权包括以下权利的一种或者几种：</w:t>
      </w:r>
    </w:p>
    <w:p w14:paraId="30BFE840">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（1）根据使用的需要把该软件装入计算机等具有信息处理能力的装置内。</w:t>
      </w:r>
    </w:p>
    <w:p w14:paraId="541AD9D7">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（2）为防止复制品损坏而制作备份复制品。但买方保证该备份复制品不通过任何方式提供给他人使用。</w:t>
      </w:r>
    </w:p>
    <w:p w14:paraId="1004D8CC">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 xml:space="preserve">（3）为将该软件用于实际的计算机应用环境或者改进其功能、性能而进行必要的修改。     </w:t>
      </w:r>
    </w:p>
    <w:p w14:paraId="55C4A6D1">
      <w:pPr>
        <w:pStyle w:val="5"/>
        <w:spacing w:before="0" w:after="0" w:line="360" w:lineRule="auto"/>
        <w:rPr>
          <w:rFonts w:ascii="宋体" w:hAnsi="宋体" w:eastAsia="宋体" w:cs="黑体"/>
          <w:color w:val="auto"/>
          <w:kern w:val="0"/>
          <w:sz w:val="21"/>
          <w:szCs w:val="28"/>
          <w:highlight w:val="none"/>
        </w:rPr>
      </w:pPr>
      <w:bookmarkStart w:id="1962" w:name="_Toc26878"/>
      <w:r>
        <w:rPr>
          <w:rFonts w:ascii="宋体" w:hAnsi="宋体" w:eastAsia="宋体" w:cs="黑体"/>
          <w:color w:val="auto"/>
          <w:kern w:val="0"/>
          <w:sz w:val="21"/>
          <w:szCs w:val="28"/>
          <w:highlight w:val="none"/>
        </w:rPr>
        <w:t>3. 合同价格与支付</w:t>
      </w:r>
    </w:p>
    <w:p w14:paraId="5BBE72C7">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3.2 合同价款的支付</w:t>
      </w:r>
    </w:p>
    <w:p w14:paraId="0AC58E5C">
      <w:pPr>
        <w:topLinePunct/>
        <w:adjustRightInd w:val="0"/>
        <w:snapToGrid w:val="0"/>
        <w:spacing w:line="360" w:lineRule="auto"/>
        <w:ind w:firstLine="420" w:firstLineChars="200"/>
        <w:jc w:val="left"/>
        <w:rPr>
          <w:rFonts w:ascii="宋体" w:hAnsi="宋体" w:eastAsia="宋体" w:cs="黑体"/>
          <w:color w:val="auto"/>
          <w:kern w:val="0"/>
          <w:szCs w:val="21"/>
          <w:highlight w:val="none"/>
        </w:rPr>
      </w:pPr>
      <w:r>
        <w:rPr>
          <w:rFonts w:ascii="宋体" w:hAnsi="宋体" w:eastAsia="宋体" w:cs="黑体"/>
          <w:color w:val="auto"/>
          <w:kern w:val="0"/>
          <w:szCs w:val="21"/>
          <w:highlight w:val="none"/>
        </w:rPr>
        <w:t xml:space="preserve">3.2.1.1.1 </w:t>
      </w:r>
      <w:r>
        <w:rPr>
          <w:rFonts w:hint="eastAsia" w:ascii="宋体" w:hAnsi="宋体" w:eastAsia="宋体" w:cs="黑体"/>
          <w:color w:val="auto"/>
          <w:kern w:val="0"/>
          <w:szCs w:val="21"/>
          <w:highlight w:val="none"/>
        </w:rPr>
        <w:t>当合同金额大于</w:t>
      </w:r>
      <w:r>
        <w:rPr>
          <w:rFonts w:ascii="宋体" w:hAnsi="宋体" w:eastAsia="宋体" w:cs="黑体"/>
          <w:color w:val="auto"/>
          <w:kern w:val="0"/>
          <w:szCs w:val="21"/>
          <w:highlight w:val="none"/>
        </w:rPr>
        <w:t>100万元时，本合同价款分预付款、入卖方成品库款、交货款和结清款四次支付，支付比例为1</w:t>
      </w:r>
      <w:r>
        <w:rPr>
          <w:rFonts w:hint="eastAsia" w:ascii="宋体" w:hAnsi="宋体" w:eastAsia="宋体" w:cs="黑体"/>
          <w:color w:val="auto"/>
          <w:kern w:val="0"/>
          <w:szCs w:val="21"/>
          <w:highlight w:val="none"/>
        </w:rPr>
        <w:t>:0:</w:t>
      </w:r>
      <w:r>
        <w:rPr>
          <w:rFonts w:hint="eastAsia" w:ascii="宋体" w:hAnsi="宋体" w:eastAsia="宋体" w:cs="黑体"/>
          <w:color w:val="auto"/>
          <w:kern w:val="0"/>
          <w:szCs w:val="21"/>
          <w:highlight w:val="none"/>
          <w:lang w:val="en-US" w:eastAsia="zh-CN"/>
        </w:rPr>
        <w:t>8.5</w:t>
      </w:r>
      <w:r>
        <w:rPr>
          <w:rFonts w:hint="eastAsia" w:ascii="宋体" w:hAnsi="宋体" w:eastAsia="宋体" w:cs="黑体"/>
          <w:color w:val="auto"/>
          <w:kern w:val="0"/>
          <w:szCs w:val="21"/>
          <w:highlight w:val="none"/>
        </w:rPr>
        <w:t>:</w:t>
      </w:r>
      <w:r>
        <w:rPr>
          <w:rFonts w:hint="eastAsia" w:ascii="宋体" w:hAnsi="宋体" w:eastAsia="宋体" w:cs="黑体"/>
          <w:color w:val="auto"/>
          <w:kern w:val="0"/>
          <w:szCs w:val="21"/>
          <w:highlight w:val="none"/>
          <w:lang w:val="en-US" w:eastAsia="zh-CN"/>
        </w:rPr>
        <w:t>0.5</w:t>
      </w:r>
      <w:r>
        <w:rPr>
          <w:rFonts w:ascii="宋体" w:hAnsi="宋体" w:eastAsia="宋体" w:cs="黑体"/>
          <w:color w:val="auto"/>
          <w:kern w:val="0"/>
          <w:szCs w:val="21"/>
          <w:highlight w:val="none"/>
        </w:rPr>
        <w:t>。</w:t>
      </w:r>
      <w:r>
        <w:rPr>
          <w:rFonts w:hint="eastAsia" w:ascii="宋体" w:hAnsi="宋体" w:eastAsia="宋体" w:cs="黑体"/>
          <w:color w:val="auto"/>
          <w:kern w:val="0"/>
          <w:szCs w:val="21"/>
          <w:highlight w:val="none"/>
        </w:rPr>
        <w:t>卖方为中小企业的，合同价款支付比例为2:0:7.5:0.5。</w:t>
      </w:r>
    </w:p>
    <w:p w14:paraId="1C9D55CC">
      <w:pPr>
        <w:topLinePunct/>
        <w:adjustRightInd w:val="0"/>
        <w:snapToGrid w:val="0"/>
        <w:spacing w:line="360" w:lineRule="auto"/>
        <w:jc w:val="left"/>
        <w:outlineLvl w:val="2"/>
        <w:rPr>
          <w:rFonts w:hint="eastAsia" w:ascii="宋体" w:hAnsi="宋体" w:eastAsia="宋体" w:cs="黑体"/>
          <w:b/>
          <w:bCs/>
          <w:color w:val="auto"/>
          <w:kern w:val="0"/>
          <w:szCs w:val="21"/>
          <w:highlight w:val="none"/>
        </w:rPr>
      </w:pPr>
      <w:r>
        <w:rPr>
          <w:rFonts w:hint="eastAsia" w:ascii="宋体" w:hAnsi="宋体" w:eastAsia="宋体" w:cs="黑体"/>
          <w:b/>
          <w:bCs/>
          <w:color w:val="auto"/>
          <w:kern w:val="0"/>
          <w:szCs w:val="21"/>
          <w:highlight w:val="none"/>
        </w:rPr>
        <w:t>5.</w:t>
      </w:r>
      <w:r>
        <w:rPr>
          <w:rFonts w:hint="eastAsia" w:ascii="宋体" w:hAnsi="宋体" w:eastAsia="宋体" w:cs="黑体"/>
          <w:b/>
          <w:bCs/>
          <w:color w:val="auto"/>
          <w:kern w:val="0"/>
          <w:szCs w:val="21"/>
          <w:highlight w:val="none"/>
          <w:lang w:val="en-US" w:eastAsia="zh-CN"/>
        </w:rPr>
        <w:t xml:space="preserve"> </w:t>
      </w:r>
      <w:r>
        <w:rPr>
          <w:rFonts w:hint="eastAsia" w:ascii="宋体" w:hAnsi="宋体" w:eastAsia="宋体" w:cs="黑体"/>
          <w:b/>
          <w:bCs/>
          <w:color w:val="auto"/>
          <w:kern w:val="0"/>
          <w:szCs w:val="21"/>
          <w:highlight w:val="none"/>
        </w:rPr>
        <w:t>包装、标记、运输和交付</w:t>
      </w:r>
      <w:bookmarkEnd w:id="1962"/>
    </w:p>
    <w:p w14:paraId="1B919F66">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5.4.1.1卖方应向买方提供包括软件光盘、U盘、中文说明书、使用手册、维护手册等所有技术资料，并按以下方式之一交付技术资料：</w:t>
      </w:r>
    </w:p>
    <w:p w14:paraId="2E520C91">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（1）专人递交的，在专人递交之时视为有效提供。</w:t>
      </w:r>
    </w:p>
    <w:p w14:paraId="310F6484">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（2）以邮政信件（包括特快专递等其他递送方式）发出的，以交予合法的快递服务商当日（以邮戳为准）视为有效提供。</w:t>
      </w:r>
    </w:p>
    <w:p w14:paraId="0184E452">
      <w:pPr>
        <w:topLinePunct/>
        <w:adjustRightInd w:val="0"/>
        <w:snapToGrid w:val="0"/>
        <w:spacing w:line="360" w:lineRule="auto"/>
        <w:jc w:val="left"/>
        <w:outlineLvl w:val="2"/>
        <w:rPr>
          <w:rFonts w:hint="eastAsia" w:ascii="宋体" w:hAnsi="宋体" w:eastAsia="宋体" w:cs="黑体"/>
          <w:b/>
          <w:bCs/>
          <w:color w:val="auto"/>
          <w:kern w:val="0"/>
          <w:szCs w:val="21"/>
          <w:highlight w:val="none"/>
        </w:rPr>
      </w:pPr>
      <w:bookmarkStart w:id="1963" w:name="_Toc13106"/>
      <w:r>
        <w:rPr>
          <w:rFonts w:hint="eastAsia" w:ascii="宋体" w:hAnsi="宋体" w:eastAsia="宋体" w:cs="黑体"/>
          <w:b/>
          <w:bCs/>
          <w:color w:val="auto"/>
          <w:kern w:val="0"/>
          <w:szCs w:val="21"/>
          <w:highlight w:val="none"/>
        </w:rPr>
        <w:t>7.</w:t>
      </w:r>
      <w:r>
        <w:rPr>
          <w:rFonts w:hint="eastAsia" w:ascii="宋体" w:hAnsi="宋体" w:eastAsia="宋体" w:cs="黑体"/>
          <w:b/>
          <w:bCs/>
          <w:color w:val="auto"/>
          <w:kern w:val="0"/>
          <w:szCs w:val="21"/>
          <w:highlight w:val="none"/>
          <w:lang w:val="en-US" w:eastAsia="zh-CN"/>
        </w:rPr>
        <w:t xml:space="preserve"> </w:t>
      </w:r>
      <w:r>
        <w:rPr>
          <w:rFonts w:hint="eastAsia" w:ascii="宋体" w:hAnsi="宋体" w:eastAsia="宋体" w:cs="黑体"/>
          <w:b/>
          <w:bCs/>
          <w:color w:val="auto"/>
          <w:kern w:val="0"/>
          <w:szCs w:val="21"/>
          <w:highlight w:val="none"/>
        </w:rPr>
        <w:t>技术服务</w:t>
      </w:r>
      <w:bookmarkEnd w:id="1963"/>
    </w:p>
    <w:p w14:paraId="505E5E0B">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7.5.1买方使用软件产品期间，卖方升级的同一版本软件，买方有权免费使用，卖方应当向买方提供升级后的软件产品、有关资料并应当提供相应的安装、培训等服务支持。买方根据该条享有的免费升级使用权的期限至质保结束之日止。</w:t>
      </w:r>
    </w:p>
    <w:p w14:paraId="47ABAF94">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7.5.2买方需使用的卖方软件产品，如为卖方不同版本的软件产品，则买方根据卖方规定的软件升级费标准支付软件升级费用后，卖方向买方提供升级后的软件产品和相关服务支持。</w:t>
      </w:r>
    </w:p>
    <w:p w14:paraId="6B6798CF">
      <w:pPr>
        <w:topLinePunct/>
        <w:adjustRightInd w:val="0"/>
        <w:snapToGrid w:val="0"/>
        <w:spacing w:line="360" w:lineRule="auto"/>
        <w:jc w:val="left"/>
        <w:outlineLvl w:val="2"/>
        <w:rPr>
          <w:rFonts w:hint="eastAsia" w:ascii="宋体" w:hAnsi="宋体" w:eastAsia="宋体" w:cs="黑体"/>
          <w:b/>
          <w:bCs/>
          <w:color w:val="auto"/>
          <w:kern w:val="0"/>
          <w:szCs w:val="21"/>
          <w:highlight w:val="none"/>
        </w:rPr>
      </w:pPr>
      <w:bookmarkStart w:id="1964" w:name="_Toc31978"/>
      <w:r>
        <w:rPr>
          <w:rFonts w:hint="eastAsia" w:ascii="宋体" w:hAnsi="宋体" w:eastAsia="宋体" w:cs="黑体"/>
          <w:b/>
          <w:bCs/>
          <w:color w:val="auto"/>
          <w:kern w:val="0"/>
          <w:szCs w:val="21"/>
          <w:highlight w:val="none"/>
        </w:rPr>
        <w:t>8.</w:t>
      </w:r>
      <w:r>
        <w:rPr>
          <w:rFonts w:hint="eastAsia" w:ascii="宋体" w:hAnsi="宋体" w:eastAsia="宋体" w:cs="黑体"/>
          <w:b/>
          <w:bCs/>
          <w:color w:val="auto"/>
          <w:kern w:val="0"/>
          <w:szCs w:val="21"/>
          <w:highlight w:val="none"/>
          <w:lang w:val="en-US" w:eastAsia="zh-CN"/>
        </w:rPr>
        <w:t xml:space="preserve"> </w:t>
      </w:r>
      <w:r>
        <w:rPr>
          <w:rFonts w:hint="eastAsia" w:ascii="宋体" w:hAnsi="宋体" w:eastAsia="宋体" w:cs="黑体"/>
          <w:b/>
          <w:bCs/>
          <w:color w:val="auto"/>
          <w:kern w:val="0"/>
          <w:szCs w:val="21"/>
          <w:highlight w:val="none"/>
        </w:rPr>
        <w:t>质量保证期</w:t>
      </w:r>
      <w:bookmarkEnd w:id="1964"/>
    </w:p>
    <w:p w14:paraId="506BB237">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8.1买方享有软件产品保修的权利，保修期为验收合格后36个月，卖方负责在该期间内免费修复或更换软件中任何有运行或计算等错误的部分。</w:t>
      </w:r>
    </w:p>
    <w:p w14:paraId="43E2AFFE">
      <w:pPr>
        <w:topLinePunct/>
        <w:adjustRightInd w:val="0"/>
        <w:snapToGrid w:val="0"/>
        <w:spacing w:line="360" w:lineRule="auto"/>
        <w:jc w:val="left"/>
        <w:outlineLvl w:val="2"/>
        <w:rPr>
          <w:rFonts w:hint="eastAsia" w:ascii="宋体" w:hAnsi="宋体" w:eastAsia="宋体" w:cs="黑体"/>
          <w:b/>
          <w:bCs/>
          <w:color w:val="auto"/>
          <w:kern w:val="0"/>
          <w:szCs w:val="21"/>
          <w:highlight w:val="none"/>
        </w:rPr>
      </w:pPr>
      <w:bookmarkStart w:id="1965" w:name="_Toc2297"/>
      <w:r>
        <w:rPr>
          <w:rFonts w:hint="eastAsia" w:ascii="宋体" w:hAnsi="宋体" w:eastAsia="宋体" w:cs="黑体"/>
          <w:b/>
          <w:bCs/>
          <w:color w:val="auto"/>
          <w:kern w:val="0"/>
          <w:szCs w:val="21"/>
          <w:highlight w:val="none"/>
        </w:rPr>
        <w:t>11.</w:t>
      </w:r>
      <w:r>
        <w:rPr>
          <w:rFonts w:hint="eastAsia" w:ascii="宋体" w:hAnsi="宋体" w:eastAsia="宋体" w:cs="黑体"/>
          <w:b/>
          <w:bCs/>
          <w:color w:val="auto"/>
          <w:kern w:val="0"/>
          <w:szCs w:val="21"/>
          <w:highlight w:val="none"/>
          <w:lang w:val="en-US" w:eastAsia="zh-CN"/>
        </w:rPr>
        <w:t xml:space="preserve"> </w:t>
      </w:r>
      <w:r>
        <w:rPr>
          <w:rFonts w:hint="eastAsia" w:ascii="宋体" w:hAnsi="宋体" w:eastAsia="宋体" w:cs="黑体"/>
          <w:b/>
          <w:bCs/>
          <w:color w:val="auto"/>
          <w:kern w:val="0"/>
          <w:szCs w:val="21"/>
          <w:highlight w:val="none"/>
        </w:rPr>
        <w:t>保证</w:t>
      </w:r>
      <w:bookmarkEnd w:id="1965"/>
    </w:p>
    <w:p w14:paraId="3EDE8E59">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11.1卖方确保其软件产品在规定的操作环境下使用能够符合本合同约定及软件产品说明中描述的功能和质量要求。</w:t>
      </w:r>
    </w:p>
    <w:p w14:paraId="27064FEF">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11.2.3 卖方提供的软件产品及其软件不含有侵犯他人知识产权的、计算机病毒的、可能危害计算机系统安全的、不符合我国软件标准规范的或法律、行政法规等禁止的内容。</w:t>
      </w:r>
    </w:p>
    <w:p w14:paraId="39DC5C35">
      <w:pPr>
        <w:topLinePunct/>
        <w:adjustRightInd w:val="0"/>
        <w:snapToGrid w:val="0"/>
        <w:spacing w:line="360" w:lineRule="auto"/>
        <w:jc w:val="left"/>
        <w:outlineLvl w:val="2"/>
        <w:rPr>
          <w:rFonts w:hint="eastAsia" w:ascii="宋体" w:hAnsi="宋体" w:eastAsia="宋体" w:cs="黑体"/>
          <w:b/>
          <w:bCs/>
          <w:color w:val="auto"/>
          <w:kern w:val="0"/>
          <w:szCs w:val="21"/>
          <w:highlight w:val="none"/>
        </w:rPr>
      </w:pPr>
      <w:bookmarkStart w:id="1966" w:name="_Toc17046"/>
      <w:r>
        <w:rPr>
          <w:rFonts w:hint="eastAsia" w:ascii="宋体" w:hAnsi="宋体" w:eastAsia="宋体" w:cs="黑体"/>
          <w:b/>
          <w:bCs/>
          <w:color w:val="auto"/>
          <w:kern w:val="0"/>
          <w:szCs w:val="21"/>
          <w:highlight w:val="none"/>
        </w:rPr>
        <w:t>14.</w:t>
      </w:r>
      <w:r>
        <w:rPr>
          <w:rFonts w:hint="eastAsia" w:ascii="宋体" w:hAnsi="宋体" w:eastAsia="宋体" w:cs="黑体"/>
          <w:b/>
          <w:bCs/>
          <w:color w:val="auto"/>
          <w:kern w:val="0"/>
          <w:szCs w:val="21"/>
          <w:highlight w:val="none"/>
          <w:lang w:val="en-US" w:eastAsia="zh-CN"/>
        </w:rPr>
        <w:t xml:space="preserve"> </w:t>
      </w:r>
      <w:r>
        <w:rPr>
          <w:rFonts w:hint="eastAsia" w:ascii="宋体" w:hAnsi="宋体" w:eastAsia="宋体" w:cs="黑体"/>
          <w:b/>
          <w:bCs/>
          <w:color w:val="auto"/>
          <w:kern w:val="0"/>
          <w:szCs w:val="21"/>
          <w:highlight w:val="none"/>
        </w:rPr>
        <w:t>违约责任</w:t>
      </w:r>
      <w:bookmarkEnd w:id="1966"/>
    </w:p>
    <w:p w14:paraId="20515112">
      <w:pPr>
        <w:topLinePunct/>
        <w:adjustRightInd w:val="0"/>
        <w:snapToGrid w:val="0"/>
        <w:spacing w:line="360" w:lineRule="auto"/>
        <w:ind w:firstLine="420" w:firstLineChars="200"/>
        <w:jc w:val="left"/>
        <w:rPr>
          <w:rFonts w:hint="eastAsia" w:ascii="宋体" w:hAnsi="宋体" w:eastAsia="宋体" w:cs="黑体"/>
          <w:color w:val="auto"/>
          <w:kern w:val="0"/>
          <w:szCs w:val="21"/>
          <w:highlight w:val="none"/>
        </w:rPr>
      </w:pPr>
      <w:r>
        <w:rPr>
          <w:rFonts w:hint="eastAsia" w:ascii="宋体" w:hAnsi="宋体" w:eastAsia="宋体" w:cs="黑体"/>
          <w:color w:val="auto"/>
          <w:kern w:val="0"/>
          <w:szCs w:val="21"/>
          <w:highlight w:val="none"/>
        </w:rPr>
        <w:t>14.7.9 卖方软件产品及提供给买方使用的软件不满足合同约定的产品功能要求或根据本合同约定验收不合格的，卖方应退还买方已支付的全部价款，并按合同价款10%支付违约金，给买方造成损失的，还应予以赔偿。</w:t>
      </w:r>
    </w:p>
    <w:p w14:paraId="47B15ADE">
      <w:pPr>
        <w:topLinePunct/>
        <w:adjustRightInd w:val="0"/>
        <w:snapToGrid w:val="0"/>
        <w:spacing w:line="360" w:lineRule="auto"/>
        <w:ind w:firstLine="420" w:firstLineChars="200"/>
        <w:jc w:val="left"/>
        <w:rPr>
          <w:rFonts w:ascii="宋体" w:hAnsi="宋体" w:eastAsia="宋体" w:cs="黑体"/>
          <w:color w:val="auto"/>
          <w:kern w:val="0"/>
          <w:szCs w:val="21"/>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黑体"/>
          <w:color w:val="auto"/>
          <w:kern w:val="0"/>
          <w:szCs w:val="21"/>
          <w:highlight w:val="none"/>
        </w:rPr>
        <w:t>14.9.4 卖方供应的软件产品存在安全漏洞、恶意代码、缺陷等，由于卖方设计、材料或制造缺陷造成根据《中国南方电网有限责任公司网络安全事件及风险隐患调查规范》认定四级及以上网络安全事件的或根据《中国南方电网有限责任公司信息运行事件调查规程》认定四级及以上信息运行事件，每发生一起扣除合同总额2%违约金，还应赔偿买方因此造成的损失，并按买方要求免费修复或更换，承担因此发生的所有费用。</w:t>
      </w:r>
    </w:p>
    <w:p w14:paraId="7C0537CF">
      <w:pPr>
        <w:pStyle w:val="3"/>
        <w:jc w:val="center"/>
        <w:rPr>
          <w:rFonts w:ascii="宋体" w:hAnsi="宋体" w:eastAsia="宋体"/>
          <w:color w:val="auto"/>
          <w:kern w:val="0"/>
          <w:sz w:val="32"/>
          <w:highlight w:val="none"/>
        </w:rPr>
      </w:pPr>
      <w:bookmarkStart w:id="1967" w:name="_Toc8835"/>
      <w:bookmarkStart w:id="1968" w:name="_Toc57495087"/>
      <w:bookmarkStart w:id="1969" w:name="_Toc28691"/>
      <w:r>
        <w:rPr>
          <w:rFonts w:ascii="宋体" w:hAnsi="宋体" w:eastAsia="宋体"/>
          <w:color w:val="auto"/>
          <w:kern w:val="0"/>
          <w:sz w:val="32"/>
          <w:highlight w:val="none"/>
        </w:rPr>
        <w:t>第</w:t>
      </w:r>
      <w:r>
        <w:rPr>
          <w:rFonts w:hint="eastAsia" w:ascii="宋体" w:hAnsi="宋体" w:eastAsia="宋体"/>
          <w:color w:val="auto"/>
          <w:kern w:val="0"/>
          <w:sz w:val="32"/>
          <w:highlight w:val="none"/>
        </w:rPr>
        <w:t>四</w:t>
      </w:r>
      <w:r>
        <w:rPr>
          <w:rFonts w:ascii="宋体" w:hAnsi="宋体" w:eastAsia="宋体"/>
          <w:color w:val="auto"/>
          <w:kern w:val="0"/>
          <w:sz w:val="32"/>
          <w:highlight w:val="none"/>
        </w:rPr>
        <w:t>节</w:t>
      </w:r>
      <w:r>
        <w:rPr>
          <w:rFonts w:hint="eastAsia" w:ascii="宋体" w:hAnsi="宋体" w:eastAsia="宋体"/>
          <w:color w:val="auto"/>
          <w:kern w:val="0"/>
          <w:sz w:val="32"/>
          <w:highlight w:val="none"/>
        </w:rPr>
        <w:t xml:space="preserve"> </w:t>
      </w:r>
      <w:r>
        <w:rPr>
          <w:rFonts w:ascii="宋体" w:hAnsi="宋体" w:eastAsia="宋体"/>
          <w:color w:val="auto"/>
          <w:kern w:val="0"/>
          <w:sz w:val="32"/>
          <w:highlight w:val="none"/>
        </w:rPr>
        <w:t>合同附件</w:t>
      </w:r>
      <w:r>
        <w:rPr>
          <w:rFonts w:hint="eastAsia" w:ascii="宋体" w:hAnsi="宋体" w:eastAsia="宋体"/>
          <w:color w:val="auto"/>
          <w:kern w:val="0"/>
          <w:sz w:val="32"/>
          <w:highlight w:val="none"/>
        </w:rPr>
        <w:t>格式</w:t>
      </w:r>
      <w:bookmarkEnd w:id="1967"/>
      <w:bookmarkEnd w:id="1968"/>
      <w:bookmarkEnd w:id="1969"/>
    </w:p>
    <w:p w14:paraId="1409CB30">
      <w:pPr>
        <w:pStyle w:val="3"/>
        <w:jc w:val="left"/>
        <w:rPr>
          <w:rFonts w:ascii="宋体" w:hAnsi="宋体" w:eastAsia="宋体"/>
          <w:b w:val="0"/>
          <w:color w:val="auto"/>
          <w:sz w:val="28"/>
          <w:highlight w:val="none"/>
        </w:rPr>
      </w:pPr>
      <w:bookmarkStart w:id="1970" w:name="_Toc492891986"/>
      <w:bookmarkStart w:id="1971" w:name="_Toc57495088"/>
      <w:bookmarkStart w:id="1972" w:name="_Toc24470"/>
      <w:bookmarkStart w:id="1973" w:name="_Toc15759"/>
      <w:r>
        <w:rPr>
          <w:rFonts w:hint="eastAsia" w:ascii="宋体" w:hAnsi="宋体" w:eastAsia="宋体"/>
          <w:b w:val="0"/>
          <w:color w:val="auto"/>
          <w:sz w:val="28"/>
          <w:highlight w:val="none"/>
        </w:rPr>
        <w:t>附件</w:t>
      </w:r>
      <w:r>
        <w:rPr>
          <w:rFonts w:ascii="宋体" w:hAnsi="宋体" w:eastAsia="宋体"/>
          <w:b w:val="0"/>
          <w:color w:val="auto"/>
          <w:sz w:val="28"/>
          <w:highlight w:val="none"/>
        </w:rPr>
        <w:t>1</w:t>
      </w:r>
      <w:r>
        <w:rPr>
          <w:rFonts w:hint="eastAsia" w:ascii="宋体" w:hAnsi="宋体" w:eastAsia="宋体"/>
          <w:b w:val="0"/>
          <w:color w:val="auto"/>
          <w:sz w:val="28"/>
          <w:highlight w:val="none"/>
        </w:rPr>
        <w:t>：供货一览表</w:t>
      </w:r>
      <w:bookmarkEnd w:id="1970"/>
      <w:bookmarkEnd w:id="1971"/>
      <w:bookmarkEnd w:id="1972"/>
      <w:bookmarkEnd w:id="1973"/>
    </w:p>
    <w:p w14:paraId="59FDED16">
      <w:pPr>
        <w:jc w:val="center"/>
        <w:rPr>
          <w:rFonts w:ascii="宋体" w:hAnsi="宋体" w:eastAsia="宋体"/>
          <w:b/>
          <w:color w:val="auto"/>
          <w:sz w:val="28"/>
          <w:szCs w:val="32"/>
          <w:highlight w:val="none"/>
        </w:rPr>
      </w:pPr>
      <w:permStart w:id="43" w:edGrp="everyone"/>
      <w:r>
        <w:rPr>
          <w:rFonts w:hint="eastAsia" w:ascii="宋体" w:hAnsi="宋体" w:eastAsia="宋体"/>
          <w:b/>
          <w:color w:val="auto"/>
          <w:sz w:val="28"/>
          <w:szCs w:val="32"/>
          <w:highlight w:val="none"/>
        </w:rPr>
        <w:t>供货一览表</w:t>
      </w:r>
    </w:p>
    <w:tbl>
      <w:tblPr>
        <w:tblStyle w:val="11"/>
        <w:tblW w:w="0" w:type="auto"/>
        <w:jc w:val="center"/>
        <w:tblLayout w:type="fixed"/>
        <w:tblCellMar>
          <w:top w:w="0" w:type="dxa"/>
          <w:left w:w="108" w:type="dxa"/>
          <w:bottom w:w="0" w:type="dxa"/>
          <w:right w:w="108" w:type="dxa"/>
        </w:tblCellMar>
      </w:tblPr>
      <w:tblGrid>
        <w:gridCol w:w="704"/>
        <w:gridCol w:w="1134"/>
        <w:gridCol w:w="425"/>
        <w:gridCol w:w="567"/>
        <w:gridCol w:w="567"/>
        <w:gridCol w:w="993"/>
        <w:gridCol w:w="283"/>
        <w:gridCol w:w="851"/>
        <w:gridCol w:w="850"/>
        <w:gridCol w:w="142"/>
        <w:gridCol w:w="1134"/>
        <w:gridCol w:w="283"/>
        <w:gridCol w:w="851"/>
        <w:gridCol w:w="850"/>
        <w:gridCol w:w="426"/>
        <w:gridCol w:w="708"/>
        <w:gridCol w:w="993"/>
        <w:gridCol w:w="567"/>
        <w:gridCol w:w="1134"/>
        <w:gridCol w:w="546"/>
      </w:tblGrid>
      <w:tr w14:paraId="6A7EE022">
        <w:tblPrEx>
          <w:tblCellMar>
            <w:top w:w="0" w:type="dxa"/>
            <w:left w:w="108" w:type="dxa"/>
            <w:bottom w:w="0" w:type="dxa"/>
            <w:right w:w="108" w:type="dxa"/>
          </w:tblCellMar>
        </w:tblPrEx>
        <w:trPr>
          <w:trHeight w:val="445" w:hRule="atLeast"/>
          <w:jc w:val="center"/>
        </w:trPr>
        <w:tc>
          <w:tcPr>
            <w:tcW w:w="14008" w:type="dxa"/>
            <w:gridSpan w:val="20"/>
            <w:tcBorders>
              <w:top w:val="single" w:color="auto" w:sz="4" w:space="0"/>
              <w:left w:val="single" w:color="auto" w:sz="4" w:space="0"/>
              <w:bottom w:val="single" w:color="auto" w:sz="4" w:space="0"/>
              <w:right w:val="single" w:color="auto" w:sz="4" w:space="0"/>
            </w:tcBorders>
            <w:noWrap w:val="0"/>
            <w:vAlign w:val="center"/>
          </w:tcPr>
          <w:p w14:paraId="51189C67">
            <w:pPr>
              <w:widowControl/>
              <w:spacing w:line="20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一、需求单位:</w:t>
            </w:r>
            <w:r>
              <w:rPr>
                <w:rFonts w:ascii="宋体" w:hAnsi="宋体" w:eastAsia="宋体" w:cs="宋体"/>
                <w:color w:val="auto"/>
                <w:sz w:val="18"/>
                <w:szCs w:val="18"/>
                <w:highlight w:val="none"/>
              </w:rPr>
              <w:t xml:space="preserve"> </w:t>
            </w:r>
          </w:p>
        </w:tc>
      </w:tr>
      <w:tr w14:paraId="2A4027F2">
        <w:tblPrEx>
          <w:tblCellMar>
            <w:top w:w="0" w:type="dxa"/>
            <w:left w:w="108" w:type="dxa"/>
            <w:bottom w:w="0" w:type="dxa"/>
            <w:right w:w="108" w:type="dxa"/>
          </w:tblCellMar>
        </w:tblPrEx>
        <w:trPr>
          <w:trHeight w:val="575" w:hRule="atLeast"/>
          <w:jc w:val="center"/>
        </w:trPr>
        <w:tc>
          <w:tcPr>
            <w:tcW w:w="1838" w:type="dxa"/>
            <w:gridSpan w:val="2"/>
            <w:tcBorders>
              <w:top w:val="single" w:color="auto" w:sz="4" w:space="0"/>
              <w:left w:val="single" w:color="auto" w:sz="4" w:space="0"/>
              <w:bottom w:val="single" w:color="auto" w:sz="4" w:space="0"/>
              <w:right w:val="single" w:color="auto" w:sz="4" w:space="0"/>
            </w:tcBorders>
            <w:noWrap w:val="0"/>
            <w:vAlign w:val="center"/>
          </w:tcPr>
          <w:p w14:paraId="5CFBA981">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项目（工程）代码</w:t>
            </w: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02B493D6">
            <w:pPr>
              <w:widowControl/>
              <w:spacing w:line="200" w:lineRule="exact"/>
              <w:ind w:firstLine="420"/>
              <w:jc w:val="center"/>
              <w:rPr>
                <w:rFonts w:ascii="宋体" w:hAnsi="宋体" w:eastAsia="宋体" w:cs="宋体"/>
                <w:color w:val="auto"/>
                <w:sz w:val="18"/>
                <w:szCs w:val="18"/>
                <w:highlight w:val="none"/>
              </w:rPr>
            </w:pPr>
          </w:p>
        </w:tc>
        <w:tc>
          <w:tcPr>
            <w:tcW w:w="1843" w:type="dxa"/>
            <w:gridSpan w:val="3"/>
            <w:tcBorders>
              <w:top w:val="single" w:color="auto" w:sz="4" w:space="0"/>
              <w:left w:val="single" w:color="auto" w:sz="4" w:space="0"/>
              <w:bottom w:val="single" w:color="auto" w:sz="4" w:space="0"/>
              <w:right w:val="single" w:color="auto" w:sz="4" w:space="0"/>
            </w:tcBorders>
            <w:noWrap w:val="0"/>
            <w:vAlign w:val="center"/>
          </w:tcPr>
          <w:p w14:paraId="125CE5E7">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项目名称</w:t>
            </w: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0D9A7C81">
            <w:pPr>
              <w:widowControl/>
              <w:spacing w:line="200" w:lineRule="exact"/>
              <w:ind w:firstLine="420"/>
              <w:jc w:val="center"/>
              <w:rPr>
                <w:rFonts w:ascii="宋体" w:hAnsi="宋体" w:eastAsia="宋体" w:cs="宋体"/>
                <w:color w:val="auto"/>
                <w:sz w:val="18"/>
                <w:szCs w:val="18"/>
                <w:highlight w:val="none"/>
              </w:rPr>
            </w:pPr>
          </w:p>
        </w:tc>
        <w:tc>
          <w:tcPr>
            <w:tcW w:w="1559" w:type="dxa"/>
            <w:gridSpan w:val="3"/>
            <w:tcBorders>
              <w:top w:val="single" w:color="auto" w:sz="4" w:space="0"/>
              <w:left w:val="single" w:color="auto" w:sz="4" w:space="0"/>
              <w:bottom w:val="single" w:color="auto" w:sz="4" w:space="0"/>
              <w:right w:val="single" w:color="auto" w:sz="4" w:space="0"/>
            </w:tcBorders>
            <w:noWrap w:val="0"/>
            <w:vAlign w:val="center"/>
          </w:tcPr>
          <w:p w14:paraId="3DBB4F73">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单项工程名称</w:t>
            </w:r>
          </w:p>
        </w:tc>
        <w:tc>
          <w:tcPr>
            <w:tcW w:w="2127" w:type="dxa"/>
            <w:gridSpan w:val="3"/>
            <w:tcBorders>
              <w:top w:val="single" w:color="auto" w:sz="4" w:space="0"/>
              <w:left w:val="single" w:color="auto" w:sz="4" w:space="0"/>
              <w:bottom w:val="single" w:color="auto" w:sz="4" w:space="0"/>
              <w:right w:val="single" w:color="auto" w:sz="4" w:space="0"/>
            </w:tcBorders>
            <w:noWrap w:val="0"/>
            <w:vAlign w:val="center"/>
          </w:tcPr>
          <w:p w14:paraId="4BD39D7F">
            <w:pPr>
              <w:widowControl/>
              <w:spacing w:line="200" w:lineRule="exact"/>
              <w:ind w:firstLine="420"/>
              <w:jc w:val="center"/>
              <w:rPr>
                <w:rFonts w:ascii="宋体" w:hAnsi="宋体" w:eastAsia="宋体" w:cs="宋体"/>
                <w:color w:val="auto"/>
                <w:sz w:val="18"/>
                <w:szCs w:val="18"/>
                <w:highlight w:val="none"/>
              </w:rPr>
            </w:pPr>
          </w:p>
        </w:tc>
        <w:tc>
          <w:tcPr>
            <w:tcW w:w="2268" w:type="dxa"/>
            <w:gridSpan w:val="3"/>
            <w:tcBorders>
              <w:top w:val="single" w:color="auto" w:sz="4" w:space="0"/>
              <w:left w:val="single" w:color="auto" w:sz="4" w:space="0"/>
              <w:bottom w:val="single" w:color="auto" w:sz="4" w:space="0"/>
              <w:right w:val="single" w:color="auto" w:sz="4" w:space="0"/>
            </w:tcBorders>
            <w:noWrap w:val="0"/>
            <w:vAlign w:val="center"/>
          </w:tcPr>
          <w:p w14:paraId="27DAD4FB">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交货地点（含运输条件）</w:t>
            </w:r>
          </w:p>
        </w:tc>
        <w:tc>
          <w:tcPr>
            <w:tcW w:w="1680" w:type="dxa"/>
            <w:gridSpan w:val="2"/>
            <w:tcBorders>
              <w:top w:val="single" w:color="auto" w:sz="4" w:space="0"/>
              <w:left w:val="single" w:color="auto" w:sz="4" w:space="0"/>
              <w:bottom w:val="single" w:color="auto" w:sz="4" w:space="0"/>
              <w:right w:val="single" w:color="auto" w:sz="4" w:space="0"/>
            </w:tcBorders>
            <w:noWrap w:val="0"/>
            <w:vAlign w:val="center"/>
          </w:tcPr>
          <w:p w14:paraId="17EFF7A3">
            <w:pPr>
              <w:widowControl/>
              <w:spacing w:line="200" w:lineRule="exact"/>
              <w:ind w:firstLine="420"/>
              <w:jc w:val="center"/>
              <w:rPr>
                <w:rFonts w:ascii="宋体" w:hAnsi="宋体" w:eastAsia="宋体" w:cs="宋体"/>
                <w:color w:val="auto"/>
                <w:sz w:val="18"/>
                <w:szCs w:val="18"/>
                <w:highlight w:val="none"/>
              </w:rPr>
            </w:pPr>
          </w:p>
        </w:tc>
      </w:tr>
      <w:tr w14:paraId="1B2A1A41">
        <w:tblPrEx>
          <w:tblCellMar>
            <w:top w:w="0" w:type="dxa"/>
            <w:left w:w="108" w:type="dxa"/>
            <w:bottom w:w="0" w:type="dxa"/>
            <w:right w:w="108" w:type="dxa"/>
          </w:tblCellMar>
        </w:tblPrEx>
        <w:trPr>
          <w:trHeight w:val="445" w:hRule="atLeast"/>
          <w:jc w:val="center"/>
        </w:trPr>
        <w:tc>
          <w:tcPr>
            <w:tcW w:w="1838" w:type="dxa"/>
            <w:gridSpan w:val="2"/>
            <w:tcBorders>
              <w:top w:val="single" w:color="auto" w:sz="4" w:space="0"/>
              <w:left w:val="single" w:color="auto" w:sz="4" w:space="0"/>
              <w:bottom w:val="single" w:color="auto" w:sz="4" w:space="0"/>
              <w:right w:val="single" w:color="auto" w:sz="4" w:space="0"/>
            </w:tcBorders>
            <w:noWrap w:val="0"/>
            <w:vAlign w:val="center"/>
          </w:tcPr>
          <w:p w14:paraId="67C3C050">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结算单位</w:t>
            </w: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73BD1EB7">
            <w:pPr>
              <w:widowControl/>
              <w:spacing w:line="200" w:lineRule="exact"/>
              <w:ind w:firstLine="420"/>
              <w:jc w:val="center"/>
              <w:rPr>
                <w:rFonts w:ascii="宋体" w:hAnsi="宋体" w:eastAsia="宋体" w:cs="宋体"/>
                <w:color w:val="auto"/>
                <w:sz w:val="18"/>
                <w:szCs w:val="18"/>
                <w:highlight w:val="none"/>
              </w:rPr>
            </w:pPr>
          </w:p>
        </w:tc>
        <w:tc>
          <w:tcPr>
            <w:tcW w:w="1843" w:type="dxa"/>
            <w:gridSpan w:val="3"/>
            <w:tcBorders>
              <w:top w:val="single" w:color="auto" w:sz="4" w:space="0"/>
              <w:left w:val="single" w:color="auto" w:sz="4" w:space="0"/>
              <w:bottom w:val="single" w:color="auto" w:sz="4" w:space="0"/>
              <w:right w:val="single" w:color="auto" w:sz="4" w:space="0"/>
            </w:tcBorders>
            <w:noWrap w:val="0"/>
            <w:vAlign w:val="center"/>
          </w:tcPr>
          <w:p w14:paraId="4669E8DA">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收货单位</w:t>
            </w: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5DF3E1DA">
            <w:pPr>
              <w:widowControl/>
              <w:spacing w:line="200" w:lineRule="exact"/>
              <w:ind w:firstLine="420"/>
              <w:jc w:val="center"/>
              <w:rPr>
                <w:rFonts w:ascii="宋体" w:hAnsi="宋体" w:eastAsia="宋体" w:cs="宋体"/>
                <w:color w:val="auto"/>
                <w:kern w:val="0"/>
                <w:sz w:val="18"/>
                <w:szCs w:val="18"/>
                <w:highlight w:val="none"/>
              </w:rPr>
            </w:pPr>
          </w:p>
        </w:tc>
        <w:tc>
          <w:tcPr>
            <w:tcW w:w="1559" w:type="dxa"/>
            <w:gridSpan w:val="3"/>
            <w:tcBorders>
              <w:top w:val="single" w:color="auto" w:sz="4" w:space="0"/>
              <w:left w:val="single" w:color="auto" w:sz="4" w:space="0"/>
              <w:bottom w:val="single" w:color="auto" w:sz="4" w:space="0"/>
              <w:right w:val="single" w:color="auto" w:sz="4" w:space="0"/>
            </w:tcBorders>
            <w:noWrap w:val="0"/>
            <w:vAlign w:val="center"/>
          </w:tcPr>
          <w:p w14:paraId="0FFD12AF">
            <w:pPr>
              <w:widowControl/>
              <w:spacing w:line="200" w:lineRule="exact"/>
              <w:jc w:val="center"/>
              <w:rPr>
                <w:rFonts w:ascii="宋体" w:hAnsi="宋体" w:eastAsia="宋体" w:cs="宋体"/>
                <w:color w:val="auto"/>
                <w:sz w:val="18"/>
                <w:szCs w:val="18"/>
                <w:highlight w:val="none"/>
              </w:rPr>
            </w:pPr>
            <w:r>
              <w:rPr>
                <w:rFonts w:hint="eastAsia" w:ascii="宋体" w:hAnsi="宋体" w:eastAsia="宋体"/>
                <w:color w:val="auto"/>
                <w:sz w:val="18"/>
                <w:szCs w:val="18"/>
                <w:highlight w:val="none"/>
              </w:rPr>
              <w:t>合同执行人员</w:t>
            </w:r>
          </w:p>
        </w:tc>
        <w:tc>
          <w:tcPr>
            <w:tcW w:w="2127" w:type="dxa"/>
            <w:gridSpan w:val="3"/>
            <w:tcBorders>
              <w:top w:val="single" w:color="auto" w:sz="4" w:space="0"/>
              <w:left w:val="single" w:color="auto" w:sz="4" w:space="0"/>
              <w:bottom w:val="single" w:color="auto" w:sz="4" w:space="0"/>
              <w:right w:val="single" w:color="auto" w:sz="4" w:space="0"/>
            </w:tcBorders>
            <w:noWrap w:val="0"/>
            <w:vAlign w:val="center"/>
          </w:tcPr>
          <w:p w14:paraId="1440E6EF">
            <w:pPr>
              <w:widowControl/>
              <w:spacing w:line="200" w:lineRule="exact"/>
              <w:ind w:firstLine="420"/>
              <w:jc w:val="center"/>
              <w:rPr>
                <w:rFonts w:ascii="宋体" w:hAnsi="宋体" w:eastAsia="宋体" w:cs="宋体"/>
                <w:color w:val="auto"/>
                <w:sz w:val="18"/>
                <w:szCs w:val="18"/>
                <w:highlight w:val="none"/>
              </w:rPr>
            </w:pPr>
          </w:p>
        </w:tc>
        <w:tc>
          <w:tcPr>
            <w:tcW w:w="2268" w:type="dxa"/>
            <w:gridSpan w:val="3"/>
            <w:tcBorders>
              <w:top w:val="single" w:color="auto" w:sz="4" w:space="0"/>
              <w:left w:val="single" w:color="auto" w:sz="4" w:space="0"/>
              <w:bottom w:val="single" w:color="auto" w:sz="4" w:space="0"/>
              <w:right w:val="single" w:color="auto" w:sz="4" w:space="0"/>
            </w:tcBorders>
            <w:noWrap w:val="0"/>
            <w:vAlign w:val="center"/>
          </w:tcPr>
          <w:p w14:paraId="5E4C16B4">
            <w:pPr>
              <w:widowControl/>
              <w:spacing w:line="200" w:lineRule="exact"/>
              <w:jc w:val="center"/>
              <w:rPr>
                <w:rFonts w:ascii="宋体" w:hAnsi="宋体" w:eastAsia="宋体" w:cs="宋体"/>
                <w:color w:val="auto"/>
                <w:sz w:val="18"/>
                <w:szCs w:val="18"/>
                <w:highlight w:val="none"/>
              </w:rPr>
            </w:pPr>
            <w:r>
              <w:rPr>
                <w:rFonts w:hint="eastAsia" w:ascii="宋体" w:hAnsi="宋体" w:eastAsia="宋体"/>
                <w:color w:val="auto"/>
                <w:sz w:val="18"/>
                <w:szCs w:val="18"/>
                <w:highlight w:val="none"/>
              </w:rPr>
              <w:t>合同执行人员</w:t>
            </w:r>
            <w:r>
              <w:rPr>
                <w:rFonts w:hint="eastAsia" w:ascii="宋体" w:hAnsi="宋体" w:eastAsia="宋体" w:cs="宋体"/>
                <w:color w:val="auto"/>
                <w:sz w:val="18"/>
                <w:szCs w:val="18"/>
                <w:highlight w:val="none"/>
              </w:rPr>
              <w:t>联系电话</w:t>
            </w:r>
          </w:p>
        </w:tc>
        <w:tc>
          <w:tcPr>
            <w:tcW w:w="1680" w:type="dxa"/>
            <w:gridSpan w:val="2"/>
            <w:tcBorders>
              <w:top w:val="single" w:color="auto" w:sz="4" w:space="0"/>
              <w:left w:val="single" w:color="auto" w:sz="4" w:space="0"/>
              <w:bottom w:val="single" w:color="auto" w:sz="4" w:space="0"/>
              <w:right w:val="single" w:color="auto" w:sz="4" w:space="0"/>
            </w:tcBorders>
            <w:noWrap w:val="0"/>
            <w:vAlign w:val="center"/>
          </w:tcPr>
          <w:p w14:paraId="73300EC9">
            <w:pPr>
              <w:widowControl/>
              <w:spacing w:line="200" w:lineRule="exact"/>
              <w:ind w:firstLine="420"/>
              <w:jc w:val="center"/>
              <w:rPr>
                <w:rFonts w:ascii="宋体" w:hAnsi="宋体" w:eastAsia="宋体" w:cs="宋体"/>
                <w:color w:val="auto"/>
                <w:sz w:val="18"/>
                <w:szCs w:val="18"/>
                <w:highlight w:val="none"/>
              </w:rPr>
            </w:pPr>
          </w:p>
        </w:tc>
      </w:tr>
      <w:tr w14:paraId="65910684">
        <w:tblPrEx>
          <w:tblCellMar>
            <w:top w:w="0" w:type="dxa"/>
            <w:left w:w="108" w:type="dxa"/>
            <w:bottom w:w="0" w:type="dxa"/>
            <w:right w:w="108" w:type="dxa"/>
          </w:tblCellMar>
        </w:tblPrEx>
        <w:trPr>
          <w:trHeight w:val="493" w:hRule="atLeast"/>
          <w:jc w:val="center"/>
        </w:trPr>
        <w:tc>
          <w:tcPr>
            <w:tcW w:w="1838" w:type="dxa"/>
            <w:gridSpan w:val="2"/>
            <w:tcBorders>
              <w:top w:val="single" w:color="auto" w:sz="4" w:space="0"/>
              <w:left w:val="single" w:color="auto" w:sz="4" w:space="0"/>
              <w:bottom w:val="single" w:color="auto" w:sz="4" w:space="0"/>
              <w:right w:val="single" w:color="auto" w:sz="4" w:space="0"/>
            </w:tcBorders>
            <w:noWrap w:val="0"/>
            <w:vAlign w:val="center"/>
          </w:tcPr>
          <w:p w14:paraId="3DCCBA69">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设计单位</w:t>
            </w:r>
          </w:p>
        </w:tc>
        <w:tc>
          <w:tcPr>
            <w:tcW w:w="992" w:type="dxa"/>
            <w:gridSpan w:val="2"/>
            <w:tcBorders>
              <w:top w:val="single" w:color="auto" w:sz="4" w:space="0"/>
              <w:left w:val="single" w:color="auto" w:sz="4" w:space="0"/>
              <w:bottom w:val="single" w:color="auto" w:sz="4" w:space="0"/>
              <w:right w:val="single" w:color="auto" w:sz="4" w:space="0"/>
            </w:tcBorders>
            <w:noWrap w:val="0"/>
            <w:vAlign w:val="center"/>
          </w:tcPr>
          <w:p w14:paraId="06E6D4BA">
            <w:pPr>
              <w:widowControl/>
              <w:spacing w:line="200" w:lineRule="exact"/>
              <w:ind w:firstLine="420"/>
              <w:jc w:val="center"/>
              <w:rPr>
                <w:rFonts w:ascii="宋体" w:hAnsi="宋体" w:eastAsia="宋体" w:cs="宋体"/>
                <w:color w:val="auto"/>
                <w:sz w:val="18"/>
                <w:szCs w:val="18"/>
                <w:highlight w:val="none"/>
              </w:rPr>
            </w:pPr>
          </w:p>
        </w:tc>
        <w:tc>
          <w:tcPr>
            <w:tcW w:w="1843" w:type="dxa"/>
            <w:gridSpan w:val="3"/>
            <w:tcBorders>
              <w:top w:val="single" w:color="auto" w:sz="4" w:space="0"/>
              <w:left w:val="single" w:color="auto" w:sz="4" w:space="0"/>
              <w:bottom w:val="single" w:color="auto" w:sz="4" w:space="0"/>
              <w:right w:val="single" w:color="auto" w:sz="4" w:space="0"/>
            </w:tcBorders>
            <w:noWrap w:val="0"/>
            <w:vAlign w:val="center"/>
          </w:tcPr>
          <w:p w14:paraId="3D6233AC">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设计单位联系电话</w:t>
            </w:r>
          </w:p>
        </w:tc>
        <w:tc>
          <w:tcPr>
            <w:tcW w:w="9335" w:type="dxa"/>
            <w:gridSpan w:val="13"/>
            <w:tcBorders>
              <w:top w:val="single" w:color="auto" w:sz="4" w:space="0"/>
              <w:left w:val="single" w:color="auto" w:sz="4" w:space="0"/>
              <w:bottom w:val="single" w:color="auto" w:sz="4" w:space="0"/>
              <w:right w:val="single" w:color="auto" w:sz="4" w:space="0"/>
            </w:tcBorders>
            <w:noWrap w:val="0"/>
            <w:vAlign w:val="center"/>
          </w:tcPr>
          <w:p w14:paraId="5D48AB57">
            <w:pPr>
              <w:widowControl/>
              <w:spacing w:line="200" w:lineRule="exact"/>
              <w:ind w:firstLine="420"/>
              <w:jc w:val="center"/>
              <w:rPr>
                <w:rFonts w:ascii="宋体" w:hAnsi="宋体" w:eastAsia="宋体" w:cs="宋体"/>
                <w:color w:val="auto"/>
                <w:sz w:val="18"/>
                <w:szCs w:val="18"/>
                <w:highlight w:val="none"/>
              </w:rPr>
            </w:pPr>
          </w:p>
        </w:tc>
      </w:tr>
      <w:tr w14:paraId="57DE6C55">
        <w:tblPrEx>
          <w:tblCellMar>
            <w:top w:w="0" w:type="dxa"/>
            <w:left w:w="108" w:type="dxa"/>
            <w:bottom w:w="0" w:type="dxa"/>
            <w:right w:w="108" w:type="dxa"/>
          </w:tblCellMar>
        </w:tblPrEx>
        <w:trPr>
          <w:trHeight w:val="614"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4BB4C690">
            <w:pPr>
              <w:widowControl/>
              <w:spacing w:line="200" w:lineRule="exact"/>
              <w:jc w:val="center"/>
              <w:rPr>
                <w:rFonts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序号</w:t>
            </w:r>
          </w:p>
        </w:tc>
        <w:tc>
          <w:tcPr>
            <w:tcW w:w="1559" w:type="dxa"/>
            <w:gridSpan w:val="2"/>
            <w:tcBorders>
              <w:top w:val="single" w:color="auto" w:sz="4" w:space="0"/>
              <w:left w:val="single" w:color="auto" w:sz="4" w:space="0"/>
              <w:bottom w:val="single" w:color="auto" w:sz="4" w:space="0"/>
              <w:right w:val="single" w:color="auto" w:sz="4" w:space="0"/>
            </w:tcBorders>
            <w:noWrap w:val="0"/>
            <w:vAlign w:val="center"/>
          </w:tcPr>
          <w:p w14:paraId="5E38C5F9">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kern w:val="0"/>
                <w:sz w:val="18"/>
                <w:szCs w:val="18"/>
                <w:highlight w:val="none"/>
              </w:rPr>
              <w:t>实物编码</w:t>
            </w:r>
          </w:p>
        </w:tc>
        <w:tc>
          <w:tcPr>
            <w:tcW w:w="1134" w:type="dxa"/>
            <w:gridSpan w:val="2"/>
            <w:tcBorders>
              <w:top w:val="single" w:color="auto" w:sz="4" w:space="0"/>
              <w:left w:val="nil"/>
              <w:bottom w:val="single" w:color="auto" w:sz="4" w:space="0"/>
              <w:right w:val="single" w:color="auto" w:sz="4" w:space="0"/>
            </w:tcBorders>
            <w:noWrap w:val="0"/>
            <w:vAlign w:val="center"/>
          </w:tcPr>
          <w:p w14:paraId="0DF7CE19">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设备名称</w:t>
            </w:r>
          </w:p>
        </w:tc>
        <w:tc>
          <w:tcPr>
            <w:tcW w:w="993" w:type="dxa"/>
            <w:tcBorders>
              <w:top w:val="single" w:color="auto" w:sz="4" w:space="0"/>
              <w:left w:val="nil"/>
              <w:bottom w:val="single" w:color="auto" w:sz="4" w:space="0"/>
              <w:right w:val="single" w:color="auto" w:sz="4" w:space="0"/>
            </w:tcBorders>
            <w:noWrap w:val="0"/>
            <w:vAlign w:val="center"/>
          </w:tcPr>
          <w:p w14:paraId="7ED75197">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规格型号</w:t>
            </w:r>
          </w:p>
        </w:tc>
        <w:tc>
          <w:tcPr>
            <w:tcW w:w="1134" w:type="dxa"/>
            <w:gridSpan w:val="2"/>
            <w:tcBorders>
              <w:top w:val="single" w:color="auto" w:sz="4" w:space="0"/>
              <w:left w:val="nil"/>
              <w:bottom w:val="single" w:color="auto" w:sz="4" w:space="0"/>
              <w:right w:val="single" w:color="auto" w:sz="4" w:space="0"/>
            </w:tcBorders>
            <w:noWrap w:val="0"/>
            <w:vAlign w:val="center"/>
          </w:tcPr>
          <w:p w14:paraId="05A4E6FF">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计量单位</w:t>
            </w:r>
          </w:p>
        </w:tc>
        <w:tc>
          <w:tcPr>
            <w:tcW w:w="992" w:type="dxa"/>
            <w:gridSpan w:val="2"/>
            <w:tcBorders>
              <w:top w:val="single" w:color="auto" w:sz="4" w:space="0"/>
              <w:left w:val="nil"/>
              <w:bottom w:val="single" w:color="auto" w:sz="4" w:space="0"/>
              <w:right w:val="single" w:color="auto" w:sz="4" w:space="0"/>
            </w:tcBorders>
            <w:noWrap w:val="0"/>
            <w:vAlign w:val="center"/>
          </w:tcPr>
          <w:p w14:paraId="2750118A">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1134" w:type="dxa"/>
            <w:tcBorders>
              <w:top w:val="single" w:color="auto" w:sz="4" w:space="0"/>
              <w:left w:val="nil"/>
              <w:bottom w:val="single" w:color="auto" w:sz="4" w:space="0"/>
              <w:right w:val="single" w:color="auto" w:sz="4" w:space="0"/>
            </w:tcBorders>
            <w:noWrap w:val="0"/>
            <w:vAlign w:val="center"/>
          </w:tcPr>
          <w:p w14:paraId="35B453F8">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单价（元）</w:t>
            </w:r>
          </w:p>
        </w:tc>
        <w:tc>
          <w:tcPr>
            <w:tcW w:w="1134" w:type="dxa"/>
            <w:gridSpan w:val="2"/>
            <w:tcBorders>
              <w:top w:val="single" w:color="auto" w:sz="4" w:space="0"/>
              <w:left w:val="nil"/>
              <w:bottom w:val="single" w:color="auto" w:sz="4" w:space="0"/>
              <w:right w:val="single" w:color="auto" w:sz="4" w:space="0"/>
            </w:tcBorders>
            <w:noWrap w:val="0"/>
            <w:vAlign w:val="center"/>
          </w:tcPr>
          <w:p w14:paraId="594FB40A">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总价（元）</w:t>
            </w:r>
          </w:p>
        </w:tc>
        <w:tc>
          <w:tcPr>
            <w:tcW w:w="850" w:type="dxa"/>
            <w:tcBorders>
              <w:top w:val="single" w:color="auto" w:sz="4" w:space="0"/>
              <w:left w:val="nil"/>
              <w:bottom w:val="single" w:color="auto" w:sz="4" w:space="0"/>
              <w:right w:val="single" w:color="auto" w:sz="4" w:space="0"/>
            </w:tcBorders>
            <w:noWrap w:val="0"/>
            <w:vAlign w:val="center"/>
          </w:tcPr>
          <w:p w14:paraId="01FE454D">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增值税税率</w:t>
            </w:r>
          </w:p>
        </w:tc>
        <w:tc>
          <w:tcPr>
            <w:tcW w:w="1134" w:type="dxa"/>
            <w:gridSpan w:val="2"/>
            <w:tcBorders>
              <w:top w:val="single" w:color="auto" w:sz="4" w:space="0"/>
              <w:left w:val="nil"/>
              <w:bottom w:val="single" w:color="auto" w:sz="4" w:space="0"/>
              <w:right w:val="single" w:color="auto" w:sz="4" w:space="0"/>
            </w:tcBorders>
            <w:noWrap w:val="0"/>
            <w:vAlign w:val="center"/>
          </w:tcPr>
          <w:p w14:paraId="6F49D023">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不含税</w:t>
            </w:r>
            <w:r>
              <w:rPr>
                <w:rFonts w:hint="eastAsia" w:ascii="宋体" w:hAnsi="宋体" w:eastAsia="宋体" w:cs="宋体"/>
                <w:color w:val="auto"/>
                <w:sz w:val="18"/>
                <w:szCs w:val="18"/>
                <w:highlight w:val="none"/>
                <w:lang w:val="en-US" w:eastAsia="zh-CN"/>
              </w:rPr>
              <w:t>单价</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27AF311C">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交货时间</w:t>
            </w: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6A39E485">
            <w:pPr>
              <w:widowControl/>
              <w:spacing w:line="200" w:lineRule="exact"/>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收货人（项目联系人）及联系电话</w:t>
            </w:r>
          </w:p>
        </w:tc>
        <w:tc>
          <w:tcPr>
            <w:tcW w:w="546" w:type="dxa"/>
            <w:tcBorders>
              <w:top w:val="single" w:color="auto" w:sz="4" w:space="0"/>
              <w:left w:val="nil"/>
              <w:bottom w:val="single" w:color="auto" w:sz="4" w:space="0"/>
              <w:right w:val="single" w:color="auto" w:sz="4" w:space="0"/>
            </w:tcBorders>
            <w:noWrap w:val="0"/>
            <w:vAlign w:val="center"/>
          </w:tcPr>
          <w:p w14:paraId="7445F281">
            <w:pPr>
              <w:widowControl/>
              <w:spacing w:line="200" w:lineRule="exact"/>
              <w:jc w:val="center"/>
              <w:rPr>
                <w:rFonts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备注</w:t>
            </w:r>
          </w:p>
        </w:tc>
      </w:tr>
      <w:tr w14:paraId="4860EB8A">
        <w:tblPrEx>
          <w:tblCellMar>
            <w:top w:w="0" w:type="dxa"/>
            <w:left w:w="108" w:type="dxa"/>
            <w:bottom w:w="0" w:type="dxa"/>
            <w:right w:w="108" w:type="dxa"/>
          </w:tblCellMar>
        </w:tblPrEx>
        <w:trPr>
          <w:trHeight w:val="445"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41C9E9CB">
            <w:pPr>
              <w:widowControl/>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1</w:t>
            </w:r>
          </w:p>
        </w:tc>
        <w:tc>
          <w:tcPr>
            <w:tcW w:w="1559" w:type="dxa"/>
            <w:gridSpan w:val="2"/>
            <w:tcBorders>
              <w:top w:val="single" w:color="auto" w:sz="4" w:space="0"/>
              <w:left w:val="single" w:color="auto" w:sz="4" w:space="0"/>
              <w:bottom w:val="single" w:color="auto" w:sz="4" w:space="0"/>
              <w:right w:val="single" w:color="auto" w:sz="4" w:space="0"/>
            </w:tcBorders>
            <w:noWrap w:val="0"/>
            <w:vAlign w:val="center"/>
          </w:tcPr>
          <w:p w14:paraId="60BD1F06">
            <w:pPr>
              <w:widowControl/>
              <w:ind w:firstLine="420"/>
              <w:jc w:val="center"/>
              <w:rPr>
                <w:rFonts w:ascii="宋体" w:hAnsi="宋体" w:eastAsia="宋体" w:cs="宋体"/>
                <w:color w:val="auto"/>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1C832AC3">
            <w:pPr>
              <w:widowControl/>
              <w:ind w:firstLine="420"/>
              <w:jc w:val="center"/>
              <w:rPr>
                <w:rFonts w:ascii="宋体" w:hAnsi="宋体" w:eastAsia="宋体" w:cs="宋体"/>
                <w:color w:val="auto"/>
                <w:kern w:val="0"/>
                <w:sz w:val="18"/>
                <w:szCs w:val="18"/>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768F8FC3">
            <w:pPr>
              <w:widowControl/>
              <w:spacing w:line="200" w:lineRule="exact"/>
              <w:ind w:firstLine="420"/>
              <w:jc w:val="center"/>
              <w:rPr>
                <w:rFonts w:ascii="宋体" w:hAnsi="宋体" w:eastAsia="宋体" w:cs="宋体"/>
                <w:color w:val="auto"/>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19371F92">
            <w:pPr>
              <w:widowControl/>
              <w:ind w:firstLine="420"/>
              <w:jc w:val="center"/>
              <w:rPr>
                <w:rFonts w:ascii="宋体" w:hAnsi="宋体" w:eastAsia="宋体" w:cs="宋体"/>
                <w:color w:val="auto"/>
                <w:kern w:val="0"/>
                <w:sz w:val="18"/>
                <w:szCs w:val="18"/>
                <w:highlight w:val="none"/>
              </w:rPr>
            </w:pPr>
          </w:p>
        </w:tc>
        <w:tc>
          <w:tcPr>
            <w:tcW w:w="992" w:type="dxa"/>
            <w:gridSpan w:val="2"/>
            <w:tcBorders>
              <w:top w:val="single" w:color="auto" w:sz="4" w:space="0"/>
              <w:left w:val="nil"/>
              <w:bottom w:val="single" w:color="auto" w:sz="4" w:space="0"/>
              <w:right w:val="single" w:color="auto" w:sz="4" w:space="0"/>
            </w:tcBorders>
            <w:noWrap w:val="0"/>
            <w:vAlign w:val="center"/>
          </w:tcPr>
          <w:p w14:paraId="1F7C6E72">
            <w:pPr>
              <w:widowControl/>
              <w:ind w:firstLine="420"/>
              <w:jc w:val="center"/>
              <w:rPr>
                <w:rFonts w:ascii="宋体" w:hAnsi="宋体" w:eastAsia="宋体" w:cs="宋体"/>
                <w:color w:val="auto"/>
                <w:kern w:val="0"/>
                <w:sz w:val="18"/>
                <w:szCs w:val="18"/>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30B573D4">
            <w:pPr>
              <w:widowControl/>
              <w:ind w:firstLine="420"/>
              <w:jc w:val="center"/>
              <w:rPr>
                <w:rFonts w:ascii="宋体" w:hAnsi="宋体" w:eastAsia="宋体" w:cs="宋体"/>
                <w:color w:val="auto"/>
                <w:kern w:val="0"/>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51A2F70E">
            <w:pPr>
              <w:widowControl/>
              <w:ind w:firstLine="420"/>
              <w:jc w:val="center"/>
              <w:rPr>
                <w:rFonts w:ascii="宋体" w:hAnsi="宋体" w:eastAsia="宋体" w:cs="宋体"/>
                <w:color w:val="auto"/>
                <w:kern w:val="0"/>
                <w:sz w:val="18"/>
                <w:szCs w:val="18"/>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2406B62A">
            <w:pPr>
              <w:widowControl/>
              <w:ind w:firstLine="420"/>
              <w:jc w:val="center"/>
              <w:rPr>
                <w:rFonts w:ascii="宋体" w:hAnsi="宋体" w:eastAsia="宋体" w:cs="宋体"/>
                <w:color w:val="auto"/>
                <w:kern w:val="0"/>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735561B7">
            <w:pPr>
              <w:widowControl/>
              <w:ind w:firstLine="420"/>
              <w:jc w:val="center"/>
              <w:rPr>
                <w:rFonts w:ascii="宋体" w:hAnsi="宋体" w:eastAsia="宋体" w:cs="宋体"/>
                <w:color w:val="auto"/>
                <w:kern w:val="0"/>
                <w:sz w:val="18"/>
                <w:szCs w:val="18"/>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33FFE9F0">
            <w:pPr>
              <w:widowControl/>
              <w:spacing w:line="200" w:lineRule="exact"/>
              <w:ind w:firstLine="420"/>
              <w:jc w:val="center"/>
              <w:rPr>
                <w:rFonts w:ascii="宋体" w:hAnsi="宋体" w:eastAsia="宋体" w:cs="宋体"/>
                <w:color w:val="auto"/>
                <w:sz w:val="18"/>
                <w:szCs w:val="18"/>
                <w:highlight w:val="none"/>
              </w:rPr>
            </w:pP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2EEB954D">
            <w:pPr>
              <w:widowControl/>
              <w:spacing w:line="200" w:lineRule="exact"/>
              <w:ind w:firstLine="420"/>
              <w:jc w:val="center"/>
              <w:rPr>
                <w:rFonts w:ascii="宋体" w:hAnsi="宋体" w:eastAsia="宋体" w:cs="宋体"/>
                <w:color w:val="auto"/>
                <w:sz w:val="18"/>
                <w:szCs w:val="18"/>
                <w:highlight w:val="none"/>
              </w:rPr>
            </w:pPr>
          </w:p>
        </w:tc>
        <w:tc>
          <w:tcPr>
            <w:tcW w:w="546" w:type="dxa"/>
            <w:tcBorders>
              <w:top w:val="single" w:color="auto" w:sz="4" w:space="0"/>
              <w:left w:val="nil"/>
              <w:bottom w:val="single" w:color="auto" w:sz="4" w:space="0"/>
              <w:right w:val="single" w:color="auto" w:sz="4" w:space="0"/>
            </w:tcBorders>
            <w:noWrap w:val="0"/>
            <w:vAlign w:val="center"/>
          </w:tcPr>
          <w:p w14:paraId="62CFDABE">
            <w:pPr>
              <w:widowControl/>
              <w:spacing w:line="200" w:lineRule="exact"/>
              <w:ind w:firstLine="420"/>
              <w:jc w:val="center"/>
              <w:rPr>
                <w:rFonts w:ascii="宋体" w:hAnsi="宋体" w:eastAsia="宋体" w:cs="宋体"/>
                <w:color w:val="auto"/>
                <w:sz w:val="18"/>
                <w:szCs w:val="18"/>
                <w:highlight w:val="none"/>
              </w:rPr>
            </w:pPr>
          </w:p>
        </w:tc>
      </w:tr>
      <w:tr w14:paraId="4C8F951E">
        <w:tblPrEx>
          <w:tblCellMar>
            <w:top w:w="0" w:type="dxa"/>
            <w:left w:w="108" w:type="dxa"/>
            <w:bottom w:w="0" w:type="dxa"/>
            <w:right w:w="108" w:type="dxa"/>
          </w:tblCellMar>
        </w:tblPrEx>
        <w:trPr>
          <w:trHeight w:val="445"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1D517B02">
            <w:pPr>
              <w:widowControl/>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2</w:t>
            </w:r>
          </w:p>
        </w:tc>
        <w:tc>
          <w:tcPr>
            <w:tcW w:w="1559" w:type="dxa"/>
            <w:gridSpan w:val="2"/>
            <w:tcBorders>
              <w:top w:val="single" w:color="auto" w:sz="4" w:space="0"/>
              <w:left w:val="single" w:color="auto" w:sz="4" w:space="0"/>
              <w:bottom w:val="single" w:color="auto" w:sz="4" w:space="0"/>
              <w:right w:val="single" w:color="auto" w:sz="4" w:space="0"/>
            </w:tcBorders>
            <w:noWrap w:val="0"/>
            <w:vAlign w:val="center"/>
          </w:tcPr>
          <w:p w14:paraId="398BBF38">
            <w:pPr>
              <w:widowControl/>
              <w:ind w:firstLine="420"/>
              <w:jc w:val="center"/>
              <w:rPr>
                <w:rFonts w:ascii="宋体" w:hAnsi="宋体" w:eastAsia="宋体" w:cs="宋体"/>
                <w:color w:val="auto"/>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571C5712">
            <w:pPr>
              <w:widowControl/>
              <w:ind w:firstLine="420"/>
              <w:jc w:val="center"/>
              <w:rPr>
                <w:rFonts w:ascii="宋体" w:hAnsi="宋体" w:eastAsia="宋体" w:cs="宋体"/>
                <w:color w:val="auto"/>
                <w:kern w:val="0"/>
                <w:sz w:val="18"/>
                <w:szCs w:val="18"/>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5B95665C">
            <w:pPr>
              <w:widowControl/>
              <w:spacing w:line="200" w:lineRule="exact"/>
              <w:ind w:firstLine="420"/>
              <w:jc w:val="center"/>
              <w:rPr>
                <w:rFonts w:ascii="宋体" w:hAnsi="宋体" w:eastAsia="宋体" w:cs="宋体"/>
                <w:color w:val="auto"/>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196E1CFF">
            <w:pPr>
              <w:widowControl/>
              <w:ind w:firstLine="420"/>
              <w:jc w:val="center"/>
              <w:rPr>
                <w:rFonts w:ascii="宋体" w:hAnsi="宋体" w:eastAsia="宋体" w:cs="宋体"/>
                <w:color w:val="auto"/>
                <w:kern w:val="0"/>
                <w:sz w:val="18"/>
                <w:szCs w:val="18"/>
                <w:highlight w:val="none"/>
              </w:rPr>
            </w:pPr>
          </w:p>
        </w:tc>
        <w:tc>
          <w:tcPr>
            <w:tcW w:w="992" w:type="dxa"/>
            <w:gridSpan w:val="2"/>
            <w:tcBorders>
              <w:top w:val="single" w:color="auto" w:sz="4" w:space="0"/>
              <w:left w:val="nil"/>
              <w:bottom w:val="single" w:color="auto" w:sz="4" w:space="0"/>
              <w:right w:val="single" w:color="auto" w:sz="4" w:space="0"/>
            </w:tcBorders>
            <w:noWrap w:val="0"/>
            <w:vAlign w:val="center"/>
          </w:tcPr>
          <w:p w14:paraId="36A5390D">
            <w:pPr>
              <w:widowControl/>
              <w:ind w:firstLine="420"/>
              <w:jc w:val="center"/>
              <w:rPr>
                <w:rFonts w:ascii="宋体" w:hAnsi="宋体" w:eastAsia="宋体" w:cs="宋体"/>
                <w:color w:val="auto"/>
                <w:kern w:val="0"/>
                <w:sz w:val="18"/>
                <w:szCs w:val="18"/>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155A1742">
            <w:pPr>
              <w:widowControl/>
              <w:ind w:firstLine="420"/>
              <w:jc w:val="center"/>
              <w:rPr>
                <w:rFonts w:ascii="宋体" w:hAnsi="宋体" w:eastAsia="宋体" w:cs="宋体"/>
                <w:color w:val="auto"/>
                <w:kern w:val="0"/>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03CF7D27">
            <w:pPr>
              <w:widowControl/>
              <w:ind w:firstLine="420"/>
              <w:jc w:val="center"/>
              <w:rPr>
                <w:rFonts w:ascii="宋体" w:hAnsi="宋体" w:eastAsia="宋体" w:cs="宋体"/>
                <w:color w:val="auto"/>
                <w:kern w:val="0"/>
                <w:sz w:val="18"/>
                <w:szCs w:val="18"/>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14CE0E73">
            <w:pPr>
              <w:widowControl/>
              <w:ind w:firstLine="420"/>
              <w:jc w:val="center"/>
              <w:rPr>
                <w:rFonts w:ascii="宋体" w:hAnsi="宋体" w:eastAsia="宋体" w:cs="宋体"/>
                <w:color w:val="auto"/>
                <w:kern w:val="0"/>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7BEB4FF9">
            <w:pPr>
              <w:widowControl/>
              <w:ind w:firstLine="420"/>
              <w:jc w:val="center"/>
              <w:rPr>
                <w:rFonts w:ascii="宋体" w:hAnsi="宋体" w:eastAsia="宋体" w:cs="宋体"/>
                <w:color w:val="auto"/>
                <w:kern w:val="0"/>
                <w:sz w:val="18"/>
                <w:szCs w:val="18"/>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41E720D1">
            <w:pPr>
              <w:widowControl/>
              <w:spacing w:line="200" w:lineRule="exact"/>
              <w:ind w:firstLine="420"/>
              <w:jc w:val="center"/>
              <w:rPr>
                <w:rFonts w:ascii="宋体" w:hAnsi="宋体" w:eastAsia="宋体" w:cs="宋体"/>
                <w:color w:val="auto"/>
                <w:sz w:val="18"/>
                <w:szCs w:val="18"/>
                <w:highlight w:val="none"/>
              </w:rPr>
            </w:pP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4FA13A3A">
            <w:pPr>
              <w:widowControl/>
              <w:spacing w:line="200" w:lineRule="exact"/>
              <w:ind w:firstLine="420"/>
              <w:jc w:val="center"/>
              <w:rPr>
                <w:rFonts w:ascii="宋体" w:hAnsi="宋体" w:eastAsia="宋体" w:cs="宋体"/>
                <w:color w:val="auto"/>
                <w:sz w:val="18"/>
                <w:szCs w:val="18"/>
                <w:highlight w:val="none"/>
              </w:rPr>
            </w:pPr>
          </w:p>
        </w:tc>
        <w:tc>
          <w:tcPr>
            <w:tcW w:w="546" w:type="dxa"/>
            <w:tcBorders>
              <w:top w:val="single" w:color="auto" w:sz="4" w:space="0"/>
              <w:left w:val="nil"/>
              <w:bottom w:val="single" w:color="auto" w:sz="4" w:space="0"/>
              <w:right w:val="single" w:color="auto" w:sz="4" w:space="0"/>
            </w:tcBorders>
            <w:noWrap w:val="0"/>
            <w:vAlign w:val="center"/>
          </w:tcPr>
          <w:p w14:paraId="0D843378">
            <w:pPr>
              <w:widowControl/>
              <w:spacing w:line="200" w:lineRule="exact"/>
              <w:ind w:firstLine="420"/>
              <w:jc w:val="center"/>
              <w:rPr>
                <w:rFonts w:ascii="宋体" w:hAnsi="宋体" w:eastAsia="宋体" w:cs="宋体"/>
                <w:color w:val="auto"/>
                <w:sz w:val="18"/>
                <w:szCs w:val="18"/>
                <w:highlight w:val="none"/>
              </w:rPr>
            </w:pPr>
          </w:p>
        </w:tc>
      </w:tr>
      <w:tr w14:paraId="16DE309C">
        <w:tblPrEx>
          <w:tblCellMar>
            <w:top w:w="0" w:type="dxa"/>
            <w:left w:w="108" w:type="dxa"/>
            <w:bottom w:w="0" w:type="dxa"/>
            <w:right w:w="108" w:type="dxa"/>
          </w:tblCellMar>
        </w:tblPrEx>
        <w:trPr>
          <w:trHeight w:val="445" w:hRule="atLeast"/>
          <w:jc w:val="center"/>
        </w:trPr>
        <w:tc>
          <w:tcPr>
            <w:tcW w:w="704" w:type="dxa"/>
            <w:tcBorders>
              <w:top w:val="single" w:color="auto" w:sz="4" w:space="0"/>
              <w:left w:val="single" w:color="auto" w:sz="4" w:space="0"/>
              <w:bottom w:val="single" w:color="auto" w:sz="4" w:space="0"/>
              <w:right w:val="single" w:color="auto" w:sz="4" w:space="0"/>
            </w:tcBorders>
            <w:noWrap w:val="0"/>
            <w:vAlign w:val="center"/>
          </w:tcPr>
          <w:p w14:paraId="0902DB41">
            <w:pPr>
              <w:widowControl/>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w:t>
            </w:r>
          </w:p>
        </w:tc>
        <w:tc>
          <w:tcPr>
            <w:tcW w:w="1559" w:type="dxa"/>
            <w:gridSpan w:val="2"/>
            <w:tcBorders>
              <w:top w:val="single" w:color="auto" w:sz="4" w:space="0"/>
              <w:left w:val="single" w:color="auto" w:sz="4" w:space="0"/>
              <w:bottom w:val="single" w:color="auto" w:sz="4" w:space="0"/>
              <w:right w:val="single" w:color="auto" w:sz="4" w:space="0"/>
            </w:tcBorders>
            <w:noWrap w:val="0"/>
            <w:vAlign w:val="center"/>
          </w:tcPr>
          <w:p w14:paraId="64F54F84">
            <w:pPr>
              <w:widowControl/>
              <w:ind w:firstLine="420"/>
              <w:jc w:val="center"/>
              <w:rPr>
                <w:rFonts w:ascii="宋体" w:hAnsi="宋体" w:eastAsia="宋体" w:cs="宋体"/>
                <w:color w:val="auto"/>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45CE1339">
            <w:pPr>
              <w:widowControl/>
              <w:ind w:firstLine="420"/>
              <w:jc w:val="center"/>
              <w:rPr>
                <w:rFonts w:ascii="宋体" w:hAnsi="宋体" w:eastAsia="宋体" w:cs="宋体"/>
                <w:color w:val="auto"/>
                <w:kern w:val="0"/>
                <w:sz w:val="18"/>
                <w:szCs w:val="18"/>
                <w:highlight w:val="none"/>
              </w:rPr>
            </w:pPr>
          </w:p>
        </w:tc>
        <w:tc>
          <w:tcPr>
            <w:tcW w:w="993" w:type="dxa"/>
            <w:tcBorders>
              <w:top w:val="single" w:color="auto" w:sz="4" w:space="0"/>
              <w:left w:val="nil"/>
              <w:bottom w:val="single" w:color="auto" w:sz="4" w:space="0"/>
              <w:right w:val="single" w:color="auto" w:sz="4" w:space="0"/>
            </w:tcBorders>
            <w:noWrap w:val="0"/>
            <w:vAlign w:val="center"/>
          </w:tcPr>
          <w:p w14:paraId="5E42C9FA">
            <w:pPr>
              <w:widowControl/>
              <w:spacing w:line="200" w:lineRule="exact"/>
              <w:ind w:firstLine="420"/>
              <w:jc w:val="center"/>
              <w:rPr>
                <w:rFonts w:ascii="宋体" w:hAnsi="宋体" w:eastAsia="宋体" w:cs="宋体"/>
                <w:color w:val="auto"/>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66F7E163">
            <w:pPr>
              <w:widowControl/>
              <w:ind w:firstLine="420"/>
              <w:jc w:val="center"/>
              <w:rPr>
                <w:rFonts w:ascii="宋体" w:hAnsi="宋体" w:eastAsia="宋体" w:cs="宋体"/>
                <w:color w:val="auto"/>
                <w:kern w:val="0"/>
                <w:sz w:val="18"/>
                <w:szCs w:val="18"/>
                <w:highlight w:val="none"/>
              </w:rPr>
            </w:pPr>
          </w:p>
        </w:tc>
        <w:tc>
          <w:tcPr>
            <w:tcW w:w="992" w:type="dxa"/>
            <w:gridSpan w:val="2"/>
            <w:tcBorders>
              <w:top w:val="single" w:color="auto" w:sz="4" w:space="0"/>
              <w:left w:val="nil"/>
              <w:bottom w:val="single" w:color="auto" w:sz="4" w:space="0"/>
              <w:right w:val="single" w:color="auto" w:sz="4" w:space="0"/>
            </w:tcBorders>
            <w:noWrap w:val="0"/>
            <w:vAlign w:val="center"/>
          </w:tcPr>
          <w:p w14:paraId="5F101058">
            <w:pPr>
              <w:widowControl/>
              <w:ind w:firstLine="420"/>
              <w:jc w:val="center"/>
              <w:rPr>
                <w:rFonts w:ascii="宋体" w:hAnsi="宋体" w:eastAsia="宋体" w:cs="宋体"/>
                <w:color w:val="auto"/>
                <w:kern w:val="0"/>
                <w:sz w:val="18"/>
                <w:szCs w:val="18"/>
                <w:highlight w:val="none"/>
              </w:rPr>
            </w:pPr>
          </w:p>
        </w:tc>
        <w:tc>
          <w:tcPr>
            <w:tcW w:w="1134" w:type="dxa"/>
            <w:tcBorders>
              <w:top w:val="single" w:color="auto" w:sz="4" w:space="0"/>
              <w:left w:val="nil"/>
              <w:bottom w:val="single" w:color="auto" w:sz="4" w:space="0"/>
              <w:right w:val="single" w:color="auto" w:sz="4" w:space="0"/>
            </w:tcBorders>
            <w:noWrap w:val="0"/>
            <w:vAlign w:val="center"/>
          </w:tcPr>
          <w:p w14:paraId="29D100E0">
            <w:pPr>
              <w:widowControl/>
              <w:ind w:firstLine="420"/>
              <w:jc w:val="center"/>
              <w:rPr>
                <w:rFonts w:ascii="宋体" w:hAnsi="宋体" w:eastAsia="宋体" w:cs="宋体"/>
                <w:color w:val="auto"/>
                <w:kern w:val="0"/>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1DFFFC40">
            <w:pPr>
              <w:widowControl/>
              <w:ind w:firstLine="420"/>
              <w:jc w:val="center"/>
              <w:rPr>
                <w:rFonts w:ascii="宋体" w:hAnsi="宋体" w:eastAsia="宋体" w:cs="宋体"/>
                <w:color w:val="auto"/>
                <w:kern w:val="0"/>
                <w:sz w:val="18"/>
                <w:szCs w:val="18"/>
                <w:highlight w:val="none"/>
              </w:rPr>
            </w:pPr>
          </w:p>
        </w:tc>
        <w:tc>
          <w:tcPr>
            <w:tcW w:w="850" w:type="dxa"/>
            <w:tcBorders>
              <w:top w:val="single" w:color="auto" w:sz="4" w:space="0"/>
              <w:left w:val="nil"/>
              <w:bottom w:val="single" w:color="auto" w:sz="4" w:space="0"/>
              <w:right w:val="single" w:color="auto" w:sz="4" w:space="0"/>
            </w:tcBorders>
            <w:noWrap w:val="0"/>
            <w:vAlign w:val="center"/>
          </w:tcPr>
          <w:p w14:paraId="3CA45AF8">
            <w:pPr>
              <w:widowControl/>
              <w:ind w:firstLine="420"/>
              <w:jc w:val="center"/>
              <w:rPr>
                <w:rFonts w:ascii="宋体" w:hAnsi="宋体" w:eastAsia="宋体" w:cs="宋体"/>
                <w:color w:val="auto"/>
                <w:kern w:val="0"/>
                <w:sz w:val="18"/>
                <w:szCs w:val="18"/>
                <w:highlight w:val="none"/>
              </w:rPr>
            </w:pPr>
          </w:p>
        </w:tc>
        <w:tc>
          <w:tcPr>
            <w:tcW w:w="1134" w:type="dxa"/>
            <w:gridSpan w:val="2"/>
            <w:tcBorders>
              <w:top w:val="single" w:color="auto" w:sz="4" w:space="0"/>
              <w:left w:val="nil"/>
              <w:bottom w:val="single" w:color="auto" w:sz="4" w:space="0"/>
              <w:right w:val="single" w:color="auto" w:sz="4" w:space="0"/>
            </w:tcBorders>
            <w:noWrap w:val="0"/>
            <w:vAlign w:val="center"/>
          </w:tcPr>
          <w:p w14:paraId="610E767F">
            <w:pPr>
              <w:widowControl/>
              <w:ind w:firstLine="420"/>
              <w:jc w:val="center"/>
              <w:rPr>
                <w:rFonts w:ascii="宋体" w:hAnsi="宋体" w:eastAsia="宋体" w:cs="宋体"/>
                <w:color w:val="auto"/>
                <w:kern w:val="0"/>
                <w:sz w:val="18"/>
                <w:szCs w:val="18"/>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1F866F58">
            <w:pPr>
              <w:widowControl/>
              <w:spacing w:line="200" w:lineRule="exact"/>
              <w:ind w:firstLine="420"/>
              <w:jc w:val="center"/>
              <w:rPr>
                <w:rFonts w:ascii="宋体" w:hAnsi="宋体" w:eastAsia="宋体" w:cs="宋体"/>
                <w:color w:val="auto"/>
                <w:sz w:val="18"/>
                <w:szCs w:val="18"/>
                <w:highlight w:val="none"/>
              </w:rPr>
            </w:pPr>
          </w:p>
        </w:tc>
        <w:tc>
          <w:tcPr>
            <w:tcW w:w="1701" w:type="dxa"/>
            <w:gridSpan w:val="2"/>
            <w:tcBorders>
              <w:top w:val="single" w:color="auto" w:sz="4" w:space="0"/>
              <w:left w:val="single" w:color="auto" w:sz="4" w:space="0"/>
              <w:bottom w:val="single" w:color="auto" w:sz="4" w:space="0"/>
              <w:right w:val="single" w:color="auto" w:sz="4" w:space="0"/>
            </w:tcBorders>
            <w:noWrap w:val="0"/>
            <w:vAlign w:val="center"/>
          </w:tcPr>
          <w:p w14:paraId="50E33895">
            <w:pPr>
              <w:widowControl/>
              <w:spacing w:line="200" w:lineRule="exact"/>
              <w:ind w:firstLine="420"/>
              <w:jc w:val="center"/>
              <w:rPr>
                <w:rFonts w:ascii="宋体" w:hAnsi="宋体" w:eastAsia="宋体" w:cs="宋体"/>
                <w:color w:val="auto"/>
                <w:sz w:val="18"/>
                <w:szCs w:val="18"/>
                <w:highlight w:val="none"/>
              </w:rPr>
            </w:pPr>
          </w:p>
        </w:tc>
        <w:tc>
          <w:tcPr>
            <w:tcW w:w="546" w:type="dxa"/>
            <w:tcBorders>
              <w:top w:val="single" w:color="auto" w:sz="4" w:space="0"/>
              <w:left w:val="nil"/>
              <w:bottom w:val="single" w:color="auto" w:sz="4" w:space="0"/>
              <w:right w:val="single" w:color="auto" w:sz="4" w:space="0"/>
            </w:tcBorders>
            <w:noWrap w:val="0"/>
            <w:vAlign w:val="center"/>
          </w:tcPr>
          <w:p w14:paraId="56161915">
            <w:pPr>
              <w:widowControl/>
              <w:spacing w:line="200" w:lineRule="exact"/>
              <w:ind w:firstLine="420"/>
              <w:jc w:val="center"/>
              <w:rPr>
                <w:rFonts w:ascii="宋体" w:hAnsi="宋体" w:eastAsia="宋体" w:cs="宋体"/>
                <w:color w:val="auto"/>
                <w:sz w:val="18"/>
                <w:szCs w:val="18"/>
                <w:highlight w:val="none"/>
              </w:rPr>
            </w:pPr>
          </w:p>
        </w:tc>
      </w:tr>
      <w:tr w14:paraId="71E724C6">
        <w:tblPrEx>
          <w:tblCellMar>
            <w:top w:w="0" w:type="dxa"/>
            <w:left w:w="108" w:type="dxa"/>
            <w:bottom w:w="0" w:type="dxa"/>
            <w:right w:w="108" w:type="dxa"/>
          </w:tblCellMar>
        </w:tblPrEx>
        <w:trPr>
          <w:trHeight w:val="505" w:hRule="atLeast"/>
          <w:jc w:val="center"/>
        </w:trPr>
        <w:tc>
          <w:tcPr>
            <w:tcW w:w="14008" w:type="dxa"/>
            <w:gridSpan w:val="20"/>
            <w:tcBorders>
              <w:top w:val="single" w:color="auto" w:sz="4" w:space="0"/>
              <w:left w:val="single" w:color="auto" w:sz="4" w:space="0"/>
              <w:bottom w:val="single" w:color="auto" w:sz="4" w:space="0"/>
              <w:right w:val="single" w:color="auto" w:sz="4" w:space="0"/>
            </w:tcBorders>
            <w:noWrap w:val="0"/>
            <w:vAlign w:val="center"/>
          </w:tcPr>
          <w:p w14:paraId="12F3CC1E">
            <w:pPr>
              <w:widowControl/>
              <w:spacing w:line="200" w:lineRule="exact"/>
              <w:ind w:firstLine="270" w:firstLineChars="150"/>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合</w:t>
            </w:r>
            <w:r>
              <w:rPr>
                <w:rFonts w:ascii="宋体" w:hAnsi="宋体" w:eastAsia="宋体" w:cs="宋体"/>
                <w:color w:val="auto"/>
                <w:sz w:val="18"/>
                <w:szCs w:val="18"/>
                <w:highlight w:val="none"/>
              </w:rPr>
              <w:t xml:space="preserve">  </w:t>
            </w:r>
            <w:r>
              <w:rPr>
                <w:rFonts w:hint="eastAsia" w:ascii="宋体" w:hAnsi="宋体" w:eastAsia="宋体" w:cs="宋体"/>
                <w:color w:val="auto"/>
                <w:sz w:val="18"/>
                <w:szCs w:val="18"/>
                <w:highlight w:val="none"/>
              </w:rPr>
              <w:t>计：（大写）人民币</w:t>
            </w:r>
            <w:sdt>
              <w:sdtPr>
                <w:rPr>
                  <w:rFonts w:hint="eastAsia" w:ascii="宋体" w:hAnsi="宋体" w:eastAsia="宋体" w:cs="宋体"/>
                  <w:color w:val="auto"/>
                  <w:kern w:val="2"/>
                  <w:sz w:val="18"/>
                  <w:szCs w:val="18"/>
                  <w:lang w:val="en-US" w:eastAsia="zh-CN" w:bidi="ar-SA"/>
                </w:rPr>
                <w:alias w:val="合同大写金额"/>
                <w:tag w:val="合同大写金额"/>
                <w:id w:val="147478509"/>
                <w:placeholder>
                  <w:docPart w:val="{dcbb178c-f44d-4499-a84f-e683e0456e66}"/>
                </w:placeholder>
                <w:text w:multiLine="1"/>
              </w:sdtPr>
              <w:sdtEndPr>
                <w:rPr>
                  <w:rFonts w:hint="eastAsia" w:ascii="宋体" w:hAnsi="宋体" w:eastAsia="宋体" w:cs="宋体"/>
                  <w:color w:val="auto"/>
                  <w:kern w:val="2"/>
                  <w:sz w:val="18"/>
                  <w:szCs w:val="18"/>
                  <w:u w:val="single"/>
                  <w:lang w:val="en-US" w:eastAsia="zh-CN" w:bidi="ar-SA"/>
                </w:rPr>
              </w:sdtEndPr>
              <w:sdtContent>
                <w:r>
                  <w:rPr>
                    <w:rFonts w:ascii="宋体" w:hAnsi="宋体" w:eastAsia="宋体" w:cs="宋体"/>
                    <w:color w:val="auto"/>
                    <w:sz w:val="18"/>
                    <w:szCs w:val="18"/>
                    <w:u w:val="single"/>
                  </w:rPr>
                  <w:t xml:space="preserve">     </w:t>
                </w:r>
                <w:r>
                  <w:rPr>
                    <w:rFonts w:hint="eastAsia" w:ascii="宋体" w:hAnsi="宋体" w:eastAsia="宋体" w:cs="宋体"/>
                    <w:color w:val="auto"/>
                    <w:sz w:val="18"/>
                    <w:szCs w:val="18"/>
                  </w:rPr>
                  <w:t>元</w:t>
                </w:r>
                <w:r>
                  <w:rPr>
                    <w:rFonts w:ascii="宋体" w:hAnsi="宋体" w:eastAsia="宋体" w:cs="宋体"/>
                    <w:color w:val="auto"/>
                    <w:sz w:val="18"/>
                    <w:szCs w:val="18"/>
                    <w:u w:val="single"/>
                  </w:rPr>
                  <w:t xml:space="preserve">     </w:t>
                </w:r>
                <w:r>
                  <w:rPr>
                    <w:rFonts w:hint="eastAsia" w:ascii="宋体" w:hAnsi="宋体" w:eastAsia="宋体" w:cs="宋体"/>
                    <w:color w:val="auto"/>
                    <w:sz w:val="18"/>
                    <w:szCs w:val="18"/>
                  </w:rPr>
                  <w:t>角</w:t>
                </w:r>
                <w:r>
                  <w:rPr>
                    <w:rFonts w:ascii="宋体" w:hAnsi="宋体" w:eastAsia="宋体" w:cs="宋体"/>
                    <w:color w:val="auto"/>
                    <w:sz w:val="18"/>
                    <w:szCs w:val="18"/>
                    <w:u w:val="single"/>
                  </w:rPr>
                  <w:t xml:space="preserve">     </w:t>
                </w:r>
              </w:sdtContent>
            </w:sdt>
            <w:r>
              <w:rPr>
                <w:rFonts w:hint="eastAsia" w:ascii="宋体" w:hAnsi="宋体" w:eastAsia="宋体" w:cs="宋体"/>
                <w:color w:val="auto"/>
                <w:sz w:val="18"/>
                <w:szCs w:val="18"/>
                <w:highlight w:val="none"/>
              </w:rPr>
              <w:t>（小写）RMB：</w:t>
            </w:r>
            <w:sdt>
              <w:sdtPr>
                <w:rPr>
                  <w:rFonts w:hint="eastAsia" w:ascii="宋体" w:hAnsi="宋体" w:eastAsia="宋体" w:cs="宋体"/>
                  <w:color w:val="auto"/>
                  <w:kern w:val="2"/>
                  <w:sz w:val="18"/>
                  <w:szCs w:val="18"/>
                  <w:lang w:val="en-US" w:eastAsia="zh-CN" w:bidi="ar-SA"/>
                </w:rPr>
                <w:alias w:val="合同金额"/>
                <w:tag w:val="合同金额"/>
                <w:id w:val="147478371"/>
                <w:placeholder>
                  <w:docPart w:val="{de3591fe-55d8-4ac0-aee7-cf59ed3be7b7}"/>
                </w:placeholder>
                <w:text w:multiLine="1"/>
              </w:sdtPr>
              <w:sdtEndPr>
                <w:rPr>
                  <w:rFonts w:hint="eastAsia" w:ascii="宋体" w:hAnsi="宋体" w:eastAsia="宋体" w:cs="宋体"/>
                  <w:color w:val="auto"/>
                  <w:kern w:val="2"/>
                  <w:sz w:val="18"/>
                  <w:szCs w:val="18"/>
                  <w:u w:val="single"/>
                  <w:lang w:val="en-US" w:eastAsia="zh-CN" w:bidi="ar-SA"/>
                </w:rPr>
              </w:sdtEndPr>
              <w:sdtContent>
                <w:r>
                  <w:rPr>
                    <w:rFonts w:ascii="宋体" w:hAnsi="宋体" w:eastAsia="宋体" w:cs="宋体"/>
                    <w:color w:val="auto"/>
                    <w:sz w:val="18"/>
                    <w:szCs w:val="18"/>
                    <w:u w:val="single"/>
                  </w:rPr>
                  <w:t xml:space="preserve">     </w:t>
                </w:r>
              </w:sdtContent>
            </w:sdt>
            <w:r>
              <w:rPr>
                <w:rFonts w:hint="eastAsia" w:ascii="宋体" w:hAnsi="宋体" w:eastAsia="宋体" w:cs="宋体"/>
                <w:color w:val="auto"/>
                <w:sz w:val="18"/>
                <w:szCs w:val="18"/>
                <w:highlight w:val="none"/>
              </w:rPr>
              <w:t>元</w:t>
            </w:r>
          </w:p>
        </w:tc>
      </w:tr>
    </w:tbl>
    <w:p w14:paraId="1D8163AE">
      <w:pPr>
        <w:topLinePunct/>
        <w:adjustRightInd w:val="0"/>
        <w:snapToGrid w:val="0"/>
        <w:spacing w:line="360" w:lineRule="auto"/>
        <w:jc w:val="left"/>
        <w:rPr>
          <w:rFonts w:ascii="宋体" w:hAnsi="宋体"/>
          <w:color w:val="auto"/>
          <w:highlight w:val="none"/>
        </w:rPr>
      </w:pPr>
      <w:r>
        <w:rPr>
          <w:rFonts w:hint="eastAsia" w:ascii="宋体" w:hAnsi="宋体" w:eastAsia="宋体" w:cs="宋体"/>
          <w:color w:val="auto"/>
          <w:kern w:val="0"/>
          <w:sz w:val="18"/>
          <w:szCs w:val="21"/>
          <w:highlight w:val="none"/>
        </w:rPr>
        <w:t>备注：</w:t>
      </w:r>
      <w:r>
        <w:rPr>
          <w:rFonts w:ascii="宋体" w:hAnsi="宋体" w:eastAsia="宋体" w:cs="宋体"/>
          <w:color w:val="auto"/>
          <w:kern w:val="0"/>
          <w:sz w:val="18"/>
          <w:szCs w:val="21"/>
          <w:highlight w:val="none"/>
        </w:rPr>
        <w:t>1.</w:t>
      </w:r>
      <w:r>
        <w:rPr>
          <w:rFonts w:hint="eastAsia" w:ascii="宋体" w:hAnsi="宋体" w:eastAsia="宋体" w:cs="宋体"/>
          <w:color w:val="auto"/>
          <w:kern w:val="0"/>
          <w:sz w:val="18"/>
          <w:szCs w:val="21"/>
          <w:highlight w:val="none"/>
        </w:rPr>
        <w:t>设备配置有差异的应提供配置清单。</w:t>
      </w:r>
    </w:p>
    <w:p w14:paraId="329AC629">
      <w:pPr>
        <w:topLinePunct/>
        <w:adjustRightInd w:val="0"/>
        <w:snapToGrid w:val="0"/>
        <w:spacing w:line="360" w:lineRule="auto"/>
        <w:ind w:firstLine="540" w:firstLineChars="300"/>
        <w:jc w:val="left"/>
        <w:rPr>
          <w:color w:val="auto"/>
          <w:highlight w:val="none"/>
        </w:rPr>
      </w:pPr>
      <w:r>
        <w:rPr>
          <w:rFonts w:ascii="宋体" w:hAnsi="宋体" w:eastAsia="宋体" w:cs="宋体"/>
          <w:color w:val="auto"/>
          <w:kern w:val="0"/>
          <w:sz w:val="18"/>
          <w:szCs w:val="21"/>
          <w:highlight w:val="none"/>
        </w:rPr>
        <w:t>2.</w:t>
      </w:r>
      <w:r>
        <w:rPr>
          <w:rFonts w:hint="eastAsia" w:ascii="宋体" w:hAnsi="宋体" w:eastAsia="宋体" w:cs="宋体"/>
          <w:color w:val="auto"/>
          <w:kern w:val="0"/>
          <w:sz w:val="18"/>
          <w:szCs w:val="21"/>
          <w:highlight w:val="none"/>
        </w:rPr>
        <w:t>当物资名称、规格型号相同时，可作一行填写，写明数量，实物编码则给予一个编码区间。</w:t>
      </w:r>
    </w:p>
    <w:p w14:paraId="6C756EAB">
      <w:pPr>
        <w:rPr>
          <w:rFonts w:ascii="宋体" w:hAnsi="宋体"/>
          <w:color w:val="auto"/>
          <w:highlight w:val="none"/>
        </w:rPr>
        <w:sectPr>
          <w:headerReference r:id="rId7" w:type="default"/>
          <w:pgSz w:w="16838" w:h="11906" w:orient="landscape"/>
          <w:pgMar w:top="1531" w:right="2098" w:bottom="1531" w:left="1985" w:header="850" w:footer="992" w:gutter="0"/>
          <w:cols w:space="720" w:num="1"/>
          <w:docGrid w:type="lines" w:linePitch="312" w:charSpace="0"/>
        </w:sectPr>
      </w:pPr>
    </w:p>
    <w:p w14:paraId="0E3EA33C">
      <w:pPr>
        <w:pStyle w:val="4"/>
        <w:jc w:val="left"/>
        <w:rPr>
          <w:rFonts w:ascii="宋体" w:hAnsi="宋体" w:eastAsia="宋体" w:cs="Times New Roman"/>
          <w:b w:val="0"/>
          <w:color w:val="auto"/>
          <w:kern w:val="44"/>
          <w:sz w:val="28"/>
          <w:szCs w:val="44"/>
          <w:highlight w:val="none"/>
        </w:rPr>
      </w:pPr>
      <w:bookmarkStart w:id="1974" w:name="_Toc492891987"/>
      <w:bookmarkStart w:id="1975" w:name="_Toc26275545"/>
      <w:bookmarkStart w:id="1976" w:name="_Toc57495089"/>
      <w:bookmarkStart w:id="1977" w:name="_Toc25716"/>
      <w:bookmarkStart w:id="1978" w:name="_Toc3511"/>
      <w:r>
        <w:rPr>
          <w:rFonts w:ascii="宋体" w:hAnsi="宋体" w:eastAsia="宋体" w:cs="Times New Roman"/>
          <w:b w:val="0"/>
          <w:color w:val="auto"/>
          <w:kern w:val="44"/>
          <w:sz w:val="28"/>
          <w:szCs w:val="44"/>
          <w:highlight w:val="none"/>
        </w:rPr>
        <w:t>1.1</w:t>
      </w:r>
      <w:r>
        <w:rPr>
          <w:rFonts w:hint="eastAsia" w:ascii="宋体" w:hAnsi="宋体" w:eastAsia="宋体" w:cs="Times New Roman"/>
          <w:b w:val="0"/>
          <w:color w:val="auto"/>
          <w:kern w:val="44"/>
          <w:sz w:val="28"/>
          <w:szCs w:val="44"/>
          <w:highlight w:val="none"/>
        </w:rPr>
        <w:t>：设备配置清单</w:t>
      </w:r>
      <w:bookmarkEnd w:id="1974"/>
      <w:bookmarkEnd w:id="1975"/>
      <w:bookmarkEnd w:id="1976"/>
      <w:bookmarkEnd w:id="1977"/>
      <w:bookmarkEnd w:id="1978"/>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1"/>
        <w:gridCol w:w="983"/>
        <w:gridCol w:w="850"/>
        <w:gridCol w:w="709"/>
        <w:gridCol w:w="709"/>
        <w:gridCol w:w="708"/>
        <w:gridCol w:w="709"/>
        <w:gridCol w:w="709"/>
        <w:gridCol w:w="386"/>
        <w:gridCol w:w="425"/>
        <w:gridCol w:w="851"/>
        <w:gridCol w:w="850"/>
        <w:gridCol w:w="851"/>
        <w:gridCol w:w="850"/>
      </w:tblGrid>
      <w:tr w14:paraId="0C7F7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7" w:hRule="atLeast"/>
          <w:jc w:val="center"/>
        </w:trPr>
        <w:tc>
          <w:tcPr>
            <w:tcW w:w="611" w:type="dxa"/>
            <w:noWrap w:val="0"/>
            <w:vAlign w:val="center"/>
          </w:tcPr>
          <w:p w14:paraId="14A48729">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序</w:t>
            </w:r>
          </w:p>
          <w:p w14:paraId="115DF570">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号</w:t>
            </w:r>
          </w:p>
        </w:tc>
        <w:tc>
          <w:tcPr>
            <w:tcW w:w="983" w:type="dxa"/>
            <w:noWrap w:val="0"/>
            <w:vAlign w:val="center"/>
          </w:tcPr>
          <w:p w14:paraId="4E14D893">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需求明</w:t>
            </w:r>
          </w:p>
          <w:p w14:paraId="0E46DD66">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细编号</w:t>
            </w:r>
          </w:p>
        </w:tc>
        <w:tc>
          <w:tcPr>
            <w:tcW w:w="850" w:type="dxa"/>
            <w:noWrap w:val="0"/>
            <w:vAlign w:val="center"/>
          </w:tcPr>
          <w:p w14:paraId="375B0360">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物资品类编码</w:t>
            </w:r>
          </w:p>
        </w:tc>
        <w:tc>
          <w:tcPr>
            <w:tcW w:w="709" w:type="dxa"/>
            <w:noWrap w:val="0"/>
            <w:vAlign w:val="center"/>
          </w:tcPr>
          <w:p w14:paraId="6268171C">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设备名称</w:t>
            </w:r>
          </w:p>
        </w:tc>
        <w:tc>
          <w:tcPr>
            <w:tcW w:w="709" w:type="dxa"/>
            <w:noWrap w:val="0"/>
            <w:vAlign w:val="center"/>
          </w:tcPr>
          <w:p w14:paraId="24AA51AE">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配置编码</w:t>
            </w:r>
          </w:p>
        </w:tc>
        <w:tc>
          <w:tcPr>
            <w:tcW w:w="708" w:type="dxa"/>
            <w:noWrap w:val="0"/>
            <w:vAlign w:val="center"/>
          </w:tcPr>
          <w:p w14:paraId="2B529123">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配置名称</w:t>
            </w:r>
          </w:p>
        </w:tc>
        <w:tc>
          <w:tcPr>
            <w:tcW w:w="709" w:type="dxa"/>
            <w:noWrap w:val="0"/>
            <w:vAlign w:val="center"/>
          </w:tcPr>
          <w:p w14:paraId="7CA1FF2B">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规格型号</w:t>
            </w:r>
          </w:p>
        </w:tc>
        <w:tc>
          <w:tcPr>
            <w:tcW w:w="709" w:type="dxa"/>
            <w:noWrap w:val="0"/>
            <w:vAlign w:val="center"/>
          </w:tcPr>
          <w:p w14:paraId="2BAAE9EF">
            <w:pPr>
              <w:widowControl/>
              <w:jc w:val="center"/>
              <w:rPr>
                <w:rFonts w:ascii="宋体" w:hAnsi="宋体" w:eastAsia="宋体"/>
                <w:color w:val="auto"/>
                <w:kern w:val="0"/>
                <w:szCs w:val="21"/>
                <w:highlight w:val="none"/>
              </w:rPr>
            </w:pPr>
            <w:r>
              <w:rPr>
                <w:rFonts w:ascii="宋体" w:hAnsi="宋体" w:eastAsia="宋体"/>
                <w:color w:val="auto"/>
                <w:kern w:val="0"/>
                <w:szCs w:val="21"/>
                <w:highlight w:val="none"/>
              </w:rPr>
              <w:t>配置要求</w:t>
            </w:r>
          </w:p>
        </w:tc>
        <w:tc>
          <w:tcPr>
            <w:tcW w:w="386" w:type="dxa"/>
            <w:noWrap w:val="0"/>
            <w:vAlign w:val="center"/>
          </w:tcPr>
          <w:p w14:paraId="2C184270">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单位</w:t>
            </w:r>
          </w:p>
        </w:tc>
        <w:tc>
          <w:tcPr>
            <w:tcW w:w="425" w:type="dxa"/>
            <w:noWrap w:val="0"/>
            <w:vAlign w:val="center"/>
          </w:tcPr>
          <w:p w14:paraId="22E7DC16">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数量</w:t>
            </w:r>
          </w:p>
        </w:tc>
        <w:tc>
          <w:tcPr>
            <w:tcW w:w="851" w:type="dxa"/>
            <w:noWrap w:val="0"/>
            <w:vAlign w:val="center"/>
          </w:tcPr>
          <w:p w14:paraId="4DCD3731">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单价（元）</w:t>
            </w:r>
          </w:p>
        </w:tc>
        <w:tc>
          <w:tcPr>
            <w:tcW w:w="850" w:type="dxa"/>
            <w:noWrap w:val="0"/>
            <w:vAlign w:val="center"/>
          </w:tcPr>
          <w:p w14:paraId="5BBC59CB">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总价（元）</w:t>
            </w:r>
          </w:p>
        </w:tc>
        <w:tc>
          <w:tcPr>
            <w:tcW w:w="851" w:type="dxa"/>
            <w:noWrap w:val="0"/>
            <w:vAlign w:val="top"/>
          </w:tcPr>
          <w:p w14:paraId="0AC1AF37">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增值税税率</w:t>
            </w:r>
          </w:p>
        </w:tc>
        <w:tc>
          <w:tcPr>
            <w:tcW w:w="850" w:type="dxa"/>
            <w:noWrap w:val="0"/>
            <w:vAlign w:val="top"/>
          </w:tcPr>
          <w:p w14:paraId="279702E7">
            <w:pPr>
              <w:widowControl/>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不含税</w:t>
            </w:r>
            <w:r>
              <w:rPr>
                <w:rFonts w:hint="eastAsia" w:ascii="宋体" w:hAnsi="宋体" w:eastAsia="宋体"/>
                <w:color w:val="auto"/>
                <w:kern w:val="0"/>
                <w:szCs w:val="21"/>
                <w:highlight w:val="none"/>
                <w:lang w:val="en-US" w:eastAsia="zh-CN"/>
              </w:rPr>
              <w:t>单价</w:t>
            </w:r>
          </w:p>
        </w:tc>
      </w:tr>
      <w:tr w14:paraId="1B122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0201" w:type="dxa"/>
            <w:gridSpan w:val="14"/>
            <w:shd w:val="clear" w:color="000000" w:fill="FFFFFF"/>
            <w:noWrap w:val="0"/>
            <w:vAlign w:val="center"/>
          </w:tcPr>
          <w:p w14:paraId="4AC2D733">
            <w:pPr>
              <w:widowControl/>
              <w:jc w:val="left"/>
              <w:rPr>
                <w:rFonts w:ascii="宋体" w:hAnsi="宋体" w:eastAsia="宋体"/>
                <w:color w:val="auto"/>
                <w:kern w:val="0"/>
                <w:szCs w:val="21"/>
                <w:highlight w:val="none"/>
                <w:u w:val="single"/>
              </w:rPr>
            </w:pPr>
            <w:r>
              <w:rPr>
                <w:rFonts w:hint="eastAsia" w:ascii="宋体" w:hAnsi="宋体" w:eastAsia="宋体"/>
                <w:color w:val="auto"/>
                <w:kern w:val="0"/>
                <w:szCs w:val="21"/>
                <w:highlight w:val="none"/>
                <w:u w:val="single"/>
              </w:rPr>
              <w:t xml:space="preserve">  </w:t>
            </w:r>
            <w:r>
              <w:rPr>
                <w:rFonts w:ascii="宋体" w:hAnsi="宋体" w:eastAsia="宋体"/>
                <w:color w:val="auto"/>
                <w:kern w:val="0"/>
                <w:szCs w:val="21"/>
                <w:highlight w:val="none"/>
                <w:u w:val="single"/>
              </w:rPr>
              <w:t xml:space="preserve">       </w:t>
            </w:r>
            <w:r>
              <w:rPr>
                <w:rFonts w:hint="eastAsia" w:ascii="宋体" w:hAnsi="宋体" w:eastAsia="宋体"/>
                <w:color w:val="auto"/>
                <w:kern w:val="0"/>
                <w:szCs w:val="21"/>
                <w:highlight w:val="none"/>
                <w:u w:val="single"/>
              </w:rPr>
              <w:t xml:space="preserve">   </w:t>
            </w:r>
            <w:r>
              <w:rPr>
                <w:rFonts w:hint="eastAsia" w:ascii="宋体" w:hAnsi="宋体" w:eastAsia="宋体"/>
                <w:color w:val="auto"/>
                <w:kern w:val="0"/>
                <w:szCs w:val="21"/>
                <w:highlight w:val="none"/>
              </w:rPr>
              <w:t>工程</w:t>
            </w:r>
          </w:p>
        </w:tc>
      </w:tr>
      <w:tr w14:paraId="4FCFB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jc w:val="center"/>
        </w:trPr>
        <w:tc>
          <w:tcPr>
            <w:tcW w:w="611" w:type="dxa"/>
            <w:shd w:val="clear" w:color="000000" w:fill="FFFFFF"/>
            <w:noWrap w:val="0"/>
            <w:vAlign w:val="center"/>
          </w:tcPr>
          <w:p w14:paraId="3A2EB19A">
            <w:pPr>
              <w:widowControl/>
              <w:rPr>
                <w:rFonts w:ascii="宋体" w:hAnsi="宋体" w:eastAsia="宋体"/>
                <w:color w:val="auto"/>
                <w:kern w:val="0"/>
                <w:szCs w:val="21"/>
                <w:highlight w:val="none"/>
              </w:rPr>
            </w:pPr>
            <w:r>
              <w:rPr>
                <w:rFonts w:hint="eastAsia" w:ascii="宋体" w:hAnsi="宋体" w:eastAsia="宋体"/>
                <w:color w:val="auto"/>
                <w:kern w:val="0"/>
                <w:szCs w:val="21"/>
                <w:highlight w:val="none"/>
              </w:rPr>
              <w:t>1</w:t>
            </w:r>
          </w:p>
        </w:tc>
        <w:tc>
          <w:tcPr>
            <w:tcW w:w="983" w:type="dxa"/>
            <w:shd w:val="clear" w:color="000000" w:fill="FFFFFF"/>
            <w:noWrap w:val="0"/>
            <w:vAlign w:val="center"/>
          </w:tcPr>
          <w:p w14:paraId="629FC3A7">
            <w:pPr>
              <w:widowControl/>
              <w:ind w:firstLine="480"/>
              <w:jc w:val="center"/>
              <w:rPr>
                <w:rFonts w:ascii="宋体" w:hAnsi="宋体" w:eastAsia="宋体"/>
                <w:color w:val="auto"/>
                <w:kern w:val="0"/>
                <w:szCs w:val="21"/>
                <w:highlight w:val="none"/>
              </w:rPr>
            </w:pPr>
          </w:p>
        </w:tc>
        <w:tc>
          <w:tcPr>
            <w:tcW w:w="850" w:type="dxa"/>
            <w:shd w:val="clear" w:color="000000" w:fill="FFFFFF"/>
            <w:noWrap w:val="0"/>
            <w:vAlign w:val="center"/>
          </w:tcPr>
          <w:p w14:paraId="56442358">
            <w:pPr>
              <w:widowControl/>
              <w:ind w:firstLine="480"/>
              <w:jc w:val="center"/>
              <w:rPr>
                <w:rFonts w:ascii="宋体" w:hAnsi="宋体" w:eastAsia="宋体"/>
                <w:color w:val="auto"/>
                <w:kern w:val="0"/>
                <w:szCs w:val="21"/>
                <w:highlight w:val="none"/>
              </w:rPr>
            </w:pPr>
          </w:p>
        </w:tc>
        <w:tc>
          <w:tcPr>
            <w:tcW w:w="709" w:type="dxa"/>
            <w:shd w:val="clear" w:color="000000" w:fill="FFFFFF"/>
            <w:noWrap w:val="0"/>
            <w:vAlign w:val="center"/>
          </w:tcPr>
          <w:p w14:paraId="5E80BC4E">
            <w:pPr>
              <w:widowControl/>
              <w:ind w:firstLine="480"/>
              <w:jc w:val="left"/>
              <w:rPr>
                <w:rFonts w:ascii="宋体" w:hAnsi="宋体" w:eastAsia="宋体"/>
                <w:color w:val="auto"/>
                <w:kern w:val="0"/>
                <w:szCs w:val="21"/>
                <w:highlight w:val="none"/>
              </w:rPr>
            </w:pPr>
          </w:p>
        </w:tc>
        <w:tc>
          <w:tcPr>
            <w:tcW w:w="709" w:type="dxa"/>
            <w:shd w:val="clear" w:color="000000" w:fill="FFFFFF"/>
            <w:noWrap w:val="0"/>
            <w:vAlign w:val="center"/>
          </w:tcPr>
          <w:p w14:paraId="70B40845">
            <w:pPr>
              <w:widowControl/>
              <w:ind w:firstLine="480"/>
              <w:jc w:val="center"/>
              <w:rPr>
                <w:rFonts w:ascii="宋体" w:hAnsi="宋体" w:eastAsia="宋体"/>
                <w:color w:val="auto"/>
                <w:kern w:val="0"/>
                <w:szCs w:val="21"/>
                <w:highlight w:val="none"/>
              </w:rPr>
            </w:pPr>
          </w:p>
        </w:tc>
        <w:tc>
          <w:tcPr>
            <w:tcW w:w="708" w:type="dxa"/>
            <w:shd w:val="clear" w:color="000000" w:fill="FFFFFF"/>
            <w:noWrap w:val="0"/>
            <w:vAlign w:val="center"/>
          </w:tcPr>
          <w:p w14:paraId="16F17432">
            <w:pPr>
              <w:widowControl/>
              <w:ind w:firstLine="480"/>
              <w:jc w:val="center"/>
              <w:rPr>
                <w:rFonts w:ascii="宋体" w:hAnsi="宋体" w:eastAsia="宋体"/>
                <w:color w:val="auto"/>
                <w:kern w:val="0"/>
                <w:szCs w:val="21"/>
                <w:highlight w:val="none"/>
              </w:rPr>
            </w:pPr>
          </w:p>
        </w:tc>
        <w:tc>
          <w:tcPr>
            <w:tcW w:w="709" w:type="dxa"/>
            <w:shd w:val="clear" w:color="000000" w:fill="FFFFFF"/>
            <w:noWrap w:val="0"/>
            <w:vAlign w:val="center"/>
          </w:tcPr>
          <w:p w14:paraId="6456C7A2">
            <w:pPr>
              <w:widowControl/>
              <w:ind w:firstLine="480"/>
              <w:jc w:val="center"/>
              <w:rPr>
                <w:rFonts w:ascii="宋体" w:hAnsi="宋体" w:eastAsia="宋体"/>
                <w:color w:val="auto"/>
                <w:kern w:val="0"/>
                <w:szCs w:val="21"/>
                <w:highlight w:val="none"/>
              </w:rPr>
            </w:pPr>
          </w:p>
        </w:tc>
        <w:tc>
          <w:tcPr>
            <w:tcW w:w="709" w:type="dxa"/>
            <w:shd w:val="clear" w:color="000000" w:fill="FFFFFF"/>
            <w:noWrap w:val="0"/>
            <w:vAlign w:val="center"/>
          </w:tcPr>
          <w:p w14:paraId="445FC311">
            <w:pPr>
              <w:widowControl/>
              <w:ind w:firstLine="480"/>
              <w:jc w:val="center"/>
              <w:rPr>
                <w:rFonts w:ascii="宋体" w:hAnsi="宋体" w:eastAsia="宋体"/>
                <w:color w:val="auto"/>
                <w:kern w:val="0"/>
                <w:szCs w:val="21"/>
                <w:highlight w:val="none"/>
              </w:rPr>
            </w:pPr>
          </w:p>
        </w:tc>
        <w:tc>
          <w:tcPr>
            <w:tcW w:w="386" w:type="dxa"/>
            <w:shd w:val="clear" w:color="000000" w:fill="FFFFFF"/>
            <w:noWrap w:val="0"/>
            <w:vAlign w:val="center"/>
          </w:tcPr>
          <w:p w14:paraId="4BFE0E01">
            <w:pPr>
              <w:widowControl/>
              <w:ind w:firstLine="480"/>
              <w:jc w:val="center"/>
              <w:rPr>
                <w:rFonts w:ascii="宋体" w:hAnsi="宋体" w:eastAsia="宋体"/>
                <w:color w:val="auto"/>
                <w:kern w:val="0"/>
                <w:szCs w:val="21"/>
                <w:highlight w:val="none"/>
              </w:rPr>
            </w:pPr>
          </w:p>
        </w:tc>
        <w:tc>
          <w:tcPr>
            <w:tcW w:w="425" w:type="dxa"/>
            <w:shd w:val="clear" w:color="000000" w:fill="FFFFFF"/>
            <w:noWrap w:val="0"/>
            <w:vAlign w:val="center"/>
          </w:tcPr>
          <w:p w14:paraId="4E7B21C7">
            <w:pPr>
              <w:widowControl/>
              <w:ind w:firstLine="480"/>
              <w:jc w:val="right"/>
              <w:rPr>
                <w:rFonts w:ascii="宋体" w:hAnsi="宋体" w:eastAsia="宋体"/>
                <w:color w:val="auto"/>
                <w:kern w:val="0"/>
                <w:szCs w:val="21"/>
                <w:highlight w:val="none"/>
              </w:rPr>
            </w:pPr>
          </w:p>
        </w:tc>
        <w:tc>
          <w:tcPr>
            <w:tcW w:w="851" w:type="dxa"/>
            <w:shd w:val="clear" w:color="000000" w:fill="FFFFFF"/>
            <w:noWrap w:val="0"/>
            <w:vAlign w:val="top"/>
          </w:tcPr>
          <w:p w14:paraId="3FF5188E">
            <w:pPr>
              <w:widowControl/>
              <w:ind w:firstLine="480"/>
              <w:jc w:val="right"/>
              <w:rPr>
                <w:rFonts w:ascii="宋体" w:hAnsi="宋体" w:eastAsia="宋体"/>
                <w:color w:val="auto"/>
                <w:kern w:val="0"/>
                <w:szCs w:val="21"/>
                <w:highlight w:val="none"/>
              </w:rPr>
            </w:pPr>
          </w:p>
        </w:tc>
        <w:tc>
          <w:tcPr>
            <w:tcW w:w="850" w:type="dxa"/>
            <w:shd w:val="clear" w:color="000000" w:fill="FFFFFF"/>
            <w:noWrap w:val="0"/>
            <w:vAlign w:val="top"/>
          </w:tcPr>
          <w:p w14:paraId="59417756">
            <w:pPr>
              <w:widowControl/>
              <w:ind w:firstLine="480"/>
              <w:jc w:val="right"/>
              <w:rPr>
                <w:rFonts w:ascii="宋体" w:hAnsi="宋体" w:eastAsia="宋体"/>
                <w:color w:val="auto"/>
                <w:kern w:val="0"/>
                <w:szCs w:val="21"/>
                <w:highlight w:val="none"/>
              </w:rPr>
            </w:pPr>
          </w:p>
        </w:tc>
        <w:tc>
          <w:tcPr>
            <w:tcW w:w="851" w:type="dxa"/>
            <w:shd w:val="clear" w:color="000000" w:fill="FFFFFF"/>
            <w:noWrap w:val="0"/>
            <w:vAlign w:val="top"/>
          </w:tcPr>
          <w:p w14:paraId="6B1CF73D">
            <w:pPr>
              <w:widowControl/>
              <w:ind w:firstLine="480"/>
              <w:jc w:val="right"/>
              <w:rPr>
                <w:rFonts w:ascii="宋体" w:hAnsi="宋体" w:eastAsia="宋体"/>
                <w:color w:val="auto"/>
                <w:kern w:val="0"/>
                <w:szCs w:val="21"/>
                <w:highlight w:val="none"/>
              </w:rPr>
            </w:pPr>
          </w:p>
        </w:tc>
        <w:tc>
          <w:tcPr>
            <w:tcW w:w="850" w:type="dxa"/>
            <w:shd w:val="clear" w:color="000000" w:fill="FFFFFF"/>
            <w:noWrap w:val="0"/>
            <w:vAlign w:val="top"/>
          </w:tcPr>
          <w:p w14:paraId="744D7C46">
            <w:pPr>
              <w:widowControl/>
              <w:ind w:firstLine="480"/>
              <w:jc w:val="right"/>
              <w:rPr>
                <w:rFonts w:ascii="宋体" w:hAnsi="宋体" w:eastAsia="宋体"/>
                <w:color w:val="auto"/>
                <w:kern w:val="0"/>
                <w:szCs w:val="21"/>
                <w:highlight w:val="none"/>
              </w:rPr>
            </w:pPr>
          </w:p>
        </w:tc>
      </w:tr>
      <w:tr w14:paraId="19008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11" w:type="dxa"/>
            <w:shd w:val="clear" w:color="000000" w:fill="FFFFFF"/>
            <w:noWrap w:val="0"/>
            <w:vAlign w:val="center"/>
          </w:tcPr>
          <w:p w14:paraId="41593E1D">
            <w:pPr>
              <w:widowControl/>
              <w:rPr>
                <w:rFonts w:ascii="宋体" w:hAnsi="宋体" w:eastAsia="宋体"/>
                <w:color w:val="auto"/>
                <w:kern w:val="0"/>
                <w:szCs w:val="21"/>
                <w:highlight w:val="none"/>
              </w:rPr>
            </w:pPr>
            <w:r>
              <w:rPr>
                <w:rFonts w:hint="eastAsia" w:ascii="宋体" w:hAnsi="宋体" w:eastAsia="宋体"/>
                <w:color w:val="auto"/>
                <w:kern w:val="0"/>
                <w:szCs w:val="21"/>
                <w:highlight w:val="none"/>
              </w:rPr>
              <w:t>1.1</w:t>
            </w:r>
          </w:p>
        </w:tc>
        <w:tc>
          <w:tcPr>
            <w:tcW w:w="983" w:type="dxa"/>
            <w:noWrap w:val="0"/>
            <w:vAlign w:val="center"/>
          </w:tcPr>
          <w:p w14:paraId="5326408E">
            <w:pPr>
              <w:widowControl/>
              <w:ind w:firstLine="480"/>
              <w:jc w:val="center"/>
              <w:rPr>
                <w:rFonts w:ascii="宋体" w:hAnsi="宋体" w:eastAsia="宋体"/>
                <w:color w:val="auto"/>
                <w:kern w:val="0"/>
                <w:szCs w:val="21"/>
                <w:highlight w:val="none"/>
              </w:rPr>
            </w:pPr>
          </w:p>
        </w:tc>
        <w:tc>
          <w:tcPr>
            <w:tcW w:w="850" w:type="dxa"/>
            <w:noWrap w:val="0"/>
            <w:vAlign w:val="center"/>
          </w:tcPr>
          <w:p w14:paraId="6AF0EBE2">
            <w:pPr>
              <w:widowControl/>
              <w:ind w:firstLine="480"/>
              <w:jc w:val="center"/>
              <w:rPr>
                <w:rFonts w:ascii="宋体" w:hAnsi="宋体" w:eastAsia="宋体"/>
                <w:color w:val="auto"/>
                <w:kern w:val="0"/>
                <w:szCs w:val="21"/>
                <w:highlight w:val="none"/>
              </w:rPr>
            </w:pPr>
          </w:p>
        </w:tc>
        <w:tc>
          <w:tcPr>
            <w:tcW w:w="709" w:type="dxa"/>
            <w:noWrap w:val="0"/>
            <w:vAlign w:val="center"/>
          </w:tcPr>
          <w:p w14:paraId="0C511F6B">
            <w:pPr>
              <w:widowControl/>
              <w:ind w:firstLine="480"/>
              <w:jc w:val="center"/>
              <w:rPr>
                <w:rFonts w:ascii="宋体" w:hAnsi="宋体" w:eastAsia="宋体"/>
                <w:color w:val="auto"/>
                <w:kern w:val="0"/>
                <w:szCs w:val="21"/>
                <w:highlight w:val="none"/>
              </w:rPr>
            </w:pPr>
          </w:p>
        </w:tc>
        <w:tc>
          <w:tcPr>
            <w:tcW w:w="709" w:type="dxa"/>
            <w:noWrap w:val="0"/>
            <w:vAlign w:val="center"/>
          </w:tcPr>
          <w:p w14:paraId="7FA4770A">
            <w:pPr>
              <w:widowControl/>
              <w:ind w:firstLine="480"/>
              <w:jc w:val="left"/>
              <w:rPr>
                <w:rFonts w:ascii="宋体" w:hAnsi="宋体" w:eastAsia="宋体"/>
                <w:color w:val="auto"/>
                <w:kern w:val="0"/>
                <w:szCs w:val="21"/>
                <w:highlight w:val="none"/>
              </w:rPr>
            </w:pPr>
          </w:p>
        </w:tc>
        <w:tc>
          <w:tcPr>
            <w:tcW w:w="708" w:type="dxa"/>
            <w:noWrap w:val="0"/>
            <w:vAlign w:val="center"/>
          </w:tcPr>
          <w:p w14:paraId="311353F1">
            <w:pPr>
              <w:widowControl/>
              <w:ind w:firstLine="480"/>
              <w:jc w:val="left"/>
              <w:rPr>
                <w:rFonts w:ascii="宋体" w:hAnsi="宋体" w:eastAsia="宋体"/>
                <w:color w:val="auto"/>
                <w:kern w:val="0"/>
                <w:szCs w:val="21"/>
                <w:highlight w:val="none"/>
              </w:rPr>
            </w:pPr>
          </w:p>
        </w:tc>
        <w:tc>
          <w:tcPr>
            <w:tcW w:w="709" w:type="dxa"/>
            <w:noWrap w:val="0"/>
            <w:vAlign w:val="center"/>
          </w:tcPr>
          <w:p w14:paraId="31134D76">
            <w:pPr>
              <w:widowControl/>
              <w:ind w:firstLine="480"/>
              <w:jc w:val="left"/>
              <w:rPr>
                <w:rFonts w:ascii="宋体" w:hAnsi="宋体" w:eastAsia="宋体"/>
                <w:color w:val="auto"/>
                <w:kern w:val="0"/>
                <w:szCs w:val="21"/>
                <w:highlight w:val="none"/>
              </w:rPr>
            </w:pPr>
          </w:p>
        </w:tc>
        <w:tc>
          <w:tcPr>
            <w:tcW w:w="709" w:type="dxa"/>
            <w:noWrap w:val="0"/>
            <w:vAlign w:val="center"/>
          </w:tcPr>
          <w:p w14:paraId="7FCAED46">
            <w:pPr>
              <w:widowControl/>
              <w:ind w:firstLine="480"/>
              <w:jc w:val="left"/>
              <w:rPr>
                <w:rFonts w:ascii="宋体" w:hAnsi="宋体" w:eastAsia="宋体"/>
                <w:color w:val="auto"/>
                <w:kern w:val="0"/>
                <w:szCs w:val="21"/>
                <w:highlight w:val="none"/>
              </w:rPr>
            </w:pPr>
          </w:p>
        </w:tc>
        <w:tc>
          <w:tcPr>
            <w:tcW w:w="386" w:type="dxa"/>
            <w:noWrap w:val="0"/>
            <w:vAlign w:val="center"/>
          </w:tcPr>
          <w:p w14:paraId="202405E0">
            <w:pPr>
              <w:widowControl/>
              <w:ind w:firstLine="480"/>
              <w:jc w:val="center"/>
              <w:rPr>
                <w:rFonts w:ascii="宋体" w:hAnsi="宋体" w:eastAsia="宋体"/>
                <w:color w:val="auto"/>
                <w:kern w:val="0"/>
                <w:szCs w:val="21"/>
                <w:highlight w:val="none"/>
              </w:rPr>
            </w:pPr>
          </w:p>
        </w:tc>
        <w:tc>
          <w:tcPr>
            <w:tcW w:w="425" w:type="dxa"/>
            <w:noWrap w:val="0"/>
            <w:vAlign w:val="center"/>
          </w:tcPr>
          <w:p w14:paraId="74937334">
            <w:pPr>
              <w:widowControl/>
              <w:ind w:firstLine="480"/>
              <w:jc w:val="right"/>
              <w:rPr>
                <w:rFonts w:ascii="宋体" w:hAnsi="宋体" w:eastAsia="宋体"/>
                <w:color w:val="auto"/>
                <w:kern w:val="0"/>
                <w:szCs w:val="21"/>
                <w:highlight w:val="none"/>
              </w:rPr>
            </w:pPr>
          </w:p>
        </w:tc>
        <w:tc>
          <w:tcPr>
            <w:tcW w:w="851" w:type="dxa"/>
            <w:noWrap w:val="0"/>
            <w:vAlign w:val="top"/>
          </w:tcPr>
          <w:p w14:paraId="376812D4">
            <w:pPr>
              <w:widowControl/>
              <w:ind w:firstLine="480"/>
              <w:jc w:val="right"/>
              <w:rPr>
                <w:rFonts w:ascii="宋体" w:hAnsi="宋体" w:eastAsia="宋体"/>
                <w:color w:val="auto"/>
                <w:kern w:val="0"/>
                <w:szCs w:val="21"/>
                <w:highlight w:val="none"/>
              </w:rPr>
            </w:pPr>
          </w:p>
        </w:tc>
        <w:tc>
          <w:tcPr>
            <w:tcW w:w="850" w:type="dxa"/>
            <w:noWrap w:val="0"/>
            <w:vAlign w:val="top"/>
          </w:tcPr>
          <w:p w14:paraId="4C76AD0D">
            <w:pPr>
              <w:widowControl/>
              <w:ind w:firstLine="480"/>
              <w:jc w:val="right"/>
              <w:rPr>
                <w:rFonts w:ascii="宋体" w:hAnsi="宋体" w:eastAsia="宋体"/>
                <w:color w:val="auto"/>
                <w:kern w:val="0"/>
                <w:szCs w:val="21"/>
                <w:highlight w:val="none"/>
              </w:rPr>
            </w:pPr>
          </w:p>
        </w:tc>
        <w:tc>
          <w:tcPr>
            <w:tcW w:w="851" w:type="dxa"/>
            <w:noWrap w:val="0"/>
            <w:vAlign w:val="top"/>
          </w:tcPr>
          <w:p w14:paraId="27502296">
            <w:pPr>
              <w:widowControl/>
              <w:ind w:firstLine="480"/>
              <w:jc w:val="right"/>
              <w:rPr>
                <w:rFonts w:ascii="宋体" w:hAnsi="宋体" w:eastAsia="宋体"/>
                <w:color w:val="auto"/>
                <w:kern w:val="0"/>
                <w:szCs w:val="21"/>
                <w:highlight w:val="none"/>
              </w:rPr>
            </w:pPr>
          </w:p>
        </w:tc>
        <w:tc>
          <w:tcPr>
            <w:tcW w:w="850" w:type="dxa"/>
            <w:noWrap w:val="0"/>
            <w:vAlign w:val="top"/>
          </w:tcPr>
          <w:p w14:paraId="229E4CA2">
            <w:pPr>
              <w:widowControl/>
              <w:ind w:firstLine="480"/>
              <w:jc w:val="right"/>
              <w:rPr>
                <w:rFonts w:ascii="宋体" w:hAnsi="宋体" w:eastAsia="宋体"/>
                <w:color w:val="auto"/>
                <w:kern w:val="0"/>
                <w:szCs w:val="21"/>
                <w:highlight w:val="none"/>
              </w:rPr>
            </w:pPr>
          </w:p>
        </w:tc>
      </w:tr>
      <w:tr w14:paraId="3F10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11" w:type="dxa"/>
            <w:shd w:val="clear" w:color="000000" w:fill="FFFFFF"/>
            <w:noWrap w:val="0"/>
            <w:vAlign w:val="center"/>
          </w:tcPr>
          <w:p w14:paraId="4381250B">
            <w:pPr>
              <w:widowControl/>
              <w:rPr>
                <w:rFonts w:ascii="宋体" w:hAnsi="宋体" w:eastAsia="宋体"/>
                <w:color w:val="auto"/>
                <w:kern w:val="0"/>
                <w:szCs w:val="21"/>
                <w:highlight w:val="none"/>
              </w:rPr>
            </w:pPr>
            <w:r>
              <w:rPr>
                <w:rFonts w:hint="eastAsia" w:ascii="宋体" w:hAnsi="宋体" w:eastAsia="宋体"/>
                <w:color w:val="auto"/>
                <w:kern w:val="0"/>
                <w:szCs w:val="21"/>
                <w:highlight w:val="none"/>
              </w:rPr>
              <w:t>1.2</w:t>
            </w:r>
          </w:p>
        </w:tc>
        <w:tc>
          <w:tcPr>
            <w:tcW w:w="983" w:type="dxa"/>
            <w:noWrap w:val="0"/>
            <w:vAlign w:val="center"/>
          </w:tcPr>
          <w:p w14:paraId="0E04C83D">
            <w:pPr>
              <w:widowControl/>
              <w:ind w:firstLine="480"/>
              <w:jc w:val="center"/>
              <w:rPr>
                <w:rFonts w:ascii="宋体" w:hAnsi="宋体" w:eastAsia="宋体"/>
                <w:color w:val="auto"/>
                <w:kern w:val="0"/>
                <w:szCs w:val="21"/>
                <w:highlight w:val="none"/>
              </w:rPr>
            </w:pPr>
          </w:p>
        </w:tc>
        <w:tc>
          <w:tcPr>
            <w:tcW w:w="850" w:type="dxa"/>
            <w:noWrap w:val="0"/>
            <w:vAlign w:val="center"/>
          </w:tcPr>
          <w:p w14:paraId="70E95D8E">
            <w:pPr>
              <w:widowControl/>
              <w:ind w:firstLine="480"/>
              <w:jc w:val="center"/>
              <w:rPr>
                <w:rFonts w:ascii="宋体" w:hAnsi="宋体" w:eastAsia="宋体"/>
                <w:color w:val="auto"/>
                <w:kern w:val="0"/>
                <w:szCs w:val="21"/>
                <w:highlight w:val="none"/>
              </w:rPr>
            </w:pPr>
          </w:p>
        </w:tc>
        <w:tc>
          <w:tcPr>
            <w:tcW w:w="709" w:type="dxa"/>
            <w:noWrap w:val="0"/>
            <w:vAlign w:val="center"/>
          </w:tcPr>
          <w:p w14:paraId="3BCACA44">
            <w:pPr>
              <w:widowControl/>
              <w:ind w:firstLine="480"/>
              <w:jc w:val="center"/>
              <w:rPr>
                <w:rFonts w:ascii="宋体" w:hAnsi="宋体" w:eastAsia="宋体"/>
                <w:color w:val="auto"/>
                <w:kern w:val="0"/>
                <w:szCs w:val="21"/>
                <w:highlight w:val="none"/>
              </w:rPr>
            </w:pPr>
          </w:p>
        </w:tc>
        <w:tc>
          <w:tcPr>
            <w:tcW w:w="709" w:type="dxa"/>
            <w:noWrap w:val="0"/>
            <w:vAlign w:val="center"/>
          </w:tcPr>
          <w:p w14:paraId="071207FD">
            <w:pPr>
              <w:widowControl/>
              <w:ind w:firstLine="480"/>
              <w:jc w:val="left"/>
              <w:rPr>
                <w:rFonts w:ascii="宋体" w:hAnsi="宋体" w:eastAsia="宋体"/>
                <w:color w:val="auto"/>
                <w:kern w:val="0"/>
                <w:szCs w:val="21"/>
                <w:highlight w:val="none"/>
              </w:rPr>
            </w:pPr>
          </w:p>
        </w:tc>
        <w:tc>
          <w:tcPr>
            <w:tcW w:w="708" w:type="dxa"/>
            <w:noWrap w:val="0"/>
            <w:vAlign w:val="center"/>
          </w:tcPr>
          <w:p w14:paraId="79018062">
            <w:pPr>
              <w:widowControl/>
              <w:ind w:firstLine="480"/>
              <w:jc w:val="left"/>
              <w:rPr>
                <w:rFonts w:ascii="宋体" w:hAnsi="宋体" w:eastAsia="宋体"/>
                <w:color w:val="auto"/>
                <w:kern w:val="0"/>
                <w:szCs w:val="21"/>
                <w:highlight w:val="none"/>
              </w:rPr>
            </w:pPr>
          </w:p>
        </w:tc>
        <w:tc>
          <w:tcPr>
            <w:tcW w:w="709" w:type="dxa"/>
            <w:noWrap w:val="0"/>
            <w:vAlign w:val="center"/>
          </w:tcPr>
          <w:p w14:paraId="1DE1E7BE">
            <w:pPr>
              <w:widowControl/>
              <w:ind w:firstLine="480"/>
              <w:jc w:val="left"/>
              <w:rPr>
                <w:rFonts w:ascii="宋体" w:hAnsi="宋体" w:eastAsia="宋体"/>
                <w:color w:val="auto"/>
                <w:kern w:val="0"/>
                <w:szCs w:val="21"/>
                <w:highlight w:val="none"/>
              </w:rPr>
            </w:pPr>
          </w:p>
        </w:tc>
        <w:tc>
          <w:tcPr>
            <w:tcW w:w="709" w:type="dxa"/>
            <w:noWrap w:val="0"/>
            <w:vAlign w:val="center"/>
          </w:tcPr>
          <w:p w14:paraId="722805E4">
            <w:pPr>
              <w:widowControl/>
              <w:ind w:firstLine="480"/>
              <w:jc w:val="left"/>
              <w:rPr>
                <w:rFonts w:ascii="宋体" w:hAnsi="宋体" w:eastAsia="宋体"/>
                <w:color w:val="auto"/>
                <w:kern w:val="0"/>
                <w:szCs w:val="21"/>
                <w:highlight w:val="none"/>
              </w:rPr>
            </w:pPr>
          </w:p>
        </w:tc>
        <w:tc>
          <w:tcPr>
            <w:tcW w:w="386" w:type="dxa"/>
            <w:noWrap w:val="0"/>
            <w:vAlign w:val="center"/>
          </w:tcPr>
          <w:p w14:paraId="1B33EC8A">
            <w:pPr>
              <w:widowControl/>
              <w:ind w:firstLine="480"/>
              <w:jc w:val="center"/>
              <w:rPr>
                <w:rFonts w:ascii="宋体" w:hAnsi="宋体" w:eastAsia="宋体"/>
                <w:color w:val="auto"/>
                <w:kern w:val="0"/>
                <w:szCs w:val="21"/>
                <w:highlight w:val="none"/>
              </w:rPr>
            </w:pPr>
          </w:p>
        </w:tc>
        <w:tc>
          <w:tcPr>
            <w:tcW w:w="425" w:type="dxa"/>
            <w:noWrap w:val="0"/>
            <w:vAlign w:val="center"/>
          </w:tcPr>
          <w:p w14:paraId="627B449D">
            <w:pPr>
              <w:widowControl/>
              <w:ind w:firstLine="480"/>
              <w:jc w:val="right"/>
              <w:rPr>
                <w:rFonts w:ascii="宋体" w:hAnsi="宋体" w:eastAsia="宋体"/>
                <w:color w:val="auto"/>
                <w:kern w:val="0"/>
                <w:szCs w:val="21"/>
                <w:highlight w:val="none"/>
              </w:rPr>
            </w:pPr>
          </w:p>
        </w:tc>
        <w:tc>
          <w:tcPr>
            <w:tcW w:w="851" w:type="dxa"/>
            <w:noWrap w:val="0"/>
            <w:vAlign w:val="top"/>
          </w:tcPr>
          <w:p w14:paraId="1C4B6116">
            <w:pPr>
              <w:widowControl/>
              <w:ind w:firstLine="480"/>
              <w:jc w:val="right"/>
              <w:rPr>
                <w:rFonts w:ascii="宋体" w:hAnsi="宋体" w:eastAsia="宋体"/>
                <w:color w:val="auto"/>
                <w:kern w:val="0"/>
                <w:szCs w:val="21"/>
                <w:highlight w:val="none"/>
              </w:rPr>
            </w:pPr>
          </w:p>
        </w:tc>
        <w:tc>
          <w:tcPr>
            <w:tcW w:w="850" w:type="dxa"/>
            <w:noWrap w:val="0"/>
            <w:vAlign w:val="top"/>
          </w:tcPr>
          <w:p w14:paraId="332F01F3">
            <w:pPr>
              <w:widowControl/>
              <w:ind w:firstLine="480"/>
              <w:jc w:val="right"/>
              <w:rPr>
                <w:rFonts w:ascii="宋体" w:hAnsi="宋体" w:eastAsia="宋体"/>
                <w:color w:val="auto"/>
                <w:kern w:val="0"/>
                <w:szCs w:val="21"/>
                <w:highlight w:val="none"/>
              </w:rPr>
            </w:pPr>
          </w:p>
        </w:tc>
        <w:tc>
          <w:tcPr>
            <w:tcW w:w="851" w:type="dxa"/>
            <w:noWrap w:val="0"/>
            <w:vAlign w:val="top"/>
          </w:tcPr>
          <w:p w14:paraId="73B837C2">
            <w:pPr>
              <w:widowControl/>
              <w:ind w:firstLine="480"/>
              <w:jc w:val="right"/>
              <w:rPr>
                <w:rFonts w:ascii="宋体" w:hAnsi="宋体" w:eastAsia="宋体"/>
                <w:color w:val="auto"/>
                <w:kern w:val="0"/>
                <w:szCs w:val="21"/>
                <w:highlight w:val="none"/>
              </w:rPr>
            </w:pPr>
          </w:p>
        </w:tc>
        <w:tc>
          <w:tcPr>
            <w:tcW w:w="850" w:type="dxa"/>
            <w:noWrap w:val="0"/>
            <w:vAlign w:val="top"/>
          </w:tcPr>
          <w:p w14:paraId="62D46AE1">
            <w:pPr>
              <w:widowControl/>
              <w:ind w:firstLine="480"/>
              <w:jc w:val="right"/>
              <w:rPr>
                <w:rFonts w:ascii="宋体" w:hAnsi="宋体" w:eastAsia="宋体"/>
                <w:color w:val="auto"/>
                <w:kern w:val="0"/>
                <w:szCs w:val="21"/>
                <w:highlight w:val="none"/>
              </w:rPr>
            </w:pPr>
          </w:p>
        </w:tc>
      </w:tr>
      <w:tr w14:paraId="281AE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11" w:type="dxa"/>
            <w:shd w:val="clear" w:color="000000" w:fill="FFFFFF"/>
            <w:noWrap w:val="0"/>
            <w:vAlign w:val="center"/>
          </w:tcPr>
          <w:p w14:paraId="649A652C">
            <w:pPr>
              <w:widowControl/>
              <w:rPr>
                <w:rFonts w:ascii="宋体" w:hAnsi="宋体" w:eastAsia="宋体"/>
                <w:color w:val="auto"/>
                <w:kern w:val="0"/>
                <w:szCs w:val="21"/>
                <w:highlight w:val="none"/>
              </w:rPr>
            </w:pPr>
            <w:r>
              <w:rPr>
                <w:rFonts w:hint="eastAsia" w:ascii="宋体" w:hAnsi="宋体" w:eastAsia="宋体"/>
                <w:color w:val="auto"/>
                <w:kern w:val="0"/>
                <w:szCs w:val="21"/>
                <w:highlight w:val="none"/>
              </w:rPr>
              <w:t>…</w:t>
            </w:r>
          </w:p>
        </w:tc>
        <w:tc>
          <w:tcPr>
            <w:tcW w:w="983" w:type="dxa"/>
            <w:noWrap w:val="0"/>
            <w:vAlign w:val="center"/>
          </w:tcPr>
          <w:p w14:paraId="2A91FAE6">
            <w:pPr>
              <w:widowControl/>
              <w:ind w:firstLine="480"/>
              <w:jc w:val="center"/>
              <w:rPr>
                <w:rFonts w:ascii="宋体" w:hAnsi="宋体" w:eastAsia="宋体"/>
                <w:color w:val="auto"/>
                <w:kern w:val="0"/>
                <w:szCs w:val="21"/>
                <w:highlight w:val="none"/>
              </w:rPr>
            </w:pPr>
          </w:p>
        </w:tc>
        <w:tc>
          <w:tcPr>
            <w:tcW w:w="850" w:type="dxa"/>
            <w:noWrap w:val="0"/>
            <w:vAlign w:val="center"/>
          </w:tcPr>
          <w:p w14:paraId="247D6669">
            <w:pPr>
              <w:widowControl/>
              <w:ind w:firstLine="480"/>
              <w:jc w:val="center"/>
              <w:rPr>
                <w:rFonts w:ascii="宋体" w:hAnsi="宋体" w:eastAsia="宋体"/>
                <w:color w:val="auto"/>
                <w:kern w:val="0"/>
                <w:szCs w:val="21"/>
                <w:highlight w:val="none"/>
              </w:rPr>
            </w:pPr>
          </w:p>
        </w:tc>
        <w:tc>
          <w:tcPr>
            <w:tcW w:w="709" w:type="dxa"/>
            <w:noWrap w:val="0"/>
            <w:vAlign w:val="center"/>
          </w:tcPr>
          <w:p w14:paraId="351D6009">
            <w:pPr>
              <w:widowControl/>
              <w:ind w:firstLine="480"/>
              <w:jc w:val="left"/>
              <w:rPr>
                <w:rFonts w:ascii="宋体" w:hAnsi="宋体" w:eastAsia="宋体"/>
                <w:color w:val="auto"/>
                <w:kern w:val="0"/>
                <w:szCs w:val="21"/>
                <w:highlight w:val="none"/>
              </w:rPr>
            </w:pPr>
          </w:p>
        </w:tc>
        <w:tc>
          <w:tcPr>
            <w:tcW w:w="709" w:type="dxa"/>
            <w:noWrap w:val="0"/>
            <w:vAlign w:val="center"/>
          </w:tcPr>
          <w:p w14:paraId="63572FCE">
            <w:pPr>
              <w:widowControl/>
              <w:ind w:firstLine="480"/>
              <w:jc w:val="center"/>
              <w:rPr>
                <w:rFonts w:ascii="宋体" w:hAnsi="宋体" w:eastAsia="宋体"/>
                <w:color w:val="auto"/>
                <w:kern w:val="0"/>
                <w:szCs w:val="21"/>
                <w:highlight w:val="none"/>
              </w:rPr>
            </w:pPr>
          </w:p>
        </w:tc>
        <w:tc>
          <w:tcPr>
            <w:tcW w:w="708" w:type="dxa"/>
            <w:noWrap w:val="0"/>
            <w:vAlign w:val="center"/>
          </w:tcPr>
          <w:p w14:paraId="1EF8DEA4">
            <w:pPr>
              <w:widowControl/>
              <w:ind w:firstLine="480"/>
              <w:jc w:val="center"/>
              <w:rPr>
                <w:rFonts w:ascii="宋体" w:hAnsi="宋体" w:eastAsia="宋体"/>
                <w:color w:val="auto"/>
                <w:kern w:val="0"/>
                <w:szCs w:val="21"/>
                <w:highlight w:val="none"/>
              </w:rPr>
            </w:pPr>
          </w:p>
        </w:tc>
        <w:tc>
          <w:tcPr>
            <w:tcW w:w="709" w:type="dxa"/>
            <w:noWrap w:val="0"/>
            <w:vAlign w:val="center"/>
          </w:tcPr>
          <w:p w14:paraId="4F04F85E">
            <w:pPr>
              <w:widowControl/>
              <w:ind w:firstLine="480"/>
              <w:jc w:val="center"/>
              <w:rPr>
                <w:rFonts w:ascii="宋体" w:hAnsi="宋体" w:eastAsia="宋体"/>
                <w:color w:val="auto"/>
                <w:kern w:val="0"/>
                <w:szCs w:val="21"/>
                <w:highlight w:val="none"/>
              </w:rPr>
            </w:pPr>
          </w:p>
        </w:tc>
        <w:tc>
          <w:tcPr>
            <w:tcW w:w="709" w:type="dxa"/>
            <w:noWrap w:val="0"/>
            <w:vAlign w:val="center"/>
          </w:tcPr>
          <w:p w14:paraId="140ACD43">
            <w:pPr>
              <w:widowControl/>
              <w:ind w:firstLine="480"/>
              <w:jc w:val="center"/>
              <w:rPr>
                <w:rFonts w:ascii="宋体" w:hAnsi="宋体" w:eastAsia="宋体"/>
                <w:color w:val="auto"/>
                <w:kern w:val="0"/>
                <w:szCs w:val="21"/>
                <w:highlight w:val="none"/>
              </w:rPr>
            </w:pPr>
          </w:p>
        </w:tc>
        <w:tc>
          <w:tcPr>
            <w:tcW w:w="386" w:type="dxa"/>
            <w:noWrap w:val="0"/>
            <w:vAlign w:val="center"/>
          </w:tcPr>
          <w:p w14:paraId="7A738EAE">
            <w:pPr>
              <w:widowControl/>
              <w:ind w:firstLine="480"/>
              <w:jc w:val="center"/>
              <w:rPr>
                <w:rFonts w:ascii="宋体" w:hAnsi="宋体" w:eastAsia="宋体"/>
                <w:color w:val="auto"/>
                <w:kern w:val="0"/>
                <w:szCs w:val="21"/>
                <w:highlight w:val="none"/>
              </w:rPr>
            </w:pPr>
          </w:p>
        </w:tc>
        <w:tc>
          <w:tcPr>
            <w:tcW w:w="425" w:type="dxa"/>
            <w:noWrap w:val="0"/>
            <w:vAlign w:val="center"/>
          </w:tcPr>
          <w:p w14:paraId="6E4F14A6">
            <w:pPr>
              <w:widowControl/>
              <w:ind w:firstLine="480"/>
              <w:jc w:val="right"/>
              <w:rPr>
                <w:rFonts w:ascii="宋体" w:hAnsi="宋体" w:eastAsia="宋体"/>
                <w:color w:val="auto"/>
                <w:kern w:val="0"/>
                <w:szCs w:val="21"/>
                <w:highlight w:val="none"/>
              </w:rPr>
            </w:pPr>
          </w:p>
        </w:tc>
        <w:tc>
          <w:tcPr>
            <w:tcW w:w="851" w:type="dxa"/>
            <w:noWrap w:val="0"/>
            <w:vAlign w:val="top"/>
          </w:tcPr>
          <w:p w14:paraId="4CECF646">
            <w:pPr>
              <w:widowControl/>
              <w:ind w:firstLine="480"/>
              <w:jc w:val="right"/>
              <w:rPr>
                <w:rFonts w:ascii="宋体" w:hAnsi="宋体" w:eastAsia="宋体"/>
                <w:color w:val="auto"/>
                <w:kern w:val="0"/>
                <w:szCs w:val="21"/>
                <w:highlight w:val="none"/>
              </w:rPr>
            </w:pPr>
          </w:p>
        </w:tc>
        <w:tc>
          <w:tcPr>
            <w:tcW w:w="850" w:type="dxa"/>
            <w:noWrap w:val="0"/>
            <w:vAlign w:val="top"/>
          </w:tcPr>
          <w:p w14:paraId="34C895A1">
            <w:pPr>
              <w:widowControl/>
              <w:ind w:firstLine="480"/>
              <w:jc w:val="right"/>
              <w:rPr>
                <w:rFonts w:ascii="宋体" w:hAnsi="宋体" w:eastAsia="宋体"/>
                <w:color w:val="auto"/>
                <w:kern w:val="0"/>
                <w:szCs w:val="21"/>
                <w:highlight w:val="none"/>
              </w:rPr>
            </w:pPr>
          </w:p>
        </w:tc>
        <w:tc>
          <w:tcPr>
            <w:tcW w:w="851" w:type="dxa"/>
            <w:noWrap w:val="0"/>
            <w:vAlign w:val="top"/>
          </w:tcPr>
          <w:p w14:paraId="3186F973">
            <w:pPr>
              <w:widowControl/>
              <w:ind w:firstLine="480"/>
              <w:jc w:val="right"/>
              <w:rPr>
                <w:rFonts w:ascii="宋体" w:hAnsi="宋体" w:eastAsia="宋体"/>
                <w:color w:val="auto"/>
                <w:kern w:val="0"/>
                <w:szCs w:val="21"/>
                <w:highlight w:val="none"/>
              </w:rPr>
            </w:pPr>
          </w:p>
        </w:tc>
        <w:tc>
          <w:tcPr>
            <w:tcW w:w="850" w:type="dxa"/>
            <w:noWrap w:val="0"/>
            <w:vAlign w:val="top"/>
          </w:tcPr>
          <w:p w14:paraId="2C779C04">
            <w:pPr>
              <w:widowControl/>
              <w:ind w:firstLine="480"/>
              <w:jc w:val="right"/>
              <w:rPr>
                <w:rFonts w:ascii="宋体" w:hAnsi="宋体" w:eastAsia="宋体"/>
                <w:color w:val="auto"/>
                <w:kern w:val="0"/>
                <w:szCs w:val="21"/>
                <w:highlight w:val="none"/>
              </w:rPr>
            </w:pPr>
          </w:p>
        </w:tc>
      </w:tr>
      <w:tr w14:paraId="0EE7C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0201" w:type="dxa"/>
            <w:gridSpan w:val="14"/>
            <w:shd w:val="clear" w:color="000000" w:fill="FFFFFF"/>
            <w:noWrap w:val="0"/>
            <w:vAlign w:val="center"/>
          </w:tcPr>
          <w:p w14:paraId="56CE59F3">
            <w:pPr>
              <w:widowControl/>
              <w:rPr>
                <w:rFonts w:ascii="宋体" w:hAnsi="宋体" w:eastAsia="宋体"/>
                <w:color w:val="auto"/>
                <w:kern w:val="0"/>
                <w:szCs w:val="21"/>
                <w:highlight w:val="none"/>
                <w:u w:val="single"/>
              </w:rPr>
            </w:pPr>
            <w:r>
              <w:rPr>
                <w:rFonts w:hint="eastAsia" w:ascii="宋体" w:hAnsi="宋体" w:eastAsia="宋体"/>
                <w:color w:val="auto"/>
                <w:kern w:val="0"/>
                <w:szCs w:val="21"/>
                <w:highlight w:val="none"/>
                <w:u w:val="single"/>
              </w:rPr>
              <w:t xml:space="preserve">  </w:t>
            </w:r>
            <w:r>
              <w:rPr>
                <w:rFonts w:ascii="宋体" w:hAnsi="宋体" w:eastAsia="宋体"/>
                <w:color w:val="auto"/>
                <w:kern w:val="0"/>
                <w:szCs w:val="21"/>
                <w:highlight w:val="none"/>
                <w:u w:val="single"/>
              </w:rPr>
              <w:t xml:space="preserve">       </w:t>
            </w:r>
            <w:r>
              <w:rPr>
                <w:rFonts w:hint="eastAsia" w:ascii="宋体" w:hAnsi="宋体" w:eastAsia="宋体"/>
                <w:color w:val="auto"/>
                <w:kern w:val="0"/>
                <w:szCs w:val="21"/>
                <w:highlight w:val="none"/>
                <w:u w:val="single"/>
              </w:rPr>
              <w:t xml:space="preserve">   </w:t>
            </w:r>
            <w:r>
              <w:rPr>
                <w:rFonts w:hint="eastAsia" w:ascii="宋体" w:hAnsi="宋体" w:eastAsia="宋体"/>
                <w:color w:val="auto"/>
                <w:kern w:val="0"/>
                <w:szCs w:val="21"/>
                <w:highlight w:val="none"/>
              </w:rPr>
              <w:t>工程</w:t>
            </w:r>
          </w:p>
        </w:tc>
      </w:tr>
      <w:tr w14:paraId="3B444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jc w:val="center"/>
        </w:trPr>
        <w:tc>
          <w:tcPr>
            <w:tcW w:w="611" w:type="dxa"/>
            <w:shd w:val="clear" w:color="000000" w:fill="FFFFFF"/>
            <w:noWrap w:val="0"/>
            <w:vAlign w:val="center"/>
          </w:tcPr>
          <w:p w14:paraId="36C1A235">
            <w:pPr>
              <w:widowControl/>
              <w:rPr>
                <w:rFonts w:ascii="宋体" w:hAnsi="宋体" w:eastAsia="宋体"/>
                <w:color w:val="auto"/>
                <w:kern w:val="0"/>
                <w:szCs w:val="21"/>
                <w:highlight w:val="none"/>
              </w:rPr>
            </w:pPr>
            <w:r>
              <w:rPr>
                <w:rFonts w:hint="eastAsia" w:ascii="宋体" w:hAnsi="宋体" w:eastAsia="宋体"/>
                <w:color w:val="auto"/>
                <w:kern w:val="0"/>
                <w:szCs w:val="21"/>
                <w:highlight w:val="none"/>
              </w:rPr>
              <w:t>2</w:t>
            </w:r>
          </w:p>
        </w:tc>
        <w:tc>
          <w:tcPr>
            <w:tcW w:w="983" w:type="dxa"/>
            <w:noWrap w:val="0"/>
            <w:vAlign w:val="center"/>
          </w:tcPr>
          <w:p w14:paraId="4FEA0333">
            <w:pPr>
              <w:widowControl/>
              <w:ind w:firstLine="480"/>
              <w:jc w:val="center"/>
              <w:rPr>
                <w:rFonts w:ascii="宋体" w:hAnsi="宋体" w:eastAsia="宋体"/>
                <w:color w:val="auto"/>
                <w:kern w:val="0"/>
                <w:szCs w:val="21"/>
                <w:highlight w:val="none"/>
              </w:rPr>
            </w:pPr>
          </w:p>
        </w:tc>
        <w:tc>
          <w:tcPr>
            <w:tcW w:w="850" w:type="dxa"/>
            <w:noWrap w:val="0"/>
            <w:vAlign w:val="center"/>
          </w:tcPr>
          <w:p w14:paraId="182D0D38">
            <w:pPr>
              <w:widowControl/>
              <w:ind w:firstLine="480"/>
              <w:jc w:val="center"/>
              <w:rPr>
                <w:rFonts w:ascii="宋体" w:hAnsi="宋体" w:eastAsia="宋体"/>
                <w:color w:val="auto"/>
                <w:kern w:val="0"/>
                <w:szCs w:val="21"/>
                <w:highlight w:val="none"/>
              </w:rPr>
            </w:pPr>
          </w:p>
        </w:tc>
        <w:tc>
          <w:tcPr>
            <w:tcW w:w="709" w:type="dxa"/>
            <w:noWrap w:val="0"/>
            <w:vAlign w:val="center"/>
          </w:tcPr>
          <w:p w14:paraId="3BBC66C5">
            <w:pPr>
              <w:widowControl/>
              <w:ind w:firstLine="480"/>
              <w:jc w:val="left"/>
              <w:rPr>
                <w:rFonts w:ascii="宋体" w:hAnsi="宋体" w:eastAsia="宋体"/>
                <w:color w:val="auto"/>
                <w:kern w:val="0"/>
                <w:szCs w:val="21"/>
                <w:highlight w:val="none"/>
              </w:rPr>
            </w:pPr>
          </w:p>
        </w:tc>
        <w:tc>
          <w:tcPr>
            <w:tcW w:w="709" w:type="dxa"/>
            <w:noWrap w:val="0"/>
            <w:vAlign w:val="center"/>
          </w:tcPr>
          <w:p w14:paraId="0F6563DB">
            <w:pPr>
              <w:widowControl/>
              <w:ind w:firstLine="480"/>
              <w:jc w:val="center"/>
              <w:rPr>
                <w:rFonts w:ascii="宋体" w:hAnsi="宋体" w:eastAsia="宋体"/>
                <w:color w:val="auto"/>
                <w:kern w:val="0"/>
                <w:szCs w:val="21"/>
                <w:highlight w:val="none"/>
              </w:rPr>
            </w:pPr>
          </w:p>
        </w:tc>
        <w:tc>
          <w:tcPr>
            <w:tcW w:w="708" w:type="dxa"/>
            <w:noWrap w:val="0"/>
            <w:vAlign w:val="center"/>
          </w:tcPr>
          <w:p w14:paraId="6F85A4FF">
            <w:pPr>
              <w:widowControl/>
              <w:ind w:firstLine="480"/>
              <w:jc w:val="center"/>
              <w:rPr>
                <w:rFonts w:ascii="宋体" w:hAnsi="宋体" w:eastAsia="宋体"/>
                <w:color w:val="auto"/>
                <w:kern w:val="0"/>
                <w:szCs w:val="21"/>
                <w:highlight w:val="none"/>
              </w:rPr>
            </w:pPr>
          </w:p>
        </w:tc>
        <w:tc>
          <w:tcPr>
            <w:tcW w:w="709" w:type="dxa"/>
            <w:noWrap w:val="0"/>
            <w:vAlign w:val="center"/>
          </w:tcPr>
          <w:p w14:paraId="392C3284">
            <w:pPr>
              <w:widowControl/>
              <w:ind w:firstLine="480"/>
              <w:jc w:val="center"/>
              <w:rPr>
                <w:rFonts w:ascii="宋体" w:hAnsi="宋体" w:eastAsia="宋体"/>
                <w:color w:val="auto"/>
                <w:kern w:val="0"/>
                <w:szCs w:val="21"/>
                <w:highlight w:val="none"/>
              </w:rPr>
            </w:pPr>
          </w:p>
        </w:tc>
        <w:tc>
          <w:tcPr>
            <w:tcW w:w="709" w:type="dxa"/>
            <w:noWrap w:val="0"/>
            <w:vAlign w:val="center"/>
          </w:tcPr>
          <w:p w14:paraId="7FDE731E">
            <w:pPr>
              <w:widowControl/>
              <w:ind w:firstLine="480"/>
              <w:jc w:val="center"/>
              <w:rPr>
                <w:rFonts w:ascii="宋体" w:hAnsi="宋体" w:eastAsia="宋体"/>
                <w:color w:val="auto"/>
                <w:kern w:val="0"/>
                <w:szCs w:val="21"/>
                <w:highlight w:val="none"/>
              </w:rPr>
            </w:pPr>
          </w:p>
        </w:tc>
        <w:tc>
          <w:tcPr>
            <w:tcW w:w="386" w:type="dxa"/>
            <w:noWrap w:val="0"/>
            <w:vAlign w:val="center"/>
          </w:tcPr>
          <w:p w14:paraId="54EBC328">
            <w:pPr>
              <w:widowControl/>
              <w:ind w:firstLine="480"/>
              <w:jc w:val="center"/>
              <w:rPr>
                <w:rFonts w:ascii="宋体" w:hAnsi="宋体" w:eastAsia="宋体"/>
                <w:color w:val="auto"/>
                <w:kern w:val="0"/>
                <w:szCs w:val="21"/>
                <w:highlight w:val="none"/>
              </w:rPr>
            </w:pPr>
          </w:p>
        </w:tc>
        <w:tc>
          <w:tcPr>
            <w:tcW w:w="425" w:type="dxa"/>
            <w:noWrap w:val="0"/>
            <w:vAlign w:val="center"/>
          </w:tcPr>
          <w:p w14:paraId="30F6270E">
            <w:pPr>
              <w:widowControl/>
              <w:ind w:firstLine="480"/>
              <w:jc w:val="right"/>
              <w:rPr>
                <w:rFonts w:ascii="宋体" w:hAnsi="宋体" w:eastAsia="宋体"/>
                <w:color w:val="auto"/>
                <w:kern w:val="0"/>
                <w:szCs w:val="21"/>
                <w:highlight w:val="none"/>
              </w:rPr>
            </w:pPr>
          </w:p>
        </w:tc>
        <w:tc>
          <w:tcPr>
            <w:tcW w:w="851" w:type="dxa"/>
            <w:noWrap w:val="0"/>
            <w:vAlign w:val="top"/>
          </w:tcPr>
          <w:p w14:paraId="6AE9762B">
            <w:pPr>
              <w:widowControl/>
              <w:ind w:firstLine="480"/>
              <w:jc w:val="right"/>
              <w:rPr>
                <w:rFonts w:ascii="宋体" w:hAnsi="宋体" w:eastAsia="宋体"/>
                <w:color w:val="auto"/>
                <w:kern w:val="0"/>
                <w:szCs w:val="21"/>
                <w:highlight w:val="none"/>
              </w:rPr>
            </w:pPr>
          </w:p>
        </w:tc>
        <w:tc>
          <w:tcPr>
            <w:tcW w:w="850" w:type="dxa"/>
            <w:noWrap w:val="0"/>
            <w:vAlign w:val="top"/>
          </w:tcPr>
          <w:p w14:paraId="7820E0E0">
            <w:pPr>
              <w:widowControl/>
              <w:ind w:firstLine="480"/>
              <w:jc w:val="right"/>
              <w:rPr>
                <w:rFonts w:ascii="宋体" w:hAnsi="宋体" w:eastAsia="宋体"/>
                <w:color w:val="auto"/>
                <w:kern w:val="0"/>
                <w:szCs w:val="21"/>
                <w:highlight w:val="none"/>
              </w:rPr>
            </w:pPr>
          </w:p>
        </w:tc>
        <w:tc>
          <w:tcPr>
            <w:tcW w:w="851" w:type="dxa"/>
            <w:noWrap w:val="0"/>
            <w:vAlign w:val="top"/>
          </w:tcPr>
          <w:p w14:paraId="259C5546">
            <w:pPr>
              <w:widowControl/>
              <w:ind w:firstLine="480"/>
              <w:jc w:val="right"/>
              <w:rPr>
                <w:rFonts w:ascii="宋体" w:hAnsi="宋体" w:eastAsia="宋体"/>
                <w:color w:val="auto"/>
                <w:kern w:val="0"/>
                <w:szCs w:val="21"/>
                <w:highlight w:val="none"/>
              </w:rPr>
            </w:pPr>
          </w:p>
        </w:tc>
        <w:tc>
          <w:tcPr>
            <w:tcW w:w="850" w:type="dxa"/>
            <w:noWrap w:val="0"/>
            <w:vAlign w:val="top"/>
          </w:tcPr>
          <w:p w14:paraId="0CFCD4AE">
            <w:pPr>
              <w:widowControl/>
              <w:ind w:firstLine="480"/>
              <w:jc w:val="right"/>
              <w:rPr>
                <w:rFonts w:ascii="宋体" w:hAnsi="宋体" w:eastAsia="宋体"/>
                <w:color w:val="auto"/>
                <w:kern w:val="0"/>
                <w:szCs w:val="21"/>
                <w:highlight w:val="none"/>
              </w:rPr>
            </w:pPr>
          </w:p>
        </w:tc>
      </w:tr>
      <w:tr w14:paraId="1472F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611" w:type="dxa"/>
            <w:shd w:val="clear" w:color="000000" w:fill="FFFFFF"/>
            <w:noWrap w:val="0"/>
            <w:vAlign w:val="center"/>
          </w:tcPr>
          <w:p w14:paraId="6FB5975D">
            <w:pPr>
              <w:widowControl/>
              <w:rPr>
                <w:rFonts w:ascii="宋体" w:hAnsi="宋体" w:eastAsia="宋体"/>
                <w:color w:val="auto"/>
                <w:kern w:val="0"/>
                <w:szCs w:val="21"/>
                <w:highlight w:val="none"/>
              </w:rPr>
            </w:pPr>
            <w:r>
              <w:rPr>
                <w:rFonts w:hint="eastAsia" w:ascii="宋体" w:hAnsi="宋体" w:eastAsia="宋体"/>
                <w:color w:val="auto"/>
                <w:kern w:val="0"/>
                <w:szCs w:val="21"/>
                <w:highlight w:val="none"/>
              </w:rPr>
              <w:t>2.1</w:t>
            </w:r>
          </w:p>
        </w:tc>
        <w:tc>
          <w:tcPr>
            <w:tcW w:w="983" w:type="dxa"/>
            <w:noWrap w:val="0"/>
            <w:vAlign w:val="center"/>
          </w:tcPr>
          <w:p w14:paraId="1C0ED4BA">
            <w:pPr>
              <w:widowControl/>
              <w:ind w:firstLine="480"/>
              <w:jc w:val="center"/>
              <w:rPr>
                <w:rFonts w:ascii="宋体" w:hAnsi="宋体" w:eastAsia="宋体"/>
                <w:color w:val="auto"/>
                <w:kern w:val="0"/>
                <w:szCs w:val="21"/>
                <w:highlight w:val="none"/>
              </w:rPr>
            </w:pPr>
          </w:p>
        </w:tc>
        <w:tc>
          <w:tcPr>
            <w:tcW w:w="850" w:type="dxa"/>
            <w:noWrap w:val="0"/>
            <w:vAlign w:val="center"/>
          </w:tcPr>
          <w:p w14:paraId="17E93806">
            <w:pPr>
              <w:widowControl/>
              <w:ind w:firstLine="480"/>
              <w:jc w:val="center"/>
              <w:rPr>
                <w:rFonts w:ascii="宋体" w:hAnsi="宋体" w:eastAsia="宋体"/>
                <w:color w:val="auto"/>
                <w:kern w:val="0"/>
                <w:szCs w:val="21"/>
                <w:highlight w:val="none"/>
              </w:rPr>
            </w:pPr>
          </w:p>
        </w:tc>
        <w:tc>
          <w:tcPr>
            <w:tcW w:w="709" w:type="dxa"/>
            <w:noWrap w:val="0"/>
            <w:vAlign w:val="center"/>
          </w:tcPr>
          <w:p w14:paraId="1E0A8FA1">
            <w:pPr>
              <w:widowControl/>
              <w:ind w:firstLine="480"/>
              <w:jc w:val="center"/>
              <w:rPr>
                <w:rFonts w:ascii="宋体" w:hAnsi="宋体" w:eastAsia="宋体"/>
                <w:color w:val="auto"/>
                <w:kern w:val="0"/>
                <w:szCs w:val="21"/>
                <w:highlight w:val="none"/>
              </w:rPr>
            </w:pPr>
          </w:p>
        </w:tc>
        <w:tc>
          <w:tcPr>
            <w:tcW w:w="709" w:type="dxa"/>
            <w:noWrap w:val="0"/>
            <w:vAlign w:val="center"/>
          </w:tcPr>
          <w:p w14:paraId="4513D622">
            <w:pPr>
              <w:widowControl/>
              <w:ind w:firstLine="480"/>
              <w:jc w:val="left"/>
              <w:rPr>
                <w:rFonts w:ascii="宋体" w:hAnsi="宋体" w:eastAsia="宋体"/>
                <w:color w:val="auto"/>
                <w:kern w:val="0"/>
                <w:szCs w:val="21"/>
                <w:highlight w:val="none"/>
              </w:rPr>
            </w:pPr>
          </w:p>
        </w:tc>
        <w:tc>
          <w:tcPr>
            <w:tcW w:w="708" w:type="dxa"/>
            <w:noWrap w:val="0"/>
            <w:vAlign w:val="center"/>
          </w:tcPr>
          <w:p w14:paraId="22A21CD6">
            <w:pPr>
              <w:widowControl/>
              <w:ind w:firstLine="480"/>
              <w:jc w:val="left"/>
              <w:rPr>
                <w:rFonts w:ascii="宋体" w:hAnsi="宋体" w:eastAsia="宋体"/>
                <w:color w:val="auto"/>
                <w:kern w:val="0"/>
                <w:szCs w:val="21"/>
                <w:highlight w:val="none"/>
              </w:rPr>
            </w:pPr>
          </w:p>
        </w:tc>
        <w:tc>
          <w:tcPr>
            <w:tcW w:w="709" w:type="dxa"/>
            <w:noWrap w:val="0"/>
            <w:vAlign w:val="center"/>
          </w:tcPr>
          <w:p w14:paraId="0B43F92F">
            <w:pPr>
              <w:widowControl/>
              <w:ind w:firstLine="480"/>
              <w:jc w:val="left"/>
              <w:rPr>
                <w:rFonts w:ascii="宋体" w:hAnsi="宋体" w:eastAsia="宋体"/>
                <w:color w:val="auto"/>
                <w:kern w:val="0"/>
                <w:szCs w:val="21"/>
                <w:highlight w:val="none"/>
              </w:rPr>
            </w:pPr>
          </w:p>
        </w:tc>
        <w:tc>
          <w:tcPr>
            <w:tcW w:w="709" w:type="dxa"/>
            <w:noWrap w:val="0"/>
            <w:vAlign w:val="center"/>
          </w:tcPr>
          <w:p w14:paraId="2D512B13">
            <w:pPr>
              <w:widowControl/>
              <w:ind w:firstLine="480"/>
              <w:jc w:val="left"/>
              <w:rPr>
                <w:rFonts w:ascii="宋体" w:hAnsi="宋体" w:eastAsia="宋体"/>
                <w:color w:val="auto"/>
                <w:kern w:val="0"/>
                <w:szCs w:val="21"/>
                <w:highlight w:val="none"/>
              </w:rPr>
            </w:pPr>
          </w:p>
        </w:tc>
        <w:tc>
          <w:tcPr>
            <w:tcW w:w="386" w:type="dxa"/>
            <w:noWrap w:val="0"/>
            <w:vAlign w:val="center"/>
          </w:tcPr>
          <w:p w14:paraId="62D16EDF">
            <w:pPr>
              <w:widowControl/>
              <w:ind w:firstLine="480"/>
              <w:jc w:val="center"/>
              <w:rPr>
                <w:rFonts w:ascii="宋体" w:hAnsi="宋体" w:eastAsia="宋体"/>
                <w:color w:val="auto"/>
                <w:kern w:val="0"/>
                <w:szCs w:val="21"/>
                <w:highlight w:val="none"/>
              </w:rPr>
            </w:pPr>
          </w:p>
        </w:tc>
        <w:tc>
          <w:tcPr>
            <w:tcW w:w="425" w:type="dxa"/>
            <w:noWrap w:val="0"/>
            <w:vAlign w:val="center"/>
          </w:tcPr>
          <w:p w14:paraId="3D644FD9">
            <w:pPr>
              <w:widowControl/>
              <w:ind w:firstLine="480"/>
              <w:jc w:val="right"/>
              <w:rPr>
                <w:rFonts w:ascii="宋体" w:hAnsi="宋体" w:eastAsia="宋体"/>
                <w:color w:val="auto"/>
                <w:kern w:val="0"/>
                <w:szCs w:val="21"/>
                <w:highlight w:val="none"/>
              </w:rPr>
            </w:pPr>
          </w:p>
        </w:tc>
        <w:tc>
          <w:tcPr>
            <w:tcW w:w="851" w:type="dxa"/>
            <w:noWrap w:val="0"/>
            <w:vAlign w:val="top"/>
          </w:tcPr>
          <w:p w14:paraId="2BCA3EDD">
            <w:pPr>
              <w:widowControl/>
              <w:ind w:firstLine="480"/>
              <w:jc w:val="right"/>
              <w:rPr>
                <w:rFonts w:ascii="宋体" w:hAnsi="宋体" w:eastAsia="宋体"/>
                <w:color w:val="auto"/>
                <w:kern w:val="0"/>
                <w:szCs w:val="21"/>
                <w:highlight w:val="none"/>
              </w:rPr>
            </w:pPr>
          </w:p>
        </w:tc>
        <w:tc>
          <w:tcPr>
            <w:tcW w:w="850" w:type="dxa"/>
            <w:noWrap w:val="0"/>
            <w:vAlign w:val="top"/>
          </w:tcPr>
          <w:p w14:paraId="7DB9D067">
            <w:pPr>
              <w:widowControl/>
              <w:ind w:firstLine="480"/>
              <w:jc w:val="right"/>
              <w:rPr>
                <w:rFonts w:ascii="宋体" w:hAnsi="宋体" w:eastAsia="宋体"/>
                <w:color w:val="auto"/>
                <w:kern w:val="0"/>
                <w:szCs w:val="21"/>
                <w:highlight w:val="none"/>
              </w:rPr>
            </w:pPr>
          </w:p>
        </w:tc>
        <w:tc>
          <w:tcPr>
            <w:tcW w:w="851" w:type="dxa"/>
            <w:noWrap w:val="0"/>
            <w:vAlign w:val="top"/>
          </w:tcPr>
          <w:p w14:paraId="108244F9">
            <w:pPr>
              <w:widowControl/>
              <w:ind w:firstLine="480"/>
              <w:jc w:val="right"/>
              <w:rPr>
                <w:rFonts w:ascii="宋体" w:hAnsi="宋体" w:eastAsia="宋体"/>
                <w:color w:val="auto"/>
                <w:kern w:val="0"/>
                <w:szCs w:val="21"/>
                <w:highlight w:val="none"/>
              </w:rPr>
            </w:pPr>
          </w:p>
        </w:tc>
        <w:tc>
          <w:tcPr>
            <w:tcW w:w="850" w:type="dxa"/>
            <w:noWrap w:val="0"/>
            <w:vAlign w:val="top"/>
          </w:tcPr>
          <w:p w14:paraId="08D20A47">
            <w:pPr>
              <w:widowControl/>
              <w:ind w:firstLine="480"/>
              <w:jc w:val="right"/>
              <w:rPr>
                <w:rFonts w:ascii="宋体" w:hAnsi="宋体" w:eastAsia="宋体"/>
                <w:color w:val="auto"/>
                <w:kern w:val="0"/>
                <w:szCs w:val="21"/>
                <w:highlight w:val="none"/>
              </w:rPr>
            </w:pPr>
          </w:p>
        </w:tc>
      </w:tr>
      <w:tr w14:paraId="0B6A7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11" w:type="dxa"/>
            <w:shd w:val="clear" w:color="000000" w:fill="FFFFFF"/>
            <w:noWrap w:val="0"/>
            <w:vAlign w:val="center"/>
          </w:tcPr>
          <w:p w14:paraId="1364CFC4">
            <w:pPr>
              <w:widowControl/>
              <w:rPr>
                <w:rFonts w:ascii="宋体" w:hAnsi="宋体" w:eastAsia="宋体"/>
                <w:color w:val="auto"/>
                <w:kern w:val="0"/>
                <w:szCs w:val="21"/>
                <w:highlight w:val="none"/>
              </w:rPr>
            </w:pPr>
            <w:r>
              <w:rPr>
                <w:rFonts w:hint="eastAsia" w:ascii="宋体" w:hAnsi="宋体" w:eastAsia="宋体"/>
                <w:color w:val="auto"/>
                <w:kern w:val="0"/>
                <w:szCs w:val="21"/>
                <w:highlight w:val="none"/>
              </w:rPr>
              <w:t>2.2</w:t>
            </w:r>
          </w:p>
        </w:tc>
        <w:tc>
          <w:tcPr>
            <w:tcW w:w="983" w:type="dxa"/>
            <w:noWrap w:val="0"/>
            <w:vAlign w:val="center"/>
          </w:tcPr>
          <w:p w14:paraId="522D30CD">
            <w:pPr>
              <w:widowControl/>
              <w:ind w:firstLine="480"/>
              <w:jc w:val="center"/>
              <w:rPr>
                <w:rFonts w:ascii="宋体" w:hAnsi="宋体" w:eastAsia="宋体"/>
                <w:color w:val="auto"/>
                <w:kern w:val="0"/>
                <w:szCs w:val="21"/>
                <w:highlight w:val="none"/>
              </w:rPr>
            </w:pPr>
          </w:p>
        </w:tc>
        <w:tc>
          <w:tcPr>
            <w:tcW w:w="850" w:type="dxa"/>
            <w:noWrap w:val="0"/>
            <w:vAlign w:val="center"/>
          </w:tcPr>
          <w:p w14:paraId="39FE2189">
            <w:pPr>
              <w:widowControl/>
              <w:ind w:firstLine="480"/>
              <w:jc w:val="center"/>
              <w:rPr>
                <w:rFonts w:ascii="宋体" w:hAnsi="宋体" w:eastAsia="宋体"/>
                <w:color w:val="auto"/>
                <w:kern w:val="0"/>
                <w:szCs w:val="21"/>
                <w:highlight w:val="none"/>
              </w:rPr>
            </w:pPr>
          </w:p>
        </w:tc>
        <w:tc>
          <w:tcPr>
            <w:tcW w:w="709" w:type="dxa"/>
            <w:noWrap w:val="0"/>
            <w:vAlign w:val="center"/>
          </w:tcPr>
          <w:p w14:paraId="20E60AC1">
            <w:pPr>
              <w:widowControl/>
              <w:ind w:firstLine="480"/>
              <w:jc w:val="center"/>
              <w:rPr>
                <w:rFonts w:ascii="宋体" w:hAnsi="宋体" w:eastAsia="宋体"/>
                <w:color w:val="auto"/>
                <w:kern w:val="0"/>
                <w:szCs w:val="21"/>
                <w:highlight w:val="none"/>
              </w:rPr>
            </w:pPr>
          </w:p>
        </w:tc>
        <w:tc>
          <w:tcPr>
            <w:tcW w:w="709" w:type="dxa"/>
            <w:noWrap w:val="0"/>
            <w:vAlign w:val="center"/>
          </w:tcPr>
          <w:p w14:paraId="0426115E">
            <w:pPr>
              <w:widowControl/>
              <w:ind w:firstLine="480"/>
              <w:jc w:val="left"/>
              <w:rPr>
                <w:rFonts w:ascii="宋体" w:hAnsi="宋体" w:eastAsia="宋体"/>
                <w:color w:val="auto"/>
                <w:kern w:val="0"/>
                <w:szCs w:val="21"/>
                <w:highlight w:val="none"/>
              </w:rPr>
            </w:pPr>
          </w:p>
        </w:tc>
        <w:tc>
          <w:tcPr>
            <w:tcW w:w="708" w:type="dxa"/>
            <w:noWrap w:val="0"/>
            <w:vAlign w:val="center"/>
          </w:tcPr>
          <w:p w14:paraId="78B8BB31">
            <w:pPr>
              <w:widowControl/>
              <w:ind w:firstLine="480"/>
              <w:jc w:val="left"/>
              <w:rPr>
                <w:rFonts w:ascii="宋体" w:hAnsi="宋体" w:eastAsia="宋体"/>
                <w:color w:val="auto"/>
                <w:kern w:val="0"/>
                <w:szCs w:val="21"/>
                <w:highlight w:val="none"/>
              </w:rPr>
            </w:pPr>
          </w:p>
        </w:tc>
        <w:tc>
          <w:tcPr>
            <w:tcW w:w="709" w:type="dxa"/>
            <w:noWrap w:val="0"/>
            <w:vAlign w:val="center"/>
          </w:tcPr>
          <w:p w14:paraId="4FFC1DD3">
            <w:pPr>
              <w:widowControl/>
              <w:ind w:firstLine="480"/>
              <w:jc w:val="left"/>
              <w:rPr>
                <w:rFonts w:ascii="宋体" w:hAnsi="宋体" w:eastAsia="宋体"/>
                <w:color w:val="auto"/>
                <w:kern w:val="0"/>
                <w:szCs w:val="21"/>
                <w:highlight w:val="none"/>
              </w:rPr>
            </w:pPr>
          </w:p>
        </w:tc>
        <w:tc>
          <w:tcPr>
            <w:tcW w:w="709" w:type="dxa"/>
            <w:noWrap w:val="0"/>
            <w:vAlign w:val="center"/>
          </w:tcPr>
          <w:p w14:paraId="5470DEAF">
            <w:pPr>
              <w:widowControl/>
              <w:ind w:firstLine="480"/>
              <w:jc w:val="left"/>
              <w:rPr>
                <w:rFonts w:ascii="宋体" w:hAnsi="宋体" w:eastAsia="宋体"/>
                <w:color w:val="auto"/>
                <w:kern w:val="0"/>
                <w:szCs w:val="21"/>
                <w:highlight w:val="none"/>
              </w:rPr>
            </w:pPr>
          </w:p>
        </w:tc>
        <w:tc>
          <w:tcPr>
            <w:tcW w:w="386" w:type="dxa"/>
            <w:noWrap w:val="0"/>
            <w:vAlign w:val="center"/>
          </w:tcPr>
          <w:p w14:paraId="51F1445F">
            <w:pPr>
              <w:widowControl/>
              <w:ind w:firstLine="480"/>
              <w:jc w:val="center"/>
              <w:rPr>
                <w:rFonts w:ascii="宋体" w:hAnsi="宋体" w:eastAsia="宋体"/>
                <w:color w:val="auto"/>
                <w:kern w:val="0"/>
                <w:szCs w:val="21"/>
                <w:highlight w:val="none"/>
              </w:rPr>
            </w:pPr>
          </w:p>
        </w:tc>
        <w:tc>
          <w:tcPr>
            <w:tcW w:w="425" w:type="dxa"/>
            <w:noWrap w:val="0"/>
            <w:vAlign w:val="center"/>
          </w:tcPr>
          <w:p w14:paraId="201713F6">
            <w:pPr>
              <w:widowControl/>
              <w:ind w:firstLine="480"/>
              <w:jc w:val="right"/>
              <w:rPr>
                <w:rFonts w:ascii="宋体" w:hAnsi="宋体" w:eastAsia="宋体"/>
                <w:color w:val="auto"/>
                <w:kern w:val="0"/>
                <w:szCs w:val="21"/>
                <w:highlight w:val="none"/>
              </w:rPr>
            </w:pPr>
          </w:p>
        </w:tc>
        <w:tc>
          <w:tcPr>
            <w:tcW w:w="851" w:type="dxa"/>
            <w:noWrap w:val="0"/>
            <w:vAlign w:val="top"/>
          </w:tcPr>
          <w:p w14:paraId="31309DE0">
            <w:pPr>
              <w:widowControl/>
              <w:ind w:firstLine="480"/>
              <w:jc w:val="right"/>
              <w:rPr>
                <w:rFonts w:ascii="宋体" w:hAnsi="宋体" w:eastAsia="宋体"/>
                <w:color w:val="auto"/>
                <w:kern w:val="0"/>
                <w:szCs w:val="21"/>
                <w:highlight w:val="none"/>
              </w:rPr>
            </w:pPr>
          </w:p>
        </w:tc>
        <w:tc>
          <w:tcPr>
            <w:tcW w:w="850" w:type="dxa"/>
            <w:noWrap w:val="0"/>
            <w:vAlign w:val="top"/>
          </w:tcPr>
          <w:p w14:paraId="5C6C5CF6">
            <w:pPr>
              <w:widowControl/>
              <w:ind w:firstLine="480"/>
              <w:jc w:val="right"/>
              <w:rPr>
                <w:rFonts w:ascii="宋体" w:hAnsi="宋体" w:eastAsia="宋体"/>
                <w:color w:val="auto"/>
                <w:kern w:val="0"/>
                <w:szCs w:val="21"/>
                <w:highlight w:val="none"/>
              </w:rPr>
            </w:pPr>
          </w:p>
        </w:tc>
        <w:tc>
          <w:tcPr>
            <w:tcW w:w="851" w:type="dxa"/>
            <w:noWrap w:val="0"/>
            <w:vAlign w:val="top"/>
          </w:tcPr>
          <w:p w14:paraId="53B8FF3D">
            <w:pPr>
              <w:widowControl/>
              <w:ind w:firstLine="480"/>
              <w:jc w:val="right"/>
              <w:rPr>
                <w:rFonts w:ascii="宋体" w:hAnsi="宋体" w:eastAsia="宋体"/>
                <w:color w:val="auto"/>
                <w:kern w:val="0"/>
                <w:szCs w:val="21"/>
                <w:highlight w:val="none"/>
              </w:rPr>
            </w:pPr>
          </w:p>
        </w:tc>
        <w:tc>
          <w:tcPr>
            <w:tcW w:w="850" w:type="dxa"/>
            <w:noWrap w:val="0"/>
            <w:vAlign w:val="top"/>
          </w:tcPr>
          <w:p w14:paraId="543374C2">
            <w:pPr>
              <w:widowControl/>
              <w:ind w:firstLine="480"/>
              <w:jc w:val="right"/>
              <w:rPr>
                <w:rFonts w:ascii="宋体" w:hAnsi="宋体" w:eastAsia="宋体"/>
                <w:color w:val="auto"/>
                <w:kern w:val="0"/>
                <w:szCs w:val="21"/>
                <w:highlight w:val="none"/>
              </w:rPr>
            </w:pPr>
          </w:p>
        </w:tc>
      </w:tr>
      <w:tr w14:paraId="29116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611" w:type="dxa"/>
            <w:shd w:val="clear" w:color="000000" w:fill="FFFFFF"/>
            <w:noWrap w:val="0"/>
            <w:vAlign w:val="center"/>
          </w:tcPr>
          <w:p w14:paraId="6DBCC2D9">
            <w:pPr>
              <w:widowControl/>
              <w:rPr>
                <w:rFonts w:ascii="宋体" w:hAnsi="宋体" w:eastAsia="宋体"/>
                <w:color w:val="auto"/>
                <w:kern w:val="0"/>
                <w:szCs w:val="21"/>
                <w:highlight w:val="none"/>
              </w:rPr>
            </w:pPr>
            <w:r>
              <w:rPr>
                <w:rFonts w:hint="eastAsia" w:ascii="宋体" w:hAnsi="宋体" w:eastAsia="宋体"/>
                <w:color w:val="auto"/>
                <w:kern w:val="0"/>
                <w:szCs w:val="21"/>
                <w:highlight w:val="none"/>
              </w:rPr>
              <w:t>…</w:t>
            </w:r>
          </w:p>
        </w:tc>
        <w:tc>
          <w:tcPr>
            <w:tcW w:w="983" w:type="dxa"/>
            <w:noWrap w:val="0"/>
            <w:vAlign w:val="center"/>
          </w:tcPr>
          <w:p w14:paraId="26D8362E">
            <w:pPr>
              <w:widowControl/>
              <w:ind w:firstLine="480"/>
              <w:jc w:val="center"/>
              <w:rPr>
                <w:rFonts w:ascii="宋体" w:hAnsi="宋体" w:eastAsia="宋体"/>
                <w:color w:val="auto"/>
                <w:kern w:val="0"/>
                <w:szCs w:val="21"/>
                <w:highlight w:val="none"/>
              </w:rPr>
            </w:pPr>
          </w:p>
        </w:tc>
        <w:tc>
          <w:tcPr>
            <w:tcW w:w="850" w:type="dxa"/>
            <w:noWrap w:val="0"/>
            <w:vAlign w:val="center"/>
          </w:tcPr>
          <w:p w14:paraId="29D397DF">
            <w:pPr>
              <w:widowControl/>
              <w:ind w:firstLine="480"/>
              <w:jc w:val="center"/>
              <w:rPr>
                <w:rFonts w:ascii="宋体" w:hAnsi="宋体" w:eastAsia="宋体"/>
                <w:color w:val="auto"/>
                <w:kern w:val="0"/>
                <w:szCs w:val="21"/>
                <w:highlight w:val="none"/>
              </w:rPr>
            </w:pPr>
          </w:p>
        </w:tc>
        <w:tc>
          <w:tcPr>
            <w:tcW w:w="709" w:type="dxa"/>
            <w:noWrap w:val="0"/>
            <w:vAlign w:val="center"/>
          </w:tcPr>
          <w:p w14:paraId="408592C8">
            <w:pPr>
              <w:widowControl/>
              <w:ind w:firstLine="480"/>
              <w:jc w:val="center"/>
              <w:rPr>
                <w:rFonts w:ascii="宋体" w:hAnsi="宋体" w:eastAsia="宋体"/>
                <w:color w:val="auto"/>
                <w:kern w:val="0"/>
                <w:szCs w:val="21"/>
                <w:highlight w:val="none"/>
              </w:rPr>
            </w:pPr>
          </w:p>
        </w:tc>
        <w:tc>
          <w:tcPr>
            <w:tcW w:w="709" w:type="dxa"/>
            <w:noWrap w:val="0"/>
            <w:vAlign w:val="center"/>
          </w:tcPr>
          <w:p w14:paraId="6688B158">
            <w:pPr>
              <w:widowControl/>
              <w:ind w:firstLine="480"/>
              <w:jc w:val="left"/>
              <w:rPr>
                <w:rFonts w:ascii="宋体" w:hAnsi="宋体" w:eastAsia="宋体"/>
                <w:color w:val="auto"/>
                <w:kern w:val="0"/>
                <w:szCs w:val="21"/>
                <w:highlight w:val="none"/>
              </w:rPr>
            </w:pPr>
          </w:p>
        </w:tc>
        <w:tc>
          <w:tcPr>
            <w:tcW w:w="708" w:type="dxa"/>
            <w:noWrap w:val="0"/>
            <w:vAlign w:val="center"/>
          </w:tcPr>
          <w:p w14:paraId="74C864C8">
            <w:pPr>
              <w:widowControl/>
              <w:ind w:firstLine="480"/>
              <w:jc w:val="left"/>
              <w:rPr>
                <w:rFonts w:ascii="宋体" w:hAnsi="宋体" w:eastAsia="宋体"/>
                <w:color w:val="auto"/>
                <w:kern w:val="0"/>
                <w:szCs w:val="21"/>
                <w:highlight w:val="none"/>
              </w:rPr>
            </w:pPr>
          </w:p>
        </w:tc>
        <w:tc>
          <w:tcPr>
            <w:tcW w:w="709" w:type="dxa"/>
            <w:noWrap w:val="0"/>
            <w:vAlign w:val="center"/>
          </w:tcPr>
          <w:p w14:paraId="45CC4B1F">
            <w:pPr>
              <w:widowControl/>
              <w:ind w:firstLine="480"/>
              <w:jc w:val="left"/>
              <w:rPr>
                <w:rFonts w:ascii="宋体" w:hAnsi="宋体" w:eastAsia="宋体"/>
                <w:color w:val="auto"/>
                <w:kern w:val="0"/>
                <w:szCs w:val="21"/>
                <w:highlight w:val="none"/>
              </w:rPr>
            </w:pPr>
          </w:p>
        </w:tc>
        <w:tc>
          <w:tcPr>
            <w:tcW w:w="709" w:type="dxa"/>
            <w:noWrap w:val="0"/>
            <w:vAlign w:val="center"/>
          </w:tcPr>
          <w:p w14:paraId="1FFF004E">
            <w:pPr>
              <w:widowControl/>
              <w:ind w:firstLine="480"/>
              <w:jc w:val="left"/>
              <w:rPr>
                <w:rFonts w:ascii="宋体" w:hAnsi="宋体" w:eastAsia="宋体"/>
                <w:color w:val="auto"/>
                <w:kern w:val="0"/>
                <w:szCs w:val="21"/>
                <w:highlight w:val="none"/>
              </w:rPr>
            </w:pPr>
          </w:p>
        </w:tc>
        <w:tc>
          <w:tcPr>
            <w:tcW w:w="386" w:type="dxa"/>
            <w:noWrap w:val="0"/>
            <w:vAlign w:val="center"/>
          </w:tcPr>
          <w:p w14:paraId="70E3047A">
            <w:pPr>
              <w:widowControl/>
              <w:ind w:firstLine="480"/>
              <w:jc w:val="center"/>
              <w:rPr>
                <w:rFonts w:ascii="宋体" w:hAnsi="宋体" w:eastAsia="宋体"/>
                <w:color w:val="auto"/>
                <w:kern w:val="0"/>
                <w:szCs w:val="21"/>
                <w:highlight w:val="none"/>
              </w:rPr>
            </w:pPr>
          </w:p>
        </w:tc>
        <w:tc>
          <w:tcPr>
            <w:tcW w:w="425" w:type="dxa"/>
            <w:noWrap w:val="0"/>
            <w:vAlign w:val="center"/>
          </w:tcPr>
          <w:p w14:paraId="0C858F35">
            <w:pPr>
              <w:widowControl/>
              <w:ind w:firstLine="480"/>
              <w:jc w:val="right"/>
              <w:rPr>
                <w:rFonts w:ascii="宋体" w:hAnsi="宋体" w:eastAsia="宋体"/>
                <w:color w:val="auto"/>
                <w:kern w:val="0"/>
                <w:szCs w:val="21"/>
                <w:highlight w:val="none"/>
              </w:rPr>
            </w:pPr>
          </w:p>
        </w:tc>
        <w:tc>
          <w:tcPr>
            <w:tcW w:w="851" w:type="dxa"/>
            <w:noWrap w:val="0"/>
            <w:vAlign w:val="top"/>
          </w:tcPr>
          <w:p w14:paraId="2CE2923A">
            <w:pPr>
              <w:widowControl/>
              <w:ind w:firstLine="480"/>
              <w:jc w:val="right"/>
              <w:rPr>
                <w:rFonts w:ascii="宋体" w:hAnsi="宋体" w:eastAsia="宋体"/>
                <w:color w:val="auto"/>
                <w:kern w:val="0"/>
                <w:szCs w:val="21"/>
                <w:highlight w:val="none"/>
              </w:rPr>
            </w:pPr>
          </w:p>
        </w:tc>
        <w:tc>
          <w:tcPr>
            <w:tcW w:w="850" w:type="dxa"/>
            <w:noWrap w:val="0"/>
            <w:vAlign w:val="top"/>
          </w:tcPr>
          <w:p w14:paraId="66401747">
            <w:pPr>
              <w:widowControl/>
              <w:ind w:firstLine="480"/>
              <w:jc w:val="right"/>
              <w:rPr>
                <w:rFonts w:ascii="宋体" w:hAnsi="宋体" w:eastAsia="宋体"/>
                <w:color w:val="auto"/>
                <w:kern w:val="0"/>
                <w:szCs w:val="21"/>
                <w:highlight w:val="none"/>
              </w:rPr>
            </w:pPr>
          </w:p>
        </w:tc>
        <w:tc>
          <w:tcPr>
            <w:tcW w:w="851" w:type="dxa"/>
            <w:noWrap w:val="0"/>
            <w:vAlign w:val="top"/>
          </w:tcPr>
          <w:p w14:paraId="30422B57">
            <w:pPr>
              <w:widowControl/>
              <w:ind w:firstLine="480"/>
              <w:jc w:val="right"/>
              <w:rPr>
                <w:rFonts w:ascii="宋体" w:hAnsi="宋体" w:eastAsia="宋体"/>
                <w:color w:val="auto"/>
                <w:kern w:val="0"/>
                <w:szCs w:val="21"/>
                <w:highlight w:val="none"/>
              </w:rPr>
            </w:pPr>
          </w:p>
        </w:tc>
        <w:tc>
          <w:tcPr>
            <w:tcW w:w="850" w:type="dxa"/>
            <w:noWrap w:val="0"/>
            <w:vAlign w:val="top"/>
          </w:tcPr>
          <w:p w14:paraId="59B93867">
            <w:pPr>
              <w:widowControl/>
              <w:ind w:firstLine="480"/>
              <w:jc w:val="right"/>
              <w:rPr>
                <w:rFonts w:ascii="宋体" w:hAnsi="宋体" w:eastAsia="宋体"/>
                <w:color w:val="auto"/>
                <w:kern w:val="0"/>
                <w:szCs w:val="21"/>
                <w:highlight w:val="none"/>
              </w:rPr>
            </w:pPr>
          </w:p>
        </w:tc>
      </w:tr>
    </w:tbl>
    <w:p w14:paraId="15607A9F">
      <w:pPr>
        <w:ind w:firstLine="480"/>
        <w:rPr>
          <w:rFonts w:ascii="等线" w:hAnsi="等线"/>
          <w:color w:val="auto"/>
          <w:highlight w:val="none"/>
        </w:rPr>
      </w:pPr>
    </w:p>
    <w:p w14:paraId="16C9B581">
      <w:pPr>
        <w:ind w:firstLine="570"/>
        <w:rPr>
          <w:rFonts w:ascii="宋体" w:hAnsi="宋体"/>
          <w:color w:val="auto"/>
          <w:highlight w:val="none"/>
        </w:rPr>
      </w:pPr>
    </w:p>
    <w:p w14:paraId="366DA596">
      <w:pPr>
        <w:ind w:firstLine="570"/>
        <w:rPr>
          <w:rFonts w:ascii="宋体" w:hAnsi="宋体"/>
          <w:color w:val="auto"/>
          <w:highlight w:val="none"/>
        </w:rPr>
      </w:pPr>
    </w:p>
    <w:p w14:paraId="75CF7B9E">
      <w:pPr>
        <w:ind w:firstLine="570"/>
        <w:rPr>
          <w:rFonts w:ascii="宋体" w:hAnsi="宋体"/>
          <w:color w:val="auto"/>
          <w:highlight w:val="none"/>
        </w:rPr>
      </w:pPr>
    </w:p>
    <w:p w14:paraId="28A9FD9B">
      <w:pPr>
        <w:ind w:firstLine="570"/>
        <w:rPr>
          <w:rFonts w:ascii="宋体" w:hAnsi="宋体"/>
          <w:color w:val="auto"/>
          <w:highlight w:val="none"/>
        </w:rPr>
      </w:pPr>
    </w:p>
    <w:p w14:paraId="4FC03872">
      <w:pPr>
        <w:ind w:firstLine="570"/>
        <w:rPr>
          <w:rFonts w:ascii="宋体" w:hAnsi="宋体"/>
          <w:color w:val="auto"/>
          <w:highlight w:val="none"/>
        </w:rPr>
      </w:pPr>
    </w:p>
    <w:p w14:paraId="42A26752">
      <w:pPr>
        <w:ind w:firstLine="570"/>
        <w:rPr>
          <w:rFonts w:ascii="宋体" w:hAnsi="宋体"/>
          <w:color w:val="auto"/>
          <w:highlight w:val="none"/>
        </w:rPr>
      </w:pPr>
    </w:p>
    <w:p w14:paraId="0C0F1E81">
      <w:pPr>
        <w:ind w:firstLine="570"/>
        <w:rPr>
          <w:rFonts w:ascii="宋体" w:hAnsi="宋体"/>
          <w:color w:val="auto"/>
          <w:highlight w:val="none"/>
        </w:rPr>
      </w:pPr>
    </w:p>
    <w:p w14:paraId="04A57410">
      <w:pPr>
        <w:ind w:firstLine="570"/>
        <w:rPr>
          <w:rFonts w:ascii="宋体" w:hAnsi="宋体"/>
          <w:color w:val="auto"/>
          <w:highlight w:val="none"/>
        </w:rPr>
      </w:pPr>
    </w:p>
    <w:p w14:paraId="55C728EB">
      <w:pPr>
        <w:ind w:firstLine="570"/>
        <w:rPr>
          <w:rFonts w:ascii="宋体" w:hAnsi="宋体"/>
          <w:color w:val="auto"/>
          <w:highlight w:val="none"/>
        </w:rPr>
      </w:pPr>
    </w:p>
    <w:p w14:paraId="098D8F35">
      <w:pPr>
        <w:ind w:firstLine="570"/>
        <w:rPr>
          <w:rFonts w:ascii="宋体" w:hAnsi="宋体"/>
          <w:color w:val="auto"/>
          <w:highlight w:val="none"/>
        </w:rPr>
      </w:pPr>
    </w:p>
    <w:p w14:paraId="772AD3D6">
      <w:pPr>
        <w:ind w:firstLine="570"/>
        <w:rPr>
          <w:rFonts w:ascii="宋体" w:hAnsi="宋体"/>
          <w:color w:val="auto"/>
          <w:highlight w:val="none"/>
        </w:rPr>
      </w:pPr>
    </w:p>
    <w:p w14:paraId="17187FD7">
      <w:pPr>
        <w:ind w:firstLine="570"/>
        <w:rPr>
          <w:rFonts w:ascii="宋体" w:hAnsi="宋体"/>
          <w:color w:val="auto"/>
          <w:highlight w:val="none"/>
        </w:rPr>
      </w:pPr>
    </w:p>
    <w:p w14:paraId="6D044AD4">
      <w:pPr>
        <w:ind w:firstLine="570"/>
        <w:rPr>
          <w:rFonts w:ascii="宋体" w:hAnsi="宋体"/>
          <w:color w:val="auto"/>
          <w:highlight w:val="none"/>
        </w:rPr>
      </w:pPr>
    </w:p>
    <w:p w14:paraId="0D561953">
      <w:pPr>
        <w:ind w:firstLine="570"/>
        <w:rPr>
          <w:rFonts w:ascii="宋体" w:hAnsi="宋体"/>
          <w:color w:val="auto"/>
          <w:highlight w:val="none"/>
        </w:rPr>
      </w:pPr>
    </w:p>
    <w:p w14:paraId="4FD7F881">
      <w:pPr>
        <w:ind w:firstLine="570"/>
        <w:rPr>
          <w:rFonts w:ascii="宋体" w:hAnsi="宋体"/>
          <w:color w:val="auto"/>
          <w:highlight w:val="none"/>
        </w:rPr>
      </w:pPr>
    </w:p>
    <w:p w14:paraId="1250F1AC">
      <w:pPr>
        <w:ind w:firstLine="570"/>
        <w:rPr>
          <w:rFonts w:ascii="宋体" w:hAnsi="宋体"/>
          <w:color w:val="auto"/>
          <w:highlight w:val="none"/>
        </w:rPr>
      </w:pPr>
    </w:p>
    <w:p w14:paraId="1102DAA6">
      <w:pPr>
        <w:ind w:firstLine="570"/>
        <w:rPr>
          <w:rFonts w:ascii="宋体" w:hAnsi="宋体"/>
          <w:color w:val="auto"/>
          <w:highlight w:val="none"/>
        </w:rPr>
      </w:pPr>
    </w:p>
    <w:p w14:paraId="348FFBA1">
      <w:pPr>
        <w:ind w:firstLine="570"/>
        <w:rPr>
          <w:rFonts w:ascii="宋体" w:hAnsi="宋体"/>
          <w:color w:val="auto"/>
          <w:highlight w:val="none"/>
        </w:rPr>
      </w:pPr>
    </w:p>
    <w:p w14:paraId="5BC8FEB0">
      <w:pPr>
        <w:pStyle w:val="3"/>
        <w:rPr>
          <w:rFonts w:ascii="宋体" w:hAnsi="宋体"/>
          <w:color w:val="auto"/>
          <w:sz w:val="20"/>
          <w:szCs w:val="20"/>
          <w:highlight w:val="none"/>
        </w:rPr>
      </w:pPr>
      <w:bookmarkStart w:id="1979" w:name="_Toc57495090"/>
      <w:bookmarkStart w:id="1980" w:name="_Toc492891995"/>
      <w:bookmarkStart w:id="1981" w:name="_Toc20012"/>
      <w:bookmarkStart w:id="1982" w:name="_Toc29235"/>
      <w:r>
        <w:rPr>
          <w:rFonts w:hint="eastAsia" w:ascii="宋体" w:hAnsi="宋体" w:eastAsia="宋体"/>
          <w:b w:val="0"/>
          <w:color w:val="auto"/>
          <w:sz w:val="28"/>
          <w:szCs w:val="28"/>
          <w:highlight w:val="none"/>
        </w:rPr>
        <w:t>附件2：合同变更协议（模板）</w:t>
      </w:r>
      <w:bookmarkEnd w:id="1979"/>
      <w:bookmarkEnd w:id="1980"/>
      <w:bookmarkEnd w:id="1981"/>
      <w:bookmarkEnd w:id="1982"/>
      <w:r>
        <w:rPr>
          <w:rFonts w:ascii="宋体" w:hAnsi="宋体" w:eastAsia="宋体"/>
          <w:b w:val="0"/>
          <w:color w:val="auto"/>
          <w:sz w:val="28"/>
          <w:szCs w:val="28"/>
          <w:highlight w:val="none"/>
        </w:rPr>
        <w:t xml:space="preserve"> </w:t>
      </w:r>
      <w:r>
        <w:rPr>
          <w:rFonts w:ascii="宋体" w:hAnsi="宋体"/>
          <w:color w:val="auto"/>
          <w:sz w:val="40"/>
          <w:szCs w:val="24"/>
          <w:highlight w:val="none"/>
        </w:rPr>
        <w:t xml:space="preserve">          </w:t>
      </w:r>
    </w:p>
    <w:p w14:paraId="6E63D2FA">
      <w:pPr>
        <w:ind w:firstLine="562" w:firstLineChars="200"/>
        <w:jc w:val="center"/>
        <w:rPr>
          <w:rFonts w:ascii="宋体" w:hAnsi="宋体" w:eastAsia="宋体"/>
          <w:b/>
          <w:color w:val="auto"/>
          <w:sz w:val="28"/>
          <w:szCs w:val="32"/>
          <w:highlight w:val="none"/>
        </w:rPr>
      </w:pPr>
      <w:r>
        <w:rPr>
          <w:rFonts w:hint="eastAsia" w:ascii="宋体" w:hAnsi="宋体" w:eastAsia="宋体"/>
          <w:b/>
          <w:color w:val="auto"/>
          <w:sz w:val="28"/>
          <w:szCs w:val="32"/>
          <w:highlight w:val="none"/>
        </w:rPr>
        <w:t>合同变更协议</w:t>
      </w:r>
    </w:p>
    <w:p w14:paraId="1F472842">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（变更类型：数量变更、单价变更、其他变更）</w:t>
      </w:r>
    </w:p>
    <w:p w14:paraId="74096219">
      <w:pPr>
        <w:ind w:right="840" w:firstLine="5250" w:firstLineChars="2500"/>
        <w:rPr>
          <w:rFonts w:ascii="宋体" w:hAnsi="宋体" w:eastAsia="宋体"/>
          <w:color w:val="auto"/>
          <w:szCs w:val="21"/>
          <w:highlight w:val="none"/>
          <w:u w:val="single"/>
        </w:rPr>
      </w:pPr>
      <w:r>
        <w:rPr>
          <w:rFonts w:hint="eastAsia" w:ascii="宋体" w:hAnsi="宋体" w:eastAsia="宋体"/>
          <w:color w:val="auto"/>
          <w:szCs w:val="21"/>
          <w:highlight w:val="none"/>
        </w:rPr>
        <w:t xml:space="preserve">合同编号（变更）： </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u w:val="single"/>
        </w:rPr>
        <w:t xml:space="preserve">  </w:t>
      </w:r>
    </w:p>
    <w:p w14:paraId="06F0A722">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买卖双方于</w:t>
      </w:r>
      <w:r>
        <w:rPr>
          <w:rFonts w:hint="eastAsia" w:ascii="宋体" w:hAnsi="宋体" w:eastAsia="宋体"/>
          <w:color w:val="auto"/>
          <w:szCs w:val="21"/>
          <w:highlight w:val="none"/>
          <w:u w:val="single"/>
        </w:rPr>
        <w:t>XXXX</w:t>
      </w:r>
      <w:r>
        <w:rPr>
          <w:rFonts w:hint="eastAsia" w:ascii="宋体" w:hAnsi="宋体" w:eastAsia="宋体"/>
          <w:color w:val="auto"/>
          <w:szCs w:val="21"/>
          <w:highlight w:val="none"/>
        </w:rPr>
        <w:t>年</w:t>
      </w:r>
      <w:r>
        <w:rPr>
          <w:rFonts w:hint="eastAsia" w:ascii="宋体" w:hAnsi="宋体" w:eastAsia="宋体"/>
          <w:color w:val="auto"/>
          <w:szCs w:val="21"/>
          <w:highlight w:val="none"/>
          <w:u w:val="single"/>
        </w:rPr>
        <w:t>XXXX</w:t>
      </w:r>
      <w:r>
        <w:rPr>
          <w:rFonts w:hint="eastAsia" w:ascii="宋体" w:hAnsi="宋体" w:eastAsia="宋体"/>
          <w:color w:val="auto"/>
          <w:szCs w:val="21"/>
          <w:highlight w:val="none"/>
        </w:rPr>
        <w:t>月</w:t>
      </w:r>
      <w:r>
        <w:rPr>
          <w:rFonts w:hint="eastAsia" w:ascii="宋体" w:hAnsi="宋体" w:eastAsia="宋体"/>
          <w:color w:val="auto"/>
          <w:szCs w:val="21"/>
          <w:highlight w:val="none"/>
          <w:u w:val="single"/>
        </w:rPr>
        <w:t>XXXX</w:t>
      </w:r>
      <w:r>
        <w:rPr>
          <w:rFonts w:hint="eastAsia" w:ascii="宋体" w:hAnsi="宋体" w:eastAsia="宋体"/>
          <w:color w:val="auto"/>
          <w:szCs w:val="21"/>
          <w:highlight w:val="none"/>
        </w:rPr>
        <w:t>日签订了关于</w:t>
      </w:r>
      <w:r>
        <w:rPr>
          <w:rFonts w:hint="eastAsia" w:ascii="宋体" w:hAnsi="宋体" w:eastAsia="宋体"/>
          <w:color w:val="auto"/>
          <w:szCs w:val="21"/>
          <w:highlight w:val="none"/>
          <w:u w:val="single"/>
        </w:rPr>
        <w:t>（项目名称）所需（设备名称）</w:t>
      </w:r>
      <w:r>
        <w:rPr>
          <w:rFonts w:hint="eastAsia" w:ascii="宋体" w:hAnsi="宋体" w:eastAsia="宋体"/>
          <w:color w:val="auto"/>
          <w:szCs w:val="21"/>
          <w:highlight w:val="none"/>
        </w:rPr>
        <w:t xml:space="preserve">的 </w:t>
      </w:r>
      <w:r>
        <w:rPr>
          <w:rFonts w:hint="eastAsia" w:ascii="宋体" w:hAnsi="宋体" w:eastAsia="宋体"/>
          <w:color w:val="auto"/>
          <w:szCs w:val="21"/>
          <w:highlight w:val="none"/>
          <w:u w:val="single"/>
        </w:rPr>
        <w:t xml:space="preserve">(合同名称) </w:t>
      </w:r>
      <w:r>
        <w:rPr>
          <w:rFonts w:hint="eastAsia" w:ascii="宋体" w:hAnsi="宋体" w:eastAsia="宋体"/>
          <w:color w:val="auto"/>
          <w:szCs w:val="21"/>
          <w:highlight w:val="none"/>
        </w:rPr>
        <w:t>合同(合同编号：</w:t>
      </w:r>
      <w:r>
        <w:rPr>
          <w:rFonts w:hint="eastAsia" w:ascii="宋体" w:hAnsi="宋体" w:eastAsia="宋体"/>
          <w:color w:val="auto"/>
          <w:szCs w:val="21"/>
          <w:highlight w:val="none"/>
          <w:u w:val="single"/>
        </w:rPr>
        <w:t xml:space="preserve">XXXX </w:t>
      </w:r>
      <w:r>
        <w:rPr>
          <w:rFonts w:hint="eastAsia" w:ascii="宋体" w:hAnsi="宋体" w:eastAsia="宋体"/>
          <w:color w:val="auto"/>
          <w:szCs w:val="21"/>
          <w:highlight w:val="none"/>
        </w:rPr>
        <w:t>)。双方经过平等协商达成一致，签订本变更协议，双方共同信守执行。</w:t>
      </w:r>
    </w:p>
    <w:p w14:paraId="0CB206B6">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一、变更内容</w:t>
      </w:r>
    </w:p>
    <w:p w14:paraId="67EC6418">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由于</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rPr>
        <w:t>的原因，</w:t>
      </w:r>
    </w:p>
    <w:p w14:paraId="66432A53">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双方达成以下变更协议：</w:t>
      </w:r>
      <w:r>
        <w:rPr>
          <w:rFonts w:ascii="宋体" w:hAnsi="宋体" w:eastAsia="宋体"/>
          <w:color w:val="auto"/>
          <w:szCs w:val="21"/>
          <w:highlight w:val="none"/>
        </w:rPr>
        <w:t xml:space="preserve">        </w:t>
      </w:r>
    </w:p>
    <w:p w14:paraId="7265AAD2">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（一）变更数量/单价</w:t>
      </w:r>
    </w:p>
    <w:p w14:paraId="0A4C4B71">
      <w:pPr>
        <w:ind w:firstLine="420" w:firstLineChars="200"/>
        <w:rPr>
          <w:rFonts w:ascii="宋体" w:hAnsi="宋体" w:eastAsia="宋体"/>
          <w:color w:val="auto"/>
          <w:szCs w:val="21"/>
          <w:highlight w:val="none"/>
          <w:u w:val="single"/>
        </w:rPr>
      </w:pPr>
      <w:r>
        <w:rPr>
          <w:rFonts w:hint="eastAsia" w:ascii="宋体" w:hAnsi="宋体" w:eastAsia="宋体"/>
          <w:color w:val="auto"/>
          <w:szCs w:val="21"/>
          <w:highlight w:val="none"/>
          <w:u w:val="single"/>
        </w:rPr>
        <w:t>详见“供货一览表变更情况表”。</w:t>
      </w:r>
      <w:r>
        <w:rPr>
          <w:rFonts w:hint="eastAsia" w:ascii="宋体" w:hAnsi="宋体" w:eastAsia="宋体"/>
          <w:color w:val="auto"/>
          <w:szCs w:val="21"/>
          <w:highlight w:val="none"/>
        </w:rPr>
        <w:t>（如无设备数量/单价变更则填写“无”）</w:t>
      </w:r>
    </w:p>
    <w:p w14:paraId="43C87E64">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（二）修改条款</w:t>
      </w:r>
    </w:p>
    <w:p w14:paraId="7AD5154B">
      <w:pPr>
        <w:ind w:firstLine="420" w:firstLineChars="200"/>
        <w:rPr>
          <w:rFonts w:ascii="宋体" w:hAnsi="宋体" w:eastAsia="宋体"/>
          <w:color w:val="auto"/>
          <w:szCs w:val="21"/>
          <w:highlight w:val="none"/>
          <w:u w:val="single"/>
        </w:rPr>
      </w:pP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（如无条款变更则填写“无”，如有变更参考如下示例的格式填写具体内容）</w:t>
      </w:r>
    </w:p>
    <w:p w14:paraId="2B256336">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1、通用条款3.1（填写原条款编号）</w:t>
      </w:r>
    </w:p>
    <w:p w14:paraId="321178D3">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（1）变更前的合同条款：（填写该条款内容）</w:t>
      </w:r>
    </w:p>
    <w:p w14:paraId="35B4E560">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（2）变更后的合同条款：（填写该条款内容）</w:t>
      </w:r>
    </w:p>
    <w:p w14:paraId="07ADEB6B">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2、通用条款</w:t>
      </w:r>
      <w:r>
        <w:rPr>
          <w:rFonts w:ascii="宋体" w:hAnsi="宋体" w:eastAsia="宋体"/>
          <w:color w:val="auto"/>
          <w:szCs w:val="21"/>
          <w:highlight w:val="none"/>
        </w:rPr>
        <w:t>4</w:t>
      </w:r>
      <w:r>
        <w:rPr>
          <w:rFonts w:hint="eastAsia" w:ascii="宋体" w:hAnsi="宋体" w:eastAsia="宋体"/>
          <w:color w:val="auto"/>
          <w:szCs w:val="21"/>
          <w:highlight w:val="none"/>
        </w:rPr>
        <w:t xml:space="preserve">.1…… </w:t>
      </w:r>
    </w:p>
    <w:p w14:paraId="79455D20">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（三）增加条款</w:t>
      </w:r>
    </w:p>
    <w:p w14:paraId="5F6F3C44">
      <w:pPr>
        <w:ind w:firstLine="420" w:firstLineChars="200"/>
        <w:rPr>
          <w:rFonts w:ascii="宋体" w:hAnsi="宋体" w:eastAsia="宋体"/>
          <w:color w:val="auto"/>
          <w:szCs w:val="21"/>
          <w:highlight w:val="none"/>
          <w:u w:val="single"/>
        </w:rPr>
      </w:pP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（如无条款增加则填写“无”，如有增加参考如下示例的格式填写具体内容）</w:t>
      </w:r>
    </w:p>
    <w:p w14:paraId="60B432C1">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1、新增条款1：（填写新增条款的编号及内容）</w:t>
      </w:r>
    </w:p>
    <w:p w14:paraId="44A19035">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2、新增条款2：……</w:t>
      </w:r>
    </w:p>
    <w:p w14:paraId="28AFA8BC">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（四）删除条款</w:t>
      </w:r>
    </w:p>
    <w:p w14:paraId="7CE7D21E">
      <w:pPr>
        <w:ind w:firstLine="420" w:firstLineChars="200"/>
        <w:rPr>
          <w:rFonts w:ascii="宋体" w:hAnsi="宋体" w:eastAsia="宋体"/>
          <w:color w:val="auto"/>
          <w:szCs w:val="21"/>
          <w:highlight w:val="none"/>
          <w:u w:val="single"/>
        </w:rPr>
      </w:pP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（如无条款删减则填写“无”，如有删减参考如下示例的格式填写具体内容）</w:t>
      </w:r>
    </w:p>
    <w:p w14:paraId="3EE1F653">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1、删除条款1：（填写删除条款的编号及内容）</w:t>
      </w:r>
    </w:p>
    <w:p w14:paraId="0F766967">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2、删除条款2：……</w:t>
      </w:r>
    </w:p>
    <w:p w14:paraId="30DF2DB8">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（五）其他变更</w:t>
      </w:r>
    </w:p>
    <w:p w14:paraId="334A8E7B">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（如无其他变更则填写“无”。对内容较多的复杂变更，可以使用在本变更协议后新增附件的形式说明变更的具体内容。）</w:t>
      </w:r>
    </w:p>
    <w:p w14:paraId="04A35251">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二、变更前合同金额为：</w:t>
      </w:r>
      <w:r>
        <w:rPr>
          <w:rFonts w:ascii="宋体" w:hAnsi="宋体" w:eastAsia="宋体"/>
          <w:color w:val="auto"/>
          <w:szCs w:val="21"/>
          <w:highlight w:val="none"/>
          <w:u w:val="single"/>
        </w:rPr>
        <w:t>XXXX元</w:t>
      </w:r>
      <w:r>
        <w:rPr>
          <w:rFonts w:hint="eastAsia" w:ascii="宋体" w:hAnsi="宋体" w:eastAsia="宋体"/>
          <w:color w:val="auto"/>
          <w:szCs w:val="21"/>
          <w:highlight w:val="none"/>
        </w:rPr>
        <w:t>（</w:t>
      </w:r>
      <w:r>
        <w:rPr>
          <w:rFonts w:ascii="宋体" w:hAnsi="宋体" w:eastAsia="宋体"/>
          <w:color w:val="auto"/>
          <w:szCs w:val="21"/>
          <w:highlight w:val="none"/>
        </w:rPr>
        <w:t>大写：</w:t>
      </w:r>
      <w:r>
        <w:rPr>
          <w:rFonts w:ascii="宋体" w:hAnsi="宋体" w:eastAsia="宋体"/>
          <w:color w:val="auto"/>
          <w:szCs w:val="21"/>
          <w:highlight w:val="none"/>
          <w:u w:val="single"/>
        </w:rPr>
        <w:t>XXXX</w:t>
      </w:r>
      <w:r>
        <w:rPr>
          <w:rFonts w:ascii="宋体" w:hAnsi="宋体" w:eastAsia="宋体"/>
          <w:color w:val="auto"/>
          <w:szCs w:val="21"/>
          <w:highlight w:val="none"/>
        </w:rPr>
        <w:t>元整</w:t>
      </w:r>
      <w:r>
        <w:rPr>
          <w:rFonts w:hint="eastAsia" w:ascii="宋体" w:hAnsi="宋体" w:eastAsia="宋体"/>
          <w:color w:val="auto"/>
          <w:szCs w:val="21"/>
          <w:highlight w:val="none"/>
        </w:rPr>
        <w:t>）。合同变更后，合同金额为：</w:t>
      </w:r>
      <w:r>
        <w:rPr>
          <w:rFonts w:ascii="宋体" w:hAnsi="宋体" w:eastAsia="宋体"/>
          <w:color w:val="auto"/>
          <w:szCs w:val="21"/>
          <w:highlight w:val="none"/>
          <w:u w:val="single"/>
        </w:rPr>
        <w:t>XXXX元</w:t>
      </w:r>
      <w:r>
        <w:rPr>
          <w:rFonts w:hint="eastAsia" w:ascii="宋体" w:hAnsi="宋体" w:eastAsia="宋体"/>
          <w:color w:val="auto"/>
          <w:szCs w:val="21"/>
          <w:highlight w:val="none"/>
        </w:rPr>
        <w:t>（</w:t>
      </w:r>
      <w:r>
        <w:rPr>
          <w:rFonts w:ascii="宋体" w:hAnsi="宋体" w:eastAsia="宋体"/>
          <w:color w:val="auto"/>
          <w:szCs w:val="21"/>
          <w:highlight w:val="none"/>
        </w:rPr>
        <w:t>大写：</w:t>
      </w:r>
      <w:r>
        <w:rPr>
          <w:rFonts w:ascii="宋体" w:hAnsi="宋体" w:eastAsia="宋体"/>
          <w:color w:val="auto"/>
          <w:szCs w:val="21"/>
          <w:highlight w:val="none"/>
          <w:u w:val="single"/>
        </w:rPr>
        <w:t>XXXX</w:t>
      </w:r>
      <w:r>
        <w:rPr>
          <w:rFonts w:ascii="宋体" w:hAnsi="宋体" w:eastAsia="宋体"/>
          <w:color w:val="auto"/>
          <w:szCs w:val="21"/>
          <w:highlight w:val="none"/>
        </w:rPr>
        <w:t>元</w:t>
      </w:r>
      <w:r>
        <w:rPr>
          <w:rFonts w:hint="eastAsia" w:ascii="宋体" w:hAnsi="宋体" w:eastAsia="宋体"/>
          <w:color w:val="auto"/>
          <w:szCs w:val="21"/>
          <w:highlight w:val="none"/>
        </w:rPr>
        <w:t xml:space="preserve">）。 </w:t>
      </w:r>
    </w:p>
    <w:p w14:paraId="70FE9C6F">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三、本协议是原合同不可分割的组成部分，与原合同具有同等法律效力。除本协议变更的内容外，原合同和在本合同签订前生效的变更协议中的其他条款仍然适用</w:t>
      </w:r>
      <w:bookmarkStart w:id="1983" w:name="gkstk1"/>
      <w:bookmarkEnd w:id="1983"/>
      <w:r>
        <w:rPr>
          <w:rFonts w:hint="eastAsia" w:ascii="宋体" w:hAnsi="宋体" w:eastAsia="宋体"/>
          <w:color w:val="auto"/>
          <w:szCs w:val="21"/>
          <w:highlight w:val="none"/>
        </w:rPr>
        <w:t xml:space="preserve">。本协议与原合同或在本合同签订前生效的变更协议有相互冲突时，以本协议为准。 </w:t>
      </w:r>
    </w:p>
    <w:p w14:paraId="2C69EFDE">
      <w:pPr>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四、本合同一式六份，买方执四份，卖方执两份，具有同等法律效力。</w:t>
      </w:r>
    </w:p>
    <w:p w14:paraId="02796B42">
      <w:pPr>
        <w:ind w:firstLine="420" w:firstLineChars="200"/>
        <w:rPr>
          <w:rFonts w:ascii="宋体" w:hAnsi="宋体" w:eastAsia="宋体"/>
          <w:color w:val="auto"/>
          <w:szCs w:val="21"/>
          <w:highlight w:val="none"/>
        </w:rPr>
        <w:sectPr>
          <w:pgSz w:w="11906" w:h="16838"/>
          <w:pgMar w:top="2098" w:right="1531" w:bottom="1985" w:left="1531" w:header="1417" w:footer="992" w:gutter="0"/>
          <w:cols w:space="720" w:num="1"/>
          <w:docGrid w:type="lines" w:linePitch="312" w:charSpace="0"/>
        </w:sectPr>
      </w:pPr>
      <w:r>
        <w:rPr>
          <w:rFonts w:hint="eastAsia" w:ascii="宋体" w:hAnsi="宋体" w:eastAsia="宋体"/>
          <w:color w:val="auto"/>
          <w:szCs w:val="21"/>
          <w:highlight w:val="none"/>
        </w:rPr>
        <w:t>五、</w:t>
      </w:r>
      <w:r>
        <w:rPr>
          <w:rFonts w:ascii="宋体" w:hAnsi="宋体" w:eastAsia="宋体"/>
          <w:color w:val="auto"/>
          <w:szCs w:val="21"/>
          <w:highlight w:val="none"/>
        </w:rPr>
        <w:t>本合同由买卖双方法定代表人或其授权代表</w:t>
      </w:r>
      <w:r>
        <w:rPr>
          <w:rFonts w:hint="eastAsia" w:ascii="宋体" w:hAnsi="宋体" w:eastAsia="宋体" w:cs="宋体"/>
          <w:color w:val="auto"/>
          <w:kern w:val="0"/>
          <w:szCs w:val="21"/>
          <w:highlight w:val="none"/>
          <w:lang w:eastAsia="zh-CN"/>
        </w:rPr>
        <w:t>签名</w:t>
      </w:r>
      <w:r>
        <w:rPr>
          <w:rFonts w:ascii="宋体" w:hAnsi="宋体" w:eastAsia="宋体"/>
          <w:color w:val="auto"/>
          <w:szCs w:val="21"/>
          <w:highlight w:val="none"/>
        </w:rPr>
        <w:t>并加盖公章或合同专用章后生效(含骑缝章，办理电子签章的可不盖骑缝章)，合同生效日期以双方中最后一方签署并加盖公章或合同专用章的日期为准。</w:t>
      </w:r>
    </w:p>
    <w:p w14:paraId="62BF0F4B">
      <w:pPr>
        <w:spacing w:line="360" w:lineRule="auto"/>
        <w:rPr>
          <w:rFonts w:ascii="宋体" w:hAnsi="宋体" w:eastAsia="宋体"/>
          <w:color w:val="auto"/>
          <w:szCs w:val="21"/>
          <w:highlight w:val="none"/>
        </w:rPr>
      </w:pPr>
      <w:r>
        <w:rPr>
          <w:rFonts w:hint="eastAsia" w:ascii="宋体" w:hAnsi="宋体" w:eastAsia="宋体"/>
          <w:color w:val="auto"/>
          <w:szCs w:val="21"/>
          <w:highlight w:val="none"/>
          <w:u w:val="single"/>
        </w:rPr>
        <w:t>六、供货一览表变更情况表</w:t>
      </w:r>
      <w:r>
        <w:rPr>
          <w:rFonts w:hint="eastAsia" w:ascii="宋体" w:hAnsi="宋体" w:eastAsia="宋体"/>
          <w:color w:val="auto"/>
          <w:szCs w:val="21"/>
          <w:highlight w:val="none"/>
        </w:rPr>
        <w:t>（如无设备数量/单价变更则填写“无”）</w:t>
      </w:r>
    </w:p>
    <w:tbl>
      <w:tblPr>
        <w:tblStyle w:val="12"/>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09"/>
        <w:gridCol w:w="708"/>
        <w:gridCol w:w="851"/>
        <w:gridCol w:w="709"/>
        <w:gridCol w:w="708"/>
        <w:gridCol w:w="993"/>
        <w:gridCol w:w="708"/>
        <w:gridCol w:w="709"/>
        <w:gridCol w:w="567"/>
        <w:gridCol w:w="992"/>
        <w:gridCol w:w="1134"/>
        <w:gridCol w:w="993"/>
        <w:gridCol w:w="992"/>
        <w:gridCol w:w="973"/>
        <w:gridCol w:w="1011"/>
      </w:tblGrid>
      <w:tr w14:paraId="23E21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570AEF87">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序号</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89EA95B">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项目编号</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E58C2F9">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项目名称</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41F108A0">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单项工程名称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0447D276">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设备名称</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2F3A25BD">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规格型号</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49145913">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变更前的数量</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29483E57">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数量变更</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522F8F59">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变更后的数量</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76FFCB0D">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单位</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A605CF5">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变更前的单价（元）</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4C909AA">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单价</w:t>
            </w:r>
          </w:p>
          <w:p w14:paraId="620115B1">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w:t>
            </w:r>
          </w:p>
          <w:p w14:paraId="5A0AAC2E">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（元）</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4881CD5D">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变更后的单价（元）</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3FA4C0E">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变更前的金额（元）</w:t>
            </w:r>
          </w:p>
        </w:tc>
        <w:tc>
          <w:tcPr>
            <w:tcW w:w="973" w:type="dxa"/>
            <w:tcBorders>
              <w:top w:val="single" w:color="auto" w:sz="4" w:space="0"/>
              <w:left w:val="single" w:color="auto" w:sz="4" w:space="0"/>
              <w:bottom w:val="single" w:color="auto" w:sz="4" w:space="0"/>
              <w:right w:val="single" w:color="auto" w:sz="4" w:space="0"/>
            </w:tcBorders>
            <w:noWrap w:val="0"/>
            <w:vAlign w:val="center"/>
          </w:tcPr>
          <w:p w14:paraId="0BA8ECB9">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金额</w:t>
            </w:r>
          </w:p>
          <w:p w14:paraId="29D288FF">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变更（元）</w:t>
            </w:r>
          </w:p>
        </w:tc>
        <w:tc>
          <w:tcPr>
            <w:tcW w:w="1011" w:type="dxa"/>
            <w:tcBorders>
              <w:top w:val="single" w:color="auto" w:sz="4" w:space="0"/>
              <w:left w:val="single" w:color="auto" w:sz="4" w:space="0"/>
              <w:bottom w:val="single" w:color="auto" w:sz="4" w:space="0"/>
              <w:right w:val="single" w:color="auto" w:sz="4" w:space="0"/>
            </w:tcBorders>
            <w:noWrap w:val="0"/>
            <w:vAlign w:val="center"/>
          </w:tcPr>
          <w:p w14:paraId="1DCFDFCB">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变更后的金额（元）</w:t>
            </w:r>
          </w:p>
        </w:tc>
      </w:tr>
      <w:tr w14:paraId="01907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3DEA7B70">
            <w:pPr>
              <w:jc w:val="center"/>
              <w:rPr>
                <w:rFonts w:ascii="宋体" w:hAnsi="宋体" w:eastAsia="宋体"/>
                <w:color w:val="auto"/>
                <w:kern w:val="0"/>
                <w:szCs w:val="21"/>
                <w:highlight w:val="none"/>
              </w:rPr>
            </w:pPr>
            <w:r>
              <w:rPr>
                <w:rFonts w:ascii="宋体" w:hAnsi="宋体" w:eastAsia="宋体"/>
                <w:color w:val="auto"/>
                <w:kern w:val="0"/>
                <w:szCs w:val="21"/>
                <w:highlight w:val="none"/>
              </w:rPr>
              <w:t>1</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3460B6D3">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13ACFAB">
            <w:pPr>
              <w:rPr>
                <w:rFonts w:ascii="宋体" w:hAnsi="宋体" w:eastAsia="宋体"/>
                <w:color w:val="auto"/>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24306CB">
            <w:pPr>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65FCA23">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2C41C1E9">
            <w:pPr>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689D30A9">
            <w:pPr>
              <w:jc w:val="right"/>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77B7CAB">
            <w:pPr>
              <w:jc w:val="right"/>
              <w:rPr>
                <w:rFonts w:ascii="宋体" w:hAnsi="宋体" w:eastAsia="宋体"/>
                <w:color w:val="auto"/>
                <w:kern w:val="0"/>
                <w:szCs w:val="21"/>
                <w:highlight w:val="none"/>
                <w:u w:val="single"/>
              </w:rPr>
            </w:pPr>
          </w:p>
        </w:tc>
        <w:tc>
          <w:tcPr>
            <w:tcW w:w="709" w:type="dxa"/>
            <w:tcBorders>
              <w:top w:val="single" w:color="auto" w:sz="4" w:space="0"/>
              <w:left w:val="single" w:color="auto" w:sz="4" w:space="0"/>
              <w:bottom w:val="single" w:color="auto" w:sz="4" w:space="0"/>
              <w:right w:val="single" w:color="auto" w:sz="4" w:space="0"/>
            </w:tcBorders>
            <w:noWrap w:val="0"/>
            <w:vAlign w:val="top"/>
          </w:tcPr>
          <w:p w14:paraId="37E463BD">
            <w:pPr>
              <w:jc w:val="right"/>
              <w:rPr>
                <w:rFonts w:ascii="宋体" w:hAnsi="宋体" w:eastAsia="宋体"/>
                <w:color w:val="auto"/>
                <w:kern w:val="0"/>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top"/>
          </w:tcPr>
          <w:p w14:paraId="3E21C849">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28428947">
            <w:pPr>
              <w:jc w:val="right"/>
              <w:rPr>
                <w:rFonts w:ascii="宋体" w:hAnsi="宋体" w:eastAsia="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C8A1F75">
            <w:pPr>
              <w:jc w:val="right"/>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604BAE5B">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0BEB127A">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4D0D2B2C">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2C556BA7">
            <w:pPr>
              <w:jc w:val="right"/>
              <w:rPr>
                <w:rFonts w:ascii="宋体" w:hAnsi="宋体" w:eastAsia="宋体"/>
                <w:color w:val="auto"/>
                <w:kern w:val="0"/>
                <w:szCs w:val="21"/>
                <w:highlight w:val="none"/>
              </w:rPr>
            </w:pPr>
          </w:p>
        </w:tc>
      </w:tr>
      <w:tr w14:paraId="21C13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5101438D">
            <w:pPr>
              <w:jc w:val="center"/>
              <w:rPr>
                <w:rFonts w:ascii="宋体" w:hAnsi="宋体" w:eastAsia="宋体"/>
                <w:color w:val="auto"/>
                <w:kern w:val="0"/>
                <w:szCs w:val="21"/>
                <w:highlight w:val="none"/>
              </w:rPr>
            </w:pPr>
            <w:r>
              <w:rPr>
                <w:rFonts w:ascii="宋体" w:hAnsi="宋体" w:eastAsia="宋体"/>
                <w:color w:val="auto"/>
                <w:kern w:val="0"/>
                <w:szCs w:val="21"/>
                <w:highlight w:val="none"/>
              </w:rPr>
              <w:t>2</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268D2A">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2818168">
            <w:pPr>
              <w:rPr>
                <w:rFonts w:ascii="宋体" w:hAnsi="宋体" w:eastAsia="宋体"/>
                <w:color w:val="auto"/>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52FC289D">
            <w:pPr>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2ACFB9A">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216CB795">
            <w:pPr>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38D4B131">
            <w:pPr>
              <w:jc w:val="right"/>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4EE1094A">
            <w:pPr>
              <w:jc w:val="right"/>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top"/>
          </w:tcPr>
          <w:p w14:paraId="371D9823">
            <w:pPr>
              <w:jc w:val="right"/>
              <w:rPr>
                <w:rFonts w:ascii="宋体" w:hAnsi="宋体" w:eastAsia="宋体"/>
                <w:color w:val="auto"/>
                <w:kern w:val="0"/>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top"/>
          </w:tcPr>
          <w:p w14:paraId="7E5BF057">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388B8FE3">
            <w:pPr>
              <w:jc w:val="right"/>
              <w:rPr>
                <w:rFonts w:ascii="宋体" w:hAnsi="宋体" w:eastAsia="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7565663">
            <w:pPr>
              <w:jc w:val="right"/>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49D0B7D7">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CE80BE3">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753697D8">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7C97F77C">
            <w:pPr>
              <w:jc w:val="right"/>
              <w:rPr>
                <w:rFonts w:ascii="宋体" w:hAnsi="宋体" w:eastAsia="宋体"/>
                <w:color w:val="auto"/>
                <w:kern w:val="0"/>
                <w:szCs w:val="21"/>
                <w:highlight w:val="none"/>
              </w:rPr>
            </w:pPr>
          </w:p>
        </w:tc>
      </w:tr>
      <w:tr w14:paraId="7FB8E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6DD5319A">
            <w:pPr>
              <w:jc w:val="center"/>
              <w:rPr>
                <w:rFonts w:ascii="宋体" w:hAnsi="宋体" w:eastAsia="宋体"/>
                <w:color w:val="auto"/>
                <w:kern w:val="0"/>
                <w:szCs w:val="21"/>
                <w:highlight w:val="none"/>
              </w:rPr>
            </w:pPr>
            <w:r>
              <w:rPr>
                <w:rFonts w:ascii="宋体" w:hAnsi="宋体" w:eastAsia="宋体"/>
                <w:color w:val="auto"/>
                <w:kern w:val="0"/>
                <w:szCs w:val="21"/>
                <w:highlight w:val="none"/>
              </w:rPr>
              <w:t>3</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78F28CC4">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1A7269A9">
            <w:pPr>
              <w:rPr>
                <w:rFonts w:ascii="宋体" w:hAnsi="宋体" w:eastAsia="宋体"/>
                <w:color w:val="auto"/>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46CAB6AF">
            <w:pPr>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47B6DA8">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5C1065CB">
            <w:pPr>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5C9C9FC0">
            <w:pPr>
              <w:jc w:val="right"/>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468DC6C">
            <w:pPr>
              <w:jc w:val="right"/>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top"/>
          </w:tcPr>
          <w:p w14:paraId="00CCDCFA">
            <w:pPr>
              <w:jc w:val="right"/>
              <w:rPr>
                <w:rFonts w:ascii="宋体" w:hAnsi="宋体" w:eastAsia="宋体"/>
                <w:color w:val="auto"/>
                <w:kern w:val="0"/>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top"/>
          </w:tcPr>
          <w:p w14:paraId="6FCFCB51">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1C216158">
            <w:pPr>
              <w:jc w:val="right"/>
              <w:rPr>
                <w:rFonts w:ascii="宋体" w:hAnsi="宋体" w:eastAsia="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8364640">
            <w:pPr>
              <w:jc w:val="right"/>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1F034D6C">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F226DC4">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64363B25">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21AED047">
            <w:pPr>
              <w:jc w:val="right"/>
              <w:rPr>
                <w:rFonts w:ascii="宋体" w:hAnsi="宋体" w:eastAsia="宋体"/>
                <w:color w:val="auto"/>
                <w:kern w:val="0"/>
                <w:szCs w:val="21"/>
                <w:highlight w:val="none"/>
              </w:rPr>
            </w:pPr>
          </w:p>
        </w:tc>
      </w:tr>
      <w:tr w14:paraId="700D4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7C289409">
            <w:pPr>
              <w:jc w:val="center"/>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725BB7A">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6130C769">
            <w:pPr>
              <w:rPr>
                <w:rFonts w:ascii="宋体" w:hAnsi="宋体" w:eastAsia="宋体"/>
                <w:color w:val="auto"/>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814DD18">
            <w:pPr>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AAE3982">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41F8A9A5">
            <w:pPr>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60A96E7E">
            <w:pPr>
              <w:jc w:val="right"/>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16536C13">
            <w:pPr>
              <w:jc w:val="right"/>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top"/>
          </w:tcPr>
          <w:p w14:paraId="3CF07377">
            <w:pPr>
              <w:jc w:val="right"/>
              <w:rPr>
                <w:rFonts w:ascii="宋体" w:hAnsi="宋体" w:eastAsia="宋体"/>
                <w:color w:val="auto"/>
                <w:kern w:val="0"/>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top"/>
          </w:tcPr>
          <w:p w14:paraId="43C18DBE">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5D972B8D">
            <w:pPr>
              <w:jc w:val="right"/>
              <w:rPr>
                <w:rFonts w:ascii="宋体" w:hAnsi="宋体" w:eastAsia="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E460598">
            <w:pPr>
              <w:jc w:val="right"/>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52EC88C5">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EF9C526">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5AFBFB98">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1D1F9C4E">
            <w:pPr>
              <w:jc w:val="right"/>
              <w:rPr>
                <w:rFonts w:ascii="宋体" w:hAnsi="宋体" w:eastAsia="宋体"/>
                <w:color w:val="auto"/>
                <w:kern w:val="0"/>
                <w:szCs w:val="21"/>
                <w:highlight w:val="none"/>
              </w:rPr>
            </w:pPr>
          </w:p>
        </w:tc>
      </w:tr>
      <w:tr w14:paraId="334E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4AC25299">
            <w:pPr>
              <w:jc w:val="center"/>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1C21C8F0">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4283E82">
            <w:pPr>
              <w:rPr>
                <w:rFonts w:ascii="宋体" w:hAnsi="宋体" w:eastAsia="宋体"/>
                <w:color w:val="auto"/>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37AF3ED7">
            <w:pPr>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0792680">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26449817">
            <w:pPr>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60051D4C">
            <w:pPr>
              <w:jc w:val="right"/>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3970446">
            <w:pPr>
              <w:jc w:val="right"/>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top"/>
          </w:tcPr>
          <w:p w14:paraId="18C9D6D9">
            <w:pPr>
              <w:jc w:val="right"/>
              <w:rPr>
                <w:rFonts w:ascii="宋体" w:hAnsi="宋体" w:eastAsia="宋体"/>
                <w:color w:val="auto"/>
                <w:kern w:val="0"/>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top"/>
          </w:tcPr>
          <w:p w14:paraId="6FCD3B0A">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05E246EC">
            <w:pPr>
              <w:jc w:val="right"/>
              <w:rPr>
                <w:rFonts w:ascii="宋体" w:hAnsi="宋体" w:eastAsia="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6DF9AEB">
            <w:pPr>
              <w:jc w:val="right"/>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1E8CBE90">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8A42196">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1BCA7B08">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013967F2">
            <w:pPr>
              <w:jc w:val="right"/>
              <w:rPr>
                <w:rFonts w:ascii="宋体" w:hAnsi="宋体" w:eastAsia="宋体"/>
                <w:color w:val="auto"/>
                <w:kern w:val="0"/>
                <w:szCs w:val="21"/>
                <w:highlight w:val="none"/>
              </w:rPr>
            </w:pPr>
          </w:p>
        </w:tc>
      </w:tr>
      <w:tr w14:paraId="591DF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top"/>
          </w:tcPr>
          <w:p w14:paraId="44AFA385">
            <w:pPr>
              <w:jc w:val="center"/>
              <w:rPr>
                <w:rFonts w:ascii="宋体" w:hAnsi="宋体" w:eastAsia="宋体"/>
                <w:color w:val="auto"/>
                <w:kern w:val="0"/>
                <w:szCs w:val="21"/>
                <w:highlight w:val="none"/>
              </w:rPr>
            </w:pPr>
          </w:p>
        </w:tc>
        <w:tc>
          <w:tcPr>
            <w:tcW w:w="9781" w:type="dxa"/>
            <w:gridSpan w:val="12"/>
            <w:tcBorders>
              <w:top w:val="single" w:color="auto" w:sz="4" w:space="0"/>
              <w:left w:val="single" w:color="auto" w:sz="4" w:space="0"/>
              <w:bottom w:val="single" w:color="auto" w:sz="4" w:space="0"/>
              <w:right w:val="single" w:color="auto" w:sz="4" w:space="0"/>
            </w:tcBorders>
            <w:noWrap w:val="0"/>
            <w:vAlign w:val="center"/>
          </w:tcPr>
          <w:p w14:paraId="437D1042">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合计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4E6B049">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7F7465BA">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47F2C6AE">
            <w:pPr>
              <w:jc w:val="right"/>
              <w:rPr>
                <w:rFonts w:ascii="宋体" w:hAnsi="宋体" w:eastAsia="宋体"/>
                <w:color w:val="auto"/>
                <w:kern w:val="0"/>
                <w:szCs w:val="21"/>
                <w:highlight w:val="none"/>
              </w:rPr>
            </w:pPr>
          </w:p>
        </w:tc>
      </w:tr>
    </w:tbl>
    <w:p w14:paraId="0FAC1373">
      <w:pPr>
        <w:rPr>
          <w:rFonts w:ascii="宋体" w:hAnsi="宋体" w:eastAsia="宋体"/>
          <w:color w:val="auto"/>
          <w:szCs w:val="21"/>
          <w:highlight w:val="none"/>
        </w:rPr>
      </w:pPr>
    </w:p>
    <w:p w14:paraId="0F0E6877">
      <w:pPr>
        <w:rPr>
          <w:rFonts w:hint="eastAsia" w:ascii="宋体" w:hAnsi="宋体" w:eastAsia="宋体"/>
          <w:color w:val="auto"/>
          <w:szCs w:val="21"/>
          <w:highlight w:val="none"/>
          <w:lang w:val="en-US" w:eastAsia="zh-CN"/>
        </w:rPr>
      </w:pPr>
    </w:p>
    <w:p w14:paraId="1EC4C3A4">
      <w:pPr>
        <w:pStyle w:val="2"/>
        <w:numPr>
          <w:ilvl w:val="0"/>
          <w:numId w:val="0"/>
        </w:numPr>
        <w:ind w:left="0" w:leftChars="0" w:firstLine="0" w:firstLineChars="0"/>
        <w:rPr>
          <w:rFonts w:hint="eastAsia" w:ascii="宋体" w:hAnsi="宋体" w:eastAsia="宋体"/>
          <w:color w:val="auto"/>
          <w:szCs w:val="21"/>
          <w:highlight w:val="none"/>
        </w:rPr>
      </w:pPr>
      <w:r>
        <w:rPr>
          <w:rFonts w:hint="eastAsia" w:ascii="宋体" w:hAnsi="宋体"/>
          <w:color w:val="auto"/>
          <w:szCs w:val="21"/>
          <w:highlight w:val="none"/>
          <w:u w:val="single"/>
          <w:lang w:val="en-US" w:eastAsia="zh-CN"/>
        </w:rPr>
        <w:t>七、配置</w:t>
      </w:r>
      <w:r>
        <w:rPr>
          <w:rFonts w:hint="eastAsia" w:ascii="宋体" w:hAnsi="宋体" w:eastAsia="宋体"/>
          <w:color w:val="auto"/>
          <w:szCs w:val="21"/>
          <w:highlight w:val="none"/>
          <w:u w:val="single"/>
        </w:rPr>
        <w:t>变更情况表</w:t>
      </w:r>
      <w:r>
        <w:rPr>
          <w:rFonts w:hint="eastAsia" w:ascii="宋体" w:hAnsi="宋体" w:eastAsia="宋体"/>
          <w:color w:val="auto"/>
          <w:szCs w:val="21"/>
          <w:highlight w:val="none"/>
        </w:rPr>
        <w:t>（如无</w:t>
      </w:r>
      <w:r>
        <w:rPr>
          <w:rFonts w:hint="eastAsia" w:ascii="宋体" w:hAnsi="宋体"/>
          <w:color w:val="auto"/>
          <w:szCs w:val="21"/>
          <w:highlight w:val="none"/>
          <w:lang w:val="en-US" w:eastAsia="zh-CN"/>
        </w:rPr>
        <w:t>配件</w:t>
      </w:r>
      <w:r>
        <w:rPr>
          <w:rFonts w:hint="eastAsia" w:ascii="宋体" w:hAnsi="宋体" w:eastAsia="宋体"/>
          <w:color w:val="auto"/>
          <w:szCs w:val="21"/>
          <w:highlight w:val="none"/>
        </w:rPr>
        <w:t>数量/单价变更则填写“无”）</w:t>
      </w:r>
    </w:p>
    <w:tbl>
      <w:tblPr>
        <w:tblStyle w:val="12"/>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708"/>
        <w:gridCol w:w="1"/>
        <w:gridCol w:w="708"/>
        <w:gridCol w:w="851"/>
        <w:gridCol w:w="709"/>
        <w:gridCol w:w="708"/>
        <w:gridCol w:w="708"/>
        <w:gridCol w:w="993"/>
        <w:gridCol w:w="708"/>
        <w:gridCol w:w="709"/>
        <w:gridCol w:w="567"/>
        <w:gridCol w:w="992"/>
        <w:gridCol w:w="1134"/>
        <w:gridCol w:w="993"/>
        <w:gridCol w:w="992"/>
        <w:gridCol w:w="973"/>
        <w:gridCol w:w="1011"/>
      </w:tblGrid>
      <w:tr w14:paraId="349C7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34B787AC">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序号</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2E2446E0">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项目编号</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1C56061">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项目名称</w:t>
            </w:r>
          </w:p>
        </w:tc>
        <w:tc>
          <w:tcPr>
            <w:tcW w:w="851" w:type="dxa"/>
            <w:tcBorders>
              <w:top w:val="single" w:color="auto" w:sz="4" w:space="0"/>
              <w:left w:val="single" w:color="auto" w:sz="4" w:space="0"/>
              <w:bottom w:val="single" w:color="auto" w:sz="4" w:space="0"/>
              <w:right w:val="single" w:color="auto" w:sz="4" w:space="0"/>
            </w:tcBorders>
            <w:noWrap w:val="0"/>
            <w:vAlign w:val="center"/>
          </w:tcPr>
          <w:p w14:paraId="5626A902">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单项工程名称</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26147DC0">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设备名称</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34F58680">
            <w:pPr>
              <w:jc w:val="center"/>
              <w:rPr>
                <w:rFonts w:hint="default" w:ascii="宋体" w:hAnsi="宋体" w:eastAsia="宋体"/>
                <w:color w:val="auto"/>
                <w:kern w:val="0"/>
                <w:szCs w:val="21"/>
                <w:highlight w:val="none"/>
                <w:lang w:val="en-US" w:eastAsia="zh-CN"/>
              </w:rPr>
            </w:pPr>
            <w:r>
              <w:rPr>
                <w:rFonts w:hint="eastAsia" w:ascii="宋体" w:hAnsi="宋体" w:eastAsia="宋体"/>
                <w:color w:val="auto"/>
                <w:kern w:val="0"/>
                <w:szCs w:val="21"/>
                <w:highlight w:val="none"/>
                <w:lang w:val="en-US" w:eastAsia="zh-CN"/>
              </w:rPr>
              <w:t>配件名称</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5815D469">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规格型号</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7353391C">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变更前的数量</w:t>
            </w:r>
          </w:p>
        </w:tc>
        <w:tc>
          <w:tcPr>
            <w:tcW w:w="708" w:type="dxa"/>
            <w:tcBorders>
              <w:top w:val="single" w:color="auto" w:sz="4" w:space="0"/>
              <w:left w:val="single" w:color="auto" w:sz="4" w:space="0"/>
              <w:bottom w:val="single" w:color="auto" w:sz="4" w:space="0"/>
              <w:right w:val="single" w:color="auto" w:sz="4" w:space="0"/>
            </w:tcBorders>
            <w:noWrap w:val="0"/>
            <w:vAlign w:val="center"/>
          </w:tcPr>
          <w:p w14:paraId="6C6612F4">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数量变更</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4DCC19F1">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变更后的数量</w:t>
            </w:r>
          </w:p>
        </w:tc>
        <w:tc>
          <w:tcPr>
            <w:tcW w:w="567" w:type="dxa"/>
            <w:tcBorders>
              <w:top w:val="single" w:color="auto" w:sz="4" w:space="0"/>
              <w:left w:val="single" w:color="auto" w:sz="4" w:space="0"/>
              <w:bottom w:val="single" w:color="auto" w:sz="4" w:space="0"/>
              <w:right w:val="single" w:color="auto" w:sz="4" w:space="0"/>
            </w:tcBorders>
            <w:noWrap w:val="0"/>
            <w:vAlign w:val="center"/>
          </w:tcPr>
          <w:p w14:paraId="05CAE9B1">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单位</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673E38A">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变更前的单价（元）</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06FD5EFF">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单价</w:t>
            </w:r>
          </w:p>
          <w:p w14:paraId="0E6C7E3C">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w:t>
            </w:r>
          </w:p>
          <w:p w14:paraId="56E4E1E8">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（元）</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08C431CB">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变更后的单价（元）</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374F6597">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变更前的金额（元）</w:t>
            </w:r>
          </w:p>
        </w:tc>
        <w:tc>
          <w:tcPr>
            <w:tcW w:w="973" w:type="dxa"/>
            <w:tcBorders>
              <w:top w:val="single" w:color="auto" w:sz="4" w:space="0"/>
              <w:left w:val="single" w:color="auto" w:sz="4" w:space="0"/>
              <w:bottom w:val="single" w:color="auto" w:sz="4" w:space="0"/>
              <w:right w:val="single" w:color="auto" w:sz="4" w:space="0"/>
            </w:tcBorders>
            <w:noWrap w:val="0"/>
            <w:vAlign w:val="center"/>
          </w:tcPr>
          <w:p w14:paraId="7288DE0D">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金额</w:t>
            </w:r>
          </w:p>
          <w:p w14:paraId="7B80F2C4">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变更（元）</w:t>
            </w:r>
          </w:p>
        </w:tc>
        <w:tc>
          <w:tcPr>
            <w:tcW w:w="1011" w:type="dxa"/>
            <w:tcBorders>
              <w:top w:val="single" w:color="auto" w:sz="4" w:space="0"/>
              <w:left w:val="single" w:color="auto" w:sz="4" w:space="0"/>
              <w:bottom w:val="single" w:color="auto" w:sz="4" w:space="0"/>
              <w:right w:val="single" w:color="auto" w:sz="4" w:space="0"/>
            </w:tcBorders>
            <w:noWrap w:val="0"/>
            <w:vAlign w:val="center"/>
          </w:tcPr>
          <w:p w14:paraId="0104BC7E">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变更后的金额（元）</w:t>
            </w:r>
          </w:p>
        </w:tc>
      </w:tr>
      <w:tr w14:paraId="102F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 w:type="dxa"/>
            <w:tcBorders>
              <w:top w:val="single" w:color="auto" w:sz="4" w:space="0"/>
              <w:left w:val="single" w:color="auto" w:sz="4" w:space="0"/>
              <w:bottom w:val="single" w:color="auto" w:sz="4" w:space="0"/>
              <w:right w:val="single" w:color="auto" w:sz="4" w:space="0"/>
            </w:tcBorders>
            <w:noWrap w:val="0"/>
            <w:vAlign w:val="center"/>
          </w:tcPr>
          <w:p w14:paraId="11F5CA34">
            <w:pPr>
              <w:jc w:val="center"/>
              <w:rPr>
                <w:rFonts w:ascii="宋体" w:hAnsi="宋体" w:eastAsia="宋体"/>
                <w:color w:val="auto"/>
                <w:kern w:val="0"/>
                <w:szCs w:val="21"/>
                <w:highlight w:val="none"/>
              </w:rPr>
            </w:pPr>
            <w:r>
              <w:rPr>
                <w:rFonts w:ascii="宋体" w:hAnsi="宋体" w:eastAsia="宋体"/>
                <w:color w:val="auto"/>
                <w:kern w:val="0"/>
                <w:szCs w:val="21"/>
                <w:highlight w:val="none"/>
              </w:rPr>
              <w:t>1</w:t>
            </w: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361E0190">
            <w:pPr>
              <w:rPr>
                <w:rFonts w:hint="default" w:ascii="宋体" w:hAnsi="宋体" w:eastAsia="宋体"/>
                <w:color w:val="auto"/>
                <w:kern w:val="0"/>
                <w:szCs w:val="21"/>
                <w:highlight w:val="none"/>
                <w:lang w:val="en-US" w:eastAsia="zh-CN"/>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60F506B4">
            <w:pPr>
              <w:rPr>
                <w:rFonts w:hint="default" w:ascii="宋体" w:hAnsi="宋体" w:eastAsia="宋体"/>
                <w:color w:val="auto"/>
                <w:kern w:val="0"/>
                <w:szCs w:val="21"/>
                <w:highlight w:val="none"/>
                <w:lang w:val="en-US" w:eastAsia="zh-CN"/>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700A166C">
            <w:pPr>
              <w:rPr>
                <w:rFonts w:hint="default" w:ascii="宋体" w:hAnsi="宋体" w:eastAsia="宋体"/>
                <w:color w:val="auto"/>
                <w:kern w:val="0"/>
                <w:szCs w:val="21"/>
                <w:highlight w:val="none"/>
                <w:lang w:val="en-US" w:eastAsia="zh-CN"/>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C5FD928">
            <w:pPr>
              <w:rPr>
                <w:rFonts w:hint="default" w:ascii="宋体" w:hAnsi="宋体" w:eastAsia="宋体"/>
                <w:color w:val="auto"/>
                <w:kern w:val="0"/>
                <w:szCs w:val="21"/>
                <w:highlight w:val="none"/>
                <w:lang w:val="en-US" w:eastAsia="zh-CN"/>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4736FAD8">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8008BD1">
            <w:pPr>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39047BB5">
            <w:pPr>
              <w:jc w:val="right"/>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53AABE7C">
            <w:pPr>
              <w:jc w:val="right"/>
              <w:rPr>
                <w:rFonts w:ascii="宋体" w:hAnsi="宋体" w:eastAsia="宋体"/>
                <w:color w:val="auto"/>
                <w:kern w:val="0"/>
                <w:szCs w:val="21"/>
                <w:highlight w:val="none"/>
                <w:u w:val="single"/>
              </w:rPr>
            </w:pPr>
          </w:p>
        </w:tc>
        <w:tc>
          <w:tcPr>
            <w:tcW w:w="709" w:type="dxa"/>
            <w:tcBorders>
              <w:top w:val="single" w:color="auto" w:sz="4" w:space="0"/>
              <w:left w:val="single" w:color="auto" w:sz="4" w:space="0"/>
              <w:bottom w:val="single" w:color="auto" w:sz="4" w:space="0"/>
              <w:right w:val="single" w:color="auto" w:sz="4" w:space="0"/>
            </w:tcBorders>
            <w:noWrap w:val="0"/>
            <w:vAlign w:val="top"/>
          </w:tcPr>
          <w:p w14:paraId="46073C9D">
            <w:pPr>
              <w:jc w:val="right"/>
              <w:rPr>
                <w:rFonts w:ascii="宋体" w:hAnsi="宋体" w:eastAsia="宋体"/>
                <w:color w:val="auto"/>
                <w:kern w:val="0"/>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top"/>
          </w:tcPr>
          <w:p w14:paraId="5D8A7B34">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1F9F31AF">
            <w:pPr>
              <w:jc w:val="right"/>
              <w:rPr>
                <w:rFonts w:ascii="宋体" w:hAnsi="宋体" w:eastAsia="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222617CC">
            <w:pPr>
              <w:jc w:val="right"/>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2A13B712">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7B8C2F0">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4E73F757">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52B28F38">
            <w:pPr>
              <w:jc w:val="right"/>
              <w:rPr>
                <w:rFonts w:ascii="宋体" w:hAnsi="宋体" w:eastAsia="宋体"/>
                <w:color w:val="auto"/>
                <w:kern w:val="0"/>
                <w:szCs w:val="21"/>
                <w:highlight w:val="none"/>
              </w:rPr>
            </w:pPr>
          </w:p>
        </w:tc>
      </w:tr>
      <w:tr w14:paraId="661EB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6583BFB4">
            <w:pPr>
              <w:jc w:val="center"/>
              <w:rPr>
                <w:rFonts w:hint="default" w:ascii="宋体" w:hAnsi="宋体" w:eastAsia="宋体"/>
                <w:color w:val="auto"/>
                <w:kern w:val="0"/>
                <w:szCs w:val="21"/>
                <w:highlight w:val="none"/>
                <w:lang w:val="en-US" w:eastAsia="zh-CN"/>
              </w:rPr>
            </w:pP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4F11D957">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45AB089D">
            <w:pPr>
              <w:rPr>
                <w:rFonts w:ascii="宋体" w:hAnsi="宋体" w:eastAsia="宋体"/>
                <w:color w:val="auto"/>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15C6301A">
            <w:pPr>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1A7B8F3">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12CD147">
            <w:pPr>
              <w:rPr>
                <w:rFonts w:hint="default" w:ascii="宋体" w:hAnsi="宋体" w:eastAsia="宋体"/>
                <w:color w:val="auto"/>
                <w:kern w:val="0"/>
                <w:szCs w:val="21"/>
                <w:highlight w:val="none"/>
                <w:lang w:val="en-US" w:eastAsia="zh-CN"/>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26A45ADE">
            <w:pPr>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64D85F19">
            <w:pPr>
              <w:jc w:val="right"/>
              <w:rPr>
                <w:rFonts w:hint="eastAsia" w:ascii="宋体" w:hAnsi="宋体" w:eastAsia="宋体"/>
                <w:color w:val="auto"/>
                <w:kern w:val="0"/>
                <w:szCs w:val="21"/>
                <w:highlight w:val="none"/>
                <w:lang w:val="en-US" w:eastAsia="zh-CN"/>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1664D45F">
            <w:pPr>
              <w:jc w:val="right"/>
              <w:rPr>
                <w:rFonts w:hint="eastAsia" w:ascii="宋体" w:hAnsi="宋体" w:eastAsia="宋体"/>
                <w:color w:val="auto"/>
                <w:kern w:val="0"/>
                <w:szCs w:val="21"/>
                <w:highlight w:val="none"/>
                <w:lang w:val="en-US" w:eastAsia="zh-CN"/>
              </w:rPr>
            </w:pPr>
          </w:p>
        </w:tc>
        <w:tc>
          <w:tcPr>
            <w:tcW w:w="709" w:type="dxa"/>
            <w:tcBorders>
              <w:top w:val="single" w:color="auto" w:sz="4" w:space="0"/>
              <w:left w:val="single" w:color="auto" w:sz="4" w:space="0"/>
              <w:bottom w:val="single" w:color="auto" w:sz="4" w:space="0"/>
              <w:right w:val="single" w:color="auto" w:sz="4" w:space="0"/>
            </w:tcBorders>
            <w:noWrap w:val="0"/>
            <w:vAlign w:val="top"/>
          </w:tcPr>
          <w:p w14:paraId="257D99D5">
            <w:pPr>
              <w:jc w:val="right"/>
              <w:rPr>
                <w:rFonts w:hint="eastAsia" w:ascii="宋体" w:hAnsi="宋体" w:eastAsia="宋体"/>
                <w:color w:val="auto"/>
                <w:kern w:val="0"/>
                <w:szCs w:val="21"/>
                <w:highlight w:val="none"/>
                <w:lang w:val="en-US" w:eastAsia="zh-CN"/>
              </w:rPr>
            </w:pPr>
          </w:p>
        </w:tc>
        <w:tc>
          <w:tcPr>
            <w:tcW w:w="567" w:type="dxa"/>
            <w:tcBorders>
              <w:top w:val="single" w:color="auto" w:sz="4" w:space="0"/>
              <w:left w:val="single" w:color="auto" w:sz="4" w:space="0"/>
              <w:bottom w:val="single" w:color="auto" w:sz="4" w:space="0"/>
              <w:right w:val="single" w:color="auto" w:sz="4" w:space="0"/>
            </w:tcBorders>
            <w:noWrap w:val="0"/>
            <w:vAlign w:val="top"/>
          </w:tcPr>
          <w:p w14:paraId="21983C61">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20007E90">
            <w:pPr>
              <w:jc w:val="right"/>
              <w:rPr>
                <w:rFonts w:hint="default" w:ascii="宋体" w:hAnsi="宋体" w:eastAsia="宋体"/>
                <w:color w:val="auto"/>
                <w:kern w:val="0"/>
                <w:szCs w:val="21"/>
                <w:highlight w:val="none"/>
                <w:lang w:val="en-US" w:eastAsia="zh-CN"/>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A4CE101">
            <w:pPr>
              <w:jc w:val="right"/>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7B963D2D">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471DCDF">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16977044">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7134EB4C">
            <w:pPr>
              <w:jc w:val="right"/>
              <w:rPr>
                <w:rFonts w:ascii="宋体" w:hAnsi="宋体" w:eastAsia="宋体"/>
                <w:color w:val="auto"/>
                <w:kern w:val="0"/>
                <w:szCs w:val="21"/>
                <w:highlight w:val="none"/>
              </w:rPr>
            </w:pPr>
          </w:p>
        </w:tc>
      </w:tr>
      <w:tr w14:paraId="5EF33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59691790">
            <w:pPr>
              <w:jc w:val="center"/>
              <w:rPr>
                <w:rFonts w:hint="default" w:ascii="宋体" w:hAnsi="宋体" w:eastAsia="宋体"/>
                <w:color w:val="auto"/>
                <w:kern w:val="0"/>
                <w:szCs w:val="21"/>
                <w:highlight w:val="none"/>
                <w:lang w:val="en-US" w:eastAsia="zh-CN"/>
              </w:rPr>
            </w:pP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699BFA9A">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E9FB1B3">
            <w:pPr>
              <w:rPr>
                <w:rFonts w:ascii="宋体" w:hAnsi="宋体" w:eastAsia="宋体"/>
                <w:color w:val="auto"/>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256E0970">
            <w:pPr>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7B265F2A">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CC18CA0">
            <w:pPr>
              <w:rPr>
                <w:rFonts w:hint="default" w:ascii="宋体" w:hAnsi="宋体" w:eastAsia="宋体"/>
                <w:color w:val="auto"/>
                <w:kern w:val="0"/>
                <w:szCs w:val="21"/>
                <w:highlight w:val="none"/>
                <w:lang w:val="en-US" w:eastAsia="zh-CN"/>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AD39AED">
            <w:pPr>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2EC63B9F">
            <w:pPr>
              <w:jc w:val="center"/>
              <w:rPr>
                <w:rFonts w:hint="eastAsia" w:ascii="宋体" w:hAnsi="宋体" w:eastAsia="宋体"/>
                <w:color w:val="auto"/>
                <w:kern w:val="0"/>
                <w:szCs w:val="21"/>
                <w:highlight w:val="none"/>
                <w:lang w:val="en-US" w:eastAsia="zh-CN"/>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488C19C0">
            <w:pPr>
              <w:jc w:val="right"/>
              <w:rPr>
                <w:rFonts w:hint="eastAsia" w:ascii="宋体" w:hAnsi="宋体" w:eastAsia="宋体"/>
                <w:color w:val="auto"/>
                <w:kern w:val="0"/>
                <w:szCs w:val="21"/>
                <w:highlight w:val="none"/>
                <w:lang w:val="en-US" w:eastAsia="zh-CN"/>
              </w:rPr>
            </w:pPr>
          </w:p>
        </w:tc>
        <w:tc>
          <w:tcPr>
            <w:tcW w:w="709" w:type="dxa"/>
            <w:tcBorders>
              <w:top w:val="single" w:color="auto" w:sz="4" w:space="0"/>
              <w:left w:val="single" w:color="auto" w:sz="4" w:space="0"/>
              <w:bottom w:val="single" w:color="auto" w:sz="4" w:space="0"/>
              <w:right w:val="single" w:color="auto" w:sz="4" w:space="0"/>
            </w:tcBorders>
            <w:noWrap w:val="0"/>
            <w:vAlign w:val="top"/>
          </w:tcPr>
          <w:p w14:paraId="4B05BD12">
            <w:pPr>
              <w:jc w:val="right"/>
              <w:rPr>
                <w:rFonts w:hint="eastAsia" w:ascii="宋体" w:hAnsi="宋体" w:eastAsia="宋体"/>
                <w:color w:val="auto"/>
                <w:kern w:val="0"/>
                <w:szCs w:val="21"/>
                <w:highlight w:val="none"/>
                <w:lang w:val="en-US" w:eastAsia="zh-CN"/>
              </w:rPr>
            </w:pPr>
          </w:p>
        </w:tc>
        <w:tc>
          <w:tcPr>
            <w:tcW w:w="567" w:type="dxa"/>
            <w:tcBorders>
              <w:top w:val="single" w:color="auto" w:sz="4" w:space="0"/>
              <w:left w:val="single" w:color="auto" w:sz="4" w:space="0"/>
              <w:bottom w:val="single" w:color="auto" w:sz="4" w:space="0"/>
              <w:right w:val="single" w:color="auto" w:sz="4" w:space="0"/>
            </w:tcBorders>
            <w:noWrap w:val="0"/>
            <w:vAlign w:val="top"/>
          </w:tcPr>
          <w:p w14:paraId="28EFF1A4">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40DCEDD8">
            <w:pPr>
              <w:jc w:val="right"/>
              <w:rPr>
                <w:rFonts w:ascii="宋体" w:hAnsi="宋体" w:eastAsia="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4D6471E">
            <w:pPr>
              <w:jc w:val="right"/>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49DCA9F5">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9D71782">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6B46749E">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204CC6B6">
            <w:pPr>
              <w:jc w:val="right"/>
              <w:rPr>
                <w:rFonts w:ascii="宋体" w:hAnsi="宋体" w:eastAsia="宋体"/>
                <w:color w:val="auto"/>
                <w:kern w:val="0"/>
                <w:szCs w:val="21"/>
                <w:highlight w:val="none"/>
              </w:rPr>
            </w:pPr>
          </w:p>
        </w:tc>
      </w:tr>
      <w:tr w14:paraId="3339E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6890CCB0">
            <w:pPr>
              <w:jc w:val="center"/>
              <w:rPr>
                <w:rFonts w:hint="eastAsia" w:ascii="宋体" w:hAnsi="宋体" w:eastAsia="宋体"/>
                <w:color w:val="auto"/>
                <w:kern w:val="0"/>
                <w:szCs w:val="21"/>
                <w:highlight w:val="none"/>
                <w:lang w:eastAsia="zh-CN"/>
              </w:rPr>
            </w:pP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61FB8F9E">
            <w:pPr>
              <w:rPr>
                <w:rFonts w:hint="default" w:ascii="宋体" w:hAnsi="宋体" w:eastAsia="宋体" w:cs="Times New Roman"/>
                <w:color w:val="auto"/>
                <w:kern w:val="0"/>
                <w:sz w:val="21"/>
                <w:szCs w:val="21"/>
                <w:highlight w:val="none"/>
                <w:lang w:val="en-US" w:eastAsia="zh-CN" w:bidi="ar-SA"/>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84814F5">
            <w:pPr>
              <w:rPr>
                <w:rFonts w:hint="default" w:ascii="宋体" w:hAnsi="宋体" w:eastAsia="宋体" w:cs="Times New Roman"/>
                <w:color w:val="auto"/>
                <w:kern w:val="0"/>
                <w:sz w:val="21"/>
                <w:szCs w:val="21"/>
                <w:highlight w:val="none"/>
                <w:lang w:val="en-US" w:eastAsia="zh-CN" w:bidi="ar-SA"/>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5CCE9269">
            <w:pPr>
              <w:rPr>
                <w:rFonts w:hint="default" w:ascii="宋体" w:hAnsi="宋体" w:eastAsia="宋体" w:cs="Times New Roman"/>
                <w:color w:val="auto"/>
                <w:kern w:val="0"/>
                <w:sz w:val="21"/>
                <w:szCs w:val="21"/>
                <w:highlight w:val="none"/>
                <w:lang w:val="en-US" w:eastAsia="zh-CN" w:bidi="ar-SA"/>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F8C5725">
            <w:pPr>
              <w:rPr>
                <w:rFonts w:hint="default" w:ascii="宋体" w:hAnsi="宋体" w:eastAsia="宋体" w:cs="Times New Roman"/>
                <w:color w:val="auto"/>
                <w:kern w:val="0"/>
                <w:sz w:val="21"/>
                <w:szCs w:val="21"/>
                <w:highlight w:val="none"/>
                <w:lang w:val="en-US" w:eastAsia="zh-CN" w:bidi="ar-SA"/>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14EBFDFF">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8E9ABC2">
            <w:pPr>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4BAA36DC">
            <w:pPr>
              <w:jc w:val="right"/>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32794B0A">
            <w:pPr>
              <w:jc w:val="right"/>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top"/>
          </w:tcPr>
          <w:p w14:paraId="121D6F29">
            <w:pPr>
              <w:jc w:val="right"/>
              <w:rPr>
                <w:rFonts w:ascii="宋体" w:hAnsi="宋体" w:eastAsia="宋体"/>
                <w:color w:val="auto"/>
                <w:kern w:val="0"/>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top"/>
          </w:tcPr>
          <w:p w14:paraId="1340D21C">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6FB0833F">
            <w:pPr>
              <w:jc w:val="right"/>
              <w:rPr>
                <w:rFonts w:ascii="宋体" w:hAnsi="宋体" w:eastAsia="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9D03184">
            <w:pPr>
              <w:jc w:val="right"/>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6DB552BC">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7DDAB84">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046CAF84">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09A8C51C">
            <w:pPr>
              <w:jc w:val="right"/>
              <w:rPr>
                <w:rFonts w:ascii="宋体" w:hAnsi="宋体" w:eastAsia="宋体"/>
                <w:color w:val="auto"/>
                <w:kern w:val="0"/>
                <w:szCs w:val="21"/>
                <w:highlight w:val="none"/>
              </w:rPr>
            </w:pPr>
          </w:p>
        </w:tc>
      </w:tr>
      <w:tr w14:paraId="76001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center"/>
          </w:tcPr>
          <w:p w14:paraId="7207954F">
            <w:pPr>
              <w:jc w:val="center"/>
              <w:rPr>
                <w:rFonts w:ascii="宋体" w:hAnsi="宋体" w:eastAsia="宋体"/>
                <w:color w:val="auto"/>
                <w:kern w:val="0"/>
                <w:szCs w:val="21"/>
                <w:highlight w:val="none"/>
              </w:rPr>
            </w:pPr>
          </w:p>
        </w:tc>
        <w:tc>
          <w:tcPr>
            <w:tcW w:w="709" w:type="dxa"/>
            <w:gridSpan w:val="2"/>
            <w:tcBorders>
              <w:top w:val="single" w:color="auto" w:sz="4" w:space="0"/>
              <w:left w:val="single" w:color="auto" w:sz="4" w:space="0"/>
              <w:bottom w:val="single" w:color="auto" w:sz="4" w:space="0"/>
              <w:right w:val="single" w:color="auto" w:sz="4" w:space="0"/>
            </w:tcBorders>
            <w:noWrap w:val="0"/>
            <w:vAlign w:val="center"/>
          </w:tcPr>
          <w:p w14:paraId="6AFA4AC6">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7F2C0110">
            <w:pPr>
              <w:rPr>
                <w:rFonts w:ascii="宋体" w:hAnsi="宋体" w:eastAsia="宋体"/>
                <w:color w:val="auto"/>
                <w:kern w:val="0"/>
                <w:szCs w:val="21"/>
                <w:highlight w:val="none"/>
              </w:rPr>
            </w:pPr>
          </w:p>
        </w:tc>
        <w:tc>
          <w:tcPr>
            <w:tcW w:w="851" w:type="dxa"/>
            <w:tcBorders>
              <w:top w:val="single" w:color="auto" w:sz="4" w:space="0"/>
              <w:left w:val="single" w:color="auto" w:sz="4" w:space="0"/>
              <w:bottom w:val="single" w:color="auto" w:sz="4" w:space="0"/>
              <w:right w:val="single" w:color="auto" w:sz="4" w:space="0"/>
            </w:tcBorders>
            <w:noWrap w:val="0"/>
            <w:vAlign w:val="center"/>
          </w:tcPr>
          <w:p w14:paraId="673CDF1D">
            <w:pPr>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01AF16E9">
            <w:pP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1C6C0A6E">
            <w:pPr>
              <w:rPr>
                <w:rFonts w:hint="default" w:ascii="宋体" w:hAnsi="宋体" w:eastAsia="宋体"/>
                <w:color w:val="auto"/>
                <w:kern w:val="0"/>
                <w:szCs w:val="21"/>
                <w:highlight w:val="none"/>
                <w:lang w:val="en-US" w:eastAsia="zh-CN"/>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1E5B21C2">
            <w:pPr>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4219A5DE">
            <w:pPr>
              <w:jc w:val="right"/>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045BE1F3">
            <w:pPr>
              <w:jc w:val="right"/>
              <w:rPr>
                <w:rFonts w:ascii="宋体" w:hAnsi="宋体" w:eastAsia="宋体"/>
                <w:color w:val="auto"/>
                <w:kern w:val="0"/>
                <w:szCs w:val="21"/>
                <w:highlight w:val="none"/>
              </w:rPr>
            </w:pPr>
          </w:p>
        </w:tc>
        <w:tc>
          <w:tcPr>
            <w:tcW w:w="709" w:type="dxa"/>
            <w:tcBorders>
              <w:top w:val="single" w:color="auto" w:sz="4" w:space="0"/>
              <w:left w:val="single" w:color="auto" w:sz="4" w:space="0"/>
              <w:bottom w:val="single" w:color="auto" w:sz="4" w:space="0"/>
              <w:right w:val="single" w:color="auto" w:sz="4" w:space="0"/>
            </w:tcBorders>
            <w:noWrap w:val="0"/>
            <w:vAlign w:val="top"/>
          </w:tcPr>
          <w:p w14:paraId="5EAEF8A0">
            <w:pPr>
              <w:jc w:val="right"/>
              <w:rPr>
                <w:rFonts w:ascii="宋体" w:hAnsi="宋体" w:eastAsia="宋体"/>
                <w:color w:val="auto"/>
                <w:kern w:val="0"/>
                <w:szCs w:val="21"/>
                <w:highlight w:val="none"/>
              </w:rPr>
            </w:pPr>
          </w:p>
        </w:tc>
        <w:tc>
          <w:tcPr>
            <w:tcW w:w="567" w:type="dxa"/>
            <w:tcBorders>
              <w:top w:val="single" w:color="auto" w:sz="4" w:space="0"/>
              <w:left w:val="single" w:color="auto" w:sz="4" w:space="0"/>
              <w:bottom w:val="single" w:color="auto" w:sz="4" w:space="0"/>
              <w:right w:val="single" w:color="auto" w:sz="4" w:space="0"/>
            </w:tcBorders>
            <w:noWrap w:val="0"/>
            <w:vAlign w:val="top"/>
          </w:tcPr>
          <w:p w14:paraId="52008625">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top"/>
          </w:tcPr>
          <w:p w14:paraId="409FD9C8">
            <w:pPr>
              <w:jc w:val="right"/>
              <w:rPr>
                <w:rFonts w:ascii="宋体" w:hAnsi="宋体" w:eastAsia="宋体"/>
                <w:color w:val="auto"/>
                <w:kern w:val="0"/>
                <w:szCs w:val="21"/>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FA0E0C9">
            <w:pPr>
              <w:jc w:val="right"/>
              <w:rPr>
                <w:rFonts w:ascii="宋体" w:hAnsi="宋体" w:eastAsia="宋体"/>
                <w:color w:val="auto"/>
                <w:kern w:val="0"/>
                <w:szCs w:val="21"/>
                <w:highlight w:val="none"/>
              </w:rPr>
            </w:pPr>
          </w:p>
        </w:tc>
        <w:tc>
          <w:tcPr>
            <w:tcW w:w="993" w:type="dxa"/>
            <w:tcBorders>
              <w:top w:val="single" w:color="auto" w:sz="4" w:space="0"/>
              <w:left w:val="single" w:color="auto" w:sz="4" w:space="0"/>
              <w:bottom w:val="single" w:color="auto" w:sz="4" w:space="0"/>
              <w:right w:val="single" w:color="auto" w:sz="4" w:space="0"/>
            </w:tcBorders>
            <w:noWrap w:val="0"/>
            <w:vAlign w:val="top"/>
          </w:tcPr>
          <w:p w14:paraId="784719E0">
            <w:pPr>
              <w:jc w:val="right"/>
              <w:rPr>
                <w:rFonts w:ascii="宋体" w:hAnsi="宋体" w:eastAsia="宋体"/>
                <w:color w:val="auto"/>
                <w:kern w:val="0"/>
                <w:szCs w:val="21"/>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1F49078A">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24D80062">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410B0EB9">
            <w:pPr>
              <w:jc w:val="right"/>
              <w:rPr>
                <w:rFonts w:ascii="宋体" w:hAnsi="宋体" w:eastAsia="宋体"/>
                <w:color w:val="auto"/>
                <w:kern w:val="0"/>
                <w:szCs w:val="21"/>
                <w:highlight w:val="none"/>
              </w:rPr>
            </w:pPr>
          </w:p>
        </w:tc>
      </w:tr>
      <w:tr w14:paraId="5FD42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7" w:type="dxa"/>
            <w:tcBorders>
              <w:top w:val="single" w:color="auto" w:sz="4" w:space="0"/>
              <w:left w:val="single" w:color="auto" w:sz="4" w:space="0"/>
              <w:bottom w:val="single" w:color="auto" w:sz="4" w:space="0"/>
              <w:right w:val="single" w:color="auto" w:sz="4" w:space="0"/>
            </w:tcBorders>
            <w:noWrap w:val="0"/>
            <w:vAlign w:val="top"/>
          </w:tcPr>
          <w:p w14:paraId="537159AE">
            <w:pPr>
              <w:jc w:val="center"/>
              <w:rPr>
                <w:rFonts w:ascii="宋体" w:hAnsi="宋体" w:eastAsia="宋体"/>
                <w:color w:val="auto"/>
                <w:kern w:val="0"/>
                <w:szCs w:val="21"/>
                <w:highlight w:val="none"/>
              </w:rPr>
            </w:pPr>
          </w:p>
        </w:tc>
        <w:tc>
          <w:tcPr>
            <w:tcW w:w="708" w:type="dxa"/>
            <w:tcBorders>
              <w:top w:val="single" w:color="auto" w:sz="4" w:space="0"/>
              <w:left w:val="single" w:color="auto" w:sz="4" w:space="0"/>
              <w:bottom w:val="single" w:color="auto" w:sz="4" w:space="0"/>
              <w:right w:val="single" w:color="auto" w:sz="4" w:space="0"/>
            </w:tcBorders>
            <w:noWrap w:val="0"/>
            <w:vAlign w:val="center"/>
          </w:tcPr>
          <w:p w14:paraId="2CAE630E">
            <w:pPr>
              <w:jc w:val="center"/>
              <w:rPr>
                <w:rFonts w:hint="eastAsia" w:ascii="宋体" w:hAnsi="宋体" w:eastAsia="宋体"/>
                <w:color w:val="auto"/>
                <w:kern w:val="0"/>
                <w:szCs w:val="21"/>
                <w:highlight w:val="none"/>
              </w:rPr>
            </w:pPr>
          </w:p>
        </w:tc>
        <w:tc>
          <w:tcPr>
            <w:tcW w:w="9781" w:type="dxa"/>
            <w:gridSpan w:val="13"/>
            <w:tcBorders>
              <w:top w:val="single" w:color="auto" w:sz="4" w:space="0"/>
              <w:left w:val="single" w:color="auto" w:sz="4" w:space="0"/>
              <w:bottom w:val="single" w:color="auto" w:sz="4" w:space="0"/>
              <w:right w:val="single" w:color="auto" w:sz="4" w:space="0"/>
            </w:tcBorders>
            <w:noWrap w:val="0"/>
            <w:vAlign w:val="center"/>
          </w:tcPr>
          <w:p w14:paraId="06F40192">
            <w:pPr>
              <w:jc w:val="center"/>
              <w:rPr>
                <w:rFonts w:ascii="宋体" w:hAnsi="宋体" w:eastAsia="宋体"/>
                <w:color w:val="auto"/>
                <w:kern w:val="0"/>
                <w:szCs w:val="21"/>
                <w:highlight w:val="none"/>
              </w:rPr>
            </w:pPr>
            <w:r>
              <w:rPr>
                <w:rFonts w:hint="eastAsia" w:ascii="宋体" w:hAnsi="宋体" w:eastAsia="宋体"/>
                <w:color w:val="auto"/>
                <w:kern w:val="0"/>
                <w:szCs w:val="21"/>
                <w:highlight w:val="none"/>
              </w:rPr>
              <w:t>合计</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095AEF18">
            <w:pPr>
              <w:jc w:val="right"/>
              <w:rPr>
                <w:rFonts w:ascii="宋体" w:hAnsi="宋体" w:eastAsia="宋体"/>
                <w:color w:val="auto"/>
                <w:kern w:val="0"/>
                <w:szCs w:val="21"/>
                <w:highlight w:val="none"/>
              </w:rPr>
            </w:pPr>
          </w:p>
        </w:tc>
        <w:tc>
          <w:tcPr>
            <w:tcW w:w="973" w:type="dxa"/>
            <w:tcBorders>
              <w:top w:val="single" w:color="auto" w:sz="4" w:space="0"/>
              <w:left w:val="single" w:color="auto" w:sz="4" w:space="0"/>
              <w:bottom w:val="single" w:color="auto" w:sz="4" w:space="0"/>
              <w:right w:val="single" w:color="auto" w:sz="4" w:space="0"/>
            </w:tcBorders>
            <w:noWrap w:val="0"/>
            <w:vAlign w:val="top"/>
          </w:tcPr>
          <w:p w14:paraId="2CF783DD">
            <w:pPr>
              <w:jc w:val="right"/>
              <w:rPr>
                <w:rFonts w:ascii="宋体" w:hAnsi="宋体" w:eastAsia="宋体"/>
                <w:color w:val="auto"/>
                <w:kern w:val="0"/>
                <w:szCs w:val="21"/>
                <w:highlight w:val="none"/>
              </w:rPr>
            </w:pPr>
          </w:p>
        </w:tc>
        <w:tc>
          <w:tcPr>
            <w:tcW w:w="1011" w:type="dxa"/>
            <w:tcBorders>
              <w:top w:val="single" w:color="auto" w:sz="4" w:space="0"/>
              <w:left w:val="single" w:color="auto" w:sz="4" w:space="0"/>
              <w:bottom w:val="single" w:color="auto" w:sz="4" w:space="0"/>
              <w:right w:val="single" w:color="auto" w:sz="4" w:space="0"/>
            </w:tcBorders>
            <w:noWrap w:val="0"/>
            <w:vAlign w:val="top"/>
          </w:tcPr>
          <w:p w14:paraId="1A2A2C1A">
            <w:pPr>
              <w:jc w:val="right"/>
              <w:rPr>
                <w:rFonts w:ascii="宋体" w:hAnsi="宋体" w:eastAsia="宋体"/>
                <w:color w:val="auto"/>
                <w:kern w:val="0"/>
                <w:szCs w:val="21"/>
                <w:highlight w:val="none"/>
              </w:rPr>
            </w:pPr>
          </w:p>
        </w:tc>
      </w:tr>
    </w:tbl>
    <w:p w14:paraId="39105551">
      <w:pPr>
        <w:rPr>
          <w:rFonts w:hint="eastAsia" w:ascii="宋体" w:hAnsi="宋体" w:eastAsia="宋体"/>
          <w:color w:val="auto"/>
          <w:szCs w:val="21"/>
          <w:highlight w:val="none"/>
          <w:lang w:val="en-US" w:eastAsia="zh-CN"/>
        </w:rPr>
      </w:pPr>
    </w:p>
    <w:p w14:paraId="432ACA92">
      <w:pPr>
        <w:rPr>
          <w:rFonts w:hint="eastAsia" w:ascii="宋体" w:hAnsi="宋体" w:eastAsia="宋体"/>
          <w:color w:val="auto"/>
          <w:szCs w:val="21"/>
          <w:highlight w:val="none"/>
          <w:lang w:val="en-US" w:eastAsia="zh-CN"/>
        </w:rPr>
      </w:pPr>
    </w:p>
    <w:p w14:paraId="28B31747">
      <w:pPr>
        <w:rPr>
          <w:rFonts w:hint="eastAsia" w:ascii="宋体" w:hAnsi="宋体" w:eastAsia="宋体"/>
          <w:color w:val="auto"/>
          <w:szCs w:val="21"/>
          <w:highlight w:val="none"/>
          <w:lang w:val="en-US" w:eastAsia="zh-CN"/>
        </w:rPr>
      </w:pPr>
    </w:p>
    <w:p w14:paraId="39721AD2">
      <w:pPr>
        <w:rPr>
          <w:rFonts w:ascii="宋体" w:hAnsi="宋体" w:eastAsia="宋体"/>
          <w:color w:val="auto"/>
          <w:szCs w:val="21"/>
          <w:highlight w:val="none"/>
        </w:rPr>
      </w:pPr>
      <w:r>
        <w:rPr>
          <w:rFonts w:hint="eastAsia" w:ascii="宋体" w:hAnsi="宋体" w:eastAsia="宋体"/>
          <w:color w:val="auto"/>
          <w:szCs w:val="21"/>
          <w:highlight w:val="none"/>
          <w:lang w:val="en-US" w:eastAsia="zh-CN"/>
        </w:rPr>
        <w:t>八</w:t>
      </w:r>
      <w:r>
        <w:rPr>
          <w:rFonts w:hint="eastAsia" w:ascii="宋体" w:hAnsi="宋体" w:eastAsia="宋体"/>
          <w:color w:val="auto"/>
          <w:szCs w:val="21"/>
          <w:highlight w:val="none"/>
        </w:rPr>
        <w:t>、（若其他变更中有需要使用新增附件的形式说明变更的具体内容的复杂变更，则增加相关附件，否则省略附件2。）</w:t>
      </w:r>
    </w:p>
    <w:p w14:paraId="0BF595B6">
      <w:pPr>
        <w:rPr>
          <w:b/>
          <w:color w:val="auto"/>
          <w:sz w:val="24"/>
          <w:highlight w:val="none"/>
        </w:rPr>
      </w:pPr>
      <w:r>
        <w:rPr>
          <w:rFonts w:hint="eastAsia"/>
          <w:b/>
          <w:color w:val="auto"/>
          <w:sz w:val="24"/>
          <w:highlight w:val="none"/>
        </w:rPr>
        <w:t>合同变更协议签名页</w:t>
      </w: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3"/>
        <w:gridCol w:w="6200"/>
      </w:tblGrid>
      <w:tr w14:paraId="6C53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083" w:type="dxa"/>
            <w:noWrap w:val="0"/>
            <w:vAlign w:val="center"/>
          </w:tcPr>
          <w:p w14:paraId="38E6E279">
            <w:pPr>
              <w:spacing w:line="360" w:lineRule="auto"/>
              <w:rPr>
                <w:rFonts w:ascii="宋体" w:hAnsi="宋体"/>
                <w:b/>
                <w:color w:val="auto"/>
                <w:sz w:val="28"/>
                <w:szCs w:val="28"/>
                <w:highlight w:val="none"/>
              </w:rPr>
            </w:pPr>
            <w:r>
              <w:rPr>
                <w:rFonts w:hint="eastAsia" w:ascii="宋体" w:hAnsi="宋体"/>
                <w:b/>
                <w:color w:val="auto"/>
                <w:sz w:val="28"/>
                <w:szCs w:val="28"/>
                <w:highlight w:val="none"/>
              </w:rPr>
              <w:t>买方</w:t>
            </w:r>
            <w:r>
              <w:rPr>
                <w:rFonts w:ascii="宋体" w:hAnsi="宋体"/>
                <w:b/>
                <w:color w:val="auto"/>
                <w:sz w:val="28"/>
                <w:szCs w:val="28"/>
                <w:highlight w:val="none"/>
              </w:rPr>
              <w:t>:</w:t>
            </w:r>
          </w:p>
        </w:tc>
        <w:tc>
          <w:tcPr>
            <w:tcW w:w="6200" w:type="dxa"/>
            <w:noWrap w:val="0"/>
            <w:vAlign w:val="center"/>
          </w:tcPr>
          <w:p w14:paraId="22EBFCB4">
            <w:pPr>
              <w:spacing w:line="360" w:lineRule="auto"/>
              <w:rPr>
                <w:rFonts w:ascii="宋体" w:hAnsi="宋体"/>
                <w:b/>
                <w:color w:val="auto"/>
                <w:sz w:val="28"/>
                <w:szCs w:val="28"/>
                <w:highlight w:val="none"/>
              </w:rPr>
            </w:pPr>
            <w:r>
              <w:rPr>
                <w:rFonts w:hint="eastAsia" w:ascii="宋体" w:hAnsi="宋体"/>
                <w:b/>
                <w:color w:val="auto"/>
                <w:sz w:val="28"/>
                <w:szCs w:val="28"/>
                <w:highlight w:val="none"/>
              </w:rPr>
              <w:t>卖方</w:t>
            </w:r>
            <w:r>
              <w:rPr>
                <w:rFonts w:ascii="宋体" w:hAnsi="宋体"/>
                <w:b/>
                <w:color w:val="auto"/>
                <w:sz w:val="28"/>
                <w:szCs w:val="28"/>
                <w:highlight w:val="none"/>
              </w:rPr>
              <w:t>:</w:t>
            </w:r>
          </w:p>
        </w:tc>
      </w:tr>
      <w:tr w14:paraId="1D095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7083" w:type="dxa"/>
            <w:noWrap w:val="0"/>
            <w:vAlign w:val="top"/>
          </w:tcPr>
          <w:p w14:paraId="004C29E4">
            <w:pPr>
              <w:spacing w:line="360" w:lineRule="auto"/>
              <w:rPr>
                <w:rFonts w:ascii="宋体" w:hAnsi="宋体"/>
                <w:color w:val="auto"/>
                <w:szCs w:val="21"/>
                <w:highlight w:val="none"/>
              </w:rPr>
            </w:pPr>
            <w:r>
              <w:rPr>
                <w:rFonts w:hint="eastAsia" w:ascii="宋体" w:hAnsi="宋体" w:eastAsia="宋体" w:cs="宋体"/>
                <w:color w:val="auto"/>
                <w:kern w:val="0"/>
                <w:szCs w:val="21"/>
                <w:highlight w:val="none"/>
                <w:lang w:eastAsia="zh-CN"/>
              </w:rPr>
              <w:t>签名</w:t>
            </w:r>
            <w:r>
              <w:rPr>
                <w:rFonts w:hint="eastAsia" w:ascii="宋体" w:hAnsi="宋体"/>
                <w:color w:val="auto"/>
                <w:szCs w:val="21"/>
                <w:highlight w:val="none"/>
              </w:rPr>
              <w:t>人（法定代表人或授权代表）：</w:t>
            </w:r>
          </w:p>
        </w:tc>
        <w:tc>
          <w:tcPr>
            <w:tcW w:w="6200" w:type="dxa"/>
            <w:noWrap w:val="0"/>
            <w:vAlign w:val="top"/>
          </w:tcPr>
          <w:p w14:paraId="6C3FA606">
            <w:pPr>
              <w:spacing w:line="360" w:lineRule="auto"/>
              <w:rPr>
                <w:rFonts w:ascii="宋体" w:hAnsi="宋体"/>
                <w:color w:val="auto"/>
                <w:szCs w:val="21"/>
                <w:highlight w:val="none"/>
              </w:rPr>
            </w:pPr>
            <w:r>
              <w:rPr>
                <w:rFonts w:hint="eastAsia" w:ascii="宋体" w:hAnsi="宋体" w:eastAsia="宋体" w:cs="宋体"/>
                <w:color w:val="auto"/>
                <w:kern w:val="0"/>
                <w:szCs w:val="21"/>
                <w:highlight w:val="none"/>
                <w:lang w:eastAsia="zh-CN"/>
              </w:rPr>
              <w:t>签名</w:t>
            </w:r>
            <w:r>
              <w:rPr>
                <w:rFonts w:hint="eastAsia" w:ascii="宋体" w:hAnsi="宋体"/>
                <w:color w:val="auto"/>
                <w:szCs w:val="21"/>
                <w:highlight w:val="none"/>
              </w:rPr>
              <w:t>人（法定代表人或授权代表）：</w:t>
            </w:r>
          </w:p>
        </w:tc>
      </w:tr>
      <w:tr w14:paraId="757B7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7083" w:type="dxa"/>
            <w:noWrap w:val="0"/>
            <w:vAlign w:val="center"/>
          </w:tcPr>
          <w:p w14:paraId="5E6E311A">
            <w:pPr>
              <w:tabs>
                <w:tab w:val="left" w:pos="3225"/>
              </w:tabs>
              <w:spacing w:line="360" w:lineRule="auto"/>
              <w:rPr>
                <w:rFonts w:ascii="宋体" w:hAnsi="宋体"/>
                <w:color w:val="auto"/>
                <w:szCs w:val="21"/>
                <w:highlight w:val="none"/>
              </w:rPr>
            </w:pPr>
            <w:r>
              <w:rPr>
                <w:rFonts w:hint="eastAsia" w:ascii="宋体" w:hAnsi="宋体" w:eastAsia="宋体" w:cs="宋体"/>
                <w:color w:val="auto"/>
                <w:kern w:val="0"/>
                <w:szCs w:val="21"/>
                <w:highlight w:val="none"/>
                <w:lang w:eastAsia="zh-CN"/>
              </w:rPr>
              <w:t>签名</w:t>
            </w:r>
            <w:r>
              <w:rPr>
                <w:rFonts w:hint="eastAsia" w:ascii="宋体" w:hAnsi="宋体"/>
                <w:color w:val="auto"/>
                <w:szCs w:val="21"/>
                <w:highlight w:val="none"/>
              </w:rPr>
              <w:t>日期：</w:t>
            </w:r>
          </w:p>
        </w:tc>
        <w:tc>
          <w:tcPr>
            <w:tcW w:w="6200" w:type="dxa"/>
            <w:noWrap w:val="0"/>
            <w:vAlign w:val="center"/>
          </w:tcPr>
          <w:p w14:paraId="3BFA2FE6">
            <w:pPr>
              <w:tabs>
                <w:tab w:val="left" w:pos="3225"/>
              </w:tabs>
              <w:spacing w:line="360" w:lineRule="auto"/>
              <w:rPr>
                <w:rFonts w:ascii="宋体" w:hAnsi="宋体"/>
                <w:color w:val="auto"/>
                <w:szCs w:val="21"/>
                <w:highlight w:val="none"/>
              </w:rPr>
            </w:pPr>
            <w:r>
              <w:rPr>
                <w:rFonts w:hint="eastAsia" w:ascii="宋体" w:hAnsi="宋体" w:eastAsia="宋体" w:cs="宋体"/>
                <w:color w:val="auto"/>
                <w:kern w:val="0"/>
                <w:szCs w:val="21"/>
                <w:highlight w:val="none"/>
                <w:lang w:eastAsia="zh-CN"/>
              </w:rPr>
              <w:t>签名</w:t>
            </w:r>
            <w:r>
              <w:rPr>
                <w:rFonts w:hint="eastAsia" w:ascii="宋体" w:hAnsi="宋体"/>
                <w:color w:val="auto"/>
                <w:szCs w:val="21"/>
                <w:highlight w:val="none"/>
              </w:rPr>
              <w:t>日期：</w:t>
            </w:r>
          </w:p>
        </w:tc>
      </w:tr>
    </w:tbl>
    <w:p w14:paraId="7815A814">
      <w:pPr>
        <w:topLinePunct/>
        <w:adjustRightInd w:val="0"/>
        <w:snapToGrid w:val="0"/>
        <w:spacing w:line="360" w:lineRule="auto"/>
        <w:ind w:firstLine="420" w:firstLineChars="200"/>
        <w:jc w:val="left"/>
        <w:rPr>
          <w:rFonts w:ascii="宋体" w:hAnsi="宋体" w:eastAsia="宋体" w:cs="Calibri"/>
          <w:color w:val="auto"/>
          <w:kern w:val="0"/>
          <w:szCs w:val="21"/>
          <w:highlight w:val="none"/>
        </w:rPr>
        <w:sectPr>
          <w:pgSz w:w="16838" w:h="11906" w:orient="landscape"/>
          <w:pgMar w:top="1800" w:right="1440" w:bottom="1800" w:left="1440" w:header="851" w:footer="992" w:gutter="0"/>
          <w:cols w:space="720" w:num="1"/>
          <w:docGrid w:type="lines" w:linePitch="312" w:charSpace="0"/>
        </w:sectPr>
      </w:pPr>
    </w:p>
    <w:p w14:paraId="06DC8EE3">
      <w:pPr>
        <w:pStyle w:val="3"/>
        <w:jc w:val="left"/>
        <w:rPr>
          <w:rFonts w:ascii="宋体" w:hAnsi="宋体" w:eastAsia="宋体"/>
          <w:b w:val="0"/>
          <w:color w:val="auto"/>
          <w:sz w:val="28"/>
          <w:highlight w:val="none"/>
        </w:rPr>
      </w:pPr>
      <w:bookmarkStart w:id="1984" w:name="_Toc57495091"/>
      <w:bookmarkStart w:id="1985" w:name="_Toc492891989"/>
      <w:bookmarkStart w:id="1986" w:name="_Toc23379"/>
      <w:bookmarkStart w:id="1987" w:name="_Toc4221"/>
      <w:r>
        <w:rPr>
          <w:rFonts w:hint="eastAsia" w:ascii="宋体" w:hAnsi="宋体" w:eastAsia="宋体"/>
          <w:b w:val="0"/>
          <w:color w:val="auto"/>
          <w:sz w:val="28"/>
          <w:highlight w:val="none"/>
        </w:rPr>
        <w:t>附件</w:t>
      </w:r>
      <w:r>
        <w:rPr>
          <w:rFonts w:ascii="宋体" w:hAnsi="宋体" w:eastAsia="宋体"/>
          <w:b w:val="0"/>
          <w:color w:val="auto"/>
          <w:sz w:val="28"/>
          <w:highlight w:val="none"/>
        </w:rPr>
        <w:t>3</w:t>
      </w:r>
      <w:r>
        <w:rPr>
          <w:rFonts w:hint="eastAsia" w:ascii="宋体" w:hAnsi="宋体" w:eastAsia="宋体"/>
          <w:b w:val="0"/>
          <w:color w:val="auto"/>
          <w:sz w:val="28"/>
          <w:highlight w:val="none"/>
        </w:rPr>
        <w:t>：商务条款修改一览表</w:t>
      </w:r>
      <w:bookmarkEnd w:id="1984"/>
      <w:bookmarkEnd w:id="1985"/>
      <w:bookmarkEnd w:id="1986"/>
      <w:bookmarkEnd w:id="1987"/>
    </w:p>
    <w:tbl>
      <w:tblPr>
        <w:tblStyle w:val="1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1559"/>
        <w:gridCol w:w="851"/>
        <w:gridCol w:w="2268"/>
        <w:gridCol w:w="2126"/>
        <w:gridCol w:w="1418"/>
      </w:tblGrid>
      <w:tr w14:paraId="67BDD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top"/>
          </w:tcPr>
          <w:p w14:paraId="2222DF85">
            <w:pPr>
              <w:jc w:val="center"/>
              <w:rPr>
                <w:rFonts w:ascii="宋体" w:hAnsi="宋体" w:eastAsia="宋体"/>
                <w:color w:val="auto"/>
                <w:szCs w:val="21"/>
                <w:highlight w:val="none"/>
              </w:rPr>
            </w:pPr>
            <w:r>
              <w:rPr>
                <w:rFonts w:hint="eastAsia" w:ascii="宋体" w:hAnsi="宋体" w:eastAsia="宋体"/>
                <w:color w:val="auto"/>
                <w:szCs w:val="21"/>
                <w:highlight w:val="none"/>
              </w:rPr>
              <w:t>序号</w:t>
            </w:r>
          </w:p>
        </w:tc>
        <w:tc>
          <w:tcPr>
            <w:tcW w:w="1559" w:type="dxa"/>
            <w:noWrap w:val="0"/>
            <w:vAlign w:val="top"/>
          </w:tcPr>
          <w:p w14:paraId="03778A50">
            <w:pPr>
              <w:jc w:val="center"/>
              <w:rPr>
                <w:rFonts w:ascii="宋体" w:hAnsi="宋体" w:eastAsia="宋体"/>
                <w:color w:val="auto"/>
                <w:szCs w:val="21"/>
                <w:highlight w:val="none"/>
              </w:rPr>
            </w:pPr>
            <w:r>
              <w:rPr>
                <w:rFonts w:hint="eastAsia" w:ascii="宋体" w:hAnsi="宋体" w:eastAsia="宋体"/>
                <w:color w:val="auto"/>
                <w:szCs w:val="21"/>
                <w:highlight w:val="none"/>
              </w:rPr>
              <w:t>合同组成部分</w:t>
            </w:r>
          </w:p>
        </w:tc>
        <w:tc>
          <w:tcPr>
            <w:tcW w:w="851" w:type="dxa"/>
            <w:noWrap w:val="0"/>
            <w:vAlign w:val="top"/>
          </w:tcPr>
          <w:p w14:paraId="3418C8EA">
            <w:pPr>
              <w:jc w:val="center"/>
              <w:rPr>
                <w:rFonts w:ascii="宋体" w:hAnsi="宋体" w:eastAsia="宋体"/>
                <w:color w:val="auto"/>
                <w:szCs w:val="21"/>
                <w:highlight w:val="none"/>
              </w:rPr>
            </w:pPr>
            <w:r>
              <w:rPr>
                <w:rFonts w:hint="eastAsia" w:ascii="宋体" w:hAnsi="宋体" w:eastAsia="宋体"/>
                <w:color w:val="auto"/>
                <w:szCs w:val="21"/>
                <w:highlight w:val="none"/>
              </w:rPr>
              <w:t>条款号</w:t>
            </w:r>
          </w:p>
        </w:tc>
        <w:tc>
          <w:tcPr>
            <w:tcW w:w="2268" w:type="dxa"/>
            <w:noWrap w:val="0"/>
            <w:vAlign w:val="top"/>
          </w:tcPr>
          <w:p w14:paraId="001A3CCC">
            <w:pPr>
              <w:jc w:val="center"/>
              <w:rPr>
                <w:rFonts w:ascii="宋体" w:hAnsi="宋体" w:eastAsia="宋体"/>
                <w:color w:val="auto"/>
                <w:szCs w:val="21"/>
                <w:highlight w:val="none"/>
              </w:rPr>
            </w:pPr>
            <w:r>
              <w:rPr>
                <w:rFonts w:hint="eastAsia" w:ascii="宋体" w:hAnsi="宋体" w:eastAsia="宋体"/>
                <w:color w:val="auto"/>
                <w:szCs w:val="21"/>
                <w:highlight w:val="none"/>
              </w:rPr>
              <w:t>原条款内容</w:t>
            </w:r>
          </w:p>
        </w:tc>
        <w:tc>
          <w:tcPr>
            <w:tcW w:w="2126" w:type="dxa"/>
            <w:noWrap w:val="0"/>
            <w:vAlign w:val="top"/>
          </w:tcPr>
          <w:p w14:paraId="31EA055E">
            <w:pPr>
              <w:jc w:val="center"/>
              <w:rPr>
                <w:rFonts w:ascii="宋体" w:hAnsi="宋体" w:eastAsia="宋体"/>
                <w:color w:val="auto"/>
                <w:szCs w:val="21"/>
                <w:highlight w:val="none"/>
              </w:rPr>
            </w:pPr>
            <w:r>
              <w:rPr>
                <w:rFonts w:hint="eastAsia" w:ascii="宋体" w:hAnsi="宋体" w:eastAsia="宋体"/>
                <w:color w:val="auto"/>
                <w:szCs w:val="21"/>
                <w:highlight w:val="none"/>
              </w:rPr>
              <w:t>修改内容</w:t>
            </w:r>
          </w:p>
        </w:tc>
        <w:tc>
          <w:tcPr>
            <w:tcW w:w="1418" w:type="dxa"/>
            <w:noWrap w:val="0"/>
            <w:vAlign w:val="top"/>
          </w:tcPr>
          <w:p w14:paraId="1E8BC97C">
            <w:pPr>
              <w:jc w:val="center"/>
              <w:rPr>
                <w:rFonts w:ascii="宋体" w:hAnsi="宋体" w:eastAsia="宋体"/>
                <w:color w:val="auto"/>
                <w:szCs w:val="21"/>
                <w:highlight w:val="none"/>
              </w:rPr>
            </w:pPr>
            <w:r>
              <w:rPr>
                <w:rFonts w:hint="eastAsia" w:ascii="宋体" w:hAnsi="宋体" w:eastAsia="宋体"/>
                <w:color w:val="auto"/>
                <w:szCs w:val="21"/>
                <w:highlight w:val="none"/>
              </w:rPr>
              <w:t>备注</w:t>
            </w:r>
          </w:p>
        </w:tc>
      </w:tr>
      <w:tr w14:paraId="5B342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17" w:type="dxa"/>
            <w:noWrap w:val="0"/>
            <w:vAlign w:val="top"/>
          </w:tcPr>
          <w:p w14:paraId="1D82B83B">
            <w:pPr>
              <w:jc w:val="center"/>
              <w:rPr>
                <w:rFonts w:ascii="宋体" w:hAnsi="宋体" w:eastAsia="宋体"/>
                <w:color w:val="auto"/>
                <w:szCs w:val="21"/>
                <w:highlight w:val="none"/>
              </w:rPr>
            </w:pPr>
            <w:r>
              <w:rPr>
                <w:rFonts w:ascii="宋体" w:hAnsi="宋体" w:eastAsia="宋体"/>
                <w:color w:val="auto"/>
                <w:szCs w:val="21"/>
                <w:highlight w:val="none"/>
              </w:rPr>
              <w:t>1</w:t>
            </w:r>
          </w:p>
        </w:tc>
        <w:tc>
          <w:tcPr>
            <w:tcW w:w="1559" w:type="dxa"/>
            <w:noWrap w:val="0"/>
            <w:vAlign w:val="top"/>
          </w:tcPr>
          <w:p w14:paraId="7BB9B8A5">
            <w:pPr>
              <w:rPr>
                <w:rFonts w:ascii="宋体" w:hAnsi="宋体" w:eastAsia="宋体"/>
                <w:color w:val="auto"/>
                <w:szCs w:val="21"/>
                <w:highlight w:val="none"/>
              </w:rPr>
            </w:pPr>
            <w:r>
              <w:rPr>
                <w:rFonts w:hint="eastAsia" w:ascii="宋体" w:hAnsi="宋体" w:eastAsia="宋体"/>
                <w:color w:val="auto"/>
                <w:szCs w:val="21"/>
                <w:highlight w:val="none"/>
              </w:rPr>
              <w:t>通用合同条款</w:t>
            </w:r>
          </w:p>
        </w:tc>
        <w:tc>
          <w:tcPr>
            <w:tcW w:w="851" w:type="dxa"/>
            <w:noWrap w:val="0"/>
            <w:vAlign w:val="top"/>
          </w:tcPr>
          <w:p w14:paraId="45C65151">
            <w:pPr>
              <w:rPr>
                <w:rFonts w:ascii="宋体" w:hAnsi="宋体" w:eastAsia="宋体"/>
                <w:color w:val="auto"/>
                <w:szCs w:val="21"/>
                <w:highlight w:val="none"/>
              </w:rPr>
            </w:pPr>
          </w:p>
        </w:tc>
        <w:tc>
          <w:tcPr>
            <w:tcW w:w="2268" w:type="dxa"/>
            <w:noWrap w:val="0"/>
            <w:vAlign w:val="top"/>
          </w:tcPr>
          <w:p w14:paraId="77A3FC4E">
            <w:pPr>
              <w:rPr>
                <w:rFonts w:ascii="宋体" w:hAnsi="宋体" w:eastAsia="宋体"/>
                <w:color w:val="auto"/>
                <w:szCs w:val="21"/>
                <w:highlight w:val="none"/>
              </w:rPr>
            </w:pPr>
          </w:p>
        </w:tc>
        <w:tc>
          <w:tcPr>
            <w:tcW w:w="2126" w:type="dxa"/>
            <w:noWrap w:val="0"/>
            <w:vAlign w:val="top"/>
          </w:tcPr>
          <w:p w14:paraId="1F6DA17A">
            <w:pPr>
              <w:rPr>
                <w:rFonts w:ascii="宋体" w:hAnsi="宋体" w:eastAsia="宋体"/>
                <w:color w:val="auto"/>
                <w:szCs w:val="21"/>
                <w:highlight w:val="none"/>
              </w:rPr>
            </w:pPr>
          </w:p>
        </w:tc>
        <w:tc>
          <w:tcPr>
            <w:tcW w:w="1418" w:type="dxa"/>
            <w:noWrap w:val="0"/>
            <w:vAlign w:val="top"/>
          </w:tcPr>
          <w:p w14:paraId="2090E620">
            <w:pPr>
              <w:rPr>
                <w:rFonts w:ascii="宋体" w:hAnsi="宋体" w:eastAsia="宋体"/>
                <w:color w:val="auto"/>
                <w:szCs w:val="21"/>
                <w:highlight w:val="none"/>
              </w:rPr>
            </w:pPr>
          </w:p>
        </w:tc>
      </w:tr>
      <w:tr w14:paraId="5BBF99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17" w:type="dxa"/>
            <w:noWrap w:val="0"/>
            <w:vAlign w:val="top"/>
          </w:tcPr>
          <w:p w14:paraId="41A26F80">
            <w:pPr>
              <w:jc w:val="center"/>
              <w:rPr>
                <w:rFonts w:ascii="宋体" w:hAnsi="宋体" w:eastAsia="宋体"/>
                <w:color w:val="auto"/>
                <w:szCs w:val="21"/>
                <w:highlight w:val="none"/>
              </w:rPr>
            </w:pPr>
            <w:r>
              <w:rPr>
                <w:rFonts w:ascii="宋体" w:hAnsi="宋体" w:eastAsia="宋体"/>
                <w:color w:val="auto"/>
                <w:szCs w:val="21"/>
                <w:highlight w:val="none"/>
              </w:rPr>
              <w:t>2</w:t>
            </w:r>
          </w:p>
        </w:tc>
        <w:tc>
          <w:tcPr>
            <w:tcW w:w="1559" w:type="dxa"/>
            <w:noWrap w:val="0"/>
            <w:vAlign w:val="top"/>
          </w:tcPr>
          <w:p w14:paraId="230D0675">
            <w:pPr>
              <w:rPr>
                <w:rFonts w:ascii="宋体" w:hAnsi="宋体" w:eastAsia="宋体"/>
                <w:color w:val="auto"/>
                <w:szCs w:val="21"/>
                <w:highlight w:val="none"/>
              </w:rPr>
            </w:pPr>
            <w:r>
              <w:rPr>
                <w:rFonts w:hint="eastAsia" w:ascii="宋体" w:hAnsi="宋体" w:eastAsia="宋体"/>
                <w:color w:val="auto"/>
                <w:szCs w:val="21"/>
                <w:highlight w:val="none"/>
              </w:rPr>
              <w:t>专用合同条款</w:t>
            </w:r>
          </w:p>
        </w:tc>
        <w:tc>
          <w:tcPr>
            <w:tcW w:w="851" w:type="dxa"/>
            <w:noWrap w:val="0"/>
            <w:vAlign w:val="top"/>
          </w:tcPr>
          <w:p w14:paraId="6D341AA8">
            <w:pPr>
              <w:rPr>
                <w:rFonts w:ascii="宋体" w:hAnsi="宋体" w:eastAsia="宋体"/>
                <w:color w:val="auto"/>
                <w:szCs w:val="21"/>
                <w:highlight w:val="none"/>
              </w:rPr>
            </w:pPr>
          </w:p>
        </w:tc>
        <w:tc>
          <w:tcPr>
            <w:tcW w:w="2268" w:type="dxa"/>
            <w:noWrap w:val="0"/>
            <w:vAlign w:val="top"/>
          </w:tcPr>
          <w:p w14:paraId="43C71F6E">
            <w:pPr>
              <w:rPr>
                <w:rFonts w:ascii="宋体" w:hAnsi="宋体" w:eastAsia="宋体"/>
                <w:color w:val="auto"/>
                <w:szCs w:val="21"/>
                <w:highlight w:val="none"/>
              </w:rPr>
            </w:pPr>
          </w:p>
        </w:tc>
        <w:tc>
          <w:tcPr>
            <w:tcW w:w="2126" w:type="dxa"/>
            <w:noWrap w:val="0"/>
            <w:vAlign w:val="top"/>
          </w:tcPr>
          <w:p w14:paraId="4FE9CA6F">
            <w:pPr>
              <w:rPr>
                <w:rFonts w:ascii="宋体" w:hAnsi="宋体" w:eastAsia="宋体"/>
                <w:color w:val="auto"/>
                <w:szCs w:val="21"/>
                <w:highlight w:val="none"/>
              </w:rPr>
            </w:pPr>
          </w:p>
        </w:tc>
        <w:tc>
          <w:tcPr>
            <w:tcW w:w="1418" w:type="dxa"/>
            <w:noWrap w:val="0"/>
            <w:vAlign w:val="top"/>
          </w:tcPr>
          <w:p w14:paraId="08453413">
            <w:pPr>
              <w:rPr>
                <w:rFonts w:ascii="宋体" w:hAnsi="宋体" w:eastAsia="宋体"/>
                <w:color w:val="auto"/>
                <w:szCs w:val="21"/>
                <w:highlight w:val="none"/>
              </w:rPr>
            </w:pPr>
          </w:p>
        </w:tc>
      </w:tr>
      <w:tr w14:paraId="218C2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817" w:type="dxa"/>
            <w:noWrap w:val="0"/>
            <w:vAlign w:val="top"/>
          </w:tcPr>
          <w:p w14:paraId="1A7F7AE3">
            <w:pPr>
              <w:rPr>
                <w:rFonts w:ascii="宋体" w:hAnsi="宋体" w:eastAsia="宋体"/>
                <w:color w:val="auto"/>
                <w:szCs w:val="21"/>
                <w:highlight w:val="none"/>
              </w:rPr>
            </w:pPr>
          </w:p>
        </w:tc>
        <w:tc>
          <w:tcPr>
            <w:tcW w:w="1559" w:type="dxa"/>
            <w:noWrap w:val="0"/>
            <w:vAlign w:val="top"/>
          </w:tcPr>
          <w:p w14:paraId="5D0EB1C6">
            <w:pPr>
              <w:rPr>
                <w:rFonts w:ascii="宋体" w:hAnsi="宋体" w:eastAsia="宋体"/>
                <w:color w:val="auto"/>
                <w:szCs w:val="21"/>
                <w:highlight w:val="none"/>
              </w:rPr>
            </w:pPr>
            <w:r>
              <w:rPr>
                <w:rFonts w:hint="eastAsia" w:ascii="宋体" w:hAnsi="宋体" w:eastAsia="宋体"/>
                <w:color w:val="auto"/>
                <w:szCs w:val="21"/>
                <w:highlight w:val="none"/>
              </w:rPr>
              <w:t>…</w:t>
            </w:r>
          </w:p>
        </w:tc>
        <w:tc>
          <w:tcPr>
            <w:tcW w:w="851" w:type="dxa"/>
            <w:noWrap w:val="0"/>
            <w:vAlign w:val="top"/>
          </w:tcPr>
          <w:p w14:paraId="0C9785C8">
            <w:pPr>
              <w:rPr>
                <w:rFonts w:ascii="宋体" w:hAnsi="宋体" w:eastAsia="宋体"/>
                <w:color w:val="auto"/>
                <w:szCs w:val="21"/>
                <w:highlight w:val="none"/>
              </w:rPr>
            </w:pPr>
          </w:p>
        </w:tc>
        <w:tc>
          <w:tcPr>
            <w:tcW w:w="2268" w:type="dxa"/>
            <w:noWrap w:val="0"/>
            <w:vAlign w:val="top"/>
          </w:tcPr>
          <w:p w14:paraId="0F451B1E">
            <w:pPr>
              <w:rPr>
                <w:rFonts w:ascii="宋体" w:hAnsi="宋体" w:eastAsia="宋体"/>
                <w:color w:val="auto"/>
                <w:szCs w:val="21"/>
                <w:highlight w:val="none"/>
              </w:rPr>
            </w:pPr>
          </w:p>
        </w:tc>
        <w:tc>
          <w:tcPr>
            <w:tcW w:w="2126" w:type="dxa"/>
            <w:noWrap w:val="0"/>
            <w:vAlign w:val="top"/>
          </w:tcPr>
          <w:p w14:paraId="510B75B0">
            <w:pPr>
              <w:rPr>
                <w:rFonts w:ascii="宋体" w:hAnsi="宋体" w:eastAsia="宋体"/>
                <w:color w:val="auto"/>
                <w:szCs w:val="21"/>
                <w:highlight w:val="none"/>
              </w:rPr>
            </w:pPr>
          </w:p>
        </w:tc>
        <w:tc>
          <w:tcPr>
            <w:tcW w:w="1418" w:type="dxa"/>
            <w:noWrap w:val="0"/>
            <w:vAlign w:val="top"/>
          </w:tcPr>
          <w:p w14:paraId="5F567B34">
            <w:pPr>
              <w:rPr>
                <w:rFonts w:ascii="宋体" w:hAnsi="宋体" w:eastAsia="宋体"/>
                <w:color w:val="auto"/>
                <w:szCs w:val="21"/>
                <w:highlight w:val="none"/>
              </w:rPr>
            </w:pPr>
          </w:p>
        </w:tc>
      </w:tr>
    </w:tbl>
    <w:p w14:paraId="2B0615ED">
      <w:pPr>
        <w:rPr>
          <w:rFonts w:ascii="宋体" w:hAnsi="宋体" w:eastAsia="宋体"/>
          <w:color w:val="auto"/>
          <w:szCs w:val="21"/>
          <w:highlight w:val="none"/>
        </w:rPr>
      </w:pPr>
      <w:r>
        <w:rPr>
          <w:rFonts w:hint="eastAsia" w:ascii="宋体" w:hAnsi="宋体" w:eastAsia="宋体"/>
          <w:color w:val="auto"/>
          <w:szCs w:val="21"/>
          <w:highlight w:val="none"/>
        </w:rPr>
        <w:t>备注：合同条款按照修改内容执行。</w:t>
      </w:r>
    </w:p>
    <w:p w14:paraId="28E88235">
      <w:pPr>
        <w:pStyle w:val="3"/>
        <w:rPr>
          <w:rFonts w:ascii="宋体" w:hAnsi="宋体" w:eastAsia="宋体"/>
          <w:b w:val="0"/>
          <w:color w:val="auto"/>
          <w:sz w:val="28"/>
          <w:szCs w:val="32"/>
          <w:highlight w:val="none"/>
        </w:rPr>
      </w:pPr>
      <w:bookmarkStart w:id="1988" w:name="_Toc15113"/>
      <w:bookmarkStart w:id="1989" w:name="_Toc492891990"/>
      <w:bookmarkStart w:id="1990" w:name="_Toc57495092"/>
      <w:bookmarkStart w:id="1991" w:name="_Toc29353"/>
      <w:r>
        <w:rPr>
          <w:rFonts w:hint="eastAsia" w:ascii="宋体" w:hAnsi="宋体" w:eastAsia="宋体"/>
          <w:b w:val="0"/>
          <w:color w:val="auto"/>
          <w:sz w:val="28"/>
          <w:szCs w:val="32"/>
          <w:highlight w:val="none"/>
        </w:rPr>
        <w:t>附件</w:t>
      </w:r>
      <w:r>
        <w:rPr>
          <w:rFonts w:ascii="宋体" w:hAnsi="宋体" w:eastAsia="宋体"/>
          <w:b w:val="0"/>
          <w:color w:val="auto"/>
          <w:sz w:val="28"/>
          <w:szCs w:val="32"/>
          <w:highlight w:val="none"/>
        </w:rPr>
        <w:t>4</w:t>
      </w:r>
      <w:r>
        <w:rPr>
          <w:rFonts w:hint="eastAsia" w:ascii="宋体" w:hAnsi="宋体" w:eastAsia="宋体"/>
          <w:b w:val="0"/>
          <w:color w:val="auto"/>
          <w:sz w:val="28"/>
          <w:szCs w:val="32"/>
          <w:highlight w:val="none"/>
        </w:rPr>
        <w:t>：技术协议</w:t>
      </w:r>
      <w:bookmarkEnd w:id="1988"/>
      <w:bookmarkEnd w:id="1989"/>
      <w:bookmarkEnd w:id="1990"/>
      <w:bookmarkEnd w:id="1991"/>
    </w:p>
    <w:p w14:paraId="1DB36F87">
      <w:pPr>
        <w:ind w:firstLine="420" w:firstLineChars="200"/>
        <w:rPr>
          <w:rFonts w:ascii="宋体" w:hAnsi="宋体" w:eastAsia="宋体"/>
          <w:color w:val="auto"/>
          <w:highlight w:val="none"/>
        </w:rPr>
      </w:pPr>
      <w:r>
        <w:rPr>
          <w:rFonts w:hint="eastAsia" w:ascii="宋体" w:hAnsi="宋体" w:eastAsia="宋体"/>
          <w:color w:val="auto"/>
          <w:highlight w:val="none"/>
        </w:rPr>
        <w:t>合同签订过程中，技术协议按招投标技术文件（包括招标技术规范书、中标物资供应商的投标技术文件、澄清文件等）要求执行。买卖双方不再就相关内容专门协商并签订“技术协议”。</w:t>
      </w:r>
    </w:p>
    <w:p w14:paraId="34806C38">
      <w:pPr>
        <w:ind w:firstLine="420" w:firstLineChars="200"/>
        <w:rPr>
          <w:rFonts w:ascii="宋体" w:hAnsi="宋体" w:eastAsia="宋体"/>
          <w:color w:val="auto"/>
          <w:highlight w:val="none"/>
        </w:rPr>
      </w:pPr>
    </w:p>
    <w:p w14:paraId="297C6BDF">
      <w:pPr>
        <w:pStyle w:val="3"/>
        <w:spacing w:before="0" w:after="0" w:line="360" w:lineRule="auto"/>
        <w:rPr>
          <w:rFonts w:ascii="宋体" w:hAnsi="宋体" w:eastAsia="宋体"/>
          <w:b w:val="0"/>
          <w:color w:val="auto"/>
          <w:sz w:val="28"/>
          <w:szCs w:val="28"/>
          <w:highlight w:val="none"/>
        </w:rPr>
      </w:pPr>
      <w:bookmarkStart w:id="1992" w:name="_Toc57495093"/>
      <w:bookmarkStart w:id="1993" w:name="_Toc492891992"/>
      <w:bookmarkStart w:id="1994" w:name="_Toc22299"/>
      <w:bookmarkStart w:id="1995" w:name="_Toc12594"/>
      <w:r>
        <w:rPr>
          <w:rFonts w:hint="eastAsia" w:ascii="宋体" w:hAnsi="宋体" w:eastAsia="宋体"/>
          <w:b w:val="0"/>
          <w:color w:val="auto"/>
          <w:sz w:val="28"/>
          <w:szCs w:val="28"/>
          <w:highlight w:val="none"/>
        </w:rPr>
        <w:t>附件5：安装作业指导书模板（另附）</w:t>
      </w:r>
      <w:bookmarkEnd w:id="1992"/>
      <w:bookmarkEnd w:id="1993"/>
      <w:bookmarkEnd w:id="1994"/>
      <w:bookmarkEnd w:id="1995"/>
    </w:p>
    <w:p w14:paraId="5306AFDE">
      <w:pPr>
        <w:pStyle w:val="3"/>
        <w:spacing w:before="0" w:after="0" w:line="360" w:lineRule="auto"/>
        <w:rPr>
          <w:rFonts w:ascii="宋体" w:hAnsi="宋体" w:eastAsia="宋体"/>
          <w:b w:val="0"/>
          <w:color w:val="auto"/>
          <w:sz w:val="28"/>
          <w:szCs w:val="28"/>
          <w:highlight w:val="none"/>
        </w:rPr>
      </w:pPr>
      <w:bookmarkStart w:id="1996" w:name="_Toc12779"/>
      <w:bookmarkStart w:id="1997" w:name="_Toc492891993"/>
      <w:bookmarkStart w:id="1998" w:name="_Toc57495094"/>
      <w:bookmarkStart w:id="1999" w:name="_Toc7990"/>
      <w:r>
        <w:rPr>
          <w:rFonts w:hint="eastAsia" w:ascii="宋体" w:hAnsi="宋体" w:eastAsia="宋体"/>
          <w:b w:val="0"/>
          <w:color w:val="auto"/>
          <w:sz w:val="28"/>
          <w:szCs w:val="28"/>
          <w:highlight w:val="none"/>
        </w:rPr>
        <w:t>附件</w:t>
      </w:r>
      <w:r>
        <w:rPr>
          <w:rFonts w:ascii="宋体" w:hAnsi="宋体" w:eastAsia="宋体"/>
          <w:b w:val="0"/>
          <w:color w:val="auto"/>
          <w:sz w:val="28"/>
          <w:szCs w:val="28"/>
          <w:highlight w:val="none"/>
        </w:rPr>
        <w:t>6</w:t>
      </w:r>
      <w:r>
        <w:rPr>
          <w:rFonts w:hint="eastAsia" w:ascii="宋体" w:hAnsi="宋体" w:eastAsia="宋体"/>
          <w:b w:val="0"/>
          <w:color w:val="auto"/>
          <w:sz w:val="28"/>
          <w:szCs w:val="28"/>
          <w:highlight w:val="none"/>
        </w:rPr>
        <w:t>：维护检修手册模板（另附）</w:t>
      </w:r>
      <w:bookmarkEnd w:id="1996"/>
      <w:bookmarkEnd w:id="1997"/>
      <w:bookmarkEnd w:id="1998"/>
      <w:bookmarkEnd w:id="1999"/>
    </w:p>
    <w:p w14:paraId="22D1E6D9">
      <w:pPr>
        <w:pStyle w:val="3"/>
        <w:rPr>
          <w:rFonts w:ascii="宋体" w:hAnsi="宋体" w:eastAsia="宋体"/>
          <w:b w:val="0"/>
          <w:color w:val="auto"/>
          <w:sz w:val="28"/>
          <w:szCs w:val="32"/>
          <w:highlight w:val="none"/>
        </w:rPr>
      </w:pPr>
      <w:bookmarkStart w:id="2000" w:name="_Toc374090353"/>
      <w:bookmarkStart w:id="2001" w:name="_Toc57495095"/>
      <w:bookmarkStart w:id="2002" w:name="_Toc492891991"/>
      <w:bookmarkStart w:id="2003" w:name="_Toc25505"/>
      <w:bookmarkStart w:id="2004" w:name="_Toc23799"/>
      <w:r>
        <w:rPr>
          <w:rFonts w:hint="eastAsia" w:ascii="宋体" w:hAnsi="宋体" w:eastAsia="宋体"/>
          <w:b w:val="0"/>
          <w:color w:val="auto"/>
          <w:sz w:val="28"/>
          <w:szCs w:val="32"/>
          <w:highlight w:val="none"/>
        </w:rPr>
        <w:t>附件</w:t>
      </w:r>
      <w:r>
        <w:rPr>
          <w:rFonts w:ascii="宋体" w:hAnsi="宋体" w:eastAsia="宋体"/>
          <w:b w:val="0"/>
          <w:color w:val="auto"/>
          <w:sz w:val="28"/>
          <w:szCs w:val="32"/>
          <w:highlight w:val="none"/>
        </w:rPr>
        <w:t>7</w:t>
      </w:r>
      <w:r>
        <w:rPr>
          <w:rFonts w:hint="eastAsia" w:ascii="宋体" w:hAnsi="宋体" w:eastAsia="宋体"/>
          <w:b w:val="0"/>
          <w:color w:val="auto"/>
          <w:sz w:val="28"/>
          <w:szCs w:val="32"/>
          <w:highlight w:val="none"/>
        </w:rPr>
        <w:t>：出厂承诺书（格式）</w:t>
      </w:r>
      <w:bookmarkEnd w:id="2000"/>
      <w:bookmarkEnd w:id="2001"/>
      <w:bookmarkEnd w:id="2002"/>
      <w:bookmarkEnd w:id="2003"/>
      <w:bookmarkEnd w:id="2004"/>
    </w:p>
    <w:p w14:paraId="0827D46B">
      <w:pPr>
        <w:widowControl/>
        <w:jc w:val="center"/>
        <w:rPr>
          <w:rFonts w:ascii="宋体" w:hAnsi="宋体" w:eastAsia="宋体" w:cs="宋体"/>
          <w:b/>
          <w:bCs/>
          <w:color w:val="auto"/>
          <w:sz w:val="28"/>
          <w:szCs w:val="32"/>
          <w:highlight w:val="none"/>
        </w:rPr>
      </w:pPr>
      <w:r>
        <w:rPr>
          <w:rFonts w:hint="eastAsia" w:ascii="宋体" w:hAnsi="宋体" w:eastAsia="宋体" w:cs="宋体"/>
          <w:b/>
          <w:bCs/>
          <w:color w:val="auto"/>
          <w:sz w:val="28"/>
          <w:szCs w:val="32"/>
          <w:highlight w:val="none"/>
        </w:rPr>
        <w:t>出厂承诺书</w:t>
      </w:r>
    </w:p>
    <w:p w14:paraId="1B632F85">
      <w:pPr>
        <w:ind w:firstLine="5040" w:firstLineChars="2400"/>
        <w:rPr>
          <w:rFonts w:ascii="宋体" w:hAnsi="宋体" w:eastAsia="宋体"/>
          <w:color w:val="auto"/>
          <w:szCs w:val="21"/>
          <w:highlight w:val="none"/>
          <w:u w:val="single"/>
        </w:rPr>
      </w:pPr>
      <w:bookmarkStart w:id="2005" w:name="_Hlk511916735"/>
      <w:r>
        <w:rPr>
          <w:rFonts w:hint="eastAsia" w:ascii="宋体" w:hAnsi="宋体" w:eastAsia="宋体"/>
          <w:color w:val="auto"/>
          <w:szCs w:val="21"/>
          <w:highlight w:val="none"/>
        </w:rPr>
        <w:t>合同编号：</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u w:val="single"/>
        </w:rPr>
        <w:t xml:space="preserve">       </w:t>
      </w:r>
    </w:p>
    <w:bookmarkEnd w:id="2005"/>
    <w:p w14:paraId="7BAA8816">
      <w:pPr>
        <w:spacing w:line="520" w:lineRule="exact"/>
        <w:ind w:firstLine="420" w:firstLineChars="200"/>
        <w:jc w:val="left"/>
        <w:rPr>
          <w:rFonts w:ascii="宋体" w:hAnsi="宋体" w:eastAsia="宋体"/>
          <w:color w:val="auto"/>
          <w:szCs w:val="21"/>
          <w:highlight w:val="none"/>
        </w:rPr>
      </w:pPr>
      <w:r>
        <w:rPr>
          <w:rFonts w:hint="eastAsia" w:ascii="宋体" w:hAnsi="宋体" w:eastAsia="宋体"/>
          <w:color w:val="auto"/>
          <w:szCs w:val="21"/>
          <w:highlight w:val="none"/>
        </w:rPr>
        <w:t>我公司供货</w:t>
      </w:r>
      <w:r>
        <w:rPr>
          <w:rFonts w:ascii="宋体" w:hAnsi="宋体" w:eastAsia="宋体"/>
          <w:color w:val="auto"/>
          <w:szCs w:val="21"/>
          <w:highlight w:val="none"/>
        </w:rPr>
        <w:t>__________</w:t>
      </w:r>
      <w:r>
        <w:rPr>
          <w:rFonts w:hint="eastAsia" w:ascii="宋体" w:hAnsi="宋体" w:eastAsia="宋体"/>
          <w:color w:val="auto"/>
          <w:szCs w:val="21"/>
          <w:highlight w:val="none"/>
        </w:rPr>
        <w:t>单位（公司）</w:t>
      </w:r>
      <w:r>
        <w:rPr>
          <w:rFonts w:ascii="宋体" w:hAnsi="宋体" w:eastAsia="宋体"/>
          <w:color w:val="auto"/>
          <w:szCs w:val="21"/>
          <w:highlight w:val="none"/>
        </w:rPr>
        <w:t>_________________</w:t>
      </w:r>
      <w:r>
        <w:rPr>
          <w:rFonts w:hint="eastAsia" w:ascii="宋体" w:hAnsi="宋体" w:eastAsia="宋体"/>
          <w:color w:val="auto"/>
          <w:szCs w:val="21"/>
          <w:highlight w:val="none"/>
        </w:rPr>
        <w:t>工程所需</w:t>
      </w:r>
      <w:r>
        <w:rPr>
          <w:rFonts w:ascii="宋体" w:hAnsi="宋体" w:eastAsia="宋体"/>
          <w:color w:val="auto"/>
          <w:szCs w:val="21"/>
          <w:highlight w:val="none"/>
        </w:rPr>
        <w:t>_________________</w:t>
      </w:r>
      <w:r>
        <w:rPr>
          <w:rFonts w:hint="eastAsia" w:ascii="宋体" w:hAnsi="宋体" w:eastAsia="宋体"/>
          <w:color w:val="auto"/>
          <w:szCs w:val="21"/>
          <w:highlight w:val="none"/>
        </w:rPr>
        <w:t>（设备名称）</w:t>
      </w:r>
      <w:r>
        <w:rPr>
          <w:rFonts w:ascii="宋体" w:hAnsi="宋体" w:eastAsia="宋体"/>
          <w:color w:val="auto"/>
          <w:szCs w:val="21"/>
          <w:highlight w:val="none"/>
        </w:rPr>
        <w:t xml:space="preserve">, </w:t>
      </w:r>
      <w:r>
        <w:rPr>
          <w:rFonts w:hint="eastAsia" w:ascii="宋体" w:hAnsi="宋体" w:eastAsia="宋体"/>
          <w:color w:val="auto"/>
          <w:szCs w:val="21"/>
          <w:highlight w:val="none"/>
        </w:rPr>
        <w:t>规格型号</w:t>
      </w:r>
      <w:r>
        <w:rPr>
          <w:rFonts w:ascii="宋体" w:hAnsi="宋体" w:eastAsia="宋体"/>
          <w:color w:val="auto"/>
          <w:szCs w:val="21"/>
          <w:highlight w:val="none"/>
        </w:rPr>
        <w:t>_________________</w:t>
      </w:r>
      <w:r>
        <w:rPr>
          <w:rFonts w:hint="eastAsia" w:ascii="宋体" w:hAnsi="宋体" w:eastAsia="宋体"/>
          <w:color w:val="auto"/>
          <w:szCs w:val="21"/>
          <w:highlight w:val="none"/>
        </w:rPr>
        <w:t>、数量</w:t>
      </w:r>
      <w:r>
        <w:rPr>
          <w:rFonts w:ascii="宋体" w:hAnsi="宋体" w:eastAsia="宋体"/>
          <w:color w:val="auto"/>
          <w:szCs w:val="21"/>
          <w:highlight w:val="none"/>
        </w:rPr>
        <w:t>___________,</w:t>
      </w:r>
      <w:r>
        <w:rPr>
          <w:rFonts w:hint="eastAsia" w:ascii="宋体" w:hAnsi="宋体" w:eastAsia="宋体"/>
          <w:color w:val="auto"/>
          <w:szCs w:val="21"/>
          <w:highlight w:val="none"/>
        </w:rPr>
        <w:t>已于</w:t>
      </w:r>
      <w:r>
        <w:rPr>
          <w:rFonts w:ascii="宋体" w:hAnsi="宋体" w:eastAsia="宋体"/>
          <w:color w:val="auto"/>
          <w:szCs w:val="21"/>
          <w:highlight w:val="none"/>
        </w:rPr>
        <w:t>______</w:t>
      </w:r>
      <w:r>
        <w:rPr>
          <w:rFonts w:hint="eastAsia" w:ascii="宋体" w:hAnsi="宋体" w:eastAsia="宋体"/>
          <w:color w:val="auto"/>
          <w:szCs w:val="21"/>
          <w:highlight w:val="none"/>
        </w:rPr>
        <w:t>年</w:t>
      </w:r>
      <w:r>
        <w:rPr>
          <w:rFonts w:ascii="宋体" w:hAnsi="宋体" w:eastAsia="宋体"/>
          <w:color w:val="auto"/>
          <w:szCs w:val="21"/>
          <w:highlight w:val="none"/>
        </w:rPr>
        <w:t xml:space="preserve">__ </w:t>
      </w:r>
      <w:r>
        <w:rPr>
          <w:rFonts w:hint="eastAsia" w:ascii="宋体" w:hAnsi="宋体" w:eastAsia="宋体"/>
          <w:color w:val="auto"/>
          <w:szCs w:val="21"/>
          <w:highlight w:val="none"/>
        </w:rPr>
        <w:t>月</w:t>
      </w:r>
      <w:r>
        <w:rPr>
          <w:rFonts w:ascii="宋体" w:hAnsi="宋体" w:eastAsia="宋体"/>
          <w:color w:val="auto"/>
          <w:szCs w:val="21"/>
          <w:highlight w:val="none"/>
        </w:rPr>
        <w:t>__</w:t>
      </w:r>
      <w:r>
        <w:rPr>
          <w:rFonts w:hint="eastAsia" w:ascii="宋体" w:hAnsi="宋体" w:eastAsia="宋体"/>
          <w:color w:val="auto"/>
          <w:szCs w:val="21"/>
          <w:highlight w:val="none"/>
        </w:rPr>
        <w:t>日生产完毕，具备出厂条件。按照合同约定向</w:t>
      </w:r>
      <w:r>
        <w:rPr>
          <w:rFonts w:ascii="宋体" w:hAnsi="宋体" w:eastAsia="宋体"/>
          <w:color w:val="auto"/>
          <w:szCs w:val="21"/>
          <w:highlight w:val="none"/>
        </w:rPr>
        <w:t>__________</w:t>
      </w:r>
      <w:r>
        <w:rPr>
          <w:rFonts w:hint="eastAsia" w:ascii="宋体" w:hAnsi="宋体" w:eastAsia="宋体"/>
          <w:color w:val="auto"/>
          <w:szCs w:val="21"/>
          <w:highlight w:val="none"/>
        </w:rPr>
        <w:t>单位（公司）申请支付相应货款。我公司保证出厂产品合格，承诺按照</w:t>
      </w:r>
      <w:r>
        <w:rPr>
          <w:rFonts w:ascii="宋体" w:hAnsi="宋体" w:eastAsia="宋体"/>
          <w:color w:val="auto"/>
          <w:szCs w:val="21"/>
          <w:highlight w:val="none"/>
        </w:rPr>
        <w:t>__________</w:t>
      </w:r>
      <w:r>
        <w:rPr>
          <w:rFonts w:hint="eastAsia" w:ascii="宋体" w:hAnsi="宋体" w:eastAsia="宋体"/>
          <w:color w:val="auto"/>
          <w:szCs w:val="21"/>
          <w:highlight w:val="none"/>
        </w:rPr>
        <w:t>单位（公司）要求的时间和地点进行发货且保证所发设备为</w:t>
      </w:r>
      <w:r>
        <w:rPr>
          <w:rFonts w:ascii="宋体" w:hAnsi="宋体" w:eastAsia="宋体"/>
          <w:color w:val="auto"/>
          <w:szCs w:val="21"/>
          <w:highlight w:val="none"/>
        </w:rPr>
        <w:t>__________</w:t>
      </w:r>
      <w:r>
        <w:rPr>
          <w:rFonts w:hint="eastAsia" w:ascii="宋体" w:hAnsi="宋体" w:eastAsia="宋体"/>
          <w:color w:val="auto"/>
          <w:szCs w:val="21"/>
          <w:highlight w:val="none"/>
        </w:rPr>
        <w:t>单位（公司）合同订购设备。</w:t>
      </w:r>
    </w:p>
    <w:p w14:paraId="29260913">
      <w:pPr>
        <w:spacing w:line="520" w:lineRule="exact"/>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特此承诺。</w:t>
      </w:r>
    </w:p>
    <w:p w14:paraId="1944B8BB">
      <w:pPr>
        <w:spacing w:line="480" w:lineRule="exact"/>
        <w:ind w:firstLine="5040" w:firstLineChars="2400"/>
        <w:rPr>
          <w:rFonts w:ascii="宋体" w:hAnsi="宋体" w:eastAsia="宋体"/>
          <w:color w:val="auto"/>
          <w:szCs w:val="21"/>
          <w:highlight w:val="none"/>
        </w:rPr>
      </w:pPr>
      <w:bookmarkStart w:id="2006" w:name="_Hlk511916736"/>
      <w:r>
        <w:rPr>
          <w:rFonts w:ascii="宋体" w:hAnsi="宋体" w:eastAsia="宋体"/>
          <w:color w:val="auto"/>
          <w:szCs w:val="21"/>
          <w:highlight w:val="none"/>
          <w:u w:val="single"/>
        </w:rPr>
        <w:t xml:space="preserve">  </w:t>
      </w:r>
      <w:r>
        <w:rPr>
          <w:rFonts w:hint="eastAsia" w:ascii="宋体" w:hAnsi="宋体" w:eastAsia="宋体"/>
          <w:color w:val="auto"/>
          <w:szCs w:val="21"/>
          <w:highlight w:val="none"/>
          <w:u w:val="single"/>
        </w:rPr>
        <w:t>　</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rPr>
        <w:t>公司（公章）</w:t>
      </w:r>
    </w:p>
    <w:p w14:paraId="4D637FA6">
      <w:pPr>
        <w:spacing w:line="480" w:lineRule="auto"/>
        <w:ind w:firstLine="5040" w:firstLineChars="2400"/>
        <w:rPr>
          <w:rFonts w:ascii="宋体" w:hAnsi="宋体" w:eastAsia="宋体"/>
          <w:color w:val="auto"/>
          <w:szCs w:val="21"/>
          <w:highlight w:val="none"/>
        </w:rPr>
      </w:pPr>
      <w:r>
        <w:rPr>
          <w:rFonts w:hint="eastAsia" w:ascii="宋体" w:hAnsi="宋体" w:eastAsia="宋体" w:cs="宋体"/>
          <w:color w:val="auto"/>
          <w:kern w:val="0"/>
          <w:szCs w:val="21"/>
          <w:highlight w:val="none"/>
          <w:lang w:eastAsia="zh-CN"/>
        </w:rPr>
        <w:t>签名</w:t>
      </w:r>
      <w:r>
        <w:rPr>
          <w:rFonts w:hint="eastAsia" w:ascii="宋体" w:hAnsi="宋体" w:eastAsia="宋体"/>
          <w:color w:val="auto"/>
          <w:szCs w:val="21"/>
          <w:highlight w:val="none"/>
        </w:rPr>
        <w:t>：</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u w:val="single"/>
        </w:rPr>
        <w:t>　</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u w:val="single"/>
        </w:rPr>
        <w:t>　</w:t>
      </w:r>
      <w:r>
        <w:rPr>
          <w:rFonts w:hint="eastAsia" w:ascii="宋体" w:hAnsi="宋体" w:eastAsia="宋体"/>
          <w:color w:val="auto"/>
          <w:szCs w:val="21"/>
          <w:highlight w:val="none"/>
        </w:rPr>
        <w:t>　</w:t>
      </w:r>
    </w:p>
    <w:p w14:paraId="0DA1C7BD">
      <w:pPr>
        <w:widowControl/>
        <w:adjustRightInd w:val="0"/>
        <w:rPr>
          <w:rFonts w:ascii="宋体" w:hAnsi="宋体" w:eastAsia="宋体"/>
          <w:color w:val="auto"/>
          <w:szCs w:val="21"/>
          <w:highlight w:val="none"/>
        </w:rPr>
      </w:pPr>
      <w:r>
        <w:rPr>
          <w:rFonts w:hint="eastAsia" w:ascii="宋体" w:hAnsi="宋体" w:eastAsia="宋体"/>
          <w:color w:val="auto"/>
          <w:szCs w:val="21"/>
          <w:highlight w:val="none"/>
        </w:rPr>
        <w:t xml:space="preserve">                                                       </w:t>
      </w:r>
      <w:r>
        <w:rPr>
          <w:rFonts w:ascii="宋体" w:hAnsi="宋体" w:eastAsia="宋体"/>
          <w:color w:val="auto"/>
          <w:szCs w:val="21"/>
          <w:highlight w:val="none"/>
        </w:rPr>
        <w:t xml:space="preserve"> </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年</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u w:val="single"/>
        </w:rPr>
        <w:t xml:space="preserve"> </w:t>
      </w:r>
      <w:r>
        <w:rPr>
          <w:rFonts w:hint="eastAsia" w:ascii="宋体" w:hAnsi="宋体" w:eastAsia="宋体"/>
          <w:color w:val="auto"/>
          <w:szCs w:val="21"/>
          <w:highlight w:val="none"/>
        </w:rPr>
        <w:t>月</w:t>
      </w:r>
      <w:r>
        <w:rPr>
          <w:rFonts w:hint="eastAsia" w:ascii="宋体" w:hAnsi="宋体" w:eastAsia="宋体"/>
          <w:color w:val="auto"/>
          <w:szCs w:val="21"/>
          <w:highlight w:val="none"/>
          <w:u w:val="single"/>
        </w:rPr>
        <w:t xml:space="preserve">  </w:t>
      </w:r>
      <w:r>
        <w:rPr>
          <w:rFonts w:ascii="宋体" w:hAnsi="宋体" w:eastAsia="宋体"/>
          <w:color w:val="auto"/>
          <w:szCs w:val="21"/>
          <w:highlight w:val="none"/>
          <w:u w:val="single"/>
        </w:rPr>
        <w:t xml:space="preserve">  </w:t>
      </w:r>
      <w:r>
        <w:rPr>
          <w:rFonts w:hint="eastAsia" w:ascii="宋体" w:hAnsi="宋体" w:eastAsia="宋体"/>
          <w:color w:val="auto"/>
          <w:szCs w:val="21"/>
          <w:highlight w:val="none"/>
        </w:rPr>
        <w:t>日　　</w:t>
      </w:r>
      <w:bookmarkEnd w:id="2006"/>
      <w:r>
        <w:rPr>
          <w:rFonts w:hint="eastAsia" w:ascii="宋体" w:hAnsi="宋体" w:eastAsia="宋体"/>
          <w:color w:val="auto"/>
          <w:szCs w:val="21"/>
          <w:highlight w:val="none"/>
        </w:rPr>
        <w:t>　　</w:t>
      </w:r>
    </w:p>
    <w:p w14:paraId="170F14CF">
      <w:pPr>
        <w:pStyle w:val="3"/>
        <w:jc w:val="left"/>
        <w:rPr>
          <w:rFonts w:ascii="宋体" w:hAnsi="宋体" w:eastAsia="宋体"/>
          <w:b w:val="0"/>
          <w:color w:val="auto"/>
          <w:sz w:val="28"/>
          <w:highlight w:val="none"/>
        </w:rPr>
      </w:pPr>
      <w:bookmarkStart w:id="2007" w:name="_Toc57495096"/>
      <w:bookmarkStart w:id="2008" w:name="_Toc28061"/>
      <w:bookmarkStart w:id="2009" w:name="_Toc11031"/>
      <w:r>
        <w:rPr>
          <w:rFonts w:hint="eastAsia" w:ascii="宋体" w:hAnsi="宋体" w:eastAsia="宋体"/>
          <w:b w:val="0"/>
          <w:color w:val="auto"/>
          <w:sz w:val="28"/>
          <w:highlight w:val="none"/>
        </w:rPr>
        <w:t>附件</w:t>
      </w:r>
      <w:r>
        <w:rPr>
          <w:rFonts w:ascii="宋体" w:hAnsi="宋体" w:eastAsia="宋体"/>
          <w:b w:val="0"/>
          <w:color w:val="auto"/>
          <w:sz w:val="28"/>
          <w:highlight w:val="none"/>
        </w:rPr>
        <w:t>8</w:t>
      </w:r>
      <w:r>
        <w:rPr>
          <w:rFonts w:hint="eastAsia" w:ascii="宋体" w:hAnsi="宋体" w:eastAsia="宋体"/>
          <w:b w:val="0"/>
          <w:color w:val="auto"/>
          <w:sz w:val="28"/>
          <w:highlight w:val="none"/>
        </w:rPr>
        <w:t>：</w:t>
      </w:r>
      <w:bookmarkStart w:id="2010" w:name="_Hlk26265992"/>
      <w:r>
        <w:rPr>
          <w:rFonts w:hint="eastAsia" w:ascii="宋体" w:hAnsi="宋体" w:eastAsia="宋体"/>
          <w:b w:val="0"/>
          <w:color w:val="auto"/>
          <w:sz w:val="28"/>
          <w:highlight w:val="none"/>
        </w:rPr>
        <w:t>实物编码标签安装自检确认单</w:t>
      </w:r>
      <w:bookmarkEnd w:id="2007"/>
      <w:bookmarkEnd w:id="2008"/>
      <w:bookmarkEnd w:id="2009"/>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5812"/>
        <w:gridCol w:w="1731"/>
      </w:tblGrid>
      <w:tr w14:paraId="122C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8360" w:type="dxa"/>
            <w:gridSpan w:val="3"/>
            <w:noWrap w:val="0"/>
            <w:vAlign w:val="center"/>
          </w:tcPr>
          <w:p w14:paraId="2ECCB6E4">
            <w:pPr>
              <w:jc w:val="center"/>
              <w:rPr>
                <w:rFonts w:ascii="宋体" w:hAnsi="宋体" w:eastAsia="宋体"/>
                <w:b/>
                <w:bCs/>
                <w:color w:val="auto"/>
                <w:szCs w:val="21"/>
                <w:highlight w:val="none"/>
              </w:rPr>
            </w:pPr>
            <w:bookmarkStart w:id="2011" w:name="_Hlk26265216"/>
            <w:r>
              <w:rPr>
                <w:rFonts w:hint="eastAsia" w:ascii="宋体" w:hAnsi="宋体" w:eastAsia="宋体"/>
                <w:b/>
                <w:bCs/>
                <w:color w:val="auto"/>
                <w:szCs w:val="21"/>
                <w:highlight w:val="none"/>
              </w:rPr>
              <w:t>实物编码标签安装自检确认单</w:t>
            </w:r>
            <w:bookmarkEnd w:id="2011"/>
          </w:p>
        </w:tc>
      </w:tr>
      <w:tr w14:paraId="1702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817" w:type="dxa"/>
            <w:noWrap w:val="0"/>
            <w:vAlign w:val="center"/>
          </w:tcPr>
          <w:p w14:paraId="1230B51E">
            <w:pPr>
              <w:jc w:val="center"/>
              <w:rPr>
                <w:rFonts w:ascii="宋体" w:hAnsi="宋体" w:eastAsia="宋体"/>
                <w:color w:val="auto"/>
                <w:szCs w:val="21"/>
                <w:highlight w:val="none"/>
              </w:rPr>
            </w:pPr>
            <w:r>
              <w:rPr>
                <w:rFonts w:hint="eastAsia" w:ascii="宋体" w:hAnsi="宋体" w:eastAsia="宋体"/>
                <w:b/>
                <w:bCs/>
                <w:color w:val="auto"/>
                <w:szCs w:val="21"/>
                <w:highlight w:val="none"/>
              </w:rPr>
              <w:t>序号</w:t>
            </w:r>
          </w:p>
        </w:tc>
        <w:tc>
          <w:tcPr>
            <w:tcW w:w="5812" w:type="dxa"/>
            <w:noWrap w:val="0"/>
            <w:vAlign w:val="center"/>
          </w:tcPr>
          <w:p w14:paraId="17E077AC">
            <w:pPr>
              <w:jc w:val="center"/>
              <w:rPr>
                <w:rFonts w:ascii="宋体" w:hAnsi="宋体" w:eastAsia="宋体"/>
                <w:b/>
                <w:bCs/>
                <w:color w:val="auto"/>
                <w:szCs w:val="21"/>
                <w:highlight w:val="none"/>
              </w:rPr>
            </w:pPr>
            <w:r>
              <w:rPr>
                <w:rFonts w:hint="eastAsia" w:ascii="宋体" w:hAnsi="宋体" w:eastAsia="宋体"/>
                <w:b/>
                <w:bCs/>
                <w:color w:val="auto"/>
                <w:szCs w:val="21"/>
                <w:highlight w:val="none"/>
              </w:rPr>
              <w:t>事项列表</w:t>
            </w:r>
          </w:p>
        </w:tc>
        <w:tc>
          <w:tcPr>
            <w:tcW w:w="1731" w:type="dxa"/>
            <w:noWrap w:val="0"/>
            <w:vAlign w:val="center"/>
          </w:tcPr>
          <w:p w14:paraId="3ADCC05B">
            <w:pPr>
              <w:jc w:val="center"/>
              <w:rPr>
                <w:rFonts w:ascii="宋体" w:hAnsi="宋体" w:eastAsia="宋体"/>
                <w:b/>
                <w:bCs/>
                <w:color w:val="auto"/>
                <w:szCs w:val="21"/>
                <w:highlight w:val="none"/>
              </w:rPr>
            </w:pPr>
            <w:r>
              <w:rPr>
                <w:rFonts w:hint="eastAsia" w:ascii="宋体" w:hAnsi="宋体" w:eastAsia="宋体"/>
                <w:b/>
                <w:bCs/>
                <w:color w:val="auto"/>
                <w:szCs w:val="21"/>
                <w:highlight w:val="none"/>
              </w:rPr>
              <w:t>是否确认无误</w:t>
            </w:r>
          </w:p>
        </w:tc>
      </w:tr>
      <w:tr w14:paraId="1F43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817" w:type="dxa"/>
            <w:noWrap w:val="0"/>
            <w:vAlign w:val="center"/>
          </w:tcPr>
          <w:p w14:paraId="42BBEF04">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5812" w:type="dxa"/>
            <w:noWrap w:val="0"/>
            <w:vAlign w:val="center"/>
          </w:tcPr>
          <w:p w14:paraId="664540DF">
            <w:pPr>
              <w:topLinePunct/>
              <w:adjustRightInd w:val="0"/>
              <w:snapToGrid w:val="0"/>
              <w:spacing w:line="360" w:lineRule="auto"/>
              <w:rPr>
                <w:rFonts w:ascii="宋体" w:hAnsi="宋体" w:eastAsia="宋体"/>
                <w:color w:val="auto"/>
                <w:szCs w:val="21"/>
                <w:highlight w:val="none"/>
              </w:rPr>
            </w:pPr>
            <w:r>
              <w:rPr>
                <w:rFonts w:hint="eastAsia" w:ascii="宋体" w:hAnsi="宋体" w:eastAsia="宋体" w:cs="宋体"/>
                <w:color w:val="auto"/>
                <w:kern w:val="0"/>
                <w:szCs w:val="21"/>
                <w:highlight w:val="none"/>
              </w:rPr>
              <w:t>实物编码标签安装所在设备对应的出厂编号，与该实物编码在供应链统一服务平台中对应的设备出厂编号保持一致</w:t>
            </w:r>
          </w:p>
        </w:tc>
        <w:tc>
          <w:tcPr>
            <w:tcW w:w="1731" w:type="dxa"/>
            <w:noWrap w:val="0"/>
            <w:vAlign w:val="center"/>
          </w:tcPr>
          <w:p w14:paraId="771D10C5">
            <w:pPr>
              <w:rPr>
                <w:rFonts w:ascii="宋体" w:hAnsi="宋体" w:eastAsia="宋体"/>
                <w:color w:val="auto"/>
                <w:szCs w:val="21"/>
                <w:highlight w:val="none"/>
              </w:rPr>
            </w:pPr>
          </w:p>
        </w:tc>
      </w:tr>
      <w:tr w14:paraId="0B97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817" w:type="dxa"/>
            <w:noWrap w:val="0"/>
            <w:vAlign w:val="center"/>
          </w:tcPr>
          <w:p w14:paraId="73F76071">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5812" w:type="dxa"/>
            <w:noWrap w:val="0"/>
            <w:vAlign w:val="center"/>
          </w:tcPr>
          <w:p w14:paraId="6CCC6A0C">
            <w:pPr>
              <w:topLinePunct/>
              <w:adjustRightInd w:val="0"/>
              <w:snapToGrid w:val="0"/>
              <w:spacing w:line="360" w:lineRule="auto"/>
              <w:rPr>
                <w:rFonts w:ascii="宋体" w:hAnsi="宋体" w:eastAsia="宋体"/>
                <w:color w:val="auto"/>
                <w:szCs w:val="21"/>
                <w:highlight w:val="none"/>
              </w:rPr>
            </w:pPr>
            <w:r>
              <w:rPr>
                <w:rFonts w:hint="eastAsia" w:ascii="宋体" w:hAnsi="宋体" w:eastAsia="宋体" w:cs="宋体"/>
                <w:color w:val="auto"/>
                <w:kern w:val="0"/>
                <w:szCs w:val="21"/>
                <w:highlight w:val="none"/>
              </w:rPr>
              <w:t>实物编码标签对应的实物编码在供应链统一服务平台中填写的技术参数完整、准确</w:t>
            </w:r>
          </w:p>
        </w:tc>
        <w:tc>
          <w:tcPr>
            <w:tcW w:w="1731" w:type="dxa"/>
            <w:noWrap w:val="0"/>
            <w:vAlign w:val="center"/>
          </w:tcPr>
          <w:p w14:paraId="05631433">
            <w:pPr>
              <w:rPr>
                <w:rFonts w:ascii="宋体" w:hAnsi="宋体" w:eastAsia="宋体"/>
                <w:color w:val="auto"/>
                <w:szCs w:val="21"/>
                <w:highlight w:val="none"/>
              </w:rPr>
            </w:pPr>
          </w:p>
        </w:tc>
      </w:tr>
      <w:tr w14:paraId="5EBF0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817" w:type="dxa"/>
            <w:noWrap w:val="0"/>
            <w:vAlign w:val="center"/>
          </w:tcPr>
          <w:p w14:paraId="7DD0C5BB">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3</w:t>
            </w:r>
          </w:p>
        </w:tc>
        <w:tc>
          <w:tcPr>
            <w:tcW w:w="5812" w:type="dxa"/>
            <w:noWrap w:val="0"/>
            <w:vAlign w:val="center"/>
          </w:tcPr>
          <w:p w14:paraId="502EC01C">
            <w:pPr>
              <w:topLinePunct/>
              <w:adjustRightInd w:val="0"/>
              <w:snapToGrid w:val="0"/>
              <w:spacing w:line="360" w:lineRule="auto"/>
              <w:rPr>
                <w:rFonts w:ascii="宋体" w:hAnsi="宋体" w:eastAsia="宋体"/>
                <w:color w:val="auto"/>
                <w:szCs w:val="21"/>
                <w:highlight w:val="none"/>
              </w:rPr>
            </w:pPr>
            <w:r>
              <w:rPr>
                <w:rFonts w:hint="eastAsia" w:ascii="宋体" w:hAnsi="宋体" w:eastAsia="宋体" w:cs="宋体"/>
                <w:color w:val="auto"/>
                <w:kern w:val="0"/>
                <w:szCs w:val="21"/>
                <w:highlight w:val="none"/>
              </w:rPr>
              <w:t>实物编码标签安装方式和位置满足《南方电网有限责任公司实物编码贴标工作指引》要求</w:t>
            </w:r>
          </w:p>
        </w:tc>
        <w:tc>
          <w:tcPr>
            <w:tcW w:w="1731" w:type="dxa"/>
            <w:noWrap w:val="0"/>
            <w:vAlign w:val="center"/>
          </w:tcPr>
          <w:p w14:paraId="5C4BF2F2">
            <w:pPr>
              <w:rPr>
                <w:rFonts w:ascii="宋体" w:hAnsi="宋体" w:eastAsia="宋体"/>
                <w:color w:val="auto"/>
                <w:szCs w:val="21"/>
                <w:highlight w:val="none"/>
              </w:rPr>
            </w:pPr>
          </w:p>
        </w:tc>
      </w:tr>
      <w:tr w14:paraId="38DE9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17" w:type="dxa"/>
            <w:noWrap w:val="0"/>
            <w:vAlign w:val="center"/>
          </w:tcPr>
          <w:p w14:paraId="74F55922">
            <w:pPr>
              <w:topLinePunct/>
              <w:adjustRightInd w:val="0"/>
              <w:snapToGrid w:val="0"/>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4</w:t>
            </w:r>
          </w:p>
        </w:tc>
        <w:tc>
          <w:tcPr>
            <w:tcW w:w="5812" w:type="dxa"/>
            <w:noWrap w:val="0"/>
            <w:vAlign w:val="center"/>
          </w:tcPr>
          <w:p w14:paraId="3B89F001">
            <w:pPr>
              <w:topLinePunct/>
              <w:adjustRightInd w:val="0"/>
              <w:snapToGrid w:val="0"/>
              <w:spacing w:line="360" w:lineRule="auto"/>
              <w:rPr>
                <w:rFonts w:ascii="宋体" w:hAnsi="宋体" w:eastAsia="宋体"/>
                <w:color w:val="auto"/>
                <w:szCs w:val="21"/>
                <w:highlight w:val="none"/>
              </w:rPr>
            </w:pPr>
            <w:r>
              <w:rPr>
                <w:rFonts w:hint="eastAsia" w:ascii="宋体" w:hAnsi="宋体" w:eastAsia="宋体" w:cs="宋体"/>
                <w:color w:val="auto"/>
                <w:kern w:val="0"/>
                <w:szCs w:val="21"/>
                <w:highlight w:val="none"/>
              </w:rPr>
              <w:t>实物编码标签安装牢固，用手牵拉没有脱落松动，表面无遮挡和污渍</w:t>
            </w:r>
          </w:p>
        </w:tc>
        <w:tc>
          <w:tcPr>
            <w:tcW w:w="1731" w:type="dxa"/>
            <w:noWrap w:val="0"/>
            <w:vAlign w:val="center"/>
          </w:tcPr>
          <w:p w14:paraId="2CDFEBCC">
            <w:pPr>
              <w:rPr>
                <w:rFonts w:ascii="宋体" w:hAnsi="宋体" w:eastAsia="宋体"/>
                <w:color w:val="auto"/>
                <w:szCs w:val="21"/>
                <w:highlight w:val="none"/>
              </w:rPr>
            </w:pPr>
          </w:p>
        </w:tc>
      </w:tr>
      <w:tr w14:paraId="0C7A3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817" w:type="dxa"/>
            <w:noWrap w:val="0"/>
            <w:vAlign w:val="center"/>
          </w:tcPr>
          <w:p w14:paraId="63DA9C72">
            <w:pPr>
              <w:jc w:val="center"/>
              <w:rPr>
                <w:rFonts w:ascii="宋体" w:hAnsi="宋体" w:eastAsia="宋体" w:cs="仿宋"/>
                <w:color w:val="auto"/>
                <w:szCs w:val="21"/>
                <w:highlight w:val="none"/>
              </w:rPr>
            </w:pPr>
            <w:r>
              <w:rPr>
                <w:rFonts w:hint="eastAsia" w:ascii="宋体" w:hAnsi="宋体" w:eastAsia="宋体" w:cs="仿宋"/>
                <w:color w:val="auto"/>
                <w:szCs w:val="21"/>
                <w:highlight w:val="none"/>
              </w:rPr>
              <w:t>5</w:t>
            </w:r>
          </w:p>
        </w:tc>
        <w:tc>
          <w:tcPr>
            <w:tcW w:w="5812" w:type="dxa"/>
            <w:noWrap w:val="0"/>
            <w:vAlign w:val="center"/>
          </w:tcPr>
          <w:p w14:paraId="78F8AB25">
            <w:pPr>
              <w:topLinePunct/>
              <w:adjustRightInd w:val="0"/>
              <w:snapToGrid w:val="0"/>
              <w:spacing w:line="360" w:lineRule="auto"/>
              <w:rPr>
                <w:rFonts w:ascii="宋体" w:hAnsi="宋体" w:eastAsia="宋体"/>
                <w:color w:val="auto"/>
                <w:szCs w:val="21"/>
                <w:highlight w:val="none"/>
              </w:rPr>
            </w:pPr>
            <w:r>
              <w:rPr>
                <w:rFonts w:hint="eastAsia" w:ascii="宋体" w:hAnsi="宋体" w:eastAsia="宋体" w:cs="宋体"/>
                <w:color w:val="auto"/>
                <w:kern w:val="0"/>
                <w:szCs w:val="21"/>
                <w:highlight w:val="none"/>
              </w:rPr>
              <w:t>实物编码标签安装在设备正式易于识别的位置，且同批次同规格的设备标签安装位置一致</w:t>
            </w:r>
          </w:p>
        </w:tc>
        <w:tc>
          <w:tcPr>
            <w:tcW w:w="1731" w:type="dxa"/>
            <w:noWrap w:val="0"/>
            <w:vAlign w:val="center"/>
          </w:tcPr>
          <w:p w14:paraId="6A76118B">
            <w:pPr>
              <w:rPr>
                <w:rFonts w:ascii="宋体" w:hAnsi="宋体" w:eastAsia="宋体"/>
                <w:color w:val="auto"/>
                <w:szCs w:val="21"/>
                <w:highlight w:val="none"/>
              </w:rPr>
            </w:pPr>
          </w:p>
        </w:tc>
      </w:tr>
      <w:tr w14:paraId="62C83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8360" w:type="dxa"/>
            <w:gridSpan w:val="3"/>
            <w:noWrap w:val="0"/>
            <w:vAlign w:val="top"/>
          </w:tcPr>
          <w:p w14:paraId="18039C07">
            <w:pPr>
              <w:rPr>
                <w:rFonts w:ascii="宋体" w:hAnsi="宋体" w:eastAsia="宋体"/>
                <w:b/>
                <w:bCs/>
                <w:color w:val="auto"/>
                <w:szCs w:val="21"/>
                <w:highlight w:val="none"/>
              </w:rPr>
            </w:pPr>
            <w:r>
              <w:rPr>
                <w:rFonts w:hint="eastAsia" w:ascii="宋体" w:hAnsi="宋体" w:eastAsia="宋体"/>
                <w:b/>
                <w:bCs/>
                <w:color w:val="auto"/>
                <w:szCs w:val="21"/>
                <w:highlight w:val="none"/>
              </w:rPr>
              <w:t>其它说明:</w:t>
            </w:r>
          </w:p>
          <w:p w14:paraId="65284EBE">
            <w:pPr>
              <w:rPr>
                <w:rFonts w:ascii="宋体" w:hAnsi="宋体" w:eastAsia="宋体"/>
                <w:b/>
                <w:bCs/>
                <w:color w:val="auto"/>
                <w:szCs w:val="21"/>
                <w:highlight w:val="none"/>
              </w:rPr>
            </w:pPr>
          </w:p>
          <w:p w14:paraId="17F8D6A9">
            <w:pPr>
              <w:rPr>
                <w:rFonts w:ascii="宋体" w:hAnsi="宋体" w:eastAsia="宋体"/>
                <w:b/>
                <w:bCs/>
                <w:color w:val="auto"/>
                <w:szCs w:val="21"/>
                <w:highlight w:val="none"/>
              </w:rPr>
            </w:pPr>
          </w:p>
          <w:p w14:paraId="4C72A3C9">
            <w:pPr>
              <w:rPr>
                <w:rFonts w:ascii="宋体" w:hAnsi="宋体" w:eastAsia="宋体"/>
                <w:b/>
                <w:bCs/>
                <w:color w:val="auto"/>
                <w:szCs w:val="21"/>
                <w:highlight w:val="none"/>
              </w:rPr>
            </w:pPr>
          </w:p>
          <w:p w14:paraId="7DD5B9EE">
            <w:pPr>
              <w:rPr>
                <w:rFonts w:ascii="宋体" w:hAnsi="宋体" w:eastAsia="宋体"/>
                <w:b/>
                <w:bCs/>
                <w:color w:val="auto"/>
                <w:szCs w:val="21"/>
                <w:highlight w:val="none"/>
              </w:rPr>
            </w:pPr>
          </w:p>
          <w:p w14:paraId="592FF322">
            <w:pPr>
              <w:rPr>
                <w:rFonts w:ascii="宋体" w:hAnsi="宋体" w:eastAsia="宋体"/>
                <w:color w:val="auto"/>
                <w:szCs w:val="21"/>
                <w:highlight w:val="none"/>
              </w:rPr>
            </w:pPr>
          </w:p>
        </w:tc>
      </w:tr>
      <w:tr w14:paraId="483EB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8360" w:type="dxa"/>
            <w:gridSpan w:val="3"/>
            <w:noWrap w:val="0"/>
            <w:vAlign w:val="top"/>
          </w:tcPr>
          <w:p w14:paraId="6888171E">
            <w:pPr>
              <w:rPr>
                <w:rFonts w:ascii="宋体" w:hAnsi="宋体" w:eastAsia="宋体"/>
                <w:b/>
                <w:bCs/>
                <w:color w:val="auto"/>
                <w:szCs w:val="21"/>
                <w:highlight w:val="none"/>
              </w:rPr>
            </w:pPr>
            <w:r>
              <w:rPr>
                <w:rFonts w:hint="eastAsia" w:ascii="宋体" w:hAnsi="宋体" w:eastAsia="宋体"/>
                <w:b/>
                <w:bCs/>
                <w:color w:val="auto"/>
                <w:szCs w:val="21"/>
                <w:highlight w:val="none"/>
              </w:rPr>
              <w:t>供应商名称：</w:t>
            </w:r>
          </w:p>
          <w:p w14:paraId="7DA73810">
            <w:pPr>
              <w:rPr>
                <w:rFonts w:ascii="宋体" w:hAnsi="宋体" w:eastAsia="宋体"/>
                <w:b/>
                <w:bCs/>
                <w:color w:val="auto"/>
                <w:szCs w:val="21"/>
                <w:highlight w:val="none"/>
              </w:rPr>
            </w:pPr>
          </w:p>
          <w:p w14:paraId="5742A47B">
            <w:pPr>
              <w:wordWrap w:val="0"/>
              <w:jc w:val="right"/>
              <w:rPr>
                <w:rFonts w:ascii="宋体" w:hAnsi="宋体" w:eastAsia="宋体"/>
                <w:b/>
                <w:bCs/>
                <w:color w:val="auto"/>
                <w:szCs w:val="21"/>
                <w:highlight w:val="none"/>
              </w:rPr>
            </w:pPr>
            <w:r>
              <w:rPr>
                <w:rFonts w:hint="eastAsia" w:ascii="宋体" w:hAnsi="宋体" w:eastAsia="宋体"/>
                <w:b/>
                <w:bCs/>
                <w:color w:val="auto"/>
                <w:szCs w:val="21"/>
                <w:highlight w:val="none"/>
              </w:rPr>
              <w:t xml:space="preserve">供应商确认：（签名） </w:t>
            </w:r>
            <w:r>
              <w:rPr>
                <w:rFonts w:ascii="宋体" w:hAnsi="宋体" w:eastAsia="宋体"/>
                <w:b/>
                <w:bCs/>
                <w:color w:val="auto"/>
                <w:szCs w:val="21"/>
                <w:highlight w:val="none"/>
              </w:rPr>
              <w:t xml:space="preserve">          </w:t>
            </w:r>
          </w:p>
          <w:p w14:paraId="4FAE5666">
            <w:pPr>
              <w:wordWrap w:val="0"/>
              <w:jc w:val="right"/>
              <w:rPr>
                <w:rFonts w:ascii="宋体" w:hAnsi="宋体" w:eastAsia="宋体"/>
                <w:b/>
                <w:bCs/>
                <w:color w:val="auto"/>
                <w:szCs w:val="21"/>
                <w:highlight w:val="none"/>
              </w:rPr>
            </w:pPr>
            <w:r>
              <w:rPr>
                <w:rFonts w:hint="eastAsia" w:ascii="宋体" w:hAnsi="宋体" w:eastAsia="宋体"/>
                <w:b/>
                <w:bCs/>
                <w:color w:val="auto"/>
                <w:szCs w:val="21"/>
                <w:highlight w:val="none"/>
              </w:rPr>
              <w:t xml:space="preserve">日期： </w:t>
            </w:r>
            <w:r>
              <w:rPr>
                <w:rFonts w:ascii="宋体" w:hAnsi="宋体" w:eastAsia="宋体"/>
                <w:b/>
                <w:bCs/>
                <w:color w:val="auto"/>
                <w:szCs w:val="21"/>
                <w:highlight w:val="none"/>
              </w:rPr>
              <w:t xml:space="preserve">                       </w:t>
            </w:r>
          </w:p>
        </w:tc>
      </w:tr>
    </w:tbl>
    <w:p w14:paraId="716B825D">
      <w:pPr>
        <w:topLinePunct/>
        <w:adjustRightInd w:val="0"/>
        <w:snapToGrid w:val="0"/>
        <w:spacing w:line="360" w:lineRule="auto"/>
        <w:jc w:val="left"/>
        <w:rPr>
          <w:rFonts w:ascii="宋体" w:hAnsi="宋体" w:eastAsia="宋体" w:cs="宋体"/>
          <w:color w:val="auto"/>
          <w:kern w:val="0"/>
          <w:szCs w:val="21"/>
          <w:highlight w:val="none"/>
        </w:rPr>
      </w:pPr>
    </w:p>
    <w:bookmarkEnd w:id="2010"/>
    <w:p w14:paraId="2886EB48">
      <w:pPr>
        <w:topLinePunct/>
        <w:adjustRightInd w:val="0"/>
        <w:snapToGrid w:val="0"/>
        <w:spacing w:line="360" w:lineRule="auto"/>
        <w:jc w:val="left"/>
        <w:rPr>
          <w:rFonts w:ascii="宋体" w:hAnsi="宋体" w:eastAsia="宋体" w:cs="宋体"/>
          <w:color w:val="auto"/>
          <w:kern w:val="0"/>
          <w:szCs w:val="21"/>
          <w:highlight w:val="none"/>
        </w:rPr>
      </w:pPr>
    </w:p>
    <w:p w14:paraId="55ADBC20">
      <w:pPr>
        <w:topLinePunct/>
        <w:adjustRightInd w:val="0"/>
        <w:snapToGrid w:val="0"/>
        <w:spacing w:line="360" w:lineRule="auto"/>
        <w:jc w:val="left"/>
        <w:rPr>
          <w:rFonts w:ascii="宋体" w:hAnsi="宋体" w:eastAsia="宋体" w:cs="宋体"/>
          <w:color w:val="auto"/>
          <w:kern w:val="0"/>
          <w:szCs w:val="21"/>
          <w:highlight w:val="none"/>
        </w:rPr>
      </w:pPr>
    </w:p>
    <w:p w14:paraId="7711C0D2">
      <w:pPr>
        <w:topLinePunct/>
        <w:adjustRightInd w:val="0"/>
        <w:snapToGrid w:val="0"/>
        <w:spacing w:line="360" w:lineRule="auto"/>
        <w:jc w:val="left"/>
        <w:rPr>
          <w:rFonts w:ascii="宋体" w:hAnsi="宋体" w:eastAsia="宋体" w:cs="宋体"/>
          <w:color w:val="auto"/>
          <w:kern w:val="0"/>
          <w:szCs w:val="21"/>
          <w:highlight w:val="none"/>
        </w:rPr>
      </w:pPr>
    </w:p>
    <w:p w14:paraId="1E7BE1CE">
      <w:pPr>
        <w:topLinePunct/>
        <w:adjustRightInd w:val="0"/>
        <w:snapToGrid w:val="0"/>
        <w:spacing w:line="360" w:lineRule="auto"/>
        <w:jc w:val="left"/>
        <w:rPr>
          <w:rFonts w:ascii="宋体" w:hAnsi="宋体" w:eastAsia="宋体" w:cs="宋体"/>
          <w:color w:val="auto"/>
          <w:kern w:val="0"/>
          <w:szCs w:val="21"/>
          <w:highlight w:val="none"/>
        </w:rPr>
      </w:pPr>
    </w:p>
    <w:p w14:paraId="46167E37">
      <w:pPr>
        <w:topLinePunct/>
        <w:adjustRightInd w:val="0"/>
        <w:snapToGrid w:val="0"/>
        <w:spacing w:line="360" w:lineRule="auto"/>
        <w:jc w:val="left"/>
        <w:rPr>
          <w:rFonts w:ascii="宋体" w:hAnsi="宋体" w:eastAsia="宋体" w:cs="宋体"/>
          <w:color w:val="auto"/>
          <w:kern w:val="0"/>
          <w:szCs w:val="21"/>
          <w:highlight w:val="none"/>
        </w:rPr>
      </w:pPr>
    </w:p>
    <w:p w14:paraId="23C901C3">
      <w:pPr>
        <w:topLinePunct/>
        <w:adjustRightInd w:val="0"/>
        <w:snapToGrid w:val="0"/>
        <w:spacing w:line="360" w:lineRule="auto"/>
        <w:jc w:val="left"/>
        <w:rPr>
          <w:rFonts w:ascii="宋体" w:hAnsi="宋体" w:eastAsia="宋体" w:cs="宋体"/>
          <w:color w:val="auto"/>
          <w:kern w:val="0"/>
          <w:szCs w:val="21"/>
          <w:highlight w:val="none"/>
        </w:rPr>
      </w:pPr>
    </w:p>
    <w:p w14:paraId="0F8CEF27">
      <w:pPr>
        <w:topLinePunct/>
        <w:adjustRightInd w:val="0"/>
        <w:snapToGrid w:val="0"/>
        <w:spacing w:line="360" w:lineRule="auto"/>
        <w:jc w:val="left"/>
        <w:rPr>
          <w:rFonts w:ascii="宋体" w:hAnsi="宋体" w:eastAsia="宋体" w:cs="宋体"/>
          <w:color w:val="auto"/>
          <w:kern w:val="0"/>
          <w:szCs w:val="21"/>
          <w:highlight w:val="none"/>
        </w:rPr>
      </w:pPr>
    </w:p>
    <w:p w14:paraId="4E193DAF">
      <w:pPr>
        <w:widowControl/>
        <w:adjustRightInd w:val="0"/>
        <w:rPr>
          <w:rFonts w:ascii="黑体" w:hAnsi="宋体" w:eastAsia="黑体" w:cs="宋体-18030"/>
          <w:b/>
          <w:bCs/>
          <w:color w:val="auto"/>
          <w:sz w:val="28"/>
          <w:highlight w:val="none"/>
        </w:rPr>
      </w:pPr>
    </w:p>
    <w:p w14:paraId="23041396">
      <w:pPr>
        <w:widowControl/>
        <w:adjustRightInd w:val="0"/>
        <w:rPr>
          <w:rFonts w:ascii="黑体" w:hAnsi="宋体" w:eastAsia="黑体" w:cs="宋体-18030"/>
          <w:b/>
          <w:bCs/>
          <w:color w:val="auto"/>
          <w:sz w:val="28"/>
          <w:highlight w:val="none"/>
        </w:rPr>
      </w:pPr>
    </w:p>
    <w:p w14:paraId="7E314FF5">
      <w:pPr>
        <w:widowControl/>
        <w:adjustRightInd w:val="0"/>
        <w:rPr>
          <w:rFonts w:ascii="黑体" w:hAnsi="宋体" w:eastAsia="黑体" w:cs="宋体-18030"/>
          <w:b/>
          <w:bCs/>
          <w:color w:val="auto"/>
          <w:sz w:val="28"/>
          <w:highlight w:val="none"/>
        </w:rPr>
      </w:pPr>
    </w:p>
    <w:p w14:paraId="78D8445A">
      <w:pPr>
        <w:pStyle w:val="3"/>
        <w:rPr>
          <w:rFonts w:ascii="宋体" w:hAnsi="宋体" w:eastAsia="宋体"/>
          <w:b w:val="0"/>
          <w:color w:val="auto"/>
          <w:sz w:val="28"/>
          <w:szCs w:val="28"/>
          <w:highlight w:val="none"/>
        </w:rPr>
      </w:pPr>
      <w:bookmarkStart w:id="2012" w:name="_Toc5571"/>
      <w:bookmarkStart w:id="2013" w:name="_Toc492891994"/>
      <w:bookmarkStart w:id="2014" w:name="_Toc57495097"/>
      <w:bookmarkStart w:id="2015" w:name="_Toc31231"/>
      <w:r>
        <w:rPr>
          <w:rFonts w:hint="eastAsia" w:ascii="宋体" w:hAnsi="宋体" w:eastAsia="宋体"/>
          <w:b w:val="0"/>
          <w:color w:val="auto"/>
          <w:sz w:val="28"/>
          <w:szCs w:val="28"/>
          <w:highlight w:val="none"/>
        </w:rPr>
        <w:t>附件</w:t>
      </w:r>
      <w:r>
        <w:rPr>
          <w:rFonts w:ascii="宋体" w:hAnsi="宋体" w:eastAsia="宋体"/>
          <w:b w:val="0"/>
          <w:color w:val="auto"/>
          <w:sz w:val="28"/>
          <w:szCs w:val="28"/>
          <w:highlight w:val="none"/>
        </w:rPr>
        <w:t>9</w:t>
      </w:r>
      <w:r>
        <w:rPr>
          <w:rFonts w:hint="eastAsia" w:ascii="宋体" w:hAnsi="宋体" w:eastAsia="宋体"/>
          <w:b w:val="0"/>
          <w:color w:val="auto"/>
          <w:sz w:val="28"/>
          <w:szCs w:val="28"/>
          <w:highlight w:val="none"/>
        </w:rPr>
        <w:t>：保证金保函（格式）</w:t>
      </w:r>
      <w:bookmarkEnd w:id="2012"/>
      <w:bookmarkEnd w:id="2013"/>
      <w:bookmarkEnd w:id="2014"/>
      <w:bookmarkEnd w:id="2015"/>
    </w:p>
    <w:p w14:paraId="637182EF">
      <w:pPr>
        <w:pStyle w:val="4"/>
        <w:jc w:val="left"/>
        <w:rPr>
          <w:rFonts w:ascii="宋体" w:hAnsi="宋体" w:eastAsia="宋体" w:cs="Times New Roman"/>
          <w:b w:val="0"/>
          <w:color w:val="auto"/>
          <w:kern w:val="44"/>
          <w:sz w:val="28"/>
          <w:szCs w:val="44"/>
          <w:highlight w:val="none"/>
        </w:rPr>
      </w:pPr>
      <w:bookmarkStart w:id="2016" w:name="_Toc21765"/>
      <w:bookmarkStart w:id="2017" w:name="_Toc26275554"/>
      <w:bookmarkStart w:id="2018" w:name="_Toc32460"/>
      <w:bookmarkStart w:id="2019" w:name="_Toc57495098"/>
      <w:r>
        <w:rPr>
          <w:rFonts w:ascii="宋体" w:hAnsi="宋体" w:eastAsia="宋体" w:cs="Times New Roman"/>
          <w:b w:val="0"/>
          <w:color w:val="auto"/>
          <w:kern w:val="44"/>
          <w:sz w:val="28"/>
          <w:szCs w:val="44"/>
          <w:highlight w:val="none"/>
        </w:rPr>
        <w:t>9.1</w:t>
      </w:r>
      <w:r>
        <w:rPr>
          <w:rFonts w:hint="eastAsia" w:ascii="宋体" w:hAnsi="宋体" w:eastAsia="宋体" w:cs="Times New Roman"/>
          <w:b w:val="0"/>
          <w:color w:val="auto"/>
          <w:kern w:val="44"/>
          <w:sz w:val="28"/>
          <w:szCs w:val="44"/>
          <w:highlight w:val="none"/>
        </w:rPr>
        <w:t>：履约保证金保函</w:t>
      </w:r>
      <w:bookmarkEnd w:id="2016"/>
      <w:bookmarkEnd w:id="2017"/>
      <w:bookmarkEnd w:id="2018"/>
      <w:bookmarkEnd w:id="2019"/>
    </w:p>
    <w:p w14:paraId="1FC2B738">
      <w:pPr>
        <w:topLinePunct/>
        <w:adjustRightInd w:val="0"/>
        <w:snapToGrid w:val="0"/>
        <w:spacing w:line="360" w:lineRule="auto"/>
        <w:jc w:val="center"/>
        <w:rPr>
          <w:rFonts w:ascii="宋体" w:hAnsi="宋体" w:eastAsia="宋体" w:cs="黑体"/>
          <w:b/>
          <w:color w:val="auto"/>
          <w:kern w:val="0"/>
          <w:sz w:val="28"/>
          <w:szCs w:val="32"/>
          <w:highlight w:val="none"/>
        </w:rPr>
      </w:pPr>
      <w:r>
        <w:rPr>
          <w:rFonts w:hint="eastAsia" w:ascii="宋体" w:hAnsi="宋体" w:eastAsia="宋体" w:cs="黑体"/>
          <w:b/>
          <w:color w:val="auto"/>
          <w:kern w:val="0"/>
          <w:sz w:val="28"/>
          <w:szCs w:val="32"/>
          <w:highlight w:val="none"/>
        </w:rPr>
        <w:t>履约保证金保函</w:t>
      </w:r>
    </w:p>
    <w:p w14:paraId="6206D3CD">
      <w:pPr>
        <w:topLinePunct/>
        <w:adjustRightInd w:val="0"/>
        <w:snapToGrid w:val="0"/>
        <w:spacing w:line="360" w:lineRule="auto"/>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（买方名称）：</w:t>
      </w:r>
    </w:p>
    <w:p w14:paraId="7BECADE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鉴于</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（买方名称，以下简称</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买方</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）接受</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（卖方名称，以下称</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卖方</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）于</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日参加</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（项目名称）设备采购招标项目的投标，签订了（合同名称）</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，（合同编号）</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。我方愿意无条件地、不可撤销地就卖方履行与你方订立的合同，向你方提供担保。</w:t>
      </w:r>
    </w:p>
    <w:p w14:paraId="47F847F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 </w:t>
      </w:r>
      <w:r>
        <w:rPr>
          <w:rFonts w:hint="eastAsia" w:ascii="宋体" w:hAnsi="宋体" w:eastAsia="宋体" w:cs="宋体"/>
          <w:color w:val="auto"/>
          <w:kern w:val="0"/>
          <w:szCs w:val="21"/>
          <w:highlight w:val="none"/>
        </w:rPr>
        <w:t>担保金额人民币（大写）</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097BA16B">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2. </w:t>
      </w:r>
      <w:r>
        <w:rPr>
          <w:rFonts w:hint="eastAsia" w:ascii="宋体" w:hAnsi="宋体" w:eastAsia="宋体" w:cs="宋体"/>
          <w:color w:val="auto"/>
          <w:kern w:val="0"/>
          <w:szCs w:val="21"/>
          <w:highlight w:val="none"/>
        </w:rPr>
        <w:t>担保有效期自</w:t>
      </w:r>
      <w:bookmarkStart w:id="2020" w:name="_Hlk28638860"/>
      <w:r>
        <w:rPr>
          <w:rFonts w:hint="eastAsia" w:ascii="宋体" w:hAnsi="宋体" w:eastAsia="宋体" w:cs="宋体"/>
          <w:color w:val="auto"/>
          <w:kern w:val="0"/>
          <w:szCs w:val="21"/>
          <w:highlight w:val="none"/>
        </w:rPr>
        <w:t>保函开具</w:t>
      </w:r>
      <w:bookmarkEnd w:id="2020"/>
      <w:r>
        <w:rPr>
          <w:rFonts w:hint="eastAsia" w:ascii="宋体" w:hAnsi="宋体" w:eastAsia="宋体" w:cs="宋体"/>
          <w:color w:val="auto"/>
          <w:kern w:val="0"/>
          <w:szCs w:val="21"/>
          <w:highlight w:val="none"/>
        </w:rPr>
        <w:t>之日起</w:t>
      </w:r>
      <w:r>
        <w:rPr>
          <w:rFonts w:ascii="宋体" w:hAnsi="宋体" w:eastAsia="宋体" w:cs="宋体"/>
          <w:color w:val="auto"/>
          <w:kern w:val="0"/>
          <w:szCs w:val="21"/>
          <w:highlight w:val="none"/>
        </w:rPr>
        <w:t>至合同项下全部设备</w:t>
      </w:r>
      <w:r>
        <w:rPr>
          <w:rFonts w:hint="eastAsia" w:ascii="宋体" w:hAnsi="宋体" w:eastAsia="宋体" w:cs="宋体"/>
          <w:color w:val="auto"/>
          <w:kern w:val="0"/>
          <w:szCs w:val="21"/>
          <w:highlight w:val="none"/>
        </w:rPr>
        <w:t>质保期都开始计算之日止。</w:t>
      </w:r>
    </w:p>
    <w:p w14:paraId="6924DB7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3. </w:t>
      </w:r>
      <w:r>
        <w:rPr>
          <w:rFonts w:hint="eastAsia" w:ascii="宋体" w:hAnsi="宋体" w:eastAsia="宋体" w:cs="宋体"/>
          <w:color w:val="auto"/>
          <w:kern w:val="0"/>
          <w:szCs w:val="21"/>
          <w:highlight w:val="none"/>
        </w:rPr>
        <w:t>在本担保有效期内，如果卖方不履行合同约定的义务或其履行不符合合同的约定，我方在收到你方以书面形式提出的在担保金额内的赔偿要求后，在</w:t>
      </w:r>
      <w:r>
        <w:rPr>
          <w:rFonts w:ascii="宋体" w:hAnsi="宋体" w:eastAsia="宋体" w:cs="Times New Roman"/>
          <w:color w:val="auto"/>
          <w:kern w:val="0"/>
          <w:szCs w:val="21"/>
          <w:highlight w:val="none"/>
        </w:rPr>
        <w:t>7</w:t>
      </w:r>
      <w:r>
        <w:rPr>
          <w:rFonts w:hint="eastAsia" w:ascii="宋体" w:hAnsi="宋体" w:eastAsia="宋体" w:cs="宋体"/>
          <w:color w:val="auto"/>
          <w:kern w:val="0"/>
          <w:szCs w:val="21"/>
          <w:highlight w:val="none"/>
        </w:rPr>
        <w:t>日内无条件支付。</w:t>
      </w:r>
    </w:p>
    <w:p w14:paraId="1205166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4. </w:t>
      </w:r>
      <w:r>
        <w:rPr>
          <w:rFonts w:hint="eastAsia" w:ascii="宋体" w:hAnsi="宋体" w:eastAsia="宋体" w:cs="宋体"/>
          <w:color w:val="auto"/>
          <w:kern w:val="0"/>
          <w:szCs w:val="21"/>
          <w:highlight w:val="none"/>
        </w:rPr>
        <w:t>买方和卖方变更合同时，无论我方是否收到该变更，我方承担本担保规定的义务不变。</w:t>
      </w:r>
    </w:p>
    <w:p w14:paraId="28B4379A">
      <w:pPr>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担保人名称：</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（盖单位章）</w:t>
      </w:r>
    </w:p>
    <w:p w14:paraId="39B58EB9">
      <w:pPr>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法定代表人（单位负责人）或其委托代理人：</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签名</w:t>
      </w:r>
      <w:r>
        <w:rPr>
          <w:rFonts w:hint="eastAsia" w:ascii="宋体" w:hAnsi="宋体" w:eastAsia="宋体" w:cs="宋体"/>
          <w:color w:val="auto"/>
          <w:kern w:val="0"/>
          <w:szCs w:val="21"/>
          <w:highlight w:val="none"/>
        </w:rPr>
        <w:t>）</w:t>
      </w:r>
    </w:p>
    <w:p w14:paraId="3CAD60D7">
      <w:pPr>
        <w:wordWrap w:val="0"/>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地      址：</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
    <w:p w14:paraId="70ABB499">
      <w:pPr>
        <w:wordWrap w:val="0"/>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邮政  编码：</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
    <w:p w14:paraId="0F76F44A">
      <w:pPr>
        <w:wordWrap w:val="0"/>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电      话：</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
    <w:p w14:paraId="0B0BF9BD">
      <w:pPr>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p>
    <w:p w14:paraId="7FF78DD2">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4E4EC955">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675AFAAC">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6597105E">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71A432A5">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2CA74383">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7E9162B9">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3828D019">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58E1B7F2">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73181C2F">
      <w:pPr>
        <w:pStyle w:val="4"/>
        <w:jc w:val="left"/>
        <w:rPr>
          <w:rFonts w:ascii="宋体" w:hAnsi="宋体" w:eastAsia="宋体" w:cs="Times New Roman"/>
          <w:b w:val="0"/>
          <w:color w:val="auto"/>
          <w:kern w:val="44"/>
          <w:sz w:val="28"/>
          <w:szCs w:val="44"/>
          <w:highlight w:val="none"/>
        </w:rPr>
      </w:pPr>
      <w:bookmarkStart w:id="2021" w:name="_Toc957"/>
      <w:bookmarkStart w:id="2022" w:name="_Toc4638"/>
      <w:bookmarkStart w:id="2023" w:name="_9.2：采购合同履约保证保险保单"/>
      <w:r>
        <w:rPr>
          <w:rFonts w:ascii="宋体" w:hAnsi="宋体" w:eastAsia="宋体" w:cs="Times New Roman"/>
          <w:b w:val="0"/>
          <w:color w:val="auto"/>
          <w:kern w:val="44"/>
          <w:sz w:val="28"/>
          <w:szCs w:val="44"/>
          <w:highlight w:val="none"/>
        </w:rPr>
        <w:t>9.</w:t>
      </w:r>
      <w:r>
        <w:rPr>
          <w:rFonts w:hint="eastAsia" w:ascii="宋体" w:hAnsi="宋体" w:eastAsia="宋体" w:cs="Times New Roman"/>
          <w:b w:val="0"/>
          <w:color w:val="auto"/>
          <w:kern w:val="44"/>
          <w:sz w:val="28"/>
          <w:szCs w:val="44"/>
          <w:highlight w:val="none"/>
        </w:rPr>
        <w:t>2：采购合同履约保证保险保单</w:t>
      </w:r>
      <w:bookmarkEnd w:id="2021"/>
      <w:bookmarkEnd w:id="2022"/>
    </w:p>
    <w:bookmarkEnd w:id="2023"/>
    <w:p w14:paraId="2862DAB0">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629401B3">
      <w:pPr>
        <w:jc w:val="center"/>
        <w:rPr>
          <w:rFonts w:ascii="等线" w:hAnsi="等线" w:eastAsia="等线" w:cs="宋体"/>
          <w:b/>
          <w:color w:val="auto"/>
          <w:sz w:val="28"/>
          <w:szCs w:val="28"/>
          <w:highlight w:val="none"/>
          <w:lang w:bidi="ar"/>
        </w:rPr>
      </w:pPr>
      <w:r>
        <w:rPr>
          <w:rFonts w:hint="eastAsia" w:ascii="等线" w:hAnsi="等线" w:eastAsia="等线" w:cs="宋体"/>
          <w:b/>
          <w:color w:val="auto"/>
          <w:sz w:val="28"/>
          <w:szCs w:val="28"/>
          <w:highlight w:val="none"/>
          <w:lang w:bidi="ar"/>
        </w:rPr>
        <w:t>采购合同履约保证保险保单</w:t>
      </w:r>
    </w:p>
    <w:p w14:paraId="4C7D2969">
      <w:pPr>
        <w:ind w:firstLine="5280" w:firstLineChars="2400"/>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保单号:</w:t>
      </w:r>
    </w:p>
    <w:p w14:paraId="500F70E8">
      <w:pPr>
        <w:jc w:val="left"/>
        <w:rPr>
          <w:rFonts w:ascii="等线" w:hAnsi="等线" w:eastAsia="等线" w:cs="宋体"/>
          <w:b/>
          <w:color w:val="auto"/>
          <w:sz w:val="22"/>
          <w:highlight w:val="none"/>
          <w:lang w:bidi="ar"/>
        </w:rPr>
      </w:pPr>
      <w:r>
        <w:rPr>
          <w:rFonts w:hint="eastAsia" w:ascii="等线" w:hAnsi="等线" w:eastAsia="等线" w:cs="宋体"/>
          <w:b/>
          <w:color w:val="auto"/>
          <w:sz w:val="22"/>
          <w:highlight w:val="none"/>
          <w:lang w:bidi="ar"/>
        </w:rPr>
        <w:t>一 、投保人</w:t>
      </w:r>
    </w:p>
    <w:p w14:paraId="300423FE">
      <w:pPr>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名称：xxx</w:t>
      </w:r>
    </w:p>
    <w:p w14:paraId="79256368">
      <w:pPr>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 xml:space="preserve">证件类型： </w:t>
      </w:r>
      <w:r>
        <w:rPr>
          <w:rFonts w:ascii="等线" w:hAnsi="等线" w:eastAsia="等线" w:cs="宋体"/>
          <w:color w:val="auto"/>
          <w:sz w:val="22"/>
          <w:highlight w:val="none"/>
          <w:lang w:bidi="ar"/>
        </w:rPr>
        <w:t xml:space="preserve">      </w:t>
      </w:r>
      <w:r>
        <w:rPr>
          <w:rFonts w:hint="eastAsia" w:ascii="等线" w:hAnsi="等线" w:eastAsia="等线" w:cs="宋体"/>
          <w:color w:val="auto"/>
          <w:sz w:val="22"/>
          <w:highlight w:val="none"/>
          <w:lang w:bidi="ar"/>
        </w:rPr>
        <w:t xml:space="preserve">       证件号码：</w:t>
      </w:r>
    </w:p>
    <w:p w14:paraId="73E5BD57">
      <w:pPr>
        <w:jc w:val="left"/>
        <w:rPr>
          <w:rFonts w:ascii="等线" w:hAnsi="等线" w:eastAsia="等线" w:cs="宋体"/>
          <w:b/>
          <w:color w:val="auto"/>
          <w:sz w:val="22"/>
          <w:highlight w:val="none"/>
          <w:lang w:bidi="ar"/>
        </w:rPr>
      </w:pPr>
      <w:r>
        <w:rPr>
          <w:rFonts w:hint="eastAsia" w:ascii="等线" w:hAnsi="等线" w:eastAsia="等线" w:cs="宋体"/>
          <w:color w:val="auto"/>
          <w:sz w:val="22"/>
          <w:highlight w:val="none"/>
          <w:lang w:bidi="ar"/>
        </w:rPr>
        <w:t xml:space="preserve">联系人：            </w:t>
      </w:r>
      <w:r>
        <w:rPr>
          <w:rFonts w:ascii="等线" w:hAnsi="等线" w:eastAsia="等线" w:cs="宋体"/>
          <w:color w:val="auto"/>
          <w:sz w:val="22"/>
          <w:highlight w:val="none"/>
          <w:lang w:bidi="ar"/>
        </w:rPr>
        <w:t xml:space="preserve">   </w:t>
      </w:r>
      <w:r>
        <w:rPr>
          <w:rFonts w:hint="eastAsia" w:ascii="等线" w:hAnsi="等线" w:eastAsia="等线" w:cs="宋体"/>
          <w:color w:val="auto"/>
          <w:sz w:val="22"/>
          <w:highlight w:val="none"/>
          <w:lang w:bidi="ar"/>
        </w:rPr>
        <w:t xml:space="preserve"> 联系电话：                    联系地址：         </w:t>
      </w:r>
    </w:p>
    <w:p w14:paraId="24FE0FA3">
      <w:pPr>
        <w:jc w:val="left"/>
        <w:rPr>
          <w:rFonts w:ascii="宋体" w:hAnsi="宋体" w:eastAsia="宋体" w:cs="宋体"/>
          <w:color w:val="auto"/>
          <w:sz w:val="22"/>
          <w:highlight w:val="none"/>
          <w:lang w:bidi="ar"/>
        </w:rPr>
      </w:pPr>
      <w:r>
        <w:rPr>
          <w:rFonts w:hint="eastAsia" w:ascii="等线" w:hAnsi="等线" w:eastAsia="等线" w:cs="宋体"/>
          <w:color w:val="auto"/>
          <w:sz w:val="22"/>
          <w:highlight w:val="none"/>
          <w:lang w:bidi="ar"/>
        </w:rPr>
        <w:t>名称：XX</w:t>
      </w:r>
      <w:r>
        <w:rPr>
          <w:rFonts w:hint="eastAsia" w:ascii="宋体" w:hAnsi="宋体" w:eastAsia="宋体" w:cs="宋体"/>
          <w:color w:val="auto"/>
          <w:szCs w:val="21"/>
          <w:highlight w:val="none"/>
          <w:shd w:val="clear" w:color="auto" w:fill="F6FAFF"/>
        </w:rPr>
        <w:t>电网有限责任公司</w:t>
      </w:r>
    </w:p>
    <w:p w14:paraId="1E5BD296">
      <w:pPr>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 xml:space="preserve">证件类型： </w:t>
      </w:r>
      <w:r>
        <w:rPr>
          <w:rFonts w:ascii="等线" w:hAnsi="等线" w:eastAsia="等线" w:cs="宋体"/>
          <w:color w:val="auto"/>
          <w:sz w:val="22"/>
          <w:highlight w:val="none"/>
          <w:lang w:bidi="ar"/>
        </w:rPr>
        <w:t xml:space="preserve">      </w:t>
      </w:r>
      <w:r>
        <w:rPr>
          <w:rFonts w:hint="eastAsia" w:ascii="等线" w:hAnsi="等线" w:eastAsia="等线" w:cs="宋体"/>
          <w:color w:val="auto"/>
          <w:sz w:val="22"/>
          <w:highlight w:val="none"/>
          <w:lang w:bidi="ar"/>
        </w:rPr>
        <w:t xml:space="preserve">       证件号码：</w:t>
      </w:r>
    </w:p>
    <w:p w14:paraId="5C1D5DF2">
      <w:pPr>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 xml:space="preserve">联系人：            </w:t>
      </w:r>
      <w:r>
        <w:rPr>
          <w:rFonts w:ascii="等线" w:hAnsi="等线" w:eastAsia="等线" w:cs="宋体"/>
          <w:color w:val="auto"/>
          <w:sz w:val="22"/>
          <w:highlight w:val="none"/>
          <w:lang w:bidi="ar"/>
        </w:rPr>
        <w:t xml:space="preserve">   </w:t>
      </w:r>
      <w:r>
        <w:rPr>
          <w:rFonts w:hint="eastAsia" w:ascii="等线" w:hAnsi="等线" w:eastAsia="等线" w:cs="宋体"/>
          <w:color w:val="auto"/>
          <w:sz w:val="22"/>
          <w:highlight w:val="none"/>
          <w:lang w:bidi="ar"/>
        </w:rPr>
        <w:t xml:space="preserve"> 联系电话：xxxxxxxxxxxx        联系地址：         </w:t>
      </w:r>
    </w:p>
    <w:p w14:paraId="3F4A8E6A">
      <w:pPr>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邮政编码：</w:t>
      </w:r>
    </w:p>
    <w:p w14:paraId="7FAF16EA">
      <w:pPr>
        <w:numPr>
          <w:ilvl w:val="0"/>
          <w:numId w:val="2"/>
        </w:numPr>
        <w:jc w:val="left"/>
        <w:rPr>
          <w:rFonts w:ascii="等线" w:hAnsi="等线" w:eastAsia="等线" w:cs="宋体"/>
          <w:b/>
          <w:color w:val="auto"/>
          <w:sz w:val="22"/>
          <w:highlight w:val="none"/>
          <w:lang w:bidi="ar"/>
        </w:rPr>
      </w:pPr>
      <w:r>
        <w:rPr>
          <w:rFonts w:hint="eastAsia" w:ascii="等线" w:hAnsi="等线" w:eastAsia="等线" w:cs="宋体"/>
          <w:b/>
          <w:color w:val="auto"/>
          <w:sz w:val="22"/>
          <w:highlight w:val="none"/>
          <w:lang w:bidi="ar"/>
        </w:rPr>
        <w:t>采购合同信息</w:t>
      </w:r>
    </w:p>
    <w:p w14:paraId="57D13C24">
      <w:pPr>
        <w:ind w:left="1760" w:hanging="1760" w:hangingChars="800"/>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采购合同名称：</w:t>
      </w:r>
      <w:r>
        <w:rPr>
          <w:rFonts w:hint="eastAsia" w:ascii="等线" w:hAnsi="等线" w:eastAsia="等线" w:cs="宋体"/>
          <w:color w:val="auto"/>
          <w:sz w:val="22"/>
          <w:highlight w:val="none"/>
          <w:lang w:bidi="ar"/>
        </w:rPr>
        <w:tab/>
      </w:r>
      <w:r>
        <w:rPr>
          <w:rFonts w:hint="eastAsia" w:ascii="等线" w:hAnsi="等线" w:eastAsia="等线" w:cs="宋体"/>
          <w:color w:val="auto"/>
          <w:sz w:val="22"/>
          <w:highlight w:val="none"/>
          <w:lang w:bidi="ar"/>
        </w:rPr>
        <w:t>XXXXXXXXXXXXXXXXXXX XXXXXXXXXXXXXXXXXXX XXXXXXXXXXXXXXXXXXX XXXXXXXXXXXXXXXXXXX</w:t>
      </w:r>
    </w:p>
    <w:p w14:paraId="78121D1B">
      <w:pPr>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合同编号：</w:t>
      </w:r>
    </w:p>
    <w:p w14:paraId="096C6C86">
      <w:pPr>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合同货物和设备名称：</w:t>
      </w:r>
    </w:p>
    <w:p w14:paraId="72977908">
      <w:pPr>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 xml:space="preserve">采购金额：                           </w:t>
      </w:r>
    </w:p>
    <w:p w14:paraId="1150133B">
      <w:pPr>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 xml:space="preserve">履约保证金金额：                                           </w:t>
      </w:r>
    </w:p>
    <w:p w14:paraId="44D01313">
      <w:pPr>
        <w:widowControl/>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 xml:space="preserve">约定供货时间：                       </w:t>
      </w:r>
    </w:p>
    <w:p w14:paraId="1A02A4DA">
      <w:pPr>
        <w:widowControl/>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履约保证期： 自    年  月  日  时起，至   年  月  日  时止。</w:t>
      </w:r>
    </w:p>
    <w:p w14:paraId="7B9BBB48">
      <w:pPr>
        <w:widowControl/>
        <w:numPr>
          <w:ilvl w:val="0"/>
          <w:numId w:val="2"/>
        </w:numPr>
        <w:jc w:val="left"/>
        <w:rPr>
          <w:rFonts w:ascii="等线" w:hAnsi="等线" w:eastAsia="等线" w:cs="宋体"/>
          <w:b/>
          <w:color w:val="auto"/>
          <w:sz w:val="22"/>
          <w:highlight w:val="none"/>
          <w:lang w:bidi="ar"/>
        </w:rPr>
      </w:pPr>
      <w:bookmarkStart w:id="2024" w:name="OLE_LINK1"/>
      <w:bookmarkStart w:id="2025" w:name="OLE_LINK6"/>
      <w:bookmarkStart w:id="2026" w:name="OLE_LINK2"/>
      <w:bookmarkStart w:id="2027" w:name="OLE_LINK4"/>
      <w:bookmarkStart w:id="2028" w:name="OLE_LINK3"/>
      <w:bookmarkStart w:id="2029" w:name="OLE_LINK5"/>
      <w:r>
        <w:rPr>
          <w:rFonts w:hint="eastAsia" w:ascii="等线" w:hAnsi="等线" w:eastAsia="等线" w:cs="宋体"/>
          <w:b/>
          <w:color w:val="auto"/>
          <w:sz w:val="22"/>
          <w:highlight w:val="none"/>
          <w:lang w:bidi="ar"/>
        </w:rPr>
        <w:t>主险</w:t>
      </w:r>
    </w:p>
    <w:p w14:paraId="58DAF659">
      <w:pPr>
        <w:widowControl/>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 xml:space="preserve">保险金额 </w:t>
      </w:r>
      <w:r>
        <w:rPr>
          <w:rFonts w:ascii="等线" w:hAnsi="等线" w:eastAsia="等线" w:cs="宋体"/>
          <w:color w:val="auto"/>
          <w:sz w:val="22"/>
          <w:highlight w:val="none"/>
          <w:lang w:bidi="ar"/>
        </w:rPr>
        <w:t xml:space="preserve">          </w:t>
      </w:r>
      <w:r>
        <w:rPr>
          <w:rFonts w:hint="eastAsia" w:ascii="等线" w:hAnsi="等线" w:eastAsia="等线" w:cs="宋体"/>
          <w:color w:val="auto"/>
          <w:sz w:val="22"/>
          <w:highlight w:val="none"/>
          <w:lang w:bidi="ar"/>
        </w:rPr>
        <w:t>人民币：   元整        CNY：   元</w:t>
      </w:r>
    </w:p>
    <w:p w14:paraId="1B492A78">
      <w:pPr>
        <w:widowControl/>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 xml:space="preserve">保险费 </w:t>
      </w:r>
      <w:bookmarkEnd w:id="2024"/>
      <w:r>
        <w:rPr>
          <w:rFonts w:ascii="等线" w:hAnsi="等线" w:eastAsia="等线" w:cs="宋体"/>
          <w:color w:val="auto"/>
          <w:sz w:val="22"/>
          <w:highlight w:val="none"/>
          <w:lang w:bidi="ar"/>
        </w:rPr>
        <w:t xml:space="preserve">            </w:t>
      </w:r>
      <w:r>
        <w:rPr>
          <w:rFonts w:hint="eastAsia" w:ascii="等线" w:hAnsi="等线" w:eastAsia="等线" w:cs="宋体"/>
          <w:color w:val="auto"/>
          <w:sz w:val="22"/>
          <w:highlight w:val="none"/>
          <w:lang w:bidi="ar"/>
        </w:rPr>
        <w:t>人民币：   元整        CNY：   元</w:t>
      </w:r>
      <w:bookmarkEnd w:id="2025"/>
      <w:bookmarkEnd w:id="2026"/>
      <w:bookmarkEnd w:id="2027"/>
      <w:bookmarkEnd w:id="2028"/>
      <w:bookmarkEnd w:id="2029"/>
    </w:p>
    <w:p w14:paraId="20348ADC">
      <w:pPr>
        <w:widowControl/>
        <w:jc w:val="left"/>
        <w:rPr>
          <w:rFonts w:ascii="等线" w:hAnsi="等线" w:eastAsia="等线" w:cs="宋体"/>
          <w:b/>
          <w:bCs/>
          <w:color w:val="auto"/>
          <w:sz w:val="22"/>
          <w:highlight w:val="none"/>
          <w:lang w:bidi="ar"/>
        </w:rPr>
      </w:pPr>
      <w:r>
        <w:rPr>
          <w:rFonts w:hint="eastAsia" w:ascii="等线" w:hAnsi="等线" w:eastAsia="等线" w:cs="宋体"/>
          <w:b/>
          <w:bCs/>
          <w:color w:val="auto"/>
          <w:sz w:val="22"/>
          <w:highlight w:val="none"/>
          <w:lang w:bidi="ar"/>
        </w:rPr>
        <w:t>五、附加险</w:t>
      </w:r>
    </w:p>
    <w:p w14:paraId="7731850E">
      <w:pPr>
        <w:widowControl/>
        <w:jc w:val="left"/>
        <w:rPr>
          <w:rFonts w:ascii="等线" w:hAnsi="等线" w:eastAsia="等线" w:cs="宋体"/>
          <w:b/>
          <w:color w:val="auto"/>
          <w:sz w:val="22"/>
          <w:highlight w:val="none"/>
          <w:lang w:bidi="ar"/>
        </w:rPr>
      </w:pPr>
      <w:r>
        <w:rPr>
          <w:rFonts w:hint="eastAsia" w:ascii="等线" w:hAnsi="等线" w:eastAsia="等线" w:cs="宋体"/>
          <w:b/>
          <w:color w:val="auto"/>
          <w:sz w:val="22"/>
          <w:highlight w:val="none"/>
          <w:lang w:bidi="ar"/>
        </w:rPr>
        <w:t>六、免赔</w:t>
      </w:r>
    </w:p>
    <w:p w14:paraId="226EF89D">
      <w:pPr>
        <w:widowControl/>
        <w:jc w:val="left"/>
        <w:rPr>
          <w:rFonts w:ascii="等线" w:hAnsi="等线" w:eastAsia="等线" w:cs="宋体"/>
          <w:b/>
          <w:color w:val="auto"/>
          <w:sz w:val="22"/>
          <w:highlight w:val="none"/>
          <w:lang w:bidi="ar"/>
        </w:rPr>
      </w:pPr>
      <w:r>
        <w:rPr>
          <w:rFonts w:hint="eastAsia" w:ascii="等线" w:hAnsi="等线" w:eastAsia="等线" w:cs="宋体"/>
          <w:b/>
          <w:color w:val="auto"/>
          <w:sz w:val="22"/>
          <w:highlight w:val="none"/>
          <w:lang w:bidi="ar"/>
        </w:rPr>
        <w:t>七、保险期限</w:t>
      </w:r>
    </w:p>
    <w:p w14:paraId="570C4741">
      <w:pPr>
        <w:widowControl/>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自    年  月   日 0  时起，至   年  月   日24时止。</w:t>
      </w:r>
    </w:p>
    <w:p w14:paraId="6C4569A2">
      <w:pPr>
        <w:widowControl/>
        <w:jc w:val="left"/>
        <w:rPr>
          <w:rFonts w:ascii="等线" w:hAnsi="等线" w:eastAsia="等线" w:cs="宋体"/>
          <w:b/>
          <w:color w:val="auto"/>
          <w:sz w:val="22"/>
          <w:highlight w:val="none"/>
          <w:lang w:bidi="ar"/>
        </w:rPr>
      </w:pPr>
      <w:r>
        <w:rPr>
          <w:rFonts w:hint="eastAsia" w:ascii="等线" w:hAnsi="等线" w:eastAsia="等线" w:cs="宋体"/>
          <w:b/>
          <w:color w:val="auto"/>
          <w:sz w:val="22"/>
          <w:highlight w:val="none"/>
          <w:lang w:bidi="ar"/>
        </w:rPr>
        <w:t>八、保险费交付日期</w:t>
      </w:r>
    </w:p>
    <w:p w14:paraId="5E4A6468">
      <w:pPr>
        <w:widowControl/>
        <w:jc w:val="left"/>
        <w:rPr>
          <w:rFonts w:ascii="等线" w:hAnsi="等线" w:eastAsia="等线" w:cs="宋体"/>
          <w:b/>
          <w:color w:val="auto"/>
          <w:sz w:val="22"/>
          <w:highlight w:val="none"/>
          <w:lang w:bidi="ar"/>
        </w:rPr>
      </w:pPr>
      <w:r>
        <w:rPr>
          <w:rFonts w:hint="eastAsia" w:ascii="等线" w:hAnsi="等线" w:eastAsia="等线" w:cs="宋体"/>
          <w:b/>
          <w:color w:val="auto"/>
          <w:sz w:val="22"/>
          <w:highlight w:val="none"/>
          <w:lang w:bidi="ar"/>
        </w:rPr>
        <w:t>九、保险合同争议解决方式</w:t>
      </w:r>
    </w:p>
    <w:p w14:paraId="1F3BEDAA">
      <w:pPr>
        <w:widowControl/>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诉讼</w:t>
      </w:r>
    </w:p>
    <w:p w14:paraId="687A4649">
      <w:pPr>
        <w:widowControl/>
        <w:jc w:val="left"/>
        <w:rPr>
          <w:rFonts w:ascii="等线" w:hAnsi="等线" w:eastAsia="等线" w:cs="宋体"/>
          <w:b/>
          <w:color w:val="auto"/>
          <w:sz w:val="22"/>
          <w:highlight w:val="none"/>
          <w:lang w:bidi="ar"/>
        </w:rPr>
      </w:pPr>
      <w:r>
        <w:rPr>
          <w:rFonts w:hint="eastAsia" w:ascii="等线" w:hAnsi="等线" w:eastAsia="等线" w:cs="宋体"/>
          <w:b/>
          <w:color w:val="auto"/>
          <w:sz w:val="22"/>
          <w:highlight w:val="none"/>
          <w:lang w:bidi="ar"/>
        </w:rPr>
        <w:t>十、司法管辖</w:t>
      </w:r>
    </w:p>
    <w:p w14:paraId="4A291726">
      <w:pPr>
        <w:widowControl/>
        <w:jc w:val="left"/>
        <w:rPr>
          <w:rFonts w:ascii="等线" w:hAnsi="等线" w:eastAsia="等线" w:cs="宋体"/>
          <w:color w:val="auto"/>
          <w:sz w:val="22"/>
          <w:highlight w:val="none"/>
          <w:lang w:bidi="ar"/>
        </w:rPr>
      </w:pPr>
      <w:r>
        <w:rPr>
          <w:rFonts w:hint="eastAsia" w:ascii="等线" w:hAnsi="等线" w:eastAsia="等线" w:cs="宋体"/>
          <w:color w:val="auto"/>
          <w:sz w:val="22"/>
          <w:highlight w:val="none"/>
          <w:lang w:bidi="ar"/>
        </w:rPr>
        <w:t>中华人民共和国管辖(港、澳、台除外) </w:t>
      </w:r>
    </w:p>
    <w:p w14:paraId="428B370D">
      <w:pPr>
        <w:widowControl/>
        <w:jc w:val="left"/>
        <w:rPr>
          <w:rFonts w:ascii="等线" w:hAnsi="等线" w:eastAsia="等线" w:cs="宋体"/>
          <w:b/>
          <w:color w:val="auto"/>
          <w:sz w:val="22"/>
          <w:highlight w:val="none"/>
          <w:lang w:bidi="ar"/>
        </w:rPr>
      </w:pPr>
      <w:r>
        <w:rPr>
          <w:rFonts w:hint="eastAsia" w:ascii="等线" w:hAnsi="等线" w:eastAsia="等线" w:cs="宋体"/>
          <w:b/>
          <w:color w:val="auto"/>
          <w:sz w:val="22"/>
          <w:highlight w:val="none"/>
          <w:lang w:bidi="ar"/>
        </w:rPr>
        <w:t>十一、特别约定</w:t>
      </w:r>
    </w:p>
    <w:p w14:paraId="67CFC061">
      <w:pPr>
        <w:widowControl/>
        <w:jc w:val="left"/>
        <w:rPr>
          <w:rFonts w:ascii="等线" w:hAnsi="等线" w:eastAsia="等线" w:cs="宋体"/>
          <w:b/>
          <w:color w:val="auto"/>
          <w:sz w:val="22"/>
          <w:highlight w:val="none"/>
          <w:lang w:bidi="ar"/>
        </w:rPr>
      </w:pPr>
      <w:r>
        <w:rPr>
          <w:rFonts w:hint="eastAsia" w:ascii="等线" w:hAnsi="等线" w:eastAsia="等线" w:cs="宋体"/>
          <w:b/>
          <w:color w:val="auto"/>
          <w:sz w:val="22"/>
          <w:highlight w:val="none"/>
          <w:lang w:bidi="ar"/>
        </w:rPr>
        <w:t>十二、适用条款</w:t>
      </w:r>
    </w:p>
    <w:p w14:paraId="4BE4B3A4">
      <w:pPr>
        <w:widowControl/>
        <w:jc w:val="left"/>
        <w:rPr>
          <w:rStyle w:val="14"/>
          <w:rFonts w:eastAsia="宋体"/>
          <w:color w:val="auto"/>
          <w:highlight w:val="none"/>
        </w:rPr>
      </w:pPr>
      <w:r>
        <w:rPr>
          <w:rFonts w:hint="eastAsia" w:ascii="等线" w:hAnsi="等线" w:eastAsia="等线" w:cs="宋体"/>
          <w:color w:val="auto"/>
          <w:sz w:val="22"/>
          <w:highlight w:val="none"/>
          <w:lang w:bidi="ar"/>
        </w:rPr>
        <w:t>本保单适用主险条款为《履约保证保险》，注册号：</w:t>
      </w:r>
      <w:r>
        <w:rPr>
          <w:rFonts w:ascii="Times New Roman" w:hAnsi="Times New Roman" w:eastAsia="宋体" w:cs="Times New Roman"/>
          <w:b/>
          <w:color w:val="auto"/>
          <w:sz w:val="18"/>
          <w:szCs w:val="18"/>
          <w:highlight w:val="none"/>
        </w:rPr>
        <w:t>C00012931412020052902532</w:t>
      </w:r>
    </w:p>
    <w:p w14:paraId="350C051F">
      <w:pPr>
        <w:widowControl/>
        <w:jc w:val="left"/>
        <w:rPr>
          <w:rStyle w:val="14"/>
          <w:rFonts w:eastAsia="宋体"/>
          <w:color w:val="auto"/>
          <w:highlight w:val="none"/>
        </w:rPr>
      </w:pPr>
    </w:p>
    <w:p w14:paraId="2B46CE04">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74B39C94">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79193316">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13E44DB9">
      <w:pPr>
        <w:pStyle w:val="4"/>
        <w:jc w:val="left"/>
        <w:rPr>
          <w:rFonts w:ascii="宋体" w:hAnsi="宋体" w:eastAsia="宋体" w:cs="Times New Roman"/>
          <w:b w:val="0"/>
          <w:color w:val="auto"/>
          <w:kern w:val="44"/>
          <w:sz w:val="28"/>
          <w:szCs w:val="44"/>
          <w:highlight w:val="none"/>
        </w:rPr>
      </w:pPr>
      <w:bookmarkStart w:id="2030" w:name="_Toc18255"/>
      <w:bookmarkStart w:id="2031" w:name="_Toc16428"/>
      <w:bookmarkStart w:id="2032" w:name="_Toc57495099"/>
      <w:bookmarkStart w:id="2033" w:name="_Toc26275555"/>
      <w:bookmarkStart w:id="2034" w:name="_9.3：质量保证金保函"/>
      <w:r>
        <w:rPr>
          <w:rFonts w:ascii="宋体" w:hAnsi="宋体" w:eastAsia="宋体" w:cs="Times New Roman"/>
          <w:b w:val="0"/>
          <w:color w:val="auto"/>
          <w:kern w:val="44"/>
          <w:sz w:val="28"/>
          <w:szCs w:val="44"/>
          <w:highlight w:val="none"/>
        </w:rPr>
        <w:t>9.</w:t>
      </w:r>
      <w:r>
        <w:rPr>
          <w:rFonts w:hint="eastAsia" w:ascii="宋体" w:hAnsi="宋体" w:eastAsia="宋体" w:cs="Times New Roman"/>
          <w:b w:val="0"/>
          <w:color w:val="auto"/>
          <w:kern w:val="44"/>
          <w:sz w:val="28"/>
          <w:szCs w:val="44"/>
          <w:highlight w:val="none"/>
        </w:rPr>
        <w:t>3：</w:t>
      </w:r>
      <w:r>
        <w:rPr>
          <w:rFonts w:hint="eastAsia" w:ascii="宋体" w:hAnsi="宋体" w:eastAsia="宋体" w:cs="Times New Roman"/>
          <w:b w:val="0"/>
          <w:color w:val="auto"/>
          <w:kern w:val="44"/>
          <w:sz w:val="28"/>
          <w:szCs w:val="44"/>
          <w:highlight w:val="none"/>
          <w:lang w:eastAsia="zh-CN"/>
        </w:rPr>
        <w:t>结清款保证金</w:t>
      </w:r>
      <w:r>
        <w:rPr>
          <w:rFonts w:hint="eastAsia" w:ascii="宋体" w:hAnsi="宋体" w:eastAsia="宋体" w:cs="Times New Roman"/>
          <w:b w:val="0"/>
          <w:color w:val="auto"/>
          <w:kern w:val="44"/>
          <w:sz w:val="28"/>
          <w:szCs w:val="44"/>
          <w:highlight w:val="none"/>
        </w:rPr>
        <w:t>保函</w:t>
      </w:r>
      <w:bookmarkEnd w:id="2030"/>
      <w:bookmarkEnd w:id="2031"/>
      <w:bookmarkEnd w:id="2032"/>
      <w:bookmarkEnd w:id="2033"/>
    </w:p>
    <w:bookmarkEnd w:id="2034"/>
    <w:p w14:paraId="6FE0BF73">
      <w:pPr>
        <w:topLinePunct/>
        <w:adjustRightInd w:val="0"/>
        <w:snapToGrid w:val="0"/>
        <w:spacing w:line="360" w:lineRule="auto"/>
        <w:jc w:val="center"/>
        <w:rPr>
          <w:rFonts w:ascii="宋体" w:hAnsi="宋体" w:eastAsia="宋体" w:cs="黑体"/>
          <w:b/>
          <w:color w:val="auto"/>
          <w:kern w:val="0"/>
          <w:sz w:val="28"/>
          <w:szCs w:val="32"/>
          <w:highlight w:val="none"/>
        </w:rPr>
      </w:pPr>
      <w:r>
        <w:rPr>
          <w:rFonts w:hint="eastAsia" w:ascii="宋体" w:hAnsi="宋体" w:eastAsia="宋体" w:cs="黑体"/>
          <w:b/>
          <w:color w:val="auto"/>
          <w:kern w:val="0"/>
          <w:sz w:val="28"/>
          <w:szCs w:val="32"/>
          <w:highlight w:val="none"/>
          <w:lang w:eastAsia="zh-CN"/>
        </w:rPr>
        <w:t>结清款保证金</w:t>
      </w:r>
      <w:r>
        <w:rPr>
          <w:rFonts w:hint="eastAsia" w:ascii="宋体" w:hAnsi="宋体" w:eastAsia="宋体" w:cs="黑体"/>
          <w:b/>
          <w:color w:val="auto"/>
          <w:kern w:val="0"/>
          <w:sz w:val="28"/>
          <w:szCs w:val="32"/>
          <w:highlight w:val="none"/>
        </w:rPr>
        <w:t>保函</w:t>
      </w:r>
    </w:p>
    <w:p w14:paraId="60651F3D">
      <w:pPr>
        <w:topLinePunct/>
        <w:adjustRightInd w:val="0"/>
        <w:snapToGrid w:val="0"/>
        <w:spacing w:line="360" w:lineRule="auto"/>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（买方名称）：</w:t>
      </w:r>
    </w:p>
    <w:p w14:paraId="2AFBD81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鉴于</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（买方名称，以下简称</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买方</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）接受</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（卖方名称，以下称</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卖方</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rPr>
        <w:t>）于</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日参加</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（项目名称）设备采购招标项目的投标。我方愿意无条件地、不可撤销地就卖方履行与你方订立合同的质保期服务和其他担保有效期内的各项合同义务，向你方提供担保。</w:t>
      </w:r>
    </w:p>
    <w:p w14:paraId="0671C958">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1. </w:t>
      </w:r>
      <w:r>
        <w:rPr>
          <w:rFonts w:hint="eastAsia" w:ascii="宋体" w:hAnsi="宋体" w:eastAsia="宋体" w:cs="宋体"/>
          <w:color w:val="auto"/>
          <w:kern w:val="0"/>
          <w:szCs w:val="21"/>
          <w:highlight w:val="none"/>
        </w:rPr>
        <w:t>担保金额人民币（大写）</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ascii="宋体" w:hAnsi="宋体" w:eastAsia="宋体" w:cs="Times New Roman"/>
          <w:color w:val="auto"/>
          <w:kern w:val="0"/>
          <w:szCs w:val="21"/>
          <w:highlight w:val="none"/>
        </w:rPr>
        <w:t>¥</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p>
    <w:p w14:paraId="07031FD7">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2. </w:t>
      </w:r>
      <w:r>
        <w:rPr>
          <w:rFonts w:hint="eastAsia" w:ascii="宋体" w:hAnsi="宋体" w:eastAsia="宋体" w:cs="宋体"/>
          <w:color w:val="auto"/>
          <w:kern w:val="0"/>
          <w:szCs w:val="21"/>
          <w:highlight w:val="none"/>
        </w:rPr>
        <w:t>担保有效期自</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日至</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r>
        <w:rPr>
          <w:rFonts w:ascii="宋体" w:hAnsi="宋体" w:eastAsia="宋体" w:cs="宋体"/>
          <w:color w:val="auto"/>
          <w:kern w:val="0"/>
          <w:szCs w:val="21"/>
          <w:highlight w:val="none"/>
        </w:rPr>
        <w:t>。</w:t>
      </w:r>
    </w:p>
    <w:p w14:paraId="3241BB1D">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3. </w:t>
      </w:r>
      <w:r>
        <w:rPr>
          <w:rFonts w:hint="eastAsia" w:ascii="宋体" w:hAnsi="宋体" w:eastAsia="宋体" w:cs="宋体"/>
          <w:color w:val="auto"/>
          <w:kern w:val="0"/>
          <w:szCs w:val="21"/>
          <w:highlight w:val="none"/>
        </w:rPr>
        <w:t>在本担保有效期内，如果卖方不履行合同约定的义务或其履行不符合合同的约定，我方在收到你方以书面形式提出的在担保金额内的赔偿要求后，在</w:t>
      </w:r>
      <w:r>
        <w:rPr>
          <w:rFonts w:ascii="宋体" w:hAnsi="宋体" w:eastAsia="宋体" w:cs="Times New Roman"/>
          <w:color w:val="auto"/>
          <w:kern w:val="0"/>
          <w:szCs w:val="21"/>
          <w:highlight w:val="none"/>
        </w:rPr>
        <w:t>7</w:t>
      </w:r>
      <w:r>
        <w:rPr>
          <w:rFonts w:hint="eastAsia" w:ascii="宋体" w:hAnsi="宋体" w:eastAsia="宋体" w:cs="宋体"/>
          <w:color w:val="auto"/>
          <w:kern w:val="0"/>
          <w:szCs w:val="21"/>
          <w:highlight w:val="none"/>
        </w:rPr>
        <w:t>日内无条件支付。</w:t>
      </w:r>
    </w:p>
    <w:p w14:paraId="272266EE">
      <w:pPr>
        <w:topLinePunct/>
        <w:adjustRightInd w:val="0"/>
        <w:snapToGrid w:val="0"/>
        <w:spacing w:line="360" w:lineRule="auto"/>
        <w:ind w:firstLine="420" w:firstLineChars="200"/>
        <w:jc w:val="left"/>
        <w:rPr>
          <w:rFonts w:ascii="宋体" w:hAnsi="宋体" w:eastAsia="宋体" w:cs="宋体"/>
          <w:color w:val="auto"/>
          <w:kern w:val="0"/>
          <w:szCs w:val="21"/>
          <w:highlight w:val="none"/>
        </w:rPr>
      </w:pPr>
      <w:r>
        <w:rPr>
          <w:rFonts w:ascii="宋体" w:hAnsi="宋体" w:eastAsia="宋体" w:cs="Times New Roman"/>
          <w:color w:val="auto"/>
          <w:kern w:val="0"/>
          <w:szCs w:val="21"/>
          <w:highlight w:val="none"/>
        </w:rPr>
        <w:t xml:space="preserve">4. </w:t>
      </w:r>
      <w:r>
        <w:rPr>
          <w:rFonts w:hint="eastAsia" w:ascii="宋体" w:hAnsi="宋体" w:eastAsia="宋体" w:cs="宋体"/>
          <w:color w:val="auto"/>
          <w:kern w:val="0"/>
          <w:szCs w:val="21"/>
          <w:highlight w:val="none"/>
        </w:rPr>
        <w:t>买方和卖方变更合同时，无论我方是否收到该变更，我方承担本担保规定的义务不变。</w:t>
      </w:r>
    </w:p>
    <w:p w14:paraId="3673FF1C">
      <w:pPr>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担保人名称：</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（盖单位章）</w:t>
      </w:r>
    </w:p>
    <w:p w14:paraId="255F9880">
      <w:pPr>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法定代表人（单位负责人）或其委托代理人：</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w:t>
      </w:r>
      <w:r>
        <w:rPr>
          <w:rFonts w:hint="eastAsia" w:ascii="宋体" w:hAnsi="宋体" w:eastAsia="宋体" w:cs="宋体"/>
          <w:color w:val="auto"/>
          <w:kern w:val="0"/>
          <w:szCs w:val="21"/>
          <w:highlight w:val="none"/>
          <w:lang w:eastAsia="zh-CN"/>
        </w:rPr>
        <w:t>签名</w:t>
      </w:r>
      <w:r>
        <w:rPr>
          <w:rFonts w:hint="eastAsia" w:ascii="宋体" w:hAnsi="宋体" w:eastAsia="宋体" w:cs="宋体"/>
          <w:color w:val="auto"/>
          <w:kern w:val="0"/>
          <w:szCs w:val="21"/>
          <w:highlight w:val="none"/>
        </w:rPr>
        <w:t>）</w:t>
      </w:r>
    </w:p>
    <w:p w14:paraId="70408A04">
      <w:pPr>
        <w:wordWrap w:val="0"/>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地      址：</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
    <w:p w14:paraId="2B491B41">
      <w:pPr>
        <w:wordWrap w:val="0"/>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邮政  编码：</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
    <w:p w14:paraId="4162C92C">
      <w:pPr>
        <w:wordWrap w:val="0"/>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电      话：</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u w:val="single"/>
        </w:rPr>
        <w:t xml:space="preserve">        </w:t>
      </w:r>
    </w:p>
    <w:p w14:paraId="436F9960">
      <w:pPr>
        <w:topLinePunct/>
        <w:adjustRightInd w:val="0"/>
        <w:snapToGrid w:val="0"/>
        <w:spacing w:line="360" w:lineRule="auto"/>
        <w:ind w:firstLine="420" w:firstLineChars="200"/>
        <w:jc w:val="righ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年</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月</w:t>
      </w:r>
      <w:r>
        <w:rPr>
          <w:rFonts w:hint="eastAsia" w:ascii="宋体" w:hAnsi="宋体" w:eastAsia="宋体" w:cs="宋体"/>
          <w:color w:val="auto"/>
          <w:kern w:val="0"/>
          <w:szCs w:val="21"/>
          <w:highlight w:val="none"/>
          <w:u w:val="single"/>
        </w:rPr>
        <w:t xml:space="preserve">     </w:t>
      </w:r>
      <w:r>
        <w:rPr>
          <w:rFonts w:ascii="宋体" w:hAnsi="宋体" w:eastAsia="宋体" w:cs="宋体"/>
          <w:color w:val="auto"/>
          <w:kern w:val="0"/>
          <w:szCs w:val="21"/>
          <w:highlight w:val="none"/>
          <w:u w:val="single"/>
        </w:rPr>
        <w:t xml:space="preserve"> </w:t>
      </w:r>
      <w:r>
        <w:rPr>
          <w:rFonts w:hint="eastAsia" w:ascii="宋体" w:hAnsi="宋体" w:eastAsia="宋体" w:cs="宋体"/>
          <w:color w:val="auto"/>
          <w:kern w:val="0"/>
          <w:szCs w:val="21"/>
          <w:highlight w:val="none"/>
        </w:rPr>
        <w:t>日</w:t>
      </w:r>
    </w:p>
    <w:p w14:paraId="3F8AB052">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093ADC56">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787B6A83">
      <w:pPr>
        <w:topLinePunct/>
        <w:adjustRightInd w:val="0"/>
        <w:snapToGrid w:val="0"/>
        <w:spacing w:line="360" w:lineRule="auto"/>
        <w:ind w:firstLine="420" w:firstLineChars="200"/>
        <w:jc w:val="left"/>
        <w:rPr>
          <w:rFonts w:ascii="宋体" w:hAnsi="宋体" w:eastAsia="宋体" w:cs="Calibri"/>
          <w:color w:val="auto"/>
          <w:kern w:val="0"/>
          <w:szCs w:val="21"/>
          <w:highlight w:val="none"/>
        </w:rPr>
      </w:pPr>
    </w:p>
    <w:p w14:paraId="6E534761">
      <w:pPr>
        <w:pStyle w:val="3"/>
        <w:rPr>
          <w:rFonts w:hint="eastAsia" w:ascii="宋体" w:hAnsi="宋体" w:eastAsia="宋体"/>
          <w:b w:val="0"/>
          <w:color w:val="auto"/>
          <w:sz w:val="28"/>
          <w:szCs w:val="28"/>
          <w:highlight w:val="none"/>
        </w:rPr>
      </w:pPr>
      <w:bookmarkStart w:id="2035" w:name="_Toc8213"/>
      <w:bookmarkStart w:id="2036" w:name="_Toc57495100"/>
      <w:bookmarkStart w:id="2037" w:name="_Toc17443"/>
      <w:r>
        <w:rPr>
          <w:rFonts w:hint="eastAsia" w:ascii="宋体" w:hAnsi="宋体" w:eastAsia="宋体"/>
          <w:b w:val="0"/>
          <w:color w:val="auto"/>
          <w:sz w:val="28"/>
          <w:szCs w:val="28"/>
          <w:highlight w:val="none"/>
        </w:rPr>
        <w:t>附件10：廉洁协议书（另附）</w:t>
      </w:r>
      <w:bookmarkEnd w:id="2035"/>
      <w:bookmarkEnd w:id="2036"/>
      <w:bookmarkEnd w:id="2037"/>
    </w:p>
    <w:p w14:paraId="7FAD693F">
      <w:pPr>
        <w:pStyle w:val="3"/>
        <w:rPr>
          <w:rFonts w:hint="eastAsia" w:ascii="宋体" w:hAnsi="宋体" w:eastAsia="宋体"/>
          <w:b w:val="0"/>
          <w:color w:val="auto"/>
          <w:sz w:val="28"/>
          <w:szCs w:val="28"/>
          <w:highlight w:val="none"/>
        </w:rPr>
      </w:pPr>
      <w:bookmarkStart w:id="2038" w:name="_Toc6978"/>
      <w:bookmarkStart w:id="2039" w:name="_Toc4935"/>
      <w:r>
        <w:rPr>
          <w:rFonts w:hint="eastAsia" w:ascii="宋体" w:hAnsi="宋体" w:eastAsia="宋体"/>
          <w:b w:val="0"/>
          <w:color w:val="auto"/>
          <w:sz w:val="28"/>
          <w:szCs w:val="28"/>
          <w:highlight w:val="none"/>
        </w:rPr>
        <w:t>附件11：供应商网络安全承诺书(模板）</w:t>
      </w:r>
      <w:bookmarkEnd w:id="2038"/>
      <w:bookmarkEnd w:id="2039"/>
    </w:p>
    <w:permEnd w:id="43"/>
    <w:p w14:paraId="559B189F"/>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759B173-EBD7-4271-927E-AEC6C3A78ED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64143847-21FE-4DAD-93CE-F70CFC08AF3F}"/>
  </w:font>
  <w:font w:name="等线">
    <w:panose1 w:val="02010600030101010101"/>
    <w:charset w:val="86"/>
    <w:family w:val="auto"/>
    <w:pitch w:val="default"/>
    <w:sig w:usb0="A00002BF" w:usb1="38CF7CFA" w:usb2="00000016" w:usb3="00000000" w:csb0="0004000F" w:csb1="00000000"/>
    <w:embedRegular r:id="rId3" w:fontKey="{3A508EB6-98BB-46E1-8D50-CA50FF2CCBD9}"/>
  </w:font>
  <w:font w:name="等线 Light">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embedRegular r:id="rId4" w:fontKey="{B5C53F37-F1C7-4F2C-89D8-C66994C5B88F}"/>
  </w:font>
  <w:font w:name="方正小标宋_GBK">
    <w:panose1 w:val="02000000000000000000"/>
    <w:charset w:val="86"/>
    <w:family w:val="auto"/>
    <w:pitch w:val="default"/>
    <w:sig w:usb0="A00002BF" w:usb1="38CF7CFA" w:usb2="00082016" w:usb3="00000000" w:csb0="00040001" w:csb1="00000000"/>
    <w:embedRegular r:id="rId5" w:fontKey="{2E02AE7C-E026-4730-AA88-568EFD49DCCC}"/>
  </w:font>
  <w:font w:name="宋体-18030">
    <w:altName w:val="微软雅黑"/>
    <w:panose1 w:val="02010609060101010101"/>
    <w:charset w:val="00"/>
    <w:family w:val="modern"/>
    <w:pitch w:val="default"/>
    <w:sig w:usb0="00000000" w:usb1="00000000" w:usb2="000A005E" w:usb3="00000000" w:csb0="00040001" w:csb1="00000000"/>
    <w:embedRegular r:id="rId6" w:fontKey="{AA10AAA0-D036-43F3-AF3F-FD9EF0A50FBC}"/>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embedRegular r:id="rId7" w:fontKey="{F9D7A1F8-F7D6-4096-9660-BE44D626E69A}"/>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C03DB">
    <w:pPr>
      <w:pStyle w:val="7"/>
      <w:jc w:val="center"/>
      <w:rPr>
        <w:rFonts w:ascii="宋体" w:hAnsi="宋体" w:eastAsia="宋体"/>
        <w:b/>
        <w:bCs/>
        <w:sz w:val="21"/>
        <w:szCs w:val="21"/>
      </w:rPr>
    </w:pPr>
    <w:r>
      <w:rPr>
        <w:rFonts w:ascii="宋体" w:hAnsi="宋体" w:eastAsia="宋体"/>
        <w:b/>
        <w:bCs/>
        <w:sz w:val="21"/>
        <w:szCs w:val="21"/>
        <w:lang w:val="zh-CN"/>
      </w:rPr>
      <w:t xml:space="preserve"> </w:t>
    </w:r>
    <w:r>
      <w:rPr>
        <w:rFonts w:ascii="宋体" w:hAnsi="宋体" w:eastAsia="宋体"/>
        <w:b/>
        <w:bCs/>
        <w:sz w:val="21"/>
        <w:szCs w:val="21"/>
      </w:rPr>
      <w:fldChar w:fldCharType="begin"/>
    </w:r>
    <w:r>
      <w:rPr>
        <w:rFonts w:ascii="宋体" w:hAnsi="宋体" w:eastAsia="宋体"/>
        <w:b/>
        <w:bCs/>
        <w:sz w:val="21"/>
        <w:szCs w:val="21"/>
      </w:rPr>
      <w:instrText xml:space="preserve">PAGE  \* Arabic  \* MERGEFORMAT</w:instrText>
    </w:r>
    <w:r>
      <w:rPr>
        <w:rFonts w:ascii="宋体" w:hAnsi="宋体" w:eastAsia="宋体"/>
        <w:b/>
        <w:bCs/>
        <w:sz w:val="21"/>
        <w:szCs w:val="21"/>
      </w:rPr>
      <w:fldChar w:fldCharType="separate"/>
    </w:r>
    <w:r>
      <w:rPr>
        <w:rFonts w:ascii="宋体" w:hAnsi="宋体" w:eastAsia="宋体"/>
        <w:b/>
        <w:bCs/>
        <w:sz w:val="21"/>
        <w:szCs w:val="21"/>
        <w:lang w:val="zh-CN"/>
      </w:rPr>
      <w:t>1</w:t>
    </w:r>
    <w:r>
      <w:rPr>
        <w:rFonts w:ascii="宋体" w:hAnsi="宋体" w:eastAsia="宋体"/>
        <w:b/>
        <w:bCs/>
        <w:sz w:val="21"/>
        <w:szCs w:val="21"/>
      </w:rPr>
      <w:fldChar w:fldCharType="end"/>
    </w:r>
    <w:r>
      <w:rPr>
        <w:rFonts w:ascii="宋体" w:hAnsi="宋体" w:eastAsia="宋体"/>
        <w:b/>
        <w:bCs/>
        <w:sz w:val="21"/>
        <w:szCs w:val="21"/>
        <w:lang w:val="zh-CN"/>
      </w:rPr>
      <w:t xml:space="preserve"> / </w:t>
    </w:r>
    <w:r>
      <w:rPr>
        <w:rFonts w:ascii="宋体" w:hAnsi="宋体" w:eastAsia="宋体"/>
        <w:b/>
        <w:bCs/>
        <w:sz w:val="21"/>
        <w:szCs w:val="21"/>
      </w:rPr>
      <w:fldChar w:fldCharType="begin"/>
    </w:r>
    <w:r>
      <w:rPr>
        <w:rFonts w:ascii="宋体" w:hAnsi="宋体" w:eastAsia="宋体"/>
        <w:b/>
        <w:bCs/>
        <w:sz w:val="21"/>
        <w:szCs w:val="21"/>
      </w:rPr>
      <w:instrText xml:space="preserve">NUMPAGES  \* Arabic  \* MERGEFORMAT</w:instrText>
    </w:r>
    <w:r>
      <w:rPr>
        <w:rFonts w:ascii="宋体" w:hAnsi="宋体" w:eastAsia="宋体"/>
        <w:b/>
        <w:bCs/>
        <w:sz w:val="21"/>
        <w:szCs w:val="21"/>
      </w:rPr>
      <w:fldChar w:fldCharType="separate"/>
    </w:r>
    <w:r>
      <w:rPr>
        <w:rFonts w:ascii="宋体" w:hAnsi="宋体" w:eastAsia="宋体"/>
        <w:b/>
        <w:bCs/>
        <w:sz w:val="21"/>
        <w:szCs w:val="21"/>
        <w:lang w:val="zh-CN"/>
      </w:rPr>
      <w:t>2</w:t>
    </w:r>
    <w:r>
      <w:rPr>
        <w:rFonts w:ascii="宋体" w:hAnsi="宋体" w:eastAsia="宋体"/>
        <w:b/>
        <w:bCs/>
        <w:sz w:val="21"/>
        <w:szCs w:val="2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C60F3">
    <w:pPr>
      <w:pStyle w:val="7"/>
      <w:jc w:val="center"/>
      <w:rPr>
        <w:rFonts w:hint="eastAsia" w:ascii="宋体" w:hAnsi="宋体" w:eastAsia="宋体"/>
        <w:b/>
        <w:bCs/>
        <w:sz w:val="21"/>
        <w:szCs w:val="21"/>
        <w:lang w:eastAsia="zh-CN"/>
      </w:rPr>
    </w:pPr>
    <w:r>
      <w:rPr>
        <w:rFonts w:ascii="宋体" w:hAnsi="宋体" w:eastAsia="宋体"/>
        <w:b/>
        <w:bCs/>
        <w:sz w:val="21"/>
        <w:szCs w:val="21"/>
        <w:lang w:val="zh-CN"/>
      </w:rPr>
      <w:t xml:space="preserve"> </w:t>
    </w:r>
    <w:r>
      <w:rPr>
        <w:rFonts w:ascii="宋体" w:hAnsi="宋体" w:eastAsia="宋体"/>
        <w:b/>
        <w:bCs/>
        <w:sz w:val="21"/>
        <w:szCs w:val="21"/>
      </w:rPr>
      <w:fldChar w:fldCharType="begin"/>
    </w:r>
    <w:r>
      <w:rPr>
        <w:rFonts w:ascii="宋体" w:hAnsi="宋体" w:eastAsia="宋体"/>
        <w:b/>
        <w:bCs/>
        <w:sz w:val="21"/>
        <w:szCs w:val="21"/>
      </w:rPr>
      <w:instrText xml:space="preserve">PAGE  \* Arabic  \* MERGEFORMAT</w:instrText>
    </w:r>
    <w:r>
      <w:rPr>
        <w:rFonts w:ascii="宋体" w:hAnsi="宋体" w:eastAsia="宋体"/>
        <w:b/>
        <w:bCs/>
        <w:sz w:val="21"/>
        <w:szCs w:val="21"/>
      </w:rPr>
      <w:fldChar w:fldCharType="separate"/>
    </w:r>
    <w:r>
      <w:rPr>
        <w:rFonts w:ascii="宋体" w:hAnsi="宋体" w:eastAsia="宋体"/>
        <w:b/>
        <w:bCs/>
        <w:sz w:val="21"/>
        <w:szCs w:val="21"/>
        <w:lang w:val="zh-CN"/>
      </w:rPr>
      <w:t>1</w:t>
    </w:r>
    <w:r>
      <w:rPr>
        <w:rFonts w:ascii="宋体" w:hAnsi="宋体" w:eastAsia="宋体"/>
        <w:b/>
        <w:bCs/>
        <w:sz w:val="21"/>
        <w:szCs w:val="21"/>
      </w:rPr>
      <w:fldChar w:fldCharType="end"/>
    </w:r>
    <w:r>
      <w:rPr>
        <w:rFonts w:ascii="宋体" w:hAnsi="宋体" w:eastAsia="宋体"/>
        <w:b/>
        <w:bCs/>
        <w:sz w:val="21"/>
        <w:szCs w:val="21"/>
        <w:lang w:val="zh-CN"/>
      </w:rPr>
      <w:t xml:space="preserve"> / </w:t>
    </w:r>
    <w:r>
      <w:rPr>
        <w:rFonts w:hint="eastAsia" w:ascii="宋体" w:hAnsi="宋体" w:eastAsia="宋体"/>
        <w:b/>
        <w:bCs/>
        <w:sz w:val="21"/>
        <w:szCs w:val="21"/>
      </w:rPr>
      <w:t>13</w:t>
    </w:r>
    <w:r>
      <w:rPr>
        <w:rFonts w:hint="eastAsia" w:ascii="宋体" w:hAnsi="宋体" w:eastAsia="宋体"/>
        <w:b/>
        <w:bCs/>
        <w:sz w:val="21"/>
        <w:szCs w:val="21"/>
        <w:lang w:val="en-US" w:eastAsia="zh-CN"/>
      </w:rPr>
      <w:t>8</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EE3FD">
    <w:pPr>
      <w:pStyle w:val="8"/>
      <w:jc w:val="left"/>
      <w:rPr>
        <w:rFonts w:ascii="宋体" w:hAnsi="宋体" w:eastAsia="宋体"/>
        <w:sz w:val="21"/>
      </w:rPr>
    </w:pPr>
    <w:r>
      <w:rPr>
        <w:rFonts w:hint="eastAsia" w:ascii="宋体" w:hAnsi="宋体" w:eastAsia="宋体"/>
        <w:sz w:val="21"/>
      </w:rPr>
      <w:t>货物专项采购合同编号：</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6342B">
    <w:pPr>
      <w:pStyle w:val="8"/>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DFD10">
    <w:pPr>
      <w:pStyle w:val="8"/>
      <w:jc w:val="left"/>
      <w:rPr>
        <w:rFonts w:ascii="宋体" w:hAnsi="宋体" w:eastAsia="宋体"/>
        <w:sz w:val="21"/>
      </w:rPr>
    </w:pPr>
    <w:r>
      <w:rPr>
        <w:rFonts w:hint="eastAsia" w:ascii="宋体" w:hAnsi="宋体" w:eastAsia="宋体"/>
        <w:sz w:val="21"/>
      </w:rPr>
      <w:t>货物专项采购合同编号：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3E0512"/>
    <w:multiLevelType w:val="singleLevel"/>
    <w:tmpl w:val="333E0512"/>
    <w:lvl w:ilvl="0" w:tentative="0">
      <w:start w:val="3"/>
      <w:numFmt w:val="chineseCounting"/>
      <w:suff w:val="nothing"/>
      <w:lvlText w:val="%1、"/>
      <w:lvlJc w:val="left"/>
      <w:rPr>
        <w:rFonts w:hint="eastAsia"/>
      </w:rPr>
    </w:lvl>
  </w:abstractNum>
  <w:abstractNum w:abstractNumId="1">
    <w:nsid w:val="70DC424F"/>
    <w:multiLevelType w:val="singleLevel"/>
    <w:tmpl w:val="70DC424F"/>
    <w:lvl w:ilvl="0" w:tentative="0">
      <w:start w:val="5"/>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TrueTypeFonts/>
  <w:saveSubset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5E7066"/>
    <w:rsid w:val="06304C29"/>
    <w:rsid w:val="0F3F0870"/>
    <w:rsid w:val="10022FB3"/>
    <w:rsid w:val="54901716"/>
    <w:rsid w:val="60150DA4"/>
    <w:rsid w:val="6C5E7066"/>
    <w:rsid w:val="742468AA"/>
    <w:rsid w:val="761348BA"/>
    <w:rsid w:val="783B6BA2"/>
    <w:rsid w:val="FFFD33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paragraph" w:styleId="4">
    <w:name w:val="heading 2"/>
    <w:basedOn w:val="1"/>
    <w:next w:val="1"/>
    <w:unhideWhenUsed/>
    <w:qFormat/>
    <w:uiPriority w:val="9"/>
    <w:pPr>
      <w:keepNext/>
      <w:keepLines/>
      <w:spacing w:before="260" w:after="260" w:line="416" w:lineRule="auto"/>
      <w:outlineLvl w:val="1"/>
    </w:pPr>
    <w:rPr>
      <w:rFonts w:ascii="等线 Light" w:hAnsi="等线 Light" w:eastAsia="等线 Light" w:cs="Times New Roman"/>
      <w:b/>
      <w:bCs/>
      <w:sz w:val="32"/>
      <w:szCs w:val="32"/>
    </w:rPr>
  </w:style>
  <w:style w:type="paragraph" w:styleId="5">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rPr>
      <w:rFonts w:ascii="Times New Roman" w:hAnsi="Times New Roman" w:eastAsia="宋体" w:cs="Times New Roman"/>
    </w:rPr>
  </w:style>
  <w:style w:type="paragraph" w:styleId="6">
    <w:name w:val="toc 3"/>
    <w:basedOn w:val="1"/>
    <w:next w:val="1"/>
    <w:unhideWhenUsed/>
    <w:qFormat/>
    <w:uiPriority w:val="39"/>
    <w:pPr>
      <w:ind w:left="840" w:leftChars="400"/>
    </w:pPr>
  </w:style>
  <w:style w:type="paragraph" w:styleId="7">
    <w:name w:val="footer"/>
    <w:basedOn w:val="1"/>
    <w:unhideWhenUsed/>
    <w:qFormat/>
    <w:uiPriority w:val="99"/>
    <w:pPr>
      <w:tabs>
        <w:tab w:val="center" w:pos="4153"/>
        <w:tab w:val="right" w:pos="8306"/>
      </w:tabs>
      <w:snapToGrid w:val="0"/>
      <w:jc w:val="left"/>
    </w:pPr>
    <w:rPr>
      <w:sz w:val="18"/>
      <w:szCs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style>
  <w:style w:type="paragraph" w:styleId="10">
    <w:name w:val="toc 2"/>
    <w:basedOn w:val="1"/>
    <w:next w:val="1"/>
    <w:unhideWhenUsed/>
    <w:qFormat/>
    <w:uiPriority w:val="39"/>
    <w:pPr>
      <w:ind w:left="420" w:leftChars="200"/>
    </w:pPr>
  </w:style>
  <w:style w:type="table" w:styleId="12">
    <w:name w:val="Table Grid"/>
    <w:basedOn w:val="1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qFormat/>
    <w:uiPriority w:val="0"/>
    <w:rPr>
      <w:sz w:val="21"/>
      <w:szCs w:val="21"/>
    </w:rPr>
  </w:style>
  <w:style w:type="paragraph" w:customStyle="1" w:styleId="15">
    <w:name w:val="TOC 标题1"/>
    <w:basedOn w:val="3"/>
    <w:next w:val="1"/>
    <w:unhideWhenUsed/>
    <w:qFormat/>
    <w:uiPriority w:val="39"/>
    <w:pPr>
      <w:widowControl/>
      <w:spacing w:before="240" w:after="0" w:line="259" w:lineRule="auto"/>
      <w:jc w:val="left"/>
      <w:outlineLvl w:val="9"/>
    </w:pPr>
    <w:rPr>
      <w:rFonts w:ascii="等线 Light" w:hAnsi="等线 Light" w:eastAsia="等线 Light" w:cs="Times New Roman"/>
      <w:b w:val="0"/>
      <w:bCs w:val="0"/>
      <w:color w:val="2E75B5"/>
      <w:kern w:val="0"/>
      <w:sz w:val="32"/>
      <w:szCs w:val="32"/>
    </w:rPr>
  </w:style>
  <w:style w:type="paragraph" w:customStyle="1" w:styleId="16">
    <w:name w:val="Default"/>
    <w:qFormat/>
    <w:uiPriority w:val="0"/>
    <w:pPr>
      <w:widowControl w:val="0"/>
      <w:autoSpaceDE w:val="0"/>
      <w:autoSpaceDN w:val="0"/>
      <w:adjustRightInd w:val="0"/>
    </w:pPr>
    <w:rPr>
      <w:rFonts w:ascii="Arial Unicode MS" w:hAnsi="Arial Unicode MS" w:eastAsia="等线" w:cs="Arial Unicode MS"/>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23ba457-b4bb-4990-a593-c489fd87f0a5}"/>
        <w:style w:val=""/>
        <w:category>
          <w:name w:val="常规"/>
          <w:gallery w:val="placeholder"/>
        </w:category>
        <w:types>
          <w:type w:val="bbPlcHdr"/>
        </w:types>
        <w:behaviors>
          <w:behavior w:val="content"/>
        </w:behaviors>
        <w:description w:val=""/>
        <w:guid w:val="{323ba457-b4bb-4990-a593-c489fd87f0a5}"/>
      </w:docPartPr>
      <w:docPartBody>
        <w:p w14:paraId="05485F3D">
          <w:r>
            <w:rPr>
              <w:color w:val="808080"/>
            </w:rPr>
            <w:t>单击此处输入文字。</w:t>
          </w:r>
        </w:p>
      </w:docPartBody>
    </w:docPart>
    <w:docPart>
      <w:docPartPr>
        <w:name w:val="{31b68f54-285b-43b6-ae2f-2def8d180765}"/>
        <w:style w:val=""/>
        <w:category>
          <w:name w:val="常规"/>
          <w:gallery w:val="placeholder"/>
        </w:category>
        <w:types>
          <w:type w:val="bbPlcHdr"/>
        </w:types>
        <w:behaviors>
          <w:behavior w:val="content"/>
        </w:behaviors>
        <w:description w:val=""/>
        <w:guid w:val="{31b68f54-285b-43b6-ae2f-2def8d180765}"/>
      </w:docPartPr>
      <w:docPartBody>
        <w:p w14:paraId="1EAE4693">
          <w:r>
            <w:rPr>
              <w:color w:val="808080"/>
            </w:rPr>
            <w:t>单击此处输入文字。</w:t>
          </w:r>
        </w:p>
      </w:docPartBody>
    </w:docPart>
    <w:docPart>
      <w:docPartPr>
        <w:name w:val="{c6506333-0e21-43f1-ac21-556f59db0329}"/>
        <w:style w:val=""/>
        <w:category>
          <w:name w:val="常规"/>
          <w:gallery w:val="placeholder"/>
        </w:category>
        <w:types>
          <w:type w:val="bbPlcHdr"/>
        </w:types>
        <w:behaviors>
          <w:behavior w:val="content"/>
        </w:behaviors>
        <w:description w:val=""/>
        <w:guid w:val="{c6506333-0e21-43f1-ac21-556f59db0329}"/>
      </w:docPartPr>
      <w:docPartBody>
        <w:p w14:paraId="5ABA76B8">
          <w:r>
            <w:rPr>
              <w:color w:val="808080"/>
            </w:rPr>
            <w:t>单击此处输入文字。</w:t>
          </w:r>
        </w:p>
      </w:docPartBody>
    </w:docPart>
    <w:docPart>
      <w:docPartPr>
        <w:name w:val="{59a8bced-ec6c-4860-8154-cc563a563b77}"/>
        <w:style w:val=""/>
        <w:category>
          <w:name w:val="常规"/>
          <w:gallery w:val="placeholder"/>
        </w:category>
        <w:types>
          <w:type w:val="bbPlcHdr"/>
        </w:types>
        <w:behaviors>
          <w:behavior w:val="content"/>
        </w:behaviors>
        <w:description w:val=""/>
        <w:guid w:val="{59a8bced-ec6c-4860-8154-cc563a563b77}"/>
      </w:docPartPr>
      <w:docPartBody>
        <w:p w14:paraId="51F61B30">
          <w:r>
            <w:rPr>
              <w:color w:val="808080"/>
            </w:rPr>
            <w:t>单击此处输入文字。</w:t>
          </w:r>
        </w:p>
      </w:docPartBody>
    </w:docPart>
    <w:docPart>
      <w:docPartPr>
        <w:name w:val="{9b5676fb-c466-41e8-b3c2-efbe766a4ef6}"/>
        <w:style w:val=""/>
        <w:category>
          <w:name w:val="常规"/>
          <w:gallery w:val="placeholder"/>
        </w:category>
        <w:types>
          <w:type w:val="bbPlcHdr"/>
        </w:types>
        <w:behaviors>
          <w:behavior w:val="content"/>
        </w:behaviors>
        <w:description w:val=""/>
        <w:guid w:val="{9b5676fb-c466-41e8-b3c2-efbe766a4ef6}"/>
      </w:docPartPr>
      <w:docPartBody>
        <w:p w14:paraId="3EC41C9D">
          <w:r>
            <w:rPr>
              <w:color w:val="808080"/>
            </w:rPr>
            <w:t>单击此处输入文字。</w:t>
          </w:r>
        </w:p>
      </w:docPartBody>
    </w:docPart>
    <w:docPart>
      <w:docPartPr>
        <w:name w:val="{1af6407d-ac63-42fb-a058-1468baadbeeb}"/>
        <w:style w:val=""/>
        <w:category>
          <w:name w:val="常规"/>
          <w:gallery w:val="placeholder"/>
        </w:category>
        <w:types>
          <w:type w:val="bbPlcHdr"/>
        </w:types>
        <w:behaviors>
          <w:behavior w:val="content"/>
        </w:behaviors>
        <w:description w:val=""/>
        <w:guid w:val="{1af6407d-ac63-42fb-a058-1468baadbeeb}"/>
      </w:docPartPr>
      <w:docPartBody>
        <w:p w14:paraId="7BC115C4">
          <w:r>
            <w:rPr>
              <w:color w:val="808080"/>
            </w:rPr>
            <w:t>单击此处输入文字。</w:t>
          </w:r>
        </w:p>
      </w:docPartBody>
    </w:docPart>
    <w:docPart>
      <w:docPartPr>
        <w:name w:val="{f4c9ae1b-89ed-4d85-995a-af7b20b06b82}"/>
        <w:style w:val=""/>
        <w:category>
          <w:name w:val="常规"/>
          <w:gallery w:val="placeholder"/>
        </w:category>
        <w:types>
          <w:type w:val="bbPlcHdr"/>
        </w:types>
        <w:behaviors>
          <w:behavior w:val="content"/>
        </w:behaviors>
        <w:description w:val=""/>
        <w:guid w:val="{f4c9ae1b-89ed-4d85-995a-af7b20b06b82}"/>
      </w:docPartPr>
      <w:docPartBody>
        <w:p w14:paraId="71807124">
          <w:r>
            <w:rPr>
              <w:color w:val="808080"/>
            </w:rPr>
            <w:t>单击此处输入文字。</w:t>
          </w:r>
        </w:p>
      </w:docPartBody>
    </w:docPart>
    <w:docPart>
      <w:docPartPr>
        <w:name w:val="{96e2c161-a514-4ca1-a215-62e7a483f712}"/>
        <w:style w:val=""/>
        <w:category>
          <w:name w:val="常规"/>
          <w:gallery w:val="placeholder"/>
        </w:category>
        <w:types>
          <w:type w:val="bbPlcHdr"/>
        </w:types>
        <w:behaviors>
          <w:behavior w:val="content"/>
        </w:behaviors>
        <w:description w:val=""/>
        <w:guid w:val="{96e2c161-a514-4ca1-a215-62e7a483f712}"/>
      </w:docPartPr>
      <w:docPartBody>
        <w:p w14:paraId="243DF4B5">
          <w:r>
            <w:rPr>
              <w:color w:val="808080"/>
            </w:rPr>
            <w:t>单击此处输入文字。</w:t>
          </w:r>
        </w:p>
      </w:docPartBody>
    </w:docPart>
    <w:docPart>
      <w:docPartPr>
        <w:name w:val="{2381ee16-58d5-489e-a435-2afa1ee3a790}"/>
        <w:style w:val=""/>
        <w:category>
          <w:name w:val="常规"/>
          <w:gallery w:val="placeholder"/>
        </w:category>
        <w:types>
          <w:type w:val="bbPlcHdr"/>
        </w:types>
        <w:behaviors>
          <w:behavior w:val="content"/>
        </w:behaviors>
        <w:description w:val=""/>
        <w:guid w:val="{2381ee16-58d5-489e-a435-2afa1ee3a790}"/>
      </w:docPartPr>
      <w:docPartBody>
        <w:p w14:paraId="5D9E15E2">
          <w:r>
            <w:rPr>
              <w:color w:val="808080"/>
            </w:rPr>
            <w:t>单击此处输入文字。</w:t>
          </w:r>
        </w:p>
      </w:docPartBody>
    </w:docPart>
    <w:docPart>
      <w:docPartPr>
        <w:name w:val="{d82ecf12-af08-4225-84d0-cd174b7a046c}"/>
        <w:style w:val=""/>
        <w:category>
          <w:name w:val="常规"/>
          <w:gallery w:val="placeholder"/>
        </w:category>
        <w:types>
          <w:type w:val="bbPlcHdr"/>
        </w:types>
        <w:behaviors>
          <w:behavior w:val="content"/>
        </w:behaviors>
        <w:description w:val=""/>
        <w:guid w:val="{d82ecf12-af08-4225-84d0-cd174b7a046c}"/>
      </w:docPartPr>
      <w:docPartBody>
        <w:p w14:paraId="02689E61">
          <w:r>
            <w:rPr>
              <w:color w:val="808080"/>
            </w:rPr>
            <w:t>单击此处输入文字。</w:t>
          </w:r>
        </w:p>
      </w:docPartBody>
    </w:docPart>
    <w:docPart>
      <w:docPartPr>
        <w:name w:val="{956aec59-ceb4-4604-9919-f787d4464ee9}"/>
        <w:style w:val=""/>
        <w:category>
          <w:name w:val="常规"/>
          <w:gallery w:val="placeholder"/>
        </w:category>
        <w:types>
          <w:type w:val="bbPlcHdr"/>
        </w:types>
        <w:behaviors>
          <w:behavior w:val="content"/>
        </w:behaviors>
        <w:description w:val=""/>
        <w:guid w:val="{956aec59-ceb4-4604-9919-f787d4464ee9}"/>
      </w:docPartPr>
      <w:docPartBody>
        <w:p w14:paraId="2D1421E2">
          <w:r>
            <w:rPr>
              <w:color w:val="808080"/>
            </w:rPr>
            <w:t>单击此处输入文字。</w:t>
          </w:r>
        </w:p>
      </w:docPartBody>
    </w:docPart>
    <w:docPart>
      <w:docPartPr>
        <w:name w:val="{58b6ea58-a5d3-4dd2-b9bf-4c6afe6315b2}"/>
        <w:style w:val=""/>
        <w:category>
          <w:name w:val="常规"/>
          <w:gallery w:val="placeholder"/>
        </w:category>
        <w:types>
          <w:type w:val="bbPlcHdr"/>
        </w:types>
        <w:behaviors>
          <w:behavior w:val="content"/>
        </w:behaviors>
        <w:description w:val=""/>
        <w:guid w:val="{58b6ea58-a5d3-4dd2-b9bf-4c6afe6315b2}"/>
      </w:docPartPr>
      <w:docPartBody>
        <w:p w14:paraId="19C9AF34">
          <w:r>
            <w:rPr>
              <w:color w:val="808080"/>
            </w:rPr>
            <w:t>单击此处输入文字。</w:t>
          </w:r>
        </w:p>
      </w:docPartBody>
    </w:docPart>
    <w:docPart>
      <w:docPartPr>
        <w:name w:val="{8ec7612b-6d7a-48c2-9ecb-a19c3c0d6cf9}"/>
        <w:style w:val=""/>
        <w:category>
          <w:name w:val="常规"/>
          <w:gallery w:val="placeholder"/>
        </w:category>
        <w:types>
          <w:type w:val="bbPlcHdr"/>
        </w:types>
        <w:behaviors>
          <w:behavior w:val="content"/>
        </w:behaviors>
        <w:description w:val=""/>
        <w:guid w:val="{8ec7612b-6d7a-48c2-9ecb-a19c3c0d6cf9}"/>
      </w:docPartPr>
      <w:docPartBody>
        <w:p w14:paraId="0FF96DBE">
          <w:r>
            <w:rPr>
              <w:color w:val="808080"/>
            </w:rPr>
            <w:t>单击此处输入文字。</w:t>
          </w:r>
        </w:p>
      </w:docPartBody>
    </w:docPart>
    <w:docPart>
      <w:docPartPr>
        <w:name w:val="{bd23d562-f298-45b9-9595-8dc6e7b4922c}"/>
        <w:style w:val=""/>
        <w:category>
          <w:name w:val="常规"/>
          <w:gallery w:val="placeholder"/>
        </w:category>
        <w:types>
          <w:type w:val="bbPlcHdr"/>
        </w:types>
        <w:behaviors>
          <w:behavior w:val="content"/>
        </w:behaviors>
        <w:description w:val=""/>
        <w:guid w:val="{bd23d562-f298-45b9-9595-8dc6e7b4922c}"/>
      </w:docPartPr>
      <w:docPartBody>
        <w:p w14:paraId="708CC2A2">
          <w:r>
            <w:rPr>
              <w:color w:val="808080"/>
            </w:rPr>
            <w:t>单击此处输入文字。</w:t>
          </w:r>
        </w:p>
      </w:docPartBody>
    </w:docPart>
    <w:docPart>
      <w:docPartPr>
        <w:name w:val="{cb2547aa-b895-47a3-ab99-c711a7240480}"/>
        <w:style w:val=""/>
        <w:category>
          <w:name w:val="常规"/>
          <w:gallery w:val="placeholder"/>
        </w:category>
        <w:types>
          <w:type w:val="bbPlcHdr"/>
        </w:types>
        <w:behaviors>
          <w:behavior w:val="content"/>
        </w:behaviors>
        <w:description w:val=""/>
        <w:guid w:val="{cb2547aa-b895-47a3-ab99-c711a7240480}"/>
      </w:docPartPr>
      <w:docPartBody>
        <w:p w14:paraId="206766E5">
          <w:r>
            <w:rPr>
              <w:color w:val="808080"/>
            </w:rPr>
            <w:t>单击此处输入文字。</w:t>
          </w:r>
        </w:p>
      </w:docPartBody>
    </w:docPart>
    <w:docPart>
      <w:docPartPr>
        <w:name w:val="{6781b1fa-b194-43ad-846e-2a5642094e58}"/>
        <w:style w:val=""/>
        <w:category>
          <w:name w:val="常规"/>
          <w:gallery w:val="placeholder"/>
        </w:category>
        <w:types>
          <w:type w:val="bbPlcHdr"/>
        </w:types>
        <w:behaviors>
          <w:behavior w:val="content"/>
        </w:behaviors>
        <w:description w:val=""/>
        <w:guid w:val="{6781b1fa-b194-43ad-846e-2a5642094e58}"/>
      </w:docPartPr>
      <w:docPartBody>
        <w:p w14:paraId="247BDEE9">
          <w:r>
            <w:rPr>
              <w:color w:val="808080"/>
            </w:rPr>
            <w:t>单击此处输入文字。</w:t>
          </w:r>
        </w:p>
      </w:docPartBody>
    </w:docPart>
    <w:docPart>
      <w:docPartPr>
        <w:name w:val="{91fa0e2f-35ea-4a82-8b1a-56ca9616fdd4}"/>
        <w:style w:val=""/>
        <w:category>
          <w:name w:val="常规"/>
          <w:gallery w:val="placeholder"/>
        </w:category>
        <w:types>
          <w:type w:val="bbPlcHdr"/>
        </w:types>
        <w:behaviors>
          <w:behavior w:val="content"/>
        </w:behaviors>
        <w:description w:val=""/>
        <w:guid w:val="{91fa0e2f-35ea-4a82-8b1a-56ca9616fdd4}"/>
      </w:docPartPr>
      <w:docPartBody>
        <w:p w14:paraId="48648D2D">
          <w:r>
            <w:rPr>
              <w:color w:val="808080"/>
            </w:rPr>
            <w:t>单击此处输入文字。</w:t>
          </w:r>
        </w:p>
      </w:docPartBody>
    </w:docPart>
    <w:docPart>
      <w:docPartPr>
        <w:name w:val="{564715cf-513d-4e68-9a1e-7d45f56e03db}"/>
        <w:style w:val=""/>
        <w:category>
          <w:name w:val="常规"/>
          <w:gallery w:val="placeholder"/>
        </w:category>
        <w:types>
          <w:type w:val="bbPlcHdr"/>
        </w:types>
        <w:behaviors>
          <w:behavior w:val="content"/>
        </w:behaviors>
        <w:description w:val=""/>
        <w:guid w:val="{564715cf-513d-4e68-9a1e-7d45f56e03db}"/>
      </w:docPartPr>
      <w:docPartBody>
        <w:p w14:paraId="7FCD333E">
          <w:r>
            <w:rPr>
              <w:color w:val="808080"/>
            </w:rPr>
            <w:t>单击此处输入文字。</w:t>
          </w:r>
        </w:p>
      </w:docPartBody>
    </w:docPart>
    <w:docPart>
      <w:docPartPr>
        <w:name w:val="{976820c6-54f9-49e8-b139-83fe045647e6}"/>
        <w:style w:val=""/>
        <w:category>
          <w:name w:val="常规"/>
          <w:gallery w:val="placeholder"/>
        </w:category>
        <w:types>
          <w:type w:val="bbPlcHdr"/>
        </w:types>
        <w:behaviors>
          <w:behavior w:val="content"/>
        </w:behaviors>
        <w:description w:val=""/>
        <w:guid w:val="{976820c6-54f9-49e8-b139-83fe045647e6}"/>
      </w:docPartPr>
      <w:docPartBody>
        <w:p w14:paraId="771168D0">
          <w:r>
            <w:rPr>
              <w:color w:val="808080"/>
            </w:rPr>
            <w:t>单击此处输入文字。</w:t>
          </w:r>
        </w:p>
      </w:docPartBody>
    </w:docPart>
    <w:docPart>
      <w:docPartPr>
        <w:name w:val="{f99bd1bb-872b-4cb7-ad0c-54f8fe71c446}"/>
        <w:style w:val=""/>
        <w:category>
          <w:name w:val="常规"/>
          <w:gallery w:val="placeholder"/>
        </w:category>
        <w:types>
          <w:type w:val="bbPlcHdr"/>
        </w:types>
        <w:behaviors>
          <w:behavior w:val="content"/>
        </w:behaviors>
        <w:description w:val=""/>
        <w:guid w:val="{f99bd1bb-872b-4cb7-ad0c-54f8fe71c446}"/>
      </w:docPartPr>
      <w:docPartBody>
        <w:p w14:paraId="0E99A22E">
          <w:r>
            <w:rPr>
              <w:color w:val="808080"/>
            </w:rPr>
            <w:t>单击此处输入文字。</w:t>
          </w:r>
        </w:p>
      </w:docPartBody>
    </w:docPart>
    <w:docPart>
      <w:docPartPr>
        <w:name w:val="{e4ce8e52-fd69-498f-9457-848b9a743e2b}"/>
        <w:style w:val=""/>
        <w:category>
          <w:name w:val="常规"/>
          <w:gallery w:val="placeholder"/>
        </w:category>
        <w:types>
          <w:type w:val="bbPlcHdr"/>
        </w:types>
        <w:behaviors>
          <w:behavior w:val="content"/>
        </w:behaviors>
        <w:description w:val=""/>
        <w:guid w:val="{e4ce8e52-fd69-498f-9457-848b9a743e2b}"/>
      </w:docPartPr>
      <w:docPartBody>
        <w:p w14:paraId="078516CF">
          <w:r>
            <w:rPr>
              <w:color w:val="808080"/>
            </w:rPr>
            <w:t>单击此处输入文字。</w:t>
          </w:r>
        </w:p>
      </w:docPartBody>
    </w:docPart>
    <w:docPart>
      <w:docPartPr>
        <w:name w:val="{b914d1f6-3824-46e1-80a6-6eb9eae81257}"/>
        <w:style w:val=""/>
        <w:category>
          <w:name w:val="常规"/>
          <w:gallery w:val="placeholder"/>
        </w:category>
        <w:types>
          <w:type w:val="bbPlcHdr"/>
        </w:types>
        <w:behaviors>
          <w:behavior w:val="content"/>
        </w:behaviors>
        <w:description w:val=""/>
        <w:guid w:val="{b914d1f6-3824-46e1-80a6-6eb9eae81257}"/>
      </w:docPartPr>
      <w:docPartBody>
        <w:p w14:paraId="5CD4C5B1">
          <w:r>
            <w:rPr>
              <w:color w:val="808080"/>
            </w:rPr>
            <w:t>单击此处输入文字。</w:t>
          </w:r>
        </w:p>
      </w:docPartBody>
    </w:docPart>
    <w:docPart>
      <w:docPartPr>
        <w:name w:val="{973271f6-0cae-4f59-b06a-5ee2fcad69d1}"/>
        <w:style w:val=""/>
        <w:category>
          <w:name w:val="常规"/>
          <w:gallery w:val="placeholder"/>
        </w:category>
        <w:types>
          <w:type w:val="bbPlcHdr"/>
        </w:types>
        <w:behaviors>
          <w:behavior w:val="content"/>
        </w:behaviors>
        <w:description w:val=""/>
        <w:guid w:val="{973271f6-0cae-4f59-b06a-5ee2fcad69d1}"/>
      </w:docPartPr>
      <w:docPartBody>
        <w:p w14:paraId="38694682">
          <w:r>
            <w:rPr>
              <w:color w:val="808080"/>
            </w:rPr>
            <w:t>单击此处输入文字。</w:t>
          </w:r>
        </w:p>
      </w:docPartBody>
    </w:docPart>
    <w:docPart>
      <w:docPartPr>
        <w:name w:val="{dcbb178c-f44d-4499-a84f-e683e0456e66}"/>
        <w:style w:val=""/>
        <w:category>
          <w:name w:val="常规"/>
          <w:gallery w:val="placeholder"/>
        </w:category>
        <w:types>
          <w:type w:val="bbPlcHdr"/>
        </w:types>
        <w:behaviors>
          <w:behavior w:val="content"/>
        </w:behaviors>
        <w:description w:val=""/>
        <w:guid w:val="{dcbb178c-f44d-4499-a84f-e683e0456e66}"/>
      </w:docPartPr>
      <w:docPartBody>
        <w:p w14:paraId="63F0BBD8">
          <w:r>
            <w:rPr>
              <w:color w:val="808080"/>
            </w:rPr>
            <w:t>单击此处输入文字。</w:t>
          </w:r>
        </w:p>
      </w:docPartBody>
    </w:docPart>
    <w:docPart>
      <w:docPartPr>
        <w:name w:val="{de3591fe-55d8-4ac0-aee7-cf59ed3be7b7}"/>
        <w:style w:val=""/>
        <w:category>
          <w:name w:val="常规"/>
          <w:gallery w:val="placeholder"/>
        </w:category>
        <w:types>
          <w:type w:val="bbPlcHdr"/>
        </w:types>
        <w:behaviors>
          <w:behavior w:val="content"/>
        </w:behaviors>
        <w:description w:val=""/>
        <w:guid w:val="{de3591fe-55d8-4ac0-aee7-cf59ed3be7b7}"/>
      </w:docPartPr>
      <w:docPartBody>
        <w:p w14:paraId="77B66A06">
          <w:r>
            <w:rPr>
              <w:color w:val="808080"/>
            </w:rPr>
            <w:t>单击此处输入文字。</w:t>
          </w:r>
        </w:p>
      </w:docPartBody>
    </w:docPart>
    <w:docPart>
      <w:docPartPr>
        <w:name w:val="{54239052-6158-4e38-8436-146c90bb09f3}"/>
        <w:style w:val=""/>
        <w:category>
          <w:name w:val="常规"/>
          <w:gallery w:val="placeholder"/>
        </w:category>
        <w:types>
          <w:type w:val="bbPlcHdr"/>
        </w:types>
        <w:behaviors>
          <w:behavior w:val="content"/>
        </w:behaviors>
        <w:description w:val=""/>
        <w:guid w:val="{54239052-6158-4e38-8436-146c90bb09f3}"/>
      </w:docPartPr>
      <w:docPartBody>
        <w:p w14:paraId="58BB023C">
          <w:r>
            <w:rPr>
              <w:color w:val="808080"/>
            </w:rPr>
            <w:t>单击此处输入文字。</w:t>
          </w:r>
        </w:p>
      </w:docPartBody>
    </w:docPart>
    <w:docPart>
      <w:docPartPr>
        <w:name w:val="{0ee4c954-efff-4ac0-ac5e-21550a4d0dfd}"/>
        <w:style w:val=""/>
        <w:category>
          <w:name w:val="常规"/>
          <w:gallery w:val="placeholder"/>
        </w:category>
        <w:types>
          <w:type w:val="bbPlcHdr"/>
        </w:types>
        <w:behaviors>
          <w:behavior w:val="content"/>
        </w:behaviors>
        <w:description w:val=""/>
        <w:guid w:val="{0ee4c954-efff-4ac0-ac5e-21550a4d0dfd}"/>
      </w:docPartPr>
      <w:docPartBody>
        <w:p w14:paraId="065F9DFF">
          <w:r>
            <w:rPr>
              <w:color w:val="808080"/>
            </w:rPr>
            <w:t>单击此处输入文字。</w:t>
          </w:r>
        </w:p>
      </w:docPartBody>
    </w:docPart>
    <w:docPart>
      <w:docPartPr>
        <w:name w:val="{7bb4d477-e9b6-4f42-9290-79bb591895ce}"/>
        <w:style w:val=""/>
        <w:category>
          <w:name w:val="常规"/>
          <w:gallery w:val="placeholder"/>
        </w:category>
        <w:types>
          <w:type w:val="bbPlcHdr"/>
        </w:types>
        <w:behaviors>
          <w:behavior w:val="content"/>
        </w:behaviors>
        <w:description w:val=""/>
        <w:guid w:val="{7bb4d477-e9b6-4f42-9290-79bb591895ce}"/>
      </w:docPartPr>
      <w:docPartBody>
        <w:p w14:paraId="57D69801">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138</Pages>
  <Words>26883</Words>
  <Characters>28705</Characters>
  <Lines>0</Lines>
  <Paragraphs>0</Paragraphs>
  <TotalTime>10</TotalTime>
  <ScaleCrop>false</ScaleCrop>
  <LinksUpToDate>false</LinksUpToDate>
  <CharactersWithSpaces>30187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2024-12-13T00:04:00Z</dcterms:created>
  <dc:creator>商瑞</dc:creator>
  <cp:lastModifiedBy>周炜</cp:lastModifiedBy>
  <dcterms:modified xsi:type="dcterms:W3CDTF">2026-06-15T09:54:44Z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3AB83B45408347959FB01057B9004B6E</vt:lpwstr>
  </property>
  <property fmtid="{D5CDD505-2E9C-101B-9397-08002B2CF9AE}" pid="4" name="KSOTemplateDocerSaveRecord">
    <vt:lpwstr>eyJoZGlkIjoiNjEwMzcxNTZkNmQ5YjE1MDkwODdlY2ZjY2I1OWYwOTQiLCJ1c2VySWQiOiIyNzU0MzYwNjMifQ==</vt:lpwstr>
  </property>
</Properties>
</file>