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8"/>
        <w:adjustRightInd w:val="0"/>
        <w:snapToGrid w:val="0"/>
        <w:rPr>
          <w:sz w:val="48"/>
          <w:highlight w:val="none"/>
        </w:rPr>
      </w:pPr>
    </w:p>
    <w:p>
      <w:pPr>
        <w:pStyle w:val="18"/>
        <w:adjustRightInd w:val="0"/>
        <w:snapToGrid w:val="0"/>
        <w:rPr>
          <w:rFonts w:hint="eastAsia"/>
          <w:sz w:val="48"/>
          <w:highlight w:val="none"/>
        </w:rPr>
      </w:pPr>
      <w:r>
        <w:rPr>
          <w:rFonts w:hint="eastAsia"/>
          <w:sz w:val="48"/>
          <w:highlight w:val="none"/>
        </w:rPr>
        <w:t>海南电网有限责任公司2026年终端设备</w:t>
      </w:r>
    </w:p>
    <w:p>
      <w:pPr>
        <w:pStyle w:val="18"/>
        <w:adjustRightInd w:val="0"/>
        <w:snapToGrid w:val="0"/>
        <w:rPr>
          <w:rFonts w:hint="eastAsia"/>
          <w:sz w:val="48"/>
          <w:highlight w:val="none"/>
        </w:rPr>
      </w:pPr>
      <w:r>
        <w:rPr>
          <w:rFonts w:hint="eastAsia"/>
          <w:sz w:val="48"/>
          <w:highlight w:val="none"/>
        </w:rPr>
        <w:t>（台式机、显示器）框架采购项目</w:t>
      </w:r>
    </w:p>
    <w:p>
      <w:pPr>
        <w:pStyle w:val="18"/>
        <w:adjustRightInd w:val="0"/>
        <w:snapToGrid w:val="0"/>
        <w:rPr>
          <w:sz w:val="48"/>
          <w:highlight w:val="none"/>
        </w:rPr>
      </w:pPr>
      <w:r>
        <w:rPr>
          <w:rFonts w:hint="eastAsia"/>
          <w:sz w:val="48"/>
          <w:highlight w:val="none"/>
        </w:rPr>
        <w:t>技术规范书</w:t>
      </w:r>
    </w:p>
    <w:p>
      <w:pPr>
        <w:autoSpaceDE w:val="0"/>
        <w:autoSpaceDN w:val="0"/>
        <w:adjustRightInd w:val="0"/>
        <w:spacing w:line="240" w:lineRule="auto"/>
        <w:ind w:firstLine="180" w:firstLineChars="0"/>
        <w:jc w:val="center"/>
        <w:rPr>
          <w:rFonts w:ascii="黑体" w:eastAsia="黑体"/>
          <w:b/>
          <w:kern w:val="0"/>
          <w:sz w:val="52"/>
          <w:szCs w:val="52"/>
          <w:highlight w:val="none"/>
        </w:rPr>
      </w:pPr>
      <w:r>
        <w:rPr>
          <w:rFonts w:ascii="黑体" w:eastAsia="黑体"/>
          <w:b/>
          <w:kern w:val="0"/>
          <w:highlight w:val="none"/>
        </w:rPr>
        <w:t xml:space="preserve"> </w:t>
      </w: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7"/>
        <w:adjustRightInd w:val="0"/>
        <w:snapToGrid w:val="0"/>
        <w:ind w:firstLine="0" w:firstLineChars="0"/>
        <w:rPr>
          <w:highlight w:val="none"/>
        </w:rPr>
      </w:pPr>
    </w:p>
    <w:p>
      <w:pPr>
        <w:pStyle w:val="19"/>
        <w:spacing w:line="360" w:lineRule="auto"/>
        <w:ind w:firstLine="0" w:firstLineChars="0"/>
        <w:rPr>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134" w:bottom="1418" w:left="1588" w:header="779" w:footer="992" w:gutter="0"/>
          <w:cols w:space="720" w:num="1"/>
          <w:docGrid w:type="lines" w:linePitch="312" w:charSpace="0"/>
        </w:sectPr>
      </w:pPr>
      <w:r>
        <w:rPr>
          <w:rFonts w:hint="eastAsia"/>
          <w:highlight w:val="none"/>
        </w:rPr>
        <w:t>202</w:t>
      </w:r>
      <w:r>
        <w:rPr>
          <w:rFonts w:hint="eastAsia"/>
          <w:highlight w:val="none"/>
          <w:lang w:val="en-US" w:eastAsia="zh-CN"/>
        </w:rPr>
        <w:t>6</w:t>
      </w:r>
      <w:r>
        <w:rPr>
          <w:rFonts w:hint="eastAsia"/>
          <w:highlight w:val="none"/>
        </w:rPr>
        <w:t>年</w:t>
      </w:r>
      <w:r>
        <w:rPr>
          <w:rFonts w:hint="eastAsia"/>
          <w:highlight w:val="none"/>
          <w:lang w:val="en-US" w:eastAsia="zh-CN"/>
        </w:rPr>
        <w:t>2</w:t>
      </w:r>
      <w:r>
        <w:rPr>
          <w:rFonts w:hint="eastAsia"/>
          <w:highlight w:val="none"/>
        </w:rPr>
        <w:t>月</w:t>
      </w:r>
    </w:p>
    <w:p>
      <w:pPr>
        <w:pStyle w:val="19"/>
        <w:spacing w:line="360" w:lineRule="auto"/>
        <w:ind w:firstLine="480"/>
        <w:rPr>
          <w:sz w:val="24"/>
          <w:highlight w:val="none"/>
        </w:rPr>
      </w:pPr>
      <w:r>
        <w:rPr>
          <w:rFonts w:hint="eastAsia"/>
          <w:sz w:val="24"/>
          <w:highlight w:val="none"/>
        </w:rPr>
        <w:t>目  录</w:t>
      </w:r>
    </w:p>
    <w:p>
      <w:pPr>
        <w:pStyle w:val="11"/>
        <w:tabs>
          <w:tab w:val="right" w:leader="dot" w:pos="9298"/>
          <w:tab w:val="clear" w:pos="630"/>
          <w:tab w:val="clear" w:pos="9288"/>
        </w:tabs>
      </w:pPr>
      <w:r>
        <w:rPr>
          <w:b w:val="0"/>
          <w:caps w:val="0"/>
          <w:szCs w:val="24"/>
          <w:highlight w:val="none"/>
        </w:rPr>
        <w:fldChar w:fldCharType="begin"/>
      </w:r>
      <w:r>
        <w:rPr>
          <w:b w:val="0"/>
          <w:caps w:val="0"/>
          <w:szCs w:val="24"/>
          <w:highlight w:val="none"/>
        </w:rPr>
        <w:instrText xml:space="preserve"> TOC \o "1-3" \h \z \u </w:instrText>
      </w:r>
      <w:r>
        <w:rPr>
          <w:b w:val="0"/>
          <w:caps w:val="0"/>
          <w:szCs w:val="24"/>
          <w:highlight w:val="none"/>
        </w:rPr>
        <w:fldChar w:fldCharType="separate"/>
      </w:r>
      <w:r>
        <w:rPr>
          <w:caps w:val="0"/>
          <w:szCs w:val="24"/>
          <w:highlight w:val="none"/>
        </w:rPr>
        <w:fldChar w:fldCharType="begin"/>
      </w:r>
      <w:r>
        <w:rPr>
          <w:caps w:val="0"/>
          <w:szCs w:val="24"/>
          <w:highlight w:val="none"/>
        </w:rPr>
        <w:instrText xml:space="preserve"> HYPERLINK \l _Toc8216 </w:instrText>
      </w:r>
      <w:r>
        <w:rPr>
          <w:caps w:val="0"/>
          <w:szCs w:val="24"/>
          <w:highlight w:val="none"/>
        </w:rPr>
        <w:fldChar w:fldCharType="separate"/>
      </w:r>
      <w:r>
        <w:rPr>
          <w:rFonts w:hint="eastAsia"/>
          <w:lang w:val="sv-SE"/>
        </w:rPr>
        <w:t xml:space="preserve">1 </w:t>
      </w:r>
      <w:r>
        <w:rPr>
          <w:rFonts w:hint="eastAsia"/>
          <w:highlight w:val="none"/>
        </w:rPr>
        <w:t>总则</w:t>
      </w:r>
      <w:r>
        <w:tab/>
      </w:r>
      <w:r>
        <w:fldChar w:fldCharType="begin"/>
      </w:r>
      <w:r>
        <w:instrText xml:space="preserve"> PAGEREF _Toc8216 \h </w:instrText>
      </w:r>
      <w:r>
        <w:fldChar w:fldCharType="separate"/>
      </w:r>
      <w:r>
        <w:t>- 1 -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_Toc23802 </w:instrText>
      </w:r>
      <w:r>
        <w:rPr>
          <w:caps w:val="0"/>
          <w:szCs w:val="24"/>
          <w:highlight w:val="none"/>
        </w:rPr>
        <w:fldChar w:fldCharType="separate"/>
      </w:r>
      <w:r>
        <w:rPr>
          <w:rFonts w:hint="eastAsia"/>
        </w:rPr>
        <w:t xml:space="preserve">1.1 </w:t>
      </w:r>
      <w:r>
        <w:rPr>
          <w:rFonts w:hint="eastAsia"/>
          <w:highlight w:val="none"/>
        </w:rPr>
        <w:t>项目建设范围</w:t>
      </w:r>
      <w:r>
        <w:tab/>
      </w:r>
      <w:r>
        <w:fldChar w:fldCharType="begin"/>
      </w:r>
      <w:r>
        <w:instrText xml:space="preserve"> PAGEREF _Toc23802 \h </w:instrText>
      </w:r>
      <w:r>
        <w:fldChar w:fldCharType="separate"/>
      </w:r>
      <w:r>
        <w:t>- 1 -</w:t>
      </w:r>
      <w:r>
        <w:fldChar w:fldCharType="end"/>
      </w:r>
      <w:r>
        <w:rPr>
          <w:caps w:val="0"/>
          <w:szCs w:val="24"/>
          <w:highlight w:val="none"/>
        </w:rPr>
        <w:fldChar w:fldCharType="end"/>
      </w:r>
    </w:p>
    <w:p>
      <w:pPr>
        <w:pStyle w:val="8"/>
        <w:tabs>
          <w:tab w:val="right" w:leader="dot" w:pos="9298"/>
          <w:tab w:val="clear" w:pos="9288"/>
        </w:tabs>
      </w:pPr>
      <w:r>
        <w:rPr>
          <w:caps w:val="0"/>
          <w:szCs w:val="24"/>
          <w:highlight w:val="none"/>
        </w:rPr>
        <w:fldChar w:fldCharType="begin"/>
      </w:r>
      <w:r>
        <w:rPr>
          <w:caps w:val="0"/>
          <w:szCs w:val="24"/>
          <w:highlight w:val="none"/>
        </w:rPr>
        <w:instrText xml:space="preserve"> HYPERLINK \l _Toc5769 </w:instrText>
      </w:r>
      <w:r>
        <w:rPr>
          <w:caps w:val="0"/>
          <w:szCs w:val="24"/>
          <w:highlight w:val="none"/>
        </w:rPr>
        <w:fldChar w:fldCharType="separate"/>
      </w:r>
      <w:r>
        <w:rPr>
          <w:rFonts w:hint="eastAsia" w:ascii="宋体" w:hAnsi="宋体" w:eastAsia="宋体" w:cs="宋体"/>
          <w:szCs w:val="21"/>
          <w:lang w:val="en-US" w:eastAsia="zh-CN"/>
        </w:rPr>
        <w:t>表1：终端</w:t>
      </w:r>
      <w:r>
        <w:rPr>
          <w:rFonts w:hint="eastAsia" w:ascii="宋体" w:hAnsi="宋体" w:eastAsia="宋体" w:cs="宋体"/>
          <w:szCs w:val="21"/>
        </w:rPr>
        <w:t>设备需求估算</w:t>
      </w:r>
      <w:r>
        <w:rPr>
          <w:rFonts w:hint="eastAsia" w:ascii="宋体" w:hAnsi="宋体" w:eastAsia="宋体" w:cs="宋体"/>
          <w:szCs w:val="21"/>
          <w:lang w:val="en-US" w:eastAsia="zh-CN"/>
        </w:rPr>
        <w:t>表</w:t>
      </w:r>
      <w:r>
        <w:tab/>
      </w:r>
      <w:r>
        <w:fldChar w:fldCharType="begin"/>
      </w:r>
      <w:r>
        <w:instrText xml:space="preserve"> PAGEREF _Toc5769 \h </w:instrText>
      </w:r>
      <w:r>
        <w:fldChar w:fldCharType="separate"/>
      </w:r>
      <w:r>
        <w:t>- 1 -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_Toc10921 </w:instrText>
      </w:r>
      <w:r>
        <w:rPr>
          <w:caps w:val="0"/>
          <w:szCs w:val="24"/>
          <w:highlight w:val="none"/>
        </w:rPr>
        <w:fldChar w:fldCharType="separate"/>
      </w:r>
      <w:r>
        <w:rPr>
          <w:rFonts w:hint="eastAsia"/>
        </w:rPr>
        <w:t xml:space="preserve">1.2 </w:t>
      </w:r>
      <w:r>
        <w:rPr>
          <w:rFonts w:hint="eastAsia"/>
          <w:highlight w:val="none"/>
        </w:rPr>
        <w:t>质量保证</w:t>
      </w:r>
      <w:r>
        <w:tab/>
      </w:r>
      <w:r>
        <w:fldChar w:fldCharType="begin"/>
      </w:r>
      <w:r>
        <w:instrText xml:space="preserve"> PAGEREF _Toc10921 \h </w:instrText>
      </w:r>
      <w:r>
        <w:fldChar w:fldCharType="separate"/>
      </w:r>
      <w:r>
        <w:t>- 1 -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_Toc14220 </w:instrText>
      </w:r>
      <w:r>
        <w:rPr>
          <w:caps w:val="0"/>
          <w:szCs w:val="24"/>
          <w:highlight w:val="none"/>
        </w:rPr>
        <w:fldChar w:fldCharType="separate"/>
      </w:r>
      <w:r>
        <w:rPr>
          <w:rFonts w:hint="eastAsia" w:cs="Times New Roman"/>
          <w:kern w:val="2"/>
          <w:szCs w:val="24"/>
        </w:rPr>
        <w:t xml:space="preserve">1.3 </w:t>
      </w:r>
      <w:r>
        <w:rPr>
          <w:rFonts w:hint="eastAsia"/>
          <w:highlight w:val="none"/>
        </w:rPr>
        <w:t>进度保证</w:t>
      </w:r>
      <w:r>
        <w:tab/>
      </w:r>
      <w:r>
        <w:fldChar w:fldCharType="begin"/>
      </w:r>
      <w:r>
        <w:instrText xml:space="preserve"> PAGEREF _Toc14220 \h </w:instrText>
      </w:r>
      <w:r>
        <w:fldChar w:fldCharType="separate"/>
      </w:r>
      <w:r>
        <w:t>- 1 -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_Toc21005 </w:instrText>
      </w:r>
      <w:r>
        <w:rPr>
          <w:caps w:val="0"/>
          <w:szCs w:val="24"/>
          <w:highlight w:val="none"/>
        </w:rPr>
        <w:fldChar w:fldCharType="separate"/>
      </w:r>
      <w:r>
        <w:rPr>
          <w:rFonts w:hint="eastAsia"/>
        </w:rPr>
        <w:t xml:space="preserve">1.4 </w:t>
      </w:r>
      <w:r>
        <w:rPr>
          <w:rFonts w:hint="eastAsia"/>
          <w:highlight w:val="none"/>
        </w:rPr>
        <w:t>系统适用标准</w:t>
      </w:r>
      <w:r>
        <w:tab/>
      </w:r>
      <w:r>
        <w:fldChar w:fldCharType="begin"/>
      </w:r>
      <w:r>
        <w:instrText xml:space="preserve"> PAGEREF _Toc21005 \h </w:instrText>
      </w:r>
      <w:r>
        <w:fldChar w:fldCharType="separate"/>
      </w:r>
      <w:r>
        <w:t>- 1 -</w:t>
      </w:r>
      <w:r>
        <w:fldChar w:fldCharType="end"/>
      </w:r>
      <w:r>
        <w:rPr>
          <w:caps w:val="0"/>
          <w:szCs w:val="24"/>
          <w:highlight w:val="none"/>
        </w:rPr>
        <w:fldChar w:fldCharType="end"/>
      </w:r>
    </w:p>
    <w:p>
      <w:pPr>
        <w:pStyle w:val="11"/>
        <w:tabs>
          <w:tab w:val="right" w:leader="dot" w:pos="9298"/>
          <w:tab w:val="clear" w:pos="630"/>
          <w:tab w:val="clear" w:pos="9288"/>
        </w:tabs>
      </w:pPr>
      <w:r>
        <w:rPr>
          <w:caps w:val="0"/>
          <w:szCs w:val="24"/>
          <w:highlight w:val="none"/>
        </w:rPr>
        <w:fldChar w:fldCharType="begin"/>
      </w:r>
      <w:r>
        <w:rPr>
          <w:caps w:val="0"/>
          <w:szCs w:val="24"/>
          <w:highlight w:val="none"/>
        </w:rPr>
        <w:instrText xml:space="preserve"> HYPERLINK \l _Toc10302 </w:instrText>
      </w:r>
      <w:r>
        <w:rPr>
          <w:caps w:val="0"/>
          <w:szCs w:val="24"/>
          <w:highlight w:val="none"/>
        </w:rPr>
        <w:fldChar w:fldCharType="separate"/>
      </w:r>
      <w:r>
        <w:rPr>
          <w:rFonts w:hint="eastAsia"/>
          <w:lang w:val="sv-SE"/>
        </w:rPr>
        <w:t xml:space="preserve">2 </w:t>
      </w:r>
      <w:r>
        <w:rPr>
          <w:rFonts w:hint="eastAsia"/>
          <w:highlight w:val="none"/>
        </w:rPr>
        <w:t>对投标方的要求及其工作范围</w:t>
      </w:r>
      <w:r>
        <w:tab/>
      </w:r>
      <w:r>
        <w:fldChar w:fldCharType="begin"/>
      </w:r>
      <w:r>
        <w:instrText xml:space="preserve"> PAGEREF _Toc10302 \h </w:instrText>
      </w:r>
      <w:r>
        <w:fldChar w:fldCharType="separate"/>
      </w:r>
      <w:r>
        <w:t>- 2 -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_Toc14585 </w:instrText>
      </w:r>
      <w:r>
        <w:rPr>
          <w:caps w:val="0"/>
          <w:szCs w:val="24"/>
          <w:highlight w:val="none"/>
        </w:rPr>
        <w:fldChar w:fldCharType="separate"/>
      </w:r>
      <w:r>
        <w:rPr>
          <w:rFonts w:hint="eastAsia"/>
        </w:rPr>
        <w:t xml:space="preserve">2.1 </w:t>
      </w:r>
      <w:r>
        <w:rPr>
          <w:rFonts w:hint="eastAsia"/>
          <w:highlight w:val="none"/>
        </w:rPr>
        <w:t>对投标方的技术要求</w:t>
      </w:r>
      <w:r>
        <w:tab/>
      </w:r>
      <w:r>
        <w:fldChar w:fldCharType="begin"/>
      </w:r>
      <w:r>
        <w:instrText xml:space="preserve"> PAGEREF _Toc14585 \h </w:instrText>
      </w:r>
      <w:r>
        <w:fldChar w:fldCharType="separate"/>
      </w:r>
      <w:r>
        <w:t>- 2 -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_Toc32658 </w:instrText>
      </w:r>
      <w:r>
        <w:rPr>
          <w:caps w:val="0"/>
          <w:szCs w:val="24"/>
          <w:highlight w:val="none"/>
        </w:rPr>
        <w:fldChar w:fldCharType="separate"/>
      </w:r>
      <w:r>
        <w:rPr>
          <w:rFonts w:hint="eastAsia"/>
        </w:rPr>
        <w:t xml:space="preserve">2.2 </w:t>
      </w:r>
      <w:r>
        <w:rPr>
          <w:rFonts w:hint="eastAsia"/>
          <w:highlight w:val="none"/>
        </w:rPr>
        <w:t>投标方的工作范围</w:t>
      </w:r>
      <w:r>
        <w:tab/>
      </w:r>
      <w:r>
        <w:fldChar w:fldCharType="begin"/>
      </w:r>
      <w:r>
        <w:instrText xml:space="preserve"> PAGEREF _Toc32658 \h </w:instrText>
      </w:r>
      <w:r>
        <w:fldChar w:fldCharType="separate"/>
      </w:r>
      <w:r>
        <w:t>- 2 -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_Toc26972 </w:instrText>
      </w:r>
      <w:r>
        <w:rPr>
          <w:caps w:val="0"/>
          <w:szCs w:val="24"/>
          <w:highlight w:val="none"/>
        </w:rPr>
        <w:fldChar w:fldCharType="separate"/>
      </w:r>
      <w:r>
        <w:rPr>
          <w:rFonts w:hint="eastAsia"/>
        </w:rPr>
        <w:t xml:space="preserve">2.3 </w:t>
      </w:r>
      <w:r>
        <w:rPr>
          <w:rFonts w:hint="eastAsia"/>
          <w:highlight w:val="none"/>
        </w:rPr>
        <w:t>产品报价范围</w:t>
      </w:r>
      <w:r>
        <w:tab/>
      </w:r>
      <w:r>
        <w:fldChar w:fldCharType="begin"/>
      </w:r>
      <w:r>
        <w:instrText xml:space="preserve"> PAGEREF _Toc26972 \h </w:instrText>
      </w:r>
      <w:r>
        <w:fldChar w:fldCharType="separate"/>
      </w:r>
      <w:r>
        <w:t>- 3 -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_Toc15218 </w:instrText>
      </w:r>
      <w:r>
        <w:rPr>
          <w:caps w:val="0"/>
          <w:szCs w:val="24"/>
          <w:highlight w:val="none"/>
        </w:rPr>
        <w:fldChar w:fldCharType="separate"/>
      </w:r>
      <w:r>
        <w:rPr>
          <w:rFonts w:hint="eastAsia"/>
        </w:rPr>
        <w:t xml:space="preserve">2.4 </w:t>
      </w:r>
      <w:r>
        <w:rPr>
          <w:rFonts w:hint="eastAsia"/>
          <w:highlight w:val="none"/>
        </w:rPr>
        <w:t>技术服务</w:t>
      </w:r>
      <w:r>
        <w:tab/>
      </w:r>
      <w:r>
        <w:fldChar w:fldCharType="begin"/>
      </w:r>
      <w:r>
        <w:instrText xml:space="preserve"> PAGEREF _Toc15218 \h </w:instrText>
      </w:r>
      <w:r>
        <w:fldChar w:fldCharType="separate"/>
      </w:r>
      <w:r>
        <w:t>- 3 -</w:t>
      </w:r>
      <w:r>
        <w:fldChar w:fldCharType="end"/>
      </w:r>
      <w:r>
        <w:rPr>
          <w:caps w:val="0"/>
          <w:szCs w:val="24"/>
          <w:highlight w:val="none"/>
        </w:rPr>
        <w:fldChar w:fldCharType="end"/>
      </w:r>
    </w:p>
    <w:p>
      <w:pPr>
        <w:pStyle w:val="8"/>
        <w:tabs>
          <w:tab w:val="right" w:leader="dot" w:pos="9298"/>
          <w:tab w:val="clear" w:pos="9288"/>
        </w:tabs>
      </w:pPr>
      <w:r>
        <w:rPr>
          <w:caps w:val="0"/>
          <w:szCs w:val="24"/>
          <w:highlight w:val="none"/>
        </w:rPr>
        <w:fldChar w:fldCharType="begin"/>
      </w:r>
      <w:r>
        <w:rPr>
          <w:caps w:val="0"/>
          <w:szCs w:val="24"/>
          <w:highlight w:val="none"/>
        </w:rPr>
        <w:instrText xml:space="preserve"> HYPERLINK \l _Toc32326 </w:instrText>
      </w:r>
      <w:r>
        <w:rPr>
          <w:caps w:val="0"/>
          <w:szCs w:val="24"/>
          <w:highlight w:val="none"/>
        </w:rPr>
        <w:fldChar w:fldCharType="separate"/>
      </w:r>
      <w:r>
        <w:rPr>
          <w:rFonts w:hint="eastAsia"/>
          <w:highlight w:val="none"/>
          <w:lang w:val="en-US"/>
        </w:rPr>
        <w:t xml:space="preserve">2.4.1 </w:t>
      </w:r>
      <w:r>
        <w:rPr>
          <w:rFonts w:hint="eastAsia"/>
          <w:highlight w:val="none"/>
        </w:rPr>
        <w:t>技术服务内容</w:t>
      </w:r>
      <w:r>
        <w:tab/>
      </w:r>
      <w:r>
        <w:fldChar w:fldCharType="begin"/>
      </w:r>
      <w:r>
        <w:instrText xml:space="preserve"> PAGEREF _Toc32326 \h </w:instrText>
      </w:r>
      <w:r>
        <w:fldChar w:fldCharType="separate"/>
      </w:r>
      <w:r>
        <w:t>- 3 -</w:t>
      </w:r>
      <w:r>
        <w:fldChar w:fldCharType="end"/>
      </w:r>
      <w:r>
        <w:rPr>
          <w:caps w:val="0"/>
          <w:szCs w:val="24"/>
          <w:highlight w:val="none"/>
        </w:rPr>
        <w:fldChar w:fldCharType="end"/>
      </w:r>
    </w:p>
    <w:p>
      <w:pPr>
        <w:pStyle w:val="8"/>
        <w:tabs>
          <w:tab w:val="right" w:leader="dot" w:pos="9298"/>
          <w:tab w:val="clear" w:pos="9288"/>
        </w:tabs>
      </w:pPr>
      <w:r>
        <w:rPr>
          <w:caps w:val="0"/>
          <w:szCs w:val="24"/>
          <w:highlight w:val="none"/>
        </w:rPr>
        <w:fldChar w:fldCharType="begin"/>
      </w:r>
      <w:r>
        <w:rPr>
          <w:caps w:val="0"/>
          <w:szCs w:val="24"/>
          <w:highlight w:val="none"/>
        </w:rPr>
        <w:instrText xml:space="preserve"> HYPERLINK \l _Toc5173 </w:instrText>
      </w:r>
      <w:r>
        <w:rPr>
          <w:caps w:val="0"/>
          <w:szCs w:val="24"/>
          <w:highlight w:val="none"/>
        </w:rPr>
        <w:fldChar w:fldCharType="separate"/>
      </w:r>
      <w:r>
        <w:rPr>
          <w:rFonts w:hint="eastAsia"/>
          <w:highlight w:val="none"/>
          <w:lang w:val="en-US"/>
        </w:rPr>
        <w:t xml:space="preserve">2.4.2 </w:t>
      </w:r>
      <w:r>
        <w:rPr>
          <w:rFonts w:hint="eastAsia"/>
          <w:highlight w:val="none"/>
        </w:rPr>
        <w:t>技术服务要求</w:t>
      </w:r>
      <w:r>
        <w:tab/>
      </w:r>
      <w:r>
        <w:fldChar w:fldCharType="begin"/>
      </w:r>
      <w:r>
        <w:instrText xml:space="preserve"> PAGEREF _Toc5173 \h </w:instrText>
      </w:r>
      <w:r>
        <w:fldChar w:fldCharType="separate"/>
      </w:r>
      <w:r>
        <w:t>- 3 -</w:t>
      </w:r>
      <w:r>
        <w:fldChar w:fldCharType="end"/>
      </w:r>
      <w:r>
        <w:rPr>
          <w:caps w:val="0"/>
          <w:szCs w:val="24"/>
          <w:highlight w:val="none"/>
        </w:rPr>
        <w:fldChar w:fldCharType="end"/>
      </w:r>
    </w:p>
    <w:p>
      <w:pPr>
        <w:pStyle w:val="11"/>
        <w:tabs>
          <w:tab w:val="right" w:leader="dot" w:pos="9298"/>
          <w:tab w:val="clear" w:pos="630"/>
          <w:tab w:val="clear" w:pos="9288"/>
        </w:tabs>
      </w:pPr>
      <w:r>
        <w:rPr>
          <w:caps w:val="0"/>
          <w:szCs w:val="24"/>
          <w:highlight w:val="none"/>
        </w:rPr>
        <w:fldChar w:fldCharType="begin"/>
      </w:r>
      <w:r>
        <w:rPr>
          <w:caps w:val="0"/>
          <w:szCs w:val="24"/>
          <w:highlight w:val="none"/>
        </w:rPr>
        <w:instrText xml:space="preserve"> HYPERLINK \l _Toc23060 </w:instrText>
      </w:r>
      <w:r>
        <w:rPr>
          <w:caps w:val="0"/>
          <w:szCs w:val="24"/>
          <w:highlight w:val="none"/>
        </w:rPr>
        <w:fldChar w:fldCharType="separate"/>
      </w:r>
      <w:r>
        <w:rPr>
          <w:rFonts w:hint="eastAsia"/>
          <w:lang w:val="sv-SE"/>
        </w:rPr>
        <w:t xml:space="preserve">3 </w:t>
      </w:r>
      <w:r>
        <w:rPr>
          <w:rFonts w:hint="eastAsia"/>
          <w:highlight w:val="none"/>
        </w:rPr>
        <w:t>技术指标要求</w:t>
      </w:r>
      <w:r>
        <w:tab/>
      </w:r>
      <w:r>
        <w:fldChar w:fldCharType="begin"/>
      </w:r>
      <w:r>
        <w:instrText xml:space="preserve"> PAGEREF _Toc23060 \h </w:instrText>
      </w:r>
      <w:r>
        <w:fldChar w:fldCharType="separate"/>
      </w:r>
      <w:r>
        <w:t>- 5 -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_Toc18595 </w:instrText>
      </w:r>
      <w:r>
        <w:rPr>
          <w:caps w:val="0"/>
          <w:szCs w:val="24"/>
          <w:highlight w:val="none"/>
        </w:rPr>
        <w:fldChar w:fldCharType="separate"/>
      </w:r>
      <w:r>
        <w:rPr>
          <w:rFonts w:hint="eastAsia"/>
        </w:rPr>
        <w:t xml:space="preserve">3.1 </w:t>
      </w:r>
      <w:r>
        <w:rPr>
          <w:rFonts w:hint="eastAsia"/>
          <w:highlight w:val="none"/>
        </w:rPr>
        <w:t>基本要求</w:t>
      </w:r>
      <w:r>
        <w:tab/>
      </w:r>
      <w:r>
        <w:fldChar w:fldCharType="begin"/>
      </w:r>
      <w:r>
        <w:instrText xml:space="preserve"> PAGEREF _Toc18595 \h </w:instrText>
      </w:r>
      <w:r>
        <w:fldChar w:fldCharType="separate"/>
      </w:r>
      <w:r>
        <w:t>- 5 -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_Toc30435 </w:instrText>
      </w:r>
      <w:r>
        <w:rPr>
          <w:caps w:val="0"/>
          <w:szCs w:val="24"/>
          <w:highlight w:val="none"/>
        </w:rPr>
        <w:fldChar w:fldCharType="separate"/>
      </w:r>
      <w:r>
        <w:rPr>
          <w:rFonts w:hint="eastAsia"/>
          <w:lang w:val="en-US" w:eastAsia="zh-CN"/>
        </w:rPr>
        <w:t xml:space="preserve">3.2 </w:t>
      </w:r>
      <w:r>
        <w:rPr>
          <w:rFonts w:hint="eastAsia"/>
          <w:highlight w:val="none"/>
        </w:rPr>
        <w:t>主要技术要求及性能指标</w:t>
      </w:r>
      <w:r>
        <w:tab/>
      </w:r>
      <w:r>
        <w:fldChar w:fldCharType="begin"/>
      </w:r>
      <w:r>
        <w:instrText xml:space="preserve"> PAGEREF _Toc30435 \h </w:instrText>
      </w:r>
      <w:r>
        <w:fldChar w:fldCharType="separate"/>
      </w:r>
      <w:r>
        <w:t>- 5 -</w:t>
      </w:r>
      <w:r>
        <w:fldChar w:fldCharType="end"/>
      </w:r>
      <w:r>
        <w:rPr>
          <w:caps w:val="0"/>
          <w:szCs w:val="24"/>
          <w:highlight w:val="none"/>
        </w:rPr>
        <w:fldChar w:fldCharType="end"/>
      </w:r>
    </w:p>
    <w:p>
      <w:pPr>
        <w:pStyle w:val="8"/>
        <w:tabs>
          <w:tab w:val="right" w:leader="dot" w:pos="9298"/>
          <w:tab w:val="clear" w:pos="9288"/>
        </w:tabs>
      </w:pPr>
      <w:r>
        <w:rPr>
          <w:caps w:val="0"/>
          <w:szCs w:val="24"/>
          <w:highlight w:val="none"/>
        </w:rPr>
        <w:fldChar w:fldCharType="begin"/>
      </w:r>
      <w:r>
        <w:rPr>
          <w:caps w:val="0"/>
          <w:szCs w:val="24"/>
          <w:highlight w:val="none"/>
        </w:rPr>
        <w:instrText xml:space="preserve"> HYPERLINK \l _Toc3854 </w:instrText>
      </w:r>
      <w:r>
        <w:rPr>
          <w:caps w:val="0"/>
          <w:szCs w:val="24"/>
          <w:highlight w:val="none"/>
        </w:rPr>
        <w:fldChar w:fldCharType="separate"/>
      </w:r>
      <w:r>
        <w:t xml:space="preserve">1) </w:t>
      </w:r>
      <w:r>
        <w:rPr>
          <w:rFonts w:hint="eastAsia"/>
          <w:highlight w:val="none"/>
          <w:lang w:val="en-US" w:eastAsia="zh-CN"/>
        </w:rPr>
        <w:t>台式机</w:t>
      </w:r>
      <w:r>
        <w:tab/>
      </w:r>
      <w:r>
        <w:fldChar w:fldCharType="begin"/>
      </w:r>
      <w:r>
        <w:instrText xml:space="preserve"> PAGEREF _Toc3854 \h </w:instrText>
      </w:r>
      <w:r>
        <w:fldChar w:fldCharType="separate"/>
      </w:r>
      <w:r>
        <w:t>- 5 -</w:t>
      </w:r>
      <w:r>
        <w:fldChar w:fldCharType="end"/>
      </w:r>
      <w:r>
        <w:rPr>
          <w:caps w:val="0"/>
          <w:szCs w:val="24"/>
          <w:highlight w:val="none"/>
        </w:rPr>
        <w:fldChar w:fldCharType="end"/>
      </w:r>
    </w:p>
    <w:p>
      <w:pPr>
        <w:pStyle w:val="8"/>
        <w:tabs>
          <w:tab w:val="right" w:leader="dot" w:pos="9298"/>
          <w:tab w:val="clear" w:pos="9288"/>
        </w:tabs>
      </w:pPr>
      <w:r>
        <w:rPr>
          <w:caps w:val="0"/>
          <w:szCs w:val="24"/>
          <w:highlight w:val="none"/>
        </w:rPr>
        <w:fldChar w:fldCharType="begin"/>
      </w:r>
      <w:r>
        <w:rPr>
          <w:caps w:val="0"/>
          <w:szCs w:val="24"/>
          <w:highlight w:val="none"/>
        </w:rPr>
        <w:instrText xml:space="preserve"> HYPERLINK \l _Toc27580 </w:instrText>
      </w:r>
      <w:r>
        <w:rPr>
          <w:caps w:val="0"/>
          <w:szCs w:val="24"/>
          <w:highlight w:val="none"/>
        </w:rPr>
        <w:fldChar w:fldCharType="separate"/>
      </w:r>
      <w:r>
        <w:t xml:space="preserve">2) </w:t>
      </w:r>
      <w:r>
        <w:rPr>
          <w:rFonts w:hint="eastAsia"/>
          <w:highlight w:val="none"/>
          <w:lang w:val="en-US" w:eastAsia="zh-CN"/>
        </w:rPr>
        <w:t>显示器</w:t>
      </w:r>
      <w:r>
        <w:tab/>
      </w:r>
      <w:r>
        <w:fldChar w:fldCharType="begin"/>
      </w:r>
      <w:r>
        <w:instrText xml:space="preserve"> PAGEREF _Toc27580 \h </w:instrText>
      </w:r>
      <w:r>
        <w:fldChar w:fldCharType="separate"/>
      </w:r>
      <w:r>
        <w:t>- 5 -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_Toc31825 </w:instrText>
      </w:r>
      <w:r>
        <w:rPr>
          <w:caps w:val="0"/>
          <w:szCs w:val="24"/>
          <w:highlight w:val="none"/>
        </w:rPr>
        <w:fldChar w:fldCharType="separate"/>
      </w:r>
      <w:r>
        <w:rPr>
          <w:rFonts w:hint="eastAsia"/>
        </w:rPr>
        <w:t xml:space="preserve">3.3 </w:t>
      </w:r>
      <w:r>
        <w:rPr>
          <w:rFonts w:hint="eastAsia"/>
          <w:highlight w:val="none"/>
        </w:rPr>
        <w:t>实施要求</w:t>
      </w:r>
      <w:r>
        <w:tab/>
      </w:r>
      <w:r>
        <w:fldChar w:fldCharType="begin"/>
      </w:r>
      <w:r>
        <w:instrText xml:space="preserve"> PAGEREF _Toc31825 \h </w:instrText>
      </w:r>
      <w:r>
        <w:fldChar w:fldCharType="separate"/>
      </w:r>
      <w:r>
        <w:t>- 6 -</w:t>
      </w:r>
      <w:r>
        <w:fldChar w:fldCharType="end"/>
      </w:r>
      <w:r>
        <w:rPr>
          <w:caps w:val="0"/>
          <w:szCs w:val="24"/>
          <w:highlight w:val="none"/>
        </w:rPr>
        <w:fldChar w:fldCharType="end"/>
      </w:r>
    </w:p>
    <w:p>
      <w:pPr>
        <w:pStyle w:val="11"/>
        <w:tabs>
          <w:tab w:val="right" w:leader="dot" w:pos="9298"/>
          <w:tab w:val="clear" w:pos="630"/>
          <w:tab w:val="clear" w:pos="9288"/>
        </w:tabs>
      </w:pPr>
      <w:r>
        <w:rPr>
          <w:caps w:val="0"/>
          <w:szCs w:val="24"/>
          <w:highlight w:val="none"/>
        </w:rPr>
        <w:fldChar w:fldCharType="begin"/>
      </w:r>
      <w:r>
        <w:rPr>
          <w:caps w:val="0"/>
          <w:szCs w:val="24"/>
          <w:highlight w:val="none"/>
        </w:rPr>
        <w:instrText xml:space="preserve"> HYPERLINK \l _Toc21537 </w:instrText>
      </w:r>
      <w:r>
        <w:rPr>
          <w:caps w:val="0"/>
          <w:szCs w:val="24"/>
          <w:highlight w:val="none"/>
        </w:rPr>
        <w:fldChar w:fldCharType="separate"/>
      </w:r>
      <w:r>
        <w:rPr>
          <w:rFonts w:hint="eastAsia"/>
          <w:lang w:val="sv-SE"/>
        </w:rPr>
        <w:t xml:space="preserve">4 </w:t>
      </w:r>
      <w:r>
        <w:rPr>
          <w:rFonts w:hint="eastAsia"/>
          <w:highlight w:val="none"/>
        </w:rPr>
        <w:t>测试及验收</w:t>
      </w:r>
      <w:r>
        <w:tab/>
      </w:r>
      <w:r>
        <w:fldChar w:fldCharType="begin"/>
      </w:r>
      <w:r>
        <w:instrText xml:space="preserve"> PAGEREF _Toc21537 \h </w:instrText>
      </w:r>
      <w:r>
        <w:fldChar w:fldCharType="separate"/>
      </w:r>
      <w:r>
        <w:t>- 6 -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_Toc30647 </w:instrText>
      </w:r>
      <w:r>
        <w:rPr>
          <w:caps w:val="0"/>
          <w:szCs w:val="24"/>
          <w:highlight w:val="none"/>
        </w:rPr>
        <w:fldChar w:fldCharType="separate"/>
      </w:r>
      <w:r>
        <w:rPr>
          <w:rFonts w:hint="eastAsia"/>
        </w:rPr>
        <w:t xml:space="preserve">4.1 </w:t>
      </w:r>
      <w:r>
        <w:rPr>
          <w:rFonts w:hint="eastAsia"/>
          <w:highlight w:val="none"/>
        </w:rPr>
        <w:t>概述</w:t>
      </w:r>
      <w:r>
        <w:tab/>
      </w:r>
      <w:r>
        <w:fldChar w:fldCharType="begin"/>
      </w:r>
      <w:r>
        <w:instrText xml:space="preserve"> PAGEREF _Toc30647 \h </w:instrText>
      </w:r>
      <w:r>
        <w:fldChar w:fldCharType="separate"/>
      </w:r>
      <w:r>
        <w:t>- 6 -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_Toc29907 </w:instrText>
      </w:r>
      <w:r>
        <w:rPr>
          <w:caps w:val="0"/>
          <w:szCs w:val="24"/>
          <w:highlight w:val="none"/>
        </w:rPr>
        <w:fldChar w:fldCharType="separate"/>
      </w:r>
      <w:r>
        <w:rPr>
          <w:rFonts w:hint="eastAsia"/>
        </w:rPr>
        <w:t xml:space="preserve">4.2 </w:t>
      </w:r>
      <w:r>
        <w:rPr>
          <w:rFonts w:hint="eastAsia"/>
          <w:highlight w:val="none"/>
        </w:rPr>
        <w:t>到货验收</w:t>
      </w:r>
      <w:r>
        <w:tab/>
      </w:r>
      <w:r>
        <w:fldChar w:fldCharType="begin"/>
      </w:r>
      <w:r>
        <w:instrText xml:space="preserve"> PAGEREF _Toc29907 \h </w:instrText>
      </w:r>
      <w:r>
        <w:fldChar w:fldCharType="separate"/>
      </w:r>
      <w:r>
        <w:t>- 7 -</w:t>
      </w:r>
      <w:r>
        <w:fldChar w:fldCharType="end"/>
      </w:r>
      <w:r>
        <w:rPr>
          <w:caps w:val="0"/>
          <w:szCs w:val="24"/>
          <w:highlight w:val="none"/>
        </w:rPr>
        <w:fldChar w:fldCharType="end"/>
      </w:r>
    </w:p>
    <w:p>
      <w:pPr>
        <w:pStyle w:val="12"/>
        <w:tabs>
          <w:tab w:val="right" w:leader="dot" w:pos="9298"/>
          <w:tab w:val="clear" w:pos="1050"/>
          <w:tab w:val="clear" w:pos="9288"/>
        </w:tabs>
      </w:pPr>
      <w:r>
        <w:rPr>
          <w:caps w:val="0"/>
          <w:szCs w:val="24"/>
          <w:highlight w:val="none"/>
        </w:rPr>
        <w:fldChar w:fldCharType="begin"/>
      </w:r>
      <w:r>
        <w:rPr>
          <w:caps w:val="0"/>
          <w:szCs w:val="24"/>
          <w:highlight w:val="none"/>
        </w:rPr>
        <w:instrText xml:space="preserve"> HYPERLINK \l _Toc19216 </w:instrText>
      </w:r>
      <w:r>
        <w:rPr>
          <w:caps w:val="0"/>
          <w:szCs w:val="24"/>
          <w:highlight w:val="none"/>
        </w:rPr>
        <w:fldChar w:fldCharType="separate"/>
      </w:r>
      <w:r>
        <w:rPr>
          <w:rFonts w:hint="eastAsia"/>
        </w:rPr>
        <w:t xml:space="preserve">4.3 </w:t>
      </w:r>
      <w:r>
        <w:rPr>
          <w:rFonts w:hint="eastAsia"/>
          <w:highlight w:val="none"/>
        </w:rPr>
        <w:t>竣工验收</w:t>
      </w:r>
      <w:r>
        <w:tab/>
      </w:r>
      <w:r>
        <w:fldChar w:fldCharType="begin"/>
      </w:r>
      <w:r>
        <w:instrText xml:space="preserve"> PAGEREF _Toc19216 \h </w:instrText>
      </w:r>
      <w:r>
        <w:fldChar w:fldCharType="separate"/>
      </w:r>
      <w:r>
        <w:t>- 7 -</w:t>
      </w:r>
      <w:r>
        <w:fldChar w:fldCharType="end"/>
      </w:r>
      <w:r>
        <w:rPr>
          <w:caps w:val="0"/>
          <w:szCs w:val="24"/>
          <w:highlight w:val="none"/>
        </w:rPr>
        <w:fldChar w:fldCharType="end"/>
      </w:r>
    </w:p>
    <w:p>
      <w:pPr>
        <w:pStyle w:val="11"/>
        <w:tabs>
          <w:tab w:val="right" w:leader="dot" w:pos="9298"/>
          <w:tab w:val="clear" w:pos="630"/>
          <w:tab w:val="clear" w:pos="9288"/>
        </w:tabs>
      </w:pPr>
      <w:r>
        <w:rPr>
          <w:caps w:val="0"/>
          <w:szCs w:val="24"/>
          <w:highlight w:val="none"/>
        </w:rPr>
        <w:fldChar w:fldCharType="begin"/>
      </w:r>
      <w:r>
        <w:rPr>
          <w:caps w:val="0"/>
          <w:szCs w:val="24"/>
          <w:highlight w:val="none"/>
        </w:rPr>
        <w:instrText xml:space="preserve"> HYPERLINK \l _Toc4117 </w:instrText>
      </w:r>
      <w:r>
        <w:rPr>
          <w:caps w:val="0"/>
          <w:szCs w:val="24"/>
          <w:highlight w:val="none"/>
        </w:rPr>
        <w:fldChar w:fldCharType="separate"/>
      </w:r>
      <w:r>
        <w:rPr>
          <w:rFonts w:hint="eastAsia"/>
          <w:lang w:val="sv-SE"/>
        </w:rPr>
        <w:t xml:space="preserve">5 </w:t>
      </w:r>
      <w:r>
        <w:rPr>
          <w:rFonts w:hint="eastAsia"/>
          <w:highlight w:val="none"/>
        </w:rPr>
        <w:t>结算及归档</w:t>
      </w:r>
      <w:r>
        <w:tab/>
      </w:r>
      <w:r>
        <w:fldChar w:fldCharType="begin"/>
      </w:r>
      <w:r>
        <w:instrText xml:space="preserve"> PAGEREF _Toc4117 \h </w:instrText>
      </w:r>
      <w:r>
        <w:fldChar w:fldCharType="separate"/>
      </w:r>
      <w:r>
        <w:t>- 8 -</w:t>
      </w:r>
      <w:r>
        <w:fldChar w:fldCharType="end"/>
      </w:r>
      <w:r>
        <w:rPr>
          <w:caps w:val="0"/>
          <w:szCs w:val="24"/>
          <w:highlight w:val="none"/>
        </w:rPr>
        <w:fldChar w:fldCharType="end"/>
      </w:r>
    </w:p>
    <w:p>
      <w:pPr>
        <w:pStyle w:val="11"/>
        <w:tabs>
          <w:tab w:val="right" w:leader="dot" w:pos="9298"/>
          <w:tab w:val="clear" w:pos="630"/>
          <w:tab w:val="clear" w:pos="9288"/>
        </w:tabs>
      </w:pPr>
      <w:r>
        <w:rPr>
          <w:caps w:val="0"/>
          <w:szCs w:val="24"/>
          <w:highlight w:val="none"/>
        </w:rPr>
        <w:fldChar w:fldCharType="begin"/>
      </w:r>
      <w:r>
        <w:rPr>
          <w:caps w:val="0"/>
          <w:szCs w:val="24"/>
          <w:highlight w:val="none"/>
        </w:rPr>
        <w:instrText xml:space="preserve"> HYPERLINK \l _Toc6275 </w:instrText>
      </w:r>
      <w:r>
        <w:rPr>
          <w:caps w:val="0"/>
          <w:szCs w:val="24"/>
          <w:highlight w:val="none"/>
        </w:rPr>
        <w:fldChar w:fldCharType="separate"/>
      </w:r>
      <w:r>
        <w:rPr>
          <w:rFonts w:hint="eastAsia"/>
          <w:lang w:val="sv-SE"/>
        </w:rPr>
        <w:t xml:space="preserve">6 </w:t>
      </w:r>
      <w:r>
        <w:rPr>
          <w:rFonts w:hint="eastAsia"/>
          <w:highlight w:val="none"/>
        </w:rPr>
        <w:t>项目考核</w:t>
      </w:r>
      <w:r>
        <w:tab/>
      </w:r>
      <w:r>
        <w:fldChar w:fldCharType="begin"/>
      </w:r>
      <w:r>
        <w:instrText xml:space="preserve"> PAGEREF _Toc6275 \h </w:instrText>
      </w:r>
      <w:r>
        <w:fldChar w:fldCharType="separate"/>
      </w:r>
      <w:r>
        <w:t>- 8 -</w:t>
      </w:r>
      <w:r>
        <w:fldChar w:fldCharType="end"/>
      </w:r>
      <w:r>
        <w:rPr>
          <w:caps w:val="0"/>
          <w:szCs w:val="24"/>
          <w:highlight w:val="none"/>
        </w:rPr>
        <w:fldChar w:fldCharType="end"/>
      </w:r>
    </w:p>
    <w:p>
      <w:pPr>
        <w:pStyle w:val="11"/>
        <w:tabs>
          <w:tab w:val="right" w:leader="dot" w:pos="9298"/>
          <w:tab w:val="clear" w:pos="630"/>
          <w:tab w:val="clear" w:pos="9288"/>
        </w:tabs>
        <w:rPr>
          <w:sz w:val="30"/>
          <w:highlight w:val="none"/>
        </w:rPr>
        <w:sectPr>
          <w:headerReference r:id="rId11" w:type="default"/>
          <w:footerReference r:id="rId12" w:type="default"/>
          <w:pgSz w:w="11906" w:h="16838"/>
          <w:pgMar w:top="1701" w:right="1134" w:bottom="1418" w:left="1474" w:header="851" w:footer="964" w:gutter="0"/>
          <w:pgNumType w:fmt="numberInDash" w:start="1"/>
          <w:cols w:space="425" w:num="1"/>
          <w:docGrid w:type="lines" w:linePitch="312" w:charSpace="0"/>
        </w:sectPr>
      </w:pPr>
      <w:r>
        <w:rPr>
          <w:caps w:val="0"/>
          <w:szCs w:val="24"/>
          <w:highlight w:val="none"/>
        </w:rPr>
        <w:fldChar w:fldCharType="end"/>
      </w:r>
    </w:p>
    <w:p>
      <w:pPr>
        <w:pStyle w:val="3"/>
        <w:tabs>
          <w:tab w:val="left" w:pos="0"/>
          <w:tab w:val="clear" w:pos="432"/>
        </w:tabs>
        <w:spacing w:before="156" w:after="156" w:line="600" w:lineRule="exact"/>
        <w:ind w:left="433" w:hanging="433" w:hangingChars="154"/>
        <w:rPr>
          <w:rFonts w:hint="eastAsia"/>
          <w:highlight w:val="none"/>
        </w:rPr>
      </w:pPr>
      <w:bookmarkStart w:id="0" w:name="_Ref191806497"/>
      <w:bookmarkStart w:id="1" w:name="_Toc6793"/>
      <w:bookmarkStart w:id="2" w:name="_Toc2714"/>
      <w:bookmarkStart w:id="3" w:name="_Toc523850196"/>
      <w:bookmarkStart w:id="4" w:name="_Toc15516"/>
      <w:bookmarkStart w:id="5" w:name="_Toc8216"/>
      <w:bookmarkStart w:id="6" w:name="_Toc124406412"/>
      <w:bookmarkStart w:id="7" w:name="_Toc30598"/>
      <w:bookmarkStart w:id="8" w:name="_Toc407417356"/>
      <w:bookmarkStart w:id="9" w:name="_Toc411269790"/>
      <w:bookmarkStart w:id="10" w:name="_Toc407415869"/>
      <w:bookmarkStart w:id="11" w:name="_Toc407982391"/>
      <w:bookmarkStart w:id="12" w:name="_Toc411267585"/>
      <w:bookmarkStart w:id="13" w:name="_Toc407982392"/>
      <w:bookmarkStart w:id="14" w:name="_Toc411267586"/>
      <w:bookmarkStart w:id="15" w:name="_Toc407417357"/>
      <w:bookmarkStart w:id="16" w:name="_Toc411269791"/>
      <w:bookmarkStart w:id="17" w:name="_Toc407415870"/>
      <w:r>
        <w:rPr>
          <w:rFonts w:hint="eastAsia"/>
          <w:highlight w:val="none"/>
        </w:rPr>
        <w:t>总则</w:t>
      </w:r>
      <w:bookmarkEnd w:id="0"/>
      <w:bookmarkEnd w:id="1"/>
      <w:bookmarkEnd w:id="2"/>
      <w:bookmarkEnd w:id="3"/>
      <w:bookmarkEnd w:id="4"/>
      <w:bookmarkEnd w:id="5"/>
      <w:bookmarkEnd w:id="6"/>
      <w:bookmarkEnd w:id="7"/>
    </w:p>
    <w:p>
      <w:pPr>
        <w:pStyle w:val="4"/>
        <w:spacing w:before="156" w:after="156" w:line="600" w:lineRule="exact"/>
        <w:ind w:left="578" w:hanging="578"/>
        <w:rPr>
          <w:color w:val="auto"/>
          <w:highlight w:val="none"/>
        </w:rPr>
      </w:pPr>
      <w:bookmarkStart w:id="18" w:name="_Toc14745"/>
      <w:bookmarkStart w:id="19" w:name="_Toc27229"/>
      <w:bookmarkStart w:id="20" w:name="_Toc523850197"/>
      <w:bookmarkStart w:id="21" w:name="_Toc124406413"/>
      <w:bookmarkStart w:id="22" w:name="_Toc25438"/>
      <w:bookmarkStart w:id="23" w:name="_Toc10091"/>
      <w:bookmarkStart w:id="24" w:name="_Toc23802"/>
      <w:r>
        <w:rPr>
          <w:rFonts w:hint="eastAsia"/>
          <w:color w:val="auto"/>
          <w:highlight w:val="none"/>
        </w:rPr>
        <w:t>项目建设范围</w:t>
      </w:r>
      <w:bookmarkEnd w:id="18"/>
      <w:bookmarkEnd w:id="19"/>
      <w:bookmarkEnd w:id="20"/>
      <w:bookmarkEnd w:id="21"/>
      <w:bookmarkEnd w:id="22"/>
      <w:bookmarkEnd w:id="23"/>
      <w:bookmarkEnd w:id="24"/>
    </w:p>
    <w:p>
      <w:pPr>
        <w:pStyle w:val="21"/>
        <w:spacing w:line="360" w:lineRule="auto"/>
        <w:ind w:firstLine="482"/>
        <w:rPr>
          <w:rFonts w:hint="eastAsia"/>
          <w:highlight w:val="none"/>
        </w:rPr>
      </w:pPr>
      <w:r>
        <w:rPr>
          <w:rFonts w:hint="eastAsia"/>
          <w:highlight w:val="none"/>
        </w:rPr>
        <w:t>本标段招标范围包括海南电网有限责任公司2026年终端设备（台式机、显示器）框架采购项目。</w:t>
      </w:r>
    </w:p>
    <w:p>
      <w:pPr>
        <w:pStyle w:val="21"/>
        <w:spacing w:line="360" w:lineRule="auto"/>
        <w:ind w:firstLine="482"/>
        <w:rPr>
          <w:rFonts w:hint="eastAsia"/>
          <w:b/>
          <w:bCs/>
          <w:highlight w:val="none"/>
        </w:rPr>
      </w:pPr>
      <w:r>
        <w:rPr>
          <w:rFonts w:hint="eastAsia"/>
          <w:highlight w:val="none"/>
          <w:lang w:val="en-US" w:eastAsia="zh-CN"/>
        </w:rPr>
        <w:t>终端</w:t>
      </w:r>
      <w:r>
        <w:rPr>
          <w:rFonts w:hint="eastAsia"/>
          <w:highlight w:val="none"/>
        </w:rPr>
        <w:t>设备需求估算量如</w:t>
      </w:r>
      <w:r>
        <w:rPr>
          <w:rFonts w:hint="eastAsia"/>
          <w:highlight w:val="none"/>
          <w:lang w:val="en-US" w:eastAsia="zh-CN"/>
        </w:rPr>
        <w:t>表1</w:t>
      </w:r>
      <w:r>
        <w:rPr>
          <w:rFonts w:hint="eastAsia"/>
          <w:highlight w:val="none"/>
        </w:rPr>
        <w:t>所示，具体技术规格要求参见后文。</w:t>
      </w:r>
      <w:r>
        <w:rPr>
          <w:rFonts w:hint="eastAsia"/>
          <w:b/>
          <w:bCs/>
          <w:highlight w:val="none"/>
          <w:lang w:val="en-US" w:eastAsia="zh-CN"/>
        </w:rPr>
        <w:t>终端预计采购金额</w:t>
      </w:r>
      <w:r>
        <w:rPr>
          <w:rFonts w:hint="eastAsia"/>
          <w:b/>
          <w:bCs/>
          <w:highlight w:val="none"/>
        </w:rPr>
        <w:t>为招标方预估签约</w:t>
      </w:r>
      <w:r>
        <w:rPr>
          <w:rFonts w:hint="eastAsia"/>
          <w:b/>
          <w:bCs/>
          <w:highlight w:val="none"/>
          <w:lang w:val="en-US" w:eastAsia="zh-CN"/>
        </w:rPr>
        <w:t>金额</w:t>
      </w:r>
      <w:r>
        <w:rPr>
          <w:rFonts w:hint="eastAsia"/>
          <w:b/>
          <w:bCs/>
          <w:highlight w:val="none"/>
        </w:rPr>
        <w:t>，实际</w:t>
      </w:r>
      <w:r>
        <w:rPr>
          <w:rFonts w:hint="eastAsia"/>
          <w:b/>
          <w:bCs/>
          <w:highlight w:val="none"/>
          <w:lang w:val="en-US" w:eastAsia="zh-CN"/>
        </w:rPr>
        <w:t>签约金额</w:t>
      </w:r>
      <w:r>
        <w:rPr>
          <w:rFonts w:hint="eastAsia"/>
          <w:b/>
          <w:bCs/>
          <w:highlight w:val="none"/>
        </w:rPr>
        <w:t>控制在预估</w:t>
      </w:r>
      <w:r>
        <w:rPr>
          <w:rFonts w:hint="eastAsia"/>
          <w:b/>
          <w:bCs/>
          <w:highlight w:val="none"/>
          <w:lang w:val="en-US" w:eastAsia="zh-CN"/>
        </w:rPr>
        <w:t>金额</w:t>
      </w:r>
      <w:r>
        <w:rPr>
          <w:rFonts w:hint="eastAsia"/>
          <w:b/>
          <w:bCs/>
          <w:highlight w:val="none"/>
        </w:rPr>
        <w:t>的80%至1</w:t>
      </w:r>
      <w:r>
        <w:rPr>
          <w:rFonts w:hint="eastAsia"/>
          <w:b/>
          <w:bCs/>
          <w:highlight w:val="none"/>
          <w:lang w:val="en-US" w:eastAsia="zh-CN"/>
        </w:rPr>
        <w:t>2</w:t>
      </w:r>
      <w:r>
        <w:rPr>
          <w:rFonts w:hint="eastAsia"/>
          <w:b/>
          <w:bCs/>
          <w:highlight w:val="none"/>
        </w:rPr>
        <w:t>0%之间，具体成交数量以实际下单为准。</w:t>
      </w:r>
    </w:p>
    <w:tbl>
      <w:tblPr>
        <w:tblStyle w:val="13"/>
        <w:tblW w:w="93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585"/>
        <w:gridCol w:w="3190"/>
        <w:gridCol w:w="55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2" w:hRule="atLeast"/>
        </w:trPr>
        <w:tc>
          <w:tcPr>
            <w:tcW w:w="585" w:type="dxa"/>
            <w:tcBorders>
              <w:tl2br w:val="nil"/>
              <w:tr2bl w:val="nil"/>
            </w:tcBorders>
            <w:shd w:val="clear" w:color="auto" w:fill="FFFFFF" w:themeFill="background1"/>
            <w:vAlign w:val="center"/>
          </w:tcPr>
          <w:p>
            <w:pPr>
              <w:widowControl/>
              <w:spacing w:line="240" w:lineRule="auto"/>
              <w:ind w:firstLine="0" w:firstLineChars="0"/>
              <w:jc w:val="center"/>
              <w:rPr>
                <w:rFonts w:hint="eastAsia" w:ascii="宋体" w:hAnsi="宋体" w:cs="宋体"/>
                <w:b w:val="0"/>
                <w:bCs w:val="0"/>
                <w:kern w:val="0"/>
                <w:sz w:val="20"/>
                <w:szCs w:val="20"/>
                <w:highlight w:val="none"/>
              </w:rPr>
            </w:pPr>
            <w:r>
              <w:rPr>
                <w:rFonts w:hint="eastAsia" w:ascii="宋体" w:hAnsi="宋体" w:cs="宋体"/>
                <w:b w:val="0"/>
                <w:bCs w:val="0"/>
                <w:kern w:val="0"/>
                <w:sz w:val="20"/>
                <w:szCs w:val="20"/>
                <w:highlight w:val="none"/>
              </w:rPr>
              <w:t>序号</w:t>
            </w:r>
          </w:p>
        </w:tc>
        <w:tc>
          <w:tcPr>
            <w:tcW w:w="3190" w:type="dxa"/>
            <w:tcBorders>
              <w:tl2br w:val="nil"/>
              <w:tr2bl w:val="nil"/>
            </w:tcBorders>
            <w:shd w:val="clear" w:color="auto" w:fill="FFFFFF" w:themeFill="background1"/>
            <w:vAlign w:val="center"/>
          </w:tcPr>
          <w:p>
            <w:pPr>
              <w:widowControl/>
              <w:spacing w:line="240" w:lineRule="auto"/>
              <w:ind w:firstLine="0" w:firstLineChars="0"/>
              <w:jc w:val="center"/>
              <w:rPr>
                <w:rFonts w:hint="eastAsia" w:ascii="宋体" w:hAnsi="宋体" w:cs="宋体"/>
                <w:b w:val="0"/>
                <w:bCs w:val="0"/>
                <w:kern w:val="0"/>
                <w:sz w:val="20"/>
                <w:szCs w:val="20"/>
                <w:highlight w:val="none"/>
              </w:rPr>
            </w:pPr>
            <w:r>
              <w:rPr>
                <w:rFonts w:hint="eastAsia" w:ascii="宋体" w:hAnsi="宋体" w:cs="宋体"/>
                <w:b w:val="0"/>
                <w:bCs w:val="0"/>
                <w:kern w:val="0"/>
                <w:sz w:val="20"/>
                <w:szCs w:val="20"/>
                <w:highlight w:val="none"/>
              </w:rPr>
              <w:t>设备类型</w:t>
            </w:r>
          </w:p>
        </w:tc>
        <w:tc>
          <w:tcPr>
            <w:tcW w:w="5533" w:type="dxa"/>
            <w:tcBorders>
              <w:tl2br w:val="nil"/>
              <w:tr2bl w:val="nil"/>
            </w:tcBorders>
            <w:shd w:val="clear" w:color="auto" w:fill="FFFFFF" w:themeFill="background1"/>
            <w:vAlign w:val="center"/>
          </w:tcPr>
          <w:p>
            <w:pPr>
              <w:widowControl/>
              <w:spacing w:line="240" w:lineRule="auto"/>
              <w:ind w:firstLine="0" w:firstLineChars="0"/>
              <w:jc w:val="center"/>
              <w:rPr>
                <w:rFonts w:hint="eastAsia" w:ascii="宋体" w:hAnsi="宋体" w:eastAsia="宋体" w:cs="宋体"/>
                <w:b w:val="0"/>
                <w:bCs w:val="0"/>
                <w:kern w:val="0"/>
                <w:sz w:val="20"/>
                <w:szCs w:val="20"/>
                <w:highlight w:val="none"/>
                <w:lang w:eastAsia="zh-CN"/>
              </w:rPr>
            </w:pPr>
            <w:r>
              <w:rPr>
                <w:rFonts w:hint="eastAsia" w:ascii="宋体" w:hAnsi="宋体" w:cs="宋体"/>
                <w:b w:val="0"/>
                <w:bCs w:val="0"/>
                <w:kern w:val="0"/>
                <w:sz w:val="20"/>
                <w:szCs w:val="20"/>
                <w:highlight w:val="none"/>
              </w:rPr>
              <w:t>采购</w:t>
            </w:r>
            <w:r>
              <w:rPr>
                <w:rFonts w:hint="eastAsia" w:ascii="宋体" w:hAnsi="宋体" w:cs="宋体"/>
                <w:b w:val="0"/>
                <w:bCs w:val="0"/>
                <w:kern w:val="0"/>
                <w:sz w:val="20"/>
                <w:szCs w:val="20"/>
                <w:highlight w:val="none"/>
                <w:lang w:eastAsia="zh-CN"/>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86" w:hRule="atLeast"/>
        </w:trPr>
        <w:tc>
          <w:tcPr>
            <w:tcW w:w="585" w:type="dxa"/>
            <w:tcBorders>
              <w:tl2br w:val="nil"/>
              <w:tr2bl w:val="nil"/>
            </w:tcBorders>
            <w:vAlign w:val="center"/>
          </w:tcPr>
          <w:p>
            <w:pPr>
              <w:widowControl/>
              <w:spacing w:line="240" w:lineRule="auto"/>
              <w:ind w:firstLine="0" w:firstLineChars="0"/>
              <w:jc w:val="center"/>
              <w:rPr>
                <w:rFonts w:ascii="宋体" w:hAnsi="宋体" w:cs="宋体"/>
                <w:b w:val="0"/>
                <w:bCs w:val="0"/>
                <w:kern w:val="0"/>
                <w:sz w:val="20"/>
                <w:szCs w:val="20"/>
                <w:highlight w:val="none"/>
              </w:rPr>
            </w:pPr>
            <w:r>
              <w:rPr>
                <w:rFonts w:hint="eastAsia" w:ascii="宋体" w:hAnsi="宋体" w:cs="宋体"/>
                <w:b w:val="0"/>
                <w:bCs w:val="0"/>
                <w:kern w:val="0"/>
                <w:sz w:val="20"/>
                <w:szCs w:val="20"/>
                <w:highlight w:val="none"/>
              </w:rPr>
              <w:t>1</w:t>
            </w:r>
          </w:p>
        </w:tc>
        <w:tc>
          <w:tcPr>
            <w:tcW w:w="3190" w:type="dxa"/>
            <w:tcBorders>
              <w:tl2br w:val="nil"/>
              <w:tr2bl w:val="nil"/>
            </w:tcBorders>
            <w:vAlign w:val="center"/>
          </w:tcPr>
          <w:p>
            <w:pPr>
              <w:widowControl/>
              <w:spacing w:line="240" w:lineRule="auto"/>
              <w:ind w:firstLine="0" w:firstLineChars="0"/>
              <w:jc w:val="center"/>
              <w:rPr>
                <w:rFonts w:ascii="宋体" w:hAnsi="宋体" w:cs="宋体"/>
                <w:b w:val="0"/>
                <w:bCs w:val="0"/>
                <w:kern w:val="0"/>
                <w:sz w:val="20"/>
                <w:szCs w:val="20"/>
                <w:highlight w:val="none"/>
              </w:rPr>
            </w:pPr>
            <w:r>
              <w:rPr>
                <w:rFonts w:hint="eastAsia" w:ascii="宋体" w:hAnsi="宋体" w:cs="宋体"/>
                <w:b w:val="0"/>
                <w:bCs w:val="0"/>
                <w:kern w:val="0"/>
                <w:sz w:val="20"/>
                <w:szCs w:val="20"/>
                <w:highlight w:val="none"/>
              </w:rPr>
              <w:t>台</w:t>
            </w:r>
            <w:bookmarkStart w:id="218" w:name="_GoBack"/>
            <w:bookmarkEnd w:id="218"/>
            <w:r>
              <w:rPr>
                <w:rFonts w:hint="eastAsia" w:ascii="宋体" w:hAnsi="宋体" w:cs="宋体"/>
                <w:b w:val="0"/>
                <w:bCs w:val="0"/>
                <w:kern w:val="0"/>
                <w:sz w:val="20"/>
                <w:szCs w:val="20"/>
                <w:highlight w:val="none"/>
              </w:rPr>
              <w:t>式机</w:t>
            </w:r>
          </w:p>
        </w:tc>
        <w:tc>
          <w:tcPr>
            <w:tcW w:w="5533" w:type="dxa"/>
            <w:tcBorders>
              <w:tl2br w:val="nil"/>
              <w:tr2bl w:val="nil"/>
            </w:tcBorders>
            <w:vAlign w:val="center"/>
          </w:tcPr>
          <w:p>
            <w:pPr>
              <w:widowControl/>
              <w:spacing w:line="240" w:lineRule="auto"/>
              <w:ind w:firstLine="0" w:firstLineChars="0"/>
              <w:jc w:val="center"/>
              <w:rPr>
                <w:rFonts w:hint="default" w:ascii="宋体" w:hAnsi="宋体" w:eastAsia="宋体" w:cs="宋体"/>
                <w:b w:val="0"/>
                <w:bCs w:val="0"/>
                <w:kern w:val="0"/>
                <w:sz w:val="20"/>
                <w:szCs w:val="20"/>
                <w:highlight w:val="none"/>
                <w:lang w:val="en-US" w:eastAsia="zh-CN"/>
              </w:rPr>
            </w:pPr>
            <w:r>
              <w:rPr>
                <w:rFonts w:hint="eastAsia" w:ascii="宋体" w:hAnsi="宋体" w:cs="宋体"/>
                <w:b w:val="0"/>
                <w:bCs w:val="0"/>
                <w:kern w:val="0"/>
                <w:sz w:val="20"/>
                <w:szCs w:val="20"/>
                <w:highlight w:val="none"/>
                <w:lang w:val="en-US" w:eastAsia="zh-CN"/>
              </w:rPr>
              <w:t>1440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86" w:hRule="atLeast"/>
        </w:trPr>
        <w:tc>
          <w:tcPr>
            <w:tcW w:w="585" w:type="dxa"/>
            <w:tcBorders>
              <w:tl2br w:val="nil"/>
              <w:tr2bl w:val="nil"/>
            </w:tcBorders>
            <w:vAlign w:val="center"/>
          </w:tcPr>
          <w:p>
            <w:pPr>
              <w:widowControl/>
              <w:spacing w:line="240" w:lineRule="auto"/>
              <w:ind w:firstLine="0" w:firstLineChars="0"/>
              <w:jc w:val="center"/>
              <w:rPr>
                <w:rFonts w:hint="default" w:ascii="宋体" w:hAnsi="宋体" w:eastAsia="宋体" w:cs="宋体"/>
                <w:b w:val="0"/>
                <w:bCs w:val="0"/>
                <w:kern w:val="0"/>
                <w:sz w:val="20"/>
                <w:szCs w:val="20"/>
                <w:highlight w:val="none"/>
                <w:lang w:val="en-US" w:eastAsia="zh-CN"/>
              </w:rPr>
            </w:pPr>
            <w:r>
              <w:rPr>
                <w:rFonts w:hint="eastAsia" w:ascii="宋体" w:hAnsi="宋体" w:cs="宋体"/>
                <w:b w:val="0"/>
                <w:bCs w:val="0"/>
                <w:kern w:val="0"/>
                <w:sz w:val="20"/>
                <w:szCs w:val="20"/>
                <w:highlight w:val="none"/>
                <w:lang w:val="en-US" w:eastAsia="zh-CN"/>
              </w:rPr>
              <w:t>2</w:t>
            </w:r>
          </w:p>
        </w:tc>
        <w:tc>
          <w:tcPr>
            <w:tcW w:w="3190" w:type="dxa"/>
            <w:tcBorders>
              <w:tl2br w:val="nil"/>
              <w:tr2bl w:val="nil"/>
            </w:tcBorders>
            <w:vAlign w:val="center"/>
          </w:tcPr>
          <w:p>
            <w:pPr>
              <w:widowControl/>
              <w:spacing w:line="240" w:lineRule="auto"/>
              <w:ind w:firstLine="0" w:firstLineChars="0"/>
              <w:jc w:val="center"/>
              <w:rPr>
                <w:rFonts w:hint="eastAsia" w:ascii="宋体" w:hAnsi="宋体" w:eastAsia="宋体" w:cs="宋体"/>
                <w:b w:val="0"/>
                <w:bCs w:val="0"/>
                <w:kern w:val="0"/>
                <w:sz w:val="20"/>
                <w:szCs w:val="20"/>
                <w:highlight w:val="none"/>
                <w:lang w:eastAsia="zh-CN"/>
              </w:rPr>
            </w:pPr>
            <w:r>
              <w:rPr>
                <w:rFonts w:hint="eastAsia" w:ascii="宋体" w:hAnsi="宋体" w:cs="宋体"/>
                <w:b w:val="0"/>
                <w:bCs w:val="0"/>
                <w:kern w:val="0"/>
                <w:sz w:val="20"/>
                <w:szCs w:val="20"/>
                <w:highlight w:val="none"/>
                <w:lang w:val="en-US" w:eastAsia="zh-CN"/>
              </w:rPr>
              <w:t>显示器</w:t>
            </w:r>
          </w:p>
        </w:tc>
        <w:tc>
          <w:tcPr>
            <w:tcW w:w="5533" w:type="dxa"/>
            <w:tcBorders>
              <w:tl2br w:val="nil"/>
              <w:tr2bl w:val="nil"/>
            </w:tcBorders>
            <w:vAlign w:val="center"/>
          </w:tcPr>
          <w:p>
            <w:pPr>
              <w:widowControl/>
              <w:spacing w:line="240" w:lineRule="auto"/>
              <w:ind w:firstLine="0" w:firstLineChars="0"/>
              <w:jc w:val="center"/>
              <w:rPr>
                <w:rFonts w:hint="default" w:ascii="宋体" w:hAnsi="宋体" w:eastAsia="宋体" w:cs="宋体"/>
                <w:b w:val="0"/>
                <w:bCs w:val="0"/>
                <w:kern w:val="0"/>
                <w:sz w:val="20"/>
                <w:szCs w:val="20"/>
                <w:highlight w:val="none"/>
                <w:lang w:val="en-US" w:eastAsia="zh-CN"/>
              </w:rPr>
            </w:pPr>
            <w:r>
              <w:rPr>
                <w:rFonts w:hint="eastAsia" w:ascii="宋体" w:hAnsi="宋体" w:cs="宋体"/>
                <w:b w:val="0"/>
                <w:bCs w:val="0"/>
                <w:kern w:val="0"/>
                <w:sz w:val="20"/>
                <w:szCs w:val="20"/>
                <w:highlight w:val="none"/>
                <w:lang w:val="en-US" w:eastAsia="zh-CN"/>
              </w:rPr>
              <w:t>1480</w:t>
            </w:r>
          </w:p>
        </w:tc>
      </w:tr>
    </w:tbl>
    <w:p>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left="0" w:leftChars="0"/>
        <w:jc w:val="center"/>
        <w:textAlignment w:val="auto"/>
        <w:outlineLvl w:val="2"/>
        <w:rPr>
          <w:rStyle w:val="24"/>
          <w:rFonts w:hint="eastAsia" w:ascii="宋体" w:hAnsi="宋体" w:eastAsia="宋体" w:cs="宋体"/>
          <w:sz w:val="21"/>
          <w:szCs w:val="21"/>
          <w:lang w:val="en-US" w:eastAsia="zh-CN"/>
        </w:rPr>
      </w:pPr>
      <w:bookmarkStart w:id="25" w:name="_Toc5769"/>
      <w:bookmarkStart w:id="26" w:name="_Toc13564"/>
      <w:bookmarkStart w:id="27" w:name="_Toc12700"/>
      <w:r>
        <w:rPr>
          <w:rStyle w:val="24"/>
          <w:rFonts w:hint="eastAsia" w:ascii="宋体" w:hAnsi="宋体" w:eastAsia="宋体" w:cs="宋体"/>
          <w:sz w:val="21"/>
          <w:szCs w:val="21"/>
          <w:lang w:val="en-US" w:eastAsia="zh-CN"/>
        </w:rPr>
        <w:t>表1：终端</w:t>
      </w:r>
      <w:r>
        <w:rPr>
          <w:rStyle w:val="24"/>
          <w:rFonts w:hint="eastAsia" w:ascii="宋体" w:hAnsi="宋体" w:eastAsia="宋体" w:cs="宋体"/>
          <w:sz w:val="21"/>
          <w:szCs w:val="21"/>
        </w:rPr>
        <w:t>设备需求估算</w:t>
      </w:r>
      <w:r>
        <w:rPr>
          <w:rStyle w:val="24"/>
          <w:rFonts w:hint="eastAsia" w:ascii="宋体" w:hAnsi="宋体" w:eastAsia="宋体" w:cs="宋体"/>
          <w:sz w:val="21"/>
          <w:szCs w:val="21"/>
          <w:lang w:val="en-US" w:eastAsia="zh-CN"/>
        </w:rPr>
        <w:t>表</w:t>
      </w:r>
      <w:bookmarkEnd w:id="25"/>
      <w:bookmarkEnd w:id="26"/>
      <w:bookmarkEnd w:id="27"/>
    </w:p>
    <w:p>
      <w:pPr>
        <w:pStyle w:val="4"/>
        <w:spacing w:before="156" w:after="156" w:line="600" w:lineRule="exact"/>
        <w:ind w:left="578" w:hanging="578"/>
        <w:rPr>
          <w:color w:val="auto"/>
          <w:highlight w:val="none"/>
        </w:rPr>
      </w:pPr>
      <w:bookmarkStart w:id="28" w:name="_Toc523850198"/>
      <w:bookmarkStart w:id="29" w:name="_Toc14021"/>
      <w:bookmarkStart w:id="30" w:name="_Toc10921"/>
      <w:bookmarkStart w:id="31" w:name="_Toc124406414"/>
      <w:bookmarkStart w:id="32" w:name="_Toc29532"/>
      <w:bookmarkStart w:id="33" w:name="_Toc31122"/>
      <w:bookmarkStart w:id="34" w:name="_Toc3485"/>
      <w:r>
        <w:rPr>
          <w:rFonts w:hint="eastAsia"/>
          <w:color w:val="auto"/>
          <w:highlight w:val="none"/>
        </w:rPr>
        <w:t>质量保证</w:t>
      </w:r>
      <w:bookmarkEnd w:id="28"/>
      <w:bookmarkEnd w:id="29"/>
      <w:bookmarkEnd w:id="30"/>
      <w:bookmarkEnd w:id="31"/>
      <w:bookmarkEnd w:id="32"/>
      <w:bookmarkEnd w:id="33"/>
      <w:bookmarkEnd w:id="34"/>
    </w:p>
    <w:p>
      <w:pPr>
        <w:spacing w:line="600" w:lineRule="exact"/>
        <w:ind w:firstLine="480"/>
        <w:rPr>
          <w:rFonts w:hint="eastAsia" w:ascii="宋体" w:hAnsi="宋体" w:cs="宋体"/>
          <w:kern w:val="0"/>
          <w:highlight w:val="none"/>
        </w:rPr>
      </w:pPr>
      <w:r>
        <w:rPr>
          <w:rFonts w:hint="eastAsia"/>
          <w:highlight w:val="none"/>
        </w:rPr>
        <w:t>投标方应保证所提供的所有货物的功能、性能、质量均能满足本招标文件要求。技术规范书中标注为</w:t>
      </w:r>
      <w:r>
        <w:rPr>
          <w:rFonts w:hint="eastAsia" w:ascii="宋体" w:hAnsi="宋体" w:cs="宋体"/>
          <w:kern w:val="0"/>
          <w:highlight w:val="none"/>
        </w:rPr>
        <w:t>★的条款或参数，投标方必须满足。</w:t>
      </w:r>
    </w:p>
    <w:p>
      <w:pPr>
        <w:pStyle w:val="4"/>
        <w:spacing w:before="156" w:after="156" w:line="600" w:lineRule="exact"/>
        <w:ind w:left="578" w:hanging="578"/>
        <w:rPr>
          <w:rFonts w:cs="Times New Roman"/>
          <w:color w:val="auto"/>
          <w:kern w:val="2"/>
          <w:sz w:val="24"/>
          <w:szCs w:val="24"/>
          <w:highlight w:val="none"/>
        </w:rPr>
      </w:pPr>
      <w:bookmarkStart w:id="35" w:name="_Toc124406415"/>
      <w:bookmarkStart w:id="36" w:name="_Toc523850199"/>
      <w:bookmarkStart w:id="37" w:name="_Toc4514"/>
      <w:bookmarkStart w:id="38" w:name="_Toc3202"/>
      <w:bookmarkStart w:id="39" w:name="_Toc14220"/>
      <w:bookmarkStart w:id="40" w:name="_Toc2483"/>
      <w:bookmarkStart w:id="41" w:name="_Toc17579"/>
      <w:r>
        <w:rPr>
          <w:rFonts w:hint="eastAsia"/>
          <w:color w:val="auto"/>
          <w:highlight w:val="none"/>
        </w:rPr>
        <w:t>进度保证</w:t>
      </w:r>
      <w:bookmarkEnd w:id="35"/>
      <w:bookmarkEnd w:id="36"/>
      <w:bookmarkEnd w:id="37"/>
      <w:bookmarkEnd w:id="38"/>
      <w:bookmarkEnd w:id="39"/>
      <w:bookmarkEnd w:id="40"/>
      <w:bookmarkEnd w:id="41"/>
    </w:p>
    <w:p>
      <w:pPr>
        <w:pStyle w:val="21"/>
        <w:spacing w:line="600" w:lineRule="exact"/>
        <w:rPr>
          <w:highlight w:val="none"/>
        </w:rPr>
      </w:pPr>
      <w:r>
        <w:rPr>
          <w:rFonts w:hint="eastAsia"/>
          <w:highlight w:val="none"/>
        </w:rPr>
        <w:t>投标方必须保证在签订合同后（</w:t>
      </w:r>
      <w:r>
        <w:rPr>
          <w:rFonts w:hint="eastAsia" w:ascii="宋体" w:hAnsi="宋体" w:cs="宋体"/>
          <w:highlight w:val="none"/>
        </w:rPr>
        <w:t>包括节假日</w:t>
      </w:r>
      <w:r>
        <w:rPr>
          <w:rFonts w:hint="eastAsia"/>
          <w:highlight w:val="none"/>
        </w:rPr>
        <w:t>）</w:t>
      </w:r>
      <w:r>
        <w:rPr>
          <w:rFonts w:hint="eastAsia"/>
          <w:highlight w:val="none"/>
          <w:u w:val="single"/>
          <w:lang w:val="en-US" w:eastAsia="zh-CN"/>
        </w:rPr>
        <w:t>45</w:t>
      </w:r>
      <w:r>
        <w:rPr>
          <w:rFonts w:hint="eastAsia"/>
          <w:highlight w:val="none"/>
          <w:u w:val="single"/>
        </w:rPr>
        <w:t>天</w:t>
      </w:r>
      <w:r>
        <w:rPr>
          <w:rFonts w:hint="eastAsia"/>
          <w:highlight w:val="none"/>
        </w:rPr>
        <w:t>内到货，货到后（</w:t>
      </w:r>
      <w:r>
        <w:rPr>
          <w:rFonts w:hint="eastAsia" w:ascii="宋体" w:hAnsi="宋体" w:cs="宋体"/>
          <w:highlight w:val="none"/>
        </w:rPr>
        <w:t>包括节假日</w:t>
      </w:r>
      <w:r>
        <w:rPr>
          <w:rFonts w:hint="eastAsia"/>
          <w:highlight w:val="none"/>
        </w:rPr>
        <w:t>）</w:t>
      </w:r>
      <w:r>
        <w:rPr>
          <w:rFonts w:hint="eastAsia"/>
          <w:highlight w:val="none"/>
          <w:u w:val="single"/>
          <w:lang w:val="en-US" w:eastAsia="zh-CN"/>
        </w:rPr>
        <w:t>30</w:t>
      </w:r>
      <w:r>
        <w:rPr>
          <w:rFonts w:hint="eastAsia"/>
          <w:highlight w:val="none"/>
          <w:u w:val="single"/>
        </w:rPr>
        <w:t>天</w:t>
      </w:r>
      <w:r>
        <w:rPr>
          <w:rFonts w:hint="eastAsia"/>
          <w:highlight w:val="none"/>
        </w:rPr>
        <w:t>内完成安装调试投入使用。</w:t>
      </w:r>
    </w:p>
    <w:p>
      <w:pPr>
        <w:pStyle w:val="4"/>
        <w:spacing w:before="156" w:after="156" w:line="600" w:lineRule="exact"/>
        <w:ind w:left="578" w:hanging="578"/>
        <w:rPr>
          <w:color w:val="auto"/>
          <w:highlight w:val="none"/>
        </w:rPr>
      </w:pPr>
      <w:bookmarkStart w:id="42" w:name="_Toc3510"/>
      <w:bookmarkStart w:id="43" w:name="_Toc21005"/>
      <w:bookmarkStart w:id="44" w:name="_Toc523850200"/>
      <w:bookmarkStart w:id="45" w:name="_Toc19290"/>
      <w:bookmarkStart w:id="46" w:name="_Toc14793"/>
      <w:bookmarkStart w:id="47" w:name="_Toc3405"/>
      <w:bookmarkStart w:id="48" w:name="_Toc124406416"/>
      <w:r>
        <w:rPr>
          <w:rFonts w:hint="eastAsia"/>
          <w:color w:val="auto"/>
          <w:highlight w:val="none"/>
        </w:rPr>
        <w:t>系统适用标准</w:t>
      </w:r>
      <w:bookmarkEnd w:id="42"/>
      <w:bookmarkEnd w:id="43"/>
      <w:bookmarkEnd w:id="44"/>
      <w:bookmarkEnd w:id="45"/>
      <w:bookmarkEnd w:id="46"/>
      <w:bookmarkEnd w:id="47"/>
      <w:bookmarkEnd w:id="48"/>
    </w:p>
    <w:p>
      <w:pPr>
        <w:pStyle w:val="21"/>
        <w:spacing w:line="600" w:lineRule="exact"/>
        <w:rPr>
          <w:highlight w:val="none"/>
        </w:rPr>
      </w:pPr>
      <w:r>
        <w:rPr>
          <w:rFonts w:hint="eastAsia"/>
          <w:highlight w:val="none"/>
        </w:rPr>
        <w:t>除本招标文件另有说明外，投标方提供的所有产品均应按照国际标准、国家标准进行设计、制造、检验和安装。所用的标准必须是最新版本，如果这些标准的内容有矛盾时，应按照最高标准的条款执行或按双方协商同意的标准或条款执行。</w:t>
      </w:r>
    </w:p>
    <w:p>
      <w:pPr>
        <w:pStyle w:val="3"/>
        <w:tabs>
          <w:tab w:val="left" w:pos="0"/>
          <w:tab w:val="clear" w:pos="432"/>
        </w:tabs>
        <w:spacing w:before="156" w:after="156" w:line="600" w:lineRule="exact"/>
        <w:ind w:left="433" w:hanging="433" w:hangingChars="154"/>
        <w:rPr>
          <w:highlight w:val="none"/>
        </w:rPr>
      </w:pPr>
      <w:bookmarkStart w:id="49" w:name="_Toc427568145"/>
      <w:bookmarkStart w:id="50" w:name="_Toc28601"/>
      <w:bookmarkStart w:id="51" w:name="_Toc427380950"/>
      <w:bookmarkStart w:id="52" w:name="_Toc523850201"/>
      <w:bookmarkStart w:id="53" w:name="_Toc10711"/>
      <w:bookmarkStart w:id="54" w:name="_Toc10302"/>
      <w:bookmarkStart w:id="55" w:name="_Toc32487"/>
      <w:bookmarkStart w:id="56" w:name="_Toc14918"/>
      <w:bookmarkStart w:id="57" w:name="_Toc518408400"/>
      <w:bookmarkStart w:id="58" w:name="_Toc124406418"/>
      <w:r>
        <w:rPr>
          <w:rFonts w:hint="eastAsia"/>
          <w:highlight w:val="none"/>
        </w:rPr>
        <w:t>对投标方的要求及其工作范围</w:t>
      </w:r>
      <w:bookmarkEnd w:id="8"/>
      <w:bookmarkEnd w:id="9"/>
      <w:bookmarkEnd w:id="10"/>
      <w:bookmarkEnd w:id="11"/>
      <w:bookmarkEnd w:id="12"/>
      <w:bookmarkEnd w:id="49"/>
      <w:bookmarkEnd w:id="50"/>
      <w:bookmarkEnd w:id="51"/>
      <w:bookmarkEnd w:id="52"/>
      <w:bookmarkEnd w:id="53"/>
      <w:bookmarkEnd w:id="54"/>
      <w:bookmarkEnd w:id="55"/>
      <w:bookmarkEnd w:id="56"/>
      <w:bookmarkEnd w:id="57"/>
      <w:bookmarkEnd w:id="58"/>
    </w:p>
    <w:bookmarkEnd w:id="13"/>
    <w:bookmarkEnd w:id="14"/>
    <w:bookmarkEnd w:id="15"/>
    <w:bookmarkEnd w:id="16"/>
    <w:bookmarkEnd w:id="17"/>
    <w:p>
      <w:pPr>
        <w:pStyle w:val="4"/>
        <w:spacing w:before="156" w:after="156" w:line="600" w:lineRule="exact"/>
        <w:ind w:left="578" w:hanging="578"/>
        <w:rPr>
          <w:color w:val="auto"/>
          <w:highlight w:val="none"/>
        </w:rPr>
      </w:pPr>
      <w:bookmarkStart w:id="59" w:name="_Toc8635"/>
      <w:bookmarkStart w:id="60" w:name="_Toc18579"/>
      <w:bookmarkStart w:id="61" w:name="_Toc523850202"/>
      <w:bookmarkStart w:id="62" w:name="_Toc1133"/>
      <w:bookmarkStart w:id="63" w:name="_Toc14585"/>
      <w:bookmarkStart w:id="64" w:name="_Toc27633"/>
      <w:r>
        <w:rPr>
          <w:rFonts w:hint="eastAsia"/>
          <w:color w:val="auto"/>
          <w:highlight w:val="none"/>
        </w:rPr>
        <w:t>对投标方的技术要求</w:t>
      </w:r>
      <w:bookmarkEnd w:id="59"/>
      <w:bookmarkEnd w:id="60"/>
      <w:bookmarkEnd w:id="61"/>
      <w:bookmarkEnd w:id="62"/>
      <w:bookmarkEnd w:id="63"/>
      <w:bookmarkEnd w:id="64"/>
    </w:p>
    <w:p>
      <w:pPr>
        <w:pStyle w:val="22"/>
        <w:numPr>
          <w:ilvl w:val="0"/>
          <w:numId w:val="3"/>
        </w:numPr>
        <w:spacing w:line="600" w:lineRule="exact"/>
        <w:ind w:left="0" w:firstLine="426"/>
        <w:rPr>
          <w:highlight w:val="none"/>
        </w:rPr>
      </w:pPr>
      <w:r>
        <w:rPr>
          <w:rFonts w:hint="eastAsia"/>
          <w:highlight w:val="none"/>
        </w:rPr>
        <w:t>所提供的产品必须在国内运行的良好记录。</w:t>
      </w:r>
    </w:p>
    <w:p>
      <w:pPr>
        <w:pStyle w:val="22"/>
        <w:numPr>
          <w:ilvl w:val="0"/>
          <w:numId w:val="3"/>
        </w:numPr>
        <w:spacing w:line="600" w:lineRule="exact"/>
        <w:ind w:left="0" w:firstLine="426"/>
        <w:rPr>
          <w:highlight w:val="none"/>
        </w:rPr>
      </w:pPr>
      <w:r>
        <w:rPr>
          <w:rFonts w:hint="eastAsia"/>
          <w:highlight w:val="none"/>
        </w:rPr>
        <w:t>技术规范书中在引用某标准的地方</w:t>
      </w:r>
      <w:r>
        <w:rPr>
          <w:highlight w:val="none"/>
        </w:rPr>
        <w:t>，</w:t>
      </w:r>
      <w:r>
        <w:rPr>
          <w:rFonts w:hint="eastAsia"/>
          <w:highlight w:val="none"/>
        </w:rPr>
        <w:t>投标方应当使用合同生效的、最新的引用标准文本，不能用另外标准代替</w:t>
      </w:r>
      <w:r>
        <w:rPr>
          <w:highlight w:val="none"/>
        </w:rPr>
        <w:t>，</w:t>
      </w:r>
      <w:r>
        <w:rPr>
          <w:rFonts w:hint="eastAsia"/>
          <w:highlight w:val="none"/>
        </w:rPr>
        <w:t>除非从招标方那里获得许可的标准代替。如果引用某不合适的标准或者未引用某合适的标准</w:t>
      </w:r>
      <w:r>
        <w:rPr>
          <w:highlight w:val="none"/>
        </w:rPr>
        <w:t>，</w:t>
      </w:r>
      <w:r>
        <w:rPr>
          <w:rFonts w:hint="eastAsia"/>
          <w:highlight w:val="none"/>
        </w:rPr>
        <w:t>或者不能得到所需要的标准</w:t>
      </w:r>
      <w:r>
        <w:rPr>
          <w:highlight w:val="none"/>
        </w:rPr>
        <w:t>，</w:t>
      </w:r>
      <w:r>
        <w:rPr>
          <w:rFonts w:hint="eastAsia"/>
          <w:highlight w:val="none"/>
        </w:rPr>
        <w:t>投标方可选择某合适的标准</w:t>
      </w:r>
      <w:r>
        <w:rPr>
          <w:highlight w:val="none"/>
        </w:rPr>
        <w:t>，</w:t>
      </w:r>
      <w:r>
        <w:rPr>
          <w:rFonts w:hint="eastAsia"/>
          <w:highlight w:val="none"/>
        </w:rPr>
        <w:t>并且在制造商着手进行工作前需得到招标方的许可。</w:t>
      </w:r>
    </w:p>
    <w:p>
      <w:pPr>
        <w:pStyle w:val="22"/>
        <w:numPr>
          <w:ilvl w:val="0"/>
          <w:numId w:val="3"/>
        </w:numPr>
        <w:spacing w:line="600" w:lineRule="exact"/>
        <w:ind w:left="0" w:firstLine="426"/>
        <w:rPr>
          <w:highlight w:val="none"/>
        </w:rPr>
      </w:pPr>
      <w:r>
        <w:rPr>
          <w:rFonts w:hint="eastAsia"/>
          <w:highlight w:val="none"/>
        </w:rPr>
        <w:t>招标方与投标方在解释某标准有不同意见时</w:t>
      </w:r>
      <w:r>
        <w:rPr>
          <w:highlight w:val="none"/>
        </w:rPr>
        <w:t>，</w:t>
      </w:r>
      <w:r>
        <w:rPr>
          <w:rFonts w:hint="eastAsia"/>
          <w:highlight w:val="none"/>
        </w:rPr>
        <w:t>招标方的解释是最终的解释。</w:t>
      </w:r>
    </w:p>
    <w:p>
      <w:pPr>
        <w:pStyle w:val="22"/>
        <w:numPr>
          <w:ilvl w:val="0"/>
          <w:numId w:val="3"/>
        </w:numPr>
        <w:spacing w:line="600" w:lineRule="exact"/>
        <w:ind w:left="0" w:firstLine="426"/>
        <w:rPr>
          <w:highlight w:val="none"/>
        </w:rPr>
      </w:pPr>
      <w:r>
        <w:rPr>
          <w:rFonts w:hint="eastAsia"/>
          <w:highlight w:val="none"/>
        </w:rPr>
        <w:t>本技术规范书可以作为投标方编制投标文件的依据</w:t>
      </w:r>
      <w:r>
        <w:rPr>
          <w:highlight w:val="none"/>
        </w:rPr>
        <w:t>，</w:t>
      </w:r>
      <w:r>
        <w:rPr>
          <w:rFonts w:hint="eastAsia"/>
          <w:highlight w:val="none"/>
        </w:rPr>
        <w:t>对于本技术规范书的某些部分</w:t>
      </w:r>
      <w:r>
        <w:rPr>
          <w:highlight w:val="none"/>
        </w:rPr>
        <w:t>，</w:t>
      </w:r>
      <w:r>
        <w:rPr>
          <w:rFonts w:hint="eastAsia"/>
          <w:highlight w:val="none"/>
        </w:rPr>
        <w:t>投标方如不能满足要求</w:t>
      </w:r>
      <w:r>
        <w:rPr>
          <w:highlight w:val="none"/>
        </w:rPr>
        <w:t>，</w:t>
      </w:r>
      <w:r>
        <w:rPr>
          <w:rFonts w:hint="eastAsia"/>
          <w:highlight w:val="none"/>
        </w:rPr>
        <w:t>应在投标文件中提出说明</w:t>
      </w:r>
      <w:r>
        <w:rPr>
          <w:highlight w:val="none"/>
        </w:rPr>
        <w:t>，</w:t>
      </w:r>
      <w:r>
        <w:rPr>
          <w:rFonts w:hint="eastAsia"/>
          <w:highlight w:val="none"/>
        </w:rPr>
        <w:t>否则，招标方即认为投标方提供的产品可以满足本技术规范书的要求。</w:t>
      </w:r>
    </w:p>
    <w:p>
      <w:pPr>
        <w:pStyle w:val="22"/>
        <w:numPr>
          <w:ilvl w:val="0"/>
          <w:numId w:val="3"/>
        </w:numPr>
        <w:spacing w:line="600" w:lineRule="exact"/>
        <w:ind w:left="0" w:firstLine="426"/>
        <w:rPr>
          <w:highlight w:val="none"/>
        </w:rPr>
      </w:pPr>
      <w:r>
        <w:rPr>
          <w:rFonts w:hint="eastAsia"/>
          <w:highlight w:val="none"/>
        </w:rPr>
        <w:t>投标方应确保其所供产品组成系统的完整性</w:t>
      </w:r>
      <w:r>
        <w:rPr>
          <w:highlight w:val="none"/>
        </w:rPr>
        <w:t>，</w:t>
      </w:r>
      <w:r>
        <w:rPr>
          <w:rFonts w:hint="eastAsia"/>
          <w:highlight w:val="none"/>
        </w:rPr>
        <w:t>合同文件遗漏的一切事项</w:t>
      </w:r>
      <w:r>
        <w:rPr>
          <w:highlight w:val="none"/>
        </w:rPr>
        <w:t>，</w:t>
      </w:r>
      <w:r>
        <w:rPr>
          <w:rFonts w:hint="eastAsia"/>
          <w:highlight w:val="none"/>
        </w:rPr>
        <w:t>只要这些事项可以确定为是保证投标方所供系统安全、稳定、可靠的有效地投产所必需的，都应该被认为包括在合同价格之内。</w:t>
      </w:r>
    </w:p>
    <w:p>
      <w:pPr>
        <w:pStyle w:val="22"/>
        <w:numPr>
          <w:ilvl w:val="0"/>
          <w:numId w:val="3"/>
        </w:numPr>
        <w:spacing w:line="600" w:lineRule="exact"/>
        <w:ind w:left="0" w:firstLine="426"/>
        <w:rPr>
          <w:highlight w:val="none"/>
        </w:rPr>
      </w:pPr>
      <w:r>
        <w:rPr>
          <w:rFonts w:hint="eastAsia"/>
          <w:highlight w:val="none"/>
        </w:rPr>
        <w:t>投标方可以对本标书提出修改意见供招标方参考</w:t>
      </w:r>
      <w:r>
        <w:rPr>
          <w:highlight w:val="none"/>
        </w:rPr>
        <w:t>，</w:t>
      </w:r>
      <w:r>
        <w:rPr>
          <w:rFonts w:hint="eastAsia"/>
          <w:highlight w:val="none"/>
        </w:rPr>
        <w:t>因需要招标方有权对本技术规范书进行修改和补充。</w:t>
      </w:r>
    </w:p>
    <w:p>
      <w:pPr>
        <w:pStyle w:val="22"/>
        <w:numPr>
          <w:ilvl w:val="0"/>
          <w:numId w:val="3"/>
        </w:numPr>
        <w:spacing w:line="600" w:lineRule="exact"/>
        <w:ind w:left="0" w:firstLine="426"/>
        <w:rPr>
          <w:highlight w:val="none"/>
        </w:rPr>
      </w:pPr>
      <w:r>
        <w:rPr>
          <w:rFonts w:hint="eastAsia"/>
          <w:highlight w:val="none"/>
        </w:rPr>
        <w:t>投标方必须推荐先进、稳定、可靠的产品，并保证在三年内不停产。</w:t>
      </w:r>
    </w:p>
    <w:p>
      <w:pPr>
        <w:pStyle w:val="4"/>
        <w:spacing w:before="156" w:after="156" w:line="600" w:lineRule="exact"/>
        <w:ind w:left="578" w:hanging="578"/>
        <w:rPr>
          <w:color w:val="auto"/>
          <w:highlight w:val="none"/>
        </w:rPr>
      </w:pPr>
      <w:bookmarkStart w:id="65" w:name="_Toc523850203"/>
      <w:bookmarkStart w:id="66" w:name="_Toc32658"/>
      <w:bookmarkStart w:id="67" w:name="_Toc7965"/>
      <w:bookmarkStart w:id="68" w:name="_Toc17906"/>
      <w:bookmarkStart w:id="69" w:name="_Toc18500"/>
      <w:bookmarkStart w:id="70" w:name="_Toc7611"/>
      <w:r>
        <w:rPr>
          <w:rFonts w:hint="eastAsia"/>
          <w:color w:val="auto"/>
          <w:highlight w:val="none"/>
        </w:rPr>
        <w:t>投标方的工作范围</w:t>
      </w:r>
      <w:bookmarkEnd w:id="65"/>
      <w:bookmarkEnd w:id="66"/>
      <w:bookmarkEnd w:id="67"/>
      <w:bookmarkEnd w:id="68"/>
      <w:bookmarkEnd w:id="69"/>
      <w:bookmarkEnd w:id="70"/>
    </w:p>
    <w:p>
      <w:pPr>
        <w:pStyle w:val="22"/>
        <w:numPr>
          <w:ilvl w:val="0"/>
          <w:numId w:val="4"/>
        </w:numPr>
        <w:spacing w:line="600" w:lineRule="exact"/>
        <w:ind w:left="0" w:firstLine="425"/>
        <w:rPr>
          <w:highlight w:val="none"/>
        </w:rPr>
      </w:pPr>
      <w:r>
        <w:rPr>
          <w:rFonts w:hint="eastAsia"/>
          <w:highlight w:val="none"/>
        </w:rPr>
        <w:t>投标方必须积极配合招标方提出的配置调整要求（无次数限制），保证项目顺利实施。</w:t>
      </w:r>
    </w:p>
    <w:p>
      <w:pPr>
        <w:pStyle w:val="22"/>
        <w:numPr>
          <w:ilvl w:val="0"/>
          <w:numId w:val="4"/>
        </w:numPr>
        <w:spacing w:line="600" w:lineRule="exact"/>
        <w:ind w:left="0" w:firstLine="425"/>
        <w:rPr>
          <w:highlight w:val="none"/>
        </w:rPr>
      </w:pPr>
      <w:r>
        <w:rPr>
          <w:rFonts w:hint="eastAsia"/>
          <w:highlight w:val="none"/>
        </w:rPr>
        <w:t>投标方负责所供产品的运货、提货、交货，运送到招标方指定地点，并保证产品质量。</w:t>
      </w:r>
    </w:p>
    <w:p>
      <w:pPr>
        <w:pStyle w:val="22"/>
        <w:numPr>
          <w:ilvl w:val="0"/>
          <w:numId w:val="4"/>
        </w:numPr>
        <w:spacing w:line="600" w:lineRule="exact"/>
        <w:ind w:left="0" w:firstLine="425"/>
        <w:rPr>
          <w:highlight w:val="none"/>
        </w:rPr>
      </w:pPr>
      <w:r>
        <w:rPr>
          <w:rFonts w:hint="eastAsia"/>
          <w:highlight w:val="none"/>
        </w:rPr>
        <w:t>交货地点要求：按招标方指定的地点交货。</w:t>
      </w:r>
    </w:p>
    <w:p>
      <w:pPr>
        <w:pStyle w:val="22"/>
        <w:numPr>
          <w:ilvl w:val="0"/>
          <w:numId w:val="4"/>
        </w:numPr>
        <w:spacing w:line="600" w:lineRule="exact"/>
        <w:ind w:left="0" w:firstLine="425"/>
        <w:rPr>
          <w:highlight w:val="none"/>
        </w:rPr>
      </w:pPr>
      <w:r>
        <w:rPr>
          <w:rFonts w:hint="eastAsia"/>
          <w:highlight w:val="none"/>
        </w:rPr>
        <w:t>如果因为投标方生产能力不足、产品或其他存在技术问题而延误供货期，投标方应负责由此产生的一切后果，并进行经济赔偿。</w:t>
      </w:r>
    </w:p>
    <w:p>
      <w:pPr>
        <w:pStyle w:val="22"/>
        <w:numPr>
          <w:ilvl w:val="0"/>
          <w:numId w:val="4"/>
        </w:numPr>
        <w:spacing w:line="600" w:lineRule="exact"/>
        <w:ind w:left="0" w:firstLine="425"/>
        <w:rPr>
          <w:highlight w:val="none"/>
        </w:rPr>
      </w:pPr>
      <w:r>
        <w:rPr>
          <w:rFonts w:hint="eastAsia"/>
          <w:highlight w:val="none"/>
        </w:rPr>
        <w:t>投标方所提供的产品均满足投标文件中应答的技术指标。</w:t>
      </w:r>
    </w:p>
    <w:p>
      <w:pPr>
        <w:pStyle w:val="22"/>
        <w:numPr>
          <w:ilvl w:val="0"/>
          <w:numId w:val="4"/>
        </w:numPr>
        <w:spacing w:line="600" w:lineRule="exact"/>
        <w:ind w:left="0" w:firstLine="425"/>
        <w:rPr>
          <w:highlight w:val="none"/>
        </w:rPr>
      </w:pPr>
      <w:r>
        <w:rPr>
          <w:rFonts w:hint="eastAsia"/>
          <w:highlight w:val="none"/>
        </w:rPr>
        <w:t>在招标方要求的前提下，投标方安排有关工程技术联络会等技术服务。</w:t>
      </w:r>
    </w:p>
    <w:p>
      <w:pPr>
        <w:pStyle w:val="22"/>
        <w:numPr>
          <w:ilvl w:val="0"/>
          <w:numId w:val="4"/>
        </w:numPr>
        <w:spacing w:line="600" w:lineRule="exact"/>
        <w:ind w:left="0" w:firstLine="425"/>
        <w:rPr>
          <w:highlight w:val="none"/>
        </w:rPr>
      </w:pPr>
      <w:r>
        <w:rPr>
          <w:rFonts w:hint="eastAsia"/>
          <w:highlight w:val="none"/>
        </w:rPr>
        <w:t>投标方提供与其他厂商的施工配合。</w:t>
      </w:r>
    </w:p>
    <w:p>
      <w:pPr>
        <w:pStyle w:val="22"/>
        <w:numPr>
          <w:ilvl w:val="0"/>
          <w:numId w:val="4"/>
        </w:numPr>
        <w:spacing w:line="600" w:lineRule="exact"/>
        <w:ind w:left="0" w:firstLine="425"/>
        <w:rPr>
          <w:highlight w:val="none"/>
        </w:rPr>
      </w:pPr>
      <w:r>
        <w:rPr>
          <w:rFonts w:hint="eastAsia"/>
          <w:highlight w:val="none"/>
        </w:rPr>
        <w:t>投标方应为招标方培训专业维护运行人员。</w:t>
      </w:r>
    </w:p>
    <w:p>
      <w:pPr>
        <w:pStyle w:val="4"/>
        <w:tabs>
          <w:tab w:val="left" w:pos="0"/>
          <w:tab w:val="clear" w:pos="576"/>
        </w:tabs>
        <w:spacing w:beforeLines="0" w:afterLines="0" w:line="600" w:lineRule="exact"/>
        <w:ind w:left="0"/>
        <w:rPr>
          <w:color w:val="auto"/>
          <w:highlight w:val="none"/>
        </w:rPr>
      </w:pPr>
      <w:bookmarkStart w:id="71" w:name="_Toc411267588"/>
      <w:bookmarkStart w:id="72" w:name="_Toc26972"/>
      <w:bookmarkStart w:id="73" w:name="_Toc407417359"/>
      <w:bookmarkStart w:id="74" w:name="_Toc407415872"/>
      <w:bookmarkStart w:id="75" w:name="_Toc523850205"/>
      <w:bookmarkStart w:id="76" w:name="_Toc411269793"/>
      <w:bookmarkStart w:id="77" w:name="_Toc240049345"/>
      <w:bookmarkStart w:id="78" w:name="_Toc427380953"/>
      <w:bookmarkStart w:id="79" w:name="_Toc427568148"/>
      <w:bookmarkStart w:id="80" w:name="_Toc407982394"/>
      <w:bookmarkStart w:id="81" w:name="_Toc22344"/>
      <w:bookmarkStart w:id="82" w:name="_Toc16188"/>
      <w:bookmarkStart w:id="83" w:name="_Toc124406421"/>
      <w:bookmarkStart w:id="84" w:name="_Toc6850"/>
      <w:bookmarkStart w:id="85" w:name="_Toc23076"/>
      <w:bookmarkStart w:id="86" w:name="_Toc518408403"/>
      <w:bookmarkStart w:id="87" w:name="_Toc407417360"/>
      <w:bookmarkStart w:id="88" w:name="_Toc407415873"/>
      <w:bookmarkStart w:id="89" w:name="_Toc407982395"/>
      <w:r>
        <w:rPr>
          <w:rFonts w:hint="eastAsia"/>
          <w:color w:val="auto"/>
          <w:highlight w:val="none"/>
        </w:rPr>
        <w:t>产品报价范围</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pPr>
        <w:pStyle w:val="21"/>
        <w:keepNext w:val="0"/>
        <w:keepLines w:val="0"/>
        <w:pageBreakBefore w:val="0"/>
        <w:widowControl w:val="0"/>
        <w:kinsoku/>
        <w:wordWrap/>
        <w:overflowPunct/>
        <w:topLinePunct w:val="0"/>
        <w:autoSpaceDE/>
        <w:autoSpaceDN/>
        <w:bidi w:val="0"/>
        <w:adjustRightInd w:val="0"/>
        <w:snapToGrid w:val="0"/>
        <w:spacing w:line="600" w:lineRule="exact"/>
        <w:textAlignment w:val="auto"/>
        <w:rPr>
          <w:highlight w:val="none"/>
        </w:rPr>
      </w:pPr>
      <w:r>
        <w:rPr>
          <w:rFonts w:hint="eastAsia"/>
          <w:highlight w:val="none"/>
        </w:rPr>
        <w:t>投标方报价中必须包括：</w:t>
      </w:r>
    </w:p>
    <w:p>
      <w:pPr>
        <w:pStyle w:val="21"/>
        <w:keepNext w:val="0"/>
        <w:keepLines w:val="0"/>
        <w:pageBreakBefore w:val="0"/>
        <w:widowControl w:val="0"/>
        <w:numPr>
          <w:ilvl w:val="0"/>
          <w:numId w:val="5"/>
        </w:numPr>
        <w:kinsoku/>
        <w:wordWrap/>
        <w:overflowPunct/>
        <w:topLinePunct w:val="0"/>
        <w:autoSpaceDE/>
        <w:autoSpaceDN/>
        <w:bidi w:val="0"/>
        <w:adjustRightInd w:val="0"/>
        <w:snapToGrid w:val="0"/>
        <w:spacing w:line="600" w:lineRule="exact"/>
        <w:ind w:left="0" w:firstLine="480" w:firstLineChars="0"/>
        <w:textAlignment w:val="auto"/>
        <w:rPr>
          <w:highlight w:val="none"/>
        </w:rPr>
      </w:pPr>
      <w:r>
        <w:rPr>
          <w:rFonts w:hint="eastAsia"/>
          <w:highlight w:val="none"/>
        </w:rPr>
        <w:t>所供设备运达指定地点的运输费、卸车费包含在设备价格中；</w:t>
      </w:r>
    </w:p>
    <w:p>
      <w:pPr>
        <w:pStyle w:val="21"/>
        <w:keepNext w:val="0"/>
        <w:keepLines w:val="0"/>
        <w:pageBreakBefore w:val="0"/>
        <w:widowControl w:val="0"/>
        <w:numPr>
          <w:ilvl w:val="0"/>
          <w:numId w:val="5"/>
        </w:numPr>
        <w:kinsoku/>
        <w:wordWrap/>
        <w:overflowPunct/>
        <w:topLinePunct w:val="0"/>
        <w:autoSpaceDE/>
        <w:autoSpaceDN/>
        <w:bidi w:val="0"/>
        <w:adjustRightInd w:val="0"/>
        <w:snapToGrid w:val="0"/>
        <w:spacing w:line="600" w:lineRule="exact"/>
        <w:ind w:left="0" w:firstLine="480" w:firstLineChars="0"/>
        <w:textAlignment w:val="auto"/>
        <w:rPr>
          <w:highlight w:val="none"/>
        </w:rPr>
      </w:pPr>
      <w:r>
        <w:rPr>
          <w:rFonts w:hint="eastAsia"/>
          <w:highlight w:val="none"/>
        </w:rPr>
        <w:t>设备的安装材料费用包含在设备价格中；</w:t>
      </w:r>
    </w:p>
    <w:p>
      <w:pPr>
        <w:pStyle w:val="21"/>
        <w:keepNext w:val="0"/>
        <w:keepLines w:val="0"/>
        <w:pageBreakBefore w:val="0"/>
        <w:widowControl w:val="0"/>
        <w:numPr>
          <w:ilvl w:val="0"/>
          <w:numId w:val="5"/>
        </w:numPr>
        <w:kinsoku/>
        <w:wordWrap/>
        <w:overflowPunct/>
        <w:topLinePunct w:val="0"/>
        <w:autoSpaceDE/>
        <w:autoSpaceDN/>
        <w:bidi w:val="0"/>
        <w:adjustRightInd w:val="0"/>
        <w:snapToGrid w:val="0"/>
        <w:spacing w:line="600" w:lineRule="exact"/>
        <w:ind w:left="0" w:firstLine="480" w:firstLineChars="0"/>
        <w:textAlignment w:val="auto"/>
        <w:rPr>
          <w:highlight w:val="none"/>
        </w:rPr>
      </w:pPr>
      <w:r>
        <w:rPr>
          <w:rFonts w:hint="eastAsia"/>
          <w:highlight w:val="none"/>
        </w:rPr>
        <w:t>设备保修费用包含在设备价格中；</w:t>
      </w:r>
    </w:p>
    <w:bookmarkEnd w:id="87"/>
    <w:bookmarkEnd w:id="88"/>
    <w:bookmarkEnd w:id="89"/>
    <w:p>
      <w:pPr>
        <w:pStyle w:val="4"/>
        <w:tabs>
          <w:tab w:val="left" w:pos="0"/>
          <w:tab w:val="left" w:pos="756"/>
          <w:tab w:val="clear" w:pos="576"/>
        </w:tabs>
        <w:spacing w:beforeLines="0" w:afterLines="0" w:line="600" w:lineRule="exact"/>
        <w:ind w:left="0"/>
        <w:rPr>
          <w:color w:val="auto"/>
          <w:highlight w:val="none"/>
        </w:rPr>
      </w:pPr>
      <w:bookmarkStart w:id="90" w:name="_Toc20478"/>
      <w:bookmarkStart w:id="91" w:name="_Toc15218"/>
      <w:bookmarkStart w:id="92" w:name="_Toc349634215"/>
      <w:bookmarkStart w:id="93" w:name="_Toc523850206"/>
      <w:bookmarkStart w:id="94" w:name="_Toc124406423"/>
      <w:bookmarkStart w:id="95" w:name="_Toc243912812"/>
      <w:bookmarkStart w:id="96" w:name="_Toc6985"/>
      <w:bookmarkStart w:id="97" w:name="_Toc25655"/>
      <w:bookmarkStart w:id="98" w:name="_Toc11454"/>
      <w:bookmarkStart w:id="99" w:name="_Toc261789486"/>
      <w:bookmarkStart w:id="100" w:name="_Toc261789821"/>
      <w:bookmarkStart w:id="101" w:name="_Toc124406433"/>
      <w:r>
        <w:rPr>
          <w:rFonts w:hint="eastAsia"/>
          <w:color w:val="auto"/>
          <w:highlight w:val="none"/>
        </w:rPr>
        <w:t>技术服务</w:t>
      </w:r>
      <w:bookmarkEnd w:id="90"/>
      <w:bookmarkEnd w:id="91"/>
      <w:bookmarkEnd w:id="92"/>
      <w:bookmarkEnd w:id="93"/>
      <w:bookmarkEnd w:id="94"/>
      <w:bookmarkEnd w:id="95"/>
      <w:bookmarkEnd w:id="96"/>
      <w:bookmarkEnd w:id="97"/>
      <w:bookmarkEnd w:id="98"/>
      <w:bookmarkEnd w:id="99"/>
      <w:bookmarkEnd w:id="100"/>
    </w:p>
    <w:p>
      <w:pPr>
        <w:pStyle w:val="5"/>
        <w:numPr>
          <w:ilvl w:val="2"/>
          <w:numId w:val="0"/>
        </w:numPr>
        <w:spacing w:line="600" w:lineRule="exact"/>
        <w:ind w:left="720" w:hanging="720"/>
        <w:rPr>
          <w:highlight w:val="none"/>
        </w:rPr>
      </w:pPr>
      <w:bookmarkStart w:id="102" w:name="_Toc124406424"/>
      <w:bookmarkStart w:id="103" w:name="_Toc32326"/>
      <w:bookmarkStart w:id="104" w:name="_Toc523850207"/>
      <w:bookmarkStart w:id="105" w:name="_Toc32116"/>
      <w:bookmarkStart w:id="106" w:name="_Toc427380959"/>
      <w:bookmarkStart w:id="107" w:name="_Toc22134"/>
      <w:bookmarkStart w:id="108" w:name="_Toc261789822"/>
      <w:bookmarkStart w:id="109" w:name="_Toc261789487"/>
      <w:bookmarkStart w:id="110" w:name="_Toc349634216"/>
      <w:bookmarkStart w:id="111" w:name="_Toc243912813"/>
      <w:bookmarkStart w:id="112" w:name="_Toc518408406"/>
      <w:bookmarkStart w:id="113" w:name="_Toc411267590"/>
      <w:bookmarkStart w:id="114" w:name="_Toc427568154"/>
      <w:bookmarkStart w:id="115" w:name="_Toc411269795"/>
      <w:bookmarkStart w:id="116" w:name="_Toc31636"/>
      <w:bookmarkStart w:id="117" w:name="_Toc1783"/>
      <w:r>
        <w:rPr>
          <w:rFonts w:hint="eastAsia"/>
          <w:highlight w:val="none"/>
          <w:lang w:val="en-US"/>
        </w:rPr>
        <w:t xml:space="preserve">2.4.1 </w:t>
      </w:r>
      <w:r>
        <w:rPr>
          <w:rFonts w:hint="eastAsia"/>
          <w:highlight w:val="none"/>
        </w:rPr>
        <w:t>技术服务内容</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pPr>
        <w:pStyle w:val="21"/>
        <w:spacing w:line="600" w:lineRule="exact"/>
        <w:rPr>
          <w:highlight w:val="none"/>
        </w:rPr>
      </w:pPr>
      <w:r>
        <w:rPr>
          <w:rFonts w:hint="eastAsia"/>
          <w:highlight w:val="none"/>
        </w:rPr>
        <w:t>要求投标方至少为本工程提供以下技术服务：</w:t>
      </w:r>
    </w:p>
    <w:p>
      <w:pPr>
        <w:pStyle w:val="22"/>
        <w:numPr>
          <w:ilvl w:val="0"/>
          <w:numId w:val="6"/>
        </w:numPr>
        <w:spacing w:line="600" w:lineRule="exact"/>
        <w:ind w:left="0" w:firstLine="426"/>
        <w:rPr>
          <w:highlight w:val="none"/>
          <w:u w:val="single"/>
        </w:rPr>
      </w:pPr>
      <w:bookmarkStart w:id="118" w:name="_Toc261789488"/>
      <w:bookmarkStart w:id="119" w:name="_Toc523850208"/>
      <w:bookmarkStart w:id="120" w:name="_Toc518408407"/>
      <w:bookmarkStart w:id="121" w:name="_Toc243912814"/>
      <w:bookmarkStart w:id="122" w:name="_Toc124406425"/>
      <w:bookmarkStart w:id="123" w:name="_Toc411267591"/>
      <w:bookmarkStart w:id="124" w:name="_Toc261789823"/>
      <w:bookmarkStart w:id="125" w:name="_Toc349634217"/>
      <w:bookmarkStart w:id="126" w:name="_Toc6331"/>
      <w:bookmarkStart w:id="127" w:name="_Toc411269796"/>
      <w:bookmarkStart w:id="128" w:name="_Toc17471"/>
      <w:bookmarkStart w:id="129" w:name="_Toc427568155"/>
      <w:bookmarkStart w:id="130" w:name="_Toc427380960"/>
      <w:r>
        <w:rPr>
          <w:rFonts w:hint="eastAsia"/>
          <w:highlight w:val="none"/>
          <w:u w:val="single"/>
        </w:rPr>
        <w:t>产品供货及安装调试。</w:t>
      </w:r>
    </w:p>
    <w:p>
      <w:pPr>
        <w:pStyle w:val="22"/>
        <w:numPr>
          <w:ilvl w:val="0"/>
          <w:numId w:val="6"/>
        </w:numPr>
        <w:spacing w:line="600" w:lineRule="exact"/>
        <w:ind w:left="0" w:firstLine="426"/>
        <w:rPr>
          <w:highlight w:val="none"/>
          <w:u w:val="single"/>
        </w:rPr>
      </w:pPr>
      <w:r>
        <w:rPr>
          <w:rFonts w:hint="eastAsia"/>
          <w:highlight w:val="none"/>
          <w:u w:val="single"/>
        </w:rPr>
        <w:t>保修和维护。</w:t>
      </w:r>
    </w:p>
    <w:p>
      <w:pPr>
        <w:pStyle w:val="22"/>
        <w:numPr>
          <w:ilvl w:val="0"/>
          <w:numId w:val="6"/>
        </w:numPr>
        <w:spacing w:line="600" w:lineRule="exact"/>
        <w:ind w:left="0" w:firstLine="426"/>
        <w:rPr>
          <w:highlight w:val="none"/>
          <w:u w:val="single"/>
        </w:rPr>
      </w:pPr>
      <w:r>
        <w:rPr>
          <w:rFonts w:ascii="宋体" w:hAnsi="宋体"/>
          <w:kern w:val="0"/>
          <w:highlight w:val="none"/>
          <w:u w:val="single"/>
        </w:rPr>
        <w:t>包括人工费、</w:t>
      </w:r>
      <w:r>
        <w:rPr>
          <w:rFonts w:hint="eastAsia" w:ascii="宋体" w:hAnsi="宋体"/>
          <w:kern w:val="0"/>
          <w:highlight w:val="none"/>
          <w:u w:val="single"/>
        </w:rPr>
        <w:t>差旅费、验收过程中出现的技术联络会产生</w:t>
      </w:r>
      <w:r>
        <w:rPr>
          <w:rFonts w:ascii="宋体" w:hAnsi="宋体"/>
          <w:kern w:val="0"/>
          <w:highlight w:val="none"/>
          <w:u w:val="single"/>
        </w:rPr>
        <w:t>的费用均由</w:t>
      </w:r>
      <w:r>
        <w:rPr>
          <w:rFonts w:hint="eastAsia" w:ascii="宋体" w:hAnsi="宋体"/>
          <w:kern w:val="0"/>
          <w:highlight w:val="none"/>
          <w:u w:val="single"/>
        </w:rPr>
        <w:t>投标方</w:t>
      </w:r>
      <w:r>
        <w:rPr>
          <w:rFonts w:ascii="宋体" w:hAnsi="宋体"/>
          <w:kern w:val="0"/>
          <w:highlight w:val="none"/>
          <w:u w:val="single"/>
        </w:rPr>
        <w:t>承担</w:t>
      </w:r>
      <w:r>
        <w:rPr>
          <w:rFonts w:hint="eastAsia" w:ascii="宋体" w:hAnsi="宋体"/>
          <w:kern w:val="0"/>
          <w:highlight w:val="none"/>
          <w:u w:val="single"/>
        </w:rPr>
        <w:t>。</w:t>
      </w:r>
    </w:p>
    <w:p>
      <w:pPr>
        <w:pStyle w:val="5"/>
        <w:numPr>
          <w:ilvl w:val="2"/>
          <w:numId w:val="0"/>
        </w:numPr>
        <w:spacing w:line="600" w:lineRule="exact"/>
        <w:ind w:left="720" w:hanging="720"/>
        <w:rPr>
          <w:highlight w:val="none"/>
        </w:rPr>
      </w:pPr>
      <w:bookmarkStart w:id="131" w:name="_Toc5173"/>
      <w:bookmarkStart w:id="132" w:name="_Toc6912"/>
      <w:bookmarkStart w:id="133" w:name="_Toc18559"/>
      <w:r>
        <w:rPr>
          <w:rFonts w:hint="eastAsia"/>
          <w:highlight w:val="none"/>
          <w:lang w:val="en-US"/>
        </w:rPr>
        <w:t xml:space="preserve">2.4.2 </w:t>
      </w:r>
      <w:r>
        <w:rPr>
          <w:rFonts w:hint="eastAsia"/>
          <w:highlight w:val="none"/>
        </w:rPr>
        <w:t>技术服务要求</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pPr>
        <w:pStyle w:val="6"/>
        <w:numPr>
          <w:ilvl w:val="3"/>
          <w:numId w:val="0"/>
        </w:numPr>
        <w:tabs>
          <w:tab w:val="clear" w:pos="864"/>
        </w:tabs>
        <w:spacing w:line="600" w:lineRule="exact"/>
        <w:ind w:firstLine="482" w:firstLineChars="200"/>
        <w:rPr>
          <w:highlight w:val="none"/>
        </w:rPr>
      </w:pPr>
      <w:bookmarkStart w:id="134" w:name="_Toc518408408"/>
      <w:bookmarkStart w:id="135" w:name="_Ref191806386"/>
      <w:bookmarkStart w:id="136" w:name="_Ref191806485"/>
      <w:bookmarkStart w:id="137" w:name="_Ref191806475"/>
      <w:bookmarkStart w:id="138" w:name="_Ref191806434"/>
      <w:bookmarkStart w:id="139" w:name="_Ref191806455"/>
      <w:bookmarkStart w:id="140" w:name="_Ref191806505"/>
      <w:bookmarkStart w:id="141" w:name="_Ref191806438"/>
      <w:bookmarkStart w:id="142" w:name="_Ref191806390"/>
      <w:bookmarkStart w:id="143" w:name="_Toc124406426"/>
      <w:r>
        <w:rPr>
          <w:rFonts w:hint="eastAsia"/>
          <w:highlight w:val="none"/>
          <w:lang w:val="en-US"/>
        </w:rPr>
        <w:t>2.4.2.1</w:t>
      </w:r>
      <w:r>
        <w:rPr>
          <w:rFonts w:hint="eastAsia"/>
          <w:highlight w:val="none"/>
        </w:rPr>
        <w:t>产品供货、安装</w:t>
      </w:r>
      <w:bookmarkEnd w:id="134"/>
      <w:r>
        <w:rPr>
          <w:rFonts w:hint="eastAsia"/>
          <w:highlight w:val="none"/>
        </w:rPr>
        <w:t>调试及施工配合</w:t>
      </w:r>
      <w:bookmarkEnd w:id="135"/>
      <w:bookmarkEnd w:id="136"/>
      <w:bookmarkEnd w:id="137"/>
      <w:bookmarkEnd w:id="138"/>
      <w:bookmarkEnd w:id="139"/>
      <w:bookmarkEnd w:id="140"/>
      <w:bookmarkEnd w:id="141"/>
      <w:bookmarkEnd w:id="142"/>
      <w:bookmarkEnd w:id="143"/>
      <w:r>
        <w:rPr>
          <w:rFonts w:hint="eastAsia"/>
          <w:highlight w:val="none"/>
        </w:rPr>
        <w:t>要求</w:t>
      </w:r>
    </w:p>
    <w:p>
      <w:pPr>
        <w:pStyle w:val="22"/>
        <w:numPr>
          <w:ilvl w:val="0"/>
          <w:numId w:val="7"/>
        </w:numPr>
        <w:spacing w:line="600" w:lineRule="exact"/>
        <w:ind w:left="0" w:firstLine="426"/>
        <w:rPr>
          <w:highlight w:val="none"/>
        </w:rPr>
      </w:pPr>
      <w:r>
        <w:rPr>
          <w:rFonts w:hint="eastAsia"/>
          <w:highlight w:val="none"/>
        </w:rPr>
        <w:t>投标方提供产品均为合同限定的公司和国家所制造。</w:t>
      </w:r>
    </w:p>
    <w:p>
      <w:pPr>
        <w:pStyle w:val="22"/>
        <w:numPr>
          <w:ilvl w:val="0"/>
          <w:numId w:val="7"/>
        </w:numPr>
        <w:spacing w:line="600" w:lineRule="exact"/>
        <w:ind w:left="0" w:firstLine="426"/>
        <w:rPr>
          <w:highlight w:val="none"/>
        </w:rPr>
      </w:pPr>
      <w:r>
        <w:rPr>
          <w:rFonts w:hint="eastAsia"/>
          <w:highlight w:val="none"/>
        </w:rPr>
        <w:t>投标方应提出产品的部署、测试相对时间表。</w:t>
      </w:r>
    </w:p>
    <w:p>
      <w:pPr>
        <w:pStyle w:val="22"/>
        <w:numPr>
          <w:ilvl w:val="0"/>
          <w:numId w:val="7"/>
        </w:numPr>
        <w:spacing w:line="600" w:lineRule="exact"/>
        <w:ind w:left="0" w:firstLine="426"/>
        <w:rPr>
          <w:highlight w:val="none"/>
        </w:rPr>
      </w:pPr>
      <w:r>
        <w:rPr>
          <w:rFonts w:hint="eastAsia"/>
          <w:highlight w:val="none"/>
        </w:rPr>
        <w:t>安装调试在投标方人员指导下按投标方提供经招标方认可的设计进行，安装由投标方负责，招标方人员参加配合，投标方应编排计划进度表，定期向招标方用书面形式报告进展情况及遇到的问题及解决的措施。</w:t>
      </w:r>
    </w:p>
    <w:p>
      <w:pPr>
        <w:pStyle w:val="22"/>
        <w:numPr>
          <w:ilvl w:val="0"/>
          <w:numId w:val="7"/>
        </w:numPr>
        <w:spacing w:line="600" w:lineRule="exact"/>
        <w:ind w:left="0" w:firstLine="426"/>
        <w:rPr>
          <w:highlight w:val="none"/>
        </w:rPr>
      </w:pPr>
      <w:r>
        <w:rPr>
          <w:rFonts w:hint="eastAsia"/>
          <w:highlight w:val="none"/>
        </w:rPr>
        <w:t>除招标方另作规定，投标方必须负责一切与安装有关的实地工作和服务。</w:t>
      </w:r>
    </w:p>
    <w:p>
      <w:pPr>
        <w:pStyle w:val="22"/>
        <w:numPr>
          <w:ilvl w:val="0"/>
          <w:numId w:val="7"/>
        </w:numPr>
        <w:spacing w:line="600" w:lineRule="exact"/>
        <w:ind w:left="0" w:firstLine="426"/>
        <w:rPr>
          <w:highlight w:val="none"/>
        </w:rPr>
      </w:pPr>
      <w:r>
        <w:rPr>
          <w:rFonts w:hint="eastAsia"/>
          <w:highlight w:val="none"/>
        </w:rPr>
        <w:t>如果因为投标方产品或软件存在技术问题而延误供货期，投标方应负责由此产生的一切后果，并进行经济赔偿。</w:t>
      </w:r>
    </w:p>
    <w:p>
      <w:pPr>
        <w:pStyle w:val="6"/>
        <w:numPr>
          <w:ilvl w:val="3"/>
          <w:numId w:val="0"/>
        </w:numPr>
        <w:tabs>
          <w:tab w:val="clear" w:pos="864"/>
        </w:tabs>
        <w:spacing w:line="600" w:lineRule="exact"/>
        <w:ind w:firstLine="482" w:firstLineChars="200"/>
        <w:rPr>
          <w:highlight w:val="none"/>
          <w:lang w:val="en-US"/>
        </w:rPr>
      </w:pPr>
      <w:bookmarkStart w:id="144" w:name="_Toc124406430"/>
      <w:bookmarkStart w:id="145" w:name="_Toc518408413"/>
      <w:bookmarkStart w:id="146" w:name="_Toc516297795"/>
      <w:r>
        <w:rPr>
          <w:rFonts w:hint="eastAsia"/>
          <w:highlight w:val="none"/>
          <w:lang w:val="en-US"/>
        </w:rPr>
        <w:t>2.4.2.2产品维护</w:t>
      </w:r>
      <w:bookmarkEnd w:id="144"/>
      <w:bookmarkEnd w:id="145"/>
      <w:bookmarkEnd w:id="146"/>
      <w:r>
        <w:rPr>
          <w:rFonts w:hint="eastAsia"/>
          <w:highlight w:val="none"/>
          <w:lang w:val="en-US"/>
        </w:rPr>
        <w:t>要求</w:t>
      </w:r>
    </w:p>
    <w:p>
      <w:pPr>
        <w:pStyle w:val="21"/>
        <w:spacing w:line="600" w:lineRule="exact"/>
        <w:rPr>
          <w:highlight w:val="none"/>
        </w:rPr>
      </w:pPr>
      <w:r>
        <w:rPr>
          <w:rFonts w:hint="eastAsia"/>
          <w:highlight w:val="none"/>
        </w:rPr>
        <w:t>自招标方向投标方订购产品安装部署之日起，投标方应向招标方提供包括热线技术指导、现场故障排除、故障产品维修等各种用户技术服务。依照产品所发生问题的严重性，由投标方提供如下维护工作：</w:t>
      </w:r>
    </w:p>
    <w:p>
      <w:pPr>
        <w:pStyle w:val="21"/>
        <w:numPr>
          <w:ilvl w:val="0"/>
          <w:numId w:val="8"/>
        </w:numPr>
        <w:spacing w:line="600" w:lineRule="exact"/>
        <w:ind w:left="0" w:firstLine="431" w:firstLineChars="0"/>
        <w:rPr>
          <w:highlight w:val="none"/>
        </w:rPr>
      </w:pPr>
      <w:r>
        <w:rPr>
          <w:rFonts w:hint="eastAsia"/>
          <w:highlight w:val="none"/>
        </w:rPr>
        <w:t>保证为招标方提供 “常年保修、维护、保养”服务。</w:t>
      </w:r>
    </w:p>
    <w:p>
      <w:pPr>
        <w:pStyle w:val="21"/>
        <w:numPr>
          <w:ilvl w:val="0"/>
          <w:numId w:val="8"/>
        </w:numPr>
        <w:spacing w:line="600" w:lineRule="exact"/>
        <w:ind w:left="0" w:firstLine="431" w:firstLineChars="0"/>
        <w:rPr>
          <w:highlight w:val="none"/>
        </w:rPr>
      </w:pPr>
      <w:r>
        <w:rPr>
          <w:rFonts w:hint="eastAsia"/>
          <w:highlight w:val="none"/>
        </w:rPr>
        <w:t>保证开通7*24小时的热线服务电话随时解答用户的问题，保持和投标方有关技术人员定期和不定期的密切联络。</w:t>
      </w:r>
    </w:p>
    <w:p>
      <w:pPr>
        <w:pStyle w:val="21"/>
        <w:numPr>
          <w:ilvl w:val="0"/>
          <w:numId w:val="8"/>
        </w:numPr>
        <w:spacing w:line="600" w:lineRule="exact"/>
        <w:ind w:left="0" w:firstLine="431" w:firstLineChars="0"/>
        <w:rPr>
          <w:highlight w:val="none"/>
        </w:rPr>
      </w:pPr>
      <w:r>
        <w:rPr>
          <w:rFonts w:hint="eastAsia"/>
          <w:highlight w:val="none"/>
        </w:rPr>
        <w:t>在出现问题并初步判断为投标方产品故障时，投标方接到招标方通知后，投标方应能通过远程诊断、电话技术咨询或现场服务，尽快排除故障。</w:t>
      </w:r>
    </w:p>
    <w:p>
      <w:pPr>
        <w:pStyle w:val="21"/>
        <w:numPr>
          <w:ilvl w:val="0"/>
          <w:numId w:val="8"/>
        </w:numPr>
        <w:spacing w:line="600" w:lineRule="exact"/>
        <w:ind w:left="0" w:firstLine="431" w:firstLineChars="0"/>
        <w:rPr>
          <w:highlight w:val="none"/>
        </w:rPr>
      </w:pPr>
      <w:r>
        <w:rPr>
          <w:rFonts w:hint="eastAsia"/>
          <w:highlight w:val="none"/>
        </w:rPr>
        <w:t>因投标方产品及实施问题或服务响应不及时给最终用户造成的损失，应由投标方按双方制定的标准对最终用户进行赔偿。</w:t>
      </w:r>
    </w:p>
    <w:p>
      <w:pPr>
        <w:pStyle w:val="6"/>
        <w:numPr>
          <w:ilvl w:val="3"/>
          <w:numId w:val="0"/>
        </w:numPr>
        <w:tabs>
          <w:tab w:val="clear" w:pos="864"/>
        </w:tabs>
        <w:spacing w:line="600" w:lineRule="exact"/>
        <w:ind w:firstLine="482" w:firstLineChars="200"/>
        <w:rPr>
          <w:highlight w:val="none"/>
          <w:lang w:val="en-US"/>
        </w:rPr>
      </w:pPr>
      <w:bookmarkStart w:id="147" w:name="_Toc124406429"/>
      <w:bookmarkStart w:id="148" w:name="_Toc518408412"/>
      <w:bookmarkStart w:id="149" w:name="_Toc516297794"/>
      <w:r>
        <w:rPr>
          <w:rFonts w:hint="eastAsia"/>
          <w:highlight w:val="none"/>
          <w:lang w:val="en-US"/>
        </w:rPr>
        <w:t>2.4.2.3产品质保</w:t>
      </w:r>
      <w:bookmarkEnd w:id="147"/>
      <w:bookmarkEnd w:id="148"/>
      <w:bookmarkEnd w:id="149"/>
      <w:r>
        <w:rPr>
          <w:rFonts w:hint="eastAsia"/>
          <w:highlight w:val="none"/>
          <w:lang w:val="en-US"/>
        </w:rPr>
        <w:t>要求</w:t>
      </w:r>
    </w:p>
    <w:p>
      <w:pPr>
        <w:pStyle w:val="21"/>
        <w:numPr>
          <w:ilvl w:val="0"/>
          <w:numId w:val="9"/>
        </w:numPr>
        <w:spacing w:line="600" w:lineRule="exact"/>
        <w:ind w:left="0" w:firstLine="431" w:firstLineChars="0"/>
        <w:rPr>
          <w:highlight w:val="none"/>
        </w:rPr>
      </w:pPr>
      <w:r>
        <w:rPr>
          <w:rFonts w:hint="eastAsia"/>
          <w:highlight w:val="none"/>
        </w:rPr>
        <w:t>对于所供产品，从竣工验收完成开始，提供包括</w:t>
      </w:r>
      <w:r>
        <w:rPr>
          <w:highlight w:val="none"/>
        </w:rPr>
        <w:t>5</w:t>
      </w:r>
      <w:r>
        <w:rPr>
          <w:rFonts w:hint="eastAsia"/>
          <w:highlight w:val="none"/>
        </w:rPr>
        <w:t>年免费原厂质保期，7*24小时产品维护服务（售后服务热线，随时回答招标方在产品使用过程中的问题；30分钟内响应用户维修和维护要求，需要现场支持的2小时内到达现场）。</w:t>
      </w:r>
    </w:p>
    <w:p>
      <w:pPr>
        <w:pStyle w:val="21"/>
        <w:numPr>
          <w:ilvl w:val="0"/>
          <w:numId w:val="9"/>
        </w:numPr>
        <w:spacing w:line="600" w:lineRule="exact"/>
        <w:ind w:left="0" w:firstLine="431" w:firstLineChars="0"/>
        <w:rPr>
          <w:highlight w:val="none"/>
        </w:rPr>
      </w:pPr>
      <w:r>
        <w:rPr>
          <w:rFonts w:hint="eastAsia"/>
          <w:highlight w:val="none"/>
        </w:rPr>
        <w:t>质保期内为产品提供免费的软件版本升级服务。</w:t>
      </w:r>
    </w:p>
    <w:p>
      <w:pPr>
        <w:pStyle w:val="21"/>
        <w:numPr>
          <w:ilvl w:val="0"/>
          <w:numId w:val="9"/>
        </w:numPr>
        <w:spacing w:line="600" w:lineRule="exact"/>
        <w:ind w:left="0" w:firstLine="431" w:firstLineChars="0"/>
        <w:rPr>
          <w:highlight w:val="none"/>
        </w:rPr>
      </w:pPr>
      <w:r>
        <w:rPr>
          <w:rFonts w:hint="eastAsia"/>
          <w:highlight w:val="none"/>
        </w:rPr>
        <w:t>质保期内为产品提供损坏或缺陷部件的免费更换服务。</w:t>
      </w:r>
    </w:p>
    <w:p>
      <w:pPr>
        <w:pStyle w:val="21"/>
        <w:numPr>
          <w:ilvl w:val="0"/>
          <w:numId w:val="9"/>
        </w:numPr>
        <w:ind w:left="0" w:firstLine="431"/>
        <w:rPr>
          <w:highlight w:val="none"/>
        </w:rPr>
      </w:pPr>
      <w:r>
        <w:rPr>
          <w:rFonts w:hint="eastAsia"/>
          <w:highlight w:val="none"/>
        </w:rPr>
        <w:t>为最终用户提供紧急的支援服务等。</w:t>
      </w:r>
    </w:p>
    <w:p>
      <w:pPr>
        <w:pStyle w:val="3"/>
        <w:tabs>
          <w:tab w:val="left" w:pos="-240"/>
          <w:tab w:val="clear" w:pos="432"/>
        </w:tabs>
        <w:spacing w:before="156" w:after="156" w:line="600" w:lineRule="exact"/>
        <w:ind w:left="-2" w:hanging="2"/>
        <w:rPr>
          <w:highlight w:val="none"/>
        </w:rPr>
      </w:pPr>
      <w:bookmarkStart w:id="150" w:name="_Toc23060"/>
      <w:bookmarkStart w:id="151" w:name="_Toc27011"/>
      <w:bookmarkStart w:id="152" w:name="_Toc523850210"/>
      <w:bookmarkStart w:id="153" w:name="_Toc31833"/>
      <w:bookmarkStart w:id="154" w:name="_Toc2563"/>
      <w:bookmarkStart w:id="155" w:name="_Toc3518"/>
      <w:r>
        <w:rPr>
          <w:rFonts w:hint="eastAsia"/>
          <w:highlight w:val="none"/>
        </w:rPr>
        <w:t>技术指标要求</w:t>
      </w:r>
      <w:bookmarkEnd w:id="101"/>
      <w:bookmarkEnd w:id="150"/>
      <w:bookmarkEnd w:id="151"/>
      <w:bookmarkEnd w:id="152"/>
      <w:bookmarkEnd w:id="153"/>
      <w:bookmarkEnd w:id="154"/>
      <w:bookmarkEnd w:id="155"/>
    </w:p>
    <w:p>
      <w:pPr>
        <w:pStyle w:val="4"/>
        <w:spacing w:before="156" w:after="156" w:line="600" w:lineRule="exact"/>
        <w:ind w:left="578" w:hanging="578"/>
        <w:rPr>
          <w:color w:val="auto"/>
          <w:highlight w:val="none"/>
        </w:rPr>
      </w:pPr>
      <w:bookmarkStart w:id="156" w:name="_Toc523850211"/>
      <w:bookmarkStart w:id="157" w:name="_Toc2606"/>
      <w:bookmarkStart w:id="158" w:name="_Toc27850"/>
      <w:bookmarkStart w:id="159" w:name="_Toc26359"/>
      <w:bookmarkStart w:id="160" w:name="_Toc27287"/>
      <w:bookmarkStart w:id="161" w:name="_Toc18595"/>
      <w:r>
        <w:rPr>
          <w:rFonts w:hint="eastAsia"/>
          <w:color w:val="auto"/>
          <w:highlight w:val="none"/>
        </w:rPr>
        <w:t>基本要求</w:t>
      </w:r>
      <w:bookmarkEnd w:id="156"/>
      <w:bookmarkEnd w:id="157"/>
      <w:bookmarkEnd w:id="158"/>
      <w:bookmarkEnd w:id="159"/>
      <w:bookmarkEnd w:id="160"/>
      <w:bookmarkEnd w:id="161"/>
    </w:p>
    <w:p>
      <w:pPr>
        <w:pStyle w:val="21"/>
        <w:pageBreakBefore w:val="0"/>
        <w:widowControl w:val="0"/>
        <w:numPr>
          <w:ilvl w:val="0"/>
          <w:numId w:val="10"/>
        </w:numPr>
        <w:kinsoku/>
        <w:wordWrap/>
        <w:overflowPunct/>
        <w:autoSpaceDE/>
        <w:autoSpaceDN/>
        <w:bidi w:val="0"/>
        <w:adjustRightInd w:val="0"/>
        <w:snapToGrid w:val="0"/>
        <w:spacing w:line="600" w:lineRule="exact"/>
        <w:ind w:left="0" w:firstLine="431" w:firstLineChars="0"/>
        <w:rPr>
          <w:highlight w:val="none"/>
        </w:rPr>
      </w:pPr>
      <w:r>
        <w:rPr>
          <w:rFonts w:hint="eastAsia"/>
          <w:highlight w:val="none"/>
        </w:rPr>
        <w:t>本技术参数要求是招标方最低技术参数要求，投标方所投产品不得低于本技术参数要求。</w:t>
      </w:r>
    </w:p>
    <w:p>
      <w:pPr>
        <w:pStyle w:val="21"/>
        <w:pageBreakBefore w:val="0"/>
        <w:widowControl w:val="0"/>
        <w:numPr>
          <w:ilvl w:val="0"/>
          <w:numId w:val="10"/>
        </w:numPr>
        <w:kinsoku/>
        <w:wordWrap/>
        <w:overflowPunct/>
        <w:autoSpaceDE/>
        <w:autoSpaceDN/>
        <w:bidi w:val="0"/>
        <w:adjustRightInd w:val="0"/>
        <w:snapToGrid w:val="0"/>
        <w:spacing w:line="600" w:lineRule="exact"/>
        <w:ind w:left="0" w:firstLine="431" w:firstLineChars="0"/>
        <w:rPr>
          <w:highlight w:val="none"/>
        </w:rPr>
      </w:pPr>
      <w:r>
        <w:rPr>
          <w:rFonts w:hint="eastAsia"/>
          <w:highlight w:val="none"/>
        </w:rPr>
        <w:t>投标方必须根据本技术规范书的编排顺序，逐项逐条地给予明确的答复，并给出具体数值。</w:t>
      </w:r>
    </w:p>
    <w:p>
      <w:pPr>
        <w:pStyle w:val="21"/>
        <w:pageBreakBefore w:val="0"/>
        <w:widowControl w:val="0"/>
        <w:numPr>
          <w:ilvl w:val="0"/>
          <w:numId w:val="10"/>
        </w:numPr>
        <w:kinsoku/>
        <w:wordWrap/>
        <w:overflowPunct/>
        <w:autoSpaceDE/>
        <w:autoSpaceDN/>
        <w:bidi w:val="0"/>
        <w:adjustRightInd w:val="0"/>
        <w:snapToGrid w:val="0"/>
        <w:spacing w:line="600" w:lineRule="exact"/>
        <w:ind w:left="0" w:firstLine="431" w:firstLineChars="0"/>
        <w:rPr>
          <w:highlight w:val="none"/>
        </w:rPr>
      </w:pPr>
      <w:r>
        <w:rPr>
          <w:rFonts w:hint="eastAsia"/>
          <w:highlight w:val="none"/>
        </w:rPr>
        <w:t>投标方应出具相关证明文件（测试证明文件或计算公式等），并盖公司章确认。</w:t>
      </w:r>
    </w:p>
    <w:p>
      <w:pPr>
        <w:pStyle w:val="4"/>
        <w:pageBreakBefore w:val="0"/>
        <w:widowControl w:val="0"/>
        <w:kinsoku/>
        <w:wordWrap/>
        <w:overflowPunct/>
        <w:autoSpaceDE/>
        <w:autoSpaceDN/>
        <w:bidi w:val="0"/>
        <w:adjustRightInd w:val="0"/>
        <w:snapToGrid w:val="0"/>
        <w:spacing w:beforeLines="0" w:afterLines="0" w:line="600" w:lineRule="exact"/>
        <w:ind w:left="578" w:hanging="578"/>
        <w:rPr>
          <w:rFonts w:hint="default"/>
          <w:lang w:val="en-US" w:eastAsia="zh-CN"/>
        </w:rPr>
      </w:pPr>
      <w:bookmarkStart w:id="162" w:name="_Toc124406438"/>
      <w:bookmarkStart w:id="163" w:name="_Toc4841"/>
      <w:bookmarkStart w:id="164" w:name="_Toc1288"/>
      <w:bookmarkStart w:id="165" w:name="_Toc523850212"/>
      <w:bookmarkStart w:id="166" w:name="_Toc16309"/>
      <w:bookmarkStart w:id="167" w:name="_Toc3312"/>
      <w:bookmarkStart w:id="168" w:name="_Toc30435"/>
      <w:r>
        <w:rPr>
          <w:rFonts w:hint="eastAsia"/>
          <w:color w:val="auto"/>
          <w:highlight w:val="none"/>
        </w:rPr>
        <w:t>主要技术要求</w:t>
      </w:r>
      <w:bookmarkEnd w:id="162"/>
      <w:bookmarkEnd w:id="163"/>
      <w:bookmarkEnd w:id="164"/>
      <w:bookmarkEnd w:id="165"/>
      <w:r>
        <w:rPr>
          <w:rFonts w:hint="eastAsia"/>
          <w:color w:val="auto"/>
          <w:highlight w:val="none"/>
        </w:rPr>
        <w:t>及性能指标</w:t>
      </w:r>
      <w:bookmarkEnd w:id="166"/>
      <w:bookmarkEnd w:id="167"/>
      <w:bookmarkEnd w:id="168"/>
    </w:p>
    <w:p>
      <w:pPr>
        <w:rPr>
          <w:rFonts w:hint="default"/>
          <w:lang w:val="en-US" w:eastAsia="zh-CN"/>
        </w:rPr>
      </w:pPr>
      <w:r>
        <w:rPr>
          <w:rFonts w:hint="eastAsia" w:ascii="宋体" w:hAnsi="宋体" w:cs="宋体"/>
          <w:kern w:val="0"/>
          <w:highlight w:val="none"/>
        </w:rPr>
        <w:t>★</w:t>
      </w:r>
      <w:r>
        <w:rPr>
          <w:rFonts w:hint="default"/>
          <w:lang w:val="en-US" w:eastAsia="zh-CN"/>
        </w:rPr>
        <w:t>投标方提供的台式机的</w:t>
      </w:r>
      <w:r>
        <w:rPr>
          <w:rFonts w:hint="eastAsia"/>
          <w:lang w:val="en-US" w:eastAsia="zh-CN"/>
        </w:rPr>
        <w:t>CPU</w:t>
      </w:r>
      <w:r>
        <w:rPr>
          <w:rFonts w:hint="default"/>
          <w:lang w:val="en-US" w:eastAsia="zh-CN"/>
        </w:rPr>
        <w:t>必须通过国家指定的测评机构评价（中国信息安全测评中心（www.itsec.gov.cn）或国家保密科技测评中心（www.nsstec.org.cn））</w:t>
      </w:r>
      <w:r>
        <w:rPr>
          <w:rFonts w:hint="eastAsia"/>
          <w:lang w:val="en-US" w:eastAsia="zh-CN"/>
        </w:rPr>
        <w:t>的安全测试</w:t>
      </w:r>
      <w:r>
        <w:rPr>
          <w:rFonts w:hint="default"/>
          <w:lang w:val="en-US" w:eastAsia="zh-CN"/>
        </w:rPr>
        <w:t>，并提供测评机构公布的安全可靠测评结果公告作为凭证。</w:t>
      </w:r>
    </w:p>
    <w:p>
      <w:pPr>
        <w:pStyle w:val="21"/>
        <w:numPr>
          <w:ilvl w:val="0"/>
          <w:numId w:val="11"/>
        </w:numPr>
        <w:spacing w:line="600" w:lineRule="exact"/>
        <w:ind w:left="0" w:firstLine="431" w:firstLineChars="0"/>
        <w:outlineLvl w:val="2"/>
        <w:rPr>
          <w:highlight w:val="none"/>
        </w:rPr>
      </w:pPr>
      <w:bookmarkStart w:id="169" w:name="_Toc7354"/>
      <w:bookmarkStart w:id="170" w:name="_Toc3854"/>
      <w:bookmarkStart w:id="171" w:name="_Toc22468"/>
      <w:r>
        <w:rPr>
          <w:rFonts w:hint="eastAsia"/>
          <w:highlight w:val="none"/>
          <w:lang w:val="en-US" w:eastAsia="zh-CN"/>
        </w:rPr>
        <w:t>台式机</w:t>
      </w:r>
      <w:bookmarkEnd w:id="169"/>
      <w:bookmarkEnd w:id="170"/>
      <w:bookmarkEnd w:id="171"/>
    </w:p>
    <w:tbl>
      <w:tblPr>
        <w:tblStyle w:val="13"/>
        <w:tblW w:w="89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8"/>
        <w:gridCol w:w="7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2" w:hRule="atLeast"/>
        </w:trPr>
        <w:tc>
          <w:tcPr>
            <w:tcW w:w="1848" w:type="dxa"/>
            <w:vAlign w:val="center"/>
          </w:tcPr>
          <w:p>
            <w:pPr>
              <w:widowControl/>
              <w:spacing w:line="240" w:lineRule="auto"/>
              <w:ind w:firstLine="0" w:firstLineChars="0"/>
              <w:jc w:val="left"/>
              <w:rPr>
                <w:rFonts w:hint="eastAsia" w:ascii="宋体" w:hAnsi="宋体" w:cs="宋体"/>
                <w:kern w:val="0"/>
                <w:sz w:val="21"/>
                <w:szCs w:val="21"/>
                <w:highlight w:val="none"/>
              </w:rPr>
            </w:pPr>
            <w:bookmarkStart w:id="172" w:name="_Toc124406447"/>
            <w:bookmarkStart w:id="173" w:name="_Toc518408537"/>
            <w:r>
              <w:rPr>
                <w:rFonts w:hint="eastAsia" w:ascii="宋体" w:hAnsi="宋体" w:cs="宋体"/>
                <w:kern w:val="0"/>
                <w:sz w:val="21"/>
                <w:szCs w:val="21"/>
                <w:highlight w:val="none"/>
              </w:rPr>
              <w:t>项 目</w:t>
            </w:r>
          </w:p>
        </w:tc>
        <w:tc>
          <w:tcPr>
            <w:tcW w:w="7125" w:type="dxa"/>
            <w:vAlign w:val="center"/>
          </w:tcPr>
          <w:p>
            <w:pPr>
              <w:widowControl/>
              <w:spacing w:line="240" w:lineRule="auto"/>
              <w:ind w:firstLine="0" w:firstLineChars="0"/>
              <w:jc w:val="left"/>
              <w:rPr>
                <w:rFonts w:hint="eastAsia" w:ascii="宋体" w:hAnsi="宋体" w:cs="宋体"/>
                <w:kern w:val="0"/>
                <w:sz w:val="21"/>
                <w:szCs w:val="21"/>
                <w:highlight w:val="none"/>
              </w:rPr>
            </w:pPr>
            <w:r>
              <w:rPr>
                <w:rFonts w:hint="eastAsia" w:ascii="宋体" w:hAnsi="宋体" w:cs="宋体"/>
                <w:kern w:val="0"/>
                <w:sz w:val="21"/>
                <w:szCs w:val="21"/>
                <w:highlight w:val="none"/>
              </w:rPr>
              <w:t>主要技术规格要求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848" w:type="dxa"/>
            <w:vAlign w:val="center"/>
          </w:tcPr>
          <w:p>
            <w:pPr>
              <w:widowControl/>
              <w:spacing w:line="240" w:lineRule="auto"/>
              <w:ind w:firstLine="0" w:firstLineChars="0"/>
              <w:jc w:val="left"/>
              <w:rPr>
                <w:rFonts w:hint="eastAsia" w:ascii="宋体" w:hAnsi="宋体" w:cs="宋体"/>
                <w:kern w:val="0"/>
                <w:sz w:val="21"/>
                <w:szCs w:val="21"/>
                <w:highlight w:val="none"/>
              </w:rPr>
            </w:pPr>
            <w:r>
              <w:rPr>
                <w:rFonts w:hint="eastAsia" w:ascii="宋体" w:hAnsi="宋体" w:cs="宋体"/>
                <w:kern w:val="0"/>
                <w:sz w:val="21"/>
                <w:szCs w:val="21"/>
                <w:highlight w:val="none"/>
              </w:rPr>
              <w:t>机型</w:t>
            </w:r>
          </w:p>
        </w:tc>
        <w:tc>
          <w:tcPr>
            <w:tcW w:w="7125" w:type="dxa"/>
            <w:vAlign w:val="center"/>
          </w:tcPr>
          <w:p>
            <w:pPr>
              <w:widowControl/>
              <w:spacing w:line="240" w:lineRule="auto"/>
              <w:ind w:firstLine="0" w:firstLineChars="0"/>
              <w:jc w:val="left"/>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 xml:space="preserve">台式电脑（整机）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848" w:type="dxa"/>
            <w:shd w:val="clear" w:color="auto" w:fill="auto"/>
            <w:vAlign w:val="center"/>
          </w:tcPr>
          <w:p>
            <w:pPr>
              <w:widowControl/>
              <w:spacing w:line="240" w:lineRule="auto"/>
              <w:ind w:firstLine="0" w:firstLineChars="0"/>
              <w:jc w:val="left"/>
              <w:rPr>
                <w:rFonts w:hint="eastAsia" w:ascii="宋体" w:hAnsi="宋体" w:cs="宋体"/>
                <w:kern w:val="0"/>
                <w:sz w:val="21"/>
                <w:szCs w:val="21"/>
                <w:highlight w:val="none"/>
                <w:lang w:eastAsia="zh-CN"/>
              </w:rPr>
            </w:pPr>
            <w:r>
              <w:rPr>
                <w:rFonts w:hint="eastAsia" w:ascii="宋体" w:hAnsi="宋体" w:cs="宋体"/>
                <w:kern w:val="0"/>
                <w:sz w:val="21"/>
                <w:szCs w:val="21"/>
                <w:highlight w:val="none"/>
                <w:lang w:val="en-US" w:eastAsia="zh-CN"/>
              </w:rPr>
              <w:t>芯片</w:t>
            </w:r>
          </w:p>
        </w:tc>
        <w:tc>
          <w:tcPr>
            <w:tcW w:w="7125" w:type="dxa"/>
            <w:vAlign w:val="center"/>
          </w:tcPr>
          <w:p>
            <w:pPr>
              <w:widowControl/>
              <w:spacing w:line="240" w:lineRule="auto"/>
              <w:ind w:firstLine="0" w:firstLineChars="0"/>
              <w:jc w:val="left"/>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自主可控CPU：X86架构 CPU≥8核 主频≥3.6GHz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48" w:type="dxa"/>
            <w:shd w:val="clear" w:color="auto" w:fill="auto"/>
            <w:vAlign w:val="center"/>
          </w:tcPr>
          <w:p>
            <w:pPr>
              <w:widowControl/>
              <w:spacing w:line="240" w:lineRule="auto"/>
              <w:ind w:firstLine="0" w:firstLineChars="0"/>
              <w:jc w:val="left"/>
              <w:rPr>
                <w:rFonts w:hint="eastAsia" w:ascii="宋体" w:hAnsi="宋体" w:cs="宋体"/>
                <w:kern w:val="0"/>
                <w:sz w:val="21"/>
                <w:szCs w:val="21"/>
                <w:highlight w:val="none"/>
              </w:rPr>
            </w:pPr>
            <w:r>
              <w:rPr>
                <w:rFonts w:hint="eastAsia" w:ascii="宋体" w:hAnsi="宋体" w:cs="宋体"/>
                <w:kern w:val="0"/>
                <w:sz w:val="21"/>
                <w:szCs w:val="21"/>
                <w:highlight w:val="none"/>
              </w:rPr>
              <w:t>内存</w:t>
            </w:r>
          </w:p>
        </w:tc>
        <w:tc>
          <w:tcPr>
            <w:tcW w:w="7125" w:type="dxa"/>
            <w:vAlign w:val="center"/>
          </w:tcPr>
          <w:p>
            <w:pPr>
              <w:widowControl/>
              <w:spacing w:line="240" w:lineRule="auto"/>
              <w:ind w:firstLine="0" w:firstLineChars="0"/>
              <w:jc w:val="left"/>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≥16G DDR4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848" w:type="dxa"/>
            <w:shd w:val="clear" w:color="auto" w:fill="auto"/>
            <w:vAlign w:val="center"/>
          </w:tcPr>
          <w:p>
            <w:pPr>
              <w:widowControl/>
              <w:spacing w:line="240" w:lineRule="auto"/>
              <w:ind w:firstLine="0" w:firstLineChars="0"/>
              <w:jc w:val="left"/>
              <w:rPr>
                <w:rFonts w:hint="eastAsia" w:ascii="宋体" w:hAnsi="宋体" w:cs="宋体"/>
                <w:kern w:val="0"/>
                <w:sz w:val="21"/>
                <w:szCs w:val="21"/>
                <w:highlight w:val="none"/>
              </w:rPr>
            </w:pPr>
            <w:r>
              <w:rPr>
                <w:rFonts w:hint="eastAsia" w:ascii="宋体" w:hAnsi="宋体" w:cs="宋体"/>
                <w:kern w:val="0"/>
                <w:sz w:val="21"/>
                <w:szCs w:val="21"/>
                <w:highlight w:val="none"/>
              </w:rPr>
              <w:t>硬盘</w:t>
            </w:r>
          </w:p>
        </w:tc>
        <w:tc>
          <w:tcPr>
            <w:tcW w:w="7125" w:type="dxa"/>
            <w:vAlign w:val="center"/>
          </w:tcPr>
          <w:p>
            <w:pPr>
              <w:widowControl/>
              <w:spacing w:line="240" w:lineRule="auto"/>
              <w:ind w:firstLine="0" w:firstLineChars="0"/>
              <w:jc w:val="left"/>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≥1TB SSD ，非板卡式硬盘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2" w:hRule="atLeast"/>
        </w:trPr>
        <w:tc>
          <w:tcPr>
            <w:tcW w:w="1848" w:type="dxa"/>
            <w:shd w:val="clear" w:color="auto" w:fill="auto"/>
            <w:vAlign w:val="center"/>
          </w:tcPr>
          <w:p>
            <w:pPr>
              <w:widowControl/>
              <w:spacing w:line="240" w:lineRule="auto"/>
              <w:ind w:firstLine="0" w:firstLineChars="0"/>
              <w:jc w:val="left"/>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显卡</w:t>
            </w:r>
          </w:p>
        </w:tc>
        <w:tc>
          <w:tcPr>
            <w:tcW w:w="7125" w:type="dxa"/>
            <w:vAlign w:val="center"/>
          </w:tcPr>
          <w:p>
            <w:pPr>
              <w:widowControl/>
              <w:spacing w:line="240" w:lineRule="auto"/>
              <w:ind w:firstLine="0" w:firstLineChars="0"/>
              <w:jc w:val="left"/>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独立显卡，显存≥2GB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848" w:type="dxa"/>
            <w:shd w:val="clear" w:color="auto" w:fill="auto"/>
            <w:vAlign w:val="center"/>
          </w:tcPr>
          <w:p>
            <w:pPr>
              <w:widowControl/>
              <w:spacing w:line="240" w:lineRule="auto"/>
              <w:ind w:firstLine="0" w:firstLineChars="0"/>
              <w:jc w:val="left"/>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接口</w:t>
            </w:r>
          </w:p>
        </w:tc>
        <w:tc>
          <w:tcPr>
            <w:tcW w:w="7125" w:type="dxa"/>
            <w:vAlign w:val="center"/>
          </w:tcPr>
          <w:p>
            <w:pPr>
              <w:widowControl/>
              <w:spacing w:line="240" w:lineRule="auto"/>
              <w:ind w:firstLine="0" w:firstLineChars="0"/>
              <w:jc w:val="left"/>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前面板2个USB 3.0或以上，接口总USB3.0接口不少于4个，同时带HDMI+VGA或更多接口组合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848" w:type="dxa"/>
            <w:shd w:val="clear" w:color="auto" w:fill="auto"/>
            <w:vAlign w:val="center"/>
          </w:tcPr>
          <w:p>
            <w:pPr>
              <w:widowControl/>
              <w:spacing w:line="240" w:lineRule="auto"/>
              <w:ind w:firstLine="0" w:firstLineChars="0"/>
              <w:jc w:val="left"/>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其他</w:t>
            </w:r>
          </w:p>
        </w:tc>
        <w:tc>
          <w:tcPr>
            <w:tcW w:w="7125" w:type="dxa"/>
            <w:vAlign w:val="center"/>
          </w:tcPr>
          <w:p>
            <w:pPr>
              <w:widowControl/>
              <w:spacing w:line="240" w:lineRule="auto"/>
              <w:ind w:firstLine="0" w:firstLineChars="0"/>
              <w:jc w:val="left"/>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原装无线键盘鼠标（黑色），支持无线2.4G连接</w:t>
            </w:r>
          </w:p>
        </w:tc>
      </w:tr>
    </w:tbl>
    <w:p>
      <w:pPr>
        <w:pStyle w:val="21"/>
        <w:numPr>
          <w:ilvl w:val="0"/>
          <w:numId w:val="0"/>
        </w:numPr>
        <w:spacing w:line="600" w:lineRule="exact"/>
        <w:outlineLvl w:val="9"/>
        <w:rPr>
          <w:highlight w:val="none"/>
        </w:rPr>
      </w:pPr>
      <w:bookmarkStart w:id="174" w:name="_Toc6230"/>
    </w:p>
    <w:p>
      <w:pPr>
        <w:pStyle w:val="21"/>
        <w:numPr>
          <w:ilvl w:val="0"/>
          <w:numId w:val="11"/>
        </w:numPr>
        <w:spacing w:line="600" w:lineRule="exact"/>
        <w:ind w:left="0" w:firstLine="431" w:firstLineChars="0"/>
        <w:outlineLvl w:val="2"/>
        <w:rPr>
          <w:highlight w:val="none"/>
        </w:rPr>
      </w:pPr>
      <w:bookmarkStart w:id="175" w:name="_Toc27580"/>
      <w:r>
        <w:rPr>
          <w:rFonts w:hint="eastAsia"/>
          <w:highlight w:val="none"/>
          <w:lang w:val="en-US" w:eastAsia="zh-CN"/>
        </w:rPr>
        <w:t>显示器</w:t>
      </w:r>
      <w:bookmarkEnd w:id="174"/>
      <w:bookmarkEnd w:id="175"/>
    </w:p>
    <w:tbl>
      <w:tblPr>
        <w:tblStyle w:val="13"/>
        <w:tblW w:w="89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8"/>
        <w:gridCol w:w="7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848" w:type="dxa"/>
            <w:vAlign w:val="center"/>
          </w:tcPr>
          <w:p>
            <w:pPr>
              <w:widowControl/>
              <w:spacing w:line="240" w:lineRule="auto"/>
              <w:ind w:firstLine="0" w:firstLineChars="0"/>
              <w:jc w:val="left"/>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项 目</w:t>
            </w:r>
          </w:p>
        </w:tc>
        <w:tc>
          <w:tcPr>
            <w:tcW w:w="7125" w:type="dxa"/>
            <w:vAlign w:val="center"/>
          </w:tcPr>
          <w:p>
            <w:pPr>
              <w:widowControl/>
              <w:spacing w:line="240" w:lineRule="auto"/>
              <w:ind w:firstLine="0" w:firstLineChars="0"/>
              <w:jc w:val="left"/>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主要技术规格要求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848" w:type="dxa"/>
            <w:vAlign w:val="center"/>
          </w:tcPr>
          <w:p>
            <w:pPr>
              <w:widowControl/>
              <w:spacing w:line="240" w:lineRule="auto"/>
              <w:ind w:firstLine="0" w:firstLineChars="0"/>
              <w:jc w:val="left"/>
              <w:rPr>
                <w:rFonts w:hint="default"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设备名称</w:t>
            </w:r>
          </w:p>
        </w:tc>
        <w:tc>
          <w:tcPr>
            <w:tcW w:w="7125" w:type="dxa"/>
            <w:vAlign w:val="center"/>
          </w:tcPr>
          <w:p>
            <w:pPr>
              <w:widowControl/>
              <w:spacing w:line="240" w:lineRule="auto"/>
              <w:ind w:firstLine="0" w:firstLineChars="0"/>
              <w:jc w:val="left"/>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显示器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848" w:type="dxa"/>
            <w:shd w:val="clear" w:color="auto" w:fill="auto"/>
            <w:vAlign w:val="center"/>
          </w:tcPr>
          <w:p>
            <w:pPr>
              <w:widowControl/>
              <w:spacing w:line="240" w:lineRule="auto"/>
              <w:ind w:firstLine="0" w:firstLineChars="0"/>
              <w:jc w:val="left"/>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颜色</w:t>
            </w:r>
          </w:p>
        </w:tc>
        <w:tc>
          <w:tcPr>
            <w:tcW w:w="7125" w:type="dxa"/>
            <w:vAlign w:val="center"/>
          </w:tcPr>
          <w:p>
            <w:pPr>
              <w:widowControl/>
              <w:spacing w:line="240" w:lineRule="auto"/>
              <w:ind w:firstLine="0" w:firstLineChars="0"/>
              <w:jc w:val="left"/>
              <w:rPr>
                <w:rFonts w:hint="default" w:ascii="宋体" w:hAnsi="宋体" w:cs="宋体"/>
                <w:kern w:val="0"/>
                <w:sz w:val="21"/>
                <w:szCs w:val="21"/>
                <w:highlight w:val="none"/>
                <w:lang w:val="en-US" w:eastAsia="zh-CN"/>
              </w:rPr>
            </w:pPr>
            <w:r>
              <w:rPr>
                <w:rFonts w:hint="eastAsia" w:ascii="宋体" w:hAnsi="宋体" w:eastAsia="宋体" w:cs="宋体"/>
                <w:b w:val="0"/>
                <w:bCs w:val="0"/>
                <w:color w:val="auto"/>
                <w:kern w:val="0"/>
                <w:sz w:val="20"/>
                <w:szCs w:val="20"/>
                <w:lang w:val="en-US" w:eastAsia="zh-CN"/>
              </w:rPr>
              <w:t>黑色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848" w:type="dxa"/>
            <w:shd w:val="clear" w:color="auto" w:fill="auto"/>
            <w:vAlign w:val="center"/>
          </w:tcPr>
          <w:p>
            <w:pPr>
              <w:widowControl/>
              <w:spacing w:line="240" w:lineRule="auto"/>
              <w:ind w:firstLine="0" w:firstLineChars="0"/>
              <w:jc w:val="left"/>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面板类型</w:t>
            </w:r>
          </w:p>
        </w:tc>
        <w:tc>
          <w:tcPr>
            <w:tcW w:w="7125" w:type="dxa"/>
            <w:vAlign w:val="center"/>
          </w:tcPr>
          <w:p>
            <w:pPr>
              <w:widowControl/>
              <w:spacing w:line="240" w:lineRule="auto"/>
              <w:ind w:firstLine="0" w:firstLineChars="0"/>
              <w:jc w:val="left"/>
              <w:rPr>
                <w:rFonts w:hint="eastAsia" w:ascii="宋体" w:hAnsi="宋体" w:cs="宋体"/>
                <w:kern w:val="0"/>
                <w:sz w:val="21"/>
                <w:szCs w:val="21"/>
                <w:highlight w:val="none"/>
                <w:lang w:val="en-US" w:eastAsia="zh-CN"/>
              </w:rPr>
            </w:pPr>
            <w:r>
              <w:rPr>
                <w:rFonts w:hint="eastAsia" w:ascii="宋体" w:hAnsi="宋体" w:eastAsia="宋体" w:cs="宋体"/>
                <w:b w:val="0"/>
                <w:bCs w:val="0"/>
                <w:color w:val="auto"/>
                <w:kern w:val="0"/>
                <w:sz w:val="20"/>
                <w:szCs w:val="20"/>
                <w:lang w:val="en-US" w:eastAsia="zh-CN"/>
              </w:rPr>
              <w:t>LED或IPS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48" w:type="dxa"/>
            <w:shd w:val="clear" w:color="auto" w:fill="auto"/>
            <w:vAlign w:val="center"/>
          </w:tcPr>
          <w:p>
            <w:pPr>
              <w:widowControl/>
              <w:spacing w:line="240" w:lineRule="auto"/>
              <w:ind w:firstLine="0" w:firstLineChars="0"/>
              <w:jc w:val="left"/>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面板尺寸</w:t>
            </w:r>
          </w:p>
        </w:tc>
        <w:tc>
          <w:tcPr>
            <w:tcW w:w="7125" w:type="dxa"/>
            <w:vAlign w:val="center"/>
          </w:tcPr>
          <w:p>
            <w:pPr>
              <w:widowControl/>
              <w:spacing w:line="240" w:lineRule="auto"/>
              <w:ind w:firstLine="0" w:firstLineChars="0"/>
              <w:jc w:val="left"/>
              <w:rPr>
                <w:rFonts w:hint="eastAsia" w:ascii="宋体" w:hAnsi="宋体" w:cs="宋体"/>
                <w:kern w:val="0"/>
                <w:sz w:val="21"/>
                <w:szCs w:val="21"/>
                <w:highlight w:val="none"/>
                <w:lang w:val="en-US" w:eastAsia="zh-CN"/>
              </w:rPr>
            </w:pPr>
            <w:r>
              <w:rPr>
                <w:rFonts w:hint="eastAsia" w:ascii="宋体" w:hAnsi="宋体" w:eastAsia="宋体" w:cs="宋体"/>
                <w:b w:val="0"/>
                <w:bCs w:val="0"/>
                <w:color w:val="auto"/>
                <w:kern w:val="0"/>
                <w:sz w:val="20"/>
                <w:szCs w:val="20"/>
                <w:lang w:val="en-US" w:eastAsia="zh-CN"/>
              </w:rPr>
              <w:t>≥23英寸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848" w:type="dxa"/>
            <w:shd w:val="clear" w:color="auto" w:fill="auto"/>
            <w:vAlign w:val="center"/>
          </w:tcPr>
          <w:p>
            <w:pPr>
              <w:widowControl/>
              <w:spacing w:line="240" w:lineRule="auto"/>
              <w:ind w:firstLine="0" w:firstLineChars="0"/>
              <w:jc w:val="left"/>
              <w:rPr>
                <w:rFonts w:hint="default" w:ascii="宋体" w:hAnsi="宋体" w:eastAsia="宋体" w:cs="宋体"/>
                <w:b w:val="0"/>
                <w:bCs w:val="0"/>
                <w:color w:val="auto"/>
                <w:kern w:val="0"/>
                <w:sz w:val="20"/>
                <w:szCs w:val="20"/>
                <w:lang w:val="en-US" w:eastAsia="zh-CN"/>
              </w:rPr>
            </w:pPr>
            <w:r>
              <w:rPr>
                <w:rFonts w:hint="eastAsia" w:ascii="宋体" w:hAnsi="宋体" w:cs="宋体"/>
                <w:kern w:val="0"/>
                <w:sz w:val="21"/>
                <w:szCs w:val="21"/>
                <w:highlight w:val="none"/>
                <w:lang w:val="en-US" w:eastAsia="zh-CN"/>
              </w:rPr>
              <w:t>分辨率</w:t>
            </w:r>
          </w:p>
        </w:tc>
        <w:tc>
          <w:tcPr>
            <w:tcW w:w="7125" w:type="dxa"/>
            <w:vAlign w:val="center"/>
          </w:tcPr>
          <w:p>
            <w:pPr>
              <w:widowControl/>
              <w:spacing w:line="240" w:lineRule="auto"/>
              <w:ind w:firstLine="0" w:firstLineChars="0"/>
              <w:jc w:val="left"/>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1920 x 1080 分辨率或以上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848" w:type="dxa"/>
            <w:shd w:val="clear" w:color="auto" w:fill="auto"/>
            <w:vAlign w:val="center"/>
          </w:tcPr>
          <w:p>
            <w:pPr>
              <w:widowControl/>
              <w:spacing w:line="240" w:lineRule="auto"/>
              <w:ind w:firstLine="0" w:firstLineChars="0"/>
              <w:jc w:val="left"/>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接口</w:t>
            </w:r>
          </w:p>
        </w:tc>
        <w:tc>
          <w:tcPr>
            <w:tcW w:w="7125" w:type="dxa"/>
            <w:vAlign w:val="center"/>
          </w:tcPr>
          <w:p>
            <w:pPr>
              <w:widowControl/>
              <w:spacing w:line="240" w:lineRule="auto"/>
              <w:ind w:firstLine="0" w:firstLineChars="0"/>
              <w:jc w:val="left"/>
              <w:rPr>
                <w:rFonts w:hint="eastAsia" w:ascii="宋体" w:hAnsi="宋体" w:cs="宋体"/>
                <w:kern w:val="0"/>
                <w:sz w:val="21"/>
                <w:szCs w:val="21"/>
                <w:highlight w:val="none"/>
                <w:lang w:val="en-US" w:eastAsia="zh-CN"/>
              </w:rPr>
            </w:pPr>
            <w:r>
              <w:rPr>
                <w:rFonts w:hint="eastAsia" w:ascii="宋体" w:hAnsi="宋体" w:eastAsia="宋体" w:cs="宋体"/>
                <w:b w:val="0"/>
                <w:bCs w:val="0"/>
                <w:color w:val="auto"/>
                <w:kern w:val="0"/>
                <w:sz w:val="20"/>
                <w:szCs w:val="20"/>
                <w:lang w:val="en-US" w:eastAsia="zh-CN"/>
              </w:rPr>
              <w:t>VGA+HDMI或更多接口组合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848" w:type="dxa"/>
            <w:shd w:val="clear" w:color="auto" w:fill="auto"/>
            <w:vAlign w:val="center"/>
          </w:tcPr>
          <w:p>
            <w:pPr>
              <w:widowControl/>
              <w:spacing w:line="240" w:lineRule="auto"/>
              <w:ind w:firstLine="0" w:firstLineChars="0"/>
              <w:jc w:val="left"/>
              <w:rPr>
                <w:rFonts w:hint="default"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其他</w:t>
            </w:r>
          </w:p>
        </w:tc>
        <w:tc>
          <w:tcPr>
            <w:tcW w:w="7125" w:type="dxa"/>
            <w:vAlign w:val="center"/>
          </w:tcPr>
          <w:p>
            <w:pPr>
              <w:widowControl/>
              <w:spacing w:line="240" w:lineRule="auto"/>
              <w:ind w:firstLine="0" w:firstLineChars="0"/>
              <w:jc w:val="left"/>
              <w:rPr>
                <w:rFonts w:hint="eastAsia" w:ascii="宋体" w:hAnsi="宋体" w:cs="宋体"/>
                <w:kern w:val="0"/>
                <w:sz w:val="21"/>
                <w:szCs w:val="21"/>
                <w:highlight w:val="none"/>
                <w:lang w:val="en-US" w:eastAsia="zh-CN"/>
              </w:rPr>
            </w:pPr>
            <w:r>
              <w:rPr>
                <w:rFonts w:hint="eastAsia" w:ascii="宋体" w:hAnsi="宋体" w:eastAsia="宋体" w:cs="宋体"/>
                <w:b w:val="0"/>
                <w:bCs w:val="0"/>
                <w:color w:val="auto"/>
                <w:kern w:val="0"/>
                <w:sz w:val="20"/>
                <w:szCs w:val="20"/>
                <w:lang w:val="en-US" w:eastAsia="zh-CN"/>
              </w:rPr>
              <w:t>屏幕可支持壁挂与升降</w:t>
            </w:r>
          </w:p>
        </w:tc>
      </w:tr>
    </w:tbl>
    <w:p>
      <w:pPr>
        <w:pStyle w:val="4"/>
        <w:spacing w:before="156" w:after="156" w:line="600" w:lineRule="exact"/>
        <w:ind w:left="578" w:hanging="578"/>
        <w:rPr>
          <w:color w:val="auto"/>
          <w:highlight w:val="none"/>
        </w:rPr>
      </w:pPr>
      <w:bookmarkStart w:id="176" w:name="_Toc31825"/>
      <w:bookmarkStart w:id="177" w:name="_Toc12606"/>
      <w:bookmarkStart w:id="178" w:name="_Toc16781"/>
      <w:r>
        <w:rPr>
          <w:rFonts w:hint="eastAsia"/>
          <w:color w:val="auto"/>
          <w:highlight w:val="none"/>
        </w:rPr>
        <w:t>实施要求</w:t>
      </w:r>
      <w:bookmarkEnd w:id="176"/>
      <w:bookmarkEnd w:id="177"/>
      <w:bookmarkEnd w:id="178"/>
    </w:p>
    <w:p>
      <w:pPr>
        <w:pStyle w:val="21"/>
        <w:numPr>
          <w:ilvl w:val="0"/>
          <w:numId w:val="12"/>
        </w:numPr>
        <w:spacing w:line="600" w:lineRule="exact"/>
        <w:ind w:left="0" w:firstLine="431" w:firstLineChars="0"/>
        <w:rPr>
          <w:highlight w:val="none"/>
        </w:rPr>
      </w:pPr>
      <w:bookmarkStart w:id="179" w:name="_Toc19691"/>
      <w:r>
        <w:rPr>
          <w:rFonts w:hint="eastAsia"/>
          <w:highlight w:val="none"/>
        </w:rPr>
        <w:t>负责编制</w:t>
      </w:r>
      <w:r>
        <w:rPr>
          <w:rFonts w:hint="eastAsia"/>
          <w:highlight w:val="none"/>
          <w:lang w:val="en-US" w:eastAsia="zh-CN"/>
        </w:rPr>
        <w:t>到货</w:t>
      </w:r>
      <w:r>
        <w:rPr>
          <w:rFonts w:hint="eastAsia"/>
          <w:highlight w:val="none"/>
        </w:rPr>
        <w:t>资料、终验资料。</w:t>
      </w:r>
    </w:p>
    <w:p>
      <w:pPr>
        <w:pStyle w:val="21"/>
        <w:numPr>
          <w:ilvl w:val="0"/>
          <w:numId w:val="12"/>
        </w:numPr>
        <w:spacing w:line="600" w:lineRule="exact"/>
        <w:ind w:left="0" w:firstLine="431" w:firstLineChars="0"/>
        <w:rPr>
          <w:highlight w:val="none"/>
        </w:rPr>
      </w:pPr>
      <w:r>
        <w:rPr>
          <w:rFonts w:hint="eastAsia"/>
          <w:highlight w:val="none"/>
        </w:rPr>
        <w:t>供货时每台设备粘PVC纸运维标签，标签内容至少包括以下：保修期限、原厂</w:t>
      </w:r>
      <w:r>
        <w:rPr>
          <w:rFonts w:hint="eastAsia" w:hAnsi="宋体"/>
          <w:highlight w:val="none"/>
        </w:rPr>
        <w:t>24小时全国免费售后服务电话</w:t>
      </w:r>
      <w:r>
        <w:rPr>
          <w:rFonts w:hint="eastAsia"/>
          <w:highlight w:val="none"/>
        </w:rPr>
        <w:t>、海南本地售后服务电话、供应商24小时服务电话。</w:t>
      </w:r>
    </w:p>
    <w:p>
      <w:pPr>
        <w:pStyle w:val="21"/>
        <w:numPr>
          <w:ilvl w:val="0"/>
          <w:numId w:val="12"/>
        </w:numPr>
        <w:spacing w:line="600" w:lineRule="exact"/>
        <w:ind w:left="0" w:firstLine="431" w:firstLineChars="0"/>
        <w:rPr>
          <w:highlight w:val="none"/>
        </w:rPr>
      </w:pPr>
      <w:r>
        <w:rPr>
          <w:rFonts w:hint="eastAsia"/>
          <w:highlight w:val="none"/>
        </w:rPr>
        <w:t>操作系统预装服务。投标方须根据招标方的要求，统一为所投的电脑预装操作系统。</w:t>
      </w:r>
    </w:p>
    <w:p>
      <w:pPr>
        <w:pStyle w:val="21"/>
        <w:numPr>
          <w:ilvl w:val="0"/>
          <w:numId w:val="12"/>
        </w:numPr>
        <w:spacing w:line="600" w:lineRule="exact"/>
        <w:ind w:left="0" w:firstLine="431" w:firstLineChars="0"/>
        <w:rPr>
          <w:highlight w:val="none"/>
        </w:rPr>
      </w:pPr>
      <w:r>
        <w:rPr>
          <w:rFonts w:hint="eastAsia" w:ascii="宋体" w:hAnsi="宋体" w:cs="宋体"/>
          <w:szCs w:val="21"/>
          <w:highlight w:val="none"/>
        </w:rPr>
        <w:t>投标方负责所供产品的安装调试、业务割接和验收测试，并自备设备安装、测试、运行维护所需的工具和设备。</w:t>
      </w:r>
    </w:p>
    <w:p>
      <w:pPr>
        <w:pStyle w:val="21"/>
        <w:numPr>
          <w:ilvl w:val="0"/>
          <w:numId w:val="12"/>
        </w:numPr>
        <w:spacing w:line="600" w:lineRule="exact"/>
        <w:ind w:left="0" w:firstLine="431" w:firstLineChars="0"/>
        <w:rPr>
          <w:highlight w:val="none"/>
        </w:rPr>
      </w:pPr>
      <w:r>
        <w:rPr>
          <w:rFonts w:hint="eastAsia" w:ascii="宋体" w:hAnsi="宋体" w:cs="宋体"/>
          <w:szCs w:val="21"/>
          <w:highlight w:val="none"/>
        </w:rPr>
        <w:t>如果招标方认为有必要，投标方应派技术人员到现场配合进行适配性测试，并根据测试结果，配合开展所投产品的适配改造和调优，改造和调优过程中产生的费用由投标方负责。</w:t>
      </w:r>
    </w:p>
    <w:p>
      <w:pPr>
        <w:pStyle w:val="21"/>
        <w:numPr>
          <w:ilvl w:val="0"/>
          <w:numId w:val="12"/>
        </w:numPr>
        <w:spacing w:line="600" w:lineRule="exact"/>
        <w:ind w:left="0" w:firstLine="431" w:firstLineChars="0"/>
        <w:rPr>
          <w:highlight w:val="none"/>
        </w:rPr>
      </w:pPr>
      <w:r>
        <w:rPr>
          <w:rFonts w:hint="eastAsia" w:ascii="宋体" w:hAnsi="宋体" w:cs="宋体"/>
          <w:szCs w:val="21"/>
          <w:highlight w:val="none"/>
          <w:lang w:val="en-US" w:eastAsia="zh-CN"/>
        </w:rPr>
        <w:t>质保期内，</w:t>
      </w:r>
      <w:r>
        <w:rPr>
          <w:rFonts w:hint="eastAsia" w:ascii="宋体" w:hAnsi="宋体" w:cs="宋体"/>
          <w:szCs w:val="21"/>
          <w:highlight w:val="none"/>
        </w:rPr>
        <w:t>投标方</w:t>
      </w:r>
      <w:r>
        <w:rPr>
          <w:rFonts w:hint="eastAsia" w:ascii="宋体" w:hAnsi="宋体" w:cs="宋体"/>
          <w:szCs w:val="21"/>
          <w:highlight w:val="none"/>
          <w:lang w:val="en-US" w:eastAsia="zh-CN"/>
        </w:rPr>
        <w:t>需在每个单位至少安排1名技术人员提供现场技术支持，接到运维需求后5分钟内到达现场</w:t>
      </w:r>
      <w:r>
        <w:rPr>
          <w:rFonts w:hint="eastAsia" w:ascii="宋体" w:hAnsi="宋体" w:cs="宋体"/>
          <w:szCs w:val="21"/>
          <w:highlight w:val="none"/>
        </w:rPr>
        <w:t>。</w:t>
      </w:r>
    </w:p>
    <w:p>
      <w:pPr>
        <w:pStyle w:val="3"/>
        <w:tabs>
          <w:tab w:val="left" w:pos="0"/>
          <w:tab w:val="clear" w:pos="432"/>
        </w:tabs>
        <w:spacing w:before="156" w:after="156" w:line="600" w:lineRule="exact"/>
        <w:ind w:left="2" w:leftChars="-58" w:hanging="141" w:hangingChars="50"/>
        <w:rPr>
          <w:highlight w:val="none"/>
        </w:rPr>
      </w:pPr>
      <w:bookmarkStart w:id="180" w:name="_Toc7829"/>
      <w:bookmarkStart w:id="181" w:name="_Toc18348"/>
      <w:bookmarkStart w:id="182" w:name="_Toc2835"/>
      <w:bookmarkStart w:id="183" w:name="_Toc21537"/>
      <w:bookmarkStart w:id="184" w:name="_Toc523850215"/>
      <w:r>
        <w:rPr>
          <w:rFonts w:hint="eastAsia"/>
          <w:highlight w:val="none"/>
        </w:rPr>
        <w:t>测试</w:t>
      </w:r>
      <w:bookmarkEnd w:id="172"/>
      <w:bookmarkEnd w:id="173"/>
      <w:r>
        <w:rPr>
          <w:rFonts w:hint="eastAsia"/>
          <w:highlight w:val="none"/>
        </w:rPr>
        <w:t>及验收</w:t>
      </w:r>
      <w:bookmarkEnd w:id="179"/>
      <w:bookmarkEnd w:id="180"/>
      <w:bookmarkEnd w:id="181"/>
      <w:bookmarkEnd w:id="182"/>
      <w:bookmarkEnd w:id="183"/>
      <w:bookmarkEnd w:id="184"/>
    </w:p>
    <w:p>
      <w:pPr>
        <w:pStyle w:val="4"/>
        <w:tabs>
          <w:tab w:val="left" w:pos="756"/>
          <w:tab w:val="clear" w:pos="576"/>
        </w:tabs>
        <w:spacing w:before="156" w:after="156" w:line="600" w:lineRule="exact"/>
        <w:ind w:left="578" w:hanging="578"/>
        <w:rPr>
          <w:color w:val="auto"/>
          <w:highlight w:val="none"/>
        </w:rPr>
      </w:pPr>
      <w:bookmarkStart w:id="185" w:name="_Toc374"/>
      <w:bookmarkStart w:id="186" w:name="_Toc523850216"/>
      <w:bookmarkStart w:id="187" w:name="_Toc6714"/>
      <w:bookmarkStart w:id="188" w:name="_Toc271893793"/>
      <w:bookmarkStart w:id="189" w:name="_Toc10509"/>
      <w:bookmarkStart w:id="190" w:name="_Toc317236947"/>
      <w:bookmarkStart w:id="191" w:name="_Toc30666"/>
      <w:bookmarkStart w:id="192" w:name="_Toc10997"/>
      <w:bookmarkStart w:id="193" w:name="_Toc30647"/>
      <w:r>
        <w:rPr>
          <w:rFonts w:hint="eastAsia"/>
          <w:color w:val="auto"/>
          <w:highlight w:val="none"/>
        </w:rPr>
        <w:t>概述</w:t>
      </w:r>
      <w:bookmarkEnd w:id="185"/>
      <w:bookmarkEnd w:id="186"/>
      <w:bookmarkEnd w:id="187"/>
      <w:bookmarkEnd w:id="188"/>
      <w:bookmarkEnd w:id="189"/>
      <w:bookmarkEnd w:id="190"/>
      <w:bookmarkEnd w:id="191"/>
      <w:bookmarkEnd w:id="192"/>
      <w:bookmarkEnd w:id="193"/>
    </w:p>
    <w:p>
      <w:pPr>
        <w:pStyle w:val="21"/>
        <w:spacing w:line="600" w:lineRule="exact"/>
        <w:rPr>
          <w:highlight w:val="none"/>
        </w:rPr>
      </w:pPr>
      <w:r>
        <w:rPr>
          <w:rFonts w:hint="eastAsia"/>
          <w:highlight w:val="none"/>
        </w:rPr>
        <w:t>投标方提供的产品应根据招标方同意的程序进行检验和测试，并在投标书中给出参考的测试目的、内容。招标方保留根据投标方的承诺而监视试验的权利。</w:t>
      </w:r>
    </w:p>
    <w:p>
      <w:pPr>
        <w:pStyle w:val="21"/>
        <w:spacing w:line="600" w:lineRule="exact"/>
        <w:rPr>
          <w:highlight w:val="none"/>
        </w:rPr>
      </w:pPr>
      <w:r>
        <w:rPr>
          <w:rFonts w:hint="eastAsia"/>
          <w:highlight w:val="none"/>
        </w:rPr>
        <w:t>当产品部署后，如发现产品有缺陷或当安装完毕后按投标方的出厂试验报告数据进行现场测试时，发现指标达不到投标方提供的产品技术数据和招标方技术规范要求的技术性能时，投标方应免费为招标方更换，然后进行系统测试和验收。</w:t>
      </w:r>
    </w:p>
    <w:p>
      <w:pPr>
        <w:pStyle w:val="21"/>
        <w:spacing w:line="600" w:lineRule="exact"/>
        <w:rPr>
          <w:highlight w:val="none"/>
        </w:rPr>
      </w:pPr>
      <w:r>
        <w:rPr>
          <w:rFonts w:hint="eastAsia"/>
          <w:highlight w:val="none"/>
        </w:rPr>
        <w:t>投标方必须协助招标方进行验收，由投标方原因导致验收不通过，由此产生的一切损失由投标方承担。</w:t>
      </w:r>
    </w:p>
    <w:p>
      <w:pPr>
        <w:pStyle w:val="21"/>
        <w:spacing w:line="600" w:lineRule="exact"/>
        <w:rPr>
          <w:highlight w:val="none"/>
        </w:rPr>
      </w:pPr>
      <w:r>
        <w:rPr>
          <w:rFonts w:hint="eastAsia"/>
          <w:highlight w:val="none"/>
        </w:rPr>
        <w:t>整个验收分为两个阶段：</w:t>
      </w:r>
      <w:r>
        <w:rPr>
          <w:rFonts w:hint="eastAsia"/>
          <w:highlight w:val="none"/>
          <w:u w:val="single"/>
        </w:rPr>
        <w:t>到货验收和竣工验收</w:t>
      </w:r>
      <w:r>
        <w:rPr>
          <w:rFonts w:hint="eastAsia"/>
          <w:highlight w:val="none"/>
        </w:rPr>
        <w:t>。资料的完整性也是验收项目之一。</w:t>
      </w:r>
    </w:p>
    <w:p>
      <w:pPr>
        <w:pStyle w:val="4"/>
        <w:tabs>
          <w:tab w:val="left" w:pos="756"/>
          <w:tab w:val="clear" w:pos="576"/>
        </w:tabs>
        <w:spacing w:before="156" w:after="156" w:line="600" w:lineRule="exact"/>
        <w:ind w:left="578" w:hanging="578"/>
        <w:rPr>
          <w:color w:val="auto"/>
          <w:highlight w:val="none"/>
        </w:rPr>
      </w:pPr>
      <w:bookmarkStart w:id="194" w:name="_Toc14125"/>
      <w:bookmarkStart w:id="195" w:name="_Toc24119"/>
      <w:bookmarkStart w:id="196" w:name="_Toc29907"/>
      <w:bookmarkStart w:id="197" w:name="_Toc24005"/>
      <w:r>
        <w:rPr>
          <w:rFonts w:hint="eastAsia"/>
          <w:color w:val="auto"/>
          <w:highlight w:val="none"/>
        </w:rPr>
        <w:t>到货验收</w:t>
      </w:r>
      <w:bookmarkEnd w:id="194"/>
      <w:bookmarkEnd w:id="195"/>
      <w:bookmarkEnd w:id="196"/>
      <w:bookmarkEnd w:id="197"/>
    </w:p>
    <w:p>
      <w:pPr>
        <w:pStyle w:val="21"/>
        <w:spacing w:line="600" w:lineRule="exact"/>
        <w:rPr>
          <w:highlight w:val="none"/>
        </w:rPr>
      </w:pPr>
      <w:r>
        <w:rPr>
          <w:rFonts w:hint="eastAsia"/>
          <w:highlight w:val="none"/>
        </w:rPr>
        <w:t>根据中标产品的技术规范要求和质量标准，对产品进行检查验收，对产品有异议，招标方有权当场拒收。如发现数量不足或有质量等问题，中标方负责按照招标方的要求采取补足、更换或退货等处理措施，并承担由此发生的一切损失和费用。</w:t>
      </w:r>
    </w:p>
    <w:p>
      <w:pPr>
        <w:pStyle w:val="21"/>
        <w:numPr>
          <w:ilvl w:val="0"/>
          <w:numId w:val="13"/>
        </w:numPr>
        <w:spacing w:line="600" w:lineRule="exact"/>
        <w:ind w:left="0" w:firstLine="431" w:firstLineChars="0"/>
        <w:rPr>
          <w:highlight w:val="none"/>
        </w:rPr>
      </w:pPr>
      <w:r>
        <w:rPr>
          <w:rFonts w:hint="eastAsia"/>
          <w:highlight w:val="none"/>
        </w:rPr>
        <w:t>产品设备齐全，包装完整，经开箱检查后型号及规格与合同设备清单一致，设备加电检测工作正常后，视为到货验收合格。</w:t>
      </w:r>
    </w:p>
    <w:p>
      <w:pPr>
        <w:pStyle w:val="4"/>
        <w:tabs>
          <w:tab w:val="left" w:pos="756"/>
          <w:tab w:val="clear" w:pos="576"/>
        </w:tabs>
        <w:spacing w:before="156" w:after="156" w:line="600" w:lineRule="exact"/>
        <w:ind w:left="578" w:hanging="578"/>
        <w:rPr>
          <w:color w:val="auto"/>
          <w:highlight w:val="none"/>
        </w:rPr>
      </w:pPr>
      <w:bookmarkStart w:id="198" w:name="_Toc32538"/>
      <w:bookmarkStart w:id="199" w:name="_Toc19216"/>
      <w:bookmarkStart w:id="200" w:name="_Toc317236949"/>
      <w:bookmarkStart w:id="201" w:name="_Toc1089"/>
      <w:bookmarkStart w:id="202" w:name="_Toc3132"/>
      <w:bookmarkStart w:id="203" w:name="_Toc12490"/>
      <w:bookmarkStart w:id="204" w:name="_Toc11089"/>
      <w:bookmarkStart w:id="205" w:name="_Toc523850218"/>
      <w:bookmarkStart w:id="206" w:name="_Toc271893796"/>
      <w:bookmarkStart w:id="207" w:name="_Toc17697"/>
      <w:r>
        <w:rPr>
          <w:rFonts w:hint="eastAsia"/>
          <w:color w:val="auto"/>
          <w:highlight w:val="none"/>
        </w:rPr>
        <w:t>竣工验收</w:t>
      </w:r>
      <w:bookmarkEnd w:id="198"/>
      <w:bookmarkEnd w:id="199"/>
      <w:bookmarkEnd w:id="200"/>
      <w:bookmarkEnd w:id="201"/>
      <w:bookmarkEnd w:id="202"/>
      <w:bookmarkEnd w:id="203"/>
      <w:bookmarkEnd w:id="204"/>
      <w:bookmarkEnd w:id="205"/>
      <w:bookmarkEnd w:id="206"/>
      <w:bookmarkEnd w:id="207"/>
    </w:p>
    <w:p>
      <w:pPr>
        <w:pStyle w:val="22"/>
        <w:numPr>
          <w:ilvl w:val="1"/>
          <w:numId w:val="14"/>
        </w:numPr>
        <w:spacing w:line="600" w:lineRule="exact"/>
        <w:ind w:left="0" w:firstLine="426"/>
        <w:rPr>
          <w:highlight w:val="none"/>
        </w:rPr>
      </w:pPr>
      <w:r>
        <w:rPr>
          <w:rFonts w:hint="eastAsia"/>
          <w:highlight w:val="none"/>
        </w:rPr>
        <w:t>试运行期为1个月，试运行期间内将对</w:t>
      </w:r>
      <w:r>
        <w:rPr>
          <w:rFonts w:hint="eastAsia"/>
          <w:highlight w:val="none"/>
          <w:lang w:val="en-US" w:eastAsia="zh-CN"/>
        </w:rPr>
        <w:t>设备</w:t>
      </w:r>
      <w:r>
        <w:rPr>
          <w:rFonts w:hint="eastAsia"/>
          <w:highlight w:val="none"/>
        </w:rPr>
        <w:t>的稳定性和可靠性进行观察</w:t>
      </w:r>
      <w:r>
        <w:rPr>
          <w:rFonts w:hint="eastAsia"/>
          <w:highlight w:val="none"/>
          <w:lang w:eastAsia="zh-CN"/>
        </w:rPr>
        <w:t>，</w:t>
      </w:r>
      <w:r>
        <w:rPr>
          <w:rFonts w:hint="eastAsia"/>
          <w:highlight w:val="none"/>
        </w:rPr>
        <w:t>作为试运行验收测试的内容。在此期间由于产品设计、性能及集成等方面出现的问题均应由中标方免费负责及时处理，但在修复后重新进行试运行。</w:t>
      </w:r>
    </w:p>
    <w:p>
      <w:pPr>
        <w:pStyle w:val="22"/>
        <w:numPr>
          <w:ilvl w:val="1"/>
          <w:numId w:val="14"/>
        </w:numPr>
        <w:spacing w:line="600" w:lineRule="exact"/>
        <w:ind w:left="0" w:firstLine="426"/>
        <w:rPr>
          <w:highlight w:val="none"/>
        </w:rPr>
      </w:pPr>
      <w:r>
        <w:rPr>
          <w:rFonts w:hint="eastAsia" w:ascii="宋体" w:hAnsi="宋体"/>
          <w:highlight w:val="none"/>
        </w:rPr>
        <w:t>产品以及整个系统运行正常，且试运行期满后，提交试运行报告及测试报告后，申请竣工验收</w:t>
      </w:r>
      <w:r>
        <w:rPr>
          <w:rFonts w:hint="eastAsia"/>
          <w:highlight w:val="none"/>
        </w:rPr>
        <w:t>。</w:t>
      </w:r>
    </w:p>
    <w:p>
      <w:pPr>
        <w:pStyle w:val="22"/>
        <w:numPr>
          <w:ilvl w:val="1"/>
          <w:numId w:val="14"/>
        </w:numPr>
        <w:spacing w:line="600" w:lineRule="exact"/>
        <w:ind w:left="0" w:firstLine="426"/>
        <w:rPr>
          <w:highlight w:val="none"/>
        </w:rPr>
      </w:pPr>
      <w:r>
        <w:rPr>
          <w:rFonts w:hint="eastAsia"/>
          <w:highlight w:val="none"/>
        </w:rPr>
        <w:t>自招标方、中标方双方签署竣工验收报告之日起，合同产品进入质保期。</w:t>
      </w:r>
    </w:p>
    <w:p>
      <w:pPr>
        <w:pStyle w:val="3"/>
        <w:tabs>
          <w:tab w:val="left" w:pos="0"/>
          <w:tab w:val="clear" w:pos="432"/>
        </w:tabs>
        <w:spacing w:before="156" w:after="156" w:line="600" w:lineRule="exact"/>
        <w:ind w:left="2" w:leftChars="-58" w:hanging="141" w:hangingChars="50"/>
        <w:rPr>
          <w:highlight w:val="none"/>
        </w:rPr>
      </w:pPr>
      <w:bookmarkStart w:id="208" w:name="_Toc19456"/>
      <w:bookmarkStart w:id="209" w:name="_Toc330"/>
      <w:bookmarkStart w:id="210" w:name="_Toc30871"/>
      <w:bookmarkStart w:id="211" w:name="_Toc4117"/>
      <w:r>
        <w:rPr>
          <w:rFonts w:hint="eastAsia"/>
          <w:highlight w:val="none"/>
        </w:rPr>
        <w:t>结算及归档</w:t>
      </w:r>
      <w:bookmarkEnd w:id="208"/>
      <w:bookmarkEnd w:id="209"/>
      <w:bookmarkEnd w:id="210"/>
      <w:bookmarkEnd w:id="211"/>
    </w:p>
    <w:p>
      <w:pPr>
        <w:pStyle w:val="22"/>
        <w:spacing w:line="600" w:lineRule="exact"/>
        <w:ind w:firstLine="480" w:firstLineChars="200"/>
        <w:rPr>
          <w:rFonts w:cs="宋体"/>
          <w:kern w:val="0"/>
          <w:highlight w:val="none"/>
        </w:rPr>
      </w:pPr>
      <w:r>
        <w:rPr>
          <w:rFonts w:hint="eastAsia" w:cs="宋体"/>
          <w:kern w:val="0"/>
          <w:highlight w:val="none"/>
        </w:rPr>
        <w:t>竣工验收后，中标方须配合招标方按项目建设相关规定在15天内完成合同结算工作，按档案归档相关规定在45天内完成归档工作。</w:t>
      </w:r>
    </w:p>
    <w:p>
      <w:pPr>
        <w:pStyle w:val="3"/>
        <w:tabs>
          <w:tab w:val="left" w:pos="0"/>
          <w:tab w:val="clear" w:pos="432"/>
        </w:tabs>
        <w:spacing w:before="156" w:after="156" w:line="600" w:lineRule="exact"/>
        <w:ind w:left="2" w:leftChars="-58" w:hanging="141" w:hangingChars="50"/>
        <w:rPr>
          <w:highlight w:val="none"/>
        </w:rPr>
      </w:pPr>
      <w:bookmarkStart w:id="212" w:name="_Toc23754"/>
      <w:bookmarkStart w:id="213" w:name="_Toc23748"/>
      <w:bookmarkStart w:id="214" w:name="_Toc13256"/>
      <w:bookmarkStart w:id="215" w:name="_Toc6275"/>
      <w:bookmarkStart w:id="216" w:name="_Toc13240"/>
      <w:bookmarkStart w:id="217" w:name="_Toc13761"/>
      <w:r>
        <w:rPr>
          <w:rFonts w:hint="eastAsia"/>
          <w:highlight w:val="none"/>
        </w:rPr>
        <w:t>项目考核</w:t>
      </w:r>
      <w:bookmarkEnd w:id="212"/>
      <w:bookmarkEnd w:id="213"/>
      <w:bookmarkEnd w:id="214"/>
      <w:bookmarkEnd w:id="215"/>
      <w:bookmarkEnd w:id="216"/>
      <w:bookmarkEnd w:id="217"/>
    </w:p>
    <w:p>
      <w:pPr>
        <w:spacing w:line="600" w:lineRule="exact"/>
        <w:ind w:firstLine="480"/>
        <w:rPr>
          <w:rFonts w:hAnsi="宋体"/>
          <w:szCs w:val="22"/>
          <w:highlight w:val="none"/>
        </w:rPr>
      </w:pPr>
      <w:r>
        <w:rPr>
          <w:rFonts w:hint="eastAsia" w:cs="宋体"/>
          <w:kern w:val="0"/>
          <w:highlight w:val="none"/>
        </w:rPr>
        <w:t>海南电网在项目验收前根据下表所列考核方法对项目进行考核，按合同款比例向乙方收缴违约金。如考核金额超过10%的合同款，乙方将被列入黑名单；如考核金额大于剩余合同款项，海南电网将立即终止合同。考核条款执行时以要求最严格项为准：</w:t>
      </w:r>
      <w:r>
        <w:rPr>
          <w:rFonts w:hint="eastAsia" w:hAnsi="宋体"/>
          <w:szCs w:val="22"/>
          <w:highlight w:val="none"/>
        </w:rPr>
        <w:t xml:space="preserve"> </w:t>
      </w:r>
    </w:p>
    <w:tbl>
      <w:tblPr>
        <w:tblStyle w:val="14"/>
        <w:tblW w:w="8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3600"/>
        <w:gridCol w:w="4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highlight w:val="none"/>
              </w:rPr>
            </w:pPr>
            <w:r>
              <w:rPr>
                <w:rFonts w:hint="eastAsia" w:hAnsi="宋体"/>
                <w:b/>
                <w:bCs/>
                <w:color w:val="auto"/>
                <w:sz w:val="21"/>
                <w:szCs w:val="21"/>
                <w:highlight w:val="none"/>
              </w:rPr>
              <w:t>序号</w:t>
            </w:r>
          </w:p>
        </w:tc>
        <w:tc>
          <w:tcPr>
            <w:tcW w:w="3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422"/>
              <w:jc w:val="center"/>
              <w:textAlignment w:val="auto"/>
              <w:rPr>
                <w:color w:val="auto"/>
                <w:sz w:val="21"/>
                <w:szCs w:val="21"/>
                <w:highlight w:val="none"/>
              </w:rPr>
            </w:pPr>
            <w:r>
              <w:rPr>
                <w:rFonts w:hint="eastAsia" w:hAnsi="宋体"/>
                <w:b/>
                <w:bCs/>
                <w:color w:val="auto"/>
                <w:sz w:val="21"/>
                <w:szCs w:val="21"/>
                <w:highlight w:val="none"/>
              </w:rPr>
              <w:t>考核点</w:t>
            </w:r>
          </w:p>
        </w:tc>
        <w:tc>
          <w:tcPr>
            <w:tcW w:w="433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422"/>
              <w:jc w:val="center"/>
              <w:textAlignment w:val="auto"/>
              <w:rPr>
                <w:color w:val="auto"/>
                <w:sz w:val="21"/>
                <w:szCs w:val="21"/>
                <w:highlight w:val="none"/>
              </w:rPr>
            </w:pPr>
            <w:r>
              <w:rPr>
                <w:rFonts w:hint="eastAsia" w:hAnsi="宋体"/>
                <w:b/>
                <w:bCs/>
                <w:color w:val="auto"/>
                <w:sz w:val="21"/>
                <w:szCs w:val="21"/>
                <w:highlight w:val="none"/>
              </w:rPr>
              <w:t>考核标准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highlight w:val="none"/>
              </w:rPr>
            </w:pPr>
            <w:r>
              <w:rPr>
                <w:rFonts w:hint="eastAsia" w:hAnsi="宋体"/>
                <w:color w:val="auto"/>
                <w:sz w:val="21"/>
                <w:szCs w:val="21"/>
                <w:highlight w:val="none"/>
              </w:rPr>
              <w:t>1</w:t>
            </w:r>
          </w:p>
        </w:tc>
        <w:tc>
          <w:tcPr>
            <w:tcW w:w="3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color w:val="auto"/>
                <w:sz w:val="21"/>
                <w:szCs w:val="21"/>
                <w:highlight w:val="none"/>
              </w:rPr>
            </w:pPr>
            <w:r>
              <w:rPr>
                <w:rFonts w:hint="eastAsia" w:hAnsi="宋体"/>
                <w:color w:val="auto"/>
                <w:sz w:val="21"/>
                <w:szCs w:val="21"/>
                <w:highlight w:val="none"/>
              </w:rPr>
              <w:t>信息安全责任事件</w:t>
            </w:r>
          </w:p>
        </w:tc>
        <w:tc>
          <w:tcPr>
            <w:tcW w:w="433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Ansi="宋体"/>
                <w:color w:val="auto"/>
                <w:sz w:val="21"/>
                <w:szCs w:val="21"/>
                <w:highlight w:val="none"/>
              </w:rPr>
            </w:pPr>
            <w:r>
              <w:rPr>
                <w:rFonts w:hint="eastAsia" w:hAnsi="宋体"/>
                <w:color w:val="auto"/>
                <w:sz w:val="21"/>
                <w:szCs w:val="21"/>
                <w:highlight w:val="none"/>
              </w:rPr>
              <w:t>每通报1起有责任的一级信息安全事件，考核金额为</w:t>
            </w:r>
            <w:r>
              <w:rPr>
                <w:rFonts w:hAnsi="宋体"/>
                <w:color w:val="auto"/>
                <w:sz w:val="21"/>
                <w:szCs w:val="21"/>
                <w:highlight w:val="none"/>
              </w:rPr>
              <w:t>50</w:t>
            </w:r>
            <w:r>
              <w:rPr>
                <w:rFonts w:hint="eastAsia" w:hAnsi="宋体"/>
                <w:color w:val="auto"/>
                <w:sz w:val="21"/>
                <w:szCs w:val="21"/>
                <w:highlight w:val="none"/>
              </w:rPr>
              <w:t>%合同款。</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Ansi="宋体"/>
                <w:color w:val="auto"/>
                <w:sz w:val="21"/>
                <w:szCs w:val="21"/>
                <w:highlight w:val="none"/>
              </w:rPr>
            </w:pPr>
            <w:r>
              <w:rPr>
                <w:rFonts w:hint="eastAsia" w:hAnsi="宋体"/>
                <w:color w:val="auto"/>
                <w:sz w:val="21"/>
                <w:szCs w:val="21"/>
                <w:highlight w:val="none"/>
              </w:rPr>
              <w:t>每通报1起有责任的二级信息安全事件，考核金额为40%合同款。</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Ansi="宋体"/>
                <w:color w:val="auto"/>
                <w:sz w:val="21"/>
                <w:szCs w:val="21"/>
                <w:highlight w:val="none"/>
              </w:rPr>
            </w:pPr>
            <w:r>
              <w:rPr>
                <w:rFonts w:hint="eastAsia" w:hAnsi="宋体"/>
                <w:color w:val="auto"/>
                <w:sz w:val="21"/>
                <w:szCs w:val="21"/>
                <w:highlight w:val="none"/>
              </w:rPr>
              <w:t>每通报1起有责任的三级信息安全事件，考核金额为30%合同款。</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color w:val="auto"/>
                <w:sz w:val="21"/>
                <w:szCs w:val="21"/>
                <w:highlight w:val="none"/>
              </w:rPr>
            </w:pPr>
            <w:r>
              <w:rPr>
                <w:rFonts w:hint="eastAsia" w:hAnsi="宋体"/>
                <w:color w:val="auto"/>
                <w:sz w:val="21"/>
                <w:szCs w:val="21"/>
                <w:highlight w:val="none"/>
              </w:rPr>
              <w:t>每通报1起有责任的四级信息安全事件，考核金额为20%合同款。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highlight w:val="none"/>
              </w:rPr>
            </w:pPr>
            <w:r>
              <w:rPr>
                <w:rFonts w:hint="eastAsia" w:hAnsi="宋体"/>
                <w:color w:val="auto"/>
                <w:sz w:val="21"/>
                <w:szCs w:val="21"/>
                <w:highlight w:val="none"/>
              </w:rPr>
              <w:t>2</w:t>
            </w:r>
          </w:p>
        </w:tc>
        <w:tc>
          <w:tcPr>
            <w:tcW w:w="3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color w:val="auto"/>
                <w:sz w:val="21"/>
                <w:szCs w:val="21"/>
                <w:highlight w:val="none"/>
              </w:rPr>
            </w:pPr>
            <w:r>
              <w:rPr>
                <w:rFonts w:hint="eastAsia" w:hAnsi="宋体"/>
                <w:color w:val="auto"/>
                <w:sz w:val="21"/>
                <w:szCs w:val="21"/>
                <w:highlight w:val="none"/>
              </w:rPr>
              <w:t>里程碑节点滞后</w:t>
            </w:r>
          </w:p>
        </w:tc>
        <w:tc>
          <w:tcPr>
            <w:tcW w:w="433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color w:val="auto"/>
                <w:sz w:val="21"/>
                <w:szCs w:val="21"/>
                <w:highlight w:val="none"/>
              </w:rPr>
            </w:pPr>
            <w:r>
              <w:rPr>
                <w:rFonts w:hint="eastAsia" w:hAnsi="宋体"/>
                <w:color w:val="auto"/>
                <w:sz w:val="21"/>
                <w:szCs w:val="21"/>
                <w:highlight w:val="none"/>
              </w:rPr>
              <w:t>因投标方原因里程碑滞后，每通报1次，扣除0.2%合同款，通报包括但不限于数字化工作简报、项目简报、公函等形式。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highlight w:val="none"/>
              </w:rPr>
            </w:pPr>
            <w:r>
              <w:rPr>
                <w:rFonts w:hint="eastAsia" w:hAnsi="宋体"/>
                <w:color w:val="auto"/>
                <w:sz w:val="21"/>
                <w:szCs w:val="21"/>
                <w:highlight w:val="none"/>
              </w:rPr>
              <w:t>3</w:t>
            </w:r>
          </w:p>
        </w:tc>
        <w:tc>
          <w:tcPr>
            <w:tcW w:w="3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color w:val="auto"/>
                <w:sz w:val="21"/>
                <w:szCs w:val="21"/>
                <w:highlight w:val="none"/>
              </w:rPr>
            </w:pPr>
            <w:r>
              <w:rPr>
                <w:rFonts w:hint="eastAsia" w:hAnsi="宋体"/>
                <w:color w:val="auto"/>
                <w:sz w:val="21"/>
                <w:szCs w:val="21"/>
                <w:highlight w:val="none"/>
              </w:rPr>
              <w:t>未按照方案提交交付物或交付质量不高（如验收不通过、成果评审未通过等）</w:t>
            </w:r>
          </w:p>
        </w:tc>
        <w:tc>
          <w:tcPr>
            <w:tcW w:w="433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color w:val="auto"/>
                <w:sz w:val="21"/>
                <w:szCs w:val="21"/>
                <w:highlight w:val="none"/>
              </w:rPr>
            </w:pPr>
            <w:r>
              <w:rPr>
                <w:rFonts w:hint="eastAsia" w:hAnsi="宋体"/>
                <w:color w:val="auto"/>
                <w:sz w:val="21"/>
                <w:szCs w:val="21"/>
                <w:highlight w:val="none"/>
              </w:rPr>
              <w:t>每出现或被通报1次，考核金额为0.2%合同款，通报包括但不限于数字化工作简报、项目简报、公函、验收组意见、评审意见等形式。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highlight w:val="none"/>
              </w:rPr>
            </w:pPr>
            <w:r>
              <w:rPr>
                <w:rFonts w:hint="eastAsia" w:hAnsi="宋体"/>
                <w:color w:val="auto"/>
                <w:sz w:val="21"/>
                <w:szCs w:val="21"/>
                <w:highlight w:val="none"/>
              </w:rPr>
              <w:t>4</w:t>
            </w:r>
          </w:p>
        </w:tc>
        <w:tc>
          <w:tcPr>
            <w:tcW w:w="3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color w:val="auto"/>
                <w:sz w:val="21"/>
                <w:szCs w:val="21"/>
                <w:highlight w:val="none"/>
              </w:rPr>
            </w:pPr>
            <w:r>
              <w:rPr>
                <w:rFonts w:hint="eastAsia" w:hAnsi="宋体"/>
                <w:color w:val="auto"/>
                <w:sz w:val="21"/>
                <w:szCs w:val="21"/>
                <w:highlight w:val="none"/>
              </w:rPr>
              <w:t>工作完成质量不高或工作滞后</w:t>
            </w:r>
          </w:p>
        </w:tc>
        <w:tc>
          <w:tcPr>
            <w:tcW w:w="433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color w:val="auto"/>
                <w:sz w:val="21"/>
                <w:szCs w:val="21"/>
                <w:highlight w:val="none"/>
              </w:rPr>
            </w:pPr>
            <w:r>
              <w:rPr>
                <w:rFonts w:hint="eastAsia" w:hAnsi="宋体"/>
                <w:color w:val="auto"/>
                <w:sz w:val="21"/>
                <w:szCs w:val="21"/>
                <w:highlight w:val="none"/>
              </w:rPr>
              <w:t>因工作完成质量不高或工作滞后每被约谈1次，考核金额为0.2%合同款，约谈包括但不限于数字化管理部门、业务主管部门、建设单位或项目经理约谈。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highlight w:val="none"/>
              </w:rPr>
            </w:pPr>
            <w:r>
              <w:rPr>
                <w:rFonts w:hint="eastAsia" w:hAnsi="宋体"/>
                <w:color w:val="auto"/>
                <w:sz w:val="21"/>
                <w:szCs w:val="21"/>
                <w:highlight w:val="none"/>
              </w:rPr>
              <w:t>5</w:t>
            </w:r>
          </w:p>
        </w:tc>
        <w:tc>
          <w:tcPr>
            <w:tcW w:w="3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hAnsi="宋体"/>
                <w:color w:val="auto"/>
                <w:sz w:val="21"/>
                <w:szCs w:val="21"/>
                <w:highlight w:val="none"/>
              </w:rPr>
            </w:pPr>
            <w:r>
              <w:rPr>
                <w:rFonts w:hint="eastAsia" w:hAnsi="宋体"/>
                <w:color w:val="auto"/>
                <w:sz w:val="21"/>
                <w:szCs w:val="21"/>
                <w:highlight w:val="none"/>
              </w:rPr>
              <w:t>1）工作失误</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hAnsi="宋体"/>
                <w:color w:val="auto"/>
                <w:sz w:val="21"/>
                <w:szCs w:val="21"/>
                <w:highlight w:val="none"/>
              </w:rPr>
            </w:pPr>
            <w:r>
              <w:rPr>
                <w:rFonts w:hint="eastAsia" w:hAnsi="宋体"/>
                <w:color w:val="auto"/>
                <w:sz w:val="21"/>
                <w:szCs w:val="21"/>
                <w:highlight w:val="none"/>
              </w:rPr>
              <w:t>2）操作违规，存在无票操作，擅自扩大工作范围等违纪行为</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hAnsi="宋体"/>
                <w:color w:val="auto"/>
                <w:sz w:val="21"/>
                <w:szCs w:val="21"/>
                <w:highlight w:val="none"/>
              </w:rPr>
            </w:pPr>
            <w:r>
              <w:rPr>
                <w:rFonts w:hint="eastAsia" w:hAnsi="宋体"/>
                <w:color w:val="auto"/>
                <w:sz w:val="21"/>
                <w:szCs w:val="21"/>
                <w:highlight w:val="none"/>
              </w:rPr>
              <w:t>3）不遵守招标方纪律要求</w:t>
            </w:r>
          </w:p>
        </w:tc>
        <w:tc>
          <w:tcPr>
            <w:tcW w:w="433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hAnsi="宋体"/>
                <w:color w:val="auto"/>
                <w:sz w:val="21"/>
                <w:szCs w:val="21"/>
                <w:highlight w:val="none"/>
              </w:rPr>
            </w:pPr>
            <w:r>
              <w:rPr>
                <w:rFonts w:hint="eastAsia" w:hAnsi="宋体"/>
                <w:color w:val="auto"/>
                <w:sz w:val="21"/>
                <w:szCs w:val="21"/>
                <w:highlight w:val="none"/>
              </w:rPr>
              <w:t>每通报1次，考核金额为1-5%合同款</w:t>
            </w:r>
            <w:r>
              <w:rPr>
                <w:rFonts w:hint="eastAsia" w:hAnsi="宋体"/>
                <w:color w:val="auto"/>
                <w:sz w:val="21"/>
                <w:szCs w:val="21"/>
                <w:highlight w:val="none"/>
                <w:lang w:eastAsia="zh-CN"/>
              </w:rPr>
              <w:t>，</w:t>
            </w:r>
            <w:r>
              <w:rPr>
                <w:rFonts w:hint="eastAsia" w:hAnsi="宋体"/>
                <w:color w:val="auto"/>
                <w:sz w:val="21"/>
                <w:szCs w:val="21"/>
                <w:highlight w:val="none"/>
              </w:rPr>
              <w:t>通报包括但不限于数字化工作简报、项目简报、公函等形式。造成重大影响的，酌情加重考核。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highlight w:val="none"/>
              </w:rPr>
            </w:pPr>
            <w:r>
              <w:rPr>
                <w:rFonts w:hint="eastAsia" w:hAnsi="宋体"/>
                <w:color w:val="auto"/>
                <w:sz w:val="21"/>
                <w:szCs w:val="21"/>
                <w:highlight w:val="none"/>
              </w:rPr>
              <w:t>6</w:t>
            </w:r>
          </w:p>
        </w:tc>
        <w:tc>
          <w:tcPr>
            <w:tcW w:w="3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hAnsi="宋体"/>
                <w:color w:val="auto"/>
                <w:sz w:val="21"/>
                <w:szCs w:val="21"/>
                <w:highlight w:val="none"/>
              </w:rPr>
            </w:pPr>
            <w:r>
              <w:rPr>
                <w:rFonts w:hint="eastAsia" w:hAnsi="宋体"/>
                <w:color w:val="auto"/>
                <w:sz w:val="21"/>
                <w:szCs w:val="21"/>
                <w:highlight w:val="none"/>
              </w:rPr>
              <w:t>服务质量不高</w:t>
            </w:r>
          </w:p>
        </w:tc>
        <w:tc>
          <w:tcPr>
            <w:tcW w:w="433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hAnsi="宋体"/>
                <w:color w:val="auto"/>
                <w:sz w:val="21"/>
                <w:szCs w:val="21"/>
                <w:highlight w:val="none"/>
              </w:rPr>
            </w:pPr>
            <w:r>
              <w:rPr>
                <w:rFonts w:hint="eastAsia" w:hAnsi="宋体"/>
                <w:color w:val="auto"/>
                <w:sz w:val="21"/>
                <w:szCs w:val="21"/>
                <w:highlight w:val="none"/>
              </w:rPr>
              <w:t>项目结算时，数字化管理部门组织</w:t>
            </w:r>
            <w:r>
              <w:rPr>
                <w:rFonts w:hint="eastAsia" w:hAnsi="宋体"/>
                <w:color w:val="auto"/>
                <w:sz w:val="21"/>
                <w:szCs w:val="21"/>
                <w:highlight w:val="none"/>
                <w:lang w:val="en-US" w:eastAsia="zh-CN"/>
              </w:rPr>
              <w:t>需求</w:t>
            </w:r>
            <w:r>
              <w:rPr>
                <w:rFonts w:hint="eastAsia" w:hAnsi="宋体"/>
                <w:color w:val="auto"/>
                <w:sz w:val="21"/>
                <w:szCs w:val="21"/>
                <w:highlight w:val="none"/>
              </w:rPr>
              <w:t>部门和建设单位对投标方服务质量进行评价</w:t>
            </w:r>
            <w:r>
              <w:rPr>
                <w:rFonts w:hint="eastAsia" w:hAnsi="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hAnsi="宋体"/>
                <w:color w:val="auto"/>
                <w:sz w:val="21"/>
                <w:szCs w:val="21"/>
                <w:highlight w:val="none"/>
              </w:rPr>
            </w:pPr>
            <w:r>
              <w:rPr>
                <w:rFonts w:hint="eastAsia" w:hAnsi="宋体"/>
                <w:color w:val="auto"/>
                <w:sz w:val="21"/>
                <w:szCs w:val="21"/>
                <w:highlight w:val="none"/>
                <w:lang w:val="en-US" w:eastAsia="zh-CN"/>
              </w:rPr>
              <w:t>95</w:t>
            </w:r>
            <w:r>
              <w:rPr>
                <w:rFonts w:hint="eastAsia" w:hAnsi="宋体"/>
                <w:color w:val="auto"/>
                <w:sz w:val="21"/>
                <w:szCs w:val="21"/>
                <w:highlight w:val="none"/>
              </w:rPr>
              <w:t>-100分：不扣款</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hAnsi="宋体"/>
                <w:color w:val="auto"/>
                <w:sz w:val="21"/>
                <w:szCs w:val="21"/>
                <w:highlight w:val="none"/>
              </w:rPr>
            </w:pPr>
            <w:r>
              <w:rPr>
                <w:rFonts w:hint="eastAsia" w:hAnsi="宋体"/>
                <w:color w:val="auto"/>
                <w:sz w:val="21"/>
                <w:szCs w:val="21"/>
                <w:highlight w:val="none"/>
                <w:lang w:val="en-US" w:eastAsia="zh-CN"/>
              </w:rPr>
              <w:t>90</w:t>
            </w:r>
            <w:r>
              <w:rPr>
                <w:rFonts w:hint="eastAsia" w:hAnsi="宋体"/>
                <w:color w:val="auto"/>
                <w:sz w:val="21"/>
                <w:szCs w:val="21"/>
                <w:highlight w:val="none"/>
              </w:rPr>
              <w:t>-</w:t>
            </w:r>
            <w:r>
              <w:rPr>
                <w:rFonts w:hint="eastAsia" w:hAnsi="宋体"/>
                <w:color w:val="auto"/>
                <w:sz w:val="21"/>
                <w:szCs w:val="21"/>
                <w:highlight w:val="none"/>
                <w:lang w:val="en-US" w:eastAsia="zh-CN"/>
              </w:rPr>
              <w:t>9</w:t>
            </w:r>
            <w:r>
              <w:rPr>
                <w:rFonts w:hint="eastAsia" w:hAnsi="宋体"/>
                <w:color w:val="auto"/>
                <w:sz w:val="21"/>
                <w:szCs w:val="21"/>
                <w:highlight w:val="none"/>
              </w:rPr>
              <w:t>4分：</w:t>
            </w:r>
            <w:r>
              <w:rPr>
                <w:rFonts w:hint="eastAsia" w:hAnsi="宋体"/>
                <w:color w:val="auto"/>
                <w:sz w:val="21"/>
                <w:szCs w:val="21"/>
                <w:highlight w:val="none"/>
                <w:lang w:val="en-US" w:eastAsia="zh-CN"/>
              </w:rPr>
              <w:t>每少一分，</w:t>
            </w:r>
            <w:r>
              <w:rPr>
                <w:rFonts w:hint="eastAsia" w:hAnsi="宋体"/>
                <w:color w:val="auto"/>
                <w:sz w:val="21"/>
                <w:szCs w:val="21"/>
                <w:highlight w:val="none"/>
              </w:rPr>
              <w:t>扣0.0</w:t>
            </w:r>
            <w:r>
              <w:rPr>
                <w:rFonts w:hint="eastAsia" w:hAnsi="宋体"/>
                <w:color w:val="auto"/>
                <w:sz w:val="21"/>
                <w:szCs w:val="21"/>
                <w:highlight w:val="none"/>
                <w:lang w:val="en-US" w:eastAsia="zh-CN"/>
              </w:rPr>
              <w:t>5</w:t>
            </w:r>
            <w:r>
              <w:rPr>
                <w:rFonts w:hint="eastAsia" w:hAnsi="宋体"/>
                <w:color w:val="auto"/>
                <w:sz w:val="21"/>
                <w:szCs w:val="21"/>
                <w:highlight w:val="none"/>
              </w:rPr>
              <w:t>%合同款</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hAnsi="宋体"/>
                <w:color w:val="auto"/>
                <w:sz w:val="21"/>
                <w:szCs w:val="21"/>
                <w:highlight w:val="none"/>
              </w:rPr>
            </w:pPr>
            <w:r>
              <w:rPr>
                <w:rFonts w:hint="eastAsia" w:hAnsi="宋体"/>
                <w:color w:val="auto"/>
                <w:sz w:val="21"/>
                <w:szCs w:val="21"/>
                <w:highlight w:val="none"/>
                <w:lang w:val="en-US" w:eastAsia="zh-CN"/>
              </w:rPr>
              <w:t>80</w:t>
            </w:r>
            <w:r>
              <w:rPr>
                <w:rFonts w:hint="eastAsia" w:hAnsi="宋体"/>
                <w:color w:val="auto"/>
                <w:sz w:val="21"/>
                <w:szCs w:val="21"/>
                <w:highlight w:val="none"/>
              </w:rPr>
              <w:t>-</w:t>
            </w:r>
            <w:r>
              <w:rPr>
                <w:rFonts w:hint="eastAsia" w:hAnsi="宋体"/>
                <w:color w:val="auto"/>
                <w:sz w:val="21"/>
                <w:szCs w:val="21"/>
                <w:highlight w:val="none"/>
                <w:lang w:val="en-US" w:eastAsia="zh-CN"/>
              </w:rPr>
              <w:t>89</w:t>
            </w:r>
            <w:r>
              <w:rPr>
                <w:rFonts w:hint="eastAsia" w:hAnsi="宋体"/>
                <w:color w:val="auto"/>
                <w:sz w:val="21"/>
                <w:szCs w:val="21"/>
                <w:highlight w:val="none"/>
              </w:rPr>
              <w:t>分：</w:t>
            </w:r>
            <w:r>
              <w:rPr>
                <w:rFonts w:hint="eastAsia" w:hAnsi="宋体"/>
                <w:color w:val="auto"/>
                <w:sz w:val="21"/>
                <w:szCs w:val="21"/>
                <w:highlight w:val="none"/>
                <w:lang w:val="en-US" w:eastAsia="zh-CN"/>
              </w:rPr>
              <w:t>每少一分，</w:t>
            </w:r>
            <w:r>
              <w:rPr>
                <w:rFonts w:hint="eastAsia" w:hAnsi="宋体"/>
                <w:color w:val="auto"/>
                <w:sz w:val="21"/>
                <w:szCs w:val="21"/>
                <w:highlight w:val="none"/>
              </w:rPr>
              <w:t>扣0.</w:t>
            </w:r>
            <w:r>
              <w:rPr>
                <w:rFonts w:hint="eastAsia" w:hAnsi="宋体"/>
                <w:color w:val="auto"/>
                <w:sz w:val="21"/>
                <w:szCs w:val="21"/>
                <w:highlight w:val="none"/>
                <w:lang w:val="en-US" w:eastAsia="zh-CN"/>
              </w:rPr>
              <w:t>1</w:t>
            </w:r>
            <w:r>
              <w:rPr>
                <w:rFonts w:hint="eastAsia" w:hAnsi="宋体"/>
                <w:color w:val="auto"/>
                <w:sz w:val="21"/>
                <w:szCs w:val="21"/>
                <w:highlight w:val="none"/>
              </w:rPr>
              <w:t>%合同款</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hAnsi="宋体"/>
                <w:color w:val="auto"/>
                <w:sz w:val="21"/>
                <w:szCs w:val="21"/>
                <w:highlight w:val="none"/>
              </w:rPr>
            </w:pPr>
            <w:r>
              <w:rPr>
                <w:rFonts w:hint="eastAsia" w:hAnsi="宋体"/>
                <w:color w:val="auto"/>
                <w:sz w:val="21"/>
                <w:szCs w:val="21"/>
                <w:highlight w:val="none"/>
              </w:rPr>
              <w:t>＜</w:t>
            </w:r>
            <w:r>
              <w:rPr>
                <w:rFonts w:hint="eastAsia" w:hAnsi="宋体"/>
                <w:color w:val="auto"/>
                <w:sz w:val="21"/>
                <w:szCs w:val="21"/>
                <w:highlight w:val="none"/>
                <w:lang w:val="en-US" w:eastAsia="zh-CN"/>
              </w:rPr>
              <w:t>80</w:t>
            </w:r>
            <w:r>
              <w:rPr>
                <w:rFonts w:hint="eastAsia" w:hAnsi="宋体"/>
                <w:color w:val="auto"/>
                <w:sz w:val="21"/>
                <w:szCs w:val="21"/>
                <w:highlight w:val="none"/>
              </w:rPr>
              <w:t>分：</w:t>
            </w:r>
            <w:r>
              <w:rPr>
                <w:rFonts w:hint="eastAsia" w:hAnsi="宋体"/>
                <w:color w:val="auto"/>
                <w:sz w:val="21"/>
                <w:szCs w:val="21"/>
                <w:highlight w:val="none"/>
                <w:lang w:val="en-US" w:eastAsia="zh-CN"/>
              </w:rPr>
              <w:t>每少一分，</w:t>
            </w:r>
            <w:r>
              <w:rPr>
                <w:rFonts w:hint="eastAsia" w:hAnsi="宋体"/>
                <w:color w:val="auto"/>
                <w:sz w:val="21"/>
                <w:szCs w:val="21"/>
                <w:highlight w:val="none"/>
              </w:rPr>
              <w:t>扣</w:t>
            </w:r>
            <w:r>
              <w:rPr>
                <w:rFonts w:hint="eastAsia" w:hAnsi="宋体"/>
                <w:color w:val="auto"/>
                <w:sz w:val="21"/>
                <w:szCs w:val="21"/>
                <w:highlight w:val="none"/>
                <w:lang w:val="en-US" w:eastAsia="zh-CN"/>
              </w:rPr>
              <w:t>1</w:t>
            </w:r>
            <w:r>
              <w:rPr>
                <w:rFonts w:hint="eastAsia" w:hAnsi="宋体"/>
                <w:color w:val="auto"/>
                <w:sz w:val="21"/>
                <w:szCs w:val="21"/>
                <w:highlight w:val="none"/>
              </w:rPr>
              <w:t>%合同款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highlight w:val="none"/>
              </w:rPr>
            </w:pPr>
            <w:r>
              <w:rPr>
                <w:rFonts w:hint="eastAsia" w:hAnsi="宋体"/>
                <w:color w:val="auto"/>
                <w:sz w:val="21"/>
                <w:szCs w:val="21"/>
                <w:highlight w:val="none"/>
              </w:rPr>
              <w:t>7</w:t>
            </w:r>
          </w:p>
        </w:tc>
        <w:tc>
          <w:tcPr>
            <w:tcW w:w="3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color w:val="auto"/>
                <w:sz w:val="21"/>
                <w:szCs w:val="21"/>
                <w:highlight w:val="none"/>
              </w:rPr>
            </w:pPr>
            <w:r>
              <w:rPr>
                <w:rFonts w:hint="eastAsia"/>
                <w:color w:val="auto"/>
                <w:sz w:val="21"/>
                <w:szCs w:val="21"/>
                <w:highlight w:val="none"/>
              </w:rPr>
              <w:t>1）中标方到场人数不够</w:t>
            </w:r>
          </w:p>
          <w:p>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color w:val="auto"/>
                <w:sz w:val="21"/>
                <w:szCs w:val="21"/>
                <w:highlight w:val="none"/>
              </w:rPr>
            </w:pPr>
            <w:r>
              <w:rPr>
                <w:rFonts w:hint="eastAsia"/>
                <w:color w:val="auto"/>
                <w:sz w:val="21"/>
                <w:szCs w:val="21"/>
                <w:highlight w:val="none"/>
              </w:rPr>
              <w:t>2）中标方未按照要求配置专职人员</w:t>
            </w:r>
          </w:p>
          <w:p>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eastAsia"/>
                <w:color w:val="auto"/>
                <w:sz w:val="21"/>
                <w:szCs w:val="21"/>
                <w:highlight w:val="none"/>
              </w:rPr>
            </w:pPr>
            <w:r>
              <w:rPr>
                <w:rFonts w:hint="eastAsia"/>
                <w:color w:val="auto"/>
                <w:sz w:val="21"/>
                <w:szCs w:val="21"/>
                <w:highlight w:val="none"/>
              </w:rPr>
              <w:t>3）中标方未经招标方书面同意擅自更换项目经理或项目组人员</w:t>
            </w:r>
          </w:p>
          <w:p>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color w:val="auto"/>
                <w:sz w:val="21"/>
                <w:szCs w:val="21"/>
                <w:highlight w:val="none"/>
              </w:rPr>
            </w:pPr>
            <w:r>
              <w:rPr>
                <w:rFonts w:hint="eastAsia"/>
                <w:color w:val="auto"/>
                <w:sz w:val="21"/>
                <w:szCs w:val="21"/>
                <w:highlight w:val="none"/>
              </w:rPr>
              <w:t>4）中标方人员资质不合</w:t>
            </w:r>
          </w:p>
        </w:tc>
        <w:tc>
          <w:tcPr>
            <w:tcW w:w="433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color w:val="auto"/>
                <w:sz w:val="21"/>
                <w:szCs w:val="21"/>
                <w:highlight w:val="none"/>
              </w:rPr>
            </w:pPr>
            <w:r>
              <w:rPr>
                <w:rFonts w:hint="eastAsia"/>
                <w:color w:val="auto"/>
                <w:sz w:val="21"/>
                <w:szCs w:val="21"/>
                <w:highlight w:val="none"/>
              </w:rPr>
              <w:t>每通报或发现1人次，考核金额为2%合同款</w:t>
            </w:r>
            <w:r>
              <w:rPr>
                <w:rFonts w:hint="eastAsia"/>
                <w:color w:val="auto"/>
                <w:sz w:val="21"/>
                <w:szCs w:val="21"/>
                <w:highlight w:val="none"/>
                <w:lang w:eastAsia="zh-CN"/>
              </w:rPr>
              <w:t>，</w:t>
            </w:r>
            <w:r>
              <w:rPr>
                <w:rFonts w:hint="eastAsia" w:hAnsi="宋体"/>
                <w:color w:val="auto"/>
                <w:sz w:val="21"/>
                <w:szCs w:val="21"/>
                <w:highlight w:val="none"/>
              </w:rPr>
              <w:t>通报包括但不限于数字化工作简报、项目简报、公函、验收组意见、评审意见等形式。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hAnsi="宋体" w:eastAsia="宋体"/>
                <w:color w:val="auto"/>
                <w:sz w:val="21"/>
                <w:szCs w:val="21"/>
                <w:highlight w:val="none"/>
                <w:lang w:val="en-US" w:eastAsia="zh-CN"/>
              </w:rPr>
            </w:pPr>
            <w:r>
              <w:rPr>
                <w:rFonts w:hint="eastAsia" w:hAnsi="宋体"/>
                <w:color w:val="auto"/>
                <w:sz w:val="21"/>
                <w:szCs w:val="21"/>
                <w:highlight w:val="none"/>
                <w:lang w:val="en-US" w:eastAsia="zh-CN"/>
              </w:rPr>
              <w:t>8</w:t>
            </w:r>
          </w:p>
        </w:tc>
        <w:tc>
          <w:tcPr>
            <w:tcW w:w="3600" w:type="dxa"/>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eastAsia"/>
                <w:color w:val="auto"/>
                <w:sz w:val="21"/>
                <w:szCs w:val="21"/>
                <w:highlight w:val="none"/>
                <w:lang w:val="en-US" w:eastAsia="zh-CN"/>
              </w:rPr>
            </w:pPr>
            <w:r>
              <w:rPr>
                <w:rFonts w:hint="eastAsia"/>
                <w:color w:val="auto"/>
                <w:sz w:val="21"/>
                <w:szCs w:val="21"/>
                <w:highlight w:val="none"/>
                <w:lang w:val="en-US" w:eastAsia="zh-CN"/>
              </w:rPr>
              <w:t>售后响应：</w:t>
            </w:r>
            <w:r>
              <w:rPr>
                <w:rFonts w:hint="eastAsia"/>
                <w:color w:val="auto"/>
                <w:sz w:val="21"/>
                <w:szCs w:val="21"/>
                <w:highlight w:val="none"/>
              </w:rPr>
              <w:t>30分钟内响应用户维修和维护要求，需要现场支持的2小时内到达现场</w:t>
            </w:r>
            <w:r>
              <w:rPr>
                <w:rFonts w:hint="eastAsia"/>
                <w:color w:val="auto"/>
                <w:sz w:val="21"/>
                <w:szCs w:val="21"/>
                <w:highlight w:val="none"/>
                <w:lang w:eastAsia="zh-CN"/>
              </w:rPr>
              <w:t>。</w:t>
            </w:r>
          </w:p>
        </w:tc>
        <w:tc>
          <w:tcPr>
            <w:tcW w:w="4339" w:type="dxa"/>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default"/>
                <w:color w:val="auto"/>
                <w:sz w:val="21"/>
                <w:szCs w:val="21"/>
                <w:highlight w:val="none"/>
                <w:lang w:val="en-US" w:eastAsia="zh-CN"/>
              </w:rPr>
            </w:pPr>
            <w:r>
              <w:rPr>
                <w:rFonts w:hint="eastAsia"/>
                <w:color w:val="auto"/>
                <w:sz w:val="21"/>
                <w:szCs w:val="21"/>
                <w:highlight w:val="none"/>
                <w:lang w:val="en-US" w:eastAsia="zh-CN"/>
              </w:rPr>
              <w:t>若不达要求，</w:t>
            </w:r>
            <w:r>
              <w:rPr>
                <w:rFonts w:hint="eastAsia"/>
                <w:color w:val="auto"/>
                <w:sz w:val="21"/>
                <w:szCs w:val="21"/>
                <w:highlight w:val="none"/>
              </w:rPr>
              <w:t>每通报1次</w:t>
            </w:r>
            <w:r>
              <w:rPr>
                <w:rFonts w:hint="eastAsia"/>
                <w:color w:val="auto"/>
                <w:sz w:val="21"/>
                <w:szCs w:val="21"/>
                <w:highlight w:val="none"/>
                <w:lang w:val="en-US" w:eastAsia="zh-CN"/>
              </w:rPr>
              <w:t>，扣0.05%合同额，</w:t>
            </w:r>
            <w:r>
              <w:rPr>
                <w:rFonts w:hint="eastAsia"/>
                <w:color w:val="auto"/>
                <w:sz w:val="21"/>
                <w:szCs w:val="21"/>
                <w:highlight w:val="none"/>
              </w:rPr>
              <w:t>通报包括但不限于数字化工作简报、项目简报、公函、验收组意见、评审意见等形式。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hAnsi="宋体"/>
                <w:color w:val="auto"/>
                <w:sz w:val="21"/>
                <w:szCs w:val="21"/>
                <w:highlight w:val="none"/>
                <w:lang w:val="en-US" w:eastAsia="zh-CN"/>
              </w:rPr>
            </w:pPr>
            <w:r>
              <w:rPr>
                <w:rFonts w:hint="eastAsia" w:hAnsi="宋体"/>
                <w:color w:val="auto"/>
                <w:sz w:val="21"/>
                <w:szCs w:val="21"/>
                <w:highlight w:val="none"/>
                <w:lang w:val="en-US" w:eastAsia="zh-CN"/>
              </w:rPr>
              <w:t>9</w:t>
            </w:r>
          </w:p>
        </w:tc>
        <w:tc>
          <w:tcPr>
            <w:tcW w:w="3600" w:type="dxa"/>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default"/>
                <w:color w:val="auto"/>
                <w:sz w:val="21"/>
                <w:szCs w:val="21"/>
                <w:highlight w:val="none"/>
                <w:lang w:val="en-US" w:eastAsia="zh-CN"/>
              </w:rPr>
            </w:pPr>
            <w:r>
              <w:rPr>
                <w:rFonts w:hint="eastAsia"/>
                <w:color w:val="auto"/>
                <w:sz w:val="21"/>
                <w:szCs w:val="21"/>
                <w:highlight w:val="none"/>
                <w:lang w:val="en-US" w:eastAsia="zh-CN"/>
              </w:rPr>
              <w:t>备件响应：厂家在海南有投标产品的备件库，质保期内备件要求1天内到达现场。</w:t>
            </w:r>
          </w:p>
        </w:tc>
        <w:tc>
          <w:tcPr>
            <w:tcW w:w="4339" w:type="dxa"/>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eastAsia"/>
                <w:color w:val="auto"/>
                <w:sz w:val="21"/>
                <w:szCs w:val="21"/>
                <w:highlight w:val="none"/>
              </w:rPr>
            </w:pPr>
            <w:r>
              <w:rPr>
                <w:rFonts w:hint="eastAsia"/>
                <w:color w:val="auto"/>
                <w:sz w:val="21"/>
                <w:szCs w:val="21"/>
                <w:highlight w:val="none"/>
                <w:lang w:val="en-US" w:eastAsia="zh-CN"/>
              </w:rPr>
              <w:t>若不达要求，</w:t>
            </w:r>
            <w:r>
              <w:rPr>
                <w:rFonts w:hint="eastAsia"/>
                <w:color w:val="auto"/>
                <w:sz w:val="21"/>
                <w:szCs w:val="21"/>
                <w:highlight w:val="none"/>
              </w:rPr>
              <w:t>每通报1次</w:t>
            </w:r>
            <w:r>
              <w:rPr>
                <w:rFonts w:hint="eastAsia"/>
                <w:color w:val="auto"/>
                <w:sz w:val="21"/>
                <w:szCs w:val="21"/>
                <w:highlight w:val="none"/>
                <w:lang w:val="en-US" w:eastAsia="zh-CN"/>
              </w:rPr>
              <w:t>，扣0.05%合同额，</w:t>
            </w:r>
            <w:r>
              <w:rPr>
                <w:rFonts w:hint="eastAsia"/>
                <w:color w:val="auto"/>
                <w:sz w:val="21"/>
                <w:szCs w:val="21"/>
                <w:highlight w:val="none"/>
              </w:rPr>
              <w:t>通报包括但不限于数字化工作简报、项目简报、公函、验收组意见、评审意见等形式。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hAnsi="宋体"/>
                <w:color w:val="auto"/>
                <w:sz w:val="21"/>
                <w:szCs w:val="21"/>
                <w:highlight w:val="none"/>
                <w:lang w:val="en-US" w:eastAsia="zh-CN"/>
              </w:rPr>
            </w:pPr>
            <w:r>
              <w:rPr>
                <w:rFonts w:hint="eastAsia" w:hAnsi="宋体"/>
                <w:color w:val="auto"/>
                <w:sz w:val="21"/>
                <w:szCs w:val="21"/>
                <w:highlight w:val="none"/>
                <w:lang w:val="en-US" w:eastAsia="zh-CN"/>
              </w:rPr>
              <w:t>10</w:t>
            </w:r>
          </w:p>
        </w:tc>
        <w:tc>
          <w:tcPr>
            <w:tcW w:w="3600" w:type="dxa"/>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eastAsia"/>
                <w:color w:val="auto"/>
                <w:sz w:val="21"/>
                <w:szCs w:val="21"/>
                <w:highlight w:val="none"/>
                <w:lang w:val="en-US" w:eastAsia="zh-CN"/>
              </w:rPr>
            </w:pPr>
            <w:r>
              <w:rPr>
                <w:rFonts w:hint="eastAsia"/>
                <w:color w:val="auto"/>
                <w:sz w:val="21"/>
                <w:szCs w:val="21"/>
                <w:highlight w:val="none"/>
                <w:lang w:val="en-US" w:eastAsia="zh-CN"/>
              </w:rPr>
              <w:t>产品质量：产品使用过程中，会记录产品非良品率，即在特定时间范围内，由于产品</w:t>
            </w:r>
            <w:r>
              <w:rPr>
                <w:rFonts w:hint="default"/>
                <w:color w:val="auto"/>
                <w:sz w:val="21"/>
                <w:szCs w:val="21"/>
                <w:highlight w:val="none"/>
                <w:lang w:val="en-US" w:eastAsia="zh-CN"/>
              </w:rPr>
              <w:t>自身设计缺陷、制造工艺问题或材料失效（非外部因素或人为操作导致）而产生的故障或不合格产品数量，占同期交付/使用产品总数的百分比。</w:t>
            </w:r>
          </w:p>
        </w:tc>
        <w:tc>
          <w:tcPr>
            <w:tcW w:w="4339" w:type="dxa"/>
            <w:vAlign w:val="center"/>
          </w:tcPr>
          <w:p>
            <w:pPr>
              <w:pStyle w:val="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default"/>
                <w:color w:val="auto"/>
                <w:sz w:val="21"/>
                <w:szCs w:val="21"/>
                <w:highlight w:val="none"/>
                <w:lang w:val="en-US" w:eastAsia="zh-CN"/>
              </w:rPr>
            </w:pPr>
            <w:r>
              <w:rPr>
                <w:rFonts w:hint="eastAsia"/>
                <w:color w:val="auto"/>
                <w:sz w:val="21"/>
                <w:szCs w:val="21"/>
                <w:highlight w:val="none"/>
              </w:rPr>
              <w:t>项目结算时，</w:t>
            </w:r>
            <w:r>
              <w:rPr>
                <w:rFonts w:hint="eastAsia"/>
                <w:color w:val="auto"/>
                <w:sz w:val="21"/>
                <w:szCs w:val="21"/>
                <w:highlight w:val="none"/>
                <w:lang w:val="en-US" w:eastAsia="zh-CN"/>
              </w:rPr>
              <w:t>非良品率占整合同设备超过1%，则认定所供产品质量较低，每超过1%扣除合同额1%。</w:t>
            </w:r>
          </w:p>
        </w:tc>
      </w:tr>
    </w:tbl>
    <w:p>
      <w:pPr>
        <w:ind w:firstLine="480"/>
        <w:rPr>
          <w:highlight w:val="none"/>
        </w:rPr>
      </w:pPr>
    </w:p>
    <w:p/>
    <w:sectPr>
      <w:headerReference r:id="rId13" w:type="default"/>
      <w:footerReference r:id="rId14" w:type="default"/>
      <w:pgSz w:w="11906" w:h="16838"/>
      <w:pgMar w:top="1701" w:right="1134" w:bottom="1418" w:left="1474" w:header="851" w:footer="964" w:gutter="0"/>
      <w:pgNumType w:fmt="numberInDash"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jc w:val="both"/>
      <w:rPr>
        <w:rFonts w:ascii="Arial" w:hAnsi="Arial"/>
      </w:rPr>
    </w:pPr>
    <w:r>
      <w:rPr>
        <w:rFonts w:hint="eastAsia" w:ascii="Arial" w:hAnsi="Arial"/>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5829300" cy="635"/>
              <wp:effectExtent l="0" t="0" r="0" b="0"/>
              <wp:wrapNone/>
              <wp:docPr id="1" name="直接连接符 1"/>
              <wp:cNvGraphicFramePr/>
              <a:graphic xmlns:a="http://schemas.openxmlformats.org/drawingml/2006/main">
                <a:graphicData uri="http://schemas.microsoft.com/office/word/2010/wordprocessingShape">
                  <wps:wsp>
                    <wps:cNvCnPr/>
                    <wps:spPr>
                      <a:xfrm flipV="1">
                        <a:off x="0" y="0"/>
                        <a:ext cx="5829300" cy="63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flip:y;margin-left:0pt;margin-top:0.05pt;height:0.05pt;width:459pt;z-index:251659264;mso-width-relative:page;mso-height-relative:page;" filled="f" stroked="t" coordsize="21600,21600" o:gfxdata="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B4MQH/RAAAAAgEAAA8AAAAAAAAAAQAgAAAAIgAAAGRycy9kb3ducmV2LnhtbFBLAQIUABQAAAAI&#10;AIdO4kAebGhM9AEAAOQDAAAOAAAAAAAAAAEAIAAAACABAABkcnMvZTJvRG9jLnhtbFBLBQYAAAAA&#10;BgAGAFkBAACGBQAAAAA=&#10;">
              <v:fill on="f" focussize="0,0"/>
              <v:stroke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rPr>
        <w:rFonts w:ascii="Arial" w:hAnsi="Aria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jc w:val="center"/>
      <w:rPr>
        <w:rFonts w:ascii="Arial" w:hAnsi="Arial"/>
      </w:rPr>
    </w:pPr>
    <w:r>
      <w:fldChar w:fldCharType="begin"/>
    </w:r>
    <w:r>
      <w:rPr>
        <w:rStyle w:val="16"/>
      </w:rPr>
      <w:instrText xml:space="preserve"> PAGE </w:instrText>
    </w:r>
    <w:r>
      <w:fldChar w:fldCharType="separate"/>
    </w:r>
    <w:r>
      <w:rPr>
        <w:rStyle w:val="16"/>
      </w:rPr>
      <w:t>- 8 -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00"/>
      <w:jc w:val="right"/>
      <w:rPr>
        <w:rFonts w:hint="eastAsia" w:eastAsia="宋体"/>
        <w:sz w:val="15"/>
        <w:szCs w:val="15"/>
        <w:lang w:eastAsia="zh-CN"/>
      </w:rPr>
    </w:pPr>
    <w:r>
      <w:rPr>
        <w:rFonts w:hint="eastAsia"/>
        <w:sz w:val="15"/>
        <w:szCs w:val="15"/>
      </w:rPr>
      <w:t>海南电网有限责任公司2026年终端设备（台式机、显示器）框架采购项目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1"/>
      </w:pBdr>
      <w:spacing w:line="320" w:lineRule="atLeast"/>
      <w:ind w:firstLine="0" w:firstLineChars="0"/>
      <w:jc w:val="right"/>
      <w:rPr>
        <w:sz w:val="15"/>
        <w:szCs w:val="15"/>
      </w:rPr>
    </w:pPr>
    <w:r>
      <w:rPr>
        <w:rFonts w:hint="eastAsia"/>
        <w:sz w:val="15"/>
        <w:szCs w:val="15"/>
      </w:rPr>
      <w:t>海南电网有限责任公司2026年终端设备（台式机、显示器）框架采购项目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16"/>
    <w:multiLevelType w:val="multilevel"/>
    <w:tmpl w:val="00000016"/>
    <w:lvl w:ilvl="0" w:tentative="0">
      <w:start w:val="1"/>
      <w:numFmt w:val="decimal"/>
      <w:lvlText w:val="%1)"/>
      <w:lvlJc w:val="left"/>
      <w:pPr>
        <w:ind w:left="420" w:hanging="420"/>
      </w:pPr>
    </w:lvl>
    <w:lvl w:ilvl="1" w:tentative="0">
      <w:start w:val="1"/>
      <w:numFmt w:val="decimal"/>
      <w:lvlText w:val="%2)"/>
      <w:lvlJc w:val="left"/>
      <w:pPr>
        <w:ind w:left="704"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1A"/>
    <w:multiLevelType w:val="multilevel"/>
    <w:tmpl w:val="0000001A"/>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3">
    <w:nsid w:val="00000027"/>
    <w:multiLevelType w:val="multilevel"/>
    <w:tmpl w:val="0000002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CFD0A18"/>
    <w:multiLevelType w:val="multilevel"/>
    <w:tmpl w:val="0CFD0A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DEC5039"/>
    <w:multiLevelType w:val="multilevel"/>
    <w:tmpl w:val="0DEC5039"/>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13A26E29"/>
    <w:multiLevelType w:val="multilevel"/>
    <w:tmpl w:val="13A26E29"/>
    <w:lvl w:ilvl="0" w:tentative="0">
      <w:start w:val="1"/>
      <w:numFmt w:val="decimal"/>
      <w:pStyle w:val="3"/>
      <w:lvlText w:val="%1"/>
      <w:lvlJc w:val="left"/>
      <w:pPr>
        <w:tabs>
          <w:tab w:val="left" w:pos="432"/>
        </w:tabs>
        <w:ind w:left="432" w:hanging="432"/>
      </w:pPr>
      <w:rPr>
        <w:rFonts w:hint="eastAsia"/>
        <w:lang w:val="sv-SE"/>
      </w:rPr>
    </w:lvl>
    <w:lvl w:ilvl="1" w:tentative="0">
      <w:start w:val="1"/>
      <w:numFmt w:val="decimal"/>
      <w:pStyle w:val="4"/>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pStyle w:val="6"/>
      <w:lvlText w:val="%1.%2.%3.%4"/>
      <w:lvlJc w:val="left"/>
      <w:pPr>
        <w:tabs>
          <w:tab w:val="left" w:pos="864"/>
        </w:tabs>
        <w:ind w:left="864" w:hanging="864"/>
      </w:pPr>
      <w:rPr>
        <w:rFonts w:hint="eastAsia"/>
      </w:rPr>
    </w:lvl>
    <w:lvl w:ilvl="4" w:tentative="0">
      <w:start w:val="1"/>
      <w:numFmt w:val="decimal"/>
      <w:lvlText w:val="%1.%2.%3.%4.%5"/>
      <w:lvlJc w:val="left"/>
      <w:pPr>
        <w:tabs>
          <w:tab w:val="left" w:pos="1859"/>
        </w:tabs>
        <w:ind w:left="1859"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7">
    <w:nsid w:val="2F8A429F"/>
    <w:multiLevelType w:val="multilevel"/>
    <w:tmpl w:val="2F8A429F"/>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8">
    <w:nsid w:val="5C4E7A9F"/>
    <w:multiLevelType w:val="multilevel"/>
    <w:tmpl w:val="5C4E7A9F"/>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9">
    <w:nsid w:val="5C4E9084"/>
    <w:multiLevelType w:val="multilevel"/>
    <w:tmpl w:val="5C4E9084"/>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0">
    <w:nsid w:val="5C4E90BE"/>
    <w:multiLevelType w:val="multilevel"/>
    <w:tmpl w:val="5C4E90BE"/>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1">
    <w:nsid w:val="5C4E914B"/>
    <w:multiLevelType w:val="multilevel"/>
    <w:tmpl w:val="5C4E914B"/>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2">
    <w:nsid w:val="6883480C"/>
    <w:multiLevelType w:val="multilevel"/>
    <w:tmpl w:val="6883480C"/>
    <w:lvl w:ilvl="0" w:tentative="0">
      <w:start w:val="1"/>
      <w:numFmt w:val="decimal"/>
      <w:pStyle w:val="23"/>
      <w:lvlText w:val="%1)"/>
      <w:lvlJc w:val="left"/>
      <w:pPr>
        <w:tabs>
          <w:tab w:val="left" w:pos="839"/>
        </w:tabs>
        <w:ind w:left="0" w:firstLine="420"/>
      </w:pPr>
      <w:rPr>
        <w:rFonts w:hint="eastAsia"/>
      </w:rPr>
    </w:lvl>
    <w:lvl w:ilvl="1" w:tentative="0">
      <w:start w:val="1"/>
      <w:numFmt w:val="lowerLetter"/>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abstractNum w:abstractNumId="13">
    <w:nsid w:val="7A65C87F"/>
    <w:multiLevelType w:val="multilevel"/>
    <w:tmpl w:val="7A65C87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12"/>
  </w:num>
  <w:num w:numId="3">
    <w:abstractNumId w:val="13"/>
  </w:num>
  <w:num w:numId="4">
    <w:abstractNumId w:val="4"/>
  </w:num>
  <w:num w:numId="5">
    <w:abstractNumId w:val="5"/>
  </w:num>
  <w:num w:numId="6">
    <w:abstractNumId w:val="3"/>
  </w:num>
  <w:num w:numId="7">
    <w:abstractNumId w:val="0"/>
  </w:num>
  <w:num w:numId="8">
    <w:abstractNumId w:val="8"/>
  </w:num>
  <w:num w:numId="9">
    <w:abstractNumId w:val="2"/>
  </w:num>
  <w:num w:numId="10">
    <w:abstractNumId w:val="9"/>
  </w:num>
  <w:num w:numId="11">
    <w:abstractNumId w:val="7"/>
  </w:num>
  <w:num w:numId="12">
    <w:abstractNumId w:val="10"/>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B41D47"/>
    <w:rsid w:val="0B204882"/>
    <w:rsid w:val="0EB751EE"/>
    <w:rsid w:val="0EDC253A"/>
    <w:rsid w:val="210B63F6"/>
    <w:rsid w:val="22DF561F"/>
    <w:rsid w:val="2E402015"/>
    <w:rsid w:val="32B41D47"/>
    <w:rsid w:val="3B3D35C5"/>
    <w:rsid w:val="465C4378"/>
    <w:rsid w:val="4A3C1709"/>
    <w:rsid w:val="50F32CD1"/>
    <w:rsid w:val="512B29F5"/>
    <w:rsid w:val="565809C8"/>
    <w:rsid w:val="5B712617"/>
    <w:rsid w:val="5C032083"/>
    <w:rsid w:val="6F133CA7"/>
    <w:rsid w:val="73FE395B"/>
    <w:rsid w:val="78EF5107"/>
    <w:rsid w:val="7C2C34EE"/>
    <w:rsid w:val="7E5659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numPr>
        <w:ilvl w:val="0"/>
        <w:numId w:val="1"/>
      </w:numPr>
      <w:topLinePunct/>
      <w:adjustRightInd w:val="0"/>
      <w:spacing w:beforeLines="50" w:afterLines="50" w:line="240" w:lineRule="auto"/>
      <w:ind w:firstLine="0" w:firstLineChars="0"/>
      <w:jc w:val="left"/>
      <w:textAlignment w:val="center"/>
      <w:outlineLvl w:val="0"/>
    </w:pPr>
    <w:rPr>
      <w:b/>
      <w:bCs/>
      <w:snapToGrid w:val="0"/>
      <w:kern w:val="0"/>
      <w:sz w:val="28"/>
      <w:szCs w:val="32"/>
    </w:rPr>
  </w:style>
  <w:style w:type="paragraph" w:styleId="4">
    <w:name w:val="heading 2"/>
    <w:basedOn w:val="1"/>
    <w:next w:val="1"/>
    <w:qFormat/>
    <w:uiPriority w:val="0"/>
    <w:pPr>
      <w:keepNext/>
      <w:keepLines/>
      <w:numPr>
        <w:ilvl w:val="1"/>
        <w:numId w:val="1"/>
      </w:numPr>
      <w:topLinePunct/>
      <w:adjustRightInd w:val="0"/>
      <w:snapToGrid w:val="0"/>
      <w:spacing w:beforeLines="50" w:afterLines="50" w:line="240" w:lineRule="auto"/>
      <w:ind w:firstLine="0" w:firstLineChars="0"/>
      <w:jc w:val="left"/>
      <w:textAlignment w:val="center"/>
      <w:outlineLvl w:val="1"/>
    </w:pPr>
    <w:rPr>
      <w:rFonts w:cs="宋体"/>
      <w:b/>
      <w:bCs/>
      <w:color w:val="000000"/>
      <w:kern w:val="0"/>
      <w:sz w:val="28"/>
      <w:szCs w:val="32"/>
    </w:rPr>
  </w:style>
  <w:style w:type="paragraph" w:styleId="5">
    <w:name w:val="heading 3"/>
    <w:basedOn w:val="1"/>
    <w:next w:val="1"/>
    <w:qFormat/>
    <w:uiPriority w:val="0"/>
    <w:pPr>
      <w:keepNext/>
      <w:keepLines/>
      <w:topLinePunct/>
      <w:adjustRightInd w:val="0"/>
      <w:snapToGrid w:val="0"/>
      <w:ind w:firstLine="0" w:firstLineChars="0"/>
      <w:jc w:val="left"/>
      <w:textAlignment w:val="center"/>
      <w:outlineLvl w:val="2"/>
    </w:pPr>
    <w:rPr>
      <w:b/>
      <w:bCs/>
      <w:sz w:val="28"/>
      <w:szCs w:val="28"/>
      <w:lang w:val="sv-SE"/>
    </w:rPr>
  </w:style>
  <w:style w:type="paragraph" w:styleId="6">
    <w:name w:val="heading 4"/>
    <w:basedOn w:val="1"/>
    <w:next w:val="1"/>
    <w:qFormat/>
    <w:uiPriority w:val="0"/>
    <w:pPr>
      <w:keepNext/>
      <w:keepLines/>
      <w:numPr>
        <w:ilvl w:val="3"/>
        <w:numId w:val="1"/>
      </w:numPr>
      <w:tabs>
        <w:tab w:val="left" w:pos="426"/>
      </w:tabs>
      <w:topLinePunct/>
      <w:adjustRightInd w:val="0"/>
      <w:snapToGrid w:val="0"/>
      <w:spacing w:line="480" w:lineRule="atLeast"/>
      <w:ind w:left="0" w:firstLine="0" w:firstLineChars="0"/>
      <w:textAlignment w:val="center"/>
      <w:outlineLvl w:val="3"/>
    </w:pPr>
    <w:rPr>
      <w:b/>
      <w:bCs/>
      <w:lang w:val="sv-SE"/>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index 1"/>
    <w:basedOn w:val="1"/>
    <w:next w:val="1"/>
    <w:unhideWhenUsed/>
    <w:qFormat/>
    <w:uiPriority w:val="99"/>
    <w:rPr>
      <w:szCs w:val="20"/>
    </w:rPr>
  </w:style>
  <w:style w:type="paragraph" w:styleId="7">
    <w:name w:val="Body Text"/>
    <w:basedOn w:val="1"/>
    <w:qFormat/>
    <w:uiPriority w:val="0"/>
    <w:pPr>
      <w:spacing w:after="120"/>
    </w:pPr>
  </w:style>
  <w:style w:type="paragraph" w:styleId="8">
    <w:name w:val="toc 3"/>
    <w:basedOn w:val="1"/>
    <w:next w:val="1"/>
    <w:link w:val="26"/>
    <w:qFormat/>
    <w:uiPriority w:val="39"/>
    <w:pPr>
      <w:tabs>
        <w:tab w:val="right" w:leader="dot" w:pos="9288"/>
      </w:tabs>
      <w:ind w:right="43" w:rightChars="18" w:firstLine="210" w:firstLineChars="100"/>
      <w:jc w:val="distribute"/>
    </w:pPr>
    <w:rPr>
      <w:iCs/>
      <w:sz w:val="21"/>
      <w:szCs w:val="20"/>
    </w:rPr>
  </w:style>
  <w:style w:type="paragraph" w:styleId="9">
    <w:name w:val="footer"/>
    <w:basedOn w:val="1"/>
    <w:semiHidden/>
    <w:qFormat/>
    <w:uiPriority w:val="0"/>
    <w:pPr>
      <w:tabs>
        <w:tab w:val="center" w:pos="4153"/>
        <w:tab w:val="right" w:pos="8306"/>
      </w:tabs>
      <w:snapToGrid w:val="0"/>
      <w:spacing w:line="240" w:lineRule="atLeast"/>
      <w:jc w:val="left"/>
    </w:pPr>
    <w:rPr>
      <w:sz w:val="18"/>
      <w:szCs w:val="18"/>
    </w:rPr>
  </w:style>
  <w:style w:type="paragraph" w:styleId="10">
    <w:name w:val="header"/>
    <w:basedOn w:val="1"/>
    <w:semiHidden/>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1">
    <w:name w:val="toc 1"/>
    <w:basedOn w:val="1"/>
    <w:next w:val="1"/>
    <w:qFormat/>
    <w:uiPriority w:val="39"/>
    <w:pPr>
      <w:tabs>
        <w:tab w:val="left" w:pos="630"/>
        <w:tab w:val="right" w:leader="dot" w:pos="9288"/>
      </w:tabs>
      <w:ind w:firstLine="0" w:firstLineChars="0"/>
      <w:jc w:val="left"/>
    </w:pPr>
    <w:rPr>
      <w:b/>
      <w:bCs/>
      <w:caps/>
      <w:szCs w:val="20"/>
    </w:rPr>
  </w:style>
  <w:style w:type="paragraph" w:styleId="12">
    <w:name w:val="toc 2"/>
    <w:basedOn w:val="1"/>
    <w:next w:val="1"/>
    <w:qFormat/>
    <w:uiPriority w:val="39"/>
    <w:pPr>
      <w:tabs>
        <w:tab w:val="left" w:pos="1050"/>
        <w:tab w:val="right" w:leader="dot" w:pos="9288"/>
      </w:tabs>
      <w:ind w:firstLine="100" w:firstLineChars="100"/>
      <w:jc w:val="left"/>
    </w:pPr>
    <w:rPr>
      <w:smallCaps/>
      <w:sz w:val="21"/>
      <w:szCs w:val="20"/>
    </w:rPr>
  </w:style>
  <w:style w:type="table" w:styleId="14">
    <w:name w:val="Table Grid"/>
    <w:basedOn w:val="13"/>
    <w:qFormat/>
    <w:uiPriority w:val="0"/>
    <w:pPr>
      <w:widowControl w:val="0"/>
      <w:spacing w:line="48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semiHidden/>
    <w:qFormat/>
    <w:uiPriority w:val="0"/>
  </w:style>
  <w:style w:type="paragraph" w:customStyle="1" w:styleId="17">
    <w:name w:val="正文文字样式"/>
    <w:basedOn w:val="1"/>
    <w:qFormat/>
    <w:uiPriority w:val="0"/>
    <w:pPr>
      <w:ind w:firstLine="480"/>
    </w:pPr>
  </w:style>
  <w:style w:type="paragraph" w:customStyle="1" w:styleId="18">
    <w:name w:val="封面一级标题文字"/>
    <w:basedOn w:val="17"/>
    <w:qFormat/>
    <w:uiPriority w:val="0"/>
    <w:pPr>
      <w:spacing w:line="640" w:lineRule="exact"/>
      <w:ind w:firstLine="0" w:firstLineChars="0"/>
      <w:jc w:val="center"/>
    </w:pPr>
    <w:rPr>
      <w:rFonts w:ascii="黑体" w:hAnsi="黑体" w:eastAsia="黑体"/>
      <w:b/>
      <w:bCs/>
      <w:sz w:val="52"/>
    </w:rPr>
  </w:style>
  <w:style w:type="paragraph" w:customStyle="1" w:styleId="19">
    <w:name w:val="封面落款"/>
    <w:basedOn w:val="20"/>
    <w:qFormat/>
    <w:uiPriority w:val="0"/>
    <w:rPr>
      <w:sz w:val="36"/>
    </w:rPr>
  </w:style>
  <w:style w:type="paragraph" w:customStyle="1" w:styleId="20">
    <w:name w:val="封面标题"/>
    <w:basedOn w:val="1"/>
    <w:qFormat/>
    <w:uiPriority w:val="0"/>
    <w:pPr>
      <w:jc w:val="center"/>
    </w:pPr>
    <w:rPr>
      <w:rFonts w:eastAsia="黑体"/>
      <w:sz w:val="48"/>
    </w:rPr>
  </w:style>
  <w:style w:type="paragraph" w:customStyle="1" w:styleId="21">
    <w:name w:val="GEDI正文样式"/>
    <w:basedOn w:val="17"/>
    <w:qFormat/>
    <w:uiPriority w:val="0"/>
    <w:pPr>
      <w:adjustRightInd w:val="0"/>
      <w:snapToGrid w:val="0"/>
      <w:spacing w:line="480" w:lineRule="atLeast"/>
    </w:pPr>
  </w:style>
  <w:style w:type="paragraph" w:customStyle="1" w:styleId="22">
    <w:name w:val="GEDI一级项目编号"/>
    <w:basedOn w:val="23"/>
    <w:qFormat/>
    <w:uiPriority w:val="0"/>
    <w:pPr>
      <w:numPr>
        <w:numId w:val="0"/>
      </w:numPr>
      <w:tabs>
        <w:tab w:val="left" w:pos="839"/>
      </w:tabs>
      <w:adjustRightInd w:val="0"/>
      <w:snapToGrid w:val="0"/>
      <w:spacing w:line="480" w:lineRule="atLeast"/>
    </w:pPr>
  </w:style>
  <w:style w:type="paragraph" w:customStyle="1" w:styleId="23">
    <w:name w:val="1级列项"/>
    <w:basedOn w:val="17"/>
    <w:qFormat/>
    <w:uiPriority w:val="0"/>
    <w:pPr>
      <w:numPr>
        <w:ilvl w:val="0"/>
        <w:numId w:val="2"/>
      </w:numPr>
      <w:ind w:firstLine="0" w:firstLineChars="0"/>
    </w:pPr>
  </w:style>
  <w:style w:type="character" w:customStyle="1" w:styleId="24">
    <w:name w:val="GEDI正文样式 Char"/>
    <w:basedOn w:val="25"/>
    <w:qFormat/>
    <w:uiPriority w:val="0"/>
    <w:rPr>
      <w:rFonts w:eastAsia="宋体"/>
      <w:kern w:val="2"/>
      <w:sz w:val="24"/>
      <w:szCs w:val="24"/>
      <w:lang w:val="en-US" w:eastAsia="zh-CN" w:bidi="ar-SA"/>
    </w:rPr>
  </w:style>
  <w:style w:type="character" w:customStyle="1" w:styleId="25">
    <w:name w:val="正文文字样式 Char Char"/>
    <w:qFormat/>
    <w:uiPriority w:val="0"/>
    <w:rPr>
      <w:rFonts w:eastAsia="宋体"/>
      <w:kern w:val="2"/>
      <w:sz w:val="24"/>
      <w:szCs w:val="24"/>
      <w:lang w:val="en-US" w:eastAsia="zh-CN" w:bidi="ar-SA"/>
    </w:rPr>
  </w:style>
  <w:style w:type="character" w:customStyle="1" w:styleId="26">
    <w:name w:val="目录 3 Char"/>
    <w:link w:val="8"/>
    <w:qFormat/>
    <w:uiPriority w:val="0"/>
    <w:rPr>
      <w:iCs/>
      <w:sz w:val="21"/>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68</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2026-03-23T10:14:00Z</dcterms:created>
  <dc:creator>zqh</dc:creator>
  <cp:lastModifiedBy>hndw</cp:lastModifiedBy>
  <dcterms:modified xsi:type="dcterms:W3CDTF">2026-05-12T02:29:22Z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9E4DB56E29D14B48AF360CAD0BEE295C</vt:lpwstr>
  </property>
</Properties>
</file>