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480" w:beforeLines="200"/>
        <w:jc w:val="center"/>
        <w:rPr>
          <w:rFonts w:hint="eastAsia" w:eastAsia="黑体"/>
          <w:b/>
          <w:color w:val="auto"/>
          <w:sz w:val="52"/>
          <w:highlight w:val="none"/>
          <w:lang w:eastAsia="zh-CN"/>
        </w:rPr>
      </w:pPr>
      <w:r>
        <w:rPr>
          <w:rFonts w:hint="eastAsia" w:eastAsia="黑体"/>
          <w:b/>
          <w:color w:val="auto"/>
          <w:sz w:val="52"/>
          <w:highlight w:val="none"/>
        </w:rPr>
        <w:drawing>
          <wp:anchor distT="0" distB="0" distL="114300" distR="114300" simplePos="0" relativeHeight="251659264" behindDoc="1" locked="0" layoutInCell="1" allowOverlap="1">
            <wp:simplePos x="0" y="0"/>
            <wp:positionH relativeFrom="column">
              <wp:posOffset>-681990</wp:posOffset>
            </wp:positionH>
            <wp:positionV relativeFrom="paragraph">
              <wp:posOffset>-922655</wp:posOffset>
            </wp:positionV>
            <wp:extent cx="7983220" cy="2820670"/>
            <wp:effectExtent l="0" t="0" r="2540" b="13970"/>
            <wp:wrapTight wrapText="bothSides">
              <wp:wrapPolygon>
                <wp:start x="-52" y="0"/>
                <wp:lineTo x="-52" y="21444"/>
                <wp:lineTo x="21597" y="21444"/>
                <wp:lineTo x="21597" y="0"/>
                <wp:lineTo x="-52" y="0"/>
              </wp:wrapPolygon>
            </wp:wrapTight>
            <wp:docPr id="1"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模板-3"/>
                    <pic:cNvPicPr>
                      <a:picLocks noChangeAspect="1"/>
                    </pic:cNvPicPr>
                  </pic:nvPicPr>
                  <pic:blipFill>
                    <a:blip r:embed="rId16"/>
                    <a:stretch>
                      <a:fillRect/>
                    </a:stretch>
                  </pic:blipFill>
                  <pic:spPr>
                    <a:xfrm>
                      <a:off x="0" y="0"/>
                      <a:ext cx="7983220" cy="2820670"/>
                    </a:xfrm>
                    <a:prstGeom prst="rect">
                      <a:avLst/>
                    </a:prstGeom>
                    <a:noFill/>
                    <a:ln>
                      <a:noFill/>
                    </a:ln>
                  </pic:spPr>
                </pic:pic>
              </a:graphicData>
            </a:graphic>
          </wp:anchor>
        </w:drawing>
      </w:r>
    </w:p>
    <w:p>
      <w:pPr>
        <w:spacing w:before="480" w:beforeLines="200"/>
        <w:jc w:val="center"/>
        <w:rPr>
          <w:rFonts w:eastAsia="黑体"/>
          <w:b/>
          <w:color w:val="auto"/>
          <w:sz w:val="52"/>
          <w:highlight w:val="none"/>
        </w:rPr>
      </w:pPr>
      <w:r>
        <w:rPr>
          <w:rFonts w:hint="eastAsia" w:ascii="Times New Roman" w:hAnsi="Times New Roman" w:eastAsia="黑体" w:cs="Times New Roman"/>
          <w:b/>
          <w:color w:val="auto"/>
          <w:sz w:val="52"/>
          <w:highlight w:val="none"/>
          <w:lang w:val="en-US" w:eastAsia="zh-CN"/>
        </w:rPr>
        <w:t>分布式故障定位装置</w:t>
      </w:r>
    </w:p>
    <w:p>
      <w:pPr>
        <w:spacing w:before="480" w:beforeLines="200"/>
        <w:ind w:left="420" w:hanging="420"/>
        <w:jc w:val="center"/>
        <w:rPr>
          <w:rFonts w:eastAsia="黑体"/>
          <w:b/>
          <w:color w:val="auto"/>
          <w:sz w:val="52"/>
          <w:highlight w:val="none"/>
        </w:rPr>
      </w:pPr>
      <w:r>
        <w:rPr>
          <w:rFonts w:hint="eastAsia" w:eastAsia="黑体"/>
          <w:b/>
          <w:color w:val="auto"/>
          <w:sz w:val="52"/>
          <w:highlight w:val="none"/>
        </w:rPr>
        <w:t>技术规范书</w:t>
      </w:r>
    </w:p>
    <w:p>
      <w:pPr>
        <w:spacing w:before="480" w:beforeLines="200"/>
        <w:ind w:left="420" w:hanging="420"/>
        <w:jc w:val="center"/>
        <w:rPr>
          <w:rFonts w:eastAsia="黑体"/>
          <w:b/>
          <w:color w:val="auto"/>
          <w:sz w:val="52"/>
          <w:highlight w:val="none"/>
        </w:rPr>
      </w:pPr>
    </w:p>
    <w:p>
      <w:pPr>
        <w:spacing w:before="480" w:beforeLines="200"/>
        <w:ind w:left="723" w:hanging="723" w:hangingChars="200"/>
        <w:jc w:val="center"/>
        <w:rPr>
          <w:rFonts w:eastAsia="黑体"/>
          <w:b/>
          <w:color w:val="auto"/>
          <w:sz w:val="36"/>
          <w:highlight w:val="none"/>
        </w:rPr>
      </w:pPr>
      <w:r>
        <w:rPr>
          <w:rFonts w:hint="eastAsia" w:eastAsia="黑体"/>
          <w:b/>
          <w:color w:val="auto"/>
          <w:sz w:val="36"/>
          <w:highlight w:val="none"/>
        </w:rPr>
        <w:t>版本号：202</w:t>
      </w:r>
      <w:r>
        <w:rPr>
          <w:rFonts w:hint="eastAsia" w:eastAsia="黑体"/>
          <w:b/>
          <w:color w:val="auto"/>
          <w:sz w:val="36"/>
          <w:highlight w:val="none"/>
          <w:lang w:val="en-US" w:eastAsia="zh-CN"/>
        </w:rPr>
        <w:t>5</w:t>
      </w:r>
      <w:r>
        <w:rPr>
          <w:rFonts w:hint="eastAsia" w:eastAsia="黑体"/>
          <w:b/>
          <w:color w:val="auto"/>
          <w:sz w:val="36"/>
          <w:highlight w:val="none"/>
        </w:rPr>
        <w:t>版V</w:t>
      </w:r>
      <w:r>
        <w:rPr>
          <w:rFonts w:hint="eastAsia" w:eastAsia="黑体"/>
          <w:b/>
          <w:color w:val="auto"/>
          <w:sz w:val="36"/>
          <w:highlight w:val="none"/>
          <w:lang w:val="en-US" w:eastAsia="zh-CN"/>
        </w:rPr>
        <w:t>1</w:t>
      </w:r>
      <w:r>
        <w:rPr>
          <w:rFonts w:hint="eastAsia" w:eastAsia="黑体"/>
          <w:b/>
          <w:color w:val="auto"/>
          <w:sz w:val="36"/>
          <w:highlight w:val="none"/>
        </w:rPr>
        <w:t>.0</w:t>
      </w:r>
    </w:p>
    <w:p>
      <w:pPr>
        <w:ind w:left="2520" w:firstLine="315"/>
        <w:rPr>
          <w:rFonts w:eastAsia="黑体"/>
          <w:b/>
          <w:color w:val="auto"/>
          <w:sz w:val="36"/>
          <w:highlight w:val="none"/>
        </w:rPr>
      </w:pPr>
      <w:r>
        <w:rPr>
          <w:rFonts w:hint="eastAsia" w:eastAsia="黑体"/>
          <w:b/>
          <w:color w:val="auto"/>
          <w:sz w:val="36"/>
          <w:highlight w:val="none"/>
        </w:rPr>
        <w:t>编号：</w:t>
      </w:r>
      <w:r>
        <w:rPr>
          <w:rFonts w:hint="eastAsia" w:eastAsia="黑体"/>
          <w:b/>
          <w:color w:val="auto"/>
          <w:sz w:val="36"/>
          <w:highlight w:val="none"/>
        </w:rPr>
        <w:tab/>
      </w:r>
    </w:p>
    <w:p>
      <w:pPr>
        <w:spacing w:before="480" w:beforeLines="200"/>
        <w:ind w:left="420" w:firstLine="2873" w:firstLineChars="795"/>
        <w:jc w:val="left"/>
        <w:rPr>
          <w:rFonts w:eastAsia="黑体"/>
          <w:b/>
          <w:color w:val="auto"/>
          <w:sz w:val="36"/>
          <w:highlight w:val="none"/>
        </w:rPr>
      </w:pPr>
    </w:p>
    <w:p>
      <w:pPr>
        <w:spacing w:before="480" w:beforeLines="200" w:line="240" w:lineRule="auto"/>
        <w:ind w:left="418" w:hanging="415" w:hangingChars="93"/>
        <w:jc w:val="center"/>
        <w:rPr>
          <w:rFonts w:ascii="黑体" w:eastAsia="黑体"/>
          <w:b/>
          <w:color w:val="auto"/>
          <w:spacing w:val="20"/>
          <w:w w:val="135"/>
          <w:sz w:val="30"/>
          <w:highlight w:val="none"/>
        </w:rPr>
      </w:pPr>
      <w:r>
        <w:rPr>
          <w:rFonts w:hint="eastAsia" w:ascii="黑体" w:eastAsia="黑体"/>
          <w:b/>
          <w:color w:val="auto"/>
          <w:spacing w:val="20"/>
          <w:w w:val="135"/>
          <w:sz w:val="30"/>
          <w:highlight w:val="none"/>
        </w:rPr>
        <w:t>中国南方电网有限责任公司</w:t>
      </w:r>
    </w:p>
    <w:p>
      <w:pPr>
        <w:spacing w:line="240" w:lineRule="auto"/>
        <w:jc w:val="center"/>
        <w:rPr>
          <w:rFonts w:eastAsia="黑体"/>
          <w:b/>
          <w:color w:val="auto"/>
          <w:szCs w:val="28"/>
          <w:highlight w:val="none"/>
        </w:rPr>
        <w:sectPr>
          <w:headerReference r:id="rId7" w:type="first"/>
          <w:headerReference r:id="rId5" w:type="default"/>
          <w:footerReference r:id="rId8" w:type="default"/>
          <w:headerReference r:id="rId6" w:type="even"/>
          <w:pgSz w:w="11907" w:h="16840"/>
          <w:pgMar w:top="1440" w:right="1616" w:bottom="1440" w:left="1576" w:header="720" w:footer="720" w:gutter="0"/>
          <w:pgNumType w:fmt="decimalFullWidth" w:start="0"/>
          <w:cols w:space="720" w:num="1"/>
          <w:titlePg/>
          <w:docGrid w:linePitch="326" w:charSpace="0"/>
        </w:sectPr>
      </w:pPr>
      <w:r>
        <w:rPr>
          <w:rFonts w:hint="eastAsia" w:ascii="黑体" w:eastAsia="黑体"/>
          <w:b/>
          <w:color w:val="auto"/>
          <w:spacing w:val="20"/>
          <w:w w:val="135"/>
          <w:sz w:val="30"/>
          <w:highlight w:val="none"/>
        </w:rPr>
        <w:t>202</w:t>
      </w:r>
      <w:r>
        <w:rPr>
          <w:rFonts w:hint="eastAsia" w:ascii="黑体" w:eastAsia="黑体"/>
          <w:b/>
          <w:color w:val="auto"/>
          <w:spacing w:val="20"/>
          <w:w w:val="135"/>
          <w:sz w:val="30"/>
          <w:highlight w:val="none"/>
          <w:lang w:val="en-US" w:eastAsia="zh-CN"/>
        </w:rPr>
        <w:t>5</w:t>
      </w:r>
      <w:r>
        <w:rPr>
          <w:rFonts w:hint="eastAsia" w:ascii="黑体" w:eastAsia="黑体"/>
          <w:b/>
          <w:color w:val="auto"/>
          <w:spacing w:val="20"/>
          <w:w w:val="135"/>
          <w:sz w:val="30"/>
          <w:highlight w:val="none"/>
        </w:rPr>
        <w:t>年</w:t>
      </w:r>
      <w:r>
        <w:rPr>
          <w:rFonts w:hint="eastAsia" w:ascii="黑体" w:eastAsia="黑体"/>
          <w:b/>
          <w:color w:val="auto"/>
          <w:spacing w:val="20"/>
          <w:w w:val="135"/>
          <w:sz w:val="30"/>
          <w:highlight w:val="none"/>
          <w:lang w:val="en-US" w:eastAsia="zh-CN"/>
        </w:rPr>
        <w:t>8</w:t>
      </w:r>
      <w:r>
        <w:rPr>
          <w:rFonts w:ascii="黑体" w:eastAsia="黑体"/>
          <w:b/>
          <w:color w:val="auto"/>
          <w:spacing w:val="20"/>
          <w:w w:val="135"/>
          <w:sz w:val="30"/>
          <w:highlight w:val="none"/>
        </w:rPr>
        <w:t>月</w:t>
      </w:r>
    </w:p>
    <w:p>
      <w:pPr>
        <w:spacing w:before="312" w:beforeLines="100" w:line="560" w:lineRule="exact"/>
        <w:ind w:left="850"/>
        <w:jc w:val="center"/>
        <w:rPr>
          <w:rFonts w:ascii="Arial" w:hAnsi="Arial"/>
          <w:bCs/>
          <w:color w:val="auto"/>
          <w:sz w:val="44"/>
          <w:szCs w:val="44"/>
          <w:highlight w:val="none"/>
        </w:rPr>
      </w:pPr>
      <w:r>
        <w:rPr>
          <w:rFonts w:hint="eastAsia" w:ascii="方正小标宋_GBK" w:hAnsi="方正小标宋_GBK" w:eastAsia="方正小标宋_GBK" w:cs="方正小标宋_GBK"/>
          <w:bCs/>
          <w:color w:val="auto"/>
          <w:sz w:val="44"/>
          <w:szCs w:val="44"/>
          <w:highlight w:val="none"/>
        </w:rPr>
        <w:t>知识产权声明</w:t>
      </w:r>
    </w:p>
    <w:p>
      <w:pPr>
        <w:spacing w:line="560" w:lineRule="exact"/>
        <w:ind w:left="851"/>
        <w:jc w:val="center"/>
        <w:rPr>
          <w:rFonts w:ascii="Arial" w:hAnsi="Arial"/>
          <w:b/>
          <w:color w:val="auto"/>
          <w:sz w:val="32"/>
          <w:szCs w:val="32"/>
          <w:highlight w:val="none"/>
        </w:rPr>
      </w:pPr>
    </w:p>
    <w:p>
      <w:pPr>
        <w:spacing w:line="560" w:lineRule="exact"/>
        <w:ind w:left="85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南方电网公司拥有本作品的知识产权，未经南方电网公司书面许可，任何单位和个人不得擅自使用（包括但不限于复制、发行、转载、通过信息网络传播等），否则，南方电网公司将依法追究法律责任。</w:t>
      </w:r>
    </w:p>
    <w:p>
      <w:pPr>
        <w:spacing w:line="560" w:lineRule="exact"/>
        <w:ind w:left="850"/>
        <w:rPr>
          <w:rFonts w:ascii="Arial" w:hAnsi="Arial"/>
          <w:color w:val="auto"/>
          <w:sz w:val="28"/>
          <w:szCs w:val="28"/>
          <w:highlight w:val="none"/>
        </w:rPr>
      </w:pPr>
    </w:p>
    <w:p>
      <w:pPr>
        <w:spacing w:line="560" w:lineRule="exact"/>
        <w:ind w:left="851" w:firstLine="560"/>
        <w:rPr>
          <w:rFonts w:ascii="Arial" w:hAnsi="Arial"/>
          <w:color w:val="auto"/>
          <w:sz w:val="28"/>
          <w:szCs w:val="28"/>
          <w:highlight w:val="none"/>
        </w:rPr>
      </w:pPr>
    </w:p>
    <w:p>
      <w:pPr>
        <w:spacing w:line="560" w:lineRule="exact"/>
        <w:ind w:left="851"/>
        <w:jc w:val="center"/>
        <w:rPr>
          <w:rFonts w:ascii="Trebuchet MS" w:hAnsi="Trebuchet MS" w:cs="Trebuchet MS"/>
          <w:color w:val="auto"/>
          <w:sz w:val="44"/>
          <w:szCs w:val="44"/>
          <w:highlight w:val="none"/>
        </w:rPr>
      </w:pPr>
      <w:r>
        <w:rPr>
          <w:rFonts w:ascii="Trebuchet MS" w:hAnsi="Trebuchet MS" w:cs="Trebuchet MS"/>
          <w:color w:val="auto"/>
          <w:sz w:val="44"/>
          <w:szCs w:val="44"/>
          <w:highlight w:val="none"/>
        </w:rPr>
        <w:t>Intellectual Property Rights Statement</w:t>
      </w:r>
    </w:p>
    <w:p>
      <w:pPr>
        <w:spacing w:line="560" w:lineRule="exact"/>
        <w:ind w:left="851" w:firstLine="640"/>
        <w:rPr>
          <w:rFonts w:ascii="Arial" w:hAnsi="Arial"/>
          <w:color w:val="auto"/>
          <w:sz w:val="32"/>
          <w:szCs w:val="32"/>
          <w:highlight w:val="none"/>
        </w:rPr>
      </w:pPr>
    </w:p>
    <w:p>
      <w:pPr>
        <w:spacing w:line="560" w:lineRule="exact"/>
        <w:ind w:left="851" w:firstLine="640"/>
        <w:rPr>
          <w:color w:val="auto"/>
          <w:sz w:val="32"/>
          <w:szCs w:val="32"/>
          <w:highlight w:val="none"/>
        </w:rPr>
      </w:pPr>
      <w:r>
        <w:rPr>
          <w:color w:val="auto"/>
          <w:sz w:val="32"/>
          <w:szCs w:val="32"/>
          <w:highlight w:val="none"/>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pPr>
        <w:spacing w:line="240" w:lineRule="auto"/>
        <w:jc w:val="left"/>
        <w:rPr>
          <w:rFonts w:eastAsia="黑体"/>
          <w:color w:val="auto"/>
          <w:sz w:val="32"/>
          <w:szCs w:val="28"/>
          <w:highlight w:val="none"/>
        </w:rPr>
      </w:pPr>
      <w:r>
        <w:rPr>
          <w:rFonts w:hint="eastAsia" w:eastAsia="黑体"/>
          <w:color w:val="auto"/>
          <w:sz w:val="32"/>
          <w:szCs w:val="28"/>
          <w:highlight w:val="none"/>
        </w:rPr>
        <w:br w:type="page"/>
      </w:r>
    </w:p>
    <w:p>
      <w:pPr>
        <w:jc w:val="center"/>
        <w:rPr>
          <w:rFonts w:eastAsia="黑体"/>
          <w:color w:val="auto"/>
          <w:sz w:val="32"/>
          <w:szCs w:val="28"/>
          <w:highlight w:val="none"/>
        </w:rPr>
      </w:pPr>
      <w:r>
        <w:rPr>
          <w:rFonts w:hint="eastAsia" w:eastAsia="黑体"/>
          <w:color w:val="auto"/>
          <w:sz w:val="32"/>
          <w:szCs w:val="28"/>
          <w:highlight w:val="none"/>
        </w:rPr>
        <w:t>本规范对应的专用技术规范书目录</w:t>
      </w:r>
    </w:p>
    <w:tbl>
      <w:tblPr>
        <w:tblStyle w:val="85"/>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2"/>
        <w:gridCol w:w="5530"/>
        <w:gridCol w:w="27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hAnsi="宋体"/>
                <w:color w:val="auto"/>
                <w:sz w:val="24"/>
                <w:highlight w:val="none"/>
              </w:rPr>
            </w:pPr>
            <w:r>
              <w:rPr>
                <w:rFonts w:hAnsi="宋体"/>
                <w:color w:val="auto"/>
                <w:sz w:val="24"/>
                <w:highlight w:val="none"/>
              </w:rPr>
              <w:t>序号</w:t>
            </w:r>
          </w:p>
        </w:tc>
        <w:tc>
          <w:tcPr>
            <w:tcW w:w="5530" w:type="dxa"/>
          </w:tcPr>
          <w:p>
            <w:pPr>
              <w:jc w:val="center"/>
              <w:rPr>
                <w:rFonts w:hAnsi="宋体"/>
                <w:color w:val="auto"/>
                <w:sz w:val="24"/>
                <w:highlight w:val="none"/>
              </w:rPr>
            </w:pPr>
            <w:r>
              <w:rPr>
                <w:rFonts w:hAnsi="宋体"/>
                <w:color w:val="auto"/>
                <w:sz w:val="24"/>
                <w:highlight w:val="none"/>
              </w:rPr>
              <w:t>名称</w:t>
            </w:r>
          </w:p>
        </w:tc>
        <w:tc>
          <w:tcPr>
            <w:tcW w:w="2798" w:type="dxa"/>
          </w:tcPr>
          <w:p>
            <w:pPr>
              <w:jc w:val="center"/>
              <w:rPr>
                <w:rFonts w:hAnsi="宋体"/>
                <w:color w:val="auto"/>
                <w:sz w:val="24"/>
                <w:highlight w:val="none"/>
              </w:rPr>
            </w:pPr>
            <w:r>
              <w:rPr>
                <w:rFonts w:hint="eastAsia" w:hAnsi="宋体"/>
                <w:color w:val="auto"/>
                <w:sz w:val="24"/>
                <w:highlight w:val="none"/>
              </w:rPr>
              <w:t>品类优化清单对应型号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hAnsi="宋体"/>
                <w:color w:val="auto"/>
                <w:sz w:val="24"/>
                <w:highlight w:val="none"/>
              </w:rPr>
            </w:pPr>
            <w:r>
              <w:rPr>
                <w:rFonts w:hint="eastAsia" w:hAnsi="宋体"/>
                <w:color w:val="auto"/>
                <w:sz w:val="24"/>
                <w:highlight w:val="none"/>
              </w:rPr>
              <w:t>1</w:t>
            </w:r>
          </w:p>
        </w:tc>
        <w:tc>
          <w:tcPr>
            <w:tcW w:w="5530" w:type="dxa"/>
          </w:tcPr>
          <w:p>
            <w:pPr>
              <w:jc w:val="center"/>
              <w:rPr>
                <w:rFonts w:hAnsi="宋体"/>
                <w:color w:val="auto"/>
                <w:sz w:val="24"/>
                <w:highlight w:val="none"/>
              </w:rPr>
            </w:pPr>
            <w:r>
              <w:rPr>
                <w:rFonts w:hint="eastAsia" w:hAnsi="宋体"/>
                <w:color w:val="auto"/>
                <w:sz w:val="24"/>
                <w:highlight w:val="none"/>
              </w:rPr>
              <w:t>输电线路故障精确定位装置技术规范书（专用部分）</w:t>
            </w:r>
          </w:p>
        </w:tc>
        <w:tc>
          <w:tcPr>
            <w:tcW w:w="2798" w:type="dxa"/>
          </w:tcPr>
          <w:p>
            <w:pPr>
              <w:jc w:val="center"/>
              <w:rPr>
                <w:rFonts w:hAnsi="宋体"/>
                <w:color w:val="auto"/>
                <w:sz w:val="24"/>
                <w:highlight w:val="none"/>
              </w:rPr>
            </w:pPr>
          </w:p>
        </w:tc>
      </w:tr>
    </w:tbl>
    <w:p>
      <w:pPr>
        <w:jc w:val="center"/>
        <w:rPr>
          <w:rFonts w:ascii="仿宋_GB2312" w:eastAsia="仿宋_GB2312"/>
          <w:color w:val="auto"/>
          <w:highlight w:val="none"/>
        </w:rPr>
      </w:pPr>
    </w:p>
    <w:p>
      <w:pPr>
        <w:jc w:val="center"/>
        <w:rPr>
          <w:color w:val="auto"/>
          <w:highlight w:val="none"/>
        </w:rPr>
      </w:pPr>
      <w:r>
        <w:rPr>
          <w:rFonts w:ascii="仿宋_GB2312" w:eastAsia="仿宋_GB2312"/>
          <w:color w:val="auto"/>
          <w:highlight w:val="none"/>
        </w:rPr>
        <w:br w:type="page"/>
      </w:r>
      <w:r>
        <w:rPr>
          <w:rFonts w:hint="eastAsia" w:ascii="黑体" w:eastAsia="黑体"/>
          <w:color w:val="auto"/>
          <w:sz w:val="36"/>
          <w:szCs w:val="36"/>
          <w:highlight w:val="none"/>
        </w:rPr>
        <w:t>目  录</w:t>
      </w:r>
    </w:p>
    <w:p>
      <w:pPr>
        <w:pStyle w:val="42"/>
        <w:tabs>
          <w:tab w:val="right" w:leader="dot" w:pos="9354"/>
        </w:tabs>
        <w:rPr>
          <w:color w:val="auto"/>
          <w:highlight w:val="none"/>
        </w:rPr>
      </w:pPr>
      <w:bookmarkStart w:id="0" w:name="_Toc241911990"/>
    </w:p>
    <w:p>
      <w:pPr>
        <w:pStyle w:val="57"/>
        <w:tabs>
          <w:tab w:val="right" w:leader="dot" w:pos="9354"/>
          <w:tab w:val="clear" w:pos="8705"/>
        </w:tabs>
        <w:rPr>
          <w:color w:val="auto"/>
          <w:highlight w:val="none"/>
        </w:rPr>
      </w:pPr>
      <w:r>
        <w:rPr>
          <w:color w:val="auto"/>
          <w:highlight w:val="none"/>
        </w:rPr>
        <w:fldChar w:fldCharType="begin"/>
      </w:r>
      <w:r>
        <w:rPr>
          <w:color w:val="auto"/>
          <w:highlight w:val="none"/>
        </w:rPr>
        <w:instrText xml:space="preserve">TOC \o "1-2" \h \u </w:instrText>
      </w:r>
      <w:r>
        <w:rPr>
          <w:color w:val="auto"/>
          <w:highlight w:val="none"/>
        </w:rPr>
        <w:fldChar w:fldCharType="separate"/>
      </w:r>
      <w:r>
        <w:rPr>
          <w:color w:val="auto"/>
          <w:highlight w:val="none"/>
        </w:rPr>
        <w:fldChar w:fldCharType="begin"/>
      </w:r>
      <w:r>
        <w:rPr>
          <w:color w:val="auto"/>
          <w:highlight w:val="none"/>
        </w:rPr>
        <w:instrText xml:space="preserve"> HYPERLINK \l _Toc27607 </w:instrText>
      </w:r>
      <w:r>
        <w:rPr>
          <w:color w:val="auto"/>
          <w:highlight w:val="none"/>
        </w:rPr>
        <w:fldChar w:fldCharType="separate"/>
      </w:r>
      <w:r>
        <w:rPr>
          <w:rFonts w:hint="eastAsia" w:ascii="黑体" w:hAnsi="黑体" w:eastAsia="黑体"/>
          <w:color w:val="auto"/>
          <w:szCs w:val="21"/>
          <w:highlight w:val="none"/>
        </w:rPr>
        <w:t>1总则</w:t>
      </w:r>
      <w:r>
        <w:rPr>
          <w:color w:val="auto"/>
          <w:highlight w:val="none"/>
        </w:rPr>
        <w:tab/>
      </w:r>
      <w:r>
        <w:rPr>
          <w:color w:val="auto"/>
          <w:highlight w:val="none"/>
        </w:rPr>
        <w:fldChar w:fldCharType="begin"/>
      </w:r>
      <w:r>
        <w:rPr>
          <w:color w:val="auto"/>
          <w:highlight w:val="none"/>
        </w:rPr>
        <w:instrText xml:space="preserve"> PAGEREF _Toc27607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57"/>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_Toc16728 </w:instrText>
      </w:r>
      <w:r>
        <w:rPr>
          <w:color w:val="auto"/>
          <w:highlight w:val="none"/>
        </w:rPr>
        <w:fldChar w:fldCharType="separate"/>
      </w:r>
      <w:r>
        <w:rPr>
          <w:rFonts w:hint="eastAsia" w:ascii="黑体" w:hAnsi="黑体" w:eastAsia="黑体"/>
          <w:color w:val="auto"/>
          <w:szCs w:val="21"/>
          <w:highlight w:val="none"/>
        </w:rPr>
        <w:t>2 工作范围</w:t>
      </w:r>
      <w:r>
        <w:rPr>
          <w:color w:val="auto"/>
          <w:highlight w:val="none"/>
        </w:rPr>
        <w:tab/>
      </w:r>
      <w:r>
        <w:rPr>
          <w:color w:val="auto"/>
          <w:highlight w:val="none"/>
        </w:rPr>
        <w:fldChar w:fldCharType="begin"/>
      </w:r>
      <w:r>
        <w:rPr>
          <w:color w:val="auto"/>
          <w:highlight w:val="none"/>
        </w:rPr>
        <w:instrText xml:space="preserve"> PAGEREF _Toc16728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_Toc14056 </w:instrText>
      </w:r>
      <w:r>
        <w:rPr>
          <w:color w:val="auto"/>
          <w:highlight w:val="none"/>
        </w:rPr>
        <w:fldChar w:fldCharType="separate"/>
      </w:r>
      <w:r>
        <w:rPr>
          <w:rFonts w:hint="eastAsia" w:ascii="黑体" w:hAnsi="黑体"/>
          <w:color w:val="auto"/>
          <w:highlight w:val="none"/>
        </w:rPr>
        <w:t>2</w:t>
      </w:r>
      <w:r>
        <w:rPr>
          <w:rFonts w:ascii="黑体" w:hAnsi="黑体"/>
          <w:color w:val="auto"/>
          <w:highlight w:val="none"/>
        </w:rPr>
        <w:t>.1</w:t>
      </w:r>
      <w:r>
        <w:rPr>
          <w:rFonts w:hint="eastAsia" w:ascii="黑体" w:hAnsi="黑体"/>
          <w:color w:val="auto"/>
          <w:highlight w:val="none"/>
        </w:rPr>
        <w:t xml:space="preserve"> 工程概况</w:t>
      </w:r>
      <w:r>
        <w:rPr>
          <w:color w:val="auto"/>
          <w:highlight w:val="none"/>
        </w:rPr>
        <w:tab/>
      </w:r>
      <w:r>
        <w:rPr>
          <w:color w:val="auto"/>
          <w:highlight w:val="none"/>
        </w:rPr>
        <w:fldChar w:fldCharType="begin"/>
      </w:r>
      <w:r>
        <w:rPr>
          <w:color w:val="auto"/>
          <w:highlight w:val="none"/>
        </w:rPr>
        <w:instrText xml:space="preserve"> PAGEREF _Toc14056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_Toc13362 </w:instrText>
      </w:r>
      <w:r>
        <w:rPr>
          <w:color w:val="auto"/>
          <w:highlight w:val="none"/>
        </w:rPr>
        <w:fldChar w:fldCharType="separate"/>
      </w:r>
      <w:r>
        <w:rPr>
          <w:rFonts w:ascii="黑体" w:hAnsi="黑体"/>
          <w:color w:val="auto"/>
          <w:highlight w:val="none"/>
        </w:rPr>
        <w:t>2.</w:t>
      </w:r>
      <w:r>
        <w:rPr>
          <w:rFonts w:hint="eastAsia" w:ascii="黑体" w:hAnsi="黑体"/>
          <w:color w:val="auto"/>
          <w:highlight w:val="none"/>
        </w:rPr>
        <w:t>2</w:t>
      </w:r>
      <w:r>
        <w:rPr>
          <w:rFonts w:ascii="黑体" w:hAnsi="黑体"/>
          <w:color w:val="auto"/>
          <w:highlight w:val="none"/>
        </w:rPr>
        <w:t xml:space="preserve"> 范围和界限</w:t>
      </w:r>
      <w:r>
        <w:rPr>
          <w:color w:val="auto"/>
          <w:highlight w:val="none"/>
        </w:rPr>
        <w:tab/>
      </w:r>
      <w:r>
        <w:rPr>
          <w:color w:val="auto"/>
          <w:highlight w:val="none"/>
        </w:rPr>
        <w:fldChar w:fldCharType="begin"/>
      </w:r>
      <w:r>
        <w:rPr>
          <w:color w:val="auto"/>
          <w:highlight w:val="none"/>
        </w:rPr>
        <w:instrText xml:space="preserve"> PAGEREF _Toc13362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_Toc8663 </w:instrText>
      </w:r>
      <w:r>
        <w:rPr>
          <w:color w:val="auto"/>
          <w:highlight w:val="none"/>
        </w:rPr>
        <w:fldChar w:fldCharType="separate"/>
      </w:r>
      <w:r>
        <w:rPr>
          <w:rFonts w:ascii="黑体" w:hAnsi="黑体"/>
          <w:color w:val="auto"/>
          <w:highlight w:val="none"/>
        </w:rPr>
        <w:t>2.</w:t>
      </w:r>
      <w:r>
        <w:rPr>
          <w:rFonts w:hint="eastAsia" w:ascii="黑体" w:hAnsi="黑体"/>
          <w:color w:val="auto"/>
          <w:highlight w:val="none"/>
        </w:rPr>
        <w:t>3</w:t>
      </w:r>
      <w:r>
        <w:rPr>
          <w:rFonts w:ascii="黑体" w:hAnsi="黑体"/>
          <w:color w:val="auto"/>
          <w:highlight w:val="none"/>
        </w:rPr>
        <w:t xml:space="preserve"> 服务范围</w:t>
      </w:r>
      <w:r>
        <w:rPr>
          <w:color w:val="auto"/>
          <w:highlight w:val="none"/>
        </w:rPr>
        <w:tab/>
      </w:r>
      <w:r>
        <w:rPr>
          <w:color w:val="auto"/>
          <w:highlight w:val="none"/>
        </w:rPr>
        <w:fldChar w:fldCharType="begin"/>
      </w:r>
      <w:r>
        <w:rPr>
          <w:color w:val="auto"/>
          <w:highlight w:val="none"/>
        </w:rPr>
        <w:instrText xml:space="preserve"> PAGEREF _Toc8663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57"/>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_Toc27145 </w:instrText>
      </w:r>
      <w:r>
        <w:rPr>
          <w:color w:val="auto"/>
          <w:highlight w:val="none"/>
        </w:rPr>
        <w:fldChar w:fldCharType="separate"/>
      </w:r>
      <w:r>
        <w:rPr>
          <w:rFonts w:hint="eastAsia" w:ascii="黑体" w:hAnsi="黑体" w:eastAsia="黑体"/>
          <w:color w:val="auto"/>
          <w:szCs w:val="21"/>
          <w:highlight w:val="none"/>
        </w:rPr>
        <w:t>3 应遵循的主要标准</w:t>
      </w:r>
      <w:r>
        <w:rPr>
          <w:color w:val="auto"/>
          <w:highlight w:val="none"/>
        </w:rPr>
        <w:tab/>
      </w:r>
      <w:r>
        <w:rPr>
          <w:color w:val="auto"/>
          <w:highlight w:val="none"/>
        </w:rPr>
        <w:fldChar w:fldCharType="begin"/>
      </w:r>
      <w:r>
        <w:rPr>
          <w:color w:val="auto"/>
          <w:highlight w:val="none"/>
        </w:rPr>
        <w:instrText xml:space="preserve"> PAGEREF _Toc27145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57"/>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_Toc22783 </w:instrText>
      </w:r>
      <w:r>
        <w:rPr>
          <w:color w:val="auto"/>
          <w:highlight w:val="none"/>
        </w:rPr>
        <w:fldChar w:fldCharType="separate"/>
      </w:r>
      <w:r>
        <w:rPr>
          <w:rFonts w:hint="eastAsia" w:ascii="黑体" w:hAnsi="黑体" w:eastAsia="黑体"/>
          <w:color w:val="auto"/>
          <w:szCs w:val="21"/>
          <w:highlight w:val="none"/>
        </w:rPr>
        <w:t>4使用条件</w:t>
      </w:r>
      <w:r>
        <w:rPr>
          <w:color w:val="auto"/>
          <w:highlight w:val="none"/>
        </w:rPr>
        <w:tab/>
      </w:r>
      <w:r>
        <w:rPr>
          <w:color w:val="auto"/>
          <w:highlight w:val="none"/>
        </w:rPr>
        <w:fldChar w:fldCharType="begin"/>
      </w:r>
      <w:r>
        <w:rPr>
          <w:color w:val="auto"/>
          <w:highlight w:val="none"/>
        </w:rPr>
        <w:instrText xml:space="preserve"> PAGEREF _Toc22783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_Toc1199 </w:instrText>
      </w:r>
      <w:r>
        <w:rPr>
          <w:color w:val="auto"/>
          <w:highlight w:val="none"/>
        </w:rPr>
        <w:fldChar w:fldCharType="separate"/>
      </w:r>
      <w:r>
        <w:rPr>
          <w:rFonts w:hint="eastAsia" w:ascii="黑体" w:hAnsi="黑体"/>
          <w:color w:val="auto"/>
          <w:highlight w:val="none"/>
        </w:rPr>
        <w:t>4.1正常使用条件</w:t>
      </w:r>
      <w:r>
        <w:rPr>
          <w:color w:val="auto"/>
          <w:highlight w:val="none"/>
        </w:rPr>
        <w:tab/>
      </w:r>
      <w:r>
        <w:rPr>
          <w:color w:val="auto"/>
          <w:highlight w:val="none"/>
        </w:rPr>
        <w:fldChar w:fldCharType="begin"/>
      </w:r>
      <w:r>
        <w:rPr>
          <w:color w:val="auto"/>
          <w:highlight w:val="none"/>
        </w:rPr>
        <w:instrText xml:space="preserve"> PAGEREF _Toc1199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_Toc27225 </w:instrText>
      </w:r>
      <w:r>
        <w:rPr>
          <w:color w:val="auto"/>
          <w:highlight w:val="none"/>
        </w:rPr>
        <w:fldChar w:fldCharType="separate"/>
      </w:r>
      <w:r>
        <w:rPr>
          <w:rFonts w:hint="eastAsia" w:ascii="黑体" w:hAnsi="黑体"/>
          <w:color w:val="auto"/>
          <w:highlight w:val="none"/>
        </w:rPr>
        <w:t>4.2特殊</w:t>
      </w:r>
      <w:r>
        <w:rPr>
          <w:rFonts w:hint="eastAsia"/>
          <w:color w:val="auto"/>
          <w:highlight w:val="none"/>
        </w:rPr>
        <w:t>使用条件</w:t>
      </w:r>
      <w:r>
        <w:rPr>
          <w:color w:val="auto"/>
          <w:highlight w:val="none"/>
        </w:rPr>
        <w:tab/>
      </w:r>
      <w:r>
        <w:rPr>
          <w:color w:val="auto"/>
          <w:highlight w:val="none"/>
        </w:rPr>
        <w:fldChar w:fldCharType="begin"/>
      </w:r>
      <w:r>
        <w:rPr>
          <w:color w:val="auto"/>
          <w:highlight w:val="none"/>
        </w:rPr>
        <w:instrText xml:space="preserve"> PAGEREF _Toc27225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57"/>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_Toc18396 </w:instrText>
      </w:r>
      <w:r>
        <w:rPr>
          <w:color w:val="auto"/>
          <w:highlight w:val="none"/>
        </w:rPr>
        <w:fldChar w:fldCharType="separate"/>
      </w:r>
      <w:r>
        <w:rPr>
          <w:rFonts w:hint="eastAsia" w:ascii="黑体" w:hAnsi="黑体" w:eastAsia="黑体"/>
          <w:color w:val="auto"/>
          <w:szCs w:val="21"/>
          <w:highlight w:val="none"/>
        </w:rPr>
        <w:t>5 技术要求</w:t>
      </w:r>
      <w:r>
        <w:rPr>
          <w:color w:val="auto"/>
          <w:highlight w:val="none"/>
        </w:rPr>
        <w:tab/>
      </w:r>
      <w:r>
        <w:rPr>
          <w:color w:val="auto"/>
          <w:highlight w:val="none"/>
        </w:rPr>
        <w:fldChar w:fldCharType="begin"/>
      </w:r>
      <w:r>
        <w:rPr>
          <w:color w:val="auto"/>
          <w:highlight w:val="none"/>
        </w:rPr>
        <w:instrText xml:space="preserve"> PAGEREF _Toc18396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_Toc27072 </w:instrText>
      </w:r>
      <w:r>
        <w:rPr>
          <w:color w:val="auto"/>
          <w:highlight w:val="none"/>
        </w:rPr>
        <w:fldChar w:fldCharType="separate"/>
      </w:r>
      <w:r>
        <w:rPr>
          <w:rFonts w:hint="eastAsia" w:ascii="黑体" w:hAnsi="黑体"/>
          <w:color w:val="auto"/>
          <w:highlight w:val="none"/>
        </w:rPr>
        <w:t>5.1安全性能要求</w:t>
      </w:r>
      <w:r>
        <w:rPr>
          <w:color w:val="auto"/>
          <w:highlight w:val="none"/>
        </w:rPr>
        <w:tab/>
      </w:r>
      <w:r>
        <w:rPr>
          <w:color w:val="auto"/>
          <w:highlight w:val="none"/>
        </w:rPr>
        <w:fldChar w:fldCharType="begin"/>
      </w:r>
      <w:r>
        <w:rPr>
          <w:color w:val="auto"/>
          <w:highlight w:val="none"/>
        </w:rPr>
        <w:instrText xml:space="preserve"> PAGEREF _Toc27072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_Toc25339 </w:instrText>
      </w:r>
      <w:r>
        <w:rPr>
          <w:color w:val="auto"/>
          <w:highlight w:val="none"/>
        </w:rPr>
        <w:fldChar w:fldCharType="separate"/>
      </w:r>
      <w:r>
        <w:rPr>
          <w:rFonts w:hint="eastAsia" w:ascii="黑体" w:hAnsi="黑体"/>
          <w:color w:val="auto"/>
          <w:highlight w:val="none"/>
        </w:rPr>
        <w:t>5.2 监测装置功能要求</w:t>
      </w:r>
      <w:r>
        <w:rPr>
          <w:color w:val="auto"/>
          <w:highlight w:val="none"/>
        </w:rPr>
        <w:tab/>
      </w:r>
      <w:r>
        <w:rPr>
          <w:color w:val="auto"/>
          <w:highlight w:val="none"/>
        </w:rPr>
        <w:fldChar w:fldCharType="begin"/>
      </w:r>
      <w:r>
        <w:rPr>
          <w:color w:val="auto"/>
          <w:highlight w:val="none"/>
        </w:rPr>
        <w:instrText xml:space="preserve"> PAGEREF _Toc25339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_Toc28679 </w:instrText>
      </w:r>
      <w:r>
        <w:rPr>
          <w:color w:val="auto"/>
          <w:highlight w:val="none"/>
        </w:rPr>
        <w:fldChar w:fldCharType="separate"/>
      </w:r>
      <w:r>
        <w:rPr>
          <w:rFonts w:hint="eastAsia" w:ascii="黑体" w:hAnsi="黑体"/>
          <w:color w:val="auto"/>
          <w:highlight w:val="none"/>
        </w:rPr>
        <w:t>5.3 监测装置技术指标</w:t>
      </w:r>
      <w:r>
        <w:rPr>
          <w:color w:val="auto"/>
          <w:highlight w:val="none"/>
        </w:rPr>
        <w:tab/>
      </w:r>
      <w:r>
        <w:rPr>
          <w:color w:val="auto"/>
          <w:highlight w:val="none"/>
        </w:rPr>
        <w:fldChar w:fldCharType="begin"/>
      </w:r>
      <w:r>
        <w:rPr>
          <w:color w:val="auto"/>
          <w:highlight w:val="none"/>
        </w:rPr>
        <w:instrText xml:space="preserve"> PAGEREF _Toc28679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_Toc24159 </w:instrText>
      </w:r>
      <w:r>
        <w:rPr>
          <w:color w:val="auto"/>
          <w:highlight w:val="none"/>
        </w:rPr>
        <w:fldChar w:fldCharType="separate"/>
      </w:r>
      <w:r>
        <w:rPr>
          <w:rFonts w:hint="eastAsia" w:ascii="黑体" w:hAnsi="黑体"/>
          <w:color w:val="auto"/>
          <w:highlight w:val="none"/>
        </w:rPr>
        <w:t>5.</w:t>
      </w:r>
      <w:r>
        <w:rPr>
          <w:rFonts w:ascii="黑体" w:hAnsi="黑体"/>
          <w:color w:val="auto"/>
          <w:highlight w:val="none"/>
        </w:rPr>
        <w:t>4</w:t>
      </w:r>
      <w:r>
        <w:rPr>
          <w:rFonts w:hint="eastAsia" w:ascii="黑体" w:hAnsi="黑体"/>
          <w:color w:val="auto"/>
          <w:highlight w:val="none"/>
        </w:rPr>
        <w:t xml:space="preserve"> 可靠性要求</w:t>
      </w:r>
      <w:r>
        <w:rPr>
          <w:color w:val="auto"/>
          <w:highlight w:val="none"/>
        </w:rPr>
        <w:tab/>
      </w:r>
      <w:r>
        <w:rPr>
          <w:color w:val="auto"/>
          <w:highlight w:val="none"/>
        </w:rPr>
        <w:fldChar w:fldCharType="begin"/>
      </w:r>
      <w:r>
        <w:rPr>
          <w:color w:val="auto"/>
          <w:highlight w:val="none"/>
        </w:rPr>
        <w:instrText xml:space="preserve"> PAGEREF _Toc24159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_Toc5076 </w:instrText>
      </w:r>
      <w:r>
        <w:rPr>
          <w:color w:val="auto"/>
          <w:highlight w:val="none"/>
        </w:rPr>
        <w:fldChar w:fldCharType="separate"/>
      </w:r>
      <w:r>
        <w:rPr>
          <w:rFonts w:hint="eastAsia" w:ascii="黑体" w:hAnsi="黑体"/>
          <w:color w:val="auto"/>
          <w:highlight w:val="none"/>
        </w:rPr>
        <w:t>5.</w:t>
      </w:r>
      <w:r>
        <w:rPr>
          <w:rFonts w:ascii="黑体" w:hAnsi="黑体"/>
          <w:color w:val="auto"/>
          <w:highlight w:val="none"/>
        </w:rPr>
        <w:t>5</w:t>
      </w:r>
      <w:r>
        <w:rPr>
          <w:rFonts w:hint="eastAsia" w:ascii="黑体" w:hAnsi="黑体"/>
          <w:color w:val="auto"/>
          <w:highlight w:val="none"/>
        </w:rPr>
        <w:t xml:space="preserve"> 监测装置外观结构</w:t>
      </w:r>
      <w:r>
        <w:rPr>
          <w:color w:val="auto"/>
          <w:highlight w:val="none"/>
        </w:rPr>
        <w:tab/>
      </w:r>
      <w:r>
        <w:rPr>
          <w:color w:val="auto"/>
          <w:highlight w:val="none"/>
        </w:rPr>
        <w:fldChar w:fldCharType="begin"/>
      </w:r>
      <w:r>
        <w:rPr>
          <w:color w:val="auto"/>
          <w:highlight w:val="none"/>
        </w:rPr>
        <w:instrText xml:space="preserve"> PAGEREF _Toc5076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pPr>
        <w:pStyle w:val="57"/>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_Toc28459 </w:instrText>
      </w:r>
      <w:r>
        <w:rPr>
          <w:color w:val="auto"/>
          <w:highlight w:val="none"/>
        </w:rPr>
        <w:fldChar w:fldCharType="separate"/>
      </w:r>
      <w:r>
        <w:rPr>
          <w:rFonts w:ascii="黑体" w:hAnsi="黑体" w:eastAsia="黑体"/>
          <w:color w:val="auto"/>
          <w:szCs w:val="21"/>
          <w:highlight w:val="none"/>
        </w:rPr>
        <w:t xml:space="preserve">6 </w:t>
      </w:r>
      <w:r>
        <w:rPr>
          <w:rFonts w:hint="eastAsia" w:ascii="黑体" w:hAnsi="黑体" w:eastAsia="黑体"/>
          <w:color w:val="auto"/>
          <w:szCs w:val="21"/>
          <w:highlight w:val="none"/>
        </w:rPr>
        <w:t>试验项目及要求</w:t>
      </w:r>
      <w:r>
        <w:rPr>
          <w:color w:val="auto"/>
          <w:highlight w:val="none"/>
        </w:rPr>
        <w:tab/>
      </w:r>
      <w:r>
        <w:rPr>
          <w:color w:val="auto"/>
          <w:highlight w:val="none"/>
        </w:rPr>
        <w:fldChar w:fldCharType="begin"/>
      </w:r>
      <w:r>
        <w:rPr>
          <w:color w:val="auto"/>
          <w:highlight w:val="none"/>
        </w:rPr>
        <w:instrText xml:space="preserve"> PAGEREF _Toc28459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_Toc12912 </w:instrText>
      </w:r>
      <w:r>
        <w:rPr>
          <w:color w:val="auto"/>
          <w:highlight w:val="none"/>
        </w:rPr>
        <w:fldChar w:fldCharType="separate"/>
      </w:r>
      <w:r>
        <w:rPr>
          <w:rFonts w:hint="eastAsia" w:ascii="黑体" w:hAnsi="黑体"/>
          <w:color w:val="auto"/>
          <w:highlight w:val="none"/>
        </w:rPr>
        <w:t>6.1试验条件</w:t>
      </w:r>
      <w:r>
        <w:rPr>
          <w:color w:val="auto"/>
          <w:highlight w:val="none"/>
        </w:rPr>
        <w:tab/>
      </w:r>
      <w:r>
        <w:rPr>
          <w:color w:val="auto"/>
          <w:highlight w:val="none"/>
        </w:rPr>
        <w:fldChar w:fldCharType="begin"/>
      </w:r>
      <w:r>
        <w:rPr>
          <w:color w:val="auto"/>
          <w:highlight w:val="none"/>
        </w:rPr>
        <w:instrText xml:space="preserve"> PAGEREF _Toc12912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_Toc20340 </w:instrText>
      </w:r>
      <w:r>
        <w:rPr>
          <w:color w:val="auto"/>
          <w:highlight w:val="none"/>
        </w:rPr>
        <w:fldChar w:fldCharType="separate"/>
      </w:r>
      <w:r>
        <w:rPr>
          <w:rFonts w:hint="eastAsia"/>
          <w:color w:val="auto"/>
          <w:highlight w:val="none"/>
        </w:rPr>
        <w:t>6.2 基本功能试验</w:t>
      </w:r>
      <w:r>
        <w:rPr>
          <w:color w:val="auto"/>
          <w:highlight w:val="none"/>
        </w:rPr>
        <w:tab/>
      </w:r>
      <w:r>
        <w:rPr>
          <w:color w:val="auto"/>
          <w:highlight w:val="none"/>
        </w:rPr>
        <w:fldChar w:fldCharType="begin"/>
      </w:r>
      <w:r>
        <w:rPr>
          <w:color w:val="auto"/>
          <w:highlight w:val="none"/>
        </w:rPr>
        <w:instrText xml:space="preserve"> PAGEREF _Toc20340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_Toc20449 </w:instrText>
      </w:r>
      <w:r>
        <w:rPr>
          <w:color w:val="auto"/>
          <w:highlight w:val="none"/>
        </w:rPr>
        <w:fldChar w:fldCharType="separate"/>
      </w:r>
      <w:r>
        <w:rPr>
          <w:rFonts w:hint="eastAsia"/>
          <w:color w:val="auto"/>
          <w:highlight w:val="none"/>
        </w:rPr>
        <w:t>6.3 物联网平台接入试验</w:t>
      </w:r>
      <w:r>
        <w:rPr>
          <w:color w:val="auto"/>
          <w:highlight w:val="none"/>
        </w:rPr>
        <w:tab/>
      </w:r>
      <w:r>
        <w:rPr>
          <w:color w:val="auto"/>
          <w:highlight w:val="none"/>
        </w:rPr>
        <w:fldChar w:fldCharType="begin"/>
      </w:r>
      <w:r>
        <w:rPr>
          <w:color w:val="auto"/>
          <w:highlight w:val="none"/>
        </w:rPr>
        <w:instrText xml:space="preserve"> PAGEREF _Toc20449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_Toc25694 </w:instrText>
      </w:r>
      <w:r>
        <w:rPr>
          <w:color w:val="auto"/>
          <w:highlight w:val="none"/>
        </w:rPr>
        <w:fldChar w:fldCharType="separate"/>
      </w:r>
      <w:r>
        <w:rPr>
          <w:rFonts w:hint="eastAsia" w:ascii="黑体" w:hAnsi="黑体" w:eastAsia="黑体"/>
          <w:color w:val="auto"/>
          <w:kern w:val="0"/>
          <w:szCs w:val="21"/>
          <w:highlight w:val="none"/>
        </w:rPr>
        <w:t>6.4 结构和外观检查</w:t>
      </w:r>
      <w:r>
        <w:rPr>
          <w:color w:val="auto"/>
          <w:highlight w:val="none"/>
        </w:rPr>
        <w:tab/>
      </w:r>
      <w:r>
        <w:rPr>
          <w:color w:val="auto"/>
          <w:highlight w:val="none"/>
        </w:rPr>
        <w:fldChar w:fldCharType="begin"/>
      </w:r>
      <w:r>
        <w:rPr>
          <w:color w:val="auto"/>
          <w:highlight w:val="none"/>
        </w:rPr>
        <w:instrText xml:space="preserve"> PAGEREF _Toc25694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_Toc20747 </w:instrText>
      </w:r>
      <w:r>
        <w:rPr>
          <w:color w:val="auto"/>
          <w:highlight w:val="none"/>
        </w:rPr>
        <w:fldChar w:fldCharType="separate"/>
      </w:r>
      <w:r>
        <w:rPr>
          <w:rFonts w:hint="eastAsia" w:ascii="黑体" w:hAnsi="黑体" w:eastAsia="黑体"/>
          <w:color w:val="auto"/>
          <w:kern w:val="0"/>
          <w:szCs w:val="21"/>
          <w:highlight w:val="none"/>
        </w:rPr>
        <w:t>6.5电气性能试验</w:t>
      </w:r>
      <w:r>
        <w:rPr>
          <w:color w:val="auto"/>
          <w:highlight w:val="none"/>
        </w:rPr>
        <w:tab/>
      </w:r>
      <w:r>
        <w:rPr>
          <w:color w:val="auto"/>
          <w:highlight w:val="none"/>
        </w:rPr>
        <w:fldChar w:fldCharType="begin"/>
      </w:r>
      <w:r>
        <w:rPr>
          <w:color w:val="auto"/>
          <w:highlight w:val="none"/>
        </w:rPr>
        <w:instrText xml:space="preserve"> PAGEREF _Toc20747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_Toc2634 </w:instrText>
      </w:r>
      <w:r>
        <w:rPr>
          <w:color w:val="auto"/>
          <w:highlight w:val="none"/>
        </w:rPr>
        <w:fldChar w:fldCharType="separate"/>
      </w:r>
      <w:r>
        <w:rPr>
          <w:rFonts w:hint="eastAsia" w:ascii="黑体" w:hAnsi="黑体" w:eastAsia="黑体"/>
          <w:color w:val="auto"/>
          <w:kern w:val="0"/>
          <w:szCs w:val="21"/>
          <w:highlight w:val="none"/>
        </w:rPr>
        <w:t>6.6电磁兼容性试验</w:t>
      </w:r>
      <w:r>
        <w:rPr>
          <w:color w:val="auto"/>
          <w:highlight w:val="none"/>
        </w:rPr>
        <w:tab/>
      </w:r>
      <w:r>
        <w:rPr>
          <w:color w:val="auto"/>
          <w:highlight w:val="none"/>
        </w:rPr>
        <w:fldChar w:fldCharType="begin"/>
      </w:r>
      <w:r>
        <w:rPr>
          <w:color w:val="auto"/>
          <w:highlight w:val="none"/>
        </w:rPr>
        <w:instrText xml:space="preserve"> PAGEREF _Toc2634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_Toc10158 </w:instrText>
      </w:r>
      <w:r>
        <w:rPr>
          <w:color w:val="auto"/>
          <w:highlight w:val="none"/>
        </w:rPr>
        <w:fldChar w:fldCharType="separate"/>
      </w:r>
      <w:r>
        <w:rPr>
          <w:rFonts w:hint="eastAsia" w:ascii="黑体" w:hAnsi="黑体" w:eastAsia="黑体"/>
          <w:color w:val="auto"/>
          <w:kern w:val="0"/>
          <w:szCs w:val="21"/>
          <w:highlight w:val="none"/>
        </w:rPr>
        <w:t>6.7环境试验</w:t>
      </w:r>
      <w:r>
        <w:rPr>
          <w:color w:val="auto"/>
          <w:highlight w:val="none"/>
        </w:rPr>
        <w:tab/>
      </w:r>
      <w:r>
        <w:rPr>
          <w:color w:val="auto"/>
          <w:highlight w:val="none"/>
        </w:rPr>
        <w:fldChar w:fldCharType="begin"/>
      </w:r>
      <w:r>
        <w:rPr>
          <w:color w:val="auto"/>
          <w:highlight w:val="none"/>
        </w:rPr>
        <w:instrText xml:space="preserve"> PAGEREF _Toc10158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_Toc24397 </w:instrText>
      </w:r>
      <w:r>
        <w:rPr>
          <w:color w:val="auto"/>
          <w:highlight w:val="none"/>
        </w:rPr>
        <w:fldChar w:fldCharType="separate"/>
      </w:r>
      <w:r>
        <w:rPr>
          <w:rFonts w:hint="eastAsia" w:ascii="黑体" w:hAnsi="黑体" w:eastAsia="黑体"/>
          <w:color w:val="auto"/>
          <w:kern w:val="0"/>
          <w:szCs w:val="21"/>
          <w:highlight w:val="none"/>
        </w:rPr>
        <w:t>6.8机械性能试验</w:t>
      </w:r>
      <w:r>
        <w:rPr>
          <w:color w:val="auto"/>
          <w:highlight w:val="none"/>
        </w:rPr>
        <w:tab/>
      </w:r>
      <w:r>
        <w:rPr>
          <w:color w:val="auto"/>
          <w:highlight w:val="none"/>
        </w:rPr>
        <w:fldChar w:fldCharType="begin"/>
      </w:r>
      <w:r>
        <w:rPr>
          <w:color w:val="auto"/>
          <w:highlight w:val="none"/>
        </w:rPr>
        <w:instrText xml:space="preserve"> PAGEREF _Toc24397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_Toc1912 </w:instrText>
      </w:r>
      <w:r>
        <w:rPr>
          <w:color w:val="auto"/>
          <w:highlight w:val="none"/>
        </w:rPr>
        <w:fldChar w:fldCharType="separate"/>
      </w:r>
      <w:r>
        <w:rPr>
          <w:rFonts w:hint="eastAsia" w:ascii="黑体" w:hAnsi="黑体" w:eastAsia="黑体"/>
          <w:color w:val="auto"/>
          <w:kern w:val="0"/>
          <w:szCs w:val="21"/>
          <w:highlight w:val="none"/>
        </w:rPr>
        <w:t>6.9功能试验</w:t>
      </w:r>
      <w:r>
        <w:rPr>
          <w:color w:val="auto"/>
          <w:highlight w:val="none"/>
        </w:rPr>
        <w:tab/>
      </w:r>
      <w:r>
        <w:rPr>
          <w:color w:val="auto"/>
          <w:highlight w:val="none"/>
        </w:rPr>
        <w:fldChar w:fldCharType="begin"/>
      </w:r>
      <w:r>
        <w:rPr>
          <w:color w:val="auto"/>
          <w:highlight w:val="none"/>
        </w:rPr>
        <w:instrText xml:space="preserve"> PAGEREF _Toc1912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_Toc26251 </w:instrText>
      </w:r>
      <w:r>
        <w:rPr>
          <w:color w:val="auto"/>
          <w:highlight w:val="none"/>
        </w:rPr>
        <w:fldChar w:fldCharType="separate"/>
      </w:r>
      <w:r>
        <w:rPr>
          <w:rFonts w:hint="eastAsia" w:ascii="黑体" w:hAnsi="黑体" w:eastAsia="黑体"/>
          <w:color w:val="auto"/>
          <w:kern w:val="0"/>
          <w:szCs w:val="21"/>
          <w:highlight w:val="none"/>
        </w:rPr>
        <w:t>6.10连续运行试验</w:t>
      </w:r>
      <w:r>
        <w:rPr>
          <w:color w:val="auto"/>
          <w:highlight w:val="none"/>
        </w:rPr>
        <w:tab/>
      </w:r>
      <w:r>
        <w:rPr>
          <w:color w:val="auto"/>
          <w:highlight w:val="none"/>
        </w:rPr>
        <w:fldChar w:fldCharType="begin"/>
      </w:r>
      <w:r>
        <w:rPr>
          <w:color w:val="auto"/>
          <w:highlight w:val="none"/>
        </w:rPr>
        <w:instrText xml:space="preserve"> PAGEREF _Toc26251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_Toc13448 </w:instrText>
      </w:r>
      <w:r>
        <w:rPr>
          <w:color w:val="auto"/>
          <w:highlight w:val="none"/>
        </w:rPr>
        <w:fldChar w:fldCharType="separate"/>
      </w:r>
      <w:r>
        <w:rPr>
          <w:rFonts w:hint="eastAsia" w:ascii="黑体" w:hAnsi="黑体" w:eastAsia="黑体"/>
          <w:color w:val="auto"/>
          <w:kern w:val="0"/>
          <w:szCs w:val="21"/>
          <w:highlight w:val="none"/>
        </w:rPr>
        <w:t>6.11 重量检查</w:t>
      </w:r>
      <w:r>
        <w:rPr>
          <w:color w:val="auto"/>
          <w:highlight w:val="none"/>
        </w:rPr>
        <w:tab/>
      </w:r>
      <w:r>
        <w:rPr>
          <w:color w:val="auto"/>
          <w:highlight w:val="none"/>
        </w:rPr>
        <w:fldChar w:fldCharType="begin"/>
      </w:r>
      <w:r>
        <w:rPr>
          <w:color w:val="auto"/>
          <w:highlight w:val="none"/>
        </w:rPr>
        <w:instrText xml:space="preserve"> PAGEREF _Toc13448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_Toc29476 </w:instrText>
      </w:r>
      <w:r>
        <w:rPr>
          <w:color w:val="auto"/>
          <w:highlight w:val="none"/>
        </w:rPr>
        <w:fldChar w:fldCharType="separate"/>
      </w:r>
      <w:r>
        <w:rPr>
          <w:color w:val="auto"/>
          <w:highlight w:val="none"/>
        </w:rPr>
        <w:t>6.1</w:t>
      </w:r>
      <w:r>
        <w:rPr>
          <w:rFonts w:hint="eastAsia"/>
          <w:color w:val="auto"/>
          <w:highlight w:val="none"/>
        </w:rPr>
        <w:t>2单</w:t>
      </w:r>
      <w:r>
        <w:rPr>
          <w:color w:val="auto"/>
          <w:highlight w:val="none"/>
        </w:rPr>
        <w:t>北斗试验</w:t>
      </w:r>
      <w:r>
        <w:rPr>
          <w:color w:val="auto"/>
          <w:highlight w:val="none"/>
        </w:rPr>
        <w:tab/>
      </w:r>
      <w:r>
        <w:rPr>
          <w:color w:val="auto"/>
          <w:highlight w:val="none"/>
        </w:rPr>
        <w:fldChar w:fldCharType="begin"/>
      </w:r>
      <w:r>
        <w:rPr>
          <w:color w:val="auto"/>
          <w:highlight w:val="none"/>
        </w:rPr>
        <w:instrText xml:space="preserve"> PAGEREF _Toc29476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57"/>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_Toc16138 </w:instrText>
      </w:r>
      <w:r>
        <w:rPr>
          <w:color w:val="auto"/>
          <w:highlight w:val="none"/>
        </w:rPr>
        <w:fldChar w:fldCharType="separate"/>
      </w:r>
      <w:r>
        <w:rPr>
          <w:rFonts w:hint="eastAsia" w:ascii="黑体" w:hAnsi="黑体"/>
          <w:bCs/>
          <w:color w:val="auto"/>
          <w:highlight w:val="none"/>
        </w:rPr>
        <w:t>7.检验项目</w:t>
      </w:r>
      <w:r>
        <w:rPr>
          <w:color w:val="auto"/>
          <w:highlight w:val="none"/>
        </w:rPr>
        <w:tab/>
      </w:r>
      <w:r>
        <w:rPr>
          <w:color w:val="auto"/>
          <w:highlight w:val="none"/>
        </w:rPr>
        <w:fldChar w:fldCharType="begin"/>
      </w:r>
      <w:r>
        <w:rPr>
          <w:color w:val="auto"/>
          <w:highlight w:val="none"/>
        </w:rPr>
        <w:instrText xml:space="preserve"> PAGEREF _Toc16138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_Toc32727 </w:instrText>
      </w:r>
      <w:r>
        <w:rPr>
          <w:color w:val="auto"/>
          <w:highlight w:val="none"/>
        </w:rPr>
        <w:fldChar w:fldCharType="separate"/>
      </w:r>
      <w:r>
        <w:rPr>
          <w:rFonts w:hint="eastAsia" w:ascii="黑体" w:hAnsi="黑体"/>
          <w:color w:val="auto"/>
          <w:highlight w:val="none"/>
        </w:rPr>
        <w:t>7.1 型式试验</w:t>
      </w:r>
      <w:r>
        <w:rPr>
          <w:color w:val="auto"/>
          <w:highlight w:val="none"/>
        </w:rPr>
        <w:tab/>
      </w:r>
      <w:r>
        <w:rPr>
          <w:color w:val="auto"/>
          <w:highlight w:val="none"/>
        </w:rPr>
        <w:fldChar w:fldCharType="begin"/>
      </w:r>
      <w:r>
        <w:rPr>
          <w:color w:val="auto"/>
          <w:highlight w:val="none"/>
        </w:rPr>
        <w:instrText xml:space="preserve"> PAGEREF _Toc32727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_Toc23780 </w:instrText>
      </w:r>
      <w:r>
        <w:rPr>
          <w:color w:val="auto"/>
          <w:highlight w:val="none"/>
        </w:rPr>
        <w:fldChar w:fldCharType="separate"/>
      </w:r>
      <w:r>
        <w:rPr>
          <w:rFonts w:hint="eastAsia" w:ascii="黑体" w:hAnsi="黑体"/>
          <w:color w:val="auto"/>
          <w:highlight w:val="none"/>
        </w:rPr>
        <w:t>7.2 出厂试验</w:t>
      </w:r>
      <w:r>
        <w:rPr>
          <w:color w:val="auto"/>
          <w:highlight w:val="none"/>
        </w:rPr>
        <w:tab/>
      </w:r>
      <w:r>
        <w:rPr>
          <w:color w:val="auto"/>
          <w:highlight w:val="none"/>
        </w:rPr>
        <w:fldChar w:fldCharType="begin"/>
      </w:r>
      <w:r>
        <w:rPr>
          <w:color w:val="auto"/>
          <w:highlight w:val="none"/>
        </w:rPr>
        <w:instrText xml:space="preserve"> PAGEREF _Toc23780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_Toc145 </w:instrText>
      </w:r>
      <w:r>
        <w:rPr>
          <w:color w:val="auto"/>
          <w:highlight w:val="none"/>
        </w:rPr>
        <w:fldChar w:fldCharType="separate"/>
      </w:r>
      <w:r>
        <w:rPr>
          <w:rFonts w:hint="eastAsia" w:ascii="黑体" w:hAnsi="黑体"/>
          <w:color w:val="auto"/>
          <w:highlight w:val="none"/>
        </w:rPr>
        <w:t>7.3 送样试验</w:t>
      </w:r>
      <w:r>
        <w:rPr>
          <w:color w:val="auto"/>
          <w:highlight w:val="none"/>
        </w:rPr>
        <w:tab/>
      </w:r>
      <w:r>
        <w:rPr>
          <w:color w:val="auto"/>
          <w:highlight w:val="none"/>
        </w:rPr>
        <w:fldChar w:fldCharType="begin"/>
      </w:r>
      <w:r>
        <w:rPr>
          <w:color w:val="auto"/>
          <w:highlight w:val="none"/>
        </w:rPr>
        <w:instrText xml:space="preserve"> PAGEREF _Toc145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_Toc22915 </w:instrText>
      </w:r>
      <w:r>
        <w:rPr>
          <w:color w:val="auto"/>
          <w:highlight w:val="none"/>
        </w:rPr>
        <w:fldChar w:fldCharType="separate"/>
      </w:r>
      <w:r>
        <w:rPr>
          <w:rFonts w:hint="eastAsia" w:ascii="黑体" w:hAnsi="黑体"/>
          <w:color w:val="auto"/>
          <w:highlight w:val="none"/>
        </w:rPr>
        <w:t>7.4到货抽检</w:t>
      </w:r>
      <w:r>
        <w:rPr>
          <w:color w:val="auto"/>
          <w:highlight w:val="none"/>
        </w:rPr>
        <w:tab/>
      </w:r>
      <w:r>
        <w:rPr>
          <w:color w:val="auto"/>
          <w:highlight w:val="none"/>
        </w:rPr>
        <w:fldChar w:fldCharType="begin"/>
      </w:r>
      <w:r>
        <w:rPr>
          <w:color w:val="auto"/>
          <w:highlight w:val="none"/>
        </w:rPr>
        <w:instrText xml:space="preserve"> PAGEREF _Toc22915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_Toc25970 </w:instrText>
      </w:r>
      <w:r>
        <w:rPr>
          <w:color w:val="auto"/>
          <w:highlight w:val="none"/>
        </w:rPr>
        <w:fldChar w:fldCharType="separate"/>
      </w:r>
      <w:r>
        <w:rPr>
          <w:rFonts w:hint="eastAsia" w:ascii="黑体" w:hAnsi="黑体"/>
          <w:color w:val="auto"/>
          <w:highlight w:val="none"/>
        </w:rPr>
        <w:t>7.5交接试验</w:t>
      </w:r>
      <w:r>
        <w:rPr>
          <w:color w:val="auto"/>
          <w:highlight w:val="none"/>
        </w:rPr>
        <w:tab/>
      </w:r>
      <w:r>
        <w:rPr>
          <w:color w:val="auto"/>
          <w:highlight w:val="none"/>
        </w:rPr>
        <w:fldChar w:fldCharType="begin"/>
      </w:r>
      <w:r>
        <w:rPr>
          <w:color w:val="auto"/>
          <w:highlight w:val="none"/>
        </w:rPr>
        <w:instrText xml:space="preserve"> PAGEREF _Toc25970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57"/>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_Toc5445 </w:instrText>
      </w:r>
      <w:r>
        <w:rPr>
          <w:color w:val="auto"/>
          <w:highlight w:val="none"/>
        </w:rPr>
        <w:fldChar w:fldCharType="separate"/>
      </w:r>
      <w:r>
        <w:rPr>
          <w:rFonts w:hint="eastAsia" w:ascii="黑体" w:hAnsi="黑体" w:eastAsia="黑体"/>
          <w:color w:val="auto"/>
          <w:szCs w:val="21"/>
          <w:highlight w:val="none"/>
        </w:rPr>
        <w:t xml:space="preserve">8 </w:t>
      </w:r>
      <w:r>
        <w:rPr>
          <w:rFonts w:hint="eastAsia" w:eastAsia="黑体"/>
          <w:color w:val="auto"/>
          <w:szCs w:val="28"/>
          <w:highlight w:val="none"/>
        </w:rPr>
        <w:t>技术联络、技术培训及售后服务</w:t>
      </w:r>
      <w:r>
        <w:rPr>
          <w:color w:val="auto"/>
          <w:highlight w:val="none"/>
        </w:rPr>
        <w:tab/>
      </w:r>
      <w:r>
        <w:rPr>
          <w:color w:val="auto"/>
          <w:highlight w:val="none"/>
        </w:rPr>
        <w:fldChar w:fldCharType="begin"/>
      </w:r>
      <w:r>
        <w:rPr>
          <w:color w:val="auto"/>
          <w:highlight w:val="none"/>
        </w:rPr>
        <w:instrText xml:space="preserve"> PAGEREF _Toc5445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_Toc794 </w:instrText>
      </w:r>
      <w:r>
        <w:rPr>
          <w:color w:val="auto"/>
          <w:highlight w:val="none"/>
        </w:rPr>
        <w:fldChar w:fldCharType="separate"/>
      </w:r>
      <w:r>
        <w:rPr>
          <w:rFonts w:hint="eastAsia"/>
          <w:color w:val="auto"/>
          <w:szCs w:val="24"/>
          <w:highlight w:val="none"/>
        </w:rPr>
        <w:t>8</w:t>
      </w:r>
      <w:r>
        <w:rPr>
          <w:color w:val="auto"/>
          <w:szCs w:val="24"/>
          <w:highlight w:val="none"/>
        </w:rPr>
        <w:t xml:space="preserve">.1 </w:t>
      </w:r>
      <w:r>
        <w:rPr>
          <w:rFonts w:hint="eastAsia"/>
          <w:color w:val="auto"/>
          <w:szCs w:val="24"/>
          <w:highlight w:val="none"/>
        </w:rPr>
        <w:t>技术联络</w:t>
      </w:r>
      <w:r>
        <w:rPr>
          <w:color w:val="auto"/>
          <w:highlight w:val="none"/>
        </w:rPr>
        <w:tab/>
      </w:r>
      <w:r>
        <w:rPr>
          <w:color w:val="auto"/>
          <w:highlight w:val="none"/>
        </w:rPr>
        <w:fldChar w:fldCharType="begin"/>
      </w:r>
      <w:r>
        <w:rPr>
          <w:color w:val="auto"/>
          <w:highlight w:val="none"/>
        </w:rPr>
        <w:instrText xml:space="preserve"> PAGEREF _Toc794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_Toc6430 </w:instrText>
      </w:r>
      <w:r>
        <w:rPr>
          <w:color w:val="auto"/>
          <w:highlight w:val="none"/>
        </w:rPr>
        <w:fldChar w:fldCharType="separate"/>
      </w:r>
      <w:r>
        <w:rPr>
          <w:rFonts w:hint="eastAsia"/>
          <w:color w:val="auto"/>
          <w:szCs w:val="24"/>
          <w:highlight w:val="none"/>
        </w:rPr>
        <w:t>8</w:t>
      </w:r>
      <w:r>
        <w:rPr>
          <w:color w:val="auto"/>
          <w:szCs w:val="24"/>
          <w:highlight w:val="none"/>
        </w:rPr>
        <w:t xml:space="preserve">.2 </w:t>
      </w:r>
      <w:r>
        <w:rPr>
          <w:rFonts w:hint="eastAsia"/>
          <w:color w:val="auto"/>
          <w:szCs w:val="24"/>
          <w:highlight w:val="none"/>
        </w:rPr>
        <w:t>技术培训</w:t>
      </w:r>
      <w:r>
        <w:rPr>
          <w:color w:val="auto"/>
          <w:highlight w:val="none"/>
        </w:rPr>
        <w:tab/>
      </w:r>
      <w:r>
        <w:rPr>
          <w:color w:val="auto"/>
          <w:highlight w:val="none"/>
        </w:rPr>
        <w:fldChar w:fldCharType="begin"/>
      </w:r>
      <w:r>
        <w:rPr>
          <w:color w:val="auto"/>
          <w:highlight w:val="none"/>
        </w:rPr>
        <w:instrText xml:space="preserve"> PAGEREF _Toc6430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_Toc29241 </w:instrText>
      </w:r>
      <w:r>
        <w:rPr>
          <w:color w:val="auto"/>
          <w:highlight w:val="none"/>
        </w:rPr>
        <w:fldChar w:fldCharType="separate"/>
      </w:r>
      <w:r>
        <w:rPr>
          <w:rFonts w:hint="eastAsia"/>
          <w:color w:val="auto"/>
          <w:szCs w:val="24"/>
          <w:highlight w:val="none"/>
        </w:rPr>
        <w:t>8</w:t>
      </w:r>
      <w:r>
        <w:rPr>
          <w:color w:val="auto"/>
          <w:szCs w:val="24"/>
          <w:highlight w:val="none"/>
        </w:rPr>
        <w:t xml:space="preserve">.3 </w:t>
      </w:r>
      <w:r>
        <w:rPr>
          <w:rFonts w:hint="eastAsia"/>
          <w:color w:val="auto"/>
          <w:szCs w:val="24"/>
          <w:highlight w:val="none"/>
        </w:rPr>
        <w:t>售后服务</w:t>
      </w:r>
      <w:r>
        <w:rPr>
          <w:color w:val="auto"/>
          <w:highlight w:val="none"/>
        </w:rPr>
        <w:tab/>
      </w:r>
      <w:r>
        <w:rPr>
          <w:color w:val="auto"/>
          <w:highlight w:val="none"/>
        </w:rPr>
        <w:fldChar w:fldCharType="begin"/>
      </w:r>
      <w:r>
        <w:rPr>
          <w:color w:val="auto"/>
          <w:highlight w:val="none"/>
        </w:rPr>
        <w:instrText xml:space="preserve"> PAGEREF _Toc29241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57"/>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_Toc10336 </w:instrText>
      </w:r>
      <w:r>
        <w:rPr>
          <w:color w:val="auto"/>
          <w:highlight w:val="none"/>
        </w:rPr>
        <w:fldChar w:fldCharType="separate"/>
      </w:r>
      <w:r>
        <w:rPr>
          <w:rFonts w:hint="eastAsia" w:ascii="黑体" w:hAnsi="黑体" w:eastAsia="黑体"/>
          <w:color w:val="auto"/>
          <w:szCs w:val="21"/>
          <w:highlight w:val="none"/>
        </w:rPr>
        <w:t>9 技术文件要求</w:t>
      </w:r>
      <w:r>
        <w:rPr>
          <w:color w:val="auto"/>
          <w:highlight w:val="none"/>
        </w:rPr>
        <w:tab/>
      </w:r>
      <w:r>
        <w:rPr>
          <w:color w:val="auto"/>
          <w:highlight w:val="none"/>
        </w:rPr>
        <w:fldChar w:fldCharType="begin"/>
      </w:r>
      <w:r>
        <w:rPr>
          <w:color w:val="auto"/>
          <w:highlight w:val="none"/>
        </w:rPr>
        <w:instrText xml:space="preserve"> PAGEREF _Toc10336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_Toc18611 </w:instrText>
      </w:r>
      <w:r>
        <w:rPr>
          <w:color w:val="auto"/>
          <w:highlight w:val="none"/>
        </w:rPr>
        <w:fldChar w:fldCharType="separate"/>
      </w:r>
      <w:r>
        <w:rPr>
          <w:rFonts w:hint="eastAsia" w:ascii="黑体" w:hAnsi="黑体"/>
          <w:color w:val="auto"/>
          <w:highlight w:val="none"/>
        </w:rPr>
        <w:t>9.1一般要求</w:t>
      </w:r>
      <w:r>
        <w:rPr>
          <w:color w:val="auto"/>
          <w:highlight w:val="none"/>
        </w:rPr>
        <w:tab/>
      </w:r>
      <w:r>
        <w:rPr>
          <w:color w:val="auto"/>
          <w:highlight w:val="none"/>
        </w:rPr>
        <w:fldChar w:fldCharType="begin"/>
      </w:r>
      <w:r>
        <w:rPr>
          <w:color w:val="auto"/>
          <w:highlight w:val="none"/>
        </w:rPr>
        <w:instrText xml:space="preserve"> PAGEREF _Toc18611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_Toc24795 </w:instrText>
      </w:r>
      <w:r>
        <w:rPr>
          <w:color w:val="auto"/>
          <w:highlight w:val="none"/>
        </w:rPr>
        <w:fldChar w:fldCharType="separate"/>
      </w:r>
      <w:r>
        <w:rPr>
          <w:rFonts w:hint="eastAsia" w:ascii="黑体" w:hAnsi="黑体"/>
          <w:color w:val="auto"/>
          <w:highlight w:val="none"/>
        </w:rPr>
        <w:t>9</w:t>
      </w:r>
      <w:r>
        <w:rPr>
          <w:rFonts w:ascii="黑体" w:hAnsi="黑体"/>
          <w:color w:val="auto"/>
          <w:highlight w:val="none"/>
        </w:rPr>
        <w:t>.</w:t>
      </w:r>
      <w:r>
        <w:rPr>
          <w:rFonts w:hint="eastAsia" w:ascii="黑体" w:hAnsi="黑体"/>
          <w:color w:val="auto"/>
          <w:highlight w:val="none"/>
        </w:rPr>
        <w:t>2</w:t>
      </w:r>
      <w:r>
        <w:rPr>
          <w:rFonts w:ascii="黑体" w:hAnsi="黑体"/>
          <w:color w:val="auto"/>
          <w:highlight w:val="none"/>
        </w:rPr>
        <w:t xml:space="preserve"> </w:t>
      </w:r>
      <w:r>
        <w:rPr>
          <w:rFonts w:hint="eastAsia" w:ascii="黑体" w:hAnsi="黑体"/>
          <w:color w:val="auto"/>
          <w:highlight w:val="none"/>
        </w:rPr>
        <w:t>资料文件</w:t>
      </w:r>
      <w:r>
        <w:rPr>
          <w:color w:val="auto"/>
          <w:highlight w:val="none"/>
        </w:rPr>
        <w:tab/>
      </w:r>
      <w:r>
        <w:rPr>
          <w:color w:val="auto"/>
          <w:highlight w:val="none"/>
        </w:rPr>
        <w:fldChar w:fldCharType="begin"/>
      </w:r>
      <w:r>
        <w:rPr>
          <w:color w:val="auto"/>
          <w:highlight w:val="none"/>
        </w:rPr>
        <w:instrText xml:space="preserve"> PAGEREF _Toc24795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pStyle w:val="57"/>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_Toc19070 </w:instrText>
      </w:r>
      <w:r>
        <w:rPr>
          <w:color w:val="auto"/>
          <w:highlight w:val="none"/>
        </w:rPr>
        <w:fldChar w:fldCharType="separate"/>
      </w:r>
      <w:r>
        <w:rPr>
          <w:rFonts w:hint="eastAsia" w:ascii="黑体" w:hAnsi="黑体" w:eastAsia="黑体"/>
          <w:color w:val="auto"/>
          <w:szCs w:val="21"/>
          <w:highlight w:val="none"/>
        </w:rPr>
        <w:t>10 包装、运输、安装及质量保证</w:t>
      </w:r>
      <w:r>
        <w:rPr>
          <w:color w:val="auto"/>
          <w:highlight w:val="none"/>
        </w:rPr>
        <w:tab/>
      </w:r>
      <w:r>
        <w:rPr>
          <w:color w:val="auto"/>
          <w:highlight w:val="none"/>
        </w:rPr>
        <w:fldChar w:fldCharType="begin"/>
      </w:r>
      <w:r>
        <w:rPr>
          <w:color w:val="auto"/>
          <w:highlight w:val="none"/>
        </w:rPr>
        <w:instrText xml:space="preserve"> PAGEREF _Toc19070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_Toc18320 </w:instrText>
      </w:r>
      <w:r>
        <w:rPr>
          <w:color w:val="auto"/>
          <w:highlight w:val="none"/>
        </w:rPr>
        <w:fldChar w:fldCharType="separate"/>
      </w:r>
      <w:r>
        <w:rPr>
          <w:rFonts w:hint="eastAsia" w:ascii="黑体" w:hAnsi="黑体"/>
          <w:color w:val="auto"/>
          <w:highlight w:val="none"/>
        </w:rPr>
        <w:t>10.1 包装</w:t>
      </w:r>
      <w:r>
        <w:rPr>
          <w:color w:val="auto"/>
          <w:highlight w:val="none"/>
        </w:rPr>
        <w:tab/>
      </w:r>
      <w:r>
        <w:rPr>
          <w:color w:val="auto"/>
          <w:highlight w:val="none"/>
        </w:rPr>
        <w:fldChar w:fldCharType="begin"/>
      </w:r>
      <w:r>
        <w:rPr>
          <w:color w:val="auto"/>
          <w:highlight w:val="none"/>
        </w:rPr>
        <w:instrText xml:space="preserve"> PAGEREF _Toc18320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_Toc4054 </w:instrText>
      </w:r>
      <w:r>
        <w:rPr>
          <w:color w:val="auto"/>
          <w:highlight w:val="none"/>
        </w:rPr>
        <w:fldChar w:fldCharType="separate"/>
      </w:r>
      <w:r>
        <w:rPr>
          <w:rFonts w:hint="eastAsia" w:ascii="黑体" w:hAnsi="黑体"/>
          <w:color w:val="auto"/>
          <w:highlight w:val="none"/>
        </w:rPr>
        <w:t>10.2 运输</w:t>
      </w:r>
      <w:r>
        <w:rPr>
          <w:color w:val="auto"/>
          <w:highlight w:val="none"/>
        </w:rPr>
        <w:tab/>
      </w:r>
      <w:r>
        <w:rPr>
          <w:color w:val="auto"/>
          <w:highlight w:val="none"/>
        </w:rPr>
        <w:fldChar w:fldCharType="begin"/>
      </w:r>
      <w:r>
        <w:rPr>
          <w:color w:val="auto"/>
          <w:highlight w:val="none"/>
        </w:rPr>
        <w:instrText xml:space="preserve"> PAGEREF _Toc4054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_Toc28741 </w:instrText>
      </w:r>
      <w:r>
        <w:rPr>
          <w:color w:val="auto"/>
          <w:highlight w:val="none"/>
        </w:rPr>
        <w:fldChar w:fldCharType="separate"/>
      </w:r>
      <w:r>
        <w:rPr>
          <w:rFonts w:hint="eastAsia" w:ascii="黑体" w:hAnsi="黑体"/>
          <w:color w:val="auto"/>
          <w:highlight w:val="none"/>
        </w:rPr>
        <w:t>10.3 贮存</w:t>
      </w:r>
      <w:r>
        <w:rPr>
          <w:color w:val="auto"/>
          <w:highlight w:val="none"/>
        </w:rPr>
        <w:tab/>
      </w:r>
      <w:r>
        <w:rPr>
          <w:color w:val="auto"/>
          <w:highlight w:val="none"/>
        </w:rPr>
        <w:fldChar w:fldCharType="begin"/>
      </w:r>
      <w:r>
        <w:rPr>
          <w:color w:val="auto"/>
          <w:highlight w:val="none"/>
        </w:rPr>
        <w:instrText xml:space="preserve"> PAGEREF _Toc28741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_Toc31779 </w:instrText>
      </w:r>
      <w:r>
        <w:rPr>
          <w:color w:val="auto"/>
          <w:highlight w:val="none"/>
        </w:rPr>
        <w:fldChar w:fldCharType="separate"/>
      </w:r>
      <w:r>
        <w:rPr>
          <w:rFonts w:hint="eastAsia" w:ascii="黑体" w:hAnsi="黑体"/>
          <w:color w:val="auto"/>
          <w:highlight w:val="none"/>
        </w:rPr>
        <w:t>10.4 安装指导</w:t>
      </w:r>
      <w:r>
        <w:rPr>
          <w:color w:val="auto"/>
          <w:highlight w:val="none"/>
        </w:rPr>
        <w:tab/>
      </w:r>
      <w:r>
        <w:rPr>
          <w:color w:val="auto"/>
          <w:highlight w:val="none"/>
        </w:rPr>
        <w:fldChar w:fldCharType="begin"/>
      </w:r>
      <w:r>
        <w:rPr>
          <w:color w:val="auto"/>
          <w:highlight w:val="none"/>
        </w:rPr>
        <w:instrText xml:space="preserve"> PAGEREF _Toc31779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pStyle w:val="72"/>
        <w:tabs>
          <w:tab w:val="right" w:leader="dot" w:pos="9354"/>
          <w:tab w:val="clear" w:pos="8705"/>
        </w:tabs>
        <w:rPr>
          <w:color w:val="auto"/>
          <w:highlight w:val="none"/>
        </w:rPr>
      </w:pPr>
      <w:r>
        <w:rPr>
          <w:color w:val="auto"/>
          <w:highlight w:val="none"/>
        </w:rPr>
        <w:fldChar w:fldCharType="begin"/>
      </w:r>
      <w:r>
        <w:rPr>
          <w:color w:val="auto"/>
          <w:highlight w:val="none"/>
        </w:rPr>
        <w:instrText xml:space="preserve"> HYPERLINK \l _Toc1592 </w:instrText>
      </w:r>
      <w:r>
        <w:rPr>
          <w:color w:val="auto"/>
          <w:highlight w:val="none"/>
        </w:rPr>
        <w:fldChar w:fldCharType="separate"/>
      </w:r>
      <w:r>
        <w:rPr>
          <w:rFonts w:hint="eastAsia" w:ascii="黑体" w:hAnsi="黑体"/>
          <w:color w:val="auto"/>
          <w:highlight w:val="none"/>
        </w:rPr>
        <w:t>10.5 质量保证</w:t>
      </w:r>
      <w:r>
        <w:rPr>
          <w:color w:val="auto"/>
          <w:highlight w:val="none"/>
        </w:rPr>
        <w:tab/>
      </w:r>
      <w:r>
        <w:rPr>
          <w:color w:val="auto"/>
          <w:highlight w:val="none"/>
        </w:rPr>
        <w:fldChar w:fldCharType="begin"/>
      </w:r>
      <w:r>
        <w:rPr>
          <w:color w:val="auto"/>
          <w:highlight w:val="none"/>
        </w:rPr>
        <w:instrText xml:space="preserve"> PAGEREF _Toc1592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spacing w:line="240" w:lineRule="auto"/>
        <w:rPr>
          <w:color w:val="auto"/>
          <w:highlight w:val="none"/>
        </w:rPr>
        <w:sectPr>
          <w:footerReference r:id="rId12" w:type="first"/>
          <w:headerReference r:id="rId9" w:type="default"/>
          <w:footerReference r:id="rId10" w:type="default"/>
          <w:footerReference r:id="rId11" w:type="even"/>
          <w:pgSz w:w="11906" w:h="16838"/>
          <w:pgMar w:top="1440" w:right="1418" w:bottom="1440" w:left="1134" w:header="851" w:footer="992" w:gutter="0"/>
          <w:pgNumType w:start="0"/>
          <w:cols w:space="720" w:num="1"/>
          <w:titlePg/>
          <w:docGrid w:type="lines" w:linePitch="312" w:charSpace="0"/>
        </w:sectPr>
      </w:pPr>
      <w:r>
        <w:rPr>
          <w:color w:val="auto"/>
          <w:highlight w:val="none"/>
        </w:rPr>
        <w:fldChar w:fldCharType="end"/>
      </w:r>
    </w:p>
    <w:p>
      <w:pPr>
        <w:pStyle w:val="2"/>
        <w:numPr>
          <w:ilvl w:val="0"/>
          <w:numId w:val="0"/>
        </w:numPr>
        <w:spacing w:line="360" w:lineRule="auto"/>
        <w:rPr>
          <w:rFonts w:ascii="黑体" w:hAnsi="黑体" w:eastAsia="黑体"/>
          <w:b/>
          <w:color w:val="auto"/>
          <w:sz w:val="21"/>
          <w:szCs w:val="21"/>
          <w:highlight w:val="none"/>
        </w:rPr>
      </w:pPr>
      <w:bookmarkStart w:id="1" w:name="_Toc3426"/>
      <w:bookmarkStart w:id="2" w:name="_Toc1477"/>
      <w:bookmarkStart w:id="3" w:name="_Toc400640367"/>
      <w:bookmarkStart w:id="4" w:name="_Toc384340975"/>
      <w:r>
        <w:rPr>
          <w:rFonts w:hint="eastAsia" w:ascii="黑体" w:hAnsi="黑体" w:eastAsia="黑体"/>
          <w:b/>
          <w:color w:val="auto"/>
          <w:sz w:val="21"/>
          <w:szCs w:val="21"/>
          <w:highlight w:val="none"/>
        </w:rPr>
        <w:t xml:space="preserve"> </w:t>
      </w:r>
      <w:bookmarkStart w:id="5" w:name="_Toc27607"/>
      <w:bookmarkStart w:id="6" w:name="_Toc170486944"/>
      <w:bookmarkStart w:id="7" w:name="_Toc32300"/>
      <w:bookmarkStart w:id="8" w:name="_Toc18899"/>
      <w:r>
        <w:rPr>
          <w:rFonts w:hint="eastAsia" w:ascii="黑体" w:hAnsi="黑体" w:eastAsia="黑体"/>
          <w:b/>
          <w:color w:val="auto"/>
          <w:sz w:val="21"/>
          <w:szCs w:val="21"/>
          <w:highlight w:val="none"/>
        </w:rPr>
        <w:t>1总则</w:t>
      </w:r>
      <w:bookmarkEnd w:id="1"/>
      <w:bookmarkEnd w:id="2"/>
      <w:bookmarkEnd w:id="3"/>
      <w:bookmarkEnd w:id="4"/>
      <w:bookmarkEnd w:id="5"/>
      <w:bookmarkEnd w:id="6"/>
      <w:bookmarkEnd w:id="7"/>
      <w:bookmarkEnd w:id="8"/>
    </w:p>
    <w:p>
      <w:pPr>
        <w:adjustRightInd w:val="0"/>
        <w:snapToGrid w:val="0"/>
        <w:rPr>
          <w:rFonts w:ascii="宋体" w:hAnsi="宋体"/>
          <w:color w:val="auto"/>
          <w:spacing w:val="-4"/>
          <w:szCs w:val="21"/>
          <w:highlight w:val="none"/>
        </w:rPr>
      </w:pPr>
      <w:r>
        <w:rPr>
          <w:rFonts w:ascii="黑体" w:hAnsi="黑体" w:eastAsia="黑体"/>
          <w:color w:val="auto"/>
          <w:spacing w:val="-4"/>
          <w:szCs w:val="21"/>
          <w:highlight w:val="none"/>
        </w:rPr>
        <w:t xml:space="preserve">1.1 </w:t>
      </w:r>
      <w:r>
        <w:rPr>
          <w:rFonts w:ascii="宋体" w:hAnsi="宋体"/>
          <w:color w:val="auto"/>
          <w:spacing w:val="-4"/>
          <w:szCs w:val="21"/>
          <w:highlight w:val="none"/>
        </w:rPr>
        <w:t xml:space="preserve"> </w:t>
      </w:r>
      <w:r>
        <w:rPr>
          <w:rFonts w:hint="eastAsia" w:ascii="宋体" w:hAnsi="宋体"/>
          <w:color w:val="auto"/>
          <w:spacing w:val="-4"/>
          <w:szCs w:val="21"/>
          <w:highlight w:val="none"/>
        </w:rPr>
        <w:t>本招标技术文件适用于</w:t>
      </w:r>
      <w:r>
        <w:rPr>
          <w:rFonts w:hint="eastAsia" w:ascii="宋体" w:hAnsi="宋体"/>
          <w:color w:val="auto"/>
          <w:spacing w:val="-4"/>
          <w:szCs w:val="21"/>
          <w:highlight w:val="none"/>
          <w:lang w:val="en-US" w:eastAsia="zh-CN"/>
        </w:rPr>
        <w:t>海南电力产业发展有限责任公司</w:t>
      </w:r>
      <w:r>
        <w:rPr>
          <w:rFonts w:hint="eastAsia" w:ascii="宋体" w:hAnsi="宋体" w:eastAsia="宋体" w:cs="宋体"/>
          <w:i w:val="0"/>
          <w:iCs w:val="0"/>
          <w:color w:val="000000"/>
          <w:kern w:val="0"/>
          <w:sz w:val="22"/>
          <w:szCs w:val="22"/>
          <w:u w:val="none"/>
          <w:lang w:val="en-US" w:eastAsia="zh-CN" w:bidi="ar"/>
        </w:rPr>
        <w:t>分布式故障定位装置</w:t>
      </w:r>
      <w:r>
        <w:rPr>
          <w:rFonts w:hint="eastAsia" w:ascii="宋体" w:hAnsi="宋体"/>
          <w:color w:val="auto"/>
          <w:spacing w:val="-4"/>
          <w:szCs w:val="21"/>
          <w:highlight w:val="none"/>
        </w:rPr>
        <w:t>采购项目，它提出了该设备本体及附属设备的功能设计、结构、性能、安装和试验等方面的技术要求。</w:t>
      </w:r>
    </w:p>
    <w:p>
      <w:pPr>
        <w:pStyle w:val="43"/>
        <w:adjustRightInd w:val="0"/>
        <w:snapToGrid w:val="0"/>
        <w:rPr>
          <w:rFonts w:hAnsi="宋体" w:cs="Times New Roman"/>
          <w:color w:val="auto"/>
          <w:szCs w:val="24"/>
          <w:highlight w:val="none"/>
        </w:rPr>
      </w:pPr>
      <w:r>
        <w:rPr>
          <w:rFonts w:ascii="黑体" w:hAnsi="黑体" w:eastAsia="黑体" w:cs="Times New Roman"/>
          <w:color w:val="auto"/>
          <w:spacing w:val="-4"/>
          <w:highlight w:val="none"/>
        </w:rPr>
        <w:t>1.2</w:t>
      </w:r>
      <w:r>
        <w:rPr>
          <w:rFonts w:hAnsi="宋体" w:cs="Times New Roman"/>
          <w:color w:val="auto"/>
          <w:szCs w:val="24"/>
          <w:highlight w:val="none"/>
        </w:rPr>
        <w:t xml:space="preserve">  </w:t>
      </w:r>
      <w:r>
        <w:rPr>
          <w:rFonts w:hint="eastAsia" w:hAnsi="宋体" w:cs="Times New Roman"/>
          <w:color w:val="auto"/>
          <w:szCs w:val="24"/>
          <w:highlight w:val="none"/>
        </w:rPr>
        <w:t>本设备招标技术文件提出的是最低限度的技术要求。凡本招标技术文件中未规定，但在相关设备的行业标准、国家标准或</w:t>
      </w:r>
      <w:r>
        <w:rPr>
          <w:rFonts w:hAnsi="宋体" w:cs="Times New Roman"/>
          <w:color w:val="auto"/>
          <w:szCs w:val="24"/>
          <w:highlight w:val="none"/>
        </w:rPr>
        <w:t>IEC</w:t>
      </w:r>
      <w:r>
        <w:rPr>
          <w:rFonts w:hint="eastAsia" w:hAnsi="宋体" w:cs="Times New Roman"/>
          <w:color w:val="auto"/>
          <w:szCs w:val="24"/>
          <w:highlight w:val="none"/>
        </w:rPr>
        <w:t>标准中有规定的规范条文，投标方应按相应标准的条文进行设备设计、制造、试验和安装。对国家有关安全、环保等强制性标准，必须满足其要求。</w:t>
      </w:r>
    </w:p>
    <w:p>
      <w:pPr>
        <w:adjustRightInd w:val="0"/>
        <w:snapToGrid w:val="0"/>
        <w:rPr>
          <w:rFonts w:ascii="宋体" w:hAnsi="宋体"/>
          <w:color w:val="auto"/>
          <w:highlight w:val="none"/>
        </w:rPr>
      </w:pPr>
      <w:r>
        <w:rPr>
          <w:rFonts w:ascii="黑体" w:hAnsi="黑体" w:eastAsia="黑体"/>
          <w:color w:val="auto"/>
          <w:spacing w:val="-4"/>
          <w:szCs w:val="21"/>
          <w:highlight w:val="none"/>
        </w:rPr>
        <w:t>1.3</w:t>
      </w:r>
      <w:r>
        <w:rPr>
          <w:rFonts w:ascii="宋体" w:hAnsi="宋体"/>
          <w:color w:val="auto"/>
          <w:highlight w:val="none"/>
        </w:rPr>
        <w:t xml:space="preserve">  </w:t>
      </w:r>
      <w:r>
        <w:rPr>
          <w:rFonts w:hint="eastAsia" w:ascii="宋体" w:hAnsi="宋体"/>
          <w:color w:val="auto"/>
          <w:highlight w:val="none"/>
        </w:rPr>
        <w:t>如果投标方没有以书面形式对本招标技术文件的条文提出异议，则意味着投标方提供的设备完全符合本招标技术文件的要求。如有异议，不管是多么微小，都应在报价书中以“对招标技术文件的意见和同招标技术文件的差异”为标题的专门章节中加以详细描述。</w:t>
      </w:r>
    </w:p>
    <w:p>
      <w:pPr>
        <w:adjustRightInd w:val="0"/>
        <w:snapToGrid w:val="0"/>
        <w:rPr>
          <w:rFonts w:ascii="宋体" w:hAnsi="宋体"/>
          <w:color w:val="auto"/>
          <w:spacing w:val="-2"/>
          <w:szCs w:val="21"/>
          <w:highlight w:val="none"/>
        </w:rPr>
      </w:pPr>
      <w:r>
        <w:rPr>
          <w:rFonts w:ascii="黑体" w:hAnsi="黑体" w:eastAsia="黑体"/>
          <w:color w:val="auto"/>
          <w:spacing w:val="-4"/>
          <w:szCs w:val="21"/>
          <w:highlight w:val="none"/>
        </w:rPr>
        <w:t>1.4</w:t>
      </w:r>
      <w:r>
        <w:rPr>
          <w:rFonts w:ascii="宋体" w:hAnsi="宋体"/>
          <w:color w:val="auto"/>
          <w:highlight w:val="none"/>
        </w:rPr>
        <w:t xml:space="preserve">  </w:t>
      </w:r>
      <w:r>
        <w:rPr>
          <w:rFonts w:hint="eastAsia" w:ascii="宋体" w:hAnsi="宋体"/>
          <w:color w:val="auto"/>
          <w:spacing w:val="-2"/>
          <w:szCs w:val="21"/>
          <w:highlight w:val="none"/>
        </w:rPr>
        <w:t>本招标技术文件所使用的标准如遇与投标方所执行的标准不一致时，按较高标准执行。</w:t>
      </w:r>
    </w:p>
    <w:p>
      <w:pPr>
        <w:adjustRightInd w:val="0"/>
        <w:snapToGrid w:val="0"/>
        <w:rPr>
          <w:rFonts w:ascii="宋体" w:hAnsi="宋体"/>
          <w:color w:val="auto"/>
          <w:highlight w:val="none"/>
        </w:rPr>
      </w:pPr>
      <w:r>
        <w:rPr>
          <w:rFonts w:ascii="黑体" w:hAnsi="黑体" w:eastAsia="黑体"/>
          <w:color w:val="auto"/>
          <w:spacing w:val="-4"/>
          <w:szCs w:val="21"/>
          <w:highlight w:val="none"/>
        </w:rPr>
        <w:t>1.5</w:t>
      </w:r>
      <w:r>
        <w:rPr>
          <w:rFonts w:ascii="宋体" w:hAnsi="宋体"/>
          <w:color w:val="auto"/>
          <w:highlight w:val="none"/>
        </w:rPr>
        <w:t xml:space="preserve">  </w:t>
      </w:r>
      <w:r>
        <w:rPr>
          <w:rFonts w:hint="eastAsia" w:ascii="宋体" w:hAnsi="宋体"/>
          <w:color w:val="auto"/>
          <w:highlight w:val="none"/>
        </w:rPr>
        <w:t>本招标技术文件经招标方、投标方双方确认后作为订货合同的技术附件，与合同正文具有同等的法律效力。</w:t>
      </w:r>
    </w:p>
    <w:p>
      <w:pPr>
        <w:pStyle w:val="43"/>
        <w:adjustRightInd w:val="0"/>
        <w:snapToGrid w:val="0"/>
        <w:rPr>
          <w:rFonts w:hAnsi="宋体" w:cs="Times New Roman"/>
          <w:color w:val="auto"/>
          <w:spacing w:val="-4"/>
          <w:highlight w:val="none"/>
        </w:rPr>
      </w:pPr>
      <w:r>
        <w:rPr>
          <w:rFonts w:hint="eastAsia" w:ascii="黑体" w:hAnsi="黑体" w:eastAsia="黑体" w:cs="Times New Roman"/>
          <w:color w:val="auto"/>
          <w:spacing w:val="-4"/>
          <w:highlight w:val="none"/>
        </w:rPr>
        <w:t xml:space="preserve">1.6 </w:t>
      </w:r>
      <w:r>
        <w:rPr>
          <w:rFonts w:hint="eastAsia" w:hAnsi="宋体" w:cs="Times New Roman"/>
          <w:color w:val="auto"/>
          <w:spacing w:val="-4"/>
          <w:highlight w:val="none"/>
        </w:rPr>
        <w:t xml:space="preserve"> </w:t>
      </w:r>
      <w:r>
        <w:rPr>
          <w:rFonts w:hint="eastAsia" w:hAnsi="宋体" w:cs="Times New Roman"/>
          <w:color w:val="auto"/>
          <w:spacing w:val="-6"/>
          <w:highlight w:val="none"/>
        </w:rPr>
        <w:t>投标方在应标招标技术文件中应如实反映应标产品与本招标技术文件的技术差异。如果投标方没有提出技术差异，而在执行合同的过程中，招标方发现投标方提供的产品与其应标招标技术文件的条文存在差异，招标方有权利要求退货，并将对下一年度的评标工作有不同程度的影响。</w:t>
      </w:r>
    </w:p>
    <w:p>
      <w:pPr>
        <w:pStyle w:val="43"/>
        <w:adjustRightInd w:val="0"/>
        <w:snapToGrid w:val="0"/>
        <w:rPr>
          <w:rFonts w:hAnsi="宋体" w:cs="Times New Roman"/>
          <w:color w:val="auto"/>
          <w:szCs w:val="24"/>
          <w:highlight w:val="none"/>
        </w:rPr>
      </w:pPr>
      <w:r>
        <w:rPr>
          <w:rFonts w:hint="eastAsia" w:ascii="黑体" w:hAnsi="黑体" w:eastAsia="黑体" w:cs="Times New Roman"/>
          <w:color w:val="auto"/>
          <w:spacing w:val="-4"/>
          <w:highlight w:val="none"/>
        </w:rPr>
        <w:t xml:space="preserve">1.7 </w:t>
      </w:r>
      <w:r>
        <w:rPr>
          <w:rFonts w:hint="eastAsia" w:hAnsi="宋体" w:cs="Times New Roman"/>
          <w:color w:val="auto"/>
          <w:szCs w:val="24"/>
          <w:highlight w:val="none"/>
        </w:rPr>
        <w:t xml:space="preserve"> 投标方应在应标技术部分按本招标技术文件的要求如实详细的填写应标设备的标准配置表，并在应标商务部分按此标准配置进行报价，如发现二者有矛盾之处，将对评标工作有不同程度的影响。</w:t>
      </w:r>
    </w:p>
    <w:p>
      <w:pPr>
        <w:adjustRightInd w:val="0"/>
        <w:snapToGrid w:val="0"/>
        <w:rPr>
          <w:rFonts w:ascii="宋体" w:hAnsi="宋体"/>
          <w:color w:val="auto"/>
          <w:highlight w:val="none"/>
        </w:rPr>
      </w:pPr>
      <w:r>
        <w:rPr>
          <w:rFonts w:hint="eastAsia" w:ascii="黑体" w:hAnsi="黑体" w:eastAsia="黑体"/>
          <w:color w:val="auto"/>
          <w:spacing w:val="-4"/>
          <w:szCs w:val="21"/>
          <w:highlight w:val="none"/>
        </w:rPr>
        <w:t>1.8</w:t>
      </w:r>
      <w:r>
        <w:rPr>
          <w:rFonts w:hint="eastAsia" w:ascii="宋体" w:hAnsi="宋体"/>
          <w:color w:val="auto"/>
          <w:highlight w:val="none"/>
        </w:rPr>
        <w:t xml:space="preserve">  投标方应充分理解本招标技术文件并按本招标技术文件的具体条款、格式要求填写应标的技术文件，如发现应标的技术文件条款、格式不符合本招标技术文件的要求，则认为应标不严肃，在评标时将有不同程度的扣分。</w:t>
      </w:r>
    </w:p>
    <w:bookmarkEnd w:id="0"/>
    <w:p>
      <w:pPr>
        <w:pStyle w:val="2"/>
        <w:numPr>
          <w:ilvl w:val="0"/>
          <w:numId w:val="0"/>
        </w:numPr>
        <w:spacing w:line="360" w:lineRule="auto"/>
        <w:rPr>
          <w:rFonts w:ascii="黑体" w:hAnsi="黑体" w:eastAsia="黑体"/>
          <w:b/>
          <w:color w:val="auto"/>
          <w:sz w:val="21"/>
          <w:szCs w:val="21"/>
          <w:highlight w:val="none"/>
        </w:rPr>
      </w:pPr>
      <w:bookmarkStart w:id="9" w:name="_Toc276492358"/>
      <w:bookmarkStart w:id="10" w:name="_Toc16728"/>
      <w:bookmarkStart w:id="11" w:name="_Toc384340976"/>
      <w:bookmarkStart w:id="12" w:name="_Toc246216316"/>
      <w:bookmarkStart w:id="13" w:name="_Toc465"/>
      <w:bookmarkStart w:id="14" w:name="_Toc276490890"/>
      <w:bookmarkStart w:id="15" w:name="_Toc23301"/>
      <w:bookmarkStart w:id="16" w:name="_Toc271281204"/>
      <w:bookmarkStart w:id="17" w:name="_Toc28301"/>
      <w:bookmarkStart w:id="18" w:name="_Toc21062"/>
      <w:bookmarkStart w:id="19" w:name="_Toc170486945"/>
      <w:bookmarkStart w:id="20" w:name="_Toc400640368"/>
      <w:bookmarkStart w:id="21" w:name="_Toc13660"/>
      <w:bookmarkStart w:id="22" w:name="_Toc279695347"/>
      <w:bookmarkStart w:id="23" w:name="_Toc112756677"/>
      <w:bookmarkStart w:id="24" w:name="_Toc241911995"/>
      <w:bookmarkStart w:id="25" w:name="_Toc155114607"/>
      <w:r>
        <w:rPr>
          <w:rFonts w:hint="eastAsia" w:ascii="黑体" w:hAnsi="黑体" w:eastAsia="黑体"/>
          <w:b/>
          <w:color w:val="auto"/>
          <w:sz w:val="21"/>
          <w:szCs w:val="21"/>
          <w:highlight w:val="none"/>
        </w:rPr>
        <w:t>2 工作范围</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3"/>
        <w:numPr>
          <w:ilvl w:val="0"/>
          <w:numId w:val="0"/>
        </w:numPr>
        <w:adjustRightInd w:val="0"/>
        <w:snapToGrid w:val="0"/>
        <w:rPr>
          <w:rFonts w:ascii="黑体" w:hAnsi="黑体"/>
          <w:color w:val="auto"/>
          <w:highlight w:val="none"/>
        </w:rPr>
      </w:pPr>
      <w:bookmarkStart w:id="26" w:name="_Toc6094"/>
      <w:bookmarkStart w:id="27" w:name="_Toc384340977"/>
      <w:bookmarkStart w:id="28" w:name="_Toc6759"/>
      <w:bookmarkStart w:id="29" w:name="_Toc13822"/>
      <w:bookmarkStart w:id="30" w:name="_Toc27781"/>
      <w:bookmarkStart w:id="31" w:name="_Toc400640369"/>
      <w:bookmarkStart w:id="32" w:name="_Toc14056"/>
      <w:bookmarkStart w:id="33" w:name="_Toc170486946"/>
      <w:bookmarkStart w:id="34" w:name="_Toc24937"/>
      <w:r>
        <w:rPr>
          <w:rFonts w:hint="eastAsia" w:ascii="黑体" w:hAnsi="黑体"/>
          <w:color w:val="auto"/>
          <w:highlight w:val="none"/>
        </w:rPr>
        <w:t>2</w:t>
      </w:r>
      <w:r>
        <w:rPr>
          <w:rFonts w:ascii="黑体" w:hAnsi="黑体"/>
          <w:color w:val="auto"/>
          <w:highlight w:val="none"/>
        </w:rPr>
        <w:t>.1</w:t>
      </w:r>
      <w:r>
        <w:rPr>
          <w:rFonts w:hint="eastAsia" w:ascii="黑体" w:hAnsi="黑体"/>
          <w:color w:val="auto"/>
          <w:highlight w:val="none"/>
        </w:rPr>
        <w:t xml:space="preserve"> </w:t>
      </w:r>
      <w:r>
        <w:rPr>
          <w:rFonts w:hint="eastAsia" w:ascii="黑体" w:hAnsi="黑体"/>
          <w:color w:val="auto"/>
          <w:highlight w:val="none"/>
          <w:lang w:val="en-US" w:eastAsia="zh-CN"/>
        </w:rPr>
        <w:t>供货范围</w:t>
      </w:r>
      <w:bookmarkEnd w:id="26"/>
      <w:bookmarkEnd w:id="27"/>
      <w:bookmarkEnd w:id="28"/>
      <w:bookmarkEnd w:id="29"/>
      <w:bookmarkEnd w:id="30"/>
      <w:bookmarkEnd w:id="31"/>
      <w:bookmarkEnd w:id="32"/>
      <w:bookmarkEnd w:id="33"/>
      <w:bookmarkEnd w:id="34"/>
    </w:p>
    <w:p>
      <w:pPr>
        <w:pStyle w:val="189"/>
        <w:spacing w:line="360" w:lineRule="auto"/>
        <w:rPr>
          <w:rFonts w:hint="default" w:ascii="宋体" w:hAnsi="宋体" w:eastAsia="宋体"/>
          <w:color w:val="auto"/>
          <w:highlight w:val="none"/>
          <w:lang w:val="en-US" w:eastAsia="zh-CN"/>
        </w:rPr>
      </w:pPr>
      <w:r>
        <w:rPr>
          <w:rFonts w:hint="eastAsia" w:ascii="宋体" w:hAnsi="宋体" w:eastAsia="宋体"/>
          <w:color w:val="auto"/>
          <w:highlight w:val="none"/>
        </w:rPr>
        <w:t>交流</w:t>
      </w:r>
      <w:r>
        <w:rPr>
          <w:rFonts w:hint="eastAsia" w:ascii="宋体" w:hAnsi="宋体" w:eastAsia="宋体"/>
          <w:color w:val="auto"/>
          <w:highlight w:val="none"/>
          <w:lang w:val="en-US" w:eastAsia="zh-CN"/>
        </w:rPr>
        <w:t>线路故障精确定位装置</w:t>
      </w:r>
    </w:p>
    <w:p>
      <w:pPr>
        <w:pStyle w:val="189"/>
        <w:spacing w:line="360" w:lineRule="auto"/>
        <w:rPr>
          <w:rFonts w:hint="default" w:ascii="宋体" w:hAnsi="宋体" w:eastAsia="宋体"/>
          <w:color w:val="auto"/>
          <w:highlight w:val="none"/>
          <w:lang w:val="en-US" w:eastAsia="zh-CN"/>
        </w:rPr>
      </w:pPr>
      <w:r>
        <w:rPr>
          <w:rFonts w:hint="eastAsia" w:ascii="宋体" w:hAnsi="宋体" w:eastAsia="宋体"/>
          <w:color w:val="auto"/>
          <w:highlight w:val="none"/>
        </w:rPr>
        <w:t>直流</w:t>
      </w:r>
      <w:r>
        <w:rPr>
          <w:rFonts w:hint="eastAsia" w:ascii="宋体" w:hAnsi="宋体" w:eastAsia="宋体"/>
          <w:color w:val="auto"/>
          <w:highlight w:val="none"/>
          <w:lang w:val="en-US" w:eastAsia="zh-CN"/>
        </w:rPr>
        <w:t>线路故障精确定位装置</w:t>
      </w:r>
    </w:p>
    <w:p>
      <w:pPr>
        <w:pStyle w:val="189"/>
        <w:spacing w:line="360" w:lineRule="auto"/>
        <w:rPr>
          <w:rFonts w:hint="default" w:ascii="宋体" w:hAnsi="宋体" w:eastAsia="宋体"/>
          <w:color w:val="auto"/>
          <w:highlight w:val="none"/>
          <w:lang w:val="en-US" w:eastAsia="zh-CN"/>
        </w:rPr>
      </w:pPr>
      <w:r>
        <w:rPr>
          <w:rFonts w:hint="eastAsia" w:ascii="宋体" w:hAnsi="宋体" w:eastAsia="宋体"/>
          <w:color w:val="auto"/>
          <w:highlight w:val="none"/>
          <w:lang w:val="en-US" w:eastAsia="zh-CN"/>
        </w:rPr>
        <w:t>地线</w:t>
      </w:r>
      <w:r>
        <w:rPr>
          <w:rFonts w:hint="eastAsia" w:ascii="宋体" w:hAnsi="宋体" w:eastAsia="宋体"/>
          <w:color w:val="auto"/>
          <w:highlight w:val="none"/>
        </w:rPr>
        <w:t>融冰故障</w:t>
      </w:r>
      <w:r>
        <w:rPr>
          <w:rFonts w:hint="eastAsia" w:ascii="宋体" w:hAnsi="宋体" w:eastAsia="宋体"/>
          <w:color w:val="auto"/>
          <w:highlight w:val="none"/>
          <w:lang w:val="en-US" w:eastAsia="zh-CN"/>
        </w:rPr>
        <w:t>精确定位装置</w:t>
      </w:r>
    </w:p>
    <w:tbl>
      <w:tblPr>
        <w:tblStyle w:val="8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2"/>
        <w:gridCol w:w="2392"/>
        <w:gridCol w:w="2230"/>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993" w:type="pct"/>
            <w:vAlign w:val="center"/>
          </w:tcPr>
          <w:p>
            <w:pPr>
              <w:adjustRightInd w:val="0"/>
              <w:snapToGrid w:val="0"/>
              <w:jc w:val="center"/>
              <w:rPr>
                <w:rFonts w:hAnsi="Times New Roman"/>
                <w:b/>
                <w:bCs/>
                <w:color w:val="auto"/>
                <w:sz w:val="18"/>
                <w:szCs w:val="18"/>
                <w:highlight w:val="none"/>
              </w:rPr>
            </w:pPr>
            <w:r>
              <w:rPr>
                <w:rFonts w:hint="default" w:hAnsi="Times New Roman"/>
                <w:b/>
                <w:bCs/>
                <w:color w:val="auto"/>
                <w:sz w:val="18"/>
                <w:szCs w:val="18"/>
                <w:highlight w:val="none"/>
              </w:rPr>
              <w:t>关键指标</w:t>
            </w:r>
          </w:p>
        </w:tc>
        <w:tc>
          <w:tcPr>
            <w:tcW w:w="1371" w:type="pct"/>
            <w:vAlign w:val="center"/>
          </w:tcPr>
          <w:p>
            <w:pPr>
              <w:adjustRightInd w:val="0"/>
              <w:snapToGrid w:val="0"/>
              <w:jc w:val="center"/>
              <w:rPr>
                <w:b/>
                <w:bCs/>
                <w:color w:val="auto"/>
                <w:sz w:val="18"/>
                <w:szCs w:val="18"/>
                <w:highlight w:val="none"/>
              </w:rPr>
            </w:pPr>
            <w:r>
              <w:rPr>
                <w:rFonts w:hint="eastAsia" w:ascii="Times New Roman" w:hAnsi="Times New Roman" w:eastAsia="宋体"/>
                <w:b/>
                <w:bCs/>
                <w:color w:val="auto"/>
                <w:sz w:val="18"/>
                <w:szCs w:val="18"/>
                <w:highlight w:val="none"/>
              </w:rPr>
              <w:t>交流分布式测距装置</w:t>
            </w:r>
          </w:p>
        </w:tc>
        <w:tc>
          <w:tcPr>
            <w:tcW w:w="1278" w:type="pct"/>
            <w:vAlign w:val="center"/>
          </w:tcPr>
          <w:p>
            <w:pPr>
              <w:adjustRightInd w:val="0"/>
              <w:snapToGrid w:val="0"/>
              <w:jc w:val="center"/>
              <w:rPr>
                <w:rFonts w:hint="default"/>
                <w:b/>
                <w:bCs/>
                <w:color w:val="auto"/>
                <w:sz w:val="18"/>
                <w:szCs w:val="18"/>
                <w:highlight w:val="none"/>
              </w:rPr>
            </w:pPr>
            <w:r>
              <w:rPr>
                <w:rFonts w:hint="eastAsia" w:ascii="Times New Roman" w:hAnsi="Times New Roman" w:eastAsia="宋体"/>
                <w:b/>
                <w:bCs/>
                <w:color w:val="auto"/>
                <w:sz w:val="18"/>
                <w:szCs w:val="18"/>
                <w:highlight w:val="none"/>
              </w:rPr>
              <w:t>直流分布式测距装置</w:t>
            </w:r>
          </w:p>
        </w:tc>
        <w:tc>
          <w:tcPr>
            <w:tcW w:w="1355" w:type="pct"/>
            <w:vAlign w:val="center"/>
          </w:tcPr>
          <w:p>
            <w:pPr>
              <w:adjustRightInd w:val="0"/>
              <w:snapToGrid w:val="0"/>
              <w:jc w:val="center"/>
              <w:rPr>
                <w:rFonts w:hint="default"/>
                <w:b/>
                <w:bCs/>
                <w:color w:val="auto"/>
                <w:sz w:val="18"/>
                <w:szCs w:val="18"/>
                <w:highlight w:val="none"/>
              </w:rPr>
            </w:pPr>
            <w:r>
              <w:rPr>
                <w:rFonts w:hint="default" w:ascii="Times New Roman" w:hAnsi="Times New Roman" w:eastAsia="宋体"/>
                <w:b/>
                <w:bCs/>
                <w:color w:val="auto"/>
                <w:sz w:val="18"/>
                <w:szCs w:val="18"/>
                <w:highlight w:val="none"/>
                <w:lang w:val="en-US" w:eastAsia="zh-CN"/>
              </w:rPr>
              <w:t>地线</w:t>
            </w:r>
            <w:r>
              <w:rPr>
                <w:rFonts w:hint="eastAsia" w:ascii="Times New Roman" w:hAnsi="Times New Roman" w:eastAsia="宋体"/>
                <w:b/>
                <w:bCs/>
                <w:color w:val="auto"/>
                <w:sz w:val="18"/>
                <w:szCs w:val="18"/>
                <w:highlight w:val="none"/>
              </w:rPr>
              <w:t>融冰故障测距装置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93" w:type="pct"/>
            <w:vMerge w:val="restart"/>
            <w:vAlign w:val="center"/>
          </w:tcPr>
          <w:p>
            <w:pPr>
              <w:adjustRightInd w:val="0"/>
              <w:snapToGrid w:val="0"/>
              <w:jc w:val="center"/>
              <w:rPr>
                <w:rFonts w:hint="default" w:hAnsi="Times New Roman" w:eastAsia="宋体"/>
                <w:color w:val="auto"/>
                <w:sz w:val="18"/>
                <w:szCs w:val="18"/>
                <w:highlight w:val="none"/>
                <w:lang w:val="en-US" w:eastAsia="zh-CN"/>
              </w:rPr>
            </w:pPr>
            <w:r>
              <w:rPr>
                <w:rFonts w:hint="eastAsia"/>
                <w:color w:val="auto"/>
                <w:sz w:val="18"/>
                <w:szCs w:val="18"/>
                <w:highlight w:val="none"/>
                <w:lang w:val="en-US" w:eastAsia="zh-CN"/>
              </w:rPr>
              <w:t>取能方式</w:t>
            </w:r>
          </w:p>
        </w:tc>
        <w:tc>
          <w:tcPr>
            <w:tcW w:w="1371" w:type="pct"/>
            <w:vMerge w:val="restart"/>
            <w:vAlign w:val="center"/>
          </w:tcPr>
          <w:p>
            <w:pPr>
              <w:adjustRightInd w:val="0"/>
              <w:snapToGrid w:val="0"/>
              <w:jc w:val="center"/>
              <w:rPr>
                <w:rFonts w:hint="default" w:hAnsi="Times New Roman" w:eastAsia="宋体"/>
                <w:color w:val="auto"/>
                <w:sz w:val="18"/>
                <w:szCs w:val="18"/>
                <w:highlight w:val="none"/>
                <w:lang w:val="en-US" w:eastAsia="zh-CN"/>
              </w:rPr>
            </w:pPr>
            <w:r>
              <w:rPr>
                <w:rFonts w:hint="eastAsia"/>
                <w:color w:val="auto"/>
                <w:sz w:val="18"/>
                <w:szCs w:val="18"/>
                <w:highlight w:val="none"/>
                <w:lang w:val="en-US" w:eastAsia="zh-CN"/>
              </w:rPr>
              <w:t>导线取能或太阳能取能</w:t>
            </w:r>
          </w:p>
        </w:tc>
        <w:tc>
          <w:tcPr>
            <w:tcW w:w="1278" w:type="pct"/>
            <w:vMerge w:val="restart"/>
            <w:vAlign w:val="center"/>
          </w:tcPr>
          <w:p>
            <w:pPr>
              <w:adjustRightInd w:val="0"/>
              <w:snapToGrid w:val="0"/>
              <w:jc w:val="center"/>
              <w:rPr>
                <w:rFonts w:hint="default" w:hAnsi="Times New Roman" w:eastAsia="宋体"/>
                <w:color w:val="auto"/>
                <w:sz w:val="18"/>
                <w:szCs w:val="18"/>
                <w:highlight w:val="none"/>
                <w:lang w:val="en-US" w:eastAsia="zh-CN"/>
              </w:rPr>
            </w:pPr>
            <w:r>
              <w:rPr>
                <w:rFonts w:hint="eastAsia"/>
                <w:color w:val="auto"/>
                <w:sz w:val="18"/>
                <w:szCs w:val="18"/>
                <w:highlight w:val="none"/>
                <w:lang w:val="en-US" w:eastAsia="zh-CN"/>
              </w:rPr>
              <w:t>太阳能取能</w:t>
            </w:r>
          </w:p>
        </w:tc>
        <w:tc>
          <w:tcPr>
            <w:tcW w:w="1355" w:type="pct"/>
            <w:vMerge w:val="restart"/>
            <w:vAlign w:val="center"/>
          </w:tcPr>
          <w:p>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lang w:val="en-US" w:eastAsia="zh-CN"/>
              </w:rPr>
              <w:t>太阳能取能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93" w:type="pct"/>
            <w:vMerge w:val="continue"/>
            <w:vAlign w:val="center"/>
          </w:tcPr>
          <w:p>
            <w:pPr>
              <w:adjustRightInd w:val="0"/>
              <w:snapToGrid w:val="0"/>
              <w:jc w:val="center"/>
              <w:rPr>
                <w:rFonts w:hint="default" w:hAnsi="Times New Roman"/>
                <w:color w:val="auto"/>
                <w:sz w:val="18"/>
                <w:szCs w:val="18"/>
                <w:highlight w:val="none"/>
              </w:rPr>
            </w:pPr>
          </w:p>
        </w:tc>
        <w:tc>
          <w:tcPr>
            <w:tcW w:w="1371" w:type="pct"/>
            <w:vMerge w:val="continue"/>
            <w:vAlign w:val="center"/>
          </w:tcPr>
          <w:p>
            <w:pPr>
              <w:adjustRightInd w:val="0"/>
              <w:snapToGrid w:val="0"/>
              <w:jc w:val="center"/>
              <w:rPr>
                <w:rFonts w:hAnsi="Times New Roman"/>
                <w:color w:val="auto"/>
                <w:sz w:val="18"/>
                <w:szCs w:val="18"/>
                <w:highlight w:val="none"/>
              </w:rPr>
            </w:pPr>
          </w:p>
        </w:tc>
        <w:tc>
          <w:tcPr>
            <w:tcW w:w="1278" w:type="pct"/>
            <w:vMerge w:val="continue"/>
            <w:vAlign w:val="center"/>
          </w:tcPr>
          <w:p>
            <w:pPr>
              <w:adjustRightInd w:val="0"/>
              <w:snapToGrid w:val="0"/>
              <w:jc w:val="center"/>
              <w:rPr>
                <w:rFonts w:hAnsi="Times New Roman"/>
                <w:color w:val="auto"/>
                <w:sz w:val="18"/>
                <w:szCs w:val="18"/>
                <w:highlight w:val="none"/>
              </w:rPr>
            </w:pPr>
          </w:p>
        </w:tc>
        <w:tc>
          <w:tcPr>
            <w:tcW w:w="1355" w:type="pct"/>
            <w:vMerge w:val="continue"/>
            <w:vAlign w:val="center"/>
          </w:tcPr>
          <w:p>
            <w:pPr>
              <w:adjustRightInd w:val="0"/>
              <w:snapToGrid w:val="0"/>
              <w:jc w:val="center"/>
              <w:rPr>
                <w:rFonts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993" w:type="pct"/>
            <w:vAlign w:val="center"/>
          </w:tcPr>
          <w:p>
            <w:pPr>
              <w:adjustRightInd w:val="0"/>
              <w:snapToGrid w:val="0"/>
              <w:jc w:val="center"/>
              <w:rPr>
                <w:rFonts w:hint="default" w:hAnsi="Times New Roman" w:eastAsia="宋体"/>
                <w:color w:val="auto"/>
                <w:sz w:val="18"/>
                <w:szCs w:val="18"/>
                <w:highlight w:val="none"/>
                <w:lang w:val="en-US" w:eastAsia="zh-CN"/>
              </w:rPr>
            </w:pPr>
            <w:r>
              <w:rPr>
                <w:rFonts w:hint="eastAsia"/>
                <w:color w:val="auto"/>
                <w:sz w:val="18"/>
                <w:szCs w:val="18"/>
                <w:highlight w:val="none"/>
                <w:lang w:val="en-US" w:eastAsia="zh-CN"/>
              </w:rPr>
              <w:t>关键测量指标</w:t>
            </w:r>
          </w:p>
        </w:tc>
        <w:tc>
          <w:tcPr>
            <w:tcW w:w="1371" w:type="pct"/>
            <w:vAlign w:val="center"/>
          </w:tcPr>
          <w:p>
            <w:pPr>
              <w:adjustRightInd w:val="0"/>
              <w:snapToGrid w:val="0"/>
              <w:jc w:val="center"/>
              <w:rPr>
                <w:rFonts w:hint="default" w:hAnsi="Times New Roman" w:eastAsia="宋体"/>
                <w:color w:val="auto"/>
                <w:sz w:val="18"/>
                <w:szCs w:val="18"/>
                <w:highlight w:val="none"/>
                <w:lang w:val="en-US" w:eastAsia="zh-CN"/>
              </w:rPr>
            </w:pPr>
            <w:r>
              <w:rPr>
                <w:rFonts w:hint="eastAsia"/>
                <w:color w:val="auto"/>
                <w:sz w:val="18"/>
                <w:szCs w:val="18"/>
                <w:highlight w:val="none"/>
                <w:lang w:val="en-US" w:eastAsia="zh-CN"/>
              </w:rPr>
              <w:t>行波电流、工频电流</w:t>
            </w:r>
          </w:p>
        </w:tc>
        <w:tc>
          <w:tcPr>
            <w:tcW w:w="1278" w:type="pct"/>
            <w:vAlign w:val="center"/>
          </w:tcPr>
          <w:p>
            <w:pPr>
              <w:adjustRightInd w:val="0"/>
              <w:snapToGrid w:val="0"/>
              <w:jc w:val="center"/>
              <w:rPr>
                <w:rFonts w:hint="default" w:hAnsi="Times New Roman"/>
                <w:color w:val="auto"/>
                <w:sz w:val="18"/>
                <w:szCs w:val="18"/>
                <w:highlight w:val="none"/>
                <w:lang w:val="en-US"/>
              </w:rPr>
            </w:pPr>
            <w:r>
              <w:rPr>
                <w:rFonts w:hint="eastAsia"/>
                <w:color w:val="auto"/>
                <w:sz w:val="18"/>
                <w:szCs w:val="18"/>
                <w:highlight w:val="none"/>
                <w:lang w:val="en-US" w:eastAsia="zh-CN"/>
              </w:rPr>
              <w:t>行波电流、直流电流</w:t>
            </w:r>
          </w:p>
        </w:tc>
        <w:tc>
          <w:tcPr>
            <w:tcW w:w="1355" w:type="pct"/>
            <w:vAlign w:val="center"/>
          </w:tcPr>
          <w:p>
            <w:pPr>
              <w:adjustRightInd w:val="0"/>
              <w:snapToGrid w:val="0"/>
              <w:jc w:val="center"/>
              <w:rPr>
                <w:rFonts w:hint="default" w:ascii="Times New Roman" w:hAnsi="Times New Roman" w:eastAsia="宋体" w:cs="Times New Roman"/>
                <w:color w:val="auto"/>
                <w:kern w:val="2"/>
                <w:sz w:val="18"/>
                <w:szCs w:val="18"/>
                <w:highlight w:val="none"/>
                <w:lang w:val="en-US" w:eastAsia="zh-CN" w:bidi="ar-SA"/>
              </w:rPr>
            </w:pPr>
            <w:r>
              <w:rPr>
                <w:rFonts w:hint="eastAsia" w:cs="Times New Roman"/>
                <w:color w:val="auto"/>
                <w:kern w:val="2"/>
                <w:sz w:val="18"/>
                <w:szCs w:val="18"/>
                <w:highlight w:val="none"/>
                <w:lang w:val="en-US" w:eastAsia="zh-CN" w:bidi="ar-SA"/>
              </w:rPr>
              <w:t>行波电流、地线融冰电流、地线温度</w:t>
            </w:r>
          </w:p>
        </w:tc>
      </w:tr>
    </w:tbl>
    <w:p>
      <w:pPr>
        <w:pStyle w:val="189"/>
        <w:adjustRightInd w:val="0"/>
        <w:snapToGrid w:val="0"/>
        <w:spacing w:before="120" w:beforeLines="50"/>
        <w:rPr>
          <w:rFonts w:ascii="黑体" w:hAnsi="黑体"/>
          <w:color w:val="auto"/>
          <w:highlight w:val="none"/>
        </w:rPr>
      </w:pPr>
      <w:bookmarkStart w:id="35" w:name="_Toc170486947"/>
      <w:bookmarkStart w:id="36" w:name="_Toc384340978"/>
      <w:bookmarkStart w:id="37" w:name="_Toc30504"/>
      <w:bookmarkStart w:id="38" w:name="_Toc3184"/>
      <w:bookmarkStart w:id="39" w:name="_Toc20034"/>
      <w:bookmarkStart w:id="40" w:name="_Toc20836"/>
      <w:bookmarkStart w:id="41" w:name="_Toc13362"/>
      <w:bookmarkStart w:id="42" w:name="_Toc1540"/>
      <w:bookmarkStart w:id="43" w:name="_Toc400640370"/>
      <w:r>
        <w:rPr>
          <w:rFonts w:ascii="黑体" w:hAnsi="黑体"/>
          <w:color w:val="auto"/>
          <w:highlight w:val="none"/>
        </w:rPr>
        <w:t>2.</w:t>
      </w:r>
      <w:r>
        <w:rPr>
          <w:rFonts w:hint="eastAsia" w:ascii="黑体" w:hAnsi="黑体"/>
          <w:color w:val="auto"/>
          <w:highlight w:val="none"/>
        </w:rPr>
        <w:t>2</w:t>
      </w:r>
      <w:r>
        <w:rPr>
          <w:rFonts w:ascii="黑体" w:hAnsi="黑体"/>
          <w:color w:val="auto"/>
          <w:highlight w:val="none"/>
        </w:rPr>
        <w:t xml:space="preserve"> 范围和界限</w:t>
      </w:r>
      <w:bookmarkEnd w:id="35"/>
      <w:bookmarkEnd w:id="36"/>
      <w:bookmarkEnd w:id="37"/>
      <w:bookmarkEnd w:id="38"/>
      <w:bookmarkEnd w:id="39"/>
      <w:bookmarkEnd w:id="40"/>
      <w:bookmarkEnd w:id="41"/>
      <w:bookmarkEnd w:id="42"/>
      <w:bookmarkEnd w:id="43"/>
    </w:p>
    <w:p>
      <w:pPr>
        <w:adjustRightInd w:val="0"/>
        <w:snapToGrid w:val="0"/>
        <w:ind w:firstLine="420" w:firstLineChars="200"/>
        <w:rPr>
          <w:rFonts w:ascii="宋体" w:hAnsi="宋体"/>
          <w:color w:val="auto"/>
          <w:highlight w:val="none"/>
        </w:rPr>
      </w:pPr>
      <w:r>
        <w:rPr>
          <w:rFonts w:eastAsia="黑体"/>
          <w:color w:val="auto"/>
          <w:highlight w:val="none"/>
        </w:rPr>
        <w:t>1</w:t>
      </w:r>
      <w:r>
        <w:rPr>
          <w:rFonts w:ascii="宋体" w:hAnsi="宋体"/>
          <w:color w:val="auto"/>
          <w:highlight w:val="none"/>
        </w:rPr>
        <w:t>）</w:t>
      </w:r>
      <w:r>
        <w:rPr>
          <w:color w:val="auto"/>
          <w:szCs w:val="21"/>
          <w:highlight w:val="none"/>
        </w:rPr>
        <w:t>本</w:t>
      </w:r>
      <w:r>
        <w:rPr>
          <w:rFonts w:hint="eastAsia"/>
          <w:color w:val="auto"/>
          <w:szCs w:val="21"/>
          <w:highlight w:val="none"/>
        </w:rPr>
        <w:t>技术</w:t>
      </w:r>
      <w:r>
        <w:rPr>
          <w:color w:val="auto"/>
          <w:szCs w:val="21"/>
          <w:highlight w:val="none"/>
        </w:rPr>
        <w:t>规范</w:t>
      </w:r>
      <w:r>
        <w:rPr>
          <w:rFonts w:hint="eastAsia"/>
          <w:color w:val="auto"/>
          <w:szCs w:val="21"/>
          <w:highlight w:val="none"/>
        </w:rPr>
        <w:t>书适应</w:t>
      </w:r>
      <w:r>
        <w:rPr>
          <w:rFonts w:hint="eastAsia" w:ascii="宋体" w:hAnsi="宋体"/>
          <w:color w:val="auto"/>
          <w:spacing w:val="-4"/>
          <w:szCs w:val="21"/>
          <w:highlight w:val="none"/>
          <w:lang w:val="en-US" w:eastAsia="zh-CN"/>
        </w:rPr>
        <w:t>海南电力产业发展有限责任公司</w:t>
      </w:r>
      <w:r>
        <w:rPr>
          <w:rFonts w:hint="eastAsia" w:ascii="宋体" w:hAnsi="宋体" w:eastAsia="宋体" w:cs="宋体"/>
          <w:i w:val="0"/>
          <w:iCs w:val="0"/>
          <w:color w:val="000000"/>
          <w:kern w:val="0"/>
          <w:sz w:val="22"/>
          <w:szCs w:val="22"/>
          <w:u w:val="none"/>
          <w:lang w:val="en-US" w:eastAsia="zh-CN" w:bidi="ar"/>
        </w:rPr>
        <w:t>分布式故障定位装置</w:t>
      </w:r>
      <w:bookmarkStart w:id="784" w:name="_GoBack"/>
      <w:bookmarkEnd w:id="784"/>
      <w:r>
        <w:rPr>
          <w:rFonts w:hint="eastAsia"/>
          <w:color w:val="auto"/>
          <w:szCs w:val="21"/>
          <w:highlight w:val="none"/>
        </w:rPr>
        <w:t>，</w:t>
      </w:r>
      <w:r>
        <w:rPr>
          <w:color w:val="auto"/>
          <w:szCs w:val="21"/>
          <w:highlight w:val="none"/>
        </w:rPr>
        <w:t>规定了</w:t>
      </w:r>
      <w:r>
        <w:rPr>
          <w:rFonts w:hint="eastAsia"/>
          <w:color w:val="auto"/>
          <w:szCs w:val="21"/>
          <w:highlight w:val="none"/>
        </w:rPr>
        <w:t>输电线路故障精确定位装置</w:t>
      </w:r>
      <w:r>
        <w:rPr>
          <w:color w:val="auto"/>
          <w:szCs w:val="21"/>
          <w:highlight w:val="none"/>
        </w:rPr>
        <w:t>的基本技术要求、试验条件、试验方法、检验规则、标志</w:t>
      </w:r>
      <w:r>
        <w:rPr>
          <w:rFonts w:hint="eastAsia"/>
          <w:color w:val="auto"/>
          <w:szCs w:val="21"/>
          <w:highlight w:val="none"/>
        </w:rPr>
        <w:t>和</w:t>
      </w:r>
      <w:r>
        <w:rPr>
          <w:color w:val="auto"/>
          <w:szCs w:val="21"/>
          <w:highlight w:val="none"/>
        </w:rPr>
        <w:t>包装储运要求等</w:t>
      </w:r>
      <w:r>
        <w:rPr>
          <w:rFonts w:ascii="宋体" w:hAnsi="宋体"/>
          <w:color w:val="auto"/>
          <w:highlight w:val="none"/>
        </w:rPr>
        <w:t>。</w:t>
      </w:r>
    </w:p>
    <w:p>
      <w:pPr>
        <w:adjustRightInd w:val="0"/>
        <w:snapToGrid w:val="0"/>
        <w:ind w:firstLine="420"/>
        <w:rPr>
          <w:rFonts w:ascii="宋体" w:hAnsi="宋体"/>
          <w:color w:val="auto"/>
          <w:highlight w:val="none"/>
        </w:rPr>
      </w:pPr>
      <w:r>
        <w:rPr>
          <w:rFonts w:hint="eastAsia"/>
          <w:color w:val="auto"/>
          <w:highlight w:val="none"/>
        </w:rPr>
        <w:t>2</w:t>
      </w:r>
      <w:r>
        <w:rPr>
          <w:rFonts w:ascii="宋体" w:hAnsi="宋体"/>
          <w:color w:val="auto"/>
          <w:highlight w:val="none"/>
        </w:rPr>
        <w:t>）</w:t>
      </w:r>
      <w:r>
        <w:rPr>
          <w:rFonts w:hint="eastAsia"/>
          <w:color w:val="auto"/>
          <w:szCs w:val="21"/>
          <w:highlight w:val="none"/>
        </w:rPr>
        <w:t>装置从生产厂家到安装位置的运输全部由投标方完成，现场调试</w:t>
      </w:r>
      <w:r>
        <w:rPr>
          <w:rFonts w:hint="eastAsia"/>
          <w:color w:val="auto"/>
          <w:szCs w:val="21"/>
          <w:highlight w:val="none"/>
          <w:lang w:val="en-US" w:eastAsia="zh-CN"/>
        </w:rPr>
        <w:t>和安装</w:t>
      </w:r>
      <w:r>
        <w:rPr>
          <w:rFonts w:hint="eastAsia"/>
          <w:color w:val="auto"/>
          <w:szCs w:val="21"/>
          <w:highlight w:val="none"/>
        </w:rPr>
        <w:t>在招标方指导下由投标方完成</w:t>
      </w:r>
      <w:r>
        <w:rPr>
          <w:color w:val="auto"/>
          <w:highlight w:val="none"/>
        </w:rPr>
        <w:t>。</w:t>
      </w:r>
    </w:p>
    <w:p>
      <w:pPr>
        <w:adjustRightInd w:val="0"/>
        <w:snapToGrid w:val="0"/>
        <w:ind w:firstLine="420" w:firstLineChars="200"/>
        <w:rPr>
          <w:color w:val="auto"/>
          <w:highlight w:val="none"/>
        </w:rPr>
      </w:pPr>
      <w:r>
        <w:rPr>
          <w:rFonts w:hint="eastAsia"/>
          <w:color w:val="auto"/>
          <w:highlight w:val="none"/>
        </w:rPr>
        <w:t>3）</w:t>
      </w:r>
      <w:r>
        <w:rPr>
          <w:color w:val="auto"/>
          <w:highlight w:val="none"/>
        </w:rPr>
        <w:t>本</w:t>
      </w:r>
      <w:r>
        <w:rPr>
          <w:rFonts w:hint="eastAsia"/>
          <w:color w:val="auto"/>
          <w:highlight w:val="none"/>
        </w:rPr>
        <w:t>技术</w:t>
      </w:r>
      <w:r>
        <w:rPr>
          <w:color w:val="auto"/>
          <w:highlight w:val="none"/>
        </w:rPr>
        <w:t>规范书未说明</w:t>
      </w:r>
      <w:r>
        <w:rPr>
          <w:rFonts w:hint="eastAsia"/>
          <w:color w:val="auto"/>
          <w:highlight w:val="none"/>
        </w:rPr>
        <w:t>，</w:t>
      </w:r>
      <w:r>
        <w:rPr>
          <w:color w:val="auto"/>
          <w:highlight w:val="none"/>
        </w:rPr>
        <w:t>但又与设计、制造、装配、试验、运输、包装、保管、安装</w:t>
      </w:r>
      <w:r>
        <w:rPr>
          <w:rFonts w:hint="eastAsia"/>
          <w:color w:val="auto"/>
          <w:highlight w:val="none"/>
        </w:rPr>
        <w:t>和</w:t>
      </w:r>
      <w:r>
        <w:rPr>
          <w:color w:val="auto"/>
          <w:highlight w:val="none"/>
        </w:rPr>
        <w:t>运行维护有关的技术要求</w:t>
      </w:r>
      <w:r>
        <w:rPr>
          <w:rFonts w:hint="eastAsia"/>
          <w:color w:val="auto"/>
          <w:highlight w:val="none"/>
        </w:rPr>
        <w:t>，</w:t>
      </w:r>
      <w:r>
        <w:rPr>
          <w:color w:val="auto"/>
          <w:highlight w:val="none"/>
        </w:rPr>
        <w:t>按条款</w:t>
      </w:r>
      <w:r>
        <w:rPr>
          <w:rFonts w:hint="eastAsia"/>
          <w:color w:val="auto"/>
          <w:highlight w:val="none"/>
          <w:lang w:val="en-US" w:eastAsia="zh-CN"/>
        </w:rPr>
        <w:t>10</w:t>
      </w:r>
      <w:r>
        <w:rPr>
          <w:color w:val="auto"/>
          <w:highlight w:val="none"/>
        </w:rPr>
        <w:t>所规定的有关标准执行。</w:t>
      </w:r>
    </w:p>
    <w:p>
      <w:pPr>
        <w:pStyle w:val="3"/>
        <w:numPr>
          <w:ilvl w:val="0"/>
          <w:numId w:val="0"/>
        </w:numPr>
        <w:adjustRightInd w:val="0"/>
        <w:snapToGrid w:val="0"/>
        <w:rPr>
          <w:rFonts w:ascii="黑体" w:hAnsi="黑体"/>
          <w:color w:val="auto"/>
          <w:highlight w:val="none"/>
        </w:rPr>
      </w:pPr>
      <w:bookmarkStart w:id="44" w:name="_Toc15368"/>
      <w:bookmarkStart w:id="45" w:name="_Toc19292"/>
      <w:bookmarkStart w:id="46" w:name="_Toc384340979"/>
      <w:bookmarkStart w:id="47" w:name="_Toc19632"/>
      <w:bookmarkStart w:id="48" w:name="_Toc10800"/>
      <w:bookmarkStart w:id="49" w:name="_Toc8663"/>
      <w:bookmarkStart w:id="50" w:name="_Toc22249"/>
      <w:bookmarkStart w:id="51" w:name="_Toc170486948"/>
      <w:bookmarkStart w:id="52" w:name="_Toc400640371"/>
      <w:r>
        <w:rPr>
          <w:rFonts w:ascii="黑体" w:hAnsi="黑体"/>
          <w:color w:val="auto"/>
          <w:highlight w:val="none"/>
        </w:rPr>
        <w:t>2.</w:t>
      </w:r>
      <w:r>
        <w:rPr>
          <w:rFonts w:hint="eastAsia" w:ascii="黑体" w:hAnsi="黑体"/>
          <w:color w:val="auto"/>
          <w:highlight w:val="none"/>
        </w:rPr>
        <w:t>3</w:t>
      </w:r>
      <w:r>
        <w:rPr>
          <w:rFonts w:ascii="黑体" w:hAnsi="黑体"/>
          <w:color w:val="auto"/>
          <w:highlight w:val="none"/>
        </w:rPr>
        <w:t xml:space="preserve"> 服务范围</w:t>
      </w:r>
      <w:bookmarkEnd w:id="44"/>
      <w:bookmarkEnd w:id="45"/>
      <w:bookmarkEnd w:id="46"/>
      <w:bookmarkEnd w:id="47"/>
      <w:bookmarkEnd w:id="48"/>
      <w:bookmarkEnd w:id="49"/>
      <w:bookmarkEnd w:id="50"/>
      <w:bookmarkEnd w:id="51"/>
      <w:bookmarkEnd w:id="52"/>
    </w:p>
    <w:p>
      <w:pPr>
        <w:numPr>
          <w:ilvl w:val="0"/>
          <w:numId w:val="35"/>
        </w:numPr>
        <w:adjustRightInd w:val="0"/>
        <w:snapToGrid w:val="0"/>
        <w:ind w:firstLine="420" w:firstLineChars="200"/>
        <w:rPr>
          <w:rFonts w:ascii="宋体" w:hAnsi="宋体"/>
          <w:color w:val="auto"/>
          <w:highlight w:val="none"/>
        </w:rPr>
      </w:pPr>
      <w:r>
        <w:rPr>
          <w:rFonts w:ascii="宋体" w:hAnsi="宋体"/>
          <w:color w:val="auto"/>
          <w:highlight w:val="none"/>
        </w:rPr>
        <w:t>投标方应按本</w:t>
      </w:r>
      <w:r>
        <w:rPr>
          <w:rFonts w:hint="eastAsia" w:ascii="宋体" w:hAnsi="宋体"/>
          <w:color w:val="auto"/>
          <w:highlight w:val="none"/>
        </w:rPr>
        <w:t>技术</w:t>
      </w:r>
      <w:r>
        <w:rPr>
          <w:rFonts w:ascii="宋体" w:hAnsi="宋体"/>
          <w:color w:val="auto"/>
          <w:highlight w:val="none"/>
        </w:rPr>
        <w:t>规范书的要求提供全新的、合格的</w:t>
      </w:r>
      <w:r>
        <w:rPr>
          <w:rFonts w:hint="eastAsia" w:ascii="宋体" w:hAnsi="宋体"/>
          <w:color w:val="auto"/>
          <w:highlight w:val="none"/>
        </w:rPr>
        <w:t>输电线路故障精确定位装置</w:t>
      </w:r>
      <w:r>
        <w:rPr>
          <w:rFonts w:ascii="宋体" w:hAnsi="宋体"/>
          <w:color w:val="auto"/>
          <w:highlight w:val="none"/>
        </w:rPr>
        <w:t>及其附属设备、备品备件、专用工具和仪器。投标方所提供的组件或附件如需向第三方外购时</w:t>
      </w:r>
      <w:r>
        <w:rPr>
          <w:rFonts w:hint="eastAsia" w:ascii="宋体" w:hAnsi="宋体"/>
          <w:color w:val="auto"/>
          <w:highlight w:val="none"/>
        </w:rPr>
        <w:t>，投标方</w:t>
      </w:r>
      <w:r>
        <w:rPr>
          <w:rFonts w:ascii="宋体" w:hAnsi="宋体"/>
          <w:color w:val="auto"/>
          <w:highlight w:val="none"/>
        </w:rPr>
        <w:t>应对质量向招标方负责</w:t>
      </w:r>
      <w:r>
        <w:rPr>
          <w:rFonts w:hint="eastAsia" w:ascii="宋体" w:hAnsi="宋体"/>
          <w:color w:val="auto"/>
          <w:highlight w:val="none"/>
        </w:rPr>
        <w:t>，</w:t>
      </w:r>
      <w:r>
        <w:rPr>
          <w:rFonts w:ascii="宋体" w:hAnsi="宋体"/>
          <w:color w:val="auto"/>
          <w:highlight w:val="none"/>
        </w:rPr>
        <w:t>并提供相应出厂和验收证明。</w:t>
      </w:r>
    </w:p>
    <w:p>
      <w:pPr>
        <w:numPr>
          <w:ilvl w:val="0"/>
          <w:numId w:val="35"/>
        </w:numPr>
        <w:adjustRightInd w:val="0"/>
        <w:snapToGrid w:val="0"/>
        <w:ind w:firstLine="420" w:firstLineChars="200"/>
        <w:rPr>
          <w:rFonts w:ascii="宋体" w:hAnsi="宋体"/>
          <w:color w:val="auto"/>
          <w:highlight w:val="none"/>
        </w:rPr>
      </w:pPr>
      <w:r>
        <w:rPr>
          <w:rFonts w:hint="eastAsia" w:ascii="宋体" w:hAnsi="宋体"/>
          <w:color w:val="auto"/>
          <w:highlight w:val="none"/>
        </w:rPr>
        <w:t>供货要求</w:t>
      </w:r>
      <w:r>
        <w:rPr>
          <w:rFonts w:ascii="宋体" w:hAnsi="宋体"/>
          <w:color w:val="auto"/>
          <w:highlight w:val="none"/>
        </w:rPr>
        <w:t>包括</w:t>
      </w:r>
      <w:r>
        <w:rPr>
          <w:rFonts w:hint="eastAsia" w:ascii="宋体" w:hAnsi="宋体"/>
          <w:color w:val="auto"/>
          <w:highlight w:val="none"/>
        </w:rPr>
        <w:t>输电线路故障精确定位装置</w:t>
      </w:r>
      <w:r>
        <w:rPr>
          <w:rFonts w:ascii="宋体" w:hAnsi="宋体"/>
          <w:color w:val="auto"/>
          <w:highlight w:val="none"/>
        </w:rPr>
        <w:t>设备本体、</w:t>
      </w:r>
      <w:r>
        <w:rPr>
          <w:rFonts w:hint="eastAsia" w:ascii="宋体" w:hAnsi="宋体"/>
          <w:color w:val="auto"/>
          <w:highlight w:val="none"/>
        </w:rPr>
        <w:t>后台诊断分析程序、</w:t>
      </w:r>
      <w:r>
        <w:rPr>
          <w:rFonts w:ascii="宋体" w:hAnsi="宋体"/>
          <w:color w:val="auto"/>
          <w:highlight w:val="none"/>
        </w:rPr>
        <w:t>安装附件等安装材料、出厂合格证、产品出厂检测报告等相关材料。</w:t>
      </w:r>
    </w:p>
    <w:p>
      <w:pPr>
        <w:adjustRightInd w:val="0"/>
        <w:snapToGrid w:val="0"/>
        <w:ind w:firstLine="420" w:firstLineChars="200"/>
        <w:rPr>
          <w:color w:val="auto"/>
          <w:highlight w:val="none"/>
        </w:rPr>
      </w:pPr>
      <w:r>
        <w:rPr>
          <w:rFonts w:hint="eastAsia"/>
          <w:color w:val="auto"/>
          <w:highlight w:val="none"/>
        </w:rPr>
        <w:t>3）工厂试验由投标方在生产厂家内完成，但应有招标方代表参加，参加工厂验收的人数及天数等规定详见技术规范书商务部分。</w:t>
      </w:r>
    </w:p>
    <w:p>
      <w:pPr>
        <w:adjustRightInd w:val="0"/>
        <w:snapToGrid w:val="0"/>
        <w:ind w:firstLine="420" w:firstLineChars="200"/>
        <w:rPr>
          <w:color w:val="auto"/>
          <w:highlight w:val="none"/>
        </w:rPr>
      </w:pPr>
      <w:r>
        <w:rPr>
          <w:rFonts w:hint="eastAsia"/>
          <w:color w:val="auto"/>
          <w:highlight w:val="none"/>
        </w:rPr>
        <w:t>4）现场调试在招标方指导下由投标方完成，投标方协助招标方按标准检查安装质量，处理调试投运过程中出现的问题，并提供备品、备件，做好销售服务工作。投标方应选派有经验的技术人员，对安装和运行人员免费培训。安装督导的工作范围及人数和天数等规定详见技术规范书商务部分。</w:t>
      </w:r>
    </w:p>
    <w:p>
      <w:pPr>
        <w:adjustRightInd w:val="0"/>
        <w:snapToGrid w:val="0"/>
        <w:ind w:firstLine="420" w:firstLineChars="200"/>
        <w:rPr>
          <w:color w:val="auto"/>
          <w:highlight w:val="none"/>
        </w:rPr>
      </w:pPr>
      <w:r>
        <w:rPr>
          <w:rFonts w:hint="eastAsia"/>
          <w:color w:val="auto"/>
          <w:highlight w:val="none"/>
        </w:rPr>
        <w:t>5）APN专用通信卡由招标方提供，相关流量费由招标方负责。</w:t>
      </w:r>
    </w:p>
    <w:p>
      <w:pPr>
        <w:adjustRightInd w:val="0"/>
        <w:snapToGrid w:val="0"/>
        <w:ind w:firstLine="420" w:firstLineChars="200"/>
        <w:rPr>
          <w:color w:val="auto"/>
          <w:highlight w:val="none"/>
        </w:rPr>
      </w:pPr>
      <w:r>
        <w:rPr>
          <w:rFonts w:hint="eastAsia"/>
          <w:color w:val="auto"/>
          <w:highlight w:val="none"/>
        </w:rPr>
        <w:t>6）投标方应协助招标方解决设备运行中出现的问题。</w:t>
      </w:r>
    </w:p>
    <w:p>
      <w:pPr>
        <w:adjustRightInd w:val="0"/>
        <w:snapToGrid w:val="0"/>
        <w:ind w:firstLine="420" w:firstLineChars="200"/>
        <w:rPr>
          <w:color w:val="auto"/>
          <w:highlight w:val="none"/>
        </w:rPr>
      </w:pPr>
      <w:r>
        <w:rPr>
          <w:rFonts w:hint="eastAsia"/>
          <w:color w:val="auto"/>
          <w:highlight w:val="none"/>
        </w:rPr>
        <w:t>7）产品零整比不大于3，供货商零部件总成本不应超过</w:t>
      </w:r>
      <w:r>
        <w:rPr>
          <w:rFonts w:hint="eastAsia" w:ascii="宋体" w:hAnsi="宋体"/>
          <w:color w:val="auto"/>
          <w:highlight w:val="none"/>
        </w:rPr>
        <w:t>故障精确定位装置</w:t>
      </w:r>
      <w:r>
        <w:rPr>
          <w:rFonts w:hint="eastAsia"/>
          <w:color w:val="auto"/>
          <w:highlight w:val="none"/>
        </w:rPr>
        <w:t>本体成本3倍。</w:t>
      </w:r>
    </w:p>
    <w:p>
      <w:pPr>
        <w:adjustRightInd w:val="0"/>
        <w:snapToGrid w:val="0"/>
        <w:ind w:firstLine="420" w:firstLineChars="200"/>
        <w:rPr>
          <w:color w:val="auto"/>
          <w:highlight w:val="none"/>
        </w:rPr>
      </w:pPr>
      <w:r>
        <w:rPr>
          <w:rFonts w:hint="eastAsia"/>
          <w:color w:val="auto"/>
          <w:highlight w:val="none"/>
        </w:rPr>
        <w:t>8）设计联络会议的地点及投标方参加人员的人数和天数等规定详见技术规范书商务部分。</w:t>
      </w:r>
    </w:p>
    <w:p>
      <w:pPr>
        <w:adjustRightInd w:val="0"/>
        <w:snapToGrid w:val="0"/>
        <w:ind w:firstLine="420" w:firstLineChars="200"/>
        <w:rPr>
          <w:color w:val="auto"/>
          <w:highlight w:val="none"/>
        </w:rPr>
      </w:pPr>
      <w:r>
        <w:rPr>
          <w:rFonts w:hint="eastAsia"/>
          <w:color w:val="auto"/>
          <w:highlight w:val="none"/>
        </w:rPr>
        <w:t>9）设备安装、调试和性能试验合格后方可投运。设备投运并稳定运行后，投标方和招标方（业主）双方应根据相关法律、法规和公司管理制度签署合同设备的验收证明书。该证明书共两份，双方各执一份。</w:t>
      </w:r>
    </w:p>
    <w:p>
      <w:pPr>
        <w:adjustRightInd w:val="0"/>
        <w:snapToGrid w:val="0"/>
        <w:ind w:firstLine="420" w:firstLineChars="200"/>
        <w:rPr>
          <w:color w:val="auto"/>
          <w:highlight w:val="none"/>
        </w:rPr>
      </w:pPr>
      <w:r>
        <w:rPr>
          <w:rFonts w:hint="eastAsia"/>
          <w:color w:val="auto"/>
          <w:highlight w:val="none"/>
        </w:rPr>
        <w:t>10）如果安装、调试、性能试验、试运行及质保期内技术指标一项或多项不能满足合同技术部分要求，</w:t>
      </w:r>
      <w:r>
        <w:rPr>
          <w:rFonts w:hint="eastAsia" w:ascii="宋体" w:hAnsi="宋体"/>
          <w:color w:val="auto"/>
          <w:highlight w:val="none"/>
        </w:rPr>
        <w:t>招标方、投标方</w:t>
      </w:r>
      <w:r>
        <w:rPr>
          <w:rFonts w:hint="eastAsia"/>
          <w:color w:val="auto"/>
          <w:highlight w:val="none"/>
        </w:rPr>
        <w:t>双方共同分析原因，分清责任，如属制造方面的原因，或涉及索赔部分，按商务部分有关条款执行。</w:t>
      </w:r>
    </w:p>
    <w:bookmarkEnd w:id="24"/>
    <w:bookmarkEnd w:id="25"/>
    <w:p>
      <w:pPr>
        <w:pStyle w:val="2"/>
        <w:numPr>
          <w:ilvl w:val="0"/>
          <w:numId w:val="0"/>
        </w:numPr>
        <w:spacing w:line="360" w:lineRule="auto"/>
        <w:rPr>
          <w:rFonts w:ascii="黑体" w:hAnsi="黑体" w:eastAsia="黑体"/>
          <w:b/>
          <w:color w:val="auto"/>
          <w:sz w:val="21"/>
          <w:szCs w:val="21"/>
          <w:highlight w:val="none"/>
        </w:rPr>
      </w:pPr>
      <w:bookmarkStart w:id="53" w:name="_Toc170486949"/>
      <w:bookmarkStart w:id="54" w:name="_Toc27145"/>
      <w:bookmarkStart w:id="55" w:name="_Toc3404"/>
      <w:bookmarkStart w:id="56" w:name="_Toc12269"/>
      <w:bookmarkStart w:id="57" w:name="_Toc400640372"/>
      <w:bookmarkStart w:id="58" w:name="_Toc20232"/>
      <w:bookmarkStart w:id="59" w:name="_Toc384340980"/>
      <w:bookmarkStart w:id="60" w:name="_Toc22085"/>
      <w:bookmarkStart w:id="61" w:name="_Toc3828"/>
      <w:r>
        <w:rPr>
          <w:rFonts w:hint="eastAsia" w:ascii="黑体" w:hAnsi="黑体" w:eastAsia="黑体"/>
          <w:b/>
          <w:color w:val="auto"/>
          <w:sz w:val="21"/>
          <w:szCs w:val="21"/>
          <w:highlight w:val="none"/>
        </w:rPr>
        <w:t>3 应遵循的主要标准</w:t>
      </w:r>
      <w:bookmarkEnd w:id="53"/>
      <w:bookmarkEnd w:id="54"/>
      <w:bookmarkEnd w:id="55"/>
      <w:bookmarkEnd w:id="56"/>
      <w:bookmarkEnd w:id="57"/>
      <w:bookmarkEnd w:id="58"/>
      <w:bookmarkEnd w:id="59"/>
      <w:bookmarkEnd w:id="60"/>
      <w:bookmarkEnd w:id="61"/>
    </w:p>
    <w:p>
      <w:pPr>
        <w:adjustRightInd w:val="0"/>
        <w:snapToGrid w:val="0"/>
        <w:ind w:firstLine="420" w:firstLineChars="200"/>
        <w:rPr>
          <w:color w:val="auto"/>
          <w:highlight w:val="none"/>
        </w:rPr>
      </w:pPr>
      <w:bookmarkStart w:id="62" w:name="_Toc241912000"/>
      <w:bookmarkStart w:id="63" w:name="_Toc114253693"/>
      <w:bookmarkStart w:id="64" w:name="_Toc146182538"/>
      <w:bookmarkStart w:id="65" w:name="_Toc448828694"/>
      <w:bookmarkStart w:id="66" w:name="_Toc482581219"/>
      <w:bookmarkStart w:id="67" w:name="_Toc459534976"/>
      <w:bookmarkStart w:id="68" w:name="_Toc455543289"/>
      <w:bookmarkStart w:id="69" w:name="_Toc155114612"/>
      <w:bookmarkStart w:id="70" w:name="_Toc457986926"/>
      <w:bookmarkStart w:id="71" w:name="_Toc455373921"/>
      <w:bookmarkStart w:id="72" w:name="_Toc457979127"/>
      <w:r>
        <w:rPr>
          <w:color w:val="auto"/>
          <w:highlight w:val="none"/>
        </w:rPr>
        <w:t>除本</w:t>
      </w:r>
      <w:r>
        <w:rPr>
          <w:rFonts w:hint="eastAsia"/>
          <w:color w:val="auto"/>
          <w:highlight w:val="none"/>
        </w:rPr>
        <w:t>技术</w:t>
      </w:r>
      <w:r>
        <w:rPr>
          <w:color w:val="auto"/>
          <w:highlight w:val="none"/>
        </w:rPr>
        <w:t>规范书特殊规定外</w:t>
      </w:r>
      <w:r>
        <w:rPr>
          <w:rFonts w:hint="eastAsia"/>
          <w:color w:val="auto"/>
          <w:highlight w:val="none"/>
        </w:rPr>
        <w:t>，</w:t>
      </w:r>
      <w:r>
        <w:rPr>
          <w:color w:val="auto"/>
          <w:highlight w:val="none"/>
        </w:rPr>
        <w:t>投标方所提供的设备均按规定的标准和规程的最新版本进行设计、制造、试验和安装。如果这些标准内容有矛盾时</w:t>
      </w:r>
      <w:r>
        <w:rPr>
          <w:rFonts w:hint="eastAsia"/>
          <w:color w:val="auto"/>
          <w:highlight w:val="none"/>
        </w:rPr>
        <w:t>，</w:t>
      </w:r>
      <w:r>
        <w:rPr>
          <w:color w:val="auto"/>
          <w:highlight w:val="none"/>
        </w:rPr>
        <w:t>应按最高标准的条款执行或按双方商定的标准执行。如果投标方选用本</w:t>
      </w:r>
      <w:r>
        <w:rPr>
          <w:rFonts w:hint="eastAsia"/>
          <w:color w:val="auto"/>
          <w:highlight w:val="none"/>
        </w:rPr>
        <w:t>技术</w:t>
      </w:r>
      <w:r>
        <w:rPr>
          <w:color w:val="auto"/>
          <w:highlight w:val="none"/>
        </w:rPr>
        <w:t>规范书规定以外的标准时</w:t>
      </w:r>
      <w:r>
        <w:rPr>
          <w:rFonts w:hint="eastAsia"/>
          <w:color w:val="auto"/>
          <w:highlight w:val="none"/>
        </w:rPr>
        <w:t>，</w:t>
      </w:r>
      <w:r>
        <w:rPr>
          <w:color w:val="auto"/>
          <w:highlight w:val="none"/>
        </w:rPr>
        <w:t>则需提交这种替换标准供审查和分析。仅在投标方已证明替换标准相当或优于</w:t>
      </w:r>
      <w:r>
        <w:rPr>
          <w:rFonts w:hint="eastAsia"/>
          <w:color w:val="auto"/>
          <w:highlight w:val="none"/>
        </w:rPr>
        <w:t>技术</w:t>
      </w:r>
      <w:r>
        <w:rPr>
          <w:color w:val="auto"/>
          <w:highlight w:val="none"/>
        </w:rPr>
        <w:t>规范书规定的标准</w:t>
      </w:r>
      <w:r>
        <w:rPr>
          <w:rFonts w:hint="eastAsia"/>
          <w:color w:val="auto"/>
          <w:highlight w:val="none"/>
        </w:rPr>
        <w:t>，</w:t>
      </w:r>
      <w:r>
        <w:rPr>
          <w:color w:val="auto"/>
          <w:highlight w:val="none"/>
        </w:rPr>
        <w:t>并从招标方处获得书面的认可才能使用。提交供审查的标准应为中文或英文版本。</w:t>
      </w:r>
      <w:r>
        <w:rPr>
          <w:rFonts w:hint="eastAsia"/>
          <w:color w:val="auto"/>
          <w:highlight w:val="none"/>
        </w:rPr>
        <w:t>主要引用标准如下：</w:t>
      </w:r>
    </w:p>
    <w:p>
      <w:pPr>
        <w:adjustRightInd w:val="0"/>
        <w:snapToGrid w:val="0"/>
        <w:ind w:firstLine="420" w:firstLineChars="200"/>
        <w:rPr>
          <w:color w:val="auto"/>
          <w:highlight w:val="none"/>
        </w:rPr>
      </w:pPr>
      <w:bookmarkStart w:id="73" w:name="_Toc384340981"/>
      <w:bookmarkStart w:id="74" w:name="_Toc282993250"/>
      <w:bookmarkStart w:id="75" w:name="_Toc400640373"/>
      <w:r>
        <w:rPr>
          <w:color w:val="auto"/>
          <w:highlight w:val="none"/>
        </w:rPr>
        <w:t>GB</w:t>
      </w:r>
      <w:r>
        <w:rPr>
          <w:rFonts w:hint="eastAsia"/>
          <w:color w:val="auto"/>
          <w:highlight w:val="none"/>
        </w:rPr>
        <w:t>/T</w:t>
      </w:r>
      <w:r>
        <w:rPr>
          <w:color w:val="auto"/>
          <w:highlight w:val="none"/>
        </w:rPr>
        <w:t xml:space="preserve"> 4208</w:t>
      </w:r>
      <w:r>
        <w:rPr>
          <w:color w:val="auto"/>
          <w:highlight w:val="none"/>
        </w:rPr>
        <w:tab/>
      </w:r>
      <w:r>
        <w:rPr>
          <w:color w:val="auto"/>
          <w:highlight w:val="none"/>
        </w:rPr>
        <w:tab/>
      </w:r>
      <w:r>
        <w:rPr>
          <w:color w:val="auto"/>
          <w:highlight w:val="none"/>
        </w:rPr>
        <w:t xml:space="preserve"> </w:t>
      </w:r>
      <w:r>
        <w:rPr>
          <w:color w:val="auto"/>
          <w:highlight w:val="none"/>
        </w:rPr>
        <w:tab/>
      </w:r>
      <w:r>
        <w:rPr>
          <w:rFonts w:hint="eastAsia"/>
          <w:color w:val="auto"/>
          <w:highlight w:val="none"/>
        </w:rPr>
        <w:t xml:space="preserve">     </w:t>
      </w:r>
      <w:r>
        <w:rPr>
          <w:color w:val="auto"/>
          <w:highlight w:val="none"/>
        </w:rPr>
        <w:t>外壳防护等级（IP代码）</w:t>
      </w:r>
    </w:p>
    <w:p>
      <w:pPr>
        <w:adjustRightInd w:val="0"/>
        <w:snapToGrid w:val="0"/>
        <w:ind w:firstLine="420" w:firstLineChars="200"/>
        <w:rPr>
          <w:color w:val="auto"/>
          <w:highlight w:val="none"/>
        </w:rPr>
      </w:pPr>
      <w:r>
        <w:rPr>
          <w:color w:val="auto"/>
          <w:highlight w:val="none"/>
        </w:rPr>
        <w:t xml:space="preserve">GB 4943.1       </w:t>
      </w:r>
      <w:r>
        <w:rPr>
          <w:rFonts w:hint="eastAsia"/>
          <w:color w:val="auto"/>
          <w:highlight w:val="none"/>
        </w:rPr>
        <w:t xml:space="preserve">         信息技术设备安全第</w:t>
      </w:r>
      <w:r>
        <w:rPr>
          <w:color w:val="auto"/>
          <w:highlight w:val="none"/>
        </w:rPr>
        <w:t>1</w:t>
      </w:r>
      <w:r>
        <w:rPr>
          <w:rFonts w:hint="eastAsia"/>
          <w:color w:val="auto"/>
          <w:highlight w:val="none"/>
        </w:rPr>
        <w:t>部分：通用要求</w:t>
      </w:r>
    </w:p>
    <w:p>
      <w:pPr>
        <w:adjustRightInd w:val="0"/>
        <w:snapToGrid w:val="0"/>
        <w:ind w:firstLine="420" w:firstLineChars="200"/>
        <w:rPr>
          <w:color w:val="auto"/>
          <w:highlight w:val="none"/>
        </w:rPr>
      </w:pPr>
      <w:r>
        <w:rPr>
          <w:rFonts w:hint="eastAsia"/>
          <w:color w:val="auto"/>
          <w:highlight w:val="none"/>
        </w:rPr>
        <w:t>GB 50545</w:t>
      </w:r>
      <w:r>
        <w:rPr>
          <w:rFonts w:hint="eastAsia"/>
          <w:color w:val="auto"/>
          <w:highlight w:val="none"/>
        </w:rPr>
        <w:tab/>
      </w:r>
      <w:r>
        <w:rPr>
          <w:rFonts w:hint="eastAsia"/>
          <w:color w:val="auto"/>
          <w:highlight w:val="none"/>
        </w:rPr>
        <w:tab/>
      </w:r>
      <w:r>
        <w:rPr>
          <w:rFonts w:hint="eastAsia"/>
          <w:color w:val="auto"/>
          <w:highlight w:val="none"/>
        </w:rPr>
        <w:t xml:space="preserve">         110kV～750kV架空输电线路设计规范</w:t>
      </w:r>
    </w:p>
    <w:p>
      <w:pPr>
        <w:adjustRightInd w:val="0"/>
        <w:snapToGrid w:val="0"/>
        <w:ind w:firstLine="420" w:firstLineChars="200"/>
        <w:rPr>
          <w:color w:val="auto"/>
          <w:highlight w:val="none"/>
        </w:rPr>
      </w:pPr>
      <w:r>
        <w:rPr>
          <w:rFonts w:hint="eastAsia"/>
          <w:color w:val="auto"/>
          <w:highlight w:val="none"/>
        </w:rPr>
        <w:t>GB 31235</w:t>
      </w:r>
      <w:r>
        <w:rPr>
          <w:rFonts w:hint="eastAsia"/>
          <w:color w:val="auto"/>
          <w:highlight w:val="none"/>
        </w:rPr>
        <w:tab/>
      </w:r>
      <w:r>
        <w:rPr>
          <w:rFonts w:hint="eastAsia"/>
          <w:color w:val="auto"/>
          <w:highlight w:val="none"/>
        </w:rPr>
        <w:tab/>
      </w:r>
      <w:r>
        <w:rPr>
          <w:rFonts w:hint="eastAsia"/>
          <w:color w:val="auto"/>
          <w:highlight w:val="none"/>
        </w:rPr>
        <w:t xml:space="preserve">         ±800kV直流输电线路金具技术规范</w:t>
      </w:r>
    </w:p>
    <w:p>
      <w:pPr>
        <w:adjustRightInd w:val="0"/>
        <w:snapToGrid w:val="0"/>
        <w:ind w:firstLine="420" w:firstLineChars="200"/>
        <w:rPr>
          <w:color w:val="auto"/>
          <w:highlight w:val="none"/>
        </w:rPr>
      </w:pPr>
      <w:r>
        <w:rPr>
          <w:color w:val="auto"/>
          <w:highlight w:val="none"/>
        </w:rPr>
        <w:t>GB/T 2317.2</w:t>
      </w:r>
      <w:r>
        <w:rPr>
          <w:color w:val="auto"/>
          <w:highlight w:val="none"/>
        </w:rPr>
        <w:tab/>
      </w:r>
      <w:r>
        <w:rPr>
          <w:color w:val="auto"/>
          <w:highlight w:val="none"/>
        </w:rPr>
        <w:tab/>
      </w:r>
      <w:r>
        <w:rPr>
          <w:rFonts w:hint="eastAsia"/>
          <w:color w:val="auto"/>
          <w:highlight w:val="none"/>
        </w:rPr>
        <w:t xml:space="preserve">         </w:t>
      </w:r>
      <w:r>
        <w:rPr>
          <w:color w:val="auto"/>
          <w:highlight w:val="none"/>
        </w:rPr>
        <w:t>电力金具试验方法 第2部分：电晕和无线电干扰试验</w:t>
      </w:r>
    </w:p>
    <w:p>
      <w:pPr>
        <w:adjustRightInd w:val="0"/>
        <w:snapToGrid w:val="0"/>
        <w:ind w:left="3045" w:leftChars="200" w:hanging="2625" w:hangingChars="1250"/>
        <w:rPr>
          <w:color w:val="auto"/>
          <w:highlight w:val="none"/>
        </w:rPr>
      </w:pPr>
      <w:r>
        <w:rPr>
          <w:color w:val="auto"/>
          <w:highlight w:val="none"/>
        </w:rPr>
        <w:t>GB/T 2423.1</w:t>
      </w:r>
      <w:r>
        <w:rPr>
          <w:color w:val="auto"/>
          <w:highlight w:val="none"/>
        </w:rPr>
        <w:tab/>
      </w:r>
      <w:r>
        <w:rPr>
          <w:color w:val="auto"/>
          <w:highlight w:val="none"/>
        </w:rPr>
        <w:t>电工电子产品环境试验 第2部分：试验方法 试验A：低温</w:t>
      </w:r>
    </w:p>
    <w:p>
      <w:pPr>
        <w:adjustRightInd w:val="0"/>
        <w:snapToGrid w:val="0"/>
        <w:ind w:left="3045" w:leftChars="200" w:hanging="2625" w:hangingChars="1250"/>
        <w:rPr>
          <w:color w:val="auto"/>
          <w:highlight w:val="none"/>
        </w:rPr>
      </w:pPr>
      <w:r>
        <w:rPr>
          <w:color w:val="auto"/>
          <w:highlight w:val="none"/>
        </w:rPr>
        <w:t>GB/T 2423.2</w:t>
      </w:r>
      <w:r>
        <w:rPr>
          <w:color w:val="auto"/>
          <w:highlight w:val="none"/>
        </w:rPr>
        <w:tab/>
      </w:r>
      <w:r>
        <w:rPr>
          <w:color w:val="auto"/>
          <w:highlight w:val="none"/>
        </w:rPr>
        <w:t>电工电子产品环境试验 第2部分：试验方法 试验B：高温</w:t>
      </w:r>
    </w:p>
    <w:p>
      <w:pPr>
        <w:adjustRightInd w:val="0"/>
        <w:snapToGrid w:val="0"/>
        <w:ind w:left="3045" w:leftChars="200" w:hanging="2625" w:hangingChars="1250"/>
        <w:rPr>
          <w:color w:val="auto"/>
          <w:highlight w:val="none"/>
        </w:rPr>
      </w:pPr>
      <w:r>
        <w:rPr>
          <w:color w:val="auto"/>
          <w:highlight w:val="none"/>
        </w:rPr>
        <w:t>GB/T 2423.4</w:t>
      </w:r>
      <w:r>
        <w:rPr>
          <w:color w:val="auto"/>
          <w:highlight w:val="none"/>
        </w:rPr>
        <w:tab/>
      </w:r>
      <w:r>
        <w:rPr>
          <w:color w:val="auto"/>
          <w:highlight w:val="none"/>
        </w:rPr>
        <w:t>电工电子产品环境试验 第2部分：试验方法 试验Db：交变湿热（12h+12h循环）</w:t>
      </w:r>
    </w:p>
    <w:p>
      <w:pPr>
        <w:adjustRightInd w:val="0"/>
        <w:snapToGrid w:val="0"/>
        <w:ind w:left="3045" w:leftChars="200" w:hanging="2625" w:hangingChars="1250"/>
        <w:rPr>
          <w:color w:val="auto"/>
          <w:highlight w:val="none"/>
        </w:rPr>
      </w:pPr>
      <w:r>
        <w:rPr>
          <w:color w:val="auto"/>
          <w:highlight w:val="none"/>
        </w:rPr>
        <w:t>GB/T 2423.10</w:t>
      </w:r>
      <w:r>
        <w:rPr>
          <w:color w:val="auto"/>
          <w:highlight w:val="none"/>
        </w:rPr>
        <w:tab/>
      </w:r>
      <w:r>
        <w:rPr>
          <w:color w:val="auto"/>
          <w:highlight w:val="none"/>
        </w:rPr>
        <w:t>电工电子产品环境试验 第2部分：试验方法 试验Fc：振动(正弦)</w:t>
      </w:r>
    </w:p>
    <w:p>
      <w:pPr>
        <w:adjustRightInd w:val="0"/>
        <w:snapToGrid w:val="0"/>
        <w:ind w:firstLine="420" w:firstLineChars="200"/>
        <w:rPr>
          <w:color w:val="auto"/>
          <w:highlight w:val="none"/>
        </w:rPr>
      </w:pPr>
      <w:r>
        <w:rPr>
          <w:color w:val="auto"/>
          <w:highlight w:val="none"/>
        </w:rPr>
        <w:t xml:space="preserve">GB/T 2900.51 </w:t>
      </w:r>
      <w:r>
        <w:rPr>
          <w:color w:val="auto"/>
          <w:highlight w:val="none"/>
        </w:rPr>
        <w:tab/>
      </w:r>
      <w:r>
        <w:rPr>
          <w:rFonts w:hint="eastAsia"/>
          <w:color w:val="auto"/>
          <w:highlight w:val="none"/>
        </w:rPr>
        <w:t xml:space="preserve">         </w:t>
      </w:r>
      <w:r>
        <w:rPr>
          <w:color w:val="auto"/>
          <w:highlight w:val="none"/>
        </w:rPr>
        <w:t>电工术语 架空线路</w:t>
      </w:r>
    </w:p>
    <w:p>
      <w:pPr>
        <w:adjustRightInd w:val="0"/>
        <w:snapToGrid w:val="0"/>
        <w:ind w:firstLine="420" w:firstLineChars="200"/>
        <w:rPr>
          <w:color w:val="auto"/>
          <w:highlight w:val="none"/>
        </w:rPr>
      </w:pPr>
      <w:r>
        <w:rPr>
          <w:color w:val="auto"/>
          <w:highlight w:val="none"/>
        </w:rPr>
        <w:t>GB/T 6587</w:t>
      </w:r>
      <w:r>
        <w:rPr>
          <w:color w:val="auto"/>
          <w:highlight w:val="none"/>
        </w:rPr>
        <w:tab/>
      </w:r>
      <w:r>
        <w:rPr>
          <w:color w:val="auto"/>
          <w:highlight w:val="none"/>
        </w:rPr>
        <w:tab/>
      </w:r>
      <w:r>
        <w:rPr>
          <w:rFonts w:hint="eastAsia"/>
          <w:color w:val="auto"/>
          <w:highlight w:val="none"/>
        </w:rPr>
        <w:t xml:space="preserve">         </w:t>
      </w:r>
      <w:r>
        <w:rPr>
          <w:color w:val="auto"/>
          <w:highlight w:val="none"/>
        </w:rPr>
        <w:t>电子测量仪器通用规范</w:t>
      </w:r>
    </w:p>
    <w:p>
      <w:pPr>
        <w:adjustRightInd w:val="0"/>
        <w:snapToGrid w:val="0"/>
        <w:ind w:firstLine="420" w:firstLineChars="200"/>
        <w:rPr>
          <w:color w:val="auto"/>
          <w:highlight w:val="none"/>
        </w:rPr>
      </w:pPr>
      <w:r>
        <w:rPr>
          <w:color w:val="auto"/>
          <w:highlight w:val="none"/>
        </w:rPr>
        <w:t>GB/T 11463</w:t>
      </w:r>
      <w:r>
        <w:rPr>
          <w:color w:val="auto"/>
          <w:highlight w:val="none"/>
        </w:rPr>
        <w:tab/>
      </w:r>
      <w:r>
        <w:rPr>
          <w:color w:val="auto"/>
          <w:highlight w:val="none"/>
        </w:rPr>
        <w:tab/>
      </w:r>
      <w:r>
        <w:rPr>
          <w:rFonts w:hint="eastAsia"/>
          <w:color w:val="auto"/>
          <w:highlight w:val="none"/>
        </w:rPr>
        <w:t xml:space="preserve">         </w:t>
      </w:r>
      <w:r>
        <w:rPr>
          <w:color w:val="auto"/>
          <w:highlight w:val="none"/>
        </w:rPr>
        <w:t>电子测量仪器可靠性试验</w:t>
      </w:r>
    </w:p>
    <w:p>
      <w:pPr>
        <w:adjustRightInd w:val="0"/>
        <w:snapToGrid w:val="0"/>
        <w:ind w:firstLine="420" w:firstLineChars="200"/>
        <w:rPr>
          <w:color w:val="auto"/>
          <w:highlight w:val="none"/>
        </w:rPr>
      </w:pPr>
      <w:r>
        <w:rPr>
          <w:color w:val="auto"/>
          <w:highlight w:val="none"/>
        </w:rPr>
        <w:t>GB/T 16896.1</w:t>
      </w:r>
      <w:r>
        <w:rPr>
          <w:color w:val="auto"/>
          <w:highlight w:val="none"/>
        </w:rPr>
        <w:tab/>
      </w:r>
      <w:r>
        <w:rPr>
          <w:color w:val="auto"/>
          <w:highlight w:val="none"/>
        </w:rPr>
        <w:tab/>
      </w:r>
      <w:r>
        <w:rPr>
          <w:rFonts w:hint="eastAsia"/>
          <w:color w:val="auto"/>
          <w:highlight w:val="none"/>
        </w:rPr>
        <w:t xml:space="preserve">         </w:t>
      </w:r>
      <w:r>
        <w:rPr>
          <w:color w:val="auto"/>
          <w:highlight w:val="none"/>
        </w:rPr>
        <w:t>高电压冲击测量仪器和软件 第1部分：对仪器的要求</w:t>
      </w:r>
    </w:p>
    <w:p>
      <w:pPr>
        <w:adjustRightInd w:val="0"/>
        <w:snapToGrid w:val="0"/>
        <w:ind w:firstLine="420" w:firstLineChars="200"/>
        <w:rPr>
          <w:color w:val="auto"/>
          <w:highlight w:val="none"/>
        </w:rPr>
      </w:pPr>
      <w:r>
        <w:rPr>
          <w:color w:val="auto"/>
          <w:highlight w:val="none"/>
        </w:rPr>
        <w:t>GB/T 16927.1</w:t>
      </w:r>
      <w:r>
        <w:rPr>
          <w:color w:val="auto"/>
          <w:highlight w:val="none"/>
        </w:rPr>
        <w:tab/>
      </w:r>
      <w:r>
        <w:rPr>
          <w:color w:val="auto"/>
          <w:highlight w:val="none"/>
        </w:rPr>
        <w:tab/>
      </w:r>
      <w:r>
        <w:rPr>
          <w:rFonts w:hint="eastAsia"/>
          <w:color w:val="auto"/>
          <w:highlight w:val="none"/>
        </w:rPr>
        <w:t xml:space="preserve">         </w:t>
      </w:r>
      <w:r>
        <w:rPr>
          <w:color w:val="auto"/>
          <w:highlight w:val="none"/>
        </w:rPr>
        <w:t xml:space="preserve">高电压试验技术 第1部分：一般定义及试验要求      </w:t>
      </w:r>
    </w:p>
    <w:p>
      <w:pPr>
        <w:adjustRightInd w:val="0"/>
        <w:snapToGrid w:val="0"/>
        <w:ind w:firstLine="420" w:firstLineChars="200"/>
        <w:rPr>
          <w:color w:val="auto"/>
          <w:highlight w:val="none"/>
        </w:rPr>
      </w:pPr>
      <w:r>
        <w:rPr>
          <w:color w:val="auto"/>
          <w:highlight w:val="none"/>
        </w:rPr>
        <w:t>GB/T 16927.2</w:t>
      </w:r>
      <w:r>
        <w:rPr>
          <w:color w:val="auto"/>
          <w:highlight w:val="none"/>
        </w:rPr>
        <w:tab/>
      </w:r>
      <w:r>
        <w:rPr>
          <w:color w:val="auto"/>
          <w:highlight w:val="none"/>
        </w:rPr>
        <w:tab/>
      </w:r>
      <w:r>
        <w:rPr>
          <w:rFonts w:hint="eastAsia"/>
          <w:color w:val="auto"/>
          <w:highlight w:val="none"/>
        </w:rPr>
        <w:t xml:space="preserve">         </w:t>
      </w:r>
      <w:r>
        <w:rPr>
          <w:color w:val="auto"/>
          <w:highlight w:val="none"/>
        </w:rPr>
        <w:t>高电压试验技术 第2部分：测量系统</w:t>
      </w:r>
    </w:p>
    <w:p>
      <w:pPr>
        <w:adjustRightInd w:val="0"/>
        <w:snapToGrid w:val="0"/>
        <w:ind w:left="3045" w:leftChars="200" w:hanging="2625" w:hangingChars="1250"/>
        <w:rPr>
          <w:color w:val="auto"/>
          <w:highlight w:val="none"/>
        </w:rPr>
      </w:pPr>
      <w:r>
        <w:rPr>
          <w:color w:val="auto"/>
          <w:highlight w:val="none"/>
        </w:rPr>
        <w:t>GB/T 16927.4</w:t>
      </w:r>
      <w:r>
        <w:rPr>
          <w:color w:val="auto"/>
          <w:highlight w:val="none"/>
        </w:rPr>
        <w:tab/>
      </w:r>
      <w:r>
        <w:rPr>
          <w:color w:val="auto"/>
          <w:highlight w:val="none"/>
        </w:rPr>
        <w:t>高电压和大电流试验技术 第4部分：试验电流和测量系统的定义和要求</w:t>
      </w:r>
    </w:p>
    <w:p>
      <w:pPr>
        <w:adjustRightInd w:val="0"/>
        <w:snapToGrid w:val="0"/>
        <w:ind w:firstLine="420" w:firstLineChars="200"/>
        <w:rPr>
          <w:color w:val="auto"/>
          <w:highlight w:val="none"/>
        </w:rPr>
      </w:pPr>
      <w:r>
        <w:rPr>
          <w:color w:val="auto"/>
          <w:highlight w:val="none"/>
        </w:rPr>
        <w:t>GB/T 17626.2</w:t>
      </w:r>
      <w:r>
        <w:rPr>
          <w:color w:val="auto"/>
          <w:highlight w:val="none"/>
        </w:rPr>
        <w:tab/>
      </w:r>
      <w:r>
        <w:rPr>
          <w:color w:val="auto"/>
          <w:highlight w:val="none"/>
        </w:rPr>
        <w:tab/>
      </w:r>
      <w:r>
        <w:rPr>
          <w:rFonts w:hint="eastAsia"/>
          <w:color w:val="auto"/>
          <w:highlight w:val="none"/>
        </w:rPr>
        <w:t xml:space="preserve">         </w:t>
      </w:r>
      <w:r>
        <w:rPr>
          <w:color w:val="auto"/>
          <w:highlight w:val="none"/>
        </w:rPr>
        <w:t>电磁兼容 试验和测量技术 静电放电抗扰度试验</w:t>
      </w:r>
    </w:p>
    <w:p>
      <w:pPr>
        <w:adjustRightInd w:val="0"/>
        <w:snapToGrid w:val="0"/>
        <w:ind w:firstLine="420" w:firstLineChars="200"/>
        <w:rPr>
          <w:color w:val="auto"/>
          <w:highlight w:val="none"/>
        </w:rPr>
      </w:pPr>
      <w:r>
        <w:rPr>
          <w:color w:val="auto"/>
          <w:highlight w:val="none"/>
        </w:rPr>
        <w:t>GB/T 17626.3</w:t>
      </w:r>
      <w:r>
        <w:rPr>
          <w:color w:val="auto"/>
          <w:highlight w:val="none"/>
        </w:rPr>
        <w:tab/>
      </w:r>
      <w:r>
        <w:rPr>
          <w:color w:val="auto"/>
          <w:highlight w:val="none"/>
        </w:rPr>
        <w:tab/>
      </w:r>
      <w:r>
        <w:rPr>
          <w:rFonts w:hint="eastAsia"/>
          <w:color w:val="auto"/>
          <w:highlight w:val="none"/>
        </w:rPr>
        <w:t xml:space="preserve">         </w:t>
      </w:r>
      <w:r>
        <w:rPr>
          <w:color w:val="auto"/>
          <w:highlight w:val="none"/>
        </w:rPr>
        <w:t>电磁兼容 试验和测量技术 射频电磁场辐射抗扰度试验</w:t>
      </w:r>
    </w:p>
    <w:p>
      <w:pPr>
        <w:adjustRightInd w:val="0"/>
        <w:snapToGrid w:val="0"/>
        <w:ind w:firstLine="420" w:firstLineChars="200"/>
        <w:rPr>
          <w:color w:val="auto"/>
          <w:highlight w:val="none"/>
        </w:rPr>
      </w:pPr>
      <w:r>
        <w:rPr>
          <w:color w:val="auto"/>
          <w:highlight w:val="none"/>
        </w:rPr>
        <w:t>GB/T 17626.8</w:t>
      </w:r>
      <w:r>
        <w:rPr>
          <w:color w:val="auto"/>
          <w:highlight w:val="none"/>
        </w:rPr>
        <w:tab/>
      </w:r>
      <w:r>
        <w:rPr>
          <w:color w:val="auto"/>
          <w:highlight w:val="none"/>
        </w:rPr>
        <w:tab/>
      </w:r>
      <w:r>
        <w:rPr>
          <w:rFonts w:hint="eastAsia"/>
          <w:color w:val="auto"/>
          <w:highlight w:val="none"/>
        </w:rPr>
        <w:t xml:space="preserve">         </w:t>
      </w:r>
      <w:r>
        <w:rPr>
          <w:color w:val="auto"/>
          <w:highlight w:val="none"/>
        </w:rPr>
        <w:t>电磁兼容 试验和测量技术 工频磁场抗扰度试验</w:t>
      </w:r>
    </w:p>
    <w:p>
      <w:pPr>
        <w:adjustRightInd w:val="0"/>
        <w:snapToGrid w:val="0"/>
        <w:ind w:firstLine="420" w:firstLineChars="200"/>
        <w:rPr>
          <w:color w:val="auto"/>
          <w:highlight w:val="none"/>
        </w:rPr>
      </w:pPr>
      <w:r>
        <w:rPr>
          <w:color w:val="auto"/>
          <w:highlight w:val="none"/>
        </w:rPr>
        <w:t>GB/T 17626.9</w:t>
      </w:r>
      <w:r>
        <w:rPr>
          <w:color w:val="auto"/>
          <w:highlight w:val="none"/>
        </w:rPr>
        <w:tab/>
      </w:r>
      <w:r>
        <w:rPr>
          <w:color w:val="auto"/>
          <w:highlight w:val="none"/>
        </w:rPr>
        <w:tab/>
      </w:r>
      <w:r>
        <w:rPr>
          <w:rFonts w:hint="eastAsia"/>
          <w:color w:val="auto"/>
          <w:highlight w:val="none"/>
        </w:rPr>
        <w:t xml:space="preserve">         </w:t>
      </w:r>
      <w:r>
        <w:rPr>
          <w:color w:val="auto"/>
          <w:highlight w:val="none"/>
        </w:rPr>
        <w:t>电磁兼容 试验和测量技术 脉冲磁场抗扰度试验</w:t>
      </w:r>
    </w:p>
    <w:p>
      <w:pPr>
        <w:adjustRightInd w:val="0"/>
        <w:snapToGrid w:val="0"/>
        <w:ind w:left="3045" w:leftChars="200" w:hanging="2625" w:hangingChars="1250"/>
        <w:rPr>
          <w:color w:val="auto"/>
          <w:highlight w:val="none"/>
        </w:rPr>
      </w:pPr>
      <w:r>
        <w:rPr>
          <w:color w:val="auto"/>
          <w:highlight w:val="none"/>
        </w:rPr>
        <w:t>GB/T 17627.1</w:t>
      </w:r>
      <w:r>
        <w:rPr>
          <w:color w:val="auto"/>
          <w:highlight w:val="none"/>
        </w:rPr>
        <w:tab/>
      </w:r>
      <w:r>
        <w:rPr>
          <w:color w:val="auto"/>
          <w:highlight w:val="none"/>
        </w:rPr>
        <w:t>低压电气设备的高电压试验技术 第一部分：定义和试验要求</w:t>
      </w:r>
    </w:p>
    <w:p>
      <w:pPr>
        <w:adjustRightInd w:val="0"/>
        <w:snapToGrid w:val="0"/>
        <w:ind w:left="3045" w:leftChars="200" w:hanging="2625" w:hangingChars="1250"/>
        <w:rPr>
          <w:color w:val="auto"/>
          <w:highlight w:val="none"/>
        </w:rPr>
      </w:pPr>
      <w:r>
        <w:rPr>
          <w:color w:val="auto"/>
          <w:highlight w:val="none"/>
        </w:rPr>
        <w:t>GB/T 17627.2</w:t>
      </w:r>
      <w:r>
        <w:rPr>
          <w:color w:val="auto"/>
          <w:highlight w:val="none"/>
        </w:rPr>
        <w:tab/>
      </w:r>
      <w:r>
        <w:rPr>
          <w:color w:val="auto"/>
          <w:highlight w:val="none"/>
        </w:rPr>
        <w:t>低压电气设备的高电压试验技术 第二部分：测量系统和试验设备</w:t>
      </w:r>
    </w:p>
    <w:p>
      <w:pPr>
        <w:adjustRightInd w:val="0"/>
        <w:snapToGrid w:val="0"/>
        <w:ind w:firstLine="420" w:firstLineChars="200"/>
        <w:rPr>
          <w:color w:val="auto"/>
          <w:highlight w:val="none"/>
        </w:rPr>
      </w:pPr>
      <w:r>
        <w:rPr>
          <w:color w:val="auto"/>
          <w:highlight w:val="none"/>
        </w:rPr>
        <w:t>GB/T 21671</w:t>
      </w:r>
      <w:r>
        <w:rPr>
          <w:color w:val="auto"/>
          <w:highlight w:val="none"/>
        </w:rPr>
        <w:tab/>
      </w:r>
      <w:r>
        <w:rPr>
          <w:color w:val="auto"/>
          <w:highlight w:val="none"/>
        </w:rPr>
        <w:tab/>
      </w:r>
      <w:r>
        <w:rPr>
          <w:rFonts w:hint="eastAsia"/>
          <w:color w:val="auto"/>
          <w:highlight w:val="none"/>
        </w:rPr>
        <w:t xml:space="preserve">         </w:t>
      </w:r>
      <w:r>
        <w:rPr>
          <w:color w:val="auto"/>
          <w:highlight w:val="none"/>
        </w:rPr>
        <w:t>基于以太网技术的局域网系统验收测评规范</w:t>
      </w:r>
    </w:p>
    <w:p>
      <w:pPr>
        <w:adjustRightInd w:val="0"/>
        <w:snapToGrid w:val="0"/>
        <w:ind w:firstLine="420" w:firstLineChars="200"/>
        <w:rPr>
          <w:color w:val="auto"/>
          <w:highlight w:val="none"/>
        </w:rPr>
      </w:pPr>
      <w:r>
        <w:rPr>
          <w:rFonts w:hint="eastAsia"/>
          <w:color w:val="auto"/>
          <w:highlight w:val="none"/>
        </w:rPr>
        <w:t>GB/T 35721</w:t>
      </w: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 xml:space="preserve"> 输电线路分布式故障诊断系统</w:t>
      </w:r>
    </w:p>
    <w:p>
      <w:pPr>
        <w:adjustRightInd w:val="0"/>
        <w:snapToGrid w:val="0"/>
        <w:ind w:firstLine="420" w:firstLineChars="200"/>
        <w:rPr>
          <w:color w:val="auto"/>
          <w:highlight w:val="none"/>
        </w:rPr>
      </w:pPr>
      <w:r>
        <w:rPr>
          <w:color w:val="auto"/>
          <w:highlight w:val="none"/>
        </w:rPr>
        <w:t>DL/T 1098</w:t>
      </w:r>
      <w:r>
        <w:rPr>
          <w:rFonts w:hint="eastAsia"/>
          <w:color w:val="auto"/>
          <w:highlight w:val="none"/>
        </w:rPr>
        <w:t xml:space="preserve">                间隔棒技术条件和试验方法</w:t>
      </w:r>
    </w:p>
    <w:p>
      <w:pPr>
        <w:adjustRightInd w:val="0"/>
        <w:snapToGrid w:val="0"/>
        <w:ind w:firstLine="420" w:firstLineChars="200"/>
        <w:rPr>
          <w:color w:val="auto"/>
          <w:highlight w:val="none"/>
        </w:rPr>
      </w:pPr>
      <w:r>
        <w:rPr>
          <w:color w:val="auto"/>
          <w:highlight w:val="none"/>
        </w:rPr>
        <w:t xml:space="preserve">QJ/T 815.2  </w:t>
      </w:r>
      <w:r>
        <w:rPr>
          <w:rFonts w:hint="eastAsia"/>
          <w:color w:val="auto"/>
          <w:highlight w:val="none"/>
        </w:rPr>
        <w:t xml:space="preserve">              产品公路运输加速模拟试验方法</w:t>
      </w:r>
    </w:p>
    <w:p>
      <w:pPr>
        <w:adjustRightInd w:val="0"/>
        <w:snapToGrid w:val="0"/>
        <w:ind w:left="3045" w:leftChars="200" w:hanging="2625" w:hangingChars="1250"/>
        <w:rPr>
          <w:color w:val="auto"/>
          <w:highlight w:val="none"/>
        </w:rPr>
      </w:pPr>
      <w:r>
        <w:rPr>
          <w:color w:val="auto"/>
          <w:highlight w:val="none"/>
        </w:rPr>
        <w:t>Q/CSG</w:t>
      </w:r>
      <w:r>
        <w:rPr>
          <w:rFonts w:hint="eastAsia"/>
          <w:color w:val="auto"/>
          <w:highlight w:val="none"/>
        </w:rPr>
        <w:t xml:space="preserve"> </w:t>
      </w:r>
      <w:r>
        <w:rPr>
          <w:color w:val="auto"/>
          <w:highlight w:val="none"/>
        </w:rPr>
        <w:t xml:space="preserve">1204009 </w:t>
      </w:r>
      <w:r>
        <w:rPr>
          <w:rFonts w:hint="eastAsia"/>
          <w:color w:val="auto"/>
          <w:highlight w:val="none"/>
        </w:rPr>
        <w:t xml:space="preserve">          中国南方电网电力监控系统安全防护技术规范</w:t>
      </w:r>
    </w:p>
    <w:p>
      <w:pPr>
        <w:pStyle w:val="49"/>
        <w:adjustRightInd w:val="0"/>
        <w:spacing w:after="0" w:line="360" w:lineRule="auto"/>
        <w:ind w:left="0" w:firstLine="420" w:firstLineChars="200"/>
        <w:rPr>
          <w:color w:val="auto"/>
          <w:szCs w:val="21"/>
          <w:highlight w:val="none"/>
        </w:rPr>
      </w:pPr>
      <w:r>
        <w:rPr>
          <w:rFonts w:hint="eastAsia"/>
          <w:color w:val="auto"/>
          <w:szCs w:val="21"/>
          <w:highlight w:val="none"/>
        </w:rPr>
        <w:t>Q/CSG1205031            输电线路在线监测通信规约及信息交互规范</w:t>
      </w:r>
    </w:p>
    <w:p>
      <w:pPr>
        <w:pStyle w:val="49"/>
        <w:adjustRightInd w:val="0"/>
        <w:spacing w:after="0" w:line="360" w:lineRule="auto"/>
        <w:ind w:left="0" w:firstLine="420" w:firstLineChars="200"/>
        <w:rPr>
          <w:color w:val="auto"/>
          <w:szCs w:val="21"/>
          <w:highlight w:val="none"/>
        </w:rPr>
      </w:pPr>
      <w:r>
        <w:rPr>
          <w:rFonts w:hint="eastAsia"/>
          <w:color w:val="auto"/>
          <w:szCs w:val="21"/>
          <w:highlight w:val="none"/>
        </w:rPr>
        <w:t>Q/CSG1210050            南方电网电力全域物联网平台接入技术规范</w:t>
      </w:r>
    </w:p>
    <w:p>
      <w:pPr>
        <w:pStyle w:val="49"/>
        <w:adjustRightInd w:val="0"/>
        <w:spacing w:after="0" w:line="360" w:lineRule="auto"/>
        <w:ind w:left="0" w:firstLine="420" w:firstLineChars="200"/>
        <w:rPr>
          <w:color w:val="auto"/>
          <w:szCs w:val="21"/>
          <w:highlight w:val="none"/>
        </w:rPr>
      </w:pPr>
      <w:r>
        <w:rPr>
          <w:rFonts w:hint="eastAsia"/>
          <w:color w:val="auto"/>
          <w:szCs w:val="21"/>
          <w:highlight w:val="none"/>
        </w:rPr>
        <w:t>Q/CSG 1210066           南方电网物联网平台接入协议插件标准</w:t>
      </w:r>
    </w:p>
    <w:p>
      <w:pPr>
        <w:pStyle w:val="49"/>
        <w:adjustRightInd w:val="0"/>
        <w:spacing w:after="0" w:line="360" w:lineRule="auto"/>
        <w:ind w:left="0" w:firstLine="420" w:firstLineChars="200"/>
        <w:rPr>
          <w:color w:val="auto"/>
          <w:szCs w:val="21"/>
          <w:highlight w:val="none"/>
        </w:rPr>
      </w:pPr>
      <w:r>
        <w:rPr>
          <w:rFonts w:hint="eastAsia"/>
          <w:color w:val="auto"/>
          <w:szCs w:val="21"/>
          <w:highlight w:val="none"/>
        </w:rPr>
        <w:t>Q/CSG 1210067           南方电网物联网平台应用协议</w:t>
      </w:r>
    </w:p>
    <w:p>
      <w:pPr>
        <w:pStyle w:val="49"/>
        <w:ind w:left="0" w:firstLine="420" w:firstLineChars="200"/>
        <w:rPr>
          <w:color w:val="auto"/>
          <w:highlight w:val="none"/>
        </w:rPr>
      </w:pPr>
      <w:r>
        <w:rPr>
          <w:rFonts w:hint="eastAsia"/>
          <w:color w:val="auto"/>
          <w:szCs w:val="21"/>
          <w:highlight w:val="none"/>
        </w:rPr>
        <w:t>Q/CSG 1210074-2024      南方电网物联终端设备信息模型规范（试行）</w:t>
      </w:r>
    </w:p>
    <w:p>
      <w:pPr>
        <w:pStyle w:val="2"/>
        <w:numPr>
          <w:ilvl w:val="0"/>
          <w:numId w:val="0"/>
        </w:numPr>
        <w:spacing w:line="360" w:lineRule="auto"/>
        <w:rPr>
          <w:rFonts w:ascii="黑体" w:hAnsi="黑体" w:eastAsia="黑体"/>
          <w:b/>
          <w:color w:val="auto"/>
          <w:sz w:val="21"/>
          <w:szCs w:val="21"/>
          <w:highlight w:val="none"/>
        </w:rPr>
      </w:pPr>
      <w:bookmarkStart w:id="76" w:name="_Toc5753"/>
      <w:bookmarkStart w:id="77" w:name="_Toc15092"/>
      <w:bookmarkStart w:id="78" w:name="_Toc170486950"/>
      <w:bookmarkStart w:id="79" w:name="_Toc26299"/>
      <w:bookmarkStart w:id="80" w:name="_Toc22783"/>
      <w:bookmarkStart w:id="81" w:name="_Toc25486"/>
      <w:bookmarkStart w:id="82" w:name="_Toc20707"/>
      <w:r>
        <w:rPr>
          <w:rFonts w:hint="eastAsia" w:ascii="黑体" w:hAnsi="黑体" w:eastAsia="黑体"/>
          <w:b/>
          <w:color w:val="auto"/>
          <w:sz w:val="21"/>
          <w:szCs w:val="21"/>
          <w:highlight w:val="none"/>
        </w:rPr>
        <w:t>4使用条件</w:t>
      </w:r>
      <w:bookmarkEnd w:id="73"/>
      <w:bookmarkEnd w:id="74"/>
      <w:bookmarkEnd w:id="75"/>
      <w:bookmarkEnd w:id="76"/>
      <w:bookmarkEnd w:id="77"/>
      <w:bookmarkEnd w:id="78"/>
      <w:bookmarkEnd w:id="79"/>
      <w:bookmarkEnd w:id="80"/>
      <w:bookmarkEnd w:id="81"/>
      <w:bookmarkEnd w:id="82"/>
    </w:p>
    <w:p>
      <w:pPr>
        <w:pStyle w:val="3"/>
        <w:numPr>
          <w:ilvl w:val="0"/>
          <w:numId w:val="0"/>
        </w:numPr>
        <w:adjustRightInd w:val="0"/>
        <w:snapToGrid w:val="0"/>
        <w:rPr>
          <w:rFonts w:ascii="黑体" w:hAnsi="黑体"/>
          <w:color w:val="auto"/>
          <w:highlight w:val="none"/>
        </w:rPr>
      </w:pPr>
      <w:bookmarkStart w:id="83" w:name="_Toc14858"/>
      <w:bookmarkStart w:id="84" w:name="_Toc8031"/>
      <w:bookmarkStart w:id="85" w:name="_Toc400640374"/>
      <w:bookmarkStart w:id="86" w:name="_Toc4908"/>
      <w:bookmarkStart w:id="87" w:name="_Toc282993251"/>
      <w:bookmarkStart w:id="88" w:name="_Toc384340982"/>
      <w:bookmarkStart w:id="89" w:name="_Toc1199"/>
      <w:bookmarkStart w:id="90" w:name="_Toc27519"/>
      <w:bookmarkStart w:id="91" w:name="_Toc279695711"/>
      <w:bookmarkStart w:id="92" w:name="_Toc25224"/>
      <w:bookmarkStart w:id="93" w:name="_Toc170486951"/>
      <w:r>
        <w:rPr>
          <w:rFonts w:hint="eastAsia" w:ascii="黑体" w:hAnsi="黑体"/>
          <w:color w:val="auto"/>
          <w:highlight w:val="none"/>
        </w:rPr>
        <w:t>4.1正常使用条件</w:t>
      </w:r>
      <w:bookmarkEnd w:id="83"/>
      <w:bookmarkEnd w:id="84"/>
      <w:bookmarkEnd w:id="85"/>
      <w:bookmarkEnd w:id="86"/>
      <w:bookmarkEnd w:id="87"/>
      <w:bookmarkEnd w:id="88"/>
      <w:bookmarkEnd w:id="89"/>
      <w:bookmarkEnd w:id="90"/>
      <w:bookmarkEnd w:id="91"/>
      <w:bookmarkEnd w:id="92"/>
      <w:bookmarkEnd w:id="93"/>
    </w:p>
    <w:p>
      <w:pPr>
        <w:adjustRightInd w:val="0"/>
        <w:snapToGrid w:val="0"/>
        <w:ind w:firstLine="420" w:firstLineChars="200"/>
        <w:rPr>
          <w:color w:val="auto"/>
          <w:highlight w:val="none"/>
        </w:rPr>
      </w:pPr>
      <w:r>
        <w:rPr>
          <w:rFonts w:hint="eastAsia"/>
          <w:color w:val="auto"/>
          <w:highlight w:val="none"/>
        </w:rPr>
        <w:t>监测装置在以下环境条件下应能正常工作：</w:t>
      </w:r>
    </w:p>
    <w:p>
      <w:pPr>
        <w:numPr>
          <w:ilvl w:val="0"/>
          <w:numId w:val="36"/>
        </w:numPr>
        <w:adjustRightInd w:val="0"/>
        <w:snapToGrid w:val="0"/>
        <w:ind w:firstLine="420" w:firstLineChars="200"/>
        <w:rPr>
          <w:color w:val="auto"/>
          <w:highlight w:val="none"/>
        </w:rPr>
      </w:pPr>
      <w:r>
        <w:rPr>
          <w:rFonts w:hint="eastAsia"/>
          <w:color w:val="auto"/>
          <w:highlight w:val="none"/>
        </w:rPr>
        <w:t>工作温度：-40℃～+70℃</w:t>
      </w:r>
    </w:p>
    <w:p>
      <w:pPr>
        <w:numPr>
          <w:ilvl w:val="0"/>
          <w:numId w:val="36"/>
        </w:numPr>
        <w:adjustRightInd w:val="0"/>
        <w:snapToGrid w:val="0"/>
        <w:ind w:firstLine="420" w:firstLineChars="200"/>
        <w:rPr>
          <w:color w:val="auto"/>
          <w:highlight w:val="none"/>
        </w:rPr>
      </w:pPr>
      <w:r>
        <w:rPr>
          <w:rFonts w:hint="eastAsia"/>
          <w:color w:val="auto"/>
          <w:highlight w:val="none"/>
        </w:rPr>
        <w:t>大气压力：5</w:t>
      </w:r>
      <w:r>
        <w:rPr>
          <w:color w:val="auto"/>
          <w:highlight w:val="none"/>
        </w:rPr>
        <w:t>0kPa</w:t>
      </w:r>
      <w:r>
        <w:rPr>
          <w:rFonts w:hint="eastAsia"/>
          <w:color w:val="auto"/>
          <w:highlight w:val="none"/>
        </w:rPr>
        <w:t>～</w:t>
      </w:r>
      <w:r>
        <w:rPr>
          <w:color w:val="auto"/>
          <w:highlight w:val="none"/>
        </w:rPr>
        <w:t>106kPa</w:t>
      </w:r>
      <w:r>
        <w:rPr>
          <w:rFonts w:hint="eastAsia"/>
          <w:color w:val="auto"/>
          <w:highlight w:val="none"/>
        </w:rPr>
        <w:t>；</w:t>
      </w:r>
    </w:p>
    <w:p>
      <w:pPr>
        <w:adjustRightInd w:val="0"/>
        <w:snapToGrid w:val="0"/>
        <w:ind w:firstLine="420" w:firstLineChars="200"/>
        <w:rPr>
          <w:color w:val="auto"/>
          <w:highlight w:val="none"/>
        </w:rPr>
      </w:pPr>
      <w:r>
        <w:rPr>
          <w:rFonts w:hint="eastAsia"/>
          <w:color w:val="auto"/>
          <w:highlight w:val="none"/>
        </w:rPr>
        <w:t>c）环境温度：-40</w:t>
      </w:r>
      <w:r>
        <w:rPr>
          <w:color w:val="auto"/>
          <w:highlight w:val="none"/>
        </w:rPr>
        <w:t>℃</w:t>
      </w:r>
      <w:r>
        <w:rPr>
          <w:rFonts w:hint="eastAsia"/>
          <w:color w:val="auto"/>
          <w:highlight w:val="none"/>
        </w:rPr>
        <w:t xml:space="preserve">～+70℃； </w:t>
      </w:r>
    </w:p>
    <w:p>
      <w:pPr>
        <w:adjustRightInd w:val="0"/>
        <w:snapToGrid w:val="0"/>
        <w:ind w:firstLine="420" w:firstLineChars="200"/>
        <w:rPr>
          <w:color w:val="auto"/>
          <w:highlight w:val="none"/>
        </w:rPr>
      </w:pPr>
      <w:r>
        <w:rPr>
          <w:color w:val="auto"/>
          <w:highlight w:val="none"/>
        </w:rPr>
        <w:t>d</w:t>
      </w:r>
      <w:r>
        <w:rPr>
          <w:rFonts w:hint="eastAsia"/>
          <w:color w:val="auto"/>
          <w:highlight w:val="none"/>
        </w:rPr>
        <w:t>）相对湿度：</w:t>
      </w:r>
      <w:r>
        <w:rPr>
          <w:color w:val="auto"/>
          <w:highlight w:val="none"/>
        </w:rPr>
        <w:t>5</w:t>
      </w:r>
      <w:r>
        <w:rPr>
          <w:rFonts w:hint="eastAsia"/>
          <w:color w:val="auto"/>
          <w:highlight w:val="none"/>
        </w:rPr>
        <w:t>%～</w:t>
      </w:r>
      <w:r>
        <w:rPr>
          <w:color w:val="auto"/>
          <w:highlight w:val="none"/>
        </w:rPr>
        <w:t>98</w:t>
      </w:r>
      <w:r>
        <w:rPr>
          <w:rFonts w:hint="eastAsia"/>
          <w:color w:val="auto"/>
          <w:highlight w:val="none"/>
        </w:rPr>
        <w:t>%RH；</w:t>
      </w:r>
    </w:p>
    <w:p>
      <w:pPr>
        <w:adjustRightInd w:val="0"/>
        <w:snapToGrid w:val="0"/>
        <w:ind w:firstLine="420" w:firstLineChars="200"/>
        <w:rPr>
          <w:color w:val="auto"/>
          <w:highlight w:val="none"/>
        </w:rPr>
      </w:pPr>
      <w:r>
        <w:rPr>
          <w:color w:val="auto"/>
          <w:highlight w:val="none"/>
        </w:rPr>
        <w:t>e</w:t>
      </w:r>
      <w:r>
        <w:rPr>
          <w:rFonts w:hint="eastAsia"/>
          <w:color w:val="auto"/>
          <w:highlight w:val="none"/>
        </w:rPr>
        <w:t>）基本风速：不低于本体抗风等级，且应满足南方电网风速分布图设防标准（沿海地区按Ⅰ类风区50年一遇设防，V≥37m/s））；</w:t>
      </w:r>
    </w:p>
    <w:p>
      <w:pPr>
        <w:adjustRightInd w:val="0"/>
        <w:snapToGrid w:val="0"/>
        <w:ind w:firstLine="420" w:firstLineChars="200"/>
        <w:rPr>
          <w:color w:val="auto"/>
          <w:highlight w:val="none"/>
        </w:rPr>
      </w:pPr>
      <w:r>
        <w:rPr>
          <w:color w:val="auto"/>
          <w:highlight w:val="none"/>
        </w:rPr>
        <w:t>f</w:t>
      </w:r>
      <w:r>
        <w:rPr>
          <w:rFonts w:hint="eastAsia"/>
          <w:color w:val="auto"/>
          <w:highlight w:val="none"/>
        </w:rPr>
        <w:t>）覆冰厚度：不低于20mm；</w:t>
      </w:r>
    </w:p>
    <w:p>
      <w:pPr>
        <w:adjustRightInd w:val="0"/>
        <w:snapToGrid w:val="0"/>
        <w:ind w:firstLine="420" w:firstLineChars="200"/>
        <w:rPr>
          <w:color w:val="auto"/>
          <w:highlight w:val="none"/>
        </w:rPr>
      </w:pPr>
      <w:r>
        <w:rPr>
          <w:color w:val="auto"/>
          <w:highlight w:val="none"/>
        </w:rPr>
        <w:t>g</w:t>
      </w:r>
      <w:r>
        <w:rPr>
          <w:rFonts w:hint="eastAsia"/>
          <w:color w:val="auto"/>
          <w:highlight w:val="none"/>
        </w:rPr>
        <w:t>）</w:t>
      </w:r>
      <w:r>
        <w:rPr>
          <w:color w:val="auto"/>
          <w:highlight w:val="none"/>
        </w:rPr>
        <w:t>装置在</w:t>
      </w:r>
      <w:r>
        <w:rPr>
          <w:rFonts w:hint="eastAsia"/>
          <w:color w:val="auto"/>
          <w:highlight w:val="none"/>
        </w:rPr>
        <w:t>大</w:t>
      </w:r>
      <w:r>
        <w:rPr>
          <w:color w:val="auto"/>
          <w:highlight w:val="none"/>
        </w:rPr>
        <w:t>风、暴雨、冰冻等恶劣自然环境及</w:t>
      </w:r>
      <w:r>
        <w:rPr>
          <w:rFonts w:hint="eastAsia"/>
          <w:color w:val="auto"/>
          <w:highlight w:val="none"/>
        </w:rPr>
        <w:t>强电磁</w:t>
      </w:r>
      <w:r>
        <w:rPr>
          <w:color w:val="auto"/>
          <w:highlight w:val="none"/>
        </w:rPr>
        <w:t>环境中运行，其工作稳定性、可靠性不应受到明显影响。</w:t>
      </w:r>
    </w:p>
    <w:p>
      <w:pPr>
        <w:pStyle w:val="3"/>
        <w:numPr>
          <w:ilvl w:val="0"/>
          <w:numId w:val="0"/>
        </w:numPr>
        <w:adjustRightInd w:val="0"/>
        <w:snapToGrid w:val="0"/>
        <w:rPr>
          <w:color w:val="auto"/>
          <w:highlight w:val="none"/>
        </w:rPr>
      </w:pPr>
      <w:bookmarkStart w:id="94" w:name="_Toc278728920"/>
      <w:bookmarkEnd w:id="94"/>
      <w:bookmarkStart w:id="95" w:name="_Toc279695715"/>
      <w:bookmarkEnd w:id="95"/>
      <w:bookmarkStart w:id="96" w:name="_Toc279695713"/>
      <w:bookmarkEnd w:id="96"/>
      <w:bookmarkStart w:id="97" w:name="_Toc279695712"/>
      <w:bookmarkEnd w:id="97"/>
      <w:bookmarkStart w:id="98" w:name="_Toc279695716"/>
      <w:bookmarkEnd w:id="98"/>
      <w:bookmarkStart w:id="99" w:name="_Toc278728919"/>
      <w:bookmarkEnd w:id="99"/>
      <w:bookmarkStart w:id="100" w:name="_Toc279695714"/>
      <w:bookmarkEnd w:id="100"/>
      <w:bookmarkStart w:id="101" w:name="_Toc278728921"/>
      <w:bookmarkEnd w:id="101"/>
      <w:bookmarkStart w:id="102" w:name="_Toc27225"/>
      <w:bookmarkStart w:id="103" w:name="_Toc15691"/>
      <w:bookmarkStart w:id="104" w:name="_Toc384340983"/>
      <w:bookmarkStart w:id="105" w:name="_Toc279695717"/>
      <w:bookmarkStart w:id="106" w:name="_Toc400640375"/>
      <w:bookmarkStart w:id="107" w:name="_Toc1327"/>
      <w:bookmarkStart w:id="108" w:name="_Toc282993252"/>
      <w:bookmarkStart w:id="109" w:name="_Toc22084"/>
      <w:bookmarkStart w:id="110" w:name="_Toc2275"/>
      <w:bookmarkStart w:id="111" w:name="_Toc170486952"/>
      <w:bookmarkStart w:id="112" w:name="_Toc8831"/>
      <w:r>
        <w:rPr>
          <w:rFonts w:hint="eastAsia" w:ascii="黑体" w:hAnsi="黑体"/>
          <w:color w:val="auto"/>
          <w:highlight w:val="none"/>
        </w:rPr>
        <w:t>4.2特殊</w:t>
      </w:r>
      <w:r>
        <w:rPr>
          <w:rFonts w:hint="eastAsia"/>
          <w:color w:val="auto"/>
          <w:highlight w:val="none"/>
        </w:rPr>
        <w:t>使用条件</w:t>
      </w:r>
      <w:bookmarkEnd w:id="102"/>
      <w:bookmarkEnd w:id="103"/>
      <w:bookmarkEnd w:id="104"/>
      <w:bookmarkEnd w:id="105"/>
      <w:bookmarkEnd w:id="106"/>
      <w:bookmarkEnd w:id="107"/>
      <w:bookmarkEnd w:id="108"/>
      <w:bookmarkEnd w:id="109"/>
      <w:bookmarkEnd w:id="110"/>
      <w:bookmarkEnd w:id="111"/>
      <w:bookmarkEnd w:id="112"/>
    </w:p>
    <w:p>
      <w:pPr>
        <w:ind w:firstLine="420" w:firstLineChars="200"/>
        <w:rPr>
          <w:color w:val="auto"/>
          <w:highlight w:val="none"/>
        </w:rPr>
      </w:pPr>
      <w:r>
        <w:rPr>
          <w:color w:val="auto"/>
          <w:szCs w:val="21"/>
          <w:highlight w:val="none"/>
        </w:rPr>
        <w:t>当超出4.1中规定的工作条件时，由用户与供应商协商确定</w:t>
      </w:r>
      <w:r>
        <w:rPr>
          <w:rFonts w:hint="eastAsia"/>
          <w:color w:val="auto"/>
          <w:szCs w:val="21"/>
          <w:highlight w:val="none"/>
        </w:rPr>
        <w:t>。</w:t>
      </w:r>
    </w:p>
    <w:p>
      <w:pPr>
        <w:pStyle w:val="2"/>
        <w:numPr>
          <w:ilvl w:val="0"/>
          <w:numId w:val="37"/>
        </w:numPr>
        <w:tabs>
          <w:tab w:val="left" w:pos="3653"/>
        </w:tabs>
        <w:spacing w:line="360" w:lineRule="auto"/>
        <w:rPr>
          <w:rFonts w:ascii="黑体" w:hAnsi="黑体" w:eastAsia="黑体"/>
          <w:b/>
          <w:color w:val="auto"/>
          <w:sz w:val="21"/>
          <w:szCs w:val="21"/>
          <w:highlight w:val="none"/>
        </w:rPr>
      </w:pPr>
      <w:bookmarkStart w:id="113" w:name="_Toc18396"/>
      <w:bookmarkStart w:id="114" w:name="_Toc170486953"/>
      <w:bookmarkStart w:id="115" w:name="_Toc282993253"/>
      <w:bookmarkStart w:id="116" w:name="_Toc2855"/>
      <w:bookmarkStart w:id="117" w:name="_Toc30721"/>
      <w:bookmarkStart w:id="118" w:name="_Toc10217"/>
      <w:bookmarkStart w:id="119" w:name="_Toc4930"/>
      <w:bookmarkStart w:id="120" w:name="_Toc384340984"/>
      <w:bookmarkStart w:id="121" w:name="_Toc14726"/>
      <w:bookmarkStart w:id="122" w:name="_Toc400640376"/>
      <w:r>
        <w:rPr>
          <w:rFonts w:hint="eastAsia" w:ascii="黑体" w:hAnsi="黑体" w:eastAsia="黑体"/>
          <w:b/>
          <w:color w:val="auto"/>
          <w:sz w:val="21"/>
          <w:szCs w:val="21"/>
          <w:highlight w:val="none"/>
        </w:rPr>
        <w:t>技术要求</w:t>
      </w:r>
      <w:bookmarkEnd w:id="113"/>
      <w:bookmarkEnd w:id="114"/>
      <w:bookmarkEnd w:id="115"/>
      <w:bookmarkEnd w:id="116"/>
      <w:bookmarkEnd w:id="117"/>
      <w:bookmarkEnd w:id="118"/>
      <w:bookmarkEnd w:id="119"/>
      <w:bookmarkEnd w:id="120"/>
      <w:bookmarkEnd w:id="121"/>
      <w:bookmarkEnd w:id="122"/>
      <w:r>
        <w:rPr>
          <w:rFonts w:hint="eastAsia" w:ascii="黑体" w:hAnsi="黑体" w:eastAsia="黑体"/>
          <w:b/>
          <w:color w:val="auto"/>
          <w:sz w:val="21"/>
          <w:szCs w:val="21"/>
          <w:highlight w:val="none"/>
        </w:rPr>
        <w:tab/>
      </w:r>
    </w:p>
    <w:p>
      <w:pPr>
        <w:pStyle w:val="3"/>
        <w:numPr>
          <w:ilvl w:val="1"/>
          <w:numId w:val="0"/>
        </w:numPr>
        <w:snapToGrid w:val="0"/>
        <w:rPr>
          <w:rFonts w:ascii="黑体" w:hAnsi="黑体"/>
          <w:color w:val="auto"/>
          <w:highlight w:val="none"/>
        </w:rPr>
      </w:pPr>
      <w:bookmarkStart w:id="123" w:name="_Toc27072"/>
      <w:bookmarkStart w:id="124" w:name="_Toc466468761"/>
      <w:bookmarkStart w:id="125" w:name="_Toc26906"/>
      <w:bookmarkStart w:id="126" w:name="_Toc20353"/>
      <w:bookmarkStart w:id="127" w:name="_Toc25364"/>
      <w:bookmarkStart w:id="128" w:name="_Toc170486954"/>
      <w:bookmarkStart w:id="129" w:name="_Toc26614"/>
      <w:bookmarkStart w:id="130" w:name="_Toc10088"/>
      <w:r>
        <w:rPr>
          <w:rFonts w:hint="eastAsia" w:ascii="黑体" w:hAnsi="黑体"/>
          <w:color w:val="auto"/>
          <w:highlight w:val="none"/>
        </w:rPr>
        <w:t>5.1安全性能要求</w:t>
      </w:r>
      <w:bookmarkEnd w:id="123"/>
      <w:bookmarkEnd w:id="124"/>
      <w:bookmarkEnd w:id="125"/>
      <w:bookmarkEnd w:id="126"/>
      <w:bookmarkEnd w:id="127"/>
      <w:bookmarkEnd w:id="128"/>
      <w:bookmarkEnd w:id="129"/>
      <w:bookmarkEnd w:id="130"/>
    </w:p>
    <w:p>
      <w:pPr>
        <w:numPr>
          <w:ilvl w:val="255"/>
          <w:numId w:val="0"/>
        </w:numPr>
        <w:adjustRightInd w:val="0"/>
        <w:snapToGrid w:val="0"/>
        <w:ind w:firstLine="420" w:firstLineChars="200"/>
        <w:rPr>
          <w:color w:val="auto"/>
          <w:highlight w:val="none"/>
        </w:rPr>
      </w:pPr>
      <w:r>
        <w:rPr>
          <w:rFonts w:hint="eastAsia"/>
          <w:color w:val="auto"/>
          <w:highlight w:val="none"/>
        </w:rPr>
        <w:t>a）装置不应影响输电线路的运行安全；</w:t>
      </w:r>
    </w:p>
    <w:p>
      <w:pPr>
        <w:numPr>
          <w:ilvl w:val="255"/>
          <w:numId w:val="0"/>
        </w:numPr>
        <w:adjustRightInd w:val="0"/>
        <w:snapToGrid w:val="0"/>
        <w:ind w:firstLine="420" w:firstLineChars="200"/>
        <w:rPr>
          <w:color w:val="auto"/>
          <w:highlight w:val="none"/>
        </w:rPr>
      </w:pPr>
      <w:r>
        <w:rPr>
          <w:rFonts w:hint="eastAsia"/>
          <w:color w:val="auto"/>
          <w:highlight w:val="none"/>
        </w:rPr>
        <w:t>b）装置与南方电网全域物联网平台之间的信息通信应满足安全接入要求，监测装置的安全要求应 符合GB4943.1中的相关规定；</w:t>
      </w:r>
    </w:p>
    <w:p>
      <w:pPr>
        <w:numPr>
          <w:ilvl w:val="255"/>
          <w:numId w:val="0"/>
        </w:numPr>
        <w:adjustRightInd w:val="0"/>
        <w:snapToGrid w:val="0"/>
        <w:ind w:firstLine="420" w:firstLineChars="200"/>
        <w:rPr>
          <w:color w:val="auto"/>
          <w:highlight w:val="none"/>
        </w:rPr>
      </w:pPr>
      <w:r>
        <w:rPr>
          <w:rFonts w:hint="eastAsia"/>
          <w:color w:val="auto"/>
          <w:highlight w:val="none"/>
        </w:rPr>
        <w:t>c）装置与南方电网全域物联网平台及其通信回路均应符合Q/CSG1204009中对电力设备在线监测系统的安全防护要求；</w:t>
      </w:r>
    </w:p>
    <w:p>
      <w:pPr>
        <w:numPr>
          <w:ilvl w:val="255"/>
          <w:numId w:val="0"/>
        </w:numPr>
        <w:adjustRightInd w:val="0"/>
        <w:snapToGrid w:val="0"/>
        <w:ind w:firstLine="420" w:firstLineChars="200"/>
        <w:rPr>
          <w:color w:val="auto"/>
          <w:highlight w:val="none"/>
        </w:rPr>
      </w:pPr>
      <w:r>
        <w:rPr>
          <w:rFonts w:hint="eastAsia"/>
          <w:color w:val="auto"/>
          <w:highlight w:val="none"/>
        </w:rPr>
        <w:t>d）安装在导地线上的各功能部件应能承受导地线的振动，不应对导地线有磨损或其他伤害，不应明显降低相间距离、对地距离和对杆塔的电气间隙，并满足设计要求；</w:t>
      </w:r>
    </w:p>
    <w:p>
      <w:pPr>
        <w:pStyle w:val="3"/>
        <w:numPr>
          <w:ilvl w:val="1"/>
          <w:numId w:val="0"/>
        </w:numPr>
        <w:snapToGrid w:val="0"/>
        <w:rPr>
          <w:rFonts w:ascii="黑体" w:hAnsi="黑体"/>
          <w:color w:val="auto"/>
          <w:highlight w:val="none"/>
        </w:rPr>
      </w:pPr>
      <w:bookmarkStart w:id="131" w:name="_Toc18393"/>
      <w:bookmarkStart w:id="132" w:name="_Toc26266"/>
      <w:bookmarkStart w:id="133" w:name="_Toc18992"/>
      <w:bookmarkStart w:id="134" w:name="_Toc12233"/>
      <w:bookmarkStart w:id="135" w:name="_Toc92"/>
      <w:bookmarkStart w:id="136" w:name="_Toc170486955"/>
      <w:bookmarkStart w:id="137" w:name="_Toc25339"/>
      <w:r>
        <w:rPr>
          <w:rFonts w:hint="eastAsia" w:ascii="黑体" w:hAnsi="黑体"/>
          <w:color w:val="auto"/>
          <w:highlight w:val="none"/>
        </w:rPr>
        <w:t>5.2 监测装置功能要求</w:t>
      </w:r>
      <w:bookmarkEnd w:id="131"/>
      <w:bookmarkEnd w:id="132"/>
      <w:bookmarkEnd w:id="133"/>
      <w:bookmarkEnd w:id="134"/>
      <w:bookmarkEnd w:id="135"/>
      <w:bookmarkEnd w:id="136"/>
      <w:bookmarkEnd w:id="137"/>
    </w:p>
    <w:p>
      <w:pPr>
        <w:widowControl/>
        <w:spacing w:before="120" w:beforeLines="50" w:after="120" w:afterLines="50"/>
        <w:jc w:val="left"/>
        <w:outlineLvl w:val="3"/>
        <w:rPr>
          <w:rFonts w:ascii="黑体" w:hAnsi="黑体" w:eastAsia="黑体"/>
          <w:color w:val="auto"/>
          <w:kern w:val="0"/>
          <w:szCs w:val="21"/>
          <w:highlight w:val="none"/>
        </w:rPr>
      </w:pPr>
      <w:r>
        <w:rPr>
          <w:rFonts w:ascii="黑体" w:hAnsi="黑体" w:eastAsia="黑体"/>
          <w:color w:val="auto"/>
          <w:kern w:val="0"/>
          <w:szCs w:val="21"/>
          <w:highlight w:val="none"/>
        </w:rPr>
        <w:t>5.</w:t>
      </w:r>
      <w:r>
        <w:rPr>
          <w:rFonts w:hint="eastAsia" w:ascii="黑体" w:hAnsi="黑体" w:eastAsia="黑体"/>
          <w:color w:val="auto"/>
          <w:kern w:val="0"/>
          <w:szCs w:val="21"/>
          <w:highlight w:val="none"/>
        </w:rPr>
        <w:t>2</w:t>
      </w:r>
      <w:r>
        <w:rPr>
          <w:rFonts w:ascii="黑体" w:hAnsi="黑体" w:eastAsia="黑体"/>
          <w:color w:val="auto"/>
          <w:kern w:val="0"/>
          <w:szCs w:val="21"/>
          <w:highlight w:val="none"/>
        </w:rPr>
        <w:t>.</w:t>
      </w:r>
      <w:r>
        <w:rPr>
          <w:rFonts w:hint="eastAsia" w:ascii="黑体" w:hAnsi="黑体" w:eastAsia="黑体"/>
          <w:color w:val="auto"/>
          <w:kern w:val="0"/>
          <w:szCs w:val="21"/>
          <w:highlight w:val="none"/>
        </w:rPr>
        <w:t>1</w:t>
      </w:r>
      <w:r>
        <w:rPr>
          <w:rFonts w:ascii="黑体" w:hAnsi="黑体" w:eastAsia="黑体"/>
          <w:color w:val="auto"/>
          <w:kern w:val="0"/>
          <w:szCs w:val="21"/>
          <w:highlight w:val="none"/>
        </w:rPr>
        <w:t>数据通信</w:t>
      </w:r>
    </w:p>
    <w:p>
      <w:pPr>
        <w:pStyle w:val="166"/>
        <w:spacing w:line="360" w:lineRule="auto"/>
        <w:ind w:firstLine="420"/>
        <w:jc w:val="left"/>
        <w:rPr>
          <w:rFonts w:ascii="Times New Roman"/>
          <w:color w:val="auto"/>
          <w:highlight w:val="none"/>
        </w:rPr>
      </w:pPr>
      <w:r>
        <w:rPr>
          <w:rFonts w:hint="eastAsia" w:ascii="Times New Roman"/>
          <w:color w:val="auto"/>
          <w:highlight w:val="none"/>
        </w:rPr>
        <w:t>监测装置的数据通信应满足以下要求：</w:t>
      </w:r>
    </w:p>
    <w:p>
      <w:pPr>
        <w:ind w:firstLine="420"/>
        <w:jc w:val="left"/>
        <w:rPr>
          <w:color w:val="auto"/>
          <w:highlight w:val="none"/>
        </w:rPr>
      </w:pPr>
      <w:r>
        <w:rPr>
          <w:color w:val="auto"/>
          <w:highlight w:val="none"/>
        </w:rPr>
        <w:t xml:space="preserve">a) </w:t>
      </w:r>
      <w:r>
        <w:rPr>
          <w:rFonts w:hint="eastAsia"/>
          <w:color w:val="auto"/>
          <w:szCs w:val="21"/>
          <w:highlight w:val="none"/>
        </w:rPr>
        <w:t>装置应符合</w:t>
      </w:r>
      <w:r>
        <w:rPr>
          <w:rFonts w:hint="eastAsia" w:ascii="宋体" w:hAnsi="宋体" w:cs="宋体"/>
          <w:color w:val="auto"/>
          <w:highlight w:val="none"/>
        </w:rPr>
        <w:t>南方电网物联终端设备信息模型规范</w:t>
      </w:r>
      <w:r>
        <w:rPr>
          <w:rFonts w:hint="eastAsia"/>
          <w:color w:val="auto"/>
          <w:szCs w:val="21"/>
          <w:highlight w:val="none"/>
        </w:rPr>
        <w:t>要求，设备应具备直连的方式接入南方电网全域物联网平台，实现设备与南方电网全域物联网平台的通信，并满足《</w:t>
      </w:r>
      <w:r>
        <w:rPr>
          <w:rFonts w:hint="eastAsia" w:ascii="宋体" w:hAnsi="宋体" w:cs="宋体"/>
          <w:color w:val="auto"/>
          <w:highlight w:val="none"/>
        </w:rPr>
        <w:t>南方电网电力全域物联网平台接入技术规范</w:t>
      </w:r>
      <w:r>
        <w:rPr>
          <w:rFonts w:hint="eastAsia"/>
          <w:color w:val="auto"/>
          <w:szCs w:val="21"/>
          <w:highlight w:val="none"/>
        </w:rPr>
        <w:t>》（Q/CSG1210050）、《南方电网物联网平台接入协议插件标准》（Q/CSG 1210066）、《南方电网物联网平台应用协议》（Q/CSG 1210067）中相关技术规范要求；</w:t>
      </w:r>
    </w:p>
    <w:p>
      <w:pPr>
        <w:ind w:firstLine="420"/>
        <w:jc w:val="left"/>
        <w:rPr>
          <w:color w:val="auto"/>
          <w:szCs w:val="21"/>
          <w:highlight w:val="none"/>
        </w:rPr>
      </w:pPr>
      <w:r>
        <w:rPr>
          <w:color w:val="auto"/>
          <w:szCs w:val="21"/>
          <w:highlight w:val="none"/>
        </w:rPr>
        <w:t xml:space="preserve">b) </w:t>
      </w:r>
      <w:r>
        <w:rPr>
          <w:rFonts w:hint="eastAsia"/>
          <w:color w:val="auto"/>
          <w:szCs w:val="21"/>
          <w:highlight w:val="none"/>
        </w:rPr>
        <w:t>监测装置与南方电网全域物联网平台之间应用层数据传输规约应满足《</w:t>
      </w:r>
      <w:r>
        <w:rPr>
          <w:rFonts w:hint="eastAsia"/>
          <w:color w:val="auto"/>
          <w:highlight w:val="none"/>
        </w:rPr>
        <w:t>Q/CSG1205031输电线路在线监测通信规约及信息交互规范</w:t>
      </w:r>
      <w:r>
        <w:rPr>
          <w:rFonts w:hint="eastAsia"/>
          <w:color w:val="auto"/>
          <w:szCs w:val="21"/>
          <w:highlight w:val="none"/>
        </w:rPr>
        <w:t>》要求；</w:t>
      </w:r>
    </w:p>
    <w:p>
      <w:pPr>
        <w:ind w:firstLine="420"/>
        <w:jc w:val="left"/>
        <w:rPr>
          <w:color w:val="auto"/>
          <w:highlight w:val="none"/>
        </w:rPr>
      </w:pPr>
      <w:r>
        <w:rPr>
          <w:color w:val="auto"/>
          <w:highlight w:val="none"/>
        </w:rPr>
        <w:t xml:space="preserve">c) </w:t>
      </w:r>
      <w:r>
        <w:rPr>
          <w:rFonts w:hint="eastAsia"/>
          <w:color w:val="auto"/>
          <w:highlight w:val="none"/>
        </w:rPr>
        <w:t>装置应能将采集到的行波电流、故障电流波形数据、时钟数据以无线通信方式实时发送到南方电网全域物联网平台，数据类型见南方电网物联终端设备信息模型规范；</w:t>
      </w:r>
    </w:p>
    <w:p>
      <w:pPr>
        <w:ind w:firstLine="420"/>
        <w:jc w:val="left"/>
        <w:rPr>
          <w:color w:val="auto"/>
          <w:highlight w:val="none"/>
        </w:rPr>
      </w:pPr>
      <w:r>
        <w:rPr>
          <w:color w:val="auto"/>
          <w:highlight w:val="none"/>
        </w:rPr>
        <w:t xml:space="preserve">d) </w:t>
      </w:r>
      <w:r>
        <w:rPr>
          <w:rFonts w:hint="eastAsia"/>
          <w:color w:val="auto"/>
          <w:highlight w:val="none"/>
        </w:rPr>
        <w:t>设备能将设备状态自检信息定时发送到南方电网全域物联网平台；</w:t>
      </w:r>
    </w:p>
    <w:p>
      <w:pPr>
        <w:ind w:firstLine="420"/>
        <w:jc w:val="left"/>
        <w:rPr>
          <w:color w:val="auto"/>
          <w:highlight w:val="none"/>
        </w:rPr>
      </w:pPr>
      <w:r>
        <w:rPr>
          <w:color w:val="auto"/>
          <w:szCs w:val="21"/>
          <w:highlight w:val="none"/>
        </w:rPr>
        <w:t>e)</w:t>
      </w:r>
      <w:r>
        <w:rPr>
          <w:rFonts w:hint="eastAsia"/>
          <w:color w:val="auto"/>
          <w:szCs w:val="21"/>
          <w:highlight w:val="none"/>
        </w:rPr>
        <w:t>在</w:t>
      </w:r>
      <w:r>
        <w:rPr>
          <w:color w:val="auto"/>
          <w:szCs w:val="21"/>
          <w:highlight w:val="none"/>
        </w:rPr>
        <w:t>通讯中断时，可自动保存测得的数据，待通讯恢复后，及时将存储的数据传回</w:t>
      </w:r>
      <w:r>
        <w:rPr>
          <w:rFonts w:hint="eastAsia"/>
          <w:color w:val="auto"/>
          <w:szCs w:val="21"/>
          <w:highlight w:val="none"/>
        </w:rPr>
        <w:t>南方电网全域</w:t>
      </w:r>
      <w:r>
        <w:rPr>
          <w:rFonts w:hint="eastAsia"/>
          <w:color w:val="auto"/>
          <w:highlight w:val="none"/>
        </w:rPr>
        <w:t>物联网平台；</w:t>
      </w:r>
    </w:p>
    <w:p>
      <w:pPr>
        <w:ind w:firstLine="420"/>
        <w:jc w:val="left"/>
        <w:rPr>
          <w:color w:val="auto"/>
          <w:highlight w:val="none"/>
        </w:rPr>
      </w:pPr>
      <w:r>
        <w:rPr>
          <w:color w:val="auto"/>
          <w:szCs w:val="21"/>
          <w:highlight w:val="none"/>
        </w:rPr>
        <w:t xml:space="preserve">f) </w:t>
      </w:r>
      <w:r>
        <w:rPr>
          <w:rFonts w:hint="eastAsia"/>
          <w:color w:val="auto"/>
          <w:szCs w:val="21"/>
          <w:highlight w:val="none"/>
        </w:rPr>
        <w:t>装置如采用经南方电网安全认证的通信模组，实现终端与南方电网全域物联网平台的数据传输，应提供安全认证资料。物联通信模组是南方电网全域物联网平台专门用于终端对接全域物联网平台的3G/4G/5G通信模组，实现终端与全域物联网平台之间协议转换以及与全域物联网平台的数据对接、认证、安全加密等功能；</w:t>
      </w:r>
    </w:p>
    <w:p>
      <w:pPr>
        <w:ind w:firstLine="420"/>
        <w:jc w:val="left"/>
        <w:rPr>
          <w:color w:val="auto"/>
          <w:highlight w:val="none"/>
        </w:rPr>
      </w:pPr>
      <w:r>
        <w:rPr>
          <w:rFonts w:hint="eastAsia" w:ascii="宋体"/>
          <w:color w:val="auto"/>
          <w:szCs w:val="21"/>
          <w:highlight w:val="none"/>
        </w:rPr>
        <w:t>g</w:t>
      </w:r>
      <w:r>
        <w:rPr>
          <w:rFonts w:ascii="宋体"/>
          <w:color w:val="auto"/>
          <w:szCs w:val="21"/>
          <w:highlight w:val="none"/>
        </w:rPr>
        <w:t xml:space="preserve">) </w:t>
      </w:r>
      <w:r>
        <w:rPr>
          <w:rFonts w:hint="eastAsia" w:ascii="宋体"/>
          <w:color w:val="auto"/>
          <w:szCs w:val="21"/>
          <w:highlight w:val="none"/>
        </w:rPr>
        <w:t>同一感知层终端在未做物理隔离措施的情况下，不可同时直接接入不同安全大区的主站，严禁使用外网卡（含ESIM卡等外网通讯卡），且装置仅配置一个通信插口（支持APN通信卡），不允许预留备用插口；严禁内置通信卡做数据转发。</w:t>
      </w:r>
    </w:p>
    <w:p>
      <w:pPr>
        <w:ind w:firstLine="420"/>
        <w:jc w:val="left"/>
        <w:rPr>
          <w:color w:val="auto"/>
          <w:highlight w:val="none"/>
        </w:rPr>
      </w:pPr>
      <w:r>
        <w:rPr>
          <w:rFonts w:hint="eastAsia" w:ascii="宋体"/>
          <w:color w:val="auto"/>
          <w:szCs w:val="21"/>
          <w:highlight w:val="none"/>
        </w:rPr>
        <w:t>h</w:t>
      </w:r>
      <w:r>
        <w:rPr>
          <w:rFonts w:ascii="宋体"/>
          <w:color w:val="auto"/>
          <w:szCs w:val="21"/>
          <w:highlight w:val="none"/>
        </w:rPr>
        <w:t xml:space="preserve">) </w:t>
      </w:r>
      <w:r>
        <w:rPr>
          <w:rFonts w:hint="eastAsia" w:ascii="宋体"/>
          <w:color w:val="auto"/>
          <w:szCs w:val="21"/>
          <w:highlight w:val="none"/>
        </w:rPr>
        <w:t>如装置安装位置处于无信号区域，宜采用wapi+光纤通信方式传输数据，确保数据安全性与传输可靠性。</w:t>
      </w:r>
    </w:p>
    <w:p>
      <w:pPr>
        <w:widowControl/>
        <w:spacing w:before="120" w:beforeLines="50" w:after="120" w:afterLines="50"/>
        <w:jc w:val="left"/>
        <w:outlineLvl w:val="3"/>
        <w:rPr>
          <w:rFonts w:ascii="黑体" w:hAnsi="黑体" w:eastAsia="黑体"/>
          <w:color w:val="auto"/>
          <w:kern w:val="0"/>
          <w:szCs w:val="21"/>
          <w:highlight w:val="none"/>
        </w:rPr>
      </w:pPr>
      <w:r>
        <w:rPr>
          <w:rFonts w:ascii="黑体" w:hAnsi="黑体" w:eastAsia="黑体"/>
          <w:color w:val="auto"/>
          <w:kern w:val="0"/>
          <w:szCs w:val="21"/>
          <w:highlight w:val="none"/>
        </w:rPr>
        <w:t>5.</w:t>
      </w:r>
      <w:r>
        <w:rPr>
          <w:rFonts w:hint="eastAsia" w:ascii="黑体" w:hAnsi="黑体" w:eastAsia="黑体"/>
          <w:color w:val="auto"/>
          <w:kern w:val="0"/>
          <w:szCs w:val="21"/>
          <w:highlight w:val="none"/>
        </w:rPr>
        <w:t>2</w:t>
      </w:r>
      <w:r>
        <w:rPr>
          <w:rFonts w:ascii="黑体" w:hAnsi="黑体" w:eastAsia="黑体"/>
          <w:color w:val="auto"/>
          <w:kern w:val="0"/>
          <w:szCs w:val="21"/>
          <w:highlight w:val="none"/>
        </w:rPr>
        <w:t>.</w:t>
      </w:r>
      <w:r>
        <w:rPr>
          <w:rFonts w:hint="eastAsia" w:ascii="黑体" w:hAnsi="黑体" w:eastAsia="黑体"/>
          <w:color w:val="auto"/>
          <w:kern w:val="0"/>
          <w:szCs w:val="21"/>
          <w:highlight w:val="none"/>
        </w:rPr>
        <w:t>2</w:t>
      </w:r>
      <w:r>
        <w:rPr>
          <w:rFonts w:ascii="黑体" w:hAnsi="黑体" w:eastAsia="黑体"/>
          <w:color w:val="auto"/>
          <w:kern w:val="0"/>
          <w:szCs w:val="21"/>
          <w:highlight w:val="none"/>
        </w:rPr>
        <w:t>数据采集</w:t>
      </w:r>
    </w:p>
    <w:p>
      <w:pPr>
        <w:pStyle w:val="166"/>
        <w:spacing w:line="360" w:lineRule="auto"/>
        <w:ind w:firstLine="420"/>
        <w:rPr>
          <w:rFonts w:ascii="Times New Roman"/>
          <w:color w:val="auto"/>
          <w:highlight w:val="none"/>
        </w:rPr>
      </w:pPr>
      <w:r>
        <w:rPr>
          <w:rFonts w:hint="eastAsia" w:ascii="Times New Roman"/>
          <w:color w:val="auto"/>
          <w:kern w:val="2"/>
          <w:szCs w:val="21"/>
          <w:highlight w:val="none"/>
        </w:rPr>
        <w:t>a</w:t>
      </w:r>
      <w:r>
        <w:rPr>
          <w:color w:val="auto"/>
          <w:szCs w:val="21"/>
          <w:highlight w:val="none"/>
        </w:rPr>
        <w:t>）</w:t>
      </w:r>
      <w:r>
        <w:rPr>
          <w:rFonts w:hint="eastAsia" w:ascii="Times New Roman"/>
          <w:color w:val="auto"/>
          <w:highlight w:val="none"/>
        </w:rPr>
        <w:t>监测装置应能自动识别故障行波电流信号、故障工频电流信号，采集、存储行波电流和工频电流波形数据；</w:t>
      </w:r>
    </w:p>
    <w:p>
      <w:pPr>
        <w:pStyle w:val="166"/>
        <w:spacing w:line="360" w:lineRule="auto"/>
        <w:ind w:firstLine="420"/>
        <w:rPr>
          <w:rFonts w:ascii="Times New Roman"/>
          <w:color w:val="auto"/>
          <w:highlight w:val="none"/>
        </w:rPr>
      </w:pPr>
      <w:r>
        <w:rPr>
          <w:rFonts w:hint="eastAsia" w:ascii="Times New Roman"/>
          <w:color w:val="auto"/>
          <w:highlight w:val="none"/>
        </w:rPr>
        <w:t>b</w:t>
      </w:r>
      <w:r>
        <w:rPr>
          <w:rFonts w:ascii="Times New Roman"/>
          <w:color w:val="auto"/>
          <w:highlight w:val="none"/>
        </w:rPr>
        <w:t xml:space="preserve">) </w:t>
      </w:r>
      <w:r>
        <w:rPr>
          <w:rFonts w:hint="eastAsia" w:ascii="Times New Roman"/>
          <w:color w:val="auto"/>
          <w:highlight w:val="none"/>
        </w:rPr>
        <w:t>数据采集最小周期为1分钟，默认值为1</w:t>
      </w:r>
      <w:r>
        <w:rPr>
          <w:rFonts w:ascii="Times New Roman"/>
          <w:color w:val="auto"/>
          <w:highlight w:val="none"/>
        </w:rPr>
        <w:t>0</w:t>
      </w:r>
      <w:r>
        <w:rPr>
          <w:rFonts w:hint="eastAsia" w:ascii="Times New Roman"/>
          <w:color w:val="auto"/>
          <w:highlight w:val="none"/>
        </w:rPr>
        <w:t>分钟。</w:t>
      </w:r>
    </w:p>
    <w:p>
      <w:pPr>
        <w:adjustRightInd w:val="0"/>
        <w:snapToGrid w:val="0"/>
        <w:ind w:firstLine="420" w:firstLineChars="200"/>
        <w:rPr>
          <w:rFonts w:hint="eastAsia"/>
          <w:color w:val="auto"/>
          <w:szCs w:val="21"/>
          <w:highlight w:val="none"/>
        </w:rPr>
      </w:pPr>
      <w:r>
        <w:rPr>
          <w:rFonts w:hint="eastAsia"/>
          <w:color w:val="auto"/>
          <w:szCs w:val="21"/>
          <w:highlight w:val="none"/>
        </w:rPr>
        <w:t>c）装置断电24h以内，内部实时时钟须能正常走时。</w:t>
      </w:r>
    </w:p>
    <w:p>
      <w:pPr>
        <w:adjustRightInd w:val="0"/>
        <w:snapToGrid w:val="0"/>
        <w:ind w:firstLine="420" w:firstLineChars="200"/>
        <w:rPr>
          <w:rFonts w:hint="eastAsia"/>
          <w:color w:val="auto"/>
          <w:szCs w:val="21"/>
          <w:highlight w:val="none"/>
        </w:rPr>
      </w:pPr>
      <w:r>
        <w:rPr>
          <w:rFonts w:hint="eastAsia"/>
          <w:color w:val="auto"/>
          <w:highlight w:val="none"/>
          <w:lang w:val="en-US" w:eastAsia="zh-CN"/>
        </w:rPr>
        <w:t>d）</w:t>
      </w:r>
      <w:r>
        <w:rPr>
          <w:rFonts w:hint="eastAsia" w:ascii="Times New Roman"/>
          <w:color w:val="auto"/>
          <w:highlight w:val="none"/>
        </w:rPr>
        <w:t>监测装置应能实时采集输电线路的行波电流信号、</w:t>
      </w:r>
      <w:r>
        <w:rPr>
          <w:rFonts w:hint="eastAsia"/>
          <w:color w:val="auto"/>
          <w:highlight w:val="none"/>
          <w:lang w:val="en-US" w:eastAsia="zh-CN"/>
        </w:rPr>
        <w:t>故障</w:t>
      </w:r>
      <w:r>
        <w:rPr>
          <w:rFonts w:hint="eastAsia" w:ascii="Times New Roman"/>
          <w:color w:val="auto"/>
          <w:highlight w:val="none"/>
        </w:rPr>
        <w:t>工频电流信号</w:t>
      </w:r>
      <w:r>
        <w:rPr>
          <w:rFonts w:hint="eastAsia" w:ascii="Times New Roman"/>
          <w:color w:val="auto"/>
          <w:highlight w:val="none"/>
          <w:lang w:eastAsia="zh-CN"/>
        </w:rPr>
        <w:t>（</w:t>
      </w:r>
      <w:r>
        <w:rPr>
          <w:rFonts w:hint="eastAsia" w:ascii="Times New Roman"/>
          <w:color w:val="auto"/>
          <w:highlight w:val="none"/>
          <w:lang w:val="en-US" w:eastAsia="zh-CN"/>
        </w:rPr>
        <w:t>不应出现受软硬件限制造成两次高频行波数据采集时间间隔大于1ms的情况</w:t>
      </w:r>
      <w:r>
        <w:rPr>
          <w:rFonts w:hint="eastAsia" w:ascii="Times New Roman"/>
          <w:color w:val="auto"/>
          <w:highlight w:val="none"/>
          <w:lang w:eastAsia="zh-CN"/>
        </w:rPr>
        <w:t>）</w:t>
      </w:r>
      <w:r>
        <w:rPr>
          <w:rFonts w:hint="eastAsia" w:ascii="Times New Roman"/>
          <w:color w:val="auto"/>
          <w:highlight w:val="none"/>
        </w:rPr>
        <w:t>。</w:t>
      </w:r>
    </w:p>
    <w:p>
      <w:pPr>
        <w:widowControl/>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rPr>
        <w:t>5.2.3时钟同步</w:t>
      </w:r>
    </w:p>
    <w:p>
      <w:pPr>
        <w:pStyle w:val="166"/>
        <w:spacing w:line="360" w:lineRule="auto"/>
        <w:ind w:firstLine="420"/>
        <w:rPr>
          <w:rFonts w:ascii="Times New Roman"/>
          <w:color w:val="auto"/>
          <w:highlight w:val="none"/>
        </w:rPr>
      </w:pPr>
      <w:r>
        <w:rPr>
          <w:rFonts w:hint="eastAsia" w:ascii="Times New Roman"/>
          <w:color w:val="auto"/>
          <w:highlight w:val="none"/>
        </w:rPr>
        <w:t>监测装置应具备北斗高精度同步时钟功能，仅支持BDS</w:t>
      </w:r>
      <w:r>
        <w:rPr>
          <w:rFonts w:hint="eastAsia" w:ascii="Times New Roman"/>
          <w:color w:val="auto"/>
          <w:highlight w:val="none"/>
          <w:lang w:val="en-US" w:eastAsia="zh-CN"/>
        </w:rPr>
        <w:t>且兼容北斗3号及以下卫星通讯</w:t>
      </w:r>
      <w:r>
        <w:rPr>
          <w:rFonts w:hint="eastAsia" w:ascii="Times New Roman"/>
          <w:color w:val="auto"/>
          <w:highlight w:val="none"/>
        </w:rPr>
        <w:t>，同步时钟标定误差不大于</w:t>
      </w:r>
      <w:r>
        <w:rPr>
          <w:rFonts w:ascii="Times New Roman"/>
          <w:color w:val="auto"/>
          <w:highlight w:val="none"/>
        </w:rPr>
        <w:t>0.1μ</w:t>
      </w:r>
      <w:r>
        <w:rPr>
          <w:rFonts w:hint="eastAsia" w:ascii="Times New Roman"/>
          <w:color w:val="auto"/>
          <w:highlight w:val="none"/>
        </w:rPr>
        <w:t>s。</w:t>
      </w:r>
    </w:p>
    <w:p>
      <w:pPr>
        <w:widowControl/>
        <w:spacing w:before="120" w:beforeLines="50" w:after="120" w:afterLines="50"/>
        <w:jc w:val="left"/>
        <w:outlineLvl w:val="3"/>
        <w:rPr>
          <w:rFonts w:ascii="黑体" w:hAnsi="黑体" w:eastAsia="黑体"/>
          <w:color w:val="auto"/>
          <w:kern w:val="0"/>
          <w:szCs w:val="21"/>
          <w:highlight w:val="none"/>
        </w:rPr>
      </w:pPr>
      <w:bookmarkStart w:id="138" w:name="_Toc456656262"/>
      <w:r>
        <w:rPr>
          <w:rFonts w:hint="eastAsia" w:ascii="黑体" w:hAnsi="黑体" w:eastAsia="黑体"/>
          <w:color w:val="auto"/>
          <w:kern w:val="0"/>
          <w:szCs w:val="21"/>
          <w:highlight w:val="none"/>
        </w:rPr>
        <w:t>5.2.4数据存储</w:t>
      </w:r>
      <w:bookmarkEnd w:id="138"/>
    </w:p>
    <w:p>
      <w:pPr>
        <w:adjustRightInd w:val="0"/>
        <w:ind w:firstLine="420" w:firstLineChars="200"/>
        <w:rPr>
          <w:color w:val="auto"/>
          <w:szCs w:val="21"/>
          <w:highlight w:val="none"/>
        </w:rPr>
      </w:pPr>
      <w:r>
        <w:rPr>
          <w:rFonts w:hint="eastAsia" w:hAnsi="宋体"/>
          <w:color w:val="auto"/>
          <w:szCs w:val="21"/>
          <w:highlight w:val="none"/>
        </w:rPr>
        <w:t>装置应具备数据存储功能，数据应循环存储至少90天</w:t>
      </w:r>
      <w:r>
        <w:rPr>
          <w:rFonts w:hint="eastAsia"/>
          <w:color w:val="auto"/>
          <w:szCs w:val="21"/>
          <w:highlight w:val="none"/>
        </w:rPr>
        <w:t>。</w:t>
      </w:r>
    </w:p>
    <w:p>
      <w:pPr>
        <w:widowControl/>
        <w:spacing w:before="120" w:beforeLines="50" w:after="120" w:afterLines="50"/>
        <w:jc w:val="left"/>
        <w:outlineLvl w:val="3"/>
        <w:rPr>
          <w:rFonts w:ascii="黑体" w:hAnsi="黑体" w:eastAsia="黑体"/>
          <w:color w:val="auto"/>
          <w:kern w:val="0"/>
          <w:szCs w:val="21"/>
          <w:highlight w:val="none"/>
        </w:rPr>
      </w:pPr>
      <w:r>
        <w:rPr>
          <w:rFonts w:ascii="黑体" w:hAnsi="黑体" w:eastAsia="黑体"/>
          <w:color w:val="auto"/>
          <w:kern w:val="0"/>
          <w:szCs w:val="21"/>
          <w:highlight w:val="none"/>
        </w:rPr>
        <w:t>5.</w:t>
      </w:r>
      <w:r>
        <w:rPr>
          <w:rFonts w:hint="eastAsia" w:ascii="黑体" w:hAnsi="黑体" w:eastAsia="黑体"/>
          <w:color w:val="auto"/>
          <w:kern w:val="0"/>
          <w:szCs w:val="21"/>
          <w:highlight w:val="none"/>
        </w:rPr>
        <w:t>2</w:t>
      </w:r>
      <w:r>
        <w:rPr>
          <w:rFonts w:ascii="黑体" w:hAnsi="黑体" w:eastAsia="黑体"/>
          <w:color w:val="auto"/>
          <w:kern w:val="0"/>
          <w:szCs w:val="21"/>
          <w:highlight w:val="none"/>
        </w:rPr>
        <w:t>.</w:t>
      </w:r>
      <w:r>
        <w:rPr>
          <w:rFonts w:hint="eastAsia" w:ascii="黑体" w:hAnsi="黑体" w:eastAsia="黑体"/>
          <w:color w:val="auto"/>
          <w:kern w:val="0"/>
          <w:szCs w:val="21"/>
          <w:highlight w:val="none"/>
        </w:rPr>
        <w:t>5</w:t>
      </w:r>
      <w:r>
        <w:rPr>
          <w:rFonts w:ascii="黑体" w:hAnsi="黑体" w:eastAsia="黑体"/>
          <w:color w:val="auto"/>
          <w:kern w:val="0"/>
          <w:szCs w:val="21"/>
          <w:highlight w:val="none"/>
        </w:rPr>
        <w:t xml:space="preserve"> </w:t>
      </w:r>
      <w:r>
        <w:rPr>
          <w:rFonts w:hint="eastAsia" w:ascii="黑体" w:hAnsi="黑体" w:eastAsia="黑体"/>
          <w:color w:val="auto"/>
          <w:kern w:val="0"/>
          <w:szCs w:val="21"/>
          <w:highlight w:val="none"/>
        </w:rPr>
        <w:t>远程维护</w:t>
      </w:r>
    </w:p>
    <w:p>
      <w:pPr>
        <w:pStyle w:val="166"/>
        <w:spacing w:line="360" w:lineRule="auto"/>
        <w:ind w:firstLine="420"/>
        <w:rPr>
          <w:rFonts w:ascii="Times New Roman"/>
          <w:color w:val="auto"/>
          <w:highlight w:val="none"/>
        </w:rPr>
      </w:pPr>
      <w:r>
        <w:rPr>
          <w:rFonts w:ascii="Times New Roman"/>
          <w:color w:val="auto"/>
          <w:highlight w:val="none"/>
        </w:rPr>
        <w:t>a</w:t>
      </w:r>
      <w:r>
        <w:rPr>
          <w:rFonts w:hint="eastAsia" w:ascii="Times New Roman"/>
          <w:color w:val="auto"/>
          <w:highlight w:val="none"/>
        </w:rPr>
        <w:t>）监测装置应具备设备状态自检、自诊断和自恢复功能；</w:t>
      </w:r>
    </w:p>
    <w:p>
      <w:pPr>
        <w:pStyle w:val="166"/>
        <w:spacing w:line="360" w:lineRule="auto"/>
        <w:ind w:firstLine="420"/>
        <w:rPr>
          <w:rFonts w:ascii="Times New Roman"/>
          <w:color w:val="auto"/>
          <w:highlight w:val="none"/>
        </w:rPr>
      </w:pPr>
      <w:r>
        <w:rPr>
          <w:rFonts w:ascii="Times New Roman"/>
          <w:color w:val="auto"/>
          <w:highlight w:val="none"/>
        </w:rPr>
        <w:t>b</w:t>
      </w:r>
      <w:r>
        <w:rPr>
          <w:rFonts w:hint="eastAsia" w:ascii="Times New Roman"/>
          <w:color w:val="auto"/>
          <w:highlight w:val="none"/>
        </w:rPr>
        <w:t>）监测装置应支持通过南方电网全域物联网平台远程升级和维护。</w:t>
      </w:r>
    </w:p>
    <w:p>
      <w:pPr>
        <w:widowControl/>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rPr>
        <w:t>5.2.6 其他要求</w:t>
      </w:r>
    </w:p>
    <w:p>
      <w:pPr>
        <w:pStyle w:val="166"/>
        <w:spacing w:line="360" w:lineRule="auto"/>
        <w:ind w:firstLine="420"/>
        <w:rPr>
          <w:rFonts w:ascii="Times New Roman"/>
          <w:color w:val="auto"/>
          <w:highlight w:val="none"/>
        </w:rPr>
      </w:pPr>
      <w:r>
        <w:rPr>
          <w:rFonts w:hint="eastAsia" w:ascii="Times New Roman"/>
          <w:color w:val="auto"/>
          <w:highlight w:val="none"/>
        </w:rPr>
        <w:t>监测装置还应满足以下要求：</w:t>
      </w:r>
    </w:p>
    <w:p>
      <w:pPr>
        <w:pStyle w:val="166"/>
        <w:spacing w:line="360" w:lineRule="auto"/>
        <w:ind w:firstLine="420"/>
        <w:rPr>
          <w:rFonts w:ascii="Times New Roman"/>
          <w:color w:val="auto"/>
          <w:highlight w:val="none"/>
        </w:rPr>
      </w:pPr>
      <w:r>
        <w:rPr>
          <w:rFonts w:hint="eastAsia" w:ascii="Times New Roman"/>
          <w:color w:val="auto"/>
          <w:highlight w:val="none"/>
        </w:rPr>
        <w:t>a）线路故障或检修停电后重新运行，监测装置应能自动重启并正常工作；</w:t>
      </w:r>
    </w:p>
    <w:p>
      <w:pPr>
        <w:pStyle w:val="166"/>
        <w:spacing w:line="360" w:lineRule="auto"/>
        <w:ind w:firstLine="420"/>
        <w:rPr>
          <w:color w:val="auto"/>
          <w:highlight w:val="none"/>
        </w:rPr>
      </w:pPr>
      <w:r>
        <w:rPr>
          <w:rFonts w:hint="eastAsia" w:ascii="Times New Roman"/>
          <w:color w:val="auto"/>
          <w:highlight w:val="none"/>
        </w:rPr>
        <w:t>b）</w:t>
      </w:r>
      <w:r>
        <w:rPr>
          <w:rFonts w:hint="eastAsia"/>
          <w:color w:val="auto"/>
          <w:highlight w:val="none"/>
        </w:rPr>
        <w:t>鼓励采用电力鸿蒙系统，如采用电力鸿蒙系统，需提供第三方单位的电鸿认证资料。</w:t>
      </w:r>
    </w:p>
    <w:p>
      <w:pPr>
        <w:pStyle w:val="166"/>
        <w:spacing w:line="360" w:lineRule="auto"/>
        <w:ind w:firstLine="420"/>
        <w:rPr>
          <w:rFonts w:ascii="Times New Roman"/>
          <w:color w:val="auto"/>
          <w:highlight w:val="none"/>
        </w:rPr>
      </w:pPr>
      <w:r>
        <w:rPr>
          <w:rFonts w:ascii="Times New Roman"/>
          <w:color w:val="auto"/>
          <w:highlight w:val="none"/>
        </w:rPr>
        <w:t>c) 不能配置短距离无线调试工作模式，在现场对装置各监测单元进行实时控制和调试。</w:t>
      </w:r>
    </w:p>
    <w:p>
      <w:pPr>
        <w:pStyle w:val="3"/>
        <w:numPr>
          <w:ilvl w:val="0"/>
          <w:numId w:val="0"/>
        </w:numPr>
        <w:adjustRightInd w:val="0"/>
        <w:snapToGrid w:val="0"/>
        <w:rPr>
          <w:rFonts w:ascii="黑体" w:hAnsi="黑体"/>
          <w:color w:val="auto"/>
          <w:highlight w:val="none"/>
        </w:rPr>
      </w:pPr>
      <w:bookmarkStart w:id="139" w:name="_Toc2142"/>
      <w:bookmarkStart w:id="140" w:name="_Toc28679"/>
      <w:bookmarkStart w:id="141" w:name="_Toc170486956"/>
      <w:bookmarkStart w:id="142" w:name="_Toc31451"/>
      <w:bookmarkStart w:id="143" w:name="_Toc11219"/>
      <w:bookmarkStart w:id="144" w:name="_Toc5209"/>
      <w:bookmarkStart w:id="145" w:name="_Toc24282"/>
      <w:r>
        <w:rPr>
          <w:rFonts w:hint="eastAsia" w:ascii="黑体" w:hAnsi="黑体"/>
          <w:color w:val="auto"/>
          <w:highlight w:val="none"/>
        </w:rPr>
        <w:t>5.3 监测装置技术指标</w:t>
      </w:r>
      <w:bookmarkEnd w:id="139"/>
      <w:bookmarkEnd w:id="140"/>
      <w:bookmarkEnd w:id="141"/>
      <w:bookmarkEnd w:id="142"/>
      <w:bookmarkEnd w:id="143"/>
      <w:bookmarkEnd w:id="144"/>
      <w:bookmarkEnd w:id="145"/>
    </w:p>
    <w:p>
      <w:pPr>
        <w:widowControl/>
        <w:spacing w:before="120" w:beforeLines="50" w:after="120" w:afterLines="50"/>
        <w:jc w:val="left"/>
        <w:outlineLvl w:val="3"/>
        <w:rPr>
          <w:rFonts w:hint="eastAsia" w:ascii="黑体" w:hAnsi="黑体" w:eastAsia="黑体"/>
          <w:color w:val="auto"/>
          <w:kern w:val="0"/>
          <w:szCs w:val="21"/>
          <w:highlight w:val="none"/>
          <w:lang w:val="en-US" w:eastAsia="zh-CN"/>
        </w:rPr>
      </w:pPr>
      <w:r>
        <w:rPr>
          <w:rFonts w:hint="eastAsia" w:ascii="黑体" w:hAnsi="黑体" w:eastAsia="黑体"/>
          <w:color w:val="auto"/>
          <w:kern w:val="0"/>
          <w:szCs w:val="21"/>
          <w:highlight w:val="none"/>
          <w:lang w:val="en-US" w:eastAsia="zh-CN"/>
        </w:rPr>
        <w:t>5.3.1 交流线路故障精确定位装置</w:t>
      </w:r>
    </w:p>
    <w:p>
      <w:pPr>
        <w:widowControl/>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lang w:val="en-US" w:eastAsia="zh-CN"/>
        </w:rPr>
        <w:t>5.3.1.1</w:t>
      </w:r>
      <w:r>
        <w:rPr>
          <w:rFonts w:hint="eastAsia" w:ascii="黑体" w:hAnsi="黑体" w:eastAsia="黑体"/>
          <w:color w:val="auto"/>
          <w:kern w:val="0"/>
          <w:szCs w:val="21"/>
          <w:highlight w:val="none"/>
        </w:rPr>
        <w:t xml:space="preserve"> 行波电流测量</w:t>
      </w:r>
    </w:p>
    <w:p>
      <w:pPr>
        <w:pStyle w:val="166"/>
        <w:spacing w:line="360" w:lineRule="auto"/>
        <w:ind w:firstLine="420"/>
        <w:rPr>
          <w:rFonts w:ascii="Times New Roman"/>
          <w:color w:val="auto"/>
          <w:highlight w:val="none"/>
        </w:rPr>
      </w:pPr>
      <w:r>
        <w:rPr>
          <w:rFonts w:hint="eastAsia" w:ascii="Times New Roman"/>
          <w:color w:val="auto"/>
          <w:highlight w:val="none"/>
        </w:rPr>
        <w:t>监测装置行波电流测量应满足以下要求：</w:t>
      </w:r>
    </w:p>
    <w:p>
      <w:pPr>
        <w:pStyle w:val="166"/>
        <w:spacing w:line="360" w:lineRule="auto"/>
        <w:ind w:firstLine="420"/>
        <w:rPr>
          <w:rFonts w:ascii="Times New Roman"/>
          <w:color w:val="auto"/>
          <w:highlight w:val="none"/>
        </w:rPr>
      </w:pPr>
      <w:r>
        <w:rPr>
          <w:rFonts w:ascii="Times New Roman"/>
          <w:color w:val="auto"/>
          <w:highlight w:val="none"/>
        </w:rPr>
        <w:t>a</w:t>
      </w:r>
      <w:r>
        <w:rPr>
          <w:rFonts w:hint="eastAsia" w:ascii="Times New Roman"/>
          <w:color w:val="auto"/>
          <w:highlight w:val="none"/>
        </w:rPr>
        <w:t>）行波电流传感器频响范围：</w:t>
      </w:r>
      <w:r>
        <w:rPr>
          <w:rFonts w:ascii="Times New Roman"/>
          <w:color w:val="auto"/>
          <w:highlight w:val="none"/>
        </w:rPr>
        <w:t>1kHz</w:t>
      </w:r>
      <w:r>
        <w:rPr>
          <w:rFonts w:hint="eastAsia" w:ascii="Times New Roman"/>
          <w:color w:val="auto"/>
          <w:highlight w:val="none"/>
        </w:rPr>
        <w:t>～</w:t>
      </w:r>
      <w:r>
        <w:rPr>
          <w:rFonts w:ascii="Times New Roman"/>
          <w:color w:val="auto"/>
          <w:highlight w:val="none"/>
        </w:rPr>
        <w:t>1MHz</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hint="eastAsia" w:ascii="Times New Roman"/>
          <w:color w:val="auto"/>
          <w:highlight w:val="none"/>
        </w:rPr>
        <w:t>b）行波电流采样率：≥2</w:t>
      </w:r>
      <w:r>
        <w:rPr>
          <w:rFonts w:ascii="Times New Roman"/>
          <w:color w:val="auto"/>
          <w:highlight w:val="none"/>
        </w:rPr>
        <w:t>MHz</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c</w:t>
      </w:r>
      <w:r>
        <w:rPr>
          <w:rFonts w:hint="eastAsia" w:ascii="Times New Roman"/>
          <w:color w:val="auto"/>
          <w:highlight w:val="none"/>
        </w:rPr>
        <w:t>）单导线行波电流</w:t>
      </w:r>
      <w:r>
        <w:rPr>
          <w:rFonts w:hint="eastAsia" w:ascii="Times New Roman"/>
          <w:color w:val="auto"/>
          <w:highlight w:val="none"/>
          <w:lang w:val="en-US" w:eastAsia="zh-CN"/>
        </w:rPr>
        <w:tab/>
      </w:r>
      <w:r>
        <w:rPr>
          <w:rFonts w:hint="eastAsia" w:ascii="Times New Roman"/>
          <w:color w:val="auto"/>
          <w:highlight w:val="none"/>
        </w:rPr>
        <w:t>：5A～</w:t>
      </w:r>
      <w:r>
        <w:rPr>
          <w:rFonts w:ascii="Times New Roman"/>
          <w:color w:val="auto"/>
          <w:highlight w:val="none"/>
        </w:rPr>
        <w:t>5000A</w:t>
      </w:r>
      <w:r>
        <w:rPr>
          <w:rFonts w:hint="eastAsia" w:ascii="Times New Roman"/>
          <w:color w:val="auto"/>
          <w:highlight w:val="none"/>
        </w:rPr>
        <w:t>（峰值）；</w:t>
      </w:r>
    </w:p>
    <w:p>
      <w:pPr>
        <w:pStyle w:val="166"/>
        <w:spacing w:line="360" w:lineRule="auto"/>
        <w:ind w:firstLine="420"/>
        <w:rPr>
          <w:rFonts w:ascii="Times New Roman"/>
          <w:color w:val="auto"/>
          <w:highlight w:val="none"/>
        </w:rPr>
      </w:pPr>
      <w:r>
        <w:rPr>
          <w:rFonts w:ascii="Times New Roman"/>
          <w:color w:val="auto"/>
          <w:highlight w:val="none"/>
        </w:rPr>
        <w:t xml:space="preserve">d) </w:t>
      </w:r>
      <w:r>
        <w:rPr>
          <w:rFonts w:hint="eastAsia" w:ascii="Times New Roman"/>
          <w:color w:val="auto"/>
          <w:highlight w:val="none"/>
        </w:rPr>
        <w:t>行波电流连续记录时长：≥</w:t>
      </w:r>
      <w:r>
        <w:rPr>
          <w:rFonts w:ascii="Times New Roman"/>
          <w:color w:val="auto"/>
          <w:highlight w:val="none"/>
        </w:rPr>
        <w:t>1000</w:t>
      </w:r>
      <w:r>
        <w:rPr>
          <w:color w:val="auto"/>
          <w:highlight w:val="none"/>
        </w:rPr>
        <w:t>μ</w:t>
      </w:r>
      <w:r>
        <w:rPr>
          <w:rFonts w:hint="eastAsia"/>
          <w:color w:val="auto"/>
          <w:highlight w:val="none"/>
        </w:rPr>
        <w:t>s</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 xml:space="preserve">e) </w:t>
      </w:r>
      <w:r>
        <w:rPr>
          <w:rFonts w:hint="eastAsia" w:ascii="Times New Roman"/>
          <w:color w:val="auto"/>
          <w:highlight w:val="none"/>
        </w:rPr>
        <w:t>行波电流测量时间参数误差：</w:t>
      </w:r>
      <w:r>
        <w:rPr>
          <w:rFonts w:ascii="Times New Roman"/>
          <w:color w:val="auto"/>
          <w:highlight w:val="none"/>
        </w:rPr>
        <w:t>±10%</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f</w:t>
      </w:r>
      <w:r>
        <w:rPr>
          <w:rFonts w:hint="eastAsia" w:ascii="Times New Roman"/>
          <w:color w:val="auto"/>
          <w:highlight w:val="none"/>
        </w:rPr>
        <w:t>）行波电流测量幅值参数误差：</w:t>
      </w:r>
      <w:r>
        <w:rPr>
          <w:rFonts w:ascii="Times New Roman"/>
          <w:color w:val="auto"/>
          <w:highlight w:val="none"/>
        </w:rPr>
        <w:t>±</w:t>
      </w:r>
      <w:r>
        <w:rPr>
          <w:rFonts w:hint="eastAsia" w:ascii="Times New Roman"/>
          <w:color w:val="auto"/>
          <w:highlight w:val="none"/>
        </w:rPr>
        <w:t>10</w:t>
      </w:r>
      <w:r>
        <w:rPr>
          <w:rFonts w:ascii="Times New Roman"/>
          <w:color w:val="auto"/>
          <w:highlight w:val="none"/>
        </w:rPr>
        <w:t>%</w:t>
      </w:r>
      <w:r>
        <w:rPr>
          <w:rFonts w:hint="eastAsia" w:ascii="Times New Roman"/>
          <w:color w:val="auto"/>
          <w:highlight w:val="none"/>
        </w:rPr>
        <w:t>（当行波电流≤40A时，测量误差为</w:t>
      </w:r>
      <w:r>
        <w:rPr>
          <w:rFonts w:ascii="Times New Roman"/>
          <w:color w:val="auto"/>
          <w:highlight w:val="none"/>
        </w:rPr>
        <w:t>±</w:t>
      </w:r>
      <w:r>
        <w:rPr>
          <w:rFonts w:hint="eastAsia" w:ascii="Times New Roman"/>
          <w:color w:val="auto"/>
          <w:highlight w:val="none"/>
        </w:rPr>
        <w:t>4</w:t>
      </w:r>
      <w:r>
        <w:rPr>
          <w:rFonts w:ascii="Times New Roman"/>
          <w:color w:val="auto"/>
          <w:highlight w:val="none"/>
        </w:rPr>
        <w:t>A</w:t>
      </w:r>
      <w:r>
        <w:rPr>
          <w:rFonts w:hint="eastAsia" w:ascii="Times New Roman"/>
          <w:color w:val="auto"/>
          <w:highlight w:val="none"/>
        </w:rPr>
        <w:t>）。</w:t>
      </w:r>
    </w:p>
    <w:p>
      <w:pPr>
        <w:widowControl/>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lang w:val="en-US" w:eastAsia="zh-CN"/>
        </w:rPr>
        <w:t xml:space="preserve">5.3.1.2 </w:t>
      </w:r>
      <w:r>
        <w:rPr>
          <w:rFonts w:hint="eastAsia" w:ascii="黑体" w:hAnsi="黑体" w:eastAsia="黑体"/>
          <w:color w:val="auto"/>
          <w:kern w:val="0"/>
          <w:szCs w:val="21"/>
          <w:highlight w:val="none"/>
        </w:rPr>
        <w:t>工频故障电流测量</w:t>
      </w:r>
    </w:p>
    <w:p>
      <w:pPr>
        <w:pStyle w:val="166"/>
        <w:spacing w:line="360" w:lineRule="auto"/>
        <w:ind w:firstLine="420"/>
        <w:rPr>
          <w:rFonts w:ascii="Times New Roman"/>
          <w:color w:val="auto"/>
          <w:highlight w:val="none"/>
        </w:rPr>
      </w:pPr>
      <w:r>
        <w:rPr>
          <w:rFonts w:hint="eastAsia" w:ascii="Times New Roman"/>
          <w:color w:val="auto"/>
          <w:highlight w:val="none"/>
        </w:rPr>
        <w:t>监测装置工频故障电流测量应满足以下要求：</w:t>
      </w:r>
    </w:p>
    <w:p>
      <w:pPr>
        <w:pStyle w:val="166"/>
        <w:spacing w:line="360" w:lineRule="auto"/>
        <w:ind w:firstLine="420"/>
        <w:rPr>
          <w:rFonts w:ascii="Times New Roman"/>
          <w:color w:val="auto"/>
          <w:highlight w:val="none"/>
        </w:rPr>
      </w:pPr>
      <w:r>
        <w:rPr>
          <w:rFonts w:ascii="Times New Roman"/>
          <w:color w:val="auto"/>
          <w:highlight w:val="none"/>
        </w:rPr>
        <w:t>a</w:t>
      </w:r>
      <w:r>
        <w:rPr>
          <w:rFonts w:hint="eastAsia" w:ascii="Times New Roman"/>
          <w:color w:val="auto"/>
          <w:highlight w:val="none"/>
        </w:rPr>
        <w:t>）故障电流传感器频响范围：0.1</w:t>
      </w:r>
      <w:r>
        <w:rPr>
          <w:rFonts w:ascii="Times New Roman"/>
          <w:color w:val="auto"/>
          <w:highlight w:val="none"/>
        </w:rPr>
        <w:t>Hz</w:t>
      </w:r>
      <w:r>
        <w:rPr>
          <w:rFonts w:hint="eastAsia" w:ascii="Times New Roman"/>
          <w:color w:val="auto"/>
          <w:highlight w:val="none"/>
        </w:rPr>
        <w:t>～</w:t>
      </w:r>
      <w:r>
        <w:rPr>
          <w:rFonts w:ascii="Times New Roman"/>
          <w:color w:val="auto"/>
          <w:highlight w:val="none"/>
        </w:rPr>
        <w:t>1kHz</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b</w:t>
      </w:r>
      <w:r>
        <w:rPr>
          <w:rFonts w:hint="eastAsia" w:ascii="Times New Roman"/>
          <w:color w:val="auto"/>
          <w:highlight w:val="none"/>
        </w:rPr>
        <w:t>）故障电流采样率：≥</w:t>
      </w:r>
      <w:r>
        <w:rPr>
          <w:rFonts w:ascii="Times New Roman"/>
          <w:color w:val="auto"/>
          <w:highlight w:val="none"/>
        </w:rPr>
        <w:t>2kHz</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c</w:t>
      </w:r>
      <w:r>
        <w:rPr>
          <w:rFonts w:hint="eastAsia" w:ascii="Times New Roman"/>
          <w:color w:val="auto"/>
          <w:highlight w:val="none"/>
        </w:rPr>
        <w:t>）单导线故障电流测量范围：</w:t>
      </w:r>
      <w:r>
        <w:rPr>
          <w:rFonts w:ascii="Times New Roman"/>
          <w:color w:val="auto"/>
          <w:highlight w:val="none"/>
        </w:rPr>
        <w:t>10A</w:t>
      </w:r>
      <w:r>
        <w:rPr>
          <w:rFonts w:hint="eastAsia" w:ascii="Times New Roman"/>
          <w:color w:val="auto"/>
          <w:highlight w:val="none"/>
        </w:rPr>
        <w:t>～</w:t>
      </w:r>
      <w:r>
        <w:rPr>
          <w:rFonts w:ascii="Times New Roman"/>
          <w:color w:val="auto"/>
          <w:highlight w:val="none"/>
        </w:rPr>
        <w:t>15000A</w:t>
      </w:r>
      <w:r>
        <w:rPr>
          <w:rFonts w:hint="eastAsia" w:ascii="Times New Roman"/>
          <w:color w:val="auto"/>
          <w:highlight w:val="none"/>
        </w:rPr>
        <w:t>（有效值）；</w:t>
      </w:r>
    </w:p>
    <w:p>
      <w:pPr>
        <w:pStyle w:val="166"/>
        <w:spacing w:line="360" w:lineRule="auto"/>
        <w:ind w:firstLine="420"/>
        <w:rPr>
          <w:rFonts w:ascii="Times New Roman"/>
          <w:color w:val="auto"/>
          <w:highlight w:val="none"/>
        </w:rPr>
      </w:pPr>
      <w:r>
        <w:rPr>
          <w:rFonts w:ascii="Times New Roman"/>
          <w:color w:val="auto"/>
          <w:highlight w:val="none"/>
        </w:rPr>
        <w:t>d</w:t>
      </w:r>
      <w:r>
        <w:rPr>
          <w:rFonts w:hint="eastAsia" w:ascii="Times New Roman"/>
          <w:color w:val="auto"/>
          <w:highlight w:val="none"/>
        </w:rPr>
        <w:t>）故障电流连续记录时长：≥</w:t>
      </w:r>
      <w:r>
        <w:rPr>
          <w:rFonts w:ascii="Times New Roman"/>
          <w:color w:val="auto"/>
          <w:highlight w:val="none"/>
        </w:rPr>
        <w:t>500ms</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e</w:t>
      </w:r>
      <w:r>
        <w:rPr>
          <w:rFonts w:hint="eastAsia" w:ascii="Times New Roman"/>
          <w:color w:val="auto"/>
          <w:highlight w:val="none"/>
        </w:rPr>
        <w:t>）故障电流测量幅值参数误差：</w:t>
      </w:r>
      <w:r>
        <w:rPr>
          <w:rFonts w:ascii="Times New Roman"/>
          <w:color w:val="auto"/>
          <w:highlight w:val="none"/>
        </w:rPr>
        <w:t>±</w:t>
      </w:r>
      <w:r>
        <w:rPr>
          <w:rFonts w:hint="eastAsia" w:ascii="Times New Roman"/>
          <w:color w:val="auto"/>
          <w:highlight w:val="none"/>
        </w:rPr>
        <w:t>5</w:t>
      </w:r>
      <w:r>
        <w:rPr>
          <w:rFonts w:ascii="Times New Roman"/>
          <w:color w:val="auto"/>
          <w:highlight w:val="none"/>
        </w:rPr>
        <w:t>%</w:t>
      </w:r>
      <w:r>
        <w:rPr>
          <w:rFonts w:hint="eastAsia" w:ascii="Times New Roman"/>
          <w:color w:val="auto"/>
          <w:highlight w:val="none"/>
        </w:rPr>
        <w:t>（当工频故障电流≤100A时，测量误差为</w:t>
      </w:r>
      <w:r>
        <w:rPr>
          <w:rFonts w:ascii="Times New Roman"/>
          <w:color w:val="auto"/>
          <w:highlight w:val="none"/>
        </w:rPr>
        <w:t>±</w:t>
      </w:r>
      <w:r>
        <w:rPr>
          <w:rFonts w:hint="eastAsia" w:ascii="Times New Roman"/>
          <w:color w:val="auto"/>
          <w:highlight w:val="none"/>
        </w:rPr>
        <w:t>5</w:t>
      </w:r>
      <w:r>
        <w:rPr>
          <w:rFonts w:ascii="Times New Roman"/>
          <w:color w:val="auto"/>
          <w:highlight w:val="none"/>
        </w:rPr>
        <w:t>A</w:t>
      </w:r>
      <w:r>
        <w:rPr>
          <w:rFonts w:hint="eastAsia" w:ascii="Times New Roman"/>
          <w:color w:val="auto"/>
          <w:highlight w:val="none"/>
        </w:rPr>
        <w:t>）。</w:t>
      </w:r>
    </w:p>
    <w:p>
      <w:pPr>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lang w:val="en-US" w:eastAsia="zh-CN"/>
        </w:rPr>
        <w:t xml:space="preserve">5.3.1.3 </w:t>
      </w:r>
      <w:r>
        <w:rPr>
          <w:rFonts w:hint="eastAsia" w:ascii="黑体" w:hAnsi="黑体" w:eastAsia="黑体"/>
          <w:color w:val="auto"/>
          <w:kern w:val="0"/>
          <w:szCs w:val="21"/>
          <w:highlight w:val="none"/>
        </w:rPr>
        <w:t>故障诊断功能</w:t>
      </w:r>
    </w:p>
    <w:p>
      <w:pPr>
        <w:ind w:firstLine="420" w:firstLineChars="200"/>
        <w:jc w:val="left"/>
        <w:rPr>
          <w:color w:val="auto"/>
          <w:highlight w:val="none"/>
        </w:rPr>
      </w:pPr>
      <w:r>
        <w:rPr>
          <w:rFonts w:hint="eastAsia"/>
          <w:color w:val="auto"/>
          <w:highlight w:val="none"/>
        </w:rPr>
        <w:t>a）故障区间定位准确率≥95%；（区间定位准确率=区间定位准确次数/总定位次数*100%）</w:t>
      </w:r>
    </w:p>
    <w:p>
      <w:pPr>
        <w:ind w:firstLine="420" w:firstLineChars="200"/>
        <w:jc w:val="left"/>
        <w:rPr>
          <w:color w:val="auto"/>
          <w:highlight w:val="none"/>
        </w:rPr>
      </w:pPr>
      <w:r>
        <w:rPr>
          <w:rFonts w:hint="eastAsia"/>
          <w:color w:val="auto"/>
          <w:highlight w:val="none"/>
        </w:rPr>
        <w:t>b）故障定位精度≤300米；</w:t>
      </w:r>
    </w:p>
    <w:p>
      <w:pPr>
        <w:ind w:firstLine="420" w:firstLineChars="200"/>
        <w:jc w:val="left"/>
        <w:rPr>
          <w:color w:val="auto"/>
          <w:highlight w:val="none"/>
        </w:rPr>
      </w:pPr>
      <w:r>
        <w:rPr>
          <w:rFonts w:hint="eastAsia"/>
          <w:color w:val="auto"/>
          <w:highlight w:val="none"/>
        </w:rPr>
        <w:t>c）雷击与非雷击故障辨识准确率≥95%；（故障辨识准确率=雷击与非雷击故障辨识准确次数/总辨识次数*100%）</w:t>
      </w:r>
    </w:p>
    <w:p>
      <w:pPr>
        <w:ind w:firstLine="420" w:firstLineChars="200"/>
        <w:jc w:val="left"/>
        <w:rPr>
          <w:color w:val="auto"/>
          <w:highlight w:val="none"/>
        </w:rPr>
      </w:pPr>
      <w:r>
        <w:rPr>
          <w:rFonts w:hint="eastAsia"/>
          <w:color w:val="auto"/>
          <w:highlight w:val="none"/>
        </w:rPr>
        <w:t>d）绕击和反击识别准确率≥90%；（绕击和反击识别准确率=绕击和反击识别准确次数/总识别次数*100%）</w:t>
      </w:r>
    </w:p>
    <w:p>
      <w:pPr>
        <w:ind w:firstLine="420" w:firstLineChars="200"/>
        <w:jc w:val="left"/>
        <w:rPr>
          <w:color w:val="auto"/>
          <w:highlight w:val="none"/>
        </w:rPr>
      </w:pPr>
      <w:r>
        <w:rPr>
          <w:rFonts w:hint="eastAsia"/>
          <w:color w:val="auto"/>
          <w:highlight w:val="none"/>
        </w:rPr>
        <w:t>e）故障跳闸告警时间≤5分钟；</w:t>
      </w:r>
    </w:p>
    <w:p>
      <w:pPr>
        <w:ind w:firstLine="420" w:firstLineChars="200"/>
        <w:jc w:val="left"/>
        <w:rPr>
          <w:color w:val="auto"/>
          <w:highlight w:val="none"/>
        </w:rPr>
      </w:pPr>
      <w:r>
        <w:rPr>
          <w:rFonts w:hint="eastAsia"/>
          <w:color w:val="auto"/>
          <w:highlight w:val="none"/>
        </w:rPr>
        <w:t>f）故障诊断结果告警时长≤30分钟；</w:t>
      </w:r>
    </w:p>
    <w:p>
      <w:pPr>
        <w:ind w:firstLine="420" w:firstLineChars="200"/>
        <w:jc w:val="left"/>
        <w:rPr>
          <w:color w:val="auto"/>
          <w:highlight w:val="none"/>
        </w:rPr>
      </w:pPr>
      <w:r>
        <w:rPr>
          <w:rFonts w:hint="eastAsia"/>
          <w:color w:val="auto"/>
          <w:highlight w:val="none"/>
        </w:rPr>
        <w:t>g) 宜具备重合闸判断功能。</w:t>
      </w:r>
    </w:p>
    <w:p>
      <w:pPr>
        <w:widowControl/>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lang w:val="en-US" w:eastAsia="zh-CN"/>
        </w:rPr>
        <w:t>5.3.1.4</w:t>
      </w:r>
      <w:r>
        <w:rPr>
          <w:rFonts w:hint="eastAsia" w:ascii="黑体" w:hAnsi="黑体" w:eastAsia="黑体"/>
          <w:color w:val="auto"/>
          <w:kern w:val="0"/>
          <w:szCs w:val="21"/>
          <w:highlight w:val="none"/>
        </w:rPr>
        <w:t>取电方式</w:t>
      </w:r>
    </w:p>
    <w:p>
      <w:pPr>
        <w:pStyle w:val="166"/>
        <w:spacing w:line="360" w:lineRule="auto"/>
        <w:ind w:firstLine="420"/>
        <w:rPr>
          <w:rFonts w:hint="eastAsia" w:ascii="Times New Roman" w:eastAsia="宋体"/>
          <w:color w:val="auto"/>
          <w:highlight w:val="none"/>
          <w:lang w:eastAsia="zh-CN"/>
        </w:rPr>
      </w:pPr>
      <w:r>
        <w:rPr>
          <w:rFonts w:hint="eastAsia" w:ascii="Times New Roman"/>
          <w:color w:val="auto"/>
          <w:highlight w:val="none"/>
        </w:rPr>
        <w:t>交流线路应以感应取能为主，监测装置最小工作电流不应大于</w:t>
      </w:r>
      <w:r>
        <w:rPr>
          <w:rFonts w:ascii="Times New Roman"/>
          <w:color w:val="auto"/>
          <w:highlight w:val="none"/>
        </w:rPr>
        <w:t>20</w:t>
      </w:r>
      <w:r>
        <w:rPr>
          <w:rFonts w:hint="eastAsia" w:ascii="Times New Roman"/>
          <w:color w:val="auto"/>
          <w:highlight w:val="none"/>
        </w:rPr>
        <w:t>安，最大工作电流不应小于</w:t>
      </w:r>
      <w:r>
        <w:rPr>
          <w:rFonts w:ascii="Times New Roman"/>
          <w:color w:val="auto"/>
          <w:highlight w:val="none"/>
        </w:rPr>
        <w:t>1500</w:t>
      </w:r>
      <w:r>
        <w:rPr>
          <w:rFonts w:hint="eastAsia" w:ascii="Times New Roman"/>
          <w:color w:val="auto"/>
          <w:highlight w:val="none"/>
        </w:rPr>
        <w:t>安，备用电池工作时长应大于12小时</w:t>
      </w:r>
      <w:r>
        <w:rPr>
          <w:rFonts w:hint="eastAsia" w:ascii="Times New Roman"/>
          <w:color w:val="auto"/>
          <w:highlight w:val="none"/>
          <w:lang w:eastAsia="zh-CN"/>
        </w:rPr>
        <w:t>。</w:t>
      </w:r>
    </w:p>
    <w:p>
      <w:pPr>
        <w:widowControl/>
        <w:spacing w:before="120" w:beforeLines="50" w:after="120" w:afterLines="50"/>
        <w:jc w:val="left"/>
        <w:outlineLvl w:val="3"/>
        <w:rPr>
          <w:rFonts w:hint="eastAsia" w:ascii="黑体" w:hAnsi="黑体" w:eastAsia="黑体"/>
          <w:color w:val="auto"/>
          <w:kern w:val="0"/>
          <w:szCs w:val="21"/>
          <w:highlight w:val="none"/>
          <w:lang w:val="en-US" w:eastAsia="zh-CN"/>
        </w:rPr>
      </w:pPr>
      <w:r>
        <w:rPr>
          <w:rFonts w:hint="eastAsia" w:ascii="黑体" w:hAnsi="黑体" w:eastAsia="黑体"/>
          <w:color w:val="auto"/>
          <w:kern w:val="0"/>
          <w:szCs w:val="21"/>
          <w:highlight w:val="none"/>
          <w:lang w:val="en-US" w:eastAsia="zh-CN"/>
        </w:rPr>
        <w:t>5.3.2 直流线路故障精确定位装置</w:t>
      </w:r>
    </w:p>
    <w:p>
      <w:pPr>
        <w:widowControl/>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lang w:val="en-US" w:eastAsia="zh-CN"/>
        </w:rPr>
        <w:t>5.3.2.1</w:t>
      </w:r>
      <w:r>
        <w:rPr>
          <w:rFonts w:hint="eastAsia" w:ascii="黑体" w:hAnsi="黑体" w:eastAsia="黑体"/>
          <w:color w:val="auto"/>
          <w:kern w:val="0"/>
          <w:szCs w:val="21"/>
          <w:highlight w:val="none"/>
        </w:rPr>
        <w:t xml:space="preserve"> 行波电流测量</w:t>
      </w:r>
    </w:p>
    <w:p>
      <w:pPr>
        <w:pStyle w:val="166"/>
        <w:spacing w:line="360" w:lineRule="auto"/>
        <w:ind w:firstLine="420"/>
        <w:rPr>
          <w:rFonts w:ascii="Times New Roman"/>
          <w:color w:val="auto"/>
          <w:highlight w:val="none"/>
        </w:rPr>
      </w:pPr>
      <w:r>
        <w:rPr>
          <w:rFonts w:hint="eastAsia" w:ascii="Times New Roman"/>
          <w:color w:val="auto"/>
          <w:highlight w:val="none"/>
        </w:rPr>
        <w:t>监测装置行波电流测量应满足以下要求：</w:t>
      </w:r>
    </w:p>
    <w:p>
      <w:pPr>
        <w:pStyle w:val="166"/>
        <w:spacing w:line="360" w:lineRule="auto"/>
        <w:ind w:firstLine="420"/>
        <w:rPr>
          <w:rFonts w:ascii="Times New Roman"/>
          <w:color w:val="auto"/>
          <w:highlight w:val="none"/>
        </w:rPr>
      </w:pPr>
      <w:r>
        <w:rPr>
          <w:rFonts w:ascii="Times New Roman"/>
          <w:color w:val="auto"/>
          <w:highlight w:val="none"/>
        </w:rPr>
        <w:t>a</w:t>
      </w:r>
      <w:r>
        <w:rPr>
          <w:rFonts w:hint="eastAsia" w:ascii="Times New Roman"/>
          <w:color w:val="auto"/>
          <w:highlight w:val="none"/>
        </w:rPr>
        <w:t>）行波电流传感器频响范围：</w:t>
      </w:r>
      <w:r>
        <w:rPr>
          <w:rFonts w:ascii="Times New Roman"/>
          <w:color w:val="auto"/>
          <w:highlight w:val="none"/>
        </w:rPr>
        <w:t>1kHz</w:t>
      </w:r>
      <w:r>
        <w:rPr>
          <w:rFonts w:hint="eastAsia" w:ascii="Times New Roman"/>
          <w:color w:val="auto"/>
          <w:highlight w:val="none"/>
        </w:rPr>
        <w:t>～</w:t>
      </w:r>
      <w:r>
        <w:rPr>
          <w:rFonts w:ascii="Times New Roman"/>
          <w:color w:val="auto"/>
          <w:highlight w:val="none"/>
        </w:rPr>
        <w:t>1MHz</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hint="eastAsia" w:ascii="Times New Roman"/>
          <w:color w:val="auto"/>
          <w:highlight w:val="none"/>
        </w:rPr>
        <w:t>b）行波电流采样率：≥2</w:t>
      </w:r>
      <w:r>
        <w:rPr>
          <w:rFonts w:ascii="Times New Roman"/>
          <w:color w:val="auto"/>
          <w:highlight w:val="none"/>
        </w:rPr>
        <w:t>MHz</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c</w:t>
      </w:r>
      <w:r>
        <w:rPr>
          <w:rFonts w:hint="eastAsia" w:ascii="Times New Roman"/>
          <w:color w:val="auto"/>
          <w:highlight w:val="none"/>
        </w:rPr>
        <w:t>）单导线行波电流</w:t>
      </w:r>
      <w:r>
        <w:rPr>
          <w:rFonts w:hint="eastAsia" w:ascii="Times New Roman"/>
          <w:color w:val="auto"/>
          <w:highlight w:val="none"/>
          <w:lang w:val="en-US" w:eastAsia="zh-CN"/>
        </w:rPr>
        <w:tab/>
      </w:r>
      <w:r>
        <w:rPr>
          <w:rFonts w:hint="eastAsia" w:ascii="Times New Roman"/>
          <w:color w:val="auto"/>
          <w:highlight w:val="none"/>
        </w:rPr>
        <w:t>：5A～</w:t>
      </w:r>
      <w:r>
        <w:rPr>
          <w:rFonts w:ascii="Times New Roman"/>
          <w:color w:val="auto"/>
          <w:highlight w:val="none"/>
        </w:rPr>
        <w:t>5000A</w:t>
      </w:r>
      <w:r>
        <w:rPr>
          <w:rFonts w:hint="eastAsia" w:ascii="Times New Roman"/>
          <w:color w:val="auto"/>
          <w:highlight w:val="none"/>
        </w:rPr>
        <w:t>（峰值）；</w:t>
      </w:r>
    </w:p>
    <w:p>
      <w:pPr>
        <w:pStyle w:val="166"/>
        <w:spacing w:line="360" w:lineRule="auto"/>
        <w:ind w:firstLine="420"/>
        <w:rPr>
          <w:rFonts w:ascii="Times New Roman"/>
          <w:color w:val="auto"/>
          <w:highlight w:val="none"/>
        </w:rPr>
      </w:pPr>
      <w:r>
        <w:rPr>
          <w:rFonts w:ascii="Times New Roman"/>
          <w:color w:val="auto"/>
          <w:highlight w:val="none"/>
        </w:rPr>
        <w:t xml:space="preserve">d) </w:t>
      </w:r>
      <w:r>
        <w:rPr>
          <w:rFonts w:hint="eastAsia" w:ascii="Times New Roman"/>
          <w:color w:val="auto"/>
          <w:highlight w:val="none"/>
        </w:rPr>
        <w:t>行波电流连续记录时长：≥</w:t>
      </w:r>
      <w:r>
        <w:rPr>
          <w:rFonts w:ascii="Times New Roman"/>
          <w:color w:val="auto"/>
          <w:highlight w:val="none"/>
        </w:rPr>
        <w:t>1000</w:t>
      </w:r>
      <w:r>
        <w:rPr>
          <w:color w:val="auto"/>
          <w:highlight w:val="none"/>
        </w:rPr>
        <w:t>μ</w:t>
      </w:r>
      <w:r>
        <w:rPr>
          <w:rFonts w:hint="eastAsia"/>
          <w:color w:val="auto"/>
          <w:highlight w:val="none"/>
        </w:rPr>
        <w:t>s</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 xml:space="preserve">e) </w:t>
      </w:r>
      <w:r>
        <w:rPr>
          <w:rFonts w:hint="eastAsia" w:ascii="Times New Roman"/>
          <w:color w:val="auto"/>
          <w:highlight w:val="none"/>
        </w:rPr>
        <w:t>行波电流测量时间参数误差：</w:t>
      </w:r>
      <w:r>
        <w:rPr>
          <w:rFonts w:ascii="Times New Roman"/>
          <w:color w:val="auto"/>
          <w:highlight w:val="none"/>
        </w:rPr>
        <w:t>±10%</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f</w:t>
      </w:r>
      <w:r>
        <w:rPr>
          <w:rFonts w:hint="eastAsia" w:ascii="Times New Roman"/>
          <w:color w:val="auto"/>
          <w:highlight w:val="none"/>
        </w:rPr>
        <w:t>）行波电流测量幅值参数误差：</w:t>
      </w:r>
      <w:r>
        <w:rPr>
          <w:rFonts w:ascii="Times New Roman"/>
          <w:color w:val="auto"/>
          <w:highlight w:val="none"/>
        </w:rPr>
        <w:t>±</w:t>
      </w:r>
      <w:r>
        <w:rPr>
          <w:rFonts w:hint="eastAsia" w:ascii="Times New Roman"/>
          <w:color w:val="auto"/>
          <w:highlight w:val="none"/>
        </w:rPr>
        <w:t>10</w:t>
      </w:r>
      <w:r>
        <w:rPr>
          <w:rFonts w:ascii="Times New Roman"/>
          <w:color w:val="auto"/>
          <w:highlight w:val="none"/>
        </w:rPr>
        <w:t>%</w:t>
      </w:r>
      <w:r>
        <w:rPr>
          <w:rFonts w:hint="eastAsia" w:ascii="Times New Roman"/>
          <w:color w:val="auto"/>
          <w:highlight w:val="none"/>
        </w:rPr>
        <w:t>（当行波电流≤40A时，测量误差为</w:t>
      </w:r>
      <w:r>
        <w:rPr>
          <w:rFonts w:ascii="Times New Roman"/>
          <w:color w:val="auto"/>
          <w:highlight w:val="none"/>
        </w:rPr>
        <w:t>±</w:t>
      </w:r>
      <w:r>
        <w:rPr>
          <w:rFonts w:hint="eastAsia" w:ascii="Times New Roman"/>
          <w:color w:val="auto"/>
          <w:highlight w:val="none"/>
        </w:rPr>
        <w:t>4</w:t>
      </w:r>
      <w:r>
        <w:rPr>
          <w:rFonts w:ascii="Times New Roman"/>
          <w:color w:val="auto"/>
          <w:highlight w:val="none"/>
        </w:rPr>
        <w:t>A</w:t>
      </w:r>
      <w:r>
        <w:rPr>
          <w:rFonts w:hint="eastAsia" w:ascii="Times New Roman"/>
          <w:color w:val="auto"/>
          <w:highlight w:val="none"/>
        </w:rPr>
        <w:t>）。</w:t>
      </w:r>
    </w:p>
    <w:p>
      <w:pPr>
        <w:widowControl/>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lang w:val="en-US" w:eastAsia="zh-CN"/>
        </w:rPr>
        <w:t>5.3.2.2 直流</w:t>
      </w:r>
      <w:r>
        <w:rPr>
          <w:rFonts w:hint="eastAsia" w:ascii="黑体" w:hAnsi="黑体" w:eastAsia="黑体"/>
          <w:color w:val="auto"/>
          <w:kern w:val="0"/>
          <w:szCs w:val="21"/>
          <w:highlight w:val="none"/>
        </w:rPr>
        <w:t>故障电流测量</w:t>
      </w:r>
    </w:p>
    <w:p>
      <w:pPr>
        <w:pStyle w:val="166"/>
        <w:spacing w:line="360" w:lineRule="auto"/>
        <w:ind w:firstLine="420"/>
        <w:rPr>
          <w:rFonts w:ascii="Times New Roman"/>
          <w:color w:val="auto"/>
          <w:highlight w:val="none"/>
        </w:rPr>
      </w:pPr>
      <w:r>
        <w:rPr>
          <w:rFonts w:hint="eastAsia" w:ascii="Times New Roman"/>
          <w:color w:val="auto"/>
          <w:highlight w:val="none"/>
        </w:rPr>
        <w:t>监测装置</w:t>
      </w:r>
      <w:r>
        <w:rPr>
          <w:rFonts w:hint="eastAsia" w:ascii="Times New Roman"/>
          <w:color w:val="auto"/>
          <w:highlight w:val="none"/>
          <w:lang w:val="en-US" w:eastAsia="zh-CN"/>
        </w:rPr>
        <w:t>直流</w:t>
      </w:r>
      <w:r>
        <w:rPr>
          <w:rFonts w:hint="eastAsia" w:ascii="Times New Roman"/>
          <w:color w:val="auto"/>
          <w:highlight w:val="none"/>
        </w:rPr>
        <w:t>故障电流测量应满足以下要求：</w:t>
      </w:r>
    </w:p>
    <w:p>
      <w:pPr>
        <w:pStyle w:val="166"/>
        <w:spacing w:line="360" w:lineRule="auto"/>
        <w:ind w:firstLine="420"/>
        <w:rPr>
          <w:rFonts w:ascii="Times New Roman"/>
          <w:color w:val="auto"/>
          <w:highlight w:val="none"/>
        </w:rPr>
      </w:pPr>
      <w:r>
        <w:rPr>
          <w:rFonts w:ascii="Times New Roman"/>
          <w:color w:val="auto"/>
          <w:highlight w:val="none"/>
        </w:rPr>
        <w:t>a</w:t>
      </w:r>
      <w:r>
        <w:rPr>
          <w:rFonts w:hint="eastAsia" w:ascii="Times New Roman"/>
          <w:color w:val="auto"/>
          <w:highlight w:val="none"/>
        </w:rPr>
        <w:t>）故障电流传感器频响范围：0</w:t>
      </w:r>
      <w:r>
        <w:rPr>
          <w:rFonts w:ascii="Times New Roman"/>
          <w:color w:val="auto"/>
          <w:highlight w:val="none"/>
        </w:rPr>
        <w:t>Hz</w:t>
      </w:r>
      <w:r>
        <w:rPr>
          <w:rFonts w:hint="eastAsia" w:ascii="Times New Roman"/>
          <w:color w:val="auto"/>
          <w:highlight w:val="none"/>
        </w:rPr>
        <w:t>～</w:t>
      </w:r>
      <w:r>
        <w:rPr>
          <w:rFonts w:ascii="Times New Roman"/>
          <w:color w:val="auto"/>
          <w:highlight w:val="none"/>
        </w:rPr>
        <w:t>1kHz</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b</w:t>
      </w:r>
      <w:r>
        <w:rPr>
          <w:rFonts w:hint="eastAsia" w:ascii="Times New Roman"/>
          <w:color w:val="auto"/>
          <w:highlight w:val="none"/>
        </w:rPr>
        <w:t>）故障电流采样率：≥</w:t>
      </w:r>
      <w:r>
        <w:rPr>
          <w:rFonts w:ascii="Times New Roman"/>
          <w:color w:val="auto"/>
          <w:highlight w:val="none"/>
        </w:rPr>
        <w:t>2kHz</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c</w:t>
      </w:r>
      <w:r>
        <w:rPr>
          <w:rFonts w:hint="eastAsia" w:ascii="Times New Roman"/>
          <w:color w:val="auto"/>
          <w:highlight w:val="none"/>
        </w:rPr>
        <w:t>）故障电流测量范围：</w:t>
      </w:r>
      <w:r>
        <w:rPr>
          <w:rFonts w:hint="eastAsia" w:ascii="Times New Roman"/>
          <w:color w:val="auto"/>
          <w:highlight w:val="none"/>
          <w:lang w:val="en-US" w:eastAsia="zh-CN"/>
        </w:rPr>
        <w:t>5</w:t>
      </w:r>
      <w:r>
        <w:rPr>
          <w:rFonts w:ascii="Times New Roman"/>
          <w:color w:val="auto"/>
          <w:highlight w:val="none"/>
        </w:rPr>
        <w:t>A</w:t>
      </w:r>
      <w:r>
        <w:rPr>
          <w:rFonts w:hint="eastAsia" w:ascii="Times New Roman"/>
          <w:color w:val="auto"/>
          <w:highlight w:val="none"/>
        </w:rPr>
        <w:t>～</w:t>
      </w:r>
      <w:r>
        <w:rPr>
          <w:rFonts w:ascii="Times New Roman"/>
          <w:color w:val="auto"/>
          <w:highlight w:val="none"/>
        </w:rPr>
        <w:t>5000A</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d</w:t>
      </w:r>
      <w:r>
        <w:rPr>
          <w:rFonts w:hint="eastAsia" w:ascii="Times New Roman"/>
          <w:color w:val="auto"/>
          <w:highlight w:val="none"/>
        </w:rPr>
        <w:t>）故障电流连续记录时长：≥</w:t>
      </w:r>
      <w:r>
        <w:rPr>
          <w:rFonts w:ascii="Times New Roman"/>
          <w:color w:val="auto"/>
          <w:highlight w:val="none"/>
        </w:rPr>
        <w:t>500ms</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e</w:t>
      </w:r>
      <w:r>
        <w:rPr>
          <w:rFonts w:hint="eastAsia" w:ascii="Times New Roman"/>
          <w:color w:val="auto"/>
          <w:highlight w:val="none"/>
        </w:rPr>
        <w:t>）故障电流测量幅值参数误差：</w:t>
      </w:r>
      <w:r>
        <w:rPr>
          <w:rFonts w:ascii="Times New Roman"/>
          <w:color w:val="auto"/>
          <w:highlight w:val="none"/>
        </w:rPr>
        <w:t>±</w:t>
      </w:r>
      <w:r>
        <w:rPr>
          <w:rFonts w:hint="eastAsia" w:ascii="Times New Roman"/>
          <w:color w:val="auto"/>
          <w:highlight w:val="none"/>
        </w:rPr>
        <w:t>5</w:t>
      </w:r>
      <w:r>
        <w:rPr>
          <w:rFonts w:ascii="Times New Roman"/>
          <w:color w:val="auto"/>
          <w:highlight w:val="none"/>
        </w:rPr>
        <w:t>%</w:t>
      </w:r>
      <w:r>
        <w:rPr>
          <w:rFonts w:hint="eastAsia" w:ascii="Times New Roman"/>
          <w:color w:val="auto"/>
          <w:highlight w:val="none"/>
        </w:rPr>
        <w:t>（当工频故障电流≤100A时，测量误差为</w:t>
      </w:r>
      <w:r>
        <w:rPr>
          <w:rFonts w:ascii="Times New Roman"/>
          <w:color w:val="auto"/>
          <w:highlight w:val="none"/>
        </w:rPr>
        <w:t>±</w:t>
      </w:r>
      <w:r>
        <w:rPr>
          <w:rFonts w:hint="eastAsia" w:ascii="Times New Roman"/>
          <w:color w:val="auto"/>
          <w:highlight w:val="none"/>
        </w:rPr>
        <w:t>5</w:t>
      </w:r>
      <w:r>
        <w:rPr>
          <w:rFonts w:ascii="Times New Roman"/>
          <w:color w:val="auto"/>
          <w:highlight w:val="none"/>
        </w:rPr>
        <w:t>A</w:t>
      </w:r>
      <w:r>
        <w:rPr>
          <w:rFonts w:hint="eastAsia" w:ascii="Times New Roman"/>
          <w:color w:val="auto"/>
          <w:highlight w:val="none"/>
        </w:rPr>
        <w:t>）。</w:t>
      </w:r>
    </w:p>
    <w:p>
      <w:pPr>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lang w:val="en-US" w:eastAsia="zh-CN"/>
        </w:rPr>
        <w:t xml:space="preserve">5.3.2.3 </w:t>
      </w:r>
      <w:r>
        <w:rPr>
          <w:rFonts w:hint="eastAsia" w:ascii="黑体" w:hAnsi="黑体" w:eastAsia="黑体"/>
          <w:color w:val="auto"/>
          <w:kern w:val="0"/>
          <w:szCs w:val="21"/>
          <w:highlight w:val="none"/>
        </w:rPr>
        <w:t>故障诊断功能</w:t>
      </w:r>
    </w:p>
    <w:p>
      <w:pPr>
        <w:ind w:firstLine="420" w:firstLineChars="200"/>
        <w:jc w:val="left"/>
        <w:rPr>
          <w:color w:val="auto"/>
          <w:highlight w:val="none"/>
        </w:rPr>
      </w:pPr>
      <w:r>
        <w:rPr>
          <w:rFonts w:hint="eastAsia"/>
          <w:color w:val="auto"/>
          <w:highlight w:val="none"/>
        </w:rPr>
        <w:t>a）故障区间定位准确率≥95%；（区间定位准确率=区间定位准确次数/总定位次数*100%）</w:t>
      </w:r>
    </w:p>
    <w:p>
      <w:pPr>
        <w:ind w:firstLine="420" w:firstLineChars="200"/>
        <w:jc w:val="left"/>
        <w:rPr>
          <w:color w:val="auto"/>
          <w:highlight w:val="none"/>
        </w:rPr>
      </w:pPr>
      <w:r>
        <w:rPr>
          <w:rFonts w:hint="eastAsia"/>
          <w:color w:val="auto"/>
          <w:highlight w:val="none"/>
        </w:rPr>
        <w:t>b）故障定位精度≤300米；</w:t>
      </w:r>
    </w:p>
    <w:p>
      <w:pPr>
        <w:ind w:firstLine="420" w:firstLineChars="200"/>
        <w:jc w:val="left"/>
        <w:rPr>
          <w:color w:val="auto"/>
          <w:highlight w:val="none"/>
        </w:rPr>
      </w:pPr>
      <w:r>
        <w:rPr>
          <w:rFonts w:hint="eastAsia"/>
          <w:color w:val="auto"/>
          <w:highlight w:val="none"/>
        </w:rPr>
        <w:t>c）雷击与非雷击故障辨识准确率≥95%；（故障辨识准确率=雷击与非雷击故障辨识准确次数/总辨识次数*100%）</w:t>
      </w:r>
    </w:p>
    <w:p>
      <w:pPr>
        <w:ind w:firstLine="420" w:firstLineChars="200"/>
        <w:jc w:val="left"/>
        <w:rPr>
          <w:color w:val="auto"/>
          <w:highlight w:val="none"/>
        </w:rPr>
      </w:pPr>
      <w:r>
        <w:rPr>
          <w:rFonts w:hint="eastAsia"/>
          <w:color w:val="auto"/>
          <w:highlight w:val="none"/>
        </w:rPr>
        <w:t>d）绕击和反击识别准确率≥90%；（绕击和反击识别准确率=绕击和反击识别准确次数/总识别次数*100%）</w:t>
      </w:r>
    </w:p>
    <w:p>
      <w:pPr>
        <w:ind w:firstLine="420" w:firstLineChars="200"/>
        <w:jc w:val="left"/>
        <w:rPr>
          <w:color w:val="auto"/>
          <w:highlight w:val="none"/>
        </w:rPr>
      </w:pPr>
      <w:r>
        <w:rPr>
          <w:rFonts w:hint="eastAsia"/>
          <w:color w:val="auto"/>
          <w:highlight w:val="none"/>
        </w:rPr>
        <w:t>e）故障跳闸告警时间≤5分钟；</w:t>
      </w:r>
    </w:p>
    <w:p>
      <w:pPr>
        <w:ind w:firstLine="420" w:firstLineChars="200"/>
        <w:jc w:val="left"/>
        <w:rPr>
          <w:color w:val="auto"/>
          <w:highlight w:val="none"/>
        </w:rPr>
      </w:pPr>
      <w:r>
        <w:rPr>
          <w:rFonts w:hint="eastAsia"/>
          <w:color w:val="auto"/>
          <w:highlight w:val="none"/>
        </w:rPr>
        <w:t>f）故障诊断结果告警时长≤30分钟；</w:t>
      </w:r>
    </w:p>
    <w:p>
      <w:pPr>
        <w:ind w:firstLine="420" w:firstLineChars="200"/>
        <w:jc w:val="left"/>
        <w:rPr>
          <w:color w:val="auto"/>
          <w:highlight w:val="none"/>
        </w:rPr>
      </w:pPr>
      <w:r>
        <w:rPr>
          <w:rFonts w:hint="eastAsia"/>
          <w:color w:val="auto"/>
          <w:highlight w:val="none"/>
        </w:rPr>
        <w:t>g) 宜具备重合闸判断功能。</w:t>
      </w:r>
    </w:p>
    <w:p>
      <w:pPr>
        <w:widowControl/>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lang w:val="en-US" w:eastAsia="zh-CN"/>
        </w:rPr>
        <w:t>5.3.2.4</w:t>
      </w:r>
      <w:r>
        <w:rPr>
          <w:rFonts w:hint="eastAsia" w:ascii="黑体" w:hAnsi="黑体" w:eastAsia="黑体"/>
          <w:color w:val="auto"/>
          <w:kern w:val="0"/>
          <w:szCs w:val="21"/>
          <w:highlight w:val="none"/>
        </w:rPr>
        <w:t>取电方式</w:t>
      </w:r>
    </w:p>
    <w:p>
      <w:pPr>
        <w:pStyle w:val="166"/>
        <w:widowControl/>
        <w:spacing w:before="120" w:beforeLines="50" w:after="120" w:afterLines="50"/>
        <w:ind w:firstLine="420"/>
        <w:jc w:val="left"/>
        <w:outlineLvl w:val="3"/>
        <w:rPr>
          <w:rFonts w:hint="eastAsia" w:ascii="黑体" w:hAnsi="黑体" w:eastAsia="黑体"/>
          <w:color w:val="auto"/>
          <w:kern w:val="0"/>
          <w:szCs w:val="21"/>
          <w:highlight w:val="none"/>
          <w:lang w:val="en-US" w:eastAsia="zh-CN"/>
        </w:rPr>
      </w:pPr>
      <w:r>
        <w:rPr>
          <w:rFonts w:hint="eastAsia" w:ascii="Times New Roman"/>
          <w:color w:val="auto"/>
          <w:highlight w:val="none"/>
        </w:rPr>
        <w:t>直流线路应以太阳能供电为主，蓄电池单独供电时间应大于</w:t>
      </w:r>
      <w:r>
        <w:rPr>
          <w:rFonts w:ascii="Times New Roman"/>
          <w:color w:val="auto"/>
          <w:highlight w:val="none"/>
        </w:rPr>
        <w:t>20</w:t>
      </w:r>
      <w:r>
        <w:rPr>
          <w:rFonts w:hint="eastAsia" w:ascii="Times New Roman"/>
          <w:color w:val="auto"/>
          <w:highlight w:val="none"/>
        </w:rPr>
        <w:t>天。</w:t>
      </w:r>
    </w:p>
    <w:p>
      <w:pPr>
        <w:widowControl/>
        <w:spacing w:before="120" w:beforeLines="50" w:after="120" w:afterLines="50"/>
        <w:jc w:val="left"/>
        <w:outlineLvl w:val="3"/>
        <w:rPr>
          <w:rFonts w:hint="eastAsia" w:ascii="黑体" w:hAnsi="黑体" w:eastAsia="黑体"/>
          <w:color w:val="auto"/>
          <w:kern w:val="0"/>
          <w:szCs w:val="21"/>
          <w:highlight w:val="none"/>
          <w:lang w:val="en-US" w:eastAsia="zh-CN"/>
        </w:rPr>
      </w:pPr>
      <w:r>
        <w:rPr>
          <w:rFonts w:hint="eastAsia" w:ascii="黑体" w:hAnsi="黑体" w:eastAsia="黑体"/>
          <w:color w:val="auto"/>
          <w:kern w:val="0"/>
          <w:szCs w:val="21"/>
          <w:highlight w:val="none"/>
          <w:lang w:val="en-US" w:eastAsia="zh-CN"/>
        </w:rPr>
        <w:t>5.3.3 地线融冰故障精确定位装置</w:t>
      </w:r>
    </w:p>
    <w:p>
      <w:pPr>
        <w:widowControl/>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lang w:val="en-US" w:eastAsia="zh-CN"/>
        </w:rPr>
        <w:t>5.3.3.1</w:t>
      </w:r>
      <w:r>
        <w:rPr>
          <w:rFonts w:hint="eastAsia" w:ascii="黑体" w:hAnsi="黑体" w:eastAsia="黑体"/>
          <w:color w:val="auto"/>
          <w:kern w:val="0"/>
          <w:szCs w:val="21"/>
          <w:highlight w:val="none"/>
        </w:rPr>
        <w:t xml:space="preserve"> 行波电流测量</w:t>
      </w:r>
    </w:p>
    <w:p>
      <w:pPr>
        <w:pStyle w:val="166"/>
        <w:spacing w:line="360" w:lineRule="auto"/>
        <w:ind w:firstLine="420"/>
        <w:rPr>
          <w:rFonts w:ascii="Times New Roman"/>
          <w:color w:val="auto"/>
          <w:highlight w:val="none"/>
        </w:rPr>
      </w:pPr>
      <w:r>
        <w:rPr>
          <w:rFonts w:hint="eastAsia" w:ascii="Times New Roman"/>
          <w:color w:val="auto"/>
          <w:highlight w:val="none"/>
        </w:rPr>
        <w:t>监测装置行波电流测量应满足以下要求：</w:t>
      </w:r>
    </w:p>
    <w:p>
      <w:pPr>
        <w:pStyle w:val="166"/>
        <w:spacing w:line="360" w:lineRule="auto"/>
        <w:ind w:firstLine="420"/>
        <w:rPr>
          <w:rFonts w:ascii="Times New Roman"/>
          <w:color w:val="auto"/>
          <w:highlight w:val="none"/>
        </w:rPr>
      </w:pPr>
      <w:r>
        <w:rPr>
          <w:rFonts w:ascii="Times New Roman"/>
          <w:color w:val="auto"/>
          <w:highlight w:val="none"/>
        </w:rPr>
        <w:t>a</w:t>
      </w:r>
      <w:r>
        <w:rPr>
          <w:rFonts w:hint="eastAsia" w:ascii="Times New Roman"/>
          <w:color w:val="auto"/>
          <w:highlight w:val="none"/>
        </w:rPr>
        <w:t>）行波电流传感器频响范围：</w:t>
      </w:r>
      <w:r>
        <w:rPr>
          <w:rFonts w:ascii="Times New Roman"/>
          <w:color w:val="auto"/>
          <w:highlight w:val="none"/>
        </w:rPr>
        <w:t>1kHz</w:t>
      </w:r>
      <w:r>
        <w:rPr>
          <w:rFonts w:hint="eastAsia" w:ascii="Times New Roman"/>
          <w:color w:val="auto"/>
          <w:highlight w:val="none"/>
        </w:rPr>
        <w:t>～</w:t>
      </w:r>
      <w:r>
        <w:rPr>
          <w:rFonts w:ascii="Times New Roman"/>
          <w:color w:val="auto"/>
          <w:highlight w:val="none"/>
        </w:rPr>
        <w:t>1MHz</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hint="eastAsia" w:ascii="Times New Roman"/>
          <w:color w:val="auto"/>
          <w:highlight w:val="none"/>
        </w:rPr>
        <w:t>b）行波电流采样率：≥2</w:t>
      </w:r>
      <w:r>
        <w:rPr>
          <w:rFonts w:ascii="Times New Roman"/>
          <w:color w:val="auto"/>
          <w:highlight w:val="none"/>
        </w:rPr>
        <w:t>MHz</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c</w:t>
      </w:r>
      <w:r>
        <w:rPr>
          <w:rFonts w:hint="eastAsia" w:ascii="Times New Roman"/>
          <w:color w:val="auto"/>
          <w:highlight w:val="none"/>
        </w:rPr>
        <w:t>）单导线行波电流</w:t>
      </w:r>
      <w:r>
        <w:rPr>
          <w:rFonts w:hint="eastAsia" w:ascii="Times New Roman"/>
          <w:color w:val="auto"/>
          <w:highlight w:val="none"/>
          <w:lang w:val="en-US" w:eastAsia="zh-CN"/>
        </w:rPr>
        <w:tab/>
      </w:r>
      <w:r>
        <w:rPr>
          <w:rFonts w:hint="eastAsia" w:ascii="Times New Roman"/>
          <w:color w:val="auto"/>
          <w:highlight w:val="none"/>
        </w:rPr>
        <w:t>：5A～</w:t>
      </w:r>
      <w:r>
        <w:rPr>
          <w:rFonts w:ascii="Times New Roman"/>
          <w:color w:val="auto"/>
          <w:highlight w:val="none"/>
        </w:rPr>
        <w:t>5000A</w:t>
      </w:r>
      <w:r>
        <w:rPr>
          <w:rFonts w:hint="eastAsia" w:ascii="Times New Roman"/>
          <w:color w:val="auto"/>
          <w:highlight w:val="none"/>
        </w:rPr>
        <w:t>（峰值）；</w:t>
      </w:r>
    </w:p>
    <w:p>
      <w:pPr>
        <w:pStyle w:val="166"/>
        <w:spacing w:line="360" w:lineRule="auto"/>
        <w:ind w:firstLine="420"/>
        <w:rPr>
          <w:rFonts w:ascii="Times New Roman"/>
          <w:color w:val="auto"/>
          <w:highlight w:val="none"/>
        </w:rPr>
      </w:pPr>
      <w:r>
        <w:rPr>
          <w:rFonts w:ascii="Times New Roman"/>
          <w:color w:val="auto"/>
          <w:highlight w:val="none"/>
        </w:rPr>
        <w:t xml:space="preserve">d) </w:t>
      </w:r>
      <w:r>
        <w:rPr>
          <w:rFonts w:hint="eastAsia" w:ascii="Times New Roman"/>
          <w:color w:val="auto"/>
          <w:highlight w:val="none"/>
        </w:rPr>
        <w:t>行波电流连续记录时长：≥</w:t>
      </w:r>
      <w:r>
        <w:rPr>
          <w:rFonts w:ascii="Times New Roman"/>
          <w:color w:val="auto"/>
          <w:highlight w:val="none"/>
        </w:rPr>
        <w:t>1000</w:t>
      </w:r>
      <w:r>
        <w:rPr>
          <w:color w:val="auto"/>
          <w:highlight w:val="none"/>
        </w:rPr>
        <w:t>μ</w:t>
      </w:r>
      <w:r>
        <w:rPr>
          <w:rFonts w:hint="eastAsia"/>
          <w:color w:val="auto"/>
          <w:highlight w:val="none"/>
        </w:rPr>
        <w:t>s</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 xml:space="preserve">e) </w:t>
      </w:r>
      <w:r>
        <w:rPr>
          <w:rFonts w:hint="eastAsia" w:ascii="Times New Roman"/>
          <w:color w:val="auto"/>
          <w:highlight w:val="none"/>
        </w:rPr>
        <w:t>行波电流测量时间参数误差：</w:t>
      </w:r>
      <w:r>
        <w:rPr>
          <w:rFonts w:ascii="Times New Roman"/>
          <w:color w:val="auto"/>
          <w:highlight w:val="none"/>
        </w:rPr>
        <w:t>±10%</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f</w:t>
      </w:r>
      <w:r>
        <w:rPr>
          <w:rFonts w:hint="eastAsia" w:ascii="Times New Roman"/>
          <w:color w:val="auto"/>
          <w:highlight w:val="none"/>
        </w:rPr>
        <w:t>）行波电流测量幅值参数误差：</w:t>
      </w:r>
      <w:r>
        <w:rPr>
          <w:rFonts w:ascii="Times New Roman"/>
          <w:color w:val="auto"/>
          <w:highlight w:val="none"/>
        </w:rPr>
        <w:t>±</w:t>
      </w:r>
      <w:r>
        <w:rPr>
          <w:rFonts w:hint="eastAsia" w:ascii="Times New Roman"/>
          <w:color w:val="auto"/>
          <w:highlight w:val="none"/>
        </w:rPr>
        <w:t>10</w:t>
      </w:r>
      <w:r>
        <w:rPr>
          <w:rFonts w:ascii="Times New Roman"/>
          <w:color w:val="auto"/>
          <w:highlight w:val="none"/>
        </w:rPr>
        <w:t>%</w:t>
      </w:r>
      <w:r>
        <w:rPr>
          <w:rFonts w:hint="eastAsia" w:ascii="Times New Roman"/>
          <w:color w:val="auto"/>
          <w:highlight w:val="none"/>
        </w:rPr>
        <w:t>（当行波电流≤40A时，测量误差为</w:t>
      </w:r>
      <w:r>
        <w:rPr>
          <w:rFonts w:ascii="Times New Roman"/>
          <w:color w:val="auto"/>
          <w:highlight w:val="none"/>
        </w:rPr>
        <w:t>±</w:t>
      </w:r>
      <w:r>
        <w:rPr>
          <w:rFonts w:hint="eastAsia" w:ascii="Times New Roman"/>
          <w:color w:val="auto"/>
          <w:highlight w:val="none"/>
        </w:rPr>
        <w:t>4</w:t>
      </w:r>
      <w:r>
        <w:rPr>
          <w:rFonts w:ascii="Times New Roman"/>
          <w:color w:val="auto"/>
          <w:highlight w:val="none"/>
        </w:rPr>
        <w:t>A</w:t>
      </w:r>
      <w:r>
        <w:rPr>
          <w:rFonts w:hint="eastAsia" w:ascii="Times New Roman"/>
          <w:color w:val="auto"/>
          <w:highlight w:val="none"/>
        </w:rPr>
        <w:t>）。</w:t>
      </w:r>
    </w:p>
    <w:p>
      <w:pPr>
        <w:widowControl/>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lang w:val="en-US" w:eastAsia="zh-CN"/>
        </w:rPr>
        <w:t>5.3.3.2 地线融冰故障电流测量</w:t>
      </w:r>
    </w:p>
    <w:p>
      <w:pPr>
        <w:pStyle w:val="166"/>
        <w:spacing w:line="360" w:lineRule="auto"/>
        <w:ind w:firstLine="420"/>
        <w:rPr>
          <w:rFonts w:ascii="Times New Roman"/>
          <w:color w:val="auto"/>
          <w:highlight w:val="none"/>
        </w:rPr>
      </w:pPr>
      <w:r>
        <w:rPr>
          <w:rFonts w:hint="eastAsia" w:ascii="Times New Roman"/>
          <w:color w:val="auto"/>
          <w:highlight w:val="none"/>
        </w:rPr>
        <w:t>监测装置地线融冰</w:t>
      </w:r>
      <w:r>
        <w:rPr>
          <w:rFonts w:hint="eastAsia" w:ascii="Times New Roman"/>
          <w:color w:val="auto"/>
          <w:highlight w:val="none"/>
          <w:lang w:val="en-US" w:eastAsia="zh-CN"/>
        </w:rPr>
        <w:t>故障电流</w:t>
      </w:r>
      <w:r>
        <w:rPr>
          <w:rFonts w:hint="eastAsia" w:ascii="Times New Roman"/>
          <w:color w:val="auto"/>
          <w:highlight w:val="none"/>
        </w:rPr>
        <w:t>测量应满足以下要求：</w:t>
      </w:r>
    </w:p>
    <w:p>
      <w:pPr>
        <w:pStyle w:val="166"/>
        <w:spacing w:line="360" w:lineRule="auto"/>
        <w:ind w:firstLine="420"/>
        <w:rPr>
          <w:rFonts w:ascii="Times New Roman"/>
          <w:color w:val="auto"/>
          <w:highlight w:val="none"/>
        </w:rPr>
      </w:pPr>
      <w:r>
        <w:rPr>
          <w:rFonts w:ascii="Times New Roman"/>
          <w:color w:val="auto"/>
          <w:highlight w:val="none"/>
        </w:rPr>
        <w:t>a</w:t>
      </w:r>
      <w:r>
        <w:rPr>
          <w:rFonts w:hint="eastAsia" w:ascii="Times New Roman"/>
          <w:color w:val="auto"/>
          <w:highlight w:val="none"/>
        </w:rPr>
        <w:t>）故障电流传感器频响范围：0</w:t>
      </w:r>
      <w:r>
        <w:rPr>
          <w:rFonts w:ascii="Times New Roman"/>
          <w:color w:val="auto"/>
          <w:highlight w:val="none"/>
        </w:rPr>
        <w:t>Hz</w:t>
      </w:r>
      <w:r>
        <w:rPr>
          <w:rFonts w:hint="eastAsia" w:ascii="Times New Roman"/>
          <w:color w:val="auto"/>
          <w:highlight w:val="none"/>
        </w:rPr>
        <w:t>～</w:t>
      </w:r>
      <w:r>
        <w:rPr>
          <w:rFonts w:ascii="Times New Roman"/>
          <w:color w:val="auto"/>
          <w:highlight w:val="none"/>
        </w:rPr>
        <w:t>1kHz</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b</w:t>
      </w:r>
      <w:r>
        <w:rPr>
          <w:rFonts w:hint="eastAsia" w:ascii="Times New Roman"/>
          <w:color w:val="auto"/>
          <w:highlight w:val="none"/>
        </w:rPr>
        <w:t>）故障电流采样率：≥</w:t>
      </w:r>
      <w:r>
        <w:rPr>
          <w:rFonts w:ascii="Times New Roman"/>
          <w:color w:val="auto"/>
          <w:highlight w:val="none"/>
        </w:rPr>
        <w:t>2kHz</w:t>
      </w:r>
      <w:r>
        <w:rPr>
          <w:rFonts w:hint="eastAsia" w:ascii="Times New Roman"/>
          <w:color w:val="auto"/>
          <w:highlight w:val="none"/>
        </w:rPr>
        <w:t>；</w:t>
      </w:r>
    </w:p>
    <w:p>
      <w:pPr>
        <w:pStyle w:val="166"/>
        <w:spacing w:line="360" w:lineRule="auto"/>
        <w:ind w:firstLine="420"/>
        <w:rPr>
          <w:rFonts w:ascii="Times New Roman"/>
          <w:color w:val="auto"/>
          <w:highlight w:val="none"/>
        </w:rPr>
      </w:pPr>
      <w:r>
        <w:rPr>
          <w:rFonts w:ascii="Times New Roman"/>
          <w:color w:val="auto"/>
          <w:highlight w:val="none"/>
        </w:rPr>
        <w:t>c</w:t>
      </w:r>
      <w:r>
        <w:rPr>
          <w:rFonts w:hint="eastAsia" w:ascii="Times New Roman"/>
          <w:color w:val="auto"/>
          <w:highlight w:val="none"/>
        </w:rPr>
        <w:t>）故障电流测量范围：</w:t>
      </w:r>
      <w:r>
        <w:rPr>
          <w:rFonts w:hint="eastAsia" w:ascii="Times New Roman"/>
          <w:color w:val="auto"/>
          <w:highlight w:val="none"/>
          <w:lang w:val="en-US" w:eastAsia="zh-CN"/>
        </w:rPr>
        <w:t>5</w:t>
      </w:r>
      <w:r>
        <w:rPr>
          <w:rFonts w:ascii="Times New Roman"/>
          <w:color w:val="auto"/>
          <w:highlight w:val="none"/>
        </w:rPr>
        <w:t>A</w:t>
      </w:r>
      <w:r>
        <w:rPr>
          <w:rFonts w:hint="eastAsia" w:ascii="Times New Roman"/>
          <w:color w:val="auto"/>
          <w:highlight w:val="none"/>
        </w:rPr>
        <w:t>～</w:t>
      </w:r>
      <w:r>
        <w:rPr>
          <w:rFonts w:hint="eastAsia" w:ascii="Times New Roman"/>
          <w:color w:val="auto"/>
          <w:highlight w:val="none"/>
          <w:lang w:val="en-US" w:eastAsia="zh-CN"/>
        </w:rPr>
        <w:t>50</w:t>
      </w:r>
      <w:r>
        <w:rPr>
          <w:rFonts w:ascii="Times New Roman"/>
          <w:color w:val="auto"/>
          <w:highlight w:val="none"/>
        </w:rPr>
        <w:t>00A</w:t>
      </w:r>
      <w:r>
        <w:rPr>
          <w:rFonts w:hint="eastAsia" w:ascii="Times New Roman"/>
          <w:color w:val="auto"/>
          <w:highlight w:val="none"/>
        </w:rPr>
        <w:t>（有效值）；</w:t>
      </w:r>
    </w:p>
    <w:p>
      <w:pPr>
        <w:pStyle w:val="166"/>
        <w:spacing w:line="360" w:lineRule="auto"/>
        <w:ind w:firstLine="420"/>
        <w:rPr>
          <w:rFonts w:ascii="Times New Roman"/>
          <w:color w:val="auto"/>
          <w:highlight w:val="none"/>
        </w:rPr>
      </w:pPr>
      <w:r>
        <w:rPr>
          <w:rFonts w:ascii="Times New Roman"/>
          <w:color w:val="auto"/>
          <w:highlight w:val="none"/>
        </w:rPr>
        <w:t>d</w:t>
      </w:r>
      <w:r>
        <w:rPr>
          <w:rFonts w:hint="eastAsia" w:ascii="Times New Roman"/>
          <w:color w:val="auto"/>
          <w:highlight w:val="none"/>
        </w:rPr>
        <w:t>）故障电流连续记录时长：≥</w:t>
      </w:r>
      <w:r>
        <w:rPr>
          <w:rFonts w:ascii="Times New Roman"/>
          <w:color w:val="auto"/>
          <w:highlight w:val="none"/>
        </w:rPr>
        <w:t>500ms</w:t>
      </w:r>
      <w:r>
        <w:rPr>
          <w:rFonts w:hint="eastAsia" w:ascii="Times New Roman"/>
          <w:color w:val="auto"/>
          <w:highlight w:val="none"/>
        </w:rPr>
        <w:t>；</w:t>
      </w:r>
    </w:p>
    <w:p>
      <w:pPr>
        <w:pStyle w:val="166"/>
        <w:spacing w:line="360" w:lineRule="auto"/>
        <w:ind w:firstLine="420"/>
        <w:rPr>
          <w:rFonts w:hint="eastAsia" w:ascii="Times New Roman"/>
          <w:color w:val="auto"/>
          <w:highlight w:val="none"/>
        </w:rPr>
      </w:pPr>
      <w:r>
        <w:rPr>
          <w:rFonts w:ascii="Times New Roman"/>
          <w:color w:val="auto"/>
          <w:highlight w:val="none"/>
        </w:rPr>
        <w:t>e</w:t>
      </w:r>
      <w:r>
        <w:rPr>
          <w:rFonts w:hint="eastAsia" w:ascii="Times New Roman"/>
          <w:color w:val="auto"/>
          <w:highlight w:val="none"/>
        </w:rPr>
        <w:t>）故障电流测量幅值参数误差：</w:t>
      </w:r>
      <w:r>
        <w:rPr>
          <w:rFonts w:ascii="Times New Roman"/>
          <w:color w:val="auto"/>
          <w:highlight w:val="none"/>
        </w:rPr>
        <w:t>±</w:t>
      </w:r>
      <w:r>
        <w:rPr>
          <w:rFonts w:hint="eastAsia" w:ascii="Times New Roman"/>
          <w:color w:val="auto"/>
          <w:highlight w:val="none"/>
        </w:rPr>
        <w:t>5</w:t>
      </w:r>
      <w:r>
        <w:rPr>
          <w:rFonts w:ascii="Times New Roman"/>
          <w:color w:val="auto"/>
          <w:highlight w:val="none"/>
        </w:rPr>
        <w:t>%</w:t>
      </w:r>
      <w:r>
        <w:rPr>
          <w:rFonts w:hint="eastAsia" w:ascii="Times New Roman"/>
          <w:color w:val="auto"/>
          <w:highlight w:val="none"/>
        </w:rPr>
        <w:t>（当工频故障电流≤100A时，测量误差为</w:t>
      </w:r>
      <w:r>
        <w:rPr>
          <w:rFonts w:ascii="Times New Roman"/>
          <w:color w:val="auto"/>
          <w:highlight w:val="none"/>
        </w:rPr>
        <w:t>±</w:t>
      </w:r>
      <w:r>
        <w:rPr>
          <w:rFonts w:hint="eastAsia" w:ascii="Times New Roman"/>
          <w:color w:val="auto"/>
          <w:highlight w:val="none"/>
        </w:rPr>
        <w:t>5</w:t>
      </w:r>
      <w:r>
        <w:rPr>
          <w:rFonts w:ascii="Times New Roman"/>
          <w:color w:val="auto"/>
          <w:highlight w:val="none"/>
        </w:rPr>
        <w:t>A</w:t>
      </w:r>
      <w:r>
        <w:rPr>
          <w:rFonts w:hint="eastAsia" w:ascii="Times New Roman"/>
          <w:color w:val="auto"/>
          <w:highlight w:val="none"/>
        </w:rPr>
        <w:t>）。</w:t>
      </w:r>
    </w:p>
    <w:p>
      <w:pPr>
        <w:widowControl/>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lang w:val="en-US" w:eastAsia="zh-CN"/>
        </w:rPr>
        <w:t>5.3.3.3 地线温度测量</w:t>
      </w:r>
    </w:p>
    <w:p>
      <w:pPr>
        <w:pStyle w:val="427"/>
        <w:numPr>
          <w:ilvl w:val="0"/>
          <w:numId w:val="0"/>
        </w:numPr>
        <w:ind w:left="420" w:leftChars="0"/>
        <w:rPr>
          <w:color w:val="auto"/>
          <w:highlight w:val="none"/>
        </w:rPr>
      </w:pPr>
      <w:r>
        <w:rPr>
          <w:rFonts w:ascii="Times New Roman"/>
          <w:color w:val="auto"/>
          <w:highlight w:val="none"/>
        </w:rPr>
        <w:t>a</w:t>
      </w:r>
      <w:r>
        <w:rPr>
          <w:rFonts w:hint="eastAsia" w:ascii="Times New Roman"/>
          <w:color w:val="auto"/>
          <w:highlight w:val="none"/>
        </w:rPr>
        <w:t>）</w:t>
      </w:r>
      <w:r>
        <w:rPr>
          <w:rFonts w:hint="eastAsia"/>
          <w:color w:val="auto"/>
          <w:highlight w:val="none"/>
        </w:rPr>
        <w:t>测量范围：-40℃～+120℃；</w:t>
      </w:r>
    </w:p>
    <w:p>
      <w:pPr>
        <w:pStyle w:val="427"/>
        <w:numPr>
          <w:ilvl w:val="0"/>
          <w:numId w:val="0"/>
        </w:numPr>
        <w:ind w:left="420" w:leftChars="0"/>
        <w:rPr>
          <w:color w:val="auto"/>
          <w:highlight w:val="none"/>
        </w:rPr>
      </w:pPr>
      <w:r>
        <w:rPr>
          <w:rFonts w:ascii="Times New Roman"/>
          <w:color w:val="auto"/>
          <w:highlight w:val="none"/>
        </w:rPr>
        <w:t>b</w:t>
      </w:r>
      <w:r>
        <w:rPr>
          <w:rFonts w:hint="eastAsia" w:ascii="Times New Roman"/>
          <w:color w:val="auto"/>
          <w:highlight w:val="none"/>
        </w:rPr>
        <w:t>）</w:t>
      </w:r>
      <w:r>
        <w:rPr>
          <w:rFonts w:hint="eastAsia"/>
          <w:color w:val="auto"/>
          <w:highlight w:val="none"/>
        </w:rPr>
        <w:t>准确度：±</w:t>
      </w:r>
      <w:r>
        <w:rPr>
          <w:color w:val="auto"/>
          <w:highlight w:val="none"/>
        </w:rPr>
        <w:t>2</w:t>
      </w:r>
      <w:r>
        <w:rPr>
          <w:rFonts w:hint="eastAsia"/>
          <w:color w:val="auto"/>
          <w:highlight w:val="none"/>
        </w:rPr>
        <w:t>℃；</w:t>
      </w:r>
    </w:p>
    <w:p>
      <w:pPr>
        <w:pStyle w:val="427"/>
        <w:numPr>
          <w:ilvl w:val="0"/>
          <w:numId w:val="0"/>
        </w:numPr>
        <w:ind w:left="420" w:leftChars="0"/>
        <w:rPr>
          <w:rFonts w:hint="eastAsia"/>
          <w:color w:val="auto"/>
          <w:highlight w:val="none"/>
        </w:rPr>
      </w:pPr>
      <w:r>
        <w:rPr>
          <w:rFonts w:ascii="Times New Roman"/>
          <w:color w:val="auto"/>
          <w:highlight w:val="none"/>
        </w:rPr>
        <w:t>c</w:t>
      </w:r>
      <w:r>
        <w:rPr>
          <w:rFonts w:hint="eastAsia" w:ascii="Times New Roman"/>
          <w:color w:val="auto"/>
          <w:highlight w:val="none"/>
        </w:rPr>
        <w:t>）</w:t>
      </w:r>
      <w:r>
        <w:rPr>
          <w:rFonts w:hint="eastAsia"/>
          <w:color w:val="auto"/>
          <w:highlight w:val="none"/>
        </w:rPr>
        <w:t>分辨力：0.1℃。</w:t>
      </w:r>
    </w:p>
    <w:p>
      <w:pPr>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lang w:val="en-US" w:eastAsia="zh-CN"/>
        </w:rPr>
        <w:t xml:space="preserve">5.3.3.4 </w:t>
      </w:r>
      <w:r>
        <w:rPr>
          <w:rFonts w:hint="eastAsia" w:ascii="黑体" w:hAnsi="黑体" w:eastAsia="黑体"/>
          <w:color w:val="auto"/>
          <w:kern w:val="0"/>
          <w:szCs w:val="21"/>
          <w:highlight w:val="none"/>
        </w:rPr>
        <w:t>故障诊断功能</w:t>
      </w:r>
    </w:p>
    <w:p>
      <w:pPr>
        <w:ind w:firstLine="420" w:firstLineChars="200"/>
        <w:jc w:val="left"/>
        <w:rPr>
          <w:color w:val="auto"/>
          <w:highlight w:val="none"/>
        </w:rPr>
      </w:pPr>
      <w:r>
        <w:rPr>
          <w:rFonts w:hint="eastAsia"/>
          <w:color w:val="auto"/>
          <w:highlight w:val="none"/>
        </w:rPr>
        <w:t>a）故障区间定位准确率≥95%；（区间定位准确率=区间定位准确次数/总定位次数*100%）</w:t>
      </w:r>
    </w:p>
    <w:p>
      <w:pPr>
        <w:ind w:firstLine="420" w:firstLineChars="200"/>
        <w:jc w:val="left"/>
        <w:rPr>
          <w:color w:val="auto"/>
          <w:highlight w:val="none"/>
        </w:rPr>
      </w:pPr>
      <w:r>
        <w:rPr>
          <w:rFonts w:hint="eastAsia"/>
          <w:color w:val="auto"/>
          <w:highlight w:val="none"/>
        </w:rPr>
        <w:t>b）故障定位精度≤300米；</w:t>
      </w:r>
    </w:p>
    <w:p>
      <w:pPr>
        <w:ind w:firstLine="420" w:firstLineChars="200"/>
        <w:jc w:val="left"/>
        <w:rPr>
          <w:color w:val="auto"/>
          <w:highlight w:val="none"/>
        </w:rPr>
      </w:pPr>
      <w:r>
        <w:rPr>
          <w:rFonts w:hint="eastAsia"/>
          <w:color w:val="auto"/>
          <w:highlight w:val="none"/>
        </w:rPr>
        <w:t>c）雷击与非雷击故障辨识准确率≥95%；（故障辨识准确率=雷击与非雷击故障辨识准确次数/总辨识次数*100%）</w:t>
      </w:r>
    </w:p>
    <w:p>
      <w:pPr>
        <w:ind w:firstLine="420" w:firstLineChars="200"/>
        <w:jc w:val="left"/>
        <w:rPr>
          <w:color w:val="auto"/>
          <w:highlight w:val="none"/>
        </w:rPr>
      </w:pPr>
      <w:r>
        <w:rPr>
          <w:rFonts w:hint="eastAsia"/>
          <w:color w:val="auto"/>
          <w:highlight w:val="none"/>
        </w:rPr>
        <w:t>d）绕击和反击识别准确率≥90%；（绕击和反击识别准确率=绕击和反击识别准确次数/总识别次数*100%）</w:t>
      </w:r>
    </w:p>
    <w:p>
      <w:pPr>
        <w:ind w:firstLine="420" w:firstLineChars="200"/>
        <w:jc w:val="left"/>
        <w:rPr>
          <w:color w:val="auto"/>
          <w:highlight w:val="none"/>
        </w:rPr>
      </w:pPr>
      <w:r>
        <w:rPr>
          <w:rFonts w:hint="eastAsia"/>
          <w:color w:val="auto"/>
          <w:highlight w:val="none"/>
        </w:rPr>
        <w:t>e）故障跳闸告警时间≤5分钟；</w:t>
      </w:r>
    </w:p>
    <w:p>
      <w:pPr>
        <w:ind w:firstLine="420" w:firstLineChars="200"/>
        <w:jc w:val="left"/>
        <w:rPr>
          <w:color w:val="auto"/>
          <w:highlight w:val="none"/>
        </w:rPr>
      </w:pPr>
      <w:r>
        <w:rPr>
          <w:rFonts w:hint="eastAsia"/>
          <w:color w:val="auto"/>
          <w:highlight w:val="none"/>
        </w:rPr>
        <w:t>f）故障诊断结果告警时长≤30分钟；</w:t>
      </w:r>
    </w:p>
    <w:p>
      <w:pPr>
        <w:ind w:firstLine="420" w:firstLineChars="200"/>
        <w:jc w:val="left"/>
        <w:rPr>
          <w:color w:val="auto"/>
          <w:highlight w:val="none"/>
        </w:rPr>
      </w:pPr>
      <w:r>
        <w:rPr>
          <w:rFonts w:hint="eastAsia"/>
          <w:color w:val="auto"/>
          <w:highlight w:val="none"/>
        </w:rPr>
        <w:t>g) 宜具备重合闸判断功能。</w:t>
      </w:r>
    </w:p>
    <w:p>
      <w:pPr>
        <w:widowControl/>
        <w:spacing w:before="120" w:beforeLines="50" w:after="120" w:afterLines="50"/>
        <w:jc w:val="left"/>
        <w:outlineLvl w:val="3"/>
        <w:rPr>
          <w:rFonts w:ascii="黑体" w:hAnsi="黑体" w:eastAsia="黑体"/>
          <w:color w:val="auto"/>
          <w:kern w:val="0"/>
          <w:szCs w:val="21"/>
          <w:highlight w:val="none"/>
        </w:rPr>
      </w:pPr>
      <w:r>
        <w:rPr>
          <w:rFonts w:hint="eastAsia" w:ascii="黑体" w:hAnsi="黑体" w:eastAsia="黑体"/>
          <w:color w:val="auto"/>
          <w:kern w:val="0"/>
          <w:szCs w:val="21"/>
          <w:highlight w:val="none"/>
          <w:lang w:val="en-US" w:eastAsia="zh-CN"/>
        </w:rPr>
        <w:t>5.3.3.5</w:t>
      </w:r>
      <w:r>
        <w:rPr>
          <w:rFonts w:hint="eastAsia" w:ascii="黑体" w:hAnsi="黑体" w:eastAsia="黑体"/>
          <w:color w:val="auto"/>
          <w:kern w:val="0"/>
          <w:szCs w:val="21"/>
          <w:highlight w:val="none"/>
        </w:rPr>
        <w:t>取电方式</w:t>
      </w:r>
    </w:p>
    <w:p>
      <w:pPr>
        <w:widowControl/>
        <w:spacing w:before="0" w:beforeLines="-2147483648" w:after="0" w:afterLines="-2147483648"/>
        <w:ind w:firstLine="420" w:firstLineChars="200"/>
        <w:jc w:val="left"/>
        <w:outlineLvl w:val="9"/>
        <w:rPr>
          <w:rFonts w:hint="default" w:ascii="黑体" w:hAnsi="黑体" w:eastAsia="黑体"/>
          <w:color w:val="auto"/>
          <w:kern w:val="0"/>
          <w:szCs w:val="21"/>
          <w:highlight w:val="none"/>
          <w:lang w:val="en-US" w:eastAsia="zh-CN"/>
        </w:rPr>
      </w:pPr>
      <w:r>
        <w:rPr>
          <w:rFonts w:hint="eastAsia" w:ascii="Times New Roman"/>
          <w:color w:val="auto"/>
          <w:highlight w:val="none"/>
        </w:rPr>
        <w:t>直流线路应以太阳能供电为主，蓄电池单独供电时间应大于</w:t>
      </w:r>
      <w:r>
        <w:rPr>
          <w:rFonts w:ascii="Times New Roman"/>
          <w:color w:val="auto"/>
          <w:highlight w:val="none"/>
        </w:rPr>
        <w:t>20</w:t>
      </w:r>
      <w:r>
        <w:rPr>
          <w:rFonts w:hint="eastAsia" w:ascii="Times New Roman"/>
          <w:color w:val="auto"/>
          <w:highlight w:val="none"/>
        </w:rPr>
        <w:t>天。</w:t>
      </w:r>
    </w:p>
    <w:p>
      <w:pPr>
        <w:pStyle w:val="3"/>
        <w:numPr>
          <w:ilvl w:val="0"/>
          <w:numId w:val="0"/>
        </w:numPr>
        <w:adjustRightInd w:val="0"/>
        <w:snapToGrid w:val="0"/>
        <w:rPr>
          <w:rFonts w:ascii="黑体" w:hAnsi="黑体"/>
          <w:color w:val="auto"/>
          <w:highlight w:val="none"/>
        </w:rPr>
      </w:pPr>
      <w:bookmarkStart w:id="146" w:name="_Toc24159"/>
      <w:bookmarkStart w:id="147" w:name="_Toc170486957"/>
      <w:r>
        <w:rPr>
          <w:rFonts w:hint="eastAsia" w:ascii="黑体" w:hAnsi="黑体"/>
          <w:color w:val="auto"/>
          <w:highlight w:val="none"/>
        </w:rPr>
        <w:t>5.</w:t>
      </w:r>
      <w:r>
        <w:rPr>
          <w:rFonts w:ascii="黑体" w:hAnsi="黑体"/>
          <w:color w:val="auto"/>
          <w:highlight w:val="none"/>
        </w:rPr>
        <w:t>4</w:t>
      </w:r>
      <w:r>
        <w:rPr>
          <w:rFonts w:hint="eastAsia" w:ascii="黑体" w:hAnsi="黑体"/>
          <w:color w:val="auto"/>
          <w:highlight w:val="none"/>
        </w:rPr>
        <w:t xml:space="preserve"> 可靠性要求</w:t>
      </w:r>
      <w:bookmarkEnd w:id="146"/>
      <w:bookmarkEnd w:id="147"/>
    </w:p>
    <w:p>
      <w:pPr>
        <w:numPr>
          <w:ilvl w:val="255"/>
          <w:numId w:val="0"/>
        </w:numPr>
        <w:adjustRightInd w:val="0"/>
        <w:snapToGrid w:val="0"/>
        <w:ind w:firstLine="420" w:firstLineChars="200"/>
        <w:rPr>
          <w:color w:val="auto"/>
          <w:highlight w:val="none"/>
        </w:rPr>
      </w:pPr>
      <w:r>
        <w:rPr>
          <w:color w:val="auto"/>
          <w:highlight w:val="none"/>
        </w:rPr>
        <w:t xml:space="preserve">1) </w:t>
      </w:r>
      <w:r>
        <w:rPr>
          <w:rFonts w:hint="eastAsia"/>
          <w:color w:val="auto"/>
          <w:highlight w:val="none"/>
        </w:rPr>
        <w:t>装置主要元器件，如MCU/CPU/NPU、存储、通信、电源芯片/模组等，应采用工业级或车规级器件/模组，车规级芯片应提供认证证明。</w:t>
      </w:r>
    </w:p>
    <w:p>
      <w:pPr>
        <w:pStyle w:val="166"/>
        <w:spacing w:line="360" w:lineRule="auto"/>
        <w:ind w:firstLine="0" w:firstLineChars="0"/>
        <w:rPr>
          <w:rFonts w:ascii="Times New Roman"/>
          <w:color w:val="auto"/>
          <w:highlight w:val="none"/>
        </w:rPr>
      </w:pPr>
    </w:p>
    <w:p>
      <w:pPr>
        <w:pStyle w:val="3"/>
        <w:numPr>
          <w:ilvl w:val="0"/>
          <w:numId w:val="0"/>
        </w:numPr>
        <w:adjustRightInd w:val="0"/>
        <w:snapToGrid w:val="0"/>
        <w:rPr>
          <w:rFonts w:ascii="黑体" w:hAnsi="黑体"/>
          <w:color w:val="auto"/>
          <w:highlight w:val="none"/>
        </w:rPr>
      </w:pPr>
      <w:bookmarkStart w:id="148" w:name="_Toc170486958"/>
      <w:bookmarkStart w:id="149" w:name="_Toc21454"/>
      <w:bookmarkStart w:id="150" w:name="_Toc21159"/>
      <w:bookmarkStart w:id="151" w:name="_Toc17803"/>
      <w:bookmarkStart w:id="152" w:name="_Toc5076"/>
      <w:bookmarkStart w:id="153" w:name="_Toc24291"/>
      <w:bookmarkStart w:id="154" w:name="_Toc10469"/>
      <w:r>
        <w:rPr>
          <w:rFonts w:hint="eastAsia" w:ascii="黑体" w:hAnsi="黑体"/>
          <w:color w:val="auto"/>
          <w:highlight w:val="none"/>
        </w:rPr>
        <w:t>5.</w:t>
      </w:r>
      <w:r>
        <w:rPr>
          <w:rFonts w:ascii="黑体" w:hAnsi="黑体"/>
          <w:color w:val="auto"/>
          <w:highlight w:val="none"/>
        </w:rPr>
        <w:t>5</w:t>
      </w:r>
      <w:r>
        <w:rPr>
          <w:rFonts w:hint="eastAsia" w:ascii="黑体" w:hAnsi="黑体"/>
          <w:color w:val="auto"/>
          <w:highlight w:val="none"/>
        </w:rPr>
        <w:t xml:space="preserve"> 监测装置外观结构</w:t>
      </w:r>
      <w:bookmarkEnd w:id="148"/>
      <w:bookmarkEnd w:id="149"/>
      <w:bookmarkEnd w:id="150"/>
      <w:bookmarkEnd w:id="151"/>
      <w:bookmarkEnd w:id="152"/>
      <w:bookmarkEnd w:id="153"/>
      <w:bookmarkEnd w:id="154"/>
    </w:p>
    <w:p>
      <w:pPr>
        <w:pStyle w:val="377"/>
        <w:ind w:firstLine="420"/>
        <w:rPr>
          <w:rFonts w:eastAsia="MS UI Gothic"/>
          <w:color w:val="auto"/>
          <w:szCs w:val="21"/>
          <w:highlight w:val="none"/>
        </w:rPr>
      </w:pPr>
      <w:r>
        <w:rPr>
          <w:rFonts w:eastAsia="MS UI Gothic"/>
          <w:color w:val="auto"/>
          <w:szCs w:val="21"/>
          <w:highlight w:val="none"/>
        </w:rPr>
        <w:t>a）</w:t>
      </w:r>
      <w:r>
        <w:rPr>
          <w:color w:val="auto"/>
          <w:szCs w:val="21"/>
          <w:highlight w:val="none"/>
        </w:rPr>
        <w:t>监测装置应具有较强的环境适应性，具备防雨、防潮、</w:t>
      </w:r>
      <w:r>
        <w:rPr>
          <w:rFonts w:hint="eastAsia"/>
          <w:color w:val="auto"/>
          <w:szCs w:val="21"/>
          <w:highlight w:val="none"/>
        </w:rPr>
        <w:t>防尘、</w:t>
      </w:r>
      <w:r>
        <w:rPr>
          <w:color w:val="auto"/>
          <w:szCs w:val="21"/>
          <w:highlight w:val="none"/>
        </w:rPr>
        <w:t>防腐蚀、抗振、防雷、防电磁干扰等性能；</w:t>
      </w:r>
    </w:p>
    <w:p>
      <w:pPr>
        <w:pStyle w:val="377"/>
        <w:ind w:firstLine="420"/>
        <w:rPr>
          <w:color w:val="auto"/>
          <w:szCs w:val="21"/>
          <w:highlight w:val="none"/>
        </w:rPr>
      </w:pPr>
      <w:r>
        <w:rPr>
          <w:rFonts w:eastAsia="MS UI Gothic"/>
          <w:color w:val="auto"/>
          <w:szCs w:val="21"/>
          <w:highlight w:val="none"/>
        </w:rPr>
        <w:t>b）</w:t>
      </w:r>
      <w:r>
        <w:rPr>
          <w:color w:val="auto"/>
          <w:szCs w:val="21"/>
          <w:highlight w:val="none"/>
        </w:rPr>
        <w:t>监测</w:t>
      </w:r>
      <w:r>
        <w:rPr>
          <w:color w:val="auto"/>
          <w:highlight w:val="none"/>
        </w:rPr>
        <w:t>装置</w:t>
      </w:r>
      <w:r>
        <w:rPr>
          <w:color w:val="auto"/>
          <w:szCs w:val="21"/>
          <w:highlight w:val="none"/>
        </w:rPr>
        <w:t>应符合外壳防护等级IP66的要求。</w:t>
      </w:r>
    </w:p>
    <w:p>
      <w:pPr>
        <w:pStyle w:val="377"/>
        <w:ind w:firstLine="420"/>
        <w:rPr>
          <w:color w:val="auto"/>
          <w:szCs w:val="21"/>
          <w:highlight w:val="none"/>
        </w:rPr>
      </w:pPr>
      <w:r>
        <w:rPr>
          <w:color w:val="auto"/>
          <w:szCs w:val="21"/>
          <w:highlight w:val="none"/>
        </w:rPr>
        <w:t>c）监测</w:t>
      </w:r>
      <w:r>
        <w:rPr>
          <w:color w:val="auto"/>
          <w:highlight w:val="none"/>
        </w:rPr>
        <w:t>装置</w:t>
      </w:r>
      <w:r>
        <w:rPr>
          <w:color w:val="auto"/>
          <w:szCs w:val="21"/>
          <w:highlight w:val="none"/>
        </w:rPr>
        <w:t>的外形结构应能满足相应电压等级输电线路环境下的强电场、强磁场，结构外形设计应满足电晕放电的要求。</w:t>
      </w:r>
    </w:p>
    <w:p>
      <w:pPr>
        <w:pStyle w:val="377"/>
        <w:ind w:firstLine="420"/>
        <w:rPr>
          <w:color w:val="auto"/>
          <w:szCs w:val="21"/>
          <w:highlight w:val="none"/>
        </w:rPr>
      </w:pPr>
      <w:r>
        <w:rPr>
          <w:color w:val="auto"/>
          <w:szCs w:val="21"/>
          <w:highlight w:val="none"/>
        </w:rPr>
        <w:t>d）监测</w:t>
      </w:r>
      <w:r>
        <w:rPr>
          <w:color w:val="auto"/>
          <w:highlight w:val="none"/>
        </w:rPr>
        <w:t>装置</w:t>
      </w:r>
      <w:r>
        <w:rPr>
          <w:color w:val="auto"/>
          <w:szCs w:val="21"/>
          <w:highlight w:val="none"/>
        </w:rPr>
        <w:t>应适用于各种型号导线。</w:t>
      </w:r>
    </w:p>
    <w:p>
      <w:pPr>
        <w:pStyle w:val="377"/>
        <w:ind w:firstLine="420"/>
        <w:rPr>
          <w:color w:val="auto"/>
          <w:szCs w:val="21"/>
          <w:highlight w:val="none"/>
        </w:rPr>
      </w:pPr>
      <w:r>
        <w:rPr>
          <w:color w:val="auto"/>
          <w:szCs w:val="21"/>
          <w:highlight w:val="none"/>
        </w:rPr>
        <w:t>e）</w:t>
      </w:r>
      <w:r>
        <w:rPr>
          <w:color w:val="auto"/>
          <w:highlight w:val="none"/>
        </w:rPr>
        <w:t>安装于单根导线上的感应取能型监测装置重量应不大于5kg，太阳能型监测装置重量应不大于10kg</w:t>
      </w:r>
      <w:r>
        <w:rPr>
          <w:color w:val="auto"/>
          <w:szCs w:val="21"/>
          <w:highlight w:val="none"/>
        </w:rPr>
        <w:t>。</w:t>
      </w:r>
    </w:p>
    <w:p>
      <w:pPr>
        <w:pStyle w:val="377"/>
        <w:ind w:firstLine="420"/>
        <w:rPr>
          <w:color w:val="auto"/>
          <w:szCs w:val="21"/>
          <w:highlight w:val="none"/>
        </w:rPr>
      </w:pPr>
      <w:r>
        <w:rPr>
          <w:color w:val="auto"/>
          <w:szCs w:val="21"/>
          <w:highlight w:val="none"/>
        </w:rPr>
        <w:t>f）</w:t>
      </w:r>
      <w:r>
        <w:rPr>
          <w:color w:val="auto"/>
          <w:highlight w:val="none"/>
        </w:rPr>
        <w:t>监测装置的外观和结构应与相应线路构件相匹配，便于安装和维护，且安装时应避免对线路本体造成不必要的改变或损伤</w:t>
      </w:r>
      <w:r>
        <w:rPr>
          <w:color w:val="auto"/>
          <w:szCs w:val="21"/>
          <w:highlight w:val="none"/>
        </w:rPr>
        <w:t>。</w:t>
      </w:r>
    </w:p>
    <w:p>
      <w:pPr>
        <w:pStyle w:val="377"/>
        <w:ind w:firstLine="420"/>
        <w:rPr>
          <w:color w:val="auto"/>
          <w:szCs w:val="21"/>
          <w:highlight w:val="none"/>
        </w:rPr>
      </w:pPr>
      <w:r>
        <w:rPr>
          <w:rFonts w:hint="eastAsia"/>
          <w:color w:val="auto"/>
          <w:szCs w:val="21"/>
          <w:highlight w:val="none"/>
        </w:rPr>
        <w:t>g) 监测装置可通过PCIE插槽或贴片封装方式兼容物联网通信模组，具备数据加密认证能力。</w:t>
      </w:r>
    </w:p>
    <w:p>
      <w:pPr>
        <w:pStyle w:val="377"/>
        <w:ind w:firstLine="420"/>
        <w:rPr>
          <w:color w:val="auto"/>
          <w:szCs w:val="21"/>
          <w:highlight w:val="none"/>
        </w:rPr>
      </w:pPr>
      <w:r>
        <w:rPr>
          <w:rFonts w:hint="eastAsia"/>
          <w:color w:val="auto"/>
          <w:szCs w:val="21"/>
          <w:highlight w:val="none"/>
        </w:rPr>
        <w:t>h</w:t>
      </w:r>
      <w:r>
        <w:rPr>
          <w:color w:val="auto"/>
          <w:szCs w:val="21"/>
          <w:highlight w:val="none"/>
        </w:rPr>
        <w:t xml:space="preserve">) </w:t>
      </w:r>
      <w:r>
        <w:rPr>
          <w:rFonts w:hint="eastAsia"/>
          <w:color w:val="auto"/>
          <w:szCs w:val="21"/>
          <w:highlight w:val="none"/>
        </w:rPr>
        <w:t>采集单元的外壳应和导线实现可靠等电位，宜采用导电橡胶加镀锌导体压接方式进行等电位连接，不应采用铜质导体与铝导线直接连接方式。</w:t>
      </w:r>
    </w:p>
    <w:bookmarkEnd w:id="62"/>
    <w:bookmarkEnd w:id="63"/>
    <w:bookmarkEnd w:id="64"/>
    <w:bookmarkEnd w:id="65"/>
    <w:bookmarkEnd w:id="66"/>
    <w:bookmarkEnd w:id="67"/>
    <w:bookmarkEnd w:id="68"/>
    <w:bookmarkEnd w:id="69"/>
    <w:bookmarkEnd w:id="70"/>
    <w:bookmarkEnd w:id="71"/>
    <w:bookmarkEnd w:id="72"/>
    <w:p>
      <w:pPr>
        <w:pStyle w:val="2"/>
        <w:numPr>
          <w:ilvl w:val="0"/>
          <w:numId w:val="37"/>
        </w:numPr>
        <w:spacing w:line="360" w:lineRule="auto"/>
        <w:rPr>
          <w:rFonts w:ascii="黑体" w:hAnsi="黑体" w:eastAsia="黑体"/>
          <w:b/>
          <w:color w:val="auto"/>
          <w:sz w:val="21"/>
          <w:szCs w:val="21"/>
          <w:highlight w:val="none"/>
        </w:rPr>
      </w:pPr>
      <w:bookmarkStart w:id="155" w:name="_Toc498963482"/>
      <w:bookmarkEnd w:id="155"/>
      <w:bookmarkStart w:id="156" w:name="_Toc499020901"/>
      <w:bookmarkEnd w:id="156"/>
      <w:bookmarkStart w:id="157" w:name="_Toc499020371"/>
      <w:bookmarkEnd w:id="157"/>
      <w:bookmarkStart w:id="158" w:name="_Toc499020968"/>
      <w:bookmarkEnd w:id="158"/>
      <w:bookmarkStart w:id="159" w:name="_Toc384340996"/>
      <w:bookmarkEnd w:id="159"/>
      <w:bookmarkStart w:id="160" w:name="_Toc499020896"/>
      <w:bookmarkEnd w:id="160"/>
      <w:bookmarkStart w:id="161" w:name="_Toc499021251"/>
      <w:bookmarkEnd w:id="161"/>
      <w:bookmarkStart w:id="162" w:name="_Toc499021103"/>
      <w:bookmarkEnd w:id="162"/>
      <w:bookmarkStart w:id="163" w:name="_Toc499020084"/>
      <w:bookmarkEnd w:id="163"/>
      <w:bookmarkStart w:id="164" w:name="_Toc384340919"/>
      <w:bookmarkEnd w:id="164"/>
      <w:bookmarkStart w:id="165" w:name="_Toc498963838"/>
      <w:bookmarkEnd w:id="165"/>
      <w:bookmarkStart w:id="166" w:name="_Toc499020966"/>
      <w:bookmarkEnd w:id="166"/>
      <w:bookmarkStart w:id="167" w:name="_Toc499020810"/>
      <w:bookmarkEnd w:id="167"/>
      <w:bookmarkStart w:id="168" w:name="_Toc499021181"/>
      <w:bookmarkEnd w:id="168"/>
      <w:bookmarkStart w:id="169" w:name="_Toc498963491"/>
      <w:bookmarkEnd w:id="169"/>
      <w:bookmarkStart w:id="170" w:name="_Toc499021109"/>
      <w:bookmarkEnd w:id="170"/>
      <w:bookmarkStart w:id="171" w:name="_Toc498963092"/>
      <w:bookmarkEnd w:id="171"/>
      <w:bookmarkStart w:id="172" w:name="_Toc499020609"/>
      <w:bookmarkEnd w:id="172"/>
      <w:bookmarkStart w:id="173" w:name="_Toc499020967"/>
      <w:bookmarkEnd w:id="173"/>
      <w:bookmarkStart w:id="174" w:name="_Toc498963840"/>
      <w:bookmarkEnd w:id="174"/>
      <w:bookmarkStart w:id="175" w:name="_Toc384341014"/>
      <w:bookmarkEnd w:id="175"/>
      <w:bookmarkStart w:id="176" w:name="_Toc499020728"/>
      <w:bookmarkEnd w:id="176"/>
      <w:bookmarkStart w:id="177" w:name="_Toc499020615"/>
      <w:bookmarkEnd w:id="177"/>
      <w:bookmarkStart w:id="178" w:name="_Toc384341007"/>
      <w:bookmarkEnd w:id="178"/>
      <w:bookmarkStart w:id="179" w:name="_Toc499021035"/>
      <w:bookmarkEnd w:id="179"/>
      <w:bookmarkStart w:id="180" w:name="_Toc499021027"/>
      <w:bookmarkEnd w:id="180"/>
      <w:bookmarkStart w:id="181" w:name="_Toc499021316"/>
      <w:bookmarkEnd w:id="181"/>
      <w:bookmarkStart w:id="182" w:name="_Toc384340920"/>
      <w:bookmarkEnd w:id="182"/>
      <w:bookmarkStart w:id="183" w:name="_Toc499021250"/>
      <w:bookmarkEnd w:id="183"/>
      <w:bookmarkStart w:id="184" w:name="_Toc499021036"/>
      <w:bookmarkEnd w:id="184"/>
      <w:bookmarkStart w:id="185" w:name="_Toc384341005"/>
      <w:bookmarkEnd w:id="185"/>
      <w:bookmarkStart w:id="186" w:name="_Toc499020714"/>
      <w:bookmarkEnd w:id="186"/>
      <w:bookmarkStart w:id="187" w:name="_Toc499020885"/>
      <w:bookmarkEnd w:id="187"/>
      <w:bookmarkStart w:id="188" w:name="_Toc499021313"/>
      <w:bookmarkEnd w:id="188"/>
      <w:bookmarkStart w:id="189" w:name="_Toc499020808"/>
      <w:bookmarkEnd w:id="189"/>
      <w:bookmarkStart w:id="190" w:name="_Toc499020881"/>
      <w:bookmarkEnd w:id="190"/>
      <w:bookmarkStart w:id="191" w:name="_Toc499021320"/>
      <w:bookmarkEnd w:id="191"/>
      <w:bookmarkStart w:id="192" w:name="_Toc499021100"/>
      <w:bookmarkEnd w:id="192"/>
      <w:bookmarkStart w:id="193" w:name="_Toc499021179"/>
      <w:bookmarkEnd w:id="193"/>
      <w:bookmarkStart w:id="194" w:name="_Toc498963472"/>
      <w:bookmarkEnd w:id="194"/>
      <w:bookmarkStart w:id="195" w:name="_Toc498963088"/>
      <w:bookmarkEnd w:id="195"/>
      <w:bookmarkStart w:id="196" w:name="_Toc499020880"/>
      <w:bookmarkEnd w:id="196"/>
      <w:bookmarkStart w:id="197" w:name="_Toc498963830"/>
      <w:bookmarkEnd w:id="197"/>
      <w:bookmarkStart w:id="198" w:name="_Toc498963492"/>
      <w:bookmarkEnd w:id="198"/>
      <w:bookmarkStart w:id="199" w:name="_Toc499020812"/>
      <w:bookmarkEnd w:id="199"/>
      <w:bookmarkStart w:id="200" w:name="_Toc499021175"/>
      <w:bookmarkEnd w:id="200"/>
      <w:bookmarkStart w:id="201" w:name="_Toc498963087"/>
      <w:bookmarkEnd w:id="201"/>
      <w:bookmarkStart w:id="202" w:name="_Toc499021030"/>
      <w:bookmarkEnd w:id="202"/>
      <w:bookmarkStart w:id="203" w:name="_Toc499020595"/>
      <w:bookmarkEnd w:id="203"/>
      <w:bookmarkStart w:id="204" w:name="_Toc499020965"/>
      <w:bookmarkEnd w:id="204"/>
      <w:bookmarkStart w:id="205" w:name="_Toc499021243"/>
      <w:bookmarkEnd w:id="205"/>
      <w:bookmarkStart w:id="206" w:name="_Toc499021314"/>
      <w:bookmarkEnd w:id="206"/>
      <w:bookmarkStart w:id="207" w:name="_Toc499020814"/>
      <w:bookmarkEnd w:id="207"/>
      <w:bookmarkStart w:id="208" w:name="_Toc498962471"/>
      <w:bookmarkEnd w:id="208"/>
      <w:bookmarkStart w:id="209" w:name="_Toc498963107"/>
      <w:bookmarkEnd w:id="209"/>
      <w:bookmarkStart w:id="210" w:name="_Toc384340911"/>
      <w:bookmarkEnd w:id="210"/>
      <w:bookmarkStart w:id="211" w:name="_Toc384341008"/>
      <w:bookmarkEnd w:id="211"/>
      <w:bookmarkStart w:id="212" w:name="_Toc499020886"/>
      <w:bookmarkEnd w:id="212"/>
      <w:bookmarkStart w:id="213" w:name="_Toc384340993"/>
      <w:bookmarkEnd w:id="213"/>
      <w:bookmarkStart w:id="214" w:name="_Toc384340991"/>
      <w:bookmarkEnd w:id="214"/>
      <w:bookmarkStart w:id="215" w:name="_Toc499020611"/>
      <w:bookmarkEnd w:id="215"/>
      <w:bookmarkStart w:id="216" w:name="_Toc384340988"/>
      <w:bookmarkEnd w:id="216"/>
      <w:bookmarkStart w:id="217" w:name="_Toc499020891"/>
      <w:bookmarkEnd w:id="217"/>
      <w:bookmarkStart w:id="218" w:name="_Toc499021249"/>
      <w:bookmarkEnd w:id="218"/>
      <w:bookmarkStart w:id="219" w:name="_Toc499020078"/>
      <w:bookmarkEnd w:id="219"/>
      <w:bookmarkStart w:id="220" w:name="_Toc498962455"/>
      <w:bookmarkEnd w:id="220"/>
      <w:bookmarkStart w:id="221" w:name="_Toc499021039"/>
      <w:bookmarkEnd w:id="221"/>
      <w:bookmarkStart w:id="222" w:name="_Toc499021031"/>
      <w:bookmarkEnd w:id="222"/>
      <w:bookmarkStart w:id="223" w:name="_Toc384340925"/>
      <w:bookmarkEnd w:id="223"/>
      <w:bookmarkStart w:id="224" w:name="_Toc498963474"/>
      <w:bookmarkEnd w:id="224"/>
      <w:bookmarkStart w:id="225" w:name="_Toc499020387"/>
      <w:bookmarkEnd w:id="225"/>
      <w:bookmarkStart w:id="226" w:name="_Toc499020959"/>
      <w:bookmarkEnd w:id="226"/>
      <w:bookmarkStart w:id="227" w:name="_Toc499021241"/>
      <w:bookmarkEnd w:id="227"/>
      <w:bookmarkStart w:id="228" w:name="_Toc499021239"/>
      <w:bookmarkEnd w:id="228"/>
      <w:bookmarkStart w:id="229" w:name="_Toc498963475"/>
      <w:bookmarkEnd w:id="229"/>
      <w:bookmarkStart w:id="230" w:name="_Toc498963476"/>
      <w:bookmarkEnd w:id="230"/>
      <w:bookmarkStart w:id="231" w:name="_Toc499021043"/>
      <w:bookmarkEnd w:id="231"/>
      <w:bookmarkStart w:id="232" w:name="_Toc498963487"/>
      <w:bookmarkEnd w:id="232"/>
      <w:bookmarkStart w:id="233" w:name="_Toc498963842"/>
      <w:bookmarkEnd w:id="233"/>
      <w:bookmarkStart w:id="234" w:name="_Toc499021047"/>
      <w:bookmarkEnd w:id="234"/>
      <w:bookmarkStart w:id="235" w:name="_Toc499020823"/>
      <w:bookmarkEnd w:id="235"/>
      <w:bookmarkStart w:id="236" w:name="_Toc499021192"/>
      <w:bookmarkEnd w:id="236"/>
      <w:bookmarkStart w:id="237" w:name="_Toc498963093"/>
      <w:bookmarkEnd w:id="237"/>
      <w:bookmarkStart w:id="238" w:name="_Toc499020719"/>
      <w:bookmarkEnd w:id="238"/>
      <w:bookmarkStart w:id="239" w:name="_Toc499021113"/>
      <w:bookmarkEnd w:id="239"/>
      <w:bookmarkStart w:id="240" w:name="_Toc499020716"/>
      <w:bookmarkEnd w:id="240"/>
      <w:bookmarkStart w:id="241" w:name="_Toc499020729"/>
      <w:bookmarkEnd w:id="241"/>
      <w:bookmarkStart w:id="242" w:name="_Toc498963833"/>
      <w:bookmarkEnd w:id="242"/>
      <w:bookmarkStart w:id="243" w:name="_Toc499021191"/>
      <w:bookmarkEnd w:id="243"/>
      <w:bookmarkStart w:id="244" w:name="_Toc499020601"/>
      <w:bookmarkEnd w:id="244"/>
      <w:bookmarkStart w:id="245" w:name="_Toc498963090"/>
      <w:bookmarkEnd w:id="245"/>
      <w:bookmarkStart w:id="246" w:name="_Toc499021312"/>
      <w:bookmarkEnd w:id="246"/>
      <w:bookmarkStart w:id="247" w:name="_Toc384340929"/>
      <w:bookmarkEnd w:id="247"/>
      <w:bookmarkStart w:id="248" w:name="_Toc384340931"/>
      <w:bookmarkEnd w:id="248"/>
      <w:bookmarkStart w:id="249" w:name="_Toc384340930"/>
      <w:bookmarkEnd w:id="249"/>
      <w:bookmarkStart w:id="250" w:name="_Toc384340935"/>
      <w:bookmarkEnd w:id="250"/>
      <w:bookmarkStart w:id="251" w:name="_Toc384340995"/>
      <w:bookmarkEnd w:id="251"/>
      <w:bookmarkStart w:id="252" w:name="_Toc384340997"/>
      <w:bookmarkEnd w:id="252"/>
      <w:bookmarkStart w:id="253" w:name="_Toc384340933"/>
      <w:bookmarkEnd w:id="253"/>
      <w:bookmarkStart w:id="254" w:name="_Toc499020073"/>
      <w:bookmarkEnd w:id="254"/>
      <w:bookmarkStart w:id="255" w:name="_Toc499021111"/>
      <w:bookmarkEnd w:id="255"/>
      <w:bookmarkStart w:id="256" w:name="_Toc499020821"/>
      <w:bookmarkEnd w:id="256"/>
      <w:bookmarkStart w:id="257" w:name="_Toc498963844"/>
      <w:bookmarkEnd w:id="257"/>
      <w:bookmarkStart w:id="258" w:name="_Toc499020372"/>
      <w:bookmarkEnd w:id="258"/>
      <w:bookmarkStart w:id="259" w:name="_Toc499020082"/>
      <w:bookmarkEnd w:id="259"/>
      <w:bookmarkStart w:id="260" w:name="_Toc499021174"/>
      <w:bookmarkEnd w:id="260"/>
      <w:bookmarkStart w:id="261" w:name="_Toc384340914"/>
      <w:bookmarkEnd w:id="261"/>
      <w:bookmarkStart w:id="262" w:name="_Toc499020072"/>
      <w:bookmarkEnd w:id="262"/>
      <w:bookmarkStart w:id="263" w:name="_Toc499020369"/>
      <w:bookmarkEnd w:id="263"/>
      <w:bookmarkStart w:id="264" w:name="_Toc499021099"/>
      <w:bookmarkEnd w:id="264"/>
      <w:bookmarkStart w:id="265" w:name="_Toc499021115"/>
      <w:bookmarkEnd w:id="265"/>
      <w:bookmarkStart w:id="266" w:name="_Toc499021176"/>
      <w:bookmarkEnd w:id="266"/>
      <w:bookmarkStart w:id="267" w:name="_Toc498962460"/>
      <w:bookmarkEnd w:id="267"/>
      <w:bookmarkStart w:id="268" w:name="_Toc499020713"/>
      <w:bookmarkEnd w:id="268"/>
      <w:bookmarkStart w:id="269" w:name="_Toc499021245"/>
      <w:bookmarkEnd w:id="269"/>
      <w:bookmarkStart w:id="270" w:name="_Toc499020077"/>
      <w:bookmarkEnd w:id="270"/>
      <w:bookmarkStart w:id="271" w:name="_Toc384340987"/>
      <w:bookmarkEnd w:id="271"/>
      <w:bookmarkStart w:id="272" w:name="_Toc499021246"/>
      <w:bookmarkEnd w:id="272"/>
      <w:bookmarkStart w:id="273" w:name="_Toc498963105"/>
      <w:bookmarkEnd w:id="273"/>
      <w:bookmarkStart w:id="274" w:name="_Toc498962459"/>
      <w:bookmarkEnd w:id="274"/>
      <w:bookmarkStart w:id="275" w:name="_Toc499020730"/>
      <w:bookmarkEnd w:id="275"/>
      <w:bookmarkStart w:id="276" w:name="_Toc499021178"/>
      <w:bookmarkEnd w:id="276"/>
      <w:bookmarkStart w:id="277" w:name="_Toc499020604"/>
      <w:bookmarkEnd w:id="277"/>
      <w:bookmarkStart w:id="278" w:name="_Toc499020378"/>
      <w:bookmarkEnd w:id="278"/>
      <w:bookmarkStart w:id="279" w:name="_Toc499020902"/>
      <w:bookmarkEnd w:id="279"/>
      <w:bookmarkStart w:id="280" w:name="_Toc384341009"/>
      <w:bookmarkEnd w:id="280"/>
      <w:bookmarkStart w:id="281" w:name="_Toc498962464"/>
      <w:bookmarkEnd w:id="281"/>
      <w:bookmarkStart w:id="282" w:name="_Toc499021110"/>
      <w:bookmarkEnd w:id="282"/>
      <w:bookmarkStart w:id="283" w:name="_Toc498963471"/>
      <w:bookmarkEnd w:id="283"/>
      <w:bookmarkStart w:id="284" w:name="_Toc499021319"/>
      <w:bookmarkEnd w:id="284"/>
      <w:bookmarkStart w:id="285" w:name="_Toc499020381"/>
      <w:bookmarkEnd w:id="285"/>
      <w:bookmarkStart w:id="286" w:name="_Toc498963484"/>
      <w:bookmarkEnd w:id="286"/>
      <w:bookmarkStart w:id="287" w:name="_Toc499021255"/>
      <w:bookmarkEnd w:id="287"/>
      <w:bookmarkStart w:id="288" w:name="_Toc499020087"/>
      <w:bookmarkEnd w:id="288"/>
      <w:bookmarkStart w:id="289" w:name="_Toc384340924"/>
      <w:bookmarkEnd w:id="289"/>
      <w:bookmarkStart w:id="290" w:name="_Toc499021106"/>
      <w:bookmarkEnd w:id="290"/>
      <w:bookmarkStart w:id="291" w:name="_Toc499021173"/>
      <w:bookmarkEnd w:id="291"/>
      <w:bookmarkStart w:id="292" w:name="_Toc498963094"/>
      <w:bookmarkEnd w:id="292"/>
      <w:bookmarkStart w:id="293" w:name="_Toc499020900"/>
      <w:bookmarkEnd w:id="293"/>
      <w:bookmarkStart w:id="294" w:name="_Toc499021324"/>
      <w:bookmarkEnd w:id="294"/>
      <w:bookmarkStart w:id="295" w:name="_Toc499020368"/>
      <w:bookmarkEnd w:id="295"/>
      <w:bookmarkStart w:id="296" w:name="_Toc498963478"/>
      <w:bookmarkEnd w:id="296"/>
      <w:bookmarkStart w:id="297" w:name="_Toc499020806"/>
      <w:bookmarkEnd w:id="297"/>
      <w:bookmarkStart w:id="298" w:name="_Toc384340926"/>
      <w:bookmarkEnd w:id="298"/>
      <w:bookmarkStart w:id="299" w:name="_Toc499021190"/>
      <w:bookmarkEnd w:id="299"/>
      <w:bookmarkStart w:id="300" w:name="_Toc499020962"/>
      <w:bookmarkEnd w:id="300"/>
      <w:bookmarkStart w:id="301" w:name="_Toc499021120"/>
      <w:bookmarkEnd w:id="301"/>
      <w:bookmarkStart w:id="302" w:name="_Toc498963481"/>
      <w:bookmarkEnd w:id="302"/>
      <w:bookmarkStart w:id="303" w:name="_Toc499020081"/>
      <w:bookmarkEnd w:id="303"/>
      <w:bookmarkStart w:id="304" w:name="_Toc498963836"/>
      <w:bookmarkEnd w:id="304"/>
      <w:bookmarkStart w:id="305" w:name="_Toc499020893"/>
      <w:bookmarkEnd w:id="305"/>
      <w:bookmarkStart w:id="306" w:name="_Toc499020971"/>
      <w:bookmarkEnd w:id="306"/>
      <w:bookmarkStart w:id="307" w:name="_Toc499021177"/>
      <w:bookmarkEnd w:id="307"/>
      <w:bookmarkStart w:id="308" w:name="_Toc498963485"/>
      <w:bookmarkEnd w:id="308"/>
      <w:bookmarkStart w:id="309" w:name="_Toc384341013"/>
      <w:bookmarkEnd w:id="309"/>
      <w:bookmarkStart w:id="310" w:name="_Toc499021049"/>
      <w:bookmarkEnd w:id="310"/>
      <w:bookmarkStart w:id="311" w:name="_Toc499020712"/>
      <w:bookmarkEnd w:id="311"/>
      <w:bookmarkStart w:id="312" w:name="_Toc499021105"/>
      <w:bookmarkEnd w:id="312"/>
      <w:bookmarkStart w:id="313" w:name="_Toc499020811"/>
      <w:bookmarkEnd w:id="313"/>
      <w:bookmarkStart w:id="314" w:name="_Toc499021322"/>
      <w:bookmarkEnd w:id="314"/>
      <w:bookmarkStart w:id="315" w:name="_Toc384341012"/>
      <w:bookmarkEnd w:id="315"/>
      <w:bookmarkStart w:id="316" w:name="_Toc499021119"/>
      <w:bookmarkEnd w:id="316"/>
      <w:bookmarkStart w:id="317" w:name="_Toc499020715"/>
      <w:bookmarkEnd w:id="317"/>
      <w:bookmarkStart w:id="318" w:name="_Toc499021310"/>
      <w:bookmarkEnd w:id="318"/>
      <w:bookmarkStart w:id="319" w:name="_Toc498963841"/>
      <w:bookmarkEnd w:id="319"/>
      <w:bookmarkStart w:id="320" w:name="_Toc498963477"/>
      <w:bookmarkEnd w:id="320"/>
      <w:bookmarkStart w:id="321" w:name="_Toc498962461"/>
      <w:bookmarkEnd w:id="321"/>
      <w:bookmarkStart w:id="322" w:name="_Toc384340990"/>
      <w:bookmarkEnd w:id="322"/>
      <w:bookmarkStart w:id="323" w:name="_Toc384340923"/>
      <w:bookmarkEnd w:id="323"/>
      <w:bookmarkStart w:id="324" w:name="_Toc384340939"/>
      <w:bookmarkEnd w:id="324"/>
      <w:bookmarkStart w:id="325" w:name="_Toc499020815"/>
      <w:bookmarkEnd w:id="325"/>
      <w:bookmarkStart w:id="326" w:name="_Toc499020083"/>
      <w:bookmarkEnd w:id="326"/>
      <w:bookmarkStart w:id="327" w:name="_Toc384341006"/>
      <w:bookmarkEnd w:id="327"/>
      <w:bookmarkStart w:id="328" w:name="_Toc499021253"/>
      <w:bookmarkEnd w:id="328"/>
      <w:bookmarkStart w:id="329" w:name="_Toc499021317"/>
      <w:bookmarkEnd w:id="329"/>
      <w:bookmarkStart w:id="330" w:name="_Toc498963091"/>
      <w:bookmarkEnd w:id="330"/>
      <w:bookmarkStart w:id="331" w:name="_Toc499020817"/>
      <w:bookmarkEnd w:id="331"/>
      <w:bookmarkStart w:id="332" w:name="_Toc498962462"/>
      <w:bookmarkEnd w:id="332"/>
      <w:bookmarkStart w:id="333" w:name="_Toc499021183"/>
      <w:bookmarkEnd w:id="333"/>
      <w:bookmarkStart w:id="334" w:name="_Toc499020969"/>
      <w:bookmarkEnd w:id="334"/>
      <w:bookmarkStart w:id="335" w:name="_Toc499021033"/>
      <w:bookmarkEnd w:id="335"/>
      <w:bookmarkStart w:id="336" w:name="_Toc384340934"/>
      <w:bookmarkEnd w:id="336"/>
      <w:bookmarkStart w:id="337" w:name="_Toc499020376"/>
      <w:bookmarkEnd w:id="337"/>
      <w:bookmarkStart w:id="338" w:name="_Toc498963096"/>
      <w:bookmarkEnd w:id="338"/>
      <w:bookmarkStart w:id="339" w:name="_Toc384340918"/>
      <w:bookmarkEnd w:id="339"/>
      <w:bookmarkStart w:id="340" w:name="_Toc499020977"/>
      <w:bookmarkEnd w:id="340"/>
      <w:bookmarkStart w:id="341" w:name="_Toc498962458"/>
      <w:bookmarkEnd w:id="341"/>
      <w:bookmarkStart w:id="342" w:name="_Toc498963493"/>
      <w:bookmarkEnd w:id="342"/>
      <w:bookmarkStart w:id="343" w:name="_Toc499020080"/>
      <w:bookmarkEnd w:id="343"/>
      <w:bookmarkStart w:id="344" w:name="_Toc499020377"/>
      <w:bookmarkEnd w:id="344"/>
      <w:bookmarkStart w:id="345" w:name="_Toc499020373"/>
      <w:bookmarkEnd w:id="345"/>
      <w:bookmarkStart w:id="346" w:name="_Toc499021186"/>
      <w:bookmarkEnd w:id="346"/>
      <w:bookmarkStart w:id="347" w:name="_Toc499021244"/>
      <w:bookmarkEnd w:id="347"/>
      <w:bookmarkStart w:id="348" w:name="_Toc499021102"/>
      <w:bookmarkEnd w:id="348"/>
      <w:bookmarkStart w:id="349" w:name="_Toc498963843"/>
      <w:bookmarkEnd w:id="349"/>
      <w:bookmarkStart w:id="350" w:name="_Toc498962452"/>
      <w:bookmarkEnd w:id="350"/>
      <w:bookmarkStart w:id="351" w:name="_Toc499020957"/>
      <w:bookmarkEnd w:id="351"/>
      <w:bookmarkStart w:id="352" w:name="_Toc499021182"/>
      <w:bookmarkEnd w:id="352"/>
      <w:bookmarkStart w:id="353" w:name="_Toc499020882"/>
      <w:bookmarkEnd w:id="353"/>
      <w:bookmarkStart w:id="354" w:name="_Toc498963483"/>
      <w:bookmarkEnd w:id="354"/>
      <w:bookmarkStart w:id="355" w:name="_Toc499020807"/>
      <w:bookmarkEnd w:id="355"/>
      <w:bookmarkStart w:id="356" w:name="_Toc499020596"/>
      <w:bookmarkEnd w:id="356"/>
      <w:bookmarkStart w:id="357" w:name="_Toc499020605"/>
      <w:bookmarkEnd w:id="357"/>
      <w:bookmarkStart w:id="358" w:name="_Toc499021180"/>
      <w:bookmarkEnd w:id="358"/>
      <w:bookmarkStart w:id="359" w:name="_Toc499020617"/>
      <w:bookmarkEnd w:id="359"/>
      <w:bookmarkStart w:id="360" w:name="_Toc384340921"/>
      <w:bookmarkEnd w:id="360"/>
      <w:bookmarkStart w:id="361" w:name="_Toc499021308"/>
      <w:bookmarkEnd w:id="361"/>
      <w:bookmarkStart w:id="362" w:name="_Toc499020711"/>
      <w:bookmarkEnd w:id="362"/>
      <w:bookmarkStart w:id="363" w:name="_Toc499020889"/>
      <w:bookmarkEnd w:id="363"/>
      <w:bookmarkStart w:id="364" w:name="_Toc384341010"/>
      <w:bookmarkEnd w:id="364"/>
      <w:bookmarkStart w:id="365" w:name="_Toc499021104"/>
      <w:bookmarkEnd w:id="365"/>
      <w:bookmarkStart w:id="366" w:name="_Toc498963480"/>
      <w:bookmarkEnd w:id="366"/>
      <w:bookmarkStart w:id="367" w:name="_Toc384340999"/>
      <w:bookmarkEnd w:id="367"/>
      <w:bookmarkStart w:id="368" w:name="_Toc499021172"/>
      <w:bookmarkEnd w:id="368"/>
      <w:bookmarkStart w:id="369" w:name="_Toc499020366"/>
      <w:bookmarkEnd w:id="369"/>
      <w:bookmarkStart w:id="370" w:name="_Toc499020085"/>
      <w:bookmarkEnd w:id="370"/>
      <w:bookmarkStart w:id="371" w:name="_Toc499021240"/>
      <w:bookmarkEnd w:id="371"/>
      <w:bookmarkStart w:id="372" w:name="_Toc499020071"/>
      <w:bookmarkEnd w:id="372"/>
      <w:bookmarkStart w:id="373" w:name="_Toc498962453"/>
      <w:bookmarkEnd w:id="373"/>
      <w:bookmarkStart w:id="374" w:name="_Toc499020976"/>
      <w:bookmarkEnd w:id="374"/>
      <w:bookmarkStart w:id="375" w:name="_Toc384340922"/>
      <w:bookmarkEnd w:id="375"/>
      <w:bookmarkStart w:id="376" w:name="_Toc499021032"/>
      <w:bookmarkEnd w:id="376"/>
      <w:bookmarkStart w:id="377" w:name="_Toc498963479"/>
      <w:bookmarkEnd w:id="377"/>
      <w:bookmarkStart w:id="378" w:name="_Toc498963106"/>
      <w:bookmarkEnd w:id="378"/>
      <w:bookmarkStart w:id="379" w:name="_Toc499020802"/>
      <w:bookmarkEnd w:id="379"/>
      <w:bookmarkStart w:id="380" w:name="_Toc499021038"/>
      <w:bookmarkEnd w:id="380"/>
      <w:bookmarkStart w:id="381" w:name="_Toc498962473"/>
      <w:bookmarkEnd w:id="381"/>
      <w:bookmarkStart w:id="382" w:name="_Toc498962454"/>
      <w:bookmarkEnd w:id="382"/>
      <w:bookmarkStart w:id="383" w:name="_Toc499020091"/>
      <w:bookmarkEnd w:id="383"/>
      <w:bookmarkStart w:id="384" w:name="_Toc384340937"/>
      <w:bookmarkEnd w:id="384"/>
      <w:bookmarkStart w:id="385" w:name="_Toc499020964"/>
      <w:bookmarkEnd w:id="385"/>
      <w:bookmarkStart w:id="386" w:name="_Toc499021315"/>
      <w:bookmarkEnd w:id="386"/>
      <w:bookmarkStart w:id="387" w:name="_Toc498963846"/>
      <w:bookmarkEnd w:id="387"/>
      <w:bookmarkStart w:id="388" w:name="_Toc499020370"/>
      <w:bookmarkEnd w:id="388"/>
      <w:bookmarkStart w:id="389" w:name="_Toc384341011"/>
      <w:bookmarkEnd w:id="389"/>
      <w:bookmarkStart w:id="390" w:name="_Toc499020386"/>
      <w:bookmarkEnd w:id="390"/>
      <w:bookmarkStart w:id="391" w:name="_Toc499021329"/>
      <w:bookmarkEnd w:id="391"/>
      <w:bookmarkStart w:id="392" w:name="_Toc498963835"/>
      <w:bookmarkEnd w:id="392"/>
      <w:bookmarkStart w:id="393" w:name="_Toc499020717"/>
      <w:bookmarkEnd w:id="393"/>
      <w:bookmarkStart w:id="394" w:name="_Toc499020600"/>
      <w:bookmarkEnd w:id="394"/>
      <w:bookmarkStart w:id="395" w:name="_Toc498962467"/>
      <w:bookmarkEnd w:id="395"/>
      <w:bookmarkStart w:id="396" w:name="_Toc499020379"/>
      <w:bookmarkEnd w:id="396"/>
      <w:bookmarkStart w:id="397" w:name="_Toc384340912"/>
      <w:bookmarkEnd w:id="397"/>
      <w:bookmarkStart w:id="398" w:name="_Toc384341015"/>
      <w:bookmarkEnd w:id="398"/>
      <w:bookmarkStart w:id="399" w:name="_Toc499020721"/>
      <w:bookmarkEnd w:id="399"/>
      <w:bookmarkStart w:id="400" w:name="_Toc499020092"/>
      <w:bookmarkEnd w:id="400"/>
      <w:bookmarkStart w:id="401" w:name="_Toc384341000"/>
      <w:bookmarkEnd w:id="401"/>
      <w:bookmarkStart w:id="402" w:name="_Toc498962456"/>
      <w:bookmarkEnd w:id="402"/>
      <w:bookmarkStart w:id="403" w:name="_Toc499021108"/>
      <w:bookmarkEnd w:id="403"/>
      <w:bookmarkStart w:id="404" w:name="_Toc499020606"/>
      <w:bookmarkEnd w:id="404"/>
      <w:bookmarkStart w:id="405" w:name="_Toc499020708"/>
      <w:bookmarkEnd w:id="405"/>
      <w:bookmarkStart w:id="406" w:name="_Toc499020963"/>
      <w:bookmarkEnd w:id="406"/>
      <w:bookmarkStart w:id="407" w:name="_Toc384340927"/>
      <w:bookmarkEnd w:id="407"/>
      <w:bookmarkStart w:id="408" w:name="_Toc499020804"/>
      <w:bookmarkEnd w:id="408"/>
      <w:bookmarkStart w:id="409" w:name="_Toc499020374"/>
      <w:bookmarkEnd w:id="409"/>
      <w:bookmarkStart w:id="410" w:name="_Toc499020598"/>
      <w:bookmarkEnd w:id="410"/>
      <w:bookmarkStart w:id="411" w:name="_Toc384340932"/>
      <w:bookmarkEnd w:id="411"/>
      <w:bookmarkStart w:id="412" w:name="_Toc499020367"/>
      <w:bookmarkEnd w:id="412"/>
      <w:bookmarkStart w:id="413" w:name="_Toc498963101"/>
      <w:bookmarkEnd w:id="413"/>
      <w:bookmarkStart w:id="414" w:name="_Toc499020805"/>
      <w:bookmarkEnd w:id="414"/>
      <w:bookmarkStart w:id="415" w:name="_Toc499020375"/>
      <w:bookmarkEnd w:id="415"/>
      <w:bookmarkStart w:id="416" w:name="_Toc498962457"/>
      <w:bookmarkEnd w:id="416"/>
      <w:bookmarkStart w:id="417" w:name="_Toc384341002"/>
      <w:bookmarkEnd w:id="417"/>
      <w:bookmarkStart w:id="418" w:name="_Toc499020888"/>
      <w:bookmarkEnd w:id="418"/>
      <w:bookmarkStart w:id="419" w:name="_Toc499020956"/>
      <w:bookmarkEnd w:id="419"/>
      <w:bookmarkStart w:id="420" w:name="_Toc499021041"/>
      <w:bookmarkEnd w:id="420"/>
      <w:bookmarkStart w:id="421" w:name="_Toc498963097"/>
      <w:bookmarkEnd w:id="421"/>
      <w:bookmarkStart w:id="422" w:name="_Toc499020709"/>
      <w:bookmarkEnd w:id="422"/>
      <w:bookmarkStart w:id="423" w:name="_Toc499020892"/>
      <w:bookmarkEnd w:id="423"/>
      <w:bookmarkStart w:id="424" w:name="_Toc498963851"/>
      <w:bookmarkEnd w:id="424"/>
      <w:bookmarkStart w:id="425" w:name="_Toc499021260"/>
      <w:bookmarkEnd w:id="425"/>
      <w:bookmarkStart w:id="426" w:name="_Toc499020961"/>
      <w:bookmarkEnd w:id="426"/>
      <w:bookmarkStart w:id="427" w:name="_Toc499020603"/>
      <w:bookmarkEnd w:id="427"/>
      <w:bookmarkStart w:id="428" w:name="_Toc384340917"/>
      <w:bookmarkEnd w:id="428"/>
      <w:bookmarkStart w:id="429" w:name="_Toc499020809"/>
      <w:bookmarkEnd w:id="429"/>
      <w:bookmarkStart w:id="430" w:name="_Toc499020955"/>
      <w:bookmarkEnd w:id="430"/>
      <w:bookmarkStart w:id="431" w:name="_Toc498963095"/>
      <w:bookmarkEnd w:id="431"/>
      <w:bookmarkStart w:id="432" w:name="_Toc499021028"/>
      <w:bookmarkEnd w:id="432"/>
      <w:bookmarkStart w:id="433" w:name="_Toc499020813"/>
      <w:bookmarkEnd w:id="433"/>
      <w:bookmarkStart w:id="434" w:name="_Toc499021048"/>
      <w:bookmarkEnd w:id="434"/>
      <w:bookmarkStart w:id="435" w:name="_Toc499020801"/>
      <w:bookmarkEnd w:id="435"/>
      <w:bookmarkStart w:id="436" w:name="_Toc499021121"/>
      <w:bookmarkEnd w:id="436"/>
      <w:bookmarkStart w:id="437" w:name="_Toc499021318"/>
      <w:bookmarkEnd w:id="437"/>
      <w:bookmarkStart w:id="438" w:name="_Toc499020722"/>
      <w:bookmarkEnd w:id="438"/>
      <w:bookmarkStart w:id="439" w:name="_Toc499021034"/>
      <w:bookmarkEnd w:id="439"/>
      <w:bookmarkStart w:id="440" w:name="_Toc499020718"/>
      <w:bookmarkEnd w:id="440"/>
      <w:bookmarkStart w:id="441" w:name="_Toc499021101"/>
      <w:bookmarkEnd w:id="441"/>
      <w:bookmarkStart w:id="442" w:name="_Toc499020075"/>
      <w:bookmarkEnd w:id="442"/>
      <w:bookmarkStart w:id="443" w:name="_Toc499020803"/>
      <w:bookmarkEnd w:id="443"/>
      <w:bookmarkStart w:id="444" w:name="_Toc499021171"/>
      <w:bookmarkEnd w:id="444"/>
      <w:bookmarkStart w:id="445" w:name="_Toc499020074"/>
      <w:bookmarkEnd w:id="445"/>
      <w:bookmarkStart w:id="446" w:name="_Toc499020365"/>
      <w:bookmarkEnd w:id="446"/>
      <w:bookmarkStart w:id="447" w:name="_Toc498963837"/>
      <w:bookmarkEnd w:id="447"/>
      <w:bookmarkStart w:id="448" w:name="_Toc498963831"/>
      <w:bookmarkEnd w:id="448"/>
      <w:bookmarkStart w:id="449" w:name="_Toc498962465"/>
      <w:bookmarkEnd w:id="449"/>
      <w:bookmarkStart w:id="450" w:name="_Toc499020616"/>
      <w:bookmarkEnd w:id="450"/>
      <w:bookmarkStart w:id="451" w:name="_Toc499020720"/>
      <w:bookmarkEnd w:id="451"/>
      <w:bookmarkStart w:id="452" w:name="_Toc499020076"/>
      <w:bookmarkEnd w:id="452"/>
      <w:bookmarkStart w:id="453" w:name="_Toc499021309"/>
      <w:bookmarkEnd w:id="453"/>
      <w:bookmarkStart w:id="454" w:name="_Toc499021107"/>
      <w:bookmarkEnd w:id="454"/>
      <w:bookmarkStart w:id="455" w:name="_Toc499020724"/>
      <w:bookmarkEnd w:id="455"/>
      <w:bookmarkStart w:id="456" w:name="_Toc384341001"/>
      <w:bookmarkEnd w:id="456"/>
      <w:bookmarkStart w:id="457" w:name="_Toc499020710"/>
      <w:bookmarkEnd w:id="457"/>
      <w:bookmarkStart w:id="458" w:name="_Toc499020079"/>
      <w:bookmarkEnd w:id="458"/>
      <w:bookmarkStart w:id="459" w:name="_Toc499020960"/>
      <w:bookmarkEnd w:id="459"/>
      <w:bookmarkStart w:id="460" w:name="_Toc498962451"/>
      <w:bookmarkEnd w:id="460"/>
      <w:bookmarkStart w:id="461" w:name="_Toc499020958"/>
      <w:bookmarkEnd w:id="461"/>
      <w:bookmarkStart w:id="462" w:name="_Toc498963085"/>
      <w:bookmarkEnd w:id="462"/>
      <w:bookmarkStart w:id="463" w:name="_Toc498963099"/>
      <w:bookmarkEnd w:id="463"/>
      <w:bookmarkStart w:id="464" w:name="_Toc499020597"/>
      <w:bookmarkEnd w:id="464"/>
      <w:bookmarkStart w:id="465" w:name="_Toc499020887"/>
      <w:bookmarkEnd w:id="465"/>
      <w:bookmarkStart w:id="466" w:name="_Toc499020385"/>
      <w:bookmarkEnd w:id="466"/>
      <w:bookmarkStart w:id="467" w:name="_Toc498963089"/>
      <w:bookmarkEnd w:id="467"/>
      <w:bookmarkStart w:id="468" w:name="_Toc499020890"/>
      <w:bookmarkEnd w:id="468"/>
      <w:bookmarkStart w:id="469" w:name="_Toc384340915"/>
      <w:bookmarkEnd w:id="469"/>
      <w:bookmarkStart w:id="470" w:name="_Toc499021184"/>
      <w:bookmarkEnd w:id="470"/>
      <w:bookmarkStart w:id="471" w:name="_Toc499021170"/>
      <w:bookmarkEnd w:id="471"/>
      <w:bookmarkStart w:id="472" w:name="_Toc384340994"/>
      <w:bookmarkEnd w:id="472"/>
      <w:bookmarkStart w:id="473" w:name="_Toc498962463"/>
      <w:bookmarkEnd w:id="473"/>
      <w:bookmarkStart w:id="474" w:name="_Toc499021248"/>
      <w:bookmarkEnd w:id="474"/>
      <w:bookmarkStart w:id="475" w:name="_Toc498963473"/>
      <w:bookmarkEnd w:id="475"/>
      <w:bookmarkStart w:id="476" w:name="_Toc499020607"/>
      <w:bookmarkEnd w:id="476"/>
      <w:bookmarkStart w:id="477" w:name="_Toc499021321"/>
      <w:bookmarkEnd w:id="477"/>
      <w:bookmarkStart w:id="478" w:name="_Toc499021040"/>
      <w:bookmarkEnd w:id="478"/>
      <w:bookmarkStart w:id="479" w:name="_Toc498963086"/>
      <w:bookmarkEnd w:id="479"/>
      <w:bookmarkStart w:id="480" w:name="_Toc498963834"/>
      <w:bookmarkEnd w:id="480"/>
      <w:bookmarkStart w:id="481" w:name="_Toc384340938"/>
      <w:bookmarkEnd w:id="481"/>
      <w:bookmarkStart w:id="482" w:name="_Toc384340989"/>
      <w:bookmarkEnd w:id="482"/>
      <w:bookmarkStart w:id="483" w:name="_Toc499021037"/>
      <w:bookmarkEnd w:id="483"/>
      <w:bookmarkStart w:id="484" w:name="_Toc499021252"/>
      <w:bookmarkEnd w:id="484"/>
      <w:bookmarkStart w:id="485" w:name="_Toc498962472"/>
      <w:bookmarkEnd w:id="485"/>
      <w:bookmarkStart w:id="486" w:name="_Toc499020602"/>
      <w:bookmarkEnd w:id="486"/>
      <w:bookmarkStart w:id="487" w:name="_Toc499021259"/>
      <w:bookmarkEnd w:id="487"/>
      <w:bookmarkStart w:id="488" w:name="_Toc498963832"/>
      <w:bookmarkEnd w:id="488"/>
      <w:bookmarkStart w:id="489" w:name="_Toc384340998"/>
      <w:bookmarkEnd w:id="489"/>
      <w:bookmarkStart w:id="490" w:name="_Toc499021330"/>
      <w:bookmarkEnd w:id="490"/>
      <w:bookmarkStart w:id="491" w:name="_Toc499020093"/>
      <w:bookmarkEnd w:id="491"/>
      <w:bookmarkStart w:id="492" w:name="_Toc498963839"/>
      <w:bookmarkEnd w:id="492"/>
      <w:bookmarkStart w:id="493" w:name="_Toc384341004"/>
      <w:bookmarkEnd w:id="493"/>
      <w:bookmarkStart w:id="494" w:name="_Toc498963852"/>
      <w:bookmarkEnd w:id="494"/>
      <w:bookmarkStart w:id="495" w:name="_Toc384340928"/>
      <w:bookmarkEnd w:id="495"/>
      <w:bookmarkStart w:id="496" w:name="_Toc499020884"/>
      <w:bookmarkEnd w:id="496"/>
      <w:bookmarkStart w:id="497" w:name="_Toc499021247"/>
      <w:bookmarkEnd w:id="497"/>
      <w:bookmarkStart w:id="498" w:name="_Toc384340913"/>
      <w:bookmarkEnd w:id="498"/>
      <w:bookmarkStart w:id="499" w:name="_Toc384340936"/>
      <w:bookmarkEnd w:id="499"/>
      <w:bookmarkStart w:id="500" w:name="_Toc499020894"/>
      <w:bookmarkEnd w:id="500"/>
      <w:bookmarkStart w:id="501" w:name="_Toc499021261"/>
      <w:bookmarkEnd w:id="501"/>
      <w:bookmarkStart w:id="502" w:name="_Toc499021029"/>
      <w:bookmarkEnd w:id="502"/>
      <w:bookmarkStart w:id="503" w:name="_Toc499021311"/>
      <w:bookmarkEnd w:id="503"/>
      <w:bookmarkStart w:id="504" w:name="_Toc499021112"/>
      <w:bookmarkEnd w:id="504"/>
      <w:bookmarkStart w:id="505" w:name="_Toc499020822"/>
      <w:bookmarkEnd w:id="505"/>
      <w:bookmarkStart w:id="506" w:name="_Toc499021328"/>
      <w:bookmarkEnd w:id="506"/>
      <w:bookmarkStart w:id="507" w:name="_Toc499021242"/>
      <w:bookmarkEnd w:id="507"/>
      <w:bookmarkStart w:id="508" w:name="_Toc499020975"/>
      <w:bookmarkEnd w:id="508"/>
      <w:bookmarkStart w:id="509" w:name="_Toc499020599"/>
      <w:bookmarkEnd w:id="509"/>
      <w:bookmarkStart w:id="510" w:name="_Toc498963098"/>
      <w:bookmarkEnd w:id="510"/>
      <w:bookmarkStart w:id="511" w:name="_Toc499020883"/>
      <w:bookmarkEnd w:id="511"/>
      <w:bookmarkStart w:id="512" w:name="_Toc384341003"/>
      <w:bookmarkEnd w:id="512"/>
      <w:bookmarkStart w:id="513" w:name="_Toc498963850"/>
      <w:bookmarkEnd w:id="513"/>
      <w:bookmarkStart w:id="514" w:name="_Toc499020608"/>
      <w:bookmarkEnd w:id="514"/>
      <w:bookmarkStart w:id="515" w:name="_Toc282993301"/>
      <w:bookmarkStart w:id="516" w:name="_Toc2610"/>
      <w:bookmarkStart w:id="517" w:name="_Toc2085"/>
      <w:bookmarkStart w:id="518" w:name="_Toc26970"/>
      <w:bookmarkStart w:id="519" w:name="_Toc384341016"/>
      <w:bookmarkStart w:id="520" w:name="_Toc276492417"/>
      <w:bookmarkStart w:id="521" w:name="_Toc388022579"/>
      <w:bookmarkStart w:id="522" w:name="_Toc3296"/>
      <w:bookmarkStart w:id="523" w:name="_Toc271281212"/>
      <w:bookmarkStart w:id="524" w:name="_Toc276490905"/>
      <w:bookmarkStart w:id="525" w:name="_Toc279695721"/>
      <w:bookmarkStart w:id="526" w:name="_Toc400640382"/>
      <w:bookmarkStart w:id="527" w:name="_Toc28459"/>
      <w:bookmarkStart w:id="528" w:name="_Toc15122"/>
      <w:bookmarkStart w:id="529" w:name="_Toc170486959"/>
      <w:r>
        <w:rPr>
          <w:rFonts w:hint="eastAsia" w:ascii="黑体" w:hAnsi="黑体" w:eastAsia="黑体"/>
          <w:b/>
          <w:color w:val="auto"/>
          <w:sz w:val="21"/>
          <w:szCs w:val="21"/>
          <w:highlight w:val="none"/>
        </w:rPr>
        <w:t>试验</w:t>
      </w:r>
      <w:bookmarkEnd w:id="515"/>
      <w:bookmarkEnd w:id="516"/>
      <w:bookmarkEnd w:id="517"/>
      <w:bookmarkEnd w:id="518"/>
      <w:bookmarkEnd w:id="519"/>
      <w:bookmarkEnd w:id="520"/>
      <w:bookmarkEnd w:id="521"/>
      <w:bookmarkEnd w:id="522"/>
      <w:bookmarkEnd w:id="523"/>
      <w:bookmarkEnd w:id="524"/>
      <w:bookmarkEnd w:id="525"/>
      <w:bookmarkEnd w:id="526"/>
      <w:r>
        <w:rPr>
          <w:rFonts w:hint="eastAsia" w:ascii="黑体" w:hAnsi="黑体" w:eastAsia="黑体"/>
          <w:b/>
          <w:color w:val="auto"/>
          <w:sz w:val="21"/>
          <w:szCs w:val="21"/>
          <w:highlight w:val="none"/>
        </w:rPr>
        <w:t>项目及要求</w:t>
      </w:r>
      <w:bookmarkEnd w:id="527"/>
      <w:bookmarkEnd w:id="528"/>
      <w:bookmarkEnd w:id="529"/>
    </w:p>
    <w:p>
      <w:pPr>
        <w:pStyle w:val="3"/>
        <w:numPr>
          <w:ilvl w:val="0"/>
          <w:numId w:val="0"/>
        </w:numPr>
        <w:adjustRightInd w:val="0"/>
        <w:snapToGrid w:val="0"/>
        <w:rPr>
          <w:rFonts w:ascii="黑体" w:hAnsi="黑体"/>
          <w:color w:val="auto"/>
          <w:highlight w:val="none"/>
        </w:rPr>
      </w:pPr>
      <w:bookmarkStart w:id="530" w:name="_Toc12912"/>
      <w:bookmarkStart w:id="531" w:name="_Toc441505840"/>
      <w:bookmarkStart w:id="532" w:name="_Toc170486960"/>
      <w:bookmarkStart w:id="533" w:name="_Toc6043"/>
      <w:bookmarkStart w:id="534" w:name="_Toc23434"/>
      <w:bookmarkStart w:id="535" w:name="_Toc6292"/>
      <w:bookmarkStart w:id="536" w:name="_Toc6768"/>
      <w:bookmarkStart w:id="537" w:name="_Toc9728"/>
      <w:r>
        <w:rPr>
          <w:rFonts w:hint="eastAsia" w:ascii="黑体" w:hAnsi="黑体"/>
          <w:color w:val="auto"/>
          <w:highlight w:val="none"/>
        </w:rPr>
        <w:t>6.1试验条件</w:t>
      </w:r>
      <w:bookmarkEnd w:id="530"/>
      <w:bookmarkEnd w:id="531"/>
      <w:bookmarkEnd w:id="532"/>
      <w:bookmarkEnd w:id="533"/>
      <w:bookmarkEnd w:id="534"/>
      <w:bookmarkEnd w:id="535"/>
      <w:bookmarkEnd w:id="536"/>
      <w:bookmarkEnd w:id="537"/>
    </w:p>
    <w:p>
      <w:pPr>
        <w:snapToGrid w:val="0"/>
        <w:ind w:firstLine="420" w:firstLineChars="200"/>
        <w:rPr>
          <w:color w:val="auto"/>
          <w:szCs w:val="21"/>
          <w:highlight w:val="none"/>
        </w:rPr>
      </w:pPr>
      <w:r>
        <w:rPr>
          <w:rFonts w:hint="eastAsia"/>
          <w:color w:val="auto"/>
          <w:szCs w:val="21"/>
          <w:highlight w:val="none"/>
        </w:rPr>
        <w:t>除环境影响试验及运行中试验之外，其它试验项目应在如下试验环境中进行：</w:t>
      </w:r>
    </w:p>
    <w:p>
      <w:pPr>
        <w:snapToGrid w:val="0"/>
        <w:ind w:firstLine="420" w:firstLineChars="200"/>
        <w:rPr>
          <w:color w:val="auto"/>
          <w:szCs w:val="21"/>
          <w:highlight w:val="none"/>
        </w:rPr>
      </w:pPr>
      <w:r>
        <w:rPr>
          <w:rFonts w:hint="eastAsia"/>
          <w:color w:val="auto"/>
          <w:szCs w:val="21"/>
          <w:highlight w:val="none"/>
        </w:rPr>
        <w:t>a)</w:t>
      </w:r>
      <w:r>
        <w:rPr>
          <w:rFonts w:hint="eastAsia"/>
          <w:color w:val="auto"/>
          <w:szCs w:val="21"/>
          <w:highlight w:val="none"/>
        </w:rPr>
        <w:tab/>
      </w:r>
      <w:r>
        <w:rPr>
          <w:rFonts w:hint="eastAsia"/>
          <w:color w:val="auto"/>
          <w:szCs w:val="21"/>
          <w:highlight w:val="none"/>
        </w:rPr>
        <w:t>环境温度：+15℃～+35℃；</w:t>
      </w:r>
    </w:p>
    <w:p>
      <w:pPr>
        <w:snapToGrid w:val="0"/>
        <w:ind w:firstLine="420" w:firstLineChars="200"/>
        <w:rPr>
          <w:color w:val="auto"/>
          <w:szCs w:val="21"/>
          <w:highlight w:val="none"/>
        </w:rPr>
      </w:pPr>
      <w:r>
        <w:rPr>
          <w:rFonts w:hint="eastAsia"/>
          <w:color w:val="auto"/>
          <w:szCs w:val="21"/>
          <w:highlight w:val="none"/>
        </w:rPr>
        <w:t>b)</w:t>
      </w:r>
      <w:r>
        <w:rPr>
          <w:rFonts w:hint="eastAsia"/>
          <w:color w:val="auto"/>
          <w:szCs w:val="21"/>
          <w:highlight w:val="none"/>
        </w:rPr>
        <w:tab/>
      </w:r>
      <w:r>
        <w:rPr>
          <w:rFonts w:hint="eastAsia"/>
          <w:color w:val="auto"/>
          <w:szCs w:val="21"/>
          <w:highlight w:val="none"/>
        </w:rPr>
        <w:t>相对湿度：</w:t>
      </w:r>
      <w:r>
        <w:rPr>
          <w:color w:val="auto"/>
          <w:szCs w:val="21"/>
          <w:highlight w:val="none"/>
        </w:rPr>
        <w:t>2</w:t>
      </w:r>
      <w:r>
        <w:rPr>
          <w:rFonts w:hint="eastAsia"/>
          <w:color w:val="auto"/>
          <w:szCs w:val="21"/>
          <w:highlight w:val="none"/>
        </w:rPr>
        <w:t>5％RH～75％RH；</w:t>
      </w:r>
    </w:p>
    <w:p>
      <w:pPr>
        <w:snapToGrid w:val="0"/>
        <w:ind w:firstLine="420" w:firstLineChars="200"/>
        <w:rPr>
          <w:color w:val="auto"/>
          <w:szCs w:val="21"/>
          <w:highlight w:val="none"/>
        </w:rPr>
      </w:pPr>
      <w:r>
        <w:rPr>
          <w:rFonts w:hint="eastAsia"/>
          <w:color w:val="auto"/>
          <w:szCs w:val="21"/>
          <w:highlight w:val="none"/>
        </w:rPr>
        <w:t>c)</w:t>
      </w:r>
      <w:r>
        <w:rPr>
          <w:rFonts w:hint="eastAsia"/>
          <w:color w:val="auto"/>
          <w:szCs w:val="21"/>
          <w:highlight w:val="none"/>
        </w:rPr>
        <w:tab/>
      </w:r>
      <w:r>
        <w:rPr>
          <w:rFonts w:hint="eastAsia"/>
          <w:color w:val="auto"/>
          <w:szCs w:val="21"/>
          <w:highlight w:val="none"/>
        </w:rPr>
        <w:t>大气压力：</w:t>
      </w:r>
      <w:r>
        <w:rPr>
          <w:color w:val="auto"/>
          <w:szCs w:val="21"/>
          <w:highlight w:val="none"/>
        </w:rPr>
        <w:t>550h</w:t>
      </w:r>
      <w:r>
        <w:rPr>
          <w:rFonts w:hint="eastAsia"/>
          <w:color w:val="auto"/>
          <w:szCs w:val="21"/>
          <w:highlight w:val="none"/>
        </w:rPr>
        <w:t>Pa～106</w:t>
      </w:r>
      <w:r>
        <w:rPr>
          <w:color w:val="auto"/>
          <w:szCs w:val="21"/>
          <w:highlight w:val="none"/>
        </w:rPr>
        <w:t>0h</w:t>
      </w:r>
      <w:r>
        <w:rPr>
          <w:rFonts w:hint="eastAsia"/>
          <w:color w:val="auto"/>
          <w:szCs w:val="21"/>
          <w:highlight w:val="none"/>
        </w:rPr>
        <w:t>Pa。</w:t>
      </w:r>
    </w:p>
    <w:p>
      <w:pPr>
        <w:pStyle w:val="3"/>
        <w:numPr>
          <w:ilvl w:val="1"/>
          <w:numId w:val="0"/>
        </w:numPr>
        <w:rPr>
          <w:color w:val="auto"/>
          <w:highlight w:val="none"/>
        </w:rPr>
      </w:pPr>
      <w:bookmarkStart w:id="538" w:name="_Toc27191"/>
      <w:bookmarkStart w:id="539" w:name="_Toc356971175"/>
      <w:bookmarkStart w:id="540" w:name="_Toc500920853"/>
      <w:bookmarkStart w:id="541" w:name="_Toc349053902"/>
      <w:bookmarkStart w:id="542" w:name="_Toc26132"/>
      <w:bookmarkStart w:id="543" w:name="_Toc170486961"/>
      <w:bookmarkStart w:id="544" w:name="_Toc7406"/>
      <w:bookmarkStart w:id="545" w:name="_Toc342"/>
      <w:bookmarkStart w:id="546" w:name="_Toc9482"/>
      <w:bookmarkStart w:id="547" w:name="_Toc20340"/>
      <w:bookmarkStart w:id="548" w:name="_Toc4884"/>
      <w:r>
        <w:rPr>
          <w:rFonts w:hint="eastAsia"/>
          <w:color w:val="auto"/>
          <w:highlight w:val="none"/>
        </w:rPr>
        <w:t xml:space="preserve">6.2 </w:t>
      </w:r>
      <w:bookmarkEnd w:id="538"/>
      <w:bookmarkEnd w:id="539"/>
      <w:bookmarkEnd w:id="540"/>
      <w:bookmarkEnd w:id="541"/>
      <w:r>
        <w:rPr>
          <w:rFonts w:hint="eastAsia"/>
          <w:color w:val="auto"/>
          <w:highlight w:val="none"/>
        </w:rPr>
        <w:t>基本功能试验</w:t>
      </w:r>
      <w:bookmarkEnd w:id="542"/>
      <w:bookmarkEnd w:id="543"/>
      <w:bookmarkEnd w:id="544"/>
      <w:bookmarkEnd w:id="545"/>
      <w:bookmarkEnd w:id="546"/>
      <w:bookmarkEnd w:id="547"/>
      <w:bookmarkEnd w:id="548"/>
    </w:p>
    <w:p>
      <w:pPr>
        <w:ind w:firstLine="420" w:firstLineChars="200"/>
        <w:rPr>
          <w:color w:val="auto"/>
          <w:szCs w:val="21"/>
          <w:highlight w:val="none"/>
        </w:rPr>
      </w:pPr>
      <w:r>
        <w:rPr>
          <w:rFonts w:hint="eastAsia"/>
          <w:color w:val="auto"/>
          <w:highlight w:val="none"/>
        </w:rPr>
        <w:t>按照</w:t>
      </w:r>
      <w:r>
        <w:rPr>
          <w:rFonts w:hint="eastAsia"/>
          <w:color w:val="auto"/>
          <w:szCs w:val="21"/>
          <w:highlight w:val="none"/>
        </w:rPr>
        <w:t>现场配置方式将监测装置接入测试平台系统，给监测装置通电，施加相应信号，分项检测监测装置是否具备本标准要求的各项功能，应进行以下接口测试：</w:t>
      </w:r>
    </w:p>
    <w:p>
      <w:pPr>
        <w:numPr>
          <w:ilvl w:val="0"/>
          <w:numId w:val="38"/>
        </w:numPr>
        <w:ind w:left="851"/>
        <w:rPr>
          <w:color w:val="auto"/>
          <w:szCs w:val="21"/>
          <w:highlight w:val="none"/>
        </w:rPr>
      </w:pPr>
      <w:r>
        <w:rPr>
          <w:rFonts w:hint="eastAsia"/>
          <w:color w:val="auto"/>
          <w:szCs w:val="21"/>
          <w:highlight w:val="none"/>
        </w:rPr>
        <w:t>测试监测装置的数据输出接口及其一致性。</w:t>
      </w:r>
    </w:p>
    <w:p>
      <w:pPr>
        <w:numPr>
          <w:ilvl w:val="0"/>
          <w:numId w:val="38"/>
        </w:numPr>
        <w:ind w:left="851"/>
        <w:rPr>
          <w:color w:val="auto"/>
          <w:szCs w:val="21"/>
          <w:highlight w:val="none"/>
        </w:rPr>
      </w:pPr>
      <w:r>
        <w:rPr>
          <w:rFonts w:hint="eastAsia"/>
          <w:color w:val="auto"/>
          <w:szCs w:val="21"/>
          <w:highlight w:val="none"/>
        </w:rPr>
        <w:t>测试监测装置的查询/配置功能及其一致性。</w:t>
      </w:r>
    </w:p>
    <w:p>
      <w:pPr>
        <w:numPr>
          <w:ilvl w:val="0"/>
          <w:numId w:val="38"/>
        </w:numPr>
        <w:ind w:left="851"/>
        <w:rPr>
          <w:color w:val="auto"/>
          <w:szCs w:val="21"/>
          <w:highlight w:val="none"/>
        </w:rPr>
      </w:pPr>
      <w:r>
        <w:rPr>
          <w:rFonts w:hint="eastAsia"/>
          <w:color w:val="auto"/>
          <w:szCs w:val="21"/>
          <w:highlight w:val="none"/>
        </w:rPr>
        <w:t>测试监测装置的运行状态监测功能、报警功能及远程升级功能等。</w:t>
      </w:r>
    </w:p>
    <w:p>
      <w:pPr>
        <w:numPr>
          <w:ilvl w:val="255"/>
          <w:numId w:val="0"/>
        </w:numPr>
        <w:ind w:firstLine="420" w:firstLineChars="200"/>
        <w:rPr>
          <w:color w:val="auto"/>
          <w:szCs w:val="21"/>
          <w:highlight w:val="none"/>
        </w:rPr>
      </w:pPr>
      <w:r>
        <w:rPr>
          <w:rFonts w:hint="eastAsia"/>
          <w:color w:val="auto"/>
          <w:highlight w:val="none"/>
        </w:rPr>
        <w:t>应用</w:t>
      </w:r>
      <w:r>
        <w:rPr>
          <w:rFonts w:hint="eastAsia"/>
          <w:color w:val="auto"/>
          <w:szCs w:val="21"/>
          <w:highlight w:val="none"/>
        </w:rPr>
        <w:t>层</w:t>
      </w:r>
      <w:r>
        <w:rPr>
          <w:rFonts w:hint="eastAsia"/>
          <w:color w:val="auto"/>
          <w:highlight w:val="none"/>
        </w:rPr>
        <w:t>数据</w:t>
      </w:r>
      <w:r>
        <w:rPr>
          <w:rFonts w:hint="eastAsia"/>
          <w:color w:val="auto"/>
          <w:szCs w:val="21"/>
          <w:highlight w:val="none"/>
        </w:rPr>
        <w:t>传输规约及数据格式应符合《Q/CSG1205031输电线路在线监测通信规约及信息交互规范》要求，装置应能按照正确的数据格式传输各类数据，并正确响应执行各项操作指令。</w:t>
      </w:r>
    </w:p>
    <w:p>
      <w:pPr>
        <w:pStyle w:val="3"/>
        <w:numPr>
          <w:ilvl w:val="1"/>
          <w:numId w:val="0"/>
        </w:numPr>
        <w:rPr>
          <w:color w:val="auto"/>
          <w:highlight w:val="none"/>
        </w:rPr>
      </w:pPr>
      <w:bookmarkStart w:id="549" w:name="_Toc22481"/>
      <w:bookmarkStart w:id="550" w:name="_Toc20449"/>
      <w:bookmarkStart w:id="551" w:name="_Toc25106"/>
      <w:bookmarkStart w:id="552" w:name="_Toc18941"/>
      <w:bookmarkStart w:id="553" w:name="_Toc170486962"/>
      <w:r>
        <w:rPr>
          <w:rFonts w:hint="eastAsia"/>
          <w:color w:val="auto"/>
          <w:highlight w:val="none"/>
        </w:rPr>
        <w:t>6.3 物联网平台接入试验</w:t>
      </w:r>
      <w:bookmarkEnd w:id="549"/>
      <w:bookmarkEnd w:id="550"/>
      <w:bookmarkEnd w:id="551"/>
      <w:bookmarkEnd w:id="552"/>
      <w:bookmarkEnd w:id="553"/>
    </w:p>
    <w:p>
      <w:pPr>
        <w:ind w:firstLine="420"/>
        <w:rPr>
          <w:color w:val="auto"/>
          <w:szCs w:val="21"/>
          <w:highlight w:val="none"/>
        </w:rPr>
      </w:pPr>
      <w:r>
        <w:rPr>
          <w:rFonts w:hint="eastAsia"/>
          <w:color w:val="auto"/>
          <w:highlight w:val="none"/>
        </w:rPr>
        <w:t>按照现场配置方式将被测装置接入物联网平台测试系统，通过互操作的方式逐条验证装置基本信息、技术参数、量测参数、消息、服务类数据通信协议是否满足</w:t>
      </w:r>
      <w:r>
        <w:rPr>
          <w:rFonts w:hint="eastAsia"/>
          <w:color w:val="auto"/>
          <w:szCs w:val="21"/>
          <w:highlight w:val="none"/>
          <w:lang w:eastAsia="zh-CN"/>
        </w:rPr>
        <w:t>《</w:t>
      </w:r>
      <w:r>
        <w:rPr>
          <w:rFonts w:hint="eastAsia"/>
          <w:color w:val="auto"/>
          <w:szCs w:val="21"/>
          <w:highlight w:val="none"/>
        </w:rPr>
        <w:t>Q/CSG</w:t>
      </w:r>
      <w:r>
        <w:rPr>
          <w:rFonts w:hint="eastAsia"/>
          <w:color w:val="auto"/>
          <w:szCs w:val="21"/>
          <w:highlight w:val="none"/>
          <w:lang w:val="en-US" w:eastAsia="zh-CN"/>
        </w:rPr>
        <w:t xml:space="preserve"> </w:t>
      </w:r>
      <w:r>
        <w:rPr>
          <w:rFonts w:hint="eastAsia"/>
          <w:color w:val="auto"/>
          <w:szCs w:val="21"/>
          <w:highlight w:val="none"/>
        </w:rPr>
        <w:t>1210074</w:t>
      </w:r>
      <w:r>
        <w:rPr>
          <w:rFonts w:hint="eastAsia"/>
          <w:color w:val="auto"/>
          <w:szCs w:val="21"/>
          <w:highlight w:val="none"/>
          <w:lang w:val="en-US" w:eastAsia="zh-CN"/>
        </w:rPr>
        <w:t>南方电网物联终端设备信息模型规范（试行）</w:t>
      </w:r>
      <w:r>
        <w:rPr>
          <w:rFonts w:hint="eastAsia"/>
          <w:color w:val="auto"/>
          <w:szCs w:val="21"/>
          <w:highlight w:val="none"/>
          <w:lang w:eastAsia="zh-CN"/>
        </w:rPr>
        <w:t>》</w:t>
      </w:r>
      <w:r>
        <w:rPr>
          <w:rFonts w:hint="eastAsia"/>
          <w:color w:val="auto"/>
          <w:highlight w:val="none"/>
        </w:rPr>
        <w:t>要求，装置应能按照正确的数据格式传输各类数据，并正确响应各项操作指令。</w:t>
      </w:r>
    </w:p>
    <w:p>
      <w:pPr>
        <w:widowControl/>
        <w:spacing w:before="120" w:beforeLines="50" w:after="120" w:afterLines="50"/>
        <w:jc w:val="left"/>
        <w:outlineLvl w:val="1"/>
        <w:rPr>
          <w:rFonts w:ascii="黑体" w:hAnsi="黑体" w:eastAsia="黑体"/>
          <w:color w:val="auto"/>
          <w:kern w:val="0"/>
          <w:szCs w:val="21"/>
          <w:highlight w:val="none"/>
        </w:rPr>
      </w:pPr>
      <w:bookmarkStart w:id="554" w:name="_Toc17889"/>
      <w:bookmarkStart w:id="555" w:name="_Toc170486963"/>
      <w:bookmarkStart w:id="556" w:name="_Toc25694"/>
      <w:r>
        <w:rPr>
          <w:rFonts w:hint="eastAsia" w:ascii="黑体" w:hAnsi="黑体" w:eastAsia="黑体"/>
          <w:color w:val="auto"/>
          <w:kern w:val="0"/>
          <w:szCs w:val="21"/>
          <w:highlight w:val="none"/>
        </w:rPr>
        <w:t>6.4 结构和外观检查</w:t>
      </w:r>
      <w:bookmarkEnd w:id="554"/>
      <w:bookmarkEnd w:id="555"/>
      <w:bookmarkEnd w:id="556"/>
    </w:p>
    <w:p>
      <w:pPr>
        <w:snapToGrid w:val="0"/>
        <w:ind w:firstLine="420" w:firstLineChars="200"/>
        <w:rPr>
          <w:color w:val="auto"/>
          <w:szCs w:val="21"/>
          <w:highlight w:val="none"/>
        </w:rPr>
      </w:pPr>
      <w:r>
        <w:rPr>
          <w:rFonts w:hint="eastAsia"/>
          <w:color w:val="auto"/>
          <w:szCs w:val="21"/>
          <w:highlight w:val="none"/>
        </w:rPr>
        <w:t>a)</w:t>
      </w:r>
      <w:r>
        <w:rPr>
          <w:rFonts w:hint="eastAsia"/>
          <w:color w:val="auto"/>
          <w:szCs w:val="21"/>
          <w:highlight w:val="none"/>
        </w:rPr>
        <w:tab/>
      </w:r>
      <w:r>
        <w:rPr>
          <w:rFonts w:hint="eastAsia"/>
          <w:color w:val="auto"/>
          <w:szCs w:val="21"/>
          <w:highlight w:val="none"/>
        </w:rPr>
        <w:t>外壳表面没有明显的凹痕、划伤、裂缝、变形和污染，表面涂镀层应均匀，无龟裂、脱落和磨损，金属零部件无锈蚀及其他机械损伤；</w:t>
      </w:r>
    </w:p>
    <w:p>
      <w:pPr>
        <w:snapToGrid w:val="0"/>
        <w:ind w:firstLine="420" w:firstLineChars="200"/>
        <w:rPr>
          <w:color w:val="auto"/>
          <w:szCs w:val="21"/>
          <w:highlight w:val="none"/>
        </w:rPr>
      </w:pPr>
      <w:r>
        <w:rPr>
          <w:rFonts w:hint="eastAsia"/>
          <w:color w:val="auto"/>
          <w:szCs w:val="21"/>
          <w:highlight w:val="none"/>
        </w:rPr>
        <w:t>b)</w:t>
      </w:r>
      <w:r>
        <w:rPr>
          <w:rFonts w:hint="eastAsia"/>
          <w:color w:val="auto"/>
          <w:szCs w:val="21"/>
          <w:highlight w:val="none"/>
        </w:rPr>
        <w:tab/>
      </w:r>
      <w:r>
        <w:rPr>
          <w:rFonts w:hint="eastAsia"/>
          <w:color w:val="auto"/>
          <w:szCs w:val="21"/>
          <w:highlight w:val="none"/>
        </w:rPr>
        <w:t>装置各零部件紧固无松动；</w:t>
      </w:r>
    </w:p>
    <w:p>
      <w:pPr>
        <w:snapToGrid w:val="0"/>
        <w:ind w:firstLine="420" w:firstLineChars="200"/>
        <w:rPr>
          <w:color w:val="auto"/>
          <w:szCs w:val="21"/>
          <w:highlight w:val="none"/>
        </w:rPr>
      </w:pPr>
      <w:r>
        <w:rPr>
          <w:rFonts w:hint="eastAsia"/>
          <w:color w:val="auto"/>
          <w:szCs w:val="21"/>
          <w:highlight w:val="none"/>
        </w:rPr>
        <w:t>c)</w:t>
      </w:r>
      <w:r>
        <w:rPr>
          <w:rFonts w:hint="eastAsia"/>
          <w:color w:val="auto"/>
          <w:szCs w:val="21"/>
          <w:highlight w:val="none"/>
        </w:rPr>
        <w:tab/>
      </w:r>
      <w:r>
        <w:rPr>
          <w:rFonts w:hint="eastAsia"/>
          <w:color w:val="auto"/>
          <w:szCs w:val="21"/>
          <w:highlight w:val="none"/>
        </w:rPr>
        <w:t>标志、铭牌、文字及符号应简明清晰，铭牌上要标出产品的名称、产地、型号、生产厂商以及装置编号；</w:t>
      </w:r>
    </w:p>
    <w:p>
      <w:pPr>
        <w:snapToGrid w:val="0"/>
        <w:ind w:firstLine="420" w:firstLineChars="200"/>
        <w:rPr>
          <w:color w:val="auto"/>
          <w:szCs w:val="21"/>
          <w:highlight w:val="none"/>
        </w:rPr>
      </w:pPr>
      <w:r>
        <w:rPr>
          <w:rFonts w:hint="eastAsia"/>
          <w:color w:val="auto"/>
          <w:szCs w:val="21"/>
          <w:highlight w:val="none"/>
        </w:rPr>
        <w:t>d） 测量装置的总重量；</w:t>
      </w:r>
    </w:p>
    <w:p>
      <w:pPr>
        <w:snapToGrid w:val="0"/>
        <w:ind w:firstLine="420" w:firstLineChars="200"/>
        <w:rPr>
          <w:color w:val="auto"/>
          <w:szCs w:val="21"/>
          <w:highlight w:val="none"/>
        </w:rPr>
      </w:pPr>
      <w:r>
        <w:rPr>
          <w:rFonts w:hint="eastAsia"/>
          <w:color w:val="auto"/>
          <w:szCs w:val="21"/>
          <w:highlight w:val="none"/>
        </w:rPr>
        <w:t>e） 装置有且仅有一个通信卡槽，无备用卡槽。</w:t>
      </w:r>
    </w:p>
    <w:p>
      <w:pPr>
        <w:widowControl/>
        <w:spacing w:before="120" w:beforeLines="50" w:after="120" w:afterLines="50"/>
        <w:jc w:val="left"/>
        <w:outlineLvl w:val="1"/>
        <w:rPr>
          <w:rFonts w:ascii="黑体" w:hAnsi="黑体" w:eastAsia="黑体"/>
          <w:color w:val="auto"/>
          <w:kern w:val="0"/>
          <w:szCs w:val="21"/>
          <w:highlight w:val="none"/>
        </w:rPr>
      </w:pPr>
      <w:bookmarkStart w:id="557" w:name="_Toc20747"/>
      <w:bookmarkStart w:id="558" w:name="_Toc27675"/>
      <w:bookmarkStart w:id="559" w:name="_Toc170486964"/>
      <w:r>
        <w:rPr>
          <w:rFonts w:hint="eastAsia" w:ascii="黑体" w:hAnsi="黑体" w:eastAsia="黑体"/>
          <w:color w:val="auto"/>
          <w:kern w:val="0"/>
          <w:szCs w:val="21"/>
          <w:highlight w:val="none"/>
        </w:rPr>
        <w:t>6.5电气性能试验</w:t>
      </w:r>
      <w:bookmarkEnd w:id="557"/>
      <w:bookmarkEnd w:id="558"/>
      <w:bookmarkEnd w:id="559"/>
    </w:p>
    <w:p>
      <w:pPr>
        <w:snapToGrid w:val="0"/>
        <w:ind w:firstLine="420" w:firstLineChars="200"/>
        <w:rPr>
          <w:color w:val="auto"/>
          <w:szCs w:val="21"/>
          <w:highlight w:val="none"/>
        </w:rPr>
      </w:pPr>
      <w:r>
        <w:rPr>
          <w:rFonts w:hint="eastAsia"/>
          <w:color w:val="auto"/>
          <w:szCs w:val="21"/>
          <w:highlight w:val="none"/>
        </w:rPr>
        <w:t>a)  电晕和无线电干扰试验</w:t>
      </w:r>
    </w:p>
    <w:p>
      <w:pPr>
        <w:snapToGrid w:val="0"/>
        <w:ind w:firstLine="420" w:firstLineChars="200"/>
        <w:rPr>
          <w:color w:val="auto"/>
          <w:szCs w:val="21"/>
          <w:highlight w:val="none"/>
        </w:rPr>
      </w:pPr>
      <w:r>
        <w:rPr>
          <w:rFonts w:hint="eastAsia"/>
          <w:color w:val="auto"/>
          <w:szCs w:val="21"/>
          <w:highlight w:val="none"/>
        </w:rPr>
        <w:t>按“GB/T 2317.2 电力金具试验方法 第2部分：电晕和无线电干扰试验”中规定的试验要求和试验方法进行试验。在试验期间及试验后，装置应能正常工作。</w:t>
      </w:r>
    </w:p>
    <w:p>
      <w:pPr>
        <w:snapToGrid w:val="0"/>
        <w:ind w:firstLine="420" w:firstLineChars="200"/>
        <w:rPr>
          <w:color w:val="auto"/>
          <w:szCs w:val="21"/>
          <w:highlight w:val="none"/>
        </w:rPr>
      </w:pPr>
      <w:r>
        <w:rPr>
          <w:rFonts w:hint="eastAsia"/>
          <w:color w:val="auto"/>
          <w:szCs w:val="21"/>
          <w:highlight w:val="none"/>
        </w:rPr>
        <w:t>b)  短路电流冲击试验</w:t>
      </w:r>
    </w:p>
    <w:p>
      <w:pPr>
        <w:snapToGrid w:val="0"/>
        <w:ind w:firstLine="420" w:firstLineChars="200"/>
        <w:rPr>
          <w:color w:val="auto"/>
          <w:szCs w:val="21"/>
          <w:highlight w:val="none"/>
        </w:rPr>
      </w:pPr>
      <w:r>
        <w:rPr>
          <w:rFonts w:hint="eastAsia"/>
          <w:color w:val="auto"/>
          <w:szCs w:val="21"/>
          <w:highlight w:val="none"/>
        </w:rPr>
        <w:t>将监测装置安装在试验导线上，处于工作状态，对导线分别通过40kA、≥120ms，31.5kA、≥300ms，15kA、≥2s的模拟短路电流各3次，连续两次试验间隔不少于5min。在试验期间及试验后，装置应能正常工作。</w:t>
      </w:r>
    </w:p>
    <w:p>
      <w:pPr>
        <w:snapToGrid w:val="0"/>
        <w:ind w:firstLine="420" w:firstLineChars="200"/>
        <w:rPr>
          <w:color w:val="auto"/>
          <w:szCs w:val="21"/>
          <w:highlight w:val="none"/>
        </w:rPr>
      </w:pPr>
      <w:r>
        <w:rPr>
          <w:rFonts w:hint="eastAsia"/>
          <w:color w:val="auto"/>
          <w:szCs w:val="21"/>
          <w:highlight w:val="none"/>
        </w:rPr>
        <w:t>c)  雷电流冲击试验</w:t>
      </w:r>
    </w:p>
    <w:p>
      <w:pPr>
        <w:pStyle w:val="166"/>
        <w:spacing w:line="360" w:lineRule="auto"/>
        <w:ind w:firstLine="420"/>
        <w:rPr>
          <w:rFonts w:ascii="Times New Roman"/>
          <w:color w:val="auto"/>
          <w:highlight w:val="none"/>
        </w:rPr>
      </w:pPr>
      <w:r>
        <w:rPr>
          <w:rFonts w:ascii="Times New Roman"/>
          <w:color w:val="auto"/>
          <w:highlight w:val="none"/>
        </w:rPr>
        <w:t>将监测装置安装在试验导线上，处于工作状态。对导线回路施加幅值和波形为</w:t>
      </w:r>
      <w:r>
        <w:rPr>
          <w:rFonts w:hint="eastAsia" w:ascii="Times New Roman"/>
          <w:color w:val="auto"/>
          <w:highlight w:val="none"/>
        </w:rPr>
        <w:t>2</w:t>
      </w:r>
      <w:r>
        <w:rPr>
          <w:rFonts w:ascii="Times New Roman"/>
          <w:color w:val="auto"/>
          <w:highlight w:val="none"/>
        </w:rPr>
        <w:t>0kA、8/20μs的雷电流冲击3次</w:t>
      </w:r>
      <w:r>
        <w:rPr>
          <w:rFonts w:hint="eastAsia"/>
          <w:color w:val="auto"/>
          <w:szCs w:val="21"/>
          <w:highlight w:val="none"/>
        </w:rPr>
        <w:t>，连续两次试验间隔不少于5min</w:t>
      </w:r>
      <w:r>
        <w:rPr>
          <w:rFonts w:hint="eastAsia" w:ascii="Times New Roman"/>
          <w:color w:val="auto"/>
          <w:highlight w:val="none"/>
        </w:rPr>
        <w:t>，</w:t>
      </w:r>
      <w:r>
        <w:rPr>
          <w:rFonts w:ascii="Times New Roman"/>
          <w:color w:val="auto"/>
          <w:highlight w:val="none"/>
        </w:rPr>
        <w:t>试验波形满足GB/T 16927.4的规定。</w:t>
      </w:r>
      <w:r>
        <w:rPr>
          <w:rFonts w:hint="eastAsia" w:ascii="Times New Roman"/>
          <w:color w:val="auto"/>
          <w:highlight w:val="none"/>
        </w:rPr>
        <w:t>在</w:t>
      </w:r>
      <w:r>
        <w:rPr>
          <w:rFonts w:ascii="Times New Roman"/>
          <w:color w:val="auto"/>
          <w:highlight w:val="none"/>
        </w:rPr>
        <w:t>试验期间及试验后，装置应能正常工作。</w:t>
      </w:r>
    </w:p>
    <w:p>
      <w:pPr>
        <w:widowControl/>
        <w:spacing w:before="120" w:beforeLines="50" w:after="120" w:afterLines="50"/>
        <w:jc w:val="left"/>
        <w:outlineLvl w:val="1"/>
        <w:rPr>
          <w:rFonts w:ascii="黑体" w:hAnsi="黑体" w:eastAsia="黑体"/>
          <w:color w:val="auto"/>
          <w:kern w:val="0"/>
          <w:szCs w:val="21"/>
          <w:highlight w:val="none"/>
        </w:rPr>
      </w:pPr>
      <w:bookmarkStart w:id="560" w:name="_Toc19778"/>
      <w:bookmarkStart w:id="561" w:name="_Toc2634"/>
      <w:bookmarkStart w:id="562" w:name="_Toc170486965"/>
      <w:r>
        <w:rPr>
          <w:rFonts w:hint="eastAsia" w:ascii="黑体" w:hAnsi="黑体" w:eastAsia="黑体"/>
          <w:color w:val="auto"/>
          <w:kern w:val="0"/>
          <w:szCs w:val="21"/>
          <w:highlight w:val="none"/>
        </w:rPr>
        <w:t>6.6电磁兼容性试验</w:t>
      </w:r>
      <w:bookmarkEnd w:id="560"/>
      <w:bookmarkEnd w:id="561"/>
      <w:bookmarkEnd w:id="562"/>
    </w:p>
    <w:p>
      <w:pPr>
        <w:snapToGrid w:val="0"/>
        <w:ind w:firstLine="420" w:firstLineChars="200"/>
        <w:rPr>
          <w:color w:val="auto"/>
          <w:szCs w:val="21"/>
          <w:highlight w:val="none"/>
        </w:rPr>
      </w:pPr>
      <w:r>
        <w:rPr>
          <w:rFonts w:hint="eastAsia"/>
          <w:color w:val="auto"/>
          <w:szCs w:val="21"/>
          <w:highlight w:val="none"/>
        </w:rPr>
        <w:t>a)  静电放电抗扰度</w:t>
      </w:r>
    </w:p>
    <w:p>
      <w:pPr>
        <w:snapToGrid w:val="0"/>
        <w:ind w:firstLine="420" w:firstLineChars="200"/>
        <w:rPr>
          <w:color w:val="auto"/>
          <w:szCs w:val="21"/>
          <w:highlight w:val="none"/>
        </w:rPr>
      </w:pPr>
      <w:r>
        <w:rPr>
          <w:rFonts w:hint="eastAsia"/>
          <w:color w:val="auto"/>
          <w:szCs w:val="21"/>
          <w:highlight w:val="none"/>
        </w:rPr>
        <w:t>按照“GB/T 17626.2 电磁兼容 试验和测量技术 静电放电抗扰度试验”中规定的</w:t>
      </w:r>
      <w:r>
        <w:rPr>
          <w:color w:val="auto"/>
          <w:szCs w:val="21"/>
          <w:highlight w:val="none"/>
        </w:rPr>
        <w:t>试验等级为4级的接触放电试验</w:t>
      </w:r>
      <w:r>
        <w:rPr>
          <w:rFonts w:hint="eastAsia"/>
          <w:color w:val="auto"/>
          <w:szCs w:val="21"/>
          <w:highlight w:val="none"/>
        </w:rPr>
        <w:t>；在试验期间及试验后，装置应能正常工作。</w:t>
      </w:r>
    </w:p>
    <w:p>
      <w:pPr>
        <w:snapToGrid w:val="0"/>
        <w:ind w:firstLine="420" w:firstLineChars="200"/>
        <w:rPr>
          <w:color w:val="auto"/>
          <w:szCs w:val="21"/>
          <w:highlight w:val="none"/>
        </w:rPr>
      </w:pPr>
      <w:r>
        <w:rPr>
          <w:rFonts w:hint="eastAsia"/>
          <w:color w:val="auto"/>
          <w:szCs w:val="21"/>
          <w:highlight w:val="none"/>
        </w:rPr>
        <w:t>b)  射频场感应的传导骚扰抗扰度</w:t>
      </w:r>
    </w:p>
    <w:p>
      <w:pPr>
        <w:snapToGrid w:val="0"/>
        <w:ind w:firstLine="420" w:firstLineChars="200"/>
        <w:rPr>
          <w:color w:val="auto"/>
          <w:szCs w:val="21"/>
          <w:highlight w:val="none"/>
        </w:rPr>
      </w:pPr>
      <w:r>
        <w:rPr>
          <w:rFonts w:hint="eastAsia"/>
          <w:color w:val="auto"/>
          <w:szCs w:val="21"/>
          <w:highlight w:val="none"/>
        </w:rPr>
        <w:t>按照“GB/T 17626.6电磁兼容 试验和测量技术 射频场感应的传导骚扰抗扰度”中第5章规定的试验等级为3级的射频场干扰试验；在试验期间及试验后，装置应能正常工作。</w:t>
      </w:r>
    </w:p>
    <w:p>
      <w:pPr>
        <w:snapToGrid w:val="0"/>
        <w:ind w:firstLine="420" w:firstLineChars="200"/>
        <w:rPr>
          <w:color w:val="auto"/>
          <w:szCs w:val="21"/>
          <w:highlight w:val="none"/>
        </w:rPr>
      </w:pPr>
      <w:r>
        <w:rPr>
          <w:rFonts w:hint="eastAsia"/>
          <w:color w:val="auto"/>
          <w:szCs w:val="21"/>
          <w:highlight w:val="none"/>
        </w:rPr>
        <w:t>c)  工频磁场抗扰度</w:t>
      </w:r>
    </w:p>
    <w:p>
      <w:pPr>
        <w:snapToGrid w:val="0"/>
        <w:ind w:firstLine="420" w:firstLineChars="200"/>
        <w:rPr>
          <w:color w:val="auto"/>
          <w:szCs w:val="21"/>
          <w:highlight w:val="none"/>
        </w:rPr>
      </w:pPr>
      <w:r>
        <w:rPr>
          <w:rFonts w:hint="eastAsia"/>
          <w:color w:val="auto"/>
          <w:szCs w:val="21"/>
          <w:highlight w:val="none"/>
        </w:rPr>
        <w:t>按照“GB/T 17626.8 电磁兼容 试验和测量技术 工频磁场抗扰度试验”中规定的</w:t>
      </w:r>
      <w:r>
        <w:rPr>
          <w:color w:val="auto"/>
          <w:szCs w:val="21"/>
          <w:highlight w:val="none"/>
        </w:rPr>
        <w:t>试验等级为5级的工频磁场抗扰度试验</w:t>
      </w:r>
      <w:r>
        <w:rPr>
          <w:rFonts w:hint="eastAsia"/>
          <w:color w:val="auto"/>
          <w:szCs w:val="21"/>
          <w:highlight w:val="none"/>
        </w:rPr>
        <w:t>；在试验期间及试验后，装置应能正常工作。</w:t>
      </w:r>
    </w:p>
    <w:p>
      <w:pPr>
        <w:snapToGrid w:val="0"/>
        <w:ind w:firstLine="420" w:firstLineChars="200"/>
        <w:rPr>
          <w:color w:val="auto"/>
          <w:szCs w:val="21"/>
          <w:highlight w:val="none"/>
        </w:rPr>
      </w:pPr>
      <w:r>
        <w:rPr>
          <w:rFonts w:hint="eastAsia"/>
          <w:color w:val="auto"/>
          <w:szCs w:val="21"/>
          <w:highlight w:val="none"/>
        </w:rPr>
        <w:t>d)  脉冲磁场抗扰度</w:t>
      </w:r>
    </w:p>
    <w:p>
      <w:pPr>
        <w:snapToGrid w:val="0"/>
        <w:ind w:firstLine="420" w:firstLineChars="200"/>
        <w:rPr>
          <w:color w:val="auto"/>
          <w:szCs w:val="21"/>
          <w:highlight w:val="none"/>
        </w:rPr>
      </w:pPr>
      <w:r>
        <w:rPr>
          <w:rFonts w:hint="eastAsia"/>
          <w:color w:val="auto"/>
          <w:szCs w:val="21"/>
          <w:highlight w:val="none"/>
        </w:rPr>
        <w:t>按照“GB/T 17626.9 试验和测量技术 脉冲磁场抗扰度试验”中规定</w:t>
      </w:r>
      <w:r>
        <w:rPr>
          <w:color w:val="auto"/>
          <w:szCs w:val="21"/>
          <w:highlight w:val="none"/>
        </w:rPr>
        <w:t>的试验等级为5级的脉冲磁场抗扰度试验</w:t>
      </w:r>
      <w:r>
        <w:rPr>
          <w:rFonts w:hint="eastAsia"/>
          <w:color w:val="auto"/>
          <w:szCs w:val="21"/>
          <w:highlight w:val="none"/>
        </w:rPr>
        <w:t>；在试验期间及试验后，装置应能正常工作。</w:t>
      </w:r>
    </w:p>
    <w:p>
      <w:pPr>
        <w:widowControl/>
        <w:spacing w:before="120" w:beforeLines="50" w:after="120" w:afterLines="50"/>
        <w:jc w:val="left"/>
        <w:outlineLvl w:val="1"/>
        <w:rPr>
          <w:rFonts w:ascii="黑体" w:hAnsi="黑体" w:eastAsia="黑体"/>
          <w:color w:val="auto"/>
          <w:kern w:val="0"/>
          <w:szCs w:val="21"/>
          <w:highlight w:val="none"/>
        </w:rPr>
      </w:pPr>
      <w:bookmarkStart w:id="563" w:name="_Toc27005"/>
      <w:bookmarkStart w:id="564" w:name="_Toc10158"/>
      <w:bookmarkStart w:id="565" w:name="_Toc170486966"/>
      <w:r>
        <w:rPr>
          <w:rFonts w:hint="eastAsia" w:ascii="黑体" w:hAnsi="黑体" w:eastAsia="黑体"/>
          <w:color w:val="auto"/>
          <w:kern w:val="0"/>
          <w:szCs w:val="21"/>
          <w:highlight w:val="none"/>
        </w:rPr>
        <w:t>6.7环境试验</w:t>
      </w:r>
      <w:bookmarkEnd w:id="563"/>
      <w:bookmarkEnd w:id="564"/>
      <w:bookmarkEnd w:id="565"/>
    </w:p>
    <w:p>
      <w:pPr>
        <w:snapToGrid w:val="0"/>
        <w:ind w:firstLine="420" w:firstLineChars="200"/>
        <w:rPr>
          <w:color w:val="auto"/>
          <w:szCs w:val="21"/>
          <w:highlight w:val="none"/>
        </w:rPr>
      </w:pPr>
      <w:r>
        <w:rPr>
          <w:rFonts w:hint="eastAsia"/>
          <w:color w:val="auto"/>
          <w:szCs w:val="21"/>
          <w:highlight w:val="none"/>
        </w:rPr>
        <w:t xml:space="preserve">a)  高温试验 </w:t>
      </w:r>
    </w:p>
    <w:p>
      <w:pPr>
        <w:snapToGrid w:val="0"/>
        <w:ind w:firstLine="420" w:firstLineChars="200"/>
        <w:rPr>
          <w:color w:val="auto"/>
          <w:szCs w:val="21"/>
          <w:highlight w:val="none"/>
        </w:rPr>
      </w:pPr>
      <w:r>
        <w:rPr>
          <w:rFonts w:hint="eastAsia"/>
          <w:color w:val="auto"/>
          <w:szCs w:val="21"/>
          <w:highlight w:val="none"/>
        </w:rPr>
        <w:t>按“GB/T 2423.2 电工电子产品环境试验 第2部分：试验方法 试验A：高温”中规定的试验要求和试验方法进行，应能承受严酷等级为：温度＋70℃、持续时间16h的高温试验。在试验期间及试验后，装置应能正常工作。</w:t>
      </w:r>
    </w:p>
    <w:p>
      <w:pPr>
        <w:snapToGrid w:val="0"/>
        <w:ind w:firstLine="420" w:firstLineChars="200"/>
        <w:rPr>
          <w:color w:val="auto"/>
          <w:szCs w:val="21"/>
          <w:highlight w:val="none"/>
        </w:rPr>
      </w:pPr>
      <w:r>
        <w:rPr>
          <w:rFonts w:hint="eastAsia"/>
          <w:color w:val="auto"/>
          <w:szCs w:val="21"/>
          <w:highlight w:val="none"/>
        </w:rPr>
        <w:t>b)  低温试验</w:t>
      </w:r>
    </w:p>
    <w:p>
      <w:pPr>
        <w:snapToGrid w:val="0"/>
        <w:ind w:firstLine="420" w:firstLineChars="200"/>
        <w:rPr>
          <w:color w:val="auto"/>
          <w:szCs w:val="21"/>
          <w:highlight w:val="none"/>
        </w:rPr>
      </w:pPr>
      <w:r>
        <w:rPr>
          <w:rFonts w:hint="eastAsia"/>
          <w:color w:val="auto"/>
          <w:szCs w:val="21"/>
          <w:highlight w:val="none"/>
        </w:rPr>
        <w:t>按“</w:t>
      </w:r>
      <w:r>
        <w:rPr>
          <w:color w:val="auto"/>
          <w:szCs w:val="21"/>
          <w:highlight w:val="none"/>
        </w:rPr>
        <w:t>GB/T 2423.1</w:t>
      </w:r>
      <w:r>
        <w:rPr>
          <w:rFonts w:hint="eastAsia"/>
          <w:color w:val="auto"/>
          <w:szCs w:val="21"/>
          <w:highlight w:val="none"/>
        </w:rPr>
        <w:t>电工电子产品环境试验</w:t>
      </w:r>
      <w:r>
        <w:rPr>
          <w:color w:val="auto"/>
          <w:szCs w:val="21"/>
          <w:highlight w:val="none"/>
        </w:rPr>
        <w:t xml:space="preserve"> </w:t>
      </w:r>
      <w:r>
        <w:rPr>
          <w:rFonts w:hint="eastAsia"/>
          <w:color w:val="auto"/>
          <w:szCs w:val="21"/>
          <w:highlight w:val="none"/>
        </w:rPr>
        <w:t>第</w:t>
      </w:r>
      <w:r>
        <w:rPr>
          <w:color w:val="auto"/>
          <w:szCs w:val="21"/>
          <w:highlight w:val="none"/>
        </w:rPr>
        <w:t>2</w:t>
      </w:r>
      <w:r>
        <w:rPr>
          <w:rFonts w:hint="eastAsia"/>
          <w:color w:val="auto"/>
          <w:szCs w:val="21"/>
          <w:highlight w:val="none"/>
        </w:rPr>
        <w:t>部分：试验方法</w:t>
      </w:r>
      <w:r>
        <w:rPr>
          <w:color w:val="auto"/>
          <w:szCs w:val="21"/>
          <w:highlight w:val="none"/>
        </w:rPr>
        <w:t xml:space="preserve"> </w:t>
      </w:r>
      <w:r>
        <w:rPr>
          <w:rFonts w:hint="eastAsia"/>
          <w:color w:val="auto"/>
          <w:szCs w:val="21"/>
          <w:highlight w:val="none"/>
        </w:rPr>
        <w:t>试验</w:t>
      </w:r>
      <w:r>
        <w:rPr>
          <w:color w:val="auto"/>
          <w:szCs w:val="21"/>
          <w:highlight w:val="none"/>
        </w:rPr>
        <w:t>B</w:t>
      </w:r>
      <w:r>
        <w:rPr>
          <w:rFonts w:hint="eastAsia"/>
          <w:color w:val="auto"/>
          <w:szCs w:val="21"/>
          <w:highlight w:val="none"/>
        </w:rPr>
        <w:t>：低温”中规定的试验要求和试验方法进行，应能承受严酷等级为：温度</w:t>
      </w:r>
      <w:r>
        <w:rPr>
          <w:color w:val="auto"/>
          <w:szCs w:val="21"/>
          <w:highlight w:val="none"/>
        </w:rPr>
        <w:t>−</w:t>
      </w:r>
      <w:r>
        <w:rPr>
          <w:rFonts w:hint="eastAsia"/>
          <w:color w:val="auto"/>
          <w:szCs w:val="21"/>
          <w:highlight w:val="none"/>
        </w:rPr>
        <w:t>4</w:t>
      </w:r>
      <w:r>
        <w:rPr>
          <w:color w:val="auto"/>
          <w:szCs w:val="21"/>
          <w:highlight w:val="none"/>
        </w:rPr>
        <w:t>0</w:t>
      </w:r>
      <w:r>
        <w:rPr>
          <w:rFonts w:hint="eastAsia"/>
          <w:color w:val="auto"/>
          <w:szCs w:val="21"/>
          <w:highlight w:val="none"/>
        </w:rPr>
        <w:t>℃、持续时间</w:t>
      </w:r>
      <w:r>
        <w:rPr>
          <w:color w:val="auto"/>
          <w:szCs w:val="21"/>
          <w:highlight w:val="none"/>
        </w:rPr>
        <w:t>16h</w:t>
      </w:r>
      <w:r>
        <w:rPr>
          <w:rFonts w:hint="eastAsia"/>
          <w:color w:val="auto"/>
          <w:szCs w:val="21"/>
          <w:highlight w:val="none"/>
        </w:rPr>
        <w:t>的低温试验。在试验期间及试验后，装置应能正常工作。</w:t>
      </w:r>
    </w:p>
    <w:p>
      <w:pPr>
        <w:snapToGrid w:val="0"/>
        <w:ind w:firstLine="420" w:firstLineChars="200"/>
        <w:rPr>
          <w:color w:val="auto"/>
          <w:szCs w:val="21"/>
          <w:highlight w:val="none"/>
        </w:rPr>
      </w:pPr>
      <w:r>
        <w:rPr>
          <w:rFonts w:hint="eastAsia"/>
          <w:color w:val="auto"/>
          <w:szCs w:val="21"/>
          <w:highlight w:val="none"/>
        </w:rPr>
        <w:t>c)  交变湿热试验</w:t>
      </w:r>
    </w:p>
    <w:p>
      <w:pPr>
        <w:snapToGrid w:val="0"/>
        <w:ind w:firstLine="420" w:firstLineChars="200"/>
        <w:rPr>
          <w:color w:val="auto"/>
          <w:szCs w:val="21"/>
          <w:highlight w:val="none"/>
        </w:rPr>
      </w:pPr>
      <w:r>
        <w:rPr>
          <w:rFonts w:hint="eastAsia"/>
          <w:color w:val="auto"/>
          <w:szCs w:val="21"/>
          <w:highlight w:val="none"/>
        </w:rPr>
        <w:t>按“GB/T 2423.4电工电子产品基本环境试验规程 试验Ｄb： 交变湿热试验方法”中规定的试验要求和试验方法进行，高温温度为55℃，试验周期1天，原地恢复2h。在试验期间及试验后，装置应能正常工作。</w:t>
      </w:r>
    </w:p>
    <w:p>
      <w:pPr>
        <w:snapToGrid w:val="0"/>
        <w:ind w:firstLine="420" w:firstLineChars="200"/>
        <w:rPr>
          <w:color w:val="auto"/>
          <w:highlight w:val="none"/>
        </w:rPr>
      </w:pPr>
      <w:r>
        <w:rPr>
          <w:rFonts w:hint="eastAsia"/>
          <w:color w:val="auto"/>
          <w:szCs w:val="21"/>
          <w:highlight w:val="none"/>
        </w:rPr>
        <w:t>d)  老化试验</w:t>
      </w:r>
    </w:p>
    <w:p>
      <w:pPr>
        <w:tabs>
          <w:tab w:val="left" w:pos="885"/>
        </w:tabs>
        <w:topLinePunct/>
        <w:ind w:firstLine="420" w:firstLineChars="200"/>
        <w:rPr>
          <w:color w:val="auto"/>
          <w:highlight w:val="none"/>
        </w:rPr>
      </w:pPr>
      <w:r>
        <w:rPr>
          <w:rFonts w:hint="eastAsia"/>
          <w:color w:val="auto"/>
          <w:highlight w:val="none"/>
        </w:rPr>
        <w:t>按照</w:t>
      </w:r>
      <w:r>
        <w:rPr>
          <w:color w:val="auto"/>
          <w:highlight w:val="none"/>
        </w:rPr>
        <w:t>GB/T 3512</w:t>
      </w:r>
      <w:r>
        <w:rPr>
          <w:rFonts w:hint="eastAsia"/>
          <w:color w:val="auto"/>
          <w:highlight w:val="none"/>
        </w:rPr>
        <w:t>中的规定和方法，对监测装置进行热老化试验，暴露时间为</w:t>
      </w:r>
      <w:r>
        <w:rPr>
          <w:color w:val="auto"/>
          <w:highlight w:val="none"/>
        </w:rPr>
        <w:t>168h</w:t>
      </w:r>
      <w:r>
        <w:rPr>
          <w:rFonts w:hint="eastAsia"/>
          <w:color w:val="auto"/>
          <w:highlight w:val="none"/>
        </w:rPr>
        <w:t>。试验后目测观察，监测装置表面应无变色、裂纹、气泡、麻点、粉化或分离等缺陷。</w:t>
      </w:r>
    </w:p>
    <w:p>
      <w:pPr>
        <w:widowControl/>
        <w:numPr>
          <w:ilvl w:val="255"/>
          <w:numId w:val="0"/>
        </w:numPr>
        <w:spacing w:before="120" w:beforeLines="50" w:after="120" w:afterLines="50"/>
        <w:jc w:val="left"/>
        <w:outlineLvl w:val="1"/>
        <w:rPr>
          <w:rFonts w:ascii="黑体" w:hAnsi="黑体" w:eastAsia="黑体"/>
          <w:color w:val="auto"/>
          <w:kern w:val="0"/>
          <w:szCs w:val="21"/>
          <w:highlight w:val="none"/>
        </w:rPr>
      </w:pPr>
      <w:bookmarkStart w:id="566" w:name="_Toc170486967"/>
      <w:bookmarkStart w:id="567" w:name="_Toc25640"/>
      <w:bookmarkStart w:id="568" w:name="_Toc24397"/>
      <w:r>
        <w:rPr>
          <w:rFonts w:hint="eastAsia" w:ascii="黑体" w:hAnsi="黑体" w:eastAsia="黑体"/>
          <w:color w:val="auto"/>
          <w:kern w:val="0"/>
          <w:szCs w:val="21"/>
          <w:highlight w:val="none"/>
        </w:rPr>
        <w:t>6.8机械性能试验</w:t>
      </w:r>
      <w:bookmarkEnd w:id="566"/>
      <w:bookmarkEnd w:id="567"/>
      <w:bookmarkEnd w:id="568"/>
    </w:p>
    <w:p>
      <w:pPr>
        <w:snapToGrid w:val="0"/>
        <w:ind w:firstLine="420" w:firstLineChars="200"/>
        <w:rPr>
          <w:color w:val="auto"/>
          <w:szCs w:val="21"/>
          <w:highlight w:val="none"/>
        </w:rPr>
      </w:pPr>
      <w:r>
        <w:rPr>
          <w:color w:val="auto"/>
          <w:szCs w:val="21"/>
          <w:highlight w:val="none"/>
        </w:rPr>
        <w:t>a</w:t>
      </w:r>
      <w:r>
        <w:rPr>
          <w:rFonts w:hint="eastAsia"/>
          <w:color w:val="auto"/>
          <w:szCs w:val="21"/>
          <w:highlight w:val="none"/>
        </w:rPr>
        <w:t>）防护等级试验</w:t>
      </w:r>
    </w:p>
    <w:p>
      <w:pPr>
        <w:pStyle w:val="166"/>
        <w:spacing w:line="360" w:lineRule="auto"/>
        <w:ind w:firstLine="420"/>
        <w:rPr>
          <w:rFonts w:ascii="Times New Roman"/>
          <w:color w:val="auto"/>
          <w:highlight w:val="none"/>
        </w:rPr>
      </w:pPr>
      <w:r>
        <w:rPr>
          <w:rFonts w:ascii="Times New Roman"/>
          <w:color w:val="auto"/>
          <w:highlight w:val="none"/>
        </w:rPr>
        <w:t>按照GB</w:t>
      </w:r>
      <w:r>
        <w:rPr>
          <w:rFonts w:hint="eastAsia" w:ascii="Times New Roman"/>
          <w:color w:val="auto"/>
          <w:highlight w:val="none"/>
        </w:rPr>
        <w:t>/T</w:t>
      </w:r>
      <w:r>
        <w:rPr>
          <w:rFonts w:ascii="Times New Roman"/>
          <w:color w:val="auto"/>
          <w:highlight w:val="none"/>
        </w:rPr>
        <w:t xml:space="preserve"> 4208的规定和方法，对</w:t>
      </w:r>
      <w:r>
        <w:rPr>
          <w:rFonts w:hint="eastAsia" w:ascii="Times New Roman"/>
          <w:color w:val="auto"/>
          <w:highlight w:val="none"/>
        </w:rPr>
        <w:t>监测装置进行防护等级为</w:t>
      </w:r>
      <w:r>
        <w:rPr>
          <w:rFonts w:ascii="Times New Roman"/>
          <w:color w:val="auto"/>
          <w:highlight w:val="none"/>
        </w:rPr>
        <w:t>IP66</w:t>
      </w:r>
      <w:r>
        <w:rPr>
          <w:rFonts w:hint="eastAsia" w:ascii="Times New Roman"/>
          <w:color w:val="auto"/>
          <w:highlight w:val="none"/>
        </w:rPr>
        <w:t>的试验。试验后，监测装置应能正常工作。</w:t>
      </w:r>
    </w:p>
    <w:p>
      <w:pPr>
        <w:snapToGrid w:val="0"/>
        <w:ind w:firstLine="420" w:firstLineChars="200"/>
        <w:rPr>
          <w:color w:val="auto"/>
          <w:highlight w:val="none"/>
        </w:rPr>
      </w:pPr>
      <w:r>
        <w:rPr>
          <w:rFonts w:hint="eastAsia"/>
          <w:color w:val="auto"/>
          <w:szCs w:val="21"/>
          <w:highlight w:val="none"/>
        </w:rPr>
        <w:t>b）振动试验</w:t>
      </w:r>
    </w:p>
    <w:p>
      <w:pPr>
        <w:pStyle w:val="166"/>
        <w:spacing w:line="360" w:lineRule="auto"/>
        <w:ind w:firstLine="420"/>
        <w:rPr>
          <w:rFonts w:ascii="Times New Roman"/>
          <w:color w:val="auto"/>
          <w:highlight w:val="none"/>
        </w:rPr>
      </w:pPr>
      <w:r>
        <w:rPr>
          <w:rFonts w:ascii="Times New Roman"/>
          <w:color w:val="auto"/>
          <w:highlight w:val="none"/>
        </w:rPr>
        <w:t>按照GB/T 2423.10的规定和方法，对</w:t>
      </w:r>
      <w:r>
        <w:rPr>
          <w:rFonts w:hint="eastAsia" w:ascii="Times New Roman"/>
          <w:color w:val="auto"/>
          <w:highlight w:val="none"/>
        </w:rPr>
        <w:t>监测装置进行振动试验。试验后，检查监测装置应无损坏和紧固件松动脱落现象，并能正常工作。</w:t>
      </w:r>
    </w:p>
    <w:p>
      <w:pPr>
        <w:snapToGrid w:val="0"/>
        <w:ind w:firstLine="420" w:firstLineChars="200"/>
        <w:rPr>
          <w:color w:val="auto"/>
          <w:szCs w:val="21"/>
          <w:highlight w:val="none"/>
        </w:rPr>
      </w:pPr>
      <w:r>
        <w:rPr>
          <w:rFonts w:hint="eastAsia"/>
          <w:color w:val="auto"/>
          <w:szCs w:val="21"/>
          <w:highlight w:val="none"/>
        </w:rPr>
        <w:t>c）垂直振动试验</w:t>
      </w:r>
    </w:p>
    <w:p>
      <w:pPr>
        <w:ind w:firstLine="420" w:firstLineChars="200"/>
        <w:rPr>
          <w:color w:val="auto"/>
          <w:highlight w:val="none"/>
        </w:rPr>
      </w:pPr>
      <w:r>
        <w:rPr>
          <w:rFonts w:hint="eastAsia"/>
          <w:color w:val="auto"/>
          <w:highlight w:val="none"/>
        </w:rPr>
        <w:t>按照DL/T1098规定的试验要求和试验方法进行：</w:t>
      </w:r>
    </w:p>
    <w:p>
      <w:pPr>
        <w:ind w:firstLine="420" w:firstLineChars="200"/>
        <w:rPr>
          <w:color w:val="auto"/>
          <w:highlight w:val="none"/>
        </w:rPr>
      </w:pPr>
      <w:r>
        <w:rPr>
          <w:rFonts w:hint="eastAsia"/>
          <w:color w:val="auto"/>
          <w:highlight w:val="none"/>
        </w:rPr>
        <w:t>a) 试验布置参见 DL/T1098,将监测装置按要求固定在受张导线上,导线张力为10%~25%CUTS;</w:t>
      </w:r>
    </w:p>
    <w:p>
      <w:pPr>
        <w:ind w:firstLine="420" w:firstLineChars="200"/>
        <w:rPr>
          <w:color w:val="auto"/>
          <w:highlight w:val="none"/>
        </w:rPr>
      </w:pPr>
      <w:r>
        <w:rPr>
          <w:rFonts w:hint="eastAsia"/>
          <w:color w:val="auto"/>
          <w:highlight w:val="none"/>
        </w:rPr>
        <w:t>b) 振动条件:振动频率f 为25Hz~50Hz,监测装置安装处导线振幅 A=±0.5mm,振动次数N=1×107 次;</w:t>
      </w:r>
      <w:r>
        <w:rPr>
          <w:color w:val="auto"/>
          <w:highlight w:val="none"/>
        </w:rPr>
        <w:t>同时</w:t>
      </w:r>
      <w:r>
        <w:rPr>
          <w:rFonts w:hint="eastAsia"/>
          <w:color w:val="auto"/>
          <w:highlight w:val="none"/>
        </w:rPr>
        <w:t>测量监测装置夹头处的导线动弯应变值,不应大于允许值 ±100με~±120με。</w:t>
      </w:r>
    </w:p>
    <w:p>
      <w:pPr>
        <w:snapToGrid w:val="0"/>
        <w:ind w:firstLine="420" w:firstLineChars="200"/>
        <w:rPr>
          <w:color w:val="auto"/>
          <w:highlight w:val="none"/>
        </w:rPr>
      </w:pPr>
      <w:r>
        <w:rPr>
          <w:rFonts w:hint="eastAsia"/>
          <w:color w:val="auto"/>
          <w:szCs w:val="21"/>
          <w:highlight w:val="none"/>
        </w:rPr>
        <w:t>d）碰撞试验</w:t>
      </w:r>
    </w:p>
    <w:p>
      <w:pPr>
        <w:ind w:firstLine="420" w:firstLineChars="200"/>
        <w:rPr>
          <w:color w:val="auto"/>
          <w:highlight w:val="none"/>
        </w:rPr>
      </w:pPr>
      <w:r>
        <w:rPr>
          <w:rFonts w:hint="eastAsia"/>
          <w:color w:val="auto"/>
          <w:highlight w:val="none"/>
        </w:rPr>
        <w:t>按照</w:t>
      </w:r>
      <w:r>
        <w:rPr>
          <w:color w:val="auto"/>
          <w:highlight w:val="none"/>
        </w:rPr>
        <w:t>GB/T 2423.6</w:t>
      </w:r>
      <w:r>
        <w:rPr>
          <w:rFonts w:hint="eastAsia"/>
          <w:color w:val="auto"/>
          <w:highlight w:val="none"/>
        </w:rPr>
        <w:t>的规定和方法，对监测装置进行碰撞试验。试验后，监测装置应无损坏，紧固件、连接件、模块及元器件无松动、脱落等现象，监测装置能正常工作。</w:t>
      </w:r>
    </w:p>
    <w:p>
      <w:pPr>
        <w:snapToGrid w:val="0"/>
        <w:ind w:firstLine="420" w:firstLineChars="200"/>
        <w:rPr>
          <w:color w:val="auto"/>
          <w:highlight w:val="none"/>
        </w:rPr>
      </w:pPr>
      <w:r>
        <w:rPr>
          <w:rFonts w:hint="eastAsia"/>
          <w:color w:val="auto"/>
          <w:szCs w:val="21"/>
          <w:highlight w:val="none"/>
        </w:rPr>
        <w:t>e）运输试验</w:t>
      </w:r>
    </w:p>
    <w:p>
      <w:pPr>
        <w:ind w:firstLine="420" w:firstLineChars="200"/>
        <w:rPr>
          <w:color w:val="auto"/>
          <w:highlight w:val="none"/>
        </w:rPr>
      </w:pPr>
      <w:r>
        <w:rPr>
          <w:rFonts w:hint="eastAsia"/>
          <w:color w:val="auto"/>
          <w:highlight w:val="none"/>
        </w:rPr>
        <w:t>按照</w:t>
      </w:r>
      <w:r>
        <w:rPr>
          <w:color w:val="auto"/>
          <w:highlight w:val="none"/>
        </w:rPr>
        <w:t>GB/T 6587</w:t>
      </w:r>
      <w:r>
        <w:rPr>
          <w:rFonts w:hint="eastAsia"/>
          <w:color w:val="auto"/>
          <w:highlight w:val="none"/>
        </w:rPr>
        <w:t>及</w:t>
      </w:r>
      <w:r>
        <w:rPr>
          <w:color w:val="auto"/>
          <w:highlight w:val="none"/>
        </w:rPr>
        <w:t>QJ/T 815.2</w:t>
      </w:r>
      <w:r>
        <w:rPr>
          <w:rFonts w:hint="eastAsia"/>
          <w:color w:val="auto"/>
          <w:highlight w:val="none"/>
        </w:rPr>
        <w:t>的规定和方法，对监测装置进行运输试验。试验后，包装应无破损、严重变形、磨损，监测装置应无损坏，并能正常工作。</w:t>
      </w:r>
    </w:p>
    <w:p>
      <w:pPr>
        <w:widowControl/>
        <w:numPr>
          <w:ilvl w:val="255"/>
          <w:numId w:val="0"/>
        </w:numPr>
        <w:spacing w:before="120" w:beforeLines="50" w:after="120" w:afterLines="50"/>
        <w:jc w:val="left"/>
        <w:outlineLvl w:val="1"/>
        <w:rPr>
          <w:rFonts w:ascii="黑体" w:hAnsi="黑体" w:eastAsia="黑体"/>
          <w:color w:val="auto"/>
          <w:kern w:val="0"/>
          <w:szCs w:val="21"/>
          <w:highlight w:val="none"/>
        </w:rPr>
      </w:pPr>
      <w:bookmarkStart w:id="569" w:name="_Toc6847"/>
      <w:bookmarkStart w:id="570" w:name="_Toc170486968"/>
      <w:bookmarkStart w:id="571" w:name="_Toc1912"/>
      <w:r>
        <w:rPr>
          <w:rFonts w:hint="eastAsia" w:ascii="黑体" w:hAnsi="黑体" w:eastAsia="黑体"/>
          <w:color w:val="auto"/>
          <w:kern w:val="0"/>
          <w:szCs w:val="21"/>
          <w:highlight w:val="none"/>
        </w:rPr>
        <w:t>6.9功能试验</w:t>
      </w:r>
      <w:bookmarkEnd w:id="569"/>
      <w:bookmarkEnd w:id="570"/>
      <w:bookmarkEnd w:id="571"/>
    </w:p>
    <w:p>
      <w:pPr>
        <w:snapToGrid w:val="0"/>
        <w:ind w:firstLine="420" w:firstLineChars="200"/>
        <w:rPr>
          <w:rFonts w:hint="eastAsia" w:eastAsia="宋体"/>
          <w:color w:val="auto"/>
          <w:szCs w:val="21"/>
          <w:highlight w:val="none"/>
          <w:lang w:val="en-US" w:eastAsia="zh-CN"/>
        </w:rPr>
      </w:pPr>
      <w:r>
        <w:rPr>
          <w:rFonts w:hint="eastAsia"/>
          <w:color w:val="auto"/>
          <w:szCs w:val="21"/>
          <w:highlight w:val="none"/>
        </w:rPr>
        <w:t>a)  电源试验</w:t>
      </w:r>
      <w:r>
        <w:rPr>
          <w:rFonts w:hint="eastAsia"/>
          <w:color w:val="auto"/>
          <w:szCs w:val="21"/>
          <w:highlight w:val="none"/>
          <w:lang w:eastAsia="zh-CN"/>
        </w:rPr>
        <w:t>（交流</w:t>
      </w:r>
      <w:r>
        <w:rPr>
          <w:rFonts w:hint="eastAsia"/>
          <w:color w:val="auto"/>
          <w:szCs w:val="21"/>
          <w:highlight w:val="none"/>
          <w:lang w:val="en-US" w:eastAsia="zh-CN"/>
        </w:rPr>
        <w:t>故障精确定位</w:t>
      </w:r>
      <w:r>
        <w:rPr>
          <w:rFonts w:hint="eastAsia"/>
          <w:color w:val="auto"/>
          <w:szCs w:val="21"/>
          <w:highlight w:val="none"/>
          <w:lang w:eastAsia="zh-CN"/>
        </w:rPr>
        <w:t>装置</w:t>
      </w:r>
      <w:r>
        <w:rPr>
          <w:rFonts w:hint="eastAsia"/>
          <w:color w:val="auto"/>
          <w:szCs w:val="21"/>
          <w:highlight w:val="none"/>
          <w:lang w:val="en-US" w:eastAsia="zh-CN"/>
        </w:rPr>
        <w:t>开展</w:t>
      </w:r>
      <w:r>
        <w:rPr>
          <w:rFonts w:hint="eastAsia"/>
          <w:color w:val="auto"/>
          <w:szCs w:val="21"/>
          <w:highlight w:val="none"/>
          <w:lang w:eastAsia="zh-CN"/>
        </w:rPr>
        <w:t>）</w:t>
      </w:r>
    </w:p>
    <w:p>
      <w:pPr>
        <w:snapToGrid w:val="0"/>
        <w:ind w:firstLine="420" w:firstLineChars="200"/>
        <w:rPr>
          <w:color w:val="auto"/>
          <w:szCs w:val="21"/>
          <w:highlight w:val="none"/>
        </w:rPr>
      </w:pPr>
      <w:r>
        <w:rPr>
          <w:color w:val="auto"/>
          <w:szCs w:val="21"/>
          <w:highlight w:val="none"/>
        </w:rPr>
        <w:t>断开备用电池，将监测装置安装在试验导线上。对导线回路依次施加有效值为</w:t>
      </w:r>
      <w:r>
        <w:rPr>
          <w:rFonts w:hint="eastAsia"/>
          <w:color w:val="auto"/>
          <w:szCs w:val="21"/>
          <w:highlight w:val="none"/>
        </w:rPr>
        <w:t>2</w:t>
      </w:r>
      <w:r>
        <w:rPr>
          <w:color w:val="auto"/>
          <w:szCs w:val="21"/>
          <w:highlight w:val="none"/>
        </w:rPr>
        <w:t>0A、500A和1</w:t>
      </w:r>
      <w:r>
        <w:rPr>
          <w:rFonts w:hint="eastAsia"/>
          <w:color w:val="auto"/>
          <w:szCs w:val="21"/>
          <w:highlight w:val="none"/>
        </w:rPr>
        <w:t>0</w:t>
      </w:r>
      <w:r>
        <w:rPr>
          <w:color w:val="auto"/>
          <w:szCs w:val="21"/>
          <w:highlight w:val="none"/>
        </w:rPr>
        <w:t>00A的工频电流，电流稳定5min后，</w:t>
      </w:r>
      <w:r>
        <w:rPr>
          <w:rFonts w:hint="eastAsia"/>
          <w:color w:val="auto"/>
          <w:szCs w:val="21"/>
          <w:highlight w:val="none"/>
        </w:rPr>
        <w:t>确认监测终端电源模块能够正常取电</w:t>
      </w:r>
      <w:r>
        <w:rPr>
          <w:color w:val="auto"/>
          <w:szCs w:val="21"/>
          <w:highlight w:val="none"/>
        </w:rPr>
        <w:t>。</w:t>
      </w:r>
    </w:p>
    <w:p>
      <w:pPr>
        <w:snapToGrid w:val="0"/>
        <w:ind w:firstLine="420" w:firstLineChars="200"/>
        <w:rPr>
          <w:color w:val="auto"/>
          <w:highlight w:val="none"/>
        </w:rPr>
      </w:pPr>
      <w:r>
        <w:rPr>
          <w:color w:val="auto"/>
          <w:szCs w:val="21"/>
          <w:highlight w:val="none"/>
        </w:rPr>
        <w:t>b</w:t>
      </w:r>
      <w:r>
        <w:rPr>
          <w:rFonts w:hint="eastAsia"/>
          <w:color w:val="auto"/>
          <w:highlight w:val="none"/>
        </w:rPr>
        <w:t>）通信</w:t>
      </w:r>
      <w:r>
        <w:rPr>
          <w:rFonts w:hint="eastAsia"/>
          <w:color w:val="auto"/>
          <w:szCs w:val="21"/>
          <w:highlight w:val="none"/>
        </w:rPr>
        <w:t>模块</w:t>
      </w:r>
      <w:r>
        <w:rPr>
          <w:rFonts w:hint="eastAsia"/>
          <w:color w:val="auto"/>
          <w:highlight w:val="none"/>
        </w:rPr>
        <w:t>试验</w:t>
      </w:r>
    </w:p>
    <w:p>
      <w:pPr>
        <w:snapToGrid w:val="0"/>
        <w:ind w:firstLine="420" w:firstLineChars="200"/>
        <w:rPr>
          <w:color w:val="auto"/>
          <w:highlight w:val="none"/>
        </w:rPr>
      </w:pPr>
      <w:r>
        <w:rPr>
          <w:rFonts w:hint="eastAsia"/>
          <w:color w:val="auto"/>
          <w:highlight w:val="none"/>
        </w:rPr>
        <w:t>按照监测装置与南方电网全域物联网平台无线通信方式数据通信规约要求，对装置无线通信功能进行测试，测试内容包括数据帧格式、控制字功能及数据规范性等。</w:t>
      </w:r>
    </w:p>
    <w:p>
      <w:pPr>
        <w:snapToGrid w:val="0"/>
        <w:ind w:firstLine="420" w:firstLineChars="200"/>
        <w:rPr>
          <w:rFonts w:hint="eastAsia" w:eastAsia="宋体"/>
          <w:color w:val="auto"/>
          <w:szCs w:val="21"/>
          <w:highlight w:val="none"/>
          <w:lang w:val="en-US" w:eastAsia="zh-CN"/>
        </w:rPr>
      </w:pPr>
      <w:r>
        <w:rPr>
          <w:rFonts w:hint="eastAsia"/>
          <w:color w:val="auto"/>
          <w:szCs w:val="21"/>
          <w:highlight w:val="none"/>
        </w:rPr>
        <w:t xml:space="preserve">c) </w:t>
      </w:r>
      <w:r>
        <w:rPr>
          <w:rFonts w:hint="eastAsia"/>
          <w:color w:val="auto"/>
          <w:szCs w:val="21"/>
          <w:highlight w:val="none"/>
          <w:lang w:val="en-US" w:eastAsia="zh-CN"/>
        </w:rPr>
        <w:t>工频</w:t>
      </w:r>
      <w:r>
        <w:rPr>
          <w:rFonts w:hint="eastAsia"/>
          <w:color w:val="auto"/>
          <w:szCs w:val="21"/>
          <w:highlight w:val="none"/>
        </w:rPr>
        <w:t>电流测量试验</w:t>
      </w:r>
      <w:r>
        <w:rPr>
          <w:rFonts w:hint="eastAsia"/>
          <w:color w:val="auto"/>
          <w:szCs w:val="21"/>
          <w:highlight w:val="none"/>
          <w:lang w:eastAsia="zh-CN"/>
        </w:rPr>
        <w:t>（</w:t>
      </w:r>
      <w:r>
        <w:rPr>
          <w:rFonts w:hint="eastAsia"/>
          <w:color w:val="auto"/>
          <w:szCs w:val="21"/>
          <w:highlight w:val="none"/>
          <w:lang w:val="en-US" w:eastAsia="zh-CN"/>
        </w:rPr>
        <w:t>交流故障精确定位</w:t>
      </w:r>
      <w:r>
        <w:rPr>
          <w:rFonts w:hint="eastAsia"/>
          <w:color w:val="auto"/>
          <w:szCs w:val="21"/>
          <w:highlight w:val="none"/>
          <w:lang w:eastAsia="zh-CN"/>
        </w:rPr>
        <w:t>装置</w:t>
      </w:r>
      <w:r>
        <w:rPr>
          <w:rFonts w:hint="eastAsia"/>
          <w:color w:val="auto"/>
          <w:szCs w:val="21"/>
          <w:highlight w:val="none"/>
          <w:lang w:val="en-US" w:eastAsia="zh-CN"/>
        </w:rPr>
        <w:t>开展</w:t>
      </w:r>
      <w:r>
        <w:rPr>
          <w:rFonts w:hint="eastAsia"/>
          <w:color w:val="auto"/>
          <w:szCs w:val="21"/>
          <w:highlight w:val="none"/>
          <w:lang w:eastAsia="zh-CN"/>
        </w:rPr>
        <w:t>）</w:t>
      </w:r>
    </w:p>
    <w:p>
      <w:pPr>
        <w:snapToGrid w:val="0"/>
        <w:ind w:firstLine="420" w:firstLineChars="200"/>
        <w:rPr>
          <w:color w:val="auto"/>
          <w:szCs w:val="21"/>
          <w:highlight w:val="none"/>
        </w:rPr>
      </w:pPr>
      <w:r>
        <w:rPr>
          <w:color w:val="auto"/>
          <w:szCs w:val="21"/>
          <w:highlight w:val="none"/>
        </w:rPr>
        <w:t>将监测装置安装在试验导线上，对导线回路依次施加有效值为</w:t>
      </w:r>
      <w:r>
        <w:rPr>
          <w:rFonts w:hint="eastAsia"/>
          <w:color w:val="auto"/>
          <w:szCs w:val="21"/>
          <w:highlight w:val="none"/>
        </w:rPr>
        <w:t>15</w:t>
      </w:r>
      <w:r>
        <w:rPr>
          <w:color w:val="auto"/>
          <w:szCs w:val="21"/>
          <w:highlight w:val="none"/>
        </w:rPr>
        <w:t>A、1kA、</w:t>
      </w:r>
      <w:r>
        <w:rPr>
          <w:rFonts w:hint="eastAsia"/>
          <w:color w:val="auto"/>
          <w:szCs w:val="21"/>
          <w:highlight w:val="none"/>
        </w:rPr>
        <w:t>3</w:t>
      </w:r>
      <w:r>
        <w:rPr>
          <w:color w:val="auto"/>
          <w:szCs w:val="21"/>
          <w:highlight w:val="none"/>
        </w:rPr>
        <w:t>kA的工频电流。</w:t>
      </w:r>
      <w:r>
        <w:rPr>
          <w:rFonts w:hint="eastAsia"/>
          <w:color w:val="auto"/>
          <w:szCs w:val="21"/>
          <w:highlight w:val="none"/>
        </w:rPr>
        <w:t>试验电流稳定后，三次电流值测量时间间隔不少于1min，计算三次平均值并与试验电流值比较，测量精度应满足要求。</w:t>
      </w:r>
    </w:p>
    <w:p>
      <w:pPr>
        <w:snapToGrid w:val="0"/>
        <w:ind w:firstLine="420" w:firstLineChars="200"/>
        <w:rPr>
          <w:color w:val="auto"/>
          <w:szCs w:val="21"/>
          <w:highlight w:val="none"/>
        </w:rPr>
      </w:pPr>
      <w:r>
        <w:rPr>
          <w:rFonts w:hint="eastAsia"/>
          <w:color w:val="auto"/>
          <w:szCs w:val="21"/>
          <w:highlight w:val="none"/>
        </w:rPr>
        <w:t>d)行波电流测量试验</w:t>
      </w:r>
    </w:p>
    <w:p>
      <w:pPr>
        <w:snapToGrid w:val="0"/>
        <w:ind w:firstLine="420" w:firstLineChars="200"/>
        <w:rPr>
          <w:rFonts w:hint="eastAsia"/>
          <w:color w:val="auto"/>
          <w:szCs w:val="21"/>
          <w:highlight w:val="none"/>
        </w:rPr>
      </w:pPr>
      <w:r>
        <w:rPr>
          <w:rFonts w:hint="eastAsia"/>
          <w:color w:val="auto"/>
          <w:szCs w:val="21"/>
          <w:highlight w:val="none"/>
        </w:rPr>
        <w:t>将监测装置安装在试验导线上，对导线回路依次施加幅值为50A、1kA、5kA，波形为8/20μs的冲击电流各3次。主站系统通过全域物联网平台测量冲击电流幅值和波头、波尾时间参数，计算三次平均值并与试验冲击电流值比较，测量精度应满足要求。</w:t>
      </w:r>
    </w:p>
    <w:p>
      <w:pPr>
        <w:snapToGrid w:val="0"/>
        <w:ind w:firstLine="420" w:firstLineChars="200"/>
        <w:rPr>
          <w:color w:val="auto"/>
          <w:szCs w:val="21"/>
          <w:highlight w:val="none"/>
        </w:rPr>
      </w:pPr>
      <w:bookmarkStart w:id="572" w:name="_Toc24209"/>
      <w:bookmarkStart w:id="573" w:name="_Toc1651"/>
      <w:bookmarkStart w:id="574" w:name="_Toc25588"/>
      <w:bookmarkStart w:id="575" w:name="_Toc6134"/>
      <w:bookmarkStart w:id="576" w:name="_Toc9687"/>
      <w:bookmarkStart w:id="577" w:name="_Toc25006"/>
      <w:bookmarkStart w:id="578" w:name="_Toc4690"/>
      <w:bookmarkStart w:id="579" w:name="_Toc499301109"/>
      <w:bookmarkStart w:id="580" w:name="_Toc1067"/>
      <w:bookmarkStart w:id="581" w:name="_Toc15096"/>
      <w:bookmarkStart w:id="582" w:name="_Toc26107"/>
      <w:bookmarkStart w:id="583" w:name="_Toc1599669537"/>
      <w:r>
        <w:rPr>
          <w:rFonts w:hint="eastAsia"/>
          <w:color w:val="auto"/>
          <w:szCs w:val="21"/>
          <w:highlight w:val="none"/>
          <w:lang w:val="en-US" w:eastAsia="zh-CN"/>
        </w:rPr>
        <w:t>e</w:t>
      </w:r>
      <w:r>
        <w:rPr>
          <w:rFonts w:hint="eastAsia"/>
          <w:color w:val="auto"/>
          <w:szCs w:val="21"/>
          <w:highlight w:val="none"/>
        </w:rPr>
        <w:t>)</w:t>
      </w:r>
      <w:r>
        <w:rPr>
          <w:rFonts w:hint="eastAsia"/>
          <w:color w:val="auto"/>
          <w:szCs w:val="21"/>
          <w:highlight w:val="none"/>
          <w:lang w:val="en-US" w:eastAsia="zh-CN"/>
        </w:rPr>
        <w:t>直流故障电流/地线融冰电流测量试验（直流故障精确定位装置开展）</w:t>
      </w:r>
    </w:p>
    <w:p>
      <w:pPr>
        <w:snapToGrid w:val="0"/>
        <w:ind w:firstLine="420" w:firstLineChars="200"/>
        <w:rPr>
          <w:rFonts w:hint="eastAsia"/>
          <w:color w:val="auto"/>
          <w:szCs w:val="21"/>
          <w:highlight w:val="none"/>
          <w:lang w:val="en-US" w:eastAsia="zh-CN"/>
        </w:rPr>
      </w:pPr>
      <w:r>
        <w:rPr>
          <w:color w:val="auto"/>
          <w:szCs w:val="21"/>
          <w:highlight w:val="none"/>
        </w:rPr>
        <w:t>将监测装置安装在试验导线上，对导线回路依次施加有效值为</w:t>
      </w:r>
      <w:r>
        <w:rPr>
          <w:rFonts w:hint="eastAsia"/>
          <w:color w:val="auto"/>
          <w:szCs w:val="21"/>
          <w:highlight w:val="none"/>
        </w:rPr>
        <w:t>15</w:t>
      </w:r>
      <w:r>
        <w:rPr>
          <w:color w:val="auto"/>
          <w:szCs w:val="21"/>
          <w:highlight w:val="none"/>
        </w:rPr>
        <w:t>A、1kA、</w:t>
      </w:r>
      <w:r>
        <w:rPr>
          <w:rFonts w:hint="eastAsia"/>
          <w:color w:val="auto"/>
          <w:szCs w:val="21"/>
          <w:highlight w:val="none"/>
        </w:rPr>
        <w:t>3</w:t>
      </w:r>
      <w:r>
        <w:rPr>
          <w:color w:val="auto"/>
          <w:szCs w:val="21"/>
          <w:highlight w:val="none"/>
        </w:rPr>
        <w:t>kA的</w:t>
      </w:r>
      <w:r>
        <w:rPr>
          <w:rFonts w:hint="eastAsia"/>
          <w:color w:val="auto"/>
          <w:szCs w:val="21"/>
          <w:highlight w:val="none"/>
          <w:lang w:val="en-US" w:eastAsia="zh-CN"/>
        </w:rPr>
        <w:t>直流</w:t>
      </w:r>
      <w:r>
        <w:rPr>
          <w:color w:val="auto"/>
          <w:szCs w:val="21"/>
          <w:highlight w:val="none"/>
        </w:rPr>
        <w:t>电流。</w:t>
      </w:r>
      <w:r>
        <w:rPr>
          <w:rFonts w:hint="eastAsia"/>
          <w:color w:val="auto"/>
          <w:szCs w:val="21"/>
          <w:highlight w:val="none"/>
        </w:rPr>
        <w:t>试验电流稳定后，三次电流值测量时间间隔不少于1min，计算三次平均值并与试验电流值比较，测量精度应满足要求。</w:t>
      </w:r>
    </w:p>
    <w:p>
      <w:pPr>
        <w:snapToGrid w:val="0"/>
        <w:ind w:firstLine="420" w:firstLineChars="200"/>
        <w:rPr>
          <w:color w:val="auto"/>
          <w:szCs w:val="21"/>
          <w:highlight w:val="none"/>
        </w:rPr>
      </w:pPr>
      <w:r>
        <w:rPr>
          <w:rFonts w:hint="eastAsia"/>
          <w:color w:val="auto"/>
          <w:szCs w:val="21"/>
          <w:highlight w:val="none"/>
          <w:lang w:val="en-US" w:eastAsia="zh-CN"/>
        </w:rPr>
        <w:t>f</w:t>
      </w:r>
      <w:r>
        <w:rPr>
          <w:rFonts w:hint="eastAsia"/>
          <w:color w:val="auto"/>
          <w:szCs w:val="21"/>
          <w:highlight w:val="none"/>
        </w:rPr>
        <w:t>)</w:t>
      </w:r>
      <w:r>
        <w:rPr>
          <w:rFonts w:hint="eastAsia"/>
          <w:color w:val="auto"/>
          <w:szCs w:val="21"/>
          <w:highlight w:val="none"/>
          <w:lang w:val="en-US" w:eastAsia="zh-CN"/>
        </w:rPr>
        <w:t>地线温度测量试验（地线融冰故障精确定位装置开展）</w:t>
      </w:r>
    </w:p>
    <w:bookmarkEnd w:id="572"/>
    <w:bookmarkEnd w:id="573"/>
    <w:bookmarkEnd w:id="574"/>
    <w:bookmarkEnd w:id="575"/>
    <w:bookmarkEnd w:id="576"/>
    <w:bookmarkEnd w:id="577"/>
    <w:bookmarkEnd w:id="578"/>
    <w:bookmarkEnd w:id="579"/>
    <w:bookmarkEnd w:id="580"/>
    <w:bookmarkEnd w:id="581"/>
    <w:bookmarkEnd w:id="582"/>
    <w:bookmarkEnd w:id="583"/>
    <w:p>
      <w:pPr>
        <w:tabs>
          <w:tab w:val="left" w:pos="1276"/>
        </w:tabs>
        <w:snapToGrid/>
        <w:ind w:firstLine="420" w:firstLineChars="0"/>
        <w:outlineLvl w:val="9"/>
        <w:rPr>
          <w:rFonts w:hint="eastAsia" w:ascii="Times New Roman" w:hAnsi="Times New Roman" w:eastAsia="宋体" w:cs="Times New Roman"/>
          <w:b w:val="0"/>
          <w:bCs w:val="0"/>
          <w:color w:val="auto"/>
          <w:sz w:val="21"/>
          <w:szCs w:val="21"/>
          <w:highlight w:val="none"/>
        </w:rPr>
      </w:pPr>
      <w:r>
        <w:rPr>
          <w:rFonts w:hint="eastAsia" w:ascii="Times New Roman" w:hAnsi="Times New Roman" w:eastAsia="宋体" w:cs="Times New Roman"/>
          <w:b w:val="0"/>
          <w:bCs w:val="0"/>
          <w:color w:val="auto"/>
          <w:sz w:val="21"/>
          <w:szCs w:val="21"/>
          <w:highlight w:val="none"/>
          <w:lang w:val="en-US" w:eastAsia="zh-CN"/>
        </w:rPr>
        <w:t>选取-40、0、40、80、120℃点位，</w:t>
      </w:r>
      <w:r>
        <w:rPr>
          <w:rFonts w:hint="eastAsia" w:ascii="Times New Roman" w:hAnsi="Times New Roman" w:eastAsia="宋体" w:cs="Times New Roman"/>
          <w:b w:val="0"/>
          <w:bCs w:val="0"/>
          <w:color w:val="auto"/>
          <w:sz w:val="21"/>
          <w:szCs w:val="21"/>
          <w:highlight w:val="none"/>
        </w:rPr>
        <w:t>按照JJF1171及以下试验方法进行检测</w:t>
      </w:r>
      <w:r>
        <w:rPr>
          <w:rFonts w:hint="eastAsia" w:ascii="Times New Roman" w:hAnsi="Times New Roman" w:eastAsia="宋体" w:cs="Times New Roman"/>
          <w:b w:val="0"/>
          <w:bCs w:val="0"/>
          <w:color w:val="auto"/>
          <w:sz w:val="21"/>
          <w:szCs w:val="21"/>
          <w:highlight w:val="none"/>
          <w:lang w:eastAsia="zh-CN"/>
        </w:rPr>
        <w:t>，</w:t>
      </w:r>
      <w:r>
        <w:rPr>
          <w:rFonts w:hint="eastAsia" w:ascii="Times New Roman" w:hAnsi="Times New Roman" w:eastAsia="宋体" w:cs="Times New Roman"/>
          <w:b w:val="0"/>
          <w:bCs w:val="0"/>
          <w:color w:val="auto"/>
          <w:sz w:val="21"/>
          <w:szCs w:val="21"/>
          <w:highlight w:val="none"/>
          <w:lang w:val="en-US" w:eastAsia="zh-CN"/>
        </w:rPr>
        <w:t>，以标准源输出值为基准计算测量误差。</w:t>
      </w:r>
      <w:r>
        <w:rPr>
          <w:rFonts w:hint="eastAsia" w:ascii="Times New Roman" w:hAnsi="Times New Roman" w:eastAsia="宋体" w:cs="Times New Roman"/>
          <w:b w:val="0"/>
          <w:bCs w:val="0"/>
          <w:color w:val="auto"/>
          <w:sz w:val="21"/>
          <w:szCs w:val="21"/>
          <w:highlight w:val="none"/>
        </w:rPr>
        <w:t>测量误差应满足本规范</w:t>
      </w:r>
      <w:r>
        <w:rPr>
          <w:rFonts w:hint="eastAsia" w:ascii="Times New Roman" w:hAnsi="Times New Roman" w:eastAsia="宋体" w:cs="Times New Roman"/>
          <w:b w:val="0"/>
          <w:bCs w:val="0"/>
          <w:color w:val="auto"/>
          <w:sz w:val="21"/>
          <w:szCs w:val="21"/>
          <w:highlight w:val="none"/>
          <w:lang w:val="en-US" w:eastAsia="zh-CN"/>
        </w:rPr>
        <w:t>5.3.3.3</w:t>
      </w:r>
      <w:r>
        <w:rPr>
          <w:rFonts w:hint="eastAsia" w:ascii="Times New Roman" w:hAnsi="Times New Roman" w:eastAsia="宋体" w:cs="Times New Roman"/>
          <w:b w:val="0"/>
          <w:bCs w:val="0"/>
          <w:color w:val="auto"/>
          <w:sz w:val="21"/>
          <w:szCs w:val="21"/>
          <w:highlight w:val="none"/>
        </w:rPr>
        <w:t>规定的技术要求。</w:t>
      </w:r>
    </w:p>
    <w:p>
      <w:pPr>
        <w:snapToGrid w:val="0"/>
        <w:ind w:firstLine="420" w:firstLineChars="200"/>
        <w:rPr>
          <w:rFonts w:hint="eastAsia" w:ascii="Times New Roman" w:hAnsi="Times New Roman" w:eastAsia="宋体" w:cs="Times New Roman"/>
          <w:b w:val="0"/>
          <w:bCs w:val="0"/>
          <w:color w:val="auto"/>
          <w:sz w:val="21"/>
          <w:szCs w:val="21"/>
          <w:highlight w:val="none"/>
        </w:rPr>
      </w:pPr>
      <w:r>
        <w:rPr>
          <w:rFonts w:hint="eastAsia" w:cs="Times New Roman"/>
          <w:b w:val="0"/>
          <w:bCs w:val="0"/>
          <w:color w:val="auto"/>
          <w:sz w:val="21"/>
          <w:szCs w:val="21"/>
          <w:highlight w:val="none"/>
          <w:lang w:val="en-US" w:eastAsia="zh-CN"/>
        </w:rPr>
        <w:t>g</w:t>
      </w:r>
      <w:r>
        <w:rPr>
          <w:rFonts w:hint="eastAsia" w:ascii="Times New Roman" w:hAnsi="Times New Roman" w:eastAsia="宋体" w:cs="Times New Roman"/>
          <w:b w:val="0"/>
          <w:bCs w:val="0"/>
          <w:color w:val="auto"/>
          <w:sz w:val="21"/>
          <w:szCs w:val="21"/>
          <w:highlight w:val="none"/>
        </w:rPr>
        <w:t xml:space="preserve">）时钟同步试验 </w:t>
      </w:r>
    </w:p>
    <w:p>
      <w:pPr>
        <w:tabs>
          <w:tab w:val="left" w:pos="1276"/>
        </w:tabs>
        <w:snapToGrid/>
        <w:ind w:firstLine="420" w:firstLineChars="0"/>
        <w:outlineLvl w:val="9"/>
        <w:rPr>
          <w:rFonts w:hint="eastAsia" w:ascii="Times New Roman" w:hAnsi="Times New Roman" w:eastAsia="宋体" w:cs="Times New Roman"/>
          <w:b w:val="0"/>
          <w:bCs w:val="0"/>
          <w:color w:val="auto"/>
          <w:sz w:val="21"/>
          <w:szCs w:val="21"/>
          <w:highlight w:val="none"/>
        </w:rPr>
      </w:pPr>
      <w:r>
        <w:rPr>
          <w:rFonts w:hint="eastAsia" w:ascii="Times New Roman" w:hAnsi="Times New Roman" w:eastAsia="宋体" w:cs="Times New Roman"/>
          <w:b w:val="0"/>
          <w:bCs w:val="0"/>
          <w:color w:val="auto"/>
          <w:sz w:val="21"/>
          <w:szCs w:val="21"/>
          <w:highlight w:val="none"/>
        </w:rPr>
        <w:t>将时钟精度小于10ns的参考时钟源和监测终端时钟芯片1PPS秒脉冲分别连接至示波器通道1和通道2，待监测设备稳定工作之后，记录两个通道1PPS脉冲信号上升沿的时间间隔，每分钟记录一次样本数据，共五次，取五次数据的平均值，测量精度应满足5.2.3的要求。</w:t>
      </w:r>
    </w:p>
    <w:p>
      <w:pPr>
        <w:tabs>
          <w:tab w:val="left" w:pos="1276"/>
        </w:tabs>
        <w:snapToGrid/>
        <w:ind w:firstLine="420" w:firstLineChars="0"/>
        <w:outlineLvl w:val="9"/>
        <w:rPr>
          <w:rFonts w:hint="eastAsia" w:ascii="Times New Roman" w:hAnsi="Times New Roman" w:eastAsia="宋体" w:cs="Times New Roman"/>
          <w:b w:val="0"/>
          <w:bCs w:val="0"/>
          <w:color w:val="auto"/>
          <w:sz w:val="21"/>
          <w:szCs w:val="21"/>
          <w:highlight w:val="none"/>
        </w:rPr>
      </w:pPr>
      <w:r>
        <w:rPr>
          <w:rFonts w:hint="eastAsia" w:cs="Times New Roman"/>
          <w:b w:val="0"/>
          <w:bCs w:val="0"/>
          <w:color w:val="auto"/>
          <w:sz w:val="21"/>
          <w:szCs w:val="21"/>
          <w:highlight w:val="none"/>
          <w:lang w:val="en-US" w:eastAsia="zh-CN"/>
        </w:rPr>
        <w:t>h</w:t>
      </w:r>
      <w:r>
        <w:rPr>
          <w:rFonts w:hint="eastAsia" w:ascii="Times New Roman" w:hAnsi="Times New Roman" w:eastAsia="宋体" w:cs="Times New Roman"/>
          <w:b w:val="0"/>
          <w:bCs w:val="0"/>
          <w:color w:val="auto"/>
          <w:sz w:val="21"/>
          <w:szCs w:val="21"/>
          <w:highlight w:val="none"/>
        </w:rPr>
        <w:t xml:space="preserve">）测距误差试验 </w:t>
      </w:r>
    </w:p>
    <w:p>
      <w:pPr>
        <w:tabs>
          <w:tab w:val="left" w:pos="1276"/>
        </w:tabs>
        <w:snapToGrid/>
        <w:ind w:firstLine="420" w:firstLineChars="0"/>
        <w:outlineLvl w:val="9"/>
        <w:rPr>
          <w:rFonts w:hint="eastAsia" w:ascii="Times New Roman" w:hAnsi="Times New Roman" w:eastAsia="宋体" w:cs="Times New Roman"/>
          <w:b w:val="0"/>
          <w:bCs w:val="0"/>
          <w:color w:val="auto"/>
          <w:sz w:val="21"/>
          <w:szCs w:val="21"/>
          <w:highlight w:val="none"/>
        </w:rPr>
      </w:pPr>
      <w:r>
        <w:rPr>
          <w:rFonts w:hint="eastAsia" w:ascii="Times New Roman" w:hAnsi="Times New Roman" w:eastAsia="宋体" w:cs="Times New Roman"/>
          <w:b w:val="0"/>
          <w:bCs w:val="0"/>
          <w:color w:val="auto"/>
          <w:sz w:val="21"/>
          <w:szCs w:val="21"/>
          <w:highlight w:val="none"/>
        </w:rPr>
        <w:t>将冲击发生器的 2 个不同回路导线分别安装2 台监测终端，在对时正常的情况下，模拟线路参数，调整冲击发生器2回路的时间差，模拟不同故障</w:t>
      </w:r>
      <w:r>
        <w:rPr>
          <w:rFonts w:hint="eastAsia" w:cs="Times New Roman"/>
          <w:b w:val="0"/>
          <w:bCs w:val="0"/>
          <w:color w:val="auto"/>
          <w:sz w:val="21"/>
          <w:szCs w:val="21"/>
          <w:highlight w:val="none"/>
          <w:lang w:val="en-US" w:eastAsia="zh-CN"/>
        </w:rPr>
        <w:t>发生位置</w:t>
      </w:r>
      <w:r>
        <w:rPr>
          <w:rFonts w:hint="eastAsia" w:ascii="Times New Roman" w:hAnsi="Times New Roman" w:eastAsia="宋体" w:cs="Times New Roman"/>
          <w:b w:val="0"/>
          <w:bCs w:val="0"/>
          <w:color w:val="auto"/>
          <w:sz w:val="21"/>
          <w:szCs w:val="21"/>
          <w:highlight w:val="none"/>
        </w:rPr>
        <w:t>，</w:t>
      </w:r>
      <w:r>
        <w:rPr>
          <w:rFonts w:hint="eastAsia" w:cs="Times New Roman"/>
          <w:b w:val="0"/>
          <w:bCs w:val="0"/>
          <w:color w:val="auto"/>
          <w:sz w:val="21"/>
          <w:szCs w:val="21"/>
          <w:highlight w:val="none"/>
          <w:lang w:val="en-US" w:eastAsia="zh-CN"/>
        </w:rPr>
        <w:t>根据两回路实际发生的时间差计算故障位置作为基准值与被测设备定位软件计算故障点位置进行比对，计算定位误差，</w:t>
      </w:r>
      <w:r>
        <w:rPr>
          <w:rFonts w:hint="eastAsia" w:ascii="Times New Roman" w:hAnsi="Times New Roman" w:eastAsia="宋体" w:cs="Times New Roman"/>
          <w:b w:val="0"/>
          <w:bCs w:val="0"/>
          <w:color w:val="auto"/>
          <w:sz w:val="21"/>
          <w:szCs w:val="21"/>
          <w:highlight w:val="none"/>
        </w:rPr>
        <w:t>应满足5.3.1.3要求。</w:t>
      </w:r>
    </w:p>
    <w:p>
      <w:pPr>
        <w:snapToGrid w:val="0"/>
        <w:ind w:firstLine="420" w:firstLineChars="200"/>
        <w:rPr>
          <w:rFonts w:hint="eastAsia" w:ascii="Times New Roman" w:hAnsi="Times New Roman" w:eastAsia="宋体" w:cs="Times New Roman"/>
          <w:b w:val="0"/>
          <w:bCs w:val="0"/>
          <w:color w:val="auto"/>
          <w:sz w:val="21"/>
          <w:szCs w:val="21"/>
          <w:highlight w:val="none"/>
        </w:rPr>
      </w:pPr>
      <w:r>
        <w:rPr>
          <w:rFonts w:hint="eastAsia" w:cs="Times New Roman"/>
          <w:b w:val="0"/>
          <w:bCs w:val="0"/>
          <w:color w:val="auto"/>
          <w:sz w:val="21"/>
          <w:szCs w:val="21"/>
          <w:highlight w:val="none"/>
          <w:lang w:val="en-US" w:eastAsia="zh-CN"/>
        </w:rPr>
        <w:t>i</w:t>
      </w:r>
      <w:r>
        <w:rPr>
          <w:rFonts w:hint="eastAsia" w:ascii="Times New Roman" w:hAnsi="Times New Roman" w:eastAsia="宋体" w:cs="Times New Roman"/>
          <w:b w:val="0"/>
          <w:bCs w:val="0"/>
          <w:color w:val="auto"/>
          <w:sz w:val="21"/>
          <w:szCs w:val="21"/>
          <w:highlight w:val="none"/>
        </w:rPr>
        <w:t>) 行波连续触发试验</w:t>
      </w:r>
    </w:p>
    <w:p>
      <w:pPr>
        <w:tabs>
          <w:tab w:val="left" w:pos="1276"/>
        </w:tabs>
        <w:snapToGrid/>
        <w:ind w:firstLine="420" w:firstLineChars="0"/>
        <w:outlineLvl w:val="9"/>
        <w:rPr>
          <w:rFonts w:hint="eastAsia" w:ascii="Times New Roman" w:hAnsi="Times New Roman" w:eastAsia="宋体" w:cs="Times New Roman"/>
          <w:b w:val="0"/>
          <w:bCs w:val="0"/>
          <w:color w:val="auto"/>
          <w:sz w:val="21"/>
          <w:szCs w:val="21"/>
          <w:highlight w:val="none"/>
        </w:rPr>
      </w:pPr>
      <w:r>
        <w:rPr>
          <w:rFonts w:hint="eastAsia" w:ascii="Times New Roman" w:hAnsi="Times New Roman" w:eastAsia="宋体" w:cs="Times New Roman"/>
          <w:b w:val="0"/>
          <w:bCs w:val="0"/>
          <w:color w:val="auto"/>
          <w:sz w:val="21"/>
          <w:szCs w:val="21"/>
          <w:highlight w:val="none"/>
        </w:rPr>
        <w:t>将监测装置安装在试验导线上，对导线回路连续施加幅值为50A</w:t>
      </w:r>
      <w:r>
        <w:rPr>
          <w:rFonts w:hint="eastAsia"/>
          <w:color w:val="auto"/>
          <w:szCs w:val="21"/>
          <w:highlight w:val="none"/>
          <w:lang w:eastAsia="zh-CN"/>
        </w:rPr>
        <w:t>，</w:t>
      </w:r>
      <w:r>
        <w:rPr>
          <w:rFonts w:hint="eastAsia"/>
          <w:color w:val="auto"/>
          <w:szCs w:val="21"/>
          <w:highlight w:val="none"/>
          <w:lang w:val="en-US" w:eastAsia="zh-CN"/>
        </w:rPr>
        <w:t>间隔小于10ms</w:t>
      </w:r>
      <w:r>
        <w:rPr>
          <w:rFonts w:hint="eastAsia" w:ascii="Times New Roman" w:hAnsi="Times New Roman" w:eastAsia="宋体" w:cs="Times New Roman"/>
          <w:b w:val="0"/>
          <w:bCs w:val="0"/>
          <w:color w:val="auto"/>
          <w:sz w:val="21"/>
          <w:szCs w:val="21"/>
          <w:highlight w:val="none"/>
        </w:rPr>
        <w:t>，波形为8/20μs的冲击电流10次。主站系统通过平台查看冲击电流上传情况，应无遗漏波形。</w:t>
      </w:r>
    </w:p>
    <w:p>
      <w:pPr>
        <w:widowControl/>
        <w:numPr>
          <w:ilvl w:val="255"/>
          <w:numId w:val="0"/>
        </w:numPr>
        <w:spacing w:before="120" w:beforeLines="50" w:after="120" w:afterLines="50"/>
        <w:jc w:val="left"/>
        <w:outlineLvl w:val="1"/>
        <w:rPr>
          <w:rFonts w:ascii="黑体" w:hAnsi="黑体" w:eastAsia="黑体"/>
          <w:color w:val="auto"/>
          <w:kern w:val="0"/>
          <w:szCs w:val="21"/>
          <w:highlight w:val="none"/>
        </w:rPr>
      </w:pPr>
      <w:bookmarkStart w:id="584" w:name="_Toc26251"/>
      <w:bookmarkStart w:id="585" w:name="_Toc170486969"/>
      <w:bookmarkStart w:id="586" w:name="_Toc1315"/>
      <w:bookmarkStart w:id="587" w:name="_Toc452578360"/>
      <w:r>
        <w:rPr>
          <w:rFonts w:hint="eastAsia" w:ascii="黑体" w:hAnsi="黑体" w:eastAsia="黑体"/>
          <w:color w:val="auto"/>
          <w:kern w:val="0"/>
          <w:szCs w:val="21"/>
          <w:highlight w:val="none"/>
        </w:rPr>
        <w:t>6.10连续运行试验</w:t>
      </w:r>
      <w:bookmarkEnd w:id="584"/>
      <w:bookmarkEnd w:id="585"/>
      <w:bookmarkEnd w:id="586"/>
    </w:p>
    <w:p>
      <w:pPr>
        <w:pStyle w:val="166"/>
        <w:spacing w:line="360" w:lineRule="auto"/>
        <w:ind w:firstLine="420"/>
        <w:rPr>
          <w:rFonts w:ascii="Times New Roman"/>
          <w:color w:val="auto"/>
          <w:highlight w:val="none"/>
        </w:rPr>
      </w:pPr>
      <w:r>
        <w:rPr>
          <w:rFonts w:ascii="Times New Roman"/>
          <w:color w:val="auto"/>
          <w:highlight w:val="none"/>
        </w:rPr>
        <w:t>对感应取能型、太阳能</w:t>
      </w:r>
      <w:r>
        <w:rPr>
          <w:rFonts w:hint="eastAsia" w:ascii="Times New Roman"/>
          <w:color w:val="auto"/>
          <w:highlight w:val="none"/>
        </w:rPr>
        <w:t>取能</w:t>
      </w:r>
      <w:r>
        <w:rPr>
          <w:rFonts w:ascii="Times New Roman"/>
          <w:color w:val="auto"/>
          <w:highlight w:val="none"/>
        </w:rPr>
        <w:t>型监测</w:t>
      </w:r>
      <w:r>
        <w:rPr>
          <w:rFonts w:hint="eastAsia" w:ascii="Times New Roman"/>
          <w:color w:val="auto"/>
          <w:highlight w:val="none"/>
        </w:rPr>
        <w:t>装置</w:t>
      </w:r>
      <w:r>
        <w:rPr>
          <w:rFonts w:ascii="Times New Roman"/>
          <w:color w:val="auto"/>
          <w:highlight w:val="none"/>
        </w:rPr>
        <w:t>分别进行试验：</w:t>
      </w:r>
    </w:p>
    <w:p>
      <w:pPr>
        <w:pStyle w:val="166"/>
        <w:spacing w:line="360" w:lineRule="auto"/>
        <w:ind w:firstLine="420"/>
        <w:rPr>
          <w:rFonts w:ascii="Times New Roman" w:eastAsia="黑体"/>
          <w:color w:val="auto"/>
          <w:highlight w:val="none"/>
        </w:rPr>
      </w:pPr>
      <w:r>
        <w:rPr>
          <w:rFonts w:ascii="Times New Roman" w:eastAsia="黑体"/>
          <w:color w:val="auto"/>
          <w:highlight w:val="none"/>
        </w:rPr>
        <w:t>a</w:t>
      </w:r>
      <w:r>
        <w:rPr>
          <w:rFonts w:hint="eastAsia" w:ascii="Times New Roman" w:eastAsia="黑体"/>
          <w:color w:val="auto"/>
          <w:highlight w:val="none"/>
        </w:rPr>
        <w:t>）感应取能型监测装置</w:t>
      </w:r>
    </w:p>
    <w:p>
      <w:pPr>
        <w:pStyle w:val="166"/>
        <w:numPr>
          <w:ilvl w:val="0"/>
          <w:numId w:val="39"/>
        </w:numPr>
        <w:spacing w:line="360" w:lineRule="auto"/>
        <w:ind w:firstLineChars="0"/>
        <w:rPr>
          <w:rFonts w:ascii="Times New Roman"/>
          <w:color w:val="auto"/>
          <w:highlight w:val="none"/>
        </w:rPr>
      </w:pPr>
      <w:r>
        <w:rPr>
          <w:rFonts w:ascii="Times New Roman"/>
          <w:color w:val="auto"/>
          <w:highlight w:val="none"/>
        </w:rPr>
        <w:t xml:space="preserve">   </w:t>
      </w:r>
      <w:r>
        <w:rPr>
          <w:rFonts w:hint="eastAsia" w:ascii="Times New Roman"/>
          <w:color w:val="auto"/>
          <w:highlight w:val="none"/>
        </w:rPr>
        <w:t xml:space="preserve"> </w:t>
      </w:r>
      <w:r>
        <w:rPr>
          <w:rFonts w:ascii="Times New Roman"/>
          <w:color w:val="auto"/>
          <w:highlight w:val="none"/>
        </w:rPr>
        <w:t>将监测</w:t>
      </w:r>
      <w:r>
        <w:rPr>
          <w:rFonts w:hint="eastAsia" w:ascii="Times New Roman"/>
          <w:color w:val="auto"/>
          <w:highlight w:val="none"/>
        </w:rPr>
        <w:t>装置安装在试验导线上，对导线回路施加20</w:t>
      </w:r>
      <w:r>
        <w:rPr>
          <w:rFonts w:ascii="Times New Roman"/>
          <w:color w:val="auto"/>
          <w:highlight w:val="none"/>
        </w:rPr>
        <w:t>A</w:t>
      </w:r>
      <w:r>
        <w:rPr>
          <w:rFonts w:hint="eastAsia" w:ascii="Times New Roman"/>
          <w:color w:val="auto"/>
          <w:highlight w:val="none"/>
        </w:rPr>
        <w:t>的工频电流，使监测装置连续工作不少于</w:t>
      </w:r>
      <w:r>
        <w:rPr>
          <w:rFonts w:ascii="Times New Roman"/>
          <w:color w:val="auto"/>
          <w:highlight w:val="none"/>
        </w:rPr>
        <w:t>24</w:t>
      </w:r>
      <w:r>
        <w:rPr>
          <w:rFonts w:hint="eastAsia" w:ascii="Times New Roman"/>
          <w:color w:val="auto"/>
          <w:highlight w:val="none"/>
        </w:rPr>
        <w:t>小时。试验期间及试验后，装置均能正常工作。</w:t>
      </w:r>
    </w:p>
    <w:p>
      <w:pPr>
        <w:pStyle w:val="166"/>
        <w:numPr>
          <w:ilvl w:val="0"/>
          <w:numId w:val="39"/>
        </w:numPr>
        <w:spacing w:line="360" w:lineRule="auto"/>
        <w:ind w:firstLine="420"/>
        <w:rPr>
          <w:rFonts w:ascii="Times New Roman"/>
          <w:color w:val="auto"/>
          <w:szCs w:val="22"/>
          <w:highlight w:val="none"/>
        </w:rPr>
      </w:pPr>
      <w:r>
        <w:rPr>
          <w:rFonts w:hint="eastAsia" w:ascii="Times New Roman"/>
          <w:color w:val="auto"/>
          <w:szCs w:val="22"/>
          <w:highlight w:val="none"/>
        </w:rPr>
        <w:t>将监测装置断开感应取电回路，只使用电池供电，监测装置连续工作不小于12小时，</w:t>
      </w:r>
      <w:r>
        <w:rPr>
          <w:rFonts w:hint="eastAsia" w:ascii="Times New Roman"/>
          <w:color w:val="auto"/>
          <w:highlight w:val="none"/>
        </w:rPr>
        <w:t>试验期间装置能正常工作</w:t>
      </w:r>
      <w:r>
        <w:rPr>
          <w:rFonts w:hint="eastAsia" w:ascii="Times New Roman"/>
          <w:color w:val="auto"/>
          <w:szCs w:val="22"/>
          <w:highlight w:val="none"/>
        </w:rPr>
        <w:t>。</w:t>
      </w:r>
    </w:p>
    <w:p>
      <w:pPr>
        <w:pStyle w:val="166"/>
        <w:spacing w:line="360" w:lineRule="auto"/>
        <w:ind w:firstLine="420"/>
        <w:rPr>
          <w:rFonts w:ascii="Times New Roman" w:eastAsia="黑体"/>
          <w:color w:val="auto"/>
          <w:highlight w:val="none"/>
        </w:rPr>
      </w:pPr>
      <w:r>
        <w:rPr>
          <w:rFonts w:ascii="Times New Roman" w:eastAsia="黑体"/>
          <w:color w:val="auto"/>
          <w:highlight w:val="none"/>
        </w:rPr>
        <w:t>b</w:t>
      </w:r>
      <w:r>
        <w:rPr>
          <w:rFonts w:hint="eastAsia" w:ascii="Times New Roman" w:eastAsia="黑体"/>
          <w:color w:val="auto"/>
          <w:highlight w:val="none"/>
        </w:rPr>
        <w:t>）太阳能型监测装置</w:t>
      </w:r>
    </w:p>
    <w:p>
      <w:pPr>
        <w:pStyle w:val="166"/>
        <w:numPr>
          <w:ilvl w:val="0"/>
          <w:numId w:val="39"/>
        </w:numPr>
        <w:spacing w:line="360" w:lineRule="auto"/>
        <w:ind w:firstLine="420" w:firstLineChars="0"/>
        <w:rPr>
          <w:color w:val="auto"/>
          <w:highlight w:val="none"/>
        </w:rPr>
      </w:pPr>
      <w:r>
        <w:rPr>
          <w:rFonts w:ascii="Times New Roman"/>
          <w:color w:val="auto"/>
          <w:highlight w:val="none"/>
        </w:rPr>
        <w:t>将</w:t>
      </w:r>
      <w:r>
        <w:rPr>
          <w:rFonts w:hint="eastAsia" w:ascii="Times New Roman"/>
          <w:color w:val="auto"/>
          <w:highlight w:val="none"/>
        </w:rPr>
        <w:t>监测装置安装在试验导线上，用太阳光模拟光源（如卤素灯等）照射监测装置太阳能电池板，使监测装置连续工作不少于</w:t>
      </w:r>
      <w:r>
        <w:rPr>
          <w:rFonts w:ascii="Times New Roman"/>
          <w:color w:val="auto"/>
          <w:highlight w:val="none"/>
        </w:rPr>
        <w:t>24</w:t>
      </w:r>
      <w:r>
        <w:rPr>
          <w:rFonts w:hint="eastAsia" w:ascii="Times New Roman"/>
          <w:color w:val="auto"/>
          <w:highlight w:val="none"/>
        </w:rPr>
        <w:t>小时。试验期间及试验后，装置均能正常工作。</w:t>
      </w:r>
      <w:bookmarkEnd w:id="587"/>
    </w:p>
    <w:p>
      <w:pPr>
        <w:pStyle w:val="166"/>
        <w:numPr>
          <w:ilvl w:val="0"/>
          <w:numId w:val="39"/>
        </w:numPr>
        <w:spacing w:line="360" w:lineRule="auto"/>
        <w:ind w:firstLine="420"/>
        <w:rPr>
          <w:rFonts w:ascii="Times New Roman"/>
          <w:color w:val="auto"/>
          <w:szCs w:val="22"/>
          <w:highlight w:val="none"/>
        </w:rPr>
      </w:pPr>
      <w:r>
        <w:rPr>
          <w:rFonts w:hint="eastAsia" w:ascii="Times New Roman"/>
          <w:color w:val="auto"/>
          <w:szCs w:val="22"/>
          <w:highlight w:val="none"/>
        </w:rPr>
        <w:t>将监测装置断开太阳能取能回路，只使用电池供电，监测装置连续工作不小于20天，</w:t>
      </w:r>
      <w:r>
        <w:rPr>
          <w:rFonts w:hint="eastAsia" w:ascii="Times New Roman"/>
          <w:color w:val="auto"/>
          <w:highlight w:val="none"/>
        </w:rPr>
        <w:t>试验期间装置能正常工作</w:t>
      </w:r>
      <w:r>
        <w:rPr>
          <w:rFonts w:hint="eastAsia" w:ascii="Times New Roman"/>
          <w:color w:val="auto"/>
          <w:szCs w:val="22"/>
          <w:highlight w:val="none"/>
        </w:rPr>
        <w:t>。</w:t>
      </w:r>
    </w:p>
    <w:p>
      <w:pPr>
        <w:widowControl/>
        <w:numPr>
          <w:ilvl w:val="255"/>
          <w:numId w:val="0"/>
        </w:numPr>
        <w:tabs>
          <w:tab w:val="left" w:pos="1276"/>
        </w:tabs>
        <w:spacing w:before="120" w:beforeLines="50" w:after="120" w:afterLines="50"/>
        <w:jc w:val="left"/>
        <w:outlineLvl w:val="1"/>
        <w:rPr>
          <w:rFonts w:ascii="黑体" w:hAnsi="黑体" w:eastAsia="黑体"/>
          <w:color w:val="auto"/>
          <w:kern w:val="0"/>
          <w:szCs w:val="21"/>
          <w:highlight w:val="none"/>
        </w:rPr>
      </w:pPr>
      <w:bookmarkStart w:id="588" w:name="_Toc349050854"/>
      <w:bookmarkStart w:id="589" w:name="_Toc349052033"/>
      <w:bookmarkStart w:id="590" w:name="_Toc500920860"/>
      <w:bookmarkStart w:id="591" w:name="_Toc16739"/>
      <w:bookmarkStart w:id="592" w:name="_Toc26771"/>
      <w:bookmarkStart w:id="593" w:name="_Toc170486970"/>
      <w:bookmarkStart w:id="594" w:name="_Toc13448"/>
      <w:bookmarkStart w:id="595" w:name="_Toc21933"/>
      <w:bookmarkStart w:id="596" w:name="_Toc1458"/>
      <w:bookmarkStart w:id="597" w:name="_Toc18953"/>
      <w:r>
        <w:rPr>
          <w:rFonts w:hint="eastAsia" w:ascii="黑体" w:hAnsi="黑体" w:eastAsia="黑体"/>
          <w:color w:val="auto"/>
          <w:kern w:val="0"/>
          <w:szCs w:val="21"/>
          <w:highlight w:val="none"/>
        </w:rPr>
        <w:t xml:space="preserve">6.11 </w:t>
      </w:r>
      <w:bookmarkEnd w:id="588"/>
      <w:bookmarkEnd w:id="589"/>
      <w:r>
        <w:rPr>
          <w:rFonts w:hint="eastAsia" w:ascii="黑体" w:hAnsi="黑体" w:eastAsia="黑体"/>
          <w:color w:val="auto"/>
          <w:kern w:val="0"/>
          <w:szCs w:val="21"/>
          <w:highlight w:val="none"/>
        </w:rPr>
        <w:t>重量检查</w:t>
      </w:r>
      <w:bookmarkEnd w:id="590"/>
      <w:bookmarkEnd w:id="591"/>
      <w:bookmarkEnd w:id="592"/>
      <w:bookmarkEnd w:id="593"/>
      <w:bookmarkEnd w:id="594"/>
      <w:bookmarkEnd w:id="595"/>
      <w:bookmarkEnd w:id="596"/>
      <w:bookmarkEnd w:id="597"/>
    </w:p>
    <w:p>
      <w:pPr>
        <w:numPr>
          <w:ilvl w:val="0"/>
          <w:numId w:val="39"/>
        </w:numPr>
        <w:ind w:firstLine="420" w:firstLineChars="200"/>
        <w:rPr>
          <w:color w:val="auto"/>
          <w:szCs w:val="22"/>
          <w:highlight w:val="none"/>
        </w:rPr>
      </w:pPr>
      <w:r>
        <w:rPr>
          <w:rFonts w:hint="eastAsia"/>
          <w:color w:val="auto"/>
          <w:highlight w:val="none"/>
        </w:rPr>
        <w:t>通过计量称重设备对监测装置进行重量检查。应满足本技术规范书规定的相关技术要求。</w:t>
      </w:r>
    </w:p>
    <w:p>
      <w:pPr>
        <w:tabs>
          <w:tab w:val="left" w:pos="709"/>
        </w:tabs>
        <w:ind w:left="709" w:hanging="709"/>
        <w:outlineLvl w:val="1"/>
        <w:rPr>
          <w:color w:val="auto"/>
          <w:highlight w:val="none"/>
        </w:rPr>
      </w:pPr>
      <w:bookmarkStart w:id="598" w:name="_Toc170486971"/>
      <w:bookmarkStart w:id="599" w:name="_Toc29476"/>
      <w:r>
        <w:rPr>
          <w:color w:val="auto"/>
          <w:highlight w:val="none"/>
        </w:rPr>
        <w:t>6.1</w:t>
      </w:r>
      <w:r>
        <w:rPr>
          <w:rFonts w:hint="eastAsia"/>
          <w:color w:val="auto"/>
          <w:highlight w:val="none"/>
        </w:rPr>
        <w:t>2</w:t>
      </w:r>
      <w:r>
        <w:rPr>
          <w:rFonts w:hint="eastAsia"/>
          <w:color w:val="auto"/>
          <w:highlight w:val="none"/>
          <w:lang w:val="en-US" w:eastAsia="zh-CN"/>
        </w:rPr>
        <w:t xml:space="preserve"> </w:t>
      </w:r>
      <w:r>
        <w:rPr>
          <w:rFonts w:hint="eastAsia"/>
          <w:color w:val="auto"/>
          <w:highlight w:val="none"/>
        </w:rPr>
        <w:t>BDS</w:t>
      </w:r>
      <w:r>
        <w:rPr>
          <w:color w:val="auto"/>
          <w:highlight w:val="none"/>
        </w:rPr>
        <w:t>试验</w:t>
      </w:r>
      <w:bookmarkEnd w:id="598"/>
      <w:bookmarkEnd w:id="599"/>
    </w:p>
    <w:p>
      <w:pPr>
        <w:numPr>
          <w:ilvl w:val="0"/>
          <w:numId w:val="39"/>
        </w:numPr>
        <w:ind w:firstLine="420" w:firstLineChars="200"/>
        <w:rPr>
          <w:color w:val="auto"/>
          <w:highlight w:val="none"/>
        </w:rPr>
      </w:pPr>
      <w:r>
        <w:rPr>
          <w:rFonts w:hint="eastAsia"/>
          <w:color w:val="auto"/>
          <w:highlight w:val="none"/>
        </w:rPr>
        <w:t>通过卫星信号模拟器分别播发北斗卫星信号与其他卫星系统信号，检查被测装置信号接收情况，被测装置应仅能接收北斗卫星</w:t>
      </w:r>
      <w:r>
        <w:rPr>
          <w:rFonts w:hint="eastAsia"/>
          <w:color w:val="auto"/>
          <w:highlight w:val="none"/>
          <w:lang w:eastAsia="zh-CN"/>
        </w:rPr>
        <w:t>（</w:t>
      </w:r>
      <w:r>
        <w:rPr>
          <w:rFonts w:hint="eastAsia" w:cs="Times New Roman"/>
          <w:color w:val="auto"/>
          <w:highlight w:val="none"/>
          <w:lang w:val="en-US" w:eastAsia="zh-CN"/>
        </w:rPr>
        <w:t>兼容北斗3号及以下卫星通讯</w:t>
      </w:r>
      <w:r>
        <w:rPr>
          <w:rFonts w:hint="eastAsia"/>
          <w:color w:val="auto"/>
          <w:highlight w:val="none"/>
          <w:lang w:eastAsia="zh-CN"/>
        </w:rPr>
        <w:t>）</w:t>
      </w:r>
      <w:r>
        <w:rPr>
          <w:rFonts w:hint="eastAsia"/>
          <w:color w:val="auto"/>
          <w:highlight w:val="none"/>
        </w:rPr>
        <w:t>信号，不能接受其他卫星系统信号。</w:t>
      </w:r>
    </w:p>
    <w:p>
      <w:pPr>
        <w:pStyle w:val="2"/>
        <w:numPr>
          <w:ilvl w:val="255"/>
          <w:numId w:val="0"/>
        </w:numPr>
        <w:adjustRightInd w:val="0"/>
        <w:snapToGrid w:val="0"/>
        <w:rPr>
          <w:rFonts w:ascii="黑体" w:hAnsi="黑体"/>
          <w:bCs/>
          <w:color w:val="auto"/>
          <w:highlight w:val="none"/>
        </w:rPr>
      </w:pPr>
      <w:bookmarkStart w:id="600" w:name="_Toc279695723"/>
      <w:bookmarkEnd w:id="600"/>
      <w:bookmarkStart w:id="601" w:name="_Toc10172"/>
      <w:bookmarkStart w:id="602" w:name="_Toc16138"/>
      <w:bookmarkStart w:id="603" w:name="_Toc4460"/>
      <w:bookmarkStart w:id="604" w:name="_Toc170486972"/>
      <w:bookmarkStart w:id="605" w:name="_Toc515"/>
      <w:bookmarkStart w:id="606" w:name="_Toc18014"/>
      <w:bookmarkStart w:id="607" w:name="_Toc11778"/>
      <w:r>
        <w:rPr>
          <w:rFonts w:hint="eastAsia" w:ascii="黑体" w:hAnsi="黑体"/>
          <w:bCs/>
          <w:color w:val="auto"/>
          <w:highlight w:val="none"/>
        </w:rPr>
        <w:t>7.检验项目</w:t>
      </w:r>
      <w:bookmarkEnd w:id="601"/>
      <w:bookmarkEnd w:id="602"/>
      <w:bookmarkEnd w:id="603"/>
      <w:bookmarkEnd w:id="604"/>
      <w:bookmarkEnd w:id="605"/>
      <w:bookmarkEnd w:id="606"/>
      <w:bookmarkEnd w:id="607"/>
    </w:p>
    <w:p>
      <w:pPr>
        <w:pStyle w:val="360"/>
        <w:ind w:firstLine="420" w:firstLineChars="200"/>
        <w:rPr>
          <w:color w:val="auto"/>
          <w:highlight w:val="none"/>
        </w:rPr>
      </w:pPr>
      <w:r>
        <w:rPr>
          <w:color w:val="auto"/>
          <w:highlight w:val="none"/>
        </w:rPr>
        <w:t>产品检验分型式</w:t>
      </w:r>
      <w:r>
        <w:rPr>
          <w:rFonts w:hint="eastAsia"/>
          <w:color w:val="auto"/>
          <w:highlight w:val="none"/>
        </w:rPr>
        <w:t>试验</w:t>
      </w:r>
      <w:r>
        <w:rPr>
          <w:color w:val="auto"/>
          <w:highlight w:val="none"/>
        </w:rPr>
        <w:t>、出厂</w:t>
      </w:r>
      <w:r>
        <w:rPr>
          <w:rFonts w:hint="eastAsia"/>
          <w:color w:val="auto"/>
          <w:highlight w:val="none"/>
        </w:rPr>
        <w:t>试验、送样检测、到货检测、交接检测五</w:t>
      </w:r>
      <w:r>
        <w:rPr>
          <w:color w:val="auto"/>
          <w:highlight w:val="none"/>
        </w:rPr>
        <w:t>类。</w:t>
      </w:r>
      <w:r>
        <w:rPr>
          <w:rFonts w:hint="eastAsia"/>
          <w:color w:val="auto"/>
          <w:highlight w:val="none"/>
        </w:rPr>
        <w:t>输电线路故障精确定位</w:t>
      </w:r>
      <w:r>
        <w:rPr>
          <w:color w:val="auto"/>
          <w:highlight w:val="none"/>
        </w:rPr>
        <w:t>装置检验项目按</w:t>
      </w:r>
      <w:r>
        <w:rPr>
          <w:rFonts w:hint="eastAsia"/>
          <w:color w:val="auto"/>
          <w:highlight w:val="none"/>
        </w:rPr>
        <w:t>下表</w:t>
      </w:r>
      <w:r>
        <w:rPr>
          <w:color w:val="auto"/>
          <w:highlight w:val="none"/>
        </w:rPr>
        <w:t>的规定进行。</w:t>
      </w:r>
    </w:p>
    <w:p>
      <w:pPr>
        <w:snapToGrid w:val="0"/>
        <w:jc w:val="center"/>
        <w:rPr>
          <w:color w:val="auto"/>
          <w:szCs w:val="21"/>
          <w:highlight w:val="none"/>
        </w:rPr>
      </w:pPr>
      <w:r>
        <w:rPr>
          <w:rFonts w:hint="eastAsia"/>
          <w:color w:val="auto"/>
          <w:szCs w:val="21"/>
          <w:highlight w:val="none"/>
        </w:rPr>
        <w:t>表1 检测项目</w:t>
      </w:r>
    </w:p>
    <w:tbl>
      <w:tblPr>
        <w:tblStyle w:val="85"/>
        <w:tblW w:w="8073" w:type="dxa"/>
        <w:tblInd w:w="96" w:type="dxa"/>
        <w:tblLayout w:type="autofit"/>
        <w:tblCellMar>
          <w:top w:w="0" w:type="dxa"/>
          <w:left w:w="108" w:type="dxa"/>
          <w:bottom w:w="0" w:type="dxa"/>
          <w:right w:w="108" w:type="dxa"/>
        </w:tblCellMar>
      </w:tblPr>
      <w:tblGrid>
        <w:gridCol w:w="668"/>
        <w:gridCol w:w="1390"/>
        <w:gridCol w:w="2000"/>
        <w:gridCol w:w="658"/>
        <w:gridCol w:w="839"/>
        <w:gridCol w:w="839"/>
        <w:gridCol w:w="839"/>
        <w:gridCol w:w="840"/>
      </w:tblGrid>
      <w:tr>
        <w:tblPrEx>
          <w:tblCellMar>
            <w:top w:w="0" w:type="dxa"/>
            <w:left w:w="108" w:type="dxa"/>
            <w:bottom w:w="0" w:type="dxa"/>
            <w:right w:w="108" w:type="dxa"/>
          </w:tblCellMar>
        </w:tblPrEx>
        <w:trPr>
          <w:trHeight w:val="288" w:hRule="atLeast"/>
        </w:trPr>
        <w:tc>
          <w:tcPr>
            <w:tcW w:w="8073"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输电线路故障精确定位装置检验项目</w:t>
            </w:r>
          </w:p>
        </w:tc>
      </w:tr>
      <w:tr>
        <w:tblPrEx>
          <w:tblCellMar>
            <w:top w:w="0" w:type="dxa"/>
            <w:left w:w="108" w:type="dxa"/>
            <w:bottom w:w="0" w:type="dxa"/>
            <w:right w:w="108" w:type="dxa"/>
          </w:tblCellMar>
        </w:tblPrEx>
        <w:trPr>
          <w:trHeight w:val="28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序号</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试验类别</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试验项目</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型式试验</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出厂试验</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送样检测</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到货抽检</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交接试验</w:t>
            </w:r>
          </w:p>
        </w:tc>
      </w:tr>
      <w:tr>
        <w:tblPrEx>
          <w:tblCellMar>
            <w:top w:w="0" w:type="dxa"/>
            <w:left w:w="108" w:type="dxa"/>
            <w:bottom w:w="0" w:type="dxa"/>
            <w:right w:w="108" w:type="dxa"/>
          </w:tblCellMar>
        </w:tblPrEx>
        <w:trPr>
          <w:trHeight w:val="28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1</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topLinePunct/>
              <w:snapToGrid w:val="0"/>
              <w:spacing w:before="55" w:after="55" w:line="240" w:lineRule="auto"/>
              <w:jc w:val="center"/>
              <w:rPr>
                <w:color w:val="auto"/>
                <w:sz w:val="18"/>
                <w:szCs w:val="18"/>
                <w:highlight w:val="none"/>
              </w:rPr>
            </w:pPr>
            <w:r>
              <w:rPr>
                <w:rFonts w:hint="eastAsia"/>
                <w:color w:val="auto"/>
                <w:sz w:val="18"/>
                <w:szCs w:val="18"/>
                <w:highlight w:val="none"/>
              </w:rPr>
              <w:t>基本</w:t>
            </w:r>
            <w:r>
              <w:rPr>
                <w:color w:val="auto"/>
                <w:sz w:val="18"/>
                <w:szCs w:val="18"/>
                <w:highlight w:val="none"/>
              </w:rPr>
              <w:t>功能检验</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topLinePunct/>
              <w:snapToGrid w:val="0"/>
              <w:spacing w:before="55" w:after="55" w:line="240" w:lineRule="auto"/>
              <w:jc w:val="center"/>
              <w:rPr>
                <w:color w:val="auto"/>
                <w:sz w:val="18"/>
                <w:szCs w:val="18"/>
                <w:highlight w:val="none"/>
              </w:rPr>
            </w:pPr>
            <w:r>
              <w:rPr>
                <w:rFonts w:hint="eastAsia"/>
                <w:color w:val="auto"/>
                <w:sz w:val="18"/>
                <w:szCs w:val="18"/>
                <w:highlight w:val="none"/>
              </w:rPr>
              <w:t>基本</w:t>
            </w:r>
            <w:r>
              <w:rPr>
                <w:color w:val="auto"/>
                <w:sz w:val="18"/>
                <w:szCs w:val="18"/>
                <w:highlight w:val="none"/>
              </w:rPr>
              <w:t>功能</w:t>
            </w:r>
            <w:r>
              <w:rPr>
                <w:rFonts w:hint="eastAsia"/>
                <w:color w:val="auto"/>
                <w:sz w:val="18"/>
                <w:szCs w:val="18"/>
                <w:highlight w:val="none"/>
              </w:rPr>
              <w:t>试验</w:t>
            </w:r>
            <w:r>
              <w:rPr>
                <w:color w:val="auto"/>
                <w:sz w:val="18"/>
                <w:szCs w:val="18"/>
                <w:highlight w:val="none"/>
              </w:rPr>
              <w:t>（数据传输规约测试）</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2</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topLinePunct/>
              <w:snapToGrid w:val="0"/>
              <w:spacing w:before="55" w:after="55" w:line="240" w:lineRule="auto"/>
              <w:jc w:val="center"/>
              <w:rPr>
                <w:color w:val="auto"/>
                <w:sz w:val="18"/>
                <w:szCs w:val="18"/>
                <w:highlight w:val="none"/>
              </w:rPr>
            </w:pPr>
            <w:r>
              <w:rPr>
                <w:rFonts w:hint="eastAsia"/>
                <w:color w:val="auto"/>
                <w:sz w:val="18"/>
                <w:szCs w:val="18"/>
                <w:highlight w:val="none"/>
              </w:rPr>
              <w:t>物联网平台接入试验</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topLinePunct/>
              <w:snapToGrid w:val="0"/>
              <w:spacing w:before="55" w:after="55" w:line="240" w:lineRule="auto"/>
              <w:jc w:val="center"/>
              <w:rPr>
                <w:color w:val="auto"/>
                <w:sz w:val="18"/>
                <w:szCs w:val="18"/>
                <w:highlight w:val="none"/>
              </w:rPr>
            </w:pPr>
            <w:r>
              <w:rPr>
                <w:rFonts w:hint="eastAsia"/>
                <w:color w:val="auto"/>
                <w:sz w:val="18"/>
                <w:szCs w:val="18"/>
                <w:highlight w:val="none"/>
              </w:rPr>
              <w:t>物联网平台接入试验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w:t>
            </w:r>
          </w:p>
        </w:tc>
      </w:tr>
      <w:tr>
        <w:tblPrEx>
          <w:tblCellMar>
            <w:top w:w="0" w:type="dxa"/>
            <w:left w:w="108" w:type="dxa"/>
            <w:bottom w:w="0" w:type="dxa"/>
            <w:right w:w="108" w:type="dxa"/>
          </w:tblCellMar>
        </w:tblPrEx>
        <w:trPr>
          <w:trHeight w:val="43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3</w:t>
            </w:r>
          </w:p>
        </w:tc>
        <w:tc>
          <w:tcPr>
            <w:tcW w:w="1390" w:type="dxa"/>
            <w:vMerge w:val="restart"/>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外观结构检查</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Style w:val="425"/>
                <w:rFonts w:hint="default"/>
                <w:color w:val="auto"/>
                <w:highlight w:val="none"/>
                <w:lang w:bidi="ar"/>
              </w:rPr>
              <w:t>外观结构检查</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r>
      <w:tr>
        <w:tblPrEx>
          <w:tblCellMar>
            <w:top w:w="0" w:type="dxa"/>
            <w:left w:w="108" w:type="dxa"/>
            <w:bottom w:w="0" w:type="dxa"/>
            <w:right w:w="108" w:type="dxa"/>
          </w:tblCellMar>
        </w:tblPrEx>
        <w:trPr>
          <w:trHeight w:val="43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4</w:t>
            </w:r>
          </w:p>
        </w:tc>
        <w:tc>
          <w:tcPr>
            <w:tcW w:w="1390"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kern w:val="0"/>
                <w:sz w:val="18"/>
                <w:szCs w:val="18"/>
                <w:highlight w:val="none"/>
                <w:lang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Style w:val="425"/>
                <w:rFonts w:hint="default"/>
                <w:color w:val="auto"/>
                <w:highlight w:val="none"/>
                <w:lang w:bidi="ar"/>
              </w:rPr>
            </w:pPr>
            <w:r>
              <w:rPr>
                <w:rStyle w:val="425"/>
                <w:rFonts w:hint="default"/>
                <w:color w:val="auto"/>
                <w:highlight w:val="none"/>
                <w:lang w:bidi="ar"/>
              </w:rPr>
              <w:t>质量检查</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r>
      <w:tr>
        <w:tblPrEx>
          <w:tblCellMar>
            <w:top w:w="0" w:type="dxa"/>
            <w:left w:w="108" w:type="dxa"/>
            <w:bottom w:w="0" w:type="dxa"/>
            <w:right w:w="108" w:type="dxa"/>
          </w:tblCellMar>
        </w:tblPrEx>
        <w:trPr>
          <w:trHeight w:val="43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5</w:t>
            </w:r>
          </w:p>
        </w:tc>
        <w:tc>
          <w:tcPr>
            <w:tcW w:w="13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电气性能</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电晕和无线电干扰试验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43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6</w:t>
            </w: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工频短路电流冲击试验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rPr>
          <w:trHeight w:val="43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7</w:t>
            </w: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雷电流冲击试验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43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8</w:t>
            </w:r>
          </w:p>
        </w:tc>
        <w:tc>
          <w:tcPr>
            <w:tcW w:w="13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电磁兼容</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静电放电抗扰度试验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43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9</w:t>
            </w: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射频电磁场辐射抗扰度试验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43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10</w:t>
            </w: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脉冲磁场抗扰度试验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43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11</w:t>
            </w: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工频磁场抗扰度试验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300"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12</w:t>
            </w:r>
          </w:p>
        </w:tc>
        <w:tc>
          <w:tcPr>
            <w:tcW w:w="13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环境试验</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高温试验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rFonts w:hint="eastAsia" w:ascii="宋体" w:hAnsi="宋体" w:cs="宋体"/>
                <w:color w:val="auto"/>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28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13</w:t>
            </w: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低温试验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rFonts w:hint="eastAsia" w:ascii="宋体" w:hAnsi="宋体" w:cs="宋体"/>
                <w:color w:val="auto"/>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28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14</w:t>
            </w: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交变湿热试验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rFonts w:hint="eastAsia" w:ascii="宋体" w:hAnsi="宋体" w:cs="宋体"/>
                <w:color w:val="auto"/>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28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15</w:t>
            </w: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老化试验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43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16</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防护等级试验</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防护等级试验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28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17</w:t>
            </w:r>
          </w:p>
        </w:tc>
        <w:tc>
          <w:tcPr>
            <w:tcW w:w="13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机械性能</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振动试验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28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kern w:val="0"/>
                <w:sz w:val="18"/>
                <w:szCs w:val="18"/>
                <w:highlight w:val="none"/>
                <w:lang w:bidi="ar"/>
              </w:rPr>
            </w:pPr>
            <w:r>
              <w:rPr>
                <w:color w:val="auto"/>
                <w:kern w:val="0"/>
                <w:sz w:val="18"/>
                <w:szCs w:val="18"/>
                <w:highlight w:val="none"/>
                <w:lang w:bidi="ar"/>
              </w:rPr>
              <w:t>18</w:t>
            </w:r>
          </w:p>
        </w:tc>
        <w:tc>
          <w:tcPr>
            <w:tcW w:w="1390" w:type="dxa"/>
            <w:vMerge w:val="continue"/>
            <w:tcBorders>
              <w:left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kern w:val="0"/>
                <w:sz w:val="18"/>
                <w:szCs w:val="18"/>
                <w:highlight w:val="none"/>
                <w:lang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垂直振动试验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28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1</w:t>
            </w:r>
            <w:r>
              <w:rPr>
                <w:rFonts w:hint="eastAsia"/>
                <w:color w:val="auto"/>
                <w:kern w:val="0"/>
                <w:sz w:val="18"/>
                <w:szCs w:val="18"/>
                <w:highlight w:val="none"/>
                <w:lang w:bidi="ar"/>
              </w:rPr>
              <w:t>9</w:t>
            </w: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碰撞试验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28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20</w:t>
            </w: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运输试验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Cs w:val="21"/>
                <w:highlight w:val="none"/>
              </w:rPr>
            </w:pPr>
            <w:r>
              <w:rPr>
                <w:color w:val="auto"/>
                <w:kern w:val="0"/>
                <w:szCs w:val="21"/>
                <w:highlight w:val="none"/>
                <w:lang w:bidi="ar"/>
              </w:rPr>
              <w:t>—</w:t>
            </w:r>
          </w:p>
        </w:tc>
      </w:tr>
      <w:tr>
        <w:tblPrEx>
          <w:tblCellMar>
            <w:top w:w="0" w:type="dxa"/>
            <w:left w:w="108" w:type="dxa"/>
            <w:bottom w:w="0" w:type="dxa"/>
            <w:right w:w="108" w:type="dxa"/>
          </w:tblCellMar>
        </w:tblPrEx>
        <w:trPr>
          <w:trHeight w:val="480"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21</w:t>
            </w:r>
          </w:p>
        </w:tc>
        <w:tc>
          <w:tcPr>
            <w:tcW w:w="1390" w:type="dxa"/>
            <w:vMerge w:val="restart"/>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sz w:val="18"/>
                <w:szCs w:val="18"/>
                <w:highlight w:val="none"/>
              </w:rPr>
              <w:t>测量有效性试验</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电源模块试验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rPr>
                <w:rFonts w:ascii="宋体" w:hAnsi="宋体" w:cs="宋体"/>
                <w:color w:val="auto"/>
                <w:kern w:val="0"/>
                <w:sz w:val="18"/>
                <w:szCs w:val="18"/>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r>
        <w:tblPrEx>
          <w:tblCellMar>
            <w:top w:w="0" w:type="dxa"/>
            <w:left w:w="108" w:type="dxa"/>
            <w:bottom w:w="0" w:type="dxa"/>
            <w:right w:w="108" w:type="dxa"/>
          </w:tblCellMar>
        </w:tblPrEx>
        <w:trPr>
          <w:trHeight w:val="288"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color w:val="auto"/>
                <w:kern w:val="0"/>
                <w:sz w:val="18"/>
                <w:szCs w:val="18"/>
                <w:highlight w:val="none"/>
                <w:lang w:bidi="ar"/>
              </w:rPr>
              <w:t>22</w:t>
            </w:r>
          </w:p>
        </w:tc>
        <w:tc>
          <w:tcPr>
            <w:tcW w:w="1390" w:type="dxa"/>
            <w:vMerge w:val="continue"/>
            <w:tcBorders>
              <w:left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Style w:val="425"/>
                <w:rFonts w:hint="default"/>
                <w:color w:val="auto"/>
                <w:highlight w:val="none"/>
                <w:lang w:bidi="ar"/>
              </w:rPr>
              <w:t>故障工频电流测量试验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r>
      <w:tr>
        <w:tblPrEx>
          <w:tblCellMar>
            <w:top w:w="0" w:type="dxa"/>
            <w:left w:w="108" w:type="dxa"/>
            <w:bottom w:w="0" w:type="dxa"/>
            <w:right w:w="108" w:type="dxa"/>
          </w:tblCellMar>
        </w:tblPrEx>
        <w:trPr>
          <w:trHeight w:val="47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rFonts w:hint="eastAsia"/>
                <w:color w:val="auto"/>
                <w:sz w:val="18"/>
                <w:szCs w:val="18"/>
                <w:highlight w:val="none"/>
              </w:rPr>
              <w:t>23</w:t>
            </w:r>
          </w:p>
        </w:tc>
        <w:tc>
          <w:tcPr>
            <w:tcW w:w="1390" w:type="dxa"/>
            <w:vMerge w:val="continue"/>
            <w:tcBorders>
              <w:left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行波电流测量试验</w:t>
            </w:r>
          </w:p>
        </w:tc>
        <w:tc>
          <w:tcPr>
            <w:tcW w:w="658"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c>
          <w:tcPr>
            <w:tcW w:w="840"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bidi="ar"/>
              </w:rPr>
              <w:t>○</w:t>
            </w:r>
          </w:p>
        </w:tc>
      </w:tr>
      <w:tr>
        <w:tblPrEx>
          <w:tblCellMar>
            <w:top w:w="0" w:type="dxa"/>
            <w:left w:w="108" w:type="dxa"/>
            <w:bottom w:w="0" w:type="dxa"/>
            <w:right w:w="108" w:type="dxa"/>
          </w:tblCellMar>
        </w:tblPrEx>
        <w:trPr>
          <w:trHeight w:val="47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rPr>
              <w:t>24</w:t>
            </w:r>
          </w:p>
        </w:tc>
        <w:tc>
          <w:tcPr>
            <w:tcW w:w="1390" w:type="dxa"/>
            <w:vMerge w:val="continue"/>
            <w:tcBorders>
              <w:left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 w:val="18"/>
                <w:szCs w:val="18"/>
                <w:highlight w:val="none"/>
                <w:lang w:bidi="ar"/>
              </w:rPr>
            </w:pPr>
            <w:r>
              <w:rPr>
                <w:rFonts w:hint="eastAsia" w:ascii="Times New Roman" w:hAnsi="Times New Roman" w:eastAsia="宋体" w:cs="Times New Roman"/>
                <w:b w:val="0"/>
                <w:bCs w:val="0"/>
                <w:color w:val="auto"/>
                <w:sz w:val="21"/>
                <w:szCs w:val="21"/>
                <w:highlight w:val="none"/>
              </w:rPr>
              <w:t xml:space="preserve">时钟同步试验 </w:t>
            </w:r>
          </w:p>
        </w:tc>
        <w:tc>
          <w:tcPr>
            <w:tcW w:w="658"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c>
          <w:tcPr>
            <w:tcW w:w="840"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r>
      <w:tr>
        <w:tblPrEx>
          <w:tblCellMar>
            <w:top w:w="0" w:type="dxa"/>
            <w:left w:w="108" w:type="dxa"/>
            <w:bottom w:w="0" w:type="dxa"/>
            <w:right w:w="108" w:type="dxa"/>
          </w:tblCellMar>
        </w:tblPrEx>
        <w:trPr>
          <w:trHeight w:val="47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rPr>
              <w:t>25</w:t>
            </w:r>
          </w:p>
        </w:tc>
        <w:tc>
          <w:tcPr>
            <w:tcW w:w="1390" w:type="dxa"/>
            <w:vMerge w:val="continue"/>
            <w:tcBorders>
              <w:left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 w:val="18"/>
                <w:szCs w:val="18"/>
                <w:highlight w:val="none"/>
                <w:lang w:bidi="ar"/>
              </w:rPr>
            </w:pPr>
            <w:r>
              <w:rPr>
                <w:rFonts w:hint="eastAsia" w:ascii="Times New Roman" w:hAnsi="Times New Roman" w:eastAsia="宋体" w:cs="Times New Roman"/>
                <w:b w:val="0"/>
                <w:bCs w:val="0"/>
                <w:color w:val="auto"/>
                <w:sz w:val="21"/>
                <w:szCs w:val="21"/>
                <w:highlight w:val="none"/>
              </w:rPr>
              <w:t xml:space="preserve">测距误差试验 </w:t>
            </w:r>
          </w:p>
        </w:tc>
        <w:tc>
          <w:tcPr>
            <w:tcW w:w="658"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c>
          <w:tcPr>
            <w:tcW w:w="840"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r>
      <w:tr>
        <w:tblPrEx>
          <w:tblCellMar>
            <w:top w:w="0" w:type="dxa"/>
            <w:left w:w="108" w:type="dxa"/>
            <w:bottom w:w="0" w:type="dxa"/>
            <w:right w:w="108" w:type="dxa"/>
          </w:tblCellMar>
        </w:tblPrEx>
        <w:trPr>
          <w:trHeight w:val="47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hint="default" w:eastAsia="宋体"/>
                <w:color w:val="auto"/>
                <w:sz w:val="18"/>
                <w:szCs w:val="18"/>
                <w:highlight w:val="none"/>
                <w:lang w:val="en-US" w:eastAsia="zh-CN"/>
              </w:rPr>
            </w:pPr>
            <w:r>
              <w:rPr>
                <w:rFonts w:hint="eastAsia"/>
                <w:color w:val="auto"/>
                <w:sz w:val="18"/>
                <w:szCs w:val="18"/>
                <w:highlight w:val="none"/>
                <w:lang w:val="en-US" w:eastAsia="zh-CN"/>
              </w:rPr>
              <w:t>26</w:t>
            </w:r>
          </w:p>
        </w:tc>
        <w:tc>
          <w:tcPr>
            <w:tcW w:w="1390" w:type="dxa"/>
            <w:vMerge w:val="continue"/>
            <w:tcBorders>
              <w:left w:val="single" w:color="000000" w:sz="4" w:space="0"/>
              <w:bottom w:val="single" w:color="000000" w:sz="4" w:space="0"/>
              <w:right w:val="single" w:color="000000" w:sz="4" w:space="0"/>
            </w:tcBorders>
            <w:shd w:val="clear" w:color="auto" w:fill="auto"/>
            <w:vAlign w:val="center"/>
          </w:tcPr>
          <w:p>
            <w:pPr>
              <w:spacing w:line="240" w:lineRule="auto"/>
              <w:jc w:val="center"/>
              <w:rPr>
                <w:rFonts w:ascii="宋体" w:hAnsi="宋体" w:cs="宋体"/>
                <w:color w:val="auto"/>
                <w:sz w:val="18"/>
                <w:szCs w:val="18"/>
                <w:highlight w:val="none"/>
              </w:rPr>
            </w:pPr>
          </w:p>
        </w:tc>
        <w:tc>
          <w:tcPr>
            <w:tcW w:w="2000"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 w:val="18"/>
                <w:szCs w:val="18"/>
                <w:highlight w:val="none"/>
                <w:lang w:bidi="ar"/>
              </w:rPr>
            </w:pPr>
            <w:r>
              <w:rPr>
                <w:rFonts w:hint="eastAsia" w:ascii="Times New Roman" w:hAnsi="Times New Roman" w:eastAsia="宋体" w:cs="Times New Roman"/>
                <w:b w:val="0"/>
                <w:bCs w:val="0"/>
                <w:color w:val="auto"/>
                <w:sz w:val="21"/>
                <w:szCs w:val="21"/>
                <w:highlight w:val="none"/>
              </w:rPr>
              <w:t>行波连续触发试验</w:t>
            </w:r>
          </w:p>
        </w:tc>
        <w:tc>
          <w:tcPr>
            <w:tcW w:w="658"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c>
          <w:tcPr>
            <w:tcW w:w="840" w:type="dxa"/>
            <w:tcBorders>
              <w:top w:val="single" w:color="000000" w:sz="4" w:space="0"/>
              <w:left w:val="single" w:color="000000" w:sz="4" w:space="0"/>
              <w:right w:val="single" w:color="000000" w:sz="4" w:space="0"/>
            </w:tcBorders>
            <w:shd w:val="clear" w:color="auto" w:fill="auto"/>
            <w:vAlign w:val="center"/>
          </w:tcPr>
          <w:p>
            <w:pPr>
              <w:widowControl/>
              <w:spacing w:line="240" w:lineRule="auto"/>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r>
      <w:tr>
        <w:tblPrEx>
          <w:tblCellMar>
            <w:top w:w="0" w:type="dxa"/>
            <w:left w:w="108" w:type="dxa"/>
            <w:bottom w:w="0" w:type="dxa"/>
            <w:right w:w="108" w:type="dxa"/>
          </w:tblCellMar>
        </w:tblPrEx>
        <w:trPr>
          <w:trHeight w:val="43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rFonts w:hint="eastAsia"/>
                <w:color w:val="auto"/>
                <w:sz w:val="18"/>
                <w:szCs w:val="18"/>
                <w:highlight w:val="none"/>
                <w:lang w:val="en-US" w:eastAsia="zh-CN"/>
              </w:rPr>
              <w:t>27</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Style w:val="425"/>
                <w:rFonts w:hint="default"/>
                <w:color w:val="auto"/>
                <w:highlight w:val="none"/>
                <w:lang w:bidi="ar"/>
              </w:rPr>
              <w:t>连续运行试验</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连续运行试验</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w:t>
            </w:r>
          </w:p>
        </w:tc>
      </w:tr>
      <w:tr>
        <w:tblPrEx>
          <w:tblCellMar>
            <w:top w:w="0" w:type="dxa"/>
            <w:left w:w="108" w:type="dxa"/>
            <w:bottom w:w="0" w:type="dxa"/>
            <w:right w:w="108" w:type="dxa"/>
          </w:tblCellMar>
        </w:tblPrEx>
        <w:trPr>
          <w:trHeight w:val="432" w:hRule="atLeast"/>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auto"/>
                <w:sz w:val="18"/>
                <w:szCs w:val="18"/>
                <w:highlight w:val="none"/>
              </w:rPr>
            </w:pPr>
            <w:r>
              <w:rPr>
                <w:rFonts w:hint="eastAsia"/>
                <w:color w:val="auto"/>
                <w:sz w:val="18"/>
                <w:szCs w:val="18"/>
                <w:highlight w:val="none"/>
                <w:lang w:val="en-US" w:eastAsia="zh-CN"/>
              </w:rPr>
              <w:t>28</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Style w:val="425"/>
                <w:rFonts w:hint="default"/>
                <w:color w:val="auto"/>
                <w:highlight w:val="none"/>
                <w:lang w:bidi="ar"/>
              </w:rPr>
            </w:pPr>
            <w:r>
              <w:rPr>
                <w:rStyle w:val="425"/>
                <w:rFonts w:hint="default"/>
                <w:color w:val="auto"/>
                <w:highlight w:val="none"/>
                <w:lang w:bidi="ar"/>
              </w:rPr>
              <w:t>BDS试验</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BDS检查</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auto"/>
                <w:kern w:val="0"/>
                <w:szCs w:val="21"/>
                <w:highlight w:val="none"/>
                <w:lang w:bidi="ar"/>
              </w:rPr>
            </w:pPr>
            <w:r>
              <w:rPr>
                <w:rFonts w:hint="eastAsia" w:ascii="宋体" w:hAnsi="宋体" w:cs="宋体"/>
                <w:color w:val="auto"/>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kern w:val="0"/>
                <w:szCs w:val="21"/>
                <w:highlight w:val="none"/>
                <w:lang w:bidi="ar"/>
              </w:rPr>
            </w:pPr>
            <w:r>
              <w:rPr>
                <w:rFonts w:hint="eastAsia" w:ascii="宋体" w:hAnsi="宋体" w:cs="宋体"/>
                <w:color w:val="auto"/>
                <w:kern w:val="0"/>
                <w:sz w:val="18"/>
                <w:szCs w:val="18"/>
                <w:highlight w:val="none"/>
                <w:lang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kern w:val="0"/>
                <w:szCs w:val="21"/>
                <w:highlight w:val="none"/>
                <w:lang w:bidi="ar"/>
              </w:rPr>
            </w:pPr>
            <w:r>
              <w:rPr>
                <w:rFonts w:hint="eastAsia" w:ascii="宋体" w:hAnsi="宋体" w:cs="宋体"/>
                <w:color w:val="auto"/>
                <w:kern w:val="0"/>
                <w:sz w:val="18"/>
                <w:szCs w:val="18"/>
                <w:highlight w:val="none"/>
                <w:lang w:bidi="ar"/>
              </w:rPr>
              <w:t>—</w:t>
            </w:r>
          </w:p>
        </w:tc>
      </w:tr>
      <w:tr>
        <w:tblPrEx>
          <w:tblCellMar>
            <w:top w:w="0" w:type="dxa"/>
            <w:left w:w="108" w:type="dxa"/>
            <w:bottom w:w="0" w:type="dxa"/>
            <w:right w:w="108" w:type="dxa"/>
          </w:tblCellMar>
        </w:tblPrEx>
        <w:trPr>
          <w:trHeight w:val="432" w:hRule="atLeast"/>
        </w:trPr>
        <w:tc>
          <w:tcPr>
            <w:tcW w:w="80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注1：●表示必须做的项目，○表示可选做的项目，—表示不做的项目。</w:t>
            </w:r>
          </w:p>
        </w:tc>
      </w:tr>
    </w:tbl>
    <w:p>
      <w:pPr>
        <w:snapToGrid w:val="0"/>
        <w:ind w:firstLine="420" w:firstLineChars="200"/>
        <w:jc w:val="center"/>
        <w:rPr>
          <w:color w:val="auto"/>
          <w:szCs w:val="21"/>
          <w:highlight w:val="none"/>
        </w:rPr>
      </w:pPr>
    </w:p>
    <w:p>
      <w:pPr>
        <w:pStyle w:val="3"/>
        <w:numPr>
          <w:ilvl w:val="0"/>
          <w:numId w:val="0"/>
        </w:numPr>
        <w:adjustRightInd w:val="0"/>
        <w:snapToGrid w:val="0"/>
        <w:rPr>
          <w:rFonts w:ascii="黑体" w:hAnsi="黑体"/>
          <w:color w:val="auto"/>
          <w:highlight w:val="none"/>
        </w:rPr>
      </w:pPr>
      <w:bookmarkStart w:id="608" w:name="_Toc447613886"/>
      <w:bookmarkStart w:id="609" w:name="_Toc28162"/>
      <w:bookmarkStart w:id="610" w:name="_Toc29698"/>
      <w:bookmarkStart w:id="611" w:name="_Toc32484"/>
      <w:bookmarkStart w:id="612" w:name="_Toc447639328"/>
      <w:bookmarkStart w:id="613" w:name="_Toc452578363"/>
      <w:bookmarkStart w:id="614" w:name="_Toc32727"/>
      <w:bookmarkStart w:id="615" w:name="_Toc170486973"/>
      <w:bookmarkStart w:id="616" w:name="_Toc22798"/>
      <w:bookmarkStart w:id="617" w:name="_Toc16710"/>
      <w:r>
        <w:rPr>
          <w:rFonts w:hint="eastAsia" w:ascii="黑体" w:hAnsi="黑体"/>
          <w:color w:val="auto"/>
          <w:highlight w:val="none"/>
        </w:rPr>
        <w:t>7.1 型式试验</w:t>
      </w:r>
      <w:bookmarkEnd w:id="608"/>
      <w:bookmarkEnd w:id="609"/>
      <w:bookmarkEnd w:id="610"/>
      <w:bookmarkEnd w:id="611"/>
      <w:bookmarkEnd w:id="612"/>
      <w:bookmarkEnd w:id="613"/>
      <w:bookmarkEnd w:id="614"/>
      <w:bookmarkEnd w:id="615"/>
      <w:bookmarkEnd w:id="616"/>
      <w:bookmarkEnd w:id="617"/>
    </w:p>
    <w:p>
      <w:pPr>
        <w:pStyle w:val="166"/>
        <w:spacing w:line="360" w:lineRule="auto"/>
        <w:ind w:firstLine="420"/>
        <w:rPr>
          <w:rFonts w:ascii="Times New Roman"/>
          <w:color w:val="auto"/>
          <w:highlight w:val="none"/>
        </w:rPr>
      </w:pPr>
      <w:bookmarkStart w:id="618" w:name="_Toc417817519"/>
      <w:r>
        <w:rPr>
          <w:rFonts w:hint="eastAsia"/>
          <w:color w:val="auto"/>
          <w:highlight w:val="none"/>
        </w:rPr>
        <w:t>型式试验应该是制造厂家将装置送交具有资质的检测单位，由检测单位依据试验条目完成检验，并出具型式试验报告，试验报告应具有试验方法、试验过程数据和试验结论。当出现下列情况之一时，应进行型式试验：</w:t>
      </w:r>
      <w:bookmarkEnd w:id="618"/>
    </w:p>
    <w:p>
      <w:pPr>
        <w:pStyle w:val="166"/>
        <w:spacing w:line="360" w:lineRule="auto"/>
        <w:ind w:firstLine="420"/>
        <w:rPr>
          <w:rFonts w:ascii="Times New Roman"/>
          <w:color w:val="auto"/>
          <w:highlight w:val="none"/>
        </w:rPr>
      </w:pPr>
      <w:r>
        <w:rPr>
          <w:rFonts w:hint="eastAsia" w:ascii="Times New Roman"/>
          <w:color w:val="auto"/>
          <w:highlight w:val="none"/>
        </w:rPr>
        <w:t>a) 新产品定型，投运前；</w:t>
      </w:r>
    </w:p>
    <w:p>
      <w:pPr>
        <w:pStyle w:val="166"/>
        <w:spacing w:line="360" w:lineRule="auto"/>
        <w:ind w:firstLine="420"/>
        <w:rPr>
          <w:rFonts w:ascii="Times New Roman"/>
          <w:color w:val="auto"/>
          <w:highlight w:val="none"/>
        </w:rPr>
      </w:pPr>
      <w:r>
        <w:rPr>
          <w:rFonts w:hint="eastAsia" w:ascii="Times New Roman"/>
          <w:color w:val="auto"/>
          <w:highlight w:val="none"/>
        </w:rPr>
        <w:t>b) 连续批量生产的装置每四年一次；</w:t>
      </w:r>
    </w:p>
    <w:p>
      <w:pPr>
        <w:pStyle w:val="166"/>
        <w:spacing w:line="360" w:lineRule="auto"/>
        <w:ind w:firstLine="420"/>
        <w:rPr>
          <w:rFonts w:ascii="Times New Roman"/>
          <w:color w:val="auto"/>
          <w:highlight w:val="none"/>
        </w:rPr>
      </w:pPr>
      <w:r>
        <w:rPr>
          <w:rFonts w:hint="eastAsia" w:ascii="Times New Roman"/>
          <w:color w:val="auto"/>
          <w:highlight w:val="none"/>
        </w:rPr>
        <w:t>c) 正式投产后，如设计、工艺材料、元器件有较大改变，可能影响产品性能时；</w:t>
      </w:r>
    </w:p>
    <w:p>
      <w:pPr>
        <w:pStyle w:val="166"/>
        <w:spacing w:line="360" w:lineRule="auto"/>
        <w:ind w:firstLine="420"/>
        <w:rPr>
          <w:rFonts w:ascii="Times New Roman"/>
          <w:color w:val="auto"/>
          <w:highlight w:val="none"/>
        </w:rPr>
      </w:pPr>
      <w:r>
        <w:rPr>
          <w:rFonts w:hint="eastAsia" w:ascii="Times New Roman"/>
          <w:color w:val="auto"/>
          <w:highlight w:val="none"/>
        </w:rPr>
        <w:t>d) 产品停产一年以上又重新恢复生产时；</w:t>
      </w:r>
    </w:p>
    <w:p>
      <w:pPr>
        <w:pStyle w:val="166"/>
        <w:spacing w:line="360" w:lineRule="auto"/>
        <w:ind w:firstLine="420"/>
        <w:rPr>
          <w:rFonts w:ascii="Times New Roman"/>
          <w:color w:val="auto"/>
          <w:highlight w:val="none"/>
        </w:rPr>
      </w:pPr>
      <w:r>
        <w:rPr>
          <w:rFonts w:hint="eastAsia" w:ascii="Times New Roman"/>
          <w:color w:val="auto"/>
          <w:highlight w:val="none"/>
        </w:rPr>
        <w:t>e) 出厂试验结果与型式试验有较大差异时；</w:t>
      </w:r>
    </w:p>
    <w:p>
      <w:pPr>
        <w:pStyle w:val="166"/>
        <w:spacing w:line="360" w:lineRule="auto"/>
        <w:ind w:firstLine="420"/>
        <w:rPr>
          <w:rFonts w:ascii="Times New Roman"/>
          <w:color w:val="auto"/>
          <w:highlight w:val="none"/>
        </w:rPr>
      </w:pPr>
      <w:r>
        <w:rPr>
          <w:rFonts w:hint="eastAsia" w:ascii="Times New Roman"/>
          <w:color w:val="auto"/>
          <w:highlight w:val="none"/>
        </w:rPr>
        <w:t>f) 国家技术监督机构或受其委托的技术检验部门提出型式试验要求时；</w:t>
      </w:r>
    </w:p>
    <w:p>
      <w:pPr>
        <w:pStyle w:val="166"/>
        <w:adjustRightInd w:val="0"/>
        <w:snapToGrid w:val="0"/>
        <w:ind w:firstLine="420"/>
        <w:rPr>
          <w:rFonts w:ascii="黑体" w:hAnsi="黑体"/>
          <w:color w:val="auto"/>
          <w:highlight w:val="none"/>
        </w:rPr>
      </w:pPr>
      <w:r>
        <w:rPr>
          <w:rFonts w:hint="eastAsia" w:ascii="Times New Roman"/>
          <w:color w:val="auto"/>
          <w:highlight w:val="none"/>
        </w:rPr>
        <w:t>g) 合同规定进行型式试验时。</w:t>
      </w:r>
      <w:bookmarkStart w:id="619" w:name="_Toc8495"/>
      <w:bookmarkStart w:id="620" w:name="_Toc9890"/>
      <w:bookmarkStart w:id="621" w:name="_Toc452578364"/>
      <w:bookmarkStart w:id="622" w:name="_Toc12335"/>
      <w:bookmarkStart w:id="623" w:name="_Toc447613887"/>
      <w:bookmarkStart w:id="624" w:name="_Toc7262"/>
      <w:bookmarkStart w:id="625" w:name="_Toc447639329"/>
      <w:bookmarkStart w:id="626" w:name="_Toc417817522"/>
    </w:p>
    <w:p>
      <w:pPr>
        <w:pStyle w:val="3"/>
        <w:numPr>
          <w:ilvl w:val="0"/>
          <w:numId w:val="0"/>
        </w:numPr>
        <w:adjustRightInd w:val="0"/>
        <w:snapToGrid w:val="0"/>
        <w:rPr>
          <w:rFonts w:ascii="黑体" w:hAnsi="黑体"/>
          <w:color w:val="auto"/>
          <w:kern w:val="0"/>
          <w:highlight w:val="none"/>
        </w:rPr>
      </w:pPr>
      <w:bookmarkStart w:id="627" w:name="_Toc170486974"/>
      <w:bookmarkStart w:id="628" w:name="_Toc4007"/>
      <w:bookmarkStart w:id="629" w:name="_Toc23780"/>
      <w:r>
        <w:rPr>
          <w:rFonts w:hint="eastAsia" w:ascii="黑体" w:hAnsi="黑体"/>
          <w:color w:val="auto"/>
          <w:highlight w:val="none"/>
        </w:rPr>
        <w:t>7.2 出厂试验</w:t>
      </w:r>
      <w:bookmarkEnd w:id="619"/>
      <w:bookmarkEnd w:id="620"/>
      <w:bookmarkEnd w:id="621"/>
      <w:bookmarkEnd w:id="622"/>
      <w:bookmarkEnd w:id="623"/>
      <w:bookmarkEnd w:id="624"/>
      <w:bookmarkEnd w:id="625"/>
      <w:bookmarkEnd w:id="626"/>
      <w:bookmarkEnd w:id="627"/>
      <w:bookmarkEnd w:id="628"/>
      <w:bookmarkEnd w:id="629"/>
    </w:p>
    <w:p>
      <w:pPr>
        <w:pStyle w:val="166"/>
        <w:spacing w:line="360" w:lineRule="auto"/>
        <w:ind w:firstLine="420"/>
        <w:rPr>
          <w:rFonts w:ascii="Times New Roman"/>
          <w:color w:val="auto"/>
          <w:highlight w:val="none"/>
        </w:rPr>
      </w:pPr>
      <w:r>
        <w:rPr>
          <w:rFonts w:hint="eastAsia" w:ascii="Times New Roman"/>
          <w:color w:val="auto"/>
          <w:highlight w:val="none"/>
        </w:rPr>
        <w:t>由供应商组织开展，每台装置出厂前应按规定进行例行检验，检验合格后，附有合格证，方可允许出厂，出厂试验项目见表1。</w:t>
      </w:r>
      <w:bookmarkStart w:id="630" w:name="_Toc417817523"/>
    </w:p>
    <w:p>
      <w:pPr>
        <w:pStyle w:val="3"/>
        <w:numPr>
          <w:ilvl w:val="0"/>
          <w:numId w:val="0"/>
        </w:numPr>
        <w:adjustRightInd w:val="0"/>
        <w:snapToGrid w:val="0"/>
        <w:rPr>
          <w:rFonts w:ascii="黑体" w:hAnsi="黑体"/>
          <w:color w:val="auto"/>
          <w:kern w:val="0"/>
          <w:highlight w:val="none"/>
        </w:rPr>
      </w:pPr>
      <w:bookmarkStart w:id="631" w:name="_Toc145"/>
      <w:bookmarkStart w:id="632" w:name="_Toc7153"/>
      <w:bookmarkStart w:id="633" w:name="_Toc12859"/>
      <w:bookmarkStart w:id="634" w:name="_Toc2320"/>
      <w:bookmarkStart w:id="635" w:name="_Toc170486975"/>
      <w:bookmarkStart w:id="636" w:name="_Toc32522"/>
      <w:r>
        <w:rPr>
          <w:rFonts w:hint="eastAsia" w:ascii="黑体" w:hAnsi="黑体"/>
          <w:color w:val="auto"/>
          <w:highlight w:val="none"/>
        </w:rPr>
        <w:t>7.3 送样试验</w:t>
      </w:r>
      <w:bookmarkEnd w:id="631"/>
      <w:bookmarkEnd w:id="632"/>
      <w:bookmarkEnd w:id="633"/>
      <w:bookmarkEnd w:id="634"/>
      <w:bookmarkEnd w:id="635"/>
      <w:bookmarkEnd w:id="636"/>
    </w:p>
    <w:p>
      <w:pPr>
        <w:ind w:firstLine="420" w:firstLineChars="200"/>
        <w:rPr>
          <w:color w:val="auto"/>
          <w:szCs w:val="21"/>
          <w:highlight w:val="none"/>
        </w:rPr>
      </w:pPr>
      <w:r>
        <w:rPr>
          <w:rFonts w:hint="eastAsia"/>
          <w:color w:val="auto"/>
          <w:szCs w:val="21"/>
          <w:highlight w:val="none"/>
        </w:rPr>
        <w:t>由南方电网公司组织开展，供应商自愿报名送样开展检测，结果用于供应商产品质量评价，试验项目缺陷等级分为A、B、C三类，其中A类不合格权值为1.0，B 类不合格权值为0.6，C 类不合格权值为0.2，一个样本检测出现多个不合格项目时权值累加，当出现A类项目不合格或其他类项目不合格权值累计大于或等于1.0时，该样本检测结果判为不合格，送样检测开展周期要求与型式试验一致。缺陷分类如下：</w:t>
      </w:r>
    </w:p>
    <w:p>
      <w:pPr>
        <w:spacing w:line="360" w:lineRule="auto"/>
        <w:ind w:firstLine="420" w:firstLineChars="200"/>
        <w:rPr>
          <w:rFonts w:hint="eastAsia"/>
          <w:color w:val="auto"/>
          <w:szCs w:val="21"/>
          <w:highlight w:val="none"/>
        </w:rPr>
      </w:pPr>
      <w:bookmarkStart w:id="637" w:name="_Toc18850"/>
      <w:bookmarkStart w:id="638" w:name="_Toc170486976"/>
      <w:r>
        <w:rPr>
          <w:rFonts w:hint="eastAsia"/>
          <w:color w:val="auto"/>
          <w:szCs w:val="21"/>
          <w:highlight w:val="none"/>
        </w:rPr>
        <w:t>A类：数据传输规约测试、物联网平台接入试验、交变湿热试验、静电放电抗扰度</w:t>
      </w:r>
      <w:r>
        <w:rPr>
          <w:rFonts w:hint="eastAsia"/>
          <w:color w:val="auto"/>
          <w:szCs w:val="21"/>
          <w:highlight w:val="none"/>
          <w:lang w:val="en-US" w:eastAsia="zh-CN"/>
        </w:rPr>
        <w:t>试验</w:t>
      </w:r>
      <w:r>
        <w:rPr>
          <w:rFonts w:hint="eastAsia"/>
          <w:color w:val="auto"/>
          <w:szCs w:val="21"/>
          <w:highlight w:val="none"/>
        </w:rPr>
        <w:t>、射频电磁场辐射抗扰度</w:t>
      </w:r>
      <w:r>
        <w:rPr>
          <w:rFonts w:hint="eastAsia"/>
          <w:color w:val="auto"/>
          <w:szCs w:val="21"/>
          <w:highlight w:val="none"/>
          <w:lang w:val="en-US" w:eastAsia="zh-CN"/>
        </w:rPr>
        <w:t>试验</w:t>
      </w:r>
      <w:r>
        <w:rPr>
          <w:rFonts w:hint="eastAsia"/>
          <w:color w:val="auto"/>
          <w:szCs w:val="21"/>
          <w:highlight w:val="none"/>
        </w:rPr>
        <w:t>、工频磁场抗扰度</w:t>
      </w:r>
      <w:r>
        <w:rPr>
          <w:rFonts w:hint="eastAsia"/>
          <w:color w:val="auto"/>
          <w:szCs w:val="21"/>
          <w:highlight w:val="none"/>
          <w:lang w:val="en-US" w:eastAsia="zh-CN"/>
        </w:rPr>
        <w:t>试验</w:t>
      </w:r>
      <w:r>
        <w:rPr>
          <w:rFonts w:hint="eastAsia"/>
          <w:color w:val="auto"/>
          <w:szCs w:val="21"/>
          <w:highlight w:val="none"/>
        </w:rPr>
        <w:t>、脉冲磁场抗扰度</w:t>
      </w:r>
      <w:r>
        <w:rPr>
          <w:rFonts w:hint="eastAsia"/>
          <w:color w:val="auto"/>
          <w:szCs w:val="21"/>
          <w:highlight w:val="none"/>
          <w:lang w:val="en-US" w:eastAsia="zh-CN"/>
        </w:rPr>
        <w:t>试验、测量有效性试验、电源模块试验、故障工频电流测量试验、行波电流测量试验、</w:t>
      </w:r>
      <w:r>
        <w:rPr>
          <w:rFonts w:hint="eastAsia"/>
          <w:color w:val="auto"/>
          <w:szCs w:val="21"/>
          <w:highlight w:val="none"/>
        </w:rPr>
        <w:t>连续运行试验、BDS试验；</w:t>
      </w:r>
    </w:p>
    <w:p>
      <w:pPr>
        <w:spacing w:line="360" w:lineRule="auto"/>
        <w:ind w:firstLine="420" w:firstLineChars="200"/>
        <w:rPr>
          <w:rFonts w:hint="eastAsia"/>
          <w:color w:val="auto"/>
          <w:szCs w:val="21"/>
          <w:highlight w:val="none"/>
        </w:rPr>
      </w:pPr>
      <w:r>
        <w:rPr>
          <w:rFonts w:hint="eastAsia"/>
          <w:color w:val="auto"/>
          <w:szCs w:val="21"/>
          <w:highlight w:val="none"/>
        </w:rPr>
        <w:t>B类：</w:t>
      </w:r>
      <w:r>
        <w:rPr>
          <w:rFonts w:hint="eastAsia"/>
          <w:color w:val="auto"/>
          <w:szCs w:val="21"/>
          <w:highlight w:val="none"/>
          <w:lang w:val="en-US" w:eastAsia="zh-CN"/>
        </w:rPr>
        <w:t>防尘试验、防水试验</w:t>
      </w:r>
      <w:r>
        <w:rPr>
          <w:rFonts w:hint="eastAsia"/>
          <w:color w:val="auto"/>
          <w:szCs w:val="21"/>
          <w:highlight w:val="none"/>
        </w:rPr>
        <w:t>、低温试验、高温试验；</w:t>
      </w:r>
    </w:p>
    <w:p>
      <w:pPr>
        <w:pStyle w:val="166"/>
        <w:spacing w:line="360" w:lineRule="auto"/>
        <w:ind w:firstLine="420"/>
        <w:rPr>
          <w:rFonts w:hint="eastAsia" w:ascii="Times New Roman"/>
          <w:color w:val="auto"/>
          <w:highlight w:val="none"/>
        </w:rPr>
      </w:pPr>
      <w:r>
        <w:rPr>
          <w:rFonts w:hint="eastAsia"/>
          <w:color w:val="auto"/>
          <w:szCs w:val="21"/>
          <w:highlight w:val="none"/>
        </w:rPr>
        <w:t>C类：结构外观</w:t>
      </w:r>
      <w:r>
        <w:rPr>
          <w:rFonts w:hint="eastAsia"/>
          <w:color w:val="auto"/>
          <w:szCs w:val="21"/>
          <w:highlight w:val="none"/>
          <w:lang w:eastAsia="zh-CN"/>
        </w:rPr>
        <w:t>、</w:t>
      </w:r>
      <w:r>
        <w:rPr>
          <w:rFonts w:hint="eastAsia"/>
          <w:color w:val="auto"/>
          <w:szCs w:val="21"/>
          <w:highlight w:val="none"/>
        </w:rPr>
        <w:t>质量检查</w:t>
      </w:r>
      <w:r>
        <w:rPr>
          <w:rFonts w:hint="eastAsia"/>
          <w:color w:val="auto"/>
          <w:szCs w:val="21"/>
          <w:highlight w:val="none"/>
          <w:lang w:val="en-US" w:eastAsia="zh-CN"/>
        </w:rPr>
        <w:t>试验</w:t>
      </w:r>
      <w:r>
        <w:rPr>
          <w:rFonts w:hint="eastAsia"/>
          <w:color w:val="auto"/>
          <w:szCs w:val="21"/>
          <w:highlight w:val="none"/>
        </w:rPr>
        <w:t>。</w:t>
      </w:r>
    </w:p>
    <w:p>
      <w:pPr>
        <w:pStyle w:val="3"/>
        <w:numPr>
          <w:ilvl w:val="0"/>
          <w:numId w:val="0"/>
        </w:numPr>
        <w:adjustRightInd w:val="0"/>
        <w:snapToGrid w:val="0"/>
        <w:rPr>
          <w:rFonts w:ascii="黑体" w:hAnsi="黑体"/>
          <w:color w:val="auto"/>
          <w:highlight w:val="none"/>
        </w:rPr>
      </w:pPr>
      <w:bookmarkStart w:id="639" w:name="_Toc22915"/>
      <w:r>
        <w:rPr>
          <w:rFonts w:hint="eastAsia" w:ascii="黑体" w:hAnsi="黑体"/>
          <w:color w:val="auto"/>
          <w:highlight w:val="none"/>
        </w:rPr>
        <w:t>7.4到货抽检</w:t>
      </w:r>
      <w:bookmarkEnd w:id="637"/>
      <w:bookmarkEnd w:id="638"/>
      <w:bookmarkEnd w:id="639"/>
    </w:p>
    <w:p>
      <w:pPr>
        <w:pStyle w:val="4"/>
        <w:rPr>
          <w:color w:val="auto"/>
          <w:highlight w:val="none"/>
        </w:rPr>
      </w:pPr>
      <w:r>
        <w:rPr>
          <w:rFonts w:hint="eastAsia"/>
          <w:color w:val="auto"/>
          <w:szCs w:val="21"/>
          <w:highlight w:val="none"/>
        </w:rPr>
        <w:t>由运行单位组织开展，在供货阶段，对供应商送达指定地点的货物进行抽样检测，通过后方可收货。</w:t>
      </w:r>
    </w:p>
    <w:p>
      <w:pPr>
        <w:pStyle w:val="3"/>
        <w:numPr>
          <w:ilvl w:val="0"/>
          <w:numId w:val="0"/>
        </w:numPr>
        <w:adjustRightInd w:val="0"/>
        <w:snapToGrid w:val="0"/>
        <w:rPr>
          <w:rFonts w:ascii="黑体" w:hAnsi="黑体"/>
          <w:color w:val="auto"/>
          <w:highlight w:val="none"/>
        </w:rPr>
      </w:pPr>
      <w:bookmarkStart w:id="640" w:name="_Toc13366"/>
      <w:bookmarkStart w:id="641" w:name="_Toc25970"/>
      <w:bookmarkStart w:id="642" w:name="_Toc170486977"/>
      <w:r>
        <w:rPr>
          <w:rFonts w:hint="eastAsia" w:ascii="黑体" w:hAnsi="黑体"/>
          <w:color w:val="auto"/>
          <w:highlight w:val="none"/>
        </w:rPr>
        <w:t>7.5交接试验</w:t>
      </w:r>
      <w:bookmarkEnd w:id="640"/>
      <w:bookmarkEnd w:id="641"/>
      <w:bookmarkEnd w:id="642"/>
    </w:p>
    <w:p>
      <w:pPr>
        <w:ind w:firstLine="420" w:firstLineChars="200"/>
        <w:rPr>
          <w:color w:val="auto"/>
          <w:highlight w:val="none"/>
        </w:rPr>
      </w:pPr>
      <w:r>
        <w:rPr>
          <w:color w:val="auto"/>
          <w:highlight w:val="none"/>
        </w:rPr>
        <w:t>由运行单位组织开展，在设备交接验收阶段对到货设备逐套开展检测，合格后方可投运。</w:t>
      </w:r>
    </w:p>
    <w:bookmarkEnd w:id="630"/>
    <w:p>
      <w:pPr>
        <w:pStyle w:val="2"/>
        <w:numPr>
          <w:ilvl w:val="255"/>
          <w:numId w:val="0"/>
        </w:numPr>
        <w:spacing w:line="360" w:lineRule="auto"/>
        <w:rPr>
          <w:rFonts w:ascii="黑体" w:hAnsi="黑体" w:eastAsia="黑体"/>
          <w:b/>
          <w:color w:val="auto"/>
          <w:sz w:val="21"/>
          <w:szCs w:val="21"/>
          <w:highlight w:val="none"/>
        </w:rPr>
      </w:pPr>
      <w:bookmarkStart w:id="643" w:name="_Toc6030"/>
      <w:bookmarkStart w:id="644" w:name="_Toc276492422"/>
      <w:bookmarkStart w:id="645" w:name="_Toc498702237"/>
      <w:bookmarkStart w:id="646" w:name="_Toc276490910"/>
      <w:bookmarkStart w:id="647" w:name="_Toc282993354"/>
      <w:bookmarkStart w:id="648" w:name="_Toc5445"/>
      <w:bookmarkStart w:id="649" w:name="_Toc170486978"/>
      <w:bookmarkStart w:id="650" w:name="_Toc292025358"/>
      <w:bookmarkStart w:id="651" w:name="_Toc279696001"/>
      <w:bookmarkStart w:id="652" w:name="_Toc498546309"/>
      <w:bookmarkStart w:id="653" w:name="_Toc494478047"/>
      <w:r>
        <w:rPr>
          <w:rFonts w:hint="eastAsia" w:ascii="黑体" w:hAnsi="黑体" w:eastAsia="黑体"/>
          <w:b/>
          <w:color w:val="auto"/>
          <w:sz w:val="21"/>
          <w:szCs w:val="21"/>
          <w:highlight w:val="none"/>
        </w:rPr>
        <w:t xml:space="preserve">8 </w:t>
      </w:r>
      <w:bookmarkStart w:id="654" w:name="_Toc4788"/>
      <w:bookmarkStart w:id="655" w:name="_Toc19621"/>
      <w:bookmarkStart w:id="656" w:name="_Toc11556"/>
      <w:bookmarkStart w:id="657" w:name="_Toc8714"/>
      <w:r>
        <w:rPr>
          <w:rFonts w:hint="eastAsia" w:eastAsia="黑体"/>
          <w:color w:val="auto"/>
          <w:sz w:val="28"/>
          <w:szCs w:val="28"/>
          <w:highlight w:val="none"/>
        </w:rPr>
        <w:t>技术联络、技术培训及售后服务</w:t>
      </w:r>
      <w:bookmarkEnd w:id="643"/>
      <w:bookmarkEnd w:id="644"/>
      <w:bookmarkEnd w:id="645"/>
      <w:bookmarkEnd w:id="646"/>
      <w:bookmarkEnd w:id="647"/>
      <w:bookmarkEnd w:id="648"/>
      <w:bookmarkEnd w:id="649"/>
      <w:bookmarkEnd w:id="650"/>
      <w:bookmarkEnd w:id="651"/>
      <w:bookmarkEnd w:id="654"/>
      <w:bookmarkEnd w:id="655"/>
      <w:bookmarkEnd w:id="656"/>
      <w:bookmarkEnd w:id="657"/>
    </w:p>
    <w:p>
      <w:pPr>
        <w:pStyle w:val="3"/>
        <w:numPr>
          <w:ilvl w:val="255"/>
          <w:numId w:val="0"/>
        </w:numPr>
        <w:rPr>
          <w:color w:val="auto"/>
          <w:sz w:val="24"/>
          <w:szCs w:val="24"/>
          <w:highlight w:val="none"/>
        </w:rPr>
      </w:pPr>
      <w:bookmarkStart w:id="658" w:name="_Toc170486979"/>
      <w:bookmarkStart w:id="659" w:name="_Toc23700"/>
      <w:bookmarkStart w:id="660" w:name="_Toc794"/>
      <w:bookmarkStart w:id="661" w:name="_Toc500920867"/>
      <w:bookmarkStart w:id="662" w:name="_Toc19578"/>
      <w:r>
        <w:rPr>
          <w:rFonts w:hint="eastAsia"/>
          <w:color w:val="auto"/>
          <w:sz w:val="24"/>
          <w:szCs w:val="24"/>
          <w:highlight w:val="none"/>
        </w:rPr>
        <w:t>8</w:t>
      </w:r>
      <w:r>
        <w:rPr>
          <w:color w:val="auto"/>
          <w:sz w:val="24"/>
          <w:szCs w:val="24"/>
          <w:highlight w:val="none"/>
        </w:rPr>
        <w:t xml:space="preserve">.1 </w:t>
      </w:r>
      <w:r>
        <w:rPr>
          <w:rFonts w:hint="eastAsia"/>
          <w:color w:val="auto"/>
          <w:sz w:val="24"/>
          <w:szCs w:val="24"/>
          <w:highlight w:val="none"/>
        </w:rPr>
        <w:t>技术联络</w:t>
      </w:r>
      <w:bookmarkEnd w:id="658"/>
      <w:bookmarkEnd w:id="659"/>
      <w:bookmarkEnd w:id="660"/>
      <w:bookmarkEnd w:id="661"/>
      <w:bookmarkEnd w:id="662"/>
    </w:p>
    <w:p>
      <w:pPr>
        <w:tabs>
          <w:tab w:val="left" w:pos="1514"/>
          <w:tab w:val="left" w:pos="1694"/>
        </w:tabs>
        <w:ind w:firstLine="460" w:firstLineChars="200"/>
        <w:jc w:val="left"/>
        <w:rPr>
          <w:color w:val="auto"/>
          <w:szCs w:val="21"/>
          <w:highlight w:val="none"/>
        </w:rPr>
      </w:pPr>
      <w:r>
        <w:rPr>
          <w:rFonts w:hint="eastAsia"/>
          <w:color w:val="auto"/>
          <w:spacing w:val="10"/>
          <w:szCs w:val="21"/>
          <w:highlight w:val="none"/>
        </w:rPr>
        <w:t>投标方应负责</w:t>
      </w:r>
      <w:r>
        <w:rPr>
          <w:rFonts w:hint="eastAsia"/>
          <w:color w:val="auto"/>
          <w:szCs w:val="21"/>
          <w:highlight w:val="none"/>
        </w:rPr>
        <w:t>合同</w:t>
      </w:r>
      <w:r>
        <w:rPr>
          <w:rFonts w:hint="eastAsia"/>
          <w:color w:val="auto"/>
          <w:spacing w:val="10"/>
          <w:szCs w:val="21"/>
          <w:highlight w:val="none"/>
        </w:rPr>
        <w:t>设备的设计和协调工作，承担全部技术责任，并做好与招标方的设计联络工作。</w:t>
      </w:r>
      <w:r>
        <w:rPr>
          <w:rFonts w:hint="eastAsia"/>
          <w:color w:val="auto"/>
          <w:szCs w:val="21"/>
          <w:highlight w:val="none"/>
        </w:rPr>
        <w:t>积极配合招标方进行全域</w:t>
      </w:r>
      <w:r>
        <w:rPr>
          <w:rFonts w:hint="eastAsia"/>
          <w:color w:val="auto"/>
          <w:highlight w:val="none"/>
        </w:rPr>
        <w:t>物联网平台</w:t>
      </w:r>
      <w:r>
        <w:rPr>
          <w:rFonts w:hint="eastAsia"/>
          <w:color w:val="auto"/>
          <w:szCs w:val="21"/>
          <w:highlight w:val="none"/>
        </w:rPr>
        <w:t>的数据接入和有关抽检试验工作。</w:t>
      </w:r>
    </w:p>
    <w:p>
      <w:pPr>
        <w:pStyle w:val="3"/>
        <w:numPr>
          <w:ilvl w:val="255"/>
          <w:numId w:val="0"/>
        </w:numPr>
        <w:rPr>
          <w:color w:val="auto"/>
          <w:sz w:val="24"/>
          <w:szCs w:val="24"/>
          <w:highlight w:val="none"/>
        </w:rPr>
      </w:pPr>
      <w:bookmarkStart w:id="663" w:name="_Toc1941"/>
      <w:bookmarkStart w:id="664" w:name="_Toc30796"/>
      <w:bookmarkStart w:id="665" w:name="_Toc500920868"/>
      <w:bookmarkStart w:id="666" w:name="_Toc170486980"/>
      <w:bookmarkStart w:id="667" w:name="_Toc6430"/>
      <w:r>
        <w:rPr>
          <w:rFonts w:hint="eastAsia"/>
          <w:color w:val="auto"/>
          <w:sz w:val="24"/>
          <w:szCs w:val="24"/>
          <w:highlight w:val="none"/>
        </w:rPr>
        <w:t>8</w:t>
      </w:r>
      <w:r>
        <w:rPr>
          <w:color w:val="auto"/>
          <w:sz w:val="24"/>
          <w:szCs w:val="24"/>
          <w:highlight w:val="none"/>
        </w:rPr>
        <w:t xml:space="preserve">.2 </w:t>
      </w:r>
      <w:r>
        <w:rPr>
          <w:rFonts w:hint="eastAsia"/>
          <w:color w:val="auto"/>
          <w:sz w:val="24"/>
          <w:szCs w:val="24"/>
          <w:highlight w:val="none"/>
        </w:rPr>
        <w:t>技术培训</w:t>
      </w:r>
      <w:bookmarkEnd w:id="663"/>
      <w:bookmarkEnd w:id="664"/>
      <w:bookmarkEnd w:id="665"/>
      <w:bookmarkEnd w:id="666"/>
      <w:bookmarkEnd w:id="667"/>
    </w:p>
    <w:p>
      <w:pPr>
        <w:tabs>
          <w:tab w:val="left" w:pos="1514"/>
          <w:tab w:val="left" w:pos="1694"/>
        </w:tabs>
        <w:ind w:firstLine="420" w:firstLineChars="200"/>
        <w:jc w:val="left"/>
        <w:rPr>
          <w:color w:val="auto"/>
          <w:szCs w:val="21"/>
          <w:highlight w:val="none"/>
        </w:rPr>
      </w:pPr>
      <w:r>
        <w:rPr>
          <w:rFonts w:hint="eastAsia"/>
          <w:color w:val="auto"/>
          <w:szCs w:val="21"/>
          <w:highlight w:val="none"/>
        </w:rPr>
        <w:t>投标方对招标方相关人员应免费提供培训，并提供相应的培训资料。</w:t>
      </w:r>
    </w:p>
    <w:p>
      <w:pPr>
        <w:pStyle w:val="3"/>
        <w:numPr>
          <w:ilvl w:val="255"/>
          <w:numId w:val="0"/>
        </w:numPr>
        <w:rPr>
          <w:color w:val="auto"/>
          <w:sz w:val="24"/>
          <w:szCs w:val="24"/>
          <w:highlight w:val="none"/>
        </w:rPr>
      </w:pPr>
      <w:bookmarkStart w:id="668" w:name="_Toc500920869"/>
      <w:bookmarkStart w:id="669" w:name="_Toc7876"/>
      <w:bookmarkStart w:id="670" w:name="_Toc170486981"/>
      <w:bookmarkStart w:id="671" w:name="_Toc29241"/>
      <w:bookmarkStart w:id="672" w:name="_Toc1281"/>
      <w:r>
        <w:rPr>
          <w:rFonts w:hint="eastAsia"/>
          <w:color w:val="auto"/>
          <w:sz w:val="24"/>
          <w:szCs w:val="24"/>
          <w:highlight w:val="none"/>
        </w:rPr>
        <w:t>8</w:t>
      </w:r>
      <w:r>
        <w:rPr>
          <w:color w:val="auto"/>
          <w:sz w:val="24"/>
          <w:szCs w:val="24"/>
          <w:highlight w:val="none"/>
        </w:rPr>
        <w:t xml:space="preserve">.3 </w:t>
      </w:r>
      <w:r>
        <w:rPr>
          <w:rFonts w:hint="eastAsia"/>
          <w:color w:val="auto"/>
          <w:sz w:val="24"/>
          <w:szCs w:val="24"/>
          <w:highlight w:val="none"/>
        </w:rPr>
        <w:t>售后服务</w:t>
      </w:r>
      <w:bookmarkEnd w:id="668"/>
      <w:bookmarkEnd w:id="669"/>
      <w:bookmarkEnd w:id="670"/>
      <w:bookmarkEnd w:id="671"/>
      <w:bookmarkEnd w:id="672"/>
    </w:p>
    <w:p>
      <w:pPr>
        <w:pStyle w:val="364"/>
        <w:numPr>
          <w:ilvl w:val="255"/>
          <w:numId w:val="0"/>
        </w:numPr>
        <w:autoSpaceDE w:val="0"/>
        <w:autoSpaceDN w:val="0"/>
        <w:ind w:firstLine="420" w:firstLineChars="200"/>
        <w:textAlignment w:val="bottom"/>
        <w:rPr>
          <w:color w:val="auto"/>
          <w:szCs w:val="21"/>
          <w:highlight w:val="none"/>
        </w:rPr>
      </w:pPr>
      <w:r>
        <w:rPr>
          <w:rFonts w:hint="eastAsia"/>
          <w:color w:val="auto"/>
          <w:szCs w:val="21"/>
          <w:highlight w:val="none"/>
        </w:rPr>
        <w:t>a）按照全生命周期管理要求，装置的质保期应不低于8年，质保期内供货商免费更换所有配件、耗材，并承担维护费用，确保其产品能正常运行。装置应保证在连续测量的使用条件下，蓄电池质保5年。质保期之后发生设备损坏，如招标单位需进行设备修理，投标方应按最近的投标价提供维修部件及维修服务；</w:t>
      </w:r>
    </w:p>
    <w:p>
      <w:pPr>
        <w:pStyle w:val="364"/>
        <w:autoSpaceDE w:val="0"/>
        <w:autoSpaceDN w:val="0"/>
        <w:adjustRightInd w:val="0"/>
        <w:snapToGrid w:val="0"/>
        <w:textAlignment w:val="bottom"/>
        <w:rPr>
          <w:color w:val="auto"/>
          <w:szCs w:val="21"/>
          <w:highlight w:val="none"/>
        </w:rPr>
      </w:pPr>
      <w:r>
        <w:rPr>
          <w:rFonts w:hint="eastAsia"/>
          <w:color w:val="auto"/>
          <w:szCs w:val="21"/>
          <w:highlight w:val="none"/>
        </w:rPr>
        <w:t>b）装置8年内免费维修，设备发生的所有非不可抗力因素，造成的缺陷或故障由生产厂家免费进行维修或更换，包括所需人力和所需更换材料；超出设计标准的台风、地震等不可抗力导致的设备损坏，如招标单位需进行设备修理，投标方应按最近的投标价提供维修部件及维修服务；</w:t>
      </w:r>
    </w:p>
    <w:p>
      <w:pPr>
        <w:pStyle w:val="364"/>
        <w:autoSpaceDE w:val="0"/>
        <w:autoSpaceDN w:val="0"/>
        <w:adjustRightInd w:val="0"/>
        <w:snapToGrid w:val="0"/>
        <w:textAlignment w:val="bottom"/>
        <w:rPr>
          <w:color w:val="auto"/>
          <w:szCs w:val="21"/>
          <w:highlight w:val="none"/>
        </w:rPr>
      </w:pPr>
      <w:r>
        <w:rPr>
          <w:rFonts w:hint="eastAsia"/>
          <w:color w:val="auto"/>
          <w:szCs w:val="21"/>
          <w:highlight w:val="none"/>
        </w:rPr>
        <w:t>c）系统软件终身免费升级；</w:t>
      </w:r>
    </w:p>
    <w:p>
      <w:pPr>
        <w:pStyle w:val="364"/>
        <w:numPr>
          <w:ilvl w:val="255"/>
          <w:numId w:val="0"/>
        </w:numPr>
        <w:autoSpaceDE w:val="0"/>
        <w:autoSpaceDN w:val="0"/>
        <w:ind w:firstLine="420" w:firstLineChars="200"/>
        <w:textAlignment w:val="bottom"/>
        <w:rPr>
          <w:color w:val="auto"/>
          <w:szCs w:val="21"/>
          <w:highlight w:val="none"/>
        </w:rPr>
      </w:pPr>
      <w:r>
        <w:rPr>
          <w:rFonts w:hint="eastAsia"/>
          <w:color w:val="auto"/>
          <w:szCs w:val="21"/>
          <w:highlight w:val="none"/>
        </w:rPr>
        <w:t>d）投标方对售后服务的需求必须在</w:t>
      </w:r>
      <w:r>
        <w:rPr>
          <w:color w:val="auto"/>
          <w:szCs w:val="21"/>
          <w:highlight w:val="none"/>
        </w:rPr>
        <w:t>24</w:t>
      </w:r>
      <w:r>
        <w:rPr>
          <w:rFonts w:hint="eastAsia"/>
          <w:color w:val="auto"/>
          <w:szCs w:val="21"/>
          <w:highlight w:val="none"/>
        </w:rPr>
        <w:t>小时答复，在</w:t>
      </w:r>
      <w:r>
        <w:rPr>
          <w:color w:val="auto"/>
          <w:szCs w:val="21"/>
          <w:highlight w:val="none"/>
        </w:rPr>
        <w:t>48</w:t>
      </w:r>
      <w:r>
        <w:rPr>
          <w:rFonts w:hint="eastAsia"/>
          <w:color w:val="auto"/>
          <w:szCs w:val="21"/>
          <w:highlight w:val="none"/>
        </w:rPr>
        <w:t>小时内提供技术服务；</w:t>
      </w:r>
    </w:p>
    <w:p>
      <w:pPr>
        <w:pStyle w:val="364"/>
        <w:numPr>
          <w:ilvl w:val="255"/>
          <w:numId w:val="0"/>
        </w:numPr>
        <w:autoSpaceDE w:val="0"/>
        <w:autoSpaceDN w:val="0"/>
        <w:adjustRightInd w:val="0"/>
        <w:snapToGrid w:val="0"/>
        <w:ind w:firstLine="420" w:firstLineChars="200"/>
        <w:textAlignment w:val="bottom"/>
        <w:rPr>
          <w:color w:val="auto"/>
          <w:szCs w:val="21"/>
          <w:highlight w:val="none"/>
        </w:rPr>
      </w:pPr>
      <w:r>
        <w:rPr>
          <w:rFonts w:hint="eastAsia"/>
          <w:color w:val="auto"/>
          <w:szCs w:val="21"/>
          <w:highlight w:val="none"/>
        </w:rPr>
        <w:t>e）投标方长期为招标方提供备件采购和供应服务；</w:t>
      </w:r>
    </w:p>
    <w:p>
      <w:pPr>
        <w:pStyle w:val="2"/>
        <w:numPr>
          <w:ilvl w:val="255"/>
          <w:numId w:val="0"/>
        </w:numPr>
        <w:spacing w:line="360" w:lineRule="auto"/>
        <w:rPr>
          <w:rFonts w:ascii="黑体" w:hAnsi="黑体" w:eastAsia="黑体"/>
          <w:b/>
          <w:color w:val="auto"/>
          <w:sz w:val="21"/>
          <w:szCs w:val="21"/>
          <w:highlight w:val="none"/>
        </w:rPr>
      </w:pPr>
      <w:bookmarkStart w:id="673" w:name="_Toc282433757"/>
      <w:bookmarkStart w:id="674" w:name="_Toc282993358"/>
      <w:bookmarkStart w:id="675" w:name="_Toc279695206"/>
      <w:bookmarkStart w:id="676" w:name="_Toc498702239"/>
      <w:bookmarkStart w:id="677" w:name="_Toc20615"/>
      <w:bookmarkStart w:id="678" w:name="_Toc170486982"/>
      <w:bookmarkStart w:id="679" w:name="_Toc292025360"/>
      <w:bookmarkStart w:id="680" w:name="_Toc10336"/>
      <w:bookmarkStart w:id="681" w:name="_Toc8895"/>
      <w:r>
        <w:rPr>
          <w:rFonts w:hint="eastAsia" w:ascii="黑体" w:hAnsi="黑体" w:eastAsia="黑体"/>
          <w:b/>
          <w:color w:val="auto"/>
          <w:sz w:val="21"/>
          <w:szCs w:val="21"/>
          <w:highlight w:val="none"/>
        </w:rPr>
        <w:t xml:space="preserve">9 </w:t>
      </w:r>
      <w:bookmarkStart w:id="682" w:name="_Toc20100"/>
      <w:bookmarkStart w:id="683" w:name="_Toc12476"/>
      <w:bookmarkStart w:id="684" w:name="_Toc19878"/>
      <w:r>
        <w:rPr>
          <w:rFonts w:hint="eastAsia" w:ascii="黑体" w:hAnsi="黑体" w:eastAsia="黑体"/>
          <w:b/>
          <w:color w:val="auto"/>
          <w:sz w:val="21"/>
          <w:szCs w:val="21"/>
          <w:highlight w:val="none"/>
        </w:rPr>
        <w:t>技术文件</w:t>
      </w:r>
      <w:bookmarkEnd w:id="673"/>
      <w:bookmarkEnd w:id="674"/>
      <w:bookmarkEnd w:id="675"/>
      <w:r>
        <w:rPr>
          <w:rFonts w:hint="eastAsia" w:ascii="黑体" w:hAnsi="黑体" w:eastAsia="黑体"/>
          <w:b/>
          <w:color w:val="auto"/>
          <w:sz w:val="21"/>
          <w:szCs w:val="21"/>
          <w:highlight w:val="none"/>
        </w:rPr>
        <w:t>要求</w:t>
      </w:r>
      <w:bookmarkEnd w:id="676"/>
      <w:bookmarkEnd w:id="677"/>
      <w:bookmarkEnd w:id="678"/>
      <w:bookmarkEnd w:id="679"/>
      <w:bookmarkEnd w:id="680"/>
      <w:bookmarkEnd w:id="681"/>
      <w:bookmarkEnd w:id="682"/>
      <w:bookmarkEnd w:id="683"/>
      <w:bookmarkEnd w:id="684"/>
    </w:p>
    <w:p>
      <w:pPr>
        <w:pStyle w:val="3"/>
        <w:numPr>
          <w:ilvl w:val="0"/>
          <w:numId w:val="0"/>
        </w:numPr>
        <w:rPr>
          <w:rFonts w:ascii="黑体" w:hAnsi="黑体"/>
          <w:color w:val="auto"/>
          <w:highlight w:val="none"/>
        </w:rPr>
      </w:pPr>
      <w:bookmarkStart w:id="685" w:name="_Toc14"/>
      <w:bookmarkStart w:id="686" w:name="_Toc384"/>
      <w:bookmarkStart w:id="687" w:name="_Toc170486983"/>
      <w:bookmarkStart w:id="688" w:name="_Toc26692"/>
      <w:bookmarkStart w:id="689" w:name="_Toc292025361"/>
      <w:bookmarkStart w:id="690" w:name="_Toc8365"/>
      <w:bookmarkStart w:id="691" w:name="_Toc18611"/>
      <w:bookmarkStart w:id="692" w:name="_Toc498702240"/>
      <w:bookmarkStart w:id="693" w:name="_Toc8938"/>
      <w:r>
        <w:rPr>
          <w:rFonts w:hint="eastAsia" w:ascii="黑体" w:hAnsi="黑体"/>
          <w:color w:val="auto"/>
          <w:highlight w:val="none"/>
        </w:rPr>
        <w:t>9.1一般要求</w:t>
      </w:r>
      <w:bookmarkEnd w:id="685"/>
      <w:bookmarkEnd w:id="686"/>
      <w:bookmarkEnd w:id="687"/>
      <w:bookmarkEnd w:id="688"/>
      <w:bookmarkEnd w:id="689"/>
      <w:bookmarkEnd w:id="690"/>
      <w:bookmarkEnd w:id="691"/>
      <w:bookmarkEnd w:id="692"/>
      <w:bookmarkEnd w:id="693"/>
    </w:p>
    <w:p>
      <w:pPr>
        <w:rPr>
          <w:color w:val="auto"/>
          <w:highlight w:val="none"/>
        </w:rPr>
      </w:pPr>
      <w:r>
        <w:rPr>
          <w:rFonts w:hint="eastAsia"/>
          <w:color w:val="auto"/>
          <w:highlight w:val="none"/>
        </w:rPr>
        <w:t xml:space="preserve">9.1.1 </w:t>
      </w:r>
      <w:r>
        <w:rPr>
          <w:color w:val="auto"/>
          <w:highlight w:val="none"/>
        </w:rPr>
        <w:t>投标方提供的</w:t>
      </w:r>
      <w:r>
        <w:rPr>
          <w:rFonts w:hint="eastAsia"/>
          <w:color w:val="auto"/>
          <w:highlight w:val="none"/>
        </w:rPr>
        <w:t>图纸、</w:t>
      </w:r>
      <w:r>
        <w:rPr>
          <w:color w:val="auto"/>
          <w:highlight w:val="none"/>
        </w:rPr>
        <w:t>资料</w:t>
      </w:r>
      <w:r>
        <w:rPr>
          <w:rFonts w:hint="eastAsia"/>
          <w:color w:val="auto"/>
          <w:highlight w:val="none"/>
        </w:rPr>
        <w:t>、文件</w:t>
      </w:r>
      <w:r>
        <w:rPr>
          <w:color w:val="auto"/>
          <w:highlight w:val="none"/>
        </w:rPr>
        <w:t>应使用国家法定单位制即国际单位制，语言为中文。</w:t>
      </w:r>
    </w:p>
    <w:p>
      <w:pPr>
        <w:rPr>
          <w:color w:val="auto"/>
          <w:highlight w:val="none"/>
        </w:rPr>
      </w:pPr>
      <w:r>
        <w:rPr>
          <w:rFonts w:hint="eastAsia"/>
          <w:color w:val="auto"/>
          <w:highlight w:val="none"/>
        </w:rPr>
        <w:t>9.1.2</w:t>
      </w:r>
      <w:r>
        <w:rPr>
          <w:color w:val="auto"/>
          <w:highlight w:val="none"/>
        </w:rPr>
        <w:t>资料的组织结构清晰、逻辑性强。资料内容耍正确、准确、一致、清晰、完整，满足工程要求。</w:t>
      </w:r>
    </w:p>
    <w:p>
      <w:pPr>
        <w:rPr>
          <w:color w:val="auto"/>
          <w:highlight w:val="none"/>
        </w:rPr>
      </w:pPr>
      <w:r>
        <w:rPr>
          <w:rFonts w:hint="eastAsia"/>
          <w:color w:val="auto"/>
          <w:highlight w:val="none"/>
        </w:rPr>
        <w:t>9.1.3</w:t>
      </w:r>
      <w:r>
        <w:rPr>
          <w:color w:val="auto"/>
          <w:highlight w:val="none"/>
        </w:rPr>
        <w:t xml:space="preserve">  投标方资料的提交及时充分，满足工程进度要求。在</w:t>
      </w:r>
      <w:r>
        <w:rPr>
          <w:rFonts w:hint="eastAsia"/>
          <w:color w:val="auto"/>
          <w:highlight w:val="none"/>
        </w:rPr>
        <w:t>合同谈判日或收到中标通知书后（以先到为准），在项目单位在专用部分规定的时间内</w:t>
      </w:r>
      <w:r>
        <w:rPr>
          <w:color w:val="auto"/>
          <w:highlight w:val="none"/>
        </w:rPr>
        <w:t>给出全部最终技术资料，经</w:t>
      </w:r>
      <w:r>
        <w:rPr>
          <w:rFonts w:hint="eastAsia"/>
          <w:color w:val="auto"/>
          <w:highlight w:val="none"/>
        </w:rPr>
        <w:t>招标方</w:t>
      </w:r>
      <w:r>
        <w:rPr>
          <w:color w:val="auto"/>
          <w:highlight w:val="none"/>
        </w:rPr>
        <w:t>确认后不能更改。</w:t>
      </w:r>
    </w:p>
    <w:p>
      <w:pPr>
        <w:rPr>
          <w:color w:val="auto"/>
          <w:highlight w:val="none"/>
        </w:rPr>
      </w:pPr>
      <w:r>
        <w:rPr>
          <w:rFonts w:hint="eastAsia"/>
          <w:color w:val="auto"/>
          <w:highlight w:val="none"/>
        </w:rPr>
        <w:t>9.1.4</w:t>
      </w:r>
      <w:r>
        <w:rPr>
          <w:color w:val="auto"/>
          <w:highlight w:val="none"/>
        </w:rPr>
        <w:t xml:space="preserve">  对于其它没有列入合同技术资料清单，却是工程所必需的文件和资料，一经发现，投标方也应及时免费提供。如</w:t>
      </w:r>
      <w:r>
        <w:rPr>
          <w:rFonts w:hint="eastAsia"/>
          <w:color w:val="auto"/>
          <w:highlight w:val="none"/>
        </w:rPr>
        <w:t>项目</w:t>
      </w:r>
      <w:r>
        <w:rPr>
          <w:color w:val="auto"/>
          <w:highlight w:val="none"/>
        </w:rPr>
        <w:t>工程为多台设备构成，后续设备有改进时，投标方应及时免费提供新的技术资料。</w:t>
      </w:r>
    </w:p>
    <w:p>
      <w:pPr>
        <w:rPr>
          <w:color w:val="auto"/>
          <w:highlight w:val="none"/>
        </w:rPr>
      </w:pPr>
      <w:r>
        <w:rPr>
          <w:rFonts w:hint="eastAsia"/>
          <w:color w:val="auto"/>
          <w:highlight w:val="none"/>
        </w:rPr>
        <w:t>9.1.5“</w:t>
      </w:r>
      <w:r>
        <w:rPr>
          <w:color w:val="auto"/>
          <w:highlight w:val="none"/>
        </w:rPr>
        <w:t>工厂图纸</w:t>
      </w:r>
      <w:r>
        <w:rPr>
          <w:rFonts w:hint="eastAsia"/>
          <w:color w:val="auto"/>
          <w:highlight w:val="none"/>
        </w:rPr>
        <w:t>”</w:t>
      </w:r>
      <w:r>
        <w:rPr>
          <w:color w:val="auto"/>
          <w:highlight w:val="none"/>
        </w:rPr>
        <w:t>包括制造、装配、安装和布置图</w:t>
      </w:r>
      <w:r>
        <w:rPr>
          <w:rFonts w:hint="eastAsia"/>
          <w:color w:val="auto"/>
          <w:highlight w:val="none"/>
        </w:rPr>
        <w:t>、</w:t>
      </w:r>
      <w:r>
        <w:rPr>
          <w:color w:val="auto"/>
          <w:highlight w:val="none"/>
        </w:rPr>
        <w:t>接线图</w:t>
      </w:r>
      <w:r>
        <w:rPr>
          <w:rFonts w:hint="eastAsia"/>
          <w:color w:val="auto"/>
          <w:highlight w:val="none"/>
        </w:rPr>
        <w:t>、</w:t>
      </w:r>
      <w:r>
        <w:rPr>
          <w:color w:val="auto"/>
          <w:highlight w:val="none"/>
        </w:rPr>
        <w:t>控制图</w:t>
      </w:r>
      <w:r>
        <w:rPr>
          <w:rFonts w:hint="eastAsia"/>
          <w:color w:val="auto"/>
          <w:highlight w:val="none"/>
        </w:rPr>
        <w:t>、</w:t>
      </w:r>
      <w:r>
        <w:rPr>
          <w:color w:val="auto"/>
          <w:highlight w:val="none"/>
        </w:rPr>
        <w:t>材料和设备的清单或表格</w:t>
      </w:r>
      <w:r>
        <w:rPr>
          <w:rFonts w:hint="eastAsia"/>
          <w:color w:val="auto"/>
          <w:highlight w:val="none"/>
        </w:rPr>
        <w:t>、</w:t>
      </w:r>
      <w:r>
        <w:rPr>
          <w:color w:val="auto"/>
          <w:highlight w:val="none"/>
        </w:rPr>
        <w:t>标准图</w:t>
      </w:r>
      <w:r>
        <w:rPr>
          <w:rFonts w:hint="eastAsia"/>
          <w:color w:val="auto"/>
          <w:highlight w:val="none"/>
        </w:rPr>
        <w:t>、</w:t>
      </w:r>
      <w:r>
        <w:rPr>
          <w:color w:val="auto"/>
          <w:highlight w:val="none"/>
        </w:rPr>
        <w:t>设计计算书</w:t>
      </w:r>
      <w:r>
        <w:rPr>
          <w:rFonts w:hint="eastAsia"/>
          <w:color w:val="auto"/>
          <w:highlight w:val="none"/>
        </w:rPr>
        <w:t>、</w:t>
      </w:r>
      <w:r>
        <w:rPr>
          <w:color w:val="auto"/>
          <w:highlight w:val="none"/>
        </w:rPr>
        <w:t>说明书</w:t>
      </w:r>
      <w:r>
        <w:rPr>
          <w:rFonts w:hint="eastAsia"/>
          <w:color w:val="auto"/>
          <w:highlight w:val="none"/>
        </w:rPr>
        <w:t>、</w:t>
      </w:r>
      <w:r>
        <w:rPr>
          <w:color w:val="auto"/>
          <w:highlight w:val="none"/>
        </w:rPr>
        <w:t>样本</w:t>
      </w:r>
      <w:r>
        <w:rPr>
          <w:rFonts w:hint="eastAsia"/>
          <w:color w:val="auto"/>
          <w:highlight w:val="none"/>
        </w:rPr>
        <w:t>、</w:t>
      </w:r>
      <w:r>
        <w:rPr>
          <w:color w:val="auto"/>
          <w:highlight w:val="none"/>
        </w:rPr>
        <w:t>小册子</w:t>
      </w:r>
      <w:r>
        <w:rPr>
          <w:rFonts w:hint="eastAsia"/>
          <w:color w:val="auto"/>
          <w:highlight w:val="none"/>
        </w:rPr>
        <w:t>、</w:t>
      </w:r>
      <w:r>
        <w:rPr>
          <w:color w:val="auto"/>
          <w:highlight w:val="none"/>
        </w:rPr>
        <w:t>试验报告</w:t>
      </w:r>
      <w:r>
        <w:rPr>
          <w:rFonts w:hint="eastAsia"/>
          <w:color w:val="auto"/>
          <w:highlight w:val="none"/>
        </w:rPr>
        <w:t>，</w:t>
      </w:r>
      <w:r>
        <w:rPr>
          <w:color w:val="auto"/>
          <w:highlight w:val="none"/>
        </w:rPr>
        <w:t>以及涉及到与材料、设备和管道系统设计有关的图纸和说明等。</w:t>
      </w:r>
    </w:p>
    <w:p>
      <w:pPr>
        <w:rPr>
          <w:color w:val="auto"/>
          <w:highlight w:val="none"/>
        </w:rPr>
      </w:pPr>
      <w:r>
        <w:rPr>
          <w:rFonts w:hint="eastAsia"/>
          <w:color w:val="auto"/>
          <w:highlight w:val="none"/>
        </w:rPr>
        <w:t>9.1.6</w:t>
      </w:r>
      <w:r>
        <w:rPr>
          <w:color w:val="auto"/>
          <w:highlight w:val="none"/>
        </w:rPr>
        <w:t>投标方应将</w:t>
      </w:r>
      <w:r>
        <w:rPr>
          <w:rFonts w:hint="eastAsia"/>
          <w:color w:val="auto"/>
          <w:highlight w:val="none"/>
        </w:rPr>
        <w:t>“</w:t>
      </w:r>
      <w:r>
        <w:rPr>
          <w:color w:val="auto"/>
          <w:highlight w:val="none"/>
        </w:rPr>
        <w:t>工厂图纸</w:t>
      </w:r>
      <w:r>
        <w:rPr>
          <w:rFonts w:hint="eastAsia"/>
          <w:color w:val="auto"/>
          <w:highlight w:val="none"/>
        </w:rPr>
        <w:t>”</w:t>
      </w:r>
      <w:r>
        <w:rPr>
          <w:color w:val="auto"/>
          <w:highlight w:val="none"/>
        </w:rPr>
        <w:t>提交给招标方审查认可。未经审查认可</w:t>
      </w:r>
      <w:r>
        <w:rPr>
          <w:rFonts w:hint="eastAsia"/>
          <w:color w:val="auto"/>
          <w:highlight w:val="none"/>
        </w:rPr>
        <w:t>，</w:t>
      </w:r>
      <w:r>
        <w:rPr>
          <w:color w:val="auto"/>
          <w:highlight w:val="none"/>
        </w:rPr>
        <w:t>不得进行备料和工厂生产。</w:t>
      </w:r>
    </w:p>
    <w:p>
      <w:pPr>
        <w:rPr>
          <w:color w:val="auto"/>
          <w:highlight w:val="none"/>
        </w:rPr>
      </w:pPr>
      <w:r>
        <w:rPr>
          <w:rFonts w:hint="eastAsia"/>
          <w:color w:val="auto"/>
          <w:highlight w:val="none"/>
        </w:rPr>
        <w:t>9</w:t>
      </w:r>
      <w:r>
        <w:rPr>
          <w:color w:val="auto"/>
          <w:highlight w:val="none"/>
        </w:rPr>
        <w:t>.</w:t>
      </w:r>
      <w:r>
        <w:rPr>
          <w:rFonts w:hint="eastAsia"/>
          <w:color w:val="auto"/>
          <w:highlight w:val="none"/>
        </w:rPr>
        <w:t>1.7</w:t>
      </w:r>
      <w:r>
        <w:rPr>
          <w:color w:val="auto"/>
          <w:highlight w:val="none"/>
        </w:rPr>
        <w:t xml:space="preserve"> 投标方提供的设备及附件规格、重量或接线有变化时，应及时书面通知</w:t>
      </w:r>
      <w:r>
        <w:rPr>
          <w:rFonts w:hint="eastAsia"/>
          <w:color w:val="auto"/>
          <w:highlight w:val="none"/>
        </w:rPr>
        <w:t>招标方</w:t>
      </w:r>
      <w:r>
        <w:rPr>
          <w:color w:val="auto"/>
          <w:highlight w:val="none"/>
        </w:rPr>
        <w:t>。</w:t>
      </w:r>
    </w:p>
    <w:p>
      <w:pPr>
        <w:rPr>
          <w:color w:val="auto"/>
          <w:highlight w:val="none"/>
        </w:rPr>
      </w:pPr>
      <w:r>
        <w:rPr>
          <w:rFonts w:hint="eastAsia"/>
          <w:color w:val="auto"/>
          <w:highlight w:val="none"/>
        </w:rPr>
        <w:t>9.1.8现场安装和试验在招标方的技术指导和监督下由投标方完成，在安装过程中，如发现有质量问题，</w:t>
      </w:r>
      <w:r>
        <w:rPr>
          <w:color w:val="auto"/>
          <w:highlight w:val="none"/>
        </w:rPr>
        <w:t>投标方</w:t>
      </w:r>
      <w:r>
        <w:rPr>
          <w:rFonts w:hint="eastAsia"/>
          <w:color w:val="auto"/>
          <w:highlight w:val="none"/>
        </w:rPr>
        <w:t>应及时解决，并提供备品、备件，做好销售服务工作。</w:t>
      </w:r>
    </w:p>
    <w:p>
      <w:pPr>
        <w:rPr>
          <w:color w:val="auto"/>
          <w:highlight w:val="none"/>
        </w:rPr>
      </w:pPr>
      <w:r>
        <w:rPr>
          <w:rFonts w:hint="eastAsia"/>
          <w:color w:val="auto"/>
          <w:highlight w:val="none"/>
        </w:rPr>
        <w:t>9.1.9 投标方协助招标方按标准检查安装质量，及时处理调试投运过程中出现的问题。当发生设备质量问题，应及时采取措施解决。</w:t>
      </w:r>
    </w:p>
    <w:p>
      <w:pPr>
        <w:rPr>
          <w:color w:val="auto"/>
          <w:highlight w:val="none"/>
        </w:rPr>
      </w:pPr>
      <w:r>
        <w:rPr>
          <w:rFonts w:hint="eastAsia"/>
          <w:color w:val="auto"/>
          <w:highlight w:val="none"/>
        </w:rPr>
        <w:t>9.1.10投标方应选派有经验的技术人员，对安装和运行人员免费培训。</w:t>
      </w:r>
    </w:p>
    <w:p>
      <w:pPr>
        <w:rPr>
          <w:color w:val="auto"/>
          <w:highlight w:val="none"/>
        </w:rPr>
      </w:pPr>
      <w:r>
        <w:rPr>
          <w:rFonts w:hint="eastAsia"/>
          <w:color w:val="auto"/>
          <w:highlight w:val="none"/>
        </w:rPr>
        <w:t>9.1.11投标方应协助招标方解决设备运行中出现的问题。</w:t>
      </w:r>
    </w:p>
    <w:p>
      <w:pPr>
        <w:pStyle w:val="3"/>
        <w:numPr>
          <w:ilvl w:val="0"/>
          <w:numId w:val="0"/>
        </w:numPr>
        <w:rPr>
          <w:rFonts w:ascii="黑体" w:hAnsi="黑体"/>
          <w:color w:val="auto"/>
          <w:highlight w:val="none"/>
        </w:rPr>
      </w:pPr>
      <w:bookmarkStart w:id="694" w:name="_Toc15437"/>
      <w:bookmarkStart w:id="695" w:name="_Toc6557"/>
      <w:bookmarkStart w:id="696" w:name="_Toc170486984"/>
      <w:bookmarkStart w:id="697" w:name="_Toc24222"/>
      <w:bookmarkStart w:id="698" w:name="_Toc498702241"/>
      <w:bookmarkStart w:id="699" w:name="_Toc22413"/>
      <w:bookmarkStart w:id="700" w:name="_Toc12077"/>
      <w:bookmarkStart w:id="701" w:name="_Toc24795"/>
      <w:bookmarkStart w:id="702" w:name="_Toc292025362"/>
      <w:r>
        <w:rPr>
          <w:rFonts w:hint="eastAsia" w:ascii="黑体" w:hAnsi="黑体"/>
          <w:color w:val="auto"/>
          <w:highlight w:val="none"/>
        </w:rPr>
        <w:t>9</w:t>
      </w:r>
      <w:r>
        <w:rPr>
          <w:rFonts w:ascii="黑体" w:hAnsi="黑体"/>
          <w:color w:val="auto"/>
          <w:highlight w:val="none"/>
        </w:rPr>
        <w:t>.</w:t>
      </w:r>
      <w:r>
        <w:rPr>
          <w:rFonts w:hint="eastAsia" w:ascii="黑体" w:hAnsi="黑体"/>
          <w:color w:val="auto"/>
          <w:highlight w:val="none"/>
        </w:rPr>
        <w:t>2</w:t>
      </w:r>
      <w:r>
        <w:rPr>
          <w:rFonts w:ascii="黑体" w:hAnsi="黑体"/>
          <w:color w:val="auto"/>
          <w:highlight w:val="none"/>
        </w:rPr>
        <w:t xml:space="preserve"> </w:t>
      </w:r>
      <w:r>
        <w:rPr>
          <w:rFonts w:hint="eastAsia" w:ascii="黑体" w:hAnsi="黑体"/>
          <w:color w:val="auto"/>
          <w:highlight w:val="none"/>
        </w:rPr>
        <w:t>资料文件</w:t>
      </w:r>
      <w:bookmarkEnd w:id="694"/>
      <w:bookmarkEnd w:id="695"/>
      <w:bookmarkEnd w:id="696"/>
      <w:bookmarkEnd w:id="697"/>
      <w:bookmarkEnd w:id="698"/>
      <w:bookmarkEnd w:id="699"/>
      <w:bookmarkEnd w:id="700"/>
      <w:bookmarkEnd w:id="701"/>
      <w:bookmarkEnd w:id="702"/>
    </w:p>
    <w:p>
      <w:pPr>
        <w:pStyle w:val="43"/>
        <w:rPr>
          <w:color w:val="auto"/>
          <w:highlight w:val="none"/>
        </w:rPr>
      </w:pPr>
      <w:r>
        <w:rPr>
          <w:rFonts w:hint="eastAsia" w:ascii="Times New Roman" w:hAnsi="Times New Roman" w:eastAsia="黑体"/>
          <w:color w:val="auto"/>
          <w:highlight w:val="none"/>
        </w:rPr>
        <w:t>9</w:t>
      </w:r>
      <w:r>
        <w:rPr>
          <w:rFonts w:ascii="Times New Roman" w:hAnsi="Times New Roman" w:eastAsia="黑体"/>
          <w:color w:val="auto"/>
          <w:highlight w:val="none"/>
        </w:rPr>
        <w:t>.</w:t>
      </w:r>
      <w:r>
        <w:rPr>
          <w:rFonts w:hint="eastAsia" w:ascii="Times New Roman" w:hAnsi="Times New Roman" w:eastAsia="黑体"/>
          <w:color w:val="auto"/>
          <w:highlight w:val="none"/>
        </w:rPr>
        <w:t>2.1</w:t>
      </w:r>
      <w:r>
        <w:rPr>
          <w:rFonts w:ascii="Times New Roman" w:hAnsi="Times New Roman" w:eastAsia="黑体"/>
          <w:color w:val="auto"/>
          <w:highlight w:val="none"/>
        </w:rPr>
        <w:t xml:space="preserve"> </w:t>
      </w:r>
      <w:r>
        <w:rPr>
          <w:rFonts w:ascii="Times New Roman" w:hAnsi="Times New Roman"/>
          <w:color w:val="auto"/>
          <w:highlight w:val="none"/>
        </w:rPr>
        <w:t>随同投标文件一起提供的</w:t>
      </w:r>
      <w:r>
        <w:rPr>
          <w:rFonts w:hint="eastAsia" w:ascii="Times New Roman" w:hAnsi="Times New Roman"/>
          <w:color w:val="auto"/>
          <w:highlight w:val="none"/>
        </w:rPr>
        <w:t>资料及说明，包含</w:t>
      </w:r>
      <w:r>
        <w:rPr>
          <w:rFonts w:hint="eastAsia"/>
          <w:color w:val="auto"/>
          <w:highlight w:val="none"/>
        </w:rPr>
        <w:t>故障精确定位装置</w:t>
      </w:r>
      <w:r>
        <w:rPr>
          <w:color w:val="auto"/>
          <w:highlight w:val="none"/>
        </w:rPr>
        <w:t>产品的合格证书、接线配置图、外形图、安装尺寸基础图、产品的安装、运行、维护、修理及使用说明书、易损件的清单、工厂试验报告</w:t>
      </w:r>
      <w:r>
        <w:rPr>
          <w:rFonts w:hint="eastAsia"/>
          <w:color w:val="auto"/>
          <w:highlight w:val="none"/>
        </w:rPr>
        <w:t>。</w:t>
      </w:r>
    </w:p>
    <w:p>
      <w:pPr>
        <w:pStyle w:val="2"/>
        <w:numPr>
          <w:ilvl w:val="255"/>
          <w:numId w:val="0"/>
        </w:numPr>
        <w:spacing w:line="360" w:lineRule="auto"/>
        <w:rPr>
          <w:rFonts w:ascii="黑体" w:hAnsi="黑体" w:eastAsia="黑体"/>
          <w:b/>
          <w:color w:val="auto"/>
          <w:sz w:val="21"/>
          <w:szCs w:val="21"/>
          <w:highlight w:val="none"/>
        </w:rPr>
      </w:pPr>
      <w:bookmarkStart w:id="703" w:name="_Toc276490917"/>
      <w:bookmarkStart w:id="704" w:name="_Toc276492435"/>
      <w:bookmarkStart w:id="705" w:name="_Toc279695207"/>
      <w:bookmarkStart w:id="706" w:name="_Toc32681"/>
      <w:bookmarkStart w:id="707" w:name="_Toc292025364"/>
      <w:bookmarkStart w:id="708" w:name="_Toc282433758"/>
      <w:bookmarkStart w:id="709" w:name="_Toc282993359"/>
      <w:bookmarkStart w:id="710" w:name="_Toc4303"/>
      <w:bookmarkStart w:id="711" w:name="_Toc19070"/>
      <w:bookmarkStart w:id="712" w:name="_Toc170486985"/>
      <w:bookmarkStart w:id="713" w:name="_Toc498702243"/>
      <w:r>
        <w:rPr>
          <w:rFonts w:hint="eastAsia" w:ascii="黑体" w:hAnsi="黑体" w:eastAsia="黑体"/>
          <w:b/>
          <w:color w:val="auto"/>
          <w:sz w:val="21"/>
          <w:szCs w:val="21"/>
          <w:highlight w:val="none"/>
        </w:rPr>
        <w:t xml:space="preserve">10 </w:t>
      </w:r>
      <w:bookmarkStart w:id="714" w:name="_Toc2992"/>
      <w:bookmarkStart w:id="715" w:name="_Toc27060"/>
      <w:bookmarkStart w:id="716" w:name="_Toc21916"/>
      <w:r>
        <w:rPr>
          <w:rFonts w:hint="eastAsia" w:ascii="黑体" w:hAnsi="黑体" w:eastAsia="黑体"/>
          <w:b/>
          <w:color w:val="auto"/>
          <w:sz w:val="21"/>
          <w:szCs w:val="21"/>
          <w:highlight w:val="none"/>
        </w:rPr>
        <w:t>包装、运输、安装</w:t>
      </w:r>
      <w:bookmarkEnd w:id="703"/>
      <w:bookmarkEnd w:id="704"/>
      <w:bookmarkEnd w:id="705"/>
      <w:r>
        <w:rPr>
          <w:rFonts w:hint="eastAsia" w:ascii="黑体" w:hAnsi="黑体" w:eastAsia="黑体"/>
          <w:b/>
          <w:color w:val="auto"/>
          <w:sz w:val="21"/>
          <w:szCs w:val="21"/>
          <w:highlight w:val="none"/>
        </w:rPr>
        <w:t>及质量保证</w:t>
      </w:r>
      <w:bookmarkEnd w:id="706"/>
      <w:bookmarkEnd w:id="707"/>
      <w:bookmarkEnd w:id="708"/>
      <w:bookmarkEnd w:id="709"/>
      <w:bookmarkEnd w:id="710"/>
      <w:bookmarkEnd w:id="711"/>
      <w:bookmarkEnd w:id="712"/>
      <w:bookmarkEnd w:id="713"/>
      <w:bookmarkEnd w:id="714"/>
      <w:bookmarkEnd w:id="715"/>
      <w:bookmarkEnd w:id="716"/>
    </w:p>
    <w:p>
      <w:pPr>
        <w:pStyle w:val="3"/>
        <w:numPr>
          <w:ilvl w:val="0"/>
          <w:numId w:val="0"/>
        </w:numPr>
        <w:rPr>
          <w:rFonts w:ascii="黑体" w:hAnsi="黑体"/>
          <w:color w:val="auto"/>
          <w:highlight w:val="none"/>
        </w:rPr>
      </w:pPr>
      <w:bookmarkStart w:id="717" w:name="_Toc200531202"/>
      <w:bookmarkStart w:id="718" w:name="_Toc282993364"/>
      <w:bookmarkStart w:id="719" w:name="_Toc18126"/>
      <w:bookmarkStart w:id="720" w:name="_Toc1600"/>
      <w:bookmarkStart w:id="721" w:name="_Toc53672785"/>
      <w:bookmarkStart w:id="722" w:name="_Toc170486986"/>
      <w:bookmarkStart w:id="723" w:name="_Toc471528253"/>
      <w:bookmarkStart w:id="724" w:name="_Toc276492436"/>
      <w:bookmarkStart w:id="725" w:name="_Toc292025366"/>
      <w:bookmarkStart w:id="726" w:name="_Toc276490918"/>
      <w:bookmarkStart w:id="727" w:name="_Toc18320"/>
      <w:bookmarkStart w:id="728" w:name="_Toc282433760"/>
      <w:bookmarkStart w:id="729" w:name="_Toc26264"/>
      <w:bookmarkStart w:id="730" w:name="_Toc836"/>
      <w:bookmarkStart w:id="731" w:name="_Toc498702245"/>
      <w:bookmarkStart w:id="732" w:name="_Toc472997247"/>
      <w:bookmarkStart w:id="733" w:name="_Toc276301528"/>
      <w:bookmarkStart w:id="734" w:name="_Toc279695209"/>
      <w:bookmarkStart w:id="735" w:name="_Toc18734"/>
      <w:r>
        <w:rPr>
          <w:rFonts w:hint="eastAsia" w:ascii="黑体" w:hAnsi="黑体"/>
          <w:color w:val="auto"/>
          <w:highlight w:val="none"/>
        </w:rPr>
        <w:t>10.1 包装</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pPr>
        <w:autoSpaceDE w:val="0"/>
        <w:autoSpaceDN w:val="0"/>
        <w:ind w:firstLine="420" w:firstLineChars="200"/>
        <w:rPr>
          <w:snapToGrid w:val="0"/>
          <w:color w:val="auto"/>
          <w:kern w:val="0"/>
          <w:highlight w:val="none"/>
        </w:rPr>
      </w:pPr>
      <w:bookmarkStart w:id="736" w:name="_Toc276492437"/>
      <w:bookmarkStart w:id="737" w:name="_Toc276301529"/>
      <w:bookmarkStart w:id="738" w:name="_Toc276490919"/>
      <w:r>
        <w:rPr>
          <w:rFonts w:hint="eastAsia" w:eastAsia="黑体"/>
          <w:color w:val="auto"/>
          <w:highlight w:val="none"/>
        </w:rPr>
        <w:t>1）</w:t>
      </w:r>
      <w:r>
        <w:rPr>
          <w:color w:val="auto"/>
          <w:highlight w:val="none"/>
        </w:rPr>
        <w:t>要严格按照制造厂给出的说明书进行包装、运输和储存。制造厂应在交货前的适当时间提供运输和储存说明书。</w:t>
      </w:r>
    </w:p>
    <w:p>
      <w:pPr>
        <w:autoSpaceDE w:val="0"/>
        <w:autoSpaceDN w:val="0"/>
        <w:rPr>
          <w:snapToGrid w:val="0"/>
          <w:color w:val="auto"/>
          <w:kern w:val="0"/>
          <w:highlight w:val="none"/>
        </w:rPr>
      </w:pPr>
      <w:r>
        <w:rPr>
          <w:snapToGrid w:val="0"/>
          <w:color w:val="auto"/>
          <w:kern w:val="0"/>
          <w:highlight w:val="none"/>
        </w:rPr>
        <w:t xml:space="preserve"> </w:t>
      </w:r>
      <w:r>
        <w:rPr>
          <w:rFonts w:hint="eastAsia"/>
          <w:snapToGrid w:val="0"/>
          <w:color w:val="auto"/>
          <w:kern w:val="0"/>
          <w:highlight w:val="none"/>
        </w:rPr>
        <w:t xml:space="preserve">   </w:t>
      </w:r>
      <w:r>
        <w:rPr>
          <w:rFonts w:hint="eastAsia" w:eastAsia="黑体"/>
          <w:color w:val="auto"/>
          <w:highlight w:val="none"/>
        </w:rPr>
        <w:t>2）</w:t>
      </w:r>
      <w:r>
        <w:rPr>
          <w:snapToGrid w:val="0"/>
          <w:color w:val="auto"/>
          <w:kern w:val="0"/>
          <w:highlight w:val="none"/>
        </w:rPr>
        <w:t>制造完成并通过试验后应及时包装，否则应得到切实的保护。其包装也应符合铁路、公路和海运部门的有关规定。</w:t>
      </w:r>
    </w:p>
    <w:p>
      <w:pPr>
        <w:autoSpaceDE w:val="0"/>
        <w:autoSpaceDN w:val="0"/>
        <w:ind w:firstLine="420" w:firstLineChars="200"/>
        <w:rPr>
          <w:snapToGrid w:val="0"/>
          <w:color w:val="auto"/>
          <w:kern w:val="0"/>
          <w:highlight w:val="none"/>
        </w:rPr>
      </w:pPr>
      <w:r>
        <w:rPr>
          <w:rFonts w:hint="eastAsia" w:eastAsia="黑体"/>
          <w:color w:val="auto"/>
          <w:highlight w:val="none"/>
        </w:rPr>
        <w:t>3）</w:t>
      </w:r>
      <w:r>
        <w:rPr>
          <w:snapToGrid w:val="0"/>
          <w:color w:val="auto"/>
          <w:kern w:val="0"/>
          <w:highlight w:val="none"/>
        </w:rPr>
        <w:t>包装箱上应有明显的包装储运图示标志，并应标明设备的订货号和发货号。</w:t>
      </w:r>
    </w:p>
    <w:p>
      <w:pPr>
        <w:ind w:firstLine="420" w:firstLineChars="200"/>
        <w:rPr>
          <w:rFonts w:ascii="宋体" w:hAnsi="宋体"/>
          <w:color w:val="auto"/>
          <w:highlight w:val="none"/>
        </w:rPr>
      </w:pPr>
      <w:r>
        <w:rPr>
          <w:rFonts w:hint="eastAsia" w:eastAsia="黑体"/>
          <w:color w:val="auto"/>
          <w:highlight w:val="none"/>
        </w:rPr>
        <w:t>4）</w:t>
      </w:r>
      <w:r>
        <w:rPr>
          <w:snapToGrid w:val="0"/>
          <w:color w:val="auto"/>
          <w:kern w:val="0"/>
          <w:highlight w:val="none"/>
        </w:rPr>
        <w:t>包装应能保证各零部件在运输过程中不致遭到脏污、损坏、变形、丢失及受潮。凡有运输损坏，应由制造厂负责赔偿。</w:t>
      </w:r>
    </w:p>
    <w:p>
      <w:pPr>
        <w:pStyle w:val="3"/>
        <w:numPr>
          <w:ilvl w:val="0"/>
          <w:numId w:val="0"/>
        </w:numPr>
        <w:rPr>
          <w:rFonts w:ascii="黑体" w:hAnsi="黑体"/>
          <w:color w:val="auto"/>
          <w:highlight w:val="none"/>
        </w:rPr>
      </w:pPr>
      <w:bookmarkStart w:id="739" w:name="_Toc282993365"/>
      <w:bookmarkStart w:id="740" w:name="_Toc498702246"/>
      <w:bookmarkStart w:id="741" w:name="_Toc170486987"/>
      <w:bookmarkStart w:id="742" w:name="_Toc4054"/>
      <w:bookmarkStart w:id="743" w:name="_Toc292025367"/>
      <w:bookmarkStart w:id="744" w:name="_Toc279695210"/>
      <w:bookmarkStart w:id="745" w:name="_Toc2699"/>
      <w:bookmarkStart w:id="746" w:name="_Toc31280"/>
      <w:bookmarkStart w:id="747" w:name="_Toc2911"/>
      <w:bookmarkStart w:id="748" w:name="_Toc21147"/>
      <w:bookmarkStart w:id="749" w:name="_Toc27627"/>
      <w:bookmarkStart w:id="750" w:name="_Toc282433761"/>
      <w:r>
        <w:rPr>
          <w:rFonts w:hint="eastAsia" w:ascii="黑体" w:hAnsi="黑体"/>
          <w:color w:val="auto"/>
          <w:highlight w:val="none"/>
        </w:rPr>
        <w:t>10.2 运输</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pPr>
        <w:autoSpaceDE w:val="0"/>
        <w:autoSpaceDN w:val="0"/>
        <w:ind w:firstLine="420" w:firstLineChars="200"/>
        <w:rPr>
          <w:snapToGrid w:val="0"/>
          <w:color w:val="auto"/>
          <w:kern w:val="0"/>
          <w:highlight w:val="none"/>
        </w:rPr>
      </w:pPr>
      <w:r>
        <w:rPr>
          <w:rFonts w:hint="eastAsia" w:eastAsia="黑体"/>
          <w:color w:val="auto"/>
          <w:highlight w:val="none"/>
        </w:rPr>
        <w:t>1）</w:t>
      </w:r>
      <w:r>
        <w:rPr>
          <w:snapToGrid w:val="0"/>
          <w:color w:val="auto"/>
          <w:kern w:val="0"/>
          <w:highlight w:val="none"/>
        </w:rPr>
        <w:t>制造厂应提供备品备件和装用机具，随同产品发运。</w:t>
      </w:r>
    </w:p>
    <w:p>
      <w:pPr>
        <w:autoSpaceDE w:val="0"/>
        <w:autoSpaceDN w:val="0"/>
        <w:ind w:firstLine="420" w:firstLineChars="200"/>
        <w:rPr>
          <w:color w:val="auto"/>
          <w:highlight w:val="none"/>
        </w:rPr>
      </w:pPr>
      <w:r>
        <w:rPr>
          <w:rFonts w:hint="eastAsia" w:eastAsia="黑体"/>
          <w:color w:val="auto"/>
          <w:highlight w:val="none"/>
        </w:rPr>
        <w:t>2）</w:t>
      </w:r>
      <w:r>
        <w:rPr>
          <w:color w:val="auto"/>
          <w:highlight w:val="none"/>
        </w:rPr>
        <w:t>随同运输的产品应附有装箱清单，产品所需提供的技术资料应完整无缺。</w:t>
      </w:r>
    </w:p>
    <w:p>
      <w:pPr>
        <w:pStyle w:val="3"/>
        <w:numPr>
          <w:ilvl w:val="0"/>
          <w:numId w:val="0"/>
        </w:numPr>
        <w:rPr>
          <w:rFonts w:ascii="黑体" w:hAnsi="黑体"/>
          <w:color w:val="auto"/>
          <w:highlight w:val="none"/>
        </w:rPr>
      </w:pPr>
      <w:bookmarkStart w:id="751" w:name="_Toc170486988"/>
      <w:bookmarkStart w:id="752" w:name="_Toc27406"/>
      <w:bookmarkStart w:id="753" w:name="_Toc22319"/>
      <w:bookmarkStart w:id="754" w:name="_Toc28741"/>
      <w:bookmarkStart w:id="755" w:name="_Toc23797"/>
      <w:bookmarkStart w:id="756" w:name="_Toc10264"/>
      <w:bookmarkStart w:id="757" w:name="_Toc31947"/>
      <w:r>
        <w:rPr>
          <w:rFonts w:hint="eastAsia" w:ascii="黑体" w:hAnsi="黑体"/>
          <w:color w:val="auto"/>
          <w:highlight w:val="none"/>
        </w:rPr>
        <w:t>10.3 贮存</w:t>
      </w:r>
      <w:bookmarkEnd w:id="751"/>
      <w:bookmarkEnd w:id="752"/>
      <w:bookmarkEnd w:id="753"/>
      <w:bookmarkEnd w:id="754"/>
      <w:bookmarkEnd w:id="755"/>
      <w:bookmarkEnd w:id="756"/>
      <w:bookmarkEnd w:id="757"/>
    </w:p>
    <w:p>
      <w:pPr>
        <w:ind w:firstLine="420" w:firstLineChars="200"/>
        <w:rPr>
          <w:color w:val="auto"/>
          <w:highlight w:val="none"/>
        </w:rPr>
      </w:pPr>
      <w:r>
        <w:rPr>
          <w:color w:val="auto"/>
          <w:highlight w:val="none"/>
        </w:rPr>
        <w:t>包装好的装置应存贮在环境温度为–25℃～+55℃、相对湿度不大于85％的库房内，室内无酸、碱、盐及腐蚀性、爆炸性气体，不受灰尘雨雪的侵蚀。</w:t>
      </w:r>
    </w:p>
    <w:p>
      <w:pPr>
        <w:pStyle w:val="3"/>
        <w:numPr>
          <w:ilvl w:val="0"/>
          <w:numId w:val="0"/>
        </w:numPr>
        <w:rPr>
          <w:rFonts w:ascii="黑体" w:hAnsi="黑体"/>
          <w:color w:val="auto"/>
          <w:highlight w:val="none"/>
        </w:rPr>
      </w:pPr>
      <w:bookmarkStart w:id="758" w:name="_Toc276301530"/>
      <w:bookmarkStart w:id="759" w:name="_Toc276492438"/>
      <w:bookmarkStart w:id="760" w:name="_Toc276490920"/>
      <w:bookmarkStart w:id="761" w:name="_Toc20521"/>
      <w:bookmarkStart w:id="762" w:name="_Toc21564"/>
      <w:bookmarkStart w:id="763" w:name="_Toc26699"/>
      <w:bookmarkStart w:id="764" w:name="_Toc282993366"/>
      <w:bookmarkStart w:id="765" w:name="_Toc279695211"/>
      <w:bookmarkStart w:id="766" w:name="_Toc30835"/>
      <w:bookmarkStart w:id="767" w:name="_Toc31779"/>
      <w:bookmarkStart w:id="768" w:name="_Toc282433762"/>
      <w:bookmarkStart w:id="769" w:name="_Toc292025368"/>
      <w:bookmarkStart w:id="770" w:name="_Toc2084"/>
      <w:bookmarkStart w:id="771" w:name="_Toc498702247"/>
      <w:bookmarkStart w:id="772" w:name="_Toc170486989"/>
      <w:r>
        <w:rPr>
          <w:rFonts w:hint="eastAsia" w:ascii="黑体" w:hAnsi="黑体"/>
          <w:color w:val="auto"/>
          <w:highlight w:val="none"/>
        </w:rPr>
        <w:t>10.4 安装</w:t>
      </w:r>
      <w:bookmarkEnd w:id="758"/>
      <w:bookmarkEnd w:id="759"/>
      <w:bookmarkEnd w:id="760"/>
      <w:r>
        <w:rPr>
          <w:rFonts w:hint="eastAsia" w:ascii="黑体" w:hAnsi="黑体"/>
          <w:color w:val="auto"/>
          <w:highlight w:val="none"/>
        </w:rPr>
        <w:t>指导</w:t>
      </w:r>
      <w:bookmarkEnd w:id="761"/>
      <w:bookmarkEnd w:id="762"/>
      <w:bookmarkEnd w:id="763"/>
      <w:bookmarkEnd w:id="764"/>
      <w:bookmarkEnd w:id="765"/>
      <w:bookmarkEnd w:id="766"/>
      <w:bookmarkEnd w:id="767"/>
      <w:bookmarkEnd w:id="768"/>
      <w:bookmarkEnd w:id="769"/>
      <w:bookmarkEnd w:id="770"/>
      <w:bookmarkEnd w:id="771"/>
      <w:bookmarkEnd w:id="772"/>
    </w:p>
    <w:p>
      <w:pPr>
        <w:ind w:firstLine="420" w:firstLineChars="200"/>
        <w:textAlignment w:val="baseline"/>
        <w:rPr>
          <w:color w:val="auto"/>
          <w:highlight w:val="none"/>
        </w:rPr>
      </w:pPr>
      <w:r>
        <w:rPr>
          <w:rFonts w:hAnsi="宋体"/>
          <w:color w:val="auto"/>
          <w:highlight w:val="none"/>
        </w:rPr>
        <w:t>制造厂在安装和启动时应安排技术人员提供现场安装指导服务，提出技术建议，并有对运行人员提供相关培训的义务。</w:t>
      </w:r>
    </w:p>
    <w:p>
      <w:pPr>
        <w:pStyle w:val="3"/>
        <w:numPr>
          <w:ilvl w:val="0"/>
          <w:numId w:val="0"/>
        </w:numPr>
        <w:rPr>
          <w:rFonts w:ascii="黑体" w:hAnsi="黑体"/>
          <w:color w:val="auto"/>
          <w:highlight w:val="none"/>
        </w:rPr>
      </w:pPr>
      <w:bookmarkStart w:id="773" w:name="_Toc282433763"/>
      <w:bookmarkStart w:id="774" w:name="_Toc31935"/>
      <w:bookmarkStart w:id="775" w:name="_Toc1592"/>
      <w:bookmarkStart w:id="776" w:name="_Toc28483"/>
      <w:bookmarkStart w:id="777" w:name="_Toc28001"/>
      <w:bookmarkStart w:id="778" w:name="_Toc282993367"/>
      <w:bookmarkStart w:id="779" w:name="_Toc292025369"/>
      <w:bookmarkStart w:id="780" w:name="_Toc498702248"/>
      <w:bookmarkStart w:id="781" w:name="_Toc17983"/>
      <w:bookmarkStart w:id="782" w:name="_Toc28496"/>
      <w:bookmarkStart w:id="783" w:name="_Toc170486990"/>
      <w:r>
        <w:rPr>
          <w:rFonts w:hint="eastAsia" w:ascii="黑体" w:hAnsi="黑体"/>
          <w:color w:val="auto"/>
          <w:highlight w:val="none"/>
        </w:rPr>
        <w:t>10.5 质量保证</w:t>
      </w:r>
      <w:bookmarkEnd w:id="773"/>
      <w:bookmarkEnd w:id="774"/>
      <w:bookmarkEnd w:id="775"/>
      <w:bookmarkEnd w:id="776"/>
      <w:bookmarkEnd w:id="777"/>
      <w:bookmarkEnd w:id="778"/>
      <w:bookmarkEnd w:id="779"/>
      <w:bookmarkEnd w:id="780"/>
      <w:bookmarkEnd w:id="781"/>
      <w:bookmarkEnd w:id="782"/>
      <w:bookmarkEnd w:id="783"/>
    </w:p>
    <w:p>
      <w:pPr>
        <w:numPr>
          <w:ilvl w:val="0"/>
          <w:numId w:val="40"/>
        </w:numPr>
        <w:ind w:firstLine="412" w:firstLineChars="200"/>
        <w:rPr>
          <w:color w:val="auto"/>
          <w:szCs w:val="21"/>
          <w:highlight w:val="none"/>
        </w:rPr>
      </w:pPr>
      <w:r>
        <w:rPr>
          <w:rFonts w:hAnsi="宋体"/>
          <w:color w:val="auto"/>
          <w:spacing w:val="-2"/>
          <w:highlight w:val="none"/>
        </w:rPr>
        <w:t>全部设备必须是全新的</w:t>
      </w:r>
      <w:r>
        <w:rPr>
          <w:color w:val="auto"/>
          <w:spacing w:val="-2"/>
          <w:highlight w:val="none"/>
        </w:rPr>
        <w:t xml:space="preserve">, </w:t>
      </w:r>
      <w:r>
        <w:rPr>
          <w:rFonts w:hAnsi="宋体"/>
          <w:color w:val="auto"/>
          <w:spacing w:val="-2"/>
          <w:highlight w:val="none"/>
        </w:rPr>
        <w:t>持久耐用的</w:t>
      </w:r>
      <w:r>
        <w:rPr>
          <w:rFonts w:hint="eastAsia"/>
          <w:color w:val="auto"/>
          <w:spacing w:val="-2"/>
          <w:highlight w:val="none"/>
        </w:rPr>
        <w:t>，</w:t>
      </w:r>
      <w:r>
        <w:rPr>
          <w:rFonts w:hAnsi="宋体"/>
          <w:color w:val="auto"/>
          <w:spacing w:val="-2"/>
          <w:highlight w:val="none"/>
        </w:rPr>
        <w:t>应满足作为一个完整产品所能满足的全部要求。投标方应保证设备在规定的使用条件下运行、并按使用说明书进行安装和维护、预期寿命应不少于</w:t>
      </w:r>
      <w:r>
        <w:rPr>
          <w:rFonts w:hint="eastAsia"/>
          <w:color w:val="auto"/>
          <w:spacing w:val="-2"/>
          <w:highlight w:val="none"/>
        </w:rPr>
        <w:t>8</w:t>
      </w:r>
      <w:r>
        <w:rPr>
          <w:rFonts w:hAnsi="宋体"/>
          <w:color w:val="auto"/>
          <w:spacing w:val="-2"/>
          <w:highlight w:val="none"/>
        </w:rPr>
        <w:t>年。</w:t>
      </w:r>
      <w:r>
        <w:rPr>
          <w:rFonts w:hint="eastAsia" w:hAnsi="宋体"/>
          <w:color w:val="auto"/>
          <w:spacing w:val="-2"/>
          <w:highlight w:val="none"/>
        </w:rPr>
        <w:t>质保期内供货商免费更换所有配件、耗材，并承担维护费用，确保其产品能正常运行。</w:t>
      </w:r>
    </w:p>
    <w:p>
      <w:pPr>
        <w:numPr>
          <w:ilvl w:val="0"/>
          <w:numId w:val="40"/>
        </w:numPr>
        <w:ind w:firstLine="412" w:firstLineChars="200"/>
        <w:rPr>
          <w:rFonts w:hAnsi="宋体"/>
          <w:color w:val="auto"/>
          <w:spacing w:val="-2"/>
          <w:highlight w:val="none"/>
        </w:rPr>
      </w:pPr>
      <w:r>
        <w:rPr>
          <w:rFonts w:hAnsi="宋体"/>
          <w:color w:val="auto"/>
          <w:spacing w:val="-2"/>
          <w:highlight w:val="none"/>
        </w:rPr>
        <w:t>质保期后，</w:t>
      </w:r>
      <w:r>
        <w:rPr>
          <w:rFonts w:hint="eastAsia" w:hAnsi="宋体"/>
          <w:color w:val="auto"/>
          <w:spacing w:val="-2"/>
          <w:highlight w:val="none"/>
        </w:rPr>
        <w:t>设备生命周期内，投标方应保证备品备件的供应满足投标服务响应要求，系统软件免费升级。质保期之后如发生产品质量原因导致的损坏，投标方应免费更换或检修；如发生非产品质量原因导致的损坏，投标方应及时提供维修部件，并按最近的投标价提供。</w:t>
      </w:r>
    </w:p>
    <w:p>
      <w:pPr>
        <w:rPr>
          <w:color w:val="auto"/>
          <w:highlight w:val="none"/>
        </w:rPr>
      </w:pPr>
      <w:r>
        <w:rPr>
          <w:rFonts w:hAnsi="宋体"/>
          <w:color w:val="auto"/>
          <w:spacing w:val="-2"/>
          <w:highlight w:val="none"/>
        </w:rPr>
        <w:t>投标方应有遵守本标准中各条款和工作项目的</w:t>
      </w:r>
      <w:r>
        <w:rPr>
          <w:color w:val="auto"/>
          <w:spacing w:val="-2"/>
          <w:highlight w:val="none"/>
        </w:rPr>
        <w:t>ISO9000-GB/T19000</w:t>
      </w:r>
      <w:r>
        <w:rPr>
          <w:rFonts w:hAnsi="宋体"/>
          <w:color w:val="auto"/>
          <w:spacing w:val="-2"/>
          <w:highlight w:val="none"/>
        </w:rPr>
        <w:t>质量保证体系</w:t>
      </w:r>
      <w:r>
        <w:rPr>
          <w:rFonts w:hint="eastAsia"/>
          <w:color w:val="auto"/>
          <w:spacing w:val="-2"/>
          <w:highlight w:val="none"/>
        </w:rPr>
        <w:t>，</w:t>
      </w:r>
      <w:r>
        <w:rPr>
          <w:rFonts w:hAnsi="宋体"/>
          <w:color w:val="auto"/>
          <w:spacing w:val="-2"/>
          <w:highlight w:val="none"/>
        </w:rPr>
        <w:t>该质量保证体系已经通过国家认证并在正常运转。</w:t>
      </w:r>
      <w:bookmarkEnd w:id="652"/>
      <w:bookmarkEnd w:id="653"/>
    </w:p>
    <w:sectPr>
      <w:headerReference r:id="rId13" w:type="default"/>
      <w:footerReference r:id="rId14" w:type="default"/>
      <w:pgSz w:w="11907" w:h="16839"/>
      <w:pgMar w:top="1440" w:right="1701" w:bottom="1440" w:left="1701" w:header="964" w:footer="737"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1D4D5B5-C676-4EA5-BEA8-A8FEA492A67C}"/>
  </w:font>
  <w:font w:name="黑体">
    <w:panose1 w:val="02010609060101010101"/>
    <w:charset w:val="86"/>
    <w:family w:val="auto"/>
    <w:pitch w:val="default"/>
    <w:sig w:usb0="800002BF" w:usb1="38CF7CFA" w:usb2="00000016" w:usb3="00000000" w:csb0="00040001" w:csb1="00000000"/>
    <w:embedRegular r:id="rId2" w:fontKey="{4C8A0066-3BA6-4B74-8A27-AC64E94F18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0B143FC5-EBA1-452D-A59A-DD338DBF739F}"/>
  </w:font>
  <w:font w:name="E-F1">
    <w:altName w:val="Malgun Gothic"/>
    <w:panose1 w:val="00000000000000000000"/>
    <w:charset w:val="81"/>
    <w:family w:val="roman"/>
    <w:pitch w:val="default"/>
    <w:sig w:usb0="00000000" w:usb1="00000000" w:usb2="00000033" w:usb3="00000000" w:csb0="00080000" w:csb1="00000000"/>
  </w:font>
  <w:font w:name="方正书宋简体">
    <w:altName w:val="宋体"/>
    <w:panose1 w:val="00000000000000000000"/>
    <w:charset w:val="86"/>
    <w:family w:val="auto"/>
    <w:pitch w:val="default"/>
    <w:sig w:usb0="00000000" w:usb1="00000000" w:usb2="00000010" w:usb3="00000000" w:csb0="00040000" w:csb1="00000000"/>
  </w:font>
  <w:font w:name="EU-F1">
    <w:altName w:val="宋体"/>
    <w:panose1 w:val="00000000000000000000"/>
    <w:charset w:val="86"/>
    <w:family w:val="script"/>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Segoe Print"/>
    <w:panose1 w:val="00000000000000000000"/>
    <w:charset w:val="00"/>
    <w:family w:val="roman"/>
    <w:pitch w:val="default"/>
    <w:sig w:usb0="00000000" w:usb1="00000000" w:usb2="00000000" w:usb3="00000000" w:csb0="00000000" w:csb1="00000000"/>
  </w:font>
  <w:font w:name="Plotter">
    <w:altName w:val="Segoe Print"/>
    <w:panose1 w:val="00000000000000000000"/>
    <w:charset w:val="00"/>
    <w:family w:val="roman"/>
    <w:pitch w:val="default"/>
    <w:sig w:usb0="00000000" w:usb1="00000000" w:usb2="00000000" w:usb3="00000000" w:csb0="00000001" w:csb1="00000000"/>
  </w:font>
  <w:font w:name="方正小标宋_GBK">
    <w:panose1 w:val="02000000000000000000"/>
    <w:charset w:val="86"/>
    <w:family w:val="script"/>
    <w:pitch w:val="default"/>
    <w:sig w:usb0="A00002BF" w:usb1="38CF7CFA" w:usb2="00082016" w:usb3="00000000" w:csb0="00040001" w:csb1="00000000"/>
    <w:embedRegular r:id="rId4" w:fontKey="{41BD0991-4B00-4E32-BAF3-687688E0B1C8}"/>
  </w:font>
  <w:font w:name="Trebuchet MS">
    <w:panose1 w:val="020B0603020202020204"/>
    <w:charset w:val="00"/>
    <w:family w:val="swiss"/>
    <w:pitch w:val="default"/>
    <w:sig w:usb0="00000687" w:usb1="00000000" w:usb2="00000000" w:usb3="00000000" w:csb0="2000009F" w:csb1="00000000"/>
    <w:embedRegular r:id="rId5" w:fontKey="{D8E53088-9F5D-48F4-AA31-7AF2B6F130AA}"/>
  </w:font>
  <w:font w:name="MS UI Gothic">
    <w:panose1 w:val="020B0600070205080204"/>
    <w:charset w:val="80"/>
    <w:family w:val="swiss"/>
    <w:pitch w:val="default"/>
    <w:sig w:usb0="E00002FF" w:usb1="6AC7FDFB" w:usb2="08000012" w:usb3="00000000" w:csb0="4002009F" w:csb1="DFD70000"/>
    <w:embedRegular r:id="rId6" w:fontKey="{0EA172F5-373D-411F-A712-DAF410A36DCC}"/>
  </w:font>
  <w:font w:name="华文细黑">
    <w:altName w:val="微软雅黑"/>
    <w:panose1 w:val="02010600040101010101"/>
    <w:charset w:val="86"/>
    <w:family w:val="auto"/>
    <w:pitch w:val="default"/>
    <w:sig w:usb0="00000000" w:usb1="00000000" w:usb2="00000000" w:usb3="00000000" w:csb0="0004009F" w:csb1="DFD70000"/>
  </w:font>
  <w:font w:name="Malgun Gothic">
    <w:panose1 w:val="020B0503020000020004"/>
    <w:charset w:val="81"/>
    <w:family w:val="auto"/>
    <w:pitch w:val="default"/>
    <w:sig w:usb0="9000002F" w:usb1="29D77CFB" w:usb2="00000012" w:usb3="00000000" w:csb0="0008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pPr>
      <w:pStyle w:val="5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89"/>
      </w:rPr>
    </w:pPr>
    <w:r>
      <w:fldChar w:fldCharType="begin"/>
    </w:r>
    <w:r>
      <w:rPr>
        <w:rStyle w:val="89"/>
      </w:rPr>
      <w:instrText xml:space="preserve">PAGE  </w:instrText>
    </w:r>
    <w:r>
      <w:fldChar w:fldCharType="separate"/>
    </w:r>
    <w:r>
      <w:fldChar w:fldCharType="end"/>
    </w:r>
  </w:p>
  <w:p>
    <w:pPr>
      <w:pStyle w:val="53"/>
      <w:ind w:right="360"/>
      <w:jc w:val="center"/>
    </w:pPr>
    <w:r>
      <w:rPr>
        <w:kern w:val="0"/>
        <w:szCs w:val="21"/>
      </w:rPr>
      <w:t>-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jc w:val="center"/>
    </w:pPr>
    <w:r>
      <w:fldChar w:fldCharType="begin"/>
    </w:r>
    <w:r>
      <w:instrText xml:space="preserve">PAGE   \* MERGEFORMAT</w:instrText>
    </w:r>
    <w:r>
      <w:fldChar w:fldCharType="separate"/>
    </w:r>
    <w:r>
      <w:rPr>
        <w:lang w:val="zh-CN"/>
      </w:rPr>
      <w:t>10</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spacing w:line="240" w:lineRule="auto"/>
    </w:pPr>
    <w:r>
      <w:rPr>
        <w:rFonts w:hint="eastAsia"/>
      </w:rPr>
      <w:t>输电线路故障精确定位装置技术规范书（通用部分）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spacing w:line="240" w:lineRule="auto"/>
    </w:pPr>
    <w:r>
      <w:rPr>
        <w:rFonts w:hint="eastAsia"/>
      </w:rPr>
      <w:t>输电线路故障精确定位装置技术规范书（通用部分）</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rPr>
        <w:rFonts w:hint="eastAsia"/>
      </w:rPr>
      <w:t>输电线路故障精确定位装置技术规范书（通用部分）</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rPr>
        <w:rFonts w:hint="eastAsia"/>
      </w:rPr>
      <w:t>输电线路故障精确定位装置技术规范书（通用部分）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5"/>
    <w:multiLevelType w:val="multilevel"/>
    <w:tmpl w:val="00000005"/>
    <w:lvl w:ilvl="0" w:tentative="0">
      <w:start w:val="1"/>
      <w:numFmt w:val="decimal"/>
      <w:pStyle w:val="389"/>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00000006"/>
    <w:multiLevelType w:val="singleLevel"/>
    <w:tmpl w:val="00000006"/>
    <w:lvl w:ilvl="0" w:tentative="0">
      <w:start w:val="1"/>
      <w:numFmt w:val="bullet"/>
      <w:pStyle w:val="38"/>
      <w:lvlText w:val=""/>
      <w:lvlJc w:val="left"/>
      <w:pPr>
        <w:tabs>
          <w:tab w:val="left" w:pos="780"/>
        </w:tabs>
        <w:ind w:left="780" w:hanging="360"/>
      </w:pPr>
      <w:rPr>
        <w:rFonts w:hint="default" w:ascii="Wingdings" w:hAnsi="Wingdings"/>
      </w:rPr>
    </w:lvl>
  </w:abstractNum>
  <w:abstractNum w:abstractNumId="3">
    <w:nsid w:val="00000009"/>
    <w:multiLevelType w:val="multilevel"/>
    <w:tmpl w:val="00000009"/>
    <w:lvl w:ilvl="0" w:tentative="0">
      <w:start w:val="1"/>
      <w:numFmt w:val="bullet"/>
      <w:pStyle w:val="30"/>
      <w:lvlText w:val=""/>
      <w:lvlJc w:val="left"/>
      <w:pPr>
        <w:tabs>
          <w:tab w:val="left" w:pos="1200"/>
        </w:tabs>
        <w:ind w:left="1200" w:hanging="360"/>
      </w:pPr>
      <w:rPr>
        <w:rFonts w:hint="default" w:ascii="Wingdings" w:hAnsi="Wingdings"/>
      </w:rPr>
    </w:lvl>
    <w:lvl w:ilvl="1" w:tentative="0">
      <w:start w:val="1"/>
      <w:numFmt w:val="decimal"/>
      <w:isLgl/>
      <w:suff w:val="space"/>
      <w:lvlText w:val="%1.%2"/>
      <w:lvlJc w:val="left"/>
      <w:pPr>
        <w:ind w:left="2411" w:firstLine="0"/>
      </w:pPr>
      <w:rPr>
        <w:rFonts w:hint="eastAsia"/>
        <w:b w:val="0"/>
      </w:rPr>
    </w:lvl>
    <w:lvl w:ilvl="2" w:tentative="0">
      <w:start w:val="1"/>
      <w:numFmt w:val="decimal"/>
      <w:isLgl/>
      <w:suff w:val="space"/>
      <w:lvlText w:val="%1.%2.%3"/>
      <w:lvlJc w:val="left"/>
      <w:pPr>
        <w:ind w:left="0" w:firstLine="0"/>
      </w:pPr>
      <w:rPr>
        <w:rFonts w:hint="eastAsia"/>
        <w:b w:val="0"/>
        <w:i w:val="0"/>
      </w:rPr>
    </w:lvl>
    <w:lvl w:ilvl="3" w:tentative="0">
      <w:start w:val="1"/>
      <w:numFmt w:val="decimal"/>
      <w:isLgl/>
      <w:suff w:val="space"/>
      <w:lvlText w:val="%1.%2.%3.%4"/>
      <w:lvlJc w:val="left"/>
      <w:pPr>
        <w:ind w:left="2411" w:firstLine="0"/>
      </w:pPr>
      <w:rPr>
        <w:rFonts w:hint="eastAsia"/>
      </w:rPr>
    </w:lvl>
    <w:lvl w:ilvl="4" w:tentative="0">
      <w:start w:val="1"/>
      <w:numFmt w:val="decimal"/>
      <w:isLgl/>
      <w:lvlText w:val="%1.%2.%3.%4.%5"/>
      <w:lvlJc w:val="left"/>
      <w:pPr>
        <w:tabs>
          <w:tab w:val="left" w:pos="0"/>
        </w:tabs>
        <w:ind w:left="0"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4">
    <w:nsid w:val="0000000B"/>
    <w:multiLevelType w:val="singleLevel"/>
    <w:tmpl w:val="0000000B"/>
    <w:lvl w:ilvl="0" w:tentative="0">
      <w:start w:val="1"/>
      <w:numFmt w:val="bullet"/>
      <w:pStyle w:val="44"/>
      <w:lvlText w:val=""/>
      <w:lvlJc w:val="left"/>
      <w:pPr>
        <w:tabs>
          <w:tab w:val="left" w:pos="2040"/>
        </w:tabs>
        <w:ind w:left="2040" w:hanging="360"/>
      </w:pPr>
      <w:rPr>
        <w:rFonts w:hint="default" w:ascii="Wingdings" w:hAnsi="Wingdings"/>
      </w:rPr>
    </w:lvl>
  </w:abstractNum>
  <w:abstractNum w:abstractNumId="5">
    <w:nsid w:val="0000000C"/>
    <w:multiLevelType w:val="multilevel"/>
    <w:tmpl w:val="0000000C"/>
    <w:lvl w:ilvl="0" w:tentative="0">
      <w:start w:val="1"/>
      <w:numFmt w:val="bullet"/>
      <w:pStyle w:val="22"/>
      <w:lvlText w:val=""/>
      <w:lvlJc w:val="left"/>
      <w:pPr>
        <w:tabs>
          <w:tab w:val="left" w:pos="360"/>
        </w:tabs>
        <w:ind w:left="360" w:hanging="360"/>
      </w:pPr>
      <w:rPr>
        <w:rFonts w:hint="default" w:ascii="Wingdings" w:hAnsi="Wingdings"/>
      </w:rPr>
    </w:lvl>
    <w:lvl w:ilvl="1" w:tentative="0">
      <w:start w:val="1"/>
      <w:numFmt w:val="decimal"/>
      <w:lvlText w:val="%1.%2"/>
      <w:lvlJc w:val="left"/>
      <w:pPr>
        <w:ind w:left="576" w:hanging="576"/>
      </w:pPr>
      <w:rPr>
        <w:rFonts w:hint="eastAsia"/>
        <w:i w:val="0"/>
      </w:rPr>
    </w:lvl>
    <w:lvl w:ilvl="2" w:tentative="0">
      <w:start w:val="1"/>
      <w:numFmt w:val="decimal"/>
      <w:lvlText w:val="%1.%2.%3"/>
      <w:lvlJc w:val="left"/>
      <w:pPr>
        <w:ind w:left="1855"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0000000D"/>
    <w:multiLevelType w:val="multilevel"/>
    <w:tmpl w:val="0000000D"/>
    <w:lvl w:ilvl="0" w:tentative="0">
      <w:start w:val="1"/>
      <w:numFmt w:val="decimal"/>
      <w:pStyle w:val="414"/>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105"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cs="Times New Roman"/>
        <w:b w:val="0"/>
        <w:bCs w:val="0"/>
        <w:i w:val="0"/>
        <w:iCs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236"/>
      <w:suff w:val="space"/>
      <w:lvlText w:val="%1.%2.%3.%4 "/>
      <w:lvlJc w:val="left"/>
      <w:pPr>
        <w:ind w:left="0" w:firstLine="0"/>
      </w:pPr>
      <w:rPr>
        <w:rFonts w:hint="eastAsia" w:ascii="宋体" w:hAnsi="宋体" w:eastAsia="宋体" w:cs="Times New Roman"/>
        <w:b w:val="0"/>
        <w:bCs w:val="0"/>
        <w:i w:val="0"/>
        <w:iCs w:val="0"/>
        <w:caps w:val="0"/>
        <w:smallCaps w:val="0"/>
        <w:strike w:val="0"/>
        <w:dstrike w:val="0"/>
        <w:outline w:val="0"/>
        <w:shadow w:val="0"/>
        <w:emboss w:val="0"/>
        <w:imprint w:val="0"/>
        <w:vanish w:val="0"/>
        <w:color w:val="auto"/>
        <w:spacing w:val="0"/>
        <w:w w:val="100"/>
        <w:kern w:val="2"/>
        <w:position w:val="0"/>
        <w:sz w:val="21"/>
        <w:szCs w:val="21"/>
        <w:u w:val="none"/>
        <w:shd w:val="clear" w:color="auto" w:fill="auto"/>
        <w:vertAlign w:val="baseline"/>
        <w:lang w:val="en-US" w:eastAsia="zh-CN" w:bidi="ar-SA"/>
      </w:rPr>
    </w:lvl>
    <w:lvl w:ilvl="4" w:tentative="0">
      <w:start w:val="1"/>
      <w:numFmt w:val="decimal"/>
      <w:lvlRestart w:val="0"/>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7">
    <w:nsid w:val="0000000F"/>
    <w:multiLevelType w:val="singleLevel"/>
    <w:tmpl w:val="0000000F"/>
    <w:lvl w:ilvl="0" w:tentative="0">
      <w:start w:val="1"/>
      <w:numFmt w:val="decimal"/>
      <w:pStyle w:val="34"/>
      <w:lvlText w:val="%1."/>
      <w:lvlJc w:val="left"/>
      <w:pPr>
        <w:tabs>
          <w:tab w:val="left" w:pos="1200"/>
        </w:tabs>
        <w:ind w:left="1200" w:hanging="360"/>
      </w:pPr>
    </w:lvl>
  </w:abstractNum>
  <w:abstractNum w:abstractNumId="8">
    <w:nsid w:val="00000014"/>
    <w:multiLevelType w:val="multilevel"/>
    <w:tmpl w:val="00000014"/>
    <w:lvl w:ilvl="0" w:tentative="0">
      <w:start w:val="1"/>
      <w:numFmt w:val="decimal"/>
      <w:lvlText w:val="%1)"/>
      <w:lvlJc w:val="left"/>
      <w:pPr>
        <w:tabs>
          <w:tab w:val="left" w:pos="900"/>
        </w:tabs>
        <w:ind w:left="900" w:hanging="420"/>
      </w:pPr>
    </w:lvl>
    <w:lvl w:ilvl="1" w:tentative="0">
      <w:start w:val="1"/>
      <w:numFmt w:val="lowerLetter"/>
      <w:pStyle w:val="230"/>
      <w:lvlText w:val="%2)"/>
      <w:lvlJc w:val="left"/>
      <w:pPr>
        <w:tabs>
          <w:tab w:val="left" w:pos="1320"/>
        </w:tabs>
        <w:ind w:left="1320" w:hanging="420"/>
      </w:pPr>
    </w:lvl>
    <w:lvl w:ilvl="2" w:tentative="0">
      <w:start w:val="1"/>
      <w:numFmt w:val="lowerRoman"/>
      <w:pStyle w:val="391"/>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9">
    <w:nsid w:val="00000016"/>
    <w:multiLevelType w:val="multilevel"/>
    <w:tmpl w:val="00000016"/>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5"/>
      <w:lvlText w:val="%3."/>
      <w:lvlJc w:val="left"/>
      <w:pPr>
        <w:tabs>
          <w:tab w:val="left" w:pos="2126"/>
        </w:tabs>
        <w:ind w:left="1701" w:firstLine="0"/>
      </w:pPr>
      <w:rPr>
        <w:rFonts w:hint="eastAsia"/>
      </w:rPr>
    </w:lvl>
    <w:lvl w:ilvl="3" w:tentative="0">
      <w:start w:val="1"/>
      <w:numFmt w:val="lowerLetter"/>
      <w:pStyle w:val="6"/>
      <w:lvlText w:val="%4)"/>
      <w:lvlJc w:val="left"/>
      <w:pPr>
        <w:tabs>
          <w:tab w:val="left" w:pos="2976"/>
        </w:tabs>
        <w:ind w:left="2551" w:firstLine="0"/>
      </w:pPr>
      <w:rPr>
        <w:rFonts w:hint="eastAsia"/>
      </w:rPr>
    </w:lvl>
    <w:lvl w:ilvl="4" w:tentative="0">
      <w:start w:val="1"/>
      <w:numFmt w:val="decimal"/>
      <w:pStyle w:val="7"/>
      <w:lvlText w:val="(%5)"/>
      <w:lvlJc w:val="left"/>
      <w:pPr>
        <w:tabs>
          <w:tab w:val="left" w:pos="3827"/>
        </w:tabs>
        <w:ind w:left="3402" w:firstLine="0"/>
      </w:pPr>
      <w:rPr>
        <w:rFonts w:hint="eastAsia"/>
      </w:rPr>
    </w:lvl>
    <w:lvl w:ilvl="5" w:tentative="0">
      <w:start w:val="1"/>
      <w:numFmt w:val="lowerLetter"/>
      <w:pStyle w:val="8"/>
      <w:lvlText w:val="(%6)"/>
      <w:lvlJc w:val="left"/>
      <w:pPr>
        <w:tabs>
          <w:tab w:val="left" w:pos="4677"/>
        </w:tabs>
        <w:ind w:left="4252" w:firstLine="0"/>
      </w:pPr>
      <w:rPr>
        <w:rFonts w:hint="eastAsia"/>
      </w:rPr>
    </w:lvl>
    <w:lvl w:ilvl="6" w:tentative="0">
      <w:start w:val="1"/>
      <w:numFmt w:val="lowerRoman"/>
      <w:pStyle w:val="9"/>
      <w:lvlText w:val="(%7)"/>
      <w:lvlJc w:val="left"/>
      <w:pPr>
        <w:tabs>
          <w:tab w:val="left" w:pos="5528"/>
        </w:tabs>
        <w:ind w:left="5102" w:firstLine="0"/>
      </w:pPr>
      <w:rPr>
        <w:rFonts w:hint="eastAsia"/>
      </w:rPr>
    </w:lvl>
    <w:lvl w:ilvl="7" w:tentative="0">
      <w:start w:val="1"/>
      <w:numFmt w:val="lowerLetter"/>
      <w:pStyle w:val="10"/>
      <w:lvlText w:val="(%8)"/>
      <w:lvlJc w:val="left"/>
      <w:pPr>
        <w:tabs>
          <w:tab w:val="left" w:pos="6378"/>
        </w:tabs>
        <w:ind w:left="5953" w:firstLine="0"/>
      </w:pPr>
      <w:rPr>
        <w:rFonts w:hint="eastAsia"/>
      </w:rPr>
    </w:lvl>
    <w:lvl w:ilvl="8" w:tentative="0">
      <w:start w:val="1"/>
      <w:numFmt w:val="lowerRoman"/>
      <w:pStyle w:val="11"/>
      <w:lvlText w:val="(%9)"/>
      <w:lvlJc w:val="left"/>
      <w:pPr>
        <w:tabs>
          <w:tab w:val="left" w:pos="7228"/>
        </w:tabs>
        <w:ind w:left="6803" w:firstLine="0"/>
      </w:pPr>
      <w:rPr>
        <w:rFonts w:hint="eastAsia"/>
      </w:rPr>
    </w:lvl>
  </w:abstractNum>
  <w:abstractNum w:abstractNumId="10">
    <w:nsid w:val="00000018"/>
    <w:multiLevelType w:val="multilevel"/>
    <w:tmpl w:val="00000018"/>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418"/>
      <w:suff w:val="nothing"/>
      <w:lvlText w:val="%1%2.%3　"/>
      <w:lvlJc w:val="left"/>
      <w:pPr>
        <w:ind w:left="0" w:firstLine="0"/>
      </w:pPr>
      <w:rPr>
        <w:rFonts w:hint="eastAsia" w:ascii="黑体" w:hAnsi="Times New Roman" w:eastAsia="黑体"/>
        <w:b w:val="0"/>
        <w:i w:val="0"/>
        <w:sz w:val="21"/>
      </w:rPr>
    </w:lvl>
    <w:lvl w:ilvl="3" w:tentative="0">
      <w:start w:val="1"/>
      <w:numFmt w:val="decimal"/>
      <w:pStyle w:val="415"/>
      <w:suff w:val="nothing"/>
      <w:lvlText w:val="%1%2.%3.%4　"/>
      <w:lvlJc w:val="left"/>
      <w:pPr>
        <w:ind w:left="0" w:firstLine="0"/>
      </w:pPr>
      <w:rPr>
        <w:rFonts w:hint="eastAsia" w:ascii="黑体" w:hAnsi="Times New Roman" w:eastAsia="黑体"/>
        <w:b w:val="0"/>
        <w:i w:val="0"/>
        <w:sz w:val="21"/>
      </w:rPr>
    </w:lvl>
    <w:lvl w:ilvl="4" w:tentative="0">
      <w:start w:val="1"/>
      <w:numFmt w:val="decimal"/>
      <w:pStyle w:val="352"/>
      <w:suff w:val="nothing"/>
      <w:lvlText w:val="%1%2.%3.%4.%5　"/>
      <w:lvlJc w:val="left"/>
      <w:pPr>
        <w:ind w:left="0" w:firstLine="0"/>
      </w:pPr>
      <w:rPr>
        <w:rFonts w:hint="eastAsia" w:ascii="黑体" w:hAnsi="Times New Roman" w:eastAsia="黑体"/>
        <w:b w:val="0"/>
        <w:i w:val="0"/>
        <w:sz w:val="21"/>
      </w:rPr>
    </w:lvl>
    <w:lvl w:ilvl="5" w:tentative="0">
      <w:start w:val="1"/>
      <w:numFmt w:val="decimal"/>
      <w:pStyle w:val="384"/>
      <w:suff w:val="nothing"/>
      <w:lvlText w:val="%1%2.%3.%4.%5.%6　"/>
      <w:lvlJc w:val="left"/>
      <w:pPr>
        <w:ind w:left="0" w:firstLine="0"/>
      </w:pPr>
      <w:rPr>
        <w:rFonts w:hint="eastAsia" w:ascii="黑体" w:hAnsi="Times New Roman" w:eastAsia="黑体"/>
        <w:b w:val="0"/>
        <w:i w:val="0"/>
        <w:sz w:val="21"/>
      </w:rPr>
    </w:lvl>
    <w:lvl w:ilvl="6" w:tentative="0">
      <w:start w:val="1"/>
      <w:numFmt w:val="decimal"/>
      <w:pStyle w:val="26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9"/>
    <w:multiLevelType w:val="multilevel"/>
    <w:tmpl w:val="00000019"/>
    <w:lvl w:ilvl="0" w:tentative="0">
      <w:start w:val="1"/>
      <w:numFmt w:val="decimal"/>
      <w:lvlText w:val="%1"/>
      <w:lvlJc w:val="left"/>
      <w:pPr>
        <w:tabs>
          <w:tab w:val="left" w:pos="360"/>
        </w:tabs>
        <w:ind w:left="360" w:hanging="360"/>
      </w:pPr>
      <w:rPr>
        <w:rFonts w:hint="eastAsia"/>
      </w:rPr>
    </w:lvl>
    <w:lvl w:ilvl="1" w:tentative="0">
      <w:start w:val="1"/>
      <w:numFmt w:val="lowerLetter"/>
      <w:pStyle w:val="232"/>
      <w:lvlText w:val="%2）"/>
      <w:lvlJc w:val="left"/>
      <w:pPr>
        <w:tabs>
          <w:tab w:val="left" w:pos="780"/>
        </w:tabs>
        <w:ind w:left="780" w:hanging="360"/>
      </w:pPr>
      <w:rPr>
        <w:rFonts w:hint="eastAsia"/>
      </w:rPr>
    </w:lvl>
    <w:lvl w:ilvl="2" w:tentative="0">
      <w:start w:val="1"/>
      <w:numFmt w:val="lowerRoman"/>
      <w:pStyle w:val="239"/>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000001A"/>
    <w:multiLevelType w:val="singleLevel"/>
    <w:tmpl w:val="0000001A"/>
    <w:lvl w:ilvl="0" w:tentative="0">
      <w:start w:val="1"/>
      <w:numFmt w:val="decimal"/>
      <w:pStyle w:val="19"/>
      <w:lvlText w:val="%1."/>
      <w:lvlJc w:val="left"/>
      <w:pPr>
        <w:tabs>
          <w:tab w:val="left" w:pos="360"/>
        </w:tabs>
        <w:ind w:left="360" w:hanging="360"/>
      </w:pPr>
    </w:lvl>
  </w:abstractNum>
  <w:abstractNum w:abstractNumId="13">
    <w:nsid w:val="0000001D"/>
    <w:multiLevelType w:val="multilevel"/>
    <w:tmpl w:val="0000001D"/>
    <w:lvl w:ilvl="0" w:tentative="0">
      <w:start w:val="1"/>
      <w:numFmt w:val="decimal"/>
      <w:pStyle w:val="45"/>
      <w:lvlText w:val="%1."/>
      <w:lvlJc w:val="left"/>
      <w:pPr>
        <w:tabs>
          <w:tab w:val="left" w:pos="1620"/>
        </w:tabs>
        <w:ind w:left="1620" w:hanging="360"/>
      </w:pPr>
    </w:lvl>
    <w:lvl w:ilvl="1" w:tentative="0">
      <w:start w:val="1"/>
      <w:numFmt w:val="upperLetter"/>
      <w:lvlText w:val="%2."/>
      <w:lvlJc w:val="left"/>
      <w:pPr>
        <w:tabs>
          <w:tab w:val="left" w:pos="1276"/>
        </w:tabs>
        <w:ind w:left="851" w:firstLine="0"/>
      </w:pPr>
      <w:rPr>
        <w:rFonts w:hint="eastAsia"/>
      </w:rPr>
    </w:lvl>
    <w:lvl w:ilvl="2" w:tentative="0">
      <w:start w:val="1"/>
      <w:numFmt w:val="decimal"/>
      <w:lvlText w:val="%3."/>
      <w:lvlJc w:val="left"/>
      <w:pPr>
        <w:tabs>
          <w:tab w:val="left" w:pos="2126"/>
        </w:tabs>
        <w:ind w:left="1701" w:firstLine="0"/>
      </w:pPr>
      <w:rPr>
        <w:rFonts w:hint="eastAsia"/>
      </w:rPr>
    </w:lvl>
    <w:lvl w:ilvl="3" w:tentative="0">
      <w:start w:val="1"/>
      <w:numFmt w:val="lowerLetter"/>
      <w:lvlText w:val="%4)"/>
      <w:lvlJc w:val="left"/>
      <w:pPr>
        <w:tabs>
          <w:tab w:val="left" w:pos="2976"/>
        </w:tabs>
        <w:ind w:left="2551" w:firstLine="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abstractNum w:abstractNumId="14">
    <w:nsid w:val="0000001E"/>
    <w:multiLevelType w:val="multilevel"/>
    <w:tmpl w:val="0000001E"/>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64"/>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15">
    <w:nsid w:val="00000024"/>
    <w:multiLevelType w:val="singleLevel"/>
    <w:tmpl w:val="00000024"/>
    <w:lvl w:ilvl="0" w:tentative="0">
      <w:start w:val="1"/>
      <w:numFmt w:val="bullet"/>
      <w:pStyle w:val="16"/>
      <w:lvlText w:val=""/>
      <w:lvlJc w:val="left"/>
      <w:pPr>
        <w:tabs>
          <w:tab w:val="left" w:pos="1620"/>
        </w:tabs>
        <w:ind w:left="1620" w:hanging="360"/>
      </w:pPr>
      <w:rPr>
        <w:rFonts w:hint="default" w:ascii="Wingdings" w:hAnsi="Wingdings"/>
      </w:rPr>
    </w:lvl>
  </w:abstractNum>
  <w:abstractNum w:abstractNumId="16">
    <w:nsid w:val="00000029"/>
    <w:multiLevelType w:val="singleLevel"/>
    <w:tmpl w:val="00000029"/>
    <w:lvl w:ilvl="0" w:tentative="0">
      <w:start w:val="1"/>
      <w:numFmt w:val="decimal"/>
      <w:pStyle w:val="14"/>
      <w:lvlText w:val="%1."/>
      <w:lvlJc w:val="left"/>
      <w:pPr>
        <w:tabs>
          <w:tab w:val="left" w:pos="780"/>
        </w:tabs>
        <w:ind w:left="780" w:hanging="360"/>
      </w:pPr>
    </w:lvl>
  </w:abstractNum>
  <w:abstractNum w:abstractNumId="17">
    <w:nsid w:val="079102AD"/>
    <w:multiLevelType w:val="multilevel"/>
    <w:tmpl w:val="079102AD"/>
    <w:lvl w:ilvl="0" w:tentative="0">
      <w:start w:val="1"/>
      <w:numFmt w:val="decimal"/>
      <w:pStyle w:val="33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0AE367E9"/>
    <w:multiLevelType w:val="multilevel"/>
    <w:tmpl w:val="0AE367E9"/>
    <w:lvl w:ilvl="0" w:tentative="0">
      <w:start w:val="1"/>
      <w:numFmt w:val="none"/>
      <w:pStyle w:val="29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9">
    <w:nsid w:val="0D983844"/>
    <w:multiLevelType w:val="multilevel"/>
    <w:tmpl w:val="0D983844"/>
    <w:lvl w:ilvl="0" w:tentative="0">
      <w:start w:val="1"/>
      <w:numFmt w:val="decimal"/>
      <w:pStyle w:val="40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0">
    <w:nsid w:val="22827D5B"/>
    <w:multiLevelType w:val="multilevel"/>
    <w:tmpl w:val="22827D5B"/>
    <w:lvl w:ilvl="0" w:tentative="0">
      <w:start w:val="1"/>
      <w:numFmt w:val="none"/>
      <w:pStyle w:val="27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1">
    <w:nsid w:val="264A17CC"/>
    <w:multiLevelType w:val="multilevel"/>
    <w:tmpl w:val="264A17CC"/>
    <w:lvl w:ilvl="0" w:tentative="0">
      <w:start w:val="1"/>
      <w:numFmt w:val="none"/>
      <w:pStyle w:val="268"/>
      <w:lvlText w:val="表"/>
      <w:lvlJc w:val="left"/>
      <w:pPr>
        <w:tabs>
          <w:tab w:val="left" w:pos="360"/>
        </w:tabs>
        <w:ind w:left="0" w:firstLine="0"/>
      </w:pPr>
      <w:rPr>
        <w:rFonts w:hint="eastAsia" w:ascii="宋体" w:eastAsia="宋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284F1908"/>
    <w:multiLevelType w:val="multilevel"/>
    <w:tmpl w:val="284F1908"/>
    <w:lvl w:ilvl="0" w:tentative="0">
      <w:start w:val="1"/>
      <w:numFmt w:val="lowerLetter"/>
      <w:lvlText w:val="%1)"/>
      <w:lvlJc w:val="left"/>
      <w:pPr>
        <w:ind w:left="1259" w:hanging="420"/>
      </w:pPr>
    </w:lvl>
    <w:lvl w:ilvl="1" w:tentative="0">
      <w:start w:val="1"/>
      <w:numFmt w:val="decimal"/>
      <w:lvlText w:val="%2）"/>
      <w:lvlJc w:val="left"/>
      <w:pPr>
        <w:ind w:left="1619" w:hanging="360"/>
      </w:pPr>
      <w:rPr>
        <w:rFonts w:hint="default"/>
      </w:rPr>
    </w:lvl>
    <w:lvl w:ilvl="2" w:tentative="0">
      <w:start w:val="1"/>
      <w:numFmt w:val="lowerRoman"/>
      <w:lvlText w:val="%3."/>
      <w:lvlJc w:val="right"/>
      <w:pPr>
        <w:ind w:left="2099" w:hanging="420"/>
      </w:pPr>
    </w:lvl>
    <w:lvl w:ilvl="3" w:tentative="0">
      <w:start w:val="1"/>
      <w:numFmt w:val="decimal"/>
      <w:lvlText w:val="%4."/>
      <w:lvlJc w:val="left"/>
      <w:pPr>
        <w:ind w:left="2519" w:hanging="420"/>
      </w:pPr>
    </w:lvl>
    <w:lvl w:ilvl="4" w:tentative="0">
      <w:start w:val="1"/>
      <w:numFmt w:val="lowerLetter"/>
      <w:lvlText w:val="%5)"/>
      <w:lvlJc w:val="left"/>
      <w:pPr>
        <w:ind w:left="2939" w:hanging="420"/>
      </w:pPr>
    </w:lvl>
    <w:lvl w:ilvl="5" w:tentative="0">
      <w:start w:val="1"/>
      <w:numFmt w:val="lowerRoman"/>
      <w:lvlText w:val="%6."/>
      <w:lvlJc w:val="right"/>
      <w:pPr>
        <w:ind w:left="3359" w:hanging="420"/>
      </w:pPr>
    </w:lvl>
    <w:lvl w:ilvl="6" w:tentative="0">
      <w:start w:val="1"/>
      <w:numFmt w:val="decimal"/>
      <w:lvlText w:val="%7."/>
      <w:lvlJc w:val="left"/>
      <w:pPr>
        <w:ind w:left="3779" w:hanging="420"/>
      </w:pPr>
    </w:lvl>
    <w:lvl w:ilvl="7" w:tentative="0">
      <w:start w:val="1"/>
      <w:numFmt w:val="lowerLetter"/>
      <w:lvlText w:val="%8)"/>
      <w:lvlJc w:val="left"/>
      <w:pPr>
        <w:ind w:left="4199" w:hanging="420"/>
      </w:pPr>
    </w:lvl>
    <w:lvl w:ilvl="8" w:tentative="0">
      <w:start w:val="1"/>
      <w:numFmt w:val="lowerRoman"/>
      <w:lvlText w:val="%9."/>
      <w:lvlJc w:val="right"/>
      <w:pPr>
        <w:ind w:left="4619" w:hanging="420"/>
      </w:pPr>
    </w:lvl>
  </w:abstractNum>
  <w:abstractNum w:abstractNumId="23">
    <w:nsid w:val="2A8F7113"/>
    <w:multiLevelType w:val="multilevel"/>
    <w:tmpl w:val="2A8F7113"/>
    <w:lvl w:ilvl="0" w:tentative="0">
      <w:start w:val="1"/>
      <w:numFmt w:val="upperLetter"/>
      <w:pStyle w:val="365"/>
      <w:suff w:val="space"/>
      <w:lvlText w:val="%1"/>
      <w:lvlJc w:val="left"/>
      <w:pPr>
        <w:ind w:left="623" w:hanging="425"/>
      </w:pPr>
      <w:rPr>
        <w:rFonts w:hint="eastAsia"/>
      </w:rPr>
    </w:lvl>
    <w:lvl w:ilvl="1" w:tentative="0">
      <w:start w:val="1"/>
      <w:numFmt w:val="decimal"/>
      <w:pStyle w:val="261"/>
      <w:suff w:val="nothing"/>
      <w:lvlText w:val="图%1.%2　"/>
      <w:lvlJc w:val="left"/>
      <w:pPr>
        <w:ind w:left="3828"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4">
    <w:nsid w:val="2C5917C3"/>
    <w:multiLevelType w:val="multilevel"/>
    <w:tmpl w:val="2C5917C3"/>
    <w:lvl w:ilvl="0" w:tentative="0">
      <w:start w:val="1"/>
      <w:numFmt w:val="none"/>
      <w:pStyle w:val="404"/>
      <w:suff w:val="nothing"/>
      <w:lvlText w:val="%1——"/>
      <w:lvlJc w:val="left"/>
      <w:pPr>
        <w:ind w:left="833" w:hanging="408"/>
      </w:pPr>
      <w:rPr>
        <w:rFonts w:hint="eastAsia"/>
      </w:rPr>
    </w:lvl>
    <w:lvl w:ilvl="1" w:tentative="0">
      <w:start w:val="1"/>
      <w:numFmt w:val="bullet"/>
      <w:pStyle w:val="215"/>
      <w:lvlText w:val=""/>
      <w:lvlJc w:val="left"/>
      <w:pPr>
        <w:tabs>
          <w:tab w:val="left" w:pos="760"/>
        </w:tabs>
        <w:ind w:left="1264" w:hanging="413"/>
      </w:pPr>
      <w:rPr>
        <w:rFonts w:hint="default" w:ascii="Symbol" w:hAnsi="Symbol"/>
        <w:color w:val="auto"/>
      </w:rPr>
    </w:lvl>
    <w:lvl w:ilvl="2" w:tentative="0">
      <w:start w:val="1"/>
      <w:numFmt w:val="bullet"/>
      <w:pStyle w:val="41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5">
    <w:nsid w:val="3D733618"/>
    <w:multiLevelType w:val="multilevel"/>
    <w:tmpl w:val="3D733618"/>
    <w:lvl w:ilvl="0" w:tentative="0">
      <w:start w:val="1"/>
      <w:numFmt w:val="decimal"/>
      <w:pStyle w:val="6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6">
    <w:nsid w:val="4B733A5F"/>
    <w:multiLevelType w:val="multilevel"/>
    <w:tmpl w:val="4B733A5F"/>
    <w:lvl w:ilvl="0" w:tentative="0">
      <w:start w:val="1"/>
      <w:numFmt w:val="decimal"/>
      <w:pStyle w:val="24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7">
    <w:nsid w:val="576630A7"/>
    <w:multiLevelType w:val="multilevel"/>
    <w:tmpl w:val="576630A7"/>
    <w:lvl w:ilvl="0" w:tentative="0">
      <w:start w:val="1"/>
      <w:numFmt w:val="decimal"/>
      <w:suff w:val="space"/>
      <w:lvlText w:val="%1"/>
      <w:lvlJc w:val="left"/>
      <w:pPr>
        <w:ind w:left="0" w:firstLine="0"/>
      </w:pPr>
      <w:rPr>
        <w:rFonts w:hint="default" w:ascii="Times New Roman" w:hAnsi="Times New Roman" w:eastAsia="黑体"/>
      </w:rPr>
    </w:lvl>
    <w:lvl w:ilvl="1" w:tentative="0">
      <w:start w:val="1"/>
      <w:numFmt w:val="decimal"/>
      <w:suff w:val="space"/>
      <w:lvlText w:val="%1.%2"/>
      <w:lvlJc w:val="left"/>
      <w:pPr>
        <w:ind w:left="0" w:firstLine="0"/>
      </w:pPr>
      <w:rPr>
        <w:rFonts w:hint="default" w:ascii="Times New Roman" w:hAnsi="Times New Roman" w:eastAsia="黑体"/>
      </w:rPr>
    </w:lvl>
    <w:lvl w:ilvl="2" w:tentative="0">
      <w:start w:val="1"/>
      <w:numFmt w:val="decimal"/>
      <w:pStyle w:val="428"/>
      <w:suff w:val="space"/>
      <w:lvlText w:val="%1.%2.%3"/>
      <w:lvlJc w:val="left"/>
      <w:pPr>
        <w:ind w:left="0" w:firstLine="0"/>
      </w:pPr>
      <w:rPr>
        <w:rFonts w:hint="default" w:ascii="Times New Roman" w:hAnsi="Times New Roman" w:eastAsia="宋体"/>
        <w:b w:val="0"/>
        <w:i w:val="0"/>
      </w:rPr>
    </w:lvl>
    <w:lvl w:ilvl="3" w:tentative="0">
      <w:start w:val="1"/>
      <w:numFmt w:val="decimal"/>
      <w:suff w:val="space"/>
      <w:lvlText w:val="%1.%2.%3.%4"/>
      <w:lvlJc w:val="left"/>
      <w:pPr>
        <w:ind w:left="0" w:firstLine="420"/>
      </w:pPr>
      <w:rPr>
        <w:rFonts w:hint="default" w:ascii="楷体_GB2312" w:hAnsi="楷体_GB2312" w:eastAsia="宋体"/>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28">
    <w:nsid w:val="59ED673C"/>
    <w:multiLevelType w:val="singleLevel"/>
    <w:tmpl w:val="59ED673C"/>
    <w:lvl w:ilvl="0" w:tentative="0">
      <w:start w:val="1"/>
      <w:numFmt w:val="decimal"/>
      <w:suff w:val="nothing"/>
      <w:lvlText w:val="%1）"/>
      <w:lvlJc w:val="left"/>
    </w:lvl>
  </w:abstractNum>
  <w:abstractNum w:abstractNumId="29">
    <w:nsid w:val="59ED9F78"/>
    <w:multiLevelType w:val="singleLevel"/>
    <w:tmpl w:val="59ED9F78"/>
    <w:lvl w:ilvl="0" w:tentative="0">
      <w:start w:val="5"/>
      <w:numFmt w:val="decimal"/>
      <w:suff w:val="nothing"/>
      <w:lvlText w:val="%1 "/>
      <w:lvlJc w:val="left"/>
    </w:lvl>
  </w:abstractNum>
  <w:abstractNum w:abstractNumId="30">
    <w:nsid w:val="5B6A56C2"/>
    <w:multiLevelType w:val="singleLevel"/>
    <w:tmpl w:val="5B6A56C2"/>
    <w:lvl w:ilvl="0" w:tentative="0">
      <w:start w:val="1"/>
      <w:numFmt w:val="decimal"/>
      <w:suff w:val="nothing"/>
      <w:lvlText w:val="%1）"/>
      <w:lvlJc w:val="left"/>
    </w:lvl>
  </w:abstractNum>
  <w:abstractNum w:abstractNumId="31">
    <w:nsid w:val="5B6BD995"/>
    <w:multiLevelType w:val="singleLevel"/>
    <w:tmpl w:val="5B6BD995"/>
    <w:lvl w:ilvl="0" w:tentative="0">
      <w:start w:val="1"/>
      <w:numFmt w:val="lowerLetter"/>
      <w:suff w:val="nothing"/>
      <w:lvlText w:val="%1）"/>
      <w:lvlJc w:val="left"/>
    </w:lvl>
  </w:abstractNum>
  <w:abstractNum w:abstractNumId="32">
    <w:nsid w:val="60B55DC2"/>
    <w:multiLevelType w:val="multilevel"/>
    <w:tmpl w:val="60B55DC2"/>
    <w:lvl w:ilvl="0" w:tentative="0">
      <w:start w:val="1"/>
      <w:numFmt w:val="upperLetter"/>
      <w:pStyle w:val="265"/>
      <w:lvlText w:val="%1"/>
      <w:lvlJc w:val="left"/>
      <w:pPr>
        <w:tabs>
          <w:tab w:val="left" w:pos="0"/>
        </w:tabs>
        <w:ind w:left="0" w:hanging="425"/>
      </w:pPr>
      <w:rPr>
        <w:rFonts w:hint="eastAsia"/>
      </w:rPr>
    </w:lvl>
    <w:lvl w:ilvl="1" w:tentative="0">
      <w:start w:val="1"/>
      <w:numFmt w:val="decimal"/>
      <w:pStyle w:val="32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3">
    <w:nsid w:val="646260FA"/>
    <w:multiLevelType w:val="multilevel"/>
    <w:tmpl w:val="646260FA"/>
    <w:lvl w:ilvl="0" w:tentative="0">
      <w:start w:val="1"/>
      <w:numFmt w:val="decimal"/>
      <w:pStyle w:val="32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4">
    <w:nsid w:val="656E7BB8"/>
    <w:multiLevelType w:val="multilevel"/>
    <w:tmpl w:val="656E7BB8"/>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lvlText w:val="%1%2"/>
      <w:lvlJc w:val="left"/>
      <w:pPr>
        <w:tabs>
          <w:tab w:val="left" w:pos="360"/>
        </w:tabs>
        <w:ind w:left="0" w:firstLine="0"/>
      </w:pPr>
      <w:rPr>
        <w:rFonts w:hint="eastAsia" w:ascii="黑体" w:hAnsi="Times New Roman" w:eastAsia="黑体"/>
        <w:b/>
        <w:i w:val="0"/>
        <w:sz w:val="20"/>
      </w:rPr>
    </w:lvl>
    <w:lvl w:ilvl="2" w:tentative="0">
      <w:start w:val="1"/>
      <w:numFmt w:val="decimal"/>
      <w:lvlText w:val="%1%2.%3"/>
      <w:lvlJc w:val="left"/>
      <w:pPr>
        <w:tabs>
          <w:tab w:val="left" w:pos="720"/>
        </w:tabs>
        <w:ind w:left="0" w:firstLine="0"/>
      </w:pPr>
      <w:rPr>
        <w:rFonts w:hint="eastAsia" w:ascii="黑体" w:hAnsi="Times New Roman" w:eastAsia="黑体"/>
        <w:b/>
        <w:i w:val="0"/>
        <w:sz w:val="21"/>
      </w:rPr>
    </w:lvl>
    <w:lvl w:ilvl="3" w:tentative="0">
      <w:start w:val="1"/>
      <w:numFmt w:val="decimal"/>
      <w:lvlText w:val="%1%2.%3.%4"/>
      <w:lvlJc w:val="left"/>
      <w:pPr>
        <w:tabs>
          <w:tab w:val="left" w:pos="720"/>
        </w:tabs>
        <w:ind w:left="0" w:firstLine="0"/>
      </w:pPr>
      <w:rPr>
        <w:rFonts w:hint="eastAsia" w:ascii="黑体" w:hAnsi="Times New Roman" w:eastAsia="黑体"/>
        <w:b/>
        <w:i w:val="0"/>
        <w:color w:val="auto"/>
        <w:sz w:val="21"/>
      </w:rPr>
    </w:lvl>
    <w:lvl w:ilvl="4" w:tentative="0">
      <w:start w:val="1"/>
      <w:numFmt w:val="decimal"/>
      <w:lvlText w:val="%2.%3.%4.%5"/>
      <w:lvlJc w:val="left"/>
      <w:pPr>
        <w:tabs>
          <w:tab w:val="left" w:pos="1080"/>
        </w:tabs>
        <w:ind w:left="0" w:firstLine="0"/>
      </w:pPr>
      <w:rPr>
        <w:rFonts w:hint="eastAsia" w:ascii="黑体" w:hAnsi="Times New Roman" w:eastAsia="黑体"/>
        <w:b/>
        <w:i w:val="0"/>
        <w:sz w:val="21"/>
      </w:rPr>
    </w:lvl>
    <w:lvl w:ilvl="5" w:tentative="0">
      <w:start w:val="1"/>
      <w:numFmt w:val="decimal"/>
      <w:lvlText w:val="%2.%3.%4.%5.%6"/>
      <w:lvlJc w:val="left"/>
      <w:pPr>
        <w:tabs>
          <w:tab w:val="left" w:pos="1021"/>
        </w:tabs>
        <w:ind w:left="1021" w:hanging="1021"/>
      </w:pPr>
      <w:rPr>
        <w:rFonts w:hint="eastAsia" w:ascii="黑体" w:hAnsi="Times New Roman" w:eastAsia="黑体"/>
        <w:b/>
        <w:i w:val="0"/>
        <w:sz w:val="21"/>
      </w:rPr>
    </w:lvl>
    <w:lvl w:ilvl="6" w:tentative="0">
      <w:start w:val="1"/>
      <w:numFmt w:val="decimal"/>
      <w:lvlRestart w:val="5"/>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35">
    <w:nsid w:val="657D3FBC"/>
    <w:multiLevelType w:val="multilevel"/>
    <w:tmpl w:val="657D3FBC"/>
    <w:lvl w:ilvl="0" w:tentative="0">
      <w:start w:val="1"/>
      <w:numFmt w:val="upperLetter"/>
      <w:pStyle w:val="42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30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20"/>
      <w:suff w:val="nothing"/>
      <w:lvlText w:val="%1.%2.%3　"/>
      <w:lvlJc w:val="left"/>
      <w:pPr>
        <w:ind w:left="426" w:firstLine="0"/>
      </w:pPr>
      <w:rPr>
        <w:rFonts w:hint="eastAsia" w:ascii="黑体" w:hAnsi="Times New Roman" w:eastAsia="黑体"/>
        <w:b w:val="0"/>
        <w:i w:val="0"/>
        <w:sz w:val="21"/>
      </w:rPr>
    </w:lvl>
    <w:lvl w:ilvl="3" w:tentative="0">
      <w:start w:val="1"/>
      <w:numFmt w:val="decimal"/>
      <w:pStyle w:val="272"/>
      <w:suff w:val="nothing"/>
      <w:lvlText w:val="%1.%2.%3.%4　"/>
      <w:lvlJc w:val="left"/>
      <w:pPr>
        <w:ind w:left="710" w:firstLine="0"/>
      </w:pPr>
      <w:rPr>
        <w:rFonts w:hint="eastAsia" w:ascii="黑体" w:hAnsi="Times New Roman" w:eastAsia="黑体"/>
        <w:b w:val="0"/>
        <w:i w:val="0"/>
        <w:sz w:val="21"/>
      </w:rPr>
    </w:lvl>
    <w:lvl w:ilvl="4" w:tentative="0">
      <w:start w:val="1"/>
      <w:numFmt w:val="decimal"/>
      <w:pStyle w:val="285"/>
      <w:suff w:val="nothing"/>
      <w:lvlText w:val="%1.%2.%3.%4.%5　"/>
      <w:lvlJc w:val="left"/>
      <w:pPr>
        <w:ind w:left="0" w:firstLine="0"/>
      </w:pPr>
      <w:rPr>
        <w:rFonts w:hint="eastAsia" w:ascii="黑体" w:hAnsi="Times New Roman" w:eastAsia="黑体"/>
        <w:b w:val="0"/>
        <w:i w:val="0"/>
        <w:sz w:val="21"/>
      </w:rPr>
    </w:lvl>
    <w:lvl w:ilvl="5" w:tentative="0">
      <w:start w:val="1"/>
      <w:numFmt w:val="decimal"/>
      <w:pStyle w:val="284"/>
      <w:suff w:val="nothing"/>
      <w:lvlText w:val="%1.%2.%3.%4.%5.%6　"/>
      <w:lvlJc w:val="left"/>
      <w:pPr>
        <w:ind w:left="0" w:firstLine="0"/>
      </w:pPr>
      <w:rPr>
        <w:rFonts w:hint="eastAsia" w:ascii="黑体" w:hAnsi="Times New Roman" w:eastAsia="黑体"/>
        <w:b w:val="0"/>
        <w:i w:val="0"/>
        <w:sz w:val="21"/>
      </w:rPr>
    </w:lvl>
    <w:lvl w:ilvl="6" w:tentative="0">
      <w:start w:val="1"/>
      <w:numFmt w:val="decimal"/>
      <w:pStyle w:val="32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6">
    <w:nsid w:val="6809657E"/>
    <w:multiLevelType w:val="multilevel"/>
    <w:tmpl w:val="6809657E"/>
    <w:lvl w:ilvl="0" w:tentative="0">
      <w:start w:val="1"/>
      <w:numFmt w:val="decimal"/>
      <w:pStyle w:val="39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7">
    <w:nsid w:val="6CEA2025"/>
    <w:multiLevelType w:val="multilevel"/>
    <w:tmpl w:val="6CEA2025"/>
    <w:lvl w:ilvl="0" w:tentative="0">
      <w:start w:val="1"/>
      <w:numFmt w:val="decimal"/>
      <w:pStyle w:val="262"/>
      <w:lvlText w:val="3.%1"/>
      <w:lvlJc w:val="left"/>
      <w:pPr>
        <w:tabs>
          <w:tab w:val="left" w:pos="499"/>
        </w:tabs>
        <w:ind w:left="142" w:firstLine="0"/>
      </w:pPr>
      <w:rPr>
        <w:rFonts w:hint="eastAsia" w:ascii="黑体" w:eastAsia="黑体"/>
        <w:b/>
        <w:i w:val="0"/>
        <w:sz w:val="21"/>
        <w:szCs w:val="21"/>
      </w:rPr>
    </w:lvl>
    <w:lvl w:ilvl="1" w:tentative="0">
      <w:start w:val="1"/>
      <w:numFmt w:val="decimal"/>
      <w:pStyle w:val="249"/>
      <w:lvlText w:val="3.%1.%2"/>
      <w:lvlJc w:val="left"/>
      <w:pPr>
        <w:tabs>
          <w:tab w:val="left" w:pos="862"/>
        </w:tabs>
        <w:ind w:left="142" w:firstLine="0"/>
      </w:pPr>
      <w:rPr>
        <w:rFonts w:hint="eastAsia" w:ascii="黑体" w:eastAsia="黑体"/>
        <w:b/>
        <w:i w:val="0"/>
        <w:sz w:val="20"/>
      </w:rPr>
    </w:lvl>
    <w:lvl w:ilvl="2" w:tentative="0">
      <w:start w:val="1"/>
      <w:numFmt w:val="decimal"/>
      <w:pStyle w:val="240"/>
      <w:lvlText w:val="3.%1.%2.%3"/>
      <w:lvlJc w:val="left"/>
      <w:pPr>
        <w:tabs>
          <w:tab w:val="left" w:pos="862"/>
        </w:tabs>
        <w:ind w:left="142" w:firstLine="0"/>
      </w:pPr>
      <w:rPr>
        <w:rFonts w:hint="eastAsia" w:ascii="黑体" w:eastAsia="黑体"/>
        <w:b/>
        <w:i w:val="0"/>
        <w:sz w:val="20"/>
      </w:rPr>
    </w:lvl>
    <w:lvl w:ilvl="3" w:tentative="0">
      <w:start w:val="1"/>
      <w:numFmt w:val="decimal"/>
      <w:pStyle w:val="259"/>
      <w:lvlText w:val="3.%1.%2.%3.%4"/>
      <w:lvlJc w:val="left"/>
      <w:pPr>
        <w:tabs>
          <w:tab w:val="left" w:pos="1219"/>
        </w:tabs>
        <w:ind w:left="142" w:firstLine="0"/>
      </w:pPr>
      <w:rPr>
        <w:rFonts w:hint="eastAsia" w:ascii="黑体" w:eastAsia="黑体"/>
        <w:b/>
        <w:i w:val="0"/>
        <w:sz w:val="20"/>
      </w:rPr>
    </w:lvl>
    <w:lvl w:ilvl="4" w:tentative="0">
      <w:start w:val="1"/>
      <w:numFmt w:val="decimal"/>
      <w:pStyle w:val="328"/>
      <w:lvlText w:val="3.%1.%2.%3.%4.%5"/>
      <w:lvlJc w:val="left"/>
      <w:pPr>
        <w:tabs>
          <w:tab w:val="left" w:pos="1582"/>
        </w:tabs>
        <w:ind w:left="142" w:firstLine="0"/>
      </w:pPr>
      <w:rPr>
        <w:rFonts w:hint="eastAsia" w:ascii="黑体" w:eastAsia="黑体"/>
        <w:b/>
        <w:i w:val="0"/>
        <w:sz w:val="20"/>
      </w:rPr>
    </w:lvl>
    <w:lvl w:ilvl="5" w:tentative="0">
      <w:start w:val="1"/>
      <w:numFmt w:val="decimal"/>
      <w:lvlText w:val="%1.%2.%3.%4.%5.%6"/>
      <w:lvlJc w:val="left"/>
      <w:pPr>
        <w:tabs>
          <w:tab w:val="left" w:pos="4068"/>
        </w:tabs>
        <w:ind w:left="3402" w:hanging="1134"/>
      </w:pPr>
      <w:rPr>
        <w:rFonts w:hint="eastAsia"/>
        <w:b/>
        <w:i w:val="0"/>
        <w:sz w:val="21"/>
      </w:rPr>
    </w:lvl>
    <w:lvl w:ilvl="6" w:tentative="0">
      <w:start w:val="1"/>
      <w:numFmt w:val="decimal"/>
      <w:lvlText w:val="%1.%2.%3.%4.%5.%6.%7"/>
      <w:lvlJc w:val="left"/>
      <w:pPr>
        <w:tabs>
          <w:tab w:val="left" w:pos="4853"/>
        </w:tabs>
        <w:ind w:left="3969" w:hanging="1276"/>
      </w:pPr>
      <w:rPr>
        <w:rFonts w:hint="eastAsia"/>
        <w:b/>
        <w:i w:val="0"/>
        <w:sz w:val="21"/>
      </w:rPr>
    </w:lvl>
    <w:lvl w:ilvl="7" w:tentative="0">
      <w:start w:val="1"/>
      <w:numFmt w:val="decimal"/>
      <w:lvlText w:val="%1.%2.%3.%4.%5.%6.%7.%8"/>
      <w:lvlJc w:val="left"/>
      <w:pPr>
        <w:tabs>
          <w:tab w:val="left" w:pos="5278"/>
        </w:tabs>
        <w:ind w:left="4536" w:hanging="1418"/>
      </w:pPr>
      <w:rPr>
        <w:rFonts w:hint="eastAsia"/>
        <w:b/>
        <w:i w:val="0"/>
        <w:sz w:val="21"/>
      </w:rPr>
    </w:lvl>
    <w:lvl w:ilvl="8" w:tentative="0">
      <w:start w:val="1"/>
      <w:numFmt w:val="decimal"/>
      <w:lvlText w:val="%1.%2.%3.%4.%5.%6.%7.%8.%9"/>
      <w:lvlJc w:val="left"/>
      <w:pPr>
        <w:tabs>
          <w:tab w:val="left" w:pos="6064"/>
        </w:tabs>
        <w:ind w:left="5244" w:hanging="1700"/>
      </w:pPr>
      <w:rPr>
        <w:rFonts w:hint="eastAsia"/>
        <w:b/>
        <w:i w:val="0"/>
        <w:sz w:val="21"/>
      </w:rPr>
    </w:lvl>
  </w:abstractNum>
  <w:abstractNum w:abstractNumId="38">
    <w:nsid w:val="6D6C07CD"/>
    <w:multiLevelType w:val="multilevel"/>
    <w:tmpl w:val="6D6C07CD"/>
    <w:lvl w:ilvl="0" w:tentative="0">
      <w:start w:val="1"/>
      <w:numFmt w:val="lowerLetter"/>
      <w:pStyle w:val="398"/>
      <w:lvlText w:val="%1)"/>
      <w:lvlJc w:val="left"/>
      <w:pPr>
        <w:tabs>
          <w:tab w:val="left" w:pos="839"/>
        </w:tabs>
        <w:ind w:left="839" w:hanging="419"/>
      </w:pPr>
      <w:rPr>
        <w:rFonts w:hint="eastAsia" w:ascii="宋体" w:eastAsia="宋体"/>
        <w:b w:val="0"/>
        <w:i w:val="0"/>
        <w:sz w:val="21"/>
      </w:rPr>
    </w:lvl>
    <w:lvl w:ilvl="1" w:tentative="0">
      <w:start w:val="1"/>
      <w:numFmt w:val="decimal"/>
      <w:pStyle w:val="40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9">
    <w:nsid w:val="6DBF04F4"/>
    <w:multiLevelType w:val="multilevel"/>
    <w:tmpl w:val="6DBF04F4"/>
    <w:lvl w:ilvl="0" w:tentative="0">
      <w:start w:val="1"/>
      <w:numFmt w:val="none"/>
      <w:pStyle w:val="27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9"/>
  </w:num>
  <w:num w:numId="2">
    <w:abstractNumId w:val="16"/>
  </w:num>
  <w:num w:numId="3">
    <w:abstractNumId w:val="15"/>
  </w:num>
  <w:num w:numId="4">
    <w:abstractNumId w:val="12"/>
  </w:num>
  <w:num w:numId="5">
    <w:abstractNumId w:val="5"/>
  </w:num>
  <w:num w:numId="6">
    <w:abstractNumId w:val="3"/>
  </w:num>
  <w:num w:numId="7">
    <w:abstractNumId w:val="7"/>
  </w:num>
  <w:num w:numId="8">
    <w:abstractNumId w:val="2"/>
  </w:num>
  <w:num w:numId="9">
    <w:abstractNumId w:val="4"/>
  </w:num>
  <w:num w:numId="10">
    <w:abstractNumId w:val="13"/>
  </w:num>
  <w:num w:numId="11">
    <w:abstractNumId w:val="25"/>
  </w:num>
  <w:num w:numId="12">
    <w:abstractNumId w:val="14"/>
  </w:num>
  <w:num w:numId="13">
    <w:abstractNumId w:val="0"/>
  </w:num>
  <w:num w:numId="14">
    <w:abstractNumId w:val="24"/>
  </w:num>
  <w:num w:numId="15">
    <w:abstractNumId w:val="8"/>
  </w:num>
  <w:num w:numId="16">
    <w:abstractNumId w:val="11"/>
  </w:num>
  <w:num w:numId="17">
    <w:abstractNumId w:val="6"/>
  </w:num>
  <w:num w:numId="18">
    <w:abstractNumId w:val="37"/>
  </w:num>
  <w:num w:numId="19">
    <w:abstractNumId w:val="26"/>
  </w:num>
  <w:num w:numId="20">
    <w:abstractNumId w:val="23"/>
  </w:num>
  <w:num w:numId="21">
    <w:abstractNumId w:val="10"/>
  </w:num>
  <w:num w:numId="22">
    <w:abstractNumId w:val="32"/>
  </w:num>
  <w:num w:numId="23">
    <w:abstractNumId w:val="21"/>
  </w:num>
  <w:num w:numId="24">
    <w:abstractNumId w:val="35"/>
  </w:num>
  <w:num w:numId="25">
    <w:abstractNumId w:val="20"/>
  </w:num>
  <w:num w:numId="26">
    <w:abstractNumId w:val="39"/>
  </w:num>
  <w:num w:numId="27">
    <w:abstractNumId w:val="18"/>
  </w:num>
  <w:num w:numId="28">
    <w:abstractNumId w:val="33"/>
  </w:num>
  <w:num w:numId="29">
    <w:abstractNumId w:val="17"/>
  </w:num>
  <w:num w:numId="30">
    <w:abstractNumId w:val="1"/>
  </w:num>
  <w:num w:numId="31">
    <w:abstractNumId w:val="36"/>
  </w:num>
  <w:num w:numId="32">
    <w:abstractNumId w:val="38"/>
  </w:num>
  <w:num w:numId="33">
    <w:abstractNumId w:val="19"/>
  </w:num>
  <w:num w:numId="34">
    <w:abstractNumId w:val="27"/>
  </w:num>
  <w:num w:numId="35">
    <w:abstractNumId w:val="28"/>
  </w:num>
  <w:num w:numId="36">
    <w:abstractNumId w:val="31"/>
  </w:num>
  <w:num w:numId="37">
    <w:abstractNumId w:val="29"/>
  </w:num>
  <w:num w:numId="38">
    <w:abstractNumId w:val="22"/>
  </w:num>
  <w:num w:numId="39">
    <w:abstractNumId w:val="34"/>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iN2EzOTIwNTFkMWRjYjlhM2M2MjEwMTAzOTAyMTAifQ=="/>
  </w:docVars>
  <w:rsids>
    <w:rsidRoot w:val="00172A27"/>
    <w:rsid w:val="00000B67"/>
    <w:rsid w:val="000024BD"/>
    <w:rsid w:val="00006ED8"/>
    <w:rsid w:val="00011095"/>
    <w:rsid w:val="000122F6"/>
    <w:rsid w:val="0001357D"/>
    <w:rsid w:val="000175D2"/>
    <w:rsid w:val="0001780C"/>
    <w:rsid w:val="00024723"/>
    <w:rsid w:val="00025197"/>
    <w:rsid w:val="00030EF4"/>
    <w:rsid w:val="00033A47"/>
    <w:rsid w:val="00035877"/>
    <w:rsid w:val="00043220"/>
    <w:rsid w:val="00052DEF"/>
    <w:rsid w:val="0005479A"/>
    <w:rsid w:val="00055612"/>
    <w:rsid w:val="000610FE"/>
    <w:rsid w:val="0006138B"/>
    <w:rsid w:val="00062A53"/>
    <w:rsid w:val="00063A3F"/>
    <w:rsid w:val="000653D4"/>
    <w:rsid w:val="000660AF"/>
    <w:rsid w:val="0007074F"/>
    <w:rsid w:val="000720D6"/>
    <w:rsid w:val="000800A6"/>
    <w:rsid w:val="00082D03"/>
    <w:rsid w:val="0008325B"/>
    <w:rsid w:val="00087C8C"/>
    <w:rsid w:val="00093604"/>
    <w:rsid w:val="000A22C7"/>
    <w:rsid w:val="000A3936"/>
    <w:rsid w:val="000A3FA2"/>
    <w:rsid w:val="000A5CD1"/>
    <w:rsid w:val="000B564D"/>
    <w:rsid w:val="000C0BF4"/>
    <w:rsid w:val="000C17D5"/>
    <w:rsid w:val="000C32B6"/>
    <w:rsid w:val="000C36F6"/>
    <w:rsid w:val="000D598D"/>
    <w:rsid w:val="000D6F4D"/>
    <w:rsid w:val="000E3D5F"/>
    <w:rsid w:val="000F0192"/>
    <w:rsid w:val="000F6D26"/>
    <w:rsid w:val="00100FB9"/>
    <w:rsid w:val="001012E7"/>
    <w:rsid w:val="00102D59"/>
    <w:rsid w:val="00103182"/>
    <w:rsid w:val="001101C9"/>
    <w:rsid w:val="00111CAA"/>
    <w:rsid w:val="0011692C"/>
    <w:rsid w:val="00121AC0"/>
    <w:rsid w:val="00122B71"/>
    <w:rsid w:val="00127261"/>
    <w:rsid w:val="00131C9F"/>
    <w:rsid w:val="00140124"/>
    <w:rsid w:val="00140947"/>
    <w:rsid w:val="001531D8"/>
    <w:rsid w:val="00166AC9"/>
    <w:rsid w:val="00172A27"/>
    <w:rsid w:val="00192159"/>
    <w:rsid w:val="001931DC"/>
    <w:rsid w:val="00194837"/>
    <w:rsid w:val="00195ACB"/>
    <w:rsid w:val="001A53B9"/>
    <w:rsid w:val="001B034A"/>
    <w:rsid w:val="001B0663"/>
    <w:rsid w:val="001B6C71"/>
    <w:rsid w:val="001C0B77"/>
    <w:rsid w:val="001C20ED"/>
    <w:rsid w:val="001C2ABA"/>
    <w:rsid w:val="001C3874"/>
    <w:rsid w:val="001C4BDE"/>
    <w:rsid w:val="001C5C28"/>
    <w:rsid w:val="001C66CD"/>
    <w:rsid w:val="001C7C25"/>
    <w:rsid w:val="001D1673"/>
    <w:rsid w:val="001D5DE5"/>
    <w:rsid w:val="001D5EBE"/>
    <w:rsid w:val="001E06EC"/>
    <w:rsid w:val="001E1003"/>
    <w:rsid w:val="001E2F01"/>
    <w:rsid w:val="001E49DD"/>
    <w:rsid w:val="001E60C1"/>
    <w:rsid w:val="001E6A01"/>
    <w:rsid w:val="001E6EDE"/>
    <w:rsid w:val="001E789D"/>
    <w:rsid w:val="001F1F52"/>
    <w:rsid w:val="001F20EA"/>
    <w:rsid w:val="002004A6"/>
    <w:rsid w:val="00202B1A"/>
    <w:rsid w:val="0020567B"/>
    <w:rsid w:val="00206DBE"/>
    <w:rsid w:val="002075CA"/>
    <w:rsid w:val="00207A89"/>
    <w:rsid w:val="0021139D"/>
    <w:rsid w:val="002127BD"/>
    <w:rsid w:val="0021338C"/>
    <w:rsid w:val="00213CEC"/>
    <w:rsid w:val="00214085"/>
    <w:rsid w:val="00214AAB"/>
    <w:rsid w:val="00215D22"/>
    <w:rsid w:val="00217174"/>
    <w:rsid w:val="00217EF6"/>
    <w:rsid w:val="0022304B"/>
    <w:rsid w:val="00224D56"/>
    <w:rsid w:val="0022526E"/>
    <w:rsid w:val="00245C95"/>
    <w:rsid w:val="00264EE5"/>
    <w:rsid w:val="00266EEA"/>
    <w:rsid w:val="002744D2"/>
    <w:rsid w:val="00274F56"/>
    <w:rsid w:val="00277F5F"/>
    <w:rsid w:val="002848C9"/>
    <w:rsid w:val="00296611"/>
    <w:rsid w:val="00297318"/>
    <w:rsid w:val="002A07FB"/>
    <w:rsid w:val="002A5029"/>
    <w:rsid w:val="002A5E51"/>
    <w:rsid w:val="002A6D00"/>
    <w:rsid w:val="002C0843"/>
    <w:rsid w:val="002C2011"/>
    <w:rsid w:val="002C22E5"/>
    <w:rsid w:val="002C641C"/>
    <w:rsid w:val="002D1AF4"/>
    <w:rsid w:val="002D230F"/>
    <w:rsid w:val="002D6D56"/>
    <w:rsid w:val="002E25AA"/>
    <w:rsid w:val="002E3C67"/>
    <w:rsid w:val="002F3CBB"/>
    <w:rsid w:val="002F4F1C"/>
    <w:rsid w:val="0030203A"/>
    <w:rsid w:val="0030473C"/>
    <w:rsid w:val="00306483"/>
    <w:rsid w:val="003206F9"/>
    <w:rsid w:val="00320B38"/>
    <w:rsid w:val="00325754"/>
    <w:rsid w:val="0033233A"/>
    <w:rsid w:val="00332FA3"/>
    <w:rsid w:val="00343347"/>
    <w:rsid w:val="003445E7"/>
    <w:rsid w:val="00352964"/>
    <w:rsid w:val="00353336"/>
    <w:rsid w:val="00360A83"/>
    <w:rsid w:val="003674EC"/>
    <w:rsid w:val="00367AF0"/>
    <w:rsid w:val="00377969"/>
    <w:rsid w:val="00381529"/>
    <w:rsid w:val="003902FD"/>
    <w:rsid w:val="0039174C"/>
    <w:rsid w:val="00392787"/>
    <w:rsid w:val="00392CBE"/>
    <w:rsid w:val="00397729"/>
    <w:rsid w:val="003A0203"/>
    <w:rsid w:val="003A1BC6"/>
    <w:rsid w:val="003A3D54"/>
    <w:rsid w:val="003B386B"/>
    <w:rsid w:val="003C078C"/>
    <w:rsid w:val="003C2632"/>
    <w:rsid w:val="003C4AC9"/>
    <w:rsid w:val="003C4E12"/>
    <w:rsid w:val="003C569F"/>
    <w:rsid w:val="003C6783"/>
    <w:rsid w:val="003D2F8F"/>
    <w:rsid w:val="003D3F79"/>
    <w:rsid w:val="003D62F0"/>
    <w:rsid w:val="003D7505"/>
    <w:rsid w:val="003E4B91"/>
    <w:rsid w:val="003F0261"/>
    <w:rsid w:val="003F2472"/>
    <w:rsid w:val="003F530F"/>
    <w:rsid w:val="0040051E"/>
    <w:rsid w:val="004106E6"/>
    <w:rsid w:val="004110BC"/>
    <w:rsid w:val="00412B9B"/>
    <w:rsid w:val="004156C3"/>
    <w:rsid w:val="00430AB3"/>
    <w:rsid w:val="004333D4"/>
    <w:rsid w:val="00433B49"/>
    <w:rsid w:val="00437FED"/>
    <w:rsid w:val="00442C30"/>
    <w:rsid w:val="00460489"/>
    <w:rsid w:val="00461BFA"/>
    <w:rsid w:val="00474691"/>
    <w:rsid w:val="00482B0B"/>
    <w:rsid w:val="00495C6F"/>
    <w:rsid w:val="004B4FC3"/>
    <w:rsid w:val="004B6204"/>
    <w:rsid w:val="004C15F0"/>
    <w:rsid w:val="004C2D1B"/>
    <w:rsid w:val="004C7B3E"/>
    <w:rsid w:val="004D2046"/>
    <w:rsid w:val="004D28C3"/>
    <w:rsid w:val="004D2AD7"/>
    <w:rsid w:val="004D3F26"/>
    <w:rsid w:val="004E2EF9"/>
    <w:rsid w:val="004E32C6"/>
    <w:rsid w:val="004E5881"/>
    <w:rsid w:val="004E7707"/>
    <w:rsid w:val="004F10A6"/>
    <w:rsid w:val="00502CCB"/>
    <w:rsid w:val="00510E38"/>
    <w:rsid w:val="005123C5"/>
    <w:rsid w:val="00514BB1"/>
    <w:rsid w:val="005235FD"/>
    <w:rsid w:val="00524DED"/>
    <w:rsid w:val="00530B46"/>
    <w:rsid w:val="005336E3"/>
    <w:rsid w:val="0054120D"/>
    <w:rsid w:val="00542D06"/>
    <w:rsid w:val="00543E10"/>
    <w:rsid w:val="00544629"/>
    <w:rsid w:val="00545BF7"/>
    <w:rsid w:val="00546C47"/>
    <w:rsid w:val="005507F7"/>
    <w:rsid w:val="00570830"/>
    <w:rsid w:val="00576EA7"/>
    <w:rsid w:val="00592D56"/>
    <w:rsid w:val="0059766A"/>
    <w:rsid w:val="005A6677"/>
    <w:rsid w:val="005B1426"/>
    <w:rsid w:val="005B49D6"/>
    <w:rsid w:val="005C4DD0"/>
    <w:rsid w:val="005C5F7E"/>
    <w:rsid w:val="005D1BB7"/>
    <w:rsid w:val="005D5D46"/>
    <w:rsid w:val="005E1D4F"/>
    <w:rsid w:val="005E1F37"/>
    <w:rsid w:val="005E6697"/>
    <w:rsid w:val="005F00A5"/>
    <w:rsid w:val="005F266A"/>
    <w:rsid w:val="005F3A61"/>
    <w:rsid w:val="005F4058"/>
    <w:rsid w:val="005F47B7"/>
    <w:rsid w:val="005F7184"/>
    <w:rsid w:val="00600B19"/>
    <w:rsid w:val="00603AC8"/>
    <w:rsid w:val="00605CCF"/>
    <w:rsid w:val="0061153F"/>
    <w:rsid w:val="006149AD"/>
    <w:rsid w:val="006202D4"/>
    <w:rsid w:val="00623872"/>
    <w:rsid w:val="00623D8F"/>
    <w:rsid w:val="006247A1"/>
    <w:rsid w:val="00625898"/>
    <w:rsid w:val="00625D28"/>
    <w:rsid w:val="006274A7"/>
    <w:rsid w:val="00636AA2"/>
    <w:rsid w:val="006446E1"/>
    <w:rsid w:val="00650DE0"/>
    <w:rsid w:val="006530EF"/>
    <w:rsid w:val="0065388E"/>
    <w:rsid w:val="006561AE"/>
    <w:rsid w:val="0066049C"/>
    <w:rsid w:val="00661EFC"/>
    <w:rsid w:val="0066470B"/>
    <w:rsid w:val="00666DCF"/>
    <w:rsid w:val="00676DF8"/>
    <w:rsid w:val="0068070F"/>
    <w:rsid w:val="0068397A"/>
    <w:rsid w:val="006878AA"/>
    <w:rsid w:val="00687F72"/>
    <w:rsid w:val="006918A0"/>
    <w:rsid w:val="006938C0"/>
    <w:rsid w:val="00694918"/>
    <w:rsid w:val="00696EA5"/>
    <w:rsid w:val="006977B9"/>
    <w:rsid w:val="006A7918"/>
    <w:rsid w:val="006A7995"/>
    <w:rsid w:val="006B1CA3"/>
    <w:rsid w:val="006C017E"/>
    <w:rsid w:val="006C25D8"/>
    <w:rsid w:val="006D1304"/>
    <w:rsid w:val="006D18D3"/>
    <w:rsid w:val="006D2F53"/>
    <w:rsid w:val="006D3D51"/>
    <w:rsid w:val="006D5403"/>
    <w:rsid w:val="006D6469"/>
    <w:rsid w:val="006E01F2"/>
    <w:rsid w:val="006E6483"/>
    <w:rsid w:val="006F091D"/>
    <w:rsid w:val="00700243"/>
    <w:rsid w:val="00704EC2"/>
    <w:rsid w:val="007067D5"/>
    <w:rsid w:val="007107B3"/>
    <w:rsid w:val="00711135"/>
    <w:rsid w:val="00712384"/>
    <w:rsid w:val="00712641"/>
    <w:rsid w:val="00712E09"/>
    <w:rsid w:val="00713812"/>
    <w:rsid w:val="00714635"/>
    <w:rsid w:val="00714CDB"/>
    <w:rsid w:val="00717B88"/>
    <w:rsid w:val="00724A5A"/>
    <w:rsid w:val="00727D9B"/>
    <w:rsid w:val="007337FA"/>
    <w:rsid w:val="007367D0"/>
    <w:rsid w:val="00740816"/>
    <w:rsid w:val="00743A7C"/>
    <w:rsid w:val="007442A4"/>
    <w:rsid w:val="00752747"/>
    <w:rsid w:val="00753078"/>
    <w:rsid w:val="00756C31"/>
    <w:rsid w:val="007600BB"/>
    <w:rsid w:val="007607D9"/>
    <w:rsid w:val="00763A77"/>
    <w:rsid w:val="0077009B"/>
    <w:rsid w:val="00772E9E"/>
    <w:rsid w:val="00774E99"/>
    <w:rsid w:val="00776069"/>
    <w:rsid w:val="00776440"/>
    <w:rsid w:val="00776C20"/>
    <w:rsid w:val="007827FB"/>
    <w:rsid w:val="00790315"/>
    <w:rsid w:val="00790641"/>
    <w:rsid w:val="007911D9"/>
    <w:rsid w:val="00794EED"/>
    <w:rsid w:val="007A0343"/>
    <w:rsid w:val="007A4B48"/>
    <w:rsid w:val="007A6FE5"/>
    <w:rsid w:val="007A7AB7"/>
    <w:rsid w:val="007B3A96"/>
    <w:rsid w:val="007C0D74"/>
    <w:rsid w:val="007D059F"/>
    <w:rsid w:val="007D3F64"/>
    <w:rsid w:val="007D66AF"/>
    <w:rsid w:val="007E3D4B"/>
    <w:rsid w:val="007E5E77"/>
    <w:rsid w:val="007E6411"/>
    <w:rsid w:val="007E681E"/>
    <w:rsid w:val="007F0AC1"/>
    <w:rsid w:val="007F21EC"/>
    <w:rsid w:val="007F384E"/>
    <w:rsid w:val="00810FD8"/>
    <w:rsid w:val="0081227F"/>
    <w:rsid w:val="00812E2D"/>
    <w:rsid w:val="0081701D"/>
    <w:rsid w:val="008201E9"/>
    <w:rsid w:val="00820D84"/>
    <w:rsid w:val="00822AC2"/>
    <w:rsid w:val="00824C6F"/>
    <w:rsid w:val="00830063"/>
    <w:rsid w:val="00851F1F"/>
    <w:rsid w:val="008543F7"/>
    <w:rsid w:val="00855B10"/>
    <w:rsid w:val="008603FD"/>
    <w:rsid w:val="008670F1"/>
    <w:rsid w:val="00871E4B"/>
    <w:rsid w:val="00874797"/>
    <w:rsid w:val="00882DAA"/>
    <w:rsid w:val="00892E7D"/>
    <w:rsid w:val="00893432"/>
    <w:rsid w:val="008A0E66"/>
    <w:rsid w:val="008A615E"/>
    <w:rsid w:val="008A6D19"/>
    <w:rsid w:val="008B1170"/>
    <w:rsid w:val="008B67D2"/>
    <w:rsid w:val="008B73C4"/>
    <w:rsid w:val="008B76C7"/>
    <w:rsid w:val="008C0D2D"/>
    <w:rsid w:val="008C43AE"/>
    <w:rsid w:val="008C523F"/>
    <w:rsid w:val="008D4CB5"/>
    <w:rsid w:val="008D657C"/>
    <w:rsid w:val="008D6E4A"/>
    <w:rsid w:val="008E03AA"/>
    <w:rsid w:val="008E0CBB"/>
    <w:rsid w:val="008E271A"/>
    <w:rsid w:val="008F1614"/>
    <w:rsid w:val="00902505"/>
    <w:rsid w:val="00906256"/>
    <w:rsid w:val="00916032"/>
    <w:rsid w:val="0092328F"/>
    <w:rsid w:val="009263B2"/>
    <w:rsid w:val="00930508"/>
    <w:rsid w:val="00931AE6"/>
    <w:rsid w:val="0093381D"/>
    <w:rsid w:val="00933D66"/>
    <w:rsid w:val="00937103"/>
    <w:rsid w:val="00937B85"/>
    <w:rsid w:val="0094280A"/>
    <w:rsid w:val="0094544E"/>
    <w:rsid w:val="0095027B"/>
    <w:rsid w:val="00950438"/>
    <w:rsid w:val="00955AD3"/>
    <w:rsid w:val="00965A25"/>
    <w:rsid w:val="00965C80"/>
    <w:rsid w:val="009806DF"/>
    <w:rsid w:val="009838FF"/>
    <w:rsid w:val="0099319F"/>
    <w:rsid w:val="0099610F"/>
    <w:rsid w:val="00996784"/>
    <w:rsid w:val="009A2463"/>
    <w:rsid w:val="009A2F82"/>
    <w:rsid w:val="009B0456"/>
    <w:rsid w:val="009B2865"/>
    <w:rsid w:val="009B2A75"/>
    <w:rsid w:val="009C22CF"/>
    <w:rsid w:val="009C6F4E"/>
    <w:rsid w:val="009D2B84"/>
    <w:rsid w:val="009D4365"/>
    <w:rsid w:val="009D4716"/>
    <w:rsid w:val="009D5B3D"/>
    <w:rsid w:val="009E30C7"/>
    <w:rsid w:val="009E4343"/>
    <w:rsid w:val="009E5419"/>
    <w:rsid w:val="009E6F9D"/>
    <w:rsid w:val="00A2211E"/>
    <w:rsid w:val="00A32079"/>
    <w:rsid w:val="00A364A6"/>
    <w:rsid w:val="00A41833"/>
    <w:rsid w:val="00A4212D"/>
    <w:rsid w:val="00A455E1"/>
    <w:rsid w:val="00A47E6E"/>
    <w:rsid w:val="00A505DB"/>
    <w:rsid w:val="00A53261"/>
    <w:rsid w:val="00A66C31"/>
    <w:rsid w:val="00A7288B"/>
    <w:rsid w:val="00A731E9"/>
    <w:rsid w:val="00A737A1"/>
    <w:rsid w:val="00A8660B"/>
    <w:rsid w:val="00A91F9E"/>
    <w:rsid w:val="00A935E6"/>
    <w:rsid w:val="00A93C2C"/>
    <w:rsid w:val="00A93D38"/>
    <w:rsid w:val="00A94205"/>
    <w:rsid w:val="00A971D3"/>
    <w:rsid w:val="00A97902"/>
    <w:rsid w:val="00AA3759"/>
    <w:rsid w:val="00AA6702"/>
    <w:rsid w:val="00AB2537"/>
    <w:rsid w:val="00AB4D86"/>
    <w:rsid w:val="00AC0079"/>
    <w:rsid w:val="00AC6073"/>
    <w:rsid w:val="00AD0756"/>
    <w:rsid w:val="00AD17C0"/>
    <w:rsid w:val="00AD2713"/>
    <w:rsid w:val="00AD2ECD"/>
    <w:rsid w:val="00AE0C0B"/>
    <w:rsid w:val="00AF15A3"/>
    <w:rsid w:val="00AF2BF6"/>
    <w:rsid w:val="00AF6A54"/>
    <w:rsid w:val="00B00086"/>
    <w:rsid w:val="00B0457C"/>
    <w:rsid w:val="00B10AB1"/>
    <w:rsid w:val="00B133D8"/>
    <w:rsid w:val="00B15AE1"/>
    <w:rsid w:val="00B174BA"/>
    <w:rsid w:val="00B20779"/>
    <w:rsid w:val="00B20A99"/>
    <w:rsid w:val="00B216EA"/>
    <w:rsid w:val="00B25DAA"/>
    <w:rsid w:val="00B3206A"/>
    <w:rsid w:val="00B37715"/>
    <w:rsid w:val="00B40554"/>
    <w:rsid w:val="00B414D4"/>
    <w:rsid w:val="00B42CFD"/>
    <w:rsid w:val="00B441D8"/>
    <w:rsid w:val="00B50042"/>
    <w:rsid w:val="00B52B84"/>
    <w:rsid w:val="00B53742"/>
    <w:rsid w:val="00B53C5A"/>
    <w:rsid w:val="00B55D4D"/>
    <w:rsid w:val="00B601E2"/>
    <w:rsid w:val="00B60B31"/>
    <w:rsid w:val="00B60C13"/>
    <w:rsid w:val="00B63BB4"/>
    <w:rsid w:val="00B64361"/>
    <w:rsid w:val="00B65EA6"/>
    <w:rsid w:val="00B72A1C"/>
    <w:rsid w:val="00B7306C"/>
    <w:rsid w:val="00B73CF5"/>
    <w:rsid w:val="00B75FBA"/>
    <w:rsid w:val="00B8111F"/>
    <w:rsid w:val="00B83693"/>
    <w:rsid w:val="00B87BB8"/>
    <w:rsid w:val="00B90EE6"/>
    <w:rsid w:val="00B91A4C"/>
    <w:rsid w:val="00B9213D"/>
    <w:rsid w:val="00B92D90"/>
    <w:rsid w:val="00B94D47"/>
    <w:rsid w:val="00BA0471"/>
    <w:rsid w:val="00BA0BD4"/>
    <w:rsid w:val="00BA34BB"/>
    <w:rsid w:val="00BA6133"/>
    <w:rsid w:val="00BA6379"/>
    <w:rsid w:val="00BB38A9"/>
    <w:rsid w:val="00BB70ED"/>
    <w:rsid w:val="00BC0CE8"/>
    <w:rsid w:val="00BC3670"/>
    <w:rsid w:val="00BC4309"/>
    <w:rsid w:val="00BD2B58"/>
    <w:rsid w:val="00BD338B"/>
    <w:rsid w:val="00BD7375"/>
    <w:rsid w:val="00BE20FF"/>
    <w:rsid w:val="00BE3577"/>
    <w:rsid w:val="00BE5D8A"/>
    <w:rsid w:val="00BF2A91"/>
    <w:rsid w:val="00BF5590"/>
    <w:rsid w:val="00C02E32"/>
    <w:rsid w:val="00C05B9E"/>
    <w:rsid w:val="00C100F6"/>
    <w:rsid w:val="00C207A3"/>
    <w:rsid w:val="00C2287D"/>
    <w:rsid w:val="00C30816"/>
    <w:rsid w:val="00C33014"/>
    <w:rsid w:val="00C345B1"/>
    <w:rsid w:val="00C368DF"/>
    <w:rsid w:val="00C42693"/>
    <w:rsid w:val="00C42764"/>
    <w:rsid w:val="00C441E6"/>
    <w:rsid w:val="00C44436"/>
    <w:rsid w:val="00C4659D"/>
    <w:rsid w:val="00C549F9"/>
    <w:rsid w:val="00C560C8"/>
    <w:rsid w:val="00C57A7F"/>
    <w:rsid w:val="00C64432"/>
    <w:rsid w:val="00C6657D"/>
    <w:rsid w:val="00C67D9C"/>
    <w:rsid w:val="00C73EEB"/>
    <w:rsid w:val="00C77B95"/>
    <w:rsid w:val="00C8639A"/>
    <w:rsid w:val="00C90B32"/>
    <w:rsid w:val="00CA08AB"/>
    <w:rsid w:val="00CA3277"/>
    <w:rsid w:val="00CB2632"/>
    <w:rsid w:val="00CB3D82"/>
    <w:rsid w:val="00CB4CEF"/>
    <w:rsid w:val="00CB6CEA"/>
    <w:rsid w:val="00CC06E7"/>
    <w:rsid w:val="00CC3BD4"/>
    <w:rsid w:val="00CD2CA3"/>
    <w:rsid w:val="00CD64DD"/>
    <w:rsid w:val="00CE073B"/>
    <w:rsid w:val="00CE53DD"/>
    <w:rsid w:val="00CE626E"/>
    <w:rsid w:val="00CE68A1"/>
    <w:rsid w:val="00CF125C"/>
    <w:rsid w:val="00CF514F"/>
    <w:rsid w:val="00CF6F42"/>
    <w:rsid w:val="00CF75C2"/>
    <w:rsid w:val="00D05A44"/>
    <w:rsid w:val="00D0700F"/>
    <w:rsid w:val="00D22892"/>
    <w:rsid w:val="00D24BAF"/>
    <w:rsid w:val="00D3418E"/>
    <w:rsid w:val="00D34945"/>
    <w:rsid w:val="00D350BE"/>
    <w:rsid w:val="00D40BBE"/>
    <w:rsid w:val="00D41E5D"/>
    <w:rsid w:val="00D42121"/>
    <w:rsid w:val="00D45A9C"/>
    <w:rsid w:val="00D47F98"/>
    <w:rsid w:val="00D53018"/>
    <w:rsid w:val="00D57D62"/>
    <w:rsid w:val="00D60352"/>
    <w:rsid w:val="00D63328"/>
    <w:rsid w:val="00D65E42"/>
    <w:rsid w:val="00D73174"/>
    <w:rsid w:val="00D73A64"/>
    <w:rsid w:val="00D761FC"/>
    <w:rsid w:val="00D77DC5"/>
    <w:rsid w:val="00D875C8"/>
    <w:rsid w:val="00D90BE1"/>
    <w:rsid w:val="00D94834"/>
    <w:rsid w:val="00D96CD8"/>
    <w:rsid w:val="00D973B6"/>
    <w:rsid w:val="00DA26BC"/>
    <w:rsid w:val="00DA3582"/>
    <w:rsid w:val="00DA46BA"/>
    <w:rsid w:val="00DB0E68"/>
    <w:rsid w:val="00DB4137"/>
    <w:rsid w:val="00DB4FDF"/>
    <w:rsid w:val="00DB72D5"/>
    <w:rsid w:val="00DC436C"/>
    <w:rsid w:val="00DC6EEC"/>
    <w:rsid w:val="00DD6E71"/>
    <w:rsid w:val="00DD7458"/>
    <w:rsid w:val="00DE1A31"/>
    <w:rsid w:val="00DF2874"/>
    <w:rsid w:val="00E00741"/>
    <w:rsid w:val="00E01850"/>
    <w:rsid w:val="00E04FAC"/>
    <w:rsid w:val="00E11648"/>
    <w:rsid w:val="00E25AB3"/>
    <w:rsid w:val="00E26C0D"/>
    <w:rsid w:val="00E27C1F"/>
    <w:rsid w:val="00E30796"/>
    <w:rsid w:val="00E30D8E"/>
    <w:rsid w:val="00E32FD4"/>
    <w:rsid w:val="00E33BE5"/>
    <w:rsid w:val="00E34221"/>
    <w:rsid w:val="00E36D47"/>
    <w:rsid w:val="00E37618"/>
    <w:rsid w:val="00E40578"/>
    <w:rsid w:val="00E56257"/>
    <w:rsid w:val="00E56A84"/>
    <w:rsid w:val="00E67942"/>
    <w:rsid w:val="00E77E92"/>
    <w:rsid w:val="00E870A0"/>
    <w:rsid w:val="00E93711"/>
    <w:rsid w:val="00E93F32"/>
    <w:rsid w:val="00E95797"/>
    <w:rsid w:val="00E96459"/>
    <w:rsid w:val="00EA1B12"/>
    <w:rsid w:val="00EA58CF"/>
    <w:rsid w:val="00EB23C0"/>
    <w:rsid w:val="00EC318C"/>
    <w:rsid w:val="00EC3532"/>
    <w:rsid w:val="00EC47D5"/>
    <w:rsid w:val="00ED0242"/>
    <w:rsid w:val="00ED18AC"/>
    <w:rsid w:val="00ED4265"/>
    <w:rsid w:val="00ED69D0"/>
    <w:rsid w:val="00EE49B5"/>
    <w:rsid w:val="00EE4F5F"/>
    <w:rsid w:val="00EE5494"/>
    <w:rsid w:val="00EE6B86"/>
    <w:rsid w:val="00EF40BD"/>
    <w:rsid w:val="00EF511C"/>
    <w:rsid w:val="00EF5C03"/>
    <w:rsid w:val="00F1095C"/>
    <w:rsid w:val="00F115CB"/>
    <w:rsid w:val="00F12927"/>
    <w:rsid w:val="00F13664"/>
    <w:rsid w:val="00F208A0"/>
    <w:rsid w:val="00F33EDE"/>
    <w:rsid w:val="00F4538F"/>
    <w:rsid w:val="00F53902"/>
    <w:rsid w:val="00F5691D"/>
    <w:rsid w:val="00F5713A"/>
    <w:rsid w:val="00F57265"/>
    <w:rsid w:val="00F625CC"/>
    <w:rsid w:val="00F63FFD"/>
    <w:rsid w:val="00F65CDC"/>
    <w:rsid w:val="00F668A7"/>
    <w:rsid w:val="00F706A7"/>
    <w:rsid w:val="00F74D2C"/>
    <w:rsid w:val="00F835B4"/>
    <w:rsid w:val="00F861E1"/>
    <w:rsid w:val="00F90088"/>
    <w:rsid w:val="00F92A46"/>
    <w:rsid w:val="00F94606"/>
    <w:rsid w:val="00F95364"/>
    <w:rsid w:val="00FA0905"/>
    <w:rsid w:val="00FA7440"/>
    <w:rsid w:val="00FB0270"/>
    <w:rsid w:val="00FB0B48"/>
    <w:rsid w:val="00FB46E3"/>
    <w:rsid w:val="00FB543C"/>
    <w:rsid w:val="00FC0A48"/>
    <w:rsid w:val="00FC4282"/>
    <w:rsid w:val="00FD01FC"/>
    <w:rsid w:val="00FD0C33"/>
    <w:rsid w:val="00FD4527"/>
    <w:rsid w:val="00FF4E8B"/>
    <w:rsid w:val="00FF553F"/>
    <w:rsid w:val="0123584C"/>
    <w:rsid w:val="01387498"/>
    <w:rsid w:val="01441B75"/>
    <w:rsid w:val="027016FC"/>
    <w:rsid w:val="02A55318"/>
    <w:rsid w:val="02ED7EC0"/>
    <w:rsid w:val="030F0874"/>
    <w:rsid w:val="03BA0B3E"/>
    <w:rsid w:val="03DB4CB7"/>
    <w:rsid w:val="03F86B1C"/>
    <w:rsid w:val="044B7A69"/>
    <w:rsid w:val="04812FB5"/>
    <w:rsid w:val="057E12A3"/>
    <w:rsid w:val="05924D4E"/>
    <w:rsid w:val="0597643A"/>
    <w:rsid w:val="05B22148"/>
    <w:rsid w:val="05D666A6"/>
    <w:rsid w:val="060D2BE2"/>
    <w:rsid w:val="066725EA"/>
    <w:rsid w:val="06B325A0"/>
    <w:rsid w:val="073D7D39"/>
    <w:rsid w:val="074F68A1"/>
    <w:rsid w:val="07A36DA2"/>
    <w:rsid w:val="07DC7F37"/>
    <w:rsid w:val="082B63F3"/>
    <w:rsid w:val="084132D7"/>
    <w:rsid w:val="08C43471"/>
    <w:rsid w:val="08CE18E6"/>
    <w:rsid w:val="08DB6A0C"/>
    <w:rsid w:val="090A275D"/>
    <w:rsid w:val="098053B2"/>
    <w:rsid w:val="09A929CD"/>
    <w:rsid w:val="09B66215"/>
    <w:rsid w:val="09D0514D"/>
    <w:rsid w:val="09D92F4C"/>
    <w:rsid w:val="09DE7172"/>
    <w:rsid w:val="09EB0ED1"/>
    <w:rsid w:val="0A4C228D"/>
    <w:rsid w:val="0A8360EE"/>
    <w:rsid w:val="0B260413"/>
    <w:rsid w:val="0B2621C1"/>
    <w:rsid w:val="0B2A71FA"/>
    <w:rsid w:val="0B4C5C81"/>
    <w:rsid w:val="0B9A57CC"/>
    <w:rsid w:val="0BB05CA6"/>
    <w:rsid w:val="0BD9705A"/>
    <w:rsid w:val="0C0F1E96"/>
    <w:rsid w:val="0C2D06AB"/>
    <w:rsid w:val="0C9413AC"/>
    <w:rsid w:val="0C985340"/>
    <w:rsid w:val="0CA971D2"/>
    <w:rsid w:val="0CE340E1"/>
    <w:rsid w:val="0D463415"/>
    <w:rsid w:val="0D680D6A"/>
    <w:rsid w:val="0E651252"/>
    <w:rsid w:val="0E66174C"/>
    <w:rsid w:val="0E883D51"/>
    <w:rsid w:val="0F1A3A25"/>
    <w:rsid w:val="0F210DE7"/>
    <w:rsid w:val="0F627E5A"/>
    <w:rsid w:val="0F9C2181"/>
    <w:rsid w:val="0FB178BC"/>
    <w:rsid w:val="10810897"/>
    <w:rsid w:val="10E04599"/>
    <w:rsid w:val="112371A2"/>
    <w:rsid w:val="11477335"/>
    <w:rsid w:val="11D06A92"/>
    <w:rsid w:val="11F41C82"/>
    <w:rsid w:val="123D3037"/>
    <w:rsid w:val="124A0781"/>
    <w:rsid w:val="125B2294"/>
    <w:rsid w:val="127C6D88"/>
    <w:rsid w:val="12867B57"/>
    <w:rsid w:val="12BA24F3"/>
    <w:rsid w:val="12DA1108"/>
    <w:rsid w:val="1323110C"/>
    <w:rsid w:val="1334248E"/>
    <w:rsid w:val="13C47C13"/>
    <w:rsid w:val="1432149B"/>
    <w:rsid w:val="14430781"/>
    <w:rsid w:val="14D25411"/>
    <w:rsid w:val="15C70A44"/>
    <w:rsid w:val="15F65D9C"/>
    <w:rsid w:val="16817890"/>
    <w:rsid w:val="16F21AF1"/>
    <w:rsid w:val="16FD6F10"/>
    <w:rsid w:val="173C131B"/>
    <w:rsid w:val="175D54EB"/>
    <w:rsid w:val="17771FF6"/>
    <w:rsid w:val="178E679B"/>
    <w:rsid w:val="17965F28"/>
    <w:rsid w:val="17FB49D5"/>
    <w:rsid w:val="18770500"/>
    <w:rsid w:val="18AA3D7B"/>
    <w:rsid w:val="18B1744D"/>
    <w:rsid w:val="18E84F59"/>
    <w:rsid w:val="1991739F"/>
    <w:rsid w:val="1A006CB6"/>
    <w:rsid w:val="1A295829"/>
    <w:rsid w:val="1AF32EC7"/>
    <w:rsid w:val="1B327B61"/>
    <w:rsid w:val="1B4A6D8C"/>
    <w:rsid w:val="1C252021"/>
    <w:rsid w:val="1CBD74FE"/>
    <w:rsid w:val="1CD001DE"/>
    <w:rsid w:val="1D7D5F23"/>
    <w:rsid w:val="1D8B7D8E"/>
    <w:rsid w:val="1E1A5821"/>
    <w:rsid w:val="1E5D3753"/>
    <w:rsid w:val="1EC62F0A"/>
    <w:rsid w:val="1F0F797A"/>
    <w:rsid w:val="1F53565D"/>
    <w:rsid w:val="20C930A5"/>
    <w:rsid w:val="20FD5E42"/>
    <w:rsid w:val="21546B3E"/>
    <w:rsid w:val="224A0A33"/>
    <w:rsid w:val="225C17EC"/>
    <w:rsid w:val="22AE3E36"/>
    <w:rsid w:val="22B00078"/>
    <w:rsid w:val="232C3E5C"/>
    <w:rsid w:val="235E4651"/>
    <w:rsid w:val="23890C21"/>
    <w:rsid w:val="23A4726E"/>
    <w:rsid w:val="246C7F6B"/>
    <w:rsid w:val="24EF7670"/>
    <w:rsid w:val="24F03113"/>
    <w:rsid w:val="258F569C"/>
    <w:rsid w:val="259F1096"/>
    <w:rsid w:val="26967FD8"/>
    <w:rsid w:val="27737134"/>
    <w:rsid w:val="2786250D"/>
    <w:rsid w:val="27EE4010"/>
    <w:rsid w:val="27F54071"/>
    <w:rsid w:val="282C5A6C"/>
    <w:rsid w:val="28563D15"/>
    <w:rsid w:val="286B5FFF"/>
    <w:rsid w:val="28A543C7"/>
    <w:rsid w:val="28F2772E"/>
    <w:rsid w:val="28F55DD7"/>
    <w:rsid w:val="29612F79"/>
    <w:rsid w:val="296D7758"/>
    <w:rsid w:val="29701CCA"/>
    <w:rsid w:val="29AA4452"/>
    <w:rsid w:val="29BF1D06"/>
    <w:rsid w:val="29F05197"/>
    <w:rsid w:val="29F37C02"/>
    <w:rsid w:val="2A07545B"/>
    <w:rsid w:val="2A293624"/>
    <w:rsid w:val="2AA86E96"/>
    <w:rsid w:val="2B197B49"/>
    <w:rsid w:val="2B3453CB"/>
    <w:rsid w:val="2B5A5C64"/>
    <w:rsid w:val="2B5E72FD"/>
    <w:rsid w:val="2B6366C1"/>
    <w:rsid w:val="2B7E34FB"/>
    <w:rsid w:val="2BB95823"/>
    <w:rsid w:val="2BF803B2"/>
    <w:rsid w:val="2C2F7BD8"/>
    <w:rsid w:val="2CA86A82"/>
    <w:rsid w:val="2CC6461E"/>
    <w:rsid w:val="2CEB6D71"/>
    <w:rsid w:val="2CF42331"/>
    <w:rsid w:val="2D1B3DB4"/>
    <w:rsid w:val="2D915768"/>
    <w:rsid w:val="2E43662D"/>
    <w:rsid w:val="2F573CB1"/>
    <w:rsid w:val="2F911A4F"/>
    <w:rsid w:val="2F9C6646"/>
    <w:rsid w:val="301B34BA"/>
    <w:rsid w:val="304C1E1A"/>
    <w:rsid w:val="308220A2"/>
    <w:rsid w:val="3098505F"/>
    <w:rsid w:val="30A722E1"/>
    <w:rsid w:val="31692558"/>
    <w:rsid w:val="3200110E"/>
    <w:rsid w:val="32045458"/>
    <w:rsid w:val="32C24615"/>
    <w:rsid w:val="32D305D1"/>
    <w:rsid w:val="32EF2028"/>
    <w:rsid w:val="32FB3D4F"/>
    <w:rsid w:val="331564CA"/>
    <w:rsid w:val="336E0046"/>
    <w:rsid w:val="33C323F3"/>
    <w:rsid w:val="33D86FB9"/>
    <w:rsid w:val="344E26EC"/>
    <w:rsid w:val="3470791F"/>
    <w:rsid w:val="35137A1F"/>
    <w:rsid w:val="355B5119"/>
    <w:rsid w:val="35B874C9"/>
    <w:rsid w:val="35CB590B"/>
    <w:rsid w:val="360F1920"/>
    <w:rsid w:val="368F480F"/>
    <w:rsid w:val="37B87D95"/>
    <w:rsid w:val="37CE75B8"/>
    <w:rsid w:val="37D349C5"/>
    <w:rsid w:val="37F76B0F"/>
    <w:rsid w:val="382618A6"/>
    <w:rsid w:val="39D07618"/>
    <w:rsid w:val="39E71089"/>
    <w:rsid w:val="3AA94B21"/>
    <w:rsid w:val="3AF5640E"/>
    <w:rsid w:val="3B121BA3"/>
    <w:rsid w:val="3B1D1237"/>
    <w:rsid w:val="3B702E61"/>
    <w:rsid w:val="3BD776F8"/>
    <w:rsid w:val="3BFC5F14"/>
    <w:rsid w:val="3CA9185E"/>
    <w:rsid w:val="3CB57822"/>
    <w:rsid w:val="3D255ECD"/>
    <w:rsid w:val="3D675633"/>
    <w:rsid w:val="3D851931"/>
    <w:rsid w:val="3D87287F"/>
    <w:rsid w:val="3DA6700D"/>
    <w:rsid w:val="3DCF38D5"/>
    <w:rsid w:val="3DEE23CA"/>
    <w:rsid w:val="3E1335DF"/>
    <w:rsid w:val="3E156248"/>
    <w:rsid w:val="3E5848C9"/>
    <w:rsid w:val="3E952BDE"/>
    <w:rsid w:val="3EE56314"/>
    <w:rsid w:val="3FB72A36"/>
    <w:rsid w:val="3FD80FD4"/>
    <w:rsid w:val="40BC26A4"/>
    <w:rsid w:val="410F6C78"/>
    <w:rsid w:val="412A1D04"/>
    <w:rsid w:val="415E569E"/>
    <w:rsid w:val="41A43864"/>
    <w:rsid w:val="41E37E51"/>
    <w:rsid w:val="41F63994"/>
    <w:rsid w:val="420936C7"/>
    <w:rsid w:val="422B7D78"/>
    <w:rsid w:val="425741FF"/>
    <w:rsid w:val="42DD1386"/>
    <w:rsid w:val="42E80ECD"/>
    <w:rsid w:val="430035A8"/>
    <w:rsid w:val="432804C5"/>
    <w:rsid w:val="433C7ACC"/>
    <w:rsid w:val="43A7554B"/>
    <w:rsid w:val="440B0BF3"/>
    <w:rsid w:val="44775260"/>
    <w:rsid w:val="449642C0"/>
    <w:rsid w:val="452D71F0"/>
    <w:rsid w:val="454678FE"/>
    <w:rsid w:val="4581651C"/>
    <w:rsid w:val="459D6A7C"/>
    <w:rsid w:val="45B26303"/>
    <w:rsid w:val="46076622"/>
    <w:rsid w:val="46405E28"/>
    <w:rsid w:val="46450A62"/>
    <w:rsid w:val="4656120D"/>
    <w:rsid w:val="472A20EA"/>
    <w:rsid w:val="474653BD"/>
    <w:rsid w:val="475B0560"/>
    <w:rsid w:val="477130E7"/>
    <w:rsid w:val="477A481C"/>
    <w:rsid w:val="477F61D9"/>
    <w:rsid w:val="47B62742"/>
    <w:rsid w:val="47B8300B"/>
    <w:rsid w:val="47F95F8C"/>
    <w:rsid w:val="486D24D6"/>
    <w:rsid w:val="488B4075"/>
    <w:rsid w:val="48B7695A"/>
    <w:rsid w:val="48D10CB7"/>
    <w:rsid w:val="495E78A9"/>
    <w:rsid w:val="496E28EB"/>
    <w:rsid w:val="499624A2"/>
    <w:rsid w:val="49C87345"/>
    <w:rsid w:val="49D365DA"/>
    <w:rsid w:val="49DB12BE"/>
    <w:rsid w:val="49DC5130"/>
    <w:rsid w:val="4A121587"/>
    <w:rsid w:val="4A9F1957"/>
    <w:rsid w:val="4AA0400D"/>
    <w:rsid w:val="4B6E598E"/>
    <w:rsid w:val="4B7F4899"/>
    <w:rsid w:val="4CC931F3"/>
    <w:rsid w:val="4D782049"/>
    <w:rsid w:val="4DD34C88"/>
    <w:rsid w:val="4DE35714"/>
    <w:rsid w:val="4DED45AE"/>
    <w:rsid w:val="4E361CE8"/>
    <w:rsid w:val="4F315157"/>
    <w:rsid w:val="4F474B75"/>
    <w:rsid w:val="4F8B7F76"/>
    <w:rsid w:val="50330C90"/>
    <w:rsid w:val="50D50B47"/>
    <w:rsid w:val="514256D8"/>
    <w:rsid w:val="51744906"/>
    <w:rsid w:val="51A14193"/>
    <w:rsid w:val="51CB3426"/>
    <w:rsid w:val="51DE7317"/>
    <w:rsid w:val="52743C8F"/>
    <w:rsid w:val="52840159"/>
    <w:rsid w:val="52854903"/>
    <w:rsid w:val="53AA5575"/>
    <w:rsid w:val="53B65679"/>
    <w:rsid w:val="53DA1367"/>
    <w:rsid w:val="53DF072C"/>
    <w:rsid w:val="54160665"/>
    <w:rsid w:val="547E5622"/>
    <w:rsid w:val="54A264C0"/>
    <w:rsid w:val="54C334EB"/>
    <w:rsid w:val="551E2BB0"/>
    <w:rsid w:val="55384960"/>
    <w:rsid w:val="555C7252"/>
    <w:rsid w:val="557B2451"/>
    <w:rsid w:val="55880F1A"/>
    <w:rsid w:val="558A7E17"/>
    <w:rsid w:val="56371359"/>
    <w:rsid w:val="56AB2F3F"/>
    <w:rsid w:val="56C13162"/>
    <w:rsid w:val="57493186"/>
    <w:rsid w:val="574E71C5"/>
    <w:rsid w:val="579730CB"/>
    <w:rsid w:val="57AB52EF"/>
    <w:rsid w:val="57BC2E6D"/>
    <w:rsid w:val="57DA389E"/>
    <w:rsid w:val="57E16E73"/>
    <w:rsid w:val="57F64296"/>
    <w:rsid w:val="58353010"/>
    <w:rsid w:val="583A3BCA"/>
    <w:rsid w:val="585E75AE"/>
    <w:rsid w:val="58BD754D"/>
    <w:rsid w:val="59124A43"/>
    <w:rsid w:val="599D4BCA"/>
    <w:rsid w:val="59CD3BBE"/>
    <w:rsid w:val="5AD563E4"/>
    <w:rsid w:val="5AEF35B4"/>
    <w:rsid w:val="5B2B06FA"/>
    <w:rsid w:val="5B337172"/>
    <w:rsid w:val="5B8E076F"/>
    <w:rsid w:val="5BEA2363"/>
    <w:rsid w:val="5C3435DF"/>
    <w:rsid w:val="5C4A3271"/>
    <w:rsid w:val="5D0413B6"/>
    <w:rsid w:val="5D526412"/>
    <w:rsid w:val="5D586E8B"/>
    <w:rsid w:val="5D9A5639"/>
    <w:rsid w:val="5DEA4640"/>
    <w:rsid w:val="5E4746B4"/>
    <w:rsid w:val="5E9479CE"/>
    <w:rsid w:val="5EBA703D"/>
    <w:rsid w:val="5F4D18CC"/>
    <w:rsid w:val="5FFA069B"/>
    <w:rsid w:val="601E291B"/>
    <w:rsid w:val="60205F11"/>
    <w:rsid w:val="603E4935"/>
    <w:rsid w:val="60D51A66"/>
    <w:rsid w:val="61AD561F"/>
    <w:rsid w:val="620459EB"/>
    <w:rsid w:val="6239771D"/>
    <w:rsid w:val="6320252A"/>
    <w:rsid w:val="63323B5A"/>
    <w:rsid w:val="636162CE"/>
    <w:rsid w:val="63B2516A"/>
    <w:rsid w:val="63C63222"/>
    <w:rsid w:val="63DD2D06"/>
    <w:rsid w:val="649659B2"/>
    <w:rsid w:val="64E116C7"/>
    <w:rsid w:val="653A2089"/>
    <w:rsid w:val="653D52B2"/>
    <w:rsid w:val="65913945"/>
    <w:rsid w:val="66864ADD"/>
    <w:rsid w:val="66982A8E"/>
    <w:rsid w:val="67334BBF"/>
    <w:rsid w:val="67486190"/>
    <w:rsid w:val="6778648B"/>
    <w:rsid w:val="67863E23"/>
    <w:rsid w:val="685158B6"/>
    <w:rsid w:val="68980DF8"/>
    <w:rsid w:val="68AE4433"/>
    <w:rsid w:val="693C200F"/>
    <w:rsid w:val="69B05FCE"/>
    <w:rsid w:val="69CB7794"/>
    <w:rsid w:val="69F052C8"/>
    <w:rsid w:val="6A072D55"/>
    <w:rsid w:val="6A076CF2"/>
    <w:rsid w:val="6A16109D"/>
    <w:rsid w:val="6A4649E7"/>
    <w:rsid w:val="6A507835"/>
    <w:rsid w:val="6A890A77"/>
    <w:rsid w:val="6A980187"/>
    <w:rsid w:val="6ADF1505"/>
    <w:rsid w:val="6B0F0D18"/>
    <w:rsid w:val="6B6F1F3D"/>
    <w:rsid w:val="6BC3779C"/>
    <w:rsid w:val="6BD149A6"/>
    <w:rsid w:val="6C860F1A"/>
    <w:rsid w:val="6CB641A7"/>
    <w:rsid w:val="6D053E94"/>
    <w:rsid w:val="6D1E3C1B"/>
    <w:rsid w:val="6D2D4D8E"/>
    <w:rsid w:val="6D8D2B4F"/>
    <w:rsid w:val="6DDD5884"/>
    <w:rsid w:val="6E09299D"/>
    <w:rsid w:val="6E096679"/>
    <w:rsid w:val="6E182D60"/>
    <w:rsid w:val="6E544DF6"/>
    <w:rsid w:val="6E641B01"/>
    <w:rsid w:val="6F573414"/>
    <w:rsid w:val="6F803D9E"/>
    <w:rsid w:val="6F825F70"/>
    <w:rsid w:val="7087209D"/>
    <w:rsid w:val="70944C70"/>
    <w:rsid w:val="70B34447"/>
    <w:rsid w:val="70DB3CE5"/>
    <w:rsid w:val="711F4406"/>
    <w:rsid w:val="715F65BA"/>
    <w:rsid w:val="71946BA2"/>
    <w:rsid w:val="71D52D65"/>
    <w:rsid w:val="71F40ABE"/>
    <w:rsid w:val="72247C2E"/>
    <w:rsid w:val="72486B4A"/>
    <w:rsid w:val="726C24E4"/>
    <w:rsid w:val="73023757"/>
    <w:rsid w:val="73557C49"/>
    <w:rsid w:val="73B9121F"/>
    <w:rsid w:val="74D06143"/>
    <w:rsid w:val="74D61BC8"/>
    <w:rsid w:val="74E80941"/>
    <w:rsid w:val="752D288A"/>
    <w:rsid w:val="753A20B8"/>
    <w:rsid w:val="75722D56"/>
    <w:rsid w:val="75A46E36"/>
    <w:rsid w:val="76752989"/>
    <w:rsid w:val="770D023D"/>
    <w:rsid w:val="77102ABF"/>
    <w:rsid w:val="772C162A"/>
    <w:rsid w:val="77662A27"/>
    <w:rsid w:val="782D11B6"/>
    <w:rsid w:val="784309DA"/>
    <w:rsid w:val="78B71E7D"/>
    <w:rsid w:val="794B58BC"/>
    <w:rsid w:val="79DF79A3"/>
    <w:rsid w:val="7A5B3252"/>
    <w:rsid w:val="7A68152A"/>
    <w:rsid w:val="7A6B246A"/>
    <w:rsid w:val="7A9032B8"/>
    <w:rsid w:val="7AE53FCA"/>
    <w:rsid w:val="7B226FCC"/>
    <w:rsid w:val="7B236F25"/>
    <w:rsid w:val="7B407452"/>
    <w:rsid w:val="7B8140DE"/>
    <w:rsid w:val="7B8740B0"/>
    <w:rsid w:val="7BE564DF"/>
    <w:rsid w:val="7C3F3788"/>
    <w:rsid w:val="7C5D450D"/>
    <w:rsid w:val="7C865339"/>
    <w:rsid w:val="7CDE17C0"/>
    <w:rsid w:val="7D292894"/>
    <w:rsid w:val="7D4F1BCF"/>
    <w:rsid w:val="7D900582"/>
    <w:rsid w:val="7DD42DA5"/>
    <w:rsid w:val="7E064FC7"/>
    <w:rsid w:val="7E490D14"/>
    <w:rsid w:val="7EB656AC"/>
    <w:rsid w:val="7EDA4DF2"/>
    <w:rsid w:val="7F17671C"/>
    <w:rsid w:val="7F473382"/>
    <w:rsid w:val="7FDB0F1F"/>
    <w:rsid w:val="BDFF1630"/>
    <w:rsid w:val="E9DD8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3"/>
    <w:qFormat/>
    <w:uiPriority w:val="0"/>
    <w:pPr>
      <w:keepNext/>
      <w:keepLines/>
      <w:numPr>
        <w:ilvl w:val="0"/>
        <w:numId w:val="1"/>
      </w:numPr>
      <w:topLinePunct/>
      <w:spacing w:line="480" w:lineRule="auto"/>
      <w:textAlignment w:val="baseline"/>
      <w:outlineLvl w:val="0"/>
    </w:pPr>
    <w:rPr>
      <w:rFonts w:eastAsia="汉仪大宋简"/>
      <w:kern w:val="44"/>
      <w:sz w:val="22"/>
      <w:szCs w:val="22"/>
    </w:rPr>
  </w:style>
  <w:style w:type="paragraph" w:styleId="3">
    <w:name w:val="heading 2"/>
    <w:basedOn w:val="1"/>
    <w:next w:val="4"/>
    <w:link w:val="104"/>
    <w:qFormat/>
    <w:uiPriority w:val="0"/>
    <w:pPr>
      <w:keepNext/>
      <w:keepLines/>
      <w:numPr>
        <w:ilvl w:val="1"/>
        <w:numId w:val="1"/>
      </w:numPr>
      <w:topLinePunct/>
      <w:outlineLvl w:val="1"/>
    </w:pPr>
    <w:rPr>
      <w:rFonts w:eastAsia="黑体"/>
      <w:bCs/>
      <w:szCs w:val="21"/>
    </w:rPr>
  </w:style>
  <w:style w:type="paragraph" w:styleId="5">
    <w:name w:val="heading 3"/>
    <w:basedOn w:val="1"/>
    <w:next w:val="1"/>
    <w:link w:val="105"/>
    <w:qFormat/>
    <w:uiPriority w:val="0"/>
    <w:pPr>
      <w:keepNext/>
      <w:keepLines/>
      <w:numPr>
        <w:ilvl w:val="2"/>
        <w:numId w:val="1"/>
      </w:numPr>
      <w:spacing w:line="960" w:lineRule="auto"/>
      <w:jc w:val="center"/>
      <w:outlineLvl w:val="2"/>
    </w:pPr>
    <w:rPr>
      <w:rFonts w:eastAsia="黑体"/>
      <w:bCs/>
      <w:sz w:val="28"/>
      <w:szCs w:val="28"/>
    </w:rPr>
  </w:style>
  <w:style w:type="paragraph" w:styleId="6">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bCs/>
      <w:sz w:val="28"/>
      <w:szCs w:val="28"/>
    </w:rPr>
  </w:style>
  <w:style w:type="paragraph" w:styleId="7">
    <w:name w:val="heading 5"/>
    <w:basedOn w:val="1"/>
    <w:next w:val="1"/>
    <w:link w:val="107"/>
    <w:qFormat/>
    <w:uiPriority w:val="0"/>
    <w:pPr>
      <w:keepNext/>
      <w:keepLines/>
      <w:numPr>
        <w:ilvl w:val="4"/>
        <w:numId w:val="1"/>
      </w:numPr>
      <w:outlineLvl w:val="4"/>
    </w:pPr>
    <w:rPr>
      <w:rFonts w:eastAsia="黑体"/>
      <w:bCs/>
      <w:szCs w:val="28"/>
    </w:rPr>
  </w:style>
  <w:style w:type="paragraph" w:styleId="8">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bCs/>
      <w:sz w:val="24"/>
    </w:rPr>
  </w:style>
  <w:style w:type="paragraph" w:styleId="9">
    <w:name w:val="heading 7"/>
    <w:basedOn w:val="1"/>
    <w:next w:val="1"/>
    <w:link w:val="109"/>
    <w:qFormat/>
    <w:uiPriority w:val="0"/>
    <w:pPr>
      <w:keepNext/>
      <w:keepLines/>
      <w:numPr>
        <w:ilvl w:val="6"/>
        <w:numId w:val="1"/>
      </w:numPr>
      <w:spacing w:before="240" w:after="64" w:line="317" w:lineRule="auto"/>
      <w:outlineLvl w:val="6"/>
    </w:pPr>
    <w:rPr>
      <w:b/>
      <w:bCs/>
      <w:sz w:val="24"/>
    </w:rPr>
  </w:style>
  <w:style w:type="paragraph" w:styleId="10">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szCs w:val="21"/>
    </w:rPr>
  </w:style>
  <w:style w:type="character" w:default="1" w:styleId="87">
    <w:name w:val="Default Paragraph Font"/>
    <w:semiHidden/>
    <w:unhideWhenUsed/>
    <w:qFormat/>
    <w:uiPriority w:val="1"/>
  </w:style>
  <w:style w:type="table" w:default="1" w:styleId="8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112"/>
    <w:qFormat/>
    <w:uiPriority w:val="0"/>
    <w:pPr>
      <w:ind w:firstLine="420"/>
    </w:pPr>
  </w:style>
  <w:style w:type="paragraph" w:styleId="12">
    <w:name w:val="List 3"/>
    <w:basedOn w:val="1"/>
    <w:qFormat/>
    <w:uiPriority w:val="0"/>
    <w:pPr>
      <w:ind w:left="1260" w:hanging="420"/>
    </w:pPr>
  </w:style>
  <w:style w:type="paragraph" w:styleId="13">
    <w:name w:val="toc 7"/>
    <w:basedOn w:val="1"/>
    <w:next w:val="1"/>
    <w:qFormat/>
    <w:uiPriority w:val="39"/>
    <w:pPr>
      <w:ind w:left="1260"/>
      <w:jc w:val="left"/>
    </w:pPr>
    <w:rPr>
      <w:sz w:val="20"/>
      <w:szCs w:val="20"/>
    </w:rPr>
  </w:style>
  <w:style w:type="paragraph" w:styleId="14">
    <w:name w:val="List Number 2"/>
    <w:basedOn w:val="1"/>
    <w:qFormat/>
    <w:uiPriority w:val="0"/>
    <w:pPr>
      <w:numPr>
        <w:ilvl w:val="0"/>
        <w:numId w:val="2"/>
      </w:numPr>
    </w:pPr>
  </w:style>
  <w:style w:type="paragraph" w:styleId="15">
    <w:name w:val="Note Heading"/>
    <w:basedOn w:val="1"/>
    <w:next w:val="1"/>
    <w:qFormat/>
    <w:uiPriority w:val="0"/>
    <w:pPr>
      <w:jc w:val="center"/>
    </w:pPr>
  </w:style>
  <w:style w:type="paragraph" w:styleId="16">
    <w:name w:val="List Bullet 4"/>
    <w:basedOn w:val="1"/>
    <w:qFormat/>
    <w:uiPriority w:val="0"/>
    <w:pPr>
      <w:numPr>
        <w:ilvl w:val="0"/>
        <w:numId w:val="3"/>
      </w:numPr>
    </w:pPr>
  </w:style>
  <w:style w:type="paragraph" w:styleId="17">
    <w:name w:val="index 8"/>
    <w:basedOn w:val="1"/>
    <w:next w:val="1"/>
    <w:qFormat/>
    <w:uiPriority w:val="0"/>
    <w:pPr>
      <w:ind w:left="1400" w:leftChars="1400"/>
    </w:pPr>
    <w:rPr>
      <w:rFonts w:eastAsia="仿宋_GB2312"/>
      <w:sz w:val="28"/>
    </w:rPr>
  </w:style>
  <w:style w:type="paragraph" w:styleId="18">
    <w:name w:val="E-mail Signature"/>
    <w:basedOn w:val="1"/>
    <w:qFormat/>
    <w:uiPriority w:val="0"/>
  </w:style>
  <w:style w:type="paragraph" w:styleId="19">
    <w:name w:val="List Number"/>
    <w:basedOn w:val="1"/>
    <w:qFormat/>
    <w:uiPriority w:val="0"/>
    <w:pPr>
      <w:numPr>
        <w:ilvl w:val="0"/>
        <w:numId w:val="4"/>
      </w:numPr>
    </w:pPr>
  </w:style>
  <w:style w:type="paragraph" w:styleId="20">
    <w:name w:val="caption"/>
    <w:basedOn w:val="1"/>
    <w:next w:val="1"/>
    <w:qFormat/>
    <w:uiPriority w:val="0"/>
    <w:pPr>
      <w:spacing w:before="152" w:after="160"/>
    </w:pPr>
    <w:rPr>
      <w:rFonts w:ascii="Arial" w:hAnsi="Arial" w:eastAsia="黑体"/>
      <w:sz w:val="20"/>
      <w:szCs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5"/>
      </w:numPr>
    </w:pPr>
  </w:style>
  <w:style w:type="paragraph" w:styleId="23">
    <w:name w:val="envelope address"/>
    <w:basedOn w:val="1"/>
    <w:qFormat/>
    <w:uiPriority w:val="0"/>
    <w:pPr>
      <w:snapToGrid w:val="0"/>
      <w:ind w:left="2880"/>
    </w:pPr>
    <w:rPr>
      <w:rFonts w:ascii="Arial" w:hAnsi="Arial" w:cs="Arial"/>
      <w:sz w:val="24"/>
    </w:rPr>
  </w:style>
  <w:style w:type="paragraph" w:styleId="24">
    <w:name w:val="Document Map"/>
    <w:basedOn w:val="1"/>
    <w:link w:val="113"/>
    <w:qFormat/>
    <w:uiPriority w:val="0"/>
    <w:pPr>
      <w:shd w:val="clear" w:color="auto" w:fill="000080"/>
    </w:pPr>
  </w:style>
  <w:style w:type="paragraph" w:styleId="25">
    <w:name w:val="annotation text"/>
    <w:basedOn w:val="1"/>
    <w:link w:val="114"/>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qFormat/>
    <w:uiPriority w:val="0"/>
  </w:style>
  <w:style w:type="paragraph" w:styleId="28">
    <w:name w:val="Body Text 3"/>
    <w:basedOn w:val="1"/>
    <w:qFormat/>
    <w:uiPriority w:val="0"/>
    <w:pPr>
      <w:spacing w:after="120"/>
    </w:pPr>
    <w:rPr>
      <w:sz w:val="16"/>
      <w:szCs w:val="16"/>
    </w:rPr>
  </w:style>
  <w:style w:type="paragraph" w:styleId="29">
    <w:name w:val="Closing"/>
    <w:basedOn w:val="1"/>
    <w:qFormat/>
    <w:uiPriority w:val="0"/>
    <w:pPr>
      <w:ind w:left="4320"/>
    </w:pPr>
  </w:style>
  <w:style w:type="paragraph" w:styleId="30">
    <w:name w:val="List Bullet 3"/>
    <w:basedOn w:val="1"/>
    <w:qFormat/>
    <w:uiPriority w:val="0"/>
    <w:pPr>
      <w:numPr>
        <w:ilvl w:val="0"/>
        <w:numId w:val="6"/>
      </w:numPr>
    </w:pPr>
  </w:style>
  <w:style w:type="paragraph" w:styleId="31">
    <w:name w:val="Body Text"/>
    <w:basedOn w:val="32"/>
    <w:next w:val="32"/>
    <w:link w:val="115"/>
    <w:qFormat/>
    <w:uiPriority w:val="0"/>
    <w:pPr>
      <w:spacing w:after="120"/>
    </w:pPr>
  </w:style>
  <w:style w:type="paragraph" w:styleId="32">
    <w:name w:val="Title"/>
    <w:basedOn w:val="1"/>
    <w:next w:val="1"/>
    <w:link w:val="129"/>
    <w:qFormat/>
    <w:uiPriority w:val="0"/>
    <w:pPr>
      <w:spacing w:before="240" w:after="60"/>
      <w:jc w:val="center"/>
      <w:outlineLvl w:val="0"/>
    </w:pPr>
    <w:rPr>
      <w:rFonts w:ascii="Arial" w:hAnsi="Arial"/>
      <w:b/>
      <w:bCs/>
      <w:sz w:val="32"/>
      <w:szCs w:val="32"/>
    </w:rPr>
  </w:style>
  <w:style w:type="paragraph" w:styleId="33">
    <w:name w:val="Body Text Indent"/>
    <w:basedOn w:val="1"/>
    <w:link w:val="116"/>
    <w:qFormat/>
    <w:uiPriority w:val="0"/>
    <w:pPr>
      <w:spacing w:after="120"/>
      <w:ind w:left="420"/>
    </w:pPr>
  </w:style>
  <w:style w:type="paragraph" w:styleId="34">
    <w:name w:val="List Number 3"/>
    <w:basedOn w:val="1"/>
    <w:qFormat/>
    <w:uiPriority w:val="0"/>
    <w:pPr>
      <w:numPr>
        <w:ilvl w:val="0"/>
        <w:numId w:val="7"/>
      </w:numPr>
    </w:pPr>
  </w:style>
  <w:style w:type="paragraph" w:styleId="35">
    <w:name w:val="List 2"/>
    <w:basedOn w:val="1"/>
    <w:qFormat/>
    <w:uiPriority w:val="0"/>
    <w:pPr>
      <w:ind w:left="840" w:hanging="420"/>
    </w:pPr>
  </w:style>
  <w:style w:type="paragraph" w:styleId="36">
    <w:name w:val="List Continue"/>
    <w:basedOn w:val="1"/>
    <w:qFormat/>
    <w:uiPriority w:val="0"/>
    <w:pPr>
      <w:spacing w:after="120"/>
      <w:ind w:left="420"/>
    </w:pPr>
  </w:style>
  <w:style w:type="paragraph" w:styleId="37">
    <w:name w:val="Block Text"/>
    <w:basedOn w:val="1"/>
    <w:qFormat/>
    <w:uiPriority w:val="0"/>
    <w:pPr>
      <w:spacing w:after="120"/>
      <w:ind w:left="1440" w:right="1440"/>
    </w:pPr>
  </w:style>
  <w:style w:type="paragraph" w:styleId="38">
    <w:name w:val="List Bullet 2"/>
    <w:basedOn w:val="1"/>
    <w:qFormat/>
    <w:uiPriority w:val="0"/>
    <w:pPr>
      <w:numPr>
        <w:ilvl w:val="0"/>
        <w:numId w:val="8"/>
      </w:numPr>
    </w:pPr>
  </w:style>
  <w:style w:type="paragraph" w:styleId="39">
    <w:name w:val="HTML Address"/>
    <w:basedOn w:val="1"/>
    <w:link w:val="117"/>
    <w:qFormat/>
    <w:uiPriority w:val="0"/>
    <w:rPr>
      <w:i/>
      <w:iCs/>
    </w:rPr>
  </w:style>
  <w:style w:type="paragraph" w:styleId="40">
    <w:name w:val="index 4"/>
    <w:basedOn w:val="1"/>
    <w:next w:val="1"/>
    <w:qFormat/>
    <w:uiPriority w:val="0"/>
    <w:pPr>
      <w:ind w:left="600" w:leftChars="600"/>
    </w:pPr>
    <w:rPr>
      <w:rFonts w:eastAsia="仿宋_GB2312"/>
      <w:sz w:val="28"/>
    </w:rPr>
  </w:style>
  <w:style w:type="paragraph" w:styleId="41">
    <w:name w:val="toc 5"/>
    <w:basedOn w:val="1"/>
    <w:next w:val="1"/>
    <w:qFormat/>
    <w:uiPriority w:val="39"/>
    <w:pPr>
      <w:ind w:left="840"/>
      <w:jc w:val="left"/>
    </w:pPr>
    <w:rPr>
      <w:sz w:val="20"/>
      <w:szCs w:val="20"/>
    </w:rPr>
  </w:style>
  <w:style w:type="paragraph" w:styleId="42">
    <w:name w:val="toc 3"/>
    <w:basedOn w:val="1"/>
    <w:next w:val="1"/>
    <w:qFormat/>
    <w:uiPriority w:val="39"/>
    <w:pPr>
      <w:ind w:left="840" w:leftChars="400"/>
    </w:pPr>
  </w:style>
  <w:style w:type="paragraph" w:styleId="43">
    <w:name w:val="Plain Text"/>
    <w:basedOn w:val="1"/>
    <w:link w:val="118"/>
    <w:qFormat/>
    <w:uiPriority w:val="0"/>
    <w:rPr>
      <w:rFonts w:ascii="宋体" w:hAnsi="Courier New" w:cs="Courier New"/>
      <w:szCs w:val="21"/>
    </w:rPr>
  </w:style>
  <w:style w:type="paragraph" w:styleId="44">
    <w:name w:val="List Bullet 5"/>
    <w:basedOn w:val="1"/>
    <w:qFormat/>
    <w:uiPriority w:val="0"/>
    <w:pPr>
      <w:numPr>
        <w:ilvl w:val="0"/>
        <w:numId w:val="9"/>
      </w:numPr>
    </w:pPr>
  </w:style>
  <w:style w:type="paragraph" w:styleId="45">
    <w:name w:val="List Number 4"/>
    <w:basedOn w:val="1"/>
    <w:qFormat/>
    <w:uiPriority w:val="0"/>
    <w:pPr>
      <w:numPr>
        <w:ilvl w:val="0"/>
        <w:numId w:val="10"/>
      </w:numPr>
    </w:pPr>
  </w:style>
  <w:style w:type="paragraph" w:styleId="46">
    <w:name w:val="toc 8"/>
    <w:basedOn w:val="1"/>
    <w:next w:val="1"/>
    <w:qFormat/>
    <w:uiPriority w:val="39"/>
    <w:pPr>
      <w:ind w:left="1470"/>
      <w:jc w:val="left"/>
    </w:pPr>
    <w:rPr>
      <w:sz w:val="20"/>
      <w:szCs w:val="20"/>
    </w:rPr>
  </w:style>
  <w:style w:type="paragraph" w:styleId="47">
    <w:name w:val="index 3"/>
    <w:basedOn w:val="1"/>
    <w:next w:val="1"/>
    <w:qFormat/>
    <w:uiPriority w:val="0"/>
    <w:pPr>
      <w:ind w:left="400" w:leftChars="400"/>
    </w:pPr>
    <w:rPr>
      <w:rFonts w:eastAsia="仿宋_GB2312"/>
      <w:sz w:val="28"/>
    </w:rPr>
  </w:style>
  <w:style w:type="paragraph" w:styleId="48">
    <w:name w:val="Date"/>
    <w:basedOn w:val="1"/>
    <w:next w:val="1"/>
    <w:link w:val="119"/>
    <w:qFormat/>
    <w:uiPriority w:val="0"/>
  </w:style>
  <w:style w:type="paragraph" w:styleId="49">
    <w:name w:val="Body Text Indent 2"/>
    <w:basedOn w:val="1"/>
    <w:link w:val="120"/>
    <w:qFormat/>
    <w:uiPriority w:val="0"/>
    <w:pPr>
      <w:spacing w:after="120" w:line="480" w:lineRule="auto"/>
      <w:ind w:left="420"/>
    </w:pPr>
  </w:style>
  <w:style w:type="paragraph" w:styleId="50">
    <w:name w:val="endnote text"/>
    <w:basedOn w:val="1"/>
    <w:link w:val="121"/>
    <w:semiHidden/>
    <w:qFormat/>
    <w:uiPriority w:val="0"/>
    <w:pPr>
      <w:snapToGrid w:val="0"/>
      <w:spacing w:line="240" w:lineRule="auto"/>
      <w:jc w:val="left"/>
    </w:pPr>
  </w:style>
  <w:style w:type="paragraph" w:styleId="51">
    <w:name w:val="List Continue 5"/>
    <w:basedOn w:val="1"/>
    <w:qFormat/>
    <w:uiPriority w:val="0"/>
    <w:pPr>
      <w:spacing w:after="120"/>
      <w:ind w:left="2100"/>
    </w:pPr>
  </w:style>
  <w:style w:type="paragraph" w:styleId="52">
    <w:name w:val="Balloon Text"/>
    <w:basedOn w:val="1"/>
    <w:link w:val="122"/>
    <w:qFormat/>
    <w:uiPriority w:val="99"/>
    <w:rPr>
      <w:sz w:val="18"/>
      <w:szCs w:val="18"/>
    </w:rPr>
  </w:style>
  <w:style w:type="paragraph" w:styleId="53">
    <w:name w:val="footer"/>
    <w:basedOn w:val="1"/>
    <w:link w:val="123"/>
    <w:qFormat/>
    <w:uiPriority w:val="0"/>
    <w:pPr>
      <w:tabs>
        <w:tab w:val="center" w:pos="4153"/>
        <w:tab w:val="right" w:pos="8306"/>
      </w:tabs>
      <w:snapToGrid w:val="0"/>
      <w:jc w:val="left"/>
    </w:pPr>
    <w:rPr>
      <w:sz w:val="18"/>
      <w:szCs w:val="18"/>
    </w:rPr>
  </w:style>
  <w:style w:type="paragraph" w:styleId="54">
    <w:name w:val="envelope return"/>
    <w:basedOn w:val="1"/>
    <w:qFormat/>
    <w:uiPriority w:val="0"/>
    <w:pPr>
      <w:snapToGrid w:val="0"/>
    </w:pPr>
    <w:rPr>
      <w:rFonts w:ascii="Arial" w:hAnsi="Arial" w:cs="Arial"/>
    </w:rPr>
  </w:style>
  <w:style w:type="paragraph" w:styleId="55">
    <w:name w:val="header"/>
    <w:basedOn w:val="1"/>
    <w:link w:val="124"/>
    <w:qFormat/>
    <w:uiPriority w:val="99"/>
    <w:pPr>
      <w:pBdr>
        <w:bottom w:val="single" w:color="auto" w:sz="6" w:space="1"/>
      </w:pBdr>
      <w:tabs>
        <w:tab w:val="center" w:pos="4153"/>
        <w:tab w:val="right" w:pos="8306"/>
      </w:tabs>
      <w:snapToGrid w:val="0"/>
      <w:jc w:val="center"/>
    </w:pPr>
    <w:rPr>
      <w:sz w:val="18"/>
      <w:szCs w:val="18"/>
    </w:rPr>
  </w:style>
  <w:style w:type="paragraph" w:styleId="56">
    <w:name w:val="Signature"/>
    <w:basedOn w:val="1"/>
    <w:qFormat/>
    <w:uiPriority w:val="0"/>
    <w:pPr>
      <w:ind w:left="4320"/>
    </w:pPr>
  </w:style>
  <w:style w:type="paragraph" w:styleId="57">
    <w:name w:val="toc 1"/>
    <w:basedOn w:val="1"/>
    <w:next w:val="1"/>
    <w:qFormat/>
    <w:uiPriority w:val="39"/>
    <w:pPr>
      <w:tabs>
        <w:tab w:val="right" w:leader="dot" w:pos="8705"/>
      </w:tabs>
    </w:pPr>
    <w:rPr>
      <w:b/>
    </w:rPr>
  </w:style>
  <w:style w:type="paragraph" w:styleId="58">
    <w:name w:val="List Continue 4"/>
    <w:basedOn w:val="1"/>
    <w:qFormat/>
    <w:uiPriority w:val="0"/>
    <w:pPr>
      <w:spacing w:after="120"/>
      <w:ind w:left="1680"/>
    </w:pPr>
  </w:style>
  <w:style w:type="paragraph" w:styleId="59">
    <w:name w:val="toc 4"/>
    <w:basedOn w:val="1"/>
    <w:next w:val="1"/>
    <w:qFormat/>
    <w:uiPriority w:val="39"/>
    <w:pPr>
      <w:ind w:left="630"/>
      <w:jc w:val="left"/>
    </w:pPr>
    <w:rPr>
      <w:sz w:val="20"/>
      <w:szCs w:val="20"/>
    </w:rPr>
  </w:style>
  <w:style w:type="paragraph" w:styleId="60">
    <w:name w:val="index heading"/>
    <w:basedOn w:val="1"/>
    <w:next w:val="61"/>
    <w:qFormat/>
    <w:uiPriority w:val="0"/>
    <w:rPr>
      <w:rFonts w:eastAsia="仿宋_GB2312"/>
      <w:sz w:val="28"/>
    </w:rPr>
  </w:style>
  <w:style w:type="paragraph" w:styleId="61">
    <w:name w:val="index 1"/>
    <w:basedOn w:val="1"/>
    <w:next w:val="1"/>
    <w:qFormat/>
    <w:uiPriority w:val="0"/>
    <w:rPr>
      <w:rFonts w:eastAsia="仿宋_GB2312"/>
      <w:sz w:val="28"/>
    </w:rPr>
  </w:style>
  <w:style w:type="paragraph" w:styleId="62">
    <w:name w:val="Subtitle"/>
    <w:basedOn w:val="1"/>
    <w:qFormat/>
    <w:uiPriority w:val="0"/>
    <w:pPr>
      <w:spacing w:before="240" w:after="60" w:line="312" w:lineRule="auto"/>
      <w:jc w:val="center"/>
      <w:outlineLvl w:val="1"/>
    </w:pPr>
    <w:rPr>
      <w:rFonts w:ascii="Arial" w:hAnsi="Arial" w:cs="Arial"/>
      <w:b/>
      <w:bCs/>
      <w:kern w:val="28"/>
      <w:sz w:val="32"/>
      <w:szCs w:val="32"/>
    </w:rPr>
  </w:style>
  <w:style w:type="paragraph" w:styleId="63">
    <w:name w:val="List Number 5"/>
    <w:basedOn w:val="1"/>
    <w:qFormat/>
    <w:uiPriority w:val="0"/>
    <w:pPr>
      <w:tabs>
        <w:tab w:val="left" w:pos="2040"/>
      </w:tabs>
      <w:ind w:left="2040" w:hanging="360"/>
    </w:pPr>
  </w:style>
  <w:style w:type="paragraph" w:styleId="64">
    <w:name w:val="List"/>
    <w:basedOn w:val="1"/>
    <w:qFormat/>
    <w:uiPriority w:val="0"/>
    <w:pPr>
      <w:ind w:left="420" w:hanging="420"/>
    </w:pPr>
  </w:style>
  <w:style w:type="paragraph" w:styleId="65">
    <w:name w:val="footnote text"/>
    <w:basedOn w:val="1"/>
    <w:link w:val="125"/>
    <w:qFormat/>
    <w:uiPriority w:val="0"/>
    <w:pPr>
      <w:numPr>
        <w:ilvl w:val="0"/>
        <w:numId w:val="11"/>
      </w:numPr>
      <w:snapToGrid w:val="0"/>
      <w:spacing w:line="240" w:lineRule="auto"/>
      <w:jc w:val="left"/>
    </w:pPr>
    <w:rPr>
      <w:rFonts w:ascii="宋体"/>
      <w:sz w:val="18"/>
      <w:szCs w:val="18"/>
    </w:rPr>
  </w:style>
  <w:style w:type="paragraph" w:styleId="66">
    <w:name w:val="toc 6"/>
    <w:basedOn w:val="1"/>
    <w:next w:val="1"/>
    <w:qFormat/>
    <w:uiPriority w:val="39"/>
    <w:pPr>
      <w:ind w:left="1050"/>
      <w:jc w:val="left"/>
    </w:pPr>
    <w:rPr>
      <w:sz w:val="20"/>
      <w:szCs w:val="20"/>
    </w:rPr>
  </w:style>
  <w:style w:type="paragraph" w:styleId="67">
    <w:name w:val="List 5"/>
    <w:basedOn w:val="1"/>
    <w:qFormat/>
    <w:uiPriority w:val="0"/>
    <w:pPr>
      <w:ind w:left="2100" w:hanging="420"/>
    </w:pPr>
  </w:style>
  <w:style w:type="paragraph" w:styleId="68">
    <w:name w:val="Body Text Indent 3"/>
    <w:basedOn w:val="1"/>
    <w:link w:val="126"/>
    <w:qFormat/>
    <w:uiPriority w:val="0"/>
    <w:pPr>
      <w:spacing w:after="120"/>
      <w:ind w:left="420"/>
    </w:pPr>
    <w:rPr>
      <w:sz w:val="16"/>
      <w:szCs w:val="16"/>
    </w:rPr>
  </w:style>
  <w:style w:type="paragraph" w:styleId="69">
    <w:name w:val="index 7"/>
    <w:basedOn w:val="1"/>
    <w:next w:val="1"/>
    <w:qFormat/>
    <w:uiPriority w:val="0"/>
    <w:pPr>
      <w:ind w:left="1200" w:leftChars="1200"/>
    </w:pPr>
    <w:rPr>
      <w:rFonts w:eastAsia="仿宋_GB2312"/>
      <w:sz w:val="28"/>
    </w:rPr>
  </w:style>
  <w:style w:type="paragraph" w:styleId="70">
    <w:name w:val="index 9"/>
    <w:basedOn w:val="1"/>
    <w:next w:val="1"/>
    <w:qFormat/>
    <w:uiPriority w:val="0"/>
    <w:pPr>
      <w:ind w:left="1600" w:leftChars="1600"/>
    </w:pPr>
    <w:rPr>
      <w:rFonts w:eastAsia="仿宋_GB2312"/>
      <w:sz w:val="28"/>
    </w:rPr>
  </w:style>
  <w:style w:type="paragraph" w:styleId="71">
    <w:name w:val="table of figures"/>
    <w:basedOn w:val="1"/>
    <w:next w:val="1"/>
    <w:qFormat/>
    <w:uiPriority w:val="0"/>
    <w:pPr>
      <w:ind w:left="200" w:leftChars="200" w:hanging="200" w:hangingChars="200"/>
    </w:pPr>
  </w:style>
  <w:style w:type="paragraph" w:styleId="72">
    <w:name w:val="toc 2"/>
    <w:basedOn w:val="1"/>
    <w:next w:val="1"/>
    <w:qFormat/>
    <w:uiPriority w:val="39"/>
    <w:pPr>
      <w:tabs>
        <w:tab w:val="right" w:leader="dot" w:pos="8705"/>
      </w:tabs>
      <w:ind w:left="420" w:leftChars="200"/>
    </w:pPr>
  </w:style>
  <w:style w:type="paragraph" w:styleId="73">
    <w:name w:val="toc 9"/>
    <w:basedOn w:val="1"/>
    <w:next w:val="1"/>
    <w:qFormat/>
    <w:uiPriority w:val="39"/>
    <w:pPr>
      <w:ind w:left="1680"/>
      <w:jc w:val="left"/>
    </w:pPr>
    <w:rPr>
      <w:sz w:val="20"/>
      <w:szCs w:val="20"/>
    </w:rPr>
  </w:style>
  <w:style w:type="paragraph" w:styleId="74">
    <w:name w:val="Body Text 2"/>
    <w:basedOn w:val="1"/>
    <w:link w:val="127"/>
    <w:qFormat/>
    <w:uiPriority w:val="0"/>
    <w:pPr>
      <w:spacing w:after="120" w:line="480" w:lineRule="auto"/>
    </w:pPr>
  </w:style>
  <w:style w:type="paragraph" w:styleId="75">
    <w:name w:val="List 4"/>
    <w:basedOn w:val="1"/>
    <w:qFormat/>
    <w:uiPriority w:val="0"/>
    <w:pPr>
      <w:ind w:left="1680" w:hanging="420"/>
    </w:pPr>
  </w:style>
  <w:style w:type="paragraph" w:styleId="76">
    <w:name w:val="List Continue 2"/>
    <w:basedOn w:val="1"/>
    <w:qFormat/>
    <w:uiPriority w:val="0"/>
    <w:pPr>
      <w:spacing w:after="120"/>
      <w:ind w:left="840"/>
    </w:pPr>
  </w:style>
  <w:style w:type="paragraph" w:styleId="77">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sz w:val="24"/>
    </w:rPr>
  </w:style>
  <w:style w:type="paragraph" w:styleId="78">
    <w:name w:val="HTML Preformatted"/>
    <w:basedOn w:val="1"/>
    <w:link w:val="128"/>
    <w:qFormat/>
    <w:uiPriority w:val="0"/>
    <w:rPr>
      <w:rFonts w:ascii="Courier New" w:hAnsi="Courier New"/>
      <w:sz w:val="20"/>
      <w:szCs w:val="20"/>
    </w:rPr>
  </w:style>
  <w:style w:type="paragraph" w:styleId="79">
    <w:name w:val="Normal (Web)"/>
    <w:basedOn w:val="1"/>
    <w:qFormat/>
    <w:uiPriority w:val="99"/>
    <w:rPr>
      <w:sz w:val="24"/>
    </w:rPr>
  </w:style>
  <w:style w:type="paragraph" w:styleId="80">
    <w:name w:val="List Continue 3"/>
    <w:basedOn w:val="1"/>
    <w:qFormat/>
    <w:uiPriority w:val="0"/>
    <w:pPr>
      <w:spacing w:after="120"/>
      <w:ind w:left="1260"/>
    </w:pPr>
  </w:style>
  <w:style w:type="paragraph" w:styleId="81">
    <w:name w:val="index 2"/>
    <w:basedOn w:val="1"/>
    <w:next w:val="1"/>
    <w:qFormat/>
    <w:uiPriority w:val="0"/>
    <w:pPr>
      <w:ind w:left="200" w:leftChars="200"/>
    </w:pPr>
    <w:rPr>
      <w:rFonts w:eastAsia="仿宋_GB2312"/>
      <w:sz w:val="28"/>
    </w:rPr>
  </w:style>
  <w:style w:type="paragraph" w:styleId="82">
    <w:name w:val="annotation subject"/>
    <w:basedOn w:val="25"/>
    <w:next w:val="25"/>
    <w:link w:val="130"/>
    <w:qFormat/>
    <w:uiPriority w:val="0"/>
    <w:rPr>
      <w:b/>
      <w:bCs/>
    </w:rPr>
  </w:style>
  <w:style w:type="paragraph" w:styleId="83">
    <w:name w:val="Body Text First Indent"/>
    <w:basedOn w:val="31"/>
    <w:link w:val="131"/>
    <w:qFormat/>
    <w:uiPriority w:val="0"/>
    <w:pPr>
      <w:ind w:firstLine="420"/>
    </w:pPr>
  </w:style>
  <w:style w:type="paragraph" w:styleId="84">
    <w:name w:val="Body Text First Indent 2"/>
    <w:basedOn w:val="33"/>
    <w:qFormat/>
    <w:uiPriority w:val="0"/>
    <w:pPr>
      <w:ind w:firstLine="420"/>
    </w:pPr>
  </w:style>
  <w:style w:type="table" w:styleId="86">
    <w:name w:val="Table Grid"/>
    <w:basedOn w:val="8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8">
    <w:name w:val="Strong"/>
    <w:qFormat/>
    <w:uiPriority w:val="0"/>
    <w:rPr>
      <w:b/>
      <w:bCs/>
    </w:rPr>
  </w:style>
  <w:style w:type="character" w:styleId="89">
    <w:name w:val="page number"/>
    <w:basedOn w:val="87"/>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basedOn w:val="87"/>
    <w:qFormat/>
    <w:uiPriority w:val="0"/>
  </w:style>
  <w:style w:type="character" w:styleId="93">
    <w:name w:val="HTML Definition"/>
    <w:qFormat/>
    <w:uiPriority w:val="0"/>
    <w:rPr>
      <w:i/>
      <w:iCs/>
    </w:rPr>
  </w:style>
  <w:style w:type="character" w:styleId="94">
    <w:name w:val="HTML Typewriter"/>
    <w:qFormat/>
    <w:uiPriority w:val="0"/>
    <w:rPr>
      <w:rFonts w:ascii="Courier New" w:hAnsi="Courier New" w:cs="Courier New"/>
      <w:sz w:val="20"/>
      <w:szCs w:val="20"/>
    </w:rPr>
  </w:style>
  <w:style w:type="character" w:styleId="95">
    <w:name w:val="HTML Acronym"/>
    <w:basedOn w:val="87"/>
    <w:qFormat/>
    <w:uiPriority w:val="0"/>
  </w:style>
  <w:style w:type="character" w:styleId="96">
    <w:name w:val="HTML Variable"/>
    <w:qFormat/>
    <w:uiPriority w:val="0"/>
    <w:rPr>
      <w:i/>
      <w:iCs/>
    </w:rPr>
  </w:style>
  <w:style w:type="character" w:styleId="97">
    <w:name w:val="Hyperlink"/>
    <w:qFormat/>
    <w:uiPriority w:val="99"/>
    <w:rPr>
      <w:rFonts w:ascii="宋体" w:hAnsi="宋体" w:eastAsia="宋体"/>
      <w:b/>
      <w:color w:val="0000FF"/>
      <w:kern w:val="2"/>
      <w:sz w:val="24"/>
      <w:szCs w:val="24"/>
      <w:u w:val="single"/>
      <w:lang w:val="en-US" w:eastAsia="zh-CN" w:bidi="ar-SA"/>
    </w:rPr>
  </w:style>
  <w:style w:type="character" w:styleId="98">
    <w:name w:val="HTML Code"/>
    <w:qFormat/>
    <w:uiPriority w:val="0"/>
    <w:rPr>
      <w:rFonts w:ascii="Courier New" w:hAnsi="Courier New" w:cs="Courier New"/>
      <w:sz w:val="20"/>
      <w:szCs w:val="20"/>
    </w:rPr>
  </w:style>
  <w:style w:type="character" w:styleId="99">
    <w:name w:val="annotation reference"/>
    <w:qFormat/>
    <w:uiPriority w:val="99"/>
    <w:rPr>
      <w:sz w:val="21"/>
      <w:szCs w:val="21"/>
    </w:rPr>
  </w:style>
  <w:style w:type="character" w:styleId="100">
    <w:name w:val="HTML Cite"/>
    <w:qFormat/>
    <w:uiPriority w:val="0"/>
    <w:rPr>
      <w:i/>
      <w:iCs/>
    </w:rPr>
  </w:style>
  <w:style w:type="character" w:styleId="101">
    <w:name w:val="HTML Keyboard"/>
    <w:qFormat/>
    <w:uiPriority w:val="0"/>
    <w:rPr>
      <w:rFonts w:ascii="Courier New" w:hAnsi="Courier New" w:cs="Courier New"/>
      <w:sz w:val="20"/>
      <w:szCs w:val="20"/>
    </w:rPr>
  </w:style>
  <w:style w:type="character" w:styleId="102">
    <w:name w:val="HTML Sample"/>
    <w:qFormat/>
    <w:uiPriority w:val="0"/>
    <w:rPr>
      <w:rFonts w:ascii="Courier New" w:hAnsi="Courier New" w:cs="Courier New"/>
    </w:rPr>
  </w:style>
  <w:style w:type="character" w:customStyle="1" w:styleId="103">
    <w:name w:val="标题 1 字符"/>
    <w:link w:val="2"/>
    <w:qFormat/>
    <w:uiPriority w:val="0"/>
    <w:rPr>
      <w:rFonts w:eastAsia="汉仪大宋简"/>
      <w:kern w:val="44"/>
      <w:sz w:val="22"/>
      <w:szCs w:val="22"/>
    </w:rPr>
  </w:style>
  <w:style w:type="character" w:customStyle="1" w:styleId="104">
    <w:name w:val="标题 2 字符"/>
    <w:link w:val="3"/>
    <w:qFormat/>
    <w:uiPriority w:val="0"/>
    <w:rPr>
      <w:rFonts w:eastAsia="黑体"/>
      <w:bCs/>
      <w:kern w:val="2"/>
      <w:sz w:val="21"/>
      <w:szCs w:val="21"/>
    </w:rPr>
  </w:style>
  <w:style w:type="character" w:customStyle="1" w:styleId="105">
    <w:name w:val="标题 3 字符"/>
    <w:link w:val="5"/>
    <w:qFormat/>
    <w:uiPriority w:val="0"/>
    <w:rPr>
      <w:rFonts w:eastAsia="黑体"/>
      <w:bCs/>
      <w:kern w:val="2"/>
      <w:sz w:val="28"/>
      <w:szCs w:val="28"/>
    </w:rPr>
  </w:style>
  <w:style w:type="character" w:customStyle="1" w:styleId="106">
    <w:name w:val="标题 4 字符"/>
    <w:link w:val="6"/>
    <w:qFormat/>
    <w:uiPriority w:val="0"/>
    <w:rPr>
      <w:rFonts w:ascii="Arial" w:hAnsi="Arial" w:eastAsia="黑体"/>
      <w:b/>
      <w:bCs/>
      <w:kern w:val="2"/>
      <w:sz w:val="28"/>
      <w:szCs w:val="28"/>
    </w:rPr>
  </w:style>
  <w:style w:type="character" w:customStyle="1" w:styleId="107">
    <w:name w:val="标题 5 字符"/>
    <w:link w:val="7"/>
    <w:qFormat/>
    <w:uiPriority w:val="0"/>
    <w:rPr>
      <w:rFonts w:eastAsia="黑体"/>
      <w:bCs/>
      <w:kern w:val="2"/>
      <w:sz w:val="21"/>
      <w:szCs w:val="28"/>
    </w:rPr>
  </w:style>
  <w:style w:type="character" w:customStyle="1" w:styleId="108">
    <w:name w:val="标题 6 字符"/>
    <w:link w:val="8"/>
    <w:qFormat/>
    <w:uiPriority w:val="0"/>
    <w:rPr>
      <w:rFonts w:ascii="Arial" w:hAnsi="Arial" w:eastAsia="黑体"/>
      <w:b/>
      <w:bCs/>
      <w:kern w:val="2"/>
      <w:sz w:val="24"/>
      <w:szCs w:val="24"/>
    </w:rPr>
  </w:style>
  <w:style w:type="character" w:customStyle="1" w:styleId="109">
    <w:name w:val="标题 7 字符"/>
    <w:link w:val="9"/>
    <w:qFormat/>
    <w:uiPriority w:val="0"/>
    <w:rPr>
      <w:b/>
      <w:bCs/>
      <w:kern w:val="2"/>
      <w:sz w:val="24"/>
      <w:szCs w:val="24"/>
    </w:rPr>
  </w:style>
  <w:style w:type="character" w:customStyle="1" w:styleId="110">
    <w:name w:val="标题 8 字符"/>
    <w:link w:val="10"/>
    <w:qFormat/>
    <w:uiPriority w:val="0"/>
    <w:rPr>
      <w:rFonts w:ascii="Arial" w:hAnsi="Arial" w:eastAsia="黑体"/>
      <w:kern w:val="2"/>
      <w:sz w:val="24"/>
      <w:szCs w:val="24"/>
    </w:rPr>
  </w:style>
  <w:style w:type="character" w:customStyle="1" w:styleId="111">
    <w:name w:val="标题 9 字符"/>
    <w:link w:val="11"/>
    <w:qFormat/>
    <w:uiPriority w:val="0"/>
    <w:rPr>
      <w:rFonts w:ascii="Arial" w:hAnsi="Arial" w:eastAsia="黑体"/>
      <w:kern w:val="2"/>
      <w:sz w:val="21"/>
      <w:szCs w:val="21"/>
    </w:rPr>
  </w:style>
  <w:style w:type="character" w:customStyle="1" w:styleId="112">
    <w:name w:val="正文缩进 字符"/>
    <w:link w:val="4"/>
    <w:qFormat/>
    <w:uiPriority w:val="0"/>
    <w:rPr>
      <w:rFonts w:eastAsia="宋体"/>
      <w:kern w:val="2"/>
      <w:sz w:val="21"/>
      <w:szCs w:val="24"/>
      <w:lang w:val="en-US" w:eastAsia="zh-CN" w:bidi="ar-SA"/>
    </w:rPr>
  </w:style>
  <w:style w:type="character" w:customStyle="1" w:styleId="113">
    <w:name w:val="文档结构图 字符"/>
    <w:link w:val="24"/>
    <w:qFormat/>
    <w:uiPriority w:val="0"/>
    <w:rPr>
      <w:kern w:val="2"/>
      <w:sz w:val="21"/>
      <w:szCs w:val="24"/>
      <w:shd w:val="clear" w:color="auto" w:fill="000080"/>
    </w:rPr>
  </w:style>
  <w:style w:type="character" w:customStyle="1" w:styleId="114">
    <w:name w:val="批注文字 字符"/>
    <w:link w:val="25"/>
    <w:qFormat/>
    <w:locked/>
    <w:uiPriority w:val="99"/>
    <w:rPr>
      <w:kern w:val="2"/>
      <w:sz w:val="21"/>
      <w:szCs w:val="24"/>
    </w:rPr>
  </w:style>
  <w:style w:type="character" w:customStyle="1" w:styleId="115">
    <w:name w:val="正文文本 字符"/>
    <w:link w:val="31"/>
    <w:qFormat/>
    <w:uiPriority w:val="0"/>
    <w:rPr>
      <w:kern w:val="2"/>
      <w:sz w:val="21"/>
      <w:szCs w:val="24"/>
    </w:rPr>
  </w:style>
  <w:style w:type="character" w:customStyle="1" w:styleId="116">
    <w:name w:val="正文文本缩进 字符"/>
    <w:link w:val="33"/>
    <w:qFormat/>
    <w:locked/>
    <w:uiPriority w:val="0"/>
    <w:rPr>
      <w:kern w:val="2"/>
      <w:sz w:val="21"/>
      <w:szCs w:val="24"/>
    </w:rPr>
  </w:style>
  <w:style w:type="character" w:customStyle="1" w:styleId="117">
    <w:name w:val="HTML 地址 字符"/>
    <w:link w:val="39"/>
    <w:qFormat/>
    <w:uiPriority w:val="0"/>
    <w:rPr>
      <w:i/>
      <w:iCs/>
      <w:kern w:val="2"/>
      <w:sz w:val="21"/>
      <w:szCs w:val="24"/>
    </w:rPr>
  </w:style>
  <w:style w:type="character" w:customStyle="1" w:styleId="118">
    <w:name w:val="纯文本 字符"/>
    <w:link w:val="43"/>
    <w:qFormat/>
    <w:uiPriority w:val="0"/>
    <w:rPr>
      <w:rFonts w:ascii="宋体" w:hAnsi="Courier New" w:eastAsia="宋体" w:cs="Courier New"/>
      <w:kern w:val="2"/>
      <w:sz w:val="21"/>
      <w:szCs w:val="21"/>
      <w:lang w:val="en-US" w:eastAsia="zh-CN" w:bidi="ar-SA"/>
    </w:rPr>
  </w:style>
  <w:style w:type="character" w:customStyle="1" w:styleId="119">
    <w:name w:val="日期 字符"/>
    <w:link w:val="48"/>
    <w:qFormat/>
    <w:uiPriority w:val="0"/>
    <w:rPr>
      <w:kern w:val="2"/>
      <w:sz w:val="21"/>
      <w:szCs w:val="24"/>
    </w:rPr>
  </w:style>
  <w:style w:type="character" w:customStyle="1" w:styleId="120">
    <w:name w:val="正文文本缩进 2 字符"/>
    <w:link w:val="49"/>
    <w:qFormat/>
    <w:locked/>
    <w:uiPriority w:val="0"/>
    <w:rPr>
      <w:kern w:val="2"/>
      <w:sz w:val="21"/>
      <w:szCs w:val="24"/>
    </w:rPr>
  </w:style>
  <w:style w:type="character" w:customStyle="1" w:styleId="121">
    <w:name w:val="尾注文本 字符"/>
    <w:link w:val="50"/>
    <w:semiHidden/>
    <w:qFormat/>
    <w:uiPriority w:val="0"/>
    <w:rPr>
      <w:kern w:val="2"/>
      <w:sz w:val="21"/>
      <w:szCs w:val="24"/>
    </w:rPr>
  </w:style>
  <w:style w:type="character" w:customStyle="1" w:styleId="122">
    <w:name w:val="批注框文本 字符"/>
    <w:link w:val="52"/>
    <w:qFormat/>
    <w:locked/>
    <w:uiPriority w:val="99"/>
    <w:rPr>
      <w:kern w:val="2"/>
      <w:sz w:val="18"/>
      <w:szCs w:val="18"/>
    </w:rPr>
  </w:style>
  <w:style w:type="character" w:customStyle="1" w:styleId="123">
    <w:name w:val="页脚 字符"/>
    <w:link w:val="53"/>
    <w:qFormat/>
    <w:uiPriority w:val="0"/>
    <w:rPr>
      <w:rFonts w:eastAsia="宋体"/>
      <w:kern w:val="2"/>
      <w:sz w:val="18"/>
      <w:szCs w:val="18"/>
      <w:lang w:val="en-US" w:eastAsia="zh-CN" w:bidi="ar-SA"/>
    </w:rPr>
  </w:style>
  <w:style w:type="character" w:customStyle="1" w:styleId="124">
    <w:name w:val="页眉 字符"/>
    <w:link w:val="55"/>
    <w:qFormat/>
    <w:uiPriority w:val="99"/>
    <w:rPr>
      <w:rFonts w:eastAsia="宋体"/>
      <w:kern w:val="2"/>
      <w:sz w:val="18"/>
      <w:szCs w:val="18"/>
      <w:lang w:val="en-US" w:eastAsia="zh-CN" w:bidi="ar-SA"/>
    </w:rPr>
  </w:style>
  <w:style w:type="character" w:customStyle="1" w:styleId="125">
    <w:name w:val="脚注文本 字符"/>
    <w:link w:val="65"/>
    <w:qFormat/>
    <w:uiPriority w:val="0"/>
    <w:rPr>
      <w:rFonts w:ascii="宋体"/>
      <w:kern w:val="2"/>
      <w:sz w:val="18"/>
      <w:szCs w:val="18"/>
    </w:rPr>
  </w:style>
  <w:style w:type="character" w:customStyle="1" w:styleId="126">
    <w:name w:val="正文文本缩进 3 字符"/>
    <w:link w:val="68"/>
    <w:qFormat/>
    <w:locked/>
    <w:uiPriority w:val="0"/>
    <w:rPr>
      <w:kern w:val="2"/>
      <w:sz w:val="16"/>
      <w:szCs w:val="16"/>
    </w:rPr>
  </w:style>
  <w:style w:type="character" w:customStyle="1" w:styleId="127">
    <w:name w:val="正文文本 2 字符"/>
    <w:link w:val="74"/>
    <w:qFormat/>
    <w:uiPriority w:val="0"/>
    <w:rPr>
      <w:kern w:val="2"/>
      <w:sz w:val="21"/>
      <w:szCs w:val="24"/>
    </w:rPr>
  </w:style>
  <w:style w:type="character" w:customStyle="1" w:styleId="128">
    <w:name w:val="HTML 预设格式 字符"/>
    <w:link w:val="78"/>
    <w:qFormat/>
    <w:uiPriority w:val="0"/>
    <w:rPr>
      <w:rFonts w:ascii="Courier New" w:hAnsi="Courier New" w:cs="Courier New"/>
      <w:kern w:val="2"/>
    </w:rPr>
  </w:style>
  <w:style w:type="character" w:customStyle="1" w:styleId="129">
    <w:name w:val="标题 字符"/>
    <w:link w:val="32"/>
    <w:qFormat/>
    <w:uiPriority w:val="0"/>
    <w:rPr>
      <w:rFonts w:ascii="Arial" w:hAnsi="Arial" w:cs="Arial"/>
      <w:b/>
      <w:bCs/>
      <w:kern w:val="2"/>
      <w:sz w:val="32"/>
      <w:szCs w:val="32"/>
    </w:rPr>
  </w:style>
  <w:style w:type="character" w:customStyle="1" w:styleId="130">
    <w:name w:val="批注主题 字符"/>
    <w:link w:val="82"/>
    <w:qFormat/>
    <w:uiPriority w:val="0"/>
    <w:rPr>
      <w:b/>
      <w:bCs/>
      <w:kern w:val="2"/>
      <w:sz w:val="21"/>
      <w:szCs w:val="24"/>
    </w:rPr>
  </w:style>
  <w:style w:type="character" w:customStyle="1" w:styleId="131">
    <w:name w:val="正文文本首行缩进 字符"/>
    <w:link w:val="83"/>
    <w:qFormat/>
    <w:uiPriority w:val="0"/>
    <w:rPr>
      <w:kern w:val="2"/>
      <w:sz w:val="21"/>
      <w:szCs w:val="24"/>
    </w:rPr>
  </w:style>
  <w:style w:type="character" w:customStyle="1" w:styleId="132">
    <w:name w:val="样式 Arial"/>
    <w:qFormat/>
    <w:uiPriority w:val="0"/>
    <w:rPr>
      <w:rFonts w:hint="default" w:ascii="Times New Roman" w:hAnsi="Times New Roman" w:eastAsia="宋体" w:cs="Times New Roman"/>
      <w:sz w:val="21"/>
      <w:szCs w:val="21"/>
    </w:rPr>
  </w:style>
  <w:style w:type="character" w:customStyle="1" w:styleId="133">
    <w:name w:val="个人答复风格"/>
    <w:qFormat/>
    <w:uiPriority w:val="0"/>
    <w:rPr>
      <w:rFonts w:ascii="Arial" w:hAnsi="Arial" w:eastAsia="宋体" w:cs="Arial"/>
      <w:color w:val="auto"/>
      <w:sz w:val="20"/>
    </w:rPr>
  </w:style>
  <w:style w:type="character" w:customStyle="1" w:styleId="134">
    <w:name w:val="Heading 1 Char"/>
    <w:qFormat/>
    <w:locked/>
    <w:uiPriority w:val="99"/>
    <w:rPr>
      <w:b/>
      <w:kern w:val="44"/>
      <w:sz w:val="44"/>
    </w:rPr>
  </w:style>
  <w:style w:type="character" w:customStyle="1" w:styleId="135">
    <w:name w:val="日期 Char1"/>
    <w:qFormat/>
    <w:uiPriority w:val="0"/>
    <w:rPr>
      <w:kern w:val="2"/>
      <w:sz w:val="21"/>
      <w:szCs w:val="24"/>
    </w:rPr>
  </w:style>
  <w:style w:type="character" w:customStyle="1" w:styleId="136">
    <w:name w:val="页眉 Char2"/>
    <w:qFormat/>
    <w:locked/>
    <w:uiPriority w:val="99"/>
    <w:rPr>
      <w:sz w:val="18"/>
      <w:szCs w:val="18"/>
    </w:rPr>
  </w:style>
  <w:style w:type="character" w:customStyle="1" w:styleId="137">
    <w:name w:val="Char Char2"/>
    <w:qFormat/>
    <w:uiPriority w:val="0"/>
    <w:rPr>
      <w:rFonts w:eastAsia="汉仪大宋简"/>
      <w:kern w:val="44"/>
      <w:sz w:val="22"/>
      <w:szCs w:val="22"/>
      <w:lang w:val="en-US" w:eastAsia="zh-CN" w:bidi="ar-SA"/>
    </w:rPr>
  </w:style>
  <w:style w:type="character" w:customStyle="1" w:styleId="138">
    <w:name w:val="批注文字 Char"/>
    <w:qFormat/>
    <w:uiPriority w:val="99"/>
    <w:rPr>
      <w:szCs w:val="21"/>
    </w:rPr>
  </w:style>
  <w:style w:type="character" w:customStyle="1" w:styleId="139">
    <w:name w:val="个人撰写风格"/>
    <w:qFormat/>
    <w:uiPriority w:val="0"/>
    <w:rPr>
      <w:rFonts w:ascii="Arial" w:hAnsi="Arial" w:eastAsia="宋体" w:cs="Arial"/>
      <w:color w:val="auto"/>
      <w:sz w:val="20"/>
    </w:rPr>
  </w:style>
  <w:style w:type="character" w:customStyle="1" w:styleId="140">
    <w:name w:val="样式2 Char"/>
    <w:link w:val="141"/>
    <w:qFormat/>
    <w:uiPriority w:val="0"/>
    <w:rPr>
      <w:rFonts w:eastAsia="黑体"/>
      <w:b/>
      <w:kern w:val="2"/>
      <w:sz w:val="36"/>
      <w:szCs w:val="36"/>
    </w:rPr>
  </w:style>
  <w:style w:type="paragraph" w:customStyle="1" w:styleId="141">
    <w:name w:val="样式2"/>
    <w:basedOn w:val="3"/>
    <w:link w:val="140"/>
    <w:qFormat/>
    <w:uiPriority w:val="0"/>
    <w:pPr>
      <w:tabs>
        <w:tab w:val="left" w:pos="567"/>
        <w:tab w:val="left" w:pos="850"/>
        <w:tab w:val="clear" w:pos="1276"/>
      </w:tabs>
      <w:spacing w:line="960" w:lineRule="auto"/>
      <w:jc w:val="left"/>
    </w:pPr>
    <w:rPr>
      <w:b/>
      <w:bCs w:val="0"/>
      <w:sz w:val="36"/>
      <w:szCs w:val="36"/>
    </w:rPr>
  </w:style>
  <w:style w:type="character" w:customStyle="1" w:styleId="142">
    <w:name w:val="二级条标题 Char"/>
    <w:link w:val="143"/>
    <w:qFormat/>
    <w:uiPriority w:val="0"/>
    <w:rPr>
      <w:rFonts w:ascii="黑体" w:eastAsia="黑体"/>
      <w:b/>
      <w:sz w:val="21"/>
      <w:lang w:val="en-US" w:eastAsia="zh-CN" w:bidi="ar-SA"/>
    </w:rPr>
  </w:style>
  <w:style w:type="paragraph" w:customStyle="1" w:styleId="143">
    <w:name w:val="二级条标题"/>
    <w:basedOn w:val="1"/>
    <w:next w:val="1"/>
    <w:link w:val="142"/>
    <w:qFormat/>
    <w:uiPriority w:val="0"/>
    <w:pPr>
      <w:widowControl/>
      <w:outlineLvl w:val="3"/>
    </w:pPr>
    <w:rPr>
      <w:rFonts w:ascii="黑体" w:eastAsia="黑体"/>
      <w:b/>
      <w:kern w:val="0"/>
      <w:szCs w:val="20"/>
    </w:rPr>
  </w:style>
  <w:style w:type="character" w:customStyle="1" w:styleId="144">
    <w:name w:val="Style1 Char"/>
    <w:link w:val="145"/>
    <w:qFormat/>
    <w:locked/>
    <w:uiPriority w:val="99"/>
    <w:rPr>
      <w:rFonts w:ascii="宋体" w:hAnsi="宋体"/>
      <w:sz w:val="24"/>
      <w:szCs w:val="24"/>
    </w:rPr>
  </w:style>
  <w:style w:type="paragraph" w:customStyle="1" w:styleId="145">
    <w:name w:val="Style1"/>
    <w:basedOn w:val="1"/>
    <w:link w:val="144"/>
    <w:qFormat/>
    <w:uiPriority w:val="99"/>
    <w:pPr>
      <w:widowControl/>
      <w:spacing w:after="200"/>
      <w:contextualSpacing/>
      <w:jc w:val="left"/>
    </w:pPr>
    <w:rPr>
      <w:rFonts w:ascii="宋体" w:hAnsi="宋体"/>
      <w:kern w:val="0"/>
      <w:sz w:val="24"/>
    </w:rPr>
  </w:style>
  <w:style w:type="character" w:customStyle="1" w:styleId="146">
    <w:name w:val="正文格式 Char"/>
    <w:link w:val="147"/>
    <w:qFormat/>
    <w:uiPriority w:val="0"/>
    <w:rPr>
      <w:rFonts w:ascii="宋体" w:hAnsi="宋体" w:eastAsia="宋体"/>
      <w:bCs/>
      <w:kern w:val="2"/>
      <w:sz w:val="21"/>
      <w:szCs w:val="21"/>
      <w:lang w:val="en-US" w:eastAsia="zh-CN" w:bidi="ar-SA"/>
    </w:rPr>
  </w:style>
  <w:style w:type="paragraph" w:customStyle="1" w:styleId="147">
    <w:name w:val="正文格式"/>
    <w:basedOn w:val="1"/>
    <w:link w:val="146"/>
    <w:qFormat/>
    <w:uiPriority w:val="0"/>
    <w:pPr>
      <w:topLinePunct/>
      <w:ind w:firstLine="420" w:firstLineChars="200"/>
    </w:pPr>
    <w:rPr>
      <w:rFonts w:ascii="宋体" w:hAnsi="宋体"/>
      <w:bCs/>
      <w:szCs w:val="21"/>
    </w:rPr>
  </w:style>
  <w:style w:type="character" w:customStyle="1" w:styleId="148">
    <w:name w:val="批注框文本 Char"/>
    <w:qFormat/>
    <w:uiPriority w:val="0"/>
    <w:rPr>
      <w:sz w:val="18"/>
      <w:szCs w:val="18"/>
    </w:rPr>
  </w:style>
  <w:style w:type="character" w:customStyle="1" w:styleId="149">
    <w:name w:val="jl 三级 Char Char"/>
    <w:link w:val="150"/>
    <w:qFormat/>
    <w:uiPriority w:val="0"/>
    <w:rPr>
      <w:rFonts w:ascii="宋体" w:hAnsi="宋体" w:eastAsia="宋体"/>
      <w:b/>
      <w:color w:val="000000"/>
      <w:kern w:val="2"/>
      <w:sz w:val="24"/>
      <w:szCs w:val="24"/>
      <w:lang w:val="en-US" w:eastAsia="zh-CN" w:bidi="ar-SA"/>
    </w:rPr>
  </w:style>
  <w:style w:type="paragraph" w:customStyle="1" w:styleId="150">
    <w:name w:val="jl 三级 Char"/>
    <w:basedOn w:val="1"/>
    <w:link w:val="149"/>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51">
    <w:name w:val="Char Char4"/>
    <w:qFormat/>
    <w:uiPriority w:val="0"/>
    <w:rPr>
      <w:rFonts w:eastAsia="汉仪大宋简"/>
      <w:kern w:val="44"/>
      <w:sz w:val="22"/>
      <w:szCs w:val="22"/>
      <w:lang w:val="en-US" w:eastAsia="zh-CN" w:bidi="ar-SA"/>
    </w:rPr>
  </w:style>
  <w:style w:type="character" w:customStyle="1" w:styleId="152">
    <w:name w:val="页脚 Char1"/>
    <w:qFormat/>
    <w:locked/>
    <w:uiPriority w:val="99"/>
    <w:rPr>
      <w:sz w:val="18"/>
      <w:szCs w:val="18"/>
    </w:rPr>
  </w:style>
  <w:style w:type="character" w:customStyle="1" w:styleId="153">
    <w:name w:val="表内居中小五 Char Char"/>
    <w:qFormat/>
    <w:locked/>
    <w:uiPriority w:val="0"/>
    <w:rPr>
      <w:kern w:val="2"/>
      <w:sz w:val="18"/>
    </w:rPr>
  </w:style>
  <w:style w:type="character" w:customStyle="1" w:styleId="154">
    <w:name w:val="节标题 1.1 Char"/>
    <w:qFormat/>
    <w:uiPriority w:val="0"/>
    <w:rPr>
      <w:rFonts w:eastAsia="黑体"/>
      <w:bCs/>
      <w:kern w:val="2"/>
      <w:sz w:val="21"/>
      <w:szCs w:val="21"/>
      <w:lang w:val="en-US" w:eastAsia="zh-CN" w:bidi="ar-SA"/>
    </w:rPr>
  </w:style>
  <w:style w:type="character" w:customStyle="1" w:styleId="155">
    <w:name w:val="附录二 Char"/>
    <w:link w:val="156"/>
    <w:qFormat/>
    <w:uiPriority w:val="0"/>
    <w:rPr>
      <w:rFonts w:ascii="E-F1" w:eastAsia="黑体"/>
      <w:kern w:val="21"/>
      <w:sz w:val="21"/>
    </w:rPr>
  </w:style>
  <w:style w:type="paragraph" w:customStyle="1" w:styleId="156">
    <w:name w:val="附录二"/>
    <w:basedOn w:val="1"/>
    <w:link w:val="155"/>
    <w:qFormat/>
    <w:uiPriority w:val="0"/>
    <w:pPr>
      <w:spacing w:line="312" w:lineRule="exact"/>
    </w:pPr>
    <w:rPr>
      <w:rFonts w:ascii="E-F1" w:eastAsia="黑体"/>
      <w:kern w:val="21"/>
      <w:szCs w:val="20"/>
    </w:rPr>
  </w:style>
  <w:style w:type="character" w:customStyle="1" w:styleId="157">
    <w:name w:val="段 Char Char"/>
    <w:qFormat/>
    <w:uiPriority w:val="0"/>
    <w:rPr>
      <w:rFonts w:ascii="宋体"/>
      <w:sz w:val="21"/>
      <w:lang w:val="en-US" w:eastAsia="zh-CN" w:bidi="ar-SA"/>
    </w:rPr>
  </w:style>
  <w:style w:type="character" w:customStyle="1" w:styleId="158">
    <w:name w:val="首行缩进 Char Char"/>
    <w:qFormat/>
    <w:locked/>
    <w:uiPriority w:val="0"/>
    <w:rPr>
      <w:rFonts w:eastAsia="方正书宋简体"/>
      <w:kern w:val="2"/>
      <w:sz w:val="21"/>
    </w:rPr>
  </w:style>
  <w:style w:type="character" w:customStyle="1" w:styleId="159">
    <w:name w:val="articlebody21"/>
    <w:qFormat/>
    <w:uiPriority w:val="0"/>
    <w:rPr>
      <w:rFonts w:hint="default"/>
      <w:sz w:val="21"/>
    </w:rPr>
  </w:style>
  <w:style w:type="character" w:customStyle="1" w:styleId="160">
    <w:name w:val="Char Char11"/>
    <w:qFormat/>
    <w:locked/>
    <w:uiPriority w:val="99"/>
    <w:rPr>
      <w:rFonts w:ascii="Arial" w:hAnsi="Arial" w:eastAsia="宋体"/>
      <w:b/>
      <w:sz w:val="22"/>
      <w:lang w:val="en-US" w:eastAsia="zh-CN"/>
    </w:rPr>
  </w:style>
  <w:style w:type="character" w:customStyle="1" w:styleId="161">
    <w:name w:val="样式 标题 4 + (符号) 宋体 Char Char"/>
    <w:qFormat/>
    <w:locked/>
    <w:uiPriority w:val="0"/>
    <w:rPr>
      <w:rFonts w:ascii="宋体"/>
      <w:kern w:val="2"/>
      <w:sz w:val="21"/>
    </w:rPr>
  </w:style>
  <w:style w:type="character" w:customStyle="1" w:styleId="162">
    <w:name w:val="正文 Char"/>
    <w:qFormat/>
    <w:uiPriority w:val="0"/>
    <w:rPr>
      <w:rFonts w:eastAsia="宋体" w:cs="宋体"/>
      <w:kern w:val="2"/>
      <w:sz w:val="21"/>
      <w:lang w:val="en-US" w:eastAsia="zh-CN" w:bidi="ar-SA"/>
    </w:rPr>
  </w:style>
  <w:style w:type="character" w:customStyle="1" w:styleId="163">
    <w:name w:val="样式6 Char"/>
    <w:link w:val="164"/>
    <w:qFormat/>
    <w:uiPriority w:val="0"/>
    <w:rPr>
      <w:kern w:val="2"/>
      <w:sz w:val="21"/>
      <w:szCs w:val="24"/>
    </w:rPr>
  </w:style>
  <w:style w:type="paragraph" w:customStyle="1" w:styleId="164">
    <w:name w:val="样式6"/>
    <w:basedOn w:val="1"/>
    <w:link w:val="163"/>
    <w:qFormat/>
    <w:uiPriority w:val="0"/>
    <w:pPr>
      <w:numPr>
        <w:ilvl w:val="2"/>
        <w:numId w:val="12"/>
      </w:numPr>
    </w:pPr>
  </w:style>
  <w:style w:type="character" w:customStyle="1" w:styleId="165">
    <w:name w:val="段 Char"/>
    <w:link w:val="166"/>
    <w:qFormat/>
    <w:uiPriority w:val="0"/>
    <w:rPr>
      <w:rFonts w:ascii="宋体"/>
      <w:sz w:val="21"/>
      <w:lang w:val="en-US" w:eastAsia="zh-CN" w:bidi="ar-SA"/>
    </w:rPr>
  </w:style>
  <w:style w:type="paragraph" w:customStyle="1" w:styleId="166">
    <w:name w:val="段"/>
    <w:link w:val="165"/>
    <w:qFormat/>
    <w:uiPriority w:val="0"/>
    <w:pPr>
      <w:ind w:firstLine="200" w:firstLineChars="200"/>
      <w:jc w:val="both"/>
    </w:pPr>
    <w:rPr>
      <w:rFonts w:ascii="宋体" w:hAnsi="Times New Roman" w:eastAsia="宋体" w:cs="Times New Roman"/>
      <w:sz w:val="21"/>
      <w:lang w:val="en-US" w:eastAsia="zh-CN" w:bidi="ar-SA"/>
    </w:rPr>
  </w:style>
  <w:style w:type="character" w:customStyle="1" w:styleId="167">
    <w:name w:val="MTDisplayEquation Char"/>
    <w:link w:val="168"/>
    <w:qFormat/>
    <w:uiPriority w:val="0"/>
    <w:rPr>
      <w:rFonts w:ascii="宋体" w:hAnsi="宋体"/>
      <w:sz w:val="21"/>
    </w:rPr>
  </w:style>
  <w:style w:type="paragraph" w:customStyle="1" w:styleId="168">
    <w:name w:val="MTDisplayEquation"/>
    <w:basedOn w:val="166"/>
    <w:link w:val="167"/>
    <w:qFormat/>
    <w:uiPriority w:val="0"/>
    <w:pPr>
      <w:tabs>
        <w:tab w:val="center" w:pos="4680"/>
      </w:tabs>
      <w:ind w:firstLine="420"/>
    </w:pPr>
    <w:rPr>
      <w:rFonts w:hAnsi="宋体"/>
    </w:rPr>
  </w:style>
  <w:style w:type="character" w:customStyle="1" w:styleId="169">
    <w:name w:val="正文缩进 Char1"/>
    <w:qFormat/>
    <w:uiPriority w:val="0"/>
    <w:rPr>
      <w:rFonts w:ascii="Times New Roman" w:hAnsi="Times New Roman"/>
      <w:kern w:val="2"/>
      <w:sz w:val="21"/>
    </w:rPr>
  </w:style>
  <w:style w:type="character" w:customStyle="1" w:styleId="170">
    <w:name w:val="Char Char5"/>
    <w:qFormat/>
    <w:locked/>
    <w:uiPriority w:val="99"/>
    <w:rPr>
      <w:rFonts w:ascii="Arial" w:hAnsi="Arial" w:eastAsia="宋体"/>
      <w:b/>
      <w:kern w:val="2"/>
      <w:sz w:val="32"/>
    </w:rPr>
  </w:style>
  <w:style w:type="character" w:customStyle="1" w:styleId="171">
    <w:name w:val="标题 2 Char1"/>
    <w:qFormat/>
    <w:locked/>
    <w:uiPriority w:val="0"/>
    <w:rPr>
      <w:rFonts w:ascii="Arial" w:hAnsi="Arial" w:eastAsia="黑体"/>
      <w:b/>
      <w:bCs/>
      <w:kern w:val="2"/>
      <w:sz w:val="32"/>
      <w:szCs w:val="32"/>
    </w:rPr>
  </w:style>
  <w:style w:type="character" w:customStyle="1" w:styleId="172">
    <w:name w:val="标题 1 Char Char"/>
    <w:qFormat/>
    <w:uiPriority w:val="0"/>
    <w:rPr>
      <w:rFonts w:ascii="宋体" w:eastAsia="宋体"/>
      <w:b/>
      <w:bCs/>
      <w:kern w:val="44"/>
      <w:sz w:val="21"/>
      <w:szCs w:val="21"/>
      <w:lang w:val="en-US" w:eastAsia="zh-CN" w:bidi="ar-SA"/>
    </w:rPr>
  </w:style>
  <w:style w:type="character" w:customStyle="1" w:styleId="173">
    <w:name w:val="样式 标题 4 + (符号) 宋体 Char"/>
    <w:link w:val="174"/>
    <w:qFormat/>
    <w:uiPriority w:val="0"/>
    <w:rPr>
      <w:rFonts w:ascii="宋体" w:hAnsi="Arial"/>
      <w:b/>
      <w:bCs/>
      <w:kern w:val="2"/>
      <w:sz w:val="21"/>
      <w:szCs w:val="21"/>
    </w:rPr>
  </w:style>
  <w:style w:type="paragraph" w:customStyle="1" w:styleId="174">
    <w:name w:val="样式 标题 4 + (符号) 宋体"/>
    <w:basedOn w:val="6"/>
    <w:link w:val="173"/>
    <w:qFormat/>
    <w:uiPriority w:val="0"/>
    <w:pPr>
      <w:keepNext w:val="0"/>
      <w:keepLines w:val="0"/>
      <w:adjustRightInd w:val="0"/>
      <w:snapToGrid w:val="0"/>
      <w:spacing w:before="0" w:after="0" w:line="360" w:lineRule="auto"/>
    </w:pPr>
    <w:rPr>
      <w:rFonts w:ascii="宋体" w:eastAsia="宋体"/>
      <w:sz w:val="21"/>
      <w:szCs w:val="21"/>
    </w:rPr>
  </w:style>
  <w:style w:type="character" w:customStyle="1" w:styleId="175">
    <w:name w:val="表内居两端对齐 Char Char"/>
    <w:qFormat/>
    <w:locked/>
    <w:uiPriority w:val="0"/>
    <w:rPr>
      <w:kern w:val="2"/>
      <w:sz w:val="18"/>
    </w:rPr>
  </w:style>
  <w:style w:type="character" w:customStyle="1" w:styleId="176">
    <w:name w:val="首示例 Char"/>
    <w:link w:val="177"/>
    <w:qFormat/>
    <w:uiPriority w:val="0"/>
    <w:rPr>
      <w:rFonts w:ascii="宋体" w:hAnsi="宋体"/>
      <w:kern w:val="2"/>
      <w:sz w:val="18"/>
      <w:szCs w:val="18"/>
      <w:lang w:val="en-US" w:eastAsia="zh-CN" w:bidi="ar-SA"/>
    </w:rPr>
  </w:style>
  <w:style w:type="paragraph" w:customStyle="1" w:styleId="177">
    <w:name w:val="首示例"/>
    <w:next w:val="166"/>
    <w:link w:val="176"/>
    <w:qFormat/>
    <w:uiPriority w:val="0"/>
    <w:pPr>
      <w:tabs>
        <w:tab w:val="left" w:pos="360"/>
      </w:tabs>
    </w:pPr>
    <w:rPr>
      <w:rFonts w:ascii="宋体" w:hAnsi="宋体" w:eastAsia="宋体" w:cs="Times New Roman"/>
      <w:kern w:val="2"/>
      <w:sz w:val="18"/>
      <w:szCs w:val="18"/>
      <w:lang w:val="en-US" w:eastAsia="zh-CN" w:bidi="ar-SA"/>
    </w:rPr>
  </w:style>
  <w:style w:type="character" w:customStyle="1" w:styleId="178">
    <w:name w:val="Char Char"/>
    <w:qFormat/>
    <w:locked/>
    <w:uiPriority w:val="99"/>
    <w:rPr>
      <w:rFonts w:ascii="宋体" w:hAnsi="宋体" w:eastAsia="宋体"/>
      <w:kern w:val="2"/>
      <w:sz w:val="24"/>
    </w:rPr>
  </w:style>
  <w:style w:type="character" w:customStyle="1" w:styleId="179">
    <w:name w:val="Footer Char"/>
    <w:qFormat/>
    <w:uiPriority w:val="99"/>
    <w:rPr>
      <w:rFonts w:ascii="Times New Roman" w:hAnsi="Times New Roman"/>
      <w:sz w:val="18"/>
    </w:rPr>
  </w:style>
  <w:style w:type="character" w:customStyle="1" w:styleId="180">
    <w:name w:val="发布"/>
    <w:qFormat/>
    <w:uiPriority w:val="0"/>
    <w:rPr>
      <w:rFonts w:ascii="黑体" w:eastAsia="黑体"/>
      <w:spacing w:val="85"/>
      <w:w w:val="100"/>
      <w:position w:val="3"/>
      <w:sz w:val="28"/>
      <w:szCs w:val="28"/>
    </w:rPr>
  </w:style>
  <w:style w:type="character" w:customStyle="1" w:styleId="181">
    <w:name w:val="Char Char15"/>
    <w:qFormat/>
    <w:locked/>
    <w:uiPriority w:val="99"/>
    <w:rPr>
      <w:rFonts w:eastAsia="黑体"/>
      <w:sz w:val="36"/>
    </w:rPr>
  </w:style>
  <w:style w:type="character" w:customStyle="1" w:styleId="182">
    <w:name w:val="页眉 Char1"/>
    <w:qFormat/>
    <w:uiPriority w:val="99"/>
    <w:rPr>
      <w:rFonts w:eastAsia="宋体"/>
      <w:kern w:val="2"/>
      <w:sz w:val="18"/>
      <w:lang w:val="en-US" w:eastAsia="zh-CN"/>
    </w:rPr>
  </w:style>
  <w:style w:type="character" w:customStyle="1" w:styleId="183">
    <w:name w:val="样式 标题 3 + 宋体 Char"/>
    <w:link w:val="184"/>
    <w:qFormat/>
    <w:uiPriority w:val="0"/>
    <w:rPr>
      <w:rFonts w:ascii="宋体" w:hAnsi="宋体" w:eastAsia="宋体"/>
      <w:kern w:val="2"/>
      <w:sz w:val="21"/>
      <w:szCs w:val="21"/>
      <w:lang w:val="en-US" w:eastAsia="zh-CN" w:bidi="ar-SA"/>
    </w:rPr>
  </w:style>
  <w:style w:type="paragraph" w:customStyle="1" w:styleId="184">
    <w:name w:val="样式 标题 3 + 宋体"/>
    <w:basedOn w:val="5"/>
    <w:link w:val="183"/>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bCs w:val="0"/>
      <w:sz w:val="21"/>
      <w:szCs w:val="21"/>
    </w:rPr>
  </w:style>
  <w:style w:type="character" w:customStyle="1" w:styleId="185">
    <w:name w:val="style7"/>
    <w:qFormat/>
    <w:uiPriority w:val="99"/>
  </w:style>
  <w:style w:type="character" w:customStyle="1" w:styleId="186">
    <w:name w:val="Char Char16"/>
    <w:qFormat/>
    <w:uiPriority w:val="0"/>
    <w:rPr>
      <w:rFonts w:ascii="Arial" w:hAnsi="Arial" w:eastAsia="黑体"/>
      <w:b/>
      <w:bCs/>
      <w:kern w:val="2"/>
      <w:sz w:val="32"/>
      <w:szCs w:val="32"/>
      <w:lang w:val="en-US" w:eastAsia="zh-CN" w:bidi="ar-SA"/>
    </w:rPr>
  </w:style>
  <w:style w:type="character" w:customStyle="1" w:styleId="187">
    <w:name w:val="description"/>
    <w:qFormat/>
    <w:uiPriority w:val="0"/>
  </w:style>
  <w:style w:type="character" w:customStyle="1" w:styleId="188">
    <w:name w:val="首行缩进 Char"/>
    <w:link w:val="189"/>
    <w:qFormat/>
    <w:uiPriority w:val="99"/>
    <w:rPr>
      <w:rFonts w:eastAsia="方正书宋简体" w:cs="宋体"/>
      <w:kern w:val="2"/>
      <w:sz w:val="21"/>
      <w:lang w:val="en-US" w:eastAsia="zh-CN" w:bidi="ar-SA"/>
    </w:rPr>
  </w:style>
  <w:style w:type="paragraph" w:customStyle="1" w:styleId="189">
    <w:name w:val="首行缩进"/>
    <w:basedOn w:val="1"/>
    <w:link w:val="188"/>
    <w:qFormat/>
    <w:uiPriority w:val="99"/>
    <w:pPr>
      <w:spacing w:line="300" w:lineRule="auto"/>
      <w:ind w:firstLine="420" w:firstLineChars="200"/>
    </w:pPr>
    <w:rPr>
      <w:rFonts w:eastAsia="方正书宋简体" w:cs="宋体"/>
      <w:szCs w:val="20"/>
    </w:rPr>
  </w:style>
  <w:style w:type="character" w:customStyle="1" w:styleId="190">
    <w:name w:val="附录公式 Char"/>
    <w:link w:val="191"/>
    <w:qFormat/>
    <w:uiPriority w:val="0"/>
    <w:rPr>
      <w:rFonts w:ascii="宋体"/>
      <w:sz w:val="21"/>
    </w:rPr>
  </w:style>
  <w:style w:type="paragraph" w:customStyle="1" w:styleId="191">
    <w:name w:val="附录公式"/>
    <w:basedOn w:val="166"/>
    <w:next w:val="166"/>
    <w:link w:val="190"/>
    <w:qFormat/>
    <w:uiPriority w:val="0"/>
    <w:pPr>
      <w:tabs>
        <w:tab w:val="center" w:pos="4201"/>
        <w:tab w:val="right" w:leader="dot" w:pos="9298"/>
      </w:tabs>
      <w:autoSpaceDE w:val="0"/>
      <w:autoSpaceDN w:val="0"/>
      <w:ind w:firstLine="420"/>
    </w:pPr>
  </w:style>
  <w:style w:type="character" w:customStyle="1" w:styleId="192">
    <w:name w:val="朱表头 Char"/>
    <w:link w:val="193"/>
    <w:qFormat/>
    <w:uiPriority w:val="0"/>
    <w:rPr>
      <w:rFonts w:ascii="EU-F1" w:eastAsia="黑体"/>
      <w:snapToGrid/>
      <w:kern w:val="2"/>
      <w:sz w:val="21"/>
    </w:rPr>
  </w:style>
  <w:style w:type="paragraph" w:customStyle="1" w:styleId="193">
    <w:name w:val="朱表头"/>
    <w:basedOn w:val="1"/>
    <w:link w:val="192"/>
    <w:qFormat/>
    <w:uiPriority w:val="0"/>
    <w:pPr>
      <w:topLinePunct/>
      <w:spacing w:before="160" w:after="60" w:line="312" w:lineRule="exact"/>
      <w:jc w:val="center"/>
    </w:pPr>
    <w:rPr>
      <w:rFonts w:ascii="EU-F1" w:eastAsia="黑体"/>
      <w:szCs w:val="20"/>
    </w:rPr>
  </w:style>
  <w:style w:type="character" w:customStyle="1" w:styleId="194">
    <w:name w:val="表内居两端对齐 Char"/>
    <w:basedOn w:val="195"/>
    <w:link w:val="197"/>
    <w:qFormat/>
    <w:uiPriority w:val="0"/>
    <w:rPr>
      <w:rFonts w:eastAsia="宋体" w:cs="宋体"/>
      <w:kern w:val="2"/>
      <w:sz w:val="18"/>
      <w:szCs w:val="18"/>
      <w:lang w:val="en-US" w:eastAsia="zh-CN" w:bidi="ar-SA"/>
    </w:rPr>
  </w:style>
  <w:style w:type="character" w:customStyle="1" w:styleId="195">
    <w:name w:val="表内居中小五 Char"/>
    <w:link w:val="196"/>
    <w:qFormat/>
    <w:uiPriority w:val="0"/>
    <w:rPr>
      <w:rFonts w:eastAsia="宋体" w:cs="宋体"/>
      <w:kern w:val="2"/>
      <w:sz w:val="18"/>
      <w:szCs w:val="18"/>
      <w:lang w:val="en-US" w:eastAsia="zh-CN" w:bidi="ar-SA"/>
    </w:rPr>
  </w:style>
  <w:style w:type="paragraph" w:customStyle="1" w:styleId="196">
    <w:name w:val="表内居中小五"/>
    <w:basedOn w:val="1"/>
    <w:link w:val="195"/>
    <w:qFormat/>
    <w:uiPriority w:val="0"/>
    <w:pPr>
      <w:jc w:val="center"/>
    </w:pPr>
    <w:rPr>
      <w:rFonts w:cs="宋体"/>
      <w:sz w:val="18"/>
      <w:szCs w:val="18"/>
    </w:rPr>
  </w:style>
  <w:style w:type="paragraph" w:customStyle="1" w:styleId="197">
    <w:name w:val="表内居两端对齐"/>
    <w:basedOn w:val="196"/>
    <w:link w:val="194"/>
    <w:qFormat/>
    <w:uiPriority w:val="0"/>
    <w:pPr>
      <w:jc w:val="both"/>
    </w:pPr>
  </w:style>
  <w:style w:type="character" w:customStyle="1" w:styleId="198">
    <w:name w:val="Header Char"/>
    <w:qFormat/>
    <w:uiPriority w:val="99"/>
    <w:rPr>
      <w:rFonts w:ascii="Times New Roman" w:hAnsi="Times New Roman"/>
      <w:sz w:val="18"/>
    </w:rPr>
  </w:style>
  <w:style w:type="character" w:customStyle="1" w:styleId="199">
    <w:name w:val="Char Char8"/>
    <w:qFormat/>
    <w:uiPriority w:val="99"/>
    <w:rPr>
      <w:rFonts w:ascii="宋体" w:hAnsi="宋体" w:eastAsia="宋体"/>
      <w:b/>
      <w:sz w:val="36"/>
      <w:lang w:val="en-US" w:eastAsia="zh-CN"/>
    </w:rPr>
  </w:style>
  <w:style w:type="character" w:customStyle="1" w:styleId="200">
    <w:name w:val="Char Char41"/>
    <w:qFormat/>
    <w:locked/>
    <w:uiPriority w:val="99"/>
    <w:rPr>
      <w:rFonts w:ascii="宋体" w:hAnsi="宋体" w:eastAsia="宋体"/>
      <w:kern w:val="2"/>
      <w:sz w:val="24"/>
    </w:rPr>
  </w:style>
  <w:style w:type="character" w:customStyle="1" w:styleId="201">
    <w:name w:val="表注 Char"/>
    <w:link w:val="202"/>
    <w:qFormat/>
    <w:locked/>
    <w:uiPriority w:val="99"/>
    <w:rPr>
      <w:kern w:val="2"/>
      <w:sz w:val="18"/>
      <w:szCs w:val="24"/>
    </w:rPr>
  </w:style>
  <w:style w:type="paragraph" w:customStyle="1" w:styleId="202">
    <w:name w:val="表注"/>
    <w:basedOn w:val="1"/>
    <w:link w:val="201"/>
    <w:qFormat/>
    <w:uiPriority w:val="99"/>
    <w:pPr>
      <w:autoSpaceDE w:val="0"/>
      <w:autoSpaceDN w:val="0"/>
      <w:adjustRightInd w:val="0"/>
      <w:jc w:val="left"/>
    </w:pPr>
    <w:rPr>
      <w:sz w:val="18"/>
    </w:rPr>
  </w:style>
  <w:style w:type="character" w:customStyle="1" w:styleId="203">
    <w:name w:val="标题 1 Char1"/>
    <w:qFormat/>
    <w:locked/>
    <w:uiPriority w:val="99"/>
    <w:rPr>
      <w:rFonts w:eastAsia="黑体"/>
      <w:kern w:val="0"/>
      <w:szCs w:val="36"/>
    </w:rPr>
  </w:style>
  <w:style w:type="character" w:customStyle="1" w:styleId="204">
    <w:name w:val="已访问的超链接1"/>
    <w:qFormat/>
    <w:uiPriority w:val="0"/>
    <w:rPr>
      <w:color w:val="800080"/>
      <w:u w:val="single"/>
    </w:rPr>
  </w:style>
  <w:style w:type="character" w:customStyle="1" w:styleId="205">
    <w:name w:val="jl 正文 Char Char Char"/>
    <w:link w:val="206"/>
    <w:qFormat/>
    <w:uiPriority w:val="0"/>
    <w:rPr>
      <w:rFonts w:ascii="宋体" w:eastAsia="宋体"/>
      <w:kern w:val="2"/>
      <w:sz w:val="24"/>
      <w:szCs w:val="24"/>
      <w:lang w:val="en-US" w:eastAsia="zh-CN" w:bidi="ar-SA"/>
    </w:rPr>
  </w:style>
  <w:style w:type="paragraph" w:customStyle="1" w:styleId="206">
    <w:name w:val="jl 正文 Char Char"/>
    <w:basedOn w:val="1"/>
    <w:link w:val="205"/>
    <w:qFormat/>
    <w:uiPriority w:val="0"/>
    <w:pPr>
      <w:autoSpaceDE w:val="0"/>
      <w:autoSpaceDN w:val="0"/>
      <w:adjustRightInd w:val="0"/>
      <w:ind w:firstLine="200" w:firstLineChars="200"/>
      <w:jc w:val="left"/>
      <w:textAlignment w:val="baseline"/>
    </w:pPr>
    <w:rPr>
      <w:rFonts w:ascii="宋体"/>
      <w:sz w:val="24"/>
    </w:rPr>
  </w:style>
  <w:style w:type="character" w:customStyle="1" w:styleId="207">
    <w:name w:val="表头 Char"/>
    <w:link w:val="208"/>
    <w:qFormat/>
    <w:uiPriority w:val="0"/>
    <w:rPr>
      <w:rFonts w:eastAsia="黑体"/>
      <w:kern w:val="2"/>
      <w:sz w:val="21"/>
      <w:szCs w:val="21"/>
      <w:lang w:val="en-US" w:eastAsia="zh-CN" w:bidi="ar-SA"/>
    </w:rPr>
  </w:style>
  <w:style w:type="paragraph" w:customStyle="1" w:styleId="208">
    <w:name w:val="表头"/>
    <w:basedOn w:val="1"/>
    <w:link w:val="207"/>
    <w:qFormat/>
    <w:uiPriority w:val="0"/>
    <w:pPr>
      <w:topLinePunct/>
      <w:spacing w:before="160" w:after="60"/>
      <w:jc w:val="center"/>
    </w:pPr>
    <w:rPr>
      <w:rFonts w:eastAsia="黑体"/>
      <w:szCs w:val="21"/>
    </w:rPr>
  </w:style>
  <w:style w:type="character" w:customStyle="1" w:styleId="209">
    <w:name w:val="样式 标题 3 + 宋体 Char Char"/>
    <w:qFormat/>
    <w:locked/>
    <w:uiPriority w:val="0"/>
    <w:rPr>
      <w:rFonts w:ascii="宋体"/>
      <w:kern w:val="2"/>
      <w:sz w:val="21"/>
    </w:rPr>
  </w:style>
  <w:style w:type="paragraph" w:customStyle="1" w:styleId="210">
    <w:name w:val="四级无"/>
    <w:basedOn w:val="211"/>
    <w:qFormat/>
    <w:uiPriority w:val="0"/>
    <w:pPr>
      <w:numPr>
        <w:ilvl w:val="4"/>
        <w:numId w:val="13"/>
      </w:numPr>
      <w:tabs>
        <w:tab w:val="left" w:pos="945"/>
        <w:tab w:val="left" w:pos="1021"/>
        <w:tab w:val="left" w:pos="1080"/>
        <w:tab w:val="left" w:pos="1155"/>
        <w:tab w:val="left" w:pos="2040"/>
      </w:tabs>
      <w:spacing w:before="50" w:after="50" w:line="240" w:lineRule="auto"/>
      <w:jc w:val="left"/>
    </w:pPr>
    <w:rPr>
      <w:rFonts w:ascii="宋体" w:eastAsia="宋体"/>
      <w:b w:val="0"/>
      <w:szCs w:val="21"/>
    </w:rPr>
  </w:style>
  <w:style w:type="paragraph" w:customStyle="1" w:styleId="211">
    <w:name w:val="四级条标题"/>
    <w:basedOn w:val="212"/>
    <w:next w:val="166"/>
    <w:qFormat/>
    <w:uiPriority w:val="0"/>
    <w:pPr>
      <w:tabs>
        <w:tab w:val="left" w:pos="945"/>
        <w:tab w:val="left" w:pos="1021"/>
        <w:tab w:val="left" w:pos="1080"/>
        <w:tab w:val="left" w:pos="1155"/>
      </w:tabs>
      <w:outlineLvl w:val="5"/>
    </w:pPr>
  </w:style>
  <w:style w:type="paragraph" w:customStyle="1" w:styleId="212">
    <w:name w:val="三级条标题"/>
    <w:basedOn w:val="143"/>
    <w:next w:val="166"/>
    <w:qFormat/>
    <w:uiPriority w:val="0"/>
    <w:pPr>
      <w:tabs>
        <w:tab w:val="left" w:pos="945"/>
        <w:tab w:val="left" w:pos="1080"/>
      </w:tabs>
      <w:outlineLvl w:val="4"/>
    </w:pPr>
  </w:style>
  <w:style w:type="paragraph" w:customStyle="1" w:styleId="213">
    <w:name w:val="样式 首行缩进:  0 厘米 行距: 单倍行距 Char"/>
    <w:basedOn w:val="1"/>
    <w:qFormat/>
    <w:uiPriority w:val="0"/>
    <w:pPr>
      <w:adjustRightInd w:val="0"/>
      <w:textAlignment w:val="baseline"/>
    </w:pPr>
    <w:rPr>
      <w:kern w:val="0"/>
      <w:szCs w:val="21"/>
    </w:rPr>
  </w:style>
  <w:style w:type="paragraph" w:customStyle="1" w:styleId="21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15">
    <w:name w:val="列项●（二级）"/>
    <w:qFormat/>
    <w:uiPriority w:val="0"/>
    <w:pPr>
      <w:numPr>
        <w:ilvl w:val="1"/>
        <w:numId w:val="14"/>
      </w:numPr>
      <w:tabs>
        <w:tab w:val="left" w:pos="840"/>
      </w:tabs>
      <w:jc w:val="both"/>
    </w:pPr>
    <w:rPr>
      <w:rFonts w:ascii="宋体" w:hAnsi="Times New Roman" w:eastAsia="宋体" w:cs="Times New Roman"/>
      <w:sz w:val="21"/>
      <w:lang w:val="en-US" w:eastAsia="zh-CN" w:bidi="ar-SA"/>
    </w:rPr>
  </w:style>
  <w:style w:type="paragraph" w:customStyle="1" w:styleId="216">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217">
    <w:name w:val="封面标准文稿类别2"/>
    <w:basedOn w:val="218"/>
    <w:qFormat/>
    <w:uiPriority w:val="0"/>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1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19">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szCs w:val="20"/>
      <w:lang w:val="en-GB"/>
    </w:rPr>
  </w:style>
  <w:style w:type="paragraph" w:customStyle="1" w:styleId="220">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221">
    <w:name w:val="其他标准标志"/>
    <w:basedOn w:val="222"/>
    <w:qFormat/>
    <w:uiPriority w:val="0"/>
    <w:pPr>
      <w:framePr w:w="6101" w:wrap="around" w:vAnchor="page" w:hAnchor="page" w:x="4673" w:y="942"/>
    </w:pPr>
    <w:rPr>
      <w:w w:val="130"/>
    </w:rPr>
  </w:style>
  <w:style w:type="paragraph" w:customStyle="1" w:styleId="22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223">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224">
    <w:name w:val="CM75"/>
    <w:basedOn w:val="225"/>
    <w:next w:val="225"/>
    <w:qFormat/>
    <w:uiPriority w:val="99"/>
    <w:pPr>
      <w:spacing w:line="593" w:lineRule="atLeast"/>
    </w:pPr>
    <w:rPr>
      <w:rFonts w:cs="Times New Roman"/>
      <w:color w:val="auto"/>
      <w:sz w:val="20"/>
    </w:rPr>
  </w:style>
  <w:style w:type="paragraph" w:customStyle="1" w:styleId="22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6">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227">
    <w:name w:val="默认段落字体 Para Char Char Char Char"/>
    <w:basedOn w:val="1"/>
    <w:qFormat/>
    <w:uiPriority w:val="0"/>
    <w:rPr>
      <w:rFonts w:ascii="宋体" w:hAnsi="宋体"/>
      <w:b/>
      <w:color w:val="000000"/>
      <w:sz w:val="24"/>
    </w:rPr>
  </w:style>
  <w:style w:type="paragraph" w:customStyle="1" w:styleId="228">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229">
    <w:name w:val="样式 标题 2 + 黑体 段前: 10.25 磅 段后: 10.25 磅 行距: 单倍行距"/>
    <w:basedOn w:val="3"/>
    <w:qFormat/>
    <w:uiPriority w:val="0"/>
    <w:pPr>
      <w:topLinePunct w:val="0"/>
      <w:adjustRightInd w:val="0"/>
      <w:spacing w:before="156" w:beforeLines="50" w:after="156" w:afterLines="50"/>
      <w:jc w:val="left"/>
      <w:textAlignment w:val="baseline"/>
    </w:pPr>
    <w:rPr>
      <w:rFonts w:ascii="黑体" w:hAnsi="黑体"/>
      <w:b/>
      <w:bCs w:val="0"/>
      <w:kern w:val="0"/>
      <w:sz w:val="24"/>
      <w:szCs w:val="20"/>
    </w:rPr>
  </w:style>
  <w:style w:type="paragraph" w:customStyle="1" w:styleId="230">
    <w:name w:val="样式 标题 2标题 2 Char + 宋体"/>
    <w:basedOn w:val="3"/>
    <w:qFormat/>
    <w:uiPriority w:val="0"/>
    <w:pPr>
      <w:keepNext w:val="0"/>
      <w:numPr>
        <w:numId w:val="15"/>
      </w:numPr>
      <w:tabs>
        <w:tab w:val="left" w:pos="1320"/>
      </w:tabs>
      <w:topLinePunct w:val="0"/>
      <w:adjustRightInd w:val="0"/>
      <w:snapToGrid w:val="0"/>
    </w:pPr>
    <w:rPr>
      <w:rFonts w:ascii="宋体" w:eastAsia="宋体"/>
      <w:bCs w:val="0"/>
    </w:rPr>
  </w:style>
  <w:style w:type="paragraph" w:customStyle="1" w:styleId="231">
    <w:name w:val="术语定义条标题"/>
    <w:basedOn w:val="232"/>
    <w:next w:val="166"/>
    <w:qFormat/>
    <w:uiPriority w:val="0"/>
    <w:pPr>
      <w:numPr>
        <w:ilvl w:val="0"/>
        <w:numId w:val="0"/>
      </w:numPr>
      <w:tabs>
        <w:tab w:val="left" w:pos="420"/>
      </w:tabs>
      <w:spacing w:before="0" w:after="0"/>
      <w:jc w:val="left"/>
      <w:outlineLvl w:val="9"/>
    </w:pPr>
  </w:style>
  <w:style w:type="paragraph" w:customStyle="1" w:styleId="232">
    <w:name w:val="章标题"/>
    <w:next w:val="166"/>
    <w:qFormat/>
    <w:uiPriority w:val="0"/>
    <w:pPr>
      <w:numPr>
        <w:ilvl w:val="1"/>
        <w:numId w:val="16"/>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233">
    <w:name w:val="其他实施日期"/>
    <w:basedOn w:val="234"/>
    <w:qFormat/>
    <w:uiPriority w:val="0"/>
    <w:pPr>
      <w:framePr w:w="3997" w:h="471" w:hRule="exact" w:vSpace="181" w:wrap="around" w:vAnchor="page" w:hAnchor="text" w:x="7089" w:y="14097" w:anchorLock="1"/>
      <w:spacing w:line="240" w:lineRule="auto"/>
    </w:pPr>
  </w:style>
  <w:style w:type="paragraph" w:customStyle="1" w:styleId="234">
    <w:name w:val="实施日期"/>
    <w:basedOn w:val="1"/>
    <w:qFormat/>
    <w:uiPriority w:val="0"/>
    <w:pPr>
      <w:widowControl/>
      <w:jc w:val="right"/>
    </w:pPr>
    <w:rPr>
      <w:rFonts w:eastAsia="黑体"/>
      <w:kern w:val="0"/>
      <w:sz w:val="28"/>
      <w:szCs w:val="20"/>
    </w:rPr>
  </w:style>
  <w:style w:type="paragraph" w:customStyle="1" w:styleId="235">
    <w:name w:val="font6"/>
    <w:basedOn w:val="1"/>
    <w:qFormat/>
    <w:uiPriority w:val="0"/>
    <w:pPr>
      <w:widowControl/>
      <w:spacing w:before="100" w:beforeAutospacing="1" w:after="100" w:afterAutospacing="1"/>
      <w:jc w:val="left"/>
    </w:pPr>
    <w:rPr>
      <w:rFonts w:hint="eastAsia" w:ascii="宋体" w:hAnsi="宋体"/>
      <w:color w:val="000000"/>
      <w:kern w:val="0"/>
      <w:sz w:val="20"/>
      <w:szCs w:val="20"/>
    </w:rPr>
  </w:style>
  <w:style w:type="paragraph" w:customStyle="1" w:styleId="236">
    <w:name w:val="样式1"/>
    <w:basedOn w:val="1"/>
    <w:qFormat/>
    <w:uiPriority w:val="99"/>
    <w:pPr>
      <w:keepNext/>
      <w:keepLines/>
      <w:numPr>
        <w:ilvl w:val="3"/>
        <w:numId w:val="17"/>
      </w:numPr>
      <w:topLinePunct/>
      <w:spacing w:line="1200" w:lineRule="auto"/>
      <w:jc w:val="center"/>
      <w:outlineLvl w:val="0"/>
    </w:pPr>
    <w:rPr>
      <w:rFonts w:cs="宋体"/>
      <w:b/>
      <w:kern w:val="44"/>
      <w:sz w:val="52"/>
      <w:szCs w:val="52"/>
    </w:rPr>
  </w:style>
  <w:style w:type="paragraph" w:customStyle="1" w:styleId="237">
    <w:name w:val="c标准正文"/>
    <w:basedOn w:val="1"/>
    <w:qFormat/>
    <w:uiPriority w:val="0"/>
    <w:pPr>
      <w:adjustRightInd w:val="0"/>
      <w:spacing w:line="360" w:lineRule="atLeast"/>
      <w:ind w:firstLine="425"/>
    </w:pPr>
    <w:rPr>
      <w:kern w:val="0"/>
      <w:szCs w:val="20"/>
    </w:rPr>
  </w:style>
  <w:style w:type="paragraph" w:customStyle="1" w:styleId="23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39">
    <w:name w:val="一级条标题"/>
    <w:basedOn w:val="232"/>
    <w:next w:val="166"/>
    <w:qFormat/>
    <w:uiPriority w:val="0"/>
    <w:pPr>
      <w:numPr>
        <w:ilvl w:val="2"/>
      </w:numPr>
      <w:tabs>
        <w:tab w:val="left" w:pos="525"/>
      </w:tabs>
      <w:spacing w:before="0" w:beforeLines="0" w:after="0" w:afterLines="0"/>
      <w:outlineLvl w:val="2"/>
    </w:pPr>
  </w:style>
  <w:style w:type="paragraph" w:customStyle="1" w:styleId="240">
    <w:name w:val="工程建设款标题"/>
    <w:basedOn w:val="1"/>
    <w:qFormat/>
    <w:uiPriority w:val="0"/>
    <w:pPr>
      <w:widowControl/>
      <w:numPr>
        <w:ilvl w:val="2"/>
        <w:numId w:val="18"/>
      </w:numPr>
      <w:spacing w:line="240" w:lineRule="auto"/>
      <w:jc w:val="left"/>
    </w:pPr>
    <w:rPr>
      <w:rFonts w:ascii="黑体" w:eastAsia="黑体"/>
      <w:kern w:val="0"/>
      <w:szCs w:val="20"/>
    </w:rPr>
  </w:style>
  <w:style w:type="paragraph" w:customStyle="1" w:styleId="241">
    <w:name w:val="Char Char Char Char Char Char Char Char Char Char Char Char Char"/>
    <w:basedOn w:val="1"/>
    <w:qFormat/>
    <w:uiPriority w:val="0"/>
    <w:pPr>
      <w:ind w:firstLine="200" w:firstLineChars="200"/>
    </w:pPr>
    <w:rPr>
      <w:rFonts w:ascii="宋体" w:hAnsi="宋体" w:cs="宋体"/>
      <w:sz w:val="24"/>
    </w:rPr>
  </w:style>
  <w:style w:type="paragraph" w:customStyle="1" w:styleId="242">
    <w:name w:val="CM77"/>
    <w:basedOn w:val="225"/>
    <w:next w:val="225"/>
    <w:qFormat/>
    <w:uiPriority w:val="99"/>
    <w:pPr>
      <w:spacing w:after="283"/>
    </w:pPr>
    <w:rPr>
      <w:rFonts w:cs="Times New Roman"/>
      <w:color w:val="auto"/>
      <w:sz w:val="20"/>
    </w:rPr>
  </w:style>
  <w:style w:type="paragraph" w:customStyle="1" w:styleId="24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Char3"/>
    <w:basedOn w:val="1"/>
    <w:qFormat/>
    <w:uiPriority w:val="0"/>
    <w:rPr>
      <w:szCs w:val="20"/>
    </w:rPr>
  </w:style>
  <w:style w:type="paragraph" w:customStyle="1" w:styleId="2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46">
    <w:name w:val="示例×："/>
    <w:basedOn w:val="232"/>
    <w:qFormat/>
    <w:uiPriority w:val="0"/>
    <w:pPr>
      <w:numPr>
        <w:ilvl w:val="0"/>
        <w:numId w:val="19"/>
      </w:numPr>
      <w:tabs>
        <w:tab w:val="clear" w:pos="420"/>
      </w:tabs>
      <w:spacing w:before="0" w:beforeLines="0" w:after="0" w:afterLines="0"/>
      <w:outlineLvl w:val="9"/>
    </w:pPr>
    <w:rPr>
      <w:rFonts w:ascii="宋体" w:eastAsia="宋体"/>
      <w:b w:val="0"/>
      <w:sz w:val="18"/>
      <w:szCs w:val="18"/>
    </w:rPr>
  </w:style>
  <w:style w:type="paragraph" w:customStyle="1" w:styleId="247">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szCs w:val="16"/>
    </w:rPr>
  </w:style>
  <w:style w:type="paragraph" w:customStyle="1" w:styleId="248">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249">
    <w:name w:val="工程建设公式标题"/>
    <w:basedOn w:val="1"/>
    <w:qFormat/>
    <w:uiPriority w:val="0"/>
    <w:pPr>
      <w:widowControl/>
      <w:numPr>
        <w:ilvl w:val="1"/>
        <w:numId w:val="18"/>
      </w:numPr>
      <w:spacing w:line="240" w:lineRule="auto"/>
      <w:ind w:left="288" w:firstLine="288"/>
      <w:jc w:val="center"/>
      <w:outlineLvl w:val="6"/>
    </w:pPr>
    <w:rPr>
      <w:rFonts w:ascii="黑体" w:eastAsia="黑体"/>
      <w:kern w:val="0"/>
      <w:szCs w:val="20"/>
    </w:rPr>
  </w:style>
  <w:style w:type="paragraph" w:customStyle="1" w:styleId="250">
    <w:name w:val="引言一级条标题"/>
    <w:basedOn w:val="1"/>
    <w:next w:val="166"/>
    <w:qFormat/>
    <w:uiPriority w:val="0"/>
    <w:pPr>
      <w:widowControl/>
      <w:spacing w:line="240" w:lineRule="auto"/>
    </w:pPr>
    <w:rPr>
      <w:rFonts w:eastAsia="黑体"/>
      <w:b/>
    </w:rPr>
  </w:style>
  <w:style w:type="paragraph" w:customStyle="1" w:styleId="251">
    <w:name w:val="样式3"/>
    <w:basedOn w:val="5"/>
    <w:qFormat/>
    <w:uiPriority w:val="0"/>
    <w:pPr>
      <w:tabs>
        <w:tab w:val="left" w:pos="709"/>
        <w:tab w:val="clear" w:pos="2126"/>
      </w:tabs>
      <w:topLinePunct/>
      <w:spacing w:line="720" w:lineRule="auto"/>
      <w:jc w:val="left"/>
    </w:pPr>
    <w:rPr>
      <w:rFonts w:ascii="Arial" w:hAnsi="Arial"/>
      <w:b/>
      <w:bCs w:val="0"/>
      <w:sz w:val="30"/>
      <w:szCs w:val="30"/>
    </w:rPr>
  </w:style>
  <w:style w:type="paragraph" w:customStyle="1" w:styleId="252">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szCs w:val="20"/>
    </w:rPr>
  </w:style>
  <w:style w:type="paragraph" w:customStyle="1" w:styleId="25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54">
    <w:name w:val="列项·"/>
    <w:qFormat/>
    <w:uiPriority w:val="0"/>
    <w:pPr>
      <w:tabs>
        <w:tab w:val="left" w:pos="840"/>
      </w:tabs>
      <w:ind w:left="840" w:leftChars="200" w:hanging="420" w:hangingChars="200"/>
      <w:jc w:val="both"/>
    </w:pPr>
    <w:rPr>
      <w:rFonts w:ascii="宋体" w:hAnsi="Times New Roman" w:eastAsia="宋体" w:cs="Times New Roman"/>
      <w:sz w:val="21"/>
      <w:lang w:val="en-US" w:eastAsia="zh-CN" w:bidi="ar-SA"/>
    </w:rPr>
  </w:style>
  <w:style w:type="paragraph" w:customStyle="1" w:styleId="25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56">
    <w:name w:val="工程建设章标题"/>
    <w:next w:val="166"/>
    <w:qFormat/>
    <w:uiPriority w:val="0"/>
    <w:p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257">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szCs w:val="16"/>
    </w:rPr>
  </w:style>
  <w:style w:type="paragraph" w:customStyle="1" w:styleId="258">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59">
    <w:name w:val="名称"/>
    <w:basedOn w:val="260"/>
    <w:next w:val="166"/>
    <w:qFormat/>
    <w:uiPriority w:val="0"/>
    <w:pPr>
      <w:keepNext w:val="0"/>
      <w:pageBreakBefore w:val="0"/>
      <w:numPr>
        <w:ilvl w:val="3"/>
        <w:numId w:val="18"/>
      </w:numPr>
      <w:spacing w:line="460" w:lineRule="exact"/>
      <w:outlineLvl w:val="9"/>
    </w:pPr>
    <w:rPr>
      <w:b/>
    </w:rPr>
  </w:style>
  <w:style w:type="paragraph" w:customStyle="1" w:styleId="260">
    <w:name w:val="前言、引言标题"/>
    <w:next w:val="16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61">
    <w:name w:val="附录图标题"/>
    <w:basedOn w:val="1"/>
    <w:next w:val="166"/>
    <w:qFormat/>
    <w:uiPriority w:val="0"/>
    <w:pPr>
      <w:numPr>
        <w:ilvl w:val="1"/>
        <w:numId w:val="20"/>
      </w:numPr>
      <w:spacing w:beforeLines="50" w:afterLines="50" w:line="240" w:lineRule="auto"/>
      <w:jc w:val="center"/>
    </w:pPr>
    <w:rPr>
      <w:rFonts w:ascii="黑体" w:eastAsia="黑体"/>
      <w:szCs w:val="21"/>
    </w:rPr>
  </w:style>
  <w:style w:type="paragraph" w:customStyle="1" w:styleId="262">
    <w:name w:val="工程建设图标题"/>
    <w:basedOn w:val="1"/>
    <w:qFormat/>
    <w:uiPriority w:val="0"/>
    <w:pPr>
      <w:widowControl/>
      <w:numPr>
        <w:ilvl w:val="0"/>
        <w:numId w:val="18"/>
      </w:numPr>
      <w:spacing w:line="240" w:lineRule="auto"/>
      <w:jc w:val="center"/>
      <w:outlineLvl w:val="5"/>
    </w:pPr>
    <w:rPr>
      <w:rFonts w:ascii="黑体" w:eastAsia="黑体"/>
      <w:kern w:val="0"/>
      <w:szCs w:val="20"/>
    </w:rPr>
  </w:style>
  <w:style w:type="paragraph" w:customStyle="1" w:styleId="263">
    <w:name w:val="五级无标题条"/>
    <w:basedOn w:val="1"/>
    <w:qFormat/>
    <w:uiPriority w:val="0"/>
    <w:pPr>
      <w:numPr>
        <w:ilvl w:val="6"/>
        <w:numId w:val="21"/>
      </w:numPr>
    </w:pPr>
  </w:style>
  <w:style w:type="paragraph" w:customStyle="1" w:styleId="264">
    <w:name w:val="图表脚注"/>
    <w:next w:val="166"/>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65">
    <w:name w:val="附录表标号"/>
    <w:basedOn w:val="1"/>
    <w:next w:val="166"/>
    <w:qFormat/>
    <w:uiPriority w:val="0"/>
    <w:pPr>
      <w:numPr>
        <w:ilvl w:val="0"/>
        <w:numId w:val="22"/>
      </w:numPr>
      <w:tabs>
        <w:tab w:val="clear" w:pos="0"/>
      </w:tabs>
      <w:spacing w:line="14" w:lineRule="exact"/>
      <w:ind w:left="811" w:hanging="448"/>
      <w:jc w:val="center"/>
      <w:outlineLvl w:val="0"/>
    </w:pPr>
    <w:rPr>
      <w:color w:val="FFFFFF"/>
    </w:rPr>
  </w:style>
  <w:style w:type="paragraph" w:customStyle="1" w:styleId="266">
    <w:name w:val="目次、标准名称标题"/>
    <w:basedOn w:val="1"/>
    <w:next w:val="166"/>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szCs w:val="20"/>
    </w:rPr>
  </w:style>
  <w:style w:type="paragraph" w:customStyle="1" w:styleId="267">
    <w:name w:val="样式 Arial 首行缩进:  2 字符"/>
    <w:basedOn w:val="1"/>
    <w:qFormat/>
    <w:uiPriority w:val="0"/>
    <w:pPr>
      <w:ind w:firstLine="403" w:firstLineChars="200"/>
    </w:pPr>
    <w:rPr>
      <w:rFonts w:cs="华文新魏"/>
      <w:szCs w:val="21"/>
    </w:rPr>
  </w:style>
  <w:style w:type="paragraph" w:customStyle="1" w:styleId="268">
    <w:name w:val="工程建设节标题"/>
    <w:basedOn w:val="256"/>
    <w:next w:val="166"/>
    <w:qFormat/>
    <w:uiPriority w:val="0"/>
    <w:pPr>
      <w:numPr>
        <w:ilvl w:val="0"/>
        <w:numId w:val="23"/>
      </w:numPr>
      <w:tabs>
        <w:tab w:val="clear" w:pos="360"/>
      </w:tabs>
      <w:spacing w:before="400" w:after="400" w:line="240" w:lineRule="auto"/>
      <w:outlineLvl w:val="2"/>
    </w:pPr>
    <w:rPr>
      <w:sz w:val="21"/>
    </w:rPr>
  </w:style>
  <w:style w:type="paragraph" w:customStyle="1" w:styleId="269">
    <w:name w:val="标题 3 + 小四 段前: 0 磅 段后: 0 磅 行距: 1.5 倍行距"/>
    <w:basedOn w:val="5"/>
    <w:next w:val="5"/>
    <w:qFormat/>
    <w:uiPriority w:val="0"/>
    <w:pPr>
      <w:spacing w:line="360" w:lineRule="auto"/>
    </w:pPr>
    <w:rPr>
      <w:rFonts w:cs="宋体"/>
      <w:sz w:val="24"/>
      <w:szCs w:val="20"/>
    </w:rPr>
  </w:style>
  <w:style w:type="paragraph" w:customStyle="1" w:styleId="270">
    <w:name w:val="样式 标题 1 + 首行缩进:  2 字符 段前: 1 行 段后: 1 行"/>
    <w:basedOn w:val="2"/>
    <w:qFormat/>
    <w:uiPriority w:val="0"/>
    <w:pPr>
      <w:topLinePunct w:val="0"/>
      <w:spacing w:before="312" w:beforeLines="100" w:after="312" w:afterLines="100" w:line="360" w:lineRule="auto"/>
      <w:textAlignment w:val="auto"/>
    </w:pPr>
    <w:rPr>
      <w:rFonts w:eastAsia="宋体"/>
      <w:b/>
      <w:sz w:val="28"/>
      <w:szCs w:val="20"/>
    </w:rPr>
  </w:style>
  <w:style w:type="paragraph" w:customStyle="1" w:styleId="271">
    <w:name w:val="附录二级无"/>
    <w:basedOn w:val="272"/>
    <w:qFormat/>
    <w:uiPriority w:val="0"/>
    <w:pPr>
      <w:spacing w:beforeLines="0" w:afterLines="0"/>
    </w:pPr>
    <w:rPr>
      <w:rFonts w:ascii="宋体" w:eastAsia="宋体"/>
      <w:szCs w:val="21"/>
    </w:rPr>
  </w:style>
  <w:style w:type="paragraph" w:customStyle="1" w:styleId="272">
    <w:name w:val="附录二级条标题"/>
    <w:basedOn w:val="1"/>
    <w:next w:val="166"/>
    <w:qFormat/>
    <w:uiPriority w:val="0"/>
    <w:pPr>
      <w:widowControl/>
      <w:numPr>
        <w:ilvl w:val="3"/>
        <w:numId w:val="24"/>
      </w:numPr>
      <w:wordWrap w:val="0"/>
      <w:overflowPunct w:val="0"/>
      <w:autoSpaceDE w:val="0"/>
      <w:autoSpaceDN w:val="0"/>
      <w:spacing w:beforeLines="50" w:afterLines="50" w:line="240" w:lineRule="auto"/>
      <w:textAlignment w:val="baseline"/>
      <w:outlineLvl w:val="3"/>
    </w:pPr>
    <w:rPr>
      <w:rFonts w:ascii="黑体" w:eastAsia="黑体"/>
      <w:kern w:val="21"/>
      <w:szCs w:val="20"/>
    </w:rPr>
  </w:style>
  <w:style w:type="paragraph" w:customStyle="1" w:styleId="273">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szCs w:val="16"/>
    </w:rPr>
  </w:style>
  <w:style w:type="paragraph" w:customStyle="1" w:styleId="274">
    <w:name w:val="字母编号列项（一级）"/>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275">
    <w:name w:val="注：（正文）"/>
    <w:basedOn w:val="276"/>
    <w:next w:val="166"/>
    <w:qFormat/>
    <w:uiPriority w:val="0"/>
    <w:pPr>
      <w:numPr>
        <w:ilvl w:val="0"/>
        <w:numId w:val="25"/>
      </w:numPr>
    </w:pPr>
  </w:style>
  <w:style w:type="paragraph" w:customStyle="1" w:styleId="276">
    <w:name w:val="注："/>
    <w:next w:val="16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277">
    <w:name w:val="图表脚注说明"/>
    <w:basedOn w:val="1"/>
    <w:qFormat/>
    <w:uiPriority w:val="0"/>
    <w:pPr>
      <w:spacing w:line="240" w:lineRule="auto"/>
      <w:ind w:left="544" w:hanging="181"/>
    </w:pPr>
    <w:rPr>
      <w:rFonts w:ascii="宋体"/>
      <w:sz w:val="18"/>
      <w:szCs w:val="18"/>
    </w:rPr>
  </w:style>
  <w:style w:type="paragraph" w:customStyle="1" w:styleId="278">
    <w:name w:val="样式4"/>
    <w:basedOn w:val="6"/>
    <w:qFormat/>
    <w:uiPriority w:val="0"/>
    <w:pPr>
      <w:topLinePunct/>
      <w:spacing w:before="0" w:after="0" w:line="480" w:lineRule="auto"/>
      <w:ind w:firstLine="420"/>
    </w:pPr>
    <w:rPr>
      <w:rFonts w:ascii="Times New Roman" w:hAnsi="Times New Roman" w:eastAsia="楷体_GB2312"/>
      <w:b w:val="0"/>
      <w:bCs w:val="0"/>
      <w:sz w:val="24"/>
      <w:szCs w:val="20"/>
    </w:rPr>
  </w:style>
  <w:style w:type="paragraph" w:customStyle="1" w:styleId="279">
    <w:name w:val="Char"/>
    <w:basedOn w:val="1"/>
    <w:qFormat/>
    <w:uiPriority w:val="0"/>
  </w:style>
  <w:style w:type="paragraph" w:customStyle="1" w:styleId="280">
    <w:name w:val="封面标准英文名称"/>
    <w:basedOn w:val="281"/>
    <w:qFormat/>
    <w:uiPriority w:val="0"/>
    <w:pPr>
      <w:framePr w:w="9639" w:h="6917" w:hRule="exact" w:wrap="around" w:vAnchor="page" w:hAnchor="page" w:xAlign="center" w:y="6408" w:anchorLock="1"/>
      <w:spacing w:before="370" w:line="400" w:lineRule="exact"/>
    </w:pPr>
    <w:rPr>
      <w:rFonts w:ascii="Times New Roman"/>
      <w:sz w:val="28"/>
      <w:szCs w:val="28"/>
    </w:rPr>
  </w:style>
  <w:style w:type="paragraph" w:customStyle="1" w:styleId="281">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82">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283">
    <w:name w:val="附录四级无"/>
    <w:basedOn w:val="284"/>
    <w:qFormat/>
    <w:uiPriority w:val="0"/>
    <w:pPr>
      <w:tabs>
        <w:tab w:val="left" w:pos="360"/>
      </w:tabs>
      <w:spacing w:beforeLines="0" w:afterLines="0"/>
    </w:pPr>
    <w:rPr>
      <w:rFonts w:ascii="宋体" w:eastAsia="宋体"/>
      <w:szCs w:val="21"/>
    </w:rPr>
  </w:style>
  <w:style w:type="paragraph" w:customStyle="1" w:styleId="284">
    <w:name w:val="附录四级条标题"/>
    <w:basedOn w:val="285"/>
    <w:next w:val="166"/>
    <w:qFormat/>
    <w:uiPriority w:val="0"/>
    <w:pPr>
      <w:numPr>
        <w:ilvl w:val="5"/>
      </w:numPr>
      <w:tabs>
        <w:tab w:val="left" w:pos="360"/>
      </w:tabs>
      <w:outlineLvl w:val="5"/>
    </w:pPr>
  </w:style>
  <w:style w:type="paragraph" w:customStyle="1" w:styleId="285">
    <w:name w:val="附录三级条标题"/>
    <w:basedOn w:val="272"/>
    <w:next w:val="166"/>
    <w:qFormat/>
    <w:uiPriority w:val="0"/>
    <w:pPr>
      <w:numPr>
        <w:ilvl w:val="4"/>
      </w:numPr>
      <w:tabs>
        <w:tab w:val="left" w:pos="360"/>
      </w:tabs>
      <w:outlineLvl w:val="4"/>
    </w:pPr>
  </w:style>
  <w:style w:type="paragraph" w:customStyle="1" w:styleId="286">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szCs w:val="16"/>
    </w:rPr>
  </w:style>
  <w:style w:type="paragraph" w:customStyle="1" w:styleId="287">
    <w:name w:val="图标脚注说明"/>
    <w:basedOn w:val="166"/>
    <w:qFormat/>
    <w:uiPriority w:val="0"/>
    <w:pPr>
      <w:tabs>
        <w:tab w:val="center" w:pos="4201"/>
        <w:tab w:val="right" w:leader="dot" w:pos="9298"/>
      </w:tabs>
      <w:autoSpaceDE w:val="0"/>
      <w:autoSpaceDN w:val="0"/>
      <w:ind w:left="840" w:hanging="420" w:firstLineChars="0"/>
    </w:pPr>
    <w:rPr>
      <w:sz w:val="18"/>
      <w:szCs w:val="18"/>
    </w:rPr>
  </w:style>
  <w:style w:type="paragraph" w:customStyle="1" w:styleId="288">
    <w:name w:val="样式 标题 5 + 右侧:  1 字符"/>
    <w:basedOn w:val="7"/>
    <w:qFormat/>
    <w:uiPriority w:val="0"/>
    <w:pPr>
      <w:numPr>
        <w:numId w:val="0"/>
      </w:numPr>
      <w:adjustRightInd w:val="0"/>
      <w:ind w:right="210" w:rightChars="100"/>
      <w:textAlignment w:val="baseline"/>
    </w:pPr>
    <w:rPr>
      <w:rFonts w:eastAsia="宋体" w:cs="宋体"/>
      <w:bCs w:val="0"/>
      <w:kern w:val="0"/>
      <w:szCs w:val="20"/>
    </w:rPr>
  </w:style>
  <w:style w:type="paragraph" w:customStyle="1" w:styleId="289">
    <w:name w:val="发布部门"/>
    <w:next w:val="16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90">
    <w:name w:val="附录标题"/>
    <w:basedOn w:val="166"/>
    <w:next w:val="166"/>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291">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92">
    <w:name w:val="_Style 291"/>
    <w:basedOn w:val="2"/>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93">
    <w:name w:val="示例后文字"/>
    <w:basedOn w:val="166"/>
    <w:next w:val="166"/>
    <w:qFormat/>
    <w:uiPriority w:val="0"/>
    <w:pPr>
      <w:tabs>
        <w:tab w:val="center" w:pos="4201"/>
        <w:tab w:val="right" w:leader="dot" w:pos="9298"/>
      </w:tabs>
      <w:autoSpaceDE w:val="0"/>
      <w:autoSpaceDN w:val="0"/>
      <w:ind w:firstLine="360"/>
    </w:pPr>
    <w:rPr>
      <w:sz w:val="18"/>
    </w:rPr>
  </w:style>
  <w:style w:type="paragraph" w:customStyle="1" w:styleId="294">
    <w:name w:val="术语定义三级条标题"/>
    <w:basedOn w:val="231"/>
    <w:next w:val="166"/>
    <w:qFormat/>
    <w:uiPriority w:val="0"/>
    <w:pPr>
      <w:tabs>
        <w:tab w:val="left" w:pos="1140"/>
      </w:tabs>
      <w:spacing w:beforeLines="0" w:afterLines="0"/>
      <w:ind w:left="726" w:hanging="363"/>
    </w:pPr>
  </w:style>
  <w:style w:type="paragraph" w:customStyle="1" w:styleId="295">
    <w:name w:val="示例"/>
    <w:next w:val="248"/>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296">
    <w:name w:val="Char Char Char"/>
    <w:basedOn w:val="1"/>
    <w:qFormat/>
    <w:uiPriority w:val="0"/>
  </w:style>
  <w:style w:type="paragraph" w:customStyle="1" w:styleId="297">
    <w:name w:val="样式5"/>
    <w:qFormat/>
    <w:uiPriority w:val="0"/>
    <w:pPr>
      <w:snapToGrid w:val="0"/>
      <w:spacing w:before="160" w:after="40"/>
      <w:jc w:val="center"/>
    </w:pPr>
    <w:rPr>
      <w:rFonts w:ascii="Times New Roman" w:hAnsi="Times New Roman" w:eastAsia="宋体" w:cs="宋体"/>
      <w:kern w:val="2"/>
      <w:sz w:val="18"/>
      <w:lang w:val="en-US" w:eastAsia="zh-CN" w:bidi="ar-SA"/>
    </w:rPr>
  </w:style>
  <w:style w:type="paragraph" w:customStyle="1" w:styleId="298">
    <w:name w:val="一级无"/>
    <w:basedOn w:val="239"/>
    <w:qFormat/>
    <w:uiPriority w:val="0"/>
    <w:pPr>
      <w:numPr>
        <w:ilvl w:val="1"/>
        <w:numId w:val="13"/>
      </w:numPr>
      <w:tabs>
        <w:tab w:val="left" w:pos="2040"/>
        <w:tab w:val="clear" w:pos="525"/>
      </w:tabs>
      <w:jc w:val="left"/>
    </w:pPr>
    <w:rPr>
      <w:rFonts w:ascii="宋体" w:eastAsia="宋体"/>
      <w:b w:val="0"/>
      <w:szCs w:val="21"/>
    </w:rPr>
  </w:style>
  <w:style w:type="paragraph" w:customStyle="1" w:styleId="299">
    <w:name w:val="scfAnschrift"/>
    <w:basedOn w:val="1"/>
    <w:qFormat/>
    <w:uiPriority w:val="99"/>
    <w:pPr>
      <w:widowControl/>
      <w:tabs>
        <w:tab w:val="left" w:pos="1701"/>
      </w:tabs>
      <w:spacing w:line="240" w:lineRule="exact"/>
      <w:jc w:val="left"/>
    </w:pPr>
    <w:rPr>
      <w:rFonts w:ascii="Arial" w:hAnsi="Arial"/>
      <w:kern w:val="0"/>
      <w:sz w:val="22"/>
      <w:szCs w:val="20"/>
      <w:lang w:val="en-GB"/>
    </w:rPr>
  </w:style>
  <w:style w:type="paragraph" w:customStyle="1" w:styleId="300">
    <w:name w:val="标准书眉_偶数页"/>
    <w:basedOn w:val="253"/>
    <w:next w:val="1"/>
    <w:qFormat/>
    <w:uiPriority w:val="0"/>
    <w:pPr>
      <w:jc w:val="left"/>
    </w:pPr>
  </w:style>
  <w:style w:type="paragraph" w:customStyle="1" w:styleId="301">
    <w:name w:val="附录公式编号制表符"/>
    <w:basedOn w:val="1"/>
    <w:next w:val="166"/>
    <w:qFormat/>
    <w:uiPriority w:val="0"/>
    <w:pPr>
      <w:widowControl/>
      <w:tabs>
        <w:tab w:val="center" w:pos="4201"/>
        <w:tab w:val="right" w:leader="dot" w:pos="9298"/>
      </w:tabs>
      <w:autoSpaceDE w:val="0"/>
      <w:autoSpaceDN w:val="0"/>
      <w:spacing w:line="240" w:lineRule="auto"/>
    </w:pPr>
    <w:rPr>
      <w:rFonts w:ascii="宋体"/>
      <w:kern w:val="0"/>
      <w:szCs w:val="20"/>
    </w:rPr>
  </w:style>
  <w:style w:type="paragraph" w:customStyle="1" w:styleId="302">
    <w:name w:val="附录章标题"/>
    <w:next w:val="166"/>
    <w:qFormat/>
    <w:uiPriority w:val="0"/>
    <w:pPr>
      <w:numPr>
        <w:ilvl w:val="1"/>
        <w:numId w:val="24"/>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303">
    <w:name w:val="条文脚注"/>
    <w:basedOn w:val="65"/>
    <w:qFormat/>
    <w:uiPriority w:val="0"/>
    <w:pPr>
      <w:numPr>
        <w:numId w:val="0"/>
      </w:numPr>
      <w:jc w:val="both"/>
    </w:pPr>
  </w:style>
  <w:style w:type="paragraph" w:customStyle="1" w:styleId="304">
    <w:name w:val="CM1"/>
    <w:basedOn w:val="225"/>
    <w:next w:val="225"/>
    <w:qFormat/>
    <w:uiPriority w:val="99"/>
    <w:rPr>
      <w:rFonts w:cs="Times New Roman"/>
      <w:color w:val="auto"/>
      <w:sz w:val="20"/>
    </w:rPr>
  </w:style>
  <w:style w:type="paragraph" w:customStyle="1" w:styleId="305">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szCs w:val="16"/>
    </w:rPr>
  </w:style>
  <w:style w:type="paragraph" w:customStyle="1" w:styleId="306">
    <w:name w:val="封面正文"/>
    <w:qFormat/>
    <w:uiPriority w:val="0"/>
    <w:pPr>
      <w:jc w:val="both"/>
    </w:pPr>
    <w:rPr>
      <w:rFonts w:ascii="Times New Roman" w:hAnsi="Times New Roman" w:eastAsia="宋体" w:cs="Times New Roman"/>
      <w:lang w:val="en-US" w:eastAsia="zh-CN" w:bidi="ar-SA"/>
    </w:rPr>
  </w:style>
  <w:style w:type="paragraph" w:customStyle="1" w:styleId="307">
    <w:name w:val="条文说明"/>
    <w:basedOn w:val="259"/>
    <w:qFormat/>
    <w:uiPriority w:val="0"/>
    <w:pPr>
      <w:numPr>
        <w:ilvl w:val="0"/>
        <w:numId w:val="0"/>
      </w:numPr>
    </w:pPr>
  </w:style>
  <w:style w:type="paragraph" w:customStyle="1" w:styleId="308">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30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1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311">
    <w:name w:val="封面标准名称2"/>
    <w:basedOn w:val="281"/>
    <w:qFormat/>
    <w:uiPriority w:val="0"/>
    <w:pPr>
      <w:framePr w:w="9639" w:h="6917" w:hRule="exact" w:wrap="around" w:vAnchor="page" w:hAnchor="page" w:xAlign="center" w:y="4469" w:anchorLock="1"/>
      <w:spacing w:beforeLines="630"/>
    </w:pPr>
  </w:style>
  <w:style w:type="paragraph" w:customStyle="1" w:styleId="312">
    <w:name w:val="附录"/>
    <w:basedOn w:val="2"/>
    <w:qFormat/>
    <w:uiPriority w:val="0"/>
    <w:pPr>
      <w:numPr>
        <w:numId w:val="0"/>
      </w:numPr>
      <w:spacing w:line="960" w:lineRule="auto"/>
      <w:ind w:firstLine="420"/>
      <w:jc w:val="center"/>
    </w:pPr>
    <w:rPr>
      <w:rFonts w:eastAsia="黑体"/>
      <w:kern w:val="2"/>
      <w:sz w:val="28"/>
      <w:szCs w:val="28"/>
    </w:rPr>
  </w:style>
  <w:style w:type="paragraph" w:customStyle="1" w:styleId="313">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szCs w:val="16"/>
    </w:rPr>
  </w:style>
  <w:style w:type="paragraph" w:customStyle="1" w:styleId="314">
    <w:name w:val="CM2"/>
    <w:basedOn w:val="225"/>
    <w:next w:val="225"/>
    <w:qFormat/>
    <w:uiPriority w:val="99"/>
    <w:pPr>
      <w:spacing w:line="313" w:lineRule="atLeast"/>
    </w:pPr>
    <w:rPr>
      <w:rFonts w:cs="Times New Roman"/>
      <w:color w:val="auto"/>
      <w:sz w:val="20"/>
    </w:rPr>
  </w:style>
  <w:style w:type="paragraph" w:customStyle="1" w:styleId="315">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16">
    <w:name w:val="Char Char Char1"/>
    <w:basedOn w:val="1"/>
    <w:qFormat/>
    <w:uiPriority w:val="0"/>
  </w:style>
  <w:style w:type="paragraph" w:customStyle="1" w:styleId="317">
    <w:name w:val="日期1"/>
    <w:basedOn w:val="1"/>
    <w:next w:val="1"/>
    <w:qFormat/>
    <w:uiPriority w:val="0"/>
    <w:pPr>
      <w:spacing w:line="240" w:lineRule="auto"/>
      <w:ind w:left="100" w:leftChars="2500"/>
    </w:pPr>
    <w:rPr>
      <w:szCs w:val="20"/>
    </w:rPr>
  </w:style>
  <w:style w:type="paragraph" w:customStyle="1" w:styleId="31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szCs w:val="16"/>
    </w:rPr>
  </w:style>
  <w:style w:type="paragraph" w:customStyle="1" w:styleId="319">
    <w:name w:val="附录一级无"/>
    <w:basedOn w:val="320"/>
    <w:qFormat/>
    <w:uiPriority w:val="0"/>
    <w:pPr>
      <w:spacing w:beforeLines="0" w:afterLines="0"/>
    </w:pPr>
    <w:rPr>
      <w:rFonts w:ascii="宋体" w:eastAsia="宋体"/>
      <w:szCs w:val="21"/>
    </w:rPr>
  </w:style>
  <w:style w:type="paragraph" w:customStyle="1" w:styleId="320">
    <w:name w:val="附录一级条标题"/>
    <w:basedOn w:val="302"/>
    <w:next w:val="166"/>
    <w:qFormat/>
    <w:uiPriority w:val="0"/>
    <w:pPr>
      <w:numPr>
        <w:ilvl w:val="2"/>
      </w:numPr>
      <w:autoSpaceDN w:val="0"/>
      <w:spacing w:beforeLines="50" w:afterLines="50"/>
      <w:outlineLvl w:val="2"/>
    </w:pPr>
  </w:style>
  <w:style w:type="paragraph" w:customStyle="1" w:styleId="321">
    <w:name w:val="附录五级条标题"/>
    <w:basedOn w:val="284"/>
    <w:next w:val="166"/>
    <w:qFormat/>
    <w:uiPriority w:val="0"/>
    <w:pPr>
      <w:numPr>
        <w:ilvl w:val="6"/>
      </w:numPr>
      <w:outlineLvl w:val="6"/>
    </w:pPr>
  </w:style>
  <w:style w:type="paragraph" w:customStyle="1" w:styleId="322">
    <w:name w:val="附录表标题续表"/>
    <w:basedOn w:val="323"/>
    <w:next w:val="166"/>
    <w:qFormat/>
    <w:uiPriority w:val="0"/>
    <w:pPr>
      <w:widowControl/>
      <w:numPr>
        <w:ilvl w:val="0"/>
        <w:numId w:val="0"/>
      </w:numPr>
      <w:tabs>
        <w:tab w:val="left" w:pos="180"/>
        <w:tab w:val="left" w:pos="210"/>
        <w:tab w:val="left" w:pos="420"/>
      </w:tabs>
      <w:spacing w:beforeLines="0" w:afterLines="0"/>
      <w:textAlignment w:val="baseline"/>
    </w:pPr>
    <w:rPr>
      <w:rFonts w:ascii="宋体" w:eastAsia="宋体"/>
      <w:kern w:val="21"/>
      <w:szCs w:val="20"/>
    </w:rPr>
  </w:style>
  <w:style w:type="paragraph" w:customStyle="1" w:styleId="323">
    <w:name w:val="附录表标题"/>
    <w:basedOn w:val="1"/>
    <w:next w:val="166"/>
    <w:qFormat/>
    <w:uiPriority w:val="0"/>
    <w:pPr>
      <w:numPr>
        <w:ilvl w:val="1"/>
        <w:numId w:val="22"/>
      </w:numPr>
      <w:tabs>
        <w:tab w:val="left" w:pos="180"/>
      </w:tabs>
      <w:spacing w:beforeLines="50" w:afterLines="50" w:line="240" w:lineRule="auto"/>
      <w:ind w:left="0" w:firstLine="0"/>
      <w:jc w:val="center"/>
    </w:pPr>
    <w:rPr>
      <w:rFonts w:ascii="黑体" w:eastAsia="黑体"/>
      <w:szCs w:val="21"/>
    </w:rPr>
  </w:style>
  <w:style w:type="paragraph" w:customStyle="1" w:styleId="324">
    <w:name w:val="引言二级条标题"/>
    <w:basedOn w:val="250"/>
    <w:next w:val="166"/>
    <w:qFormat/>
    <w:uiPriority w:val="0"/>
    <w:pPr>
      <w:tabs>
        <w:tab w:val="left" w:pos="840"/>
      </w:tabs>
      <w:ind w:left="839" w:hanging="419"/>
    </w:pPr>
  </w:style>
  <w:style w:type="paragraph" w:customStyle="1" w:styleId="325">
    <w:name w:val="正文公式编号制表符"/>
    <w:basedOn w:val="166"/>
    <w:next w:val="166"/>
    <w:qFormat/>
    <w:uiPriority w:val="0"/>
    <w:pPr>
      <w:tabs>
        <w:tab w:val="center" w:pos="4201"/>
        <w:tab w:val="right" w:leader="dot" w:pos="9298"/>
      </w:tabs>
      <w:autoSpaceDE w:val="0"/>
      <w:autoSpaceDN w:val="0"/>
      <w:ind w:firstLine="0" w:firstLineChars="0"/>
    </w:pPr>
  </w:style>
  <w:style w:type="paragraph" w:customStyle="1" w:styleId="326">
    <w:name w:val="节小标题"/>
    <w:basedOn w:val="10"/>
    <w:qFormat/>
    <w:uiPriority w:val="0"/>
    <w:pPr>
      <w:adjustRightInd w:val="0"/>
      <w:snapToGrid w:val="0"/>
      <w:spacing w:before="100" w:after="0" w:line="300" w:lineRule="auto"/>
      <w:ind w:firstLine="359"/>
      <w:outlineLvl w:val="9"/>
    </w:pPr>
    <w:rPr>
      <w:rFonts w:ascii="Times New Roman" w:hAnsi="Times New Roman" w:eastAsia="仿宋_GB2312"/>
      <w:sz w:val="30"/>
      <w:szCs w:val="20"/>
    </w:rPr>
  </w:style>
  <w:style w:type="paragraph" w:customStyle="1" w:styleId="327">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28">
    <w:name w:val="正文表标题续表"/>
    <w:basedOn w:val="329"/>
    <w:next w:val="166"/>
    <w:qFormat/>
    <w:uiPriority w:val="0"/>
    <w:pPr>
      <w:numPr>
        <w:ilvl w:val="4"/>
        <w:numId w:val="18"/>
      </w:numPr>
      <w:tabs>
        <w:tab w:val="left" w:pos="420"/>
      </w:tabs>
      <w:spacing w:beforeLines="0" w:afterLines="0"/>
    </w:pPr>
  </w:style>
  <w:style w:type="paragraph" w:customStyle="1" w:styleId="329">
    <w:name w:val="正文表标题"/>
    <w:next w:val="166"/>
    <w:qFormat/>
    <w:uiPriority w:val="0"/>
    <w:pPr>
      <w:numPr>
        <w:ilvl w:val="0"/>
        <w:numId w:val="28"/>
      </w:numPr>
      <w:spacing w:beforeLines="50" w:afterLines="50"/>
      <w:jc w:val="center"/>
    </w:pPr>
    <w:rPr>
      <w:rFonts w:ascii="黑体" w:hAnsi="Times New Roman" w:eastAsia="黑体" w:cs="Times New Roman"/>
      <w:sz w:val="21"/>
      <w:lang w:val="en-US" w:eastAsia="zh-CN" w:bidi="ar-SA"/>
    </w:rPr>
  </w:style>
  <w:style w:type="paragraph" w:customStyle="1" w:styleId="33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331">
    <w:name w:val="注×："/>
    <w:qFormat/>
    <w:uiPriority w:val="0"/>
    <w:pPr>
      <w:widowControl w:val="0"/>
      <w:numPr>
        <w:ilvl w:val="0"/>
        <w:numId w:val="29"/>
      </w:numPr>
      <w:autoSpaceDE w:val="0"/>
      <w:autoSpaceDN w:val="0"/>
      <w:jc w:val="both"/>
    </w:pPr>
    <w:rPr>
      <w:rFonts w:ascii="宋体" w:hAnsi="Times New Roman" w:eastAsia="宋体" w:cs="Times New Roman"/>
      <w:sz w:val="18"/>
      <w:szCs w:val="18"/>
      <w:lang w:val="en-US" w:eastAsia="zh-CN" w:bidi="ar-SA"/>
    </w:rPr>
  </w:style>
  <w:style w:type="paragraph" w:customStyle="1" w:styleId="332">
    <w:name w:val="发布日期"/>
    <w:qFormat/>
    <w:uiPriority w:val="0"/>
    <w:rPr>
      <w:rFonts w:ascii="Times New Roman" w:hAnsi="Times New Roman" w:eastAsia="黑体" w:cs="Times New Roman"/>
      <w:sz w:val="28"/>
      <w:lang w:val="en-US" w:eastAsia="zh-CN" w:bidi="ar-SA"/>
    </w:rPr>
  </w:style>
  <w:style w:type="paragraph" w:customStyle="1" w:styleId="333">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334">
    <w:name w:val="p16"/>
    <w:basedOn w:val="1"/>
    <w:qFormat/>
    <w:uiPriority w:val="0"/>
    <w:pPr>
      <w:widowControl/>
      <w:spacing w:line="240" w:lineRule="auto"/>
      <w:ind w:firstLine="420"/>
    </w:pPr>
    <w:rPr>
      <w:rFonts w:ascii="宋体" w:hAnsi="宋体" w:cs="宋体"/>
      <w:kern w:val="0"/>
      <w:szCs w:val="21"/>
    </w:rPr>
  </w:style>
  <w:style w:type="paragraph" w:customStyle="1" w:styleId="335">
    <w:name w:val="Style3"/>
    <w:basedOn w:val="3"/>
    <w:qFormat/>
    <w:uiPriority w:val="99"/>
    <w:pPr>
      <w:numPr>
        <w:ilvl w:val="0"/>
        <w:numId w:val="0"/>
      </w:numPr>
      <w:topLinePunct w:val="0"/>
      <w:jc w:val="left"/>
    </w:pPr>
    <w:rPr>
      <w:rFonts w:ascii="黑体" w:hAnsi="黑体" w:eastAsia="宋体"/>
      <w:szCs w:val="32"/>
    </w:rPr>
  </w:style>
  <w:style w:type="paragraph" w:customStyle="1" w:styleId="336">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szCs w:val="16"/>
    </w:rPr>
  </w:style>
  <w:style w:type="paragraph" w:customStyle="1" w:styleId="33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szCs w:val="20"/>
    </w:rPr>
  </w:style>
  <w:style w:type="paragraph" w:customStyle="1" w:styleId="338">
    <w:name w:val="正文1"/>
    <w:basedOn w:val="236"/>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cs="Times New Roman"/>
      <w:b w:val="0"/>
      <w:kern w:val="0"/>
      <w:sz w:val="34"/>
      <w:szCs w:val="20"/>
    </w:rPr>
  </w:style>
  <w:style w:type="paragraph" w:customStyle="1" w:styleId="33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szCs w:val="20"/>
    </w:rPr>
  </w:style>
  <w:style w:type="paragraph" w:customStyle="1" w:styleId="340">
    <w:name w:val="TOC 标题1"/>
    <w:basedOn w:val="2"/>
    <w:next w:val="1"/>
    <w:qFormat/>
    <w:uiPriority w:val="99"/>
    <w:pPr>
      <w:widowControl/>
      <w:numPr>
        <w:numId w:val="0"/>
      </w:numPr>
      <w:topLinePunct w:val="0"/>
      <w:spacing w:before="480" w:after="60" w:line="276" w:lineRule="auto"/>
      <w:jc w:val="left"/>
      <w:textAlignment w:val="auto"/>
      <w:outlineLvl w:val="9"/>
    </w:pPr>
    <w:rPr>
      <w:rFonts w:ascii="Cambria" w:hAnsi="Cambria" w:eastAsia="黑体"/>
      <w:bCs/>
      <w:color w:val="365F91"/>
      <w:kern w:val="0"/>
      <w:sz w:val="28"/>
      <w:szCs w:val="28"/>
    </w:rPr>
  </w:style>
  <w:style w:type="paragraph" w:customStyle="1" w:styleId="341">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szCs w:val="16"/>
    </w:rPr>
  </w:style>
  <w:style w:type="paragraph" w:customStyle="1" w:styleId="342">
    <w:name w:val="编号列项（三级）"/>
    <w:qFormat/>
    <w:uiPriority w:val="0"/>
    <w:rPr>
      <w:rFonts w:ascii="宋体" w:hAnsi="Times New Roman" w:eastAsia="宋体" w:cs="Times New Roman"/>
      <w:sz w:val="21"/>
      <w:lang w:val="en-US" w:eastAsia="zh-CN" w:bidi="ar-SA"/>
    </w:rPr>
  </w:style>
  <w:style w:type="paragraph" w:customStyle="1" w:styleId="343">
    <w:name w:val="附录五级无"/>
    <w:basedOn w:val="321"/>
    <w:qFormat/>
    <w:uiPriority w:val="0"/>
    <w:pPr>
      <w:tabs>
        <w:tab w:val="clear" w:pos="360"/>
      </w:tabs>
      <w:spacing w:beforeLines="0" w:afterLines="0"/>
    </w:pPr>
    <w:rPr>
      <w:rFonts w:ascii="宋体" w:eastAsia="宋体"/>
      <w:szCs w:val="21"/>
    </w:rPr>
  </w:style>
  <w:style w:type="paragraph" w:customStyle="1" w:styleId="344">
    <w:name w:val="图的脚注"/>
    <w:next w:val="16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345">
    <w:name w:val="CM73"/>
    <w:basedOn w:val="225"/>
    <w:next w:val="225"/>
    <w:qFormat/>
    <w:uiPriority w:val="99"/>
    <w:rPr>
      <w:rFonts w:cs="Times New Roman"/>
      <w:color w:val="auto"/>
      <w:sz w:val="20"/>
    </w:rPr>
  </w:style>
  <w:style w:type="paragraph" w:customStyle="1" w:styleId="346">
    <w:name w:val="封面标准文稿编辑信息2"/>
    <w:basedOn w:val="347"/>
    <w:qFormat/>
    <w:uiPriority w:val="0"/>
    <w:pPr>
      <w:framePr w:wrap="around" w:y="4469"/>
    </w:pPr>
  </w:style>
  <w:style w:type="paragraph" w:customStyle="1" w:styleId="347">
    <w:name w:val="封面标准文稿编辑信息"/>
    <w:basedOn w:val="218"/>
    <w:qFormat/>
    <w:uiPriority w:val="0"/>
    <w:pPr>
      <w:framePr w:w="9639" w:h="6917" w:hRule="exact" w:wrap="around" w:vAnchor="page" w:hAnchor="page" w:xAlign="center" w:y="6408" w:anchorLock="1"/>
      <w:widowControl w:val="0"/>
      <w:spacing w:before="180" w:after="160" w:line="180" w:lineRule="exact"/>
      <w:textAlignment w:val="center"/>
    </w:pPr>
    <w:rPr>
      <w:sz w:val="21"/>
      <w:szCs w:val="28"/>
    </w:rPr>
  </w:style>
  <w:style w:type="paragraph" w:customStyle="1" w:styleId="348">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szCs w:val="16"/>
    </w:rPr>
  </w:style>
  <w:style w:type="paragraph" w:customStyle="1" w:styleId="349">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szCs w:val="16"/>
    </w:rPr>
  </w:style>
  <w:style w:type="paragraph" w:customStyle="1" w:styleId="350">
    <w:name w:val="CM81"/>
    <w:basedOn w:val="225"/>
    <w:next w:val="225"/>
    <w:qFormat/>
    <w:uiPriority w:val="99"/>
    <w:pPr>
      <w:spacing w:after="473"/>
    </w:pPr>
    <w:rPr>
      <w:rFonts w:cs="Times New Roman"/>
      <w:color w:val="auto"/>
      <w:sz w:val="20"/>
    </w:rPr>
  </w:style>
  <w:style w:type="paragraph" w:customStyle="1" w:styleId="35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szCs w:val="16"/>
    </w:rPr>
  </w:style>
  <w:style w:type="paragraph" w:customStyle="1" w:styleId="352">
    <w:name w:val="三级无标题条"/>
    <w:basedOn w:val="1"/>
    <w:qFormat/>
    <w:uiPriority w:val="0"/>
    <w:pPr>
      <w:numPr>
        <w:ilvl w:val="4"/>
        <w:numId w:val="21"/>
      </w:numPr>
    </w:pPr>
  </w:style>
  <w:style w:type="paragraph" w:customStyle="1" w:styleId="353">
    <w:name w:val="_Style 352"/>
    <w:qFormat/>
    <w:uiPriority w:val="99"/>
    <w:rPr>
      <w:rFonts w:ascii="Times New Roman" w:hAnsi="Times New Roman" w:eastAsia="宋体" w:cs="Times New Roman"/>
      <w:kern w:val="2"/>
      <w:sz w:val="21"/>
      <w:szCs w:val="24"/>
      <w:lang w:val="en-US" w:eastAsia="zh-CN" w:bidi="ar-SA"/>
    </w:rPr>
  </w:style>
  <w:style w:type="paragraph" w:customStyle="1" w:styleId="3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355">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szCs w:val="16"/>
    </w:rPr>
  </w:style>
  <w:style w:type="paragraph" w:customStyle="1" w:styleId="356">
    <w:name w:val="其他发布日期"/>
    <w:basedOn w:val="332"/>
    <w:qFormat/>
    <w:uiPriority w:val="0"/>
    <w:pPr>
      <w:framePr w:w="3997" w:h="471" w:hRule="exact" w:vSpace="181" w:wrap="around" w:vAnchor="page" w:hAnchor="text" w:x="1419" w:y="14097" w:anchorLock="1"/>
    </w:pPr>
  </w:style>
  <w:style w:type="paragraph" w:customStyle="1" w:styleId="357">
    <w:name w:val="封面一致性程度标识2"/>
    <w:basedOn w:val="330"/>
    <w:qFormat/>
    <w:uiPriority w:val="0"/>
    <w:pPr>
      <w:framePr w:w="9639" w:h="6917" w:hRule="exact" w:wrap="around" w:vAnchor="page" w:hAnchor="page" w:xAlign="center" w:y="4469" w:anchorLock="1"/>
      <w:widowControl w:val="0"/>
      <w:textAlignment w:val="center"/>
    </w:pPr>
    <w:rPr>
      <w:szCs w:val="28"/>
    </w:rPr>
  </w:style>
  <w:style w:type="paragraph" w:customStyle="1" w:styleId="358">
    <w:name w:val="Style4"/>
    <w:basedOn w:val="3"/>
    <w:next w:val="1"/>
    <w:qFormat/>
    <w:uiPriority w:val="99"/>
    <w:pPr>
      <w:numPr>
        <w:ilvl w:val="0"/>
        <w:numId w:val="0"/>
      </w:numPr>
      <w:topLinePunct w:val="0"/>
      <w:jc w:val="left"/>
    </w:pPr>
    <w:rPr>
      <w:rFonts w:ascii="黑体" w:hAnsi="黑体" w:eastAsia="宋体"/>
      <w:szCs w:val="32"/>
    </w:rPr>
  </w:style>
  <w:style w:type="paragraph" w:customStyle="1" w:styleId="359">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360">
    <w:name w:val="p0"/>
    <w:basedOn w:val="1"/>
    <w:qFormat/>
    <w:uiPriority w:val="0"/>
    <w:pPr>
      <w:widowControl/>
      <w:jc w:val="left"/>
    </w:pPr>
    <w:rPr>
      <w:kern w:val="0"/>
      <w:szCs w:val="21"/>
    </w:rPr>
  </w:style>
  <w:style w:type="paragraph" w:customStyle="1" w:styleId="361">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362">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szCs w:val="16"/>
    </w:rPr>
  </w:style>
  <w:style w:type="paragraph" w:customStyle="1" w:styleId="363">
    <w:name w:val="xl50"/>
    <w:basedOn w:val="1"/>
    <w:qFormat/>
    <w:uiPriority w:val="0"/>
    <w:pPr>
      <w:widowControl/>
      <w:spacing w:before="100" w:beforeAutospacing="1" w:after="100" w:afterAutospacing="1"/>
      <w:jc w:val="center"/>
    </w:pPr>
    <w:rPr>
      <w:rFonts w:ascii="宋体" w:hAnsi="宋体"/>
      <w:kern w:val="0"/>
      <w:sz w:val="24"/>
    </w:rPr>
  </w:style>
  <w:style w:type="paragraph" w:styleId="364">
    <w:name w:val="List Paragraph"/>
    <w:basedOn w:val="1"/>
    <w:qFormat/>
    <w:uiPriority w:val="34"/>
    <w:pPr>
      <w:ind w:firstLine="420" w:firstLineChars="200"/>
    </w:pPr>
  </w:style>
  <w:style w:type="paragraph" w:customStyle="1" w:styleId="365">
    <w:name w:val="附录图标号"/>
    <w:basedOn w:val="1"/>
    <w:qFormat/>
    <w:uiPriority w:val="0"/>
    <w:pPr>
      <w:keepNext/>
      <w:pageBreakBefore/>
      <w:widowControl/>
      <w:numPr>
        <w:ilvl w:val="0"/>
        <w:numId w:val="20"/>
      </w:numPr>
      <w:spacing w:line="14" w:lineRule="exact"/>
      <w:ind w:left="0" w:firstLine="363"/>
      <w:jc w:val="center"/>
      <w:outlineLvl w:val="0"/>
    </w:pPr>
    <w:rPr>
      <w:color w:val="FFFFFF"/>
    </w:rPr>
  </w:style>
  <w:style w:type="paragraph" w:customStyle="1" w:styleId="366">
    <w:name w:val="图说"/>
    <w:basedOn w:val="1"/>
    <w:qFormat/>
    <w:uiPriority w:val="0"/>
    <w:pPr>
      <w:topLinePunct/>
      <w:spacing w:before="40" w:after="160"/>
      <w:jc w:val="center"/>
    </w:pPr>
    <w:rPr>
      <w:rFonts w:cs="宋体"/>
      <w:sz w:val="18"/>
      <w:szCs w:val="20"/>
    </w:rPr>
  </w:style>
  <w:style w:type="paragraph" w:customStyle="1" w:styleId="367">
    <w:name w:val="CM79"/>
    <w:basedOn w:val="225"/>
    <w:next w:val="225"/>
    <w:qFormat/>
    <w:uiPriority w:val="99"/>
    <w:pPr>
      <w:spacing w:after="353"/>
    </w:pPr>
    <w:rPr>
      <w:rFonts w:cs="Times New Roman"/>
      <w:color w:val="auto"/>
      <w:sz w:val="20"/>
    </w:rPr>
  </w:style>
  <w:style w:type="paragraph" w:customStyle="1" w:styleId="368">
    <w:name w:val="CM32"/>
    <w:basedOn w:val="225"/>
    <w:next w:val="225"/>
    <w:qFormat/>
    <w:uiPriority w:val="99"/>
    <w:pPr>
      <w:spacing w:line="313" w:lineRule="atLeast"/>
    </w:pPr>
    <w:rPr>
      <w:rFonts w:cs="Times New Roman"/>
      <w:color w:val="auto"/>
      <w:sz w:val="20"/>
    </w:rPr>
  </w:style>
  <w:style w:type="paragraph" w:customStyle="1" w:styleId="36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370">
    <w:name w:val="前言首行"/>
    <w:basedOn w:val="1"/>
    <w:qFormat/>
    <w:uiPriority w:val="99"/>
    <w:pPr>
      <w:spacing w:after="120"/>
      <w:jc w:val="center"/>
    </w:pPr>
    <w:rPr>
      <w:rFonts w:eastAsia="黑体" w:cs="宋体"/>
      <w:b/>
      <w:bCs/>
      <w:sz w:val="32"/>
      <w:szCs w:val="20"/>
    </w:rPr>
  </w:style>
  <w:style w:type="paragraph" w:customStyle="1" w:styleId="371">
    <w:name w:val="参考文献、索引标题"/>
    <w:basedOn w:val="1"/>
    <w:next w:val="166"/>
    <w:qFormat/>
    <w:uiPriority w:val="0"/>
    <w:pPr>
      <w:keepNext/>
      <w:pageBreakBefore/>
      <w:widowControl/>
      <w:shd w:val="clear" w:color="FFFFFF" w:fill="FFFFFF"/>
      <w:spacing w:before="640" w:after="200" w:line="240" w:lineRule="auto"/>
      <w:jc w:val="center"/>
      <w:outlineLvl w:val="0"/>
    </w:pPr>
    <w:rPr>
      <w:rFonts w:ascii="黑体" w:eastAsia="黑体"/>
      <w:kern w:val="0"/>
      <w:szCs w:val="20"/>
    </w:rPr>
  </w:style>
  <w:style w:type="paragraph" w:customStyle="1" w:styleId="372">
    <w:name w:val="CM89"/>
    <w:basedOn w:val="225"/>
    <w:next w:val="225"/>
    <w:qFormat/>
    <w:uiPriority w:val="99"/>
    <w:pPr>
      <w:spacing w:after="543"/>
    </w:pPr>
    <w:rPr>
      <w:rFonts w:cs="Times New Roman"/>
      <w:color w:val="auto"/>
      <w:sz w:val="20"/>
    </w:rPr>
  </w:style>
  <w:style w:type="paragraph" w:customStyle="1" w:styleId="373">
    <w:name w:val="术语定义二级条标题"/>
    <w:basedOn w:val="231"/>
    <w:next w:val="166"/>
    <w:qFormat/>
    <w:uiPriority w:val="0"/>
    <w:pPr>
      <w:tabs>
        <w:tab w:val="left" w:pos="1140"/>
      </w:tabs>
      <w:spacing w:beforeLines="0" w:afterLines="0"/>
      <w:ind w:left="726" w:hanging="363"/>
    </w:pPr>
  </w:style>
  <w:style w:type="paragraph" w:customStyle="1" w:styleId="374">
    <w:name w:val="样式 首行缩进:  0 厘米 行距: 单倍行距"/>
    <w:basedOn w:val="1"/>
    <w:qFormat/>
    <w:uiPriority w:val="0"/>
    <w:pPr>
      <w:adjustRightInd w:val="0"/>
      <w:textAlignment w:val="baseline"/>
    </w:pPr>
    <w:rPr>
      <w:kern w:val="0"/>
      <w:szCs w:val="20"/>
    </w:rPr>
  </w:style>
  <w:style w:type="paragraph" w:customStyle="1" w:styleId="375">
    <w:name w:val="列项——"/>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376">
    <w:name w:val="表文"/>
    <w:basedOn w:val="1"/>
    <w:qFormat/>
    <w:uiPriority w:val="0"/>
    <w:pPr>
      <w:topLinePunct/>
      <w:spacing w:before="40" w:after="40"/>
    </w:pPr>
    <w:rPr>
      <w:sz w:val="18"/>
      <w:szCs w:val="18"/>
    </w:rPr>
  </w:style>
  <w:style w:type="paragraph" w:customStyle="1" w:styleId="377">
    <w:name w:val="Char Char Char Char Char Char Char"/>
    <w:basedOn w:val="1"/>
    <w:qFormat/>
    <w:uiPriority w:val="0"/>
  </w:style>
  <w:style w:type="paragraph" w:customStyle="1" w:styleId="378">
    <w:name w:val="列出段落1"/>
    <w:basedOn w:val="1"/>
    <w:qFormat/>
    <w:uiPriority w:val="0"/>
    <w:pPr>
      <w:ind w:firstLine="200" w:firstLineChars="200"/>
    </w:pPr>
    <w:rPr>
      <w:rFonts w:ascii="Calibri" w:hAnsi="Calibri"/>
      <w:szCs w:val="22"/>
    </w:rPr>
  </w:style>
  <w:style w:type="paragraph" w:customStyle="1" w:styleId="379">
    <w:name w:val="二级无"/>
    <w:basedOn w:val="143"/>
    <w:qFormat/>
    <w:uiPriority w:val="0"/>
    <w:pPr>
      <w:numPr>
        <w:ilvl w:val="2"/>
        <w:numId w:val="13"/>
      </w:numPr>
      <w:tabs>
        <w:tab w:val="left" w:pos="2040"/>
      </w:tabs>
      <w:spacing w:before="50" w:after="50" w:line="240" w:lineRule="auto"/>
      <w:jc w:val="left"/>
    </w:pPr>
    <w:rPr>
      <w:rFonts w:ascii="宋体" w:eastAsia="宋体"/>
      <w:b w:val="0"/>
      <w:szCs w:val="21"/>
    </w:rPr>
  </w:style>
  <w:style w:type="paragraph" w:customStyle="1" w:styleId="380">
    <w:name w:val="附录三级无"/>
    <w:basedOn w:val="285"/>
    <w:qFormat/>
    <w:uiPriority w:val="0"/>
    <w:pPr>
      <w:tabs>
        <w:tab w:val="clear" w:pos="360"/>
      </w:tabs>
      <w:spacing w:beforeLines="0" w:afterLines="0"/>
    </w:pPr>
    <w:rPr>
      <w:rFonts w:ascii="宋体" w:eastAsia="宋体"/>
      <w:szCs w:val="21"/>
    </w:rPr>
  </w:style>
  <w:style w:type="paragraph" w:customStyle="1" w:styleId="381">
    <w:name w:val="式中"/>
    <w:next w:val="166"/>
    <w:qFormat/>
    <w:uiPriority w:val="0"/>
    <w:pPr>
      <w:tabs>
        <w:tab w:val="left" w:pos="210"/>
      </w:tabs>
      <w:ind w:left="811" w:hanging="448"/>
    </w:pPr>
    <w:rPr>
      <w:rFonts w:ascii="宋体" w:hAnsi="Times New Roman" w:eastAsia="宋体" w:cs="Times New Roman"/>
      <w:sz w:val="18"/>
      <w:lang w:val="en-US" w:eastAsia="zh-CN" w:bidi="ar-SA"/>
    </w:rPr>
  </w:style>
  <w:style w:type="paragraph" w:customStyle="1" w:styleId="382">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szCs w:val="16"/>
    </w:rPr>
  </w:style>
  <w:style w:type="paragraph" w:customStyle="1" w:styleId="383">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384">
    <w:name w:val="四级无标题条"/>
    <w:basedOn w:val="1"/>
    <w:qFormat/>
    <w:uiPriority w:val="0"/>
    <w:pPr>
      <w:numPr>
        <w:ilvl w:val="5"/>
        <w:numId w:val="21"/>
      </w:numPr>
    </w:pPr>
  </w:style>
  <w:style w:type="paragraph" w:customStyle="1" w:styleId="385">
    <w:name w:val="封面标准英文名称2"/>
    <w:basedOn w:val="280"/>
    <w:qFormat/>
    <w:uiPriority w:val="0"/>
    <w:pPr>
      <w:framePr w:wrap="around" w:y="4469"/>
    </w:pPr>
  </w:style>
  <w:style w:type="paragraph" w:customStyle="1" w:styleId="386">
    <w:name w:val="终结线"/>
    <w:basedOn w:val="1"/>
    <w:qFormat/>
    <w:uiPriority w:val="0"/>
    <w:pPr>
      <w:framePr w:hSpace="181" w:vSpace="181" w:wrap="around" w:vAnchor="text" w:hAnchor="margin" w:xAlign="center" w:y="285"/>
      <w:spacing w:line="240" w:lineRule="auto"/>
    </w:pPr>
  </w:style>
  <w:style w:type="paragraph" w:customStyle="1" w:styleId="387">
    <w:name w:val="参考文献"/>
    <w:basedOn w:val="1"/>
    <w:next w:val="166"/>
    <w:qFormat/>
    <w:uiPriority w:val="0"/>
    <w:pPr>
      <w:keepNext/>
      <w:pageBreakBefore/>
      <w:widowControl/>
      <w:shd w:val="clear" w:color="FFFFFF" w:fill="FFFFFF"/>
      <w:spacing w:before="640" w:after="200" w:line="240" w:lineRule="auto"/>
      <w:jc w:val="center"/>
      <w:outlineLvl w:val="0"/>
    </w:pPr>
    <w:rPr>
      <w:rFonts w:ascii="黑体" w:eastAsia="黑体"/>
      <w:kern w:val="0"/>
      <w:szCs w:val="20"/>
    </w:rPr>
  </w:style>
  <w:style w:type="paragraph" w:customStyle="1" w:styleId="388">
    <w:name w:val="默认段落字体 Para Char Char Char Char Char"/>
    <w:basedOn w:val="1"/>
    <w:qFormat/>
    <w:uiPriority w:val="0"/>
    <w:rPr>
      <w:rFonts w:ascii="宋体" w:hAnsi="宋体"/>
      <w:b/>
      <w:color w:val="000000"/>
      <w:sz w:val="24"/>
    </w:rPr>
  </w:style>
  <w:style w:type="paragraph" w:customStyle="1" w:styleId="389">
    <w:name w:val="样式7"/>
    <w:basedOn w:val="1"/>
    <w:qFormat/>
    <w:uiPriority w:val="0"/>
    <w:pPr>
      <w:numPr>
        <w:ilvl w:val="0"/>
        <w:numId w:val="30"/>
      </w:numPr>
    </w:pPr>
  </w:style>
  <w:style w:type="paragraph" w:customStyle="1" w:styleId="390">
    <w:name w:val="注×：（正文）"/>
    <w:qFormat/>
    <w:uiPriority w:val="0"/>
    <w:pPr>
      <w:numPr>
        <w:ilvl w:val="0"/>
        <w:numId w:val="31"/>
      </w:numPr>
      <w:jc w:val="both"/>
    </w:pPr>
    <w:rPr>
      <w:rFonts w:ascii="宋体" w:hAnsi="Times New Roman" w:eastAsia="宋体" w:cs="Times New Roman"/>
      <w:sz w:val="18"/>
      <w:szCs w:val="18"/>
      <w:lang w:val="en-US" w:eastAsia="zh-CN" w:bidi="ar-SA"/>
    </w:rPr>
  </w:style>
  <w:style w:type="paragraph" w:customStyle="1" w:styleId="391">
    <w:name w:val="样式 标题 3 + 宋体 段前: 7.8 磅"/>
    <w:basedOn w:val="5"/>
    <w:qFormat/>
    <w:uiPriority w:val="0"/>
    <w:pPr>
      <w:keepNext w:val="0"/>
      <w:keepLines w:val="0"/>
      <w:numPr>
        <w:numId w:val="15"/>
      </w:numPr>
      <w:tabs>
        <w:tab w:val="left" w:pos="1560"/>
        <w:tab w:val="left" w:pos="1740"/>
      </w:tabs>
      <w:adjustRightInd w:val="0"/>
      <w:snapToGrid w:val="0"/>
      <w:spacing w:before="156" w:line="360" w:lineRule="auto"/>
      <w:jc w:val="both"/>
    </w:pPr>
    <w:rPr>
      <w:rFonts w:ascii="宋体" w:hAnsi="宋体" w:eastAsia="宋体" w:cs="宋体"/>
      <w:bCs w:val="0"/>
      <w:sz w:val="21"/>
      <w:szCs w:val="20"/>
    </w:rPr>
  </w:style>
  <w:style w:type="paragraph" w:customStyle="1" w:styleId="392">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szCs w:val="16"/>
    </w:rPr>
  </w:style>
  <w:style w:type="paragraph" w:customStyle="1" w:styleId="393">
    <w:name w:val="五级无"/>
    <w:basedOn w:val="394"/>
    <w:qFormat/>
    <w:uiPriority w:val="0"/>
    <w:pPr>
      <w:numPr>
        <w:ilvl w:val="5"/>
        <w:numId w:val="13"/>
      </w:numPr>
      <w:tabs>
        <w:tab w:val="left" w:pos="945"/>
        <w:tab w:val="left" w:pos="1080"/>
        <w:tab w:val="left" w:pos="1407"/>
        <w:tab w:val="left" w:pos="1440"/>
        <w:tab w:val="left" w:pos="2040"/>
      </w:tabs>
      <w:spacing w:before="50" w:after="50" w:line="240" w:lineRule="auto"/>
      <w:jc w:val="left"/>
    </w:pPr>
    <w:rPr>
      <w:rFonts w:ascii="宋体" w:eastAsia="宋体"/>
      <w:b w:val="0"/>
      <w:szCs w:val="21"/>
    </w:rPr>
  </w:style>
  <w:style w:type="paragraph" w:customStyle="1" w:styleId="394">
    <w:name w:val="五级条标题"/>
    <w:basedOn w:val="211"/>
    <w:next w:val="166"/>
    <w:qFormat/>
    <w:uiPriority w:val="0"/>
    <w:pPr>
      <w:tabs>
        <w:tab w:val="left" w:pos="1407"/>
        <w:tab w:val="left" w:pos="1440"/>
        <w:tab w:val="clear" w:pos="1021"/>
        <w:tab w:val="clear" w:pos="1155"/>
      </w:tabs>
      <w:outlineLvl w:val="6"/>
    </w:pPr>
  </w:style>
  <w:style w:type="paragraph" w:customStyle="1" w:styleId="395">
    <w:name w:val="数字编号列项（二级）"/>
    <w:qFormat/>
    <w:uiPriority w:val="0"/>
    <w:pPr>
      <w:jc w:val="both"/>
    </w:pPr>
    <w:rPr>
      <w:rFonts w:ascii="宋体" w:hAnsi="Times New Roman" w:eastAsia="宋体" w:cs="Times New Roman"/>
      <w:sz w:val="21"/>
      <w:lang w:val="en-US" w:eastAsia="zh-CN" w:bidi="ar-SA"/>
    </w:rPr>
  </w:style>
  <w:style w:type="paragraph" w:customStyle="1" w:styleId="396">
    <w:name w:val="样式 标题 5 + 段前: 0.1 行2"/>
    <w:basedOn w:val="1"/>
    <w:next w:val="1"/>
    <w:qFormat/>
    <w:uiPriority w:val="0"/>
    <w:pPr>
      <w:tabs>
        <w:tab w:val="left" w:pos="0"/>
        <w:tab w:val="left" w:pos="1050"/>
        <w:tab w:val="left" w:pos="1080"/>
      </w:tabs>
      <w:spacing w:line="276" w:lineRule="auto"/>
      <w:outlineLvl w:val="4"/>
    </w:pPr>
    <w:rPr>
      <w:b/>
      <w:szCs w:val="20"/>
    </w:rPr>
  </w:style>
  <w:style w:type="paragraph" w:customStyle="1" w:styleId="397">
    <w:name w:val="术语定义四级条标题"/>
    <w:basedOn w:val="231"/>
    <w:next w:val="166"/>
    <w:qFormat/>
    <w:uiPriority w:val="0"/>
    <w:pPr>
      <w:tabs>
        <w:tab w:val="left" w:pos="1140"/>
      </w:tabs>
      <w:spacing w:beforeLines="0" w:afterLines="0"/>
      <w:ind w:left="726" w:hanging="363"/>
    </w:pPr>
  </w:style>
  <w:style w:type="paragraph" w:customStyle="1" w:styleId="398">
    <w:name w:val="附录字母编号列项（一级）"/>
    <w:qFormat/>
    <w:uiPriority w:val="0"/>
    <w:pPr>
      <w:numPr>
        <w:ilvl w:val="0"/>
        <w:numId w:val="32"/>
      </w:numPr>
    </w:pPr>
    <w:rPr>
      <w:rFonts w:ascii="宋体" w:hAnsi="Times New Roman" w:eastAsia="宋体" w:cs="Times New Roman"/>
      <w:sz w:val="21"/>
      <w:lang w:val="en-US" w:eastAsia="zh-CN" w:bidi="ar-SA"/>
    </w:rPr>
  </w:style>
  <w:style w:type="paragraph" w:customStyle="1" w:styleId="399">
    <w:name w:val="样式 标题 2"/>
    <w:basedOn w:val="3"/>
    <w:qFormat/>
    <w:uiPriority w:val="0"/>
    <w:rPr>
      <w:bCs w:val="0"/>
    </w:rPr>
  </w:style>
  <w:style w:type="paragraph" w:customStyle="1" w:styleId="400">
    <w:name w:val="无标题条"/>
    <w:next w:val="166"/>
    <w:qFormat/>
    <w:uiPriority w:val="0"/>
    <w:pPr>
      <w:jc w:val="both"/>
    </w:pPr>
    <w:rPr>
      <w:rFonts w:ascii="Times New Roman" w:hAnsi="Times New Roman" w:eastAsia="宋体" w:cs="Times New Roman"/>
      <w:sz w:val="21"/>
      <w:lang w:val="en-US" w:eastAsia="zh-CN" w:bidi="ar-SA"/>
    </w:rPr>
  </w:style>
  <w:style w:type="paragraph" w:customStyle="1" w:styleId="401">
    <w:name w:val="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402">
    <w:name w:val="附录数字编号列项（二级）"/>
    <w:qFormat/>
    <w:uiPriority w:val="0"/>
    <w:pPr>
      <w:numPr>
        <w:ilvl w:val="1"/>
        <w:numId w:val="32"/>
      </w:numPr>
    </w:pPr>
    <w:rPr>
      <w:rFonts w:ascii="宋体" w:hAnsi="Times New Roman" w:eastAsia="宋体" w:cs="Times New Roman"/>
      <w:sz w:val="21"/>
      <w:lang w:val="en-US" w:eastAsia="zh-CN" w:bidi="ar-SA"/>
    </w:rPr>
  </w:style>
  <w:style w:type="paragraph" w:customStyle="1" w:styleId="40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szCs w:val="16"/>
    </w:rPr>
  </w:style>
  <w:style w:type="paragraph" w:customStyle="1" w:styleId="404">
    <w:name w:val="列项——（一级）"/>
    <w:qFormat/>
    <w:uiPriority w:val="0"/>
    <w:pPr>
      <w:widowControl w:val="0"/>
      <w:numPr>
        <w:ilvl w:val="0"/>
        <w:numId w:val="14"/>
      </w:numPr>
      <w:jc w:val="both"/>
    </w:pPr>
    <w:rPr>
      <w:rFonts w:ascii="宋体" w:hAnsi="Times New Roman" w:eastAsia="宋体" w:cs="Times New Roman"/>
      <w:sz w:val="21"/>
      <w:lang w:val="en-US" w:eastAsia="zh-CN" w:bidi="ar-SA"/>
    </w:rPr>
  </w:style>
  <w:style w:type="paragraph" w:customStyle="1" w:styleId="405">
    <w:name w:val="简单回函地址"/>
    <w:basedOn w:val="1"/>
    <w:qFormat/>
    <w:uiPriority w:val="99"/>
    <w:rPr>
      <w:szCs w:val="20"/>
    </w:rPr>
  </w:style>
  <w:style w:type="paragraph" w:customStyle="1" w:styleId="406">
    <w:name w:val="图形标题"/>
    <w:basedOn w:val="20"/>
    <w:qFormat/>
    <w:uiPriority w:val="0"/>
    <w:pPr>
      <w:spacing w:before="0" w:after="0"/>
      <w:jc w:val="center"/>
    </w:pPr>
    <w:rPr>
      <w:rFonts w:ascii="宋体" w:hAnsi="Plotter" w:eastAsia="宋体"/>
      <w:sz w:val="21"/>
    </w:rPr>
  </w:style>
  <w:style w:type="paragraph" w:customStyle="1" w:styleId="407">
    <w:name w:val="font7"/>
    <w:basedOn w:val="1"/>
    <w:qFormat/>
    <w:uiPriority w:val="0"/>
    <w:pPr>
      <w:widowControl/>
      <w:spacing w:before="100" w:beforeAutospacing="1" w:after="100" w:afterAutospacing="1"/>
      <w:jc w:val="left"/>
    </w:pPr>
    <w:rPr>
      <w:color w:val="000000"/>
      <w:kern w:val="0"/>
      <w:sz w:val="20"/>
      <w:szCs w:val="20"/>
    </w:rPr>
  </w:style>
  <w:style w:type="paragraph" w:customStyle="1" w:styleId="408">
    <w:name w:val="三级无"/>
    <w:basedOn w:val="212"/>
    <w:qFormat/>
    <w:uiPriority w:val="0"/>
    <w:pPr>
      <w:tabs>
        <w:tab w:val="clear" w:pos="945"/>
        <w:tab w:val="clear" w:pos="1080"/>
      </w:tabs>
      <w:spacing w:before="50" w:after="50" w:line="240" w:lineRule="auto"/>
      <w:jc w:val="left"/>
    </w:pPr>
    <w:rPr>
      <w:rFonts w:ascii="宋体" w:eastAsia="宋体"/>
      <w:b w:val="0"/>
      <w:szCs w:val="21"/>
    </w:rPr>
  </w:style>
  <w:style w:type="paragraph" w:customStyle="1" w:styleId="409">
    <w:name w:val="正文图标题"/>
    <w:next w:val="166"/>
    <w:qFormat/>
    <w:uiPriority w:val="0"/>
    <w:pPr>
      <w:numPr>
        <w:ilvl w:val="0"/>
        <w:numId w:val="33"/>
      </w:numPr>
      <w:spacing w:beforeLines="50" w:afterLines="50"/>
      <w:jc w:val="center"/>
    </w:pPr>
    <w:rPr>
      <w:rFonts w:ascii="黑体" w:hAnsi="Times New Roman" w:eastAsia="黑体" w:cs="Times New Roman"/>
      <w:sz w:val="21"/>
      <w:lang w:val="en-US" w:eastAsia="zh-CN" w:bidi="ar-SA"/>
    </w:rPr>
  </w:style>
  <w:style w:type="paragraph" w:customStyle="1" w:styleId="410">
    <w:name w:val="工程建设条标题"/>
    <w:basedOn w:val="268"/>
    <w:next w:val="166"/>
    <w:qFormat/>
    <w:uiPriority w:val="0"/>
    <w:pPr>
      <w:numPr>
        <w:numId w:val="0"/>
      </w:numPr>
      <w:spacing w:before="0" w:after="0"/>
      <w:ind w:left="1680" w:hanging="420"/>
      <w:jc w:val="left"/>
      <w:outlineLvl w:val="3"/>
    </w:pPr>
    <w:rPr>
      <w:b w:val="0"/>
    </w:rPr>
  </w:style>
  <w:style w:type="paragraph" w:customStyle="1" w:styleId="41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412">
    <w:name w:val="术语定义五级条标题"/>
    <w:basedOn w:val="232"/>
    <w:next w:val="166"/>
    <w:qFormat/>
    <w:uiPriority w:val="0"/>
    <w:pPr>
      <w:numPr>
        <w:ilvl w:val="0"/>
        <w:numId w:val="0"/>
      </w:numPr>
      <w:tabs>
        <w:tab w:val="left" w:pos="1140"/>
      </w:tabs>
      <w:spacing w:before="0" w:beforeLines="0" w:after="0" w:afterLines="0"/>
      <w:ind w:left="726" w:hanging="363"/>
      <w:outlineLvl w:val="9"/>
    </w:pPr>
  </w:style>
  <w:style w:type="paragraph" w:customStyle="1" w:styleId="413">
    <w:name w:val="列项◆（三级）"/>
    <w:basedOn w:val="1"/>
    <w:qFormat/>
    <w:uiPriority w:val="0"/>
    <w:pPr>
      <w:numPr>
        <w:ilvl w:val="2"/>
        <w:numId w:val="14"/>
      </w:numPr>
      <w:spacing w:line="240" w:lineRule="auto"/>
    </w:pPr>
    <w:rPr>
      <w:rFonts w:ascii="宋体"/>
      <w:szCs w:val="21"/>
    </w:rPr>
  </w:style>
  <w:style w:type="paragraph" w:customStyle="1" w:styleId="414">
    <w:name w:val="标准书眉一"/>
    <w:qFormat/>
    <w:uiPriority w:val="0"/>
    <w:pPr>
      <w:numPr>
        <w:ilvl w:val="0"/>
        <w:numId w:val="17"/>
      </w:numPr>
      <w:jc w:val="both"/>
    </w:pPr>
    <w:rPr>
      <w:rFonts w:ascii="Times New Roman" w:hAnsi="Times New Roman" w:eastAsia="宋体" w:cs="Times New Roman"/>
      <w:lang w:val="en-US" w:eastAsia="zh-CN" w:bidi="ar-SA"/>
    </w:rPr>
  </w:style>
  <w:style w:type="paragraph" w:customStyle="1" w:styleId="415">
    <w:name w:val="二级无标题条"/>
    <w:basedOn w:val="1"/>
    <w:qFormat/>
    <w:uiPriority w:val="0"/>
    <w:pPr>
      <w:numPr>
        <w:ilvl w:val="3"/>
        <w:numId w:val="21"/>
      </w:numPr>
    </w:pPr>
  </w:style>
  <w:style w:type="paragraph" w:customStyle="1" w:styleId="416">
    <w:name w:val="工程建设无节条标题"/>
    <w:basedOn w:val="1"/>
    <w:next w:val="166"/>
    <w:qFormat/>
    <w:uiPriority w:val="0"/>
    <w:pPr>
      <w:spacing w:line="240" w:lineRule="auto"/>
      <w:outlineLvl w:val="3"/>
    </w:pPr>
  </w:style>
  <w:style w:type="paragraph" w:customStyle="1" w:styleId="417">
    <w:name w:val="工程建设表标题"/>
    <w:basedOn w:val="410"/>
    <w:qFormat/>
    <w:uiPriority w:val="0"/>
    <w:pPr>
      <w:numPr>
        <w:ilvl w:val="4"/>
      </w:numPr>
      <w:ind w:left="1680" w:hanging="420"/>
      <w:jc w:val="center"/>
      <w:outlineLvl w:val="4"/>
    </w:pPr>
  </w:style>
  <w:style w:type="paragraph" w:customStyle="1" w:styleId="418">
    <w:name w:val="一级无标题条"/>
    <w:basedOn w:val="1"/>
    <w:qFormat/>
    <w:uiPriority w:val="0"/>
    <w:pPr>
      <w:numPr>
        <w:ilvl w:val="2"/>
        <w:numId w:val="21"/>
      </w:numPr>
    </w:pPr>
  </w:style>
  <w:style w:type="paragraph" w:customStyle="1" w:styleId="41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420">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szCs w:val="16"/>
    </w:rPr>
  </w:style>
  <w:style w:type="paragraph" w:customStyle="1" w:styleId="421">
    <w:name w:val="附录标识"/>
    <w:basedOn w:val="1"/>
    <w:next w:val="166"/>
    <w:qFormat/>
    <w:uiPriority w:val="0"/>
    <w:pPr>
      <w:keepNext/>
      <w:widowControl/>
      <w:numPr>
        <w:ilvl w:val="0"/>
        <w:numId w:val="24"/>
      </w:numPr>
      <w:shd w:val="clear" w:color="FFFFFF" w:fill="FFFFFF"/>
      <w:tabs>
        <w:tab w:val="left" w:pos="6405"/>
      </w:tabs>
      <w:spacing w:before="640" w:after="280" w:line="240" w:lineRule="auto"/>
      <w:jc w:val="center"/>
      <w:outlineLvl w:val="0"/>
    </w:pPr>
    <w:rPr>
      <w:rFonts w:ascii="黑体" w:eastAsia="黑体"/>
      <w:kern w:val="0"/>
      <w:szCs w:val="20"/>
    </w:rPr>
  </w:style>
  <w:style w:type="paragraph" w:customStyle="1" w:styleId="422">
    <w:name w:val="其他标准称谓"/>
    <w:qFormat/>
    <w:uiPriority w:val="0"/>
    <w:pPr>
      <w:spacing w:line="0" w:lineRule="atLeast"/>
      <w:jc w:val="distribute"/>
    </w:pPr>
    <w:rPr>
      <w:rFonts w:ascii="黑体" w:hAnsi="宋体" w:eastAsia="黑体" w:cs="Times New Roman"/>
      <w:sz w:val="52"/>
      <w:lang w:val="en-US" w:eastAsia="zh-CN" w:bidi="ar-SA"/>
    </w:rPr>
  </w:style>
  <w:style w:type="character" w:customStyle="1" w:styleId="423">
    <w:name w:val="font21"/>
    <w:basedOn w:val="87"/>
    <w:qFormat/>
    <w:uiPriority w:val="0"/>
    <w:rPr>
      <w:rFonts w:hint="eastAsia" w:ascii="宋体" w:hAnsi="宋体" w:eastAsia="宋体" w:cs="宋体"/>
      <w:color w:val="000000"/>
      <w:sz w:val="24"/>
      <w:szCs w:val="24"/>
      <w:u w:val="none"/>
    </w:rPr>
  </w:style>
  <w:style w:type="character" w:customStyle="1" w:styleId="424">
    <w:name w:val="font71"/>
    <w:basedOn w:val="87"/>
    <w:qFormat/>
    <w:uiPriority w:val="0"/>
    <w:rPr>
      <w:rFonts w:hint="eastAsia" w:ascii="宋体" w:hAnsi="宋体" w:eastAsia="宋体" w:cs="宋体"/>
      <w:color w:val="FF0000"/>
      <w:sz w:val="24"/>
      <w:szCs w:val="24"/>
      <w:u w:val="none"/>
    </w:rPr>
  </w:style>
  <w:style w:type="character" w:customStyle="1" w:styleId="425">
    <w:name w:val="font31"/>
    <w:basedOn w:val="87"/>
    <w:qFormat/>
    <w:uiPriority w:val="0"/>
    <w:rPr>
      <w:rFonts w:hint="eastAsia" w:ascii="宋体" w:hAnsi="宋体" w:eastAsia="宋体" w:cs="宋体"/>
      <w:color w:val="000000"/>
      <w:sz w:val="18"/>
      <w:szCs w:val="18"/>
      <w:u w:val="none"/>
    </w:rPr>
  </w:style>
  <w:style w:type="paragraph" w:customStyle="1" w:styleId="426">
    <w:name w:val="*Z表内容"/>
    <w:qFormat/>
    <w:uiPriority w:val="0"/>
    <w:pPr>
      <w:snapToGrid w:val="0"/>
      <w:jc w:val="center"/>
    </w:pPr>
    <w:rPr>
      <w:rFonts w:ascii="Times New Roman" w:hAnsi="Times New Roman" w:eastAsia="宋体" w:cs="Times New Roman"/>
      <w:bCs/>
      <w:kern w:val="2"/>
      <w:sz w:val="18"/>
      <w:szCs w:val="21"/>
      <w:lang w:val="en-US" w:eastAsia="zh-CN" w:bidi="ar-SA"/>
    </w:rPr>
  </w:style>
  <w:style w:type="paragraph" w:customStyle="1" w:styleId="427">
    <w:name w:val="*正文2"/>
    <w:basedOn w:val="1"/>
    <w:qFormat/>
    <w:uiPriority w:val="0"/>
    <w:pPr>
      <w:adjustRightInd w:val="0"/>
      <w:ind w:firstLine="200" w:firstLineChars="200"/>
    </w:pPr>
  </w:style>
  <w:style w:type="paragraph" w:customStyle="1" w:styleId="428">
    <w:name w:val="*Z标题3"/>
    <w:qFormat/>
    <w:uiPriority w:val="0"/>
    <w:pPr>
      <w:numPr>
        <w:ilvl w:val="2"/>
        <w:numId w:val="34"/>
      </w:numPr>
      <w:tabs>
        <w:tab w:val="left" w:pos="709"/>
      </w:tabs>
      <w:snapToGrid w:val="0"/>
      <w:spacing w:line="360" w:lineRule="auto"/>
      <w:outlineLvl w:val="2"/>
    </w:pPr>
    <w:rPr>
      <w:rFonts w:ascii="Times New Roman" w:hAnsi="Times New Roman" w:eastAsia="宋体" w:cs="楷体_GB2312"/>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23</Pages>
  <Words>10185</Words>
  <Characters>11843</Characters>
  <Lines>122</Lines>
  <Paragraphs>34</Paragraphs>
  <TotalTime>1</TotalTime>
  <ScaleCrop>false</ScaleCrop>
  <LinksUpToDate>false</LinksUpToDate>
  <CharactersWithSpaces>12491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2017-12-26T04:14:00Z</dcterms:created>
  <dc:creator>liuruoqiao</dc:creator>
  <cp:lastModifiedBy>王福雄</cp:lastModifiedBy>
  <cp:lastPrinted>2018-04-10T20:36:00Z</cp:lastPrinted>
  <dcterms:modified xsi:type="dcterms:W3CDTF">2026-06-02T00:31:31Z</dcterms:modified>
  <dc:title>（2009年版）</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ICV">
    <vt:lpwstr>B9B4A33A9F834237987690D2148627CF</vt:lpwstr>
  </property>
  <property fmtid="{D5CDD505-2E9C-101B-9397-08002B2CF9AE}" pid="5" name="KSOTemplateDocerSaveRecord">
    <vt:lpwstr>eyJoZGlkIjoiNWRiN2EzOTIwNTFkMWRjYjlhM2M2MjEwMTAzOTAyMTAiLCJ1c2VySWQiOiIzNDM4MzI5NTYifQ==</vt:lpwstr>
  </property>
</Properties>
</file>