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4"/>
        <w:adjustRightInd w:val="0"/>
        <w:snapToGrid w:val="0"/>
        <w:ind w:firstLine="0" w:firstLineChars="0"/>
        <w:rPr>
          <w:highlight w:val="none"/>
        </w:rPr>
      </w:pPr>
      <w:r>
        <w:rPr>
          <w:rFonts w:hint="eastAsia" w:ascii="宋体" w:hAnsi="宋体" w:eastAsia="宋体" w:cs="宋体"/>
          <w:color w:val="auto"/>
          <w:lang w:eastAsia="zh-CN"/>
        </w:rPr>
        <w:drawing>
          <wp:anchor distT="0" distB="0" distL="114300" distR="114300" simplePos="0" relativeHeight="251659264" behindDoc="0" locked="0" layoutInCell="1" allowOverlap="1">
            <wp:simplePos x="0" y="0"/>
            <wp:positionH relativeFrom="column">
              <wp:posOffset>-1008380</wp:posOffset>
            </wp:positionH>
            <wp:positionV relativeFrom="paragraph">
              <wp:posOffset>-899795</wp:posOffset>
            </wp:positionV>
            <wp:extent cx="7615555" cy="2548890"/>
            <wp:effectExtent l="0" t="0" r="4445" b="3810"/>
            <wp:wrapTopAndBottom/>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6"/>
                    <a:stretch>
                      <a:fillRect/>
                    </a:stretch>
                  </pic:blipFill>
                  <pic:spPr>
                    <a:xfrm>
                      <a:off x="0" y="0"/>
                      <a:ext cx="7615555" cy="2548890"/>
                    </a:xfrm>
                    <a:prstGeom prst="rect">
                      <a:avLst/>
                    </a:prstGeom>
                    <a:noFill/>
                    <a:ln w="9525">
                      <a:noFill/>
                    </a:ln>
                  </pic:spPr>
                </pic:pic>
              </a:graphicData>
            </a:graphic>
          </wp:anchor>
        </w:drawing>
      </w:r>
    </w:p>
    <w:p>
      <w:pPr>
        <w:pStyle w:val="44"/>
        <w:adjustRightInd w:val="0"/>
        <w:snapToGrid w:val="0"/>
        <w:ind w:firstLine="0" w:firstLineChars="0"/>
        <w:rPr>
          <w:highlight w:val="none"/>
        </w:rPr>
      </w:pPr>
    </w:p>
    <w:p>
      <w:pPr>
        <w:pStyle w:val="44"/>
        <w:adjustRightInd w:val="0"/>
        <w:snapToGrid w:val="0"/>
        <w:ind w:firstLine="0" w:firstLineChars="0"/>
        <w:rPr>
          <w:highlight w:val="none"/>
        </w:rPr>
      </w:pPr>
    </w:p>
    <w:p>
      <w:pPr>
        <w:pStyle w:val="44"/>
        <w:adjustRightInd w:val="0"/>
        <w:snapToGrid w:val="0"/>
        <w:ind w:firstLine="0" w:firstLineChars="0"/>
        <w:rPr>
          <w:highlight w:val="none"/>
        </w:rPr>
      </w:pPr>
    </w:p>
    <w:p>
      <w:pPr>
        <w:pStyle w:val="44"/>
        <w:adjustRightInd w:val="0"/>
        <w:snapToGrid w:val="0"/>
        <w:ind w:firstLine="0" w:firstLineChars="0"/>
        <w:rPr>
          <w:highlight w:val="none"/>
        </w:rPr>
      </w:pPr>
    </w:p>
    <w:p>
      <w:pPr>
        <w:autoSpaceDE w:val="0"/>
        <w:autoSpaceDN w:val="0"/>
        <w:adjustRightInd w:val="0"/>
        <w:spacing w:line="240" w:lineRule="auto"/>
        <w:ind w:firstLine="180" w:firstLineChars="0"/>
        <w:jc w:val="center"/>
        <w:rPr>
          <w:rFonts w:hint="eastAsia" w:ascii="黑体" w:hAnsi="黑体" w:eastAsia="黑体" w:cs="黑体"/>
          <w:sz w:val="48"/>
          <w:szCs w:val="48"/>
        </w:rPr>
      </w:pPr>
      <w:r>
        <w:rPr>
          <w:rFonts w:hint="eastAsia" w:ascii="黑体" w:hAnsi="黑体" w:eastAsia="黑体" w:cs="黑体"/>
          <w:sz w:val="48"/>
          <w:szCs w:val="48"/>
        </w:rPr>
        <w:t>海南电力产业发展有限责任公司</w:t>
      </w:r>
    </w:p>
    <w:p>
      <w:pPr>
        <w:autoSpaceDE w:val="0"/>
        <w:autoSpaceDN w:val="0"/>
        <w:adjustRightInd w:val="0"/>
        <w:spacing w:line="240" w:lineRule="auto"/>
        <w:ind w:firstLine="180" w:firstLineChars="0"/>
        <w:jc w:val="center"/>
        <w:rPr>
          <w:rFonts w:hint="eastAsia" w:ascii="黑体" w:hAnsi="黑体" w:eastAsia="黑体" w:cs="黑体"/>
          <w:sz w:val="48"/>
          <w:szCs w:val="48"/>
        </w:rPr>
      </w:pPr>
      <w:r>
        <w:rPr>
          <w:rFonts w:hint="eastAsia" w:ascii="黑体" w:hAnsi="黑体" w:eastAsia="黑体" w:cs="黑体"/>
          <w:sz w:val="48"/>
          <w:szCs w:val="48"/>
        </w:rPr>
        <w:t>202</w:t>
      </w:r>
      <w:r>
        <w:rPr>
          <w:rFonts w:hint="eastAsia" w:ascii="黑体" w:hAnsi="黑体" w:eastAsia="黑体" w:cs="黑体"/>
          <w:sz w:val="48"/>
          <w:szCs w:val="48"/>
          <w:lang w:val="en-US" w:eastAsia="zh-CN"/>
        </w:rPr>
        <w:t>6-2027</w:t>
      </w:r>
      <w:r>
        <w:rPr>
          <w:rFonts w:hint="eastAsia" w:ascii="黑体" w:hAnsi="黑体" w:eastAsia="黑体" w:cs="黑体"/>
          <w:sz w:val="48"/>
          <w:szCs w:val="48"/>
        </w:rPr>
        <w:t>年</w:t>
      </w:r>
      <w:r>
        <w:rPr>
          <w:rFonts w:hint="eastAsia" w:ascii="黑体" w:hAnsi="黑体" w:eastAsia="黑体" w:cs="黑体"/>
          <w:sz w:val="48"/>
          <w:szCs w:val="48"/>
          <w:lang w:val="en-US" w:eastAsia="zh-CN"/>
        </w:rPr>
        <w:t>第一批</w:t>
      </w:r>
      <w:r>
        <w:rPr>
          <w:rFonts w:hint="eastAsia" w:ascii="黑体" w:hAnsi="黑体" w:eastAsia="黑体" w:cs="黑体"/>
          <w:sz w:val="48"/>
          <w:szCs w:val="48"/>
        </w:rPr>
        <w:t>通信自动化类</w:t>
      </w:r>
    </w:p>
    <w:p>
      <w:pPr>
        <w:autoSpaceDE w:val="0"/>
        <w:autoSpaceDN w:val="0"/>
        <w:adjustRightInd w:val="0"/>
        <w:spacing w:line="240" w:lineRule="auto"/>
        <w:ind w:firstLine="180" w:firstLineChars="0"/>
        <w:jc w:val="center"/>
        <w:rPr>
          <w:rFonts w:hint="eastAsia" w:ascii="黑体" w:hAnsi="黑体" w:eastAsia="黑体" w:cs="黑体"/>
          <w:sz w:val="48"/>
          <w:szCs w:val="48"/>
        </w:rPr>
      </w:pPr>
      <w:r>
        <w:rPr>
          <w:rFonts w:hint="eastAsia" w:ascii="黑体" w:hAnsi="黑体" w:eastAsia="黑体" w:cs="黑体"/>
          <w:sz w:val="48"/>
          <w:szCs w:val="48"/>
        </w:rPr>
        <w:t>辅材框架</w:t>
      </w:r>
      <w:r>
        <w:rPr>
          <w:rFonts w:hint="eastAsia" w:ascii="黑体" w:hAnsi="黑体" w:eastAsia="黑体" w:cs="黑体"/>
          <w:sz w:val="48"/>
          <w:szCs w:val="48"/>
          <w:lang w:val="en-US" w:eastAsia="zh-CN"/>
        </w:rPr>
        <w:t>采购</w:t>
      </w:r>
      <w:r>
        <w:rPr>
          <w:rFonts w:hint="eastAsia" w:ascii="黑体" w:hAnsi="黑体" w:eastAsia="黑体" w:cs="黑体"/>
          <w:sz w:val="48"/>
          <w:szCs w:val="48"/>
        </w:rPr>
        <w:t>项目</w:t>
      </w:r>
    </w:p>
    <w:p>
      <w:pPr>
        <w:autoSpaceDE w:val="0"/>
        <w:autoSpaceDN w:val="0"/>
        <w:adjustRightInd w:val="0"/>
        <w:spacing w:line="240" w:lineRule="auto"/>
        <w:ind w:firstLine="180" w:firstLineChars="0"/>
        <w:jc w:val="center"/>
        <w:rPr>
          <w:rFonts w:hint="eastAsia" w:ascii="黑体" w:hAnsi="黑体" w:eastAsia="黑体" w:cs="黑体"/>
          <w:sz w:val="48"/>
          <w:szCs w:val="48"/>
        </w:rPr>
      </w:pPr>
      <w:r>
        <w:rPr>
          <w:rFonts w:hint="eastAsia" w:ascii="黑体" w:hAnsi="黑体" w:eastAsia="黑体" w:cs="黑体"/>
          <w:sz w:val="48"/>
          <w:szCs w:val="48"/>
        </w:rPr>
        <w:t>技术规范书</w:t>
      </w:r>
    </w:p>
    <w:p>
      <w:pPr>
        <w:pStyle w:val="44"/>
        <w:adjustRightInd w:val="0"/>
        <w:snapToGrid w:val="0"/>
        <w:ind w:firstLine="0" w:firstLineChars="0"/>
        <w:rPr>
          <w:highlight w:val="none"/>
        </w:rPr>
      </w:pPr>
    </w:p>
    <w:p>
      <w:pPr>
        <w:pStyle w:val="44"/>
        <w:adjustRightInd w:val="0"/>
        <w:snapToGrid w:val="0"/>
        <w:ind w:firstLine="0" w:firstLineChars="0"/>
        <w:rPr>
          <w:highlight w:val="none"/>
        </w:rPr>
      </w:pPr>
    </w:p>
    <w:p>
      <w:pPr>
        <w:pStyle w:val="44"/>
        <w:adjustRightInd w:val="0"/>
        <w:snapToGrid w:val="0"/>
        <w:ind w:firstLine="0" w:firstLineChars="0"/>
        <w:rPr>
          <w:highlight w:val="none"/>
        </w:rPr>
      </w:pPr>
    </w:p>
    <w:p>
      <w:pPr>
        <w:pStyle w:val="44"/>
        <w:adjustRightInd w:val="0"/>
        <w:snapToGrid w:val="0"/>
        <w:ind w:firstLine="0" w:firstLineChars="0"/>
        <w:rPr>
          <w:highlight w:val="none"/>
        </w:rPr>
      </w:pPr>
    </w:p>
    <w:p>
      <w:pPr>
        <w:pStyle w:val="44"/>
        <w:adjustRightInd w:val="0"/>
        <w:snapToGrid w:val="0"/>
        <w:ind w:firstLine="0" w:firstLineChars="0"/>
        <w:rPr>
          <w:highlight w:val="none"/>
        </w:rPr>
      </w:pPr>
    </w:p>
    <w:p>
      <w:pPr>
        <w:pStyle w:val="44"/>
        <w:adjustRightInd w:val="0"/>
        <w:snapToGrid w:val="0"/>
        <w:ind w:firstLine="0" w:firstLineChars="0"/>
        <w:rPr>
          <w:highlight w:val="none"/>
        </w:rPr>
      </w:pPr>
    </w:p>
    <w:p>
      <w:pPr>
        <w:pStyle w:val="44"/>
        <w:adjustRightInd w:val="0"/>
        <w:snapToGrid w:val="0"/>
        <w:ind w:firstLine="0" w:firstLineChars="0"/>
        <w:rPr>
          <w:highlight w:val="none"/>
        </w:rPr>
      </w:pPr>
    </w:p>
    <w:p>
      <w:pPr>
        <w:pStyle w:val="44"/>
        <w:adjustRightInd w:val="0"/>
        <w:snapToGrid w:val="0"/>
        <w:ind w:firstLine="0" w:firstLineChars="0"/>
        <w:rPr>
          <w:highlight w:val="none"/>
        </w:rPr>
      </w:pPr>
    </w:p>
    <w:p>
      <w:pPr>
        <w:pStyle w:val="44"/>
        <w:adjustRightInd w:val="0"/>
        <w:snapToGrid w:val="0"/>
        <w:ind w:firstLine="0" w:firstLineChars="0"/>
        <w:rPr>
          <w:highlight w:val="none"/>
        </w:rPr>
      </w:pPr>
    </w:p>
    <w:p>
      <w:pPr>
        <w:pStyle w:val="44"/>
        <w:adjustRightInd w:val="0"/>
        <w:snapToGrid w:val="0"/>
        <w:ind w:firstLine="0" w:firstLineChars="0"/>
        <w:rPr>
          <w:highlight w:val="none"/>
        </w:rPr>
      </w:pPr>
    </w:p>
    <w:p>
      <w:pPr>
        <w:pStyle w:val="44"/>
        <w:adjustRightInd w:val="0"/>
        <w:snapToGrid w:val="0"/>
        <w:ind w:firstLine="0" w:firstLineChars="0"/>
        <w:rPr>
          <w:highlight w:val="none"/>
        </w:rPr>
      </w:pPr>
    </w:p>
    <w:p>
      <w:pPr>
        <w:pStyle w:val="101"/>
        <w:spacing w:line="360" w:lineRule="auto"/>
        <w:ind w:firstLine="0" w:firstLineChars="0"/>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18" w:right="1134" w:bottom="1418" w:left="1588" w:header="779" w:footer="992" w:gutter="0"/>
          <w:cols w:space="720" w:num="1"/>
          <w:docGrid w:type="lines" w:linePitch="312" w:charSpace="0"/>
        </w:sectPr>
      </w:pPr>
      <w:r>
        <w:rPr>
          <w:rFonts w:hint="eastAsia"/>
          <w:highlight w:val="none"/>
        </w:rPr>
        <w:t>202</w:t>
      </w:r>
      <w:r>
        <w:rPr>
          <w:rFonts w:hint="eastAsia"/>
          <w:highlight w:val="none"/>
          <w:lang w:val="en-US" w:eastAsia="zh-CN"/>
        </w:rPr>
        <w:t>6</w:t>
      </w:r>
      <w:r>
        <w:rPr>
          <w:rFonts w:hint="eastAsia"/>
          <w:highlight w:val="none"/>
        </w:rPr>
        <w:t>年</w:t>
      </w:r>
      <w:r>
        <w:rPr>
          <w:rFonts w:hint="eastAsia"/>
          <w:highlight w:val="none"/>
          <w:lang w:val="en-US" w:eastAsia="zh-CN"/>
        </w:rPr>
        <w:t>4</w:t>
      </w:r>
      <w:r>
        <w:rPr>
          <w:rFonts w:hint="eastAsia"/>
          <w:highlight w:val="none"/>
        </w:rPr>
        <w:t>月</w:t>
      </w:r>
    </w:p>
    <w:p>
      <w:pPr>
        <w:pStyle w:val="101"/>
        <w:spacing w:line="360" w:lineRule="auto"/>
        <w:ind w:firstLine="480"/>
        <w:rPr>
          <w:sz w:val="24"/>
          <w:highlight w:val="none"/>
        </w:rPr>
      </w:pPr>
      <w:r>
        <w:rPr>
          <w:rFonts w:hint="eastAsia"/>
          <w:sz w:val="24"/>
          <w:highlight w:val="none"/>
        </w:rPr>
        <w:t>目  录</w:t>
      </w:r>
    </w:p>
    <w:p>
      <w:pPr>
        <w:pStyle w:val="27"/>
        <w:tabs>
          <w:tab w:val="right" w:leader="dot" w:pos="9298"/>
          <w:tab w:val="clear" w:pos="630"/>
          <w:tab w:val="clear" w:pos="9288"/>
        </w:tabs>
      </w:pPr>
      <w:r>
        <w:rPr>
          <w:b w:val="0"/>
          <w:caps w:val="0"/>
          <w:szCs w:val="24"/>
          <w:highlight w:val="none"/>
        </w:rPr>
        <w:fldChar w:fldCharType="begin"/>
      </w:r>
      <w:r>
        <w:rPr>
          <w:b w:val="0"/>
          <w:caps w:val="0"/>
          <w:szCs w:val="24"/>
          <w:highlight w:val="none"/>
        </w:rPr>
        <w:instrText xml:space="preserve"> TOC \o "1-3" \h \z \u </w:instrText>
      </w:r>
      <w:r>
        <w:rPr>
          <w:b w:val="0"/>
          <w:caps w:val="0"/>
          <w:szCs w:val="24"/>
          <w:highlight w:val="none"/>
        </w:rPr>
        <w:fldChar w:fldCharType="separate"/>
      </w:r>
      <w:r>
        <w:rPr>
          <w:caps w:val="0"/>
          <w:szCs w:val="24"/>
          <w:highlight w:val="none"/>
        </w:rPr>
        <w:fldChar w:fldCharType="begin"/>
      </w:r>
      <w:r>
        <w:rPr>
          <w:caps w:val="0"/>
          <w:szCs w:val="24"/>
          <w:highlight w:val="none"/>
        </w:rPr>
        <w:instrText xml:space="preserve"> HYPERLINK \l _Toc3857 </w:instrText>
      </w:r>
      <w:r>
        <w:rPr>
          <w:caps w:val="0"/>
          <w:szCs w:val="24"/>
          <w:highlight w:val="none"/>
        </w:rPr>
        <w:fldChar w:fldCharType="separate"/>
      </w:r>
      <w:r>
        <w:rPr>
          <w:rFonts w:hint="eastAsia"/>
          <w:lang w:val="sv-SE"/>
        </w:rPr>
        <w:t xml:space="preserve">1 </w:t>
      </w:r>
      <w:r>
        <w:rPr>
          <w:rFonts w:hint="eastAsia"/>
          <w:highlight w:val="none"/>
        </w:rPr>
        <w:t>总则</w:t>
      </w:r>
      <w:r>
        <w:tab/>
      </w:r>
      <w:r>
        <w:fldChar w:fldCharType="begin"/>
      </w:r>
      <w:r>
        <w:instrText xml:space="preserve"> PAGEREF _Toc3857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_Toc32589 </w:instrText>
      </w:r>
      <w:r>
        <w:rPr>
          <w:caps w:val="0"/>
          <w:szCs w:val="24"/>
          <w:highlight w:val="none"/>
        </w:rPr>
        <w:fldChar w:fldCharType="separate"/>
      </w:r>
      <w:r>
        <w:rPr>
          <w:rFonts w:hint="eastAsia"/>
        </w:rPr>
        <w:t xml:space="preserve">1.1 </w:t>
      </w:r>
      <w:r>
        <w:rPr>
          <w:rFonts w:hint="eastAsia"/>
          <w:highlight w:val="none"/>
        </w:rPr>
        <w:t>项目建设范围</w:t>
      </w:r>
      <w:r>
        <w:tab/>
      </w:r>
      <w:r>
        <w:fldChar w:fldCharType="begin"/>
      </w:r>
      <w:r>
        <w:instrText xml:space="preserve"> PAGEREF _Toc32589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_Toc18337 </w:instrText>
      </w:r>
      <w:r>
        <w:rPr>
          <w:caps w:val="0"/>
          <w:szCs w:val="24"/>
          <w:highlight w:val="none"/>
        </w:rPr>
        <w:fldChar w:fldCharType="separate"/>
      </w:r>
      <w:r>
        <w:rPr>
          <w:rFonts w:hint="eastAsia"/>
        </w:rPr>
        <w:t xml:space="preserve">1.2 </w:t>
      </w:r>
      <w:r>
        <w:rPr>
          <w:rFonts w:hint="eastAsia"/>
          <w:highlight w:val="none"/>
          <w:lang w:val="en-US" w:eastAsia="zh-CN"/>
        </w:rPr>
        <w:t>进度</w:t>
      </w:r>
      <w:r>
        <w:rPr>
          <w:rFonts w:hint="eastAsia"/>
          <w:highlight w:val="none"/>
        </w:rPr>
        <w:t>保证</w:t>
      </w:r>
      <w:r>
        <w:tab/>
      </w:r>
      <w:r>
        <w:fldChar w:fldCharType="begin"/>
      </w:r>
      <w:r>
        <w:instrText xml:space="preserve"> PAGEREF _Toc18337 \h </w:instrText>
      </w:r>
      <w:r>
        <w:fldChar w:fldCharType="separate"/>
      </w:r>
      <w:r>
        <w:t>- 6 -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_Toc23994 </w:instrText>
      </w:r>
      <w:r>
        <w:rPr>
          <w:caps w:val="0"/>
          <w:szCs w:val="24"/>
          <w:highlight w:val="none"/>
        </w:rPr>
        <w:fldChar w:fldCharType="separate"/>
      </w:r>
      <w:r>
        <w:rPr>
          <w:rFonts w:hint="eastAsia"/>
        </w:rPr>
        <w:t xml:space="preserve">1.3 </w:t>
      </w:r>
      <w:r>
        <w:rPr>
          <w:rFonts w:hint="eastAsia"/>
          <w:highlight w:val="none"/>
        </w:rPr>
        <w:t>系统适用标准</w:t>
      </w:r>
      <w:r>
        <w:tab/>
      </w:r>
      <w:r>
        <w:fldChar w:fldCharType="begin"/>
      </w:r>
      <w:r>
        <w:instrText xml:space="preserve"> PAGEREF _Toc23994 \h </w:instrText>
      </w:r>
      <w:r>
        <w:fldChar w:fldCharType="separate"/>
      </w:r>
      <w:r>
        <w:t>- 7 -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_Toc24478 </w:instrText>
      </w:r>
      <w:r>
        <w:rPr>
          <w:caps w:val="0"/>
          <w:szCs w:val="24"/>
          <w:highlight w:val="none"/>
        </w:rPr>
        <w:fldChar w:fldCharType="separate"/>
      </w:r>
      <w:r>
        <w:rPr>
          <w:rFonts w:hint="eastAsia"/>
          <w:lang w:val="sv-SE"/>
        </w:rPr>
        <w:t xml:space="preserve">2 </w:t>
      </w:r>
      <w:r>
        <w:rPr>
          <w:rFonts w:hint="eastAsia"/>
          <w:highlight w:val="none"/>
        </w:rPr>
        <w:t>对投标方的要求及其工作范围</w:t>
      </w:r>
      <w:r>
        <w:tab/>
      </w:r>
      <w:r>
        <w:fldChar w:fldCharType="begin"/>
      </w:r>
      <w:r>
        <w:instrText xml:space="preserve"> PAGEREF _Toc24478 \h </w:instrText>
      </w:r>
      <w:r>
        <w:fldChar w:fldCharType="separate"/>
      </w:r>
      <w:r>
        <w:t>- 7 -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_Toc6421 </w:instrText>
      </w:r>
      <w:r>
        <w:rPr>
          <w:caps w:val="0"/>
          <w:szCs w:val="24"/>
          <w:highlight w:val="none"/>
        </w:rPr>
        <w:fldChar w:fldCharType="separate"/>
      </w:r>
      <w:r>
        <w:rPr>
          <w:rFonts w:hint="eastAsia"/>
        </w:rPr>
        <w:t xml:space="preserve">2.1 </w:t>
      </w:r>
      <w:r>
        <w:rPr>
          <w:rFonts w:hint="eastAsia"/>
          <w:highlight w:val="none"/>
        </w:rPr>
        <w:t>对投标方的技术要求</w:t>
      </w:r>
      <w:r>
        <w:tab/>
      </w:r>
      <w:r>
        <w:fldChar w:fldCharType="begin"/>
      </w:r>
      <w:r>
        <w:instrText xml:space="preserve"> PAGEREF _Toc6421 \h </w:instrText>
      </w:r>
      <w:r>
        <w:fldChar w:fldCharType="separate"/>
      </w:r>
      <w:r>
        <w:t>- 7 -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_Toc19514 </w:instrText>
      </w:r>
      <w:r>
        <w:rPr>
          <w:caps w:val="0"/>
          <w:szCs w:val="24"/>
          <w:highlight w:val="none"/>
        </w:rPr>
        <w:fldChar w:fldCharType="separate"/>
      </w:r>
      <w:r>
        <w:rPr>
          <w:rFonts w:hint="eastAsia"/>
        </w:rPr>
        <w:t xml:space="preserve">2.2 </w:t>
      </w:r>
      <w:r>
        <w:rPr>
          <w:rFonts w:hint="eastAsia"/>
          <w:highlight w:val="none"/>
        </w:rPr>
        <w:t>投标方的工作范围</w:t>
      </w:r>
      <w:r>
        <w:tab/>
      </w:r>
      <w:r>
        <w:fldChar w:fldCharType="begin"/>
      </w:r>
      <w:r>
        <w:instrText xml:space="preserve"> PAGEREF _Toc19514 \h </w:instrText>
      </w:r>
      <w:r>
        <w:fldChar w:fldCharType="separate"/>
      </w:r>
      <w:r>
        <w:t>- 8 -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_Toc32096 </w:instrText>
      </w:r>
      <w:r>
        <w:rPr>
          <w:caps w:val="0"/>
          <w:szCs w:val="24"/>
          <w:highlight w:val="none"/>
        </w:rPr>
        <w:fldChar w:fldCharType="separate"/>
      </w:r>
      <w:r>
        <w:rPr>
          <w:rFonts w:hint="eastAsia"/>
        </w:rPr>
        <w:t xml:space="preserve">2.3 </w:t>
      </w:r>
      <w:r>
        <w:rPr>
          <w:rFonts w:hint="eastAsia"/>
          <w:highlight w:val="none"/>
        </w:rPr>
        <w:t>产品报价范围</w:t>
      </w:r>
      <w:r>
        <w:tab/>
      </w:r>
      <w:r>
        <w:fldChar w:fldCharType="begin"/>
      </w:r>
      <w:r>
        <w:instrText xml:space="preserve"> PAGEREF _Toc32096 \h </w:instrText>
      </w:r>
      <w:r>
        <w:fldChar w:fldCharType="separate"/>
      </w:r>
      <w:r>
        <w:t>- 8 -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_Toc3740 </w:instrText>
      </w:r>
      <w:r>
        <w:rPr>
          <w:caps w:val="0"/>
          <w:szCs w:val="24"/>
          <w:highlight w:val="none"/>
        </w:rPr>
        <w:fldChar w:fldCharType="separate"/>
      </w:r>
      <w:r>
        <w:rPr>
          <w:rFonts w:hint="eastAsia"/>
        </w:rPr>
        <w:t xml:space="preserve">2.4 </w:t>
      </w:r>
      <w:r>
        <w:rPr>
          <w:rFonts w:hint="eastAsia"/>
          <w:highlight w:val="none"/>
        </w:rPr>
        <w:t>技术服务</w:t>
      </w:r>
      <w:r>
        <w:tab/>
      </w:r>
      <w:r>
        <w:fldChar w:fldCharType="begin"/>
      </w:r>
      <w:r>
        <w:instrText xml:space="preserve"> PAGEREF _Toc3740 \h </w:instrText>
      </w:r>
      <w:r>
        <w:fldChar w:fldCharType="separate"/>
      </w:r>
      <w:r>
        <w:t>- 8 -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_Toc8081 </w:instrText>
      </w:r>
      <w:r>
        <w:rPr>
          <w:caps w:val="0"/>
          <w:szCs w:val="24"/>
          <w:highlight w:val="none"/>
        </w:rPr>
        <w:fldChar w:fldCharType="separate"/>
      </w:r>
      <w:r>
        <w:rPr>
          <w:rFonts w:hint="eastAsia"/>
          <w:lang w:val="sv-SE"/>
        </w:rPr>
        <w:t xml:space="preserve">3 </w:t>
      </w:r>
      <w:r>
        <w:rPr>
          <w:rFonts w:hint="eastAsia"/>
          <w:highlight w:val="none"/>
        </w:rPr>
        <w:t>技术指标要求</w:t>
      </w:r>
      <w:r>
        <w:tab/>
      </w:r>
      <w:r>
        <w:fldChar w:fldCharType="begin"/>
      </w:r>
      <w:r>
        <w:instrText xml:space="preserve"> PAGEREF _Toc8081 \h </w:instrText>
      </w:r>
      <w:r>
        <w:fldChar w:fldCharType="separate"/>
      </w:r>
      <w:r>
        <w:t>- 10 -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_Toc18087 </w:instrText>
      </w:r>
      <w:r>
        <w:rPr>
          <w:caps w:val="0"/>
          <w:szCs w:val="24"/>
          <w:highlight w:val="none"/>
        </w:rPr>
        <w:fldChar w:fldCharType="separate"/>
      </w:r>
      <w:r>
        <w:rPr>
          <w:rFonts w:hint="eastAsia"/>
        </w:rPr>
        <w:t xml:space="preserve">3.1 </w:t>
      </w:r>
      <w:r>
        <w:rPr>
          <w:rFonts w:hint="eastAsia"/>
          <w:highlight w:val="none"/>
        </w:rPr>
        <w:t>基本要求</w:t>
      </w:r>
      <w:r>
        <w:tab/>
      </w:r>
      <w:r>
        <w:fldChar w:fldCharType="begin"/>
      </w:r>
      <w:r>
        <w:instrText xml:space="preserve"> PAGEREF _Toc18087 \h </w:instrText>
      </w:r>
      <w:r>
        <w:fldChar w:fldCharType="separate"/>
      </w:r>
      <w:r>
        <w:t>- 10 -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_Toc2998 </w:instrText>
      </w:r>
      <w:r>
        <w:rPr>
          <w:caps w:val="0"/>
          <w:szCs w:val="24"/>
          <w:highlight w:val="none"/>
        </w:rPr>
        <w:fldChar w:fldCharType="separate"/>
      </w:r>
      <w:r>
        <w:rPr>
          <w:rFonts w:hint="eastAsia" w:eastAsia="宋体"/>
          <w:lang w:val="en-US" w:eastAsia="zh-CN"/>
        </w:rPr>
        <w:t xml:space="preserve">3.2 </w:t>
      </w:r>
      <w:r>
        <w:rPr>
          <w:rFonts w:hint="eastAsia"/>
          <w:highlight w:val="none"/>
        </w:rPr>
        <w:t>主要技术要求及性能指标</w:t>
      </w:r>
      <w:r>
        <w:tab/>
      </w:r>
      <w:r>
        <w:fldChar w:fldCharType="begin"/>
      </w:r>
      <w:r>
        <w:instrText xml:space="preserve"> PAGEREF _Toc2998 \h </w:instrText>
      </w:r>
      <w:r>
        <w:fldChar w:fldCharType="separate"/>
      </w:r>
      <w:r>
        <w:t>- 10 -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_Toc29953 </w:instrText>
      </w:r>
      <w:r>
        <w:rPr>
          <w:caps w:val="0"/>
          <w:szCs w:val="24"/>
          <w:highlight w:val="none"/>
        </w:rPr>
        <w:fldChar w:fldCharType="separate"/>
      </w:r>
      <w:r>
        <w:rPr>
          <w:rFonts w:hint="eastAsia"/>
        </w:rPr>
        <w:t xml:space="preserve">3.3 </w:t>
      </w:r>
      <w:r>
        <w:rPr>
          <w:rFonts w:hint="eastAsia"/>
          <w:highlight w:val="none"/>
        </w:rPr>
        <w:t>实施要求</w:t>
      </w:r>
      <w:r>
        <w:tab/>
      </w:r>
      <w:r>
        <w:fldChar w:fldCharType="begin"/>
      </w:r>
      <w:r>
        <w:instrText xml:space="preserve"> PAGEREF _Toc29953 \h </w:instrText>
      </w:r>
      <w:r>
        <w:fldChar w:fldCharType="separate"/>
      </w:r>
      <w:r>
        <w:t>- 10 -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_Toc6507 </w:instrText>
      </w:r>
      <w:r>
        <w:rPr>
          <w:caps w:val="0"/>
          <w:szCs w:val="24"/>
          <w:highlight w:val="none"/>
        </w:rPr>
        <w:fldChar w:fldCharType="separate"/>
      </w:r>
      <w:r>
        <w:rPr>
          <w:rFonts w:hint="eastAsia"/>
          <w:lang w:val="sv-SE"/>
        </w:rPr>
        <w:t xml:space="preserve">4 </w:t>
      </w:r>
      <w:r>
        <w:rPr>
          <w:rFonts w:hint="eastAsia"/>
          <w:highlight w:val="none"/>
        </w:rPr>
        <w:t>测试及验收</w:t>
      </w:r>
      <w:r>
        <w:tab/>
      </w:r>
      <w:r>
        <w:fldChar w:fldCharType="begin"/>
      </w:r>
      <w:r>
        <w:instrText xml:space="preserve"> PAGEREF _Toc6507 \h </w:instrText>
      </w:r>
      <w:r>
        <w:fldChar w:fldCharType="separate"/>
      </w:r>
      <w:r>
        <w:t>- 10 -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_Toc11833 </w:instrText>
      </w:r>
      <w:r>
        <w:rPr>
          <w:caps w:val="0"/>
          <w:szCs w:val="24"/>
          <w:highlight w:val="none"/>
        </w:rPr>
        <w:fldChar w:fldCharType="separate"/>
      </w:r>
      <w:r>
        <w:rPr>
          <w:rFonts w:hint="eastAsia"/>
        </w:rPr>
        <w:t xml:space="preserve">4.1 </w:t>
      </w:r>
      <w:r>
        <w:rPr>
          <w:rFonts w:hint="eastAsia"/>
          <w:highlight w:val="none"/>
        </w:rPr>
        <w:t>概述</w:t>
      </w:r>
      <w:r>
        <w:tab/>
      </w:r>
      <w:r>
        <w:fldChar w:fldCharType="begin"/>
      </w:r>
      <w:r>
        <w:instrText xml:space="preserve"> PAGEREF _Toc11833 \h </w:instrText>
      </w:r>
      <w:r>
        <w:fldChar w:fldCharType="separate"/>
      </w:r>
      <w:r>
        <w:t>- 10 -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_Toc16604 </w:instrText>
      </w:r>
      <w:r>
        <w:rPr>
          <w:caps w:val="0"/>
          <w:szCs w:val="24"/>
          <w:highlight w:val="none"/>
        </w:rPr>
        <w:fldChar w:fldCharType="separate"/>
      </w:r>
      <w:r>
        <w:rPr>
          <w:rFonts w:hint="eastAsia"/>
        </w:rPr>
        <w:t xml:space="preserve">4.2 </w:t>
      </w:r>
      <w:r>
        <w:rPr>
          <w:rFonts w:hint="eastAsia"/>
          <w:highlight w:val="none"/>
        </w:rPr>
        <w:t>到货验收</w:t>
      </w:r>
      <w:r>
        <w:tab/>
      </w:r>
      <w:r>
        <w:fldChar w:fldCharType="begin"/>
      </w:r>
      <w:r>
        <w:instrText xml:space="preserve"> PAGEREF _Toc16604 \h </w:instrText>
      </w:r>
      <w:r>
        <w:fldChar w:fldCharType="separate"/>
      </w:r>
      <w:r>
        <w:t>- 11 -</w:t>
      </w:r>
      <w:r>
        <w:fldChar w:fldCharType="end"/>
      </w:r>
      <w:r>
        <w:rPr>
          <w:caps w:val="0"/>
          <w:szCs w:val="24"/>
          <w:highlight w:val="none"/>
        </w:rPr>
        <w:fldChar w:fldCharType="end"/>
      </w:r>
    </w:p>
    <w:p>
      <w:pPr>
        <w:pStyle w:val="27"/>
        <w:tabs>
          <w:tab w:val="right" w:leader="dot" w:pos="9298"/>
          <w:tab w:val="clear" w:pos="630"/>
          <w:tab w:val="clear" w:pos="9288"/>
        </w:tabs>
        <w:rPr>
          <w:sz w:val="30"/>
          <w:highlight w:val="none"/>
        </w:rPr>
        <w:sectPr>
          <w:headerReference r:id="rId11" w:type="default"/>
          <w:footerReference r:id="rId12" w:type="default"/>
          <w:pgSz w:w="11906" w:h="16838"/>
          <w:pgMar w:top="1701" w:right="1134" w:bottom="1418" w:left="1474" w:header="851" w:footer="964" w:gutter="0"/>
          <w:pgNumType w:fmt="numberInDash" w:start="1"/>
          <w:cols w:space="425" w:num="1"/>
          <w:docGrid w:type="lines" w:linePitch="312" w:charSpace="0"/>
        </w:sectPr>
      </w:pPr>
      <w:r>
        <w:rPr>
          <w:caps w:val="0"/>
          <w:szCs w:val="24"/>
          <w:highlight w:val="none"/>
        </w:rPr>
        <w:fldChar w:fldCharType="end"/>
      </w:r>
    </w:p>
    <w:p>
      <w:pPr>
        <w:pStyle w:val="3"/>
        <w:tabs>
          <w:tab w:val="left" w:pos="142"/>
          <w:tab w:val="clear" w:pos="432"/>
        </w:tabs>
        <w:spacing w:before="156" w:after="156" w:line="600" w:lineRule="exact"/>
        <w:ind w:left="142"/>
        <w:rPr>
          <w:highlight w:val="none"/>
        </w:rPr>
      </w:pPr>
      <w:bookmarkStart w:id="0" w:name="_Toc3857"/>
      <w:bookmarkStart w:id="1" w:name="_Toc15516"/>
      <w:bookmarkStart w:id="2" w:name="_Toc6793"/>
      <w:bookmarkStart w:id="3" w:name="_Ref191806497"/>
      <w:bookmarkStart w:id="4" w:name="_Toc124406412"/>
      <w:bookmarkStart w:id="5" w:name="_Toc523850196"/>
      <w:bookmarkStart w:id="6" w:name="_Toc411267585"/>
      <w:bookmarkStart w:id="7" w:name="_Toc407982391"/>
      <w:bookmarkStart w:id="8" w:name="_Toc407417356"/>
      <w:bookmarkStart w:id="9" w:name="_Toc411269790"/>
      <w:bookmarkStart w:id="10" w:name="_Toc407415869"/>
      <w:bookmarkStart w:id="11" w:name="_Toc407982392"/>
      <w:bookmarkStart w:id="12" w:name="_Toc407417357"/>
      <w:bookmarkStart w:id="13" w:name="_Toc407415870"/>
      <w:bookmarkStart w:id="14" w:name="_Toc411269791"/>
      <w:bookmarkStart w:id="15" w:name="_Toc411267586"/>
      <w:r>
        <w:rPr>
          <w:rFonts w:hint="eastAsia"/>
          <w:highlight w:val="none"/>
        </w:rPr>
        <w:t>总则</w:t>
      </w:r>
      <w:bookmarkEnd w:id="0"/>
      <w:bookmarkEnd w:id="1"/>
      <w:bookmarkEnd w:id="2"/>
      <w:bookmarkEnd w:id="3"/>
      <w:bookmarkEnd w:id="4"/>
      <w:bookmarkEnd w:id="5"/>
    </w:p>
    <w:p>
      <w:pPr>
        <w:pStyle w:val="4"/>
        <w:spacing w:before="156" w:after="156" w:line="600" w:lineRule="exact"/>
        <w:ind w:left="578" w:hanging="578"/>
        <w:rPr>
          <w:color w:val="auto"/>
          <w:highlight w:val="none"/>
        </w:rPr>
      </w:pPr>
      <w:bookmarkStart w:id="16" w:name="_Toc25438"/>
      <w:bookmarkStart w:id="17" w:name="_Toc32589"/>
      <w:bookmarkStart w:id="18" w:name="_Toc523850197"/>
      <w:bookmarkStart w:id="19" w:name="_Toc124406413"/>
      <w:bookmarkStart w:id="20" w:name="_Toc10091"/>
      <w:r>
        <w:rPr>
          <w:rFonts w:hint="eastAsia"/>
          <w:color w:val="auto"/>
          <w:highlight w:val="none"/>
        </w:rPr>
        <w:t>项目建设范围</w:t>
      </w:r>
      <w:bookmarkEnd w:id="16"/>
      <w:bookmarkEnd w:id="17"/>
      <w:bookmarkEnd w:id="18"/>
      <w:bookmarkEnd w:id="19"/>
      <w:bookmarkEnd w:id="20"/>
    </w:p>
    <w:p>
      <w:pPr>
        <w:pStyle w:val="90"/>
        <w:spacing w:line="360" w:lineRule="auto"/>
        <w:ind w:firstLine="482"/>
        <w:rPr>
          <w:rFonts w:hint="eastAsia"/>
          <w:color w:val="auto"/>
          <w:highlight w:val="none"/>
        </w:rPr>
      </w:pPr>
      <w:r>
        <w:rPr>
          <w:rFonts w:hint="eastAsia"/>
          <w:color w:val="auto"/>
          <w:highlight w:val="none"/>
        </w:rPr>
        <w:t>本</w:t>
      </w:r>
      <w:r>
        <w:rPr>
          <w:rFonts w:hint="eastAsia"/>
          <w:color w:val="auto"/>
          <w:highlight w:val="none"/>
          <w:lang w:val="en-US" w:eastAsia="zh-CN"/>
        </w:rPr>
        <w:t>技术规范书</w:t>
      </w:r>
      <w:r>
        <w:rPr>
          <w:rFonts w:hint="eastAsia"/>
          <w:color w:val="auto"/>
          <w:highlight w:val="none"/>
        </w:rPr>
        <w:t>招标范围</w:t>
      </w:r>
      <w:r>
        <w:rPr>
          <w:rFonts w:hint="eastAsia"/>
          <w:color w:val="auto"/>
          <w:highlight w:val="none"/>
          <w:lang w:val="en-US" w:eastAsia="zh-CN"/>
        </w:rPr>
        <w:t>为</w:t>
      </w:r>
      <w:r>
        <w:rPr>
          <w:rFonts w:hint="eastAsia"/>
          <w:color w:val="auto"/>
          <w:highlight w:val="none"/>
          <w:lang w:eastAsia="zh-CN"/>
        </w:rPr>
        <w:t>海南电力产业发展有限责任公司2026</w:t>
      </w:r>
      <w:r>
        <w:rPr>
          <w:rFonts w:hint="eastAsia"/>
          <w:color w:val="auto"/>
          <w:highlight w:val="none"/>
          <w:lang w:val="en-US" w:eastAsia="zh-CN"/>
        </w:rPr>
        <w:t>-2027</w:t>
      </w:r>
      <w:r>
        <w:rPr>
          <w:rFonts w:hint="eastAsia"/>
          <w:color w:val="auto"/>
          <w:highlight w:val="none"/>
          <w:lang w:eastAsia="zh-CN"/>
        </w:rPr>
        <w:t>年第</w:t>
      </w:r>
      <w:r>
        <w:rPr>
          <w:rFonts w:hint="eastAsia"/>
          <w:color w:val="auto"/>
          <w:highlight w:val="none"/>
          <w:lang w:val="en-US" w:eastAsia="zh-CN"/>
        </w:rPr>
        <w:t>一</w:t>
      </w:r>
      <w:r>
        <w:rPr>
          <w:rFonts w:hint="eastAsia"/>
          <w:color w:val="auto"/>
          <w:highlight w:val="none"/>
          <w:lang w:eastAsia="zh-CN"/>
        </w:rPr>
        <w:t>批通信自动化类辅材框架采购项目技术规范书</w:t>
      </w:r>
      <w:r>
        <w:rPr>
          <w:rFonts w:hint="eastAsia"/>
          <w:color w:val="auto"/>
          <w:highlight w:val="none"/>
        </w:rPr>
        <w:t>。</w:t>
      </w:r>
    </w:p>
    <w:p>
      <w:pPr>
        <w:pStyle w:val="90"/>
        <w:spacing w:line="360" w:lineRule="auto"/>
        <w:ind w:firstLine="482"/>
        <w:rPr>
          <w:rFonts w:hint="eastAsia"/>
          <w:color w:val="auto"/>
          <w:highlight w:val="none"/>
        </w:rPr>
      </w:pPr>
      <w:r>
        <w:rPr>
          <w:rFonts w:hint="eastAsia"/>
          <w:color w:val="auto"/>
          <w:highlight w:val="none"/>
          <w:lang w:eastAsia="zh-CN"/>
        </w:rPr>
        <w:t>采购</w:t>
      </w:r>
      <w:r>
        <w:rPr>
          <w:rFonts w:hint="eastAsia"/>
          <w:color w:val="auto"/>
          <w:highlight w:val="none"/>
        </w:rPr>
        <w:t>需求估算量如</w:t>
      </w:r>
      <w:r>
        <w:rPr>
          <w:rFonts w:hint="eastAsia"/>
          <w:color w:val="auto"/>
          <w:highlight w:val="none"/>
          <w:lang w:val="en-US" w:eastAsia="zh-CN"/>
        </w:rPr>
        <w:t>下表</w:t>
      </w:r>
      <w:r>
        <w:rPr>
          <w:rFonts w:hint="eastAsia"/>
          <w:color w:val="auto"/>
          <w:highlight w:val="none"/>
        </w:rPr>
        <w:t>所示。</w:t>
      </w:r>
    </w:p>
    <w:tbl>
      <w:tblPr>
        <w:tblStyle w:val="34"/>
        <w:tblpPr w:leftFromText="180" w:rightFromText="180" w:vertAnchor="text" w:horzAnchor="page" w:tblpX="1462" w:tblpY="438"/>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8"/>
        <w:gridCol w:w="3005"/>
        <w:gridCol w:w="4369"/>
        <w:gridCol w:w="756"/>
        <w:gridCol w:w="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bCs/>
                <w:sz w:val="18"/>
                <w:szCs w:val="18"/>
                <w:lang w:val="en-US" w:eastAsia="zh-CN"/>
              </w:rPr>
            </w:pPr>
            <w:r>
              <w:rPr>
                <w:rFonts w:hint="eastAsia" w:ascii="宋体" w:hAnsi="宋体" w:eastAsia="宋体" w:cs="宋体"/>
                <w:b/>
                <w:bCs/>
                <w:sz w:val="18"/>
                <w:szCs w:val="18"/>
                <w:lang w:val="en-US" w:eastAsia="zh-CN"/>
              </w:rPr>
              <w:t>序号</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bCs/>
                <w:sz w:val="18"/>
                <w:szCs w:val="18"/>
                <w:lang w:val="en-US" w:eastAsia="zh-CN"/>
              </w:rPr>
            </w:pPr>
            <w:r>
              <w:rPr>
                <w:rFonts w:hint="eastAsia" w:ascii="宋体" w:hAnsi="宋体" w:eastAsia="宋体" w:cs="宋体"/>
                <w:b/>
                <w:bCs/>
                <w:sz w:val="18"/>
                <w:szCs w:val="18"/>
                <w:lang w:val="en-US" w:eastAsia="zh-CN"/>
              </w:rPr>
              <w:t>名称</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bCs/>
                <w:sz w:val="18"/>
                <w:szCs w:val="18"/>
                <w:lang w:val="en-US" w:eastAsia="zh-CN"/>
              </w:rPr>
            </w:pPr>
            <w:r>
              <w:rPr>
                <w:rFonts w:hint="eastAsia" w:ascii="宋体" w:hAnsi="宋体" w:eastAsia="宋体" w:cs="宋体"/>
                <w:b/>
                <w:bCs/>
                <w:sz w:val="18"/>
                <w:szCs w:val="18"/>
                <w:lang w:val="en-US" w:eastAsia="zh-CN"/>
              </w:rPr>
              <w:t>规格</w:t>
            </w:r>
            <w:r>
              <w:rPr>
                <w:rFonts w:hint="eastAsia" w:ascii="宋体" w:hAnsi="宋体" w:cs="宋体"/>
                <w:b/>
                <w:bCs/>
                <w:sz w:val="18"/>
                <w:szCs w:val="18"/>
                <w:lang w:val="en-US" w:eastAsia="zh-CN"/>
              </w:rPr>
              <w:t>型号/技术</w:t>
            </w:r>
            <w:r>
              <w:rPr>
                <w:rFonts w:hint="eastAsia" w:ascii="宋体" w:hAnsi="宋体" w:eastAsia="宋体" w:cs="宋体"/>
                <w:b/>
                <w:bCs/>
                <w:sz w:val="18"/>
                <w:szCs w:val="18"/>
                <w:lang w:val="en-US" w:eastAsia="zh-CN"/>
              </w:rPr>
              <w:t>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bCs/>
                <w:sz w:val="18"/>
                <w:szCs w:val="18"/>
                <w:lang w:val="en-US" w:eastAsia="zh-CN"/>
              </w:rPr>
            </w:pPr>
            <w:r>
              <w:rPr>
                <w:rFonts w:hint="eastAsia" w:ascii="宋体" w:hAnsi="宋体" w:eastAsia="宋体" w:cs="宋体"/>
                <w:b/>
                <w:bCs/>
                <w:sz w:val="18"/>
                <w:szCs w:val="18"/>
                <w:lang w:val="en-US" w:eastAsia="zh-CN"/>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bCs/>
                <w:sz w:val="18"/>
                <w:szCs w:val="18"/>
                <w:lang w:val="en-US" w:eastAsia="zh-CN"/>
              </w:rPr>
            </w:pPr>
            <w:r>
              <w:rPr>
                <w:rFonts w:hint="eastAsia" w:ascii="宋体" w:hAnsi="宋体" w:eastAsia="宋体" w:cs="宋体"/>
                <w:b/>
                <w:bCs/>
                <w:sz w:val="18"/>
                <w:szCs w:val="18"/>
                <w:lang w:val="en-US" w:eastAsia="zh-CN"/>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highlight w:val="none"/>
                <w:lang w:val="en-US" w:eastAsia="zh-CN"/>
              </w:rPr>
            </w:pPr>
            <w:r>
              <w:rPr>
                <w:rFonts w:hint="eastAsia" w:ascii="宋体" w:hAnsi="宋体" w:eastAsia="宋体" w:cs="宋体"/>
                <w:i w:val="0"/>
                <w:iCs w:val="0"/>
                <w:color w:val="0F1115"/>
                <w:kern w:val="0"/>
                <w:sz w:val="22"/>
                <w:szCs w:val="22"/>
                <w:u w:val="none"/>
                <w:lang w:val="en-US" w:eastAsia="zh-CN" w:bidi="ar"/>
              </w:rPr>
              <w:t>手动倒伏装置加5米手动升降杆加避雷针</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ind w:left="0" w:leftChars="0" w:firstLine="0" w:firstLineChars="0"/>
              <w:jc w:val="left"/>
              <w:rPr>
                <w:rFonts w:hint="default" w:ascii="宋体" w:hAnsi="宋体" w:cs="宋体"/>
                <w:b w:val="0"/>
                <w:bCs w:val="0"/>
                <w:sz w:val="18"/>
                <w:szCs w:val="18"/>
                <w:highlight w:val="none"/>
                <w:lang w:val="en-US" w:eastAsia="zh-CN"/>
              </w:rPr>
            </w:pPr>
            <w:r>
              <w:rPr>
                <w:rFonts w:hint="eastAsia" w:ascii="宋体" w:hAnsi="宋体" w:eastAsia="宋体" w:cs="宋体"/>
                <w:i w:val="0"/>
                <w:iCs w:val="0"/>
                <w:color w:val="0F1115"/>
                <w:kern w:val="0"/>
                <w:sz w:val="22"/>
                <w:szCs w:val="22"/>
                <w:u w:val="none"/>
                <w:lang w:val="en-US" w:eastAsia="zh-CN" w:bidi="ar"/>
              </w:rPr>
              <w:t>1、由手动倒伏装置、多级升降桅杆、避雷针、1/2馈线系统、钢丝绳加固装置、接地系统、安装基础六部分组成，实现PDT天馈系统常态高位运行、应急手动降杆、90°水平倒伏。</w:t>
            </w:r>
            <w:r>
              <w:rPr>
                <w:rFonts w:hint="eastAsia" w:ascii="宋体" w:hAnsi="宋体" w:eastAsia="宋体" w:cs="宋体"/>
                <w:i w:val="0"/>
                <w:iCs w:val="0"/>
                <w:color w:val="0F1115"/>
                <w:kern w:val="0"/>
                <w:sz w:val="22"/>
                <w:szCs w:val="22"/>
                <w:u w:val="none"/>
                <w:lang w:val="en-US" w:eastAsia="zh-CN" w:bidi="ar"/>
              </w:rPr>
              <w:br w:type="textWrapping"/>
            </w:r>
            <w:r>
              <w:rPr>
                <w:rFonts w:hint="eastAsia" w:ascii="宋体" w:hAnsi="宋体" w:eastAsia="宋体" w:cs="宋体"/>
                <w:i w:val="0"/>
                <w:iCs w:val="0"/>
                <w:color w:val="0F1115"/>
                <w:kern w:val="0"/>
                <w:sz w:val="22"/>
                <w:szCs w:val="22"/>
                <w:u w:val="none"/>
                <w:lang w:val="en-US" w:eastAsia="zh-CN" w:bidi="ar"/>
              </w:rPr>
              <w:t>2、结构形式：手动倒伏+多级手动升降+避雷针一体化桅杆。</w:t>
            </w:r>
            <w:r>
              <w:rPr>
                <w:rFonts w:hint="eastAsia" w:ascii="宋体" w:hAnsi="宋体" w:eastAsia="宋体" w:cs="宋体"/>
                <w:i w:val="0"/>
                <w:iCs w:val="0"/>
                <w:color w:val="0F1115"/>
                <w:kern w:val="0"/>
                <w:sz w:val="22"/>
                <w:szCs w:val="22"/>
                <w:u w:val="none"/>
                <w:lang w:val="en-US" w:eastAsia="zh-CN" w:bidi="ar"/>
              </w:rPr>
              <w:br w:type="textWrapping"/>
            </w:r>
            <w:r>
              <w:rPr>
                <w:rFonts w:hint="eastAsia" w:ascii="宋体" w:hAnsi="宋体" w:eastAsia="宋体" w:cs="宋体"/>
                <w:i w:val="0"/>
                <w:iCs w:val="0"/>
                <w:color w:val="0F1115"/>
                <w:kern w:val="0"/>
                <w:sz w:val="22"/>
                <w:szCs w:val="22"/>
                <w:u w:val="none"/>
                <w:lang w:val="en-US" w:eastAsia="zh-CN" w:bidi="ar"/>
              </w:rPr>
              <w:t>3、总高度≥5m，整机配重：50-60kg</w:t>
            </w:r>
            <w:r>
              <w:rPr>
                <w:rFonts w:hint="eastAsia" w:ascii="宋体" w:hAnsi="宋体" w:eastAsia="宋体" w:cs="宋体"/>
                <w:i w:val="0"/>
                <w:iCs w:val="0"/>
                <w:color w:val="0F1115"/>
                <w:kern w:val="0"/>
                <w:sz w:val="22"/>
                <w:szCs w:val="22"/>
                <w:u w:val="none"/>
                <w:lang w:val="en-US" w:eastAsia="zh-CN" w:bidi="ar"/>
              </w:rPr>
              <w:br w:type="textWrapping"/>
            </w:r>
            <w:r>
              <w:rPr>
                <w:rFonts w:hint="eastAsia" w:ascii="宋体" w:hAnsi="宋体" w:eastAsia="宋体" w:cs="宋体"/>
                <w:i w:val="0"/>
                <w:iCs w:val="0"/>
                <w:color w:val="0F1115"/>
                <w:kern w:val="0"/>
                <w:sz w:val="22"/>
                <w:szCs w:val="22"/>
                <w:u w:val="none"/>
                <w:lang w:val="en-US" w:eastAsia="zh-CN" w:bidi="ar"/>
              </w:rPr>
              <w:t>4、馈线规格：1/2″专业馈线</w:t>
            </w:r>
            <w:r>
              <w:rPr>
                <w:rFonts w:hint="eastAsia" w:ascii="宋体" w:hAnsi="宋体" w:eastAsia="宋体" w:cs="宋体"/>
                <w:i w:val="0"/>
                <w:iCs w:val="0"/>
                <w:color w:val="0F1115"/>
                <w:kern w:val="0"/>
                <w:sz w:val="22"/>
                <w:szCs w:val="22"/>
                <w:u w:val="none"/>
                <w:lang w:val="en-US" w:eastAsia="zh-CN" w:bidi="ar"/>
              </w:rPr>
              <w:br w:type="textWrapping"/>
            </w:r>
            <w:r>
              <w:rPr>
                <w:rFonts w:hint="eastAsia" w:ascii="宋体" w:hAnsi="宋体" w:eastAsia="宋体" w:cs="宋体"/>
                <w:i w:val="0"/>
                <w:iCs w:val="0"/>
                <w:color w:val="0F1115"/>
                <w:kern w:val="0"/>
                <w:sz w:val="22"/>
                <w:szCs w:val="22"/>
                <w:u w:val="none"/>
                <w:lang w:val="en-US" w:eastAsia="zh-CN" w:bidi="ar"/>
              </w:rPr>
              <w:t>5、升降桅杆材质：304不锈钢，结构：多级套管嵌套伸缩，管径：108-60mm，单节长度：约1.25m（4节），壁厚≥3mm。</w:t>
            </w:r>
            <w:r>
              <w:rPr>
                <w:rFonts w:hint="eastAsia" w:ascii="宋体" w:hAnsi="宋体" w:eastAsia="宋体" w:cs="宋体"/>
                <w:i w:val="0"/>
                <w:iCs w:val="0"/>
                <w:color w:val="0F1115"/>
                <w:kern w:val="0"/>
                <w:sz w:val="22"/>
                <w:szCs w:val="22"/>
                <w:u w:val="none"/>
                <w:lang w:val="en-US" w:eastAsia="zh-CN" w:bidi="ar"/>
              </w:rPr>
              <w:br w:type="textWrapping"/>
            </w:r>
            <w:r>
              <w:rPr>
                <w:rFonts w:hint="eastAsia" w:ascii="宋体" w:hAnsi="宋体" w:eastAsia="宋体" w:cs="宋体"/>
                <w:i w:val="0"/>
                <w:iCs w:val="0"/>
                <w:color w:val="0F1115"/>
                <w:kern w:val="0"/>
                <w:sz w:val="22"/>
                <w:szCs w:val="22"/>
                <w:u w:val="none"/>
                <w:lang w:val="en-US" w:eastAsia="zh-CN" w:bidi="ar"/>
              </w:rPr>
              <w:t>6、倒伏装置材质：304不锈钢，底盘厚度≥10mm，连接板尺寸≥350mm×250mm，底法兰尺寸≥250mmX250mm，倒伏角度：90°（与地面平行），倒伏杆长≥2m。</w:t>
            </w:r>
            <w:r>
              <w:rPr>
                <w:rFonts w:hint="eastAsia" w:ascii="宋体" w:hAnsi="宋体" w:eastAsia="宋体" w:cs="宋体"/>
                <w:i w:val="0"/>
                <w:iCs w:val="0"/>
                <w:color w:val="0F1115"/>
                <w:kern w:val="0"/>
                <w:sz w:val="22"/>
                <w:szCs w:val="22"/>
                <w:u w:val="none"/>
                <w:lang w:val="en-US" w:eastAsia="zh-CN" w:bidi="ar"/>
              </w:rPr>
              <w:br w:type="textWrapping"/>
            </w:r>
            <w:r>
              <w:rPr>
                <w:rFonts w:hint="eastAsia" w:ascii="宋体" w:hAnsi="宋体" w:eastAsia="宋体" w:cs="宋体"/>
                <w:i w:val="0"/>
                <w:iCs w:val="0"/>
                <w:color w:val="0F1115"/>
                <w:kern w:val="0"/>
                <w:sz w:val="22"/>
                <w:szCs w:val="22"/>
                <w:u w:val="none"/>
                <w:lang w:val="en-US" w:eastAsia="zh-CN" w:bidi="ar"/>
              </w:rPr>
              <w:t>7、避雷针材质：玻璃钢，避雷针尺寸≥3米6。</w:t>
            </w:r>
            <w:r>
              <w:rPr>
                <w:rFonts w:hint="eastAsia" w:ascii="宋体" w:hAnsi="宋体" w:eastAsia="宋体" w:cs="宋体"/>
                <w:i w:val="0"/>
                <w:iCs w:val="0"/>
                <w:color w:val="0F1115"/>
                <w:kern w:val="0"/>
                <w:sz w:val="22"/>
                <w:szCs w:val="22"/>
                <w:u w:val="none"/>
                <w:lang w:val="en-US" w:eastAsia="zh-CN" w:bidi="ar"/>
              </w:rPr>
              <w:br w:type="textWrapping"/>
            </w:r>
            <w:r>
              <w:rPr>
                <w:rFonts w:hint="eastAsia" w:ascii="宋体" w:hAnsi="宋体" w:eastAsia="宋体" w:cs="宋体"/>
                <w:i w:val="0"/>
                <w:iCs w:val="0"/>
                <w:color w:val="0F1115"/>
                <w:kern w:val="0"/>
                <w:sz w:val="22"/>
                <w:szCs w:val="22"/>
                <w:u w:val="none"/>
                <w:lang w:val="en-US" w:eastAsia="zh-CN" w:bidi="ar"/>
              </w:rPr>
              <w:t>8、包含安装所必须的手摇把、地锚、风绳、特氟龙馈线跳线、不锈钢收线箱（尺寸≥500mm*500mm）等材料。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套</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default" w:ascii="宋体" w:hAnsi="宋体" w:eastAsia="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射频同轴电缆</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highlight w:val="none"/>
                <w:lang w:val="en-US" w:eastAsia="zh-CN"/>
              </w:rPr>
            </w:pPr>
            <w:r>
              <w:rPr>
                <w:rFonts w:hint="eastAsia" w:ascii="宋体" w:hAnsi="宋体" w:eastAsia="宋体" w:cs="宋体"/>
                <w:b w:val="0"/>
                <w:bCs w:val="0"/>
                <w:sz w:val="18"/>
                <w:szCs w:val="18"/>
                <w:highlight w:val="none"/>
                <w:lang w:val="en-US" w:eastAsia="zh-CN"/>
              </w:rPr>
              <w:t>HCAAYZ–50–12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3</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泰坦通信电源断相保护器</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XJ3-D</w:t>
            </w:r>
            <w:r>
              <w:rPr>
                <w:rFonts w:hint="eastAsia" w:ascii="宋体" w:hAnsi="宋体" w:cs="宋体"/>
                <w:b w:val="0"/>
                <w:bCs w:val="0"/>
                <w:sz w:val="18"/>
                <w:szCs w:val="18"/>
                <w:lang w:val="en-US" w:eastAsia="zh-CN"/>
              </w:rPr>
              <w:t>，适用于泰坦电源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套</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4</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圣阳蓄电池</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GFMJ-500AH</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5</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国网迈腾整流模块</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MT4820/T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6</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泰坦电源交流采样装置</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XSB-D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7</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直流电源线</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ZA-RVV-2*25mm2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8</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直流电源线</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ZA-RVV-2*16mm2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9</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直流电源线</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ZA-RVV-2*10mm2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10</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直流电源线</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ZA-RVV-2*6mm2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11</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直流电源线</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ZA-RVV-2*4mm2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12</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交流电源线</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ZA-RVV-3*4mm2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13</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交流电源线</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ZA-RVV-3*6mm2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14</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设备接地线(黄绿相间）</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ZA-BVR-1*25mm2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15</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设备接地线(黄绿相间）</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ZA-BVR-1*16mm2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16</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设备接地线(黄绿相间）</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ZA-BVR-1*10mm2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17</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抱杆</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spacing w:line="240" w:lineRule="auto"/>
              <w:ind w:left="0" w:leftChars="0" w:firstLine="0" w:firstLineChars="0"/>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1、L型，采用钢结构材质。</w:t>
            </w:r>
          </w:p>
          <w:p>
            <w:pPr>
              <w:pStyle w:val="17"/>
              <w:bidi w:val="0"/>
              <w:spacing w:line="240" w:lineRule="auto"/>
              <w:ind w:left="0" w:leftChars="0" w:firstLine="0" w:firstLineChars="0"/>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2、短距离部分末端增加四方形底座四角开孔（6mm螺丝）固定抱杆。</w:t>
            </w:r>
          </w:p>
          <w:p>
            <w:pPr>
              <w:pStyle w:val="17"/>
              <w:bidi w:val="0"/>
              <w:spacing w:line="240" w:lineRule="auto"/>
              <w:ind w:left="0" w:leftChars="0" w:firstLine="0" w:firstLineChars="0"/>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3、高度≥2米</w:t>
            </w:r>
          </w:p>
          <w:p>
            <w:pPr>
              <w:pStyle w:val="17"/>
              <w:bidi w:val="0"/>
              <w:spacing w:line="240" w:lineRule="auto"/>
              <w:ind w:left="0" w:leftChars="0" w:firstLine="0" w:firstLineChars="0"/>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 xml:space="preserve">4、钢管外径≥60mm </w:t>
            </w:r>
          </w:p>
          <w:p>
            <w:pPr>
              <w:pStyle w:val="17"/>
              <w:bidi w:val="0"/>
              <w:spacing w:line="240" w:lineRule="auto"/>
              <w:ind w:left="0" w:leftChars="0" w:firstLine="0" w:firstLineChars="0"/>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5、壁厚≥2mm~5mm</w:t>
            </w:r>
          </w:p>
          <w:p>
            <w:pPr>
              <w:pStyle w:val="17"/>
              <w:bidi w:val="0"/>
              <w:spacing w:line="240" w:lineRule="auto"/>
              <w:ind w:left="0" w:leftChars="0" w:firstLine="0" w:firstLineChars="0"/>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6、横向杆200-300mm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根</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18</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抱杆接地-热镀锌扁钢</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截面积不得小于40mm x4mm，6米/根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根</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19</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室外壁挂箱</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spacing w:line="240" w:lineRule="auto"/>
              <w:ind w:left="0" w:leftChars="0" w:firstLine="0" w:firstLineChars="0"/>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1、尺寸≥350(宽)×200(深)×450(高)mm</w:t>
            </w:r>
          </w:p>
          <w:p>
            <w:pPr>
              <w:pStyle w:val="17"/>
              <w:bidi w:val="0"/>
              <w:spacing w:line="240" w:lineRule="auto"/>
              <w:ind w:left="0" w:leftChars="0" w:firstLine="0" w:firstLineChars="0"/>
              <w:jc w:val="left"/>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2、内部组件接线完成，含交流空开×1（2P，AC-10A）、防雷浪涌保护器（2P单相模块40KA）、10A双插孔底座×1、小型断路器×2、端子排×4、网络信号防雷器（1P，通流容量3KA）×1、8芯ODF、接地配件等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台</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20</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室内壁挂箱</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i w:val="0"/>
                <w:iCs w:val="0"/>
                <w:color w:val="0F1115"/>
                <w:kern w:val="0"/>
                <w:sz w:val="22"/>
                <w:szCs w:val="22"/>
                <w:u w:val="none"/>
                <w:lang w:val="en-US" w:eastAsia="zh-CN" w:bidi="ar"/>
              </w:rPr>
              <w:t>1、尺寸≥600(宽)×600(深)×350(高)mm</w:t>
            </w:r>
            <w:r>
              <w:rPr>
                <w:rFonts w:hint="eastAsia" w:ascii="宋体" w:hAnsi="宋体" w:eastAsia="宋体" w:cs="宋体"/>
                <w:i w:val="0"/>
                <w:iCs w:val="0"/>
                <w:color w:val="0F1115"/>
                <w:kern w:val="0"/>
                <w:sz w:val="22"/>
                <w:szCs w:val="22"/>
                <w:u w:val="none"/>
                <w:lang w:val="en-US" w:eastAsia="zh-CN" w:bidi="ar"/>
              </w:rPr>
              <w:br w:type="textWrapping"/>
            </w:r>
            <w:r>
              <w:rPr>
                <w:rFonts w:hint="eastAsia" w:ascii="宋体" w:hAnsi="宋体" w:eastAsia="宋体" w:cs="宋体"/>
                <w:i w:val="0"/>
                <w:iCs w:val="0"/>
                <w:color w:val="0F1115"/>
                <w:kern w:val="0"/>
                <w:sz w:val="22"/>
                <w:szCs w:val="22"/>
                <w:u w:val="none"/>
                <w:lang w:val="en-US" w:eastAsia="zh-CN" w:bidi="ar"/>
              </w:rPr>
              <w:t>2、内部组件接线完成，含交流空开×1（2P，AC-10A）、10A三插孔底座×2、8芯ODF、接地配件等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台</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21</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直流空开</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1P，DC32A空开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22</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逆变器</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DC48V分别两组输入/AC220并联两组输出，容量≥3kVA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台</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23</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交流PDU插排</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ATS,10个输出（规格二三孔）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24</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光缆标识牌</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100个/套，320*680mm，双孔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套</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25</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适配器</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百兆款，带现款，标准POE电源适配(IEEE802.3at或802.3bt)典型</w:t>
            </w:r>
            <w:bookmarkStart w:id="132" w:name="_GoBack"/>
            <w:bookmarkEnd w:id="132"/>
            <w:r>
              <w:rPr>
                <w:rFonts w:hint="eastAsia" w:ascii="宋体" w:hAnsi="宋体" w:eastAsia="宋体" w:cs="宋体"/>
                <w:b w:val="0"/>
                <w:bCs w:val="0"/>
                <w:sz w:val="18"/>
                <w:szCs w:val="18"/>
                <w:lang w:val="en-US" w:eastAsia="zh-CN"/>
              </w:rPr>
              <w:t>电压48V或者50V，功耗25W</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26</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HDPE管</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阻燃 Φ25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27</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驱动气体瓶组</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QQP8/6.6-HT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28</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信号反馈装置</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QXF0.75/5.3-HT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29</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低泄高封阀</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QDG0.2/6.6-HT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30</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启动钢瓶架</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QPJ8-HT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瓶组</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31</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气体单向阀</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QQD6/6.6-HT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32</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安全阀</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QAX7.5-HT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33</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气控管路</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套</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34</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喷嘴</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QPT40-HT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35</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喷嘴装饰罩</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DN40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36</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选择阀</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QXZ65/5.3-HT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台</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37</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自动泄压装置</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QXZ50/5.3-HT</w:t>
            </w:r>
            <w:r>
              <w:rPr>
                <w:rFonts w:hint="eastAsia" w:ascii="宋体" w:hAnsi="宋体" w:eastAsia="宋体" w:cs="宋体"/>
                <w:b w:val="0"/>
                <w:bCs w:val="0"/>
                <w:sz w:val="18"/>
                <w:szCs w:val="18"/>
                <w:lang w:val="en-US" w:eastAsia="zh-CN"/>
              </w:rPr>
              <w:br w:type="textWrapping"/>
            </w:r>
            <w:r>
              <w:rPr>
                <w:rFonts w:hint="eastAsia" w:ascii="宋体" w:hAnsi="宋体" w:eastAsia="宋体" w:cs="宋体"/>
                <w:b w:val="0"/>
                <w:bCs w:val="0"/>
                <w:sz w:val="18"/>
                <w:szCs w:val="18"/>
                <w:lang w:val="en-US" w:eastAsia="zh-CN"/>
              </w:rPr>
              <w:t>XYK12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台</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38</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自动泄压装置</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XYK28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台</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39</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手提式二氧化碳灭火器</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MT/7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40</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手持式干粉灭火箱</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MF/ABC5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41</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推车式二氧化碳灭火器</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MT/30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42</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驱动气体瓶组</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QQP8/6.6-HT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43</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信号反馈装置</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QXF0.75/5.3-HT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44</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低泄高封阀</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QDG0.2/6.6-HT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45</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启动钢瓶架</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QPJ8-HT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瓶组</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46</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气体单向阀</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QQD6/6.6-HT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47</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安全阀</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QAX7.5-HT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48</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耐火电线</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ZBN-BYJ-2x2.5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49</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防火泥</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2kg/包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包</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50</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直流配电屏输入连接电缆</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ZA-YJV-4*25+1*16mm2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51</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交流配电屏输入电缆</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ZA-YJV-3*16mm2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52</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消防配电箱连接电缆</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NHB-YJV-5*16mm2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53</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空调连接电缆</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ZA-YJV-5*16mm2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54</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空调连接电缆</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ZA-YJV-5*4mm2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55</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机柜交流PDU连接电缆</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ZA-YJV-3*6mm2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56</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风机连接电缆</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NHB-YJYR-5*4mm2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57</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风机连接电缆</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NHB-YJYR-4*4mm2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58</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电力电缆</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ZAN-YJV22-2*4m㎡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59</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电力电缆</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ZAN-YJV22-2*6m㎡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60</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电力电缆</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ZAN-YJV22-2*10m㎡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61</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电力电缆</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ZAN-YJV22-2*16m㎡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62</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电力电缆</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ZAN-YJV22-2*25m㎡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63</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电力电缆</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ZAN-YJV22-1*95m㎡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64</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防水材料</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墙面、地面(含施工辅材等)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桶</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65</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漆料</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底漆、面漆(含飞粉、阴阳条等施工辅料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桶</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66</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镀锌线槽</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CT300*100含支吊架，护置，弯通，封头等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67</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镀锌线槽</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CT200*100含支吊架，护置，弯通，封头等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68</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镀锌线槽</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CT50*50含支吊架，护置，弯通，封头等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69</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梯形桥架</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CT600*200含支吊架，护置，弯通，封头等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70</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梯形桥架</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CT300*200含支吊架，护置，弯通，封头等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71</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梯形桥架</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CT300*100含支吊架，护置，弯通，封头等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72</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镀锌线管</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DN50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根</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73</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镀锌线管</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DN25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根</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74</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金属软管</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DN25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75</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镀锌三角支架</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L3标准 20*40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76</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镀锌三角支架</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L3标准 200*400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77</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热镀锌角钢</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50*50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78</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通杆螺丝</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M10/3米/条，含拉爆1200套(母+底座+防滑垫片+弹簧垫片)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条</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79</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镀锌角码90°角铁L型</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40*40*3，双孔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80</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铜鼻子</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DT-240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81</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铜鼻子</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DT-185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82</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铜鼻子</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83</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铜鼻子</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84</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铜鼻子</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DT-70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85</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铜鼻子</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86</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铜鼻子</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87</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铜鼻子</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88</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铜鼻子</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89</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PVC-U排水管</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DN50，含保温棉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90</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PVC-U排水管</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DN75，含保温棉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91</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PVC-U直接</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DN75，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92</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PVC-U正三通</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DN75，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93</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PVC-U 45度弯头</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DN75，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94</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PVC-U直接</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DN50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95</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PVC-U正三通</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DN50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96</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PVC-U 45度弯头</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DN50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97</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PVC管卡</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DN75，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98</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PVC管卡</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DN50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个</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99</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泡沫砖</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120*240*600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块</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100</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水泥</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50KG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包</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101</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中沙</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2.8吨一方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立方</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102</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801胶水</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50KG/包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包</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103</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砂浆王</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10KG/包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包</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104</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全孔铝合金扣板</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600*600*1.0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平方米</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105</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不锈钢挡鼠板</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1500mm宽*400mm高*25mm厚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张</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106</w:t>
            </w:r>
          </w:p>
        </w:tc>
        <w:tc>
          <w:tcPr>
            <w:tcW w:w="30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甲级钢质防火门</w:t>
            </w:r>
          </w:p>
        </w:tc>
        <w:tc>
          <w:tcPr>
            <w:tcW w:w="43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单开门，900*2000mm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樘</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7"/>
              <w:bidi w:val="0"/>
              <w:ind w:left="0" w:leftChars="0" w:firstLine="0" w:firstLineChars="0"/>
              <w:jc w:val="center"/>
              <w:rPr>
                <w:rFonts w:hint="eastAsia" w:ascii="宋体" w:hAnsi="宋体" w:eastAsia="宋体" w:cs="宋体"/>
                <w:b w:val="0"/>
                <w:bCs w:val="0"/>
                <w:sz w:val="18"/>
                <w:szCs w:val="18"/>
                <w:lang w:val="en-US" w:eastAsia="zh-CN"/>
              </w:rPr>
            </w:pPr>
            <w:r>
              <w:rPr>
                <w:rFonts w:hint="eastAsia" w:ascii="宋体" w:hAnsi="宋体" w:cs="宋体"/>
                <w:b w:val="0"/>
                <w:bCs w:val="0"/>
                <w:sz w:val="18"/>
                <w:szCs w:val="18"/>
                <w:lang w:val="en-US" w:eastAsia="zh-CN"/>
              </w:rPr>
              <w:t>1</w:t>
            </w:r>
          </w:p>
        </w:tc>
      </w:tr>
    </w:tbl>
    <w:p>
      <w:pPr>
        <w:pStyle w:val="88"/>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jc w:val="center"/>
        <w:textAlignment w:val="auto"/>
        <w:outlineLvl w:val="2"/>
        <w:rPr>
          <w:rStyle w:val="91"/>
          <w:rFonts w:hint="eastAsia" w:ascii="宋体" w:hAnsi="宋体" w:eastAsia="宋体" w:cs="宋体"/>
          <w:sz w:val="21"/>
          <w:szCs w:val="21"/>
        </w:rPr>
      </w:pPr>
      <w:bookmarkStart w:id="21" w:name="_Toc12700"/>
    </w:p>
    <w:p>
      <w:pPr>
        <w:pStyle w:val="88"/>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jc w:val="center"/>
        <w:textAlignment w:val="auto"/>
        <w:outlineLvl w:val="2"/>
        <w:rPr>
          <w:rStyle w:val="91"/>
          <w:rFonts w:hint="eastAsia" w:ascii="宋体" w:hAnsi="宋体" w:eastAsia="宋体" w:cs="宋体"/>
          <w:sz w:val="21"/>
          <w:szCs w:val="21"/>
        </w:rPr>
      </w:pPr>
    </w:p>
    <w:bookmarkEnd w:id="21"/>
    <w:p>
      <w:pPr>
        <w:pStyle w:val="4"/>
        <w:spacing w:before="156" w:after="156" w:line="600" w:lineRule="exact"/>
        <w:ind w:left="578" w:hanging="578"/>
        <w:rPr>
          <w:rFonts w:hint="eastAsia"/>
          <w:color w:val="auto"/>
          <w:highlight w:val="none"/>
        </w:rPr>
      </w:pPr>
      <w:bookmarkStart w:id="22" w:name="_Toc523850198"/>
      <w:bookmarkStart w:id="23" w:name="_Toc18337"/>
      <w:bookmarkStart w:id="24" w:name="_Toc3485"/>
      <w:bookmarkStart w:id="25" w:name="_Toc14021"/>
      <w:bookmarkStart w:id="26" w:name="_Toc124406414"/>
      <w:r>
        <w:rPr>
          <w:rFonts w:hint="eastAsia"/>
          <w:color w:val="auto"/>
          <w:highlight w:val="none"/>
          <w:lang w:val="en-US" w:eastAsia="zh-CN"/>
        </w:rPr>
        <w:t>进度</w:t>
      </w:r>
      <w:r>
        <w:rPr>
          <w:rFonts w:hint="eastAsia"/>
          <w:color w:val="auto"/>
          <w:highlight w:val="none"/>
        </w:rPr>
        <w:t>保证</w:t>
      </w:r>
      <w:bookmarkEnd w:id="22"/>
      <w:bookmarkEnd w:id="23"/>
      <w:bookmarkEnd w:id="24"/>
      <w:bookmarkEnd w:id="25"/>
      <w:bookmarkEnd w:id="26"/>
    </w:p>
    <w:p>
      <w:pPr>
        <w:spacing w:line="600" w:lineRule="exact"/>
        <w:ind w:firstLine="480"/>
        <w:rPr>
          <w:highlight w:val="none"/>
        </w:rPr>
      </w:pPr>
      <w:r>
        <w:rPr>
          <w:rFonts w:hint="eastAsia"/>
          <w:highlight w:val="none"/>
        </w:rPr>
        <w:t>技术规范书中标注为</w:t>
      </w:r>
      <w:r>
        <w:rPr>
          <w:rFonts w:hint="eastAsia" w:ascii="宋体" w:hAnsi="宋体" w:cs="宋体"/>
          <w:kern w:val="0"/>
          <w:highlight w:val="none"/>
        </w:rPr>
        <w:t>★的条款或参数，投标方必须满足。</w:t>
      </w:r>
    </w:p>
    <w:p>
      <w:pPr>
        <w:pStyle w:val="90"/>
        <w:spacing w:line="600" w:lineRule="exact"/>
        <w:rPr>
          <w:rFonts w:hint="default"/>
          <w:color w:val="auto"/>
          <w:highlight w:val="none"/>
          <w:lang w:val="en-US" w:eastAsia="zh-CN"/>
        </w:rPr>
      </w:pPr>
      <w:r>
        <w:rPr>
          <w:rFonts w:hint="eastAsia" w:ascii="宋体" w:hAnsi="宋体" w:cs="宋体"/>
          <w:kern w:val="0"/>
          <w:highlight w:val="none"/>
        </w:rPr>
        <w:t>★</w:t>
      </w:r>
      <w:r>
        <w:rPr>
          <w:rFonts w:hint="eastAsia"/>
          <w:color w:val="auto"/>
          <w:highlight w:val="none"/>
          <w:lang w:val="en-US" w:eastAsia="zh-CN"/>
        </w:rPr>
        <w:t>为了保证抢修物资配送的时效性，</w:t>
      </w:r>
      <w:r>
        <w:rPr>
          <w:rFonts w:hint="eastAsia"/>
          <w:color w:val="auto"/>
          <w:highlight w:val="none"/>
        </w:rPr>
        <w:t>投标方</w:t>
      </w:r>
      <w:r>
        <w:rPr>
          <w:rFonts w:hint="eastAsia"/>
          <w:color w:val="auto"/>
          <w:highlight w:val="none"/>
          <w:lang w:val="en-US" w:eastAsia="zh-CN"/>
        </w:rPr>
        <w:t>单位在海口设立相应仓库存放物资（提供仓库租赁等证明）</w:t>
      </w:r>
      <w:r>
        <w:rPr>
          <w:rFonts w:hint="eastAsia"/>
          <w:color w:val="auto"/>
          <w:highlight w:val="none"/>
        </w:rPr>
        <w:t>。</w:t>
      </w:r>
    </w:p>
    <w:p>
      <w:pPr>
        <w:pStyle w:val="90"/>
        <w:spacing w:line="600" w:lineRule="exact"/>
        <w:rPr>
          <w:rFonts w:hint="eastAsia"/>
          <w:color w:val="auto"/>
          <w:highlight w:val="none"/>
        </w:rPr>
      </w:pPr>
      <w:r>
        <w:rPr>
          <w:rFonts w:hint="eastAsia" w:ascii="宋体" w:hAnsi="宋体" w:cs="宋体"/>
          <w:kern w:val="0"/>
          <w:highlight w:val="none"/>
        </w:rPr>
        <w:t>★</w:t>
      </w:r>
      <w:r>
        <w:rPr>
          <w:rFonts w:hint="eastAsia"/>
          <w:color w:val="auto"/>
          <w:highlight w:val="none"/>
        </w:rPr>
        <w:t>在签订合同后</w:t>
      </w:r>
      <w:r>
        <w:rPr>
          <w:rFonts w:hint="eastAsia"/>
          <w:color w:val="auto"/>
          <w:highlight w:val="none"/>
          <w:lang w:eastAsia="zh-CN"/>
        </w:rPr>
        <w:t>，</w:t>
      </w:r>
      <w:r>
        <w:rPr>
          <w:rFonts w:hint="eastAsia"/>
          <w:color w:val="auto"/>
          <w:highlight w:val="none"/>
          <w:lang w:val="en-US" w:eastAsia="zh-CN"/>
        </w:rPr>
        <w:t>根据招标方首次备货要求，7个工作日内按照不低于合同20%金额进行备货 ，备货后由招标方进行确认，确保关键物资满足24小时</w:t>
      </w:r>
      <w:r>
        <w:rPr>
          <w:rFonts w:hint="eastAsia"/>
          <w:color w:val="auto"/>
          <w:highlight w:val="none"/>
        </w:rPr>
        <w:t>内到货</w:t>
      </w:r>
      <w:r>
        <w:rPr>
          <w:rFonts w:hint="eastAsia"/>
          <w:color w:val="auto"/>
          <w:highlight w:val="none"/>
          <w:lang w:val="en-US" w:eastAsia="zh-CN"/>
        </w:rPr>
        <w:t>要求</w:t>
      </w:r>
      <w:r>
        <w:rPr>
          <w:rFonts w:hint="eastAsia"/>
          <w:color w:val="auto"/>
          <w:highlight w:val="none"/>
        </w:rPr>
        <w:t>（</w:t>
      </w:r>
      <w:r>
        <w:rPr>
          <w:rFonts w:hint="eastAsia"/>
          <w:color w:val="auto"/>
          <w:highlight w:val="none"/>
          <w:lang w:val="en-US" w:eastAsia="zh-CN"/>
        </w:rPr>
        <w:t>含</w:t>
      </w:r>
      <w:r>
        <w:rPr>
          <w:rFonts w:hint="eastAsia" w:ascii="宋体" w:hAnsi="宋体" w:cs="宋体"/>
          <w:color w:val="auto"/>
          <w:highlight w:val="none"/>
        </w:rPr>
        <w:t>节假日</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其他物资</w:t>
      </w:r>
      <w:r>
        <w:rPr>
          <w:rFonts w:hint="eastAsia"/>
          <w:color w:val="auto"/>
          <w:highlight w:val="none"/>
          <w:lang w:eastAsia="zh-CN"/>
        </w:rPr>
        <w:t>7个工作日内完成供货。</w:t>
      </w:r>
    </w:p>
    <w:p>
      <w:pPr>
        <w:pStyle w:val="90"/>
        <w:spacing w:line="600" w:lineRule="exact"/>
        <w:rPr>
          <w:rFonts w:hint="default"/>
          <w:color w:val="auto"/>
          <w:highlight w:val="none"/>
          <w:lang w:val="en-US" w:eastAsia="zh-CN"/>
        </w:rPr>
      </w:pPr>
      <w:r>
        <w:rPr>
          <w:rFonts w:hint="eastAsia" w:ascii="宋体" w:hAnsi="宋体" w:cs="宋体"/>
          <w:kern w:val="0"/>
          <w:highlight w:val="none"/>
        </w:rPr>
        <w:t>★</w:t>
      </w:r>
      <w:r>
        <w:rPr>
          <w:rFonts w:hint="eastAsia" w:ascii="宋体" w:hAnsi="宋体" w:cs="宋体"/>
          <w:kern w:val="0"/>
          <w:highlight w:val="none"/>
          <w:lang w:val="en-US" w:eastAsia="zh-CN"/>
        </w:rPr>
        <w:t>为确保供货交付到招标方所需的工程现场，</w:t>
      </w:r>
      <w:r>
        <w:rPr>
          <w:rFonts w:hint="eastAsia"/>
          <w:color w:val="auto"/>
          <w:highlight w:val="none"/>
        </w:rPr>
        <w:t>投标方</w:t>
      </w:r>
      <w:r>
        <w:rPr>
          <w:rFonts w:hint="eastAsia"/>
          <w:color w:val="auto"/>
          <w:highlight w:val="none"/>
          <w:lang w:val="en-US" w:eastAsia="zh-CN"/>
        </w:rPr>
        <w:t>需提供免费运输服务及卸货服务。</w:t>
      </w:r>
    </w:p>
    <w:p>
      <w:pPr>
        <w:pStyle w:val="4"/>
        <w:spacing w:before="156" w:after="156" w:line="600" w:lineRule="exact"/>
        <w:ind w:left="578" w:hanging="578"/>
        <w:rPr>
          <w:color w:val="auto"/>
          <w:highlight w:val="none"/>
        </w:rPr>
      </w:pPr>
      <w:bookmarkStart w:id="27" w:name="_Toc23994"/>
      <w:bookmarkStart w:id="28" w:name="_Toc3405"/>
      <w:bookmarkStart w:id="29" w:name="_Toc124406416"/>
      <w:bookmarkStart w:id="30" w:name="_Toc19290"/>
      <w:bookmarkStart w:id="31" w:name="_Toc523850200"/>
      <w:r>
        <w:rPr>
          <w:rFonts w:hint="eastAsia"/>
          <w:color w:val="auto"/>
          <w:highlight w:val="none"/>
        </w:rPr>
        <w:t>系统适用标准</w:t>
      </w:r>
      <w:bookmarkEnd w:id="27"/>
      <w:bookmarkEnd w:id="28"/>
      <w:bookmarkEnd w:id="29"/>
      <w:bookmarkEnd w:id="30"/>
      <w:bookmarkEnd w:id="31"/>
    </w:p>
    <w:p>
      <w:pPr>
        <w:pStyle w:val="90"/>
        <w:spacing w:line="600" w:lineRule="exact"/>
        <w:rPr>
          <w:highlight w:val="none"/>
        </w:rPr>
      </w:pPr>
      <w:r>
        <w:rPr>
          <w:rFonts w:hint="eastAsia"/>
          <w:highlight w:val="none"/>
        </w:rPr>
        <w:t>除本招标文件另有说明外，投标方提供的所有产品均应按照国际标准、国家标准进行设计、制造、检验和安装。所用的标准必须是最新版本，如果这些标准的内容有矛盾时，应按照最高标准的条款执行或按双方协商同意的标准或条款执行。</w:t>
      </w:r>
    </w:p>
    <w:p>
      <w:pPr>
        <w:pStyle w:val="3"/>
        <w:tabs>
          <w:tab w:val="left" w:pos="0"/>
          <w:tab w:val="clear" w:pos="432"/>
        </w:tabs>
        <w:spacing w:before="156" w:after="156" w:line="600" w:lineRule="exact"/>
        <w:ind w:left="433" w:hanging="433" w:hangingChars="154"/>
        <w:rPr>
          <w:highlight w:val="none"/>
        </w:rPr>
      </w:pPr>
      <w:bookmarkStart w:id="32" w:name="_Toc427380950"/>
      <w:bookmarkStart w:id="33" w:name="_Toc124406418"/>
      <w:bookmarkStart w:id="34" w:name="_Toc10711"/>
      <w:bookmarkStart w:id="35" w:name="_Toc32487"/>
      <w:bookmarkStart w:id="36" w:name="_Toc427568145"/>
      <w:bookmarkStart w:id="37" w:name="_Toc24478"/>
      <w:bookmarkStart w:id="38" w:name="_Toc523850201"/>
      <w:bookmarkStart w:id="39" w:name="_Toc518408400"/>
      <w:r>
        <w:rPr>
          <w:rFonts w:hint="eastAsia"/>
          <w:highlight w:val="none"/>
        </w:rPr>
        <w:t>对投标方的要求及其工作范围</w:t>
      </w:r>
      <w:bookmarkEnd w:id="6"/>
      <w:bookmarkEnd w:id="7"/>
      <w:bookmarkEnd w:id="8"/>
      <w:bookmarkEnd w:id="9"/>
      <w:bookmarkEnd w:id="10"/>
      <w:bookmarkEnd w:id="32"/>
      <w:bookmarkEnd w:id="33"/>
      <w:bookmarkEnd w:id="34"/>
      <w:bookmarkEnd w:id="35"/>
      <w:bookmarkEnd w:id="36"/>
      <w:bookmarkEnd w:id="37"/>
      <w:bookmarkEnd w:id="38"/>
      <w:bookmarkEnd w:id="39"/>
    </w:p>
    <w:bookmarkEnd w:id="11"/>
    <w:bookmarkEnd w:id="12"/>
    <w:bookmarkEnd w:id="13"/>
    <w:bookmarkEnd w:id="14"/>
    <w:bookmarkEnd w:id="15"/>
    <w:p>
      <w:pPr>
        <w:pStyle w:val="4"/>
        <w:spacing w:before="156" w:after="156" w:line="600" w:lineRule="exact"/>
        <w:ind w:left="578" w:hanging="578"/>
        <w:rPr>
          <w:color w:val="auto"/>
          <w:highlight w:val="none"/>
        </w:rPr>
      </w:pPr>
      <w:bookmarkStart w:id="40" w:name="_Toc27633"/>
      <w:bookmarkStart w:id="41" w:name="_Toc18579"/>
      <w:bookmarkStart w:id="42" w:name="_Toc523850202"/>
      <w:bookmarkStart w:id="43" w:name="_Toc6421"/>
      <w:r>
        <w:rPr>
          <w:rFonts w:hint="eastAsia"/>
          <w:color w:val="auto"/>
          <w:highlight w:val="none"/>
        </w:rPr>
        <w:t>对投标方的技术要求</w:t>
      </w:r>
      <w:bookmarkEnd w:id="40"/>
      <w:bookmarkEnd w:id="41"/>
      <w:bookmarkEnd w:id="42"/>
      <w:bookmarkEnd w:id="43"/>
    </w:p>
    <w:p>
      <w:pPr>
        <w:pStyle w:val="88"/>
        <w:numPr>
          <w:ilvl w:val="0"/>
          <w:numId w:val="4"/>
        </w:numPr>
        <w:spacing w:line="600" w:lineRule="exact"/>
        <w:ind w:left="0" w:firstLine="426"/>
        <w:rPr>
          <w:highlight w:val="none"/>
        </w:rPr>
      </w:pPr>
      <w:r>
        <w:rPr>
          <w:rFonts w:hint="eastAsia"/>
          <w:highlight w:val="none"/>
        </w:rPr>
        <w:t>所提供的产品必须在国内运行的良好记录。</w:t>
      </w:r>
    </w:p>
    <w:p>
      <w:pPr>
        <w:pStyle w:val="88"/>
        <w:numPr>
          <w:ilvl w:val="0"/>
          <w:numId w:val="4"/>
        </w:numPr>
        <w:spacing w:line="600" w:lineRule="exact"/>
        <w:ind w:left="0" w:firstLine="426"/>
        <w:rPr>
          <w:highlight w:val="none"/>
        </w:rPr>
      </w:pPr>
      <w:r>
        <w:rPr>
          <w:rFonts w:hint="eastAsia"/>
          <w:highlight w:val="none"/>
        </w:rPr>
        <w:t>技术规范书中在引用某标准的地方</w:t>
      </w:r>
      <w:r>
        <w:rPr>
          <w:highlight w:val="none"/>
        </w:rPr>
        <w:t>，</w:t>
      </w:r>
      <w:r>
        <w:rPr>
          <w:rFonts w:hint="eastAsia"/>
          <w:highlight w:val="none"/>
        </w:rPr>
        <w:t>投标方应当使用合同生效的、最新的引用标准文本，不能用另外标准代替</w:t>
      </w:r>
      <w:r>
        <w:rPr>
          <w:highlight w:val="none"/>
        </w:rPr>
        <w:t>，</w:t>
      </w:r>
      <w:r>
        <w:rPr>
          <w:rFonts w:hint="eastAsia"/>
          <w:highlight w:val="none"/>
        </w:rPr>
        <w:t>除非从招标方那里获得许可的标准代替。如果引用某不合适的标准或者未引用某合适的标准</w:t>
      </w:r>
      <w:r>
        <w:rPr>
          <w:highlight w:val="none"/>
        </w:rPr>
        <w:t>，</w:t>
      </w:r>
      <w:r>
        <w:rPr>
          <w:rFonts w:hint="eastAsia"/>
          <w:highlight w:val="none"/>
        </w:rPr>
        <w:t>或者不能得到所需要的标准</w:t>
      </w:r>
      <w:r>
        <w:rPr>
          <w:highlight w:val="none"/>
        </w:rPr>
        <w:t>，</w:t>
      </w:r>
      <w:r>
        <w:rPr>
          <w:rFonts w:hint="eastAsia"/>
          <w:highlight w:val="none"/>
        </w:rPr>
        <w:t>投标方可选择某合适的标准</w:t>
      </w:r>
      <w:r>
        <w:rPr>
          <w:highlight w:val="none"/>
        </w:rPr>
        <w:t>，</w:t>
      </w:r>
      <w:r>
        <w:rPr>
          <w:rFonts w:hint="eastAsia"/>
          <w:highlight w:val="none"/>
        </w:rPr>
        <w:t>并且在制造商着手进行工作前需得到招标方的许可。</w:t>
      </w:r>
    </w:p>
    <w:p>
      <w:pPr>
        <w:pStyle w:val="88"/>
        <w:numPr>
          <w:ilvl w:val="0"/>
          <w:numId w:val="4"/>
        </w:numPr>
        <w:spacing w:line="600" w:lineRule="exact"/>
        <w:ind w:left="0" w:firstLine="426"/>
        <w:rPr>
          <w:highlight w:val="none"/>
        </w:rPr>
      </w:pPr>
      <w:r>
        <w:rPr>
          <w:rFonts w:hint="eastAsia"/>
          <w:highlight w:val="none"/>
        </w:rPr>
        <w:t>招标方与投标方在解释某标准有不同意见时</w:t>
      </w:r>
      <w:r>
        <w:rPr>
          <w:highlight w:val="none"/>
        </w:rPr>
        <w:t>，</w:t>
      </w:r>
      <w:r>
        <w:rPr>
          <w:rFonts w:hint="eastAsia"/>
          <w:highlight w:val="none"/>
        </w:rPr>
        <w:t>招标方的解释是最终的解释。</w:t>
      </w:r>
    </w:p>
    <w:p>
      <w:pPr>
        <w:pStyle w:val="88"/>
        <w:numPr>
          <w:ilvl w:val="0"/>
          <w:numId w:val="4"/>
        </w:numPr>
        <w:spacing w:line="600" w:lineRule="exact"/>
        <w:ind w:left="0" w:firstLine="426"/>
        <w:rPr>
          <w:highlight w:val="none"/>
        </w:rPr>
      </w:pPr>
      <w:r>
        <w:rPr>
          <w:rFonts w:hint="eastAsia"/>
          <w:highlight w:val="none"/>
        </w:rPr>
        <w:t>本技术规范书可以作为投标方编制投标文件的依据</w:t>
      </w:r>
      <w:r>
        <w:rPr>
          <w:highlight w:val="none"/>
        </w:rPr>
        <w:t>，</w:t>
      </w:r>
      <w:r>
        <w:rPr>
          <w:rFonts w:hint="eastAsia"/>
          <w:highlight w:val="none"/>
        </w:rPr>
        <w:t>对于本技术规范书的某些部分</w:t>
      </w:r>
      <w:r>
        <w:rPr>
          <w:highlight w:val="none"/>
        </w:rPr>
        <w:t>，</w:t>
      </w:r>
      <w:r>
        <w:rPr>
          <w:rFonts w:hint="eastAsia"/>
          <w:highlight w:val="none"/>
        </w:rPr>
        <w:t>投标方如不能满足要求</w:t>
      </w:r>
      <w:r>
        <w:rPr>
          <w:highlight w:val="none"/>
        </w:rPr>
        <w:t>，</w:t>
      </w:r>
      <w:r>
        <w:rPr>
          <w:rFonts w:hint="eastAsia"/>
          <w:highlight w:val="none"/>
        </w:rPr>
        <w:t>应在投标文件中提出说明</w:t>
      </w:r>
      <w:r>
        <w:rPr>
          <w:highlight w:val="none"/>
        </w:rPr>
        <w:t>，</w:t>
      </w:r>
      <w:r>
        <w:rPr>
          <w:rFonts w:hint="eastAsia"/>
          <w:highlight w:val="none"/>
        </w:rPr>
        <w:t>否则，招标方即认为投标方提供的产品可以满足本技术规范书的要求。</w:t>
      </w:r>
    </w:p>
    <w:p>
      <w:pPr>
        <w:pStyle w:val="88"/>
        <w:numPr>
          <w:ilvl w:val="0"/>
          <w:numId w:val="4"/>
        </w:numPr>
        <w:spacing w:line="600" w:lineRule="exact"/>
        <w:ind w:left="0" w:firstLine="426"/>
        <w:rPr>
          <w:highlight w:val="none"/>
        </w:rPr>
      </w:pPr>
      <w:r>
        <w:rPr>
          <w:rFonts w:hint="eastAsia"/>
          <w:highlight w:val="none"/>
        </w:rPr>
        <w:t>投标方应确保其所供产品组成系统的完整性</w:t>
      </w:r>
      <w:r>
        <w:rPr>
          <w:highlight w:val="none"/>
        </w:rPr>
        <w:t>，</w:t>
      </w:r>
      <w:r>
        <w:rPr>
          <w:rFonts w:hint="eastAsia"/>
          <w:highlight w:val="none"/>
        </w:rPr>
        <w:t>合同文件遗漏的一切事项</w:t>
      </w:r>
      <w:r>
        <w:rPr>
          <w:highlight w:val="none"/>
        </w:rPr>
        <w:t>，</w:t>
      </w:r>
      <w:r>
        <w:rPr>
          <w:rFonts w:hint="eastAsia"/>
          <w:highlight w:val="none"/>
        </w:rPr>
        <w:t>只要这些事项可以确定为是保证投标方所供系统安全、稳定、可靠的有效地投产所必需的，都应该被认为包括在合同价格之内。</w:t>
      </w:r>
    </w:p>
    <w:p>
      <w:pPr>
        <w:pStyle w:val="88"/>
        <w:numPr>
          <w:ilvl w:val="0"/>
          <w:numId w:val="4"/>
        </w:numPr>
        <w:spacing w:line="600" w:lineRule="exact"/>
        <w:ind w:left="0" w:firstLine="426"/>
        <w:rPr>
          <w:highlight w:val="none"/>
        </w:rPr>
      </w:pPr>
      <w:r>
        <w:rPr>
          <w:rFonts w:hint="eastAsia"/>
          <w:highlight w:val="none"/>
        </w:rPr>
        <w:t>投标方可以对本标书提出修改意见供招标方参考</w:t>
      </w:r>
      <w:r>
        <w:rPr>
          <w:highlight w:val="none"/>
        </w:rPr>
        <w:t>，</w:t>
      </w:r>
      <w:r>
        <w:rPr>
          <w:rFonts w:hint="eastAsia"/>
          <w:highlight w:val="none"/>
        </w:rPr>
        <w:t>因需要招标方有权对本技术规范书进行修改和补充。</w:t>
      </w:r>
    </w:p>
    <w:p>
      <w:pPr>
        <w:pStyle w:val="88"/>
        <w:numPr>
          <w:ilvl w:val="0"/>
          <w:numId w:val="4"/>
        </w:numPr>
        <w:spacing w:line="600" w:lineRule="exact"/>
        <w:ind w:left="0" w:firstLine="426"/>
        <w:rPr>
          <w:highlight w:val="none"/>
        </w:rPr>
      </w:pPr>
      <w:r>
        <w:rPr>
          <w:rFonts w:hint="eastAsia"/>
          <w:highlight w:val="none"/>
        </w:rPr>
        <w:t>投标方必须推荐先进、稳定、可靠的产品。</w:t>
      </w:r>
    </w:p>
    <w:p>
      <w:pPr>
        <w:pStyle w:val="4"/>
        <w:spacing w:before="156" w:after="156" w:line="600" w:lineRule="exact"/>
        <w:ind w:left="578" w:hanging="578"/>
        <w:rPr>
          <w:color w:val="auto"/>
          <w:highlight w:val="none"/>
        </w:rPr>
      </w:pPr>
      <w:bookmarkStart w:id="44" w:name="_Toc19514"/>
      <w:bookmarkStart w:id="45" w:name="_Toc18500"/>
      <w:bookmarkStart w:id="46" w:name="_Toc523850203"/>
      <w:bookmarkStart w:id="47" w:name="_Toc17906"/>
      <w:r>
        <w:rPr>
          <w:rFonts w:hint="eastAsia"/>
          <w:color w:val="auto"/>
          <w:highlight w:val="none"/>
        </w:rPr>
        <w:t>投标方的工作范围</w:t>
      </w:r>
      <w:bookmarkEnd w:id="44"/>
      <w:bookmarkEnd w:id="45"/>
      <w:bookmarkEnd w:id="46"/>
      <w:bookmarkEnd w:id="47"/>
    </w:p>
    <w:p>
      <w:pPr>
        <w:pStyle w:val="88"/>
        <w:numPr>
          <w:ilvl w:val="0"/>
          <w:numId w:val="5"/>
        </w:numPr>
        <w:spacing w:line="600" w:lineRule="exact"/>
        <w:ind w:left="0" w:firstLine="425"/>
        <w:rPr>
          <w:highlight w:val="none"/>
        </w:rPr>
      </w:pPr>
      <w:r>
        <w:rPr>
          <w:rFonts w:hint="eastAsia"/>
          <w:highlight w:val="none"/>
        </w:rPr>
        <w:t>投标方负责所供产品的运货、提货、交货，运送到招标方指定地点，并保证产品质量。</w:t>
      </w:r>
    </w:p>
    <w:p>
      <w:pPr>
        <w:pStyle w:val="88"/>
        <w:numPr>
          <w:ilvl w:val="0"/>
          <w:numId w:val="5"/>
        </w:numPr>
        <w:spacing w:line="600" w:lineRule="exact"/>
        <w:ind w:left="0" w:firstLine="425"/>
        <w:rPr>
          <w:highlight w:val="none"/>
        </w:rPr>
      </w:pPr>
      <w:r>
        <w:rPr>
          <w:rFonts w:hint="eastAsia"/>
          <w:highlight w:val="none"/>
        </w:rPr>
        <w:t>交货地点要求：按招标方指定的地点交货。</w:t>
      </w:r>
    </w:p>
    <w:p>
      <w:pPr>
        <w:pStyle w:val="88"/>
        <w:numPr>
          <w:ilvl w:val="0"/>
          <w:numId w:val="5"/>
        </w:numPr>
        <w:spacing w:line="600" w:lineRule="exact"/>
        <w:ind w:left="0" w:firstLine="425"/>
        <w:rPr>
          <w:highlight w:val="none"/>
        </w:rPr>
      </w:pPr>
      <w:r>
        <w:rPr>
          <w:rFonts w:hint="eastAsia"/>
          <w:highlight w:val="none"/>
        </w:rPr>
        <w:t>如果因为投标方生产能力不足、产品或其他存在技术问题而延误供货期，投标方应负责由此产生的一切后果，并进行经济赔偿。</w:t>
      </w:r>
    </w:p>
    <w:p>
      <w:pPr>
        <w:pStyle w:val="88"/>
        <w:numPr>
          <w:ilvl w:val="0"/>
          <w:numId w:val="5"/>
        </w:numPr>
        <w:spacing w:line="600" w:lineRule="exact"/>
        <w:ind w:left="0" w:firstLine="425"/>
        <w:rPr>
          <w:highlight w:val="none"/>
        </w:rPr>
      </w:pPr>
      <w:r>
        <w:rPr>
          <w:rFonts w:hint="eastAsia"/>
          <w:highlight w:val="none"/>
        </w:rPr>
        <w:t>投标方所提供的产品均满足投标文件中应答的技术指标。</w:t>
      </w:r>
    </w:p>
    <w:p>
      <w:pPr>
        <w:pStyle w:val="4"/>
        <w:tabs>
          <w:tab w:val="left" w:pos="0"/>
          <w:tab w:val="clear" w:pos="576"/>
        </w:tabs>
        <w:spacing w:beforeLines="0" w:afterLines="0" w:line="600" w:lineRule="exact"/>
        <w:ind w:left="0"/>
        <w:rPr>
          <w:color w:val="auto"/>
          <w:highlight w:val="none"/>
        </w:rPr>
      </w:pPr>
      <w:bookmarkStart w:id="48" w:name="_Toc16188"/>
      <w:bookmarkStart w:id="49" w:name="_Toc427568148"/>
      <w:bookmarkStart w:id="50" w:name="_Toc427380953"/>
      <w:bookmarkStart w:id="51" w:name="_Toc411269793"/>
      <w:bookmarkStart w:id="52" w:name="_Toc523850205"/>
      <w:bookmarkStart w:id="53" w:name="_Toc32096"/>
      <w:bookmarkStart w:id="54" w:name="_Toc518408403"/>
      <w:bookmarkStart w:id="55" w:name="_Toc407982394"/>
      <w:bookmarkStart w:id="56" w:name="_Toc407417359"/>
      <w:bookmarkStart w:id="57" w:name="_Toc411267588"/>
      <w:bookmarkStart w:id="58" w:name="_Toc22344"/>
      <w:bookmarkStart w:id="59" w:name="_Toc240049345"/>
      <w:bookmarkStart w:id="60" w:name="_Toc124406421"/>
      <w:bookmarkStart w:id="61" w:name="_Toc407415872"/>
      <w:bookmarkStart w:id="62" w:name="_Toc407982395"/>
      <w:bookmarkStart w:id="63" w:name="_Toc407415873"/>
      <w:bookmarkStart w:id="64" w:name="_Toc407417360"/>
      <w:r>
        <w:rPr>
          <w:rFonts w:hint="eastAsia"/>
          <w:color w:val="auto"/>
          <w:highlight w:val="none"/>
        </w:rPr>
        <w:t>产品报价范围</w:t>
      </w:r>
      <w:bookmarkEnd w:id="48"/>
      <w:bookmarkEnd w:id="49"/>
      <w:bookmarkEnd w:id="50"/>
      <w:bookmarkEnd w:id="51"/>
      <w:bookmarkEnd w:id="52"/>
      <w:bookmarkEnd w:id="53"/>
      <w:bookmarkEnd w:id="54"/>
      <w:bookmarkEnd w:id="55"/>
      <w:bookmarkEnd w:id="56"/>
      <w:bookmarkEnd w:id="57"/>
      <w:bookmarkEnd w:id="58"/>
      <w:bookmarkEnd w:id="59"/>
      <w:bookmarkEnd w:id="60"/>
      <w:bookmarkEnd w:id="61"/>
    </w:p>
    <w:p>
      <w:pPr>
        <w:pStyle w:val="90"/>
        <w:keepNext w:val="0"/>
        <w:keepLines w:val="0"/>
        <w:pageBreakBefore w:val="0"/>
        <w:widowControl w:val="0"/>
        <w:kinsoku/>
        <w:wordWrap/>
        <w:overflowPunct/>
        <w:topLinePunct w:val="0"/>
        <w:autoSpaceDE/>
        <w:autoSpaceDN/>
        <w:bidi w:val="0"/>
        <w:adjustRightInd w:val="0"/>
        <w:snapToGrid w:val="0"/>
        <w:spacing w:line="600" w:lineRule="exact"/>
        <w:textAlignment w:val="auto"/>
        <w:rPr>
          <w:highlight w:val="none"/>
        </w:rPr>
      </w:pPr>
      <w:r>
        <w:rPr>
          <w:rFonts w:hint="eastAsia"/>
          <w:highlight w:val="none"/>
        </w:rPr>
        <w:t>投标方报价中必须包括所供设备运达指定地点的运输费、卸车费</w:t>
      </w:r>
      <w:r>
        <w:rPr>
          <w:rFonts w:hint="eastAsia"/>
          <w:highlight w:val="none"/>
          <w:lang w:val="en-US" w:eastAsia="zh-CN"/>
        </w:rPr>
        <w:t>等。</w:t>
      </w:r>
    </w:p>
    <w:bookmarkEnd w:id="62"/>
    <w:bookmarkEnd w:id="63"/>
    <w:bookmarkEnd w:id="64"/>
    <w:p>
      <w:pPr>
        <w:pStyle w:val="4"/>
        <w:tabs>
          <w:tab w:val="left" w:pos="0"/>
          <w:tab w:val="left" w:pos="756"/>
          <w:tab w:val="clear" w:pos="576"/>
        </w:tabs>
        <w:spacing w:beforeLines="0" w:afterLines="0" w:line="600" w:lineRule="exact"/>
        <w:ind w:left="0"/>
        <w:rPr>
          <w:color w:val="auto"/>
          <w:highlight w:val="none"/>
        </w:rPr>
      </w:pPr>
      <w:bookmarkStart w:id="65" w:name="_Toc124406423"/>
      <w:bookmarkStart w:id="66" w:name="_Toc11454"/>
      <w:bookmarkStart w:id="67" w:name="_Toc523850206"/>
      <w:bookmarkStart w:id="68" w:name="_Toc20478"/>
      <w:bookmarkStart w:id="69" w:name="_Toc261789486"/>
      <w:bookmarkStart w:id="70" w:name="_Toc349634215"/>
      <w:bookmarkStart w:id="71" w:name="_Toc3740"/>
      <w:bookmarkStart w:id="72" w:name="_Toc243912812"/>
      <w:bookmarkStart w:id="73" w:name="_Toc261789821"/>
      <w:bookmarkStart w:id="74" w:name="_Toc124406433"/>
      <w:r>
        <w:rPr>
          <w:rFonts w:hint="eastAsia"/>
          <w:color w:val="auto"/>
          <w:highlight w:val="none"/>
        </w:rPr>
        <w:t>技术服务</w:t>
      </w:r>
      <w:bookmarkEnd w:id="65"/>
      <w:bookmarkEnd w:id="66"/>
      <w:bookmarkEnd w:id="67"/>
      <w:bookmarkEnd w:id="68"/>
      <w:bookmarkEnd w:id="69"/>
      <w:bookmarkEnd w:id="70"/>
      <w:bookmarkEnd w:id="71"/>
      <w:bookmarkEnd w:id="72"/>
      <w:bookmarkEnd w:id="73"/>
    </w:p>
    <w:p>
      <w:pPr>
        <w:pStyle w:val="88"/>
        <w:numPr>
          <w:ilvl w:val="0"/>
          <w:numId w:val="0"/>
        </w:numPr>
        <w:spacing w:line="600" w:lineRule="exact"/>
        <w:rPr>
          <w:rFonts w:hint="eastAsia"/>
          <w:b/>
          <w:bCs/>
          <w:color w:val="auto"/>
          <w:highlight w:val="none"/>
          <w:u w:val="none"/>
          <w:lang w:val="en-US" w:eastAsia="zh-CN"/>
        </w:rPr>
      </w:pPr>
      <w:bookmarkStart w:id="75" w:name="_Toc261789822"/>
      <w:bookmarkStart w:id="76" w:name="_Toc124406424"/>
      <w:bookmarkStart w:id="77" w:name="_Toc518408406"/>
      <w:bookmarkStart w:id="78" w:name="_Toc243912813"/>
      <w:bookmarkStart w:id="79" w:name="_Toc523850207"/>
      <w:bookmarkStart w:id="80" w:name="_Toc261789487"/>
      <w:bookmarkStart w:id="81" w:name="_Toc427568154"/>
      <w:bookmarkStart w:id="82" w:name="_Toc349634216"/>
      <w:bookmarkStart w:id="83" w:name="_Toc427380959"/>
      <w:bookmarkStart w:id="84" w:name="_Toc1783"/>
      <w:bookmarkStart w:id="85" w:name="_Toc32116"/>
      <w:bookmarkStart w:id="86" w:name="_Toc411267590"/>
      <w:bookmarkStart w:id="87" w:name="_Toc411269795"/>
      <w:r>
        <w:rPr>
          <w:rFonts w:hint="eastAsia"/>
          <w:b/>
          <w:bCs/>
          <w:color w:val="auto"/>
          <w:highlight w:val="none"/>
          <w:u w:val="none"/>
          <w:lang w:val="en-US" w:eastAsia="zh-CN"/>
        </w:rPr>
        <w:t>2.4.1 技术服务内容</w:t>
      </w:r>
      <w:bookmarkEnd w:id="75"/>
      <w:bookmarkEnd w:id="76"/>
      <w:bookmarkEnd w:id="77"/>
      <w:bookmarkEnd w:id="78"/>
      <w:bookmarkEnd w:id="79"/>
      <w:bookmarkEnd w:id="80"/>
      <w:bookmarkEnd w:id="81"/>
      <w:bookmarkEnd w:id="82"/>
      <w:bookmarkEnd w:id="83"/>
      <w:bookmarkEnd w:id="84"/>
      <w:bookmarkEnd w:id="85"/>
      <w:bookmarkEnd w:id="86"/>
      <w:bookmarkEnd w:id="87"/>
    </w:p>
    <w:p>
      <w:pPr>
        <w:pStyle w:val="88"/>
        <w:numPr>
          <w:ilvl w:val="0"/>
          <w:numId w:val="0"/>
        </w:numPr>
        <w:spacing w:line="600" w:lineRule="exact"/>
        <w:ind w:left="426" w:leftChars="0"/>
        <w:rPr>
          <w:rFonts w:hint="eastAsia"/>
          <w:color w:val="auto"/>
          <w:highlight w:val="none"/>
          <w:u w:val="none"/>
        </w:rPr>
      </w:pPr>
      <w:r>
        <w:rPr>
          <w:rFonts w:hint="eastAsia"/>
          <w:color w:val="auto"/>
          <w:highlight w:val="none"/>
          <w:u w:val="none"/>
        </w:rPr>
        <w:t>要求投标方至少为本</w:t>
      </w:r>
      <w:r>
        <w:rPr>
          <w:rFonts w:hint="eastAsia"/>
          <w:color w:val="auto"/>
          <w:highlight w:val="none"/>
          <w:u w:val="none"/>
          <w:lang w:val="en-US" w:eastAsia="zh-CN"/>
        </w:rPr>
        <w:t>项目</w:t>
      </w:r>
      <w:r>
        <w:rPr>
          <w:rFonts w:hint="eastAsia"/>
          <w:color w:val="auto"/>
          <w:highlight w:val="none"/>
          <w:u w:val="none"/>
        </w:rPr>
        <w:t>提供以下技术服务：</w:t>
      </w:r>
    </w:p>
    <w:p>
      <w:pPr>
        <w:pStyle w:val="88"/>
        <w:numPr>
          <w:ilvl w:val="0"/>
          <w:numId w:val="6"/>
        </w:numPr>
        <w:spacing w:line="600" w:lineRule="exact"/>
        <w:ind w:left="0" w:firstLine="426"/>
        <w:rPr>
          <w:rFonts w:hint="eastAsia"/>
          <w:color w:val="auto"/>
          <w:highlight w:val="none"/>
          <w:u w:val="none"/>
        </w:rPr>
      </w:pPr>
      <w:bookmarkStart w:id="88" w:name="_Toc17471"/>
      <w:bookmarkStart w:id="89" w:name="_Toc411267591"/>
      <w:bookmarkStart w:id="90" w:name="_Toc523850208"/>
      <w:bookmarkStart w:id="91" w:name="_Toc411269796"/>
      <w:bookmarkStart w:id="92" w:name="_Toc243912814"/>
      <w:bookmarkStart w:id="93" w:name="_Toc124406425"/>
      <w:bookmarkStart w:id="94" w:name="_Toc518408407"/>
      <w:bookmarkStart w:id="95" w:name="_Toc6331"/>
      <w:bookmarkStart w:id="96" w:name="_Toc261789488"/>
      <w:bookmarkStart w:id="97" w:name="_Toc427568155"/>
      <w:bookmarkStart w:id="98" w:name="_Toc261789823"/>
      <w:bookmarkStart w:id="99" w:name="_Toc427380960"/>
      <w:bookmarkStart w:id="100" w:name="_Toc349634217"/>
      <w:r>
        <w:rPr>
          <w:rFonts w:hint="eastAsia"/>
          <w:color w:val="auto"/>
          <w:highlight w:val="none"/>
          <w:u w:val="none"/>
        </w:rPr>
        <w:t>产品供货及</w:t>
      </w:r>
      <w:r>
        <w:rPr>
          <w:rFonts w:hint="eastAsia"/>
          <w:color w:val="auto"/>
          <w:highlight w:val="none"/>
          <w:u w:val="none"/>
          <w:lang w:val="en-US" w:eastAsia="zh-CN"/>
        </w:rPr>
        <w:t>配送</w:t>
      </w:r>
      <w:r>
        <w:rPr>
          <w:rFonts w:hint="eastAsia"/>
          <w:color w:val="auto"/>
          <w:highlight w:val="none"/>
          <w:u w:val="none"/>
        </w:rPr>
        <w:t>。</w:t>
      </w:r>
    </w:p>
    <w:p>
      <w:pPr>
        <w:pStyle w:val="88"/>
        <w:numPr>
          <w:ilvl w:val="0"/>
          <w:numId w:val="6"/>
        </w:numPr>
        <w:spacing w:line="600" w:lineRule="exact"/>
        <w:ind w:left="0" w:firstLine="426"/>
        <w:rPr>
          <w:rFonts w:hint="eastAsia"/>
          <w:color w:val="auto"/>
          <w:highlight w:val="none"/>
          <w:u w:val="none"/>
        </w:rPr>
      </w:pPr>
      <w:r>
        <w:rPr>
          <w:rFonts w:hint="eastAsia"/>
          <w:color w:val="auto"/>
          <w:highlight w:val="none"/>
          <w:u w:val="none"/>
        </w:rPr>
        <w:t>保修和维护。</w:t>
      </w:r>
    </w:p>
    <w:p>
      <w:pPr>
        <w:pStyle w:val="88"/>
        <w:numPr>
          <w:ilvl w:val="0"/>
          <w:numId w:val="0"/>
        </w:numPr>
        <w:spacing w:line="600" w:lineRule="exact"/>
        <w:rPr>
          <w:rFonts w:hint="eastAsia"/>
          <w:b/>
          <w:bCs/>
          <w:color w:val="auto"/>
          <w:highlight w:val="none"/>
          <w:u w:val="none"/>
          <w:lang w:val="en-US" w:eastAsia="zh-CN"/>
        </w:rPr>
      </w:pPr>
      <w:r>
        <w:rPr>
          <w:rFonts w:hint="eastAsia"/>
          <w:b/>
          <w:bCs/>
          <w:color w:val="auto"/>
          <w:highlight w:val="none"/>
          <w:u w:val="none"/>
          <w:lang w:val="en-US" w:eastAsia="zh-CN"/>
        </w:rPr>
        <w:t>2.4.2 技术服务要求</w:t>
      </w:r>
      <w:bookmarkEnd w:id="88"/>
      <w:bookmarkEnd w:id="89"/>
      <w:bookmarkEnd w:id="90"/>
      <w:bookmarkEnd w:id="91"/>
      <w:bookmarkEnd w:id="92"/>
      <w:bookmarkEnd w:id="93"/>
      <w:bookmarkEnd w:id="94"/>
      <w:bookmarkEnd w:id="95"/>
      <w:bookmarkEnd w:id="96"/>
      <w:bookmarkEnd w:id="97"/>
      <w:bookmarkEnd w:id="98"/>
      <w:bookmarkEnd w:id="99"/>
      <w:bookmarkEnd w:id="100"/>
    </w:p>
    <w:p>
      <w:pPr>
        <w:pStyle w:val="6"/>
        <w:numPr>
          <w:ilvl w:val="3"/>
          <w:numId w:val="0"/>
        </w:numPr>
        <w:tabs>
          <w:tab w:val="clear" w:pos="864"/>
        </w:tabs>
        <w:spacing w:line="600" w:lineRule="exact"/>
        <w:ind w:firstLine="482" w:firstLineChars="200"/>
        <w:rPr>
          <w:rFonts w:hint="eastAsia" w:ascii="Times New Roman" w:hAnsi="Times New Roman" w:eastAsia="宋体" w:cs="Times New Roman"/>
          <w:b/>
          <w:bCs/>
          <w:kern w:val="2"/>
          <w:sz w:val="24"/>
          <w:szCs w:val="24"/>
          <w:highlight w:val="none"/>
          <w:lang w:val="en-US" w:eastAsia="zh-CN" w:bidi="ar-SA"/>
        </w:rPr>
      </w:pPr>
      <w:bookmarkStart w:id="101" w:name="_Toc518408408"/>
      <w:bookmarkStart w:id="102" w:name="_Ref191806434"/>
      <w:bookmarkStart w:id="103" w:name="_Ref191806438"/>
      <w:bookmarkStart w:id="104" w:name="_Ref191806390"/>
      <w:bookmarkStart w:id="105" w:name="_Ref191806485"/>
      <w:bookmarkStart w:id="106" w:name="_Toc124406426"/>
      <w:bookmarkStart w:id="107" w:name="_Ref191806386"/>
      <w:bookmarkStart w:id="108" w:name="_Ref191806455"/>
      <w:bookmarkStart w:id="109" w:name="_Ref191806505"/>
      <w:bookmarkStart w:id="110" w:name="_Ref191806475"/>
      <w:r>
        <w:rPr>
          <w:rFonts w:hint="eastAsia" w:ascii="Times New Roman" w:hAnsi="Times New Roman" w:eastAsia="宋体" w:cs="Times New Roman"/>
          <w:b/>
          <w:bCs/>
          <w:kern w:val="2"/>
          <w:sz w:val="24"/>
          <w:szCs w:val="24"/>
          <w:highlight w:val="none"/>
          <w:lang w:val="en-US" w:eastAsia="zh-CN" w:bidi="ar-SA"/>
        </w:rPr>
        <w:t>2.4.2.1产品供货</w:t>
      </w:r>
      <w:bookmarkEnd w:id="101"/>
      <w:r>
        <w:rPr>
          <w:rFonts w:hint="eastAsia" w:ascii="Times New Roman" w:hAnsi="Times New Roman" w:eastAsia="宋体" w:cs="Times New Roman"/>
          <w:b/>
          <w:bCs/>
          <w:kern w:val="2"/>
          <w:sz w:val="24"/>
          <w:szCs w:val="24"/>
          <w:highlight w:val="none"/>
          <w:lang w:val="en-US" w:eastAsia="zh-CN" w:bidi="ar-SA"/>
        </w:rPr>
        <w:t>及施工配合</w:t>
      </w:r>
      <w:bookmarkEnd w:id="102"/>
      <w:bookmarkEnd w:id="103"/>
      <w:bookmarkEnd w:id="104"/>
      <w:bookmarkEnd w:id="105"/>
      <w:bookmarkEnd w:id="106"/>
      <w:bookmarkEnd w:id="107"/>
      <w:bookmarkEnd w:id="108"/>
      <w:bookmarkEnd w:id="109"/>
      <w:bookmarkEnd w:id="110"/>
      <w:r>
        <w:rPr>
          <w:rFonts w:hint="eastAsia" w:ascii="Times New Roman" w:hAnsi="Times New Roman" w:eastAsia="宋体" w:cs="Times New Roman"/>
          <w:b/>
          <w:bCs/>
          <w:kern w:val="2"/>
          <w:sz w:val="24"/>
          <w:szCs w:val="24"/>
          <w:highlight w:val="none"/>
          <w:lang w:val="en-US" w:eastAsia="zh-CN" w:bidi="ar-SA"/>
        </w:rPr>
        <w:t>要求</w:t>
      </w:r>
    </w:p>
    <w:p>
      <w:pPr>
        <w:pStyle w:val="88"/>
        <w:numPr>
          <w:ilvl w:val="0"/>
          <w:numId w:val="7"/>
        </w:numPr>
        <w:spacing w:line="600" w:lineRule="exact"/>
        <w:ind w:left="0" w:firstLine="426"/>
        <w:rPr>
          <w:rFonts w:hint="eastAsia"/>
          <w:highlight w:val="none"/>
        </w:rPr>
      </w:pPr>
      <w:r>
        <w:rPr>
          <w:rFonts w:hint="eastAsia"/>
          <w:highlight w:val="none"/>
        </w:rPr>
        <w:t>投标方提供产品均为合同限定的公司和国家所制造。</w:t>
      </w:r>
    </w:p>
    <w:p>
      <w:pPr>
        <w:pStyle w:val="88"/>
        <w:numPr>
          <w:ilvl w:val="0"/>
          <w:numId w:val="7"/>
        </w:numPr>
        <w:spacing w:line="600" w:lineRule="exact"/>
        <w:ind w:left="0" w:firstLine="426"/>
        <w:rPr>
          <w:highlight w:val="none"/>
        </w:rPr>
      </w:pPr>
      <w:r>
        <w:rPr>
          <w:rFonts w:hint="eastAsia"/>
          <w:highlight w:val="none"/>
        </w:rPr>
        <w:t>除招标方另作规定，</w:t>
      </w:r>
      <w:r>
        <w:rPr>
          <w:rFonts w:hint="eastAsia"/>
          <w:highlight w:val="none"/>
          <w:lang w:val="en-US" w:eastAsia="zh-CN"/>
        </w:rPr>
        <w:t>有必要时</w:t>
      </w:r>
      <w:r>
        <w:rPr>
          <w:rFonts w:hint="eastAsia"/>
          <w:highlight w:val="none"/>
        </w:rPr>
        <w:t>投标方</w:t>
      </w:r>
      <w:r>
        <w:rPr>
          <w:rFonts w:hint="eastAsia"/>
          <w:highlight w:val="none"/>
          <w:lang w:val="en-US" w:eastAsia="zh-CN"/>
        </w:rPr>
        <w:t>需前往</w:t>
      </w:r>
      <w:r>
        <w:rPr>
          <w:rFonts w:hint="eastAsia"/>
          <w:highlight w:val="none"/>
        </w:rPr>
        <w:t>实地</w:t>
      </w:r>
      <w:r>
        <w:rPr>
          <w:rFonts w:hint="eastAsia"/>
          <w:highlight w:val="none"/>
          <w:lang w:val="en-US" w:eastAsia="zh-CN"/>
        </w:rPr>
        <w:t>配合开展工作</w:t>
      </w:r>
      <w:r>
        <w:rPr>
          <w:rFonts w:hint="eastAsia"/>
          <w:highlight w:val="none"/>
        </w:rPr>
        <w:t>。</w:t>
      </w:r>
    </w:p>
    <w:p>
      <w:pPr>
        <w:pStyle w:val="88"/>
        <w:numPr>
          <w:ilvl w:val="0"/>
          <w:numId w:val="7"/>
        </w:numPr>
        <w:spacing w:line="600" w:lineRule="exact"/>
        <w:ind w:left="0" w:firstLine="426"/>
        <w:rPr>
          <w:highlight w:val="none"/>
        </w:rPr>
      </w:pPr>
      <w:r>
        <w:rPr>
          <w:rFonts w:hint="eastAsia"/>
          <w:highlight w:val="none"/>
        </w:rPr>
        <w:t>如果因为投标方产品或软件存在技术问题而延误供货期，投标方应负责由此产生的一切后果，并进行经济赔偿。</w:t>
      </w:r>
    </w:p>
    <w:p>
      <w:pPr>
        <w:pStyle w:val="6"/>
        <w:numPr>
          <w:ilvl w:val="3"/>
          <w:numId w:val="0"/>
        </w:numPr>
        <w:tabs>
          <w:tab w:val="clear" w:pos="864"/>
        </w:tabs>
        <w:spacing w:line="600" w:lineRule="exact"/>
        <w:ind w:firstLine="482" w:firstLineChars="200"/>
        <w:rPr>
          <w:rFonts w:hint="eastAsia" w:ascii="Times New Roman" w:hAnsi="Times New Roman" w:eastAsia="宋体" w:cs="Times New Roman"/>
          <w:b/>
          <w:bCs/>
          <w:kern w:val="2"/>
          <w:sz w:val="24"/>
          <w:szCs w:val="24"/>
          <w:highlight w:val="none"/>
          <w:lang w:val="en-US" w:eastAsia="zh-CN" w:bidi="ar-SA"/>
        </w:rPr>
      </w:pPr>
      <w:bookmarkStart w:id="111" w:name="_Toc516297795"/>
      <w:bookmarkStart w:id="112" w:name="_Toc124406430"/>
      <w:bookmarkStart w:id="113" w:name="_Toc518408413"/>
      <w:r>
        <w:rPr>
          <w:rFonts w:hint="eastAsia" w:ascii="Times New Roman" w:hAnsi="Times New Roman" w:eastAsia="宋体" w:cs="Times New Roman"/>
          <w:b/>
          <w:bCs/>
          <w:kern w:val="2"/>
          <w:sz w:val="24"/>
          <w:szCs w:val="24"/>
          <w:highlight w:val="none"/>
          <w:lang w:val="en-US" w:eastAsia="zh-CN" w:bidi="ar-SA"/>
        </w:rPr>
        <w:t>2.4.2.2产品维护</w:t>
      </w:r>
      <w:bookmarkEnd w:id="111"/>
      <w:bookmarkEnd w:id="112"/>
      <w:bookmarkEnd w:id="113"/>
      <w:r>
        <w:rPr>
          <w:rFonts w:hint="eastAsia" w:ascii="Times New Roman" w:hAnsi="Times New Roman" w:eastAsia="宋体" w:cs="Times New Roman"/>
          <w:b/>
          <w:bCs/>
          <w:kern w:val="2"/>
          <w:sz w:val="24"/>
          <w:szCs w:val="24"/>
          <w:highlight w:val="none"/>
          <w:lang w:val="en-US" w:eastAsia="zh-CN" w:bidi="ar-SA"/>
        </w:rPr>
        <w:t>要求</w:t>
      </w:r>
    </w:p>
    <w:p>
      <w:pPr>
        <w:pStyle w:val="90"/>
        <w:spacing w:line="600" w:lineRule="exact"/>
        <w:rPr>
          <w:color w:val="auto"/>
          <w:highlight w:val="none"/>
        </w:rPr>
      </w:pPr>
      <w:r>
        <w:rPr>
          <w:rFonts w:hint="eastAsia"/>
          <w:color w:val="auto"/>
          <w:highlight w:val="none"/>
        </w:rPr>
        <w:t>自招标方向投标方订购产品之日起，投标方应向招标方提供包括热线技术指导、现场故障排除、故障产品维修等各种用户技术服务。依照产品所发生问题的严重性，由投标方提供如下维护工作：</w:t>
      </w:r>
    </w:p>
    <w:p>
      <w:pPr>
        <w:pStyle w:val="90"/>
        <w:numPr>
          <w:ilvl w:val="0"/>
          <w:numId w:val="8"/>
        </w:numPr>
        <w:spacing w:line="600" w:lineRule="exact"/>
        <w:ind w:left="0" w:firstLine="431" w:firstLineChars="0"/>
        <w:rPr>
          <w:color w:val="auto"/>
          <w:highlight w:val="none"/>
        </w:rPr>
      </w:pPr>
      <w:r>
        <w:rPr>
          <w:rFonts w:hint="eastAsia"/>
          <w:color w:val="auto"/>
          <w:highlight w:val="none"/>
        </w:rPr>
        <w:t>保证为招标方提供 “常年保修、维护、保养”服务。</w:t>
      </w:r>
    </w:p>
    <w:p>
      <w:pPr>
        <w:pStyle w:val="90"/>
        <w:numPr>
          <w:ilvl w:val="0"/>
          <w:numId w:val="8"/>
        </w:numPr>
        <w:spacing w:line="600" w:lineRule="exact"/>
        <w:ind w:left="0" w:firstLine="431" w:firstLineChars="0"/>
        <w:rPr>
          <w:color w:val="auto"/>
          <w:highlight w:val="none"/>
        </w:rPr>
      </w:pPr>
      <w:r>
        <w:rPr>
          <w:rFonts w:hint="eastAsia"/>
          <w:color w:val="auto"/>
          <w:highlight w:val="none"/>
        </w:rPr>
        <w:t>保证开通7*24小时的热线服务电话随时解答用户的问题，保持和投标方有关技术人员定期和不定期的密切联络。</w:t>
      </w:r>
    </w:p>
    <w:p>
      <w:pPr>
        <w:pStyle w:val="90"/>
        <w:numPr>
          <w:ilvl w:val="0"/>
          <w:numId w:val="8"/>
        </w:numPr>
        <w:spacing w:line="600" w:lineRule="exact"/>
        <w:ind w:left="0" w:firstLine="431" w:firstLineChars="0"/>
        <w:rPr>
          <w:color w:val="auto"/>
          <w:highlight w:val="none"/>
        </w:rPr>
      </w:pPr>
      <w:r>
        <w:rPr>
          <w:rFonts w:hint="eastAsia"/>
          <w:color w:val="auto"/>
          <w:highlight w:val="none"/>
        </w:rPr>
        <w:t>在出现问题并初步判断为投标方产品故障时，投标方接到招标方通知后，投标方应能通过远程诊断、电话技术咨询或现场服务，尽快排除故障。</w:t>
      </w:r>
    </w:p>
    <w:p>
      <w:pPr>
        <w:pStyle w:val="90"/>
        <w:numPr>
          <w:ilvl w:val="0"/>
          <w:numId w:val="8"/>
        </w:numPr>
        <w:spacing w:line="600" w:lineRule="exact"/>
        <w:ind w:left="0" w:firstLine="431" w:firstLineChars="0"/>
        <w:rPr>
          <w:color w:val="auto"/>
          <w:highlight w:val="none"/>
        </w:rPr>
      </w:pPr>
      <w:r>
        <w:rPr>
          <w:rFonts w:hint="eastAsia"/>
          <w:color w:val="auto"/>
          <w:highlight w:val="none"/>
        </w:rPr>
        <w:t>因投标方产品及实施问题或服务响应不及时给最终用户造成的损失，应由投标方按双方制定的标准对最终用户进行赔偿。</w:t>
      </w:r>
    </w:p>
    <w:p>
      <w:pPr>
        <w:pStyle w:val="6"/>
        <w:numPr>
          <w:ilvl w:val="3"/>
          <w:numId w:val="0"/>
        </w:numPr>
        <w:tabs>
          <w:tab w:val="clear" w:pos="864"/>
        </w:tabs>
        <w:spacing w:line="600" w:lineRule="exact"/>
        <w:ind w:firstLine="482" w:firstLineChars="200"/>
        <w:rPr>
          <w:rFonts w:hint="eastAsia" w:ascii="Times New Roman" w:hAnsi="Times New Roman" w:eastAsia="宋体" w:cs="Times New Roman"/>
          <w:b/>
          <w:bCs/>
          <w:color w:val="auto"/>
          <w:kern w:val="2"/>
          <w:sz w:val="24"/>
          <w:szCs w:val="24"/>
          <w:highlight w:val="none"/>
          <w:lang w:val="en-US" w:eastAsia="zh-CN" w:bidi="ar-SA"/>
        </w:rPr>
      </w:pPr>
      <w:bookmarkStart w:id="114" w:name="_Toc516297794"/>
      <w:bookmarkStart w:id="115" w:name="_Toc124406429"/>
      <w:bookmarkStart w:id="116" w:name="_Toc518408412"/>
      <w:r>
        <w:rPr>
          <w:rFonts w:hint="eastAsia" w:ascii="Times New Roman" w:hAnsi="Times New Roman" w:eastAsia="宋体" w:cs="Times New Roman"/>
          <w:b/>
          <w:bCs/>
          <w:color w:val="auto"/>
          <w:kern w:val="2"/>
          <w:sz w:val="24"/>
          <w:szCs w:val="24"/>
          <w:highlight w:val="none"/>
          <w:lang w:val="en-US" w:eastAsia="zh-CN" w:bidi="ar-SA"/>
        </w:rPr>
        <w:t>2.4.2.3产品质保</w:t>
      </w:r>
      <w:bookmarkEnd w:id="114"/>
      <w:bookmarkEnd w:id="115"/>
      <w:bookmarkEnd w:id="116"/>
      <w:r>
        <w:rPr>
          <w:rFonts w:hint="eastAsia" w:ascii="Times New Roman" w:hAnsi="Times New Roman" w:eastAsia="宋体" w:cs="Times New Roman"/>
          <w:b/>
          <w:bCs/>
          <w:color w:val="auto"/>
          <w:kern w:val="2"/>
          <w:sz w:val="24"/>
          <w:szCs w:val="24"/>
          <w:highlight w:val="none"/>
          <w:lang w:val="en-US" w:eastAsia="zh-CN" w:bidi="ar-SA"/>
        </w:rPr>
        <w:t>要求</w:t>
      </w:r>
    </w:p>
    <w:p>
      <w:pPr>
        <w:pStyle w:val="90"/>
        <w:numPr>
          <w:ilvl w:val="0"/>
          <w:numId w:val="9"/>
        </w:numPr>
        <w:spacing w:line="600" w:lineRule="exact"/>
        <w:ind w:left="0" w:firstLine="431" w:firstLineChars="0"/>
        <w:rPr>
          <w:highlight w:val="none"/>
        </w:rPr>
      </w:pPr>
      <w:r>
        <w:rPr>
          <w:rFonts w:hint="eastAsia" w:ascii="宋体" w:hAnsi="宋体" w:cs="宋体"/>
          <w:kern w:val="0"/>
          <w:highlight w:val="none"/>
        </w:rPr>
        <w:t>★</w:t>
      </w:r>
      <w:r>
        <w:rPr>
          <w:rFonts w:hint="eastAsia"/>
          <w:highlight w:val="none"/>
        </w:rPr>
        <w:t>对于所供产品，从</w:t>
      </w:r>
      <w:r>
        <w:rPr>
          <w:rFonts w:hint="eastAsia"/>
          <w:highlight w:val="none"/>
          <w:lang w:val="en-US" w:eastAsia="zh-CN"/>
        </w:rPr>
        <w:t>安装</w:t>
      </w:r>
      <w:r>
        <w:rPr>
          <w:rFonts w:hint="eastAsia"/>
          <w:highlight w:val="none"/>
        </w:rPr>
        <w:t>完成</w:t>
      </w:r>
      <w:r>
        <w:rPr>
          <w:rFonts w:hint="eastAsia"/>
          <w:highlight w:val="none"/>
          <w:lang w:val="en-US" w:eastAsia="zh-CN"/>
        </w:rPr>
        <w:t>后正常运行</w:t>
      </w:r>
      <w:r>
        <w:rPr>
          <w:rFonts w:hint="eastAsia"/>
          <w:highlight w:val="none"/>
        </w:rPr>
        <w:t>开始，提供包括</w:t>
      </w:r>
      <w:r>
        <w:rPr>
          <w:rFonts w:hint="eastAsia"/>
          <w:highlight w:val="none"/>
          <w:lang w:val="en-US" w:eastAsia="zh-CN"/>
        </w:rPr>
        <w:t>1</w:t>
      </w:r>
      <w:r>
        <w:rPr>
          <w:rFonts w:hint="eastAsia"/>
          <w:highlight w:val="none"/>
        </w:rPr>
        <w:t>年免费原厂质保期，7*24小时产品维护服务（售后服务热线，随时回答招标方在产品使用过程中的问题；30分钟内响应用户维修和维护要求，需要现场支持的2小时内到达现场）。</w:t>
      </w:r>
    </w:p>
    <w:p>
      <w:pPr>
        <w:pStyle w:val="90"/>
        <w:numPr>
          <w:ilvl w:val="0"/>
          <w:numId w:val="9"/>
        </w:numPr>
        <w:spacing w:line="600" w:lineRule="exact"/>
        <w:ind w:left="0" w:firstLine="431" w:firstLineChars="0"/>
        <w:rPr>
          <w:highlight w:val="none"/>
        </w:rPr>
      </w:pPr>
      <w:r>
        <w:rPr>
          <w:rFonts w:hint="eastAsia"/>
          <w:highlight w:val="none"/>
        </w:rPr>
        <w:t>质保期内为产品提供免费的软件版本升级服务。</w:t>
      </w:r>
    </w:p>
    <w:p>
      <w:pPr>
        <w:pStyle w:val="90"/>
        <w:numPr>
          <w:ilvl w:val="0"/>
          <w:numId w:val="9"/>
        </w:numPr>
        <w:spacing w:line="600" w:lineRule="exact"/>
        <w:ind w:left="0" w:firstLine="431" w:firstLineChars="0"/>
        <w:rPr>
          <w:highlight w:val="none"/>
        </w:rPr>
      </w:pPr>
      <w:r>
        <w:rPr>
          <w:rFonts w:hint="eastAsia"/>
          <w:highlight w:val="none"/>
        </w:rPr>
        <w:t>质保期内为产品提供损坏或缺陷部件的免费更换服务。</w:t>
      </w:r>
    </w:p>
    <w:p>
      <w:pPr>
        <w:pStyle w:val="90"/>
        <w:numPr>
          <w:ilvl w:val="0"/>
          <w:numId w:val="9"/>
        </w:numPr>
        <w:spacing w:line="600" w:lineRule="exact"/>
        <w:ind w:left="0" w:firstLine="431" w:firstLineChars="0"/>
        <w:rPr>
          <w:highlight w:val="none"/>
        </w:rPr>
      </w:pPr>
      <w:r>
        <w:rPr>
          <w:rFonts w:hint="eastAsia"/>
          <w:highlight w:val="none"/>
        </w:rPr>
        <w:t>为最终用户提供紧急的支援服务等。</w:t>
      </w:r>
    </w:p>
    <w:bookmarkEnd w:id="74"/>
    <w:p>
      <w:pPr>
        <w:pStyle w:val="3"/>
        <w:tabs>
          <w:tab w:val="left" w:pos="-240"/>
          <w:tab w:val="clear" w:pos="432"/>
        </w:tabs>
        <w:spacing w:before="156" w:after="156" w:line="600" w:lineRule="exact"/>
        <w:ind w:left="-2" w:hanging="2"/>
        <w:rPr>
          <w:highlight w:val="none"/>
        </w:rPr>
      </w:pPr>
      <w:r>
        <w:rPr>
          <w:rFonts w:hint="eastAsia"/>
          <w:highlight w:val="none"/>
        </w:rPr>
        <w:t>实施要求</w:t>
      </w:r>
    </w:p>
    <w:p>
      <w:pPr>
        <w:pStyle w:val="90"/>
        <w:numPr>
          <w:ilvl w:val="0"/>
          <w:numId w:val="10"/>
        </w:numPr>
        <w:spacing w:line="600" w:lineRule="exact"/>
        <w:ind w:left="0" w:firstLine="431" w:firstLineChars="0"/>
        <w:rPr>
          <w:highlight w:val="none"/>
        </w:rPr>
      </w:pPr>
      <w:bookmarkStart w:id="117" w:name="_Toc518408537"/>
      <w:bookmarkStart w:id="118" w:name="_Toc124406447"/>
      <w:bookmarkStart w:id="119" w:name="_Toc19691"/>
      <w:r>
        <w:rPr>
          <w:rFonts w:hint="eastAsia"/>
          <w:highlight w:val="none"/>
        </w:rPr>
        <w:t>负责编制</w:t>
      </w:r>
      <w:r>
        <w:rPr>
          <w:rFonts w:hint="eastAsia"/>
          <w:highlight w:val="none"/>
          <w:lang w:val="en-US" w:eastAsia="zh-CN"/>
        </w:rPr>
        <w:t>到货及</w:t>
      </w:r>
      <w:r>
        <w:rPr>
          <w:rFonts w:hint="eastAsia"/>
          <w:highlight w:val="none"/>
        </w:rPr>
        <w:t>终验资料。</w:t>
      </w:r>
    </w:p>
    <w:p>
      <w:pPr>
        <w:pStyle w:val="90"/>
        <w:numPr>
          <w:ilvl w:val="0"/>
          <w:numId w:val="10"/>
        </w:numPr>
        <w:spacing w:line="600" w:lineRule="exact"/>
        <w:ind w:left="0" w:firstLine="431" w:firstLineChars="0"/>
        <w:rPr>
          <w:highlight w:val="none"/>
        </w:rPr>
      </w:pPr>
      <w:r>
        <w:rPr>
          <w:rFonts w:hint="eastAsia"/>
          <w:highlight w:val="none"/>
        </w:rPr>
        <w:t>供货时每台设备粘PVC纸运维标签，标签至少包括以下内容：保修期限、原厂</w:t>
      </w:r>
      <w:r>
        <w:rPr>
          <w:rFonts w:hint="eastAsia" w:hAnsi="宋体"/>
          <w:highlight w:val="none"/>
        </w:rPr>
        <w:t>24小时全国免费售后服务电话</w:t>
      </w:r>
      <w:r>
        <w:rPr>
          <w:rFonts w:hint="eastAsia" w:hAnsi="宋体"/>
          <w:highlight w:val="none"/>
          <w:lang w:val="en-US" w:eastAsia="zh-CN"/>
        </w:rPr>
        <w:t>及</w:t>
      </w:r>
      <w:r>
        <w:rPr>
          <w:rFonts w:hint="eastAsia"/>
          <w:highlight w:val="none"/>
        </w:rPr>
        <w:t>海南本地售后服务电话。</w:t>
      </w:r>
    </w:p>
    <w:p>
      <w:pPr>
        <w:pStyle w:val="90"/>
        <w:numPr>
          <w:ilvl w:val="0"/>
          <w:numId w:val="10"/>
        </w:numPr>
        <w:spacing w:line="600" w:lineRule="exact"/>
        <w:ind w:left="0" w:firstLine="431" w:firstLineChars="0"/>
        <w:rPr>
          <w:highlight w:val="none"/>
        </w:rPr>
      </w:pPr>
      <w:r>
        <w:rPr>
          <w:rFonts w:hint="eastAsia" w:ascii="宋体" w:hAnsi="宋体" w:cs="宋体"/>
          <w:szCs w:val="21"/>
          <w:highlight w:val="none"/>
        </w:rPr>
        <w:t>如果招标方认为有必要，投标方应派技术人员到现场配合进行适配性测试，并根据测试结果，配合开展所投产品的适配改造和调优，改造和调优过程中产生的费用由投标方负责。</w:t>
      </w:r>
    </w:p>
    <w:p>
      <w:pPr>
        <w:pStyle w:val="3"/>
        <w:tabs>
          <w:tab w:val="left" w:pos="0"/>
          <w:tab w:val="clear" w:pos="432"/>
        </w:tabs>
        <w:spacing w:before="156" w:after="156" w:line="600" w:lineRule="exact"/>
        <w:ind w:left="2" w:leftChars="-58" w:hanging="141" w:hangingChars="50"/>
        <w:rPr>
          <w:highlight w:val="none"/>
        </w:rPr>
      </w:pPr>
      <w:bookmarkStart w:id="120" w:name="_Toc523850215"/>
      <w:bookmarkStart w:id="121" w:name="_Toc7829"/>
      <w:bookmarkStart w:id="122" w:name="_Toc6507"/>
      <w:r>
        <w:rPr>
          <w:rFonts w:hint="eastAsia"/>
          <w:highlight w:val="none"/>
        </w:rPr>
        <w:t>测试</w:t>
      </w:r>
      <w:bookmarkEnd w:id="117"/>
      <w:bookmarkEnd w:id="118"/>
      <w:r>
        <w:rPr>
          <w:rFonts w:hint="eastAsia"/>
          <w:highlight w:val="none"/>
        </w:rPr>
        <w:t>及验收</w:t>
      </w:r>
      <w:bookmarkEnd w:id="119"/>
      <w:bookmarkEnd w:id="120"/>
      <w:bookmarkEnd w:id="121"/>
      <w:bookmarkEnd w:id="122"/>
    </w:p>
    <w:p>
      <w:pPr>
        <w:pStyle w:val="4"/>
        <w:tabs>
          <w:tab w:val="left" w:pos="756"/>
          <w:tab w:val="clear" w:pos="576"/>
        </w:tabs>
        <w:spacing w:before="156" w:after="156" w:line="600" w:lineRule="exact"/>
        <w:ind w:left="578" w:hanging="578"/>
        <w:rPr>
          <w:color w:val="auto"/>
          <w:highlight w:val="none"/>
        </w:rPr>
      </w:pPr>
      <w:bookmarkStart w:id="123" w:name="_Toc11833"/>
      <w:bookmarkStart w:id="124" w:name="_Toc523850216"/>
      <w:bookmarkStart w:id="125" w:name="_Toc10509"/>
      <w:bookmarkStart w:id="126" w:name="_Toc374"/>
      <w:bookmarkStart w:id="127" w:name="_Toc271893793"/>
      <w:bookmarkStart w:id="128" w:name="_Toc317236947"/>
      <w:bookmarkStart w:id="129" w:name="_Toc10997"/>
      <w:r>
        <w:rPr>
          <w:rFonts w:hint="eastAsia"/>
          <w:color w:val="auto"/>
          <w:highlight w:val="none"/>
        </w:rPr>
        <w:t>概述</w:t>
      </w:r>
      <w:bookmarkEnd w:id="123"/>
      <w:bookmarkEnd w:id="124"/>
      <w:bookmarkEnd w:id="125"/>
      <w:bookmarkEnd w:id="126"/>
      <w:bookmarkEnd w:id="127"/>
      <w:bookmarkEnd w:id="128"/>
      <w:bookmarkEnd w:id="129"/>
    </w:p>
    <w:p>
      <w:pPr>
        <w:pStyle w:val="90"/>
        <w:spacing w:line="600" w:lineRule="exact"/>
        <w:rPr>
          <w:highlight w:val="none"/>
        </w:rPr>
      </w:pPr>
      <w:r>
        <w:rPr>
          <w:rFonts w:hint="eastAsia"/>
          <w:highlight w:val="none"/>
        </w:rPr>
        <w:t>投标方提供的产品应根据招标方同意的程序进行检验和测试，并在投标书中给出参考的测试目的、内容</w:t>
      </w:r>
      <w:r>
        <w:rPr>
          <w:rFonts w:hint="eastAsia"/>
          <w:highlight w:val="none"/>
          <w:lang w:eastAsia="zh-CN"/>
        </w:rPr>
        <w:t>，</w:t>
      </w:r>
      <w:r>
        <w:rPr>
          <w:rFonts w:hint="eastAsia"/>
          <w:highlight w:val="none"/>
        </w:rPr>
        <w:t>招标方保留根据投标方的承诺而监视试验的权利。</w:t>
      </w:r>
    </w:p>
    <w:p>
      <w:pPr>
        <w:pStyle w:val="90"/>
        <w:spacing w:line="600" w:lineRule="exact"/>
        <w:rPr>
          <w:highlight w:val="none"/>
        </w:rPr>
      </w:pPr>
      <w:r>
        <w:rPr>
          <w:rFonts w:hint="eastAsia"/>
          <w:highlight w:val="none"/>
        </w:rPr>
        <w:t>当产品部署后，如发现产品有缺陷或当安装完毕后按投标方的出厂试验报告数据进行现场测试时，发现指标达不到投标方提供的产品技术数据和招标方技术规范要求的技术性能时，投标方应免费为招标方更换，然后进行系统测试和验收。</w:t>
      </w:r>
    </w:p>
    <w:p>
      <w:pPr>
        <w:pStyle w:val="90"/>
        <w:spacing w:line="600" w:lineRule="exact"/>
        <w:rPr>
          <w:highlight w:val="none"/>
        </w:rPr>
      </w:pPr>
      <w:r>
        <w:rPr>
          <w:rFonts w:hint="eastAsia"/>
          <w:highlight w:val="none"/>
        </w:rPr>
        <w:t>投标方必须协助招标方进行验收，由投标方原因导致验收不通过，由此产生的一切损失由投标方承担。</w:t>
      </w:r>
    </w:p>
    <w:p>
      <w:pPr>
        <w:pStyle w:val="90"/>
        <w:spacing w:line="600" w:lineRule="exact"/>
        <w:rPr>
          <w:highlight w:val="none"/>
        </w:rPr>
      </w:pPr>
      <w:bookmarkStart w:id="130" w:name="_Toc24119"/>
      <w:r>
        <w:rPr>
          <w:rFonts w:hint="eastAsia"/>
          <w:highlight w:val="none"/>
          <w:u w:val="none"/>
        </w:rPr>
        <w:t>到货验收</w:t>
      </w:r>
      <w:r>
        <w:rPr>
          <w:rFonts w:hint="eastAsia"/>
          <w:highlight w:val="none"/>
          <w:u w:val="none"/>
          <w:lang w:val="en-US" w:eastAsia="zh-CN"/>
        </w:rPr>
        <w:t>和</w:t>
      </w:r>
      <w:r>
        <w:rPr>
          <w:rFonts w:hint="eastAsia"/>
          <w:highlight w:val="none"/>
          <w:u w:val="none"/>
        </w:rPr>
        <w:t>资</w:t>
      </w:r>
      <w:r>
        <w:rPr>
          <w:rFonts w:hint="eastAsia"/>
          <w:highlight w:val="none"/>
        </w:rPr>
        <w:t>料的完整性也是验收项目之一。</w:t>
      </w:r>
    </w:p>
    <w:p>
      <w:pPr>
        <w:pStyle w:val="4"/>
        <w:tabs>
          <w:tab w:val="left" w:pos="756"/>
          <w:tab w:val="clear" w:pos="576"/>
        </w:tabs>
        <w:spacing w:before="156" w:after="156" w:line="600" w:lineRule="exact"/>
        <w:ind w:left="578" w:hanging="578"/>
        <w:rPr>
          <w:color w:val="auto"/>
          <w:highlight w:val="none"/>
        </w:rPr>
      </w:pPr>
      <w:bookmarkStart w:id="131" w:name="_Toc16604"/>
      <w:r>
        <w:rPr>
          <w:rFonts w:hint="eastAsia"/>
          <w:color w:val="auto"/>
          <w:highlight w:val="none"/>
        </w:rPr>
        <w:t>到货验收</w:t>
      </w:r>
      <w:bookmarkEnd w:id="130"/>
      <w:bookmarkEnd w:id="131"/>
    </w:p>
    <w:p>
      <w:pPr>
        <w:pStyle w:val="90"/>
        <w:spacing w:line="600" w:lineRule="exact"/>
        <w:rPr>
          <w:highlight w:val="none"/>
        </w:rPr>
      </w:pPr>
      <w:r>
        <w:rPr>
          <w:rFonts w:hint="eastAsia"/>
          <w:highlight w:val="none"/>
        </w:rPr>
        <w:t>根据中标产品的技术规范要求和质量标准，对产品进行检查验收，对产品有异议，招标方有权当场拒收。如发现数量不足或有质量等问题，中标方负责按照招标方的要求采取补足、更换或退货等处理措施，并承担由此发生的一切损失和费用。</w:t>
      </w:r>
    </w:p>
    <w:p>
      <w:pPr>
        <w:pStyle w:val="90"/>
        <w:numPr>
          <w:ilvl w:val="0"/>
          <w:numId w:val="0"/>
        </w:numPr>
        <w:spacing w:line="600" w:lineRule="exact"/>
        <w:ind w:left="431" w:leftChars="0"/>
        <w:rPr>
          <w:rFonts w:hint="eastAsia"/>
          <w:color w:val="auto"/>
          <w:highlight w:val="none"/>
          <w:lang w:val="en-US" w:eastAsia="zh-CN"/>
        </w:rPr>
      </w:pPr>
      <w:r>
        <w:rPr>
          <w:rFonts w:hint="eastAsia"/>
          <w:color w:val="auto"/>
          <w:highlight w:val="none"/>
        </w:rPr>
        <w:t>产品设备齐全，包装完整，经开箱检查后型号及规格与合同设备清单一致，设备加</w:t>
      </w:r>
      <w:r>
        <w:rPr>
          <w:rFonts w:hint="eastAsia"/>
          <w:color w:val="auto"/>
          <w:highlight w:val="none"/>
          <w:lang w:val="en-US" w:eastAsia="zh-CN"/>
        </w:rPr>
        <w:t>电</w:t>
      </w:r>
    </w:p>
    <w:p>
      <w:pPr>
        <w:pStyle w:val="90"/>
        <w:numPr>
          <w:ilvl w:val="0"/>
          <w:numId w:val="0"/>
        </w:numPr>
        <w:spacing w:line="600" w:lineRule="exact"/>
        <w:rPr>
          <w:highlight w:val="none"/>
        </w:rPr>
      </w:pPr>
      <w:r>
        <w:rPr>
          <w:rFonts w:hint="eastAsia"/>
          <w:color w:val="auto"/>
          <w:highlight w:val="none"/>
        </w:rPr>
        <w:t>检测工作正常后，视为到货验收合格。</w:t>
      </w:r>
    </w:p>
    <w:sectPr>
      <w:headerReference r:id="rId13" w:type="default"/>
      <w:footerReference r:id="rId14" w:type="default"/>
      <w:pgSz w:w="11906" w:h="16838"/>
      <w:pgMar w:top="1701" w:right="1134" w:bottom="1418" w:left="1474" w:header="851" w:footer="964"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jc w:val="both"/>
      <w:rPr>
        <w:rFonts w:ascii="Arial" w:hAnsi="Arial"/>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5829300" cy="63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829300"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y;margin-left:0pt;margin-top:0.05pt;height:0.05pt;width:459pt;z-index:251659264;mso-width-relative:page;mso-height-relative:page;" filled="f" stroked="t" coordsize="21600,21600" o:gfxdata="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4MQH/RAAAAAgEAAA8AAAAAAAAAAQAgAAAAIgAAAGRycy9kb3ducmV2LnhtbFBLAQIUABQAAAAI&#10;AIdO4kAebGhM9AEAAOQDAAAOAAAAAAAAAAEAIAAAACABAABkcnMvZTJvRG9jLnhtbFBLBQYAAAAA&#10;BgAGAFkBAACGBQAAAAA=&#10;">
              <v:fill on="f" focussize="0,0"/>
              <v:stroke color="#000000" joinstyle="round"/>
              <v:imagedata o:title=""/>
              <o:lock v:ext="edit" aspectratio="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rPr>
        <w:rFonts w:ascii="Arial" w:hAnsi="Arial"/>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jc w:val="center"/>
      <w:rPr>
        <w:rFonts w:ascii="Arial" w:hAnsi="Arial"/>
      </w:rPr>
    </w:pPr>
    <w:r>
      <w:fldChar w:fldCharType="begin"/>
    </w:r>
    <w:r>
      <w:rPr>
        <w:rStyle w:val="38"/>
      </w:rPr>
      <w:instrText xml:space="preserve"> PAGE </w:instrText>
    </w:r>
    <w:r>
      <w:fldChar w:fldCharType="separate"/>
    </w:r>
    <w:r>
      <w:rPr>
        <w:rStyle w:val="38"/>
      </w:rPr>
      <w:t>- 8 -</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rPr>
      <w:t>海南电力产业发展有限责任公司2026年第</w:t>
    </w:r>
    <w:r>
      <w:rPr>
        <w:rFonts w:hint="eastAsia" w:asciiTheme="minorEastAsia" w:hAnsiTheme="minorEastAsia" w:eastAsiaTheme="minorEastAsia" w:cstheme="minorEastAsia"/>
        <w:sz w:val="15"/>
        <w:szCs w:val="15"/>
        <w:lang w:val="en-US" w:eastAsia="zh-CN"/>
      </w:rPr>
      <w:t>一</w:t>
    </w:r>
    <w:r>
      <w:rPr>
        <w:rFonts w:hint="eastAsia" w:asciiTheme="minorEastAsia" w:hAnsiTheme="minorEastAsia" w:eastAsiaTheme="minorEastAsia" w:cstheme="minorEastAsia"/>
        <w:sz w:val="15"/>
        <w:szCs w:val="15"/>
      </w:rPr>
      <w:t>批通信自动化类辅材框架采购项目技术规范书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rPr>
        <w:rFonts w:hint="eastAsia"/>
        <w:lang w:val="en-US" w:eastAsia="zh-CN"/>
      </w:rPr>
    </w:pPr>
    <w:r>
      <w:rPr>
        <w:rFonts w:hint="eastAsia" w:asciiTheme="minorEastAsia" w:hAnsiTheme="minorEastAsia" w:eastAsiaTheme="minorEastAsia" w:cstheme="minorEastAsia"/>
        <w:sz w:val="15"/>
        <w:szCs w:val="15"/>
      </w:rPr>
      <w:t>海南电力产业发展有限责任公司2026</w:t>
    </w:r>
    <w:r>
      <w:rPr>
        <w:rFonts w:hint="eastAsia" w:asciiTheme="minorEastAsia" w:hAnsiTheme="minorEastAsia" w:eastAsiaTheme="minorEastAsia" w:cstheme="minorEastAsia"/>
        <w:sz w:val="15"/>
        <w:szCs w:val="15"/>
        <w:lang w:val="en-US" w:eastAsia="zh-CN"/>
      </w:rPr>
      <w:t>-2027</w:t>
    </w:r>
    <w:r>
      <w:rPr>
        <w:rFonts w:hint="eastAsia" w:asciiTheme="minorEastAsia" w:hAnsiTheme="minorEastAsia" w:eastAsiaTheme="minorEastAsia" w:cstheme="minorEastAsia"/>
        <w:sz w:val="15"/>
        <w:szCs w:val="15"/>
      </w:rPr>
      <w:t>年第</w:t>
    </w:r>
    <w:r>
      <w:rPr>
        <w:rFonts w:hint="eastAsia" w:asciiTheme="minorEastAsia" w:hAnsiTheme="minorEastAsia" w:eastAsiaTheme="minorEastAsia" w:cstheme="minorEastAsia"/>
        <w:sz w:val="15"/>
        <w:szCs w:val="15"/>
        <w:lang w:val="en-US" w:eastAsia="zh-CN"/>
      </w:rPr>
      <w:t>一</w:t>
    </w:r>
    <w:r>
      <w:rPr>
        <w:rFonts w:hint="eastAsia" w:asciiTheme="minorEastAsia" w:hAnsiTheme="minorEastAsia" w:eastAsiaTheme="minorEastAsia" w:cstheme="minorEastAsia"/>
        <w:sz w:val="15"/>
        <w:szCs w:val="15"/>
      </w:rPr>
      <w:t>批通信自动化类辅材框架采购项目技术规范书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1A"/>
    <w:multiLevelType w:val="multilevel"/>
    <w:tmpl w:val="0000001A"/>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
    <w:nsid w:val="00000027"/>
    <w:multiLevelType w:val="multilevel"/>
    <w:tmpl w:val="0000002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CFD0A18"/>
    <w:multiLevelType w:val="multilevel"/>
    <w:tmpl w:val="0CFD0A1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3A26E29"/>
    <w:multiLevelType w:val="multilevel"/>
    <w:tmpl w:val="13A26E29"/>
    <w:lvl w:ilvl="0" w:tentative="0">
      <w:start w:val="1"/>
      <w:numFmt w:val="decimal"/>
      <w:pStyle w:val="3"/>
      <w:lvlText w:val="%1"/>
      <w:lvlJc w:val="left"/>
      <w:pPr>
        <w:tabs>
          <w:tab w:val="left" w:pos="432"/>
        </w:tabs>
        <w:ind w:left="432" w:hanging="432"/>
      </w:pPr>
      <w:rPr>
        <w:rFonts w:hint="eastAsia"/>
        <w:lang w:val="sv-SE"/>
      </w:rPr>
    </w:lvl>
    <w:lvl w:ilvl="1" w:tentative="0">
      <w:start w:val="1"/>
      <w:numFmt w:val="decimal"/>
      <w:pStyle w:val="4"/>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859"/>
        </w:tabs>
        <w:ind w:left="1859"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5">
    <w:nsid w:val="5B621A86"/>
    <w:multiLevelType w:val="multilevel"/>
    <w:tmpl w:val="5B621A86"/>
    <w:lvl w:ilvl="0" w:tentative="0">
      <w:start w:val="1"/>
      <w:numFmt w:val="bullet"/>
      <w:pStyle w:val="45"/>
      <w:lvlText w:val=""/>
      <w:lvlJc w:val="left"/>
      <w:pPr>
        <w:tabs>
          <w:tab w:val="left" w:pos="840"/>
        </w:tabs>
        <w:ind w:left="0" w:firstLine="420"/>
      </w:pPr>
      <w:rPr>
        <w:rFonts w:hint="default" w:ascii="Wingdings" w:hAnsi="Wingdings"/>
      </w:rPr>
    </w:lvl>
    <w:lvl w:ilvl="1" w:tentative="0">
      <w:start w:val="1"/>
      <w:numFmt w:val="none"/>
      <w:lvlRestart w:val="0"/>
      <w:lvlText w:val="%2"/>
      <w:lvlJc w:val="left"/>
      <w:pPr>
        <w:tabs>
          <w:tab w:val="left" w:pos="0"/>
        </w:tabs>
        <w:ind w:left="0" w:firstLine="0"/>
      </w:pPr>
      <w:rPr>
        <w:rFonts w:hint="eastAsia"/>
      </w:rPr>
    </w:lvl>
    <w:lvl w:ilvl="2" w:tentative="0">
      <w:start w:val="1"/>
      <w:numFmt w:val="none"/>
      <w:lvlRestart w:val="0"/>
      <w:lvlText w:val=""/>
      <w:lvlJc w:val="left"/>
      <w:pPr>
        <w:tabs>
          <w:tab w:val="left" w:pos="0"/>
        </w:tabs>
        <w:ind w:left="0" w:firstLine="0"/>
      </w:pPr>
      <w:rPr>
        <w:rFonts w:hint="eastAsia"/>
      </w:rPr>
    </w:lvl>
    <w:lvl w:ilvl="3" w:tentative="0">
      <w:start w:val="1"/>
      <w:numFmt w:val="none"/>
      <w:lvlRestart w:val="0"/>
      <w:lvlText w:val=""/>
      <w:lvlJc w:val="right"/>
      <w:pPr>
        <w:tabs>
          <w:tab w:val="left" w:pos="0"/>
        </w:tabs>
        <w:ind w:left="0" w:firstLine="0"/>
      </w:pPr>
      <w:rPr>
        <w:rFonts w:hint="eastAsia"/>
      </w:rPr>
    </w:lvl>
    <w:lvl w:ilvl="4" w:tentative="0">
      <w:start w:val="1"/>
      <w:numFmt w:val="none"/>
      <w:lvlRestart w:val="0"/>
      <w:lvlText w:val="%5"/>
      <w:lvlJc w:val="left"/>
      <w:pPr>
        <w:tabs>
          <w:tab w:val="left" w:pos="0"/>
        </w:tabs>
        <w:ind w:left="0" w:firstLine="0"/>
      </w:pPr>
      <w:rPr>
        <w:rFonts w:hint="eastAsia"/>
      </w:rPr>
    </w:lvl>
    <w:lvl w:ilvl="5" w:tentative="0">
      <w:start w:val="1"/>
      <w:numFmt w:val="none"/>
      <w:lvlRestart w:val="0"/>
      <w:lvlText w:val="%6"/>
      <w:lvlJc w:val="left"/>
      <w:pPr>
        <w:tabs>
          <w:tab w:val="left" w:pos="0"/>
        </w:tabs>
        <w:ind w:left="0" w:firstLine="0"/>
      </w:pPr>
      <w:rPr>
        <w:rFonts w:hint="eastAsia"/>
      </w:rPr>
    </w:lvl>
    <w:lvl w:ilvl="6" w:tentative="0">
      <w:start w:val="1"/>
      <w:numFmt w:val="none"/>
      <w:lvlRestart w:val="0"/>
      <w:lvlText w:val="%7"/>
      <w:lvlJc w:val="right"/>
      <w:pPr>
        <w:tabs>
          <w:tab w:val="left" w:pos="0"/>
        </w:tabs>
        <w:ind w:left="0" w:firstLine="0"/>
      </w:pPr>
      <w:rPr>
        <w:rFonts w:hint="eastAsia"/>
      </w:rPr>
    </w:lvl>
    <w:lvl w:ilvl="7" w:tentative="0">
      <w:start w:val="1"/>
      <w:numFmt w:val="none"/>
      <w:lvlRestart w:val="0"/>
      <w:lvlText w:val="%8"/>
      <w:lvlJc w:val="left"/>
      <w:pPr>
        <w:tabs>
          <w:tab w:val="left" w:pos="0"/>
        </w:tabs>
        <w:ind w:left="0" w:firstLine="0"/>
      </w:pPr>
      <w:rPr>
        <w:rFonts w:hint="eastAsia"/>
      </w:rPr>
    </w:lvl>
    <w:lvl w:ilvl="8" w:tentative="0">
      <w:start w:val="1"/>
      <w:numFmt w:val="none"/>
      <w:lvlRestart w:val="0"/>
      <w:lvlText w:val="%9"/>
      <w:lvlJc w:val="right"/>
      <w:pPr>
        <w:tabs>
          <w:tab w:val="left" w:pos="0"/>
        </w:tabs>
        <w:ind w:left="0" w:firstLine="0"/>
      </w:pPr>
      <w:rPr>
        <w:rFonts w:hint="eastAsia"/>
      </w:rPr>
    </w:lvl>
  </w:abstractNum>
  <w:abstractNum w:abstractNumId="6">
    <w:nsid w:val="5C4E7A9F"/>
    <w:multiLevelType w:val="multilevel"/>
    <w:tmpl w:val="5C4E7A9F"/>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7">
    <w:nsid w:val="5C4E90BE"/>
    <w:multiLevelType w:val="multilevel"/>
    <w:tmpl w:val="5C4E90BE"/>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8">
    <w:nsid w:val="6883480C"/>
    <w:multiLevelType w:val="multilevel"/>
    <w:tmpl w:val="6883480C"/>
    <w:lvl w:ilvl="0" w:tentative="0">
      <w:start w:val="1"/>
      <w:numFmt w:val="decimal"/>
      <w:pStyle w:val="60"/>
      <w:lvlText w:val="%1)"/>
      <w:lvlJc w:val="left"/>
      <w:pPr>
        <w:tabs>
          <w:tab w:val="left" w:pos="839"/>
        </w:tabs>
        <w:ind w:left="0" w:firstLine="420"/>
      </w:pPr>
      <w:rPr>
        <w:rFonts w:hint="eastAsia"/>
      </w:rPr>
    </w:lvl>
    <w:lvl w:ilvl="1" w:tentative="0">
      <w:start w:val="1"/>
      <w:numFmt w:val="lowerLetter"/>
      <w:pStyle w:val="61"/>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9">
    <w:nsid w:val="7A65C87F"/>
    <w:multiLevelType w:val="multilevel"/>
    <w:tmpl w:val="7A65C87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5"/>
  </w:num>
  <w:num w:numId="3">
    <w:abstractNumId w:val="8"/>
  </w:num>
  <w:num w:numId="4">
    <w:abstractNumId w:val="9"/>
  </w:num>
  <w:num w:numId="5">
    <w:abstractNumId w:val="3"/>
  </w:num>
  <w:num w:numId="6">
    <w:abstractNumId w:val="2"/>
  </w:num>
  <w:num w:numId="7">
    <w:abstractNumId w:val="0"/>
  </w:num>
  <w:num w:numId="8">
    <w:abstractNumId w:val="6"/>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VhZTUxODIwYjI3ZmYwMDA0N2JmYWYyOTc2NjI0ZWIifQ=="/>
  </w:docVars>
  <w:rsids>
    <w:rsidRoot w:val="00E05DC9"/>
    <w:rsid w:val="00002291"/>
    <w:rsid w:val="00003D5C"/>
    <w:rsid w:val="00005384"/>
    <w:rsid w:val="00006CA8"/>
    <w:rsid w:val="00011ADF"/>
    <w:rsid w:val="000207BB"/>
    <w:rsid w:val="00021011"/>
    <w:rsid w:val="00030D9F"/>
    <w:rsid w:val="0003630F"/>
    <w:rsid w:val="00037CE1"/>
    <w:rsid w:val="00042878"/>
    <w:rsid w:val="00042D50"/>
    <w:rsid w:val="00043082"/>
    <w:rsid w:val="000469C4"/>
    <w:rsid w:val="00050756"/>
    <w:rsid w:val="00052A5F"/>
    <w:rsid w:val="000544FF"/>
    <w:rsid w:val="0005482B"/>
    <w:rsid w:val="000554CB"/>
    <w:rsid w:val="000650CD"/>
    <w:rsid w:val="00077CD0"/>
    <w:rsid w:val="00081C3C"/>
    <w:rsid w:val="00084AF6"/>
    <w:rsid w:val="00085F90"/>
    <w:rsid w:val="00086494"/>
    <w:rsid w:val="00086A33"/>
    <w:rsid w:val="00087ACF"/>
    <w:rsid w:val="000903EB"/>
    <w:rsid w:val="0009377B"/>
    <w:rsid w:val="00097CD6"/>
    <w:rsid w:val="000A2694"/>
    <w:rsid w:val="000A5898"/>
    <w:rsid w:val="000A6834"/>
    <w:rsid w:val="000B28C7"/>
    <w:rsid w:val="000B3DB4"/>
    <w:rsid w:val="000C2662"/>
    <w:rsid w:val="000D4DC5"/>
    <w:rsid w:val="000D6222"/>
    <w:rsid w:val="000E174A"/>
    <w:rsid w:val="000E1E22"/>
    <w:rsid w:val="000E2FBE"/>
    <w:rsid w:val="000E3E9E"/>
    <w:rsid w:val="000E57A5"/>
    <w:rsid w:val="000F3603"/>
    <w:rsid w:val="000F38F4"/>
    <w:rsid w:val="000F6761"/>
    <w:rsid w:val="000F73A9"/>
    <w:rsid w:val="0010244B"/>
    <w:rsid w:val="00105244"/>
    <w:rsid w:val="001068B3"/>
    <w:rsid w:val="001068EB"/>
    <w:rsid w:val="0012293B"/>
    <w:rsid w:val="0012459C"/>
    <w:rsid w:val="00124AB0"/>
    <w:rsid w:val="00131C1F"/>
    <w:rsid w:val="00132141"/>
    <w:rsid w:val="0013598B"/>
    <w:rsid w:val="00136AF0"/>
    <w:rsid w:val="00143063"/>
    <w:rsid w:val="00143B1A"/>
    <w:rsid w:val="001461FB"/>
    <w:rsid w:val="00147838"/>
    <w:rsid w:val="00150ADA"/>
    <w:rsid w:val="001555BB"/>
    <w:rsid w:val="0016070F"/>
    <w:rsid w:val="00161ED9"/>
    <w:rsid w:val="00162D4C"/>
    <w:rsid w:val="00164289"/>
    <w:rsid w:val="0016613E"/>
    <w:rsid w:val="001673BF"/>
    <w:rsid w:val="001711D8"/>
    <w:rsid w:val="00172CEE"/>
    <w:rsid w:val="00190716"/>
    <w:rsid w:val="00190CB6"/>
    <w:rsid w:val="00191687"/>
    <w:rsid w:val="0019233F"/>
    <w:rsid w:val="0019550C"/>
    <w:rsid w:val="0019700A"/>
    <w:rsid w:val="001A25D3"/>
    <w:rsid w:val="001B05EE"/>
    <w:rsid w:val="001B0D4E"/>
    <w:rsid w:val="001B3CF2"/>
    <w:rsid w:val="001B4139"/>
    <w:rsid w:val="001B6113"/>
    <w:rsid w:val="001B66E1"/>
    <w:rsid w:val="001B7C5B"/>
    <w:rsid w:val="001C15E7"/>
    <w:rsid w:val="001D0C80"/>
    <w:rsid w:val="001D321F"/>
    <w:rsid w:val="001D7D76"/>
    <w:rsid w:val="001E0A8E"/>
    <w:rsid w:val="001E18D3"/>
    <w:rsid w:val="001E19C3"/>
    <w:rsid w:val="001E3496"/>
    <w:rsid w:val="001E58AF"/>
    <w:rsid w:val="001E5DDE"/>
    <w:rsid w:val="001F0D45"/>
    <w:rsid w:val="001F3526"/>
    <w:rsid w:val="001F444C"/>
    <w:rsid w:val="001F5253"/>
    <w:rsid w:val="00202171"/>
    <w:rsid w:val="00203845"/>
    <w:rsid w:val="00210615"/>
    <w:rsid w:val="00220854"/>
    <w:rsid w:val="00223E9B"/>
    <w:rsid w:val="002258B4"/>
    <w:rsid w:val="00233A60"/>
    <w:rsid w:val="00236A34"/>
    <w:rsid w:val="00236E4B"/>
    <w:rsid w:val="00237C43"/>
    <w:rsid w:val="00242EC9"/>
    <w:rsid w:val="00247ED7"/>
    <w:rsid w:val="00253ACA"/>
    <w:rsid w:val="002541BD"/>
    <w:rsid w:val="002553FF"/>
    <w:rsid w:val="00257AAB"/>
    <w:rsid w:val="00260031"/>
    <w:rsid w:val="00261830"/>
    <w:rsid w:val="00272A86"/>
    <w:rsid w:val="002821A8"/>
    <w:rsid w:val="0028561D"/>
    <w:rsid w:val="00286673"/>
    <w:rsid w:val="00287BEB"/>
    <w:rsid w:val="002A4F0F"/>
    <w:rsid w:val="002A54BE"/>
    <w:rsid w:val="002B2913"/>
    <w:rsid w:val="002B4A1D"/>
    <w:rsid w:val="002C02E4"/>
    <w:rsid w:val="002C042C"/>
    <w:rsid w:val="002C0C23"/>
    <w:rsid w:val="002C36A7"/>
    <w:rsid w:val="002C625C"/>
    <w:rsid w:val="002D0F4B"/>
    <w:rsid w:val="002D0F6F"/>
    <w:rsid w:val="002D4A99"/>
    <w:rsid w:val="002D7599"/>
    <w:rsid w:val="002E3B35"/>
    <w:rsid w:val="002E5AB6"/>
    <w:rsid w:val="002F01B8"/>
    <w:rsid w:val="002F2F05"/>
    <w:rsid w:val="002F50A0"/>
    <w:rsid w:val="002F680A"/>
    <w:rsid w:val="003009CD"/>
    <w:rsid w:val="00300BD1"/>
    <w:rsid w:val="0030179B"/>
    <w:rsid w:val="00301EA0"/>
    <w:rsid w:val="00302217"/>
    <w:rsid w:val="003026EA"/>
    <w:rsid w:val="00303835"/>
    <w:rsid w:val="00315D1D"/>
    <w:rsid w:val="003254BD"/>
    <w:rsid w:val="00326BCD"/>
    <w:rsid w:val="00334766"/>
    <w:rsid w:val="00335073"/>
    <w:rsid w:val="003364AE"/>
    <w:rsid w:val="00352B78"/>
    <w:rsid w:val="003536CA"/>
    <w:rsid w:val="003538FB"/>
    <w:rsid w:val="003608E4"/>
    <w:rsid w:val="003637C1"/>
    <w:rsid w:val="0036386F"/>
    <w:rsid w:val="003640D0"/>
    <w:rsid w:val="00366204"/>
    <w:rsid w:val="00366558"/>
    <w:rsid w:val="00370A2B"/>
    <w:rsid w:val="00371220"/>
    <w:rsid w:val="00372B39"/>
    <w:rsid w:val="00373D07"/>
    <w:rsid w:val="00375E7A"/>
    <w:rsid w:val="00377847"/>
    <w:rsid w:val="00380E29"/>
    <w:rsid w:val="003860A3"/>
    <w:rsid w:val="00390562"/>
    <w:rsid w:val="00393330"/>
    <w:rsid w:val="003934F9"/>
    <w:rsid w:val="003A179B"/>
    <w:rsid w:val="003A57AC"/>
    <w:rsid w:val="003B15AF"/>
    <w:rsid w:val="003B1701"/>
    <w:rsid w:val="003B17E7"/>
    <w:rsid w:val="003C4FBD"/>
    <w:rsid w:val="003C7240"/>
    <w:rsid w:val="003D1FA4"/>
    <w:rsid w:val="003D2F8D"/>
    <w:rsid w:val="003D6933"/>
    <w:rsid w:val="003E16EB"/>
    <w:rsid w:val="003E2260"/>
    <w:rsid w:val="003E7FFE"/>
    <w:rsid w:val="003F15FF"/>
    <w:rsid w:val="003F2598"/>
    <w:rsid w:val="003F4B94"/>
    <w:rsid w:val="003F57FC"/>
    <w:rsid w:val="003F7A7E"/>
    <w:rsid w:val="003F7DCC"/>
    <w:rsid w:val="0040451D"/>
    <w:rsid w:val="004052D8"/>
    <w:rsid w:val="00405CCA"/>
    <w:rsid w:val="0041465E"/>
    <w:rsid w:val="004160D4"/>
    <w:rsid w:val="004176A1"/>
    <w:rsid w:val="0042124C"/>
    <w:rsid w:val="004228AA"/>
    <w:rsid w:val="0042383A"/>
    <w:rsid w:val="00426A2E"/>
    <w:rsid w:val="00430BB2"/>
    <w:rsid w:val="00432A62"/>
    <w:rsid w:val="00433929"/>
    <w:rsid w:val="0043699D"/>
    <w:rsid w:val="004416F0"/>
    <w:rsid w:val="00444631"/>
    <w:rsid w:val="00444C4A"/>
    <w:rsid w:val="004523CF"/>
    <w:rsid w:val="00456A54"/>
    <w:rsid w:val="00462094"/>
    <w:rsid w:val="004644EE"/>
    <w:rsid w:val="0047330A"/>
    <w:rsid w:val="00473B0A"/>
    <w:rsid w:val="004750C8"/>
    <w:rsid w:val="00477262"/>
    <w:rsid w:val="00480658"/>
    <w:rsid w:val="004836B6"/>
    <w:rsid w:val="004869F9"/>
    <w:rsid w:val="00490E03"/>
    <w:rsid w:val="00495ADE"/>
    <w:rsid w:val="0049637E"/>
    <w:rsid w:val="00497E10"/>
    <w:rsid w:val="004A758E"/>
    <w:rsid w:val="004B7E69"/>
    <w:rsid w:val="004C11DA"/>
    <w:rsid w:val="004C1823"/>
    <w:rsid w:val="004D452F"/>
    <w:rsid w:val="004D4552"/>
    <w:rsid w:val="004D5A9D"/>
    <w:rsid w:val="004D601F"/>
    <w:rsid w:val="004D6AEC"/>
    <w:rsid w:val="004E1A01"/>
    <w:rsid w:val="004E2CCD"/>
    <w:rsid w:val="004E2EDB"/>
    <w:rsid w:val="004E4EF0"/>
    <w:rsid w:val="004E52B4"/>
    <w:rsid w:val="004E5662"/>
    <w:rsid w:val="004F160D"/>
    <w:rsid w:val="004F3C0B"/>
    <w:rsid w:val="004F45FA"/>
    <w:rsid w:val="004F5C3F"/>
    <w:rsid w:val="00501018"/>
    <w:rsid w:val="00502C74"/>
    <w:rsid w:val="005035FA"/>
    <w:rsid w:val="005061FA"/>
    <w:rsid w:val="00507B4D"/>
    <w:rsid w:val="0051324A"/>
    <w:rsid w:val="00513AA4"/>
    <w:rsid w:val="005150B0"/>
    <w:rsid w:val="00527ED3"/>
    <w:rsid w:val="00531716"/>
    <w:rsid w:val="005339B2"/>
    <w:rsid w:val="00533CBB"/>
    <w:rsid w:val="0054658C"/>
    <w:rsid w:val="00555A91"/>
    <w:rsid w:val="00555B0A"/>
    <w:rsid w:val="00555F0E"/>
    <w:rsid w:val="0056181B"/>
    <w:rsid w:val="0058174C"/>
    <w:rsid w:val="00582133"/>
    <w:rsid w:val="00582913"/>
    <w:rsid w:val="00586171"/>
    <w:rsid w:val="005879C5"/>
    <w:rsid w:val="00593621"/>
    <w:rsid w:val="005949BF"/>
    <w:rsid w:val="005956AB"/>
    <w:rsid w:val="00597AB8"/>
    <w:rsid w:val="005A641D"/>
    <w:rsid w:val="005A6BF3"/>
    <w:rsid w:val="005B4707"/>
    <w:rsid w:val="005B52C2"/>
    <w:rsid w:val="005C1C62"/>
    <w:rsid w:val="005C210A"/>
    <w:rsid w:val="005C3B83"/>
    <w:rsid w:val="005D1430"/>
    <w:rsid w:val="005D68EB"/>
    <w:rsid w:val="005E073B"/>
    <w:rsid w:val="005E0B23"/>
    <w:rsid w:val="005E1BAE"/>
    <w:rsid w:val="005E51F3"/>
    <w:rsid w:val="005E6BEB"/>
    <w:rsid w:val="005E6E87"/>
    <w:rsid w:val="005F05B1"/>
    <w:rsid w:val="005F6C93"/>
    <w:rsid w:val="006019CF"/>
    <w:rsid w:val="00604879"/>
    <w:rsid w:val="0060515B"/>
    <w:rsid w:val="006065C5"/>
    <w:rsid w:val="00606646"/>
    <w:rsid w:val="00607C65"/>
    <w:rsid w:val="00613939"/>
    <w:rsid w:val="006151AF"/>
    <w:rsid w:val="006216E9"/>
    <w:rsid w:val="00631924"/>
    <w:rsid w:val="00631D72"/>
    <w:rsid w:val="006353BC"/>
    <w:rsid w:val="0064085C"/>
    <w:rsid w:val="00644789"/>
    <w:rsid w:val="00647340"/>
    <w:rsid w:val="00652494"/>
    <w:rsid w:val="006527D5"/>
    <w:rsid w:val="00652B3F"/>
    <w:rsid w:val="00661D6B"/>
    <w:rsid w:val="006646B5"/>
    <w:rsid w:val="006656AF"/>
    <w:rsid w:val="00670EC7"/>
    <w:rsid w:val="00671CD6"/>
    <w:rsid w:val="0067648F"/>
    <w:rsid w:val="006848BA"/>
    <w:rsid w:val="006914B4"/>
    <w:rsid w:val="00692328"/>
    <w:rsid w:val="00692981"/>
    <w:rsid w:val="00692A62"/>
    <w:rsid w:val="006954B8"/>
    <w:rsid w:val="00697364"/>
    <w:rsid w:val="006A27D6"/>
    <w:rsid w:val="006A5A07"/>
    <w:rsid w:val="006A76D0"/>
    <w:rsid w:val="006B0FFE"/>
    <w:rsid w:val="006B1EFB"/>
    <w:rsid w:val="006B2BE5"/>
    <w:rsid w:val="006B305E"/>
    <w:rsid w:val="006B6D48"/>
    <w:rsid w:val="006B6FD5"/>
    <w:rsid w:val="006B7A98"/>
    <w:rsid w:val="006C7C3B"/>
    <w:rsid w:val="006D5526"/>
    <w:rsid w:val="006E26D4"/>
    <w:rsid w:val="006E2BA2"/>
    <w:rsid w:val="006E39B8"/>
    <w:rsid w:val="006E3A11"/>
    <w:rsid w:val="006F3E53"/>
    <w:rsid w:val="006F4035"/>
    <w:rsid w:val="006F67DD"/>
    <w:rsid w:val="006F6FAF"/>
    <w:rsid w:val="006F7D33"/>
    <w:rsid w:val="007015D1"/>
    <w:rsid w:val="00702A29"/>
    <w:rsid w:val="007046FA"/>
    <w:rsid w:val="00707032"/>
    <w:rsid w:val="00714083"/>
    <w:rsid w:val="00716E56"/>
    <w:rsid w:val="00721105"/>
    <w:rsid w:val="007227A7"/>
    <w:rsid w:val="00723D75"/>
    <w:rsid w:val="00732078"/>
    <w:rsid w:val="007334B4"/>
    <w:rsid w:val="00742683"/>
    <w:rsid w:val="0074433A"/>
    <w:rsid w:val="00745BC1"/>
    <w:rsid w:val="00745C72"/>
    <w:rsid w:val="00752ED7"/>
    <w:rsid w:val="00752FE6"/>
    <w:rsid w:val="007602F9"/>
    <w:rsid w:val="007654CE"/>
    <w:rsid w:val="00770D06"/>
    <w:rsid w:val="00772692"/>
    <w:rsid w:val="00773E8F"/>
    <w:rsid w:val="00776CB2"/>
    <w:rsid w:val="00780071"/>
    <w:rsid w:val="007801A9"/>
    <w:rsid w:val="007809C3"/>
    <w:rsid w:val="0078236D"/>
    <w:rsid w:val="00783A20"/>
    <w:rsid w:val="0078403C"/>
    <w:rsid w:val="00784D13"/>
    <w:rsid w:val="00790F00"/>
    <w:rsid w:val="0079172D"/>
    <w:rsid w:val="00793755"/>
    <w:rsid w:val="007A0270"/>
    <w:rsid w:val="007A0B2D"/>
    <w:rsid w:val="007A12AE"/>
    <w:rsid w:val="007A28DA"/>
    <w:rsid w:val="007A5103"/>
    <w:rsid w:val="007B4028"/>
    <w:rsid w:val="007B464C"/>
    <w:rsid w:val="007B4B53"/>
    <w:rsid w:val="007B6925"/>
    <w:rsid w:val="007B7E60"/>
    <w:rsid w:val="007C0F38"/>
    <w:rsid w:val="007C24E4"/>
    <w:rsid w:val="007C4D11"/>
    <w:rsid w:val="007D1BA1"/>
    <w:rsid w:val="007D5754"/>
    <w:rsid w:val="007D5DBF"/>
    <w:rsid w:val="007F1117"/>
    <w:rsid w:val="007F1268"/>
    <w:rsid w:val="007F65EB"/>
    <w:rsid w:val="00800110"/>
    <w:rsid w:val="00802E58"/>
    <w:rsid w:val="008035A5"/>
    <w:rsid w:val="00803652"/>
    <w:rsid w:val="00807A0F"/>
    <w:rsid w:val="00813572"/>
    <w:rsid w:val="00813D60"/>
    <w:rsid w:val="00822A50"/>
    <w:rsid w:val="00824E61"/>
    <w:rsid w:val="00834214"/>
    <w:rsid w:val="008346C5"/>
    <w:rsid w:val="00834C35"/>
    <w:rsid w:val="00836E45"/>
    <w:rsid w:val="008440B1"/>
    <w:rsid w:val="00844120"/>
    <w:rsid w:val="00855D7F"/>
    <w:rsid w:val="0086006B"/>
    <w:rsid w:val="00860C81"/>
    <w:rsid w:val="00864606"/>
    <w:rsid w:val="00865411"/>
    <w:rsid w:val="008728E2"/>
    <w:rsid w:val="008743A4"/>
    <w:rsid w:val="00874F6D"/>
    <w:rsid w:val="00877D02"/>
    <w:rsid w:val="0088309B"/>
    <w:rsid w:val="00883397"/>
    <w:rsid w:val="008833CE"/>
    <w:rsid w:val="00887EBA"/>
    <w:rsid w:val="00891208"/>
    <w:rsid w:val="00893CE0"/>
    <w:rsid w:val="00894230"/>
    <w:rsid w:val="008A179F"/>
    <w:rsid w:val="008A43EC"/>
    <w:rsid w:val="008A5CE0"/>
    <w:rsid w:val="008B0978"/>
    <w:rsid w:val="008B7CAD"/>
    <w:rsid w:val="008C5680"/>
    <w:rsid w:val="008C65F0"/>
    <w:rsid w:val="008D04E9"/>
    <w:rsid w:val="008D0748"/>
    <w:rsid w:val="008D20EE"/>
    <w:rsid w:val="008E66C7"/>
    <w:rsid w:val="00900875"/>
    <w:rsid w:val="00902A70"/>
    <w:rsid w:val="00905B5D"/>
    <w:rsid w:val="0091249E"/>
    <w:rsid w:val="00913AA0"/>
    <w:rsid w:val="00917FE6"/>
    <w:rsid w:val="00920BD9"/>
    <w:rsid w:val="0092206B"/>
    <w:rsid w:val="00924BC3"/>
    <w:rsid w:val="00946E84"/>
    <w:rsid w:val="00951CF8"/>
    <w:rsid w:val="00956965"/>
    <w:rsid w:val="0095783A"/>
    <w:rsid w:val="00962723"/>
    <w:rsid w:val="0096331F"/>
    <w:rsid w:val="00970B35"/>
    <w:rsid w:val="00971E0E"/>
    <w:rsid w:val="009733B6"/>
    <w:rsid w:val="00975E7A"/>
    <w:rsid w:val="00982601"/>
    <w:rsid w:val="00983027"/>
    <w:rsid w:val="00983101"/>
    <w:rsid w:val="00992DED"/>
    <w:rsid w:val="009935CE"/>
    <w:rsid w:val="00995A3B"/>
    <w:rsid w:val="00995B47"/>
    <w:rsid w:val="009A61B3"/>
    <w:rsid w:val="009A7788"/>
    <w:rsid w:val="009B4D7F"/>
    <w:rsid w:val="009B5D64"/>
    <w:rsid w:val="009B75FB"/>
    <w:rsid w:val="009C2693"/>
    <w:rsid w:val="009C2D0B"/>
    <w:rsid w:val="009C37D6"/>
    <w:rsid w:val="009C4AC2"/>
    <w:rsid w:val="009C7807"/>
    <w:rsid w:val="009D3A14"/>
    <w:rsid w:val="009E0241"/>
    <w:rsid w:val="009E0633"/>
    <w:rsid w:val="009E4539"/>
    <w:rsid w:val="009E6544"/>
    <w:rsid w:val="009E7116"/>
    <w:rsid w:val="009F02B6"/>
    <w:rsid w:val="009F5283"/>
    <w:rsid w:val="00A0096C"/>
    <w:rsid w:val="00A023F9"/>
    <w:rsid w:val="00A068E5"/>
    <w:rsid w:val="00A06D98"/>
    <w:rsid w:val="00A07516"/>
    <w:rsid w:val="00A135E6"/>
    <w:rsid w:val="00A14062"/>
    <w:rsid w:val="00A203E8"/>
    <w:rsid w:val="00A21F4A"/>
    <w:rsid w:val="00A23489"/>
    <w:rsid w:val="00A2773A"/>
    <w:rsid w:val="00A277D3"/>
    <w:rsid w:val="00A30EC9"/>
    <w:rsid w:val="00A32A8D"/>
    <w:rsid w:val="00A333BC"/>
    <w:rsid w:val="00A33540"/>
    <w:rsid w:val="00A34832"/>
    <w:rsid w:val="00A35CC9"/>
    <w:rsid w:val="00A37F25"/>
    <w:rsid w:val="00A415C3"/>
    <w:rsid w:val="00A443DD"/>
    <w:rsid w:val="00A46D26"/>
    <w:rsid w:val="00A51DAC"/>
    <w:rsid w:val="00A54020"/>
    <w:rsid w:val="00A546D2"/>
    <w:rsid w:val="00A55AB5"/>
    <w:rsid w:val="00A57274"/>
    <w:rsid w:val="00A6541F"/>
    <w:rsid w:val="00A66988"/>
    <w:rsid w:val="00A705FF"/>
    <w:rsid w:val="00A70C37"/>
    <w:rsid w:val="00A7197A"/>
    <w:rsid w:val="00A7406D"/>
    <w:rsid w:val="00A74153"/>
    <w:rsid w:val="00A7487A"/>
    <w:rsid w:val="00A807D7"/>
    <w:rsid w:val="00A85DAE"/>
    <w:rsid w:val="00A91138"/>
    <w:rsid w:val="00A95094"/>
    <w:rsid w:val="00A97A75"/>
    <w:rsid w:val="00AA2F0B"/>
    <w:rsid w:val="00AA3CB1"/>
    <w:rsid w:val="00AA5E82"/>
    <w:rsid w:val="00AA661D"/>
    <w:rsid w:val="00AA6EA0"/>
    <w:rsid w:val="00AB1695"/>
    <w:rsid w:val="00AB5194"/>
    <w:rsid w:val="00AB57CB"/>
    <w:rsid w:val="00AB69E3"/>
    <w:rsid w:val="00AB6EDD"/>
    <w:rsid w:val="00AB7A05"/>
    <w:rsid w:val="00AC08D0"/>
    <w:rsid w:val="00AC12B5"/>
    <w:rsid w:val="00AE0176"/>
    <w:rsid w:val="00AE2C1A"/>
    <w:rsid w:val="00AE4E22"/>
    <w:rsid w:val="00AE5FC4"/>
    <w:rsid w:val="00AF005A"/>
    <w:rsid w:val="00AF26FE"/>
    <w:rsid w:val="00AF3C53"/>
    <w:rsid w:val="00AF552A"/>
    <w:rsid w:val="00B00CAE"/>
    <w:rsid w:val="00B00CBA"/>
    <w:rsid w:val="00B044F7"/>
    <w:rsid w:val="00B06788"/>
    <w:rsid w:val="00B069E5"/>
    <w:rsid w:val="00B06D94"/>
    <w:rsid w:val="00B10579"/>
    <w:rsid w:val="00B20B66"/>
    <w:rsid w:val="00B213CE"/>
    <w:rsid w:val="00B2386F"/>
    <w:rsid w:val="00B23D31"/>
    <w:rsid w:val="00B2412A"/>
    <w:rsid w:val="00B2586D"/>
    <w:rsid w:val="00B3436D"/>
    <w:rsid w:val="00B34930"/>
    <w:rsid w:val="00B373C3"/>
    <w:rsid w:val="00B4642E"/>
    <w:rsid w:val="00B5175C"/>
    <w:rsid w:val="00B51CEB"/>
    <w:rsid w:val="00B57B84"/>
    <w:rsid w:val="00B61232"/>
    <w:rsid w:val="00B645E6"/>
    <w:rsid w:val="00B6797C"/>
    <w:rsid w:val="00B81250"/>
    <w:rsid w:val="00B9097F"/>
    <w:rsid w:val="00B933D2"/>
    <w:rsid w:val="00B95C28"/>
    <w:rsid w:val="00B96656"/>
    <w:rsid w:val="00B96DB1"/>
    <w:rsid w:val="00BA1CDC"/>
    <w:rsid w:val="00BA2329"/>
    <w:rsid w:val="00BA2584"/>
    <w:rsid w:val="00BA31D6"/>
    <w:rsid w:val="00BA52F0"/>
    <w:rsid w:val="00BA5A63"/>
    <w:rsid w:val="00BA70BB"/>
    <w:rsid w:val="00BB1229"/>
    <w:rsid w:val="00BB167B"/>
    <w:rsid w:val="00BB33BF"/>
    <w:rsid w:val="00BB3C1C"/>
    <w:rsid w:val="00BB56E8"/>
    <w:rsid w:val="00BB6685"/>
    <w:rsid w:val="00BC4877"/>
    <w:rsid w:val="00BC59D3"/>
    <w:rsid w:val="00BC7B02"/>
    <w:rsid w:val="00BD721B"/>
    <w:rsid w:val="00BE03EE"/>
    <w:rsid w:val="00BE0E4A"/>
    <w:rsid w:val="00BE532E"/>
    <w:rsid w:val="00BE66A2"/>
    <w:rsid w:val="00BE6CC5"/>
    <w:rsid w:val="00BF07BE"/>
    <w:rsid w:val="00BF37FE"/>
    <w:rsid w:val="00C02816"/>
    <w:rsid w:val="00C03733"/>
    <w:rsid w:val="00C05017"/>
    <w:rsid w:val="00C0518B"/>
    <w:rsid w:val="00C060D8"/>
    <w:rsid w:val="00C105BE"/>
    <w:rsid w:val="00C135D6"/>
    <w:rsid w:val="00C148BE"/>
    <w:rsid w:val="00C1589F"/>
    <w:rsid w:val="00C15EDB"/>
    <w:rsid w:val="00C25584"/>
    <w:rsid w:val="00C27530"/>
    <w:rsid w:val="00C31BA7"/>
    <w:rsid w:val="00C3479C"/>
    <w:rsid w:val="00C37965"/>
    <w:rsid w:val="00C427BC"/>
    <w:rsid w:val="00C51213"/>
    <w:rsid w:val="00C57536"/>
    <w:rsid w:val="00C62CFC"/>
    <w:rsid w:val="00C656E2"/>
    <w:rsid w:val="00C7469F"/>
    <w:rsid w:val="00C77C7D"/>
    <w:rsid w:val="00C829CB"/>
    <w:rsid w:val="00C850F1"/>
    <w:rsid w:val="00C85A58"/>
    <w:rsid w:val="00C9081B"/>
    <w:rsid w:val="00C91A04"/>
    <w:rsid w:val="00C954B5"/>
    <w:rsid w:val="00C9589F"/>
    <w:rsid w:val="00C963E3"/>
    <w:rsid w:val="00CA0D58"/>
    <w:rsid w:val="00CA348F"/>
    <w:rsid w:val="00CA44A2"/>
    <w:rsid w:val="00CA5E42"/>
    <w:rsid w:val="00CB6DFB"/>
    <w:rsid w:val="00CC26FB"/>
    <w:rsid w:val="00CC2D44"/>
    <w:rsid w:val="00CC5218"/>
    <w:rsid w:val="00CD3950"/>
    <w:rsid w:val="00CD43FC"/>
    <w:rsid w:val="00CD5B95"/>
    <w:rsid w:val="00CD7C4A"/>
    <w:rsid w:val="00CE4788"/>
    <w:rsid w:val="00CE47F8"/>
    <w:rsid w:val="00CF64B8"/>
    <w:rsid w:val="00CF7F30"/>
    <w:rsid w:val="00D0332A"/>
    <w:rsid w:val="00D05AB8"/>
    <w:rsid w:val="00D12B1F"/>
    <w:rsid w:val="00D12EC6"/>
    <w:rsid w:val="00D13606"/>
    <w:rsid w:val="00D16219"/>
    <w:rsid w:val="00D16403"/>
    <w:rsid w:val="00D17B6E"/>
    <w:rsid w:val="00D17F50"/>
    <w:rsid w:val="00D22A82"/>
    <w:rsid w:val="00D312BA"/>
    <w:rsid w:val="00D321FE"/>
    <w:rsid w:val="00D34222"/>
    <w:rsid w:val="00D36598"/>
    <w:rsid w:val="00D42A81"/>
    <w:rsid w:val="00D4437A"/>
    <w:rsid w:val="00D44420"/>
    <w:rsid w:val="00D54BD9"/>
    <w:rsid w:val="00D55DE5"/>
    <w:rsid w:val="00D601CC"/>
    <w:rsid w:val="00D6149B"/>
    <w:rsid w:val="00D61730"/>
    <w:rsid w:val="00D70B8F"/>
    <w:rsid w:val="00D714E0"/>
    <w:rsid w:val="00D753BA"/>
    <w:rsid w:val="00D87589"/>
    <w:rsid w:val="00DA0333"/>
    <w:rsid w:val="00DA3DB8"/>
    <w:rsid w:val="00DA5459"/>
    <w:rsid w:val="00DA68FF"/>
    <w:rsid w:val="00DA7273"/>
    <w:rsid w:val="00DA75A1"/>
    <w:rsid w:val="00DB22C9"/>
    <w:rsid w:val="00DB3095"/>
    <w:rsid w:val="00DB4347"/>
    <w:rsid w:val="00DC1A81"/>
    <w:rsid w:val="00DC51F2"/>
    <w:rsid w:val="00DC572C"/>
    <w:rsid w:val="00DD39E4"/>
    <w:rsid w:val="00DD42DD"/>
    <w:rsid w:val="00DD5F72"/>
    <w:rsid w:val="00DE1AFA"/>
    <w:rsid w:val="00DE3A7C"/>
    <w:rsid w:val="00DE491B"/>
    <w:rsid w:val="00DE4D8B"/>
    <w:rsid w:val="00DE5CAC"/>
    <w:rsid w:val="00DF30D6"/>
    <w:rsid w:val="00DF70B0"/>
    <w:rsid w:val="00E014F9"/>
    <w:rsid w:val="00E01747"/>
    <w:rsid w:val="00E0213E"/>
    <w:rsid w:val="00E0362D"/>
    <w:rsid w:val="00E04229"/>
    <w:rsid w:val="00E042B1"/>
    <w:rsid w:val="00E04531"/>
    <w:rsid w:val="00E05DC9"/>
    <w:rsid w:val="00E125E5"/>
    <w:rsid w:val="00E12A78"/>
    <w:rsid w:val="00E13A2B"/>
    <w:rsid w:val="00E157B1"/>
    <w:rsid w:val="00E16A97"/>
    <w:rsid w:val="00E17313"/>
    <w:rsid w:val="00E214F0"/>
    <w:rsid w:val="00E231DA"/>
    <w:rsid w:val="00E238F9"/>
    <w:rsid w:val="00E26F9E"/>
    <w:rsid w:val="00E35B4C"/>
    <w:rsid w:val="00E365F2"/>
    <w:rsid w:val="00E43585"/>
    <w:rsid w:val="00E478B1"/>
    <w:rsid w:val="00E53E4C"/>
    <w:rsid w:val="00E5429D"/>
    <w:rsid w:val="00E61E86"/>
    <w:rsid w:val="00E65C92"/>
    <w:rsid w:val="00E65CAA"/>
    <w:rsid w:val="00E65D90"/>
    <w:rsid w:val="00E71EB0"/>
    <w:rsid w:val="00E71FAF"/>
    <w:rsid w:val="00E73532"/>
    <w:rsid w:val="00E839FB"/>
    <w:rsid w:val="00E851FC"/>
    <w:rsid w:val="00E91526"/>
    <w:rsid w:val="00E919CA"/>
    <w:rsid w:val="00E95B1A"/>
    <w:rsid w:val="00EA09A3"/>
    <w:rsid w:val="00EA21C5"/>
    <w:rsid w:val="00EA6905"/>
    <w:rsid w:val="00EB5F3E"/>
    <w:rsid w:val="00EB77F0"/>
    <w:rsid w:val="00EB7F34"/>
    <w:rsid w:val="00EC2702"/>
    <w:rsid w:val="00EC3893"/>
    <w:rsid w:val="00EC5BBB"/>
    <w:rsid w:val="00EC5EAF"/>
    <w:rsid w:val="00ED656B"/>
    <w:rsid w:val="00EE0285"/>
    <w:rsid w:val="00F0246D"/>
    <w:rsid w:val="00F026D4"/>
    <w:rsid w:val="00F23732"/>
    <w:rsid w:val="00F23FE5"/>
    <w:rsid w:val="00F27926"/>
    <w:rsid w:val="00F279B4"/>
    <w:rsid w:val="00F36A1C"/>
    <w:rsid w:val="00F40BC8"/>
    <w:rsid w:val="00F47F6F"/>
    <w:rsid w:val="00F53DA8"/>
    <w:rsid w:val="00F567B4"/>
    <w:rsid w:val="00F62792"/>
    <w:rsid w:val="00F656EA"/>
    <w:rsid w:val="00F65792"/>
    <w:rsid w:val="00F71D35"/>
    <w:rsid w:val="00F72A88"/>
    <w:rsid w:val="00F73A95"/>
    <w:rsid w:val="00F75614"/>
    <w:rsid w:val="00F75661"/>
    <w:rsid w:val="00F765FD"/>
    <w:rsid w:val="00F81209"/>
    <w:rsid w:val="00F94A9B"/>
    <w:rsid w:val="00FA1CA4"/>
    <w:rsid w:val="00FB07DE"/>
    <w:rsid w:val="00FB40F8"/>
    <w:rsid w:val="00FB634F"/>
    <w:rsid w:val="00FB6B83"/>
    <w:rsid w:val="00FB6CD1"/>
    <w:rsid w:val="00FB77C7"/>
    <w:rsid w:val="00FC0F17"/>
    <w:rsid w:val="00FC546B"/>
    <w:rsid w:val="00FC65EA"/>
    <w:rsid w:val="00FE23DC"/>
    <w:rsid w:val="00FE589B"/>
    <w:rsid w:val="00FE5A36"/>
    <w:rsid w:val="00FE66A1"/>
    <w:rsid w:val="00FF271C"/>
    <w:rsid w:val="00FF6C30"/>
    <w:rsid w:val="010158D6"/>
    <w:rsid w:val="010C4957"/>
    <w:rsid w:val="0151194F"/>
    <w:rsid w:val="01671C4E"/>
    <w:rsid w:val="01BB71BD"/>
    <w:rsid w:val="01BD23EE"/>
    <w:rsid w:val="01DA0B48"/>
    <w:rsid w:val="01F90182"/>
    <w:rsid w:val="01FF65D1"/>
    <w:rsid w:val="020113ED"/>
    <w:rsid w:val="0218777D"/>
    <w:rsid w:val="0240705E"/>
    <w:rsid w:val="024625B0"/>
    <w:rsid w:val="02580207"/>
    <w:rsid w:val="029F46AA"/>
    <w:rsid w:val="02E121AF"/>
    <w:rsid w:val="02E70D76"/>
    <w:rsid w:val="02EA7C6D"/>
    <w:rsid w:val="02F02C73"/>
    <w:rsid w:val="02F833AC"/>
    <w:rsid w:val="02FE3510"/>
    <w:rsid w:val="03020317"/>
    <w:rsid w:val="034858F1"/>
    <w:rsid w:val="034D1A82"/>
    <w:rsid w:val="036B733D"/>
    <w:rsid w:val="036D6AC2"/>
    <w:rsid w:val="03756FA1"/>
    <w:rsid w:val="038C4AE9"/>
    <w:rsid w:val="03B40D23"/>
    <w:rsid w:val="03C0596D"/>
    <w:rsid w:val="03DF460C"/>
    <w:rsid w:val="03E00178"/>
    <w:rsid w:val="03ED3E80"/>
    <w:rsid w:val="0422662D"/>
    <w:rsid w:val="042934A2"/>
    <w:rsid w:val="04305996"/>
    <w:rsid w:val="04346599"/>
    <w:rsid w:val="045B52FD"/>
    <w:rsid w:val="0493699D"/>
    <w:rsid w:val="04965593"/>
    <w:rsid w:val="04A529BD"/>
    <w:rsid w:val="04B7134B"/>
    <w:rsid w:val="04D618FE"/>
    <w:rsid w:val="05044D34"/>
    <w:rsid w:val="050B74E1"/>
    <w:rsid w:val="050D5C84"/>
    <w:rsid w:val="0522507E"/>
    <w:rsid w:val="052470FB"/>
    <w:rsid w:val="054E4D41"/>
    <w:rsid w:val="0551513B"/>
    <w:rsid w:val="05741C9F"/>
    <w:rsid w:val="058958C4"/>
    <w:rsid w:val="05922FA0"/>
    <w:rsid w:val="059C0DCC"/>
    <w:rsid w:val="05B4066A"/>
    <w:rsid w:val="05B57B80"/>
    <w:rsid w:val="05C22BB5"/>
    <w:rsid w:val="05F85B3D"/>
    <w:rsid w:val="05F93F49"/>
    <w:rsid w:val="062F6FC3"/>
    <w:rsid w:val="0634632E"/>
    <w:rsid w:val="063D77F5"/>
    <w:rsid w:val="064A0C19"/>
    <w:rsid w:val="06526B6D"/>
    <w:rsid w:val="065B7E9B"/>
    <w:rsid w:val="0664230B"/>
    <w:rsid w:val="066E2377"/>
    <w:rsid w:val="067374D5"/>
    <w:rsid w:val="06AA4553"/>
    <w:rsid w:val="06BF46DE"/>
    <w:rsid w:val="06C55827"/>
    <w:rsid w:val="06D1527D"/>
    <w:rsid w:val="06EB1AE6"/>
    <w:rsid w:val="06ED323C"/>
    <w:rsid w:val="06F86D73"/>
    <w:rsid w:val="07016A24"/>
    <w:rsid w:val="071E7CB2"/>
    <w:rsid w:val="072672EE"/>
    <w:rsid w:val="07435FE8"/>
    <w:rsid w:val="074D4D6C"/>
    <w:rsid w:val="07D021ED"/>
    <w:rsid w:val="07F25F78"/>
    <w:rsid w:val="080815BA"/>
    <w:rsid w:val="083644EB"/>
    <w:rsid w:val="08493CEC"/>
    <w:rsid w:val="08571FAF"/>
    <w:rsid w:val="088C2389"/>
    <w:rsid w:val="08A72B38"/>
    <w:rsid w:val="08C305D6"/>
    <w:rsid w:val="08D625AD"/>
    <w:rsid w:val="08E44A3F"/>
    <w:rsid w:val="08E95CA9"/>
    <w:rsid w:val="090412D1"/>
    <w:rsid w:val="09071A14"/>
    <w:rsid w:val="091E5A36"/>
    <w:rsid w:val="09230B2E"/>
    <w:rsid w:val="093F1AD9"/>
    <w:rsid w:val="095630F1"/>
    <w:rsid w:val="0971724B"/>
    <w:rsid w:val="09857ADC"/>
    <w:rsid w:val="098A1D74"/>
    <w:rsid w:val="098D09FF"/>
    <w:rsid w:val="09C30B86"/>
    <w:rsid w:val="0A0E4349"/>
    <w:rsid w:val="0A141330"/>
    <w:rsid w:val="0A39301B"/>
    <w:rsid w:val="0A400353"/>
    <w:rsid w:val="0A7C2476"/>
    <w:rsid w:val="0ABA4DD0"/>
    <w:rsid w:val="0AD32958"/>
    <w:rsid w:val="0ADA14FA"/>
    <w:rsid w:val="0AE84F86"/>
    <w:rsid w:val="0AF23095"/>
    <w:rsid w:val="0B462E0D"/>
    <w:rsid w:val="0B493D92"/>
    <w:rsid w:val="0BAE374A"/>
    <w:rsid w:val="0BB2656C"/>
    <w:rsid w:val="0BB863E7"/>
    <w:rsid w:val="0BC65E11"/>
    <w:rsid w:val="0BCF317D"/>
    <w:rsid w:val="0BD41778"/>
    <w:rsid w:val="0BFA57C9"/>
    <w:rsid w:val="0C146CDE"/>
    <w:rsid w:val="0C4241C7"/>
    <w:rsid w:val="0C467A48"/>
    <w:rsid w:val="0C575BA7"/>
    <w:rsid w:val="0C7926B1"/>
    <w:rsid w:val="0CC24B12"/>
    <w:rsid w:val="0CCB0197"/>
    <w:rsid w:val="0CD034A3"/>
    <w:rsid w:val="0D1C2AFA"/>
    <w:rsid w:val="0D20492F"/>
    <w:rsid w:val="0D5F0EDB"/>
    <w:rsid w:val="0DA91EF6"/>
    <w:rsid w:val="0DB227D4"/>
    <w:rsid w:val="0DB278FD"/>
    <w:rsid w:val="0DBB7B15"/>
    <w:rsid w:val="0DCF28F9"/>
    <w:rsid w:val="0E132E9A"/>
    <w:rsid w:val="0E1834C1"/>
    <w:rsid w:val="0E1A3847"/>
    <w:rsid w:val="0E2B0985"/>
    <w:rsid w:val="0E3C58D5"/>
    <w:rsid w:val="0E430CE5"/>
    <w:rsid w:val="0E5B5169"/>
    <w:rsid w:val="0EAC1B24"/>
    <w:rsid w:val="0EB93C3D"/>
    <w:rsid w:val="0F311B96"/>
    <w:rsid w:val="0F355602"/>
    <w:rsid w:val="0F4D47A1"/>
    <w:rsid w:val="0F4F61AB"/>
    <w:rsid w:val="0F57359F"/>
    <w:rsid w:val="0F693E0D"/>
    <w:rsid w:val="0F8924A9"/>
    <w:rsid w:val="0F8F7DCE"/>
    <w:rsid w:val="0FBF163F"/>
    <w:rsid w:val="0FCC0F53"/>
    <w:rsid w:val="0FD4086B"/>
    <w:rsid w:val="0FE55519"/>
    <w:rsid w:val="100449D5"/>
    <w:rsid w:val="100F30C6"/>
    <w:rsid w:val="10181477"/>
    <w:rsid w:val="10492E3A"/>
    <w:rsid w:val="10524E78"/>
    <w:rsid w:val="10684D0C"/>
    <w:rsid w:val="106F0AD1"/>
    <w:rsid w:val="108F0552"/>
    <w:rsid w:val="10A20886"/>
    <w:rsid w:val="10B6257F"/>
    <w:rsid w:val="10BA6D35"/>
    <w:rsid w:val="10D02FB0"/>
    <w:rsid w:val="10E35691"/>
    <w:rsid w:val="10FA5354"/>
    <w:rsid w:val="11130A3E"/>
    <w:rsid w:val="11383ACD"/>
    <w:rsid w:val="11452DE3"/>
    <w:rsid w:val="11786AB5"/>
    <w:rsid w:val="1179646D"/>
    <w:rsid w:val="11AC5CCD"/>
    <w:rsid w:val="11B252F5"/>
    <w:rsid w:val="11B80FAC"/>
    <w:rsid w:val="11CA3F82"/>
    <w:rsid w:val="11E043BF"/>
    <w:rsid w:val="122130F3"/>
    <w:rsid w:val="12413B02"/>
    <w:rsid w:val="127141F0"/>
    <w:rsid w:val="12853ADC"/>
    <w:rsid w:val="12B046B7"/>
    <w:rsid w:val="130242F7"/>
    <w:rsid w:val="13252C24"/>
    <w:rsid w:val="132B00B1"/>
    <w:rsid w:val="13336A79"/>
    <w:rsid w:val="136F66CF"/>
    <w:rsid w:val="137E1C1B"/>
    <w:rsid w:val="138F65AB"/>
    <w:rsid w:val="13967256"/>
    <w:rsid w:val="139A3EF6"/>
    <w:rsid w:val="13C3411C"/>
    <w:rsid w:val="13DC7FD1"/>
    <w:rsid w:val="13F14BE0"/>
    <w:rsid w:val="13F7629C"/>
    <w:rsid w:val="13F9306F"/>
    <w:rsid w:val="14461693"/>
    <w:rsid w:val="14492CD6"/>
    <w:rsid w:val="144D21E5"/>
    <w:rsid w:val="147321EF"/>
    <w:rsid w:val="149D0AE7"/>
    <w:rsid w:val="14A01236"/>
    <w:rsid w:val="14A311FF"/>
    <w:rsid w:val="14A624F0"/>
    <w:rsid w:val="14B81AB4"/>
    <w:rsid w:val="14C22F60"/>
    <w:rsid w:val="14C72C92"/>
    <w:rsid w:val="14FB79FC"/>
    <w:rsid w:val="150E6EB8"/>
    <w:rsid w:val="152116FE"/>
    <w:rsid w:val="153B49B1"/>
    <w:rsid w:val="154137DB"/>
    <w:rsid w:val="15491CF9"/>
    <w:rsid w:val="15585E82"/>
    <w:rsid w:val="155D20CA"/>
    <w:rsid w:val="15620E6F"/>
    <w:rsid w:val="157A6ECD"/>
    <w:rsid w:val="15807BD8"/>
    <w:rsid w:val="158C5316"/>
    <w:rsid w:val="159D498A"/>
    <w:rsid w:val="15BD7CC2"/>
    <w:rsid w:val="15BF639B"/>
    <w:rsid w:val="15C60441"/>
    <w:rsid w:val="15F65866"/>
    <w:rsid w:val="160D352C"/>
    <w:rsid w:val="160F5C0D"/>
    <w:rsid w:val="161B7041"/>
    <w:rsid w:val="162A5DFF"/>
    <w:rsid w:val="16435C8A"/>
    <w:rsid w:val="16712320"/>
    <w:rsid w:val="16733F99"/>
    <w:rsid w:val="16BE1A3E"/>
    <w:rsid w:val="16DA1D67"/>
    <w:rsid w:val="16DA3CE8"/>
    <w:rsid w:val="17167F51"/>
    <w:rsid w:val="17210BB7"/>
    <w:rsid w:val="175361C0"/>
    <w:rsid w:val="176B65EE"/>
    <w:rsid w:val="176F1A4E"/>
    <w:rsid w:val="17816282"/>
    <w:rsid w:val="17902301"/>
    <w:rsid w:val="17B00001"/>
    <w:rsid w:val="17C33415"/>
    <w:rsid w:val="18144605"/>
    <w:rsid w:val="18194096"/>
    <w:rsid w:val="18216F40"/>
    <w:rsid w:val="18505EFA"/>
    <w:rsid w:val="185B1342"/>
    <w:rsid w:val="1860175F"/>
    <w:rsid w:val="18651026"/>
    <w:rsid w:val="18704FEB"/>
    <w:rsid w:val="18744007"/>
    <w:rsid w:val="18835BFE"/>
    <w:rsid w:val="189301EE"/>
    <w:rsid w:val="18B96776"/>
    <w:rsid w:val="18CC4658"/>
    <w:rsid w:val="193C2959"/>
    <w:rsid w:val="19A21095"/>
    <w:rsid w:val="19B73355"/>
    <w:rsid w:val="19B81AA1"/>
    <w:rsid w:val="19CD6CAE"/>
    <w:rsid w:val="19CF55EE"/>
    <w:rsid w:val="19FA05D8"/>
    <w:rsid w:val="1A012EEA"/>
    <w:rsid w:val="1A0761F6"/>
    <w:rsid w:val="1A113E67"/>
    <w:rsid w:val="1A274EB5"/>
    <w:rsid w:val="1A7D724D"/>
    <w:rsid w:val="1A943AF7"/>
    <w:rsid w:val="1AA36FC3"/>
    <w:rsid w:val="1AA411C1"/>
    <w:rsid w:val="1AA759C9"/>
    <w:rsid w:val="1AA80E44"/>
    <w:rsid w:val="1ADA6401"/>
    <w:rsid w:val="1AFE1D3D"/>
    <w:rsid w:val="1B02346E"/>
    <w:rsid w:val="1B195C38"/>
    <w:rsid w:val="1B302BE8"/>
    <w:rsid w:val="1B33302E"/>
    <w:rsid w:val="1B475CEB"/>
    <w:rsid w:val="1B4B46D8"/>
    <w:rsid w:val="1B6B68B7"/>
    <w:rsid w:val="1B736034"/>
    <w:rsid w:val="1BBA6460"/>
    <w:rsid w:val="1C306445"/>
    <w:rsid w:val="1C360AEC"/>
    <w:rsid w:val="1C6728EE"/>
    <w:rsid w:val="1C7104B7"/>
    <w:rsid w:val="1C7477A2"/>
    <w:rsid w:val="1C794B4D"/>
    <w:rsid w:val="1C7F277C"/>
    <w:rsid w:val="1CC16191"/>
    <w:rsid w:val="1CDF07BC"/>
    <w:rsid w:val="1CE8524C"/>
    <w:rsid w:val="1D154EB0"/>
    <w:rsid w:val="1D21074D"/>
    <w:rsid w:val="1D2209DD"/>
    <w:rsid w:val="1D252E30"/>
    <w:rsid w:val="1D3075F1"/>
    <w:rsid w:val="1D3425C9"/>
    <w:rsid w:val="1D63026E"/>
    <w:rsid w:val="1D7025D9"/>
    <w:rsid w:val="1D8E1856"/>
    <w:rsid w:val="1D913947"/>
    <w:rsid w:val="1DC77356"/>
    <w:rsid w:val="1E0572E4"/>
    <w:rsid w:val="1E060761"/>
    <w:rsid w:val="1E32497E"/>
    <w:rsid w:val="1E510D0C"/>
    <w:rsid w:val="1E9A2EA4"/>
    <w:rsid w:val="1EA00976"/>
    <w:rsid w:val="1EB2621F"/>
    <w:rsid w:val="1ED43525"/>
    <w:rsid w:val="1ED91699"/>
    <w:rsid w:val="1F02282C"/>
    <w:rsid w:val="1F1915B1"/>
    <w:rsid w:val="1F356A1F"/>
    <w:rsid w:val="1F584EA0"/>
    <w:rsid w:val="1F8E0C6E"/>
    <w:rsid w:val="1F905E56"/>
    <w:rsid w:val="1F9954E9"/>
    <w:rsid w:val="1FB73667"/>
    <w:rsid w:val="1FC1175E"/>
    <w:rsid w:val="1FE20C83"/>
    <w:rsid w:val="2007768E"/>
    <w:rsid w:val="200816B8"/>
    <w:rsid w:val="200F23E0"/>
    <w:rsid w:val="201541EB"/>
    <w:rsid w:val="201D3653"/>
    <w:rsid w:val="202E4B7D"/>
    <w:rsid w:val="202F1568"/>
    <w:rsid w:val="20347628"/>
    <w:rsid w:val="203F0CAA"/>
    <w:rsid w:val="2046436E"/>
    <w:rsid w:val="20636CBF"/>
    <w:rsid w:val="20643DEF"/>
    <w:rsid w:val="207544E1"/>
    <w:rsid w:val="20A61CF0"/>
    <w:rsid w:val="21097572"/>
    <w:rsid w:val="21451656"/>
    <w:rsid w:val="217008EA"/>
    <w:rsid w:val="217D202E"/>
    <w:rsid w:val="21942142"/>
    <w:rsid w:val="219847BB"/>
    <w:rsid w:val="21E23CDF"/>
    <w:rsid w:val="21E96D34"/>
    <w:rsid w:val="21F21D8A"/>
    <w:rsid w:val="222E1ACF"/>
    <w:rsid w:val="22314C2A"/>
    <w:rsid w:val="226202D0"/>
    <w:rsid w:val="2272285F"/>
    <w:rsid w:val="22804C96"/>
    <w:rsid w:val="22A379E2"/>
    <w:rsid w:val="22AB210C"/>
    <w:rsid w:val="22B079AD"/>
    <w:rsid w:val="22CA6328"/>
    <w:rsid w:val="22D16D29"/>
    <w:rsid w:val="22F61413"/>
    <w:rsid w:val="230E078D"/>
    <w:rsid w:val="23485EFB"/>
    <w:rsid w:val="2351194D"/>
    <w:rsid w:val="237C1C42"/>
    <w:rsid w:val="238B1303"/>
    <w:rsid w:val="239105DF"/>
    <w:rsid w:val="23993609"/>
    <w:rsid w:val="23AC3AFD"/>
    <w:rsid w:val="23CE666F"/>
    <w:rsid w:val="23EC39AF"/>
    <w:rsid w:val="24195A89"/>
    <w:rsid w:val="245100DF"/>
    <w:rsid w:val="245E5405"/>
    <w:rsid w:val="246F534D"/>
    <w:rsid w:val="247B337E"/>
    <w:rsid w:val="249D1FB5"/>
    <w:rsid w:val="24A34F2A"/>
    <w:rsid w:val="24AF46C7"/>
    <w:rsid w:val="24E7364D"/>
    <w:rsid w:val="250F1AC0"/>
    <w:rsid w:val="2530781B"/>
    <w:rsid w:val="253B1F59"/>
    <w:rsid w:val="253E439A"/>
    <w:rsid w:val="2540102A"/>
    <w:rsid w:val="2584425C"/>
    <w:rsid w:val="25D05E49"/>
    <w:rsid w:val="25D1521B"/>
    <w:rsid w:val="25DC25E9"/>
    <w:rsid w:val="25EB6089"/>
    <w:rsid w:val="26175C46"/>
    <w:rsid w:val="262B30DA"/>
    <w:rsid w:val="2636468D"/>
    <w:rsid w:val="265E72F5"/>
    <w:rsid w:val="266E549A"/>
    <w:rsid w:val="26991D4F"/>
    <w:rsid w:val="26BE320A"/>
    <w:rsid w:val="26C93DB0"/>
    <w:rsid w:val="26F5531C"/>
    <w:rsid w:val="273D24A7"/>
    <w:rsid w:val="27866227"/>
    <w:rsid w:val="278F7E68"/>
    <w:rsid w:val="27B0283F"/>
    <w:rsid w:val="27D22B63"/>
    <w:rsid w:val="27D42FA7"/>
    <w:rsid w:val="27DC4A42"/>
    <w:rsid w:val="27FA31EE"/>
    <w:rsid w:val="280023AD"/>
    <w:rsid w:val="280C6A98"/>
    <w:rsid w:val="28221788"/>
    <w:rsid w:val="28287B04"/>
    <w:rsid w:val="2848292F"/>
    <w:rsid w:val="28550131"/>
    <w:rsid w:val="2856697C"/>
    <w:rsid w:val="286258C1"/>
    <w:rsid w:val="287D38FB"/>
    <w:rsid w:val="28A8420B"/>
    <w:rsid w:val="28B568D5"/>
    <w:rsid w:val="28CB19EB"/>
    <w:rsid w:val="28CF1781"/>
    <w:rsid w:val="28EF715F"/>
    <w:rsid w:val="28FC339E"/>
    <w:rsid w:val="291C62F7"/>
    <w:rsid w:val="29244687"/>
    <w:rsid w:val="29684C6F"/>
    <w:rsid w:val="2968605F"/>
    <w:rsid w:val="29922A2C"/>
    <w:rsid w:val="29A15300"/>
    <w:rsid w:val="29A8436A"/>
    <w:rsid w:val="29B4047C"/>
    <w:rsid w:val="29C537FA"/>
    <w:rsid w:val="29D136C4"/>
    <w:rsid w:val="29F341A6"/>
    <w:rsid w:val="2A00442A"/>
    <w:rsid w:val="2A0A61FB"/>
    <w:rsid w:val="2A1016C6"/>
    <w:rsid w:val="2A3B2E9B"/>
    <w:rsid w:val="2A54408F"/>
    <w:rsid w:val="2A673735"/>
    <w:rsid w:val="2A996797"/>
    <w:rsid w:val="2AB53CDC"/>
    <w:rsid w:val="2ABF0E41"/>
    <w:rsid w:val="2AD07376"/>
    <w:rsid w:val="2AD524AB"/>
    <w:rsid w:val="2AD87375"/>
    <w:rsid w:val="2AE07E4B"/>
    <w:rsid w:val="2AE3030C"/>
    <w:rsid w:val="2B07191F"/>
    <w:rsid w:val="2B107449"/>
    <w:rsid w:val="2B226E40"/>
    <w:rsid w:val="2B4A4649"/>
    <w:rsid w:val="2BC517DF"/>
    <w:rsid w:val="2BDD1995"/>
    <w:rsid w:val="2BE7133E"/>
    <w:rsid w:val="2BEB3311"/>
    <w:rsid w:val="2C154C0C"/>
    <w:rsid w:val="2C2B1074"/>
    <w:rsid w:val="2C2E3979"/>
    <w:rsid w:val="2C302071"/>
    <w:rsid w:val="2C62300F"/>
    <w:rsid w:val="2C6820E3"/>
    <w:rsid w:val="2C7B7C5B"/>
    <w:rsid w:val="2C88731E"/>
    <w:rsid w:val="2CD35D4A"/>
    <w:rsid w:val="2CD75937"/>
    <w:rsid w:val="2CDD6F8C"/>
    <w:rsid w:val="2CF640B7"/>
    <w:rsid w:val="2D21315C"/>
    <w:rsid w:val="2D325F77"/>
    <w:rsid w:val="2D4135F6"/>
    <w:rsid w:val="2D6B1CB2"/>
    <w:rsid w:val="2D9A7B1B"/>
    <w:rsid w:val="2DC41FF5"/>
    <w:rsid w:val="2DE737E6"/>
    <w:rsid w:val="2E156F69"/>
    <w:rsid w:val="2E3E255E"/>
    <w:rsid w:val="2E4D11FE"/>
    <w:rsid w:val="2E5B1AB0"/>
    <w:rsid w:val="2E637B29"/>
    <w:rsid w:val="2E8F40C4"/>
    <w:rsid w:val="2EBC451F"/>
    <w:rsid w:val="2ED743AA"/>
    <w:rsid w:val="2EF327B8"/>
    <w:rsid w:val="2F08082A"/>
    <w:rsid w:val="2F706E7D"/>
    <w:rsid w:val="2F7232DD"/>
    <w:rsid w:val="2F994FC1"/>
    <w:rsid w:val="2F9A4A47"/>
    <w:rsid w:val="2FC2095B"/>
    <w:rsid w:val="300035D5"/>
    <w:rsid w:val="30036FF6"/>
    <w:rsid w:val="303555C7"/>
    <w:rsid w:val="304E5FBB"/>
    <w:rsid w:val="30910910"/>
    <w:rsid w:val="30C62B96"/>
    <w:rsid w:val="30E92487"/>
    <w:rsid w:val="30F75133"/>
    <w:rsid w:val="31335748"/>
    <w:rsid w:val="318254C8"/>
    <w:rsid w:val="318D4B66"/>
    <w:rsid w:val="319A0B20"/>
    <w:rsid w:val="31A065E5"/>
    <w:rsid w:val="31A11FB3"/>
    <w:rsid w:val="31A949E3"/>
    <w:rsid w:val="31C204AF"/>
    <w:rsid w:val="31DE219E"/>
    <w:rsid w:val="31EA7553"/>
    <w:rsid w:val="322644EF"/>
    <w:rsid w:val="322E389B"/>
    <w:rsid w:val="325133C3"/>
    <w:rsid w:val="325F1090"/>
    <w:rsid w:val="32D03342"/>
    <w:rsid w:val="331B67E6"/>
    <w:rsid w:val="33651A36"/>
    <w:rsid w:val="337E5948"/>
    <w:rsid w:val="339426DE"/>
    <w:rsid w:val="33A74D35"/>
    <w:rsid w:val="33AC2C23"/>
    <w:rsid w:val="33B50017"/>
    <w:rsid w:val="33C05244"/>
    <w:rsid w:val="340622E0"/>
    <w:rsid w:val="34243940"/>
    <w:rsid w:val="344276A7"/>
    <w:rsid w:val="345E3ECA"/>
    <w:rsid w:val="346259EE"/>
    <w:rsid w:val="346642FE"/>
    <w:rsid w:val="34C77D11"/>
    <w:rsid w:val="34EE15EE"/>
    <w:rsid w:val="351D2DF3"/>
    <w:rsid w:val="352970FA"/>
    <w:rsid w:val="355066CA"/>
    <w:rsid w:val="35535186"/>
    <w:rsid w:val="358E15F4"/>
    <w:rsid w:val="35C267C1"/>
    <w:rsid w:val="35CE67F4"/>
    <w:rsid w:val="35F806E5"/>
    <w:rsid w:val="35F90E99"/>
    <w:rsid w:val="35FF78FB"/>
    <w:rsid w:val="36107489"/>
    <w:rsid w:val="365C3163"/>
    <w:rsid w:val="3668091F"/>
    <w:rsid w:val="369A12F2"/>
    <w:rsid w:val="369B76D2"/>
    <w:rsid w:val="36BB69D9"/>
    <w:rsid w:val="36DB39CD"/>
    <w:rsid w:val="36E6529F"/>
    <w:rsid w:val="37156866"/>
    <w:rsid w:val="37352A03"/>
    <w:rsid w:val="373B10A7"/>
    <w:rsid w:val="37531431"/>
    <w:rsid w:val="37635922"/>
    <w:rsid w:val="376F4315"/>
    <w:rsid w:val="377648A1"/>
    <w:rsid w:val="37980946"/>
    <w:rsid w:val="37A778DB"/>
    <w:rsid w:val="37CB1E89"/>
    <w:rsid w:val="37D03331"/>
    <w:rsid w:val="37E13471"/>
    <w:rsid w:val="37EA795C"/>
    <w:rsid w:val="38015653"/>
    <w:rsid w:val="383A1085"/>
    <w:rsid w:val="38464184"/>
    <w:rsid w:val="388A0871"/>
    <w:rsid w:val="38AE2FDE"/>
    <w:rsid w:val="38B14072"/>
    <w:rsid w:val="38B87B35"/>
    <w:rsid w:val="38CE389C"/>
    <w:rsid w:val="38D679F0"/>
    <w:rsid w:val="38F87A81"/>
    <w:rsid w:val="3921557A"/>
    <w:rsid w:val="397F69A7"/>
    <w:rsid w:val="39A73CF9"/>
    <w:rsid w:val="39A83240"/>
    <w:rsid w:val="39B04F29"/>
    <w:rsid w:val="39C07FA2"/>
    <w:rsid w:val="39C930E7"/>
    <w:rsid w:val="39C93F9E"/>
    <w:rsid w:val="3A0347B8"/>
    <w:rsid w:val="3A3B3A70"/>
    <w:rsid w:val="3A6901A6"/>
    <w:rsid w:val="3A7167A8"/>
    <w:rsid w:val="3A793D5D"/>
    <w:rsid w:val="3B121228"/>
    <w:rsid w:val="3B1C0828"/>
    <w:rsid w:val="3B2517EA"/>
    <w:rsid w:val="3B4B0D03"/>
    <w:rsid w:val="3B5A30DF"/>
    <w:rsid w:val="3B6E76FC"/>
    <w:rsid w:val="3B6F3168"/>
    <w:rsid w:val="3B711BBC"/>
    <w:rsid w:val="3B761C1F"/>
    <w:rsid w:val="3B766EC2"/>
    <w:rsid w:val="3B853DBF"/>
    <w:rsid w:val="3B8A3C4E"/>
    <w:rsid w:val="3B940D25"/>
    <w:rsid w:val="3BEE59F2"/>
    <w:rsid w:val="3BFF3617"/>
    <w:rsid w:val="3C042D63"/>
    <w:rsid w:val="3C0910A9"/>
    <w:rsid w:val="3C0C1625"/>
    <w:rsid w:val="3C0F01FD"/>
    <w:rsid w:val="3C175FAA"/>
    <w:rsid w:val="3C201B3C"/>
    <w:rsid w:val="3C2970C0"/>
    <w:rsid w:val="3C7F58D0"/>
    <w:rsid w:val="3C9C6154"/>
    <w:rsid w:val="3CAF17AD"/>
    <w:rsid w:val="3CB74069"/>
    <w:rsid w:val="3CD461EE"/>
    <w:rsid w:val="3CE7736A"/>
    <w:rsid w:val="3CEC23CF"/>
    <w:rsid w:val="3CEC4607"/>
    <w:rsid w:val="3D3F4162"/>
    <w:rsid w:val="3D7F084D"/>
    <w:rsid w:val="3D8C6D07"/>
    <w:rsid w:val="3D906F68"/>
    <w:rsid w:val="3D9564E4"/>
    <w:rsid w:val="3DC82773"/>
    <w:rsid w:val="3E04464D"/>
    <w:rsid w:val="3E1A7DE1"/>
    <w:rsid w:val="3E1F46CA"/>
    <w:rsid w:val="3E35467C"/>
    <w:rsid w:val="3E6636D4"/>
    <w:rsid w:val="3F101758"/>
    <w:rsid w:val="3F39544B"/>
    <w:rsid w:val="3F3B012E"/>
    <w:rsid w:val="3F70674A"/>
    <w:rsid w:val="3F850D51"/>
    <w:rsid w:val="3FBA7BFA"/>
    <w:rsid w:val="3FCB271F"/>
    <w:rsid w:val="3FEA2069"/>
    <w:rsid w:val="3FF13618"/>
    <w:rsid w:val="3FF468D0"/>
    <w:rsid w:val="40100FB7"/>
    <w:rsid w:val="4021590C"/>
    <w:rsid w:val="40295CD4"/>
    <w:rsid w:val="406C0665"/>
    <w:rsid w:val="406C3535"/>
    <w:rsid w:val="4076423A"/>
    <w:rsid w:val="40772818"/>
    <w:rsid w:val="408C131D"/>
    <w:rsid w:val="40937BFF"/>
    <w:rsid w:val="40AB66E9"/>
    <w:rsid w:val="40B05B66"/>
    <w:rsid w:val="40C2596E"/>
    <w:rsid w:val="40D074EF"/>
    <w:rsid w:val="40D07EFD"/>
    <w:rsid w:val="40DA062D"/>
    <w:rsid w:val="40DC77F1"/>
    <w:rsid w:val="410332F2"/>
    <w:rsid w:val="41104447"/>
    <w:rsid w:val="4138050F"/>
    <w:rsid w:val="414E51B4"/>
    <w:rsid w:val="415B5BE5"/>
    <w:rsid w:val="41704C15"/>
    <w:rsid w:val="41845BA0"/>
    <w:rsid w:val="419F0436"/>
    <w:rsid w:val="41C612EC"/>
    <w:rsid w:val="41EB202B"/>
    <w:rsid w:val="423D6600"/>
    <w:rsid w:val="424D224F"/>
    <w:rsid w:val="42551EA9"/>
    <w:rsid w:val="42676605"/>
    <w:rsid w:val="427D5DCD"/>
    <w:rsid w:val="42833F2C"/>
    <w:rsid w:val="428C5433"/>
    <w:rsid w:val="42CC5941"/>
    <w:rsid w:val="42E579BE"/>
    <w:rsid w:val="43165A9D"/>
    <w:rsid w:val="432C659B"/>
    <w:rsid w:val="43551D39"/>
    <w:rsid w:val="437445E4"/>
    <w:rsid w:val="438E142F"/>
    <w:rsid w:val="43A830DF"/>
    <w:rsid w:val="43A85796"/>
    <w:rsid w:val="43BA32CA"/>
    <w:rsid w:val="43BA782C"/>
    <w:rsid w:val="43C025A0"/>
    <w:rsid w:val="43D86C2F"/>
    <w:rsid w:val="43D940D4"/>
    <w:rsid w:val="43F04F2F"/>
    <w:rsid w:val="43FA6F49"/>
    <w:rsid w:val="441A0206"/>
    <w:rsid w:val="441C4C12"/>
    <w:rsid w:val="441F3011"/>
    <w:rsid w:val="442A4738"/>
    <w:rsid w:val="442D235D"/>
    <w:rsid w:val="444B1319"/>
    <w:rsid w:val="44645AC9"/>
    <w:rsid w:val="44650F3F"/>
    <w:rsid w:val="44865C7B"/>
    <w:rsid w:val="44E41455"/>
    <w:rsid w:val="44E86ADA"/>
    <w:rsid w:val="45044262"/>
    <w:rsid w:val="451C070E"/>
    <w:rsid w:val="455F1559"/>
    <w:rsid w:val="459C4696"/>
    <w:rsid w:val="45AC4E6E"/>
    <w:rsid w:val="45B746DA"/>
    <w:rsid w:val="45B80DA5"/>
    <w:rsid w:val="45F27331"/>
    <w:rsid w:val="462C2AE7"/>
    <w:rsid w:val="464B1DF7"/>
    <w:rsid w:val="465F60F6"/>
    <w:rsid w:val="46CF406D"/>
    <w:rsid w:val="46D93ADB"/>
    <w:rsid w:val="4703731C"/>
    <w:rsid w:val="47792ECE"/>
    <w:rsid w:val="4794337F"/>
    <w:rsid w:val="479C33A6"/>
    <w:rsid w:val="47D66715"/>
    <w:rsid w:val="47ED7E4A"/>
    <w:rsid w:val="48073E38"/>
    <w:rsid w:val="483F75F8"/>
    <w:rsid w:val="485506F5"/>
    <w:rsid w:val="488F12B1"/>
    <w:rsid w:val="48AD1D9D"/>
    <w:rsid w:val="48D21E9C"/>
    <w:rsid w:val="49131272"/>
    <w:rsid w:val="49280EA3"/>
    <w:rsid w:val="494303AB"/>
    <w:rsid w:val="494D4BDB"/>
    <w:rsid w:val="4979273A"/>
    <w:rsid w:val="4983262C"/>
    <w:rsid w:val="498D0070"/>
    <w:rsid w:val="49A2234A"/>
    <w:rsid w:val="49C95ADB"/>
    <w:rsid w:val="49CC1B42"/>
    <w:rsid w:val="4A3309D2"/>
    <w:rsid w:val="4A4C5229"/>
    <w:rsid w:val="4A514059"/>
    <w:rsid w:val="4A633B90"/>
    <w:rsid w:val="4AC464A4"/>
    <w:rsid w:val="4AC46F4D"/>
    <w:rsid w:val="4AD06758"/>
    <w:rsid w:val="4ADB2144"/>
    <w:rsid w:val="4AFC68BB"/>
    <w:rsid w:val="4AFE5A9C"/>
    <w:rsid w:val="4B1947F1"/>
    <w:rsid w:val="4B25285E"/>
    <w:rsid w:val="4B3305E7"/>
    <w:rsid w:val="4B523D1F"/>
    <w:rsid w:val="4B555BCF"/>
    <w:rsid w:val="4B832BC4"/>
    <w:rsid w:val="4B873D96"/>
    <w:rsid w:val="4BC27116"/>
    <w:rsid w:val="4BC85879"/>
    <w:rsid w:val="4BD97325"/>
    <w:rsid w:val="4BE0283D"/>
    <w:rsid w:val="4C0810B0"/>
    <w:rsid w:val="4C2E7602"/>
    <w:rsid w:val="4C331FB2"/>
    <w:rsid w:val="4C570E1C"/>
    <w:rsid w:val="4C62533E"/>
    <w:rsid w:val="4C7102C8"/>
    <w:rsid w:val="4C7B2B06"/>
    <w:rsid w:val="4CC37467"/>
    <w:rsid w:val="4D023E62"/>
    <w:rsid w:val="4D100197"/>
    <w:rsid w:val="4D162706"/>
    <w:rsid w:val="4D5D520F"/>
    <w:rsid w:val="4D5F478F"/>
    <w:rsid w:val="4D933FD7"/>
    <w:rsid w:val="4DB26CE3"/>
    <w:rsid w:val="4DCB3F26"/>
    <w:rsid w:val="4E022ABD"/>
    <w:rsid w:val="4E1B3A89"/>
    <w:rsid w:val="4E306FA9"/>
    <w:rsid w:val="4E404F6A"/>
    <w:rsid w:val="4ED905C3"/>
    <w:rsid w:val="4EDC6B43"/>
    <w:rsid w:val="4EDF6CF2"/>
    <w:rsid w:val="4EE01C53"/>
    <w:rsid w:val="4F2C1696"/>
    <w:rsid w:val="4F426DCF"/>
    <w:rsid w:val="4F632D5C"/>
    <w:rsid w:val="4F6D3D85"/>
    <w:rsid w:val="4FAF1F20"/>
    <w:rsid w:val="4FB74DC9"/>
    <w:rsid w:val="4FBD0D8C"/>
    <w:rsid w:val="4FDB4904"/>
    <w:rsid w:val="4FF16F94"/>
    <w:rsid w:val="4FF5626C"/>
    <w:rsid w:val="50055A34"/>
    <w:rsid w:val="50177C97"/>
    <w:rsid w:val="504725E4"/>
    <w:rsid w:val="504E3428"/>
    <w:rsid w:val="50532ED8"/>
    <w:rsid w:val="505C77D3"/>
    <w:rsid w:val="506557EA"/>
    <w:rsid w:val="50836AA9"/>
    <w:rsid w:val="50A548CE"/>
    <w:rsid w:val="50AA5AE5"/>
    <w:rsid w:val="50AD15F0"/>
    <w:rsid w:val="50CD0BAD"/>
    <w:rsid w:val="50E013D8"/>
    <w:rsid w:val="50EE182F"/>
    <w:rsid w:val="50F05E6E"/>
    <w:rsid w:val="50F24F31"/>
    <w:rsid w:val="5106297C"/>
    <w:rsid w:val="51124210"/>
    <w:rsid w:val="512E48E5"/>
    <w:rsid w:val="51435F1D"/>
    <w:rsid w:val="51606CE5"/>
    <w:rsid w:val="516E7783"/>
    <w:rsid w:val="518554F0"/>
    <w:rsid w:val="518D2B21"/>
    <w:rsid w:val="51CD0128"/>
    <w:rsid w:val="51DA2677"/>
    <w:rsid w:val="51F87826"/>
    <w:rsid w:val="52065E75"/>
    <w:rsid w:val="52083FBD"/>
    <w:rsid w:val="521F426E"/>
    <w:rsid w:val="522074F9"/>
    <w:rsid w:val="52571024"/>
    <w:rsid w:val="52595FA5"/>
    <w:rsid w:val="52715934"/>
    <w:rsid w:val="529245B1"/>
    <w:rsid w:val="52CA0823"/>
    <w:rsid w:val="52D651BF"/>
    <w:rsid w:val="52FA6A02"/>
    <w:rsid w:val="52FC7036"/>
    <w:rsid w:val="53094A77"/>
    <w:rsid w:val="53491C96"/>
    <w:rsid w:val="53672882"/>
    <w:rsid w:val="53761CED"/>
    <w:rsid w:val="5379208F"/>
    <w:rsid w:val="537B71CA"/>
    <w:rsid w:val="539E4BBE"/>
    <w:rsid w:val="53B43F7C"/>
    <w:rsid w:val="53BA5279"/>
    <w:rsid w:val="53C36E76"/>
    <w:rsid w:val="53D55EA6"/>
    <w:rsid w:val="53DA113F"/>
    <w:rsid w:val="53E90768"/>
    <w:rsid w:val="53E917BB"/>
    <w:rsid w:val="53FC493E"/>
    <w:rsid w:val="541E22A0"/>
    <w:rsid w:val="542B2D98"/>
    <w:rsid w:val="542B6B1A"/>
    <w:rsid w:val="543A21EA"/>
    <w:rsid w:val="545D78A2"/>
    <w:rsid w:val="54794946"/>
    <w:rsid w:val="549039E0"/>
    <w:rsid w:val="54996AE7"/>
    <w:rsid w:val="54D322B1"/>
    <w:rsid w:val="54E07F1A"/>
    <w:rsid w:val="54F91C1A"/>
    <w:rsid w:val="55225FCB"/>
    <w:rsid w:val="552474C7"/>
    <w:rsid w:val="552A4A85"/>
    <w:rsid w:val="554535B7"/>
    <w:rsid w:val="556041A5"/>
    <w:rsid w:val="556239E2"/>
    <w:rsid w:val="55644E74"/>
    <w:rsid w:val="55BC323D"/>
    <w:rsid w:val="55CE0325"/>
    <w:rsid w:val="55D879E4"/>
    <w:rsid w:val="55E313BC"/>
    <w:rsid w:val="560B273A"/>
    <w:rsid w:val="56265473"/>
    <w:rsid w:val="56490020"/>
    <w:rsid w:val="564A0B43"/>
    <w:rsid w:val="567629CE"/>
    <w:rsid w:val="568D6699"/>
    <w:rsid w:val="56925B4E"/>
    <w:rsid w:val="56B377DF"/>
    <w:rsid w:val="57121C67"/>
    <w:rsid w:val="571959BE"/>
    <w:rsid w:val="57322383"/>
    <w:rsid w:val="573C398C"/>
    <w:rsid w:val="575224CC"/>
    <w:rsid w:val="57774210"/>
    <w:rsid w:val="57A041EE"/>
    <w:rsid w:val="57BE635C"/>
    <w:rsid w:val="57C87271"/>
    <w:rsid w:val="57E623D3"/>
    <w:rsid w:val="580F6E94"/>
    <w:rsid w:val="58167612"/>
    <w:rsid w:val="583317DB"/>
    <w:rsid w:val="58495B2B"/>
    <w:rsid w:val="587E0945"/>
    <w:rsid w:val="58855967"/>
    <w:rsid w:val="589C4523"/>
    <w:rsid w:val="58A83E89"/>
    <w:rsid w:val="58BF2036"/>
    <w:rsid w:val="58EB5B20"/>
    <w:rsid w:val="58FE70C5"/>
    <w:rsid w:val="592B583B"/>
    <w:rsid w:val="59316C77"/>
    <w:rsid w:val="59352B9C"/>
    <w:rsid w:val="59446029"/>
    <w:rsid w:val="59450902"/>
    <w:rsid w:val="596606D9"/>
    <w:rsid w:val="596738CC"/>
    <w:rsid w:val="598B4BF5"/>
    <w:rsid w:val="598C2402"/>
    <w:rsid w:val="59B75146"/>
    <w:rsid w:val="59C12FB7"/>
    <w:rsid w:val="59DF4591"/>
    <w:rsid w:val="59E145D5"/>
    <w:rsid w:val="59E74E45"/>
    <w:rsid w:val="59EA3823"/>
    <w:rsid w:val="59FA0FFD"/>
    <w:rsid w:val="5A031379"/>
    <w:rsid w:val="5A3113F7"/>
    <w:rsid w:val="5A4D17C1"/>
    <w:rsid w:val="5A6F12AE"/>
    <w:rsid w:val="5A8803F4"/>
    <w:rsid w:val="5A883D64"/>
    <w:rsid w:val="5A8A2D83"/>
    <w:rsid w:val="5A9F2E6A"/>
    <w:rsid w:val="5AAE38A2"/>
    <w:rsid w:val="5AB6428F"/>
    <w:rsid w:val="5AB657D7"/>
    <w:rsid w:val="5ABF66FF"/>
    <w:rsid w:val="5AC401E7"/>
    <w:rsid w:val="5ADC327C"/>
    <w:rsid w:val="5AED6AD6"/>
    <w:rsid w:val="5AFA5EE2"/>
    <w:rsid w:val="5B036231"/>
    <w:rsid w:val="5B2C50E4"/>
    <w:rsid w:val="5B4B66A7"/>
    <w:rsid w:val="5B4F6AF7"/>
    <w:rsid w:val="5B5418F7"/>
    <w:rsid w:val="5B8816A9"/>
    <w:rsid w:val="5BAF2D13"/>
    <w:rsid w:val="5BC70B2B"/>
    <w:rsid w:val="5BE04A8A"/>
    <w:rsid w:val="5C07178B"/>
    <w:rsid w:val="5C0A1D64"/>
    <w:rsid w:val="5C16499B"/>
    <w:rsid w:val="5C404771"/>
    <w:rsid w:val="5C9D1F3A"/>
    <w:rsid w:val="5CA0283D"/>
    <w:rsid w:val="5CAE5C9B"/>
    <w:rsid w:val="5CD57859"/>
    <w:rsid w:val="5CFC109F"/>
    <w:rsid w:val="5D162219"/>
    <w:rsid w:val="5D5A1DE6"/>
    <w:rsid w:val="5D7A42B2"/>
    <w:rsid w:val="5D830A97"/>
    <w:rsid w:val="5D8F2C7D"/>
    <w:rsid w:val="5DA23AD8"/>
    <w:rsid w:val="5DA4513B"/>
    <w:rsid w:val="5DA96369"/>
    <w:rsid w:val="5DB22A0D"/>
    <w:rsid w:val="5DC56AC7"/>
    <w:rsid w:val="5DD52C7F"/>
    <w:rsid w:val="5DDF6784"/>
    <w:rsid w:val="5DE93056"/>
    <w:rsid w:val="5DEE17A1"/>
    <w:rsid w:val="5DF11787"/>
    <w:rsid w:val="5E104FD0"/>
    <w:rsid w:val="5E201EB5"/>
    <w:rsid w:val="5E20532C"/>
    <w:rsid w:val="5E206C8A"/>
    <w:rsid w:val="5E387AC8"/>
    <w:rsid w:val="5E4C4CAF"/>
    <w:rsid w:val="5E646D1E"/>
    <w:rsid w:val="5E676DD0"/>
    <w:rsid w:val="5E9C15B7"/>
    <w:rsid w:val="5EA86964"/>
    <w:rsid w:val="5EB92A59"/>
    <w:rsid w:val="5EF665DA"/>
    <w:rsid w:val="5F2A2BC0"/>
    <w:rsid w:val="5F2D0A20"/>
    <w:rsid w:val="5F3F2252"/>
    <w:rsid w:val="5F506981"/>
    <w:rsid w:val="5F67093A"/>
    <w:rsid w:val="5F6E01D2"/>
    <w:rsid w:val="5F702FF1"/>
    <w:rsid w:val="5F741157"/>
    <w:rsid w:val="5F887A42"/>
    <w:rsid w:val="5F8D54B7"/>
    <w:rsid w:val="5F93775D"/>
    <w:rsid w:val="5F9B58C4"/>
    <w:rsid w:val="5FAC55AE"/>
    <w:rsid w:val="5FC1218B"/>
    <w:rsid w:val="5FC20B0B"/>
    <w:rsid w:val="5FC87DF3"/>
    <w:rsid w:val="5FFD1635"/>
    <w:rsid w:val="60107195"/>
    <w:rsid w:val="602E1B5A"/>
    <w:rsid w:val="60534363"/>
    <w:rsid w:val="608F46D6"/>
    <w:rsid w:val="60D428D9"/>
    <w:rsid w:val="61241E74"/>
    <w:rsid w:val="612C7258"/>
    <w:rsid w:val="615715FA"/>
    <w:rsid w:val="61580A4B"/>
    <w:rsid w:val="617501C1"/>
    <w:rsid w:val="61A2701B"/>
    <w:rsid w:val="61AC3914"/>
    <w:rsid w:val="61B81281"/>
    <w:rsid w:val="61C86F78"/>
    <w:rsid w:val="61D258E3"/>
    <w:rsid w:val="61D34AF9"/>
    <w:rsid w:val="623F1C3E"/>
    <w:rsid w:val="626F038D"/>
    <w:rsid w:val="62745E47"/>
    <w:rsid w:val="6318215C"/>
    <w:rsid w:val="631A0B14"/>
    <w:rsid w:val="635E00FF"/>
    <w:rsid w:val="63CE6A42"/>
    <w:rsid w:val="63E82C2E"/>
    <w:rsid w:val="63F311B3"/>
    <w:rsid w:val="63F5714F"/>
    <w:rsid w:val="64335A10"/>
    <w:rsid w:val="643739A8"/>
    <w:rsid w:val="64492E5C"/>
    <w:rsid w:val="64595C2C"/>
    <w:rsid w:val="648A4B3C"/>
    <w:rsid w:val="64AA720F"/>
    <w:rsid w:val="64B91BC4"/>
    <w:rsid w:val="64DC41C5"/>
    <w:rsid w:val="64ED2CF1"/>
    <w:rsid w:val="650F1820"/>
    <w:rsid w:val="652F0DE7"/>
    <w:rsid w:val="654A79CF"/>
    <w:rsid w:val="655F1AE9"/>
    <w:rsid w:val="65BD2897"/>
    <w:rsid w:val="65C86E43"/>
    <w:rsid w:val="65CE3A8E"/>
    <w:rsid w:val="65DB6A30"/>
    <w:rsid w:val="65E43C2D"/>
    <w:rsid w:val="660D0D24"/>
    <w:rsid w:val="6610477E"/>
    <w:rsid w:val="664044D4"/>
    <w:rsid w:val="665A4132"/>
    <w:rsid w:val="666838E7"/>
    <w:rsid w:val="666C646C"/>
    <w:rsid w:val="667A011A"/>
    <w:rsid w:val="66993F11"/>
    <w:rsid w:val="66BB5427"/>
    <w:rsid w:val="66D075E7"/>
    <w:rsid w:val="66D22D0B"/>
    <w:rsid w:val="66E75BE0"/>
    <w:rsid w:val="671660B5"/>
    <w:rsid w:val="672E4B50"/>
    <w:rsid w:val="67356C13"/>
    <w:rsid w:val="67732E14"/>
    <w:rsid w:val="677636C5"/>
    <w:rsid w:val="679C714C"/>
    <w:rsid w:val="679D6AF9"/>
    <w:rsid w:val="67AB6E4B"/>
    <w:rsid w:val="67D65BC6"/>
    <w:rsid w:val="67F37354"/>
    <w:rsid w:val="680D5F54"/>
    <w:rsid w:val="681236F4"/>
    <w:rsid w:val="682C5066"/>
    <w:rsid w:val="683F6ED7"/>
    <w:rsid w:val="684B3025"/>
    <w:rsid w:val="68747BD8"/>
    <w:rsid w:val="688239D1"/>
    <w:rsid w:val="68B506C2"/>
    <w:rsid w:val="68B97E18"/>
    <w:rsid w:val="68E4720D"/>
    <w:rsid w:val="69195D89"/>
    <w:rsid w:val="693D0244"/>
    <w:rsid w:val="69487AC2"/>
    <w:rsid w:val="69666808"/>
    <w:rsid w:val="696A6941"/>
    <w:rsid w:val="696B5389"/>
    <w:rsid w:val="698B2F43"/>
    <w:rsid w:val="69A06DA2"/>
    <w:rsid w:val="69AF1E82"/>
    <w:rsid w:val="69BF42B1"/>
    <w:rsid w:val="69DC1B63"/>
    <w:rsid w:val="69E66720"/>
    <w:rsid w:val="69FE4D74"/>
    <w:rsid w:val="6A174AFA"/>
    <w:rsid w:val="6A3C33DE"/>
    <w:rsid w:val="6A4A3C55"/>
    <w:rsid w:val="6A8317BE"/>
    <w:rsid w:val="6A932E15"/>
    <w:rsid w:val="6A9C5300"/>
    <w:rsid w:val="6B0A1759"/>
    <w:rsid w:val="6B0C6BA4"/>
    <w:rsid w:val="6B1E7F72"/>
    <w:rsid w:val="6B20385E"/>
    <w:rsid w:val="6B267794"/>
    <w:rsid w:val="6B4073A8"/>
    <w:rsid w:val="6B7A4C92"/>
    <w:rsid w:val="6B9F3F28"/>
    <w:rsid w:val="6BC4254A"/>
    <w:rsid w:val="6BD2516B"/>
    <w:rsid w:val="6BDA53A3"/>
    <w:rsid w:val="6BE65C64"/>
    <w:rsid w:val="6C147A93"/>
    <w:rsid w:val="6C4031A0"/>
    <w:rsid w:val="6C7B054B"/>
    <w:rsid w:val="6C946195"/>
    <w:rsid w:val="6CED7FE2"/>
    <w:rsid w:val="6D0E7C73"/>
    <w:rsid w:val="6D1674E0"/>
    <w:rsid w:val="6D1A0413"/>
    <w:rsid w:val="6D282574"/>
    <w:rsid w:val="6D6E7452"/>
    <w:rsid w:val="6D7F027A"/>
    <w:rsid w:val="6D806684"/>
    <w:rsid w:val="6D8807CC"/>
    <w:rsid w:val="6DBF1F1C"/>
    <w:rsid w:val="6DF90DFC"/>
    <w:rsid w:val="6E0C3167"/>
    <w:rsid w:val="6E3E7F8B"/>
    <w:rsid w:val="6E5A4318"/>
    <w:rsid w:val="6E761999"/>
    <w:rsid w:val="6E8B2E97"/>
    <w:rsid w:val="6E8F062E"/>
    <w:rsid w:val="6EAF10B5"/>
    <w:rsid w:val="6EB1401F"/>
    <w:rsid w:val="6EE37288"/>
    <w:rsid w:val="6EED62E3"/>
    <w:rsid w:val="6EF53B3C"/>
    <w:rsid w:val="6EFB0656"/>
    <w:rsid w:val="6F000329"/>
    <w:rsid w:val="6F0C0A71"/>
    <w:rsid w:val="6F28489D"/>
    <w:rsid w:val="6F423E6F"/>
    <w:rsid w:val="6F486DCC"/>
    <w:rsid w:val="6F4C29A7"/>
    <w:rsid w:val="6FC742B7"/>
    <w:rsid w:val="6FC757B4"/>
    <w:rsid w:val="6FE93CD6"/>
    <w:rsid w:val="6FF033C7"/>
    <w:rsid w:val="6FF44B4A"/>
    <w:rsid w:val="7005474A"/>
    <w:rsid w:val="70115191"/>
    <w:rsid w:val="702F740D"/>
    <w:rsid w:val="703D50B9"/>
    <w:rsid w:val="70496DEE"/>
    <w:rsid w:val="70502EDB"/>
    <w:rsid w:val="70527CD6"/>
    <w:rsid w:val="708C3333"/>
    <w:rsid w:val="70D932AB"/>
    <w:rsid w:val="71117455"/>
    <w:rsid w:val="715C382B"/>
    <w:rsid w:val="71950A73"/>
    <w:rsid w:val="71D07A9E"/>
    <w:rsid w:val="71D12CA5"/>
    <w:rsid w:val="71D139CB"/>
    <w:rsid w:val="71D62D16"/>
    <w:rsid w:val="71E10E5F"/>
    <w:rsid w:val="71F033AD"/>
    <w:rsid w:val="72025094"/>
    <w:rsid w:val="72165678"/>
    <w:rsid w:val="721C4D44"/>
    <w:rsid w:val="72326905"/>
    <w:rsid w:val="72366D6A"/>
    <w:rsid w:val="72492A74"/>
    <w:rsid w:val="726B72E8"/>
    <w:rsid w:val="72710D21"/>
    <w:rsid w:val="7273785A"/>
    <w:rsid w:val="728614E5"/>
    <w:rsid w:val="7292206D"/>
    <w:rsid w:val="729F3BF6"/>
    <w:rsid w:val="72A53A09"/>
    <w:rsid w:val="72A64E75"/>
    <w:rsid w:val="72AA5244"/>
    <w:rsid w:val="72B020DF"/>
    <w:rsid w:val="72B252D4"/>
    <w:rsid w:val="72C46456"/>
    <w:rsid w:val="72EE509C"/>
    <w:rsid w:val="72FA7AC5"/>
    <w:rsid w:val="735F1BDD"/>
    <w:rsid w:val="737722D7"/>
    <w:rsid w:val="73834987"/>
    <w:rsid w:val="738370B6"/>
    <w:rsid w:val="73925BAA"/>
    <w:rsid w:val="73F164DA"/>
    <w:rsid w:val="740D45B9"/>
    <w:rsid w:val="74283869"/>
    <w:rsid w:val="7432313D"/>
    <w:rsid w:val="745A23B1"/>
    <w:rsid w:val="746216B1"/>
    <w:rsid w:val="74642285"/>
    <w:rsid w:val="747967F1"/>
    <w:rsid w:val="747C2EBD"/>
    <w:rsid w:val="7486249F"/>
    <w:rsid w:val="74AB0D74"/>
    <w:rsid w:val="74AF45D6"/>
    <w:rsid w:val="74B263C2"/>
    <w:rsid w:val="74E8615B"/>
    <w:rsid w:val="75030E64"/>
    <w:rsid w:val="750F08C7"/>
    <w:rsid w:val="753048AD"/>
    <w:rsid w:val="75381C1F"/>
    <w:rsid w:val="753F32E7"/>
    <w:rsid w:val="75400A5F"/>
    <w:rsid w:val="75770905"/>
    <w:rsid w:val="75824D9D"/>
    <w:rsid w:val="75956B8A"/>
    <w:rsid w:val="759C390E"/>
    <w:rsid w:val="759E5BA0"/>
    <w:rsid w:val="75A230C3"/>
    <w:rsid w:val="75F061FF"/>
    <w:rsid w:val="76212B75"/>
    <w:rsid w:val="7650683E"/>
    <w:rsid w:val="76513647"/>
    <w:rsid w:val="769A2923"/>
    <w:rsid w:val="76A076F1"/>
    <w:rsid w:val="76A26B77"/>
    <w:rsid w:val="76D06619"/>
    <w:rsid w:val="76D35A76"/>
    <w:rsid w:val="76EA6B52"/>
    <w:rsid w:val="77564FC0"/>
    <w:rsid w:val="77625D56"/>
    <w:rsid w:val="77896AA4"/>
    <w:rsid w:val="7797237E"/>
    <w:rsid w:val="77D05213"/>
    <w:rsid w:val="77DC4AD7"/>
    <w:rsid w:val="780264D2"/>
    <w:rsid w:val="78346907"/>
    <w:rsid w:val="78464877"/>
    <w:rsid w:val="785116D4"/>
    <w:rsid w:val="78517245"/>
    <w:rsid w:val="78827DAA"/>
    <w:rsid w:val="78B57239"/>
    <w:rsid w:val="78D66832"/>
    <w:rsid w:val="79002122"/>
    <w:rsid w:val="792675C1"/>
    <w:rsid w:val="79396CAF"/>
    <w:rsid w:val="7954379C"/>
    <w:rsid w:val="795F7B1D"/>
    <w:rsid w:val="7988270D"/>
    <w:rsid w:val="7992390B"/>
    <w:rsid w:val="79B7201F"/>
    <w:rsid w:val="79C01938"/>
    <w:rsid w:val="79CA5FA9"/>
    <w:rsid w:val="79E0038D"/>
    <w:rsid w:val="7A36378E"/>
    <w:rsid w:val="7A3674E1"/>
    <w:rsid w:val="7A421502"/>
    <w:rsid w:val="7A583C2F"/>
    <w:rsid w:val="7A700169"/>
    <w:rsid w:val="7A7311FF"/>
    <w:rsid w:val="7A80094C"/>
    <w:rsid w:val="7A821EE5"/>
    <w:rsid w:val="7A8D4A9C"/>
    <w:rsid w:val="7ABB6F4D"/>
    <w:rsid w:val="7AD325F0"/>
    <w:rsid w:val="7AD64DB6"/>
    <w:rsid w:val="7B0257FA"/>
    <w:rsid w:val="7B1C1411"/>
    <w:rsid w:val="7B1D208B"/>
    <w:rsid w:val="7B791678"/>
    <w:rsid w:val="7BA543C8"/>
    <w:rsid w:val="7BC15E4F"/>
    <w:rsid w:val="7C0C1B9F"/>
    <w:rsid w:val="7C357ED5"/>
    <w:rsid w:val="7C4F211F"/>
    <w:rsid w:val="7C52568F"/>
    <w:rsid w:val="7C823371"/>
    <w:rsid w:val="7CA16C7F"/>
    <w:rsid w:val="7CBD4A32"/>
    <w:rsid w:val="7D004CB1"/>
    <w:rsid w:val="7D1B5B54"/>
    <w:rsid w:val="7D240F5F"/>
    <w:rsid w:val="7D320491"/>
    <w:rsid w:val="7D33235A"/>
    <w:rsid w:val="7D343B1A"/>
    <w:rsid w:val="7D435F90"/>
    <w:rsid w:val="7D4D282D"/>
    <w:rsid w:val="7D6A05D4"/>
    <w:rsid w:val="7D86694D"/>
    <w:rsid w:val="7DA27530"/>
    <w:rsid w:val="7DB165C4"/>
    <w:rsid w:val="7DB47549"/>
    <w:rsid w:val="7DBA6ED4"/>
    <w:rsid w:val="7DE47912"/>
    <w:rsid w:val="7E026997"/>
    <w:rsid w:val="7E1647E5"/>
    <w:rsid w:val="7E813212"/>
    <w:rsid w:val="7E90265F"/>
    <w:rsid w:val="7EA20A7E"/>
    <w:rsid w:val="7EB34C9F"/>
    <w:rsid w:val="7EC15935"/>
    <w:rsid w:val="7EE3706A"/>
    <w:rsid w:val="7EEA0DCC"/>
    <w:rsid w:val="7F110969"/>
    <w:rsid w:val="7F28589F"/>
    <w:rsid w:val="7F383B46"/>
    <w:rsid w:val="7F45445C"/>
    <w:rsid w:val="7F58347D"/>
    <w:rsid w:val="7F650577"/>
    <w:rsid w:val="7F88606E"/>
    <w:rsid w:val="7FAE16CA"/>
    <w:rsid w:val="7FCB1385"/>
    <w:rsid w:val="7FF27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3">
    <w:name w:val="heading 1"/>
    <w:basedOn w:val="1"/>
    <w:next w:val="1"/>
    <w:qFormat/>
    <w:uiPriority w:val="0"/>
    <w:pPr>
      <w:keepNext/>
      <w:numPr>
        <w:ilvl w:val="0"/>
        <w:numId w:val="1"/>
      </w:numPr>
      <w:topLinePunct/>
      <w:adjustRightInd w:val="0"/>
      <w:spacing w:beforeLines="50" w:afterLines="50" w:line="240" w:lineRule="auto"/>
      <w:ind w:firstLine="0" w:firstLineChars="0"/>
      <w:jc w:val="left"/>
      <w:textAlignment w:val="center"/>
      <w:outlineLvl w:val="0"/>
    </w:pPr>
    <w:rPr>
      <w:b/>
      <w:bCs/>
      <w:snapToGrid w:val="0"/>
      <w:kern w:val="0"/>
      <w:sz w:val="28"/>
      <w:szCs w:val="32"/>
    </w:rPr>
  </w:style>
  <w:style w:type="paragraph" w:styleId="4">
    <w:name w:val="heading 2"/>
    <w:basedOn w:val="1"/>
    <w:next w:val="1"/>
    <w:qFormat/>
    <w:uiPriority w:val="0"/>
    <w:pPr>
      <w:keepNext/>
      <w:keepLines/>
      <w:numPr>
        <w:ilvl w:val="1"/>
        <w:numId w:val="1"/>
      </w:numPr>
      <w:topLinePunct/>
      <w:adjustRightInd w:val="0"/>
      <w:snapToGrid w:val="0"/>
      <w:spacing w:beforeLines="50" w:afterLines="50" w:line="240" w:lineRule="auto"/>
      <w:ind w:firstLine="0" w:firstLineChars="0"/>
      <w:jc w:val="left"/>
      <w:textAlignment w:val="center"/>
      <w:outlineLvl w:val="1"/>
    </w:pPr>
    <w:rPr>
      <w:rFonts w:cs="宋体"/>
      <w:b/>
      <w:bCs/>
      <w:color w:val="000000"/>
      <w:kern w:val="0"/>
      <w:sz w:val="28"/>
      <w:szCs w:val="32"/>
    </w:rPr>
  </w:style>
  <w:style w:type="paragraph" w:styleId="5">
    <w:name w:val="heading 3"/>
    <w:basedOn w:val="1"/>
    <w:next w:val="1"/>
    <w:qFormat/>
    <w:uiPriority w:val="0"/>
    <w:pPr>
      <w:keepNext/>
      <w:keepLines/>
      <w:topLinePunct/>
      <w:adjustRightInd w:val="0"/>
      <w:snapToGrid w:val="0"/>
      <w:ind w:firstLine="0" w:firstLineChars="0"/>
      <w:jc w:val="left"/>
      <w:textAlignment w:val="center"/>
      <w:outlineLvl w:val="2"/>
    </w:pPr>
    <w:rPr>
      <w:b/>
      <w:bCs/>
      <w:sz w:val="28"/>
      <w:szCs w:val="28"/>
      <w:lang w:val="sv-SE"/>
    </w:rPr>
  </w:style>
  <w:style w:type="paragraph" w:styleId="6">
    <w:name w:val="heading 4"/>
    <w:basedOn w:val="1"/>
    <w:next w:val="1"/>
    <w:qFormat/>
    <w:uiPriority w:val="0"/>
    <w:pPr>
      <w:keepNext/>
      <w:keepLines/>
      <w:numPr>
        <w:ilvl w:val="3"/>
        <w:numId w:val="1"/>
      </w:numPr>
      <w:tabs>
        <w:tab w:val="left" w:pos="426"/>
      </w:tabs>
      <w:topLinePunct/>
      <w:adjustRightInd w:val="0"/>
      <w:snapToGrid w:val="0"/>
      <w:spacing w:line="480" w:lineRule="atLeast"/>
      <w:ind w:left="0" w:firstLine="0" w:firstLineChars="0"/>
      <w:textAlignment w:val="center"/>
      <w:outlineLvl w:val="3"/>
    </w:pPr>
    <w:rPr>
      <w:b/>
      <w:bCs/>
      <w:lang w:val="sv-SE"/>
    </w:rPr>
  </w:style>
  <w:style w:type="paragraph" w:styleId="7">
    <w:name w:val="heading 5"/>
    <w:basedOn w:val="1"/>
    <w:next w:val="1"/>
    <w:qFormat/>
    <w:uiPriority w:val="0"/>
    <w:pPr>
      <w:keepNext/>
      <w:keepLines/>
      <w:numPr>
        <w:ilvl w:val="4"/>
        <w:numId w:val="1"/>
      </w:numPr>
      <w:tabs>
        <w:tab w:val="left" w:pos="709"/>
      </w:tabs>
      <w:topLinePunct/>
      <w:adjustRightInd w:val="0"/>
      <w:snapToGrid w:val="0"/>
      <w:spacing w:line="480" w:lineRule="atLeast"/>
      <w:ind w:left="142" w:firstLine="0" w:firstLineChars="0"/>
      <w:textAlignment w:val="center"/>
      <w:outlineLvl w:val="4"/>
    </w:pPr>
    <w:rPr>
      <w:b/>
      <w:bCs/>
      <w:szCs w:val="28"/>
    </w:rPr>
  </w:style>
  <w:style w:type="paragraph" w:styleId="8">
    <w:name w:val="heading 6"/>
    <w:basedOn w:val="1"/>
    <w:next w:val="1"/>
    <w:qFormat/>
    <w:uiPriority w:val="0"/>
    <w:pPr>
      <w:keepNext/>
      <w:keepLines/>
      <w:spacing w:before="240" w:after="64" w:line="320" w:lineRule="atLeast"/>
      <w:outlineLvl w:val="5"/>
    </w:pPr>
    <w:rPr>
      <w:rFonts w:ascii="Cambria" w:hAnsi="Cambria"/>
      <w:b/>
      <w:bCs/>
    </w:rPr>
  </w:style>
  <w:style w:type="paragraph" w:styleId="9">
    <w:name w:val="heading 7"/>
    <w:basedOn w:val="1"/>
    <w:next w:val="1"/>
    <w:qFormat/>
    <w:uiPriority w:val="0"/>
    <w:pPr>
      <w:keepNext/>
      <w:keepLines/>
      <w:spacing w:before="240" w:after="64" w:line="320" w:lineRule="atLeast"/>
      <w:outlineLvl w:val="6"/>
    </w:pPr>
    <w:rPr>
      <w:b/>
      <w:bCs/>
    </w:rPr>
  </w:style>
  <w:style w:type="paragraph" w:styleId="10">
    <w:name w:val="heading 8"/>
    <w:basedOn w:val="1"/>
    <w:next w:val="1"/>
    <w:qFormat/>
    <w:uiPriority w:val="0"/>
    <w:pPr>
      <w:keepNext/>
      <w:keepLines/>
      <w:spacing w:before="240" w:after="64" w:line="320" w:lineRule="atLeast"/>
      <w:outlineLvl w:val="7"/>
    </w:pPr>
    <w:rPr>
      <w:rFonts w:ascii="Cambria" w:hAnsi="Cambria"/>
    </w:rPr>
  </w:style>
  <w:style w:type="paragraph" w:styleId="11">
    <w:name w:val="heading 9"/>
    <w:basedOn w:val="1"/>
    <w:next w:val="1"/>
    <w:qFormat/>
    <w:uiPriority w:val="0"/>
    <w:pPr>
      <w:keepNext/>
      <w:keepLines/>
      <w:spacing w:before="240" w:after="64" w:line="320" w:lineRule="atLeast"/>
      <w:outlineLvl w:val="8"/>
    </w:pPr>
    <w:rPr>
      <w:rFonts w:ascii="Cambria" w:hAnsi="Cambria"/>
      <w:sz w:val="21"/>
      <w:szCs w:val="21"/>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2">
    <w:name w:val="正文-公1"/>
    <w:basedOn w:val="1"/>
    <w:qFormat/>
    <w:uiPriority w:val="0"/>
    <w:pPr>
      <w:ind w:firstLine="200" w:firstLineChars="200"/>
    </w:pPr>
    <w:rPr>
      <w:rFonts w:ascii="Calibri" w:hAnsi="Calibri" w:eastAsia="宋体" w:cs="Calibri"/>
      <w:color w:val="000000"/>
      <w:szCs w:val="21"/>
    </w:rPr>
  </w:style>
  <w:style w:type="paragraph" w:styleId="12">
    <w:name w:val="toc 7"/>
    <w:basedOn w:val="1"/>
    <w:next w:val="1"/>
    <w:semiHidden/>
    <w:qFormat/>
    <w:uiPriority w:val="0"/>
    <w:pPr>
      <w:spacing w:line="240" w:lineRule="auto"/>
      <w:ind w:left="1260" w:firstLine="0" w:firstLineChars="0"/>
      <w:jc w:val="left"/>
    </w:pPr>
    <w:rPr>
      <w:sz w:val="18"/>
      <w:szCs w:val="18"/>
    </w:rPr>
  </w:style>
  <w:style w:type="paragraph" w:styleId="13">
    <w:name w:val="Normal Indent"/>
    <w:basedOn w:val="1"/>
    <w:semiHidden/>
    <w:qFormat/>
    <w:uiPriority w:val="0"/>
    <w:pPr>
      <w:spacing w:line="240" w:lineRule="auto"/>
      <w:ind w:firstLine="420"/>
    </w:pPr>
    <w:rPr>
      <w:sz w:val="21"/>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semiHidden/>
    <w:qFormat/>
    <w:uiPriority w:val="0"/>
    <w:pPr>
      <w:shd w:val="clear" w:color="auto" w:fill="000080"/>
    </w:pPr>
  </w:style>
  <w:style w:type="paragraph" w:styleId="16">
    <w:name w:val="annotation text"/>
    <w:basedOn w:val="1"/>
    <w:semiHidden/>
    <w:qFormat/>
    <w:uiPriority w:val="0"/>
    <w:pPr>
      <w:jc w:val="left"/>
    </w:pPr>
  </w:style>
  <w:style w:type="paragraph" w:styleId="17">
    <w:name w:val="Body Text"/>
    <w:basedOn w:val="1"/>
    <w:qFormat/>
    <w:uiPriority w:val="0"/>
    <w:pPr>
      <w:spacing w:after="120"/>
    </w:pPr>
  </w:style>
  <w:style w:type="paragraph" w:styleId="18">
    <w:name w:val="Body Text Indent"/>
    <w:basedOn w:val="1"/>
    <w:semiHidden/>
    <w:qFormat/>
    <w:uiPriority w:val="0"/>
    <w:pPr>
      <w:spacing w:after="120" w:line="240" w:lineRule="auto"/>
      <w:ind w:left="420" w:leftChars="200" w:firstLine="0" w:firstLineChars="0"/>
    </w:pPr>
    <w:rPr>
      <w:sz w:val="21"/>
    </w:rPr>
  </w:style>
  <w:style w:type="paragraph" w:styleId="19">
    <w:name w:val="toc 5"/>
    <w:basedOn w:val="1"/>
    <w:next w:val="1"/>
    <w:semiHidden/>
    <w:qFormat/>
    <w:uiPriority w:val="0"/>
    <w:pPr>
      <w:spacing w:line="240" w:lineRule="auto"/>
      <w:ind w:left="840" w:firstLine="0" w:firstLineChars="0"/>
      <w:jc w:val="left"/>
    </w:pPr>
    <w:rPr>
      <w:sz w:val="18"/>
      <w:szCs w:val="18"/>
    </w:rPr>
  </w:style>
  <w:style w:type="paragraph" w:styleId="20">
    <w:name w:val="toc 3"/>
    <w:basedOn w:val="1"/>
    <w:next w:val="1"/>
    <w:qFormat/>
    <w:uiPriority w:val="39"/>
    <w:pPr>
      <w:tabs>
        <w:tab w:val="right" w:leader="dot" w:pos="9288"/>
      </w:tabs>
      <w:ind w:right="43" w:rightChars="18" w:firstLine="210" w:firstLineChars="100"/>
      <w:jc w:val="distribute"/>
    </w:pPr>
    <w:rPr>
      <w:iCs/>
      <w:sz w:val="21"/>
      <w:szCs w:val="20"/>
    </w:rPr>
  </w:style>
  <w:style w:type="paragraph" w:styleId="21">
    <w:name w:val="toc 8"/>
    <w:basedOn w:val="1"/>
    <w:next w:val="1"/>
    <w:semiHidden/>
    <w:qFormat/>
    <w:uiPriority w:val="0"/>
    <w:pPr>
      <w:spacing w:line="240" w:lineRule="auto"/>
      <w:ind w:left="1470" w:firstLine="0" w:firstLineChars="0"/>
      <w:jc w:val="left"/>
    </w:pPr>
    <w:rPr>
      <w:sz w:val="18"/>
      <w:szCs w:val="18"/>
    </w:rPr>
  </w:style>
  <w:style w:type="paragraph" w:styleId="22">
    <w:name w:val="Date"/>
    <w:basedOn w:val="1"/>
    <w:next w:val="1"/>
    <w:semiHidden/>
    <w:qFormat/>
    <w:uiPriority w:val="0"/>
    <w:pPr>
      <w:spacing w:line="240" w:lineRule="auto"/>
      <w:ind w:firstLine="0" w:firstLineChars="0"/>
    </w:pPr>
    <w:rPr>
      <w:rFonts w:ascii="宋体"/>
      <w:sz w:val="21"/>
      <w:szCs w:val="20"/>
    </w:rPr>
  </w:style>
  <w:style w:type="paragraph" w:styleId="23">
    <w:name w:val="Body Text Indent 2"/>
    <w:basedOn w:val="1"/>
    <w:semiHidden/>
    <w:qFormat/>
    <w:uiPriority w:val="0"/>
    <w:pPr>
      <w:spacing w:after="120" w:line="480" w:lineRule="auto"/>
      <w:ind w:left="420" w:leftChars="200" w:firstLine="0" w:firstLineChars="0"/>
    </w:pPr>
    <w:rPr>
      <w:sz w:val="21"/>
    </w:rPr>
  </w:style>
  <w:style w:type="paragraph" w:styleId="24">
    <w:name w:val="Balloon Text"/>
    <w:basedOn w:val="1"/>
    <w:semiHidden/>
    <w:qFormat/>
    <w:uiPriority w:val="0"/>
    <w:rPr>
      <w:sz w:val="18"/>
      <w:szCs w:val="18"/>
    </w:rPr>
  </w:style>
  <w:style w:type="paragraph" w:styleId="25">
    <w:name w:val="footer"/>
    <w:basedOn w:val="1"/>
    <w:semiHidden/>
    <w:qFormat/>
    <w:uiPriority w:val="0"/>
    <w:pPr>
      <w:tabs>
        <w:tab w:val="center" w:pos="4153"/>
        <w:tab w:val="right" w:pos="8306"/>
      </w:tabs>
      <w:snapToGrid w:val="0"/>
      <w:spacing w:line="240" w:lineRule="atLeast"/>
      <w:jc w:val="left"/>
    </w:pPr>
    <w:rPr>
      <w:sz w:val="18"/>
      <w:szCs w:val="18"/>
    </w:rPr>
  </w:style>
  <w:style w:type="paragraph" w:styleId="26">
    <w:name w:val="header"/>
    <w:basedOn w:val="1"/>
    <w:semiHidden/>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7">
    <w:name w:val="toc 1"/>
    <w:basedOn w:val="1"/>
    <w:next w:val="1"/>
    <w:qFormat/>
    <w:uiPriority w:val="39"/>
    <w:pPr>
      <w:tabs>
        <w:tab w:val="left" w:pos="630"/>
        <w:tab w:val="right" w:leader="dot" w:pos="9288"/>
      </w:tabs>
      <w:ind w:firstLine="0" w:firstLineChars="0"/>
      <w:jc w:val="left"/>
    </w:pPr>
    <w:rPr>
      <w:b/>
      <w:bCs/>
      <w:caps/>
      <w:szCs w:val="20"/>
    </w:rPr>
  </w:style>
  <w:style w:type="paragraph" w:styleId="28">
    <w:name w:val="toc 4"/>
    <w:basedOn w:val="1"/>
    <w:next w:val="1"/>
    <w:semiHidden/>
    <w:qFormat/>
    <w:uiPriority w:val="0"/>
    <w:pPr>
      <w:spacing w:line="240" w:lineRule="auto"/>
      <w:ind w:left="630" w:firstLine="0" w:firstLineChars="0"/>
      <w:jc w:val="left"/>
    </w:pPr>
    <w:rPr>
      <w:sz w:val="18"/>
      <w:szCs w:val="18"/>
    </w:rPr>
  </w:style>
  <w:style w:type="paragraph" w:styleId="29">
    <w:name w:val="toc 6"/>
    <w:basedOn w:val="1"/>
    <w:next w:val="1"/>
    <w:semiHidden/>
    <w:qFormat/>
    <w:uiPriority w:val="0"/>
    <w:pPr>
      <w:spacing w:line="240" w:lineRule="auto"/>
      <w:ind w:left="1050" w:firstLine="0" w:firstLineChars="0"/>
      <w:jc w:val="left"/>
    </w:pPr>
    <w:rPr>
      <w:sz w:val="18"/>
      <w:szCs w:val="18"/>
    </w:rPr>
  </w:style>
  <w:style w:type="paragraph" w:styleId="30">
    <w:name w:val="toc 2"/>
    <w:basedOn w:val="1"/>
    <w:next w:val="1"/>
    <w:qFormat/>
    <w:uiPriority w:val="39"/>
    <w:pPr>
      <w:tabs>
        <w:tab w:val="left" w:pos="1050"/>
        <w:tab w:val="right" w:leader="dot" w:pos="9288"/>
      </w:tabs>
      <w:ind w:firstLine="100" w:firstLineChars="100"/>
      <w:jc w:val="left"/>
    </w:pPr>
    <w:rPr>
      <w:smallCaps/>
      <w:sz w:val="21"/>
      <w:szCs w:val="20"/>
    </w:rPr>
  </w:style>
  <w:style w:type="paragraph" w:styleId="31">
    <w:name w:val="toc 9"/>
    <w:basedOn w:val="1"/>
    <w:next w:val="1"/>
    <w:semiHidden/>
    <w:qFormat/>
    <w:uiPriority w:val="0"/>
    <w:pPr>
      <w:spacing w:line="240" w:lineRule="auto"/>
      <w:ind w:left="1680" w:firstLine="0" w:firstLineChars="0"/>
      <w:jc w:val="left"/>
    </w:pPr>
    <w:rPr>
      <w:sz w:val="18"/>
      <w:szCs w:val="18"/>
    </w:rPr>
  </w:style>
  <w:style w:type="paragraph" w:styleId="32">
    <w:name w:val="index 1"/>
    <w:basedOn w:val="1"/>
    <w:next w:val="1"/>
    <w:unhideWhenUsed/>
    <w:qFormat/>
    <w:uiPriority w:val="99"/>
    <w:rPr>
      <w:szCs w:val="20"/>
    </w:rPr>
  </w:style>
  <w:style w:type="paragraph" w:styleId="33">
    <w:name w:val="annotation subject"/>
    <w:basedOn w:val="16"/>
    <w:next w:val="16"/>
    <w:semiHidden/>
    <w:qFormat/>
    <w:uiPriority w:val="0"/>
    <w:rPr>
      <w:b/>
      <w:bCs/>
    </w:rPr>
  </w:style>
  <w:style w:type="table" w:styleId="35">
    <w:name w:val="Table Grid"/>
    <w:basedOn w:val="34"/>
    <w:qFormat/>
    <w:uiPriority w:val="0"/>
    <w:pPr>
      <w:widowControl w:val="0"/>
      <w:spacing w:line="480" w:lineRule="exac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bCs/>
    </w:rPr>
  </w:style>
  <w:style w:type="character" w:styleId="38">
    <w:name w:val="page number"/>
    <w:basedOn w:val="36"/>
    <w:semiHidden/>
    <w:qFormat/>
    <w:uiPriority w:val="0"/>
  </w:style>
  <w:style w:type="character" w:styleId="39">
    <w:name w:val="Hyperlink"/>
    <w:qFormat/>
    <w:uiPriority w:val="99"/>
    <w:rPr>
      <w:color w:val="0000FF"/>
      <w:u w:val="single"/>
    </w:rPr>
  </w:style>
  <w:style w:type="character" w:styleId="40">
    <w:name w:val="annotation reference"/>
    <w:semiHidden/>
    <w:qFormat/>
    <w:uiPriority w:val="0"/>
    <w:rPr>
      <w:sz w:val="21"/>
      <w:szCs w:val="21"/>
    </w:rPr>
  </w:style>
  <w:style w:type="character" w:customStyle="1" w:styleId="41">
    <w:name w:val="标题 1 Char"/>
    <w:qFormat/>
    <w:uiPriority w:val="0"/>
    <w:rPr>
      <w:b/>
      <w:bCs/>
      <w:snapToGrid w:val="0"/>
      <w:sz w:val="28"/>
      <w:szCs w:val="32"/>
    </w:rPr>
  </w:style>
  <w:style w:type="character" w:customStyle="1" w:styleId="42">
    <w:name w:val="“上标”样式"/>
    <w:qFormat/>
    <w:uiPriority w:val="0"/>
    <w:rPr>
      <w:rFonts w:ascii="Times New Roman" w:hAnsi="Times New Roman" w:eastAsia="宋体"/>
      <w:sz w:val="24"/>
      <w:vertAlign w:val="superscript"/>
    </w:rPr>
  </w:style>
  <w:style w:type="character" w:customStyle="1" w:styleId="43">
    <w:name w:val="“下标”样式"/>
    <w:qFormat/>
    <w:uiPriority w:val="0"/>
    <w:rPr>
      <w:vertAlign w:val="subscript"/>
    </w:rPr>
  </w:style>
  <w:style w:type="paragraph" w:customStyle="1" w:styleId="44">
    <w:name w:val="正文文字样式"/>
    <w:basedOn w:val="1"/>
    <w:qFormat/>
    <w:uiPriority w:val="0"/>
    <w:pPr>
      <w:ind w:firstLine="480"/>
    </w:pPr>
  </w:style>
  <w:style w:type="paragraph" w:customStyle="1" w:styleId="45">
    <w:name w:val="项目符号"/>
    <w:basedOn w:val="1"/>
    <w:qFormat/>
    <w:uiPriority w:val="0"/>
    <w:pPr>
      <w:numPr>
        <w:ilvl w:val="0"/>
        <w:numId w:val="2"/>
      </w:numPr>
      <w:ind w:firstLine="0" w:firstLineChars="0"/>
    </w:pPr>
  </w:style>
  <w:style w:type="paragraph" w:customStyle="1" w:styleId="46">
    <w:name w:val="封面一级标题文字"/>
    <w:basedOn w:val="44"/>
    <w:qFormat/>
    <w:uiPriority w:val="0"/>
    <w:pPr>
      <w:spacing w:line="640" w:lineRule="exact"/>
      <w:ind w:firstLine="0" w:firstLineChars="0"/>
      <w:jc w:val="center"/>
    </w:pPr>
    <w:rPr>
      <w:rFonts w:ascii="黑体" w:hAnsi="黑体" w:eastAsia="黑体"/>
      <w:b/>
      <w:bCs/>
      <w:sz w:val="52"/>
    </w:rPr>
  </w:style>
  <w:style w:type="paragraph" w:customStyle="1" w:styleId="47">
    <w:name w:val="封面二级标题文字"/>
    <w:basedOn w:val="44"/>
    <w:semiHidden/>
    <w:qFormat/>
    <w:uiPriority w:val="0"/>
    <w:pPr>
      <w:ind w:firstLine="0" w:firstLineChars="0"/>
      <w:jc w:val="center"/>
    </w:pPr>
    <w:rPr>
      <w:rFonts w:ascii="黑体" w:eastAsia="黑体"/>
      <w:b/>
      <w:sz w:val="44"/>
      <w:szCs w:val="44"/>
    </w:rPr>
  </w:style>
  <w:style w:type="paragraph" w:customStyle="1" w:styleId="48">
    <w:name w:val="封面文档编号"/>
    <w:basedOn w:val="44"/>
    <w:semiHidden/>
    <w:qFormat/>
    <w:uiPriority w:val="0"/>
    <w:pPr>
      <w:spacing w:line="640" w:lineRule="exact"/>
      <w:ind w:firstLine="0" w:firstLineChars="0"/>
      <w:jc w:val="center"/>
    </w:pPr>
    <w:rPr>
      <w:rFonts w:ascii="黑体" w:eastAsia="黑体"/>
      <w:b/>
      <w:sz w:val="32"/>
      <w:szCs w:val="32"/>
    </w:rPr>
  </w:style>
  <w:style w:type="paragraph" w:customStyle="1" w:styleId="49">
    <w:name w:val="封面“EPC联合体”中文文字"/>
    <w:basedOn w:val="44"/>
    <w:semiHidden/>
    <w:qFormat/>
    <w:uiPriority w:val="0"/>
    <w:pPr>
      <w:ind w:firstLine="0" w:firstLineChars="0"/>
      <w:jc w:val="center"/>
    </w:pPr>
    <w:rPr>
      <w:rFonts w:hAnsi="宋体"/>
      <w:b/>
      <w:sz w:val="32"/>
      <w:szCs w:val="32"/>
    </w:rPr>
  </w:style>
  <w:style w:type="paragraph" w:customStyle="1" w:styleId="50">
    <w:name w:val="封面日期地点文字"/>
    <w:basedOn w:val="44"/>
    <w:semiHidden/>
    <w:qFormat/>
    <w:uiPriority w:val="0"/>
    <w:pPr>
      <w:spacing w:line="360" w:lineRule="exact"/>
      <w:ind w:firstLine="0" w:firstLineChars="0"/>
      <w:jc w:val="center"/>
    </w:pPr>
    <w:rPr>
      <w:sz w:val="32"/>
      <w:szCs w:val="32"/>
    </w:rPr>
  </w:style>
  <w:style w:type="paragraph" w:customStyle="1" w:styleId="51">
    <w:name w:val="封面“EPC联合体”西文文字"/>
    <w:basedOn w:val="49"/>
    <w:semiHidden/>
    <w:qFormat/>
    <w:uiPriority w:val="0"/>
    <w:rPr>
      <w:rFonts w:hAnsi="Times New Roman"/>
    </w:rPr>
  </w:style>
  <w:style w:type="character" w:customStyle="1" w:styleId="52">
    <w:name w:val="正文文字样式 Char Char"/>
    <w:qFormat/>
    <w:uiPriority w:val="0"/>
    <w:rPr>
      <w:rFonts w:eastAsia="宋体"/>
      <w:kern w:val="2"/>
      <w:sz w:val="24"/>
      <w:szCs w:val="24"/>
      <w:lang w:val="en-US" w:eastAsia="zh-CN" w:bidi="ar-SA"/>
    </w:rPr>
  </w:style>
  <w:style w:type="character" w:customStyle="1" w:styleId="53">
    <w:name w:val="封面“EPC联合体”中文文字 Char Char"/>
    <w:qFormat/>
    <w:uiPriority w:val="0"/>
    <w:rPr>
      <w:rFonts w:hAnsi="宋体" w:eastAsia="宋体"/>
      <w:b/>
      <w:kern w:val="2"/>
      <w:sz w:val="32"/>
      <w:szCs w:val="32"/>
      <w:lang w:val="en-US" w:eastAsia="zh-CN" w:bidi="ar-SA"/>
    </w:rPr>
  </w:style>
  <w:style w:type="character" w:customStyle="1" w:styleId="54">
    <w:name w:val="封面“EPC联合体”西文文字 Char Char"/>
    <w:basedOn w:val="53"/>
    <w:qFormat/>
    <w:uiPriority w:val="0"/>
    <w:rPr>
      <w:rFonts w:hAnsi="宋体" w:eastAsia="宋体"/>
      <w:kern w:val="2"/>
      <w:sz w:val="32"/>
      <w:szCs w:val="32"/>
      <w:lang w:val="en-US" w:eastAsia="zh-CN" w:bidi="ar-SA"/>
    </w:rPr>
  </w:style>
  <w:style w:type="paragraph" w:customStyle="1" w:styleId="55">
    <w:name w:val="签名页文字"/>
    <w:basedOn w:val="44"/>
    <w:semiHidden/>
    <w:qFormat/>
    <w:uiPriority w:val="0"/>
    <w:pPr>
      <w:spacing w:line="600" w:lineRule="exact"/>
      <w:ind w:left="1100" w:leftChars="1100" w:firstLine="0" w:firstLineChars="0"/>
    </w:pPr>
    <w:rPr>
      <w:sz w:val="32"/>
      <w:szCs w:val="32"/>
    </w:rPr>
  </w:style>
  <w:style w:type="paragraph" w:customStyle="1" w:styleId="56">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57">
    <w:name w:val="版本记录标题文字"/>
    <w:basedOn w:val="1"/>
    <w:semiHidden/>
    <w:qFormat/>
    <w:uiPriority w:val="0"/>
    <w:pPr>
      <w:ind w:firstLine="0" w:firstLineChars="0"/>
    </w:pPr>
  </w:style>
  <w:style w:type="paragraph" w:customStyle="1" w:styleId="58">
    <w:name w:val="版本记录表格内文字"/>
    <w:basedOn w:val="1"/>
    <w:semiHidden/>
    <w:qFormat/>
    <w:uiPriority w:val="0"/>
    <w:pPr>
      <w:spacing w:line="360" w:lineRule="auto"/>
      <w:ind w:firstLine="0" w:firstLineChars="0"/>
      <w:jc w:val="center"/>
    </w:pPr>
  </w:style>
  <w:style w:type="paragraph" w:customStyle="1" w:styleId="59">
    <w:name w:val="“目录”"/>
    <w:basedOn w:val="44"/>
    <w:semiHidden/>
    <w:qFormat/>
    <w:uiPriority w:val="0"/>
    <w:pPr>
      <w:ind w:firstLine="0" w:firstLineChars="0"/>
      <w:jc w:val="center"/>
    </w:pPr>
    <w:rPr>
      <w:b/>
      <w:sz w:val="44"/>
    </w:rPr>
  </w:style>
  <w:style w:type="paragraph" w:customStyle="1" w:styleId="60">
    <w:name w:val="1级列项"/>
    <w:basedOn w:val="44"/>
    <w:qFormat/>
    <w:uiPriority w:val="0"/>
    <w:pPr>
      <w:numPr>
        <w:ilvl w:val="0"/>
        <w:numId w:val="3"/>
      </w:numPr>
      <w:ind w:firstLine="0" w:firstLineChars="0"/>
    </w:pPr>
  </w:style>
  <w:style w:type="paragraph" w:customStyle="1" w:styleId="61">
    <w:name w:val="2级列项"/>
    <w:basedOn w:val="60"/>
    <w:qFormat/>
    <w:uiPriority w:val="0"/>
    <w:pPr>
      <w:numPr>
        <w:ilvl w:val="1"/>
      </w:numPr>
    </w:pPr>
  </w:style>
  <w:style w:type="paragraph" w:customStyle="1" w:styleId="62">
    <w:name w:val="图名/表名/表头样式"/>
    <w:basedOn w:val="44"/>
    <w:qFormat/>
    <w:uiPriority w:val="0"/>
    <w:pPr>
      <w:ind w:firstLine="0" w:firstLineChars="0"/>
      <w:jc w:val="center"/>
    </w:pPr>
    <w:rPr>
      <w:b/>
      <w:sz w:val="21"/>
      <w:szCs w:val="21"/>
    </w:rPr>
  </w:style>
  <w:style w:type="paragraph" w:customStyle="1" w:styleId="63">
    <w:name w:val="表格文字样式"/>
    <w:basedOn w:val="44"/>
    <w:qFormat/>
    <w:uiPriority w:val="0"/>
    <w:pPr>
      <w:ind w:firstLine="0" w:firstLineChars="0"/>
    </w:pPr>
    <w:rPr>
      <w:sz w:val="21"/>
      <w:szCs w:val="21"/>
    </w:rPr>
  </w:style>
  <w:style w:type="paragraph" w:customStyle="1" w:styleId="64">
    <w:name w:val="样式 正文缩进正文（首行缩进两字）四号特点标题4表正文正文非缩进缩进ALT+Z段1正文不缩进特点 Char..."/>
    <w:basedOn w:val="13"/>
    <w:qFormat/>
    <w:uiPriority w:val="0"/>
    <w:pPr>
      <w:spacing w:line="360" w:lineRule="auto"/>
      <w:ind w:firstLine="480"/>
    </w:pPr>
    <w:rPr>
      <w:rFonts w:ascii="宋体" w:hAnsi="宋体" w:cs="宋体"/>
      <w:sz w:val="24"/>
      <w:szCs w:val="20"/>
    </w:rPr>
  </w:style>
  <w:style w:type="paragraph" w:customStyle="1" w:styleId="65">
    <w:name w:val="表正文"/>
    <w:basedOn w:val="1"/>
    <w:next w:val="23"/>
    <w:qFormat/>
    <w:uiPriority w:val="0"/>
    <w:pPr>
      <w:spacing w:line="240" w:lineRule="auto"/>
      <w:ind w:firstLine="570" w:firstLineChars="0"/>
    </w:pPr>
    <w:rPr>
      <w:sz w:val="28"/>
      <w:szCs w:val="20"/>
    </w:rPr>
  </w:style>
  <w:style w:type="character" w:customStyle="1" w:styleId="66">
    <w:name w:val="日期 Char"/>
    <w:qFormat/>
    <w:uiPriority w:val="0"/>
    <w:rPr>
      <w:rFonts w:ascii="宋体"/>
      <w:kern w:val="2"/>
      <w:sz w:val="21"/>
    </w:rPr>
  </w:style>
  <w:style w:type="paragraph" w:customStyle="1" w:styleId="67">
    <w:name w:val="样式1"/>
    <w:basedOn w:val="1"/>
    <w:qFormat/>
    <w:uiPriority w:val="0"/>
    <w:pPr>
      <w:spacing w:line="360" w:lineRule="auto"/>
      <w:ind w:firstLine="425" w:firstLineChars="0"/>
    </w:pPr>
    <w:rPr>
      <w:szCs w:val="20"/>
    </w:rPr>
  </w:style>
  <w:style w:type="character" w:customStyle="1" w:styleId="68">
    <w:name w:val="正文文本缩进 Char"/>
    <w:qFormat/>
    <w:uiPriority w:val="0"/>
    <w:rPr>
      <w:kern w:val="2"/>
      <w:sz w:val="21"/>
      <w:szCs w:val="24"/>
    </w:rPr>
  </w:style>
  <w:style w:type="character" w:customStyle="1" w:styleId="69">
    <w:name w:val="正文文本缩进 2 Char"/>
    <w:qFormat/>
    <w:uiPriority w:val="0"/>
    <w:rPr>
      <w:kern w:val="2"/>
      <w:sz w:val="21"/>
      <w:szCs w:val="24"/>
    </w:rPr>
  </w:style>
  <w:style w:type="character" w:customStyle="1" w:styleId="70">
    <w:name w:val="标题 2 Char"/>
    <w:qFormat/>
    <w:uiPriority w:val="0"/>
    <w:rPr>
      <w:rFonts w:cs="宋体"/>
      <w:b/>
      <w:bCs/>
      <w:color w:val="000000"/>
      <w:sz w:val="28"/>
      <w:szCs w:val="32"/>
    </w:rPr>
  </w:style>
  <w:style w:type="character" w:customStyle="1" w:styleId="71">
    <w:name w:val="标题 3 Char"/>
    <w:qFormat/>
    <w:uiPriority w:val="0"/>
    <w:rPr>
      <w:b/>
      <w:bCs/>
      <w:kern w:val="2"/>
      <w:sz w:val="28"/>
      <w:szCs w:val="28"/>
      <w:lang w:val="sv-SE"/>
    </w:rPr>
  </w:style>
  <w:style w:type="character" w:customStyle="1" w:styleId="72">
    <w:name w:val="标题 4 Char"/>
    <w:qFormat/>
    <w:uiPriority w:val="0"/>
    <w:rPr>
      <w:b/>
      <w:bCs/>
      <w:kern w:val="2"/>
      <w:sz w:val="24"/>
      <w:szCs w:val="24"/>
      <w:lang w:val="sv-SE"/>
    </w:rPr>
  </w:style>
  <w:style w:type="character" w:customStyle="1" w:styleId="73">
    <w:name w:val="标题 5 Char"/>
    <w:qFormat/>
    <w:uiPriority w:val="0"/>
    <w:rPr>
      <w:b/>
      <w:bCs/>
      <w:kern w:val="2"/>
      <w:sz w:val="24"/>
      <w:szCs w:val="28"/>
    </w:rPr>
  </w:style>
  <w:style w:type="character" w:customStyle="1" w:styleId="74">
    <w:name w:val="标题 6 Char"/>
    <w:semiHidden/>
    <w:qFormat/>
    <w:uiPriority w:val="0"/>
    <w:rPr>
      <w:rFonts w:ascii="Cambria" w:hAnsi="Cambria" w:eastAsia="宋体" w:cs="Times New Roman"/>
      <w:b/>
      <w:bCs/>
      <w:kern w:val="2"/>
      <w:sz w:val="24"/>
      <w:szCs w:val="24"/>
    </w:rPr>
  </w:style>
  <w:style w:type="character" w:customStyle="1" w:styleId="75">
    <w:name w:val="标题 7 Char"/>
    <w:semiHidden/>
    <w:qFormat/>
    <w:uiPriority w:val="0"/>
    <w:rPr>
      <w:b/>
      <w:bCs/>
      <w:kern w:val="2"/>
      <w:sz w:val="24"/>
      <w:szCs w:val="24"/>
    </w:rPr>
  </w:style>
  <w:style w:type="character" w:customStyle="1" w:styleId="76">
    <w:name w:val="标题 8 Char"/>
    <w:semiHidden/>
    <w:qFormat/>
    <w:uiPriority w:val="0"/>
    <w:rPr>
      <w:rFonts w:ascii="Cambria" w:hAnsi="Cambria" w:eastAsia="宋体" w:cs="Times New Roman"/>
      <w:kern w:val="2"/>
      <w:sz w:val="24"/>
      <w:szCs w:val="24"/>
    </w:rPr>
  </w:style>
  <w:style w:type="character" w:customStyle="1" w:styleId="77">
    <w:name w:val="标题 9 Char"/>
    <w:semiHidden/>
    <w:qFormat/>
    <w:uiPriority w:val="0"/>
    <w:rPr>
      <w:rFonts w:ascii="Cambria" w:hAnsi="Cambria" w:eastAsia="宋体" w:cs="Times New Roman"/>
      <w:kern w:val="2"/>
      <w:sz w:val="21"/>
      <w:szCs w:val="21"/>
    </w:rPr>
  </w:style>
  <w:style w:type="paragraph" w:customStyle="1" w:styleId="78">
    <w:name w:val="GEDI一级标题"/>
    <w:basedOn w:val="3"/>
    <w:qFormat/>
    <w:uiPriority w:val="0"/>
    <w:pPr>
      <w:numPr>
        <w:numId w:val="0"/>
      </w:numPr>
    </w:pPr>
  </w:style>
  <w:style w:type="character" w:customStyle="1" w:styleId="79">
    <w:name w:val="GEDI一级标题 Char"/>
    <w:basedOn w:val="41"/>
    <w:qFormat/>
    <w:uiPriority w:val="0"/>
    <w:rPr>
      <w:snapToGrid w:val="0"/>
      <w:sz w:val="28"/>
      <w:szCs w:val="32"/>
    </w:rPr>
  </w:style>
  <w:style w:type="paragraph" w:customStyle="1" w:styleId="80">
    <w:name w:val="GEDI二级标题"/>
    <w:basedOn w:val="4"/>
    <w:qFormat/>
    <w:uiPriority w:val="0"/>
    <w:pPr>
      <w:numPr>
        <w:ilvl w:val="0"/>
        <w:numId w:val="0"/>
      </w:numPr>
    </w:pPr>
  </w:style>
  <w:style w:type="character" w:customStyle="1" w:styleId="81">
    <w:name w:val="GEDI二级标题 Char"/>
    <w:basedOn w:val="70"/>
    <w:qFormat/>
    <w:uiPriority w:val="0"/>
    <w:rPr>
      <w:rFonts w:cs="宋体"/>
      <w:color w:val="000000"/>
      <w:sz w:val="28"/>
      <w:szCs w:val="32"/>
    </w:rPr>
  </w:style>
  <w:style w:type="paragraph" w:customStyle="1" w:styleId="82">
    <w:name w:val="GEDI三级标题"/>
    <w:basedOn w:val="5"/>
    <w:qFormat/>
    <w:uiPriority w:val="0"/>
  </w:style>
  <w:style w:type="character" w:customStyle="1" w:styleId="83">
    <w:name w:val="GEDI三级标题 Char"/>
    <w:basedOn w:val="71"/>
    <w:qFormat/>
    <w:uiPriority w:val="0"/>
    <w:rPr>
      <w:kern w:val="2"/>
      <w:sz w:val="28"/>
      <w:szCs w:val="28"/>
      <w:lang w:val="sv-SE"/>
    </w:rPr>
  </w:style>
  <w:style w:type="paragraph" w:customStyle="1" w:styleId="84">
    <w:name w:val="GEDI四级标题"/>
    <w:basedOn w:val="6"/>
    <w:qFormat/>
    <w:uiPriority w:val="0"/>
    <w:pPr>
      <w:numPr>
        <w:ilvl w:val="0"/>
        <w:numId w:val="0"/>
      </w:numPr>
      <w:tabs>
        <w:tab w:val="clear" w:pos="864"/>
      </w:tabs>
    </w:pPr>
  </w:style>
  <w:style w:type="character" w:customStyle="1" w:styleId="85">
    <w:name w:val="GEDI四级标题 Char"/>
    <w:basedOn w:val="72"/>
    <w:qFormat/>
    <w:uiPriority w:val="0"/>
    <w:rPr>
      <w:kern w:val="2"/>
      <w:sz w:val="24"/>
      <w:szCs w:val="24"/>
      <w:lang w:val="sv-SE"/>
    </w:rPr>
  </w:style>
  <w:style w:type="paragraph" w:customStyle="1" w:styleId="86">
    <w:name w:val="GEDI五级标题"/>
    <w:basedOn w:val="7"/>
    <w:qFormat/>
    <w:uiPriority w:val="0"/>
    <w:pPr>
      <w:numPr>
        <w:ilvl w:val="0"/>
        <w:numId w:val="0"/>
      </w:numPr>
    </w:pPr>
  </w:style>
  <w:style w:type="character" w:customStyle="1" w:styleId="87">
    <w:name w:val="GEDI五级标题 Char"/>
    <w:basedOn w:val="73"/>
    <w:qFormat/>
    <w:uiPriority w:val="0"/>
    <w:rPr>
      <w:kern w:val="2"/>
      <w:sz w:val="24"/>
      <w:szCs w:val="28"/>
    </w:rPr>
  </w:style>
  <w:style w:type="paragraph" w:customStyle="1" w:styleId="88">
    <w:name w:val="GEDI一级项目编号"/>
    <w:basedOn w:val="60"/>
    <w:qFormat/>
    <w:uiPriority w:val="0"/>
    <w:pPr>
      <w:numPr>
        <w:numId w:val="0"/>
      </w:numPr>
      <w:adjustRightInd w:val="0"/>
      <w:snapToGrid w:val="0"/>
      <w:spacing w:line="480" w:lineRule="atLeast"/>
    </w:pPr>
  </w:style>
  <w:style w:type="character" w:customStyle="1" w:styleId="89">
    <w:name w:val="GEDI一级项目编号 Char"/>
    <w:qFormat/>
    <w:uiPriority w:val="0"/>
    <w:rPr>
      <w:kern w:val="2"/>
      <w:sz w:val="24"/>
      <w:szCs w:val="24"/>
    </w:rPr>
  </w:style>
  <w:style w:type="paragraph" w:customStyle="1" w:styleId="90">
    <w:name w:val="GEDI正文样式"/>
    <w:basedOn w:val="44"/>
    <w:qFormat/>
    <w:uiPriority w:val="0"/>
    <w:pPr>
      <w:adjustRightInd w:val="0"/>
      <w:snapToGrid w:val="0"/>
      <w:spacing w:line="480" w:lineRule="atLeast"/>
    </w:pPr>
  </w:style>
  <w:style w:type="character" w:customStyle="1" w:styleId="91">
    <w:name w:val="GEDI正文样式 Char"/>
    <w:basedOn w:val="52"/>
    <w:qFormat/>
    <w:uiPriority w:val="0"/>
    <w:rPr>
      <w:rFonts w:eastAsia="宋体"/>
      <w:kern w:val="2"/>
      <w:sz w:val="24"/>
      <w:szCs w:val="24"/>
      <w:lang w:val="en-US" w:eastAsia="zh-CN" w:bidi="ar-SA"/>
    </w:rPr>
  </w:style>
  <w:style w:type="paragraph" w:customStyle="1" w:styleId="92">
    <w:name w:val="GEDI二级项目编号"/>
    <w:basedOn w:val="61"/>
    <w:qFormat/>
    <w:uiPriority w:val="0"/>
    <w:pPr>
      <w:numPr>
        <w:ilvl w:val="0"/>
        <w:numId w:val="0"/>
      </w:numPr>
      <w:tabs>
        <w:tab w:val="clear" w:pos="839"/>
      </w:tabs>
      <w:adjustRightInd w:val="0"/>
      <w:snapToGrid w:val="0"/>
      <w:spacing w:line="480" w:lineRule="atLeast"/>
    </w:pPr>
  </w:style>
  <w:style w:type="character" w:customStyle="1" w:styleId="93">
    <w:name w:val="GEDI二级项目编号 Char"/>
    <w:qFormat/>
    <w:uiPriority w:val="0"/>
    <w:rPr>
      <w:kern w:val="2"/>
      <w:sz w:val="24"/>
      <w:szCs w:val="24"/>
    </w:rPr>
  </w:style>
  <w:style w:type="paragraph" w:customStyle="1" w:styleId="94">
    <w:name w:val="列出段落1"/>
    <w:basedOn w:val="1"/>
    <w:qFormat/>
    <w:uiPriority w:val="0"/>
    <w:pPr>
      <w:ind w:firstLine="420"/>
    </w:pPr>
  </w:style>
  <w:style w:type="paragraph" w:customStyle="1" w:styleId="95">
    <w:name w:val="修订1"/>
    <w:hidden/>
    <w:semiHidden/>
    <w:qFormat/>
    <w:uiPriority w:val="0"/>
    <w:rPr>
      <w:rFonts w:ascii="Times New Roman" w:hAnsi="Times New Roman" w:eastAsia="宋体" w:cs="Times New Roman"/>
      <w:kern w:val="2"/>
      <w:sz w:val="24"/>
      <w:szCs w:val="24"/>
      <w:lang w:val="en-US" w:eastAsia="zh-CN" w:bidi="ar-SA"/>
    </w:rPr>
  </w:style>
  <w:style w:type="paragraph" w:customStyle="1" w:styleId="96">
    <w:name w:val="Char Char Char Char Char Char Char Char Char Char Char Char Char Char 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paragraph" w:customStyle="1" w:styleId="97">
    <w:name w:val="Char1"/>
    <w:basedOn w:val="1"/>
    <w:qFormat/>
    <w:uiPriority w:val="0"/>
    <w:pPr>
      <w:widowControl/>
      <w:spacing w:after="160" w:line="240" w:lineRule="exact"/>
      <w:ind w:firstLine="0" w:firstLineChars="0"/>
      <w:jc w:val="left"/>
    </w:pPr>
    <w:rPr>
      <w:rFonts w:ascii="Verdana" w:hAnsi="Verdana"/>
      <w:kern w:val="0"/>
      <w:sz w:val="21"/>
      <w:szCs w:val="20"/>
      <w:lang w:eastAsia="en-US"/>
    </w:rPr>
  </w:style>
  <w:style w:type="paragraph" w:customStyle="1" w:styleId="98">
    <w:name w:val="默认段落字体 Para Char Char Char Char"/>
    <w:basedOn w:val="1"/>
    <w:qFormat/>
    <w:uiPriority w:val="0"/>
    <w:pPr>
      <w:spacing w:line="360" w:lineRule="auto"/>
      <w:ind w:firstLine="0" w:firstLineChars="0"/>
    </w:pPr>
    <w:rPr>
      <w:rFonts w:ascii="Tahoma" w:hAnsi="Tahoma"/>
      <w:szCs w:val="20"/>
    </w:rPr>
  </w:style>
  <w:style w:type="paragraph" w:customStyle="1" w:styleId="99">
    <w:name w:val="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character" w:customStyle="1" w:styleId="100">
    <w:name w:val="font01"/>
    <w:basedOn w:val="36"/>
    <w:qFormat/>
    <w:uiPriority w:val="0"/>
    <w:rPr>
      <w:rFonts w:hint="eastAsia" w:ascii="微软雅黑" w:hAnsi="微软雅黑" w:eastAsia="微软雅黑" w:cs="微软雅黑"/>
      <w:i/>
      <w:color w:val="000000"/>
      <w:sz w:val="18"/>
      <w:szCs w:val="18"/>
      <w:u w:val="none"/>
    </w:rPr>
  </w:style>
  <w:style w:type="paragraph" w:customStyle="1" w:styleId="101">
    <w:name w:val="封面落款"/>
    <w:basedOn w:val="102"/>
    <w:qFormat/>
    <w:uiPriority w:val="0"/>
    <w:rPr>
      <w:sz w:val="36"/>
    </w:rPr>
  </w:style>
  <w:style w:type="paragraph" w:customStyle="1" w:styleId="102">
    <w:name w:val="封面标题"/>
    <w:basedOn w:val="1"/>
    <w:qFormat/>
    <w:uiPriority w:val="0"/>
    <w:pPr>
      <w:jc w:val="center"/>
    </w:pPr>
    <w:rPr>
      <w:rFonts w:eastAsia="黑体"/>
      <w:sz w:val="48"/>
    </w:rPr>
  </w:style>
  <w:style w:type="paragraph" w:customStyle="1" w:styleId="103">
    <w:name w:val="列出段落11"/>
    <w:basedOn w:val="1"/>
    <w:qFormat/>
    <w:uiPriority w:val="34"/>
    <w:pPr>
      <w:ind w:firstLine="420"/>
    </w:pPr>
  </w:style>
  <w:style w:type="character" w:customStyle="1" w:styleId="104">
    <w:name w:val="font11"/>
    <w:basedOn w:val="36"/>
    <w:qFormat/>
    <w:uiPriority w:val="0"/>
    <w:rPr>
      <w:rFonts w:hint="eastAsia" w:ascii="宋体" w:hAnsi="宋体" w:eastAsia="宋体" w:cs="宋体"/>
      <w:color w:val="000000"/>
      <w:sz w:val="21"/>
      <w:szCs w:val="21"/>
      <w:u w:val="none"/>
    </w:rPr>
  </w:style>
  <w:style w:type="character" w:customStyle="1" w:styleId="105">
    <w:name w:val="font21"/>
    <w:basedOn w:val="3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7595\&#26700;&#38754;\&#32593;&#32476;&#20449;&#24687;&#37096;&#25991;&#26723;&#27169;&#26495;V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62B9B9-3249-4C2F-B997-511CC51FFCF3}">
  <ds:schemaRefs/>
</ds:datastoreItem>
</file>

<file path=docProps/app.xml><?xml version="1.0" encoding="utf-8"?>
<Properties xmlns="http://schemas.openxmlformats.org/officeDocument/2006/extended-properties" xmlns:vt="http://schemas.openxmlformats.org/officeDocument/2006/docPropsVTypes">
  <Template>网络信息部文档模板V1.dot</Template>
  <Company>GEDI</Company>
  <Pages>13</Pages>
  <Words>501</Words>
  <Characters>640</Characters>
  <Lines>46</Lines>
  <Paragraphs>13</Paragraphs>
  <TotalTime>1</TotalTime>
  <ScaleCrop>false</ScaleCrop>
  <LinksUpToDate>false</LinksUpToDate>
  <CharactersWithSpaces>731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2018-09-06T14:37:00Z</dcterms:created>
  <dc:creator>G7595</dc:creator>
  <cp:lastModifiedBy>4AAEF205E03F46EE8F230D4D3B5C0AA0</cp:lastModifiedBy>
  <cp:lastPrinted>2010-06-03T10:10:00Z</cp:lastPrinted>
  <dcterms:modified xsi:type="dcterms:W3CDTF">2026-06-16T10:47:41Z</dcterms:modified>
  <dc:title>网络信息部文档模板</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状态">
    <vt:lpwstr>xxx</vt:lpwstr>
  </property>
  <property fmtid="{D5CDD505-2E9C-101B-9397-08002B2CF9AE}" pid="3" name="KSOProductBuildVer">
    <vt:lpwstr>2052-11.8.2.12085</vt:lpwstr>
  </property>
  <property fmtid="{D5CDD505-2E9C-101B-9397-08002B2CF9AE}" pid="4" name="_2015_ms_pID_725343">
    <vt:lpwstr>(3)LXhebanf7nCHMUPJlfAtKpE8m5B25LOsREbp/+Qna6EVXtpyhp2BzYp3P9C3q+5Iy1JuB+ng
aItpY/kcotczJawgNd2J2gB9s94Mek9dPZQ8lIs45B4yz8tm+5JG15Wa/6ACjL44juNTZHOP
V0e1knQemAuoDJSbX8JKvp+ugUuZ4dC8VxAVbfNof5mZAjTKbr9QK4Ri0A8TaE8R5NIT91PY
KIMMIcCBwhWxNtOn5t</vt:lpwstr>
  </property>
  <property fmtid="{D5CDD505-2E9C-101B-9397-08002B2CF9AE}" pid="5" name="_2015_ms_pID_7253431">
    <vt:lpwstr>kZIffCdUschYHaJgJeottmSWv9eOBkbaQpeakJUeSJSeh4KuqY5B0m
e09NjtEX4VbE4WaWsxCH9ULKPI8FT6bS+JbvmJotc0rNpzQXTUf/AfeVP1Dfxa25MG584+Tb
veYKc0l826pmc8A4y1L8JbCBn7TlZsVPvGNPJhZqItvX8zZ8mSOWRbXRu1iMb1TNRDpJN5Dg
P6Fdkuxg0zoIg6nHK1wqyuflRT32RnCZHrIf</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1497772896</vt:lpwstr>
  </property>
  <property fmtid="{D5CDD505-2E9C-101B-9397-08002B2CF9AE}" pid="11" name="ICV">
    <vt:lpwstr>0EB51BD23C1F4E0F9B84C9B6F585EDFC_13</vt:lpwstr>
  </property>
  <property fmtid="{D5CDD505-2E9C-101B-9397-08002B2CF9AE}" pid="12" name="KSOTemplateDocerSaveRecord">
    <vt:lpwstr>eyJoZGlkIjoiYWE3OWFhZDkxZjk0ZmRkNTU0OWI4ZTcwNGI4NGEwMWMiLCJ1c2VySWQiOiIxMDIwMjA2NSJ9</vt:lpwstr>
  </property>
</Properties>
</file>