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52" w:beforeLines="200"/>
        <w:ind w:firstLine="420"/>
        <w:jc w:val="center"/>
        <w:rPr>
          <w:rFonts w:hint="eastAsia" w:eastAsia="黑体"/>
          <w:b/>
          <w:color w:val="auto"/>
          <w:sz w:val="48"/>
          <w:szCs w:val="22"/>
          <w:highlight w:val="none"/>
        </w:rPr>
      </w:pPr>
    </w:p>
    <w:p>
      <w:pPr>
        <w:spacing w:before="652" w:beforeLines="200"/>
        <w:ind w:firstLine="420"/>
        <w:jc w:val="center"/>
        <w:rPr>
          <w:rFonts w:hint="eastAsia" w:eastAsia="黑体"/>
          <w:b/>
          <w:color w:val="auto"/>
          <w:sz w:val="48"/>
          <w:szCs w:val="22"/>
          <w:highlight w:val="none"/>
          <w:lang w:val="en-US" w:eastAsia="zh-CN"/>
        </w:rPr>
      </w:pPr>
      <w:r>
        <w:rPr>
          <w:rFonts w:hint="eastAsia" w:eastAsia="黑体"/>
          <w:b/>
          <w:color w:val="auto"/>
          <w:sz w:val="48"/>
          <w:szCs w:val="22"/>
          <w:highlight w:val="none"/>
        </w:rPr>
        <w:t>海南</w:t>
      </w:r>
      <w:r>
        <w:rPr>
          <w:rFonts w:hint="eastAsia" w:eastAsia="黑体"/>
          <w:b/>
          <w:color w:val="auto"/>
          <w:sz w:val="48"/>
          <w:szCs w:val="22"/>
          <w:highlight w:val="none"/>
          <w:lang w:val="en-US" w:eastAsia="zh-CN"/>
        </w:rPr>
        <w:t>电力产业发展有限责任公司</w:t>
      </w:r>
    </w:p>
    <w:p>
      <w:pPr>
        <w:spacing w:before="652" w:beforeLines="200"/>
        <w:ind w:firstLine="420"/>
        <w:jc w:val="center"/>
        <w:rPr>
          <w:rFonts w:hint="eastAsia" w:eastAsia="黑体"/>
          <w:b/>
          <w:color w:val="auto"/>
          <w:sz w:val="48"/>
          <w:szCs w:val="22"/>
          <w:highlight w:val="none"/>
          <w:lang w:val="en-US" w:eastAsia="zh-CN"/>
        </w:rPr>
      </w:pPr>
      <w:r>
        <w:rPr>
          <w:rFonts w:hint="eastAsia" w:eastAsia="黑体"/>
          <w:b/>
          <w:color w:val="auto"/>
          <w:sz w:val="48"/>
          <w:szCs w:val="22"/>
          <w:highlight w:val="none"/>
          <w:lang w:val="en-US" w:eastAsia="zh-CN"/>
        </w:rPr>
        <w:t>2026-2027年</w:t>
      </w:r>
    </w:p>
    <w:p>
      <w:pPr>
        <w:spacing w:before="652" w:beforeLines="200"/>
        <w:ind w:firstLine="420"/>
        <w:jc w:val="center"/>
        <w:rPr>
          <w:rFonts w:hint="default" w:eastAsia="黑体"/>
          <w:b/>
          <w:color w:val="auto"/>
          <w:sz w:val="48"/>
          <w:szCs w:val="22"/>
          <w:highlight w:val="none"/>
          <w:lang w:val="en-US" w:eastAsia="zh-CN"/>
        </w:rPr>
      </w:pPr>
      <w:r>
        <w:rPr>
          <w:rFonts w:hint="eastAsia" w:eastAsia="黑体"/>
          <w:b/>
          <w:color w:val="auto"/>
          <w:sz w:val="48"/>
          <w:szCs w:val="22"/>
          <w:highlight w:val="none"/>
          <w:lang w:val="en-US" w:eastAsia="zh-CN"/>
        </w:rPr>
        <w:t>视联融合终端类采购</w:t>
      </w:r>
    </w:p>
    <w:p>
      <w:pPr>
        <w:spacing w:before="652" w:beforeLines="200"/>
        <w:ind w:firstLine="420"/>
        <w:jc w:val="center"/>
        <w:rPr>
          <w:rFonts w:eastAsia="黑体"/>
          <w:b/>
          <w:color w:val="auto"/>
          <w:sz w:val="52"/>
          <w:highlight w:val="none"/>
        </w:rPr>
      </w:pPr>
      <w:r>
        <w:rPr>
          <w:rFonts w:hint="eastAsia" w:eastAsia="黑体"/>
          <w:b/>
          <w:color w:val="auto"/>
          <w:sz w:val="52"/>
          <w:highlight w:val="none"/>
        </w:rPr>
        <w:t>技术规范书</w:t>
      </w:r>
    </w:p>
    <w:p>
      <w:pPr>
        <w:spacing w:before="652" w:beforeLines="200"/>
        <w:ind w:firstLine="1970" w:firstLineChars="545"/>
        <w:jc w:val="left"/>
        <w:rPr>
          <w:rFonts w:eastAsia="黑体"/>
          <w:b/>
          <w:color w:val="auto"/>
          <w:sz w:val="36"/>
          <w:highlight w:val="none"/>
        </w:rPr>
      </w:pPr>
    </w:p>
    <w:p>
      <w:pPr>
        <w:spacing w:before="652" w:beforeLines="200"/>
        <w:jc w:val="left"/>
        <w:rPr>
          <w:rFonts w:hint="eastAsia" w:eastAsia="黑体"/>
          <w:b/>
          <w:color w:val="auto"/>
          <w:sz w:val="36"/>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pStyle w:val="3"/>
        <w:jc w:val="both"/>
        <w:rPr>
          <w:rFonts w:hint="eastAsia"/>
          <w:color w:val="auto"/>
          <w:highlight w:val="none"/>
        </w:rPr>
      </w:pPr>
    </w:p>
    <w:p>
      <w:pPr>
        <w:rPr>
          <w:rFonts w:hint="eastAsia"/>
          <w:color w:val="auto"/>
          <w:highlight w:val="none"/>
        </w:rPr>
      </w:pPr>
      <w:bookmarkStart w:id="208" w:name="_GoBack"/>
      <w:bookmarkEnd w:id="208"/>
    </w:p>
    <w:p>
      <w:pPr>
        <w:spacing w:before="652" w:beforeLines="200" w:line="240" w:lineRule="auto"/>
        <w:jc w:val="center"/>
        <w:rPr>
          <w:rFonts w:hint="eastAsia" w:ascii="黑体" w:eastAsia="黑体"/>
          <w:color w:val="auto"/>
          <w:sz w:val="36"/>
          <w:szCs w:val="20"/>
          <w:highlight w:val="none"/>
        </w:rPr>
        <w:sectPr>
          <w:headerReference r:id="rId5" w:type="default"/>
          <w:pgSz w:w="11906" w:h="16838"/>
          <w:pgMar w:top="1440" w:right="1080" w:bottom="1440" w:left="1080" w:header="851" w:footer="964" w:gutter="0"/>
          <w:pgNumType w:start="1"/>
          <w:cols w:space="720" w:num="1"/>
          <w:docGrid w:type="lines" w:linePitch="326" w:charSpace="0"/>
        </w:sectPr>
      </w:pPr>
    </w:p>
    <w:p>
      <w:pPr>
        <w:spacing w:before="652" w:beforeLines="200" w:line="240" w:lineRule="auto"/>
        <w:jc w:val="center"/>
        <w:rPr>
          <w:rFonts w:hint="eastAsia" w:ascii="黑体" w:eastAsia="黑体"/>
          <w:color w:val="auto"/>
          <w:sz w:val="36"/>
          <w:szCs w:val="20"/>
          <w:highlight w:val="none"/>
        </w:rPr>
      </w:pPr>
      <w:r>
        <w:rPr>
          <w:rFonts w:hint="eastAsia" w:ascii="黑体" w:eastAsia="黑体"/>
          <w:color w:val="auto"/>
          <w:sz w:val="36"/>
          <w:szCs w:val="20"/>
          <w:highlight w:val="none"/>
        </w:rPr>
        <w:t>目录</w:t>
      </w:r>
    </w:p>
    <w:p>
      <w:pPr>
        <w:pStyle w:val="20"/>
        <w:tabs>
          <w:tab w:val="right" w:leader="dot" w:pos="9746"/>
          <w:tab w:val="clear" w:pos="8296"/>
        </w:tabs>
      </w:pPr>
      <w:r>
        <w:rPr>
          <w:rFonts w:hint="eastAsia" w:ascii="黑体" w:eastAsia="黑体"/>
          <w:color w:val="auto"/>
          <w:szCs w:val="20"/>
          <w:highlight w:val="none"/>
        </w:rPr>
        <w:fldChar w:fldCharType="begin"/>
      </w:r>
      <w:r>
        <w:rPr>
          <w:rFonts w:hint="eastAsia" w:ascii="黑体" w:eastAsia="黑体"/>
          <w:color w:val="auto"/>
          <w:szCs w:val="20"/>
          <w:highlight w:val="none"/>
        </w:rPr>
        <w:instrText xml:space="preserve">TOC \o "1-2" \h  \u </w:instrText>
      </w:r>
      <w:r>
        <w:rPr>
          <w:rFonts w:hint="eastAsia" w:ascii="黑体" w:eastAsia="黑体"/>
          <w:color w:val="auto"/>
          <w:szCs w:val="20"/>
          <w:highlight w:val="none"/>
        </w:rPr>
        <w:fldChar w:fldCharType="separate"/>
      </w: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_Toc19172 </w:instrText>
      </w:r>
      <w:r>
        <w:rPr>
          <w:rFonts w:hint="eastAsia" w:ascii="黑体" w:eastAsia="黑体"/>
          <w:szCs w:val="20"/>
          <w:highlight w:val="none"/>
        </w:rPr>
        <w:fldChar w:fldCharType="separate"/>
      </w:r>
      <w:r>
        <w:rPr>
          <w:rFonts w:hint="default"/>
          <w:szCs w:val="40"/>
        </w:rPr>
        <w:t xml:space="preserve">1. </w:t>
      </w:r>
      <w:r>
        <w:rPr>
          <w:rFonts w:hint="eastAsia"/>
          <w:szCs w:val="40"/>
          <w:highlight w:val="none"/>
        </w:rPr>
        <w:t>总则</w:t>
      </w:r>
      <w:r>
        <w:tab/>
      </w:r>
      <w:r>
        <w:fldChar w:fldCharType="begin"/>
      </w:r>
      <w:r>
        <w:instrText xml:space="preserve"> PAGEREF _Toc19172 \h </w:instrText>
      </w:r>
      <w:r>
        <w:fldChar w:fldCharType="separate"/>
      </w:r>
      <w:r>
        <w:t>1</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_Toc6507 </w:instrText>
      </w:r>
      <w:r>
        <w:rPr>
          <w:rFonts w:hint="eastAsia" w:ascii="黑体" w:eastAsia="黑体"/>
          <w:szCs w:val="20"/>
          <w:highlight w:val="none"/>
        </w:rPr>
        <w:fldChar w:fldCharType="separate"/>
      </w:r>
      <w:r>
        <w:rPr>
          <w:rFonts w:hint="default"/>
          <w:szCs w:val="28"/>
        </w:rPr>
        <w:t xml:space="preserve">1.1. </w:t>
      </w:r>
      <w:r>
        <w:rPr>
          <w:rFonts w:hint="eastAsia"/>
          <w:szCs w:val="28"/>
          <w:highlight w:val="none"/>
          <w:lang w:eastAsia="zh-CN"/>
        </w:rPr>
        <w:t>概述</w:t>
      </w:r>
      <w:r>
        <w:tab/>
      </w:r>
      <w:r>
        <w:fldChar w:fldCharType="begin"/>
      </w:r>
      <w:r>
        <w:instrText xml:space="preserve"> PAGEREF _Toc6507 \h </w:instrText>
      </w:r>
      <w:r>
        <w:fldChar w:fldCharType="separate"/>
      </w:r>
      <w:r>
        <w:t>1</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_Toc30102 </w:instrText>
      </w:r>
      <w:r>
        <w:rPr>
          <w:rFonts w:hint="eastAsia" w:ascii="黑体" w:eastAsia="黑体"/>
          <w:szCs w:val="20"/>
          <w:highlight w:val="none"/>
        </w:rPr>
        <w:fldChar w:fldCharType="separate"/>
      </w:r>
      <w:r>
        <w:rPr>
          <w:rFonts w:hint="default"/>
          <w:szCs w:val="28"/>
        </w:rPr>
        <w:t xml:space="preserve">1.2. </w:t>
      </w:r>
      <w:r>
        <w:rPr>
          <w:rFonts w:hint="eastAsia"/>
          <w:szCs w:val="28"/>
          <w:highlight w:val="none"/>
          <w:lang w:val="en-US" w:eastAsia="zh-CN"/>
        </w:rPr>
        <w:t>投标要求</w:t>
      </w:r>
      <w:r>
        <w:tab/>
      </w:r>
      <w:r>
        <w:fldChar w:fldCharType="begin"/>
      </w:r>
      <w:r>
        <w:instrText xml:space="preserve"> PAGEREF _Toc30102 \h </w:instrText>
      </w:r>
      <w:r>
        <w:fldChar w:fldCharType="separate"/>
      </w:r>
      <w:r>
        <w:t>1</w:t>
      </w:r>
      <w:r>
        <w:fldChar w:fldCharType="end"/>
      </w:r>
      <w:r>
        <w:rPr>
          <w:rFonts w:hint="eastAsia" w:ascii="黑体" w:eastAsia="黑体"/>
          <w:color w:val="auto"/>
          <w:szCs w:val="20"/>
          <w:highlight w:val="none"/>
        </w:rPr>
        <w:fldChar w:fldCharType="end"/>
      </w:r>
    </w:p>
    <w:p>
      <w:pPr>
        <w:pStyle w:val="20"/>
        <w:tabs>
          <w:tab w:val="right" w:leader="dot" w:pos="9746"/>
          <w:tab w:val="clear" w:pos="829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_Toc28610 </w:instrText>
      </w:r>
      <w:r>
        <w:rPr>
          <w:rFonts w:hint="eastAsia" w:ascii="黑体" w:eastAsia="黑体"/>
          <w:szCs w:val="20"/>
          <w:highlight w:val="none"/>
        </w:rPr>
        <w:fldChar w:fldCharType="separate"/>
      </w:r>
      <w:r>
        <w:rPr>
          <w:rFonts w:hint="default"/>
          <w:szCs w:val="40"/>
        </w:rPr>
        <w:t xml:space="preserve">2. </w:t>
      </w:r>
      <w:r>
        <w:rPr>
          <w:rFonts w:hint="eastAsia"/>
          <w:szCs w:val="40"/>
          <w:highlight w:val="none"/>
        </w:rPr>
        <w:t>工作</w:t>
      </w:r>
      <w:r>
        <w:rPr>
          <w:rFonts w:hint="eastAsia"/>
          <w:szCs w:val="40"/>
          <w:highlight w:val="none"/>
          <w:lang w:val="en-US" w:eastAsia="zh-CN"/>
        </w:rPr>
        <w:t>要求</w:t>
      </w:r>
      <w:r>
        <w:tab/>
      </w:r>
      <w:r>
        <w:fldChar w:fldCharType="begin"/>
      </w:r>
      <w:r>
        <w:instrText xml:space="preserve"> PAGEREF _Toc28610 \h </w:instrText>
      </w:r>
      <w:r>
        <w:fldChar w:fldCharType="separate"/>
      </w:r>
      <w:r>
        <w:t>2</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_Toc25445 </w:instrText>
      </w:r>
      <w:r>
        <w:rPr>
          <w:rFonts w:hint="eastAsia" w:ascii="黑体" w:eastAsia="黑体"/>
          <w:szCs w:val="20"/>
          <w:highlight w:val="none"/>
        </w:rPr>
        <w:fldChar w:fldCharType="separate"/>
      </w:r>
      <w:r>
        <w:rPr>
          <w:rFonts w:hint="default"/>
          <w:szCs w:val="28"/>
        </w:rPr>
        <w:t xml:space="preserve">2.1. </w:t>
      </w:r>
      <w:r>
        <w:rPr>
          <w:rFonts w:hint="eastAsia"/>
          <w:szCs w:val="28"/>
          <w:highlight w:val="none"/>
        </w:rPr>
        <w:t>范围和界限</w:t>
      </w:r>
      <w:r>
        <w:tab/>
      </w:r>
      <w:r>
        <w:fldChar w:fldCharType="begin"/>
      </w:r>
      <w:r>
        <w:instrText xml:space="preserve"> PAGEREF _Toc25445 \h </w:instrText>
      </w:r>
      <w:r>
        <w:fldChar w:fldCharType="separate"/>
      </w:r>
      <w:r>
        <w:t>2</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_Toc30583 </w:instrText>
      </w:r>
      <w:r>
        <w:rPr>
          <w:rFonts w:hint="eastAsia" w:ascii="黑体" w:eastAsia="黑体"/>
          <w:szCs w:val="20"/>
          <w:highlight w:val="none"/>
        </w:rPr>
        <w:fldChar w:fldCharType="separate"/>
      </w:r>
      <w:r>
        <w:rPr>
          <w:rFonts w:hint="default"/>
          <w:szCs w:val="28"/>
        </w:rPr>
        <w:t xml:space="preserve">2.2. </w:t>
      </w:r>
      <w:r>
        <w:rPr>
          <w:rFonts w:hint="eastAsia"/>
          <w:szCs w:val="28"/>
          <w:highlight w:val="none"/>
        </w:rPr>
        <w:t>服务范围</w:t>
      </w:r>
      <w:r>
        <w:tab/>
      </w:r>
      <w:r>
        <w:fldChar w:fldCharType="begin"/>
      </w:r>
      <w:r>
        <w:instrText xml:space="preserve"> PAGEREF _Toc30583 \h </w:instrText>
      </w:r>
      <w:r>
        <w:fldChar w:fldCharType="separate"/>
      </w:r>
      <w:r>
        <w:t>2</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_Toc28156 </w:instrText>
      </w:r>
      <w:r>
        <w:rPr>
          <w:rFonts w:hint="eastAsia" w:ascii="黑体" w:eastAsia="黑体"/>
          <w:szCs w:val="20"/>
          <w:highlight w:val="none"/>
        </w:rPr>
        <w:fldChar w:fldCharType="separate"/>
      </w:r>
      <w:r>
        <w:rPr>
          <w:rFonts w:hint="default"/>
        </w:rPr>
        <w:t xml:space="preserve">2.3. </w:t>
      </w:r>
      <w:r>
        <w:rPr>
          <w:rFonts w:hint="eastAsia"/>
          <w:szCs w:val="28"/>
          <w:highlight w:val="none"/>
          <w:lang w:val="en-US" w:eastAsia="zh-CN"/>
        </w:rPr>
        <w:t>物资需求清单</w:t>
      </w:r>
      <w:r>
        <w:tab/>
      </w:r>
      <w:r>
        <w:fldChar w:fldCharType="begin"/>
      </w:r>
      <w:r>
        <w:instrText xml:space="preserve"> PAGEREF _Toc28156 \h </w:instrText>
      </w:r>
      <w:r>
        <w:fldChar w:fldCharType="separate"/>
      </w:r>
      <w:r>
        <w:t>2</w:t>
      </w:r>
      <w:r>
        <w:fldChar w:fldCharType="end"/>
      </w:r>
      <w:r>
        <w:rPr>
          <w:rFonts w:hint="eastAsia" w:ascii="黑体" w:eastAsia="黑体"/>
          <w:color w:val="auto"/>
          <w:szCs w:val="20"/>
          <w:highlight w:val="none"/>
        </w:rPr>
        <w:fldChar w:fldCharType="end"/>
      </w:r>
    </w:p>
    <w:p>
      <w:pPr>
        <w:pStyle w:val="20"/>
        <w:tabs>
          <w:tab w:val="right" w:leader="dot" w:pos="9746"/>
          <w:tab w:val="clear" w:pos="829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_Toc13099 </w:instrText>
      </w:r>
      <w:r>
        <w:rPr>
          <w:rFonts w:hint="eastAsia" w:ascii="黑体" w:eastAsia="黑体"/>
          <w:szCs w:val="20"/>
          <w:highlight w:val="none"/>
        </w:rPr>
        <w:fldChar w:fldCharType="separate"/>
      </w:r>
      <w:r>
        <w:rPr>
          <w:rFonts w:hint="default"/>
          <w:szCs w:val="40"/>
        </w:rPr>
        <w:t xml:space="preserve">3. </w:t>
      </w:r>
      <w:r>
        <w:rPr>
          <w:rFonts w:hint="eastAsia"/>
          <w:szCs w:val="40"/>
          <w:highlight w:val="none"/>
        </w:rPr>
        <w:t>应遵循的主要标准</w:t>
      </w:r>
      <w:r>
        <w:tab/>
      </w:r>
      <w:r>
        <w:fldChar w:fldCharType="begin"/>
      </w:r>
      <w:r>
        <w:instrText xml:space="preserve"> PAGEREF _Toc13099 \h </w:instrText>
      </w:r>
      <w:r>
        <w:fldChar w:fldCharType="separate"/>
      </w:r>
      <w:r>
        <w:t>11</w:t>
      </w:r>
      <w:r>
        <w:fldChar w:fldCharType="end"/>
      </w:r>
      <w:r>
        <w:rPr>
          <w:rFonts w:hint="eastAsia" w:ascii="黑体" w:eastAsia="黑体"/>
          <w:color w:val="auto"/>
          <w:szCs w:val="20"/>
          <w:highlight w:val="none"/>
        </w:rPr>
        <w:fldChar w:fldCharType="end"/>
      </w:r>
    </w:p>
    <w:p>
      <w:pPr>
        <w:pStyle w:val="20"/>
        <w:tabs>
          <w:tab w:val="right" w:leader="dot" w:pos="9746"/>
          <w:tab w:val="clear" w:pos="829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_Toc26263 </w:instrText>
      </w:r>
      <w:r>
        <w:rPr>
          <w:rFonts w:hint="eastAsia" w:ascii="黑体" w:eastAsia="黑体"/>
          <w:szCs w:val="20"/>
          <w:highlight w:val="none"/>
        </w:rPr>
        <w:fldChar w:fldCharType="separate"/>
      </w:r>
      <w:r>
        <w:rPr>
          <w:rFonts w:hint="default"/>
          <w:szCs w:val="40"/>
        </w:rPr>
        <w:t xml:space="preserve">4. </w:t>
      </w:r>
      <w:r>
        <w:rPr>
          <w:rFonts w:hint="eastAsia"/>
          <w:szCs w:val="40"/>
          <w:highlight w:val="none"/>
        </w:rPr>
        <w:t>使用条件</w:t>
      </w:r>
      <w:r>
        <w:tab/>
      </w:r>
      <w:r>
        <w:fldChar w:fldCharType="begin"/>
      </w:r>
      <w:r>
        <w:instrText xml:space="preserve"> PAGEREF _Toc26263 \h </w:instrText>
      </w:r>
      <w:r>
        <w:fldChar w:fldCharType="separate"/>
      </w:r>
      <w:r>
        <w:t>12</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_Toc3035 </w:instrText>
      </w:r>
      <w:r>
        <w:rPr>
          <w:rFonts w:hint="eastAsia" w:ascii="黑体" w:eastAsia="黑体"/>
          <w:szCs w:val="20"/>
          <w:highlight w:val="none"/>
        </w:rPr>
        <w:fldChar w:fldCharType="separate"/>
      </w:r>
      <w:r>
        <w:rPr>
          <w:rFonts w:hint="default"/>
          <w:szCs w:val="28"/>
        </w:rPr>
        <w:t xml:space="preserve">4.1. </w:t>
      </w:r>
      <w:r>
        <w:rPr>
          <w:rFonts w:hint="eastAsia"/>
          <w:szCs w:val="28"/>
          <w:highlight w:val="none"/>
        </w:rPr>
        <w:t>工作条件</w:t>
      </w:r>
      <w:r>
        <w:tab/>
      </w:r>
      <w:r>
        <w:fldChar w:fldCharType="begin"/>
      </w:r>
      <w:r>
        <w:instrText xml:space="preserve"> PAGEREF _Toc3035 \h </w:instrText>
      </w:r>
      <w:r>
        <w:fldChar w:fldCharType="separate"/>
      </w:r>
      <w:r>
        <w:t>12</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_Toc17441 </w:instrText>
      </w:r>
      <w:r>
        <w:rPr>
          <w:rFonts w:hint="eastAsia" w:ascii="黑体" w:eastAsia="黑体"/>
          <w:szCs w:val="20"/>
          <w:highlight w:val="none"/>
        </w:rPr>
        <w:fldChar w:fldCharType="separate"/>
      </w:r>
      <w:r>
        <w:rPr>
          <w:rFonts w:hint="default"/>
          <w:szCs w:val="28"/>
        </w:rPr>
        <w:t xml:space="preserve">4.2. </w:t>
      </w:r>
      <w:r>
        <w:rPr>
          <w:rFonts w:hint="eastAsia"/>
          <w:szCs w:val="28"/>
          <w:highlight w:val="none"/>
        </w:rPr>
        <w:t>贮存、运输环境条件</w:t>
      </w:r>
      <w:r>
        <w:tab/>
      </w:r>
      <w:r>
        <w:fldChar w:fldCharType="begin"/>
      </w:r>
      <w:r>
        <w:instrText xml:space="preserve"> PAGEREF _Toc17441 \h </w:instrText>
      </w:r>
      <w:r>
        <w:fldChar w:fldCharType="separate"/>
      </w:r>
      <w:r>
        <w:t>12</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_Toc12040 </w:instrText>
      </w:r>
      <w:r>
        <w:rPr>
          <w:rFonts w:hint="eastAsia" w:ascii="黑体" w:eastAsia="黑体"/>
          <w:szCs w:val="20"/>
          <w:highlight w:val="none"/>
        </w:rPr>
        <w:fldChar w:fldCharType="separate"/>
      </w:r>
      <w:r>
        <w:rPr>
          <w:rFonts w:hint="default"/>
          <w:szCs w:val="28"/>
        </w:rPr>
        <w:t xml:space="preserve">4.3. </w:t>
      </w:r>
      <w:r>
        <w:rPr>
          <w:rFonts w:hint="eastAsia"/>
          <w:szCs w:val="28"/>
          <w:highlight w:val="none"/>
        </w:rPr>
        <w:t>周围环境</w:t>
      </w:r>
      <w:r>
        <w:tab/>
      </w:r>
      <w:r>
        <w:fldChar w:fldCharType="begin"/>
      </w:r>
      <w:r>
        <w:instrText xml:space="preserve"> PAGEREF _Toc12040 \h </w:instrText>
      </w:r>
      <w:r>
        <w:fldChar w:fldCharType="separate"/>
      </w:r>
      <w:r>
        <w:t>12</w:t>
      </w:r>
      <w:r>
        <w:fldChar w:fldCharType="end"/>
      </w:r>
      <w:r>
        <w:rPr>
          <w:rFonts w:hint="eastAsia" w:ascii="黑体" w:eastAsia="黑体"/>
          <w:color w:val="auto"/>
          <w:szCs w:val="20"/>
          <w:highlight w:val="none"/>
        </w:rPr>
        <w:fldChar w:fldCharType="end"/>
      </w:r>
    </w:p>
    <w:p>
      <w:pPr>
        <w:pStyle w:val="20"/>
        <w:tabs>
          <w:tab w:val="right" w:leader="dot" w:pos="9746"/>
          <w:tab w:val="clear" w:pos="829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_Toc20312 </w:instrText>
      </w:r>
      <w:r>
        <w:rPr>
          <w:rFonts w:hint="eastAsia" w:ascii="黑体" w:eastAsia="黑体"/>
          <w:szCs w:val="20"/>
          <w:highlight w:val="none"/>
        </w:rPr>
        <w:fldChar w:fldCharType="separate"/>
      </w:r>
      <w:r>
        <w:rPr>
          <w:rFonts w:hint="default"/>
          <w:szCs w:val="40"/>
        </w:rPr>
        <w:t xml:space="preserve">5. </w:t>
      </w:r>
      <w:r>
        <w:rPr>
          <w:rFonts w:hint="eastAsia"/>
          <w:szCs w:val="40"/>
          <w:highlight w:val="none"/>
        </w:rPr>
        <w:t>系统技术要求</w:t>
      </w:r>
      <w:r>
        <w:tab/>
      </w:r>
      <w:r>
        <w:fldChar w:fldCharType="begin"/>
      </w:r>
      <w:r>
        <w:instrText xml:space="preserve"> PAGEREF _Toc20312 \h </w:instrText>
      </w:r>
      <w:r>
        <w:fldChar w:fldCharType="separate"/>
      </w:r>
      <w:r>
        <w:t>12</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_Toc14029 </w:instrText>
      </w:r>
      <w:r>
        <w:rPr>
          <w:rFonts w:hint="eastAsia" w:ascii="黑体" w:eastAsia="黑体"/>
          <w:szCs w:val="20"/>
          <w:highlight w:val="none"/>
        </w:rPr>
        <w:fldChar w:fldCharType="separate"/>
      </w:r>
      <w:r>
        <w:rPr>
          <w:rFonts w:hint="default"/>
          <w:szCs w:val="28"/>
        </w:rPr>
        <w:t xml:space="preserve">5.1. </w:t>
      </w:r>
      <w:r>
        <w:rPr>
          <w:rFonts w:hint="eastAsia"/>
          <w:szCs w:val="28"/>
          <w:highlight w:val="none"/>
          <w:lang w:val="en-US" w:eastAsia="zh-CN"/>
        </w:rPr>
        <w:t>项目服务</w:t>
      </w:r>
      <w:r>
        <w:rPr>
          <w:rFonts w:hint="eastAsia"/>
          <w:szCs w:val="28"/>
          <w:highlight w:val="none"/>
        </w:rPr>
        <w:t>内容</w:t>
      </w:r>
      <w:r>
        <w:tab/>
      </w:r>
      <w:r>
        <w:fldChar w:fldCharType="begin"/>
      </w:r>
      <w:r>
        <w:instrText xml:space="preserve"> PAGEREF _Toc14029 \h </w:instrText>
      </w:r>
      <w:r>
        <w:fldChar w:fldCharType="separate"/>
      </w:r>
      <w:r>
        <w:t>12</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_Toc9459 </w:instrText>
      </w:r>
      <w:r>
        <w:rPr>
          <w:rFonts w:hint="eastAsia" w:ascii="黑体" w:eastAsia="黑体"/>
          <w:szCs w:val="20"/>
          <w:highlight w:val="none"/>
        </w:rPr>
        <w:fldChar w:fldCharType="separate"/>
      </w:r>
      <w:r>
        <w:rPr>
          <w:rFonts w:hint="default"/>
          <w:szCs w:val="28"/>
        </w:rPr>
        <w:t xml:space="preserve">5.2. </w:t>
      </w:r>
      <w:r>
        <w:rPr>
          <w:rFonts w:hint="eastAsia"/>
          <w:szCs w:val="28"/>
          <w:highlight w:val="none"/>
        </w:rPr>
        <w:t>实施</w:t>
      </w:r>
      <w:r>
        <w:rPr>
          <w:rFonts w:hint="eastAsia"/>
          <w:szCs w:val="28"/>
          <w:highlight w:val="none"/>
          <w:lang w:val="en-US" w:eastAsia="zh-CN"/>
        </w:rPr>
        <w:t>部署</w:t>
      </w:r>
      <w:r>
        <w:rPr>
          <w:rFonts w:hint="eastAsia"/>
          <w:szCs w:val="28"/>
          <w:highlight w:val="none"/>
        </w:rPr>
        <w:t>方案</w:t>
      </w:r>
      <w:r>
        <w:tab/>
      </w:r>
      <w:r>
        <w:fldChar w:fldCharType="begin"/>
      </w:r>
      <w:r>
        <w:instrText xml:space="preserve"> PAGEREF _Toc9459 \h </w:instrText>
      </w:r>
      <w:r>
        <w:fldChar w:fldCharType="separate"/>
      </w:r>
      <w:r>
        <w:t>13</w:t>
      </w:r>
      <w:r>
        <w:fldChar w:fldCharType="end"/>
      </w:r>
      <w:r>
        <w:rPr>
          <w:rFonts w:hint="eastAsia" w:ascii="黑体" w:eastAsia="黑体"/>
          <w:color w:val="auto"/>
          <w:szCs w:val="20"/>
          <w:highlight w:val="none"/>
        </w:rPr>
        <w:fldChar w:fldCharType="end"/>
      </w:r>
    </w:p>
    <w:p>
      <w:pPr>
        <w:pStyle w:val="20"/>
        <w:tabs>
          <w:tab w:val="right" w:leader="dot" w:pos="9746"/>
          <w:tab w:val="clear" w:pos="829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_Toc13282 </w:instrText>
      </w:r>
      <w:r>
        <w:rPr>
          <w:rFonts w:hint="eastAsia" w:ascii="黑体" w:eastAsia="黑体"/>
          <w:szCs w:val="20"/>
          <w:highlight w:val="none"/>
        </w:rPr>
        <w:fldChar w:fldCharType="separate"/>
      </w:r>
      <w:r>
        <w:rPr>
          <w:rFonts w:hint="default"/>
          <w:szCs w:val="40"/>
        </w:rPr>
        <w:t xml:space="preserve">6. </w:t>
      </w:r>
      <w:r>
        <w:rPr>
          <w:rFonts w:hint="eastAsia"/>
          <w:szCs w:val="40"/>
          <w:highlight w:val="none"/>
        </w:rPr>
        <w:t>主要设备技术要求和性能要求</w:t>
      </w:r>
      <w:r>
        <w:tab/>
      </w:r>
      <w:r>
        <w:fldChar w:fldCharType="begin"/>
      </w:r>
      <w:r>
        <w:instrText xml:space="preserve"> PAGEREF _Toc13282 \h </w:instrText>
      </w:r>
      <w:r>
        <w:fldChar w:fldCharType="separate"/>
      </w:r>
      <w:r>
        <w:t>13</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_Toc26145 </w:instrText>
      </w:r>
      <w:r>
        <w:rPr>
          <w:rFonts w:hint="eastAsia" w:ascii="黑体" w:eastAsia="黑体"/>
          <w:szCs w:val="20"/>
          <w:highlight w:val="none"/>
        </w:rPr>
        <w:fldChar w:fldCharType="separate"/>
      </w:r>
      <w:r>
        <w:rPr>
          <w:rFonts w:hint="default"/>
          <w:szCs w:val="28"/>
        </w:rPr>
        <w:t xml:space="preserve">6.1. </w:t>
      </w:r>
      <w:r>
        <w:rPr>
          <w:rFonts w:hint="eastAsia"/>
          <w:szCs w:val="28"/>
          <w:highlight w:val="none"/>
        </w:rPr>
        <w:t>总体架构要求</w:t>
      </w:r>
      <w:r>
        <w:tab/>
      </w:r>
      <w:r>
        <w:fldChar w:fldCharType="begin"/>
      </w:r>
      <w:r>
        <w:instrText xml:space="preserve"> PAGEREF _Toc26145 \h </w:instrText>
      </w:r>
      <w:r>
        <w:fldChar w:fldCharType="separate"/>
      </w:r>
      <w:r>
        <w:t>13</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_Toc12461 </w:instrText>
      </w:r>
      <w:r>
        <w:rPr>
          <w:rFonts w:hint="eastAsia" w:ascii="黑体" w:eastAsia="黑体"/>
          <w:szCs w:val="20"/>
          <w:highlight w:val="none"/>
        </w:rPr>
        <w:fldChar w:fldCharType="separate"/>
      </w:r>
      <w:r>
        <w:rPr>
          <w:rFonts w:hint="default"/>
          <w:szCs w:val="28"/>
        </w:rPr>
        <w:t xml:space="preserve">6.2. </w:t>
      </w:r>
      <w:r>
        <w:rPr>
          <w:rFonts w:hint="eastAsia"/>
          <w:szCs w:val="28"/>
          <w:highlight w:val="none"/>
          <w:lang w:eastAsia="zh-Hans"/>
        </w:rPr>
        <w:t>数据模型</w:t>
      </w:r>
      <w:r>
        <w:rPr>
          <w:rFonts w:hint="eastAsia"/>
          <w:szCs w:val="28"/>
          <w:highlight w:val="none"/>
          <w:lang w:val="en-US" w:eastAsia="zh-CN"/>
        </w:rPr>
        <w:t>集成</w:t>
      </w:r>
      <w:r>
        <w:rPr>
          <w:rFonts w:hint="eastAsia"/>
          <w:szCs w:val="28"/>
          <w:highlight w:val="none"/>
          <w:lang w:eastAsia="zh-Hans"/>
        </w:rPr>
        <w:t>要求</w:t>
      </w:r>
      <w:r>
        <w:tab/>
      </w:r>
      <w:r>
        <w:fldChar w:fldCharType="begin"/>
      </w:r>
      <w:r>
        <w:instrText xml:space="preserve"> PAGEREF _Toc12461 \h </w:instrText>
      </w:r>
      <w:r>
        <w:fldChar w:fldCharType="separate"/>
      </w:r>
      <w:r>
        <w:t>13</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_Toc29148 </w:instrText>
      </w:r>
      <w:r>
        <w:rPr>
          <w:rFonts w:hint="eastAsia" w:ascii="黑体" w:eastAsia="黑体"/>
          <w:szCs w:val="20"/>
          <w:highlight w:val="none"/>
        </w:rPr>
        <w:fldChar w:fldCharType="separate"/>
      </w:r>
      <w:r>
        <w:rPr>
          <w:rFonts w:hint="default"/>
          <w:szCs w:val="28"/>
          <w:lang w:eastAsia="zh-Hans"/>
        </w:rPr>
        <w:t xml:space="preserve">6.3. </w:t>
      </w:r>
      <w:r>
        <w:rPr>
          <w:rFonts w:hint="eastAsia"/>
          <w:szCs w:val="28"/>
          <w:highlight w:val="none"/>
          <w:lang w:eastAsia="zh-Hans"/>
        </w:rPr>
        <w:t>图形技术</w:t>
      </w:r>
      <w:r>
        <w:rPr>
          <w:rFonts w:hint="eastAsia"/>
          <w:szCs w:val="28"/>
          <w:highlight w:val="none"/>
          <w:lang w:val="en-US" w:eastAsia="zh-CN"/>
        </w:rPr>
        <w:t>集成</w:t>
      </w:r>
      <w:r>
        <w:rPr>
          <w:rFonts w:hint="eastAsia"/>
          <w:szCs w:val="28"/>
          <w:highlight w:val="none"/>
          <w:lang w:eastAsia="zh-Hans"/>
        </w:rPr>
        <w:t>要求</w:t>
      </w:r>
      <w:r>
        <w:tab/>
      </w:r>
      <w:r>
        <w:fldChar w:fldCharType="begin"/>
      </w:r>
      <w:r>
        <w:instrText xml:space="preserve"> PAGEREF _Toc29148 \h </w:instrText>
      </w:r>
      <w:r>
        <w:fldChar w:fldCharType="separate"/>
      </w:r>
      <w:r>
        <w:t>15</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_Toc15812 </w:instrText>
      </w:r>
      <w:r>
        <w:rPr>
          <w:rFonts w:hint="eastAsia" w:ascii="黑体" w:eastAsia="黑体"/>
          <w:szCs w:val="20"/>
          <w:highlight w:val="none"/>
        </w:rPr>
        <w:fldChar w:fldCharType="separate"/>
      </w:r>
      <w:r>
        <w:rPr>
          <w:rFonts w:hint="default"/>
          <w:szCs w:val="28"/>
        </w:rPr>
        <w:t xml:space="preserve">6.4. </w:t>
      </w:r>
      <w:r>
        <w:rPr>
          <w:rFonts w:hint="eastAsia"/>
          <w:szCs w:val="28"/>
          <w:highlight w:val="none"/>
          <w:lang w:val="en-US" w:eastAsia="zh-CN"/>
        </w:rPr>
        <w:t>视联融合终端</w:t>
      </w:r>
      <w:r>
        <w:tab/>
      </w:r>
      <w:r>
        <w:fldChar w:fldCharType="begin"/>
      </w:r>
      <w:r>
        <w:instrText xml:space="preserve"> PAGEREF _Toc15812 \h </w:instrText>
      </w:r>
      <w:r>
        <w:fldChar w:fldCharType="separate"/>
      </w:r>
      <w:r>
        <w:t>17</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_Toc5598 </w:instrText>
      </w:r>
      <w:r>
        <w:rPr>
          <w:rFonts w:hint="eastAsia" w:ascii="黑体" w:eastAsia="黑体"/>
          <w:szCs w:val="20"/>
          <w:highlight w:val="none"/>
        </w:rPr>
        <w:fldChar w:fldCharType="separate"/>
      </w:r>
      <w:r>
        <w:rPr>
          <w:rFonts w:hint="default"/>
          <w:szCs w:val="28"/>
          <w:lang w:val="en-US" w:eastAsia="zh-CN"/>
        </w:rPr>
        <w:t xml:space="preserve">6.5. </w:t>
      </w:r>
      <w:r>
        <w:rPr>
          <w:rFonts w:hint="eastAsia"/>
          <w:szCs w:val="28"/>
          <w:highlight w:val="none"/>
          <w:lang w:val="en-US" w:eastAsia="zh-CN"/>
        </w:rPr>
        <w:t>其他设备</w:t>
      </w:r>
      <w:r>
        <w:tab/>
      </w:r>
      <w:r>
        <w:fldChar w:fldCharType="begin"/>
      </w:r>
      <w:r>
        <w:instrText xml:space="preserve"> PAGEREF _Toc5598 \h </w:instrText>
      </w:r>
      <w:r>
        <w:fldChar w:fldCharType="separate"/>
      </w:r>
      <w:r>
        <w:t>22</w:t>
      </w:r>
      <w:r>
        <w:fldChar w:fldCharType="end"/>
      </w:r>
      <w:r>
        <w:rPr>
          <w:rFonts w:hint="eastAsia" w:ascii="黑体" w:eastAsia="黑体"/>
          <w:color w:val="auto"/>
          <w:szCs w:val="20"/>
          <w:highlight w:val="none"/>
        </w:rPr>
        <w:fldChar w:fldCharType="end"/>
      </w:r>
    </w:p>
    <w:p>
      <w:pPr>
        <w:pStyle w:val="20"/>
        <w:tabs>
          <w:tab w:val="right" w:leader="dot" w:pos="9746"/>
          <w:tab w:val="clear" w:pos="829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_Toc23438 </w:instrText>
      </w:r>
      <w:r>
        <w:rPr>
          <w:rFonts w:hint="eastAsia" w:ascii="黑体" w:eastAsia="黑体"/>
          <w:szCs w:val="20"/>
          <w:highlight w:val="none"/>
        </w:rPr>
        <w:fldChar w:fldCharType="separate"/>
      </w:r>
      <w:r>
        <w:rPr>
          <w:rFonts w:hint="default"/>
          <w:szCs w:val="40"/>
        </w:rPr>
        <w:t xml:space="preserve">7. </w:t>
      </w:r>
      <w:r>
        <w:rPr>
          <w:rFonts w:hint="eastAsia"/>
          <w:szCs w:val="40"/>
          <w:highlight w:val="none"/>
          <w:lang w:val="en-US" w:eastAsia="zh-CN"/>
        </w:rPr>
        <w:t>站端设备智能化应用业务调试</w:t>
      </w:r>
      <w:r>
        <w:tab/>
      </w:r>
      <w:r>
        <w:fldChar w:fldCharType="begin"/>
      </w:r>
      <w:r>
        <w:instrText xml:space="preserve"> PAGEREF _Toc23438 \h </w:instrText>
      </w:r>
      <w:r>
        <w:fldChar w:fldCharType="separate"/>
      </w:r>
      <w:r>
        <w:t>28</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_Toc23612 </w:instrText>
      </w:r>
      <w:r>
        <w:rPr>
          <w:rFonts w:hint="eastAsia" w:ascii="黑体" w:eastAsia="黑体"/>
          <w:szCs w:val="20"/>
          <w:highlight w:val="none"/>
        </w:rPr>
        <w:fldChar w:fldCharType="separate"/>
      </w:r>
      <w:r>
        <w:rPr>
          <w:rFonts w:hint="default"/>
          <w:szCs w:val="28"/>
          <w:lang w:val="en-US" w:eastAsia="zh-CN"/>
        </w:rPr>
        <w:t xml:space="preserve">7.1. </w:t>
      </w:r>
      <w:r>
        <w:rPr>
          <w:rFonts w:hint="eastAsia"/>
          <w:szCs w:val="28"/>
          <w:highlight w:val="none"/>
          <w:lang w:val="en-US" w:eastAsia="zh-CN"/>
        </w:rPr>
        <w:t>仓调技术要求</w:t>
      </w:r>
      <w:r>
        <w:tab/>
      </w:r>
      <w:r>
        <w:fldChar w:fldCharType="begin"/>
      </w:r>
      <w:r>
        <w:instrText xml:space="preserve"> PAGEREF _Toc23612 \h </w:instrText>
      </w:r>
      <w:r>
        <w:fldChar w:fldCharType="separate"/>
      </w:r>
      <w:r>
        <w:t>28</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_Toc29157 </w:instrText>
      </w:r>
      <w:r>
        <w:rPr>
          <w:rFonts w:hint="eastAsia" w:ascii="黑体" w:eastAsia="黑体"/>
          <w:szCs w:val="20"/>
          <w:highlight w:val="none"/>
        </w:rPr>
        <w:fldChar w:fldCharType="separate"/>
      </w:r>
      <w:r>
        <w:rPr>
          <w:rFonts w:hint="default"/>
          <w:szCs w:val="28"/>
          <w:lang w:val="en-US" w:eastAsia="zh-CN"/>
        </w:rPr>
        <w:t xml:space="preserve">7.2. </w:t>
      </w:r>
      <w:r>
        <w:rPr>
          <w:rFonts w:hint="eastAsia"/>
          <w:szCs w:val="28"/>
          <w:highlight w:val="none"/>
          <w:lang w:val="en-US" w:eastAsia="zh-CN"/>
        </w:rPr>
        <w:t>变电站智能化业务调试内容</w:t>
      </w:r>
      <w:r>
        <w:tab/>
      </w:r>
      <w:r>
        <w:fldChar w:fldCharType="begin"/>
      </w:r>
      <w:r>
        <w:instrText xml:space="preserve"> PAGEREF _Toc29157 \h </w:instrText>
      </w:r>
      <w:r>
        <w:fldChar w:fldCharType="separate"/>
      </w:r>
      <w:r>
        <w:t>28</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_Toc764 </w:instrText>
      </w:r>
      <w:r>
        <w:rPr>
          <w:rFonts w:hint="eastAsia" w:ascii="黑体" w:eastAsia="黑体"/>
          <w:szCs w:val="20"/>
          <w:highlight w:val="none"/>
        </w:rPr>
        <w:fldChar w:fldCharType="separate"/>
      </w:r>
      <w:r>
        <w:rPr>
          <w:rFonts w:hint="default"/>
          <w:szCs w:val="28"/>
          <w:lang w:val="en-US" w:eastAsia="zh-CN"/>
        </w:rPr>
        <w:t xml:space="preserve">7.3. </w:t>
      </w:r>
      <w:r>
        <w:rPr>
          <w:rFonts w:hint="eastAsia"/>
          <w:szCs w:val="28"/>
          <w:highlight w:val="none"/>
          <w:lang w:val="en-US" w:eastAsia="zh-CN"/>
        </w:rPr>
        <w:t>变电站基础网络调试与接入</w:t>
      </w:r>
      <w:r>
        <w:tab/>
      </w:r>
      <w:r>
        <w:fldChar w:fldCharType="begin"/>
      </w:r>
      <w:r>
        <w:instrText xml:space="preserve"> PAGEREF _Toc764 \h </w:instrText>
      </w:r>
      <w:r>
        <w:fldChar w:fldCharType="separate"/>
      </w:r>
      <w:r>
        <w:t>28</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_Toc19953 </w:instrText>
      </w:r>
      <w:r>
        <w:rPr>
          <w:rFonts w:hint="eastAsia" w:ascii="黑体" w:eastAsia="黑体"/>
          <w:szCs w:val="20"/>
          <w:highlight w:val="none"/>
        </w:rPr>
        <w:fldChar w:fldCharType="separate"/>
      </w:r>
      <w:r>
        <w:rPr>
          <w:rFonts w:hint="default"/>
          <w:szCs w:val="28"/>
          <w:lang w:val="en-US" w:eastAsia="zh-CN"/>
        </w:rPr>
        <w:t xml:space="preserve">7.4. </w:t>
      </w:r>
      <w:r>
        <w:rPr>
          <w:rFonts w:hint="eastAsia"/>
          <w:szCs w:val="28"/>
          <w:highlight w:val="none"/>
          <w:lang w:val="en-US" w:eastAsia="zh-CN"/>
        </w:rPr>
        <w:t>变电智能网关接入调试</w:t>
      </w:r>
      <w:r>
        <w:tab/>
      </w:r>
      <w:r>
        <w:fldChar w:fldCharType="begin"/>
      </w:r>
      <w:r>
        <w:instrText xml:space="preserve"> PAGEREF _Toc19953 \h </w:instrText>
      </w:r>
      <w:r>
        <w:fldChar w:fldCharType="separate"/>
      </w:r>
      <w:r>
        <w:t>29</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_Toc21782 </w:instrText>
      </w:r>
      <w:r>
        <w:rPr>
          <w:rFonts w:hint="eastAsia" w:ascii="黑体" w:eastAsia="黑体"/>
          <w:szCs w:val="20"/>
          <w:highlight w:val="none"/>
        </w:rPr>
        <w:fldChar w:fldCharType="separate"/>
      </w:r>
      <w:r>
        <w:rPr>
          <w:rFonts w:hint="default"/>
          <w:szCs w:val="28"/>
          <w:lang w:val="en-US" w:eastAsia="zh-CN"/>
        </w:rPr>
        <w:t xml:space="preserve">7.5. </w:t>
      </w:r>
      <w:r>
        <w:rPr>
          <w:rFonts w:hint="eastAsia"/>
          <w:szCs w:val="28"/>
          <w:highlight w:val="none"/>
          <w:lang w:val="en-US" w:eastAsia="zh-CN"/>
        </w:rPr>
        <w:t>变电站基础数据初始化</w:t>
      </w:r>
      <w:r>
        <w:tab/>
      </w:r>
      <w:r>
        <w:fldChar w:fldCharType="begin"/>
      </w:r>
      <w:r>
        <w:instrText xml:space="preserve"> PAGEREF _Toc21782 \h </w:instrText>
      </w:r>
      <w:r>
        <w:fldChar w:fldCharType="separate"/>
      </w:r>
      <w:r>
        <w:t>30</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_Toc8071 </w:instrText>
      </w:r>
      <w:r>
        <w:rPr>
          <w:rFonts w:hint="eastAsia" w:ascii="黑体" w:eastAsia="黑体"/>
          <w:szCs w:val="20"/>
          <w:highlight w:val="none"/>
        </w:rPr>
        <w:fldChar w:fldCharType="separate"/>
      </w:r>
      <w:r>
        <w:rPr>
          <w:rFonts w:hint="default"/>
          <w:szCs w:val="28"/>
          <w:lang w:val="en-US" w:eastAsia="zh-CN"/>
        </w:rPr>
        <w:t xml:space="preserve">7.6. </w:t>
      </w:r>
      <w:r>
        <w:rPr>
          <w:rFonts w:hint="eastAsia"/>
          <w:szCs w:val="28"/>
          <w:highlight w:val="none"/>
          <w:lang w:val="en-US" w:eastAsia="zh-CN"/>
        </w:rPr>
        <w:t>变电站智能操作监控接入</w:t>
      </w:r>
      <w:r>
        <w:tab/>
      </w:r>
      <w:r>
        <w:fldChar w:fldCharType="begin"/>
      </w:r>
      <w:r>
        <w:instrText xml:space="preserve"> PAGEREF _Toc8071 \h </w:instrText>
      </w:r>
      <w:r>
        <w:fldChar w:fldCharType="separate"/>
      </w:r>
      <w:r>
        <w:t>30</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_Toc6339 </w:instrText>
      </w:r>
      <w:r>
        <w:rPr>
          <w:rFonts w:hint="eastAsia" w:ascii="黑体" w:eastAsia="黑体"/>
          <w:szCs w:val="20"/>
          <w:highlight w:val="none"/>
        </w:rPr>
        <w:fldChar w:fldCharType="separate"/>
      </w:r>
      <w:r>
        <w:rPr>
          <w:rFonts w:hint="default"/>
          <w:szCs w:val="28"/>
          <w:lang w:val="en-US" w:eastAsia="zh-CN"/>
        </w:rPr>
        <w:t xml:space="preserve">7.7. </w:t>
      </w:r>
      <w:r>
        <w:rPr>
          <w:rFonts w:hint="eastAsia"/>
          <w:szCs w:val="28"/>
          <w:highlight w:val="none"/>
          <w:lang w:val="en-US" w:eastAsia="zh-CN"/>
        </w:rPr>
        <w:t>变电站智能安全接入</w:t>
      </w:r>
      <w:r>
        <w:tab/>
      </w:r>
      <w:r>
        <w:fldChar w:fldCharType="begin"/>
      </w:r>
      <w:r>
        <w:instrText xml:space="preserve"> PAGEREF _Toc6339 \h </w:instrText>
      </w:r>
      <w:r>
        <w:fldChar w:fldCharType="separate"/>
      </w:r>
      <w:r>
        <w:t>30</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_Toc31443 </w:instrText>
      </w:r>
      <w:r>
        <w:rPr>
          <w:rFonts w:hint="eastAsia" w:ascii="黑体" w:eastAsia="黑体"/>
          <w:szCs w:val="20"/>
          <w:highlight w:val="none"/>
        </w:rPr>
        <w:fldChar w:fldCharType="separate"/>
      </w:r>
      <w:r>
        <w:rPr>
          <w:rFonts w:hint="default"/>
          <w:szCs w:val="28"/>
          <w:lang w:val="en-US" w:eastAsia="zh-CN"/>
        </w:rPr>
        <w:t xml:space="preserve">7.8. </w:t>
      </w:r>
      <w:r>
        <w:rPr>
          <w:rFonts w:hint="eastAsia"/>
          <w:szCs w:val="28"/>
          <w:highlight w:val="none"/>
          <w:lang w:val="en-US" w:eastAsia="zh-CN"/>
        </w:rPr>
        <w:t>与生产运行支持系统功能联调</w:t>
      </w:r>
      <w:r>
        <w:tab/>
      </w:r>
      <w:r>
        <w:fldChar w:fldCharType="begin"/>
      </w:r>
      <w:r>
        <w:instrText xml:space="preserve"> PAGEREF _Toc31443 \h </w:instrText>
      </w:r>
      <w:r>
        <w:fldChar w:fldCharType="separate"/>
      </w:r>
      <w:r>
        <w:t>31</w:t>
      </w:r>
      <w:r>
        <w:fldChar w:fldCharType="end"/>
      </w:r>
      <w:r>
        <w:rPr>
          <w:rFonts w:hint="eastAsia" w:ascii="黑体" w:eastAsia="黑体"/>
          <w:color w:val="auto"/>
          <w:szCs w:val="20"/>
          <w:highlight w:val="none"/>
        </w:rPr>
        <w:fldChar w:fldCharType="end"/>
      </w:r>
    </w:p>
    <w:p>
      <w:pPr>
        <w:pStyle w:val="20"/>
        <w:tabs>
          <w:tab w:val="right" w:leader="dot" w:pos="9746"/>
          <w:tab w:val="clear" w:pos="829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_Toc9482 </w:instrText>
      </w:r>
      <w:r>
        <w:rPr>
          <w:rFonts w:hint="eastAsia" w:ascii="黑体" w:eastAsia="黑体"/>
          <w:szCs w:val="20"/>
          <w:highlight w:val="none"/>
        </w:rPr>
        <w:fldChar w:fldCharType="separate"/>
      </w:r>
      <w:r>
        <w:rPr>
          <w:rFonts w:hint="default"/>
          <w:szCs w:val="40"/>
        </w:rPr>
        <w:t xml:space="preserve">8. </w:t>
      </w:r>
      <w:r>
        <w:rPr>
          <w:rFonts w:hint="eastAsia"/>
          <w:szCs w:val="40"/>
          <w:highlight w:val="none"/>
        </w:rPr>
        <w:t>项目验收、交付</w:t>
      </w:r>
      <w:r>
        <w:tab/>
      </w:r>
      <w:r>
        <w:fldChar w:fldCharType="begin"/>
      </w:r>
      <w:r>
        <w:instrText xml:space="preserve"> PAGEREF _Toc9482 \h </w:instrText>
      </w:r>
      <w:r>
        <w:fldChar w:fldCharType="separate"/>
      </w:r>
      <w:r>
        <w:t>31</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_Toc18463 </w:instrText>
      </w:r>
      <w:r>
        <w:rPr>
          <w:rFonts w:hint="eastAsia" w:ascii="黑体" w:eastAsia="黑体"/>
          <w:szCs w:val="20"/>
          <w:highlight w:val="none"/>
        </w:rPr>
        <w:fldChar w:fldCharType="separate"/>
      </w:r>
      <w:r>
        <w:rPr>
          <w:rFonts w:hint="default"/>
          <w:szCs w:val="28"/>
        </w:rPr>
        <w:t xml:space="preserve">8.1. </w:t>
      </w:r>
      <w:r>
        <w:rPr>
          <w:rFonts w:hint="eastAsia"/>
          <w:szCs w:val="28"/>
          <w:highlight w:val="none"/>
        </w:rPr>
        <w:t>验收</w:t>
      </w:r>
      <w:r>
        <w:tab/>
      </w:r>
      <w:r>
        <w:fldChar w:fldCharType="begin"/>
      </w:r>
      <w:r>
        <w:instrText xml:space="preserve"> PAGEREF _Toc18463 \h </w:instrText>
      </w:r>
      <w:r>
        <w:fldChar w:fldCharType="separate"/>
      </w:r>
      <w:r>
        <w:t>31</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_Toc230 </w:instrText>
      </w:r>
      <w:r>
        <w:rPr>
          <w:rFonts w:hint="eastAsia" w:ascii="黑体" w:eastAsia="黑体"/>
          <w:szCs w:val="20"/>
          <w:highlight w:val="none"/>
        </w:rPr>
        <w:fldChar w:fldCharType="separate"/>
      </w:r>
      <w:r>
        <w:rPr>
          <w:rFonts w:hint="default"/>
          <w:szCs w:val="28"/>
        </w:rPr>
        <w:t xml:space="preserve">8.2. </w:t>
      </w:r>
      <w:r>
        <w:rPr>
          <w:rFonts w:hint="eastAsia"/>
          <w:szCs w:val="28"/>
          <w:highlight w:val="none"/>
        </w:rPr>
        <w:t>项目交付项</w:t>
      </w:r>
      <w:r>
        <w:tab/>
      </w:r>
      <w:r>
        <w:fldChar w:fldCharType="begin"/>
      </w:r>
      <w:r>
        <w:instrText xml:space="preserve"> PAGEREF _Toc230 \h </w:instrText>
      </w:r>
      <w:r>
        <w:fldChar w:fldCharType="separate"/>
      </w:r>
      <w:r>
        <w:t>32</w:t>
      </w:r>
      <w:r>
        <w:fldChar w:fldCharType="end"/>
      </w:r>
      <w:r>
        <w:rPr>
          <w:rFonts w:hint="eastAsia" w:ascii="黑体" w:eastAsia="黑体"/>
          <w:color w:val="auto"/>
          <w:szCs w:val="20"/>
          <w:highlight w:val="none"/>
        </w:rPr>
        <w:fldChar w:fldCharType="end"/>
      </w:r>
    </w:p>
    <w:p>
      <w:pPr>
        <w:pStyle w:val="20"/>
        <w:tabs>
          <w:tab w:val="right" w:leader="dot" w:pos="9746"/>
          <w:tab w:val="clear" w:pos="829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_Toc6891 </w:instrText>
      </w:r>
      <w:r>
        <w:rPr>
          <w:rFonts w:hint="eastAsia" w:ascii="黑体" w:eastAsia="黑体"/>
          <w:szCs w:val="20"/>
          <w:highlight w:val="none"/>
        </w:rPr>
        <w:fldChar w:fldCharType="separate"/>
      </w:r>
      <w:r>
        <w:rPr>
          <w:rFonts w:hint="default"/>
          <w:szCs w:val="40"/>
        </w:rPr>
        <w:t xml:space="preserve">9. </w:t>
      </w:r>
      <w:r>
        <w:rPr>
          <w:rFonts w:hint="eastAsia"/>
          <w:szCs w:val="40"/>
          <w:highlight w:val="none"/>
        </w:rPr>
        <w:t>技术服务</w:t>
      </w:r>
      <w:r>
        <w:tab/>
      </w:r>
      <w:r>
        <w:fldChar w:fldCharType="begin"/>
      </w:r>
      <w:r>
        <w:instrText xml:space="preserve"> PAGEREF _Toc6891 \h </w:instrText>
      </w:r>
      <w:r>
        <w:fldChar w:fldCharType="separate"/>
      </w:r>
      <w:r>
        <w:t>32</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_Toc16515 </w:instrText>
      </w:r>
      <w:r>
        <w:rPr>
          <w:rFonts w:hint="eastAsia" w:ascii="黑体" w:eastAsia="黑体"/>
          <w:szCs w:val="20"/>
          <w:highlight w:val="none"/>
        </w:rPr>
        <w:fldChar w:fldCharType="separate"/>
      </w:r>
      <w:r>
        <w:rPr>
          <w:rFonts w:hint="default"/>
          <w:szCs w:val="28"/>
        </w:rPr>
        <w:t xml:space="preserve">9.1. </w:t>
      </w:r>
      <w:r>
        <w:rPr>
          <w:rFonts w:hint="eastAsia"/>
          <w:szCs w:val="28"/>
          <w:highlight w:val="none"/>
        </w:rPr>
        <w:t>项目管理</w:t>
      </w:r>
      <w:r>
        <w:tab/>
      </w:r>
      <w:r>
        <w:fldChar w:fldCharType="begin"/>
      </w:r>
      <w:r>
        <w:instrText xml:space="preserve"> PAGEREF _Toc16515 \h </w:instrText>
      </w:r>
      <w:r>
        <w:fldChar w:fldCharType="separate"/>
      </w:r>
      <w:r>
        <w:t>32</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_Toc29366 </w:instrText>
      </w:r>
      <w:r>
        <w:rPr>
          <w:rFonts w:hint="eastAsia" w:ascii="黑体" w:eastAsia="黑体"/>
          <w:szCs w:val="20"/>
          <w:highlight w:val="none"/>
        </w:rPr>
        <w:fldChar w:fldCharType="separate"/>
      </w:r>
      <w:r>
        <w:rPr>
          <w:rFonts w:hint="default"/>
          <w:szCs w:val="28"/>
        </w:rPr>
        <w:t xml:space="preserve">9.2. </w:t>
      </w:r>
      <w:r>
        <w:rPr>
          <w:rFonts w:hint="eastAsia"/>
          <w:szCs w:val="28"/>
          <w:highlight w:val="none"/>
        </w:rPr>
        <w:t>设计联络</w:t>
      </w:r>
      <w:r>
        <w:tab/>
      </w:r>
      <w:r>
        <w:fldChar w:fldCharType="begin"/>
      </w:r>
      <w:r>
        <w:instrText xml:space="preserve"> PAGEREF _Toc29366 \h </w:instrText>
      </w:r>
      <w:r>
        <w:fldChar w:fldCharType="separate"/>
      </w:r>
      <w:r>
        <w:t>32</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_Toc14680 </w:instrText>
      </w:r>
      <w:r>
        <w:rPr>
          <w:rFonts w:hint="eastAsia" w:ascii="黑体" w:eastAsia="黑体"/>
          <w:szCs w:val="20"/>
          <w:highlight w:val="none"/>
        </w:rPr>
        <w:fldChar w:fldCharType="separate"/>
      </w:r>
      <w:r>
        <w:rPr>
          <w:rFonts w:hint="default"/>
          <w:szCs w:val="28"/>
        </w:rPr>
        <w:t xml:space="preserve">9.3. </w:t>
      </w:r>
      <w:r>
        <w:rPr>
          <w:rFonts w:hint="eastAsia"/>
          <w:szCs w:val="28"/>
          <w:highlight w:val="none"/>
        </w:rPr>
        <w:t>培训</w:t>
      </w:r>
      <w:r>
        <w:tab/>
      </w:r>
      <w:r>
        <w:fldChar w:fldCharType="begin"/>
      </w:r>
      <w:r>
        <w:instrText xml:space="preserve"> PAGEREF _Toc14680 \h </w:instrText>
      </w:r>
      <w:r>
        <w:fldChar w:fldCharType="separate"/>
      </w:r>
      <w:r>
        <w:t>32</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_Toc15149 </w:instrText>
      </w:r>
      <w:r>
        <w:rPr>
          <w:rFonts w:hint="eastAsia" w:ascii="黑体" w:eastAsia="黑体"/>
          <w:szCs w:val="20"/>
          <w:highlight w:val="none"/>
        </w:rPr>
        <w:fldChar w:fldCharType="separate"/>
      </w:r>
      <w:r>
        <w:rPr>
          <w:rFonts w:hint="default"/>
          <w:szCs w:val="28"/>
        </w:rPr>
        <w:t xml:space="preserve">9.4. </w:t>
      </w:r>
      <w:r>
        <w:rPr>
          <w:rFonts w:hint="eastAsia"/>
          <w:szCs w:val="28"/>
          <w:highlight w:val="none"/>
        </w:rPr>
        <w:t>质量保证</w:t>
      </w:r>
      <w:r>
        <w:tab/>
      </w:r>
      <w:r>
        <w:fldChar w:fldCharType="begin"/>
      </w:r>
      <w:r>
        <w:instrText xml:space="preserve"> PAGEREF _Toc15149 \h </w:instrText>
      </w:r>
      <w:r>
        <w:fldChar w:fldCharType="separate"/>
      </w:r>
      <w:r>
        <w:t>32</w:t>
      </w:r>
      <w:r>
        <w:fldChar w:fldCharType="end"/>
      </w:r>
      <w:r>
        <w:rPr>
          <w:rFonts w:hint="eastAsia" w:ascii="黑体" w:eastAsia="黑体"/>
          <w:color w:val="auto"/>
          <w:szCs w:val="20"/>
          <w:highlight w:val="none"/>
        </w:rPr>
        <w:fldChar w:fldCharType="end"/>
      </w:r>
    </w:p>
    <w:p>
      <w:pPr>
        <w:pStyle w:val="20"/>
        <w:tabs>
          <w:tab w:val="right" w:leader="dot" w:pos="9746"/>
          <w:tab w:val="clear" w:pos="829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_Toc11313 </w:instrText>
      </w:r>
      <w:r>
        <w:rPr>
          <w:rFonts w:hint="eastAsia" w:ascii="黑体" w:eastAsia="黑体"/>
          <w:szCs w:val="20"/>
          <w:highlight w:val="none"/>
        </w:rPr>
        <w:fldChar w:fldCharType="separate"/>
      </w:r>
      <w:r>
        <w:rPr>
          <w:rFonts w:hint="default"/>
          <w:szCs w:val="40"/>
        </w:rPr>
        <w:t xml:space="preserve">10. </w:t>
      </w:r>
      <w:r>
        <w:rPr>
          <w:rFonts w:hint="eastAsia"/>
          <w:szCs w:val="40"/>
          <w:highlight w:val="none"/>
        </w:rPr>
        <w:t>包装、运输和储存</w:t>
      </w:r>
      <w:r>
        <w:tab/>
      </w:r>
      <w:r>
        <w:fldChar w:fldCharType="begin"/>
      </w:r>
      <w:r>
        <w:instrText xml:space="preserve"> PAGEREF _Toc11313 \h </w:instrText>
      </w:r>
      <w:r>
        <w:fldChar w:fldCharType="separate"/>
      </w:r>
      <w:r>
        <w:t>33</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_Toc20111 </w:instrText>
      </w:r>
      <w:r>
        <w:rPr>
          <w:rFonts w:hint="eastAsia" w:ascii="黑体" w:eastAsia="黑体"/>
          <w:szCs w:val="20"/>
          <w:highlight w:val="none"/>
        </w:rPr>
        <w:fldChar w:fldCharType="separate"/>
      </w:r>
      <w:r>
        <w:rPr>
          <w:rFonts w:hint="default"/>
          <w:szCs w:val="28"/>
        </w:rPr>
        <w:t xml:space="preserve">10.1. </w:t>
      </w:r>
      <w:r>
        <w:rPr>
          <w:rFonts w:hint="eastAsia"/>
          <w:szCs w:val="28"/>
          <w:highlight w:val="none"/>
        </w:rPr>
        <w:t>其他防护措施</w:t>
      </w:r>
      <w:r>
        <w:tab/>
      </w:r>
      <w:r>
        <w:fldChar w:fldCharType="begin"/>
      </w:r>
      <w:r>
        <w:instrText xml:space="preserve"> PAGEREF _Toc20111 \h </w:instrText>
      </w:r>
      <w:r>
        <w:fldChar w:fldCharType="separate"/>
      </w:r>
      <w:r>
        <w:t>33</w:t>
      </w:r>
      <w:r>
        <w:fldChar w:fldCharType="end"/>
      </w:r>
      <w:r>
        <w:rPr>
          <w:rFonts w:hint="eastAsia" w:ascii="黑体" w:eastAsia="黑体"/>
          <w:color w:val="auto"/>
          <w:szCs w:val="20"/>
          <w:highlight w:val="none"/>
        </w:rPr>
        <w:fldChar w:fldCharType="end"/>
      </w:r>
    </w:p>
    <w:p>
      <w:pPr>
        <w:pStyle w:val="20"/>
        <w:tabs>
          <w:tab w:val="right" w:leader="dot" w:pos="9746"/>
          <w:tab w:val="clear" w:pos="829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_Toc15458 </w:instrText>
      </w:r>
      <w:r>
        <w:rPr>
          <w:rFonts w:hint="eastAsia" w:ascii="黑体" w:eastAsia="黑体"/>
          <w:szCs w:val="20"/>
          <w:highlight w:val="none"/>
        </w:rPr>
        <w:fldChar w:fldCharType="separate"/>
      </w:r>
      <w:r>
        <w:rPr>
          <w:rFonts w:hint="default"/>
          <w:szCs w:val="40"/>
        </w:rPr>
        <w:t xml:space="preserve">11. </w:t>
      </w:r>
      <w:r>
        <w:rPr>
          <w:rFonts w:hint="eastAsia"/>
          <w:szCs w:val="40"/>
          <w:highlight w:val="none"/>
        </w:rPr>
        <w:t>双方工作安排</w:t>
      </w:r>
      <w:r>
        <w:tab/>
      </w:r>
      <w:r>
        <w:fldChar w:fldCharType="begin"/>
      </w:r>
      <w:r>
        <w:instrText xml:space="preserve"> PAGEREF _Toc15458 \h </w:instrText>
      </w:r>
      <w:r>
        <w:fldChar w:fldCharType="separate"/>
      </w:r>
      <w:r>
        <w:t>33</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_Toc5266 </w:instrText>
      </w:r>
      <w:r>
        <w:rPr>
          <w:rFonts w:hint="eastAsia" w:ascii="黑体" w:eastAsia="黑体"/>
          <w:szCs w:val="20"/>
          <w:highlight w:val="none"/>
        </w:rPr>
        <w:fldChar w:fldCharType="separate"/>
      </w:r>
      <w:r>
        <w:rPr>
          <w:rFonts w:hint="default"/>
          <w:szCs w:val="28"/>
        </w:rPr>
        <w:t xml:space="preserve">11.1. </w:t>
      </w:r>
      <w:r>
        <w:rPr>
          <w:rFonts w:hint="eastAsia"/>
          <w:szCs w:val="28"/>
          <w:highlight w:val="none"/>
        </w:rPr>
        <w:t>招标方职责</w:t>
      </w:r>
      <w:r>
        <w:tab/>
      </w:r>
      <w:r>
        <w:fldChar w:fldCharType="begin"/>
      </w:r>
      <w:r>
        <w:instrText xml:space="preserve"> PAGEREF _Toc5266 \h </w:instrText>
      </w:r>
      <w:r>
        <w:fldChar w:fldCharType="separate"/>
      </w:r>
      <w:r>
        <w:t>33</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_Toc1466 </w:instrText>
      </w:r>
      <w:r>
        <w:rPr>
          <w:rFonts w:hint="eastAsia" w:ascii="黑体" w:eastAsia="黑体"/>
          <w:szCs w:val="20"/>
          <w:highlight w:val="none"/>
        </w:rPr>
        <w:fldChar w:fldCharType="separate"/>
      </w:r>
      <w:r>
        <w:rPr>
          <w:rFonts w:hint="default"/>
          <w:szCs w:val="28"/>
        </w:rPr>
        <w:t xml:space="preserve">11.2. </w:t>
      </w:r>
      <w:r>
        <w:rPr>
          <w:rFonts w:hint="eastAsia"/>
          <w:szCs w:val="28"/>
          <w:highlight w:val="none"/>
        </w:rPr>
        <w:t>投标方职责</w:t>
      </w:r>
      <w:r>
        <w:tab/>
      </w:r>
      <w:r>
        <w:fldChar w:fldCharType="begin"/>
      </w:r>
      <w:r>
        <w:instrText xml:space="preserve"> PAGEREF _Toc1466 \h </w:instrText>
      </w:r>
      <w:r>
        <w:fldChar w:fldCharType="separate"/>
      </w:r>
      <w:r>
        <w:t>33</w:t>
      </w:r>
      <w:r>
        <w:fldChar w:fldCharType="end"/>
      </w:r>
      <w:r>
        <w:rPr>
          <w:rFonts w:hint="eastAsia" w:ascii="黑体" w:eastAsia="黑体"/>
          <w:color w:val="auto"/>
          <w:szCs w:val="20"/>
          <w:highlight w:val="none"/>
        </w:rPr>
        <w:fldChar w:fldCharType="end"/>
      </w:r>
    </w:p>
    <w:p>
      <w:pPr>
        <w:jc w:val="center"/>
        <w:rPr>
          <w:color w:val="auto"/>
          <w:highlight w:val="none"/>
        </w:rPr>
        <w:sectPr>
          <w:footerReference r:id="rId6" w:type="default"/>
          <w:pgSz w:w="11906" w:h="16838"/>
          <w:pgMar w:top="1440" w:right="1080" w:bottom="1440" w:left="1080" w:header="851" w:footer="992" w:gutter="0"/>
          <w:pgNumType w:start="1"/>
          <w:cols w:space="720" w:num="1"/>
          <w:docGrid w:type="lines" w:linePitch="326" w:charSpace="0"/>
        </w:sectPr>
      </w:pPr>
      <w:r>
        <w:rPr>
          <w:rFonts w:hint="eastAsia" w:ascii="黑体" w:eastAsia="黑体"/>
          <w:color w:val="auto"/>
          <w:szCs w:val="20"/>
          <w:highlight w:val="none"/>
        </w:rPr>
        <w:fldChar w:fldCharType="end"/>
      </w:r>
      <w:bookmarkStart w:id="0" w:name="_Toc427826499"/>
    </w:p>
    <w:p>
      <w:pPr>
        <w:pStyle w:val="4"/>
        <w:bidi w:val="0"/>
        <w:rPr>
          <w:rFonts w:hint="eastAsia"/>
          <w:color w:val="auto"/>
          <w:sz w:val="24"/>
          <w:szCs w:val="40"/>
          <w:highlight w:val="none"/>
        </w:rPr>
      </w:pPr>
      <w:bookmarkStart w:id="1" w:name="_Toc19172"/>
      <w:r>
        <w:rPr>
          <w:rFonts w:hint="eastAsia"/>
          <w:color w:val="auto"/>
          <w:sz w:val="24"/>
          <w:szCs w:val="40"/>
          <w:highlight w:val="none"/>
        </w:rPr>
        <w:t>总则</w:t>
      </w:r>
      <w:bookmarkEnd w:id="0"/>
      <w:bookmarkEnd w:id="1"/>
    </w:p>
    <w:p>
      <w:pPr>
        <w:pStyle w:val="5"/>
        <w:bidi w:val="0"/>
        <w:rPr>
          <w:rFonts w:hint="eastAsia"/>
          <w:color w:val="auto"/>
          <w:sz w:val="24"/>
          <w:szCs w:val="28"/>
          <w:highlight w:val="none"/>
        </w:rPr>
      </w:pPr>
      <w:bookmarkStart w:id="2" w:name="_Toc6507"/>
      <w:bookmarkStart w:id="3" w:name="_Toc12466"/>
      <w:bookmarkStart w:id="4" w:name="_Toc23908"/>
      <w:bookmarkStart w:id="5" w:name="_Toc791"/>
      <w:bookmarkStart w:id="6" w:name="_Toc431377035"/>
      <w:bookmarkStart w:id="7" w:name="_Toc431340472"/>
      <w:r>
        <w:rPr>
          <w:rFonts w:hint="eastAsia"/>
          <w:color w:val="auto"/>
          <w:sz w:val="24"/>
          <w:szCs w:val="28"/>
          <w:highlight w:val="none"/>
          <w:lang w:eastAsia="zh-CN"/>
        </w:rPr>
        <w:t>概述</w:t>
      </w:r>
      <w:bookmarkEnd w:id="2"/>
      <w:bookmarkEnd w:id="3"/>
      <w:bookmarkEnd w:id="4"/>
      <w:bookmarkEnd w:id="5"/>
    </w:p>
    <w:bookmarkEnd w:id="6"/>
    <w:bookmarkEnd w:id="7"/>
    <w:p>
      <w:pPr>
        <w:keepNext w:val="0"/>
        <w:keepLines w:val="0"/>
        <w:pageBreakBefore w:val="0"/>
        <w:widowControl w:val="0"/>
        <w:numPr>
          <w:ilvl w:val="0"/>
          <w:numId w:val="0"/>
        </w:numPr>
        <w:kinsoku/>
        <w:wordWrap/>
        <w:overflowPunct/>
        <w:topLinePunct w:val="0"/>
        <w:autoSpaceDE/>
        <w:autoSpaceDN/>
        <w:bidi w:val="0"/>
        <w:adjustRightInd w:val="0"/>
        <w:snapToGrid w:val="0"/>
        <w:ind w:firstLine="404" w:firstLineChars="200"/>
        <w:textAlignment w:val="auto"/>
        <w:rPr>
          <w:rFonts w:hint="eastAsia" w:ascii="宋体" w:hAnsi="宋体" w:eastAsia="宋体" w:cs="Times New Roman"/>
          <w:color w:val="auto"/>
          <w:spacing w:val="-4"/>
          <w:kern w:val="2"/>
          <w:sz w:val="21"/>
          <w:szCs w:val="21"/>
          <w:highlight w:val="none"/>
          <w:lang w:val="zh-CN" w:eastAsia="zh-CN" w:bidi="ar-SA"/>
        </w:rPr>
      </w:pPr>
      <w:bookmarkStart w:id="8" w:name="_Toc427826500"/>
      <w:r>
        <w:rPr>
          <w:rFonts w:hint="eastAsia" w:ascii="宋体" w:hAnsi="宋体"/>
          <w:color w:val="auto"/>
          <w:spacing w:val="-4"/>
          <w:sz w:val="21"/>
          <w:szCs w:val="21"/>
          <w:highlight w:val="none"/>
          <w:lang w:val="en-US" w:eastAsia="zh-CN"/>
        </w:rPr>
        <w:t>1.1</w:t>
      </w:r>
      <w:r>
        <w:rPr>
          <w:rFonts w:hint="eastAsia" w:ascii="宋体" w:hAnsi="宋体" w:eastAsia="宋体" w:cs="Times New Roman"/>
          <w:color w:val="auto"/>
          <w:spacing w:val="-4"/>
          <w:kern w:val="2"/>
          <w:sz w:val="21"/>
          <w:szCs w:val="21"/>
          <w:highlight w:val="none"/>
          <w:lang w:val="zh-CN" w:eastAsia="zh-CN" w:bidi="ar-SA"/>
        </w:rPr>
        <w:t>本次招标的中标方应提供所招标</w:t>
      </w:r>
      <w:r>
        <w:rPr>
          <w:rFonts w:hint="eastAsia" w:eastAsia="宋体" w:cs="Times New Roman"/>
          <w:color w:val="auto"/>
          <w:spacing w:val="-4"/>
          <w:kern w:val="2"/>
          <w:sz w:val="21"/>
          <w:szCs w:val="21"/>
          <w:highlight w:val="none"/>
          <w:lang w:val="en-US" w:eastAsia="zh-CN" w:bidi="ar-SA"/>
        </w:rPr>
        <w:t>设备（系统）</w:t>
      </w:r>
      <w:r>
        <w:rPr>
          <w:rFonts w:hint="eastAsia" w:ascii="宋体" w:hAnsi="宋体" w:eastAsia="宋体" w:cs="Times New Roman"/>
          <w:color w:val="auto"/>
          <w:spacing w:val="-4"/>
          <w:kern w:val="2"/>
          <w:sz w:val="21"/>
          <w:szCs w:val="21"/>
          <w:highlight w:val="none"/>
          <w:lang w:val="zh-CN" w:eastAsia="zh-CN" w:bidi="ar-SA"/>
        </w:rPr>
        <w:t>的供货、</w:t>
      </w:r>
      <w:r>
        <w:rPr>
          <w:rFonts w:hint="eastAsia" w:cs="Times New Roman"/>
          <w:color w:val="auto"/>
          <w:spacing w:val="-4"/>
          <w:kern w:val="2"/>
          <w:sz w:val="21"/>
          <w:szCs w:val="21"/>
          <w:highlight w:val="none"/>
          <w:lang w:val="en-US" w:eastAsia="zh-CN" w:bidi="ar-SA"/>
        </w:rPr>
        <w:t>终端</w:t>
      </w:r>
      <w:r>
        <w:rPr>
          <w:rFonts w:hint="eastAsia" w:ascii="宋体" w:hAnsi="宋体" w:eastAsia="宋体" w:cs="Times New Roman"/>
          <w:color w:val="auto"/>
          <w:spacing w:val="-4"/>
          <w:kern w:val="2"/>
          <w:sz w:val="21"/>
          <w:szCs w:val="21"/>
          <w:highlight w:val="none"/>
          <w:lang w:val="zh-CN" w:eastAsia="zh-CN" w:bidi="ar-SA"/>
        </w:rPr>
        <w:t>调试及</w:t>
      </w:r>
      <w:r>
        <w:rPr>
          <w:rFonts w:hint="eastAsia" w:eastAsia="宋体" w:cs="Times New Roman"/>
          <w:color w:val="auto"/>
          <w:spacing w:val="-4"/>
          <w:kern w:val="2"/>
          <w:sz w:val="21"/>
          <w:szCs w:val="21"/>
          <w:highlight w:val="none"/>
          <w:lang w:val="en-US" w:eastAsia="zh-CN" w:bidi="ar-SA"/>
        </w:rPr>
        <w:t>与</w:t>
      </w:r>
      <w:r>
        <w:rPr>
          <w:rFonts w:hint="eastAsia" w:cs="Times New Roman"/>
          <w:color w:val="auto"/>
          <w:spacing w:val="-4"/>
          <w:kern w:val="2"/>
          <w:sz w:val="21"/>
          <w:szCs w:val="21"/>
          <w:highlight w:val="none"/>
          <w:lang w:val="en-US" w:eastAsia="zh-CN" w:bidi="ar-SA"/>
        </w:rPr>
        <w:t>各</w:t>
      </w:r>
      <w:r>
        <w:rPr>
          <w:rFonts w:hint="eastAsia" w:eastAsia="宋体" w:cs="Times New Roman"/>
          <w:color w:val="auto"/>
          <w:spacing w:val="-4"/>
          <w:kern w:val="2"/>
          <w:sz w:val="21"/>
          <w:szCs w:val="21"/>
          <w:highlight w:val="none"/>
          <w:lang w:val="en-US" w:eastAsia="zh-CN" w:bidi="ar-SA"/>
        </w:rPr>
        <w:t>系统联调</w:t>
      </w:r>
      <w:r>
        <w:rPr>
          <w:rFonts w:hint="eastAsia" w:ascii="宋体" w:hAnsi="宋体" w:eastAsia="宋体" w:cs="Times New Roman"/>
          <w:color w:val="auto"/>
          <w:spacing w:val="-4"/>
          <w:kern w:val="2"/>
          <w:sz w:val="21"/>
          <w:szCs w:val="21"/>
          <w:highlight w:val="none"/>
          <w:lang w:val="zh-CN" w:eastAsia="zh-CN" w:bidi="ar-SA"/>
        </w:rPr>
        <w:t>服务，完成本招标书规定的建设任务，并协助相关的建设工作。</w:t>
      </w:r>
    </w:p>
    <w:p>
      <w:pPr>
        <w:keepNext w:val="0"/>
        <w:keepLines w:val="0"/>
        <w:pageBreakBefore w:val="0"/>
        <w:widowControl w:val="0"/>
        <w:numPr>
          <w:ilvl w:val="0"/>
          <w:numId w:val="0"/>
        </w:numPr>
        <w:kinsoku/>
        <w:wordWrap/>
        <w:overflowPunct/>
        <w:topLinePunct w:val="0"/>
        <w:autoSpaceDE/>
        <w:autoSpaceDN/>
        <w:bidi w:val="0"/>
        <w:adjustRightInd w:val="0"/>
        <w:snapToGrid w:val="0"/>
        <w:ind w:firstLine="404" w:firstLineChars="200"/>
        <w:textAlignment w:val="auto"/>
        <w:rPr>
          <w:rFonts w:ascii="宋体" w:hAnsi="宋体"/>
          <w:color w:val="auto"/>
          <w:spacing w:val="-4"/>
          <w:sz w:val="21"/>
          <w:szCs w:val="21"/>
          <w:highlight w:val="none"/>
        </w:rPr>
      </w:pPr>
      <w:r>
        <w:rPr>
          <w:rFonts w:hint="eastAsia" w:ascii="宋体" w:hAnsi="宋体"/>
          <w:color w:val="auto"/>
          <w:spacing w:val="-4"/>
          <w:sz w:val="21"/>
          <w:szCs w:val="21"/>
          <w:highlight w:val="none"/>
          <w:lang w:val="en-US" w:eastAsia="zh-CN"/>
        </w:rPr>
        <w:t>1.2</w:t>
      </w:r>
      <w:r>
        <w:rPr>
          <w:rFonts w:hint="eastAsia" w:ascii="宋体" w:hAnsi="宋体" w:eastAsia="宋体" w:cs="Times New Roman"/>
          <w:color w:val="auto"/>
          <w:spacing w:val="-4"/>
          <w:kern w:val="2"/>
          <w:sz w:val="21"/>
          <w:szCs w:val="21"/>
          <w:highlight w:val="none"/>
          <w:lang w:val="zh-CN" w:eastAsia="zh-CN" w:bidi="ar-SA"/>
        </w:rPr>
        <w:t>双方项目违约的处罚将在合同谈判中明确。</w:t>
      </w:r>
      <w:bookmarkStart w:id="9" w:name="_Toc27301"/>
      <w:bookmarkStart w:id="10" w:name="_Toc12600"/>
    </w:p>
    <w:p>
      <w:pPr>
        <w:keepNext w:val="0"/>
        <w:keepLines w:val="0"/>
        <w:pageBreakBefore w:val="0"/>
        <w:widowControl w:val="0"/>
        <w:numPr>
          <w:ilvl w:val="0"/>
          <w:numId w:val="0"/>
        </w:numPr>
        <w:kinsoku/>
        <w:wordWrap/>
        <w:overflowPunct/>
        <w:topLinePunct w:val="0"/>
        <w:autoSpaceDE/>
        <w:autoSpaceDN/>
        <w:bidi w:val="0"/>
        <w:adjustRightInd w:val="0"/>
        <w:snapToGrid w:val="0"/>
        <w:ind w:firstLine="404" w:firstLineChars="200"/>
        <w:textAlignment w:val="auto"/>
        <w:rPr>
          <w:rFonts w:ascii="宋体" w:hAnsi="宋体"/>
          <w:color w:val="auto"/>
          <w:spacing w:val="-4"/>
          <w:sz w:val="21"/>
          <w:szCs w:val="21"/>
          <w:highlight w:val="none"/>
        </w:rPr>
      </w:pPr>
      <w:r>
        <w:rPr>
          <w:rFonts w:hint="eastAsia" w:ascii="宋体" w:hAnsi="宋体"/>
          <w:color w:val="auto"/>
          <w:spacing w:val="-4"/>
          <w:sz w:val="21"/>
          <w:szCs w:val="21"/>
          <w:highlight w:val="none"/>
          <w:lang w:val="en-US" w:eastAsia="zh-CN"/>
        </w:rPr>
        <w:t>1.3</w:t>
      </w:r>
      <w:r>
        <w:rPr>
          <w:rFonts w:hint="eastAsia" w:ascii="宋体" w:hAnsi="宋体"/>
          <w:color w:val="auto"/>
          <w:spacing w:val="-4"/>
          <w:sz w:val="21"/>
          <w:szCs w:val="21"/>
          <w:highlight w:val="none"/>
        </w:rPr>
        <w:t>本招标技术规范提出的是最低限度的技术要求,并未对一切技术细节作出规定,也未充分引述有关标准和规范的条文,投标方应提供符合本招标技术文件和工业标准的优质产品。</w:t>
      </w:r>
      <w:bookmarkEnd w:id="9"/>
      <w:bookmarkEnd w:id="10"/>
      <w:bookmarkStart w:id="11" w:name="_Toc8522"/>
      <w:bookmarkStart w:id="12" w:name="_Toc8475"/>
    </w:p>
    <w:p>
      <w:pPr>
        <w:keepNext w:val="0"/>
        <w:keepLines w:val="0"/>
        <w:pageBreakBefore w:val="0"/>
        <w:widowControl w:val="0"/>
        <w:numPr>
          <w:ilvl w:val="0"/>
          <w:numId w:val="0"/>
        </w:numPr>
        <w:kinsoku/>
        <w:wordWrap/>
        <w:overflowPunct/>
        <w:topLinePunct w:val="0"/>
        <w:autoSpaceDE/>
        <w:autoSpaceDN/>
        <w:bidi w:val="0"/>
        <w:adjustRightInd w:val="0"/>
        <w:snapToGrid w:val="0"/>
        <w:ind w:firstLine="404" w:firstLineChars="200"/>
        <w:textAlignment w:val="auto"/>
        <w:rPr>
          <w:rFonts w:ascii="宋体" w:hAnsi="宋体"/>
          <w:color w:val="auto"/>
          <w:spacing w:val="-4"/>
          <w:sz w:val="21"/>
          <w:szCs w:val="21"/>
          <w:highlight w:val="none"/>
        </w:rPr>
      </w:pPr>
      <w:r>
        <w:rPr>
          <w:rFonts w:hint="eastAsia" w:ascii="宋体" w:hAnsi="宋体"/>
          <w:color w:val="auto"/>
          <w:spacing w:val="-4"/>
          <w:sz w:val="21"/>
          <w:szCs w:val="21"/>
          <w:highlight w:val="none"/>
          <w:lang w:val="en-US" w:eastAsia="zh-CN"/>
        </w:rPr>
        <w:t>1.4</w:t>
      </w:r>
      <w:r>
        <w:rPr>
          <w:rFonts w:hint="eastAsia" w:ascii="宋体" w:hAnsi="宋体"/>
          <w:color w:val="auto"/>
          <w:spacing w:val="-4"/>
          <w:sz w:val="21"/>
          <w:szCs w:val="21"/>
          <w:highlight w:val="none"/>
        </w:rPr>
        <w:t>如果投标方没有以书面形式对本招标技术规范的条文提出异议,则意味着投标方提供的设备完全符合本招标技术规范的要求。如有异议,都应在报价书中以“对招标技术规范的意见和同招标技术规范的差异”为标题的专门章节中加以详细描述。</w:t>
      </w:r>
      <w:bookmarkEnd w:id="11"/>
      <w:bookmarkEnd w:id="12"/>
      <w:bookmarkStart w:id="13" w:name="_Toc3512"/>
      <w:bookmarkStart w:id="14" w:name="_Toc8446"/>
    </w:p>
    <w:p>
      <w:pPr>
        <w:keepNext w:val="0"/>
        <w:keepLines w:val="0"/>
        <w:pageBreakBefore w:val="0"/>
        <w:widowControl w:val="0"/>
        <w:numPr>
          <w:ilvl w:val="0"/>
          <w:numId w:val="0"/>
        </w:numPr>
        <w:kinsoku/>
        <w:wordWrap/>
        <w:overflowPunct/>
        <w:topLinePunct w:val="0"/>
        <w:autoSpaceDE/>
        <w:autoSpaceDN/>
        <w:bidi w:val="0"/>
        <w:adjustRightInd w:val="0"/>
        <w:snapToGrid w:val="0"/>
        <w:ind w:firstLine="404" w:firstLineChars="200"/>
        <w:textAlignment w:val="auto"/>
        <w:rPr>
          <w:rFonts w:ascii="宋体" w:hAnsi="宋体"/>
          <w:color w:val="auto"/>
          <w:spacing w:val="-4"/>
          <w:sz w:val="21"/>
          <w:szCs w:val="21"/>
          <w:highlight w:val="none"/>
        </w:rPr>
      </w:pPr>
      <w:r>
        <w:rPr>
          <w:rFonts w:hint="eastAsia" w:ascii="宋体" w:hAnsi="宋体"/>
          <w:color w:val="auto"/>
          <w:spacing w:val="-4"/>
          <w:sz w:val="21"/>
          <w:szCs w:val="21"/>
          <w:highlight w:val="none"/>
          <w:lang w:val="en-US" w:eastAsia="zh-CN"/>
        </w:rPr>
        <w:t>1.5</w:t>
      </w:r>
      <w:r>
        <w:rPr>
          <w:rFonts w:hint="eastAsia" w:ascii="宋体" w:hAnsi="宋体"/>
          <w:color w:val="auto"/>
          <w:spacing w:val="-4"/>
          <w:sz w:val="21"/>
          <w:szCs w:val="21"/>
          <w:highlight w:val="none"/>
        </w:rPr>
        <w:t>本招标技术规范所使用的标准如遇与投标方所执行的标准不一致时,按较高标准执行。</w:t>
      </w:r>
      <w:bookmarkEnd w:id="13"/>
      <w:bookmarkEnd w:id="14"/>
      <w:bookmarkStart w:id="15" w:name="_Toc31746"/>
      <w:bookmarkStart w:id="16" w:name="_Toc31528"/>
    </w:p>
    <w:p>
      <w:pPr>
        <w:keepNext w:val="0"/>
        <w:keepLines w:val="0"/>
        <w:pageBreakBefore w:val="0"/>
        <w:widowControl w:val="0"/>
        <w:numPr>
          <w:ilvl w:val="0"/>
          <w:numId w:val="0"/>
        </w:numPr>
        <w:kinsoku/>
        <w:wordWrap/>
        <w:overflowPunct/>
        <w:topLinePunct w:val="0"/>
        <w:autoSpaceDE/>
        <w:autoSpaceDN/>
        <w:bidi w:val="0"/>
        <w:adjustRightInd w:val="0"/>
        <w:snapToGrid w:val="0"/>
        <w:ind w:firstLine="404" w:firstLineChars="200"/>
        <w:textAlignment w:val="auto"/>
        <w:rPr>
          <w:rFonts w:ascii="宋体" w:hAnsi="宋体"/>
          <w:color w:val="auto"/>
          <w:spacing w:val="-4"/>
          <w:sz w:val="21"/>
          <w:szCs w:val="21"/>
          <w:highlight w:val="none"/>
        </w:rPr>
      </w:pPr>
      <w:r>
        <w:rPr>
          <w:rFonts w:hint="eastAsia" w:ascii="宋体" w:hAnsi="宋体"/>
          <w:color w:val="auto"/>
          <w:spacing w:val="-4"/>
          <w:sz w:val="21"/>
          <w:szCs w:val="21"/>
          <w:highlight w:val="none"/>
          <w:lang w:val="en-US" w:eastAsia="zh-CN"/>
        </w:rPr>
        <w:t>1.6</w:t>
      </w:r>
      <w:r>
        <w:rPr>
          <w:rFonts w:hint="eastAsia" w:ascii="宋体" w:hAnsi="宋体"/>
          <w:color w:val="auto"/>
          <w:spacing w:val="-4"/>
          <w:sz w:val="21"/>
          <w:szCs w:val="21"/>
          <w:highlight w:val="none"/>
        </w:rPr>
        <w:t>本招标技术规范经买、卖双方确认后作为订货合同的技术附件，与合同正文具有同等法律效力。</w:t>
      </w:r>
      <w:bookmarkEnd w:id="15"/>
      <w:bookmarkEnd w:id="16"/>
      <w:bookmarkStart w:id="17" w:name="_Toc21576"/>
      <w:bookmarkStart w:id="18" w:name="_Toc6645"/>
    </w:p>
    <w:p>
      <w:pPr>
        <w:keepNext w:val="0"/>
        <w:keepLines w:val="0"/>
        <w:pageBreakBefore w:val="0"/>
        <w:widowControl w:val="0"/>
        <w:numPr>
          <w:ilvl w:val="0"/>
          <w:numId w:val="0"/>
        </w:numPr>
        <w:kinsoku/>
        <w:wordWrap/>
        <w:overflowPunct/>
        <w:topLinePunct w:val="0"/>
        <w:autoSpaceDE/>
        <w:autoSpaceDN/>
        <w:bidi w:val="0"/>
        <w:adjustRightInd w:val="0"/>
        <w:snapToGrid w:val="0"/>
        <w:ind w:firstLine="404" w:firstLineChars="200"/>
        <w:textAlignment w:val="auto"/>
        <w:rPr>
          <w:rFonts w:ascii="宋体" w:hAnsi="宋体"/>
          <w:color w:val="auto"/>
          <w:spacing w:val="-4"/>
          <w:sz w:val="21"/>
          <w:szCs w:val="21"/>
          <w:highlight w:val="none"/>
        </w:rPr>
      </w:pPr>
      <w:r>
        <w:rPr>
          <w:rFonts w:hint="eastAsia" w:ascii="宋体" w:hAnsi="宋体"/>
          <w:color w:val="auto"/>
          <w:spacing w:val="-4"/>
          <w:sz w:val="21"/>
          <w:szCs w:val="21"/>
          <w:highlight w:val="none"/>
          <w:lang w:val="en-US" w:eastAsia="zh-CN"/>
        </w:rPr>
        <w:t>1.7</w:t>
      </w:r>
      <w:r>
        <w:rPr>
          <w:rFonts w:hint="eastAsia" w:ascii="宋体" w:hAnsi="宋体"/>
          <w:color w:val="auto"/>
          <w:spacing w:val="-4"/>
          <w:sz w:val="21"/>
          <w:szCs w:val="21"/>
          <w:highlight w:val="none"/>
        </w:rPr>
        <w:t>投标方在应标技术文件中应如实反映应标产品与本招标技术规范的技术差异。如果投标方没有提出技术差异，而在执行合同的过程中，招标方发现投标方提供的产品与其应标技术文件的条文存在差异，招标方有权利要求退货，并将对下一年度的评标工作有不同程度的影响。</w:t>
      </w:r>
      <w:bookmarkEnd w:id="17"/>
      <w:bookmarkEnd w:id="18"/>
      <w:bookmarkStart w:id="19" w:name="_Toc30656"/>
      <w:bookmarkStart w:id="20" w:name="_Toc13847"/>
    </w:p>
    <w:p>
      <w:pPr>
        <w:keepNext w:val="0"/>
        <w:keepLines w:val="0"/>
        <w:pageBreakBefore w:val="0"/>
        <w:widowControl w:val="0"/>
        <w:numPr>
          <w:ilvl w:val="0"/>
          <w:numId w:val="0"/>
        </w:numPr>
        <w:kinsoku/>
        <w:wordWrap/>
        <w:overflowPunct/>
        <w:topLinePunct w:val="0"/>
        <w:autoSpaceDE/>
        <w:autoSpaceDN/>
        <w:bidi w:val="0"/>
        <w:adjustRightInd w:val="0"/>
        <w:snapToGrid w:val="0"/>
        <w:ind w:firstLine="404" w:firstLineChars="200"/>
        <w:textAlignment w:val="auto"/>
        <w:rPr>
          <w:rFonts w:ascii="宋体" w:hAnsi="宋体"/>
          <w:color w:val="auto"/>
          <w:spacing w:val="-4"/>
          <w:sz w:val="21"/>
          <w:szCs w:val="21"/>
          <w:highlight w:val="none"/>
        </w:rPr>
      </w:pPr>
      <w:r>
        <w:rPr>
          <w:rFonts w:hint="eastAsia" w:ascii="宋体" w:hAnsi="宋体"/>
          <w:color w:val="auto"/>
          <w:spacing w:val="-4"/>
          <w:sz w:val="21"/>
          <w:szCs w:val="21"/>
          <w:highlight w:val="none"/>
          <w:lang w:val="en-US" w:eastAsia="zh-CN"/>
        </w:rPr>
        <w:t>1.8</w:t>
      </w:r>
      <w:r>
        <w:rPr>
          <w:rFonts w:hint="eastAsia" w:ascii="宋体" w:hAnsi="宋体"/>
          <w:color w:val="auto"/>
          <w:spacing w:val="-4"/>
          <w:sz w:val="21"/>
          <w:szCs w:val="21"/>
          <w:highlight w:val="none"/>
        </w:rPr>
        <w:t>投标方应在应标技术部分按本招标技术规范的要求如实详细的填写应标设备</w:t>
      </w:r>
      <w:r>
        <w:rPr>
          <w:rFonts w:hint="eastAsia" w:ascii="宋体" w:hAnsi="宋体"/>
          <w:color w:val="auto"/>
          <w:spacing w:val="-4"/>
          <w:sz w:val="21"/>
          <w:szCs w:val="21"/>
          <w:highlight w:val="none"/>
          <w:lang w:val="en-US" w:eastAsia="zh-CN"/>
        </w:rPr>
        <w:t>详情</w:t>
      </w:r>
      <w:r>
        <w:rPr>
          <w:rFonts w:hint="eastAsia" w:ascii="宋体" w:hAnsi="宋体"/>
          <w:color w:val="auto"/>
          <w:spacing w:val="-4"/>
          <w:sz w:val="21"/>
          <w:szCs w:val="21"/>
          <w:highlight w:val="none"/>
        </w:rPr>
        <w:t>，并在应标商务部分按此标准配置进行报价，如发现二者有矛盾之处，将对评标工作有不同程度的影响。</w:t>
      </w:r>
      <w:bookmarkEnd w:id="19"/>
      <w:bookmarkEnd w:id="20"/>
      <w:bookmarkStart w:id="21" w:name="_Toc4033"/>
      <w:bookmarkStart w:id="22" w:name="_Toc11887"/>
    </w:p>
    <w:p>
      <w:pPr>
        <w:keepNext w:val="0"/>
        <w:keepLines w:val="0"/>
        <w:pageBreakBefore w:val="0"/>
        <w:widowControl w:val="0"/>
        <w:numPr>
          <w:ilvl w:val="0"/>
          <w:numId w:val="0"/>
        </w:numPr>
        <w:kinsoku/>
        <w:wordWrap/>
        <w:overflowPunct/>
        <w:topLinePunct w:val="0"/>
        <w:autoSpaceDE/>
        <w:autoSpaceDN/>
        <w:bidi w:val="0"/>
        <w:adjustRightInd w:val="0"/>
        <w:snapToGrid w:val="0"/>
        <w:ind w:firstLine="404" w:firstLineChars="200"/>
        <w:textAlignment w:val="auto"/>
        <w:rPr>
          <w:rFonts w:hint="eastAsia" w:ascii="宋体" w:hAnsi="宋体"/>
          <w:color w:val="auto"/>
          <w:spacing w:val="-4"/>
          <w:sz w:val="21"/>
          <w:szCs w:val="21"/>
          <w:highlight w:val="none"/>
        </w:rPr>
      </w:pPr>
      <w:r>
        <w:rPr>
          <w:rFonts w:hint="eastAsia" w:ascii="宋体" w:hAnsi="宋体"/>
          <w:color w:val="auto"/>
          <w:spacing w:val="-4"/>
          <w:sz w:val="21"/>
          <w:szCs w:val="21"/>
          <w:highlight w:val="none"/>
          <w:lang w:val="en-US" w:eastAsia="zh-CN"/>
        </w:rPr>
        <w:t>1.9</w:t>
      </w:r>
      <w:r>
        <w:rPr>
          <w:rFonts w:hint="eastAsia" w:ascii="宋体" w:hAnsi="宋体"/>
          <w:color w:val="auto"/>
          <w:spacing w:val="-4"/>
          <w:sz w:val="21"/>
          <w:szCs w:val="21"/>
          <w:highlight w:val="none"/>
        </w:rPr>
        <w:t>投标方应充分理解本招标技术规范并按本招标技术规范的具体条款、格式要求填写应标的技术文件，如发现应标的技术文件条款、格式不符合本招标技术文件的要求，则认为应标不严肃，在评标时将有不同程度的扣分。</w:t>
      </w:r>
      <w:bookmarkEnd w:id="21"/>
      <w:bookmarkEnd w:id="22"/>
      <w:bookmarkStart w:id="23" w:name="_Toc4896"/>
      <w:bookmarkStart w:id="24" w:name="_Toc21421"/>
    </w:p>
    <w:p>
      <w:pPr>
        <w:keepNext w:val="0"/>
        <w:keepLines w:val="0"/>
        <w:pageBreakBefore w:val="0"/>
        <w:widowControl w:val="0"/>
        <w:kinsoku/>
        <w:wordWrap/>
        <w:overflowPunct/>
        <w:topLinePunct w:val="0"/>
        <w:autoSpaceDE/>
        <w:autoSpaceDN/>
        <w:bidi w:val="0"/>
        <w:adjustRightInd w:val="0"/>
        <w:snapToGrid w:val="0"/>
        <w:ind w:firstLine="404" w:firstLineChars="200"/>
        <w:textAlignment w:val="auto"/>
        <w:rPr>
          <w:rFonts w:hint="eastAsia" w:ascii="宋体" w:hAnsi="宋体"/>
          <w:color w:val="auto"/>
          <w:spacing w:val="-4"/>
          <w:sz w:val="21"/>
          <w:szCs w:val="21"/>
          <w:highlight w:val="none"/>
        </w:rPr>
      </w:pPr>
      <w:r>
        <w:rPr>
          <w:rFonts w:hint="eastAsia" w:ascii="宋体" w:hAnsi="宋体"/>
          <w:color w:val="auto"/>
          <w:spacing w:val="-4"/>
          <w:sz w:val="21"/>
          <w:szCs w:val="21"/>
          <w:highlight w:val="none"/>
          <w:lang w:val="en-US" w:eastAsia="zh-CN"/>
        </w:rPr>
        <w:t>1.10</w:t>
      </w:r>
      <w:r>
        <w:rPr>
          <w:rFonts w:hint="eastAsia" w:ascii="宋体" w:hAnsi="宋体"/>
          <w:color w:val="auto"/>
          <w:spacing w:val="-4"/>
          <w:sz w:val="21"/>
          <w:szCs w:val="21"/>
          <w:highlight w:val="none"/>
        </w:rPr>
        <w:t>本招标技术规范未尽事宜,由买卖双方协商确定。</w:t>
      </w:r>
      <w:bookmarkEnd w:id="23"/>
      <w:bookmarkEnd w:id="24"/>
    </w:p>
    <w:p>
      <w:pPr>
        <w:pStyle w:val="5"/>
        <w:bidi w:val="0"/>
        <w:rPr>
          <w:rFonts w:hint="eastAsia"/>
          <w:color w:val="auto"/>
          <w:sz w:val="24"/>
          <w:szCs w:val="28"/>
          <w:highlight w:val="none"/>
        </w:rPr>
      </w:pPr>
      <w:bookmarkStart w:id="25" w:name="_Toc30102"/>
      <w:r>
        <w:rPr>
          <w:rFonts w:hint="eastAsia"/>
          <w:color w:val="auto"/>
          <w:sz w:val="24"/>
          <w:szCs w:val="28"/>
          <w:highlight w:val="none"/>
          <w:lang w:val="en-US" w:eastAsia="zh-CN"/>
        </w:rPr>
        <w:t>投标要求</w:t>
      </w:r>
      <w:bookmarkEnd w:id="25"/>
    </w:p>
    <w:p>
      <w:pPr>
        <w:pStyle w:val="16"/>
        <w:keepNext w:val="0"/>
        <w:keepLines w:val="0"/>
        <w:pageBreakBefore w:val="0"/>
        <w:widowControl w:val="0"/>
        <w:shd w:val="clear" w:color="auto" w:fill="auto"/>
        <w:tabs>
          <w:tab w:val="left" w:pos="840"/>
        </w:tabs>
        <w:kinsoku/>
        <w:wordWrap/>
        <w:overflowPunct/>
        <w:topLinePunct w:val="0"/>
        <w:autoSpaceDE/>
        <w:autoSpaceDN/>
        <w:bidi w:val="0"/>
        <w:adjustRightInd/>
        <w:snapToGrid w:val="0"/>
        <w:spacing w:line="360" w:lineRule="auto"/>
        <w:ind w:firstLine="420" w:firstLineChars="200"/>
        <w:textAlignment w:val="auto"/>
        <w:rPr>
          <w:rFonts w:hint="default" w:hAnsi="宋体" w:eastAsia="宋体" w:cs="宋体"/>
          <w:color w:val="auto"/>
          <w:sz w:val="21"/>
          <w:szCs w:val="21"/>
          <w:highlight w:val="none"/>
          <w:lang w:val="en-US" w:eastAsia="zh-CN"/>
        </w:rPr>
      </w:pPr>
      <w:r>
        <w:rPr>
          <w:rFonts w:hint="eastAsia" w:hAnsi="宋体" w:eastAsia="宋体" w:cs="宋体"/>
          <w:color w:val="auto"/>
          <w:sz w:val="21"/>
          <w:szCs w:val="21"/>
          <w:highlight w:val="none"/>
          <w:lang w:val="en-US" w:eastAsia="zh-CN"/>
        </w:rPr>
        <w:t>1.2.1</w:t>
      </w:r>
      <w:r>
        <w:rPr>
          <w:rFonts w:hint="eastAsia" w:hAnsi="宋体" w:eastAsia="宋体" w:cs="宋体"/>
          <w:color w:val="auto"/>
          <w:sz w:val="21"/>
          <w:szCs w:val="21"/>
          <w:highlight w:val="none"/>
        </w:rPr>
        <w:t>本文件中的重要条款（参数）已经加注“</w:t>
      </w:r>
      <w:r>
        <w:rPr>
          <w:rFonts w:hint="eastAsia" w:ascii="Times New Roman Regular" w:hAnsi="Times New Roman Regular" w:cs="Times New Roman Regular"/>
          <w:b/>
          <w:bCs/>
          <w:color w:val="auto"/>
          <w:sz w:val="21"/>
          <w:szCs w:val="16"/>
          <w:highlight w:val="none"/>
        </w:rPr>
        <w:t>▲</w:t>
      </w:r>
      <w:r>
        <w:rPr>
          <w:rFonts w:hint="eastAsia" w:hAnsi="宋体" w:eastAsia="宋体" w:cs="宋体"/>
          <w:color w:val="auto"/>
          <w:sz w:val="21"/>
          <w:szCs w:val="21"/>
          <w:highlight w:val="none"/>
        </w:rPr>
        <w:t>”，带“</w:t>
      </w:r>
      <w:r>
        <w:rPr>
          <w:rFonts w:hint="eastAsia" w:ascii="Times New Roman Regular" w:hAnsi="Times New Roman Regular" w:cs="Times New Roman Regular"/>
          <w:b/>
          <w:bCs/>
          <w:color w:val="auto"/>
          <w:sz w:val="21"/>
          <w:szCs w:val="16"/>
          <w:highlight w:val="none"/>
        </w:rPr>
        <w:t>▲</w:t>
      </w:r>
      <w:r>
        <w:rPr>
          <w:rFonts w:hint="eastAsia" w:hAnsi="宋体" w:eastAsia="宋体" w:cs="宋体"/>
          <w:color w:val="auto"/>
          <w:sz w:val="21"/>
          <w:szCs w:val="21"/>
          <w:highlight w:val="none"/>
        </w:rPr>
        <w:t>”的条款（参数）为</w:t>
      </w:r>
      <w:r>
        <w:rPr>
          <w:rFonts w:hint="eastAsia" w:hAnsi="宋体" w:eastAsia="宋体" w:cs="宋体"/>
          <w:color w:val="auto"/>
          <w:sz w:val="21"/>
          <w:szCs w:val="21"/>
          <w:highlight w:val="none"/>
          <w:lang w:val="en-US" w:eastAsia="zh-CN"/>
        </w:rPr>
        <w:t>本次</w:t>
      </w:r>
      <w:r>
        <w:rPr>
          <w:rFonts w:hint="eastAsia" w:hAnsi="宋体" w:eastAsia="宋体" w:cs="宋体"/>
          <w:color w:val="auto"/>
          <w:sz w:val="21"/>
          <w:szCs w:val="21"/>
          <w:highlight w:val="none"/>
        </w:rPr>
        <w:t>招标</w:t>
      </w:r>
      <w:r>
        <w:rPr>
          <w:rFonts w:hint="eastAsia" w:hAnsi="宋体" w:eastAsia="宋体" w:cs="宋体"/>
          <w:color w:val="auto"/>
          <w:sz w:val="21"/>
          <w:szCs w:val="21"/>
          <w:highlight w:val="none"/>
          <w:lang w:val="en-US" w:eastAsia="zh-CN"/>
        </w:rPr>
        <w:t>项目技术评审中的评分因素“</w:t>
      </w:r>
      <w:r>
        <w:rPr>
          <w:rFonts w:hint="eastAsia" w:hAnsi="宋体" w:eastAsia="宋体" w:cs="宋体"/>
          <w:b/>
          <w:bCs/>
          <w:color w:val="auto"/>
          <w:sz w:val="21"/>
          <w:szCs w:val="21"/>
          <w:highlight w:val="none"/>
          <w:lang w:val="en-US" w:eastAsia="zh-CN"/>
        </w:rPr>
        <w:t>技术参数优异性</w:t>
      </w:r>
      <w:r>
        <w:rPr>
          <w:rFonts w:hint="eastAsia" w:hAnsi="宋体" w:eastAsia="宋体" w:cs="宋体"/>
          <w:color w:val="auto"/>
          <w:sz w:val="21"/>
          <w:szCs w:val="21"/>
          <w:highlight w:val="none"/>
          <w:lang w:val="en-US" w:eastAsia="zh-CN"/>
        </w:rPr>
        <w:t>”的评分依据</w:t>
      </w:r>
      <w:r>
        <w:rPr>
          <w:rFonts w:hint="eastAsia" w:hAnsi="宋体" w:eastAsia="宋体" w:cs="宋体"/>
          <w:color w:val="auto"/>
          <w:sz w:val="21"/>
          <w:szCs w:val="21"/>
          <w:highlight w:val="none"/>
        </w:rPr>
        <w:t>。</w:t>
      </w:r>
      <w:r>
        <w:rPr>
          <w:rFonts w:hint="eastAsia" w:hAnsi="宋体" w:cs="宋体"/>
          <w:b/>
          <w:bCs/>
          <w:color w:val="auto"/>
          <w:sz w:val="21"/>
          <w:szCs w:val="21"/>
          <w:highlight w:val="none"/>
          <w:lang w:val="en-US" w:eastAsia="zh-CN"/>
        </w:rPr>
        <w:t>应答优于技术规范书的技术参数，投标人必须提供完备的佐证材料。</w:t>
      </w:r>
    </w:p>
    <w:p>
      <w:pPr>
        <w:pStyle w:val="16"/>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20" w:firstLineChars="200"/>
        <w:textAlignment w:val="auto"/>
        <w:rPr>
          <w:rFonts w:hint="eastAsia" w:hAnsi="宋体" w:eastAsia="宋体" w:cs="宋体"/>
          <w:color w:val="auto"/>
          <w:sz w:val="21"/>
          <w:szCs w:val="21"/>
          <w:highlight w:val="none"/>
        </w:rPr>
      </w:pPr>
      <w:r>
        <w:rPr>
          <w:rFonts w:hint="eastAsia" w:hAnsi="宋体" w:eastAsia="宋体" w:cs="宋体"/>
          <w:color w:val="auto"/>
          <w:sz w:val="21"/>
          <w:szCs w:val="21"/>
          <w:highlight w:val="none"/>
          <w:lang w:val="en-US" w:eastAsia="zh-CN"/>
        </w:rPr>
        <w:t>1.2.2</w:t>
      </w:r>
      <w:r>
        <w:rPr>
          <w:rFonts w:hint="eastAsia" w:hAnsi="宋体" w:eastAsia="宋体" w:cs="宋体"/>
          <w:color w:val="auto"/>
          <w:sz w:val="21"/>
          <w:szCs w:val="21"/>
          <w:highlight w:val="none"/>
        </w:rPr>
        <w:t>投标方应对本技术规范书的每一条款做出明确答复，即逐条逐项回答“满足”或“不满足”，并给出所供产品的详细技术数据。诸如“已知”、“理解”、“注意”或“同意”等不明确、不具体的答复视为不满足。如有异于技术部分要求的地方，应阐述其理由。</w:t>
      </w:r>
    </w:p>
    <w:p>
      <w:pPr>
        <w:pStyle w:val="16"/>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20" w:firstLineChars="200"/>
        <w:textAlignment w:val="auto"/>
        <w:rPr>
          <w:color w:val="auto"/>
          <w:highlight w:val="none"/>
        </w:rPr>
      </w:pPr>
      <w:r>
        <w:rPr>
          <w:rFonts w:hint="eastAsia" w:hAnsi="宋体" w:eastAsia="宋体" w:cs="宋体"/>
          <w:color w:val="auto"/>
          <w:sz w:val="21"/>
          <w:szCs w:val="21"/>
          <w:highlight w:val="none"/>
          <w:lang w:val="en-US" w:eastAsia="zh-CN"/>
        </w:rPr>
        <w:t>1.2.3</w:t>
      </w:r>
      <w:r>
        <w:rPr>
          <w:rFonts w:hint="eastAsia" w:hAnsi="宋体" w:eastAsia="宋体" w:cs="宋体"/>
          <w:color w:val="auto"/>
          <w:sz w:val="21"/>
          <w:szCs w:val="21"/>
          <w:highlight w:val="none"/>
        </w:rPr>
        <w:t>投标技术文件要求文字详细、数据准确、表述及图示清晰明确，具有针对性。</w:t>
      </w:r>
    </w:p>
    <w:p>
      <w:pPr>
        <w:pStyle w:val="4"/>
        <w:bidi w:val="0"/>
        <w:rPr>
          <w:rFonts w:hint="eastAsia"/>
          <w:color w:val="auto"/>
          <w:sz w:val="24"/>
          <w:szCs w:val="40"/>
          <w:highlight w:val="none"/>
        </w:rPr>
      </w:pPr>
      <w:bookmarkStart w:id="26" w:name="_Toc28610"/>
      <w:r>
        <w:rPr>
          <w:rFonts w:hint="eastAsia"/>
          <w:color w:val="auto"/>
          <w:sz w:val="24"/>
          <w:szCs w:val="40"/>
          <w:highlight w:val="none"/>
        </w:rPr>
        <w:t>工作</w:t>
      </w:r>
      <w:bookmarkEnd w:id="8"/>
      <w:r>
        <w:rPr>
          <w:rFonts w:hint="eastAsia"/>
          <w:color w:val="auto"/>
          <w:sz w:val="24"/>
          <w:szCs w:val="40"/>
          <w:highlight w:val="none"/>
          <w:lang w:val="en-US" w:eastAsia="zh-CN"/>
        </w:rPr>
        <w:t>要求</w:t>
      </w:r>
      <w:bookmarkEnd w:id="26"/>
    </w:p>
    <w:p>
      <w:pPr>
        <w:pStyle w:val="5"/>
        <w:bidi w:val="0"/>
        <w:rPr>
          <w:rFonts w:hint="eastAsia"/>
          <w:color w:val="auto"/>
          <w:sz w:val="24"/>
          <w:szCs w:val="28"/>
          <w:highlight w:val="none"/>
        </w:rPr>
      </w:pPr>
      <w:bookmarkStart w:id="27" w:name="_Toc431340482"/>
      <w:bookmarkStart w:id="28" w:name="_Toc25445"/>
      <w:bookmarkStart w:id="29" w:name="_Toc431377045"/>
      <w:r>
        <w:rPr>
          <w:rFonts w:hint="eastAsia"/>
          <w:color w:val="auto"/>
          <w:sz w:val="24"/>
          <w:szCs w:val="28"/>
          <w:highlight w:val="none"/>
        </w:rPr>
        <w:t>范围和界限</w:t>
      </w:r>
      <w:bookmarkEnd w:id="27"/>
      <w:bookmarkEnd w:id="28"/>
      <w:bookmarkEnd w:id="29"/>
    </w:p>
    <w:p>
      <w:pPr>
        <w:pStyle w:val="6"/>
        <w:bidi w:val="0"/>
        <w:rPr>
          <w:rFonts w:hint="eastAsia"/>
          <w:color w:val="auto"/>
          <w:sz w:val="24"/>
          <w:szCs w:val="28"/>
          <w:highlight w:val="none"/>
        </w:rPr>
      </w:pPr>
      <w:bookmarkStart w:id="30" w:name="_Toc431340484"/>
      <w:bookmarkStart w:id="31" w:name="_Toc431377047"/>
      <w:r>
        <w:rPr>
          <w:color w:val="auto"/>
          <w:sz w:val="24"/>
          <w:szCs w:val="28"/>
          <w:highlight w:val="none"/>
        </w:rPr>
        <w:t>运输</w:t>
      </w:r>
      <w:bookmarkEnd w:id="30"/>
      <w:bookmarkEnd w:id="31"/>
    </w:p>
    <w:p>
      <w:pPr>
        <w:numPr>
          <w:ilvl w:val="0"/>
          <w:numId w:val="4"/>
        </w:numPr>
        <w:adjustRightInd w:val="0"/>
        <w:snapToGrid w:val="0"/>
        <w:ind w:firstLine="420" w:firstLineChars="200"/>
        <w:rPr>
          <w:rFonts w:hint="eastAsia"/>
          <w:color w:val="auto"/>
          <w:highlight w:val="none"/>
        </w:rPr>
      </w:pPr>
      <w:r>
        <w:rPr>
          <w:rFonts w:hint="eastAsia" w:cs="宋体"/>
          <w:color w:val="auto"/>
          <w:highlight w:val="none"/>
        </w:rPr>
        <w:t>装置在运输中允许的环境温度</w:t>
      </w:r>
      <w:r>
        <w:rPr>
          <w:rFonts w:hint="eastAsia" w:ascii="宋体" w:hAnsi="宋体" w:eastAsia="宋体" w:cs="宋体"/>
          <w:color w:val="auto"/>
          <w:spacing w:val="-4"/>
          <w:kern w:val="2"/>
          <w:sz w:val="21"/>
          <w:szCs w:val="21"/>
          <w:highlight w:val="none"/>
          <w:lang w:val="en-US" w:eastAsia="zh-CN" w:bidi="ar-SA"/>
        </w:rPr>
        <w:t>-25℃～＋55℃</w:t>
      </w:r>
      <w:r>
        <w:rPr>
          <w:rFonts w:hint="eastAsia" w:cs="宋体"/>
          <w:color w:val="auto"/>
          <w:highlight w:val="none"/>
        </w:rPr>
        <w:t>，相对湿度不大于85%；</w:t>
      </w:r>
    </w:p>
    <w:p>
      <w:pPr>
        <w:numPr>
          <w:ilvl w:val="0"/>
          <w:numId w:val="4"/>
        </w:numPr>
        <w:adjustRightInd w:val="0"/>
        <w:snapToGrid w:val="0"/>
        <w:ind w:firstLine="420" w:firstLineChars="200"/>
        <w:rPr>
          <w:rFonts w:hint="eastAsia"/>
          <w:color w:val="auto"/>
          <w:highlight w:val="none"/>
        </w:rPr>
      </w:pPr>
      <w:r>
        <w:rPr>
          <w:rFonts w:hint="eastAsia" w:cs="宋体"/>
          <w:color w:val="auto"/>
          <w:highlight w:val="none"/>
        </w:rPr>
        <w:t>在贮存中允许的环境温度-25℃～＋55℃，相对湿度不大于85%，在不施加任何激励量的条件下，装置不出现不可逆变化。</w:t>
      </w:r>
    </w:p>
    <w:p>
      <w:pPr>
        <w:pStyle w:val="6"/>
        <w:bidi w:val="0"/>
        <w:rPr>
          <w:rFonts w:hint="eastAsia"/>
          <w:color w:val="auto"/>
          <w:sz w:val="24"/>
          <w:szCs w:val="28"/>
          <w:highlight w:val="none"/>
        </w:rPr>
      </w:pPr>
      <w:bookmarkStart w:id="32" w:name="_Toc431377049"/>
      <w:bookmarkStart w:id="33" w:name="_Toc431340486"/>
      <w:r>
        <w:rPr>
          <w:rFonts w:hint="eastAsia"/>
          <w:color w:val="auto"/>
          <w:sz w:val="24"/>
          <w:szCs w:val="28"/>
          <w:highlight w:val="none"/>
        </w:rPr>
        <w:t>现场实施要求</w:t>
      </w:r>
    </w:p>
    <w:bookmarkEnd w:id="32"/>
    <w:bookmarkEnd w:id="33"/>
    <w:p>
      <w:pPr>
        <w:pStyle w:val="53"/>
        <w:pageBreakBefore w:val="0"/>
        <w:widowControl w:val="0"/>
        <w:numPr>
          <w:ilvl w:val="0"/>
          <w:numId w:val="0"/>
        </w:numPr>
        <w:kinsoku/>
        <w:wordWrap/>
        <w:overflowPunct/>
        <w:autoSpaceDE/>
        <w:autoSpaceDN/>
        <w:bidi w:val="0"/>
        <w:spacing w:after="0" w:line="360" w:lineRule="auto"/>
        <w:ind w:left="0" w:leftChars="0" w:right="0" w:rightChars="0" w:firstLine="404" w:firstLineChars="200"/>
        <w:jc w:val="both"/>
        <w:rPr>
          <w:rFonts w:ascii="宋体" w:hAnsi="宋体"/>
          <w:color w:val="auto"/>
          <w:highlight w:val="none"/>
        </w:rPr>
      </w:pPr>
      <w:bookmarkStart w:id="34" w:name="_Toc431340487"/>
      <w:bookmarkStart w:id="35" w:name="_Toc431377050"/>
      <w:r>
        <w:rPr>
          <w:rFonts w:hint="eastAsia" w:ascii="宋体" w:hAnsi="宋体" w:eastAsia="宋体" w:cs="Times New Roman"/>
          <w:color w:val="auto"/>
          <w:spacing w:val="-4"/>
          <w:kern w:val="2"/>
          <w:sz w:val="21"/>
          <w:szCs w:val="21"/>
          <w:highlight w:val="none"/>
          <w:lang w:val="en-US" w:eastAsia="zh-CN" w:bidi="ar-SA"/>
        </w:rPr>
        <w:t>本次招标的中标方应提供所招标的</w:t>
      </w:r>
      <w:r>
        <w:rPr>
          <w:rFonts w:hint="eastAsia" w:ascii="宋体" w:hAnsi="宋体"/>
          <w:color w:val="auto"/>
          <w:spacing w:val="-4"/>
          <w:sz w:val="21"/>
          <w:szCs w:val="21"/>
          <w:highlight w:val="none"/>
          <w:lang w:val="en-US" w:eastAsia="zh-CN"/>
        </w:rPr>
        <w:t>设备供货、</w:t>
      </w:r>
      <w:r>
        <w:rPr>
          <w:rFonts w:hint="eastAsia"/>
          <w:color w:val="auto"/>
          <w:spacing w:val="-4"/>
          <w:sz w:val="21"/>
          <w:szCs w:val="21"/>
          <w:highlight w:val="none"/>
          <w:lang w:val="en-US" w:eastAsia="zh-CN"/>
        </w:rPr>
        <w:t>终端</w:t>
      </w:r>
      <w:r>
        <w:rPr>
          <w:rFonts w:hint="eastAsia" w:ascii="宋体" w:hAnsi="宋体"/>
          <w:color w:val="auto"/>
          <w:spacing w:val="-4"/>
          <w:sz w:val="21"/>
          <w:szCs w:val="21"/>
          <w:highlight w:val="none"/>
          <w:lang w:val="en-US" w:eastAsia="zh-CN"/>
        </w:rPr>
        <w:t>调试</w:t>
      </w:r>
      <w:r>
        <w:rPr>
          <w:rFonts w:hint="eastAsia"/>
          <w:color w:val="auto"/>
          <w:spacing w:val="-4"/>
          <w:sz w:val="21"/>
          <w:szCs w:val="21"/>
          <w:highlight w:val="none"/>
          <w:lang w:val="en-US" w:eastAsia="zh-CN"/>
        </w:rPr>
        <w:t>、</w:t>
      </w:r>
      <w:r>
        <w:rPr>
          <w:rFonts w:hint="eastAsia" w:ascii="宋体" w:hAnsi="宋体"/>
          <w:color w:val="auto"/>
          <w:spacing w:val="-4"/>
          <w:sz w:val="21"/>
          <w:szCs w:val="21"/>
          <w:highlight w:val="none"/>
          <w:lang w:val="en-US" w:eastAsia="zh-CN"/>
        </w:rPr>
        <w:t>数据接入和技术服务</w:t>
      </w:r>
      <w:r>
        <w:rPr>
          <w:rFonts w:hint="eastAsia" w:ascii="宋体" w:hAnsi="宋体" w:eastAsia="宋体" w:cs="Times New Roman"/>
          <w:color w:val="auto"/>
          <w:spacing w:val="-4"/>
          <w:kern w:val="2"/>
          <w:sz w:val="21"/>
          <w:szCs w:val="21"/>
          <w:highlight w:val="none"/>
          <w:lang w:val="en-US" w:eastAsia="zh-CN" w:bidi="ar-SA"/>
        </w:rPr>
        <w:t>，完成本招标书规定的建设任务，并协助相关的建设工作</w:t>
      </w:r>
      <w:r>
        <w:rPr>
          <w:rFonts w:hint="eastAsia" w:ascii="宋体" w:hAnsi="宋体"/>
          <w:color w:val="auto"/>
          <w:highlight w:val="none"/>
        </w:rPr>
        <w:t>。</w:t>
      </w:r>
    </w:p>
    <w:p>
      <w:pPr>
        <w:pStyle w:val="6"/>
        <w:bidi w:val="0"/>
        <w:rPr>
          <w:rFonts w:hint="eastAsia"/>
          <w:color w:val="auto"/>
          <w:sz w:val="24"/>
          <w:szCs w:val="28"/>
          <w:highlight w:val="none"/>
        </w:rPr>
      </w:pPr>
      <w:r>
        <w:rPr>
          <w:rFonts w:hint="eastAsia"/>
          <w:color w:val="auto"/>
          <w:sz w:val="24"/>
          <w:szCs w:val="28"/>
          <w:highlight w:val="none"/>
        </w:rPr>
        <w:t>运维要求</w:t>
      </w:r>
    </w:p>
    <w:p>
      <w:pPr>
        <w:ind w:firstLine="420" w:firstLineChars="200"/>
        <w:rPr>
          <w:rFonts w:hint="eastAsia"/>
          <w:color w:val="auto"/>
          <w:highlight w:val="none"/>
        </w:rPr>
      </w:pPr>
      <w:r>
        <w:rPr>
          <w:rFonts w:hint="eastAsia"/>
          <w:color w:val="auto"/>
          <w:highlight w:val="none"/>
        </w:rPr>
        <w:t>投标方应协助招标方解决设备运行中出现的问题。</w:t>
      </w:r>
      <w:bookmarkEnd w:id="34"/>
      <w:bookmarkEnd w:id="35"/>
    </w:p>
    <w:p>
      <w:pPr>
        <w:pStyle w:val="6"/>
        <w:bidi w:val="0"/>
        <w:rPr>
          <w:rFonts w:hint="eastAsia"/>
          <w:color w:val="auto"/>
          <w:sz w:val="24"/>
          <w:szCs w:val="28"/>
          <w:highlight w:val="none"/>
        </w:rPr>
      </w:pPr>
      <w:bookmarkStart w:id="36" w:name="_Toc431340488"/>
      <w:bookmarkStart w:id="37" w:name="_Toc431377051"/>
      <w:r>
        <w:rPr>
          <w:rFonts w:hint="eastAsia"/>
          <w:color w:val="auto"/>
          <w:sz w:val="24"/>
          <w:szCs w:val="28"/>
          <w:highlight w:val="none"/>
        </w:rPr>
        <w:t>投运要求</w:t>
      </w:r>
    </w:p>
    <w:bookmarkEnd w:id="36"/>
    <w:bookmarkEnd w:id="37"/>
    <w:p>
      <w:pPr>
        <w:pageBreakBefore w:val="0"/>
        <w:widowControl w:val="0"/>
        <w:kinsoku/>
        <w:wordWrap/>
        <w:overflowPunct/>
        <w:autoSpaceDE/>
        <w:autoSpaceDN/>
        <w:bidi w:val="0"/>
        <w:adjustRightInd w:val="0"/>
        <w:snapToGrid w:val="0"/>
        <w:spacing w:line="360" w:lineRule="auto"/>
        <w:ind w:left="0" w:leftChars="0" w:right="0" w:rightChars="0" w:firstLine="404" w:firstLineChars="200"/>
        <w:jc w:val="both"/>
        <w:rPr>
          <w:rFonts w:hint="eastAsia" w:ascii="宋体" w:hAnsi="宋体"/>
          <w:color w:val="auto"/>
          <w:spacing w:val="-4"/>
          <w:sz w:val="21"/>
          <w:szCs w:val="21"/>
          <w:highlight w:val="none"/>
          <w:lang w:val="en-US" w:eastAsia="zh-CN"/>
        </w:rPr>
      </w:pPr>
      <w:bookmarkStart w:id="38" w:name="_Toc431377052"/>
      <w:bookmarkStart w:id="39" w:name="_Toc431340489"/>
      <w:r>
        <w:rPr>
          <w:rFonts w:hint="eastAsia" w:ascii="宋体" w:hAnsi="宋体"/>
          <w:color w:val="auto"/>
          <w:spacing w:val="-4"/>
          <w:sz w:val="21"/>
          <w:szCs w:val="21"/>
          <w:highlight w:val="none"/>
          <w:lang w:val="en-US" w:eastAsia="zh-CN"/>
        </w:rPr>
        <w:t>设备安装调试和性能试验合格后方可投运。设备需与边侧</w:t>
      </w:r>
      <w:r>
        <w:rPr>
          <w:rFonts w:hint="eastAsia"/>
          <w:color w:val="auto"/>
          <w:spacing w:val="-4"/>
          <w:sz w:val="21"/>
          <w:szCs w:val="21"/>
          <w:highlight w:val="none"/>
          <w:lang w:val="en-US" w:eastAsia="zh-CN"/>
        </w:rPr>
        <w:t>变电运行支持</w:t>
      </w:r>
      <w:r>
        <w:rPr>
          <w:rFonts w:hint="eastAsia" w:ascii="宋体" w:hAnsi="宋体"/>
          <w:color w:val="auto"/>
          <w:spacing w:val="-4"/>
          <w:sz w:val="21"/>
          <w:szCs w:val="21"/>
          <w:highlight w:val="none"/>
          <w:lang w:val="en-US" w:eastAsia="zh-CN"/>
        </w:rPr>
        <w:t>系统</w:t>
      </w:r>
      <w:r>
        <w:rPr>
          <w:rFonts w:hint="eastAsia"/>
          <w:color w:val="auto"/>
          <w:spacing w:val="-4"/>
          <w:sz w:val="21"/>
          <w:szCs w:val="21"/>
          <w:highlight w:val="none"/>
          <w:lang w:val="en-US" w:eastAsia="zh-CN"/>
        </w:rPr>
        <w:t>和省级变电运行支持系统、统一视频平台</w:t>
      </w:r>
      <w:r>
        <w:rPr>
          <w:rFonts w:hint="eastAsia" w:ascii="宋体" w:hAnsi="宋体"/>
          <w:color w:val="auto"/>
          <w:spacing w:val="-4"/>
          <w:sz w:val="21"/>
          <w:szCs w:val="21"/>
          <w:highlight w:val="none"/>
          <w:lang w:val="en-US" w:eastAsia="zh-CN"/>
        </w:rPr>
        <w:t>做好数据接入</w:t>
      </w:r>
      <w:r>
        <w:rPr>
          <w:rFonts w:hint="eastAsia"/>
          <w:color w:val="auto"/>
          <w:spacing w:val="-4"/>
          <w:sz w:val="21"/>
          <w:szCs w:val="21"/>
          <w:highlight w:val="none"/>
          <w:lang w:val="en-US" w:eastAsia="zh-CN"/>
        </w:rPr>
        <w:t>、功能联调和技术服务</w:t>
      </w:r>
      <w:r>
        <w:rPr>
          <w:rFonts w:hint="eastAsia" w:ascii="宋体" w:hAnsi="宋体"/>
          <w:color w:val="auto"/>
          <w:spacing w:val="-4"/>
          <w:sz w:val="21"/>
          <w:szCs w:val="21"/>
          <w:highlight w:val="none"/>
          <w:lang w:val="en-US" w:eastAsia="zh-CN"/>
        </w:rPr>
        <w:t>，投运并稳定运行后，投标方和招标方（业主）双方应根据相关法律、法规和公司管理制度签署验收证明书。该证明书共两份，双方各执一份。</w:t>
      </w:r>
    </w:p>
    <w:p>
      <w:pPr>
        <w:pStyle w:val="6"/>
        <w:bidi w:val="0"/>
        <w:rPr>
          <w:rFonts w:hint="eastAsia"/>
          <w:color w:val="auto"/>
          <w:sz w:val="24"/>
          <w:szCs w:val="28"/>
          <w:highlight w:val="none"/>
        </w:rPr>
      </w:pPr>
      <w:r>
        <w:rPr>
          <w:rFonts w:hint="eastAsia"/>
          <w:color w:val="auto"/>
          <w:sz w:val="24"/>
          <w:szCs w:val="28"/>
          <w:highlight w:val="none"/>
        </w:rPr>
        <w:t>工作要求</w:t>
      </w:r>
    </w:p>
    <w:p>
      <w:pPr>
        <w:ind w:firstLine="420" w:firstLineChars="200"/>
        <w:rPr>
          <w:rFonts w:hint="eastAsia"/>
          <w:color w:val="auto"/>
          <w:highlight w:val="none"/>
        </w:rPr>
      </w:pPr>
      <w:r>
        <w:rPr>
          <w:rFonts w:hint="eastAsia"/>
          <w:color w:val="auto"/>
          <w:highlight w:val="none"/>
        </w:rPr>
        <w:t>如果调试、性能试验、试运行及质保期内技术指标一项或多项不能满足合同技术部分要求，买卖双方共同分析原因，分清责任，如属制造方面的原因，或涉及索赔部分，按商务部分有关条款执行。</w:t>
      </w:r>
      <w:bookmarkEnd w:id="38"/>
      <w:bookmarkEnd w:id="39"/>
    </w:p>
    <w:p>
      <w:pPr>
        <w:pStyle w:val="6"/>
        <w:bidi w:val="0"/>
        <w:rPr>
          <w:rFonts w:hint="eastAsia"/>
          <w:color w:val="auto"/>
          <w:sz w:val="24"/>
          <w:szCs w:val="28"/>
          <w:highlight w:val="none"/>
        </w:rPr>
      </w:pPr>
      <w:bookmarkStart w:id="40" w:name="_Toc431377053"/>
      <w:bookmarkStart w:id="41" w:name="_Toc431340490"/>
      <w:r>
        <w:rPr>
          <w:rFonts w:hint="eastAsia"/>
          <w:color w:val="auto"/>
          <w:sz w:val="24"/>
          <w:szCs w:val="28"/>
          <w:highlight w:val="none"/>
        </w:rPr>
        <w:t>其他要求</w:t>
      </w:r>
    </w:p>
    <w:p>
      <w:pPr>
        <w:ind w:firstLine="420" w:firstLineChars="200"/>
        <w:rPr>
          <w:rFonts w:hint="eastAsia"/>
          <w:color w:val="auto"/>
          <w:highlight w:val="none"/>
        </w:rPr>
      </w:pPr>
      <w:r>
        <w:rPr>
          <w:rFonts w:hint="eastAsia"/>
          <w:color w:val="auto"/>
          <w:highlight w:val="none"/>
        </w:rPr>
        <w:t>本标书未说明，但又与设计、制造、装配、试验、运输、包装、保管和运行维护有关的技术要求，按条款3所规定的有关标准执行。</w:t>
      </w:r>
      <w:bookmarkEnd w:id="40"/>
      <w:bookmarkEnd w:id="41"/>
    </w:p>
    <w:p>
      <w:pPr>
        <w:pStyle w:val="5"/>
        <w:keepNext/>
        <w:keepLines/>
        <w:pageBreakBefore w:val="0"/>
        <w:widowControl w:val="0"/>
        <w:kinsoku/>
        <w:wordWrap/>
        <w:overflowPunct/>
        <w:topLinePunct w:val="0"/>
        <w:autoSpaceDE/>
        <w:autoSpaceDN/>
        <w:bidi w:val="0"/>
        <w:adjustRightInd/>
        <w:snapToGrid/>
        <w:spacing w:before="164" w:beforeLines="50"/>
        <w:ind w:left="573" w:hanging="573"/>
        <w:textAlignment w:val="auto"/>
        <w:rPr>
          <w:rFonts w:hint="eastAsia"/>
          <w:color w:val="auto"/>
          <w:sz w:val="24"/>
          <w:szCs w:val="28"/>
          <w:highlight w:val="none"/>
        </w:rPr>
      </w:pPr>
      <w:bookmarkStart w:id="42" w:name="_Toc30583"/>
      <w:bookmarkStart w:id="43" w:name="_Toc431377054"/>
      <w:bookmarkStart w:id="44" w:name="_Toc431340491"/>
      <w:r>
        <w:rPr>
          <w:rFonts w:hint="eastAsia"/>
          <w:color w:val="auto"/>
          <w:sz w:val="24"/>
          <w:szCs w:val="28"/>
          <w:highlight w:val="none"/>
        </w:rPr>
        <w:t>服务范围</w:t>
      </w:r>
      <w:bookmarkEnd w:id="42"/>
      <w:bookmarkEnd w:id="43"/>
      <w:bookmarkEnd w:id="44"/>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4" w:firstLineChars="200"/>
        <w:jc w:val="both"/>
        <w:textAlignment w:val="auto"/>
        <w:rPr>
          <w:rFonts w:hint="eastAsia" w:ascii="宋体" w:hAnsi="宋体"/>
          <w:color w:val="auto"/>
          <w:spacing w:val="-4"/>
          <w:sz w:val="21"/>
          <w:szCs w:val="21"/>
          <w:highlight w:val="none"/>
          <w:lang w:val="en-US" w:eastAsia="zh-CN"/>
        </w:rPr>
      </w:pPr>
      <w:r>
        <w:rPr>
          <w:rFonts w:hint="eastAsia" w:ascii="宋体" w:hAnsi="宋体"/>
          <w:color w:val="auto"/>
          <w:spacing w:val="-4"/>
          <w:sz w:val="21"/>
          <w:szCs w:val="21"/>
          <w:highlight w:val="none"/>
          <w:lang w:val="en-US" w:eastAsia="zh-CN"/>
        </w:rPr>
        <w:t>投标方应按本技术标书的要求提供全新的、合格的终端设备，并配合完成设备</w:t>
      </w:r>
      <w:r>
        <w:rPr>
          <w:rFonts w:hint="eastAsia"/>
          <w:color w:val="auto"/>
          <w:spacing w:val="-4"/>
          <w:sz w:val="21"/>
          <w:szCs w:val="21"/>
          <w:highlight w:val="none"/>
          <w:lang w:val="en-US" w:eastAsia="zh-CN"/>
        </w:rPr>
        <w:t>施工安装、调试以及物联网平台和生产运行支持系统等相关平台接入调试工作</w:t>
      </w:r>
      <w:r>
        <w:rPr>
          <w:rFonts w:hint="eastAsia" w:ascii="宋体" w:hAnsi="宋体"/>
          <w:color w:val="auto"/>
          <w:spacing w:val="-4"/>
          <w:sz w:val="21"/>
          <w:szCs w:val="21"/>
          <w:highlight w:val="none"/>
          <w:lang w:val="en-US" w:eastAsia="zh-CN"/>
        </w:rPr>
        <w:t>。</w:t>
      </w:r>
    </w:p>
    <w:p>
      <w:pPr>
        <w:pStyle w:val="5"/>
        <w:bidi w:val="0"/>
        <w:rPr>
          <w:highlight w:val="none"/>
        </w:rPr>
      </w:pPr>
      <w:bookmarkStart w:id="45" w:name="_Toc28156"/>
      <w:bookmarkStart w:id="46" w:name="_Toc431340492"/>
      <w:bookmarkStart w:id="47" w:name="_Toc431377055"/>
      <w:r>
        <w:rPr>
          <w:rFonts w:hint="eastAsia"/>
          <w:color w:val="auto"/>
          <w:sz w:val="24"/>
          <w:szCs w:val="28"/>
          <w:highlight w:val="none"/>
          <w:lang w:val="en-US" w:eastAsia="zh-CN"/>
        </w:rPr>
        <w:t>物资需求清单</w:t>
      </w:r>
      <w:bookmarkEnd w:id="45"/>
    </w:p>
    <w:bookmarkEnd w:id="46"/>
    <w:bookmarkEnd w:id="47"/>
    <w:tbl>
      <w:tblPr>
        <w:tblStyle w:val="23"/>
        <w:tblW w:w="493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1"/>
        <w:gridCol w:w="1223"/>
        <w:gridCol w:w="5064"/>
        <w:gridCol w:w="844"/>
        <w:gridCol w:w="1019"/>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4" w:hRule="atLeast"/>
        </w:trPr>
        <w:tc>
          <w:tcPr>
            <w:tcW w:w="306" w:type="pct"/>
            <w:vMerge w:val="restart"/>
            <w:shd w:val="clear" w:color="auto" w:fill="F1F1F1"/>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highlight w:val="none"/>
                <w:u w:val="none"/>
              </w:rPr>
            </w:pPr>
            <w:bookmarkStart w:id="48" w:name="_Toc427826501"/>
            <w:bookmarkStart w:id="49" w:name="_Toc431377059"/>
            <w:r>
              <w:rPr>
                <w:rFonts w:hint="eastAsia" w:ascii="宋体" w:hAnsi="宋体" w:eastAsia="宋体" w:cs="宋体"/>
                <w:b/>
                <w:bCs/>
                <w:i w:val="0"/>
                <w:iCs w:val="0"/>
                <w:color w:val="auto"/>
                <w:kern w:val="0"/>
                <w:sz w:val="20"/>
                <w:szCs w:val="20"/>
                <w:highlight w:val="none"/>
                <w:u w:val="none"/>
                <w:lang w:val="en-US" w:eastAsia="zh-CN" w:bidi="ar"/>
              </w:rPr>
              <w:t>序号</w:t>
            </w:r>
          </w:p>
        </w:tc>
        <w:tc>
          <w:tcPr>
            <w:tcW w:w="622" w:type="pct"/>
            <w:vMerge w:val="restart"/>
            <w:shd w:val="clear" w:color="auto" w:fill="F1F1F1"/>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shd w:val="clear"/>
                <w:lang w:val="en-US" w:eastAsia="zh-CN" w:bidi="ar"/>
              </w:rPr>
              <w:t>设备名称</w:t>
            </w:r>
          </w:p>
        </w:tc>
        <w:tc>
          <w:tcPr>
            <w:tcW w:w="4071" w:type="pct"/>
            <w:gridSpan w:val="4"/>
            <w:shd w:val="clear" w:color="auto" w:fill="F1F1F1"/>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kern w:val="0"/>
                <w:sz w:val="20"/>
                <w:szCs w:val="20"/>
                <w:highlight w:val="none"/>
                <w:u w:val="none"/>
                <w:lang w:val="en-US" w:eastAsia="zh-CN" w:bidi="ar"/>
              </w:rPr>
            </w:pPr>
            <w:r>
              <w:rPr>
                <w:rFonts w:hint="eastAsia" w:ascii="宋体" w:hAnsi="宋体" w:eastAsia="宋体" w:cs="宋体"/>
                <w:b/>
                <w:bCs/>
                <w:i w:val="0"/>
                <w:iCs w:val="0"/>
                <w:color w:val="auto"/>
                <w:kern w:val="0"/>
                <w:sz w:val="20"/>
                <w:szCs w:val="20"/>
                <w:highlight w:val="none"/>
                <w:u w:val="none"/>
                <w:lang w:val="en-US" w:eastAsia="zh-CN" w:bidi="ar"/>
              </w:rPr>
              <w:t>招标方要求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306" w:type="pct"/>
            <w:vMerge w:val="continue"/>
            <w:shd w:val="clear" w:color="auto" w:fill="F1F1F1"/>
            <w:noWrap w:val="0"/>
            <w:vAlign w:val="center"/>
          </w:tcPr>
          <w:p>
            <w:pPr>
              <w:spacing w:line="240" w:lineRule="auto"/>
              <w:jc w:val="center"/>
              <w:rPr>
                <w:rFonts w:hint="eastAsia" w:ascii="宋体" w:hAnsi="宋体" w:eastAsia="宋体" w:cs="宋体"/>
                <w:b/>
                <w:bCs/>
                <w:i w:val="0"/>
                <w:iCs w:val="0"/>
                <w:color w:val="auto"/>
                <w:sz w:val="20"/>
                <w:szCs w:val="20"/>
                <w:highlight w:val="none"/>
                <w:u w:val="none"/>
              </w:rPr>
            </w:pPr>
          </w:p>
        </w:tc>
        <w:tc>
          <w:tcPr>
            <w:tcW w:w="622" w:type="pct"/>
            <w:vMerge w:val="continue"/>
            <w:shd w:val="clear" w:color="auto" w:fill="F1F1F1"/>
            <w:noWrap w:val="0"/>
            <w:vAlign w:val="center"/>
          </w:tcPr>
          <w:p>
            <w:pPr>
              <w:spacing w:line="240" w:lineRule="auto"/>
              <w:jc w:val="center"/>
              <w:rPr>
                <w:rFonts w:hint="eastAsia" w:ascii="宋体" w:hAnsi="宋体" w:eastAsia="宋体" w:cs="宋体"/>
                <w:b/>
                <w:bCs/>
                <w:i w:val="0"/>
                <w:iCs w:val="0"/>
                <w:color w:val="auto"/>
                <w:sz w:val="20"/>
                <w:szCs w:val="20"/>
                <w:highlight w:val="none"/>
                <w:u w:val="none"/>
              </w:rPr>
            </w:pPr>
          </w:p>
        </w:tc>
        <w:tc>
          <w:tcPr>
            <w:tcW w:w="2575" w:type="pct"/>
            <w:shd w:val="clear" w:color="auto" w:fill="F1F1F1"/>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型式、规格</w:t>
            </w:r>
          </w:p>
        </w:tc>
        <w:tc>
          <w:tcPr>
            <w:tcW w:w="429" w:type="pct"/>
            <w:shd w:val="clear" w:color="auto" w:fill="F1F1F1"/>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单位</w:t>
            </w:r>
          </w:p>
        </w:tc>
        <w:tc>
          <w:tcPr>
            <w:tcW w:w="518" w:type="pct"/>
            <w:shd w:val="clear" w:color="auto" w:fill="F1F1F1"/>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数量</w:t>
            </w:r>
          </w:p>
        </w:tc>
        <w:tc>
          <w:tcPr>
            <w:tcW w:w="548" w:type="pct"/>
            <w:shd w:val="clear" w:color="auto" w:fill="F1F1F1"/>
            <w:noWrap w:val="0"/>
            <w:vAlign w:val="center"/>
          </w:tcPr>
          <w:p>
            <w:pPr>
              <w:keepNext w:val="0"/>
              <w:keepLines w:val="0"/>
              <w:widowControl/>
              <w:suppressLineNumbers w:val="0"/>
              <w:spacing w:line="240" w:lineRule="auto"/>
              <w:jc w:val="center"/>
              <w:textAlignment w:val="center"/>
              <w:rPr>
                <w:rFonts w:hint="default" w:ascii="宋体" w:hAnsi="宋体" w:eastAsia="宋体" w:cs="宋体"/>
                <w:b/>
                <w:bCs/>
                <w:i w:val="0"/>
                <w:iCs w:val="0"/>
                <w:color w:val="auto"/>
                <w:kern w:val="0"/>
                <w:sz w:val="20"/>
                <w:szCs w:val="20"/>
                <w:highlight w:val="none"/>
                <w:u w:val="none"/>
                <w:lang w:val="en-US" w:eastAsia="zh-CN" w:bidi="ar"/>
              </w:rPr>
            </w:pPr>
            <w:r>
              <w:rPr>
                <w:rFonts w:hint="eastAsia" w:cs="宋体"/>
                <w:b/>
                <w:bCs/>
                <w:i w:val="0"/>
                <w:iCs w:val="0"/>
                <w:color w:val="auto"/>
                <w:kern w:val="0"/>
                <w:sz w:val="20"/>
                <w:szCs w:val="20"/>
                <w:highlight w:val="none"/>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306" w:type="pct"/>
            <w:noWrap w:val="0"/>
            <w:vAlign w:val="center"/>
          </w:tcPr>
          <w:p>
            <w:pPr>
              <w:keepNext w:val="0"/>
              <w:keepLines w:val="0"/>
              <w:widowControl/>
              <w:numPr>
                <w:ilvl w:val="0"/>
                <w:numId w:val="5"/>
              </w:numPr>
              <w:suppressLineNumbers w:val="0"/>
              <w:spacing w:line="240" w:lineRule="auto"/>
              <w:ind w:left="425" w:leftChars="0" w:hanging="425" w:firstLineChars="0"/>
              <w:jc w:val="center"/>
              <w:textAlignment w:val="center"/>
              <w:rPr>
                <w:rFonts w:hint="default" w:ascii="宋体" w:hAnsi="宋体" w:eastAsia="宋体" w:cs="宋体"/>
                <w:i w:val="0"/>
                <w:iCs w:val="0"/>
                <w:color w:val="auto"/>
                <w:sz w:val="20"/>
                <w:szCs w:val="20"/>
                <w:highlight w:val="none"/>
                <w:u w:val="none"/>
                <w:lang w:val="en-US"/>
              </w:rPr>
            </w:pPr>
          </w:p>
        </w:tc>
        <w:tc>
          <w:tcPr>
            <w:tcW w:w="622" w:type="pct"/>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视频存储单元</w:t>
            </w:r>
          </w:p>
        </w:tc>
        <w:tc>
          <w:tcPr>
            <w:tcW w:w="5064"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lang w:eastAsia="zh-CN"/>
              </w:rPr>
            </w:pPr>
            <w:r>
              <w:rPr>
                <w:rFonts w:hint="eastAsia" w:ascii="宋体" w:hAnsi="宋体" w:eastAsia="宋体" w:cs="宋体"/>
                <w:i w:val="0"/>
                <w:iCs w:val="0"/>
                <w:color w:val="000000"/>
                <w:kern w:val="0"/>
                <w:sz w:val="20"/>
                <w:szCs w:val="20"/>
                <w:u w:val="none"/>
                <w:lang w:val="en-US" w:eastAsia="zh-CN" w:bidi="ar"/>
              </w:rPr>
              <w:t>详见6.5.1章节</w:t>
            </w:r>
          </w:p>
        </w:tc>
        <w:tc>
          <w:tcPr>
            <w:tcW w:w="429"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台</w:t>
            </w:r>
          </w:p>
        </w:tc>
        <w:tc>
          <w:tcPr>
            <w:tcW w:w="518" w:type="pct"/>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cs="宋体"/>
                <w:i w:val="0"/>
                <w:iCs w:val="0"/>
                <w:color w:val="000000"/>
                <w:kern w:val="0"/>
                <w:sz w:val="22"/>
                <w:szCs w:val="22"/>
                <w:u w:val="none"/>
                <w:lang w:val="en-US" w:eastAsia="zh-CN" w:bidi="ar"/>
              </w:rPr>
              <w:t>1</w:t>
            </w:r>
          </w:p>
        </w:tc>
        <w:tc>
          <w:tcPr>
            <w:tcW w:w="548"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trPr>
        <w:tc>
          <w:tcPr>
            <w:tcW w:w="306" w:type="pct"/>
            <w:noWrap w:val="0"/>
            <w:vAlign w:val="center"/>
          </w:tcPr>
          <w:p>
            <w:pPr>
              <w:keepNext w:val="0"/>
              <w:keepLines w:val="0"/>
              <w:widowControl/>
              <w:numPr>
                <w:ilvl w:val="0"/>
                <w:numId w:val="5"/>
              </w:numPr>
              <w:suppressLineNumbers w:val="0"/>
              <w:spacing w:line="240" w:lineRule="auto"/>
              <w:ind w:left="425" w:leftChars="0" w:hanging="425" w:firstLineChars="0"/>
              <w:jc w:val="center"/>
              <w:textAlignment w:val="center"/>
              <w:rPr>
                <w:rFonts w:hint="eastAsia" w:ascii="宋体" w:hAnsi="宋体" w:eastAsia="宋体" w:cs="宋体"/>
                <w:i w:val="0"/>
                <w:iCs w:val="0"/>
                <w:color w:val="auto"/>
                <w:sz w:val="20"/>
                <w:szCs w:val="20"/>
                <w:highlight w:val="none"/>
                <w:u w:val="none"/>
              </w:rPr>
            </w:pPr>
          </w:p>
        </w:tc>
        <w:tc>
          <w:tcPr>
            <w:tcW w:w="622" w:type="pct"/>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企业级硬盘</w:t>
            </w:r>
          </w:p>
        </w:tc>
        <w:tc>
          <w:tcPr>
            <w:tcW w:w="5064"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详见6.5.2章节</w:t>
            </w:r>
          </w:p>
        </w:tc>
        <w:tc>
          <w:tcPr>
            <w:tcW w:w="429"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块</w:t>
            </w:r>
          </w:p>
        </w:tc>
        <w:tc>
          <w:tcPr>
            <w:tcW w:w="518" w:type="pct"/>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cs="宋体"/>
                <w:i w:val="0"/>
                <w:iCs w:val="0"/>
                <w:color w:val="000000"/>
                <w:kern w:val="0"/>
                <w:sz w:val="22"/>
                <w:szCs w:val="22"/>
                <w:u w:val="none"/>
                <w:lang w:val="en-US" w:eastAsia="zh-CN" w:bidi="ar"/>
              </w:rPr>
              <w:t>1</w:t>
            </w:r>
          </w:p>
        </w:tc>
        <w:tc>
          <w:tcPr>
            <w:tcW w:w="548"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306" w:type="pct"/>
            <w:noWrap w:val="0"/>
            <w:vAlign w:val="center"/>
          </w:tcPr>
          <w:p>
            <w:pPr>
              <w:keepNext w:val="0"/>
              <w:keepLines w:val="0"/>
              <w:widowControl/>
              <w:numPr>
                <w:ilvl w:val="0"/>
                <w:numId w:val="5"/>
              </w:numPr>
              <w:suppressLineNumbers w:val="0"/>
              <w:spacing w:line="240" w:lineRule="auto"/>
              <w:ind w:left="425" w:leftChars="0" w:hanging="425" w:firstLineChars="0"/>
              <w:jc w:val="center"/>
              <w:textAlignment w:val="center"/>
              <w:rPr>
                <w:rFonts w:hint="default" w:ascii="宋体" w:hAnsi="宋体" w:eastAsia="宋体" w:cs="宋体"/>
                <w:i w:val="0"/>
                <w:iCs w:val="0"/>
                <w:color w:val="auto"/>
                <w:kern w:val="2"/>
                <w:sz w:val="20"/>
                <w:szCs w:val="20"/>
                <w:highlight w:val="none"/>
                <w:u w:val="none"/>
                <w:lang w:val="en-US" w:eastAsia="zh-CN" w:bidi="ar-SA"/>
              </w:rPr>
            </w:pPr>
          </w:p>
        </w:tc>
        <w:tc>
          <w:tcPr>
            <w:tcW w:w="622" w:type="pct"/>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多模态物联网汇聚箱（16路）（壁挂）</w:t>
            </w:r>
          </w:p>
        </w:tc>
        <w:tc>
          <w:tcPr>
            <w:tcW w:w="5064"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详见6.5.3章节</w:t>
            </w:r>
          </w:p>
        </w:tc>
        <w:tc>
          <w:tcPr>
            <w:tcW w:w="429"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套</w:t>
            </w:r>
          </w:p>
        </w:tc>
        <w:tc>
          <w:tcPr>
            <w:tcW w:w="518" w:type="pct"/>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cs="宋体"/>
                <w:i w:val="0"/>
                <w:iCs w:val="0"/>
                <w:color w:val="000000"/>
                <w:kern w:val="0"/>
                <w:sz w:val="22"/>
                <w:szCs w:val="22"/>
                <w:u w:val="none"/>
                <w:lang w:val="en-US" w:eastAsia="zh-CN" w:bidi="ar"/>
              </w:rPr>
              <w:t>1</w:t>
            </w:r>
          </w:p>
        </w:tc>
        <w:tc>
          <w:tcPr>
            <w:tcW w:w="548"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306" w:type="pct"/>
            <w:noWrap w:val="0"/>
            <w:vAlign w:val="center"/>
          </w:tcPr>
          <w:p>
            <w:pPr>
              <w:keepNext w:val="0"/>
              <w:keepLines w:val="0"/>
              <w:widowControl/>
              <w:numPr>
                <w:ilvl w:val="0"/>
                <w:numId w:val="5"/>
              </w:numPr>
              <w:suppressLineNumbers w:val="0"/>
              <w:spacing w:line="240" w:lineRule="auto"/>
              <w:ind w:left="425" w:leftChars="0" w:hanging="425" w:firstLineChars="0"/>
              <w:jc w:val="center"/>
              <w:textAlignment w:val="center"/>
              <w:rPr>
                <w:rFonts w:hint="eastAsia" w:ascii="宋体" w:hAnsi="宋体" w:eastAsia="宋体" w:cs="宋体"/>
                <w:i w:val="0"/>
                <w:iCs w:val="0"/>
                <w:color w:val="auto"/>
                <w:kern w:val="2"/>
                <w:sz w:val="20"/>
                <w:szCs w:val="20"/>
                <w:highlight w:val="none"/>
                <w:u w:val="none"/>
                <w:lang w:val="en-US" w:eastAsia="zh-CN" w:bidi="ar-SA"/>
              </w:rPr>
            </w:pPr>
          </w:p>
        </w:tc>
        <w:tc>
          <w:tcPr>
            <w:tcW w:w="622" w:type="pct"/>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多模态物联网汇聚箱（16路）（户外座立式）</w:t>
            </w:r>
          </w:p>
        </w:tc>
        <w:tc>
          <w:tcPr>
            <w:tcW w:w="5064"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详见6.5.4章节</w:t>
            </w:r>
          </w:p>
        </w:tc>
        <w:tc>
          <w:tcPr>
            <w:tcW w:w="429"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台</w:t>
            </w:r>
          </w:p>
        </w:tc>
        <w:tc>
          <w:tcPr>
            <w:tcW w:w="518"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cs="宋体"/>
                <w:i w:val="0"/>
                <w:iCs w:val="0"/>
                <w:color w:val="000000"/>
                <w:kern w:val="0"/>
                <w:sz w:val="22"/>
                <w:szCs w:val="22"/>
                <w:u w:val="none"/>
                <w:lang w:val="en-US" w:eastAsia="zh-CN" w:bidi="ar"/>
              </w:rPr>
              <w:t>1</w:t>
            </w:r>
          </w:p>
        </w:tc>
        <w:tc>
          <w:tcPr>
            <w:tcW w:w="548"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306" w:type="pct"/>
            <w:noWrap w:val="0"/>
            <w:vAlign w:val="center"/>
          </w:tcPr>
          <w:p>
            <w:pPr>
              <w:keepNext w:val="0"/>
              <w:keepLines w:val="0"/>
              <w:widowControl/>
              <w:numPr>
                <w:ilvl w:val="0"/>
                <w:numId w:val="5"/>
              </w:numPr>
              <w:suppressLineNumbers w:val="0"/>
              <w:spacing w:line="240" w:lineRule="auto"/>
              <w:ind w:left="425" w:leftChars="0" w:hanging="425" w:firstLineChars="0"/>
              <w:jc w:val="center"/>
              <w:textAlignment w:val="center"/>
              <w:rPr>
                <w:rFonts w:hint="eastAsia" w:ascii="宋体" w:hAnsi="宋体" w:eastAsia="宋体" w:cs="宋体"/>
                <w:i w:val="0"/>
                <w:iCs w:val="0"/>
                <w:color w:val="auto"/>
                <w:kern w:val="2"/>
                <w:sz w:val="20"/>
                <w:szCs w:val="20"/>
                <w:highlight w:val="none"/>
                <w:u w:val="none"/>
                <w:lang w:val="en-US" w:eastAsia="zh-CN" w:bidi="ar-SA"/>
              </w:rPr>
            </w:pPr>
          </w:p>
        </w:tc>
        <w:tc>
          <w:tcPr>
            <w:tcW w:w="622" w:type="pct"/>
            <w:noWrap w:val="0"/>
            <w:vAlign w:val="center"/>
          </w:tcPr>
          <w:p>
            <w:pPr>
              <w:keepNext w:val="0"/>
              <w:keepLines w:val="0"/>
              <w:widowControl/>
              <w:suppressLineNumbers w:val="0"/>
              <w:spacing w:line="240" w:lineRule="auto"/>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多模态物联网汇聚箱（16路）（户内座立式）</w:t>
            </w:r>
          </w:p>
        </w:tc>
        <w:tc>
          <w:tcPr>
            <w:tcW w:w="5064"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详见6.5.5章节</w:t>
            </w:r>
          </w:p>
        </w:tc>
        <w:tc>
          <w:tcPr>
            <w:tcW w:w="429"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台</w:t>
            </w:r>
          </w:p>
        </w:tc>
        <w:tc>
          <w:tcPr>
            <w:tcW w:w="518"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cs="宋体"/>
                <w:i w:val="0"/>
                <w:iCs w:val="0"/>
                <w:color w:val="000000"/>
                <w:kern w:val="0"/>
                <w:sz w:val="22"/>
                <w:szCs w:val="22"/>
                <w:u w:val="none"/>
                <w:lang w:val="en-US" w:eastAsia="zh-CN" w:bidi="ar"/>
              </w:rPr>
              <w:t>1</w:t>
            </w:r>
          </w:p>
        </w:tc>
        <w:tc>
          <w:tcPr>
            <w:tcW w:w="548"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306" w:type="pct"/>
            <w:noWrap w:val="0"/>
            <w:vAlign w:val="center"/>
          </w:tcPr>
          <w:p>
            <w:pPr>
              <w:keepNext w:val="0"/>
              <w:keepLines w:val="0"/>
              <w:widowControl/>
              <w:numPr>
                <w:ilvl w:val="0"/>
                <w:numId w:val="5"/>
              </w:numPr>
              <w:suppressLineNumbers w:val="0"/>
              <w:spacing w:line="240" w:lineRule="auto"/>
              <w:ind w:left="425" w:leftChars="0" w:hanging="425" w:firstLineChars="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622" w:type="pct"/>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多模态物联网汇聚箱（8路）</w:t>
            </w:r>
          </w:p>
        </w:tc>
        <w:tc>
          <w:tcPr>
            <w:tcW w:w="5064" w:type="dxa"/>
            <w:noWrap w:val="0"/>
            <w:vAlign w:val="center"/>
          </w:tcPr>
          <w:p>
            <w:pPr>
              <w:keepNext w:val="0"/>
              <w:keepLines w:val="0"/>
              <w:widowControl/>
              <w:suppressLineNumbers w:val="0"/>
              <w:jc w:val="left"/>
              <w:textAlignment w:val="center"/>
              <w:rPr>
                <w:rFonts w:hint="eastAsia"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详见6.5.6章节</w:t>
            </w:r>
          </w:p>
        </w:tc>
        <w:tc>
          <w:tcPr>
            <w:tcW w:w="429"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台</w:t>
            </w:r>
          </w:p>
        </w:tc>
        <w:tc>
          <w:tcPr>
            <w:tcW w:w="518"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cs="宋体"/>
                <w:i w:val="0"/>
                <w:iCs w:val="0"/>
                <w:color w:val="000000"/>
                <w:kern w:val="0"/>
                <w:sz w:val="22"/>
                <w:szCs w:val="22"/>
                <w:u w:val="none"/>
                <w:lang w:val="en-US" w:eastAsia="zh-CN" w:bidi="ar"/>
              </w:rPr>
              <w:t>1</w:t>
            </w:r>
          </w:p>
        </w:tc>
        <w:tc>
          <w:tcPr>
            <w:tcW w:w="548"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06" w:type="pct"/>
            <w:noWrap w:val="0"/>
            <w:vAlign w:val="center"/>
          </w:tcPr>
          <w:p>
            <w:pPr>
              <w:keepNext w:val="0"/>
              <w:keepLines w:val="0"/>
              <w:widowControl/>
              <w:numPr>
                <w:ilvl w:val="0"/>
                <w:numId w:val="5"/>
              </w:numPr>
              <w:suppressLineNumbers w:val="0"/>
              <w:spacing w:line="240" w:lineRule="auto"/>
              <w:ind w:left="425" w:leftChars="0" w:hanging="425" w:firstLineChars="0"/>
              <w:jc w:val="center"/>
              <w:textAlignment w:val="center"/>
              <w:rPr>
                <w:rFonts w:hint="eastAsia" w:ascii="宋体" w:hAnsi="宋体" w:eastAsia="宋体" w:cs="宋体"/>
                <w:i w:val="0"/>
                <w:iCs w:val="0"/>
                <w:color w:val="auto"/>
                <w:kern w:val="2"/>
                <w:sz w:val="20"/>
                <w:szCs w:val="20"/>
                <w:highlight w:val="none"/>
                <w:u w:val="none"/>
                <w:lang w:val="en-US" w:eastAsia="zh-CN" w:bidi="ar-SA"/>
              </w:rPr>
            </w:pPr>
          </w:p>
        </w:tc>
        <w:tc>
          <w:tcPr>
            <w:tcW w:w="622" w:type="pct"/>
            <w:noWrap w:val="0"/>
            <w:vAlign w:val="center"/>
          </w:tcPr>
          <w:p>
            <w:pPr>
              <w:keepNext w:val="0"/>
              <w:keepLines w:val="0"/>
              <w:widowControl/>
              <w:suppressLineNumbers w:val="0"/>
              <w:spacing w:line="240" w:lineRule="auto"/>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高清白光一体化云台视联融合终端</w:t>
            </w:r>
          </w:p>
        </w:tc>
        <w:tc>
          <w:tcPr>
            <w:tcW w:w="5064"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详见6.4.1章节</w:t>
            </w:r>
          </w:p>
        </w:tc>
        <w:tc>
          <w:tcPr>
            <w:tcW w:w="429"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台</w:t>
            </w:r>
          </w:p>
        </w:tc>
        <w:tc>
          <w:tcPr>
            <w:tcW w:w="518" w:type="pct"/>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cs="宋体"/>
                <w:i w:val="0"/>
                <w:iCs w:val="0"/>
                <w:color w:val="000000"/>
                <w:kern w:val="0"/>
                <w:sz w:val="22"/>
                <w:szCs w:val="22"/>
                <w:u w:val="none"/>
                <w:lang w:val="en-US" w:eastAsia="zh-CN" w:bidi="ar"/>
              </w:rPr>
              <w:t>1</w:t>
            </w:r>
          </w:p>
        </w:tc>
        <w:tc>
          <w:tcPr>
            <w:tcW w:w="548"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306" w:type="pct"/>
            <w:noWrap w:val="0"/>
            <w:vAlign w:val="center"/>
          </w:tcPr>
          <w:p>
            <w:pPr>
              <w:keepNext w:val="0"/>
              <w:keepLines w:val="0"/>
              <w:widowControl/>
              <w:numPr>
                <w:ilvl w:val="0"/>
                <w:numId w:val="5"/>
              </w:numPr>
              <w:suppressLineNumbers w:val="0"/>
              <w:spacing w:line="240" w:lineRule="auto"/>
              <w:ind w:left="425" w:leftChars="0" w:hanging="425" w:firstLineChars="0"/>
              <w:jc w:val="center"/>
              <w:textAlignment w:val="center"/>
              <w:rPr>
                <w:rFonts w:hint="eastAsia" w:ascii="宋体" w:hAnsi="宋体" w:eastAsia="宋体" w:cs="宋体"/>
                <w:i w:val="0"/>
                <w:iCs w:val="0"/>
                <w:color w:val="auto"/>
                <w:kern w:val="2"/>
                <w:sz w:val="20"/>
                <w:szCs w:val="20"/>
                <w:highlight w:val="none"/>
                <w:u w:val="none"/>
                <w:lang w:val="en-US" w:eastAsia="zh-CN" w:bidi="ar-SA"/>
              </w:rPr>
            </w:pPr>
          </w:p>
        </w:tc>
        <w:tc>
          <w:tcPr>
            <w:tcW w:w="622" w:type="pct"/>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双光谱红外热成像云台视联融合终端</w:t>
            </w:r>
          </w:p>
        </w:tc>
        <w:tc>
          <w:tcPr>
            <w:tcW w:w="5064"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详见6.4.2章节</w:t>
            </w:r>
          </w:p>
        </w:tc>
        <w:tc>
          <w:tcPr>
            <w:tcW w:w="429"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台</w:t>
            </w:r>
          </w:p>
        </w:tc>
        <w:tc>
          <w:tcPr>
            <w:tcW w:w="518" w:type="pct"/>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cs="宋体"/>
                <w:i w:val="0"/>
                <w:iCs w:val="0"/>
                <w:color w:val="000000"/>
                <w:kern w:val="0"/>
                <w:sz w:val="22"/>
                <w:szCs w:val="22"/>
                <w:u w:val="none"/>
                <w:lang w:val="en-US" w:eastAsia="zh-CN" w:bidi="ar"/>
              </w:rPr>
              <w:t>1</w:t>
            </w:r>
          </w:p>
        </w:tc>
        <w:tc>
          <w:tcPr>
            <w:tcW w:w="548"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306" w:type="pct"/>
            <w:noWrap w:val="0"/>
            <w:vAlign w:val="center"/>
          </w:tcPr>
          <w:p>
            <w:pPr>
              <w:keepNext w:val="0"/>
              <w:keepLines w:val="0"/>
              <w:widowControl/>
              <w:numPr>
                <w:ilvl w:val="0"/>
                <w:numId w:val="5"/>
              </w:numPr>
              <w:suppressLineNumbers w:val="0"/>
              <w:spacing w:line="240" w:lineRule="auto"/>
              <w:ind w:left="425" w:leftChars="0" w:hanging="425" w:firstLineChars="0"/>
              <w:jc w:val="center"/>
              <w:textAlignment w:val="center"/>
              <w:rPr>
                <w:rFonts w:hint="eastAsia" w:ascii="宋体" w:hAnsi="宋体" w:eastAsia="宋体" w:cs="宋体"/>
                <w:i w:val="0"/>
                <w:iCs w:val="0"/>
                <w:color w:val="auto"/>
                <w:kern w:val="2"/>
                <w:sz w:val="20"/>
                <w:szCs w:val="20"/>
                <w:highlight w:val="none"/>
                <w:u w:val="none"/>
                <w:lang w:val="en-US" w:eastAsia="zh-CN" w:bidi="ar-SA"/>
              </w:rPr>
            </w:pPr>
          </w:p>
        </w:tc>
        <w:tc>
          <w:tcPr>
            <w:tcW w:w="622" w:type="pct"/>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红外高速球形视联融合终端</w:t>
            </w:r>
          </w:p>
        </w:tc>
        <w:tc>
          <w:tcPr>
            <w:tcW w:w="5064" w:type="dxa"/>
            <w:noWrap w:val="0"/>
            <w:vAlign w:val="center"/>
          </w:tcPr>
          <w:p>
            <w:pPr>
              <w:keepNext w:val="0"/>
              <w:keepLines w:val="0"/>
              <w:widowControl/>
              <w:suppressLineNumbers w:val="0"/>
              <w:jc w:val="left"/>
              <w:textAlignment w:val="center"/>
              <w:rPr>
                <w:rFonts w:hint="eastAsia" w:ascii="宋体" w:hAnsi="宋体" w:eastAsia="宋体" w:cs="宋体"/>
                <w:color w:val="auto"/>
                <w:spacing w:val="-6"/>
                <w:kern w:val="2"/>
                <w:sz w:val="20"/>
                <w:szCs w:val="20"/>
                <w:highlight w:val="none"/>
                <w:lang w:val="en-US" w:eastAsia="zh-CN" w:bidi="ar-SA"/>
              </w:rPr>
            </w:pPr>
            <w:r>
              <w:rPr>
                <w:rFonts w:hint="eastAsia" w:ascii="宋体" w:hAnsi="宋体" w:eastAsia="宋体" w:cs="宋体"/>
                <w:i w:val="0"/>
                <w:iCs w:val="0"/>
                <w:color w:val="000000"/>
                <w:kern w:val="0"/>
                <w:sz w:val="20"/>
                <w:szCs w:val="20"/>
                <w:u w:val="none"/>
                <w:lang w:val="en-US" w:eastAsia="zh-CN" w:bidi="ar"/>
              </w:rPr>
              <w:t>详见6.4.3章节</w:t>
            </w:r>
          </w:p>
        </w:tc>
        <w:tc>
          <w:tcPr>
            <w:tcW w:w="429"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台</w:t>
            </w:r>
          </w:p>
        </w:tc>
        <w:tc>
          <w:tcPr>
            <w:tcW w:w="518" w:type="pct"/>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cs="宋体"/>
                <w:i w:val="0"/>
                <w:iCs w:val="0"/>
                <w:color w:val="000000"/>
                <w:kern w:val="0"/>
                <w:sz w:val="22"/>
                <w:szCs w:val="22"/>
                <w:u w:val="none"/>
                <w:lang w:val="en-US" w:eastAsia="zh-CN" w:bidi="ar"/>
              </w:rPr>
              <w:t>1</w:t>
            </w:r>
          </w:p>
        </w:tc>
        <w:tc>
          <w:tcPr>
            <w:tcW w:w="548"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306" w:type="pct"/>
            <w:noWrap w:val="0"/>
            <w:vAlign w:val="center"/>
          </w:tcPr>
          <w:p>
            <w:pPr>
              <w:keepNext w:val="0"/>
              <w:keepLines w:val="0"/>
              <w:widowControl/>
              <w:numPr>
                <w:ilvl w:val="0"/>
                <w:numId w:val="5"/>
              </w:numPr>
              <w:suppressLineNumbers w:val="0"/>
              <w:spacing w:line="240" w:lineRule="auto"/>
              <w:ind w:left="425" w:leftChars="0" w:hanging="425" w:firstLineChars="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622" w:type="pct"/>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双光谱红外热成像球形视联融合终端</w:t>
            </w:r>
          </w:p>
        </w:tc>
        <w:tc>
          <w:tcPr>
            <w:tcW w:w="5064" w:type="dxa"/>
            <w:noWrap w:val="0"/>
            <w:vAlign w:val="center"/>
          </w:tcPr>
          <w:p>
            <w:pPr>
              <w:keepNext w:val="0"/>
              <w:keepLines w:val="0"/>
              <w:widowControl/>
              <w:suppressLineNumbers w:val="0"/>
              <w:jc w:val="left"/>
              <w:textAlignment w:val="center"/>
              <w:rPr>
                <w:rFonts w:hint="eastAsia"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详见6.4.4章节</w:t>
            </w:r>
          </w:p>
        </w:tc>
        <w:tc>
          <w:tcPr>
            <w:tcW w:w="429"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台</w:t>
            </w:r>
          </w:p>
        </w:tc>
        <w:tc>
          <w:tcPr>
            <w:tcW w:w="518" w:type="pct"/>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cs="宋体"/>
                <w:i w:val="0"/>
                <w:iCs w:val="0"/>
                <w:color w:val="000000"/>
                <w:kern w:val="0"/>
                <w:sz w:val="22"/>
                <w:szCs w:val="22"/>
                <w:u w:val="none"/>
                <w:lang w:val="en-US" w:eastAsia="zh-CN" w:bidi="ar"/>
              </w:rPr>
              <w:t>1</w:t>
            </w:r>
          </w:p>
        </w:tc>
        <w:tc>
          <w:tcPr>
            <w:tcW w:w="548"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306" w:type="pct"/>
            <w:noWrap w:val="0"/>
            <w:vAlign w:val="center"/>
          </w:tcPr>
          <w:p>
            <w:pPr>
              <w:keepNext w:val="0"/>
              <w:keepLines w:val="0"/>
              <w:widowControl/>
              <w:numPr>
                <w:ilvl w:val="0"/>
                <w:numId w:val="5"/>
              </w:numPr>
              <w:suppressLineNumbers w:val="0"/>
              <w:spacing w:line="240" w:lineRule="auto"/>
              <w:ind w:left="425" w:leftChars="0" w:hanging="425" w:firstLineChars="0"/>
              <w:jc w:val="center"/>
              <w:textAlignment w:val="center"/>
              <w:rPr>
                <w:rFonts w:hint="default" w:ascii="宋体" w:hAnsi="宋体" w:eastAsia="宋体" w:cs="宋体"/>
                <w:i w:val="0"/>
                <w:iCs w:val="0"/>
                <w:color w:val="auto"/>
                <w:kern w:val="2"/>
                <w:sz w:val="20"/>
                <w:szCs w:val="20"/>
                <w:highlight w:val="none"/>
                <w:u w:val="none"/>
                <w:lang w:val="en-US" w:eastAsia="zh-CN" w:bidi="ar-SA"/>
              </w:rPr>
            </w:pPr>
          </w:p>
        </w:tc>
        <w:tc>
          <w:tcPr>
            <w:tcW w:w="622" w:type="pct"/>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固定视联融合终端</w:t>
            </w:r>
          </w:p>
        </w:tc>
        <w:tc>
          <w:tcPr>
            <w:tcW w:w="5064"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详见6.4.5章节</w:t>
            </w:r>
          </w:p>
        </w:tc>
        <w:tc>
          <w:tcPr>
            <w:tcW w:w="429"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台</w:t>
            </w:r>
          </w:p>
        </w:tc>
        <w:tc>
          <w:tcPr>
            <w:tcW w:w="518" w:type="pct"/>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cs="宋体"/>
                <w:i w:val="0"/>
                <w:iCs w:val="0"/>
                <w:color w:val="000000"/>
                <w:kern w:val="0"/>
                <w:sz w:val="22"/>
                <w:szCs w:val="22"/>
                <w:u w:val="none"/>
                <w:lang w:val="en-US" w:eastAsia="zh-CN" w:bidi="ar"/>
              </w:rPr>
              <w:t>1</w:t>
            </w:r>
          </w:p>
        </w:tc>
        <w:tc>
          <w:tcPr>
            <w:tcW w:w="548"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306" w:type="pct"/>
            <w:noWrap w:val="0"/>
            <w:vAlign w:val="center"/>
          </w:tcPr>
          <w:p>
            <w:pPr>
              <w:keepNext w:val="0"/>
              <w:keepLines w:val="0"/>
              <w:widowControl/>
              <w:numPr>
                <w:ilvl w:val="0"/>
                <w:numId w:val="5"/>
              </w:numPr>
              <w:suppressLineNumbers w:val="0"/>
              <w:spacing w:line="240" w:lineRule="auto"/>
              <w:ind w:left="425" w:leftChars="0" w:hanging="425" w:firstLineChars="0"/>
              <w:jc w:val="center"/>
              <w:textAlignment w:val="center"/>
              <w:rPr>
                <w:rFonts w:hint="default" w:ascii="宋体" w:hAnsi="宋体" w:eastAsia="宋体" w:cs="宋体"/>
                <w:i w:val="0"/>
                <w:iCs w:val="0"/>
                <w:color w:val="auto"/>
                <w:kern w:val="2"/>
                <w:sz w:val="20"/>
                <w:szCs w:val="20"/>
                <w:highlight w:val="none"/>
                <w:u w:val="none"/>
                <w:lang w:val="en-US" w:eastAsia="zh-CN" w:bidi="ar-SA"/>
              </w:rPr>
            </w:pPr>
          </w:p>
        </w:tc>
        <w:tc>
          <w:tcPr>
            <w:tcW w:w="622" w:type="pct"/>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防爆固定视联融合终端</w:t>
            </w:r>
          </w:p>
        </w:tc>
        <w:tc>
          <w:tcPr>
            <w:tcW w:w="5064"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000000"/>
                <w:kern w:val="0"/>
                <w:sz w:val="20"/>
                <w:szCs w:val="20"/>
                <w:u w:val="none"/>
                <w:lang w:val="en-US" w:eastAsia="zh-CN" w:bidi="ar"/>
              </w:rPr>
              <w:t>详见6.4.6章节</w:t>
            </w:r>
          </w:p>
        </w:tc>
        <w:tc>
          <w:tcPr>
            <w:tcW w:w="429"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台</w:t>
            </w:r>
          </w:p>
        </w:tc>
        <w:tc>
          <w:tcPr>
            <w:tcW w:w="518"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cs="宋体"/>
                <w:i w:val="0"/>
                <w:iCs w:val="0"/>
                <w:color w:val="000000"/>
                <w:kern w:val="0"/>
                <w:sz w:val="22"/>
                <w:szCs w:val="22"/>
                <w:u w:val="none"/>
                <w:lang w:val="en-US" w:eastAsia="zh-CN" w:bidi="ar"/>
              </w:rPr>
              <w:t>1</w:t>
            </w:r>
          </w:p>
        </w:tc>
        <w:tc>
          <w:tcPr>
            <w:tcW w:w="548"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306" w:type="pct"/>
            <w:noWrap w:val="0"/>
            <w:vAlign w:val="center"/>
          </w:tcPr>
          <w:p>
            <w:pPr>
              <w:keepNext w:val="0"/>
              <w:keepLines w:val="0"/>
              <w:widowControl/>
              <w:numPr>
                <w:ilvl w:val="0"/>
                <w:numId w:val="5"/>
              </w:numPr>
              <w:suppressLineNumbers w:val="0"/>
              <w:spacing w:line="240" w:lineRule="auto"/>
              <w:ind w:left="425" w:leftChars="0" w:hanging="425" w:firstLineChars="0"/>
              <w:jc w:val="center"/>
              <w:textAlignment w:val="center"/>
              <w:rPr>
                <w:rFonts w:hint="default" w:ascii="宋体" w:hAnsi="宋体" w:eastAsia="宋体" w:cs="宋体"/>
                <w:i w:val="0"/>
                <w:iCs w:val="0"/>
                <w:color w:val="auto"/>
                <w:kern w:val="2"/>
                <w:sz w:val="20"/>
                <w:szCs w:val="20"/>
                <w:highlight w:val="none"/>
                <w:u w:val="none"/>
                <w:lang w:val="en-US" w:eastAsia="zh-CN" w:bidi="ar-SA"/>
              </w:rPr>
            </w:pPr>
          </w:p>
        </w:tc>
        <w:tc>
          <w:tcPr>
            <w:tcW w:w="622" w:type="pct"/>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卡片视联融合终端</w:t>
            </w:r>
          </w:p>
        </w:tc>
        <w:tc>
          <w:tcPr>
            <w:tcW w:w="5064" w:type="dxa"/>
            <w:noWrap w:val="0"/>
            <w:vAlign w:val="center"/>
          </w:tcPr>
          <w:p>
            <w:pPr>
              <w:keepNext w:val="0"/>
              <w:keepLines w:val="0"/>
              <w:widowControl/>
              <w:suppressLineNumbers w:val="0"/>
              <w:jc w:val="left"/>
              <w:textAlignment w:val="center"/>
              <w:rPr>
                <w:rFonts w:hint="eastAsia"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详见6.4.7章节</w:t>
            </w:r>
          </w:p>
        </w:tc>
        <w:tc>
          <w:tcPr>
            <w:tcW w:w="429"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cs="宋体"/>
                <w:i w:val="0"/>
                <w:iCs w:val="0"/>
                <w:color w:val="000000"/>
                <w:kern w:val="0"/>
                <w:sz w:val="20"/>
                <w:szCs w:val="20"/>
                <w:highlight w:val="none"/>
                <w:u w:val="none"/>
                <w:lang w:val="en-US" w:eastAsia="zh-CN" w:bidi="ar"/>
              </w:rPr>
              <w:t>台</w:t>
            </w:r>
          </w:p>
        </w:tc>
        <w:tc>
          <w:tcPr>
            <w:tcW w:w="518" w:type="pct"/>
            <w:noWrap w:val="0"/>
            <w:vAlign w:val="center"/>
          </w:tcPr>
          <w:p>
            <w:pPr>
              <w:keepNext w:val="0"/>
              <w:keepLines w:val="0"/>
              <w:widowControl/>
              <w:suppressLineNumbers w:val="0"/>
              <w:jc w:val="center"/>
              <w:textAlignment w:val="center"/>
              <w:rPr>
                <w:rFonts w:hint="eastAsia" w:cs="宋体"/>
                <w:i w:val="0"/>
                <w:iCs w:val="0"/>
                <w:color w:val="000000"/>
                <w:kern w:val="0"/>
                <w:sz w:val="20"/>
                <w:szCs w:val="20"/>
                <w:u w:val="none"/>
                <w:lang w:val="en-US" w:eastAsia="zh-CN" w:bidi="ar"/>
              </w:rPr>
            </w:pPr>
            <w:r>
              <w:rPr>
                <w:rFonts w:hint="eastAsia" w:cs="宋体"/>
                <w:i w:val="0"/>
                <w:iCs w:val="0"/>
                <w:color w:val="000000"/>
                <w:kern w:val="0"/>
                <w:sz w:val="22"/>
                <w:szCs w:val="22"/>
                <w:u w:val="none"/>
                <w:lang w:val="en-US" w:eastAsia="zh-CN" w:bidi="ar"/>
              </w:rPr>
              <w:t>1</w:t>
            </w:r>
          </w:p>
        </w:tc>
        <w:tc>
          <w:tcPr>
            <w:tcW w:w="548"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306" w:type="pct"/>
            <w:shd w:val="clear" w:color="auto" w:fill="auto"/>
            <w:noWrap w:val="0"/>
            <w:vAlign w:val="center"/>
          </w:tcPr>
          <w:p>
            <w:pPr>
              <w:keepNext w:val="0"/>
              <w:keepLines w:val="0"/>
              <w:widowControl/>
              <w:numPr>
                <w:ilvl w:val="0"/>
                <w:numId w:val="5"/>
              </w:numPr>
              <w:suppressLineNumbers w:val="0"/>
              <w:spacing w:line="240" w:lineRule="auto"/>
              <w:ind w:left="425" w:leftChars="0" w:hanging="425" w:firstLineChars="0"/>
              <w:jc w:val="center"/>
              <w:textAlignment w:val="center"/>
              <w:rPr>
                <w:rFonts w:hint="default" w:ascii="宋体" w:hAnsi="宋体" w:eastAsia="宋体" w:cs="宋体"/>
                <w:i w:val="0"/>
                <w:iCs w:val="0"/>
                <w:color w:val="auto"/>
                <w:kern w:val="0"/>
                <w:sz w:val="20"/>
                <w:szCs w:val="20"/>
                <w:highlight w:val="none"/>
                <w:u w:val="none"/>
                <w:lang w:val="en-US" w:eastAsia="zh-CN" w:bidi="ar"/>
              </w:rPr>
            </w:pPr>
          </w:p>
        </w:tc>
        <w:tc>
          <w:tcPr>
            <w:tcW w:w="622" w:type="pct"/>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测温卡片视联融合终端</w:t>
            </w:r>
          </w:p>
        </w:tc>
        <w:tc>
          <w:tcPr>
            <w:tcW w:w="5064" w:type="dxa"/>
            <w:noWrap w:val="0"/>
            <w:vAlign w:val="center"/>
          </w:tcPr>
          <w:p>
            <w:pPr>
              <w:keepNext w:val="0"/>
              <w:keepLines w:val="0"/>
              <w:widowControl/>
              <w:suppressLineNumbers w:val="0"/>
              <w:jc w:val="left"/>
              <w:textAlignment w:val="center"/>
              <w:rPr>
                <w:rFonts w:hint="eastAsia"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详见6.4.8章节</w:t>
            </w:r>
          </w:p>
        </w:tc>
        <w:tc>
          <w:tcPr>
            <w:tcW w:w="429"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518" w:type="pct"/>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cs="宋体"/>
                <w:i w:val="0"/>
                <w:iCs w:val="0"/>
                <w:color w:val="000000"/>
                <w:kern w:val="0"/>
                <w:sz w:val="22"/>
                <w:szCs w:val="22"/>
                <w:u w:val="none"/>
                <w:lang w:val="en-US" w:eastAsia="zh-CN" w:bidi="ar"/>
              </w:rPr>
              <w:t>1</w:t>
            </w:r>
          </w:p>
        </w:tc>
        <w:tc>
          <w:tcPr>
            <w:tcW w:w="548"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306" w:type="pct"/>
            <w:shd w:val="clear" w:color="auto" w:fill="auto"/>
            <w:noWrap w:val="0"/>
            <w:vAlign w:val="center"/>
          </w:tcPr>
          <w:p>
            <w:pPr>
              <w:keepNext w:val="0"/>
              <w:keepLines w:val="0"/>
              <w:widowControl/>
              <w:numPr>
                <w:ilvl w:val="0"/>
                <w:numId w:val="5"/>
              </w:numPr>
              <w:suppressLineNumbers w:val="0"/>
              <w:spacing w:line="240" w:lineRule="auto"/>
              <w:ind w:left="425" w:leftChars="0" w:hanging="425" w:firstLineChars="0"/>
              <w:jc w:val="center"/>
              <w:textAlignment w:val="center"/>
              <w:rPr>
                <w:rFonts w:hint="default" w:ascii="宋体" w:hAnsi="宋体" w:eastAsia="宋体" w:cs="宋体"/>
                <w:i w:val="0"/>
                <w:iCs w:val="0"/>
                <w:color w:val="auto"/>
                <w:kern w:val="0"/>
                <w:sz w:val="20"/>
                <w:szCs w:val="20"/>
                <w:highlight w:val="none"/>
                <w:u w:val="none"/>
                <w:lang w:val="en-US" w:eastAsia="zh-CN" w:bidi="ar"/>
              </w:rPr>
            </w:pPr>
          </w:p>
        </w:tc>
        <w:tc>
          <w:tcPr>
            <w:tcW w:w="622" w:type="pct"/>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全景视联融合终端</w:t>
            </w:r>
          </w:p>
        </w:tc>
        <w:tc>
          <w:tcPr>
            <w:tcW w:w="5064" w:type="dxa"/>
            <w:noWrap w:val="0"/>
            <w:vAlign w:val="center"/>
          </w:tcPr>
          <w:p>
            <w:pPr>
              <w:keepNext w:val="0"/>
              <w:keepLines w:val="0"/>
              <w:widowControl/>
              <w:suppressLineNumbers w:val="0"/>
              <w:jc w:val="left"/>
              <w:textAlignment w:val="center"/>
              <w:rPr>
                <w:rFonts w:hint="eastAsia"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详见6.4.9章节</w:t>
            </w:r>
          </w:p>
        </w:tc>
        <w:tc>
          <w:tcPr>
            <w:tcW w:w="429"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518" w:type="pct"/>
            <w:noWrap w:val="0"/>
            <w:vAlign w:val="center"/>
          </w:tcPr>
          <w:p>
            <w:pPr>
              <w:keepNext w:val="0"/>
              <w:keepLines w:val="0"/>
              <w:widowControl/>
              <w:suppressLineNumbers w:val="0"/>
              <w:jc w:val="center"/>
              <w:textAlignment w:val="center"/>
              <w:rPr>
                <w:rFonts w:hint="eastAsia" w:cs="宋体"/>
                <w:i w:val="0"/>
                <w:iCs w:val="0"/>
                <w:color w:val="000000"/>
                <w:kern w:val="0"/>
                <w:sz w:val="20"/>
                <w:szCs w:val="20"/>
                <w:highlight w:val="none"/>
                <w:u w:val="none"/>
                <w:lang w:val="en-US" w:eastAsia="zh-CN" w:bidi="ar"/>
              </w:rPr>
            </w:pPr>
            <w:r>
              <w:rPr>
                <w:rFonts w:hint="eastAsia" w:cs="宋体"/>
                <w:i w:val="0"/>
                <w:iCs w:val="0"/>
                <w:color w:val="000000"/>
                <w:kern w:val="0"/>
                <w:sz w:val="22"/>
                <w:szCs w:val="22"/>
                <w:u w:val="none"/>
                <w:lang w:val="en-US" w:eastAsia="zh-CN" w:bidi="ar"/>
              </w:rPr>
              <w:t>1</w:t>
            </w:r>
          </w:p>
        </w:tc>
        <w:tc>
          <w:tcPr>
            <w:tcW w:w="548"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r>
    </w:tbl>
    <w:p>
      <w:pPr>
        <w:pStyle w:val="4"/>
        <w:bidi w:val="0"/>
        <w:rPr>
          <w:rFonts w:hint="eastAsia"/>
          <w:color w:val="auto"/>
          <w:sz w:val="24"/>
          <w:szCs w:val="40"/>
          <w:highlight w:val="none"/>
        </w:rPr>
      </w:pPr>
      <w:bookmarkStart w:id="50" w:name="_Toc13099"/>
      <w:r>
        <w:rPr>
          <w:rFonts w:hint="eastAsia"/>
          <w:color w:val="auto"/>
          <w:sz w:val="24"/>
          <w:szCs w:val="40"/>
          <w:highlight w:val="none"/>
        </w:rPr>
        <w:t>应遵循的主要标准</w:t>
      </w:r>
      <w:bookmarkEnd w:id="48"/>
      <w:bookmarkEnd w:id="49"/>
      <w:bookmarkEnd w:id="50"/>
    </w:p>
    <w:p>
      <w:pPr>
        <w:ind w:firstLine="420" w:firstLineChars="200"/>
        <w:rPr>
          <w:rFonts w:hint="eastAsia"/>
          <w:color w:val="auto"/>
          <w:highlight w:val="none"/>
        </w:rPr>
      </w:pPr>
      <w:bookmarkStart w:id="51" w:name="_Toc431377060"/>
      <w:r>
        <w:rPr>
          <w:rFonts w:hint="eastAsia"/>
          <w:color w:val="auto"/>
          <w:highlight w:val="none"/>
        </w:rPr>
        <w:t>除本技术标书特殊规定外，投标方所提供的设备均按规定的标准和规程的最新版本进行设计、制造、试验和安装。如果这些标准内容有矛盾时，应按技术要求最高的条款执行或按双方商定的标准执行。如果投标方选用本技术标书规定以外的标准时，则需提交这种替换标准供审查和分析。仅在投标方已证明替换标准相当或优于技术标书规定的标准，并从招标方处获得书面的认可才能使用。提交供审查的标准应为中文版本。</w:t>
      </w:r>
      <w:bookmarkEnd w:id="51"/>
    </w:p>
    <w:p>
      <w:pPr>
        <w:ind w:firstLine="420" w:firstLineChars="200"/>
        <w:rPr>
          <w:rFonts w:hint="eastAsia"/>
          <w:color w:val="auto"/>
          <w:highlight w:val="none"/>
        </w:rPr>
      </w:pPr>
      <w:bookmarkStart w:id="52" w:name="_Toc431377061"/>
      <w:r>
        <w:rPr>
          <w:rFonts w:hint="eastAsia"/>
          <w:color w:val="auto"/>
          <w:highlight w:val="none"/>
        </w:rPr>
        <w:t>下列文件对于本技术标书的应用是必不可少。凡是注日期的引用文件，仅注日期的版本适用于本技术标书。凡是不注日期的引用文件，其最新版本（包括所有的修改单）适用于本技术标书：</w:t>
      </w:r>
      <w:bookmarkEnd w:id="52"/>
    </w:p>
    <w:tbl>
      <w:tblPr>
        <w:tblStyle w:val="23"/>
        <w:tblW w:w="9847" w:type="dxa"/>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1"/>
        <w:gridCol w:w="7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801" w:type="dxa"/>
            <w:noWrap w:val="0"/>
            <w:vAlign w:val="center"/>
          </w:tcPr>
          <w:p>
            <w:pPr>
              <w:jc w:val="center"/>
              <w:rPr>
                <w:rFonts w:hint="eastAsia" w:cs="宋体"/>
                <w:color w:val="auto"/>
                <w:highlight w:val="none"/>
              </w:rPr>
            </w:pPr>
            <w:r>
              <w:rPr>
                <w:rFonts w:hint="eastAsia" w:cs="宋体"/>
                <w:color w:val="auto"/>
                <w:highlight w:val="none"/>
              </w:rPr>
              <w:t>电监信息[2012]62号</w:t>
            </w:r>
          </w:p>
        </w:tc>
        <w:tc>
          <w:tcPr>
            <w:tcW w:w="7046" w:type="dxa"/>
            <w:noWrap w:val="0"/>
            <w:vAlign w:val="center"/>
          </w:tcPr>
          <w:p>
            <w:pPr>
              <w:jc w:val="both"/>
              <w:rPr>
                <w:rFonts w:hint="eastAsia" w:cs="宋体"/>
                <w:color w:val="auto"/>
                <w:highlight w:val="none"/>
              </w:rPr>
            </w:pPr>
            <w:r>
              <w:rPr>
                <w:rFonts w:hint="eastAsia" w:cs="宋体"/>
                <w:color w:val="auto"/>
                <w:highlight w:val="none"/>
              </w:rPr>
              <w:t>电力行业信息系统安全等级保护基本要求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1" w:type="dxa"/>
            <w:noWrap w:val="0"/>
            <w:vAlign w:val="center"/>
          </w:tcPr>
          <w:p>
            <w:pPr>
              <w:jc w:val="center"/>
              <w:rPr>
                <w:rFonts w:hint="eastAsia" w:cs="宋体"/>
                <w:color w:val="auto"/>
                <w:kern w:val="0"/>
                <w:szCs w:val="21"/>
                <w:highlight w:val="none"/>
              </w:rPr>
            </w:pPr>
            <w:r>
              <w:rPr>
                <w:rFonts w:hint="eastAsia" w:cs="宋体"/>
                <w:color w:val="auto"/>
                <w:kern w:val="0"/>
                <w:szCs w:val="21"/>
                <w:highlight w:val="none"/>
              </w:rPr>
              <w:t>国家发改委[2014]14号令</w:t>
            </w:r>
          </w:p>
        </w:tc>
        <w:tc>
          <w:tcPr>
            <w:tcW w:w="7046" w:type="dxa"/>
            <w:noWrap w:val="0"/>
            <w:vAlign w:val="bottom"/>
          </w:tcPr>
          <w:p>
            <w:pPr>
              <w:jc w:val="both"/>
              <w:rPr>
                <w:rFonts w:hint="eastAsia" w:cs="宋体"/>
                <w:color w:val="auto"/>
                <w:highlight w:val="none"/>
              </w:rPr>
            </w:pPr>
            <w:r>
              <w:rPr>
                <w:rFonts w:hint="eastAsia" w:cs="宋体"/>
                <w:color w:val="auto"/>
                <w:kern w:val="0"/>
                <w:szCs w:val="21"/>
                <w:highlight w:val="none"/>
              </w:rPr>
              <w:t>电力监控系统安全防护规定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1" w:type="dxa"/>
            <w:noWrap w:val="0"/>
            <w:vAlign w:val="center"/>
          </w:tcPr>
          <w:p>
            <w:pPr>
              <w:jc w:val="center"/>
              <w:rPr>
                <w:rFonts w:hint="eastAsia" w:cs="宋体"/>
                <w:color w:val="auto"/>
                <w:kern w:val="0"/>
                <w:szCs w:val="21"/>
                <w:highlight w:val="none"/>
              </w:rPr>
            </w:pPr>
            <w:r>
              <w:rPr>
                <w:rFonts w:hint="eastAsia" w:cs="宋体"/>
                <w:color w:val="auto"/>
                <w:kern w:val="0"/>
                <w:szCs w:val="21"/>
                <w:highlight w:val="none"/>
              </w:rPr>
              <w:t>国能安全[2015]36号</w:t>
            </w:r>
          </w:p>
        </w:tc>
        <w:tc>
          <w:tcPr>
            <w:tcW w:w="7046" w:type="dxa"/>
            <w:noWrap w:val="0"/>
            <w:vAlign w:val="bottom"/>
          </w:tcPr>
          <w:p>
            <w:pPr>
              <w:jc w:val="both"/>
              <w:rPr>
                <w:rFonts w:hint="eastAsia" w:cs="宋体"/>
                <w:color w:val="auto"/>
                <w:highlight w:val="none"/>
              </w:rPr>
            </w:pPr>
            <w:r>
              <w:rPr>
                <w:rFonts w:hint="eastAsia" w:cs="宋体"/>
                <w:color w:val="auto"/>
                <w:kern w:val="0"/>
                <w:szCs w:val="21"/>
                <w:highlight w:val="none"/>
              </w:rPr>
              <w:t>电力监控系统安全防护总体方案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1" w:type="dxa"/>
            <w:noWrap w:val="0"/>
            <w:vAlign w:val="center"/>
          </w:tcPr>
          <w:p>
            <w:pPr>
              <w:jc w:val="center"/>
              <w:rPr>
                <w:rFonts w:hint="eastAsia" w:cs="宋体"/>
                <w:color w:val="auto"/>
                <w:highlight w:val="none"/>
              </w:rPr>
            </w:pPr>
            <w:r>
              <w:rPr>
                <w:rFonts w:hint="eastAsia" w:cs="宋体"/>
                <w:color w:val="auto"/>
                <w:kern w:val="0"/>
                <w:szCs w:val="21"/>
                <w:highlight w:val="none"/>
              </w:rPr>
              <w:t>GB/T22239—2019</w:t>
            </w:r>
          </w:p>
        </w:tc>
        <w:tc>
          <w:tcPr>
            <w:tcW w:w="7046" w:type="dxa"/>
            <w:noWrap w:val="0"/>
            <w:vAlign w:val="bottom"/>
          </w:tcPr>
          <w:p>
            <w:pPr>
              <w:jc w:val="both"/>
              <w:rPr>
                <w:rFonts w:hint="eastAsia" w:cs="宋体"/>
                <w:color w:val="auto"/>
                <w:highlight w:val="none"/>
              </w:rPr>
            </w:pPr>
            <w:r>
              <w:rPr>
                <w:rFonts w:hint="eastAsia" w:cs="宋体"/>
                <w:color w:val="auto"/>
                <w:kern w:val="0"/>
                <w:szCs w:val="21"/>
                <w:highlight w:val="none"/>
              </w:rPr>
              <w:t>信息安全技术网络安全等级保护基本要求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1" w:type="dxa"/>
            <w:noWrap w:val="0"/>
            <w:vAlign w:val="center"/>
          </w:tcPr>
          <w:p>
            <w:pPr>
              <w:jc w:val="center"/>
              <w:rPr>
                <w:rFonts w:hint="eastAsia" w:cs="宋体"/>
                <w:color w:val="auto"/>
                <w:highlight w:val="none"/>
              </w:rPr>
            </w:pPr>
            <w:r>
              <w:rPr>
                <w:rFonts w:hint="eastAsia" w:cs="宋体"/>
                <w:color w:val="auto"/>
                <w:kern w:val="0"/>
                <w:szCs w:val="21"/>
                <w:highlight w:val="none"/>
              </w:rPr>
              <w:t>GB/T28181—2016</w:t>
            </w:r>
          </w:p>
        </w:tc>
        <w:tc>
          <w:tcPr>
            <w:tcW w:w="7046" w:type="dxa"/>
            <w:noWrap w:val="0"/>
            <w:vAlign w:val="bottom"/>
          </w:tcPr>
          <w:p>
            <w:pPr>
              <w:jc w:val="both"/>
              <w:rPr>
                <w:rFonts w:hint="eastAsia" w:cs="宋体"/>
                <w:color w:val="auto"/>
                <w:highlight w:val="none"/>
              </w:rPr>
            </w:pPr>
            <w:r>
              <w:rPr>
                <w:rFonts w:hint="eastAsia" w:cs="宋体"/>
                <w:color w:val="auto"/>
                <w:kern w:val="0"/>
                <w:szCs w:val="21"/>
                <w:highlight w:val="none"/>
              </w:rPr>
              <w:t>公共安全视频监控联网系统信息传输、交换、控制技术要求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1" w:type="dxa"/>
            <w:noWrap w:val="0"/>
            <w:vAlign w:val="center"/>
          </w:tcPr>
          <w:p>
            <w:pPr>
              <w:jc w:val="center"/>
              <w:rPr>
                <w:rFonts w:hint="eastAsia" w:cs="宋体"/>
                <w:color w:val="auto"/>
                <w:highlight w:val="none"/>
              </w:rPr>
            </w:pPr>
            <w:r>
              <w:rPr>
                <w:rFonts w:hint="eastAsia" w:cs="宋体"/>
                <w:color w:val="auto"/>
                <w:kern w:val="0"/>
                <w:szCs w:val="21"/>
                <w:highlight w:val="none"/>
              </w:rPr>
              <w:t>GB/T33745—2017</w:t>
            </w:r>
          </w:p>
        </w:tc>
        <w:tc>
          <w:tcPr>
            <w:tcW w:w="7046" w:type="dxa"/>
            <w:noWrap w:val="0"/>
            <w:vAlign w:val="bottom"/>
          </w:tcPr>
          <w:p>
            <w:pPr>
              <w:jc w:val="both"/>
              <w:rPr>
                <w:rFonts w:hint="eastAsia" w:cs="宋体"/>
                <w:color w:val="auto"/>
                <w:highlight w:val="none"/>
              </w:rPr>
            </w:pPr>
            <w:r>
              <w:rPr>
                <w:rFonts w:hint="eastAsia" w:cs="宋体"/>
                <w:color w:val="auto"/>
                <w:kern w:val="0"/>
                <w:szCs w:val="21"/>
                <w:highlight w:val="none"/>
              </w:rPr>
              <w:t>物联网术语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1" w:type="dxa"/>
            <w:noWrap w:val="0"/>
            <w:vAlign w:val="center"/>
          </w:tcPr>
          <w:p>
            <w:pPr>
              <w:jc w:val="center"/>
              <w:rPr>
                <w:rFonts w:hint="eastAsia" w:cs="宋体"/>
                <w:color w:val="auto"/>
                <w:highlight w:val="none"/>
              </w:rPr>
            </w:pPr>
            <w:r>
              <w:rPr>
                <w:rFonts w:hint="eastAsia" w:cs="宋体"/>
                <w:color w:val="auto"/>
                <w:kern w:val="0"/>
                <w:szCs w:val="21"/>
                <w:highlight w:val="none"/>
              </w:rPr>
              <w:t>GB/T35319—2017</w:t>
            </w:r>
          </w:p>
        </w:tc>
        <w:tc>
          <w:tcPr>
            <w:tcW w:w="7046" w:type="dxa"/>
            <w:noWrap w:val="0"/>
            <w:vAlign w:val="bottom"/>
          </w:tcPr>
          <w:p>
            <w:pPr>
              <w:jc w:val="both"/>
              <w:rPr>
                <w:rFonts w:hint="eastAsia" w:cs="宋体"/>
                <w:color w:val="auto"/>
                <w:highlight w:val="none"/>
              </w:rPr>
            </w:pPr>
            <w:r>
              <w:rPr>
                <w:rFonts w:hint="eastAsia" w:cs="宋体"/>
                <w:color w:val="auto"/>
                <w:kern w:val="0"/>
                <w:szCs w:val="21"/>
                <w:highlight w:val="none"/>
              </w:rPr>
              <w:t>物联网系统接口要求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1" w:type="dxa"/>
            <w:noWrap w:val="0"/>
            <w:vAlign w:val="center"/>
          </w:tcPr>
          <w:p>
            <w:pPr>
              <w:jc w:val="center"/>
              <w:rPr>
                <w:rFonts w:hint="eastAsia" w:cs="宋体"/>
                <w:color w:val="auto"/>
                <w:highlight w:val="none"/>
              </w:rPr>
            </w:pPr>
            <w:r>
              <w:rPr>
                <w:rFonts w:hint="eastAsia" w:cs="宋体"/>
                <w:color w:val="auto"/>
                <w:kern w:val="0"/>
                <w:szCs w:val="21"/>
                <w:highlight w:val="none"/>
              </w:rPr>
              <w:t>GB/T36478.1—2018</w:t>
            </w:r>
          </w:p>
        </w:tc>
        <w:tc>
          <w:tcPr>
            <w:tcW w:w="7046" w:type="dxa"/>
            <w:noWrap w:val="0"/>
            <w:vAlign w:val="bottom"/>
          </w:tcPr>
          <w:p>
            <w:pPr>
              <w:jc w:val="both"/>
              <w:rPr>
                <w:rFonts w:hint="eastAsia" w:cs="宋体"/>
                <w:color w:val="auto"/>
                <w:highlight w:val="none"/>
              </w:rPr>
            </w:pPr>
            <w:r>
              <w:rPr>
                <w:rFonts w:hint="eastAsia" w:cs="宋体"/>
                <w:color w:val="auto"/>
                <w:kern w:val="0"/>
                <w:szCs w:val="21"/>
                <w:highlight w:val="none"/>
              </w:rPr>
              <w:t>物联网信息交换和共享第1部分：总体架构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2801" w:type="dxa"/>
            <w:noWrap w:val="0"/>
            <w:vAlign w:val="center"/>
          </w:tcPr>
          <w:p>
            <w:pPr>
              <w:jc w:val="center"/>
              <w:rPr>
                <w:rFonts w:hint="eastAsia" w:cs="宋体"/>
                <w:color w:val="auto"/>
                <w:highlight w:val="none"/>
              </w:rPr>
            </w:pPr>
            <w:r>
              <w:rPr>
                <w:rFonts w:hint="eastAsia" w:cs="宋体"/>
                <w:color w:val="auto"/>
                <w:kern w:val="0"/>
                <w:szCs w:val="21"/>
                <w:highlight w:val="none"/>
              </w:rPr>
              <w:t>GB/T36478.2—2018</w:t>
            </w:r>
          </w:p>
        </w:tc>
        <w:tc>
          <w:tcPr>
            <w:tcW w:w="7046" w:type="dxa"/>
            <w:noWrap w:val="0"/>
            <w:vAlign w:val="bottom"/>
          </w:tcPr>
          <w:p>
            <w:pPr>
              <w:jc w:val="both"/>
              <w:rPr>
                <w:rFonts w:hint="eastAsia" w:cs="宋体"/>
                <w:color w:val="auto"/>
                <w:highlight w:val="none"/>
              </w:rPr>
            </w:pPr>
            <w:r>
              <w:rPr>
                <w:rFonts w:hint="eastAsia" w:cs="宋体"/>
                <w:color w:val="auto"/>
                <w:kern w:val="0"/>
                <w:szCs w:val="21"/>
                <w:highlight w:val="none"/>
              </w:rPr>
              <w:t>物联网信息交换和共享第2部分：通用技术要求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1" w:type="dxa"/>
            <w:noWrap w:val="0"/>
            <w:vAlign w:val="center"/>
          </w:tcPr>
          <w:p>
            <w:pPr>
              <w:jc w:val="center"/>
              <w:rPr>
                <w:rFonts w:hint="eastAsia" w:cs="宋体"/>
                <w:color w:val="auto"/>
                <w:highlight w:val="none"/>
              </w:rPr>
            </w:pPr>
            <w:r>
              <w:rPr>
                <w:rFonts w:hint="eastAsia" w:cs="宋体"/>
                <w:color w:val="auto"/>
                <w:highlight w:val="none"/>
              </w:rPr>
              <w:t>GB50348-2004</w:t>
            </w:r>
          </w:p>
        </w:tc>
        <w:tc>
          <w:tcPr>
            <w:tcW w:w="7046" w:type="dxa"/>
            <w:noWrap w:val="0"/>
            <w:vAlign w:val="bottom"/>
          </w:tcPr>
          <w:p>
            <w:pPr>
              <w:jc w:val="both"/>
              <w:rPr>
                <w:rFonts w:hint="eastAsia" w:cs="宋体"/>
                <w:color w:val="auto"/>
                <w:highlight w:val="none"/>
              </w:rPr>
            </w:pPr>
            <w:r>
              <w:rPr>
                <w:rFonts w:hint="eastAsia" w:cs="宋体"/>
                <w:color w:val="auto"/>
                <w:highlight w:val="none"/>
              </w:rPr>
              <w:t>安全防范工程技术规范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1" w:type="dxa"/>
            <w:noWrap w:val="0"/>
            <w:vAlign w:val="center"/>
          </w:tcPr>
          <w:p>
            <w:pPr>
              <w:jc w:val="center"/>
              <w:rPr>
                <w:rFonts w:hint="eastAsia" w:eastAsia="宋体" w:cs="宋体"/>
                <w:color w:val="auto"/>
                <w:kern w:val="0"/>
                <w:szCs w:val="21"/>
                <w:highlight w:val="none"/>
                <w:lang w:eastAsia="zh-CN"/>
              </w:rPr>
            </w:pPr>
            <w:r>
              <w:rPr>
                <w:rFonts w:hint="eastAsia" w:cs="宋体"/>
                <w:color w:val="auto"/>
                <w:szCs w:val="21"/>
                <w:highlight w:val="none"/>
              </w:rPr>
              <w:t>Q_CSG1210050-2020</w:t>
            </w:r>
          </w:p>
        </w:tc>
        <w:tc>
          <w:tcPr>
            <w:tcW w:w="7046" w:type="dxa"/>
            <w:noWrap w:val="0"/>
            <w:vAlign w:val="center"/>
          </w:tcPr>
          <w:p>
            <w:pPr>
              <w:jc w:val="both"/>
              <w:rPr>
                <w:rFonts w:hint="eastAsia" w:cs="宋体"/>
                <w:color w:val="auto"/>
                <w:kern w:val="0"/>
                <w:szCs w:val="21"/>
                <w:highlight w:val="none"/>
              </w:rPr>
            </w:pPr>
            <w:r>
              <w:rPr>
                <w:rFonts w:hint="eastAsia" w:cs="宋体"/>
                <w:color w:val="auto"/>
                <w:kern w:val="44"/>
                <w:szCs w:val="21"/>
                <w:highlight w:val="none"/>
              </w:rPr>
              <w:t>南方电网电力全域物联网平台接入技术规范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2801" w:type="dxa"/>
            <w:noWrap w:val="0"/>
            <w:vAlign w:val="center"/>
          </w:tcPr>
          <w:p>
            <w:pPr>
              <w:jc w:val="center"/>
              <w:rPr>
                <w:rFonts w:hint="eastAsia" w:cs="宋体"/>
                <w:color w:val="auto"/>
                <w:highlight w:val="none"/>
              </w:rPr>
            </w:pPr>
            <w:r>
              <w:rPr>
                <w:rFonts w:hint="eastAsia" w:cs="宋体"/>
                <w:color w:val="auto"/>
                <w:highlight w:val="none"/>
              </w:rPr>
              <w:t>Q/CSG1204009-2015</w:t>
            </w:r>
          </w:p>
        </w:tc>
        <w:tc>
          <w:tcPr>
            <w:tcW w:w="7046" w:type="dxa"/>
            <w:noWrap w:val="0"/>
            <w:vAlign w:val="bottom"/>
          </w:tcPr>
          <w:p>
            <w:pPr>
              <w:jc w:val="both"/>
              <w:rPr>
                <w:rFonts w:hint="eastAsia" w:cs="宋体"/>
                <w:color w:val="auto"/>
                <w:highlight w:val="none"/>
              </w:rPr>
            </w:pPr>
            <w:r>
              <w:rPr>
                <w:rFonts w:hint="eastAsia" w:cs="宋体"/>
                <w:color w:val="auto"/>
                <w:highlight w:val="none"/>
              </w:rPr>
              <w:t>中国南方电网电力监控系统安全防护技术规范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1" w:type="dxa"/>
            <w:noWrap w:val="0"/>
            <w:vAlign w:val="center"/>
          </w:tcPr>
          <w:p>
            <w:pPr>
              <w:jc w:val="center"/>
              <w:rPr>
                <w:rFonts w:hint="eastAsia" w:eastAsia="宋体" w:cs="宋体"/>
                <w:color w:val="auto"/>
                <w:highlight w:val="none"/>
                <w:lang w:val="en-US" w:eastAsia="zh-CN"/>
              </w:rPr>
            </w:pPr>
            <w:r>
              <w:rPr>
                <w:rFonts w:hint="eastAsia" w:cs="宋体"/>
                <w:color w:val="auto"/>
                <w:highlight w:val="none"/>
                <w:lang w:val="en-US" w:eastAsia="zh-CN"/>
              </w:rPr>
              <w:t>/</w:t>
            </w:r>
          </w:p>
        </w:tc>
        <w:tc>
          <w:tcPr>
            <w:tcW w:w="7046" w:type="dxa"/>
            <w:noWrap w:val="0"/>
            <w:vAlign w:val="center"/>
          </w:tcPr>
          <w:p>
            <w:pPr>
              <w:spacing w:line="240" w:lineRule="auto"/>
              <w:jc w:val="both"/>
              <w:rPr>
                <w:rFonts w:hint="eastAsia" w:cs="宋体"/>
                <w:color w:val="auto"/>
                <w:kern w:val="44"/>
                <w:szCs w:val="21"/>
                <w:highlight w:val="none"/>
              </w:rPr>
            </w:pPr>
            <w:r>
              <w:rPr>
                <w:rFonts w:hint="eastAsia" w:cs="宋体"/>
                <w:color w:val="auto"/>
                <w:kern w:val="44"/>
                <w:szCs w:val="21"/>
                <w:highlight w:val="none"/>
                <w:lang w:eastAsia="zh-Hans"/>
              </w:rPr>
              <w:t>数字变电站典型配置要求（试行）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1" w:type="dxa"/>
            <w:noWrap w:val="0"/>
            <w:vAlign w:val="bottom"/>
          </w:tcPr>
          <w:p>
            <w:pPr>
              <w:jc w:val="center"/>
              <w:rPr>
                <w:rFonts w:hint="eastAsia" w:cs="宋体"/>
                <w:color w:val="auto"/>
                <w:highlight w:val="none"/>
              </w:rPr>
            </w:pPr>
            <w:r>
              <w:rPr>
                <w:rFonts w:hint="eastAsia" w:cs="宋体"/>
                <w:color w:val="auto"/>
                <w:highlight w:val="none"/>
                <w:lang w:val="en-US" w:eastAsia="zh-CN"/>
              </w:rPr>
              <w:t>/</w:t>
            </w:r>
          </w:p>
        </w:tc>
        <w:tc>
          <w:tcPr>
            <w:tcW w:w="7046" w:type="dxa"/>
            <w:noWrap w:val="0"/>
            <w:vAlign w:val="bottom"/>
          </w:tcPr>
          <w:p>
            <w:pPr>
              <w:spacing w:line="240" w:lineRule="auto"/>
              <w:jc w:val="both"/>
              <w:rPr>
                <w:rFonts w:hint="eastAsia" w:cs="宋体"/>
                <w:color w:val="auto"/>
                <w:kern w:val="44"/>
                <w:szCs w:val="21"/>
                <w:highlight w:val="none"/>
              </w:rPr>
            </w:pPr>
            <w:r>
              <w:rPr>
                <w:rFonts w:hint="eastAsia" w:cs="宋体"/>
                <w:color w:val="auto"/>
                <w:kern w:val="44"/>
                <w:szCs w:val="21"/>
                <w:highlight w:val="none"/>
                <w:lang w:eastAsia="zh-Hans"/>
              </w:rPr>
              <w:t>数字变电站装备技术要求（一次部分）（试行）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1" w:type="dxa"/>
            <w:noWrap w:val="0"/>
            <w:vAlign w:val="bottom"/>
          </w:tcPr>
          <w:p>
            <w:pPr>
              <w:jc w:val="center"/>
              <w:rPr>
                <w:rFonts w:hint="eastAsia" w:cs="宋体"/>
                <w:color w:val="auto"/>
                <w:highlight w:val="none"/>
              </w:rPr>
            </w:pPr>
            <w:r>
              <w:rPr>
                <w:rFonts w:hint="eastAsia" w:cs="宋体"/>
                <w:color w:val="auto"/>
                <w:highlight w:val="none"/>
                <w:lang w:val="en-US" w:eastAsia="zh-CN"/>
              </w:rPr>
              <w:t>/</w:t>
            </w:r>
          </w:p>
        </w:tc>
        <w:tc>
          <w:tcPr>
            <w:tcW w:w="7046" w:type="dxa"/>
            <w:noWrap w:val="0"/>
            <w:vAlign w:val="bottom"/>
          </w:tcPr>
          <w:p>
            <w:pPr>
              <w:spacing w:line="240" w:lineRule="auto"/>
              <w:jc w:val="both"/>
              <w:rPr>
                <w:rFonts w:hint="eastAsia" w:cs="宋体"/>
                <w:color w:val="auto"/>
                <w:kern w:val="44"/>
                <w:szCs w:val="21"/>
                <w:highlight w:val="none"/>
              </w:rPr>
            </w:pPr>
            <w:r>
              <w:rPr>
                <w:rFonts w:hint="eastAsia" w:cs="宋体"/>
                <w:color w:val="auto"/>
                <w:kern w:val="44"/>
                <w:szCs w:val="21"/>
                <w:highlight w:val="none"/>
              </w:rPr>
              <w:t>数字变电站装备技术导则（二次部分）（试行）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1" w:type="dxa"/>
            <w:noWrap w:val="0"/>
            <w:vAlign w:val="center"/>
          </w:tcPr>
          <w:p>
            <w:pPr>
              <w:jc w:val="center"/>
              <w:rPr>
                <w:rFonts w:hint="eastAsia" w:cs="宋体"/>
                <w:color w:val="auto"/>
                <w:highlight w:val="none"/>
              </w:rPr>
            </w:pPr>
            <w:r>
              <w:rPr>
                <w:rFonts w:hint="eastAsia" w:cs="宋体"/>
                <w:color w:val="auto"/>
                <w:highlight w:val="none"/>
                <w:lang w:val="en-US" w:eastAsia="zh-CN"/>
              </w:rPr>
              <w:t>/</w:t>
            </w:r>
          </w:p>
        </w:tc>
        <w:tc>
          <w:tcPr>
            <w:tcW w:w="7046" w:type="dxa"/>
            <w:noWrap w:val="0"/>
            <w:vAlign w:val="center"/>
          </w:tcPr>
          <w:p>
            <w:pPr>
              <w:spacing w:line="240" w:lineRule="auto"/>
              <w:jc w:val="both"/>
              <w:rPr>
                <w:rFonts w:hint="eastAsia" w:cs="宋体"/>
                <w:color w:val="auto"/>
                <w:kern w:val="44"/>
                <w:szCs w:val="21"/>
                <w:highlight w:val="none"/>
              </w:rPr>
            </w:pPr>
            <w:r>
              <w:rPr>
                <w:rFonts w:hint="eastAsia" w:cs="宋体"/>
                <w:color w:val="auto"/>
                <w:kern w:val="44"/>
                <w:szCs w:val="21"/>
                <w:highlight w:val="none"/>
                <w:lang w:eastAsia="zh-Hans"/>
              </w:rPr>
              <w:t>南方电网</w:t>
            </w:r>
            <w:r>
              <w:rPr>
                <w:rFonts w:hint="eastAsia" w:cs="宋体"/>
                <w:color w:val="auto"/>
                <w:kern w:val="44"/>
                <w:szCs w:val="21"/>
                <w:highlight w:val="none"/>
              </w:rPr>
              <w:t>公司生产运行支持系统建设工作方案（2022年版）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1" w:type="dxa"/>
            <w:noWrap w:val="0"/>
            <w:vAlign w:val="bottom"/>
          </w:tcPr>
          <w:p>
            <w:pPr>
              <w:jc w:val="center"/>
              <w:rPr>
                <w:rFonts w:hint="eastAsia" w:cs="宋体"/>
                <w:color w:val="auto"/>
                <w:highlight w:val="none"/>
              </w:rPr>
            </w:pPr>
            <w:r>
              <w:rPr>
                <w:rFonts w:hint="eastAsia" w:cs="宋体"/>
                <w:color w:val="auto"/>
                <w:highlight w:val="none"/>
                <w:lang w:val="en-US" w:eastAsia="zh-CN"/>
              </w:rPr>
              <w:t>/</w:t>
            </w:r>
          </w:p>
        </w:tc>
        <w:tc>
          <w:tcPr>
            <w:tcW w:w="7046" w:type="dxa"/>
            <w:noWrap w:val="0"/>
            <w:vAlign w:val="bottom"/>
          </w:tcPr>
          <w:p>
            <w:pPr>
              <w:spacing w:line="240" w:lineRule="auto"/>
              <w:jc w:val="both"/>
              <w:rPr>
                <w:rFonts w:hint="eastAsia" w:cs="宋体"/>
                <w:color w:val="auto"/>
                <w:kern w:val="44"/>
                <w:szCs w:val="21"/>
                <w:highlight w:val="none"/>
              </w:rPr>
            </w:pPr>
            <w:r>
              <w:rPr>
                <w:rFonts w:hint="eastAsia" w:cs="宋体"/>
                <w:color w:val="auto"/>
                <w:kern w:val="44"/>
                <w:szCs w:val="21"/>
                <w:highlight w:val="none"/>
                <w:lang w:eastAsia="zh-Hans"/>
              </w:rPr>
              <w:t>南方电网</w:t>
            </w:r>
            <w:r>
              <w:rPr>
                <w:rFonts w:hint="eastAsia" w:cs="宋体"/>
                <w:color w:val="auto"/>
                <w:kern w:val="44"/>
                <w:szCs w:val="21"/>
                <w:highlight w:val="none"/>
              </w:rPr>
              <w:t>公司</w:t>
            </w:r>
            <w:r>
              <w:rPr>
                <w:rFonts w:hint="eastAsia" w:cs="宋体"/>
                <w:color w:val="auto"/>
                <w:kern w:val="44"/>
                <w:szCs w:val="21"/>
                <w:highlight w:val="none"/>
                <w:lang w:eastAsia="zh-Hans"/>
              </w:rPr>
              <w:t>生产运行支持系统（变电）总体架构</w:t>
            </w:r>
            <w:r>
              <w:rPr>
                <w:rFonts w:hint="eastAsia" w:cs="宋体"/>
                <w:color w:val="auto"/>
                <w:kern w:val="44"/>
                <w:szCs w:val="21"/>
                <w:highlight w:val="none"/>
              </w:rPr>
              <w:t>技术要求（试行）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2801" w:type="dxa"/>
            <w:noWrap w:val="0"/>
            <w:vAlign w:val="bottom"/>
          </w:tcPr>
          <w:p>
            <w:pPr>
              <w:jc w:val="center"/>
              <w:rPr>
                <w:rFonts w:hint="eastAsia" w:cs="宋体"/>
                <w:color w:val="auto"/>
                <w:highlight w:val="none"/>
              </w:rPr>
            </w:pPr>
            <w:r>
              <w:rPr>
                <w:rFonts w:hint="eastAsia" w:cs="宋体"/>
                <w:color w:val="auto"/>
                <w:highlight w:val="none"/>
                <w:lang w:val="en-US" w:eastAsia="zh-CN"/>
              </w:rPr>
              <w:t>/</w:t>
            </w:r>
          </w:p>
        </w:tc>
        <w:tc>
          <w:tcPr>
            <w:tcW w:w="7046" w:type="dxa"/>
            <w:noWrap w:val="0"/>
            <w:vAlign w:val="bottom"/>
          </w:tcPr>
          <w:p>
            <w:pPr>
              <w:spacing w:line="240" w:lineRule="auto"/>
              <w:jc w:val="both"/>
              <w:rPr>
                <w:rFonts w:hint="eastAsia" w:cs="宋体"/>
                <w:color w:val="auto"/>
                <w:kern w:val="44"/>
                <w:szCs w:val="21"/>
                <w:highlight w:val="none"/>
              </w:rPr>
            </w:pPr>
            <w:r>
              <w:rPr>
                <w:rFonts w:hint="eastAsia" w:cs="宋体"/>
                <w:color w:val="auto"/>
                <w:kern w:val="44"/>
                <w:szCs w:val="21"/>
                <w:highlight w:val="none"/>
                <w:lang w:eastAsia="zh-Hans"/>
              </w:rPr>
              <w:t>南方电网</w:t>
            </w:r>
            <w:r>
              <w:rPr>
                <w:rFonts w:hint="eastAsia" w:cs="宋体"/>
                <w:color w:val="auto"/>
                <w:kern w:val="44"/>
                <w:szCs w:val="21"/>
                <w:highlight w:val="none"/>
              </w:rPr>
              <w:t>公司</w:t>
            </w:r>
            <w:r>
              <w:rPr>
                <w:rFonts w:hint="eastAsia" w:cs="宋体"/>
                <w:color w:val="auto"/>
                <w:kern w:val="44"/>
                <w:szCs w:val="21"/>
                <w:highlight w:val="none"/>
                <w:lang w:eastAsia="zh-Hans"/>
              </w:rPr>
              <w:t>生产运行支持系统（变电）厂站</w:t>
            </w:r>
            <w:r>
              <w:rPr>
                <w:rFonts w:hint="eastAsia" w:cs="宋体"/>
                <w:color w:val="auto"/>
                <w:kern w:val="44"/>
                <w:szCs w:val="21"/>
                <w:highlight w:val="none"/>
              </w:rPr>
              <w:t>侧系统</w:t>
            </w:r>
            <w:r>
              <w:rPr>
                <w:rFonts w:hint="eastAsia" w:cs="宋体"/>
                <w:color w:val="auto"/>
                <w:kern w:val="44"/>
                <w:szCs w:val="21"/>
                <w:highlight w:val="none"/>
                <w:lang w:eastAsia="zh-Hans"/>
              </w:rPr>
              <w:t>架构</w:t>
            </w:r>
            <w:r>
              <w:rPr>
                <w:rFonts w:hint="eastAsia" w:cs="宋体"/>
                <w:color w:val="auto"/>
                <w:kern w:val="44"/>
                <w:szCs w:val="21"/>
                <w:highlight w:val="none"/>
              </w:rPr>
              <w:t>技术要求（试行）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1" w:type="dxa"/>
            <w:noWrap w:val="0"/>
            <w:vAlign w:val="center"/>
          </w:tcPr>
          <w:p>
            <w:pPr>
              <w:jc w:val="center"/>
              <w:rPr>
                <w:rFonts w:hint="eastAsia" w:cs="宋体"/>
                <w:color w:val="auto"/>
                <w:kern w:val="0"/>
                <w:szCs w:val="21"/>
                <w:highlight w:val="none"/>
              </w:rPr>
            </w:pPr>
            <w:r>
              <w:rPr>
                <w:rFonts w:hint="eastAsia" w:cs="宋体"/>
                <w:color w:val="auto"/>
                <w:highlight w:val="none"/>
                <w:lang w:val="en-US" w:eastAsia="zh-CN"/>
              </w:rPr>
              <w:t>/</w:t>
            </w:r>
          </w:p>
        </w:tc>
        <w:tc>
          <w:tcPr>
            <w:tcW w:w="7046" w:type="dxa"/>
            <w:noWrap w:val="0"/>
            <w:vAlign w:val="center"/>
          </w:tcPr>
          <w:p>
            <w:pPr>
              <w:spacing w:line="240" w:lineRule="auto"/>
              <w:jc w:val="both"/>
              <w:rPr>
                <w:rFonts w:hint="eastAsia" w:cs="宋体"/>
                <w:color w:val="auto"/>
                <w:kern w:val="44"/>
                <w:szCs w:val="21"/>
                <w:highlight w:val="none"/>
              </w:rPr>
            </w:pPr>
            <w:r>
              <w:rPr>
                <w:rFonts w:hint="eastAsia" w:cs="宋体"/>
                <w:color w:val="auto"/>
                <w:kern w:val="44"/>
                <w:szCs w:val="21"/>
                <w:highlight w:val="none"/>
                <w:lang w:eastAsia="zh-Hans"/>
              </w:rPr>
              <w:t>南方电网</w:t>
            </w:r>
            <w:r>
              <w:rPr>
                <w:rFonts w:hint="eastAsia" w:cs="宋体"/>
                <w:color w:val="auto"/>
                <w:kern w:val="44"/>
                <w:szCs w:val="21"/>
                <w:highlight w:val="none"/>
              </w:rPr>
              <w:t>推进数字电网统一物联标准化工作方案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2801" w:type="dxa"/>
            <w:noWrap w:val="0"/>
            <w:vAlign w:val="center"/>
          </w:tcPr>
          <w:p>
            <w:pPr>
              <w:jc w:val="center"/>
              <w:rPr>
                <w:rFonts w:hint="eastAsia" w:cs="宋体"/>
                <w:color w:val="auto"/>
                <w:kern w:val="0"/>
                <w:szCs w:val="21"/>
                <w:highlight w:val="none"/>
              </w:rPr>
            </w:pPr>
            <w:r>
              <w:rPr>
                <w:rFonts w:hint="eastAsia" w:cs="宋体"/>
                <w:color w:val="auto"/>
                <w:highlight w:val="none"/>
                <w:lang w:val="en-US" w:eastAsia="zh-CN"/>
              </w:rPr>
              <w:t>/</w:t>
            </w:r>
          </w:p>
        </w:tc>
        <w:tc>
          <w:tcPr>
            <w:tcW w:w="7046" w:type="dxa"/>
            <w:noWrap w:val="0"/>
            <w:vAlign w:val="center"/>
          </w:tcPr>
          <w:p>
            <w:pPr>
              <w:pStyle w:val="2"/>
              <w:spacing w:line="240" w:lineRule="auto"/>
              <w:jc w:val="both"/>
              <w:rPr>
                <w:color w:val="auto"/>
                <w:highlight w:val="none"/>
              </w:rPr>
            </w:pPr>
            <w:r>
              <w:rPr>
                <w:rFonts w:hint="eastAsia"/>
                <w:color w:val="auto"/>
                <w:highlight w:val="none"/>
              </w:rPr>
              <w:t>南方电网公司“十四五”安全生产规划</w:t>
            </w:r>
          </w:p>
          <w:p>
            <w:pPr>
              <w:pStyle w:val="2"/>
              <w:spacing w:line="240" w:lineRule="auto"/>
              <w:jc w:val="both"/>
              <w:rPr>
                <w:rFonts w:hint="eastAsia"/>
                <w:color w:val="auto"/>
                <w:highlight w:val="none"/>
              </w:rPr>
            </w:pPr>
            <w:r>
              <w:rPr>
                <w:rFonts w:hint="eastAsia"/>
                <w:color w:val="auto"/>
                <w:highlight w:val="none"/>
              </w:rPr>
              <w:t>南方电网公司数字生产“十四五”专项规划</w:t>
            </w:r>
          </w:p>
        </w:tc>
      </w:tr>
    </w:tbl>
    <w:p>
      <w:pPr>
        <w:pStyle w:val="4"/>
        <w:bidi w:val="0"/>
        <w:rPr>
          <w:rFonts w:hint="eastAsia"/>
          <w:color w:val="auto"/>
          <w:sz w:val="24"/>
          <w:szCs w:val="40"/>
          <w:highlight w:val="none"/>
        </w:rPr>
      </w:pPr>
      <w:bookmarkStart w:id="53" w:name="_Toc427826502"/>
      <w:bookmarkStart w:id="54" w:name="_Toc26263"/>
      <w:r>
        <w:rPr>
          <w:rFonts w:hint="eastAsia"/>
          <w:color w:val="auto"/>
          <w:sz w:val="24"/>
          <w:szCs w:val="40"/>
          <w:highlight w:val="none"/>
        </w:rPr>
        <w:t>使用条件</w:t>
      </w:r>
      <w:bookmarkEnd w:id="53"/>
      <w:bookmarkEnd w:id="54"/>
    </w:p>
    <w:p>
      <w:pPr>
        <w:pStyle w:val="5"/>
        <w:bidi w:val="0"/>
        <w:rPr>
          <w:rFonts w:hint="eastAsia"/>
          <w:color w:val="auto"/>
          <w:sz w:val="24"/>
          <w:szCs w:val="28"/>
          <w:highlight w:val="none"/>
        </w:rPr>
      </w:pPr>
      <w:bookmarkStart w:id="55" w:name="_Toc3035"/>
      <w:r>
        <w:rPr>
          <w:rFonts w:hint="eastAsia"/>
          <w:color w:val="auto"/>
          <w:sz w:val="24"/>
          <w:szCs w:val="28"/>
          <w:highlight w:val="none"/>
        </w:rPr>
        <w:t>工作条件</w:t>
      </w:r>
      <w:bookmarkEnd w:id="55"/>
    </w:p>
    <w:p>
      <w:pPr>
        <w:pStyle w:val="58"/>
        <w:spacing w:line="360" w:lineRule="auto"/>
        <w:ind w:firstLine="480"/>
        <w:rPr>
          <w:rFonts w:hint="eastAsia" w:ascii="宋体" w:hAnsi="宋体"/>
          <w:color w:val="auto"/>
          <w:highlight w:val="none"/>
        </w:rPr>
      </w:pPr>
      <w:bookmarkStart w:id="56" w:name="_Toc431377067"/>
      <w:bookmarkStart w:id="57" w:name="_Toc427826503"/>
      <w:r>
        <w:rPr>
          <w:rFonts w:hint="eastAsia" w:ascii="宋体" w:hAnsi="宋体"/>
          <w:color w:val="auto"/>
          <w:highlight w:val="none"/>
        </w:rPr>
        <w:t>a)环境温度</w:t>
      </w:r>
    </w:p>
    <w:p>
      <w:pPr>
        <w:pStyle w:val="58"/>
        <w:spacing w:line="360" w:lineRule="auto"/>
        <w:ind w:firstLine="480"/>
        <w:rPr>
          <w:rFonts w:hint="eastAsia" w:ascii="宋体" w:hAnsi="宋体"/>
          <w:color w:val="auto"/>
          <w:highlight w:val="none"/>
        </w:rPr>
      </w:pPr>
      <w:r>
        <w:rPr>
          <w:rFonts w:hint="eastAsia" w:ascii="宋体" w:hAnsi="宋体"/>
          <w:color w:val="auto"/>
          <w:highlight w:val="none"/>
        </w:rPr>
        <w:t>计算机机房的温度在15～30℃范围内，温度变化率每小时不应超过±5℃，相对湿度为40%～90%；</w:t>
      </w:r>
    </w:p>
    <w:p>
      <w:pPr>
        <w:pStyle w:val="58"/>
        <w:keepNext w:val="0"/>
        <w:keepLines w:val="0"/>
        <w:pageBreakBefore w:val="0"/>
        <w:widowControl/>
        <w:kinsoku/>
        <w:wordWrap/>
        <w:overflowPunct/>
        <w:topLinePunct w:val="0"/>
        <w:autoSpaceDE/>
        <w:autoSpaceDN/>
        <w:bidi w:val="0"/>
        <w:adjustRightInd/>
        <w:snapToGrid/>
        <w:spacing w:line="560" w:lineRule="exact"/>
        <w:ind w:firstLine="482"/>
        <w:textAlignment w:val="auto"/>
        <w:rPr>
          <w:rFonts w:hint="eastAsia" w:ascii="宋体" w:hAnsi="宋体" w:eastAsia="宋体" w:cs="宋体"/>
          <w:color w:val="auto"/>
          <w:highlight w:val="none"/>
        </w:rPr>
      </w:pPr>
      <w:r>
        <w:rPr>
          <w:rFonts w:hint="eastAsia" w:ascii="宋体" w:hAnsi="宋体" w:eastAsia="宋体" w:cs="宋体"/>
          <w:color w:val="auto"/>
          <w:highlight w:val="none"/>
        </w:rPr>
        <w:t>其他室内温度变化范围为-25℃～</w:t>
      </w:r>
      <w:r>
        <w:rPr>
          <w:rFonts w:hint="eastAsia" w:ascii="宋体" w:hAnsi="宋体" w:cs="宋体"/>
          <w:color w:val="auto"/>
          <w:highlight w:val="none"/>
          <w:lang w:val="en-US" w:eastAsia="zh-CN"/>
        </w:rPr>
        <w:t>5</w:t>
      </w:r>
      <w:r>
        <w:rPr>
          <w:rFonts w:hint="eastAsia" w:ascii="宋体" w:hAnsi="宋体" w:eastAsia="宋体" w:cs="宋体"/>
          <w:color w:val="auto"/>
          <w:highlight w:val="none"/>
        </w:rPr>
        <w:t>5℃，相对湿度为10%～95%，任何情况下无凝露；</w:t>
      </w:r>
    </w:p>
    <w:p>
      <w:pPr>
        <w:pStyle w:val="58"/>
        <w:keepNext w:val="0"/>
        <w:keepLines w:val="0"/>
        <w:pageBreakBefore w:val="0"/>
        <w:widowControl/>
        <w:kinsoku/>
        <w:wordWrap/>
        <w:overflowPunct/>
        <w:topLinePunct w:val="0"/>
        <w:autoSpaceDE/>
        <w:autoSpaceDN/>
        <w:bidi w:val="0"/>
        <w:adjustRightInd/>
        <w:snapToGrid/>
        <w:spacing w:line="560" w:lineRule="exact"/>
        <w:ind w:firstLine="482"/>
        <w:textAlignment w:val="auto"/>
        <w:rPr>
          <w:rFonts w:hint="eastAsia" w:ascii="宋体" w:hAnsi="宋体" w:eastAsia="宋体" w:cs="宋体"/>
          <w:color w:val="auto"/>
          <w:highlight w:val="none"/>
        </w:rPr>
      </w:pPr>
      <w:r>
        <w:rPr>
          <w:rFonts w:hint="eastAsia" w:ascii="宋体" w:hAnsi="宋体" w:eastAsia="宋体" w:cs="宋体"/>
          <w:color w:val="auto"/>
          <w:highlight w:val="none"/>
        </w:rPr>
        <w:t>室外温度变化范围为-20℃～</w:t>
      </w:r>
      <w:r>
        <w:rPr>
          <w:rFonts w:hint="eastAsia" w:ascii="宋体" w:hAnsi="宋体" w:cs="宋体"/>
          <w:color w:val="auto"/>
          <w:highlight w:val="none"/>
          <w:lang w:val="en-US" w:eastAsia="zh-CN"/>
        </w:rPr>
        <w:t>55</w:t>
      </w:r>
      <w:r>
        <w:rPr>
          <w:rFonts w:hint="eastAsia" w:ascii="宋体" w:hAnsi="宋体" w:eastAsia="宋体" w:cs="宋体"/>
          <w:color w:val="auto"/>
          <w:highlight w:val="none"/>
        </w:rPr>
        <w:t>℃，相对湿度为10%～95%，任何情况下无凝露；</w:t>
      </w:r>
    </w:p>
    <w:p>
      <w:pPr>
        <w:pStyle w:val="58"/>
        <w:spacing w:line="360" w:lineRule="auto"/>
        <w:ind w:firstLine="480"/>
        <w:rPr>
          <w:rFonts w:hint="eastAsia" w:ascii="宋体" w:hAnsi="宋体"/>
          <w:color w:val="auto"/>
          <w:highlight w:val="none"/>
        </w:rPr>
      </w:pPr>
      <w:r>
        <w:rPr>
          <w:rFonts w:hint="eastAsia" w:ascii="宋体" w:hAnsi="宋体"/>
          <w:color w:val="auto"/>
          <w:highlight w:val="none"/>
        </w:rPr>
        <w:t>b)最大相对湿度：95%；</w:t>
      </w:r>
    </w:p>
    <w:p>
      <w:pPr>
        <w:pStyle w:val="58"/>
        <w:spacing w:line="360" w:lineRule="auto"/>
        <w:ind w:firstLine="480"/>
        <w:rPr>
          <w:rFonts w:hint="eastAsia" w:ascii="宋体" w:hAnsi="宋体"/>
          <w:color w:val="auto"/>
          <w:highlight w:val="none"/>
        </w:rPr>
      </w:pPr>
      <w:r>
        <w:rPr>
          <w:rFonts w:hint="eastAsia" w:ascii="宋体" w:hAnsi="宋体"/>
          <w:color w:val="auto"/>
          <w:highlight w:val="none"/>
        </w:rPr>
        <w:t>c)大气压力：80kPa～106kPa；</w:t>
      </w:r>
    </w:p>
    <w:p>
      <w:pPr>
        <w:pStyle w:val="58"/>
        <w:spacing w:line="360" w:lineRule="auto"/>
        <w:ind w:firstLine="480"/>
        <w:rPr>
          <w:rFonts w:hint="eastAsia" w:ascii="宋体" w:hAnsi="宋体"/>
          <w:color w:val="auto"/>
          <w:highlight w:val="none"/>
        </w:rPr>
      </w:pPr>
      <w:r>
        <w:rPr>
          <w:rFonts w:hint="eastAsia" w:ascii="宋体" w:hAnsi="宋体"/>
          <w:color w:val="auto"/>
          <w:highlight w:val="none"/>
        </w:rPr>
        <w:t>d)地震烈度：8度；水平加速度：0.25g；垂直加速度：0.125g。</w:t>
      </w:r>
    </w:p>
    <w:p>
      <w:pPr>
        <w:pStyle w:val="58"/>
        <w:spacing w:line="360" w:lineRule="auto"/>
        <w:ind w:firstLine="480"/>
        <w:rPr>
          <w:rFonts w:hint="eastAsia" w:ascii="宋体" w:hAnsi="宋体"/>
          <w:color w:val="auto"/>
          <w:highlight w:val="none"/>
        </w:rPr>
      </w:pPr>
      <w:r>
        <w:rPr>
          <w:rFonts w:hint="eastAsia" w:ascii="宋体" w:hAnsi="宋体"/>
          <w:color w:val="auto"/>
          <w:highlight w:val="none"/>
        </w:rPr>
        <w:t>h)设备安装地点：户内、户外。</w:t>
      </w:r>
    </w:p>
    <w:p>
      <w:pPr>
        <w:pStyle w:val="5"/>
        <w:bidi w:val="0"/>
        <w:rPr>
          <w:rFonts w:hint="eastAsia"/>
          <w:color w:val="auto"/>
          <w:sz w:val="24"/>
          <w:szCs w:val="28"/>
          <w:highlight w:val="none"/>
        </w:rPr>
      </w:pPr>
      <w:bookmarkStart w:id="58" w:name="_Toc5995"/>
      <w:bookmarkStart w:id="59" w:name="_Toc17441"/>
      <w:bookmarkStart w:id="60" w:name="_Toc28154"/>
      <w:bookmarkStart w:id="61" w:name="_Toc5339"/>
      <w:bookmarkStart w:id="62" w:name="_Toc23428"/>
      <w:bookmarkStart w:id="63" w:name="_Toc10613"/>
      <w:bookmarkStart w:id="64" w:name="_Toc12805"/>
      <w:bookmarkStart w:id="65" w:name="_Toc28438"/>
      <w:r>
        <w:rPr>
          <w:rFonts w:hint="eastAsia"/>
          <w:color w:val="auto"/>
          <w:sz w:val="24"/>
          <w:szCs w:val="28"/>
          <w:highlight w:val="none"/>
        </w:rPr>
        <w:t>贮存、运输环境条件</w:t>
      </w:r>
      <w:bookmarkEnd w:id="58"/>
      <w:bookmarkEnd w:id="59"/>
      <w:bookmarkEnd w:id="60"/>
      <w:bookmarkEnd w:id="61"/>
      <w:bookmarkEnd w:id="62"/>
      <w:bookmarkEnd w:id="63"/>
      <w:bookmarkEnd w:id="64"/>
      <w:bookmarkEnd w:id="65"/>
    </w:p>
    <w:p>
      <w:pPr>
        <w:pStyle w:val="58"/>
        <w:spacing w:line="360" w:lineRule="auto"/>
        <w:ind w:firstLine="480"/>
        <w:rPr>
          <w:rFonts w:hint="eastAsia" w:ascii="宋体" w:hAnsi="宋体"/>
          <w:color w:val="auto"/>
          <w:highlight w:val="none"/>
        </w:rPr>
      </w:pPr>
      <w:r>
        <w:rPr>
          <w:rFonts w:hint="eastAsia" w:ascii="宋体" w:hAnsi="宋体"/>
          <w:color w:val="auto"/>
          <w:highlight w:val="none"/>
        </w:rPr>
        <w:t>a)装置在运输中允许的环境温度-25℃～＋55℃，相对湿度不大于85%；</w:t>
      </w:r>
    </w:p>
    <w:p>
      <w:pPr>
        <w:pStyle w:val="58"/>
        <w:spacing w:line="360" w:lineRule="auto"/>
        <w:ind w:firstLine="480"/>
        <w:rPr>
          <w:rFonts w:hint="eastAsia" w:ascii="宋体" w:hAnsi="宋体"/>
          <w:color w:val="auto"/>
          <w:highlight w:val="none"/>
        </w:rPr>
      </w:pPr>
      <w:r>
        <w:rPr>
          <w:rFonts w:hint="eastAsia" w:ascii="宋体" w:hAnsi="宋体"/>
          <w:color w:val="auto"/>
          <w:highlight w:val="none"/>
        </w:rPr>
        <w:t>b)在贮存中允许的环境温度-25℃～＋55℃，相对湿度不大于85%，在不施加任何激励量的条件下，装置不出现不可逆变化。</w:t>
      </w:r>
      <w:bookmarkStart w:id="66" w:name="_Toc8394"/>
      <w:bookmarkStart w:id="67" w:name="_Toc32597"/>
      <w:bookmarkStart w:id="68" w:name="_Toc1276"/>
      <w:bookmarkStart w:id="69" w:name="_Toc31191"/>
      <w:bookmarkStart w:id="70" w:name="_Toc29343"/>
      <w:bookmarkStart w:id="71" w:name="_Toc4453"/>
      <w:bookmarkStart w:id="72" w:name="_Toc9650"/>
    </w:p>
    <w:p>
      <w:pPr>
        <w:pStyle w:val="5"/>
        <w:bidi w:val="0"/>
        <w:rPr>
          <w:rFonts w:hint="eastAsia"/>
          <w:color w:val="auto"/>
          <w:sz w:val="24"/>
          <w:szCs w:val="28"/>
          <w:highlight w:val="none"/>
        </w:rPr>
      </w:pPr>
      <w:bookmarkStart w:id="73" w:name="_Toc12040"/>
      <w:r>
        <w:rPr>
          <w:rFonts w:hint="eastAsia"/>
          <w:color w:val="auto"/>
          <w:sz w:val="24"/>
          <w:szCs w:val="28"/>
          <w:highlight w:val="none"/>
        </w:rPr>
        <w:t>周围环境</w:t>
      </w:r>
      <w:bookmarkEnd w:id="66"/>
      <w:bookmarkEnd w:id="67"/>
      <w:bookmarkEnd w:id="68"/>
      <w:bookmarkEnd w:id="69"/>
      <w:bookmarkEnd w:id="70"/>
      <w:bookmarkEnd w:id="71"/>
      <w:bookmarkEnd w:id="72"/>
      <w:bookmarkEnd w:id="73"/>
    </w:p>
    <w:p>
      <w:pPr>
        <w:pStyle w:val="58"/>
        <w:spacing w:line="360" w:lineRule="auto"/>
        <w:ind w:firstLine="480"/>
        <w:rPr>
          <w:rFonts w:hint="eastAsia" w:ascii="宋体" w:hAnsi="宋体"/>
          <w:color w:val="auto"/>
          <w:highlight w:val="none"/>
        </w:rPr>
      </w:pPr>
      <w:r>
        <w:rPr>
          <w:rFonts w:hint="eastAsia" w:ascii="宋体" w:hAnsi="宋体"/>
          <w:color w:val="auto"/>
          <w:highlight w:val="none"/>
        </w:rPr>
        <w:t>场地符合GB/T9361-1988中B类安全要求；</w:t>
      </w:r>
    </w:p>
    <w:p>
      <w:pPr>
        <w:pStyle w:val="58"/>
        <w:spacing w:line="360" w:lineRule="auto"/>
        <w:ind w:firstLine="480"/>
        <w:rPr>
          <w:rFonts w:hint="eastAsia" w:ascii="宋体" w:hAnsi="宋体"/>
          <w:color w:val="auto"/>
          <w:highlight w:val="none"/>
        </w:rPr>
      </w:pPr>
      <w:r>
        <w:rPr>
          <w:rFonts w:hint="eastAsia" w:ascii="宋体" w:hAnsi="宋体"/>
          <w:color w:val="auto"/>
          <w:highlight w:val="none"/>
        </w:rPr>
        <w:t>使用地点不出现超过GB/T11287-2000规定的严酷等级为I级的振动；不发生GB/T17742－2008规定的烈度为Ⅶ度的地震；</w:t>
      </w:r>
    </w:p>
    <w:p>
      <w:pPr>
        <w:pStyle w:val="58"/>
        <w:spacing w:line="360" w:lineRule="auto"/>
        <w:ind w:firstLine="480"/>
        <w:rPr>
          <w:rFonts w:hint="eastAsia" w:ascii="宋体" w:hAnsi="宋体"/>
          <w:color w:val="auto"/>
          <w:highlight w:val="none"/>
        </w:rPr>
      </w:pPr>
      <w:r>
        <w:rPr>
          <w:rFonts w:hint="eastAsia" w:ascii="宋体" w:hAnsi="宋体"/>
          <w:color w:val="auto"/>
          <w:highlight w:val="none"/>
        </w:rPr>
        <w:t>使用地点无爆炸危险的物质，周围介质中不含有能腐蚀金属、破坏绝缘和表面敷层的介质及导电介质，没有严重的霉菌存在。</w:t>
      </w:r>
    </w:p>
    <w:bookmarkEnd w:id="56"/>
    <w:bookmarkEnd w:id="57"/>
    <w:p>
      <w:pPr>
        <w:pStyle w:val="4"/>
        <w:bidi w:val="0"/>
        <w:rPr>
          <w:rFonts w:hint="eastAsia"/>
          <w:color w:val="auto"/>
          <w:sz w:val="24"/>
          <w:szCs w:val="40"/>
          <w:highlight w:val="none"/>
        </w:rPr>
      </w:pPr>
      <w:bookmarkStart w:id="74" w:name="_Toc17423"/>
      <w:bookmarkStart w:id="75" w:name="_Toc16747"/>
      <w:bookmarkStart w:id="76" w:name="_Toc28253"/>
      <w:bookmarkStart w:id="77" w:name="_Toc12379"/>
      <w:bookmarkStart w:id="78" w:name="_Toc384340984"/>
      <w:bookmarkStart w:id="79" w:name="_Toc29150"/>
      <w:bookmarkStart w:id="80" w:name="_Toc282993253"/>
      <w:bookmarkStart w:id="81" w:name="_Toc1363205472"/>
      <w:bookmarkStart w:id="82" w:name="_Toc22943"/>
      <w:bookmarkStart w:id="83" w:name="_Toc127541467"/>
      <w:bookmarkStart w:id="84" w:name="_Toc1206296048"/>
      <w:bookmarkStart w:id="85" w:name="_Toc20312"/>
      <w:bookmarkStart w:id="86" w:name="_Toc8979"/>
      <w:bookmarkStart w:id="87" w:name="_Toc4816"/>
      <w:r>
        <w:rPr>
          <w:rFonts w:hint="eastAsia"/>
          <w:color w:val="auto"/>
          <w:sz w:val="24"/>
          <w:szCs w:val="40"/>
          <w:highlight w:val="none"/>
        </w:rPr>
        <w:t>系统技术要求</w:t>
      </w:r>
      <w:bookmarkEnd w:id="74"/>
      <w:bookmarkEnd w:id="75"/>
      <w:bookmarkEnd w:id="76"/>
      <w:bookmarkEnd w:id="77"/>
      <w:bookmarkEnd w:id="78"/>
      <w:bookmarkEnd w:id="79"/>
      <w:bookmarkEnd w:id="80"/>
      <w:bookmarkEnd w:id="81"/>
      <w:bookmarkEnd w:id="82"/>
      <w:bookmarkEnd w:id="83"/>
      <w:bookmarkEnd w:id="84"/>
      <w:bookmarkEnd w:id="85"/>
      <w:bookmarkEnd w:id="86"/>
      <w:bookmarkEnd w:id="87"/>
    </w:p>
    <w:p>
      <w:pPr>
        <w:pStyle w:val="5"/>
        <w:bidi w:val="0"/>
        <w:rPr>
          <w:rFonts w:hint="eastAsia"/>
          <w:color w:val="auto"/>
          <w:sz w:val="24"/>
          <w:szCs w:val="28"/>
          <w:highlight w:val="none"/>
        </w:rPr>
      </w:pPr>
      <w:bookmarkStart w:id="88" w:name="_Toc29539"/>
      <w:bookmarkStart w:id="89" w:name="_Toc14029"/>
      <w:bookmarkStart w:id="90" w:name="_Toc127541468"/>
      <w:r>
        <w:rPr>
          <w:rFonts w:hint="eastAsia"/>
          <w:color w:val="auto"/>
          <w:sz w:val="24"/>
          <w:szCs w:val="28"/>
          <w:highlight w:val="none"/>
          <w:lang w:val="en-US" w:eastAsia="zh-CN"/>
        </w:rPr>
        <w:t>项目服务</w:t>
      </w:r>
      <w:r>
        <w:rPr>
          <w:rFonts w:hint="eastAsia"/>
          <w:color w:val="auto"/>
          <w:sz w:val="24"/>
          <w:szCs w:val="28"/>
          <w:highlight w:val="none"/>
        </w:rPr>
        <w:t>内容</w:t>
      </w:r>
      <w:bookmarkEnd w:id="88"/>
      <w:bookmarkEnd w:id="89"/>
      <w:bookmarkEnd w:id="90"/>
    </w:p>
    <w:p>
      <w:pPr>
        <w:numPr>
          <w:ilvl w:val="0"/>
          <w:numId w:val="0"/>
        </w:numPr>
        <w:adjustRightInd w:val="0"/>
        <w:snapToGrid w:val="0"/>
        <w:ind w:firstLine="420" w:firstLineChars="200"/>
        <w:rPr>
          <w:rFonts w:hint="eastAsia"/>
          <w:color w:val="auto"/>
          <w:highlight w:val="none"/>
        </w:rPr>
      </w:pPr>
      <w:r>
        <w:rPr>
          <w:rFonts w:hint="eastAsia" w:cs="宋体"/>
          <w:color w:val="auto"/>
          <w:highlight w:val="none"/>
          <w:lang w:val="en-US" w:eastAsia="zh-CN"/>
        </w:rPr>
        <w:t>计划对变电</w:t>
      </w:r>
      <w:r>
        <w:rPr>
          <w:rFonts w:hint="eastAsia"/>
          <w:color w:val="auto"/>
          <w:spacing w:val="-4"/>
          <w:sz w:val="21"/>
          <w:szCs w:val="21"/>
          <w:highlight w:val="none"/>
          <w:lang w:val="en-US" w:eastAsia="zh-CN"/>
        </w:rPr>
        <w:t>站</w:t>
      </w:r>
      <w:r>
        <w:rPr>
          <w:rFonts w:hint="eastAsia" w:cs="宋体"/>
          <w:color w:val="auto"/>
          <w:highlight w:val="none"/>
          <w:lang w:val="en-US" w:eastAsia="zh-CN"/>
        </w:rPr>
        <w:t>开展站端适应性智能化改造，</w:t>
      </w:r>
      <w:r>
        <w:rPr>
          <w:rFonts w:hint="eastAsia"/>
          <w:color w:val="auto"/>
          <w:spacing w:val="-4"/>
          <w:sz w:val="21"/>
          <w:szCs w:val="21"/>
          <w:highlight w:val="none"/>
          <w:lang w:val="en-US" w:eastAsia="zh-CN"/>
        </w:rPr>
        <w:t>开展站端设备终端调试、数据接入联调、Ⅲ区变电智能网关及视联等感知终端的实施部署建设和运维技术服务工作.</w:t>
      </w:r>
    </w:p>
    <w:p>
      <w:pPr>
        <w:pStyle w:val="5"/>
        <w:bidi w:val="0"/>
        <w:rPr>
          <w:rFonts w:hint="eastAsia"/>
          <w:color w:val="auto"/>
          <w:sz w:val="24"/>
          <w:szCs w:val="28"/>
          <w:highlight w:val="none"/>
        </w:rPr>
      </w:pPr>
      <w:bookmarkStart w:id="91" w:name="_Toc9459"/>
      <w:bookmarkStart w:id="92" w:name="_Toc127541470"/>
      <w:bookmarkStart w:id="93" w:name="_Toc18230"/>
      <w:bookmarkStart w:id="94" w:name="_Toc25246"/>
      <w:bookmarkStart w:id="95" w:name="_Toc16002"/>
      <w:bookmarkStart w:id="96" w:name="_Toc5303"/>
      <w:bookmarkStart w:id="97" w:name="_Toc8921"/>
      <w:bookmarkStart w:id="98" w:name="_Toc28220"/>
      <w:bookmarkStart w:id="99" w:name="_Toc6101"/>
      <w:r>
        <w:rPr>
          <w:rFonts w:hint="eastAsia"/>
          <w:color w:val="auto"/>
          <w:sz w:val="24"/>
          <w:szCs w:val="28"/>
          <w:highlight w:val="none"/>
        </w:rPr>
        <w:t>实施</w:t>
      </w:r>
      <w:r>
        <w:rPr>
          <w:rFonts w:hint="eastAsia"/>
          <w:color w:val="auto"/>
          <w:sz w:val="24"/>
          <w:szCs w:val="28"/>
          <w:highlight w:val="none"/>
          <w:lang w:val="en-US" w:eastAsia="zh-CN"/>
        </w:rPr>
        <w:t>部署</w:t>
      </w:r>
      <w:r>
        <w:rPr>
          <w:rFonts w:hint="eastAsia"/>
          <w:color w:val="auto"/>
          <w:sz w:val="24"/>
          <w:szCs w:val="28"/>
          <w:highlight w:val="none"/>
        </w:rPr>
        <w:t>方案</w:t>
      </w:r>
      <w:bookmarkEnd w:id="91"/>
      <w:bookmarkEnd w:id="92"/>
      <w:bookmarkEnd w:id="93"/>
      <w:bookmarkEnd w:id="94"/>
      <w:bookmarkEnd w:id="95"/>
      <w:bookmarkEnd w:id="96"/>
      <w:bookmarkEnd w:id="97"/>
      <w:bookmarkEnd w:id="98"/>
      <w:bookmarkEnd w:id="99"/>
    </w:p>
    <w:p>
      <w:pPr>
        <w:pStyle w:val="22"/>
        <w:numPr>
          <w:ilvl w:val="0"/>
          <w:numId w:val="6"/>
        </w:numPr>
        <w:spacing w:after="0"/>
        <w:rPr>
          <w:color w:val="auto"/>
          <w:highlight w:val="none"/>
        </w:rPr>
      </w:pPr>
      <w:bookmarkStart w:id="100" w:name="_Toc127541471"/>
      <w:bookmarkStart w:id="101" w:name="_Toc8232"/>
      <w:r>
        <w:rPr>
          <w:rFonts w:hint="eastAsia" w:cs="宋体"/>
          <w:color w:val="auto"/>
          <w:highlight w:val="none"/>
          <w:lang w:eastAsia="zh-CN"/>
        </w:rPr>
        <w:t>变电站Ⅲ区变电智能网关</w:t>
      </w:r>
      <w:r>
        <w:rPr>
          <w:rFonts w:hint="eastAsia" w:cs="宋体"/>
          <w:color w:val="auto"/>
          <w:highlight w:val="none"/>
          <w:lang w:eastAsia="zh-Hans"/>
        </w:rPr>
        <w:t>向物联网平台云边协同组件注册，确认容器、文件、消息、运维信息等协同功能正常</w:t>
      </w:r>
      <w:r>
        <w:rPr>
          <w:rFonts w:hint="eastAsia" w:cs="宋体"/>
          <w:color w:val="auto"/>
          <w:highlight w:val="none"/>
          <w:lang w:eastAsia="zh-CN"/>
        </w:rPr>
        <w:t>；</w:t>
      </w:r>
    </w:p>
    <w:p>
      <w:pPr>
        <w:pStyle w:val="22"/>
        <w:numPr>
          <w:ilvl w:val="0"/>
          <w:numId w:val="6"/>
        </w:numPr>
        <w:rPr>
          <w:color w:val="auto"/>
          <w:highlight w:val="none"/>
        </w:rPr>
      </w:pPr>
      <w:r>
        <w:rPr>
          <w:rFonts w:hint="eastAsia"/>
          <w:color w:val="auto"/>
          <w:highlight w:val="none"/>
        </w:rPr>
        <w:t>在</w:t>
      </w:r>
      <w:r>
        <w:rPr>
          <w:rFonts w:hint="eastAsia" w:ascii="宋体" w:hAnsi="宋体" w:eastAsia="宋体" w:cs="宋体"/>
          <w:color w:val="auto"/>
          <w:highlight w:val="none"/>
          <w:lang w:eastAsia="zh-CN"/>
        </w:rPr>
        <w:t>变电站</w:t>
      </w:r>
      <w:r>
        <w:rPr>
          <w:rFonts w:hint="eastAsia" w:ascii="宋体" w:hAnsi="宋体" w:eastAsia="宋体" w:cs="宋体"/>
          <w:color w:val="auto"/>
          <w:highlight w:val="none"/>
        </w:rPr>
        <w:t>新增</w:t>
      </w:r>
      <w:r>
        <w:rPr>
          <w:rFonts w:hint="eastAsia" w:cs="宋体"/>
          <w:color w:val="auto"/>
          <w:highlight w:val="none"/>
          <w:lang w:val="en-US" w:eastAsia="zh-CN"/>
        </w:rPr>
        <w:t>视联融合终端、智能门禁、传感器</w:t>
      </w:r>
      <w:r>
        <w:rPr>
          <w:rFonts w:hint="eastAsia" w:ascii="宋体" w:hAnsi="宋体" w:eastAsia="宋体" w:cs="宋体"/>
          <w:color w:val="auto"/>
          <w:highlight w:val="none"/>
          <w:lang w:val="en-US" w:eastAsia="zh-CN"/>
        </w:rPr>
        <w:t>等</w:t>
      </w:r>
      <w:r>
        <w:rPr>
          <w:rFonts w:hint="eastAsia" w:cs="宋体"/>
          <w:color w:val="auto"/>
          <w:highlight w:val="none"/>
          <w:lang w:val="en-US" w:eastAsia="zh-CN"/>
        </w:rPr>
        <w:t>设备</w:t>
      </w:r>
      <w:r>
        <w:rPr>
          <w:rFonts w:hint="eastAsia" w:ascii="宋体" w:hAnsi="宋体" w:eastAsia="宋体" w:cs="宋体"/>
          <w:color w:val="auto"/>
          <w:highlight w:val="none"/>
        </w:rPr>
        <w:t>，并完成</w:t>
      </w:r>
      <w:r>
        <w:rPr>
          <w:rFonts w:hint="eastAsia" w:ascii="宋体" w:hAnsi="宋体" w:eastAsia="宋体" w:cs="宋体"/>
          <w:color w:val="auto"/>
          <w:highlight w:val="none"/>
          <w:lang w:val="en-US" w:eastAsia="zh-CN"/>
        </w:rPr>
        <w:t>Ⅲ区变电智能网关</w:t>
      </w:r>
      <w:r>
        <w:rPr>
          <w:rFonts w:hint="eastAsia" w:cs="宋体"/>
          <w:color w:val="auto"/>
          <w:highlight w:val="none"/>
          <w:lang w:val="en-US" w:eastAsia="zh-CN"/>
        </w:rPr>
        <w:t>南向终端设备接入</w:t>
      </w:r>
      <w:r>
        <w:rPr>
          <w:rFonts w:hint="eastAsia" w:ascii="宋体" w:hAnsi="宋体" w:eastAsia="宋体" w:cs="宋体"/>
          <w:color w:val="auto"/>
          <w:highlight w:val="none"/>
        </w:rPr>
        <w:t>工作</w:t>
      </w:r>
      <w:r>
        <w:rPr>
          <w:rFonts w:hint="eastAsia" w:ascii="宋体" w:hAnsi="宋体" w:eastAsia="宋体" w:cs="宋体"/>
          <w:color w:val="auto"/>
          <w:highlight w:val="none"/>
          <w:lang w:eastAsia="zh-CN"/>
        </w:rPr>
        <w:t>；</w:t>
      </w:r>
    </w:p>
    <w:p>
      <w:pPr>
        <w:pStyle w:val="22"/>
        <w:numPr>
          <w:ilvl w:val="0"/>
          <w:numId w:val="6"/>
        </w:numPr>
        <w:rPr>
          <w:rFonts w:hint="eastAsia"/>
          <w:color w:val="auto"/>
          <w:highlight w:val="none"/>
        </w:rPr>
      </w:pPr>
      <w:r>
        <w:rPr>
          <w:rFonts w:hint="eastAsia" w:cs="宋体"/>
          <w:color w:val="auto"/>
          <w:highlight w:val="none"/>
        </w:rPr>
        <w:t>采集</w:t>
      </w:r>
      <w:r>
        <w:rPr>
          <w:rFonts w:hint="eastAsia" w:cs="宋体"/>
          <w:color w:val="auto"/>
          <w:highlight w:val="none"/>
          <w:lang w:val="en-US" w:eastAsia="zh-CN"/>
        </w:rPr>
        <w:t>变电站</w:t>
      </w:r>
      <w:r>
        <w:rPr>
          <w:rFonts w:hint="eastAsia" w:cs="宋体"/>
          <w:color w:val="auto"/>
          <w:highlight w:val="none"/>
        </w:rPr>
        <w:t>内的Ⅲ区</w:t>
      </w:r>
      <w:r>
        <w:rPr>
          <w:rFonts w:hint="eastAsia" w:cs="宋体"/>
          <w:color w:val="auto"/>
          <w:highlight w:val="none"/>
          <w:lang w:val="en-US" w:eastAsia="zh-CN"/>
        </w:rPr>
        <w:t>智能</w:t>
      </w:r>
      <w:r>
        <w:rPr>
          <w:rFonts w:hint="eastAsia" w:ascii="宋体" w:hAnsi="宋体" w:eastAsia="宋体" w:cs="宋体"/>
          <w:color w:val="auto"/>
          <w:highlight w:val="none"/>
        </w:rPr>
        <w:t>终端数</w:t>
      </w:r>
      <w:r>
        <w:rPr>
          <w:rFonts w:hint="eastAsia" w:cs="宋体"/>
          <w:color w:val="auto"/>
          <w:highlight w:val="none"/>
        </w:rPr>
        <w:t>据的接入工作，并上送至物联网平台和</w:t>
      </w:r>
      <w:r>
        <w:rPr>
          <w:rFonts w:hint="eastAsia" w:cs="宋体"/>
          <w:color w:val="auto"/>
          <w:highlight w:val="none"/>
          <w:lang w:val="en-US" w:eastAsia="zh-CN"/>
        </w:rPr>
        <w:t>生产运行支持</w:t>
      </w:r>
      <w:r>
        <w:rPr>
          <w:rFonts w:hint="eastAsia" w:cs="宋体"/>
          <w:color w:val="auto"/>
          <w:highlight w:val="none"/>
        </w:rPr>
        <w:t>系统</w:t>
      </w:r>
      <w:r>
        <w:rPr>
          <w:rFonts w:hint="eastAsia"/>
          <w:color w:val="auto"/>
          <w:highlight w:val="none"/>
        </w:rPr>
        <w:t>；</w:t>
      </w:r>
    </w:p>
    <w:p>
      <w:pPr>
        <w:pStyle w:val="22"/>
        <w:numPr>
          <w:ilvl w:val="0"/>
          <w:numId w:val="6"/>
        </w:numPr>
        <w:rPr>
          <w:rFonts w:hint="eastAsia"/>
          <w:color w:val="auto"/>
          <w:highlight w:val="none"/>
        </w:rPr>
      </w:pPr>
      <w:r>
        <w:rPr>
          <w:rFonts w:hint="eastAsia"/>
          <w:color w:val="auto"/>
          <w:highlight w:val="none"/>
          <w:lang w:val="en-US" w:eastAsia="zh-CN"/>
        </w:rPr>
        <w:t>完成</w:t>
      </w:r>
      <w:r>
        <w:rPr>
          <w:rFonts w:hint="eastAsia"/>
          <w:color w:val="auto"/>
          <w:highlight w:val="none"/>
          <w:lang w:eastAsia="zh-CN"/>
        </w:rPr>
        <w:t>变电站</w:t>
      </w:r>
      <w:r>
        <w:rPr>
          <w:rFonts w:hint="eastAsia"/>
          <w:color w:val="auto"/>
          <w:highlight w:val="none"/>
          <w:lang w:val="en-US" w:eastAsia="zh-CN"/>
        </w:rPr>
        <w:t>的360全景建设</w:t>
      </w:r>
      <w:r>
        <w:rPr>
          <w:rFonts w:hint="eastAsia"/>
          <w:color w:val="auto"/>
          <w:highlight w:val="none"/>
        </w:rPr>
        <w:t>、台账映射、摄像头匹配</w:t>
      </w:r>
      <w:r>
        <w:rPr>
          <w:rFonts w:hint="eastAsia"/>
          <w:color w:val="auto"/>
          <w:highlight w:val="none"/>
          <w:lang w:val="en-US" w:eastAsia="zh-CN"/>
        </w:rPr>
        <w:t>及</w:t>
      </w:r>
      <w:r>
        <w:rPr>
          <w:rFonts w:hint="eastAsia"/>
          <w:color w:val="auto"/>
          <w:highlight w:val="none"/>
        </w:rPr>
        <w:t>联动功能建设</w:t>
      </w:r>
      <w:r>
        <w:rPr>
          <w:rFonts w:hint="eastAsia"/>
          <w:color w:val="auto"/>
          <w:highlight w:val="none"/>
          <w:lang w:eastAsia="zh-CN"/>
        </w:rPr>
        <w:t>。</w:t>
      </w:r>
    </w:p>
    <w:bookmarkEnd w:id="100"/>
    <w:bookmarkEnd w:id="101"/>
    <w:p>
      <w:pPr>
        <w:pStyle w:val="4"/>
        <w:bidi w:val="0"/>
        <w:rPr>
          <w:rFonts w:hint="eastAsia"/>
          <w:color w:val="auto"/>
          <w:sz w:val="24"/>
          <w:szCs w:val="40"/>
          <w:highlight w:val="none"/>
        </w:rPr>
      </w:pPr>
      <w:bookmarkStart w:id="102" w:name="_Toc2146974041"/>
      <w:bookmarkStart w:id="103" w:name="_Toc1227374824"/>
      <w:bookmarkStart w:id="104" w:name="_Toc1302"/>
      <w:bookmarkStart w:id="105" w:name="_Toc28653"/>
      <w:bookmarkStart w:id="106" w:name="_Toc7183"/>
      <w:bookmarkStart w:id="107" w:name="_Toc24489"/>
      <w:bookmarkStart w:id="108" w:name="_Toc12968"/>
      <w:bookmarkStart w:id="109" w:name="_Toc27488"/>
      <w:bookmarkStart w:id="110" w:name="_Toc23959"/>
      <w:bookmarkStart w:id="111" w:name="_Toc30720"/>
      <w:bookmarkStart w:id="112" w:name="_Toc127541473"/>
      <w:bookmarkStart w:id="113" w:name="_Toc13282"/>
      <w:bookmarkStart w:id="114" w:name="_Toc1295523715"/>
      <w:bookmarkStart w:id="115" w:name="_Toc279696001"/>
      <w:bookmarkStart w:id="116" w:name="_Toc7419"/>
      <w:bookmarkStart w:id="117" w:name="_Toc384341024"/>
      <w:bookmarkStart w:id="118" w:name="_Toc282993354"/>
      <w:bookmarkStart w:id="119" w:name="_Toc276490910"/>
      <w:bookmarkStart w:id="120" w:name="_Toc1218720865"/>
      <w:bookmarkStart w:id="121" w:name="_Toc276492422"/>
      <w:r>
        <w:rPr>
          <w:rFonts w:hint="eastAsia"/>
          <w:color w:val="auto"/>
          <w:sz w:val="24"/>
          <w:szCs w:val="40"/>
          <w:highlight w:val="none"/>
        </w:rPr>
        <w:t>主要设备</w:t>
      </w:r>
      <w:bookmarkEnd w:id="102"/>
      <w:bookmarkEnd w:id="103"/>
      <w:r>
        <w:rPr>
          <w:rFonts w:hint="eastAsia"/>
          <w:color w:val="auto"/>
          <w:sz w:val="24"/>
          <w:szCs w:val="40"/>
          <w:highlight w:val="none"/>
        </w:rPr>
        <w:t>技术要求</w:t>
      </w:r>
      <w:bookmarkEnd w:id="104"/>
      <w:bookmarkEnd w:id="105"/>
      <w:bookmarkEnd w:id="106"/>
      <w:bookmarkEnd w:id="107"/>
      <w:bookmarkEnd w:id="108"/>
      <w:bookmarkEnd w:id="109"/>
      <w:bookmarkEnd w:id="110"/>
      <w:bookmarkEnd w:id="111"/>
      <w:r>
        <w:rPr>
          <w:rFonts w:hint="eastAsia"/>
          <w:color w:val="auto"/>
          <w:sz w:val="24"/>
          <w:szCs w:val="40"/>
          <w:highlight w:val="none"/>
        </w:rPr>
        <w:t>和性能要求</w:t>
      </w:r>
      <w:bookmarkEnd w:id="112"/>
      <w:bookmarkEnd w:id="113"/>
    </w:p>
    <w:p>
      <w:pPr>
        <w:pStyle w:val="5"/>
        <w:bidi w:val="0"/>
        <w:rPr>
          <w:rFonts w:hint="eastAsia"/>
          <w:color w:val="auto"/>
          <w:sz w:val="24"/>
          <w:szCs w:val="28"/>
          <w:highlight w:val="none"/>
        </w:rPr>
      </w:pPr>
      <w:bookmarkStart w:id="122" w:name="_Toc127541474"/>
      <w:bookmarkStart w:id="123" w:name="_Toc26145"/>
      <w:r>
        <w:rPr>
          <w:rFonts w:hint="eastAsia"/>
          <w:color w:val="auto"/>
          <w:sz w:val="24"/>
          <w:szCs w:val="28"/>
          <w:highlight w:val="none"/>
        </w:rPr>
        <w:t>总体架构要求</w:t>
      </w:r>
      <w:bookmarkEnd w:id="122"/>
      <w:bookmarkEnd w:id="123"/>
    </w:p>
    <w:p>
      <w:pPr>
        <w:pStyle w:val="6"/>
        <w:bidi w:val="0"/>
        <w:rPr>
          <w:rFonts w:hint="eastAsia"/>
          <w:color w:val="auto"/>
          <w:sz w:val="24"/>
          <w:szCs w:val="28"/>
          <w:highlight w:val="none"/>
        </w:rPr>
      </w:pPr>
      <w:r>
        <w:rPr>
          <w:rFonts w:hint="eastAsia"/>
          <w:color w:val="auto"/>
          <w:sz w:val="24"/>
          <w:szCs w:val="28"/>
          <w:highlight w:val="none"/>
          <w:lang w:eastAsia="zh-Hans"/>
        </w:rPr>
        <w:t>应用协同</w:t>
      </w:r>
      <w:r>
        <w:rPr>
          <w:rFonts w:hint="eastAsia"/>
          <w:color w:val="auto"/>
          <w:sz w:val="24"/>
          <w:szCs w:val="28"/>
          <w:highlight w:val="none"/>
          <w:lang w:val="en-US" w:eastAsia="zh-CN"/>
        </w:rPr>
        <w:t>集成</w:t>
      </w:r>
      <w:r>
        <w:rPr>
          <w:rFonts w:hint="eastAsia"/>
          <w:color w:val="auto"/>
          <w:sz w:val="24"/>
          <w:szCs w:val="28"/>
          <w:highlight w:val="none"/>
          <w:lang w:eastAsia="zh-Hans"/>
        </w:rPr>
        <w:t>要求</w:t>
      </w:r>
    </w:p>
    <w:p>
      <w:pPr>
        <w:adjustRightInd w:val="0"/>
        <w:snapToGrid w:val="0"/>
        <w:ind w:firstLine="420" w:firstLineChars="200"/>
        <w:rPr>
          <w:color w:val="auto"/>
          <w:highlight w:val="none"/>
        </w:rPr>
      </w:pPr>
      <w:r>
        <w:rPr>
          <w:rFonts w:hint="eastAsia" w:cs="宋体"/>
          <w:color w:val="auto"/>
          <w:highlight w:val="none"/>
          <w:lang w:eastAsia="zh-CN"/>
        </w:rPr>
        <w:t>Ⅲ区变电智能网关</w:t>
      </w:r>
      <w:r>
        <w:rPr>
          <w:rFonts w:hint="eastAsia" w:cs="宋体"/>
          <w:color w:val="auto"/>
          <w:highlight w:val="none"/>
          <w:lang w:eastAsia="zh-Hans"/>
        </w:rPr>
        <w:t>应</w:t>
      </w:r>
      <w:r>
        <w:rPr>
          <w:rFonts w:hint="eastAsia" w:cs="宋体"/>
          <w:color w:val="auto"/>
          <w:highlight w:val="none"/>
        </w:rPr>
        <w:t>按照网公司数字变电技术规范要求，</w:t>
      </w:r>
      <w:r>
        <w:rPr>
          <w:rFonts w:hint="eastAsia" w:cs="宋体"/>
          <w:color w:val="auto"/>
          <w:highlight w:val="none"/>
          <w:lang w:eastAsia="zh-Hans"/>
        </w:rPr>
        <w:t>实现与云侧支持系统交互，通过云侧智能运维模块实现边侧应用的上架、下发、部署、卸载、下架和监控。</w:t>
      </w:r>
    </w:p>
    <w:p>
      <w:pPr>
        <w:pStyle w:val="6"/>
        <w:bidi w:val="0"/>
        <w:rPr>
          <w:rFonts w:hint="eastAsia"/>
          <w:color w:val="auto"/>
          <w:sz w:val="24"/>
          <w:szCs w:val="28"/>
          <w:highlight w:val="none"/>
          <w:lang w:eastAsia="zh-Hans"/>
        </w:rPr>
      </w:pPr>
      <w:r>
        <w:rPr>
          <w:rFonts w:hint="eastAsia"/>
          <w:color w:val="auto"/>
          <w:sz w:val="24"/>
          <w:szCs w:val="28"/>
          <w:highlight w:val="none"/>
          <w:lang w:eastAsia="zh-Hans"/>
        </w:rPr>
        <w:t>数据协同要求</w:t>
      </w:r>
    </w:p>
    <w:p>
      <w:pPr>
        <w:ind w:firstLine="420" w:firstLineChars="200"/>
        <w:rPr>
          <w:rFonts w:hint="eastAsia" w:cs="宋体"/>
          <w:color w:val="auto"/>
          <w:highlight w:val="none"/>
          <w:lang w:eastAsia="zh-Hans"/>
        </w:rPr>
      </w:pPr>
      <w:r>
        <w:rPr>
          <w:rFonts w:hint="eastAsia" w:cs="宋体"/>
          <w:color w:val="auto"/>
          <w:highlight w:val="none"/>
          <w:lang w:val="en-US" w:eastAsia="zh-CN"/>
        </w:rPr>
        <w:t>生产运行支持系统</w:t>
      </w:r>
      <w:r>
        <w:rPr>
          <w:rFonts w:hint="eastAsia" w:cs="宋体"/>
          <w:color w:val="auto"/>
          <w:highlight w:val="none"/>
          <w:lang w:eastAsia="zh-Hans"/>
        </w:rPr>
        <w:t>及</w:t>
      </w:r>
      <w:r>
        <w:rPr>
          <w:rFonts w:hint="eastAsia" w:cs="宋体"/>
          <w:color w:val="auto"/>
          <w:highlight w:val="none"/>
          <w:lang w:eastAsia="zh-CN"/>
        </w:rPr>
        <w:t>Ⅲ区变电智能网关</w:t>
      </w:r>
      <w:r>
        <w:rPr>
          <w:rFonts w:hint="eastAsia" w:cs="宋体"/>
          <w:color w:val="auto"/>
          <w:highlight w:val="none"/>
        </w:rPr>
        <w:t>须</w:t>
      </w:r>
      <w:r>
        <w:rPr>
          <w:rFonts w:hint="eastAsia" w:cs="宋体"/>
          <w:color w:val="auto"/>
          <w:highlight w:val="none"/>
          <w:lang w:eastAsia="zh-Hans"/>
        </w:rPr>
        <w:t>应</w:t>
      </w:r>
      <w:r>
        <w:rPr>
          <w:rFonts w:hint="eastAsia" w:cs="宋体"/>
          <w:color w:val="auto"/>
          <w:highlight w:val="none"/>
        </w:rPr>
        <w:t>按照网公司数字变电技术规范要求，</w:t>
      </w:r>
      <w:r>
        <w:rPr>
          <w:rFonts w:hint="eastAsia" w:cs="宋体"/>
          <w:color w:val="auto"/>
          <w:highlight w:val="none"/>
          <w:lang w:eastAsia="zh-Hans"/>
        </w:rPr>
        <w:t>实现与云侧变电生产运行支持系统交互，通过云侧智能运维模块实现变电站智能传感终端信息、设施信息、数据模型信息等基础数据的下发和应用</w:t>
      </w:r>
      <w:r>
        <w:rPr>
          <w:rFonts w:hint="eastAsia" w:cs="宋体"/>
          <w:color w:val="auto"/>
          <w:highlight w:val="none"/>
        </w:rPr>
        <w:t>；通过云侧系统与</w:t>
      </w:r>
      <w:r>
        <w:rPr>
          <w:rFonts w:hint="eastAsia" w:cs="宋体"/>
          <w:color w:val="auto"/>
          <w:highlight w:val="none"/>
          <w:lang w:eastAsia="zh-Hans"/>
        </w:rPr>
        <w:t>电网管理平台生产计划、工作票</w:t>
      </w:r>
      <w:r>
        <w:rPr>
          <w:rFonts w:hint="eastAsia" w:cs="宋体"/>
          <w:color w:val="auto"/>
          <w:highlight w:val="none"/>
        </w:rPr>
        <w:t>、缺陷</w:t>
      </w:r>
      <w:r>
        <w:rPr>
          <w:rFonts w:hint="eastAsia" w:cs="宋体"/>
          <w:color w:val="auto"/>
          <w:highlight w:val="none"/>
          <w:lang w:eastAsia="zh-Hans"/>
        </w:rPr>
        <w:t>等业务管理信息</w:t>
      </w:r>
      <w:r>
        <w:rPr>
          <w:rFonts w:hint="eastAsia" w:cs="宋体"/>
          <w:color w:val="auto"/>
          <w:highlight w:val="none"/>
        </w:rPr>
        <w:t>进行</w:t>
      </w:r>
      <w:r>
        <w:rPr>
          <w:rFonts w:hint="eastAsia" w:cs="宋体"/>
          <w:color w:val="auto"/>
          <w:highlight w:val="none"/>
          <w:lang w:eastAsia="zh-Hans"/>
        </w:rPr>
        <w:t>统一交互。</w:t>
      </w:r>
    </w:p>
    <w:p>
      <w:pPr>
        <w:pStyle w:val="6"/>
        <w:bidi w:val="0"/>
        <w:rPr>
          <w:color w:val="auto"/>
          <w:sz w:val="24"/>
          <w:szCs w:val="28"/>
          <w:highlight w:val="none"/>
        </w:rPr>
      </w:pPr>
      <w:r>
        <w:rPr>
          <w:rFonts w:hint="eastAsia"/>
          <w:color w:val="auto"/>
          <w:sz w:val="24"/>
          <w:szCs w:val="28"/>
          <w:highlight w:val="none"/>
        </w:rPr>
        <w:t>运维协同要求</w:t>
      </w:r>
    </w:p>
    <w:p>
      <w:pPr>
        <w:adjustRightInd w:val="0"/>
        <w:snapToGrid w:val="0"/>
        <w:ind w:firstLine="420" w:firstLineChars="200"/>
        <w:rPr>
          <w:color w:val="auto"/>
          <w:highlight w:val="none"/>
        </w:rPr>
      </w:pPr>
      <w:r>
        <w:rPr>
          <w:rFonts w:hint="eastAsia" w:cs="宋体"/>
          <w:color w:val="auto"/>
          <w:highlight w:val="none"/>
          <w:lang w:val="en-US" w:eastAsia="zh-CN"/>
        </w:rPr>
        <w:t>生产运行支持系统</w:t>
      </w:r>
      <w:r>
        <w:rPr>
          <w:rFonts w:hint="eastAsia" w:cs="宋体"/>
          <w:color w:val="auto"/>
          <w:highlight w:val="none"/>
          <w:lang w:eastAsia="zh-Hans"/>
        </w:rPr>
        <w:t>及</w:t>
      </w:r>
      <w:r>
        <w:rPr>
          <w:rFonts w:hint="eastAsia" w:cs="宋体"/>
          <w:color w:val="auto"/>
          <w:highlight w:val="none"/>
          <w:lang w:eastAsia="zh-CN"/>
        </w:rPr>
        <w:t>Ⅲ区变电智能网关</w:t>
      </w:r>
      <w:r>
        <w:rPr>
          <w:rFonts w:hint="eastAsia" w:cs="宋体"/>
          <w:color w:val="auto"/>
          <w:highlight w:val="none"/>
          <w:lang w:eastAsia="zh-Hans"/>
        </w:rPr>
        <w:t>应</w:t>
      </w:r>
      <w:r>
        <w:rPr>
          <w:rFonts w:hint="eastAsia" w:cs="宋体"/>
          <w:color w:val="auto"/>
          <w:highlight w:val="none"/>
        </w:rPr>
        <w:t>按照网公司数字变电技术规范要求，</w:t>
      </w:r>
      <w:r>
        <w:rPr>
          <w:rFonts w:hint="eastAsia" w:cs="宋体"/>
          <w:color w:val="auto"/>
          <w:highlight w:val="none"/>
          <w:lang w:eastAsia="zh-Hans"/>
        </w:rPr>
        <w:t>实现与云侧变电生产运行支持系统交互，通过云侧智能运维模块实现对生产分析处理主机</w:t>
      </w:r>
      <w:r>
        <w:rPr>
          <w:rFonts w:hint="eastAsia" w:cs="宋体"/>
          <w:color w:val="auto"/>
          <w:highlight w:val="none"/>
          <w:lang w:val="en-US" w:eastAsia="zh-CN"/>
        </w:rPr>
        <w:t>、Ⅲ区变电智能网关</w:t>
      </w:r>
      <w:r>
        <w:rPr>
          <w:rFonts w:hint="eastAsia" w:cs="宋体"/>
          <w:color w:val="auto"/>
          <w:highlight w:val="none"/>
          <w:lang w:eastAsia="zh-Hans"/>
        </w:rPr>
        <w:t>的信息维护、下发、物联网平台注册及监控。</w:t>
      </w:r>
    </w:p>
    <w:p>
      <w:pPr>
        <w:pStyle w:val="5"/>
        <w:bidi w:val="0"/>
        <w:rPr>
          <w:rFonts w:hint="eastAsia"/>
          <w:color w:val="auto"/>
          <w:sz w:val="24"/>
          <w:szCs w:val="28"/>
          <w:highlight w:val="none"/>
        </w:rPr>
      </w:pPr>
      <w:bookmarkStart w:id="124" w:name="_Toc127541475"/>
      <w:bookmarkStart w:id="125" w:name="_Toc12461"/>
      <w:r>
        <w:rPr>
          <w:rFonts w:hint="eastAsia"/>
          <w:color w:val="auto"/>
          <w:sz w:val="24"/>
          <w:szCs w:val="28"/>
          <w:highlight w:val="none"/>
          <w:lang w:eastAsia="zh-Hans"/>
        </w:rPr>
        <w:t>数据模型</w:t>
      </w:r>
      <w:r>
        <w:rPr>
          <w:rFonts w:hint="eastAsia"/>
          <w:color w:val="auto"/>
          <w:sz w:val="24"/>
          <w:szCs w:val="28"/>
          <w:highlight w:val="none"/>
          <w:lang w:val="en-US" w:eastAsia="zh-CN"/>
        </w:rPr>
        <w:t>集成</w:t>
      </w:r>
      <w:r>
        <w:rPr>
          <w:rFonts w:hint="eastAsia"/>
          <w:color w:val="auto"/>
          <w:sz w:val="24"/>
          <w:szCs w:val="28"/>
          <w:highlight w:val="none"/>
          <w:lang w:eastAsia="zh-Hans"/>
        </w:rPr>
        <w:t>要求</w:t>
      </w:r>
      <w:bookmarkEnd w:id="124"/>
      <w:bookmarkEnd w:id="125"/>
    </w:p>
    <w:p>
      <w:pPr>
        <w:pStyle w:val="6"/>
        <w:bidi w:val="0"/>
        <w:rPr>
          <w:rFonts w:hint="eastAsia"/>
          <w:color w:val="auto"/>
          <w:sz w:val="24"/>
          <w:szCs w:val="28"/>
          <w:highlight w:val="none"/>
          <w:lang w:eastAsia="zh-Hans"/>
        </w:rPr>
      </w:pPr>
      <w:r>
        <w:rPr>
          <w:rFonts w:hint="eastAsia"/>
          <w:color w:val="auto"/>
          <w:sz w:val="24"/>
          <w:szCs w:val="28"/>
          <w:highlight w:val="none"/>
          <w:lang w:eastAsia="zh-Hans"/>
        </w:rPr>
        <w:t>设备、设施等监测对象维护及应用要求</w:t>
      </w:r>
    </w:p>
    <w:p>
      <w:pPr>
        <w:adjustRightInd w:val="0"/>
        <w:snapToGrid w:val="0"/>
        <w:ind w:firstLine="420" w:firstLineChars="200"/>
        <w:rPr>
          <w:rFonts w:hint="eastAsia" w:cs="宋体"/>
          <w:color w:val="auto"/>
          <w:highlight w:val="none"/>
          <w:lang w:eastAsia="zh-Hans"/>
        </w:rPr>
      </w:pPr>
      <w:r>
        <w:rPr>
          <w:rFonts w:hint="eastAsia" w:cs="宋体"/>
          <w:color w:val="auto"/>
          <w:highlight w:val="none"/>
        </w:rPr>
        <w:t>按照网公司数字变电技术规范要求，</w:t>
      </w:r>
      <w:r>
        <w:rPr>
          <w:rFonts w:hint="eastAsia" w:cs="宋体"/>
          <w:color w:val="auto"/>
          <w:highlight w:val="none"/>
          <w:lang w:eastAsia="zh-Hans"/>
        </w:rPr>
        <w:t>站端</w:t>
      </w:r>
      <w:r>
        <w:rPr>
          <w:rFonts w:hint="eastAsia" w:cs="宋体"/>
          <w:color w:val="auto"/>
          <w:highlight w:val="none"/>
        </w:rPr>
        <w:t>主设备台账必须由云侧系统对接设备中心获取</w:t>
      </w:r>
      <w:r>
        <w:rPr>
          <w:rFonts w:hint="eastAsia" w:cs="宋体"/>
          <w:color w:val="auto"/>
          <w:highlight w:val="none"/>
          <w:lang w:eastAsia="zh-Hans"/>
        </w:rPr>
        <w:t>并应用</w:t>
      </w:r>
      <w:r>
        <w:rPr>
          <w:rFonts w:hint="eastAsia" w:cs="宋体"/>
          <w:color w:val="auto"/>
          <w:highlight w:val="none"/>
        </w:rPr>
        <w:t>，以满足设备全生命周期管理要求；站端</w:t>
      </w:r>
      <w:r>
        <w:rPr>
          <w:rFonts w:hint="eastAsia" w:cs="宋体"/>
          <w:color w:val="auto"/>
          <w:highlight w:val="none"/>
          <w:lang w:eastAsia="zh-Hans"/>
        </w:rPr>
        <w:t>辅助设备及设施</w:t>
      </w:r>
      <w:r>
        <w:rPr>
          <w:rFonts w:hint="eastAsia" w:cs="宋体"/>
          <w:color w:val="auto"/>
          <w:highlight w:val="none"/>
        </w:rPr>
        <w:t>必须按照网级统一规范的编码规则进行编码</w:t>
      </w:r>
      <w:r>
        <w:rPr>
          <w:rFonts w:hint="eastAsia" w:cs="宋体"/>
          <w:color w:val="auto"/>
          <w:highlight w:val="none"/>
          <w:lang w:eastAsia="zh-Hans"/>
        </w:rPr>
        <w:t>，</w:t>
      </w:r>
      <w:r>
        <w:rPr>
          <w:rFonts w:hint="eastAsia" w:cs="宋体"/>
          <w:color w:val="auto"/>
          <w:highlight w:val="none"/>
        </w:rPr>
        <w:t>并</w:t>
      </w:r>
      <w:r>
        <w:rPr>
          <w:rFonts w:hint="eastAsia" w:cs="宋体"/>
          <w:color w:val="auto"/>
          <w:highlight w:val="none"/>
          <w:lang w:eastAsia="zh-Hans"/>
        </w:rPr>
        <w:t>在</w:t>
      </w:r>
      <w:r>
        <w:rPr>
          <w:rFonts w:hint="eastAsia" w:cs="宋体"/>
          <w:color w:val="auto"/>
          <w:highlight w:val="none"/>
        </w:rPr>
        <w:t>云侧系统</w:t>
      </w:r>
      <w:r>
        <w:rPr>
          <w:rFonts w:hint="eastAsia" w:cs="宋体"/>
          <w:color w:val="auto"/>
          <w:highlight w:val="none"/>
          <w:lang w:eastAsia="zh-Hans"/>
        </w:rPr>
        <w:t>进行统一注册，并完成标准的编码获取，生成，同步按照规定协议完成终端接入调试。</w:t>
      </w:r>
    </w:p>
    <w:p>
      <w:pPr>
        <w:pStyle w:val="8"/>
        <w:numPr>
          <w:ilvl w:val="0"/>
          <w:numId w:val="0"/>
        </w:numPr>
        <w:tabs>
          <w:tab w:val="left" w:pos="0"/>
        </w:tabs>
        <w:ind w:left="1284" w:leftChars="200"/>
        <w:rPr>
          <w:rFonts w:hint="eastAsia" w:ascii="Plotter" w:hAnsi="Plotter" w:eastAsia="宋体" w:cs="Times New Roman"/>
          <w:b/>
          <w:bCs w:val="0"/>
          <w:color w:val="auto"/>
          <w:kern w:val="2"/>
          <w:sz w:val="24"/>
          <w:szCs w:val="28"/>
          <w:highlight w:val="none"/>
          <w:lang w:val="en-US" w:eastAsia="zh-Hans" w:bidi="ar-SA"/>
        </w:rPr>
      </w:pPr>
      <w:r>
        <w:rPr>
          <w:rFonts w:hint="eastAsia" w:ascii="Plotter" w:hAnsi="Plotter" w:eastAsia="宋体" w:cs="Times New Roman"/>
          <w:b/>
          <w:bCs w:val="0"/>
          <w:color w:val="auto"/>
          <w:kern w:val="2"/>
          <w:sz w:val="24"/>
          <w:szCs w:val="28"/>
          <w:highlight w:val="none"/>
          <w:lang w:val="en-US" w:eastAsia="zh-Hans" w:bidi="ar-SA"/>
        </w:rPr>
        <w:t>技术要求1：设施台账收资数据格式</w:t>
      </w:r>
    </w:p>
    <w:p>
      <w:pPr>
        <w:adjustRightInd w:val="0"/>
        <w:snapToGrid w:val="0"/>
        <w:ind w:firstLine="420" w:firstLineChars="200"/>
        <w:rPr>
          <w:rFonts w:hint="eastAsia" w:cs="宋体"/>
          <w:color w:val="auto"/>
          <w:highlight w:val="none"/>
        </w:rPr>
      </w:pPr>
      <w:r>
        <w:rPr>
          <w:rFonts w:hint="eastAsia" w:cs="宋体"/>
          <w:color w:val="auto"/>
          <w:highlight w:val="none"/>
        </w:rPr>
        <w:t>应按照统一规范的变电站设施、辅助设备收资模板定义的数据模型要求，对变电站内部存量的设施以及辅助设备终端进行台账收资，用于构建基准的设施台账树及统一运维管理。</w:t>
      </w:r>
    </w:p>
    <w:p>
      <w:pPr>
        <w:pStyle w:val="8"/>
        <w:numPr>
          <w:ilvl w:val="0"/>
          <w:numId w:val="0"/>
        </w:numPr>
        <w:tabs>
          <w:tab w:val="left" w:pos="0"/>
        </w:tabs>
        <w:ind w:left="1284" w:leftChars="200"/>
        <w:rPr>
          <w:rFonts w:hint="eastAsia" w:ascii="Plotter" w:hAnsi="Plotter" w:eastAsia="宋体" w:cs="Times New Roman"/>
          <w:b/>
          <w:bCs w:val="0"/>
          <w:color w:val="auto"/>
          <w:kern w:val="2"/>
          <w:sz w:val="24"/>
          <w:szCs w:val="28"/>
          <w:highlight w:val="none"/>
          <w:lang w:val="en-US" w:eastAsia="zh-Hans" w:bidi="ar-SA"/>
        </w:rPr>
      </w:pPr>
      <w:r>
        <w:rPr>
          <w:rFonts w:hint="eastAsia" w:ascii="Plotter" w:hAnsi="Plotter" w:eastAsia="宋体" w:cs="Times New Roman"/>
          <w:b/>
          <w:bCs w:val="0"/>
          <w:color w:val="auto"/>
          <w:kern w:val="2"/>
          <w:sz w:val="24"/>
          <w:szCs w:val="28"/>
          <w:highlight w:val="none"/>
          <w:lang w:val="en-US" w:eastAsia="zh-Hans" w:bidi="ar-SA"/>
        </w:rPr>
        <w:t>技术要求2：收资台账授码</w:t>
      </w:r>
    </w:p>
    <w:p>
      <w:pPr>
        <w:adjustRightInd w:val="0"/>
        <w:snapToGrid w:val="0"/>
        <w:ind w:firstLine="420" w:firstLineChars="200"/>
        <w:rPr>
          <w:rFonts w:hint="eastAsia"/>
          <w:color w:val="auto"/>
          <w:highlight w:val="none"/>
        </w:rPr>
      </w:pPr>
      <w:r>
        <w:rPr>
          <w:rFonts w:hint="eastAsia"/>
          <w:color w:val="auto"/>
          <w:highlight w:val="none"/>
        </w:rPr>
        <w:t>应按照统一规范的</w:t>
      </w:r>
      <w:r>
        <w:rPr>
          <w:rFonts w:hint="eastAsia"/>
          <w:color w:val="auto"/>
          <w:highlight w:val="none"/>
          <w:lang w:eastAsia="zh-Hans"/>
        </w:rPr>
        <w:t>变电站辅助设备编码</w:t>
      </w:r>
      <w:r>
        <w:rPr>
          <w:rFonts w:hint="eastAsia"/>
          <w:color w:val="auto"/>
          <w:highlight w:val="none"/>
        </w:rPr>
        <w:t>规则要求对收资台账进行授码，用于</w:t>
      </w:r>
      <w:r>
        <w:rPr>
          <w:rFonts w:hint="eastAsia"/>
          <w:color w:val="auto"/>
          <w:highlight w:val="none"/>
          <w:lang w:val="en-US" w:eastAsia="zh-CN"/>
        </w:rPr>
        <w:t>Ⅲ区变电智能网关</w:t>
      </w:r>
      <w:r>
        <w:rPr>
          <w:rFonts w:hint="eastAsia"/>
          <w:color w:val="auto"/>
          <w:highlight w:val="none"/>
        </w:rPr>
        <w:t>使用此码注册至物联网平台，保证云、物联网、边三侧系统的编码一致。</w:t>
      </w:r>
    </w:p>
    <w:p>
      <w:pPr>
        <w:pStyle w:val="8"/>
        <w:numPr>
          <w:ilvl w:val="0"/>
          <w:numId w:val="0"/>
        </w:numPr>
        <w:tabs>
          <w:tab w:val="left" w:pos="0"/>
        </w:tabs>
        <w:ind w:left="1284" w:leftChars="200"/>
        <w:rPr>
          <w:rFonts w:hint="eastAsia" w:ascii="Plotter" w:hAnsi="Plotter" w:eastAsia="宋体" w:cs="Times New Roman"/>
          <w:b/>
          <w:bCs w:val="0"/>
          <w:color w:val="auto"/>
          <w:kern w:val="2"/>
          <w:sz w:val="24"/>
          <w:szCs w:val="28"/>
          <w:highlight w:val="none"/>
          <w:lang w:val="en-US" w:eastAsia="zh-Hans" w:bidi="ar-SA"/>
        </w:rPr>
      </w:pPr>
      <w:r>
        <w:rPr>
          <w:rFonts w:hint="eastAsia" w:ascii="Plotter" w:hAnsi="Plotter" w:eastAsia="宋体" w:cs="Times New Roman"/>
          <w:b/>
          <w:bCs w:val="0"/>
          <w:color w:val="auto"/>
          <w:kern w:val="2"/>
          <w:sz w:val="24"/>
          <w:szCs w:val="28"/>
          <w:highlight w:val="none"/>
          <w:lang w:val="en-US" w:eastAsia="zh-Hans" w:bidi="ar-SA"/>
        </w:rPr>
        <w:t>技术要求3：收资台账数据维护</w:t>
      </w:r>
    </w:p>
    <w:p>
      <w:pPr>
        <w:adjustRightInd w:val="0"/>
        <w:snapToGrid w:val="0"/>
        <w:ind w:firstLine="420" w:firstLineChars="200"/>
        <w:rPr>
          <w:color w:val="auto"/>
          <w:highlight w:val="none"/>
        </w:rPr>
      </w:pPr>
      <w:r>
        <w:rPr>
          <w:rFonts w:hint="eastAsia"/>
          <w:color w:val="auto"/>
          <w:highlight w:val="none"/>
        </w:rPr>
        <w:t>应将收资台账表格作为基准数据录入到云侧设施台账管理模块，完成设施台账以及辅助设备台账的初始化工作，后续通过设施台账管理模块功能对变电站设施、辅助设备终端、终端与设施挂靠关系进行维护。</w:t>
      </w:r>
    </w:p>
    <w:p>
      <w:pPr>
        <w:pStyle w:val="8"/>
        <w:numPr>
          <w:ilvl w:val="0"/>
          <w:numId w:val="0"/>
        </w:numPr>
        <w:tabs>
          <w:tab w:val="left" w:pos="0"/>
        </w:tabs>
        <w:ind w:left="1284" w:leftChars="200"/>
        <w:rPr>
          <w:rFonts w:hint="eastAsia" w:ascii="Plotter" w:hAnsi="Plotter" w:eastAsia="宋体" w:cs="Times New Roman"/>
          <w:b/>
          <w:bCs w:val="0"/>
          <w:color w:val="auto"/>
          <w:kern w:val="2"/>
          <w:sz w:val="24"/>
          <w:szCs w:val="28"/>
          <w:highlight w:val="none"/>
          <w:lang w:val="en-US" w:eastAsia="zh-Hans" w:bidi="ar-SA"/>
        </w:rPr>
      </w:pPr>
      <w:r>
        <w:rPr>
          <w:rFonts w:hint="eastAsia" w:ascii="Plotter" w:hAnsi="Plotter" w:eastAsia="宋体" w:cs="Times New Roman"/>
          <w:b/>
          <w:bCs w:val="0"/>
          <w:color w:val="auto"/>
          <w:kern w:val="2"/>
          <w:sz w:val="24"/>
          <w:szCs w:val="28"/>
          <w:highlight w:val="none"/>
          <w:lang w:val="en-US" w:eastAsia="zh-Hans" w:bidi="ar-SA"/>
        </w:rPr>
        <w:t>技术要求4：数据分发</w:t>
      </w:r>
    </w:p>
    <w:p>
      <w:pPr>
        <w:adjustRightInd w:val="0"/>
        <w:snapToGrid w:val="0"/>
        <w:ind w:firstLine="420" w:firstLineChars="200"/>
        <w:rPr>
          <w:rFonts w:hint="eastAsia"/>
          <w:color w:val="auto"/>
          <w:highlight w:val="none"/>
        </w:rPr>
      </w:pPr>
      <w:r>
        <w:rPr>
          <w:rFonts w:hint="eastAsia"/>
          <w:color w:val="auto"/>
          <w:highlight w:val="none"/>
        </w:rPr>
        <w:t>由云侧将初始化后的设施台账以及辅助设备台账下发至边端主机，在云侧台账发生变化时实时增量告知边端主机进行应用。</w:t>
      </w:r>
    </w:p>
    <w:p>
      <w:pPr>
        <w:adjustRightInd w:val="0"/>
        <w:snapToGrid w:val="0"/>
        <w:ind w:firstLine="420" w:firstLineChars="200"/>
        <w:rPr>
          <w:rFonts w:hint="eastAsia"/>
          <w:color w:val="auto"/>
          <w:highlight w:val="none"/>
        </w:rPr>
      </w:pPr>
      <w:r>
        <w:rPr>
          <w:rFonts w:hint="eastAsia"/>
          <w:color w:val="auto"/>
          <w:highlight w:val="none"/>
        </w:rPr>
        <w:t>云侧同步将辅助设备台账下发至</w:t>
      </w:r>
      <w:r>
        <w:rPr>
          <w:rFonts w:hint="eastAsia"/>
          <w:color w:val="auto"/>
          <w:highlight w:val="none"/>
          <w:lang w:eastAsia="zh-CN"/>
        </w:rPr>
        <w:t>Ⅲ区变电智能网关</w:t>
      </w:r>
      <w:r>
        <w:rPr>
          <w:rFonts w:hint="eastAsia"/>
          <w:color w:val="auto"/>
          <w:highlight w:val="none"/>
        </w:rPr>
        <w:t>主机，</w:t>
      </w:r>
      <w:r>
        <w:rPr>
          <w:rFonts w:hint="eastAsia"/>
          <w:color w:val="auto"/>
          <w:highlight w:val="none"/>
          <w:lang w:val="en-US" w:eastAsia="zh-CN"/>
        </w:rPr>
        <w:t>Ⅲ区变电智能网关</w:t>
      </w:r>
      <w:r>
        <w:rPr>
          <w:rFonts w:hint="eastAsia"/>
          <w:color w:val="auto"/>
          <w:highlight w:val="none"/>
        </w:rPr>
        <w:t>主机根据辅助设备台账中的北向ID，将终端设备注册至物联网平台。</w:t>
      </w:r>
    </w:p>
    <w:p>
      <w:pPr>
        <w:pStyle w:val="8"/>
        <w:numPr>
          <w:ilvl w:val="0"/>
          <w:numId w:val="0"/>
        </w:numPr>
        <w:tabs>
          <w:tab w:val="left" w:pos="0"/>
        </w:tabs>
        <w:ind w:left="1284" w:leftChars="200"/>
        <w:rPr>
          <w:rFonts w:hint="eastAsia" w:ascii="Plotter" w:hAnsi="Plotter" w:eastAsia="宋体" w:cs="Times New Roman"/>
          <w:b/>
          <w:bCs w:val="0"/>
          <w:color w:val="auto"/>
          <w:kern w:val="2"/>
          <w:sz w:val="24"/>
          <w:szCs w:val="28"/>
          <w:highlight w:val="none"/>
          <w:lang w:val="en-US" w:eastAsia="zh-Hans" w:bidi="ar-SA"/>
        </w:rPr>
      </w:pPr>
      <w:r>
        <w:rPr>
          <w:rFonts w:hint="eastAsia" w:ascii="Plotter" w:hAnsi="Plotter" w:eastAsia="宋体" w:cs="Times New Roman"/>
          <w:b/>
          <w:bCs w:val="0"/>
          <w:color w:val="auto"/>
          <w:kern w:val="2"/>
          <w:sz w:val="24"/>
          <w:szCs w:val="28"/>
          <w:highlight w:val="none"/>
          <w:lang w:val="en-US" w:eastAsia="zh-Hans" w:bidi="ar-SA"/>
        </w:rPr>
        <w:t>技术要求5：主设备台账应用</w:t>
      </w:r>
    </w:p>
    <w:p>
      <w:pPr>
        <w:adjustRightInd w:val="0"/>
        <w:snapToGrid w:val="0"/>
        <w:ind w:firstLine="420" w:firstLineChars="200"/>
        <w:rPr>
          <w:color w:val="auto"/>
          <w:highlight w:val="none"/>
        </w:rPr>
      </w:pPr>
      <w:r>
        <w:rPr>
          <w:rFonts w:hint="eastAsia"/>
          <w:color w:val="auto"/>
          <w:highlight w:val="none"/>
          <w:lang w:eastAsia="zh-Hans"/>
        </w:rPr>
        <w:t>站端</w:t>
      </w:r>
      <w:r>
        <w:rPr>
          <w:rFonts w:hint="eastAsia"/>
          <w:color w:val="auto"/>
          <w:highlight w:val="none"/>
        </w:rPr>
        <w:t>主</w:t>
      </w:r>
      <w:r>
        <w:rPr>
          <w:rFonts w:hint="eastAsia" w:cs="宋体"/>
          <w:color w:val="auto"/>
          <w:highlight w:val="none"/>
          <w:lang w:eastAsia="zh-Hans"/>
        </w:rPr>
        <w:t>设备</w:t>
      </w:r>
      <w:r>
        <w:rPr>
          <w:rFonts w:hint="eastAsia"/>
          <w:color w:val="auto"/>
          <w:highlight w:val="none"/>
        </w:rPr>
        <w:t>台账应由云侧系统提供数据支撑，云侧系统对接设备中心，完成主设备台账的获取。</w:t>
      </w:r>
    </w:p>
    <w:p>
      <w:pPr>
        <w:pStyle w:val="6"/>
        <w:bidi w:val="0"/>
        <w:rPr>
          <w:rFonts w:hint="eastAsia"/>
          <w:color w:val="auto"/>
          <w:sz w:val="24"/>
          <w:szCs w:val="28"/>
          <w:highlight w:val="none"/>
          <w:lang w:eastAsia="zh-Hans"/>
        </w:rPr>
      </w:pPr>
      <w:r>
        <w:rPr>
          <w:rFonts w:hint="eastAsia"/>
          <w:color w:val="auto"/>
          <w:sz w:val="24"/>
          <w:szCs w:val="28"/>
          <w:highlight w:val="none"/>
          <w:lang w:eastAsia="zh-Hans"/>
        </w:rPr>
        <w:t>主机、</w:t>
      </w:r>
      <w:r>
        <w:rPr>
          <w:rFonts w:hint="eastAsia"/>
          <w:color w:val="auto"/>
          <w:sz w:val="24"/>
          <w:szCs w:val="28"/>
          <w:highlight w:val="none"/>
          <w:lang w:eastAsia="zh-CN"/>
        </w:rPr>
        <w:t>Ⅲ区变电智能网关</w:t>
      </w:r>
      <w:r>
        <w:rPr>
          <w:rFonts w:hint="eastAsia"/>
          <w:color w:val="auto"/>
          <w:sz w:val="24"/>
          <w:szCs w:val="28"/>
          <w:highlight w:val="none"/>
          <w:lang w:eastAsia="zh-Hans"/>
        </w:rPr>
        <w:t>、智能传感终端等IOT设备维护及应用要求</w:t>
      </w:r>
    </w:p>
    <w:p>
      <w:pPr>
        <w:adjustRightInd w:val="0"/>
        <w:snapToGrid w:val="0"/>
        <w:ind w:firstLine="420" w:firstLineChars="200"/>
        <w:rPr>
          <w:color w:val="auto"/>
          <w:highlight w:val="none"/>
          <w:lang w:eastAsia="zh-Hans"/>
        </w:rPr>
      </w:pPr>
      <w:r>
        <w:rPr>
          <w:rFonts w:hint="eastAsia"/>
          <w:color w:val="auto"/>
          <w:highlight w:val="none"/>
        </w:rPr>
        <w:t>站端的</w:t>
      </w:r>
      <w:r>
        <w:rPr>
          <w:rFonts w:hint="eastAsia"/>
          <w:color w:val="auto"/>
          <w:highlight w:val="none"/>
          <w:lang w:eastAsia="zh-CN"/>
        </w:rPr>
        <w:t>Ⅲ区变电智能网关</w:t>
      </w:r>
      <w:r>
        <w:rPr>
          <w:rFonts w:hint="eastAsia"/>
          <w:color w:val="auto"/>
          <w:highlight w:val="none"/>
        </w:rPr>
        <w:t>、智能传感终端等终端设备，</w:t>
      </w:r>
      <w:r>
        <w:rPr>
          <w:rFonts w:hint="eastAsia"/>
          <w:color w:val="auto"/>
          <w:highlight w:val="none"/>
          <w:lang w:eastAsia="zh-Hans"/>
        </w:rPr>
        <w:t>必须符合统一编码规范要求，在</w:t>
      </w:r>
      <w:r>
        <w:rPr>
          <w:rFonts w:hint="eastAsia"/>
          <w:color w:val="auto"/>
          <w:highlight w:val="none"/>
        </w:rPr>
        <w:t>云侧系统</w:t>
      </w:r>
      <w:r>
        <w:rPr>
          <w:rFonts w:hint="eastAsia"/>
          <w:color w:val="auto"/>
          <w:highlight w:val="none"/>
          <w:lang w:eastAsia="zh-Hans"/>
        </w:rPr>
        <w:t>进行统一注册，并完成标准的编码获取，生成。同步按照规定协议完成终端接入调试。</w:t>
      </w:r>
    </w:p>
    <w:p>
      <w:pPr>
        <w:adjustRightInd w:val="0"/>
        <w:snapToGrid w:val="0"/>
        <w:ind w:firstLine="420" w:firstLineChars="200"/>
        <w:rPr>
          <w:rFonts w:hint="eastAsia"/>
          <w:color w:val="auto"/>
          <w:highlight w:val="none"/>
          <w:lang w:eastAsia="zh-Hans"/>
        </w:rPr>
      </w:pPr>
      <w:r>
        <w:rPr>
          <w:rFonts w:hint="eastAsia"/>
          <w:color w:val="auto"/>
          <w:highlight w:val="none"/>
          <w:lang w:eastAsia="zh-Hans"/>
        </w:rPr>
        <w:t>实现统一的维护，以及各类证书的生成及下载，更新数据的下发。</w:t>
      </w:r>
    </w:p>
    <w:p>
      <w:pPr>
        <w:pStyle w:val="8"/>
        <w:numPr>
          <w:ilvl w:val="0"/>
          <w:numId w:val="0"/>
        </w:numPr>
        <w:tabs>
          <w:tab w:val="left" w:pos="0"/>
        </w:tabs>
        <w:ind w:left="1284" w:leftChars="200"/>
        <w:rPr>
          <w:rFonts w:hint="eastAsia" w:ascii="Plotter" w:hAnsi="Plotter" w:eastAsia="宋体" w:cs="Times New Roman"/>
          <w:b/>
          <w:bCs w:val="0"/>
          <w:color w:val="auto"/>
          <w:kern w:val="2"/>
          <w:sz w:val="24"/>
          <w:szCs w:val="28"/>
          <w:highlight w:val="none"/>
          <w:lang w:val="en-US" w:eastAsia="zh-Hans" w:bidi="ar-SA"/>
        </w:rPr>
      </w:pPr>
      <w:r>
        <w:rPr>
          <w:rFonts w:hint="eastAsia" w:ascii="Plotter" w:hAnsi="Plotter" w:eastAsia="宋体" w:cs="Times New Roman"/>
          <w:b/>
          <w:bCs w:val="0"/>
          <w:color w:val="auto"/>
          <w:kern w:val="2"/>
          <w:sz w:val="24"/>
          <w:szCs w:val="28"/>
          <w:highlight w:val="none"/>
          <w:lang w:val="en-US" w:eastAsia="zh-Hans" w:bidi="ar-SA"/>
        </w:rPr>
        <w:t>技术要求1：主机、</w:t>
      </w:r>
      <w:r>
        <w:rPr>
          <w:rFonts w:hint="eastAsia" w:ascii="Plotter" w:hAnsi="Plotter" w:eastAsia="宋体" w:cs="Times New Roman"/>
          <w:b/>
          <w:bCs w:val="0"/>
          <w:color w:val="auto"/>
          <w:kern w:val="2"/>
          <w:sz w:val="24"/>
          <w:szCs w:val="28"/>
          <w:highlight w:val="none"/>
          <w:lang w:val="en-US" w:eastAsia="zh-CN" w:bidi="ar-SA"/>
        </w:rPr>
        <w:t>Ⅲ区变电智能网关</w:t>
      </w:r>
      <w:r>
        <w:rPr>
          <w:rFonts w:hint="eastAsia" w:ascii="Plotter" w:hAnsi="Plotter" w:eastAsia="宋体" w:cs="Times New Roman"/>
          <w:b/>
          <w:bCs w:val="0"/>
          <w:color w:val="auto"/>
          <w:kern w:val="2"/>
          <w:sz w:val="24"/>
          <w:szCs w:val="28"/>
          <w:highlight w:val="none"/>
          <w:lang w:val="en-US" w:eastAsia="zh-Hans" w:bidi="ar-SA"/>
        </w:rPr>
        <w:t>纳管</w:t>
      </w:r>
    </w:p>
    <w:p>
      <w:pPr>
        <w:adjustRightInd w:val="0"/>
        <w:snapToGrid w:val="0"/>
        <w:ind w:firstLine="420" w:firstLineChars="200"/>
        <w:rPr>
          <w:color w:val="auto"/>
          <w:highlight w:val="none"/>
        </w:rPr>
      </w:pPr>
      <w:r>
        <w:rPr>
          <w:rFonts w:hint="eastAsia"/>
          <w:color w:val="auto"/>
          <w:highlight w:val="none"/>
        </w:rPr>
        <w:t>需在云侧系统完成对边侧生产分析处理主机以及</w:t>
      </w:r>
      <w:r>
        <w:rPr>
          <w:rFonts w:hint="eastAsia"/>
          <w:color w:val="auto"/>
          <w:highlight w:val="none"/>
          <w:lang w:eastAsia="zh-CN"/>
        </w:rPr>
        <w:t>Ⅲ区变电智能网关</w:t>
      </w:r>
      <w:r>
        <w:rPr>
          <w:rFonts w:hint="eastAsia"/>
          <w:color w:val="auto"/>
          <w:highlight w:val="none"/>
        </w:rPr>
        <w:t>主机的纳管，达到由云侧统一远程运维的</w:t>
      </w:r>
      <w:r>
        <w:rPr>
          <w:rFonts w:hint="eastAsia" w:cs="宋体"/>
          <w:color w:val="auto"/>
          <w:highlight w:val="none"/>
          <w:lang w:eastAsia="zh-Hans"/>
        </w:rPr>
        <w:t>目的</w:t>
      </w:r>
      <w:r>
        <w:rPr>
          <w:rFonts w:hint="eastAsia"/>
          <w:color w:val="auto"/>
          <w:highlight w:val="none"/>
        </w:rPr>
        <w:t>。</w:t>
      </w:r>
    </w:p>
    <w:p>
      <w:pPr>
        <w:adjustRightInd w:val="0"/>
        <w:snapToGrid w:val="0"/>
        <w:ind w:firstLine="420" w:firstLineChars="200"/>
        <w:rPr>
          <w:color w:val="auto"/>
          <w:highlight w:val="none"/>
        </w:rPr>
      </w:pPr>
      <w:r>
        <w:rPr>
          <w:rFonts w:hint="eastAsia"/>
          <w:color w:val="auto"/>
          <w:highlight w:val="none"/>
        </w:rPr>
        <w:t>在网侧</w:t>
      </w:r>
      <w:r>
        <w:rPr>
          <w:rFonts w:hint="eastAsia" w:cs="宋体"/>
          <w:color w:val="auto"/>
          <w:highlight w:val="none"/>
          <w:lang w:eastAsia="zh-Hans"/>
        </w:rPr>
        <w:t>系统</w:t>
      </w:r>
      <w:r>
        <w:rPr>
          <w:rFonts w:hint="eastAsia"/>
          <w:color w:val="auto"/>
          <w:highlight w:val="none"/>
        </w:rPr>
        <w:t>，完成边侧生产分析处理主机以及</w:t>
      </w:r>
      <w:r>
        <w:rPr>
          <w:rFonts w:hint="eastAsia"/>
          <w:color w:val="auto"/>
          <w:highlight w:val="none"/>
          <w:lang w:eastAsia="zh-CN"/>
        </w:rPr>
        <w:t>Ⅲ区变电智能网关</w:t>
      </w:r>
      <w:r>
        <w:rPr>
          <w:rFonts w:hint="eastAsia"/>
          <w:color w:val="auto"/>
          <w:highlight w:val="none"/>
        </w:rPr>
        <w:t>虚拟主机的统一创建。需在边侧生产分析处理主机以及</w:t>
      </w:r>
      <w:r>
        <w:rPr>
          <w:rFonts w:hint="eastAsia"/>
          <w:color w:val="auto"/>
          <w:highlight w:val="none"/>
          <w:lang w:eastAsia="zh-CN"/>
        </w:rPr>
        <w:t>Ⅲ区变电智能网关</w:t>
      </w:r>
      <w:r>
        <w:rPr>
          <w:rFonts w:hint="eastAsia"/>
          <w:color w:val="auto"/>
          <w:highlight w:val="none"/>
        </w:rPr>
        <w:t>主机安装并运行纳管程序以及运维组件，完成主机在云端的注册和纳管。</w:t>
      </w:r>
    </w:p>
    <w:p>
      <w:pPr>
        <w:pStyle w:val="8"/>
        <w:numPr>
          <w:ilvl w:val="0"/>
          <w:numId w:val="0"/>
        </w:numPr>
        <w:tabs>
          <w:tab w:val="left" w:pos="0"/>
        </w:tabs>
        <w:ind w:left="1284" w:leftChars="200"/>
        <w:rPr>
          <w:rFonts w:hint="eastAsia" w:ascii="Plotter" w:hAnsi="Plotter" w:eastAsia="宋体" w:cs="Times New Roman"/>
          <w:b/>
          <w:bCs w:val="0"/>
          <w:color w:val="auto"/>
          <w:kern w:val="2"/>
          <w:sz w:val="24"/>
          <w:szCs w:val="28"/>
          <w:highlight w:val="none"/>
          <w:lang w:val="en-US" w:eastAsia="zh-Hans" w:bidi="ar-SA"/>
        </w:rPr>
      </w:pPr>
      <w:r>
        <w:rPr>
          <w:rFonts w:hint="eastAsia" w:ascii="Plotter" w:hAnsi="Plotter" w:eastAsia="宋体" w:cs="Times New Roman"/>
          <w:b/>
          <w:bCs w:val="0"/>
          <w:color w:val="auto"/>
          <w:kern w:val="2"/>
          <w:sz w:val="24"/>
          <w:szCs w:val="28"/>
          <w:highlight w:val="none"/>
          <w:lang w:val="en-US" w:eastAsia="zh-Hans" w:bidi="ar-SA"/>
        </w:rPr>
        <w:t>技术要求2：智能传感终端运维</w:t>
      </w:r>
    </w:p>
    <w:p>
      <w:pPr>
        <w:adjustRightInd w:val="0"/>
        <w:snapToGrid w:val="0"/>
        <w:ind w:firstLine="420" w:firstLineChars="200"/>
        <w:rPr>
          <w:rFonts w:hint="eastAsia"/>
          <w:color w:val="auto"/>
          <w:highlight w:val="none"/>
        </w:rPr>
      </w:pPr>
      <w:r>
        <w:rPr>
          <w:rFonts w:hint="eastAsia"/>
          <w:color w:val="auto"/>
          <w:highlight w:val="none"/>
        </w:rPr>
        <w:t>智能传感终端资产信息发生变化时，需要在云侧系统进行统一运维确认无误后，注册至物联网平台，并下发至边侧系统进行应用。</w:t>
      </w:r>
    </w:p>
    <w:p>
      <w:pPr>
        <w:pStyle w:val="6"/>
        <w:bidi w:val="0"/>
        <w:rPr>
          <w:rFonts w:hint="eastAsia"/>
          <w:color w:val="auto"/>
          <w:sz w:val="24"/>
          <w:szCs w:val="28"/>
          <w:highlight w:val="none"/>
          <w:lang w:eastAsia="zh-Hans"/>
        </w:rPr>
      </w:pPr>
      <w:r>
        <w:rPr>
          <w:rFonts w:hint="eastAsia"/>
          <w:color w:val="auto"/>
          <w:sz w:val="24"/>
          <w:szCs w:val="28"/>
          <w:highlight w:val="none"/>
          <w:lang w:eastAsia="zh-Hans"/>
        </w:rPr>
        <w:t>模型维护及应用</w:t>
      </w:r>
      <w:r>
        <w:rPr>
          <w:rFonts w:hint="eastAsia"/>
          <w:color w:val="auto"/>
          <w:sz w:val="24"/>
          <w:szCs w:val="28"/>
          <w:highlight w:val="none"/>
          <w:lang w:val="en-US" w:eastAsia="zh-CN"/>
        </w:rPr>
        <w:t>集成</w:t>
      </w:r>
      <w:r>
        <w:rPr>
          <w:rFonts w:hint="eastAsia"/>
          <w:color w:val="auto"/>
          <w:sz w:val="24"/>
          <w:szCs w:val="28"/>
          <w:highlight w:val="none"/>
          <w:lang w:eastAsia="zh-Hans"/>
        </w:rPr>
        <w:t>要求</w:t>
      </w:r>
    </w:p>
    <w:p>
      <w:pPr>
        <w:adjustRightInd w:val="0"/>
        <w:snapToGrid w:val="0"/>
        <w:ind w:firstLine="420" w:firstLineChars="200"/>
        <w:rPr>
          <w:rFonts w:hint="eastAsia"/>
          <w:color w:val="auto"/>
          <w:highlight w:val="none"/>
        </w:rPr>
      </w:pPr>
      <w:r>
        <w:rPr>
          <w:rFonts w:hint="eastAsia"/>
          <w:color w:val="auto"/>
          <w:highlight w:val="none"/>
        </w:rPr>
        <w:t>必须在网级实现对模型的统一维护和管理。将各类型传感器获取的监测类数据进行统一归集与管理。赋予标准编码及维护。</w:t>
      </w:r>
    </w:p>
    <w:p>
      <w:pPr>
        <w:adjustRightInd w:val="0"/>
        <w:snapToGrid w:val="0"/>
        <w:ind w:firstLine="420" w:firstLineChars="200"/>
        <w:rPr>
          <w:rFonts w:hint="eastAsia"/>
          <w:color w:val="auto"/>
          <w:highlight w:val="none"/>
        </w:rPr>
      </w:pPr>
      <w:r>
        <w:rPr>
          <w:rFonts w:hint="eastAsia"/>
          <w:color w:val="auto"/>
          <w:highlight w:val="none"/>
        </w:rPr>
        <w:t>以设施以及主设备等监测对象为基础数据，在云侧系统完成监测点的创建以及监测点与监测对象的绑定，用以构建监测对象模型。</w:t>
      </w:r>
    </w:p>
    <w:p>
      <w:pPr>
        <w:pStyle w:val="8"/>
        <w:numPr>
          <w:ilvl w:val="0"/>
          <w:numId w:val="0"/>
        </w:numPr>
        <w:tabs>
          <w:tab w:val="left" w:pos="0"/>
        </w:tabs>
        <w:ind w:left="1284" w:leftChars="200"/>
        <w:rPr>
          <w:rFonts w:hint="eastAsia" w:ascii="Plotter" w:hAnsi="Plotter" w:eastAsia="宋体" w:cs="Times New Roman"/>
          <w:b/>
          <w:bCs w:val="0"/>
          <w:color w:val="auto"/>
          <w:kern w:val="2"/>
          <w:sz w:val="24"/>
          <w:szCs w:val="28"/>
          <w:highlight w:val="none"/>
          <w:lang w:val="en-US" w:eastAsia="zh-Hans" w:bidi="ar-SA"/>
        </w:rPr>
      </w:pPr>
      <w:r>
        <w:rPr>
          <w:rFonts w:hint="eastAsia" w:ascii="Plotter" w:hAnsi="Plotter" w:eastAsia="宋体" w:cs="Times New Roman"/>
          <w:b/>
          <w:bCs w:val="0"/>
          <w:color w:val="auto"/>
          <w:kern w:val="2"/>
          <w:sz w:val="24"/>
          <w:szCs w:val="28"/>
          <w:highlight w:val="none"/>
          <w:lang w:val="en-US" w:eastAsia="zh-Hans" w:bidi="ar-SA"/>
        </w:rPr>
        <w:t>技术要求1：监测对象模型的构建</w:t>
      </w:r>
    </w:p>
    <w:p>
      <w:pPr>
        <w:adjustRightInd w:val="0"/>
        <w:snapToGrid w:val="0"/>
        <w:ind w:firstLine="420" w:firstLineChars="200"/>
        <w:rPr>
          <w:color w:val="auto"/>
          <w:highlight w:val="none"/>
        </w:rPr>
      </w:pPr>
      <w:r>
        <w:rPr>
          <w:rFonts w:hint="eastAsia"/>
          <w:color w:val="auto"/>
          <w:highlight w:val="none"/>
        </w:rPr>
        <w:t>根据监测对象的类型（如摄像头、机器人、无人机、动环装置、在线监测装置），根据预先定义的监测点，在云侧系统不同绑定模块完成监测对象（包括监测点位）与监测点的绑定。</w:t>
      </w:r>
    </w:p>
    <w:p>
      <w:pPr>
        <w:pStyle w:val="8"/>
        <w:numPr>
          <w:ilvl w:val="0"/>
          <w:numId w:val="0"/>
        </w:numPr>
        <w:tabs>
          <w:tab w:val="left" w:pos="0"/>
        </w:tabs>
        <w:ind w:left="1284" w:leftChars="200"/>
        <w:rPr>
          <w:rFonts w:hint="eastAsia" w:ascii="Plotter" w:hAnsi="Plotter" w:eastAsia="宋体" w:cs="Times New Roman"/>
          <w:b/>
          <w:bCs w:val="0"/>
          <w:color w:val="auto"/>
          <w:kern w:val="2"/>
          <w:sz w:val="24"/>
          <w:szCs w:val="28"/>
          <w:highlight w:val="none"/>
          <w:lang w:val="en-US" w:eastAsia="zh-Hans" w:bidi="ar-SA"/>
        </w:rPr>
      </w:pPr>
      <w:r>
        <w:rPr>
          <w:rFonts w:hint="eastAsia" w:ascii="Plotter" w:hAnsi="Plotter" w:eastAsia="宋体" w:cs="Times New Roman"/>
          <w:b/>
          <w:bCs w:val="0"/>
          <w:color w:val="auto"/>
          <w:kern w:val="2"/>
          <w:sz w:val="24"/>
          <w:szCs w:val="28"/>
          <w:highlight w:val="none"/>
          <w:lang w:val="en-US" w:eastAsia="zh-Hans" w:bidi="ar-SA"/>
        </w:rPr>
        <w:t>技术要求2：监测对象模型下发</w:t>
      </w:r>
    </w:p>
    <w:p>
      <w:pPr>
        <w:adjustRightInd w:val="0"/>
        <w:snapToGrid w:val="0"/>
        <w:ind w:firstLine="420" w:firstLineChars="200"/>
        <w:rPr>
          <w:rFonts w:hint="eastAsia"/>
          <w:color w:val="auto"/>
          <w:highlight w:val="none"/>
        </w:rPr>
      </w:pPr>
      <w:r>
        <w:rPr>
          <w:rFonts w:hint="eastAsia"/>
          <w:color w:val="auto"/>
          <w:highlight w:val="none"/>
        </w:rPr>
        <w:t>将构建好的监测对象模型下发至相应边侧生产分析处理主机，在云侧监测对象模型发生变化时，由云侧将模型增量变化信息下发至边侧，达到自动升级边侧监测对象模型。</w:t>
      </w:r>
    </w:p>
    <w:p>
      <w:pPr>
        <w:pStyle w:val="6"/>
        <w:bidi w:val="0"/>
        <w:rPr>
          <w:rFonts w:hint="eastAsia"/>
          <w:color w:val="auto"/>
          <w:sz w:val="24"/>
          <w:szCs w:val="28"/>
          <w:highlight w:val="none"/>
          <w:lang w:eastAsia="zh-Hans"/>
        </w:rPr>
      </w:pPr>
      <w:r>
        <w:rPr>
          <w:rFonts w:hint="eastAsia"/>
          <w:color w:val="auto"/>
          <w:sz w:val="24"/>
          <w:szCs w:val="28"/>
          <w:highlight w:val="none"/>
          <w:lang w:eastAsia="zh-Hans"/>
        </w:rPr>
        <w:t>边侧设备数据</w:t>
      </w:r>
      <w:r>
        <w:rPr>
          <w:rFonts w:hint="eastAsia"/>
          <w:color w:val="auto"/>
          <w:sz w:val="24"/>
          <w:szCs w:val="28"/>
          <w:highlight w:val="none"/>
          <w:lang w:val="en-US" w:eastAsia="zh-CN"/>
        </w:rPr>
        <w:t>集成</w:t>
      </w:r>
      <w:r>
        <w:rPr>
          <w:rFonts w:hint="eastAsia"/>
          <w:color w:val="auto"/>
          <w:sz w:val="24"/>
          <w:szCs w:val="28"/>
          <w:highlight w:val="none"/>
          <w:lang w:eastAsia="zh-Hans"/>
        </w:rPr>
        <w:t>交互要求</w:t>
      </w:r>
    </w:p>
    <w:p>
      <w:pPr>
        <w:adjustRightInd w:val="0"/>
        <w:snapToGrid w:val="0"/>
        <w:ind w:firstLine="420" w:firstLineChars="200"/>
        <w:rPr>
          <w:rFonts w:hint="eastAsia"/>
          <w:color w:val="auto"/>
          <w:highlight w:val="none"/>
        </w:rPr>
      </w:pPr>
      <w:r>
        <w:rPr>
          <w:rFonts w:hint="eastAsia"/>
          <w:color w:val="auto"/>
          <w:highlight w:val="none"/>
          <w:lang w:eastAsia="zh-Hans"/>
        </w:rPr>
        <w:t>必须按照南方电网物模型标准规范，进行边端设备等等数据规范制定。满足云</w:t>
      </w:r>
      <w:r>
        <w:rPr>
          <w:rFonts w:hint="eastAsia"/>
          <w:color w:val="auto"/>
          <w:highlight w:val="none"/>
        </w:rPr>
        <w:t>-边协同的数据要求。</w:t>
      </w:r>
    </w:p>
    <w:p>
      <w:pPr>
        <w:pStyle w:val="8"/>
        <w:numPr>
          <w:ilvl w:val="0"/>
          <w:numId w:val="0"/>
        </w:numPr>
        <w:tabs>
          <w:tab w:val="left" w:pos="0"/>
        </w:tabs>
        <w:ind w:left="1284" w:leftChars="200"/>
        <w:rPr>
          <w:rFonts w:hint="eastAsia" w:ascii="Plotter" w:hAnsi="Plotter" w:eastAsia="宋体" w:cs="Times New Roman"/>
          <w:b/>
          <w:bCs w:val="0"/>
          <w:color w:val="auto"/>
          <w:kern w:val="2"/>
          <w:sz w:val="24"/>
          <w:szCs w:val="28"/>
          <w:highlight w:val="none"/>
          <w:lang w:val="en-US" w:eastAsia="zh-Hans" w:bidi="ar-SA"/>
        </w:rPr>
      </w:pPr>
      <w:r>
        <w:rPr>
          <w:rFonts w:hint="eastAsia" w:ascii="Plotter" w:hAnsi="Plotter" w:eastAsia="宋体" w:cs="Times New Roman"/>
          <w:b/>
          <w:bCs w:val="0"/>
          <w:color w:val="auto"/>
          <w:kern w:val="2"/>
          <w:sz w:val="24"/>
          <w:szCs w:val="28"/>
          <w:highlight w:val="none"/>
          <w:lang w:val="en-US" w:eastAsia="zh-Hans" w:bidi="ar-SA"/>
        </w:rPr>
        <w:t>技术要求1：边侧设备注册</w:t>
      </w:r>
    </w:p>
    <w:p>
      <w:pPr>
        <w:adjustRightInd w:val="0"/>
        <w:snapToGrid w:val="0"/>
        <w:ind w:firstLine="420" w:firstLineChars="200"/>
        <w:rPr>
          <w:color w:val="auto"/>
          <w:highlight w:val="none"/>
        </w:rPr>
      </w:pPr>
      <w:r>
        <w:rPr>
          <w:rFonts w:hint="eastAsia"/>
          <w:color w:val="auto"/>
          <w:highlight w:val="none"/>
        </w:rPr>
        <w:t>边侧设备应按照收资台账定义的北向ID，将设备注册至物联网平台。</w:t>
      </w:r>
    </w:p>
    <w:p>
      <w:pPr>
        <w:pStyle w:val="8"/>
        <w:numPr>
          <w:ilvl w:val="0"/>
          <w:numId w:val="0"/>
        </w:numPr>
        <w:tabs>
          <w:tab w:val="left" w:pos="0"/>
        </w:tabs>
        <w:ind w:left="1284" w:leftChars="200"/>
        <w:rPr>
          <w:rFonts w:hint="eastAsia" w:ascii="Plotter" w:hAnsi="Plotter" w:eastAsia="宋体" w:cs="Times New Roman"/>
          <w:b/>
          <w:bCs w:val="0"/>
          <w:color w:val="auto"/>
          <w:kern w:val="2"/>
          <w:sz w:val="24"/>
          <w:szCs w:val="28"/>
          <w:highlight w:val="none"/>
          <w:lang w:val="en-US" w:eastAsia="zh-Hans" w:bidi="ar-SA"/>
        </w:rPr>
      </w:pPr>
      <w:r>
        <w:rPr>
          <w:rFonts w:hint="eastAsia" w:ascii="Plotter" w:hAnsi="Plotter" w:eastAsia="宋体" w:cs="Times New Roman"/>
          <w:b/>
          <w:bCs w:val="0"/>
          <w:color w:val="auto"/>
          <w:kern w:val="2"/>
          <w:sz w:val="24"/>
          <w:szCs w:val="28"/>
          <w:highlight w:val="none"/>
          <w:lang w:val="en-US" w:eastAsia="zh-Hans" w:bidi="ar-SA"/>
        </w:rPr>
        <w:t>技术要求2：边侧设备数据上送</w:t>
      </w:r>
    </w:p>
    <w:p>
      <w:pPr>
        <w:adjustRightInd w:val="0"/>
        <w:snapToGrid w:val="0"/>
        <w:ind w:firstLine="420" w:firstLineChars="200"/>
        <w:rPr>
          <w:rFonts w:hint="eastAsia"/>
          <w:color w:val="auto"/>
          <w:highlight w:val="none"/>
        </w:rPr>
      </w:pPr>
      <w:r>
        <w:rPr>
          <w:rFonts w:hint="eastAsia"/>
          <w:color w:val="auto"/>
          <w:highlight w:val="none"/>
        </w:rPr>
        <w:t>根据物模型对各设备终端要求的数据格式，</w:t>
      </w:r>
      <w:r>
        <w:rPr>
          <w:rFonts w:hint="eastAsia"/>
          <w:color w:val="auto"/>
          <w:highlight w:val="none"/>
          <w:lang w:eastAsia="zh-CN"/>
        </w:rPr>
        <w:t>Ⅲ区变电智能网关</w:t>
      </w:r>
      <w:r>
        <w:rPr>
          <w:rFonts w:hint="eastAsia"/>
          <w:color w:val="auto"/>
          <w:highlight w:val="none"/>
        </w:rPr>
        <w:t>主机需完成数据的组装进行上送，需支持双发，按照物模型定义的统一数据格式既能将数据上送至物联网平台，也能将数据上送至边侧生产分析处理主机。</w:t>
      </w:r>
    </w:p>
    <w:p>
      <w:pPr>
        <w:pStyle w:val="6"/>
        <w:bidi w:val="0"/>
        <w:rPr>
          <w:rFonts w:hint="eastAsia"/>
          <w:color w:val="auto"/>
          <w:sz w:val="24"/>
          <w:szCs w:val="28"/>
          <w:highlight w:val="none"/>
          <w:lang w:eastAsia="zh-Hans"/>
        </w:rPr>
      </w:pPr>
      <w:r>
        <w:rPr>
          <w:rFonts w:hint="eastAsia"/>
          <w:color w:val="auto"/>
          <w:sz w:val="24"/>
          <w:szCs w:val="28"/>
          <w:highlight w:val="none"/>
          <w:lang w:eastAsia="zh-Hans"/>
        </w:rPr>
        <w:t>电网管理平台等系统</w:t>
      </w:r>
      <w:r>
        <w:rPr>
          <w:rFonts w:hint="eastAsia"/>
          <w:color w:val="auto"/>
          <w:sz w:val="24"/>
          <w:szCs w:val="28"/>
          <w:highlight w:val="none"/>
          <w:lang w:val="en-US" w:eastAsia="zh-CN"/>
        </w:rPr>
        <w:t>集成</w:t>
      </w:r>
      <w:r>
        <w:rPr>
          <w:rFonts w:hint="eastAsia"/>
          <w:color w:val="auto"/>
          <w:sz w:val="24"/>
          <w:szCs w:val="28"/>
          <w:highlight w:val="none"/>
          <w:lang w:eastAsia="zh-Hans"/>
        </w:rPr>
        <w:t>交互要求</w:t>
      </w:r>
    </w:p>
    <w:p>
      <w:pPr>
        <w:adjustRightInd w:val="0"/>
        <w:snapToGrid w:val="0"/>
        <w:ind w:firstLine="420" w:firstLineChars="200"/>
        <w:rPr>
          <w:rFonts w:hint="eastAsia"/>
          <w:color w:val="auto"/>
          <w:highlight w:val="none"/>
        </w:rPr>
      </w:pPr>
      <w:r>
        <w:rPr>
          <w:rFonts w:hint="eastAsia"/>
          <w:color w:val="auto"/>
          <w:highlight w:val="none"/>
          <w:lang w:eastAsia="zh-Hans"/>
        </w:rPr>
        <w:t>必须通过南方电网设备台账规范，利用</w:t>
      </w:r>
      <w:r>
        <w:rPr>
          <w:rFonts w:hint="eastAsia"/>
          <w:color w:val="auto"/>
          <w:highlight w:val="none"/>
        </w:rPr>
        <w:t>云侧系统</w:t>
      </w:r>
      <w:r>
        <w:rPr>
          <w:rFonts w:hint="eastAsia"/>
          <w:color w:val="auto"/>
          <w:highlight w:val="none"/>
          <w:lang w:eastAsia="zh-Hans"/>
        </w:rPr>
        <w:t>实现与电网管理平台等</w:t>
      </w:r>
      <w:r>
        <w:rPr>
          <w:rFonts w:hint="eastAsia"/>
          <w:color w:val="auto"/>
          <w:highlight w:val="none"/>
        </w:rPr>
        <w:t>4</w:t>
      </w:r>
      <w:r>
        <w:rPr>
          <w:color w:val="auto"/>
          <w:highlight w:val="none"/>
        </w:rPr>
        <w:t>321</w:t>
      </w:r>
      <w:r>
        <w:rPr>
          <w:rFonts w:hint="eastAsia"/>
          <w:color w:val="auto"/>
          <w:highlight w:val="none"/>
        </w:rPr>
        <w:t>系统间的数据交互。并遵从统一的台账规范结构，采用统一的人员组织结构，满足系统之间的互通性。</w:t>
      </w:r>
    </w:p>
    <w:p>
      <w:pPr>
        <w:pStyle w:val="8"/>
        <w:numPr>
          <w:ilvl w:val="0"/>
          <w:numId w:val="0"/>
        </w:numPr>
        <w:tabs>
          <w:tab w:val="left" w:pos="0"/>
        </w:tabs>
        <w:ind w:left="1284" w:leftChars="200"/>
        <w:rPr>
          <w:rFonts w:hint="eastAsia" w:ascii="Plotter" w:hAnsi="Plotter" w:eastAsia="宋体" w:cs="Times New Roman"/>
          <w:b/>
          <w:bCs w:val="0"/>
          <w:color w:val="auto"/>
          <w:kern w:val="2"/>
          <w:sz w:val="24"/>
          <w:szCs w:val="28"/>
          <w:highlight w:val="none"/>
          <w:lang w:val="en-US" w:eastAsia="zh-Hans" w:bidi="ar-SA"/>
        </w:rPr>
      </w:pPr>
      <w:r>
        <w:rPr>
          <w:rFonts w:hint="eastAsia" w:ascii="Plotter" w:hAnsi="Plotter" w:eastAsia="宋体" w:cs="Times New Roman"/>
          <w:b/>
          <w:bCs w:val="0"/>
          <w:color w:val="auto"/>
          <w:kern w:val="2"/>
          <w:sz w:val="24"/>
          <w:szCs w:val="28"/>
          <w:highlight w:val="none"/>
          <w:lang w:val="en-US" w:eastAsia="zh-Hans" w:bidi="ar-SA"/>
        </w:rPr>
        <w:t>技术要求1：设备台账</w:t>
      </w:r>
    </w:p>
    <w:p>
      <w:pPr>
        <w:adjustRightInd w:val="0"/>
        <w:snapToGrid w:val="0"/>
        <w:ind w:firstLine="420" w:firstLineChars="200"/>
        <w:rPr>
          <w:color w:val="auto"/>
          <w:highlight w:val="none"/>
        </w:rPr>
      </w:pPr>
      <w:r>
        <w:rPr>
          <w:rFonts w:hint="eastAsia"/>
          <w:color w:val="auto"/>
          <w:highlight w:val="none"/>
        </w:rPr>
        <w:t>边侧生产分析处理主机应通过云侧系统同步变电站设备台账信息，云侧系统设备台账应从设备中心获取，在设备中心台账发生变化时可将增量变化信息同步至边端系统。</w:t>
      </w:r>
    </w:p>
    <w:p>
      <w:pPr>
        <w:pStyle w:val="8"/>
        <w:numPr>
          <w:ilvl w:val="0"/>
          <w:numId w:val="0"/>
        </w:numPr>
        <w:tabs>
          <w:tab w:val="left" w:pos="0"/>
        </w:tabs>
        <w:ind w:left="1284" w:leftChars="200"/>
        <w:rPr>
          <w:rFonts w:hint="eastAsia" w:ascii="Plotter" w:hAnsi="Plotter" w:eastAsia="宋体" w:cs="Times New Roman"/>
          <w:b/>
          <w:bCs w:val="0"/>
          <w:color w:val="auto"/>
          <w:kern w:val="2"/>
          <w:sz w:val="24"/>
          <w:szCs w:val="28"/>
          <w:highlight w:val="none"/>
          <w:lang w:val="en-US" w:eastAsia="zh-Hans" w:bidi="ar-SA"/>
        </w:rPr>
      </w:pPr>
      <w:r>
        <w:rPr>
          <w:rFonts w:hint="eastAsia" w:ascii="Plotter" w:hAnsi="Plotter" w:eastAsia="宋体" w:cs="Times New Roman"/>
          <w:b/>
          <w:bCs w:val="0"/>
          <w:color w:val="auto"/>
          <w:kern w:val="2"/>
          <w:sz w:val="24"/>
          <w:szCs w:val="28"/>
          <w:highlight w:val="none"/>
          <w:lang w:val="en-US" w:eastAsia="zh-Hans" w:bidi="ar-SA"/>
        </w:rPr>
        <w:t>技术要求2：人员组织</w:t>
      </w:r>
    </w:p>
    <w:p>
      <w:pPr>
        <w:adjustRightInd w:val="0"/>
        <w:snapToGrid w:val="0"/>
        <w:ind w:firstLine="420" w:firstLineChars="200"/>
        <w:rPr>
          <w:color w:val="auto"/>
          <w:highlight w:val="none"/>
        </w:rPr>
      </w:pPr>
      <w:r>
        <w:rPr>
          <w:rFonts w:hint="eastAsia"/>
          <w:color w:val="auto"/>
          <w:highlight w:val="none"/>
        </w:rPr>
        <w:t>边侧生产分析处理主机应通过云侧系统完成</w:t>
      </w:r>
      <w:r>
        <w:rPr>
          <w:rFonts w:hint="eastAsia"/>
          <w:color w:val="auto"/>
          <w:highlight w:val="none"/>
          <w:lang w:eastAsia="zh-Hans"/>
        </w:rPr>
        <w:t>获取</w:t>
      </w:r>
      <w:r>
        <w:rPr>
          <w:color w:val="auto"/>
          <w:highlight w:val="none"/>
          <w:lang w:eastAsia="zh-Hans"/>
        </w:rPr>
        <w:t>4</w:t>
      </w:r>
      <w:r>
        <w:rPr>
          <w:rFonts w:hint="eastAsia"/>
          <w:color w:val="auto"/>
          <w:highlight w:val="none"/>
          <w:lang w:eastAsia="zh-Hans"/>
        </w:rPr>
        <w:t>A系统人员组织数据</w:t>
      </w:r>
      <w:r>
        <w:rPr>
          <w:color w:val="auto"/>
          <w:highlight w:val="none"/>
          <w:lang w:eastAsia="zh-Hans"/>
        </w:rPr>
        <w:t>，</w:t>
      </w:r>
      <w:r>
        <w:rPr>
          <w:rFonts w:hint="eastAsia"/>
          <w:color w:val="auto"/>
          <w:highlight w:val="none"/>
          <w:lang w:eastAsia="zh-Hans"/>
        </w:rPr>
        <w:t>保证</w:t>
      </w:r>
      <w:r>
        <w:rPr>
          <w:rFonts w:hint="eastAsia"/>
          <w:color w:val="auto"/>
          <w:highlight w:val="none"/>
        </w:rPr>
        <w:t>系统人员组织与4A系统一致。</w:t>
      </w:r>
    </w:p>
    <w:p>
      <w:pPr>
        <w:pStyle w:val="8"/>
        <w:numPr>
          <w:ilvl w:val="0"/>
          <w:numId w:val="0"/>
        </w:numPr>
        <w:tabs>
          <w:tab w:val="left" w:pos="0"/>
        </w:tabs>
        <w:ind w:left="1284" w:leftChars="200"/>
        <w:rPr>
          <w:rFonts w:hint="eastAsia" w:ascii="Plotter" w:hAnsi="Plotter" w:eastAsia="宋体" w:cs="Times New Roman"/>
          <w:b/>
          <w:bCs w:val="0"/>
          <w:color w:val="auto"/>
          <w:kern w:val="2"/>
          <w:sz w:val="24"/>
          <w:szCs w:val="28"/>
          <w:highlight w:val="none"/>
          <w:lang w:val="en-US" w:eastAsia="zh-Hans" w:bidi="ar-SA"/>
        </w:rPr>
      </w:pPr>
      <w:r>
        <w:rPr>
          <w:rFonts w:hint="eastAsia" w:ascii="Plotter" w:hAnsi="Plotter" w:eastAsia="宋体" w:cs="Times New Roman"/>
          <w:b/>
          <w:bCs w:val="0"/>
          <w:color w:val="auto"/>
          <w:kern w:val="2"/>
          <w:sz w:val="24"/>
          <w:szCs w:val="28"/>
          <w:highlight w:val="none"/>
          <w:lang w:val="en-US" w:eastAsia="zh-Hans" w:bidi="ar-SA"/>
        </w:rPr>
        <w:t>技术要求3：电网管理平台交互</w:t>
      </w:r>
    </w:p>
    <w:p>
      <w:pPr>
        <w:adjustRightInd w:val="0"/>
        <w:snapToGrid w:val="0"/>
        <w:ind w:firstLine="420" w:firstLineChars="200"/>
        <w:rPr>
          <w:rFonts w:hint="eastAsia"/>
          <w:color w:val="auto"/>
          <w:highlight w:val="none"/>
        </w:rPr>
      </w:pPr>
      <w:r>
        <w:rPr>
          <w:rFonts w:hint="eastAsia"/>
          <w:color w:val="auto"/>
          <w:highlight w:val="none"/>
        </w:rPr>
        <w:t>边侧生产分析处理主机应通过云侧系统实现与电网管理平台接口以及页面的联通，满足业务场景应用要求。</w:t>
      </w:r>
    </w:p>
    <w:p>
      <w:pPr>
        <w:pStyle w:val="5"/>
        <w:bidi w:val="0"/>
        <w:rPr>
          <w:rFonts w:hint="eastAsia"/>
          <w:color w:val="auto"/>
          <w:sz w:val="24"/>
          <w:szCs w:val="28"/>
          <w:highlight w:val="none"/>
          <w:lang w:eastAsia="zh-Hans"/>
        </w:rPr>
      </w:pPr>
      <w:bookmarkStart w:id="126" w:name="_Toc29148"/>
      <w:bookmarkStart w:id="127" w:name="_Toc127541476"/>
      <w:r>
        <w:rPr>
          <w:rFonts w:hint="eastAsia"/>
          <w:color w:val="auto"/>
          <w:sz w:val="24"/>
          <w:szCs w:val="28"/>
          <w:highlight w:val="none"/>
          <w:lang w:eastAsia="zh-Hans"/>
        </w:rPr>
        <w:t>图形技术</w:t>
      </w:r>
      <w:r>
        <w:rPr>
          <w:rFonts w:hint="eastAsia"/>
          <w:color w:val="auto"/>
          <w:sz w:val="24"/>
          <w:szCs w:val="28"/>
          <w:highlight w:val="none"/>
          <w:lang w:val="en-US" w:eastAsia="zh-CN"/>
        </w:rPr>
        <w:t>集成</w:t>
      </w:r>
      <w:r>
        <w:rPr>
          <w:rFonts w:hint="eastAsia"/>
          <w:color w:val="auto"/>
          <w:sz w:val="24"/>
          <w:szCs w:val="28"/>
          <w:highlight w:val="none"/>
          <w:lang w:eastAsia="zh-Hans"/>
        </w:rPr>
        <w:t>要求</w:t>
      </w:r>
      <w:bookmarkEnd w:id="126"/>
      <w:bookmarkEnd w:id="127"/>
    </w:p>
    <w:p>
      <w:pPr>
        <w:pStyle w:val="6"/>
        <w:bidi w:val="0"/>
        <w:rPr>
          <w:rFonts w:hint="eastAsia"/>
          <w:color w:val="auto"/>
          <w:sz w:val="24"/>
          <w:szCs w:val="28"/>
          <w:highlight w:val="none"/>
        </w:rPr>
      </w:pPr>
      <w:r>
        <w:rPr>
          <w:rFonts w:hint="eastAsia"/>
          <w:color w:val="auto"/>
          <w:sz w:val="24"/>
          <w:szCs w:val="28"/>
          <w:highlight w:val="none"/>
        </w:rPr>
        <w:t>地理</w:t>
      </w:r>
      <w:r>
        <w:rPr>
          <w:rFonts w:hint="eastAsia"/>
          <w:color w:val="auto"/>
          <w:sz w:val="24"/>
          <w:szCs w:val="28"/>
          <w:highlight w:val="none"/>
          <w:lang w:eastAsia="zh-Hans"/>
        </w:rPr>
        <w:t>接线</w:t>
      </w:r>
      <w:r>
        <w:rPr>
          <w:rFonts w:hint="eastAsia"/>
          <w:color w:val="auto"/>
          <w:sz w:val="24"/>
          <w:szCs w:val="28"/>
          <w:highlight w:val="none"/>
        </w:rPr>
        <w:t>图服务</w:t>
      </w:r>
    </w:p>
    <w:p>
      <w:pPr>
        <w:adjustRightInd w:val="0"/>
        <w:snapToGrid w:val="0"/>
        <w:ind w:firstLine="420" w:firstLineChars="200"/>
        <w:rPr>
          <w:rFonts w:hint="eastAsia"/>
          <w:color w:val="auto"/>
          <w:highlight w:val="none"/>
        </w:rPr>
      </w:pPr>
      <w:r>
        <w:rPr>
          <w:rFonts w:hint="eastAsia"/>
          <w:color w:val="auto"/>
          <w:highlight w:val="none"/>
        </w:rPr>
        <w:t>要求基于南网智瞰（设备中心），根据业务需求实现网、省、地市局区域的地理接线图服务划分，区域钻取。</w:t>
      </w:r>
    </w:p>
    <w:p>
      <w:pPr>
        <w:pStyle w:val="8"/>
        <w:bidi w:val="0"/>
        <w:rPr>
          <w:rFonts w:hint="eastAsia"/>
          <w:color w:val="auto"/>
          <w:sz w:val="24"/>
          <w:szCs w:val="24"/>
          <w:highlight w:val="none"/>
        </w:rPr>
      </w:pPr>
      <w:r>
        <w:rPr>
          <w:rFonts w:hint="eastAsia"/>
          <w:color w:val="auto"/>
          <w:sz w:val="24"/>
          <w:szCs w:val="24"/>
          <w:highlight w:val="none"/>
        </w:rPr>
        <w:t>地市局区域图绘制</w:t>
      </w:r>
    </w:p>
    <w:p>
      <w:pPr>
        <w:adjustRightInd w:val="0"/>
        <w:snapToGrid w:val="0"/>
        <w:ind w:firstLine="420" w:firstLineChars="200"/>
        <w:rPr>
          <w:color w:val="auto"/>
          <w:highlight w:val="none"/>
        </w:rPr>
      </w:pPr>
      <w:r>
        <w:rPr>
          <w:rFonts w:hint="eastAsia"/>
          <w:color w:val="auto"/>
          <w:highlight w:val="none"/>
        </w:rPr>
        <w:t>地市局</w:t>
      </w:r>
      <w:r>
        <w:rPr>
          <w:rFonts w:hint="eastAsia"/>
          <w:color w:val="auto"/>
          <w:highlight w:val="none"/>
          <w:lang w:eastAsia="zh-Hans"/>
        </w:rPr>
        <w:t>维度</w:t>
      </w:r>
      <w:r>
        <w:rPr>
          <w:rFonts w:hint="eastAsia"/>
          <w:color w:val="auto"/>
          <w:highlight w:val="none"/>
        </w:rPr>
        <w:t>绘制变电站位置，绘制变电站之间电气连接线路，并形成变电站间电气拓扑信息。根据变电站所属行政区域范围，绘制地市局区域面图。</w:t>
      </w:r>
    </w:p>
    <w:p>
      <w:pPr>
        <w:pStyle w:val="8"/>
        <w:bidi w:val="0"/>
        <w:rPr>
          <w:rFonts w:hint="eastAsia"/>
          <w:color w:val="auto"/>
          <w:sz w:val="24"/>
          <w:szCs w:val="24"/>
          <w:highlight w:val="none"/>
        </w:rPr>
      </w:pPr>
      <w:r>
        <w:rPr>
          <w:rFonts w:hint="eastAsia"/>
          <w:color w:val="auto"/>
          <w:sz w:val="24"/>
          <w:szCs w:val="24"/>
          <w:highlight w:val="none"/>
        </w:rPr>
        <w:t>区域聚合告警</w:t>
      </w:r>
    </w:p>
    <w:p>
      <w:pPr>
        <w:adjustRightInd w:val="0"/>
        <w:snapToGrid w:val="0"/>
        <w:ind w:firstLine="420" w:firstLineChars="200"/>
        <w:rPr>
          <w:color w:val="auto"/>
          <w:highlight w:val="none"/>
        </w:rPr>
      </w:pPr>
      <w:r>
        <w:rPr>
          <w:rFonts w:hint="eastAsia"/>
          <w:color w:val="auto"/>
          <w:highlight w:val="none"/>
        </w:rPr>
        <w:t>根据用户</w:t>
      </w:r>
      <w:r>
        <w:rPr>
          <w:rFonts w:hint="eastAsia"/>
          <w:color w:val="auto"/>
          <w:highlight w:val="none"/>
          <w:lang w:eastAsia="zh-Hans"/>
        </w:rPr>
        <w:t>权限</w:t>
      </w:r>
      <w:r>
        <w:rPr>
          <w:rFonts w:hint="eastAsia"/>
          <w:color w:val="auto"/>
          <w:highlight w:val="none"/>
        </w:rPr>
        <w:t>等级，地理接线图聚合展示网、省、地市局、</w:t>
      </w:r>
      <w:r>
        <w:rPr>
          <w:rFonts w:hint="eastAsia"/>
          <w:color w:val="auto"/>
          <w:highlight w:val="none"/>
          <w:lang w:eastAsia="zh-CN"/>
        </w:rPr>
        <w:t>8个变电站</w:t>
      </w:r>
      <w:r>
        <w:rPr>
          <w:rFonts w:hint="eastAsia"/>
          <w:color w:val="auto"/>
          <w:highlight w:val="none"/>
        </w:rPr>
        <w:t>的告警信息。</w:t>
      </w:r>
    </w:p>
    <w:p>
      <w:pPr>
        <w:pStyle w:val="6"/>
        <w:bidi w:val="0"/>
        <w:rPr>
          <w:rFonts w:hint="eastAsia"/>
          <w:color w:val="auto"/>
          <w:sz w:val="24"/>
          <w:szCs w:val="28"/>
          <w:highlight w:val="none"/>
        </w:rPr>
      </w:pPr>
      <w:r>
        <w:rPr>
          <w:rFonts w:hint="eastAsia"/>
          <w:color w:val="auto"/>
          <w:sz w:val="24"/>
          <w:szCs w:val="28"/>
          <w:highlight w:val="none"/>
        </w:rPr>
        <w:t>一次</w:t>
      </w:r>
      <w:r>
        <w:rPr>
          <w:rFonts w:hint="eastAsia"/>
          <w:color w:val="auto"/>
          <w:sz w:val="24"/>
          <w:szCs w:val="28"/>
          <w:highlight w:val="none"/>
          <w:lang w:eastAsia="zh-Hans"/>
        </w:rPr>
        <w:t>接线</w:t>
      </w:r>
      <w:r>
        <w:rPr>
          <w:rFonts w:hint="eastAsia"/>
          <w:color w:val="auto"/>
          <w:sz w:val="24"/>
          <w:szCs w:val="28"/>
          <w:highlight w:val="none"/>
        </w:rPr>
        <w:t>图</w:t>
      </w:r>
      <w:r>
        <w:rPr>
          <w:rFonts w:hint="eastAsia"/>
          <w:color w:val="auto"/>
          <w:sz w:val="24"/>
          <w:szCs w:val="28"/>
          <w:highlight w:val="none"/>
          <w:lang w:val="en-US" w:eastAsia="zh-CN"/>
        </w:rPr>
        <w:t>集成</w:t>
      </w:r>
      <w:r>
        <w:rPr>
          <w:rFonts w:hint="eastAsia"/>
          <w:color w:val="auto"/>
          <w:sz w:val="24"/>
          <w:szCs w:val="28"/>
          <w:highlight w:val="none"/>
        </w:rPr>
        <w:t>服务</w:t>
      </w:r>
    </w:p>
    <w:p>
      <w:pPr>
        <w:adjustRightInd w:val="0"/>
        <w:snapToGrid w:val="0"/>
        <w:ind w:firstLine="420" w:firstLineChars="200"/>
        <w:rPr>
          <w:rFonts w:hint="eastAsia"/>
          <w:color w:val="auto"/>
          <w:highlight w:val="none"/>
        </w:rPr>
      </w:pPr>
      <w:r>
        <w:rPr>
          <w:rFonts w:hint="eastAsia"/>
          <w:color w:val="auto"/>
          <w:highlight w:val="none"/>
        </w:rPr>
        <w:t>要求基于南网智瞰（</w:t>
      </w:r>
      <w:r>
        <w:rPr>
          <w:rFonts w:hint="eastAsia"/>
          <w:color w:val="auto"/>
          <w:highlight w:val="none"/>
          <w:lang w:eastAsia="zh-Hans"/>
        </w:rPr>
        <w:t>设备</w:t>
      </w:r>
      <w:r>
        <w:rPr>
          <w:rFonts w:hint="eastAsia"/>
          <w:color w:val="auto"/>
          <w:highlight w:val="none"/>
        </w:rPr>
        <w:t>中心），实现一次接线图服务支持模型与站端测点数据融合映射；模型与资产设备台账融合；模型与调度测点数据融合。</w:t>
      </w:r>
    </w:p>
    <w:p>
      <w:pPr>
        <w:pStyle w:val="8"/>
        <w:bidi w:val="0"/>
        <w:rPr>
          <w:rFonts w:hint="eastAsia"/>
          <w:color w:val="auto"/>
          <w:sz w:val="24"/>
          <w:szCs w:val="24"/>
          <w:highlight w:val="none"/>
        </w:rPr>
      </w:pPr>
      <w:r>
        <w:rPr>
          <w:rFonts w:hint="eastAsia"/>
          <w:color w:val="auto"/>
          <w:sz w:val="24"/>
          <w:szCs w:val="24"/>
          <w:highlight w:val="none"/>
        </w:rPr>
        <w:t>实时数据展示</w:t>
      </w:r>
    </w:p>
    <w:p>
      <w:pPr>
        <w:adjustRightInd w:val="0"/>
        <w:snapToGrid w:val="0"/>
        <w:ind w:firstLine="420" w:firstLineChars="200"/>
        <w:rPr>
          <w:rFonts w:hint="eastAsia"/>
          <w:color w:val="auto"/>
          <w:highlight w:val="none"/>
        </w:rPr>
      </w:pPr>
      <w:r>
        <w:rPr>
          <w:rFonts w:hint="eastAsia"/>
          <w:color w:val="auto"/>
          <w:highlight w:val="none"/>
        </w:rPr>
        <w:t>一次接线图接入测点实时数据，实时反应站内电气设备的运行状态。</w:t>
      </w:r>
    </w:p>
    <w:p>
      <w:pPr>
        <w:pStyle w:val="8"/>
        <w:bidi w:val="0"/>
        <w:rPr>
          <w:rFonts w:hint="eastAsia"/>
          <w:color w:val="auto"/>
          <w:sz w:val="24"/>
          <w:szCs w:val="24"/>
          <w:highlight w:val="none"/>
        </w:rPr>
      </w:pPr>
      <w:r>
        <w:rPr>
          <w:rFonts w:hint="eastAsia"/>
          <w:color w:val="auto"/>
          <w:sz w:val="24"/>
          <w:szCs w:val="24"/>
          <w:highlight w:val="none"/>
        </w:rPr>
        <w:t>电气模拟分析</w:t>
      </w:r>
    </w:p>
    <w:p>
      <w:pPr>
        <w:adjustRightInd w:val="0"/>
        <w:snapToGrid w:val="0"/>
        <w:ind w:firstLine="420" w:firstLineChars="200"/>
        <w:rPr>
          <w:color w:val="auto"/>
          <w:highlight w:val="none"/>
        </w:rPr>
      </w:pPr>
      <w:r>
        <w:rPr>
          <w:rFonts w:hint="eastAsia"/>
          <w:color w:val="auto"/>
          <w:highlight w:val="none"/>
        </w:rPr>
        <w:t>通过一次</w:t>
      </w:r>
      <w:r>
        <w:rPr>
          <w:rFonts w:hint="eastAsia"/>
          <w:color w:val="auto"/>
          <w:highlight w:val="none"/>
          <w:lang w:eastAsia="zh-Hans"/>
        </w:rPr>
        <w:t>接线</w:t>
      </w:r>
      <w:r>
        <w:rPr>
          <w:rFonts w:hint="eastAsia"/>
          <w:color w:val="auto"/>
          <w:highlight w:val="none"/>
        </w:rPr>
        <w:t>图控制模型设备的开关状态，拓扑分析站内受影响设备，站内外拓扑分析变电站的运行状态。</w:t>
      </w:r>
    </w:p>
    <w:p>
      <w:pPr>
        <w:pStyle w:val="6"/>
        <w:bidi w:val="0"/>
        <w:rPr>
          <w:rFonts w:hint="eastAsia"/>
          <w:color w:val="auto"/>
          <w:sz w:val="24"/>
          <w:szCs w:val="28"/>
          <w:highlight w:val="none"/>
        </w:rPr>
      </w:pPr>
      <w:r>
        <w:rPr>
          <w:rFonts w:hint="eastAsia"/>
          <w:color w:val="auto"/>
          <w:sz w:val="24"/>
          <w:szCs w:val="28"/>
          <w:highlight w:val="none"/>
          <w:lang w:eastAsia="zh-Hans"/>
        </w:rPr>
        <w:t>设备</w:t>
      </w:r>
      <w:r>
        <w:rPr>
          <w:rFonts w:hint="eastAsia"/>
          <w:color w:val="auto"/>
          <w:sz w:val="24"/>
          <w:szCs w:val="28"/>
          <w:highlight w:val="none"/>
        </w:rPr>
        <w:t>全景图</w:t>
      </w:r>
      <w:r>
        <w:rPr>
          <w:rFonts w:hint="eastAsia"/>
          <w:color w:val="auto"/>
          <w:sz w:val="24"/>
          <w:szCs w:val="28"/>
          <w:highlight w:val="none"/>
          <w:lang w:val="en-US" w:eastAsia="zh-CN"/>
        </w:rPr>
        <w:t>集成</w:t>
      </w:r>
      <w:r>
        <w:rPr>
          <w:rFonts w:hint="eastAsia"/>
          <w:color w:val="auto"/>
          <w:sz w:val="24"/>
          <w:szCs w:val="28"/>
          <w:highlight w:val="none"/>
        </w:rPr>
        <w:t>服务</w:t>
      </w:r>
    </w:p>
    <w:p>
      <w:pPr>
        <w:adjustRightInd w:val="0"/>
        <w:snapToGrid w:val="0"/>
        <w:ind w:firstLine="420" w:firstLineChars="200"/>
        <w:rPr>
          <w:rFonts w:hint="eastAsia"/>
          <w:color w:val="auto"/>
          <w:highlight w:val="none"/>
        </w:rPr>
      </w:pPr>
      <w:r>
        <w:rPr>
          <w:rFonts w:hint="eastAsia"/>
          <w:color w:val="auto"/>
          <w:highlight w:val="none"/>
        </w:rPr>
        <w:t>要求实现设备全景图360°还原变电站内实景，融合映射变电站内资产设备、辅助设备、摄像头等设备</w:t>
      </w:r>
      <w:r>
        <w:rPr>
          <w:rFonts w:hint="eastAsia"/>
          <w:color w:val="auto"/>
          <w:highlight w:val="none"/>
          <w:lang w:eastAsia="zh-Hans"/>
        </w:rPr>
        <w:t>台账</w:t>
      </w:r>
      <w:r>
        <w:rPr>
          <w:rFonts w:hint="eastAsia"/>
          <w:color w:val="auto"/>
          <w:highlight w:val="none"/>
        </w:rPr>
        <w:t>提供全景服务。</w:t>
      </w:r>
    </w:p>
    <w:p>
      <w:pPr>
        <w:pStyle w:val="8"/>
        <w:bidi w:val="0"/>
        <w:rPr>
          <w:rFonts w:hint="eastAsia"/>
          <w:color w:val="auto"/>
          <w:sz w:val="24"/>
          <w:szCs w:val="24"/>
          <w:highlight w:val="none"/>
        </w:rPr>
      </w:pPr>
      <w:r>
        <w:rPr>
          <w:rFonts w:hint="eastAsia"/>
          <w:color w:val="auto"/>
          <w:sz w:val="24"/>
          <w:szCs w:val="24"/>
          <w:highlight w:val="none"/>
        </w:rPr>
        <w:t>变电站实景采集</w:t>
      </w:r>
    </w:p>
    <w:p>
      <w:pPr>
        <w:adjustRightInd w:val="0"/>
        <w:snapToGrid w:val="0"/>
        <w:ind w:firstLine="420" w:firstLineChars="200"/>
        <w:rPr>
          <w:rFonts w:hint="eastAsia"/>
          <w:color w:val="auto"/>
          <w:highlight w:val="none"/>
        </w:rPr>
      </w:pPr>
      <w:r>
        <w:rPr>
          <w:rFonts w:hint="eastAsia"/>
          <w:color w:val="auto"/>
          <w:highlight w:val="none"/>
        </w:rPr>
        <w:t>根据变电站土建图纸，设计全景采集点位。站内道路点位布设；主设备四方位\八方位采集点布设；辅助</w:t>
      </w:r>
      <w:r>
        <w:rPr>
          <w:rFonts w:hint="eastAsia"/>
          <w:color w:val="auto"/>
          <w:highlight w:val="none"/>
          <w:lang w:eastAsia="zh-Hans"/>
        </w:rPr>
        <w:t>设备</w:t>
      </w:r>
      <w:r>
        <w:rPr>
          <w:rFonts w:hint="eastAsia"/>
          <w:color w:val="auto"/>
          <w:highlight w:val="none"/>
        </w:rPr>
        <w:t>点位布设；摄像头采集点位布设；室内走廊点位布设；房间采集点位布设。</w:t>
      </w:r>
    </w:p>
    <w:p>
      <w:pPr>
        <w:adjustRightInd w:val="0"/>
        <w:snapToGrid w:val="0"/>
        <w:ind w:firstLine="420" w:firstLineChars="200"/>
        <w:rPr>
          <w:rFonts w:hint="eastAsia"/>
          <w:color w:val="auto"/>
          <w:highlight w:val="none"/>
        </w:rPr>
      </w:pPr>
      <w:r>
        <w:rPr>
          <w:rFonts w:hint="eastAsia"/>
          <w:color w:val="auto"/>
          <w:highlight w:val="none"/>
        </w:rPr>
        <w:t>采用高像素全景相机根据采集点位进行全景采集。将采集图片按照全景图片采集规范命名，上传网级全景管理模块。</w:t>
      </w:r>
    </w:p>
    <w:p>
      <w:pPr>
        <w:pStyle w:val="8"/>
        <w:bidi w:val="0"/>
        <w:rPr>
          <w:rFonts w:hint="eastAsia"/>
          <w:color w:val="auto"/>
          <w:sz w:val="24"/>
          <w:szCs w:val="24"/>
          <w:highlight w:val="none"/>
        </w:rPr>
      </w:pPr>
      <w:r>
        <w:rPr>
          <w:rFonts w:hint="eastAsia"/>
          <w:color w:val="auto"/>
          <w:sz w:val="24"/>
          <w:szCs w:val="24"/>
          <w:highlight w:val="none"/>
        </w:rPr>
        <w:t>全景服务发布</w:t>
      </w:r>
    </w:p>
    <w:p>
      <w:pPr>
        <w:adjustRightInd w:val="0"/>
        <w:snapToGrid w:val="0"/>
        <w:ind w:firstLine="420" w:firstLineChars="200"/>
        <w:rPr>
          <w:rFonts w:hint="eastAsia"/>
          <w:color w:val="auto"/>
          <w:highlight w:val="none"/>
        </w:rPr>
      </w:pPr>
      <w:r>
        <w:rPr>
          <w:rFonts w:hint="eastAsia"/>
          <w:color w:val="auto"/>
          <w:highlight w:val="none"/>
        </w:rPr>
        <w:t>网级全景管理模块对全景图片进行矢量瓦片切图，结构化管理全景图片信息，矢量图片文件非结构化管理。全景服务发布，全景导航。</w:t>
      </w:r>
    </w:p>
    <w:p>
      <w:pPr>
        <w:pStyle w:val="8"/>
        <w:bidi w:val="0"/>
        <w:rPr>
          <w:rFonts w:hint="eastAsia"/>
          <w:color w:val="auto"/>
          <w:sz w:val="24"/>
          <w:szCs w:val="24"/>
          <w:highlight w:val="none"/>
        </w:rPr>
      </w:pPr>
      <w:r>
        <w:rPr>
          <w:rFonts w:hint="eastAsia"/>
          <w:color w:val="auto"/>
          <w:sz w:val="24"/>
          <w:szCs w:val="24"/>
          <w:highlight w:val="none"/>
        </w:rPr>
        <w:t>全景映射设备台账</w:t>
      </w:r>
    </w:p>
    <w:p>
      <w:pPr>
        <w:adjustRightInd w:val="0"/>
        <w:snapToGrid w:val="0"/>
        <w:ind w:firstLine="420" w:firstLineChars="200"/>
        <w:rPr>
          <w:color w:val="auto"/>
          <w:highlight w:val="none"/>
        </w:rPr>
      </w:pPr>
      <w:r>
        <w:rPr>
          <w:rFonts w:hint="eastAsia"/>
          <w:color w:val="auto"/>
          <w:highlight w:val="none"/>
        </w:rPr>
        <w:t>要求在网级实现全景图映射设备资产台账，对接设备中心资产设备台账；全景图映射视频主站系统实时视频流，点击实时获取现场视频流服务。</w:t>
      </w:r>
    </w:p>
    <w:p>
      <w:pPr>
        <w:pStyle w:val="6"/>
        <w:bidi w:val="0"/>
        <w:rPr>
          <w:rFonts w:hint="eastAsia"/>
          <w:color w:val="auto"/>
          <w:sz w:val="24"/>
          <w:szCs w:val="28"/>
          <w:highlight w:val="none"/>
        </w:rPr>
      </w:pPr>
      <w:r>
        <w:rPr>
          <w:rFonts w:hint="eastAsia"/>
          <w:color w:val="auto"/>
          <w:sz w:val="24"/>
          <w:szCs w:val="28"/>
          <w:highlight w:val="none"/>
        </w:rPr>
        <w:t>平面布置图</w:t>
      </w:r>
      <w:r>
        <w:rPr>
          <w:rFonts w:hint="eastAsia"/>
          <w:color w:val="auto"/>
          <w:sz w:val="24"/>
          <w:szCs w:val="28"/>
          <w:highlight w:val="none"/>
          <w:lang w:val="en-US" w:eastAsia="zh-CN"/>
        </w:rPr>
        <w:t>集成</w:t>
      </w:r>
      <w:r>
        <w:rPr>
          <w:rFonts w:hint="eastAsia"/>
          <w:color w:val="auto"/>
          <w:sz w:val="24"/>
          <w:szCs w:val="28"/>
          <w:highlight w:val="none"/>
        </w:rPr>
        <w:t>服务</w:t>
      </w:r>
    </w:p>
    <w:p>
      <w:pPr>
        <w:adjustRightInd w:val="0"/>
        <w:snapToGrid w:val="0"/>
        <w:ind w:firstLine="420" w:firstLineChars="200"/>
        <w:rPr>
          <w:rFonts w:hint="eastAsia"/>
          <w:color w:val="auto"/>
          <w:highlight w:val="none"/>
        </w:rPr>
      </w:pPr>
      <w:r>
        <w:rPr>
          <w:rFonts w:hint="eastAsia"/>
          <w:color w:val="auto"/>
          <w:highlight w:val="none"/>
        </w:rPr>
        <w:t>要求基于南网智瞰（设备中心），实现源于电子化移交的竣工图纸的平面布置图服务，通过网级矢量化绘制，对建筑、楼层、房间等站内设施进行对象化管理。</w:t>
      </w:r>
    </w:p>
    <w:p>
      <w:pPr>
        <w:pStyle w:val="8"/>
        <w:bidi w:val="0"/>
        <w:rPr>
          <w:rFonts w:hint="eastAsia"/>
          <w:color w:val="auto"/>
          <w:sz w:val="24"/>
          <w:szCs w:val="24"/>
          <w:highlight w:val="none"/>
        </w:rPr>
      </w:pPr>
      <w:r>
        <w:rPr>
          <w:rFonts w:hint="eastAsia"/>
          <w:color w:val="auto"/>
          <w:sz w:val="24"/>
          <w:szCs w:val="24"/>
          <w:highlight w:val="none"/>
        </w:rPr>
        <w:t>平面布置图绘制</w:t>
      </w:r>
    </w:p>
    <w:p>
      <w:pPr>
        <w:adjustRightInd w:val="0"/>
        <w:snapToGrid w:val="0"/>
        <w:ind w:firstLine="420" w:firstLineChars="200"/>
        <w:rPr>
          <w:rFonts w:hint="eastAsia"/>
          <w:color w:val="auto"/>
          <w:highlight w:val="none"/>
        </w:rPr>
      </w:pPr>
      <w:r>
        <w:rPr>
          <w:rFonts w:hint="eastAsia"/>
          <w:color w:val="auto"/>
          <w:highlight w:val="none"/>
        </w:rPr>
        <w:t>根据南网智瞰（设备中心）的电子化移交成果，对建筑、楼层、房间等站内设施进行矢量化绘制，并根据变电站设施台账规范标准，对平面布置图对象结构化管理。</w:t>
      </w:r>
    </w:p>
    <w:p>
      <w:pPr>
        <w:pStyle w:val="8"/>
        <w:bidi w:val="0"/>
        <w:rPr>
          <w:rFonts w:hint="eastAsia"/>
          <w:color w:val="auto"/>
          <w:sz w:val="24"/>
          <w:szCs w:val="24"/>
          <w:highlight w:val="none"/>
        </w:rPr>
      </w:pPr>
      <w:r>
        <w:rPr>
          <w:rFonts w:hint="eastAsia"/>
          <w:color w:val="auto"/>
          <w:sz w:val="24"/>
          <w:szCs w:val="24"/>
          <w:highlight w:val="none"/>
        </w:rPr>
        <w:t>平面布置图映射辅助设备</w:t>
      </w:r>
    </w:p>
    <w:p>
      <w:pPr>
        <w:adjustRightInd w:val="0"/>
        <w:snapToGrid w:val="0"/>
        <w:ind w:firstLine="420" w:firstLineChars="200"/>
        <w:rPr>
          <w:rFonts w:hint="eastAsia"/>
          <w:color w:val="auto"/>
          <w:highlight w:val="none"/>
        </w:rPr>
      </w:pPr>
      <w:r>
        <w:rPr>
          <w:rFonts w:hint="eastAsia"/>
          <w:color w:val="auto"/>
          <w:highlight w:val="none"/>
        </w:rPr>
        <w:t>根据变电站设施台账规范标准，对变电站内辅助设备、摄像头等设备进行结构化管理，并按照设施图标标准，在网级平面布置图上进行对象化标记。</w:t>
      </w:r>
    </w:p>
    <w:p>
      <w:pPr>
        <w:pStyle w:val="8"/>
        <w:bidi w:val="0"/>
        <w:rPr>
          <w:rFonts w:hint="eastAsia"/>
          <w:color w:val="auto"/>
          <w:sz w:val="24"/>
          <w:szCs w:val="24"/>
          <w:highlight w:val="none"/>
        </w:rPr>
      </w:pPr>
      <w:r>
        <w:rPr>
          <w:rFonts w:hint="eastAsia"/>
          <w:color w:val="auto"/>
          <w:sz w:val="24"/>
          <w:szCs w:val="24"/>
          <w:highlight w:val="none"/>
        </w:rPr>
        <w:t>平面布置图聚合告警事件</w:t>
      </w:r>
    </w:p>
    <w:p>
      <w:pPr>
        <w:adjustRightInd w:val="0"/>
        <w:snapToGrid w:val="0"/>
        <w:ind w:firstLine="420" w:firstLineChars="200"/>
        <w:rPr>
          <w:color w:val="auto"/>
          <w:highlight w:val="none"/>
        </w:rPr>
      </w:pPr>
      <w:r>
        <w:rPr>
          <w:rFonts w:hint="eastAsia"/>
          <w:color w:val="auto"/>
          <w:highlight w:val="none"/>
        </w:rPr>
        <w:t>接入告警信息，告警信息通过平面布置图的矢量图形区域服务，按照区域、楼层、房间等维度自动分类聚合告警信息，突出展示告警区域。</w:t>
      </w:r>
    </w:p>
    <w:p>
      <w:pPr>
        <w:pStyle w:val="5"/>
        <w:bidi w:val="0"/>
        <w:rPr>
          <w:rFonts w:hint="eastAsia"/>
          <w:color w:val="auto"/>
          <w:sz w:val="24"/>
          <w:szCs w:val="28"/>
          <w:highlight w:val="none"/>
        </w:rPr>
      </w:pPr>
      <w:bookmarkStart w:id="128" w:name="_Toc15812"/>
      <w:r>
        <w:rPr>
          <w:rFonts w:hint="eastAsia"/>
          <w:color w:val="auto"/>
          <w:sz w:val="24"/>
          <w:szCs w:val="28"/>
          <w:highlight w:val="none"/>
          <w:lang w:val="en-US" w:eastAsia="zh-CN"/>
        </w:rPr>
        <w:t>视联融合终端</w:t>
      </w:r>
      <w:bookmarkEnd w:id="128"/>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eastAsia="宋体"/>
          <w:lang w:val="en-US" w:eastAsia="zh-CN"/>
        </w:rPr>
      </w:pPr>
      <w:r>
        <w:rPr>
          <w:rFonts w:hint="eastAsia" w:ascii="宋体" w:hAnsi="宋体" w:eastAsia="宋体" w:cs="宋体"/>
          <w:i w:val="0"/>
          <w:iCs w:val="0"/>
          <w:color w:val="000000"/>
          <w:kern w:val="0"/>
          <w:sz w:val="21"/>
          <w:szCs w:val="21"/>
          <w:highlight w:val="none"/>
          <w:u w:val="none"/>
          <w:lang w:val="en-US" w:eastAsia="zh-CN" w:bidi="ar"/>
        </w:rPr>
        <w:t>▲</w:t>
      </w:r>
      <w:r>
        <w:rPr>
          <w:rFonts w:hint="eastAsia"/>
          <w:lang w:val="en-US" w:eastAsia="zh-CN"/>
        </w:rPr>
        <w:t>本次招标物资视频监控终端为视联融合终端，若要求支持电鸿物联操作系统的设备，须提供具有国家认可的第三方检测机构出具的电鸿认证证书，且证书信息必须在国家认证认可监督委员会官方网站（www.cnca.gov.cn）上查询结果一致。</w:t>
      </w:r>
    </w:p>
    <w:p>
      <w:pPr>
        <w:pStyle w:val="6"/>
        <w:bidi w:val="0"/>
        <w:rPr>
          <w:rFonts w:hint="eastAsia"/>
          <w:color w:val="auto"/>
          <w:sz w:val="24"/>
          <w:szCs w:val="28"/>
          <w:highlight w:val="none"/>
          <w:lang w:val="en-US" w:eastAsia="zh-Hans"/>
        </w:rPr>
      </w:pPr>
      <w:r>
        <w:rPr>
          <w:rFonts w:hint="eastAsia"/>
          <w:color w:val="auto"/>
          <w:sz w:val="24"/>
          <w:szCs w:val="28"/>
          <w:highlight w:val="none"/>
          <w:lang w:val="en-US" w:eastAsia="zh-CN"/>
        </w:rPr>
        <w:t>高清白光一体化云台视联融合终端</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传感器：采用先进CMOS图像传感技术；</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最大图像尺寸:≥2560*1440；</w:t>
      </w:r>
    </w:p>
    <w:p>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ascii="宋体" w:hAnsi="宋体" w:eastAsia="宋体" w:cs="宋体"/>
          <w:highlight w:val="none"/>
          <w:lang w:val="en-US" w:eastAsia="zh-CN"/>
        </w:rPr>
      </w:pPr>
      <w:r>
        <w:rPr>
          <w:rFonts w:hint="eastAsia" w:ascii="Times New Roman Regular" w:hAnsi="Times New Roman Regular" w:cs="Times New Roman Regular"/>
          <w:b/>
          <w:bCs/>
          <w:color w:val="auto"/>
          <w:sz w:val="21"/>
          <w:szCs w:val="16"/>
          <w:highlight w:val="none"/>
        </w:rPr>
        <w:t>▲</w:t>
      </w:r>
      <w:r>
        <w:rPr>
          <w:rFonts w:hint="eastAsia" w:ascii="宋体" w:hAnsi="宋体" w:eastAsia="宋体" w:cs="宋体"/>
          <w:highlight w:val="none"/>
          <w:lang w:val="en-US" w:eastAsia="zh-CN"/>
        </w:rPr>
        <w:t>焦距（可变焦）：≥3</w:t>
      </w:r>
      <w:r>
        <w:rPr>
          <w:rFonts w:hint="eastAsia" w:cs="宋体"/>
          <w:highlight w:val="none"/>
          <w:lang w:val="en-US" w:eastAsia="zh-CN"/>
        </w:rPr>
        <w:t>0</w:t>
      </w:r>
      <w:r>
        <w:rPr>
          <w:rFonts w:hint="eastAsia" w:ascii="宋体" w:hAnsi="宋体" w:eastAsia="宋体" w:cs="宋体"/>
          <w:highlight w:val="none"/>
          <w:lang w:val="en-US" w:eastAsia="zh-CN"/>
        </w:rPr>
        <w:t>倍光学变焦；</w:t>
      </w:r>
    </w:p>
    <w:p>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ascii="宋体" w:hAnsi="宋体" w:eastAsia="宋体" w:cs="宋体"/>
          <w:lang w:val="en-US" w:eastAsia="zh-CN"/>
        </w:rPr>
      </w:pPr>
      <w:r>
        <w:rPr>
          <w:rFonts w:hint="eastAsia" w:ascii="Times New Roman Regular" w:hAnsi="Times New Roman Regular" w:cs="Times New Roman Regular"/>
          <w:b/>
          <w:bCs/>
          <w:color w:val="auto"/>
          <w:sz w:val="21"/>
          <w:szCs w:val="16"/>
          <w:highlight w:val="none"/>
        </w:rPr>
        <w:t>▲</w:t>
      </w:r>
      <w:r>
        <w:rPr>
          <w:rFonts w:hint="eastAsia" w:ascii="宋体" w:hAnsi="宋体" w:eastAsia="宋体" w:cs="宋体"/>
          <w:lang w:val="en-US" w:eastAsia="zh-CN"/>
        </w:rPr>
        <w:t>最低照度:≤0.05Lux</w:t>
      </w:r>
      <w:r>
        <w:rPr>
          <w:rFonts w:hint="eastAsia" w:ascii="宋体" w:hAnsi="宋体" w:eastAsia="宋体" w:cs="宋体"/>
          <w:strike w:val="0"/>
          <w:highlight w:val="none"/>
          <w:lang w:val="en-US" w:eastAsia="zh-CN"/>
        </w:rPr>
        <w:t>(</w:t>
      </w:r>
      <w:r>
        <w:rPr>
          <w:rFonts w:hint="eastAsia" w:ascii="宋体" w:hAnsi="宋体" w:eastAsia="宋体" w:cs="宋体"/>
          <w:lang w:val="en-US" w:eastAsia="zh-CN"/>
        </w:rPr>
        <w:t>彩色)，≤0.005Lux(黑白)；</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Smart图像增强:具有透雾、电子防抖、背光补偿、宽动态功能；</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运动范围:水平0～360°连续旋转垂直+90°～-90°；</w:t>
      </w:r>
    </w:p>
    <w:p>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ascii="宋体" w:hAnsi="宋体" w:eastAsia="宋体" w:cs="宋体"/>
          <w:lang w:val="en-US" w:eastAsia="zh-CN"/>
        </w:rPr>
      </w:pPr>
      <w:r>
        <w:rPr>
          <w:rFonts w:hint="eastAsia" w:ascii="Times New Roman Regular" w:hAnsi="Times New Roman Regular" w:cs="Times New Roman Regular"/>
          <w:b/>
          <w:bCs/>
          <w:color w:val="auto"/>
          <w:sz w:val="21"/>
          <w:szCs w:val="16"/>
          <w:highlight w:val="none"/>
        </w:rPr>
        <w:t>▲</w:t>
      </w:r>
      <w:r>
        <w:rPr>
          <w:rFonts w:hint="eastAsia" w:ascii="宋体" w:hAnsi="宋体" w:eastAsia="宋体" w:cs="宋体"/>
          <w:lang w:val="en-US" w:eastAsia="zh-CN"/>
        </w:rPr>
        <w:t>运动速度:水平0.1°～160°/s垂直0.1°～50°/s；</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隐私遮挡区域：开/关可选，≥8个可设置区域；可预设预置位：≥300个</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视频压缩标准:H.265/H.264/MJPEG；</w:t>
      </w:r>
    </w:p>
    <w:p>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ascii="宋体" w:hAnsi="宋体" w:eastAsia="宋体" w:cs="宋体"/>
          <w:lang w:val="en-US" w:eastAsia="zh-CN"/>
        </w:rPr>
      </w:pPr>
      <w:r>
        <w:rPr>
          <w:rFonts w:hint="eastAsia" w:ascii="Times New Roman Regular" w:hAnsi="Times New Roman Regular" w:cs="Times New Roman Regular"/>
          <w:b/>
          <w:bCs/>
          <w:color w:val="auto"/>
          <w:sz w:val="21"/>
          <w:szCs w:val="16"/>
          <w:highlight w:val="none"/>
        </w:rPr>
        <w:t>▲</w:t>
      </w:r>
      <w:r>
        <w:rPr>
          <w:rFonts w:hint="eastAsia" w:ascii="宋体" w:hAnsi="宋体" w:eastAsia="宋体" w:cs="宋体"/>
          <w:lang w:val="en-US" w:eastAsia="zh-CN"/>
        </w:rPr>
        <w:t>补光距离:白光≥40m；</w:t>
      </w:r>
      <w:r>
        <w:rPr>
          <w:rFonts w:hint="eastAsia" w:ascii="宋体" w:hAnsi="宋体" w:eastAsia="宋体" w:cs="宋体"/>
          <w:highlight w:val="none"/>
          <w:lang w:val="en-US" w:eastAsia="zh-CN"/>
        </w:rPr>
        <w:t>红外补光≥80米；</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网络接口:RJ45网口，自适应10M/100M网络数据，或光纤FC接口，允许使用工业级光纤收发器转接；</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设备云台在转动过程中，由于机械结构故障或外力因素导致云台发生失步，使云台转动结束后的实际位置与原计划位置有偏差时，样机可自动进行位置矫正；</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具备预置位主动校正功能：通过编码模块，可对预置位精度阈值外的偏差进行识别，当设备到达预置位的位置有偏差异常时，自动进行位置校正；</w:t>
      </w:r>
    </w:p>
    <w:p>
      <w:pPr>
        <w:pStyle w:val="2"/>
        <w:ind w:firstLine="422" w:firstLineChars="200"/>
        <w:rPr>
          <w:rFonts w:hint="default"/>
          <w:highlight w:val="yellow"/>
          <w:lang w:val="en-US" w:eastAsia="zh-Hans"/>
        </w:rPr>
      </w:pPr>
      <w:r>
        <w:rPr>
          <w:rFonts w:hint="eastAsia" w:ascii="Times New Roman Regular" w:hAnsi="Times New Roman Regular" w:cs="Times New Roman Regular"/>
          <w:b/>
          <w:bCs/>
          <w:color w:val="auto"/>
          <w:sz w:val="21"/>
          <w:szCs w:val="16"/>
          <w:highlight w:val="none"/>
        </w:rPr>
        <w:t>▲</w:t>
      </w:r>
      <w:r>
        <w:rPr>
          <w:rFonts w:hint="eastAsia" w:ascii="宋体" w:hAnsi="宋体" w:eastAsia="宋体" w:cs="宋体"/>
          <w:lang w:val="en-US" w:eastAsia="zh-CN"/>
        </w:rPr>
        <w:t>采用电鸿操作系统；</w:t>
      </w:r>
    </w:p>
    <w:p>
      <w:pPr>
        <w:pStyle w:val="6"/>
        <w:bidi w:val="0"/>
        <w:rPr>
          <w:rFonts w:hint="default"/>
          <w:color w:val="auto"/>
          <w:sz w:val="24"/>
          <w:szCs w:val="28"/>
          <w:highlight w:val="none"/>
          <w:lang w:val="en-US" w:eastAsia="zh-CN"/>
        </w:rPr>
      </w:pPr>
      <w:r>
        <w:rPr>
          <w:rFonts w:hint="eastAsia"/>
          <w:color w:val="auto"/>
          <w:sz w:val="24"/>
          <w:szCs w:val="28"/>
          <w:highlight w:val="none"/>
          <w:lang w:val="en-US" w:eastAsia="zh-CN"/>
        </w:rPr>
        <w:t>双光谱红外热成像云台视联融合终端</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热成像分辨率：≥640*512</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热灵敏度：≤40mK</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测温精度：Max(±2℃，±2%)</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测温范围：低温模式：-20°C~+150°C，高温模式：0°C~+550°C</w:t>
      </w:r>
    </w:p>
    <w:p>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ascii="宋体" w:hAnsi="宋体" w:eastAsia="宋体" w:cs="宋体"/>
          <w:lang w:val="en-US" w:eastAsia="zh-CN"/>
        </w:rPr>
      </w:pPr>
      <w:r>
        <w:rPr>
          <w:rFonts w:hint="eastAsia" w:ascii="Times New Roman Regular" w:hAnsi="Times New Roman Regular" w:cs="Times New Roman Regular"/>
          <w:b/>
          <w:bCs/>
          <w:color w:val="auto"/>
          <w:sz w:val="21"/>
          <w:szCs w:val="16"/>
          <w:highlight w:val="none"/>
        </w:rPr>
        <w:t>▲</w:t>
      </w:r>
      <w:r>
        <w:rPr>
          <w:rFonts w:hint="eastAsia" w:ascii="宋体" w:hAnsi="宋体" w:eastAsia="宋体" w:cs="宋体"/>
          <w:lang w:val="en-US" w:eastAsia="zh-CN"/>
        </w:rPr>
        <w:t>变焦倍数：光学变倍≥</w:t>
      </w:r>
      <w:r>
        <w:rPr>
          <w:rFonts w:hint="eastAsia" w:ascii="宋体" w:hAnsi="宋体" w:eastAsia="宋体" w:cs="宋体"/>
          <w:highlight w:val="none"/>
          <w:lang w:val="en-US" w:eastAsia="zh-CN"/>
        </w:rPr>
        <w:t>40倍，</w:t>
      </w:r>
      <w:r>
        <w:rPr>
          <w:rFonts w:hint="eastAsia" w:ascii="宋体" w:hAnsi="宋体" w:eastAsia="宋体" w:cs="宋体"/>
          <w:lang w:val="en-US" w:eastAsia="zh-CN"/>
        </w:rPr>
        <w:t>数字变倍≥16倍</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像素：≥2688×1520</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最低照度：≤</w:t>
      </w:r>
      <w:r>
        <w:rPr>
          <w:rFonts w:hint="eastAsia" w:ascii="宋体" w:hAnsi="宋体" w:eastAsia="宋体" w:cs="宋体"/>
          <w:highlight w:val="none"/>
          <w:lang w:val="en-US" w:eastAsia="zh-CN"/>
        </w:rPr>
        <w:t>0.005Lux（彩色），</w:t>
      </w:r>
      <w:r>
        <w:rPr>
          <w:rFonts w:hint="eastAsia" w:ascii="宋体" w:hAnsi="宋体" w:eastAsia="宋体" w:cs="宋体"/>
          <w:lang w:val="en-US" w:eastAsia="zh-CN"/>
        </w:rPr>
        <w:t>≤0.001Lux（黑白）</w:t>
      </w:r>
    </w:p>
    <w:p>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default" w:ascii="宋体" w:hAnsi="宋体" w:eastAsia="宋体" w:cs="宋体"/>
          <w:lang w:val="en-US" w:eastAsia="zh-CN"/>
        </w:rPr>
      </w:pPr>
      <w:r>
        <w:rPr>
          <w:rFonts w:hint="eastAsia" w:ascii="Times New Roman Regular" w:hAnsi="Times New Roman Regular" w:cs="Times New Roman Regular"/>
          <w:b/>
          <w:bCs/>
          <w:color w:val="auto"/>
          <w:sz w:val="21"/>
          <w:szCs w:val="16"/>
          <w:highlight w:val="none"/>
        </w:rPr>
        <w:t>▲</w:t>
      </w:r>
      <w:r>
        <w:rPr>
          <w:rFonts w:hint="eastAsia" w:ascii="宋体" w:hAnsi="宋体" w:eastAsia="宋体" w:cs="宋体"/>
          <w:highlight w:val="none"/>
          <w:lang w:val="en-US" w:eastAsia="zh-CN"/>
        </w:rPr>
        <w:t>补光距离：</w:t>
      </w:r>
      <w:r>
        <w:rPr>
          <w:rFonts w:hint="eastAsia" w:ascii="宋体" w:hAnsi="宋体" w:eastAsia="宋体" w:cs="宋体"/>
          <w:strike w:val="0"/>
          <w:dstrike w:val="0"/>
          <w:highlight w:val="none"/>
          <w:lang w:val="en-US" w:eastAsia="zh-CN"/>
        </w:rPr>
        <w:t>≥40m</w:t>
      </w:r>
      <w:r>
        <w:rPr>
          <w:rFonts w:hint="eastAsia" w:cs="宋体"/>
          <w:strike w:val="0"/>
          <w:dstrike w:val="0"/>
          <w:highlight w:val="none"/>
          <w:lang w:val="en-US" w:eastAsia="zh-CN"/>
        </w:rPr>
        <w:t xml:space="preserve">  </w:t>
      </w:r>
      <w:r>
        <w:rPr>
          <w:rFonts w:hint="eastAsia" w:cs="宋体"/>
          <w:strike w:val="0"/>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视频压缩标准：H.265/H.264</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水平范围：360°连续旋转，垂直范围：-90°～+90°</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预置点个数：≥300个</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重复定位精度：±0.1°</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高精度云台控制：具备自校正功能</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防抖、透雾、宽动态功能：支持</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测温距离：≥</w:t>
      </w:r>
      <w:r>
        <w:rPr>
          <w:rFonts w:hint="eastAsia" w:cs="宋体"/>
          <w:highlight w:val="none"/>
          <w:lang w:val="en-US" w:eastAsia="zh-CN"/>
        </w:rPr>
        <w:t xml:space="preserve">4m </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镜头防水、防雾：配置雨刮</w:t>
      </w:r>
    </w:p>
    <w:p>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ascii="宋体" w:hAnsi="宋体" w:eastAsia="宋体" w:cs="宋体"/>
          <w:lang w:val="en-US" w:eastAsia="zh-CN"/>
        </w:rPr>
      </w:pPr>
      <w:r>
        <w:rPr>
          <w:rFonts w:hint="eastAsia" w:ascii="Times New Roman Regular" w:hAnsi="Times New Roman Regular" w:cs="Times New Roman Regular"/>
          <w:b/>
          <w:bCs/>
          <w:color w:val="auto"/>
          <w:sz w:val="21"/>
          <w:szCs w:val="16"/>
          <w:highlight w:val="none"/>
        </w:rPr>
        <w:t>▲</w:t>
      </w:r>
      <w:r>
        <w:rPr>
          <w:rFonts w:hint="eastAsia" w:ascii="宋体" w:hAnsi="宋体" w:eastAsia="宋体" w:cs="宋体"/>
          <w:lang w:val="en-US" w:eastAsia="zh-CN"/>
        </w:rPr>
        <w:t>键控速度：水平速度:水平键控速度：0.1°-100°/s,速度可设;水平预置点速度：100°/s；垂直速度:垂直键控速度：0.1°-60°/s,速度可设;垂直预置点速度：60°/s</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高精度云台控制：具备自校正功能</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网络存储：断网本地存储及断网续传</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支持协议：支持GB28181-2011/2016、ONVIF、南网PG等协议</w:t>
      </w:r>
    </w:p>
    <w:p>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default"/>
          <w:lang w:val="en-US" w:eastAsia="zh-CN"/>
        </w:rPr>
      </w:pPr>
      <w:r>
        <w:rPr>
          <w:rFonts w:hint="eastAsia" w:ascii="Times New Roman Regular" w:hAnsi="Times New Roman Regular" w:cs="Times New Roman Regular"/>
          <w:b/>
          <w:bCs/>
          <w:color w:val="auto"/>
          <w:sz w:val="21"/>
          <w:szCs w:val="16"/>
          <w:highlight w:val="none"/>
        </w:rPr>
        <w:t>▲</w:t>
      </w:r>
      <w:r>
        <w:rPr>
          <w:rFonts w:hint="eastAsia" w:ascii="宋体" w:hAnsi="宋体" w:eastAsia="宋体" w:cs="宋体"/>
          <w:lang w:val="en-US" w:eastAsia="zh-CN"/>
        </w:rPr>
        <w:t>采用电鸿操作系统</w:t>
      </w:r>
    </w:p>
    <w:p>
      <w:pPr>
        <w:pStyle w:val="6"/>
        <w:bidi w:val="0"/>
        <w:rPr>
          <w:rFonts w:hint="eastAsia"/>
          <w:color w:val="auto"/>
          <w:sz w:val="24"/>
          <w:szCs w:val="28"/>
          <w:highlight w:val="none"/>
          <w:lang w:val="en-US" w:eastAsia="zh-Hans"/>
        </w:rPr>
      </w:pPr>
      <w:r>
        <w:rPr>
          <w:rFonts w:hint="eastAsia"/>
          <w:color w:val="auto"/>
          <w:sz w:val="24"/>
          <w:szCs w:val="28"/>
          <w:highlight w:val="none"/>
          <w:lang w:val="en-US" w:eastAsia="zh-CN"/>
        </w:rPr>
        <w:t>红外球形视联融合终端</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有效像素：≥2560×1440；</w:t>
      </w:r>
    </w:p>
    <w:p>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default" w:ascii="宋体" w:hAnsi="宋体" w:eastAsia="宋体" w:cs="宋体"/>
          <w:color w:val="FF0000"/>
          <w:highlight w:val="yellow"/>
          <w:lang w:val="en-US" w:eastAsia="zh-CN"/>
        </w:rPr>
      </w:pPr>
      <w:r>
        <w:rPr>
          <w:rFonts w:hint="eastAsia" w:ascii="Times New Roman Regular" w:hAnsi="Times New Roman Regular" w:cs="Times New Roman Regular"/>
          <w:b/>
          <w:bCs/>
          <w:color w:val="auto"/>
          <w:sz w:val="21"/>
          <w:szCs w:val="16"/>
          <w:highlight w:val="none"/>
        </w:rPr>
        <w:t>▲</w:t>
      </w:r>
      <w:r>
        <w:rPr>
          <w:rFonts w:hint="eastAsia" w:ascii="宋体" w:hAnsi="宋体" w:eastAsia="宋体" w:cs="宋体"/>
          <w:color w:val="auto"/>
          <w:highlight w:val="none"/>
          <w:lang w:val="en-US" w:eastAsia="zh-CN"/>
        </w:rPr>
        <w:t>光学变倍：≥3</w:t>
      </w:r>
      <w:r>
        <w:rPr>
          <w:rFonts w:hint="eastAsia" w:cs="宋体"/>
          <w:color w:val="auto"/>
          <w:highlight w:val="none"/>
          <w:lang w:val="en-US" w:eastAsia="zh-CN"/>
        </w:rPr>
        <w:t>0</w:t>
      </w:r>
      <w:r>
        <w:rPr>
          <w:rFonts w:hint="eastAsia" w:ascii="宋体" w:hAnsi="宋体" w:eastAsia="宋体" w:cs="宋体"/>
          <w:color w:val="auto"/>
          <w:highlight w:val="none"/>
          <w:lang w:val="en-US" w:eastAsia="zh-CN"/>
        </w:rPr>
        <w:t>倍；数字变倍：≥16倍；</w:t>
      </w:r>
      <w:r>
        <w:rPr>
          <w:rFonts w:hint="eastAsia" w:cs="宋体"/>
          <w:color w:val="FF000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ascii="宋体" w:hAnsi="宋体" w:eastAsia="宋体" w:cs="宋体"/>
          <w:lang w:val="en-US" w:eastAsia="zh-CN"/>
        </w:rPr>
      </w:pPr>
      <w:r>
        <w:rPr>
          <w:rFonts w:hint="eastAsia" w:ascii="Times New Roman Regular" w:hAnsi="Times New Roman Regular" w:cs="Times New Roman Regular"/>
          <w:b/>
          <w:bCs/>
          <w:color w:val="auto"/>
          <w:sz w:val="21"/>
          <w:szCs w:val="16"/>
          <w:highlight w:val="none"/>
        </w:rPr>
        <w:t>▲</w:t>
      </w:r>
      <w:r>
        <w:rPr>
          <w:rFonts w:hint="eastAsia" w:ascii="宋体" w:hAnsi="宋体" w:eastAsia="宋体" w:cs="宋体"/>
          <w:lang w:val="en-US" w:eastAsia="zh-CN"/>
        </w:rPr>
        <w:t>最低照度：≤0.05Lux（彩色），≤0.005Lux（黑白）；</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信噪比：≥50dB</w:t>
      </w:r>
    </w:p>
    <w:p>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ascii="宋体" w:hAnsi="宋体" w:eastAsia="宋体" w:cs="宋体"/>
          <w:lang w:val="en-US" w:eastAsia="zh-CN"/>
        </w:rPr>
      </w:pPr>
      <w:r>
        <w:rPr>
          <w:rFonts w:hint="eastAsia" w:ascii="Times New Roman Regular" w:hAnsi="Times New Roman Regular" w:cs="Times New Roman Regular"/>
          <w:b/>
          <w:bCs/>
          <w:color w:val="auto"/>
          <w:sz w:val="21"/>
          <w:szCs w:val="16"/>
          <w:highlight w:val="none"/>
        </w:rPr>
        <w:t>▲</w:t>
      </w:r>
      <w:r>
        <w:rPr>
          <w:rFonts w:hint="eastAsia" w:ascii="宋体" w:hAnsi="宋体" w:eastAsia="宋体" w:cs="宋体"/>
          <w:lang w:val="en-US" w:eastAsia="zh-CN"/>
        </w:rPr>
        <w:t>补光距离：红外≥60m，白光≥20m；</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旋转角度：水平360°连续</w:t>
      </w:r>
      <w:r>
        <w:rPr>
          <w:rFonts w:hint="eastAsia" w:ascii="宋体" w:hAnsi="宋体" w:eastAsia="宋体" w:cs="宋体"/>
          <w:highlight w:val="none"/>
          <w:lang w:val="en-US" w:eastAsia="zh-CN"/>
        </w:rPr>
        <w:t>，垂直0°～90°(自</w:t>
      </w:r>
      <w:r>
        <w:rPr>
          <w:rFonts w:hint="eastAsia" w:ascii="宋体" w:hAnsi="宋体" w:eastAsia="宋体" w:cs="宋体"/>
          <w:lang w:val="en-US" w:eastAsia="zh-CN"/>
        </w:rPr>
        <w:t>动翻转)；</w:t>
      </w:r>
    </w:p>
    <w:p>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ascii="宋体" w:hAnsi="宋体" w:eastAsia="宋体" w:cs="宋体"/>
          <w:highlight w:val="none"/>
          <w:lang w:val="en-US" w:eastAsia="zh-CN"/>
        </w:rPr>
      </w:pPr>
      <w:r>
        <w:rPr>
          <w:rFonts w:hint="eastAsia" w:ascii="Times New Roman Regular" w:hAnsi="Times New Roman Regular" w:cs="Times New Roman Regular"/>
          <w:b/>
          <w:bCs/>
          <w:color w:val="auto"/>
          <w:sz w:val="21"/>
          <w:szCs w:val="16"/>
          <w:highlight w:val="none"/>
        </w:rPr>
        <w:t>▲</w:t>
      </w:r>
      <w:r>
        <w:rPr>
          <w:rFonts w:hint="eastAsia" w:ascii="宋体" w:hAnsi="宋体" w:eastAsia="宋体" w:cs="宋体"/>
          <w:lang w:val="en-US" w:eastAsia="zh-CN"/>
        </w:rPr>
        <w:t>旋转</w:t>
      </w:r>
      <w:r>
        <w:rPr>
          <w:rFonts w:hint="eastAsia" w:ascii="宋体" w:hAnsi="宋体" w:eastAsia="宋体" w:cs="宋体"/>
          <w:highlight w:val="none"/>
          <w:lang w:val="en-US" w:eastAsia="zh-CN"/>
        </w:rPr>
        <w:t>速度：水平≥220°/s,垂直≥100°/s；</w:t>
      </w:r>
    </w:p>
    <w:p>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ascii="宋体" w:hAnsi="宋体" w:eastAsia="宋体" w:cs="宋体"/>
          <w:highlight w:val="none"/>
          <w:lang w:val="en-US" w:eastAsia="zh-CN"/>
        </w:rPr>
      </w:pPr>
      <w:r>
        <w:rPr>
          <w:rFonts w:hint="eastAsia" w:ascii="Times New Roman Regular" w:hAnsi="Times New Roman Regular" w:cs="Times New Roman Regular"/>
          <w:b/>
          <w:bCs/>
          <w:color w:val="auto"/>
          <w:sz w:val="21"/>
          <w:szCs w:val="16"/>
          <w:highlight w:val="none"/>
        </w:rPr>
        <w:t>▲</w:t>
      </w:r>
      <w:r>
        <w:rPr>
          <w:rFonts w:hint="eastAsia" w:ascii="宋体" w:hAnsi="宋体" w:eastAsia="宋体" w:cs="宋体"/>
          <w:highlight w:val="none"/>
          <w:lang w:val="en-US" w:eastAsia="zh-CN"/>
        </w:rPr>
        <w:t>预置位：≥128个；</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隐私遮挡区域：≥4个；</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动态侦测：开/关可选，≥64个可设置区域。</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设备云台在转动过程中，由于机械结构故障或外力因素导致云台发生失步，使云台转动结束后的实际位置与原计划位置有偏差时，样机可自动进行位置矫正；</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具备预置位主动校正功能：通过编码模块，可对预置位精度阈值外的偏差进行识别，当设备到达预置位的位置有偏差异常时，自动进行位置校正；</w:t>
      </w:r>
    </w:p>
    <w:p>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lang w:val="en-US" w:eastAsia="zh-Hans"/>
        </w:rPr>
      </w:pPr>
      <w:r>
        <w:rPr>
          <w:rFonts w:hint="eastAsia" w:ascii="Times New Roman Regular" w:hAnsi="Times New Roman Regular" w:cs="Times New Roman Regular"/>
          <w:b/>
          <w:bCs/>
          <w:color w:val="auto"/>
          <w:sz w:val="21"/>
          <w:szCs w:val="16"/>
          <w:highlight w:val="none"/>
        </w:rPr>
        <w:t>▲</w:t>
      </w:r>
      <w:r>
        <w:rPr>
          <w:rFonts w:hint="eastAsia" w:ascii="宋体" w:hAnsi="宋体" w:eastAsia="宋体" w:cs="宋体"/>
          <w:lang w:val="en-US" w:eastAsia="zh-CN"/>
        </w:rPr>
        <w:t>采用电鸿操作系统；</w:t>
      </w:r>
    </w:p>
    <w:p>
      <w:pPr>
        <w:pStyle w:val="6"/>
        <w:bidi w:val="0"/>
        <w:rPr>
          <w:rFonts w:hint="default"/>
          <w:color w:val="auto"/>
          <w:sz w:val="24"/>
          <w:szCs w:val="28"/>
          <w:highlight w:val="none"/>
          <w:lang w:val="en-US" w:eastAsia="zh-CN"/>
        </w:rPr>
      </w:pPr>
      <w:r>
        <w:rPr>
          <w:rFonts w:hint="default"/>
          <w:color w:val="auto"/>
          <w:sz w:val="24"/>
          <w:szCs w:val="28"/>
          <w:highlight w:val="none"/>
          <w:lang w:val="en-US" w:eastAsia="zh-CN"/>
        </w:rPr>
        <w:t>双光谱红外热成像球形视联融合终端</w:t>
      </w:r>
    </w:p>
    <w:p>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ascii="宋体" w:hAnsi="宋体" w:eastAsia="宋体" w:cs="宋体"/>
          <w:lang w:val="en-US" w:eastAsia="zh-CN"/>
        </w:rPr>
      </w:pPr>
      <w:r>
        <w:rPr>
          <w:rFonts w:hint="eastAsia" w:ascii="Times New Roman Regular" w:hAnsi="Times New Roman Regular" w:cs="Times New Roman Regular"/>
          <w:b/>
          <w:bCs/>
          <w:color w:val="auto"/>
          <w:sz w:val="21"/>
          <w:szCs w:val="16"/>
          <w:highlight w:val="none"/>
        </w:rPr>
        <w:t>▲</w:t>
      </w:r>
      <w:r>
        <w:rPr>
          <w:rFonts w:hint="eastAsia" w:ascii="宋体" w:hAnsi="宋体" w:eastAsia="宋体" w:cs="宋体"/>
          <w:lang w:val="en-US" w:eastAsia="zh-CN"/>
        </w:rPr>
        <w:t>可见光有效像素：≥1920×1080；</w:t>
      </w:r>
    </w:p>
    <w:p>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ascii="宋体" w:hAnsi="宋体" w:eastAsia="宋体" w:cs="宋体"/>
          <w:lang w:val="en-US" w:eastAsia="zh-CN"/>
        </w:rPr>
      </w:pPr>
      <w:r>
        <w:rPr>
          <w:rFonts w:hint="eastAsia" w:ascii="Times New Roman Regular" w:hAnsi="Times New Roman Regular" w:cs="Times New Roman Regular"/>
          <w:b/>
          <w:bCs/>
          <w:color w:val="auto"/>
          <w:sz w:val="21"/>
          <w:szCs w:val="16"/>
          <w:highlight w:val="none"/>
        </w:rPr>
        <w:t>▲</w:t>
      </w:r>
      <w:r>
        <w:rPr>
          <w:rFonts w:hint="eastAsia" w:ascii="宋体" w:hAnsi="宋体" w:eastAsia="宋体" w:cs="宋体"/>
          <w:lang w:val="en-US" w:eastAsia="zh-CN"/>
        </w:rPr>
        <w:t>可见光光学变倍</w:t>
      </w:r>
      <w:r>
        <w:rPr>
          <w:rFonts w:hint="eastAsia" w:ascii="宋体" w:hAnsi="宋体" w:eastAsia="宋体" w:cs="宋体"/>
          <w:highlight w:val="none"/>
          <w:lang w:val="en-US" w:eastAsia="zh-CN"/>
        </w:rPr>
        <w:t>：≥35倍；</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热成像有效像素：≥640×512；</w:t>
      </w:r>
    </w:p>
    <w:p>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ascii="宋体" w:hAnsi="宋体" w:eastAsia="宋体" w:cs="宋体"/>
          <w:lang w:val="en-US" w:eastAsia="zh-CN"/>
        </w:rPr>
      </w:pPr>
      <w:r>
        <w:rPr>
          <w:rFonts w:hint="eastAsia" w:ascii="Times New Roman Regular" w:hAnsi="Times New Roman Regular" w:cs="Times New Roman Regular"/>
          <w:b/>
          <w:bCs/>
          <w:color w:val="auto"/>
          <w:sz w:val="21"/>
          <w:szCs w:val="16"/>
          <w:highlight w:val="none"/>
        </w:rPr>
        <w:t>▲</w:t>
      </w:r>
      <w:r>
        <w:rPr>
          <w:rFonts w:hint="eastAsia" w:ascii="宋体" w:hAnsi="宋体" w:eastAsia="宋体" w:cs="宋体"/>
          <w:lang w:val="en-US" w:eastAsia="zh-CN"/>
        </w:rPr>
        <w:t>旋转角度：水平360°连续，垂直0°～90°(自动翻转)；</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旋转速度：水平≥60°/s,垂直≥30°/s；</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热灵敏度：热灵敏度≤40mK；</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测温范围：-20°C～+550°C；</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温度分辨率：0.1；</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精度：±2°C或±2%(读数范围)，取大值。</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应具备至少一个RJ45网口或光口；</w:t>
      </w:r>
    </w:p>
    <w:p>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default"/>
          <w:lang w:val="en-US" w:eastAsia="zh-CN"/>
        </w:rPr>
      </w:pPr>
      <w:r>
        <w:rPr>
          <w:rFonts w:hint="eastAsia" w:ascii="Times New Roman Regular" w:hAnsi="Times New Roman Regular" w:cs="Times New Roman Regular"/>
          <w:b/>
          <w:bCs/>
          <w:color w:val="auto"/>
          <w:sz w:val="21"/>
          <w:szCs w:val="16"/>
          <w:highlight w:val="none"/>
        </w:rPr>
        <w:t>▲</w:t>
      </w:r>
      <w:r>
        <w:rPr>
          <w:rFonts w:hint="eastAsia" w:ascii="宋体" w:hAnsi="宋体" w:eastAsia="宋体" w:cs="宋体"/>
          <w:lang w:val="en-US" w:eastAsia="zh-CN"/>
        </w:rPr>
        <w:t>采用电鸿操作系统；</w:t>
      </w:r>
    </w:p>
    <w:p>
      <w:pPr>
        <w:pStyle w:val="6"/>
        <w:bidi w:val="0"/>
        <w:rPr>
          <w:rFonts w:hint="eastAsia"/>
          <w:color w:val="auto"/>
          <w:sz w:val="24"/>
          <w:szCs w:val="28"/>
          <w:highlight w:val="none"/>
          <w:lang w:val="en-US" w:eastAsia="zh-CN"/>
        </w:rPr>
      </w:pPr>
      <w:r>
        <w:rPr>
          <w:rFonts w:hint="eastAsia"/>
          <w:color w:val="auto"/>
          <w:sz w:val="24"/>
          <w:szCs w:val="28"/>
          <w:highlight w:val="none"/>
          <w:lang w:val="en-US" w:eastAsia="zh-CN"/>
        </w:rPr>
        <w:t>固定视联融合终端</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图像传感器：靶面尺寸1/2.7英寸</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像素：≥2688×1520</w:t>
      </w:r>
    </w:p>
    <w:p>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ascii="宋体" w:hAnsi="宋体" w:eastAsia="宋体" w:cs="宋体"/>
          <w:lang w:val="en-US" w:eastAsia="zh-CN"/>
        </w:rPr>
      </w:pPr>
      <w:r>
        <w:rPr>
          <w:rFonts w:hint="eastAsia" w:ascii="Times New Roman Regular" w:hAnsi="Times New Roman Regular" w:cs="Times New Roman Regular"/>
          <w:b/>
          <w:bCs/>
          <w:color w:val="auto"/>
          <w:sz w:val="21"/>
          <w:szCs w:val="16"/>
          <w:highlight w:val="none"/>
        </w:rPr>
        <w:t>▲</w:t>
      </w:r>
      <w:r>
        <w:rPr>
          <w:rFonts w:hint="eastAsia" w:ascii="宋体" w:hAnsi="宋体" w:eastAsia="宋体" w:cs="宋体"/>
          <w:lang w:val="en-US" w:eastAsia="zh-CN"/>
        </w:rPr>
        <w:t>最低照度：彩色：≤0.02Lux， 黑白：≤0.002Lux</w:t>
      </w:r>
    </w:p>
    <w:p>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ascii="宋体" w:hAnsi="宋体" w:eastAsia="宋体" w:cs="宋体"/>
          <w:lang w:val="en-US" w:eastAsia="zh-CN"/>
        </w:rPr>
      </w:pPr>
      <w:r>
        <w:rPr>
          <w:rFonts w:hint="eastAsia" w:ascii="Times New Roman Regular" w:hAnsi="Times New Roman Regular" w:cs="Times New Roman Regular"/>
          <w:b/>
          <w:bCs/>
          <w:color w:val="auto"/>
          <w:sz w:val="21"/>
          <w:szCs w:val="16"/>
          <w:highlight w:val="none"/>
        </w:rPr>
        <w:t>▲</w:t>
      </w:r>
      <w:r>
        <w:rPr>
          <w:rFonts w:hint="eastAsia" w:ascii="宋体" w:hAnsi="宋体" w:eastAsia="宋体" w:cs="宋体"/>
          <w:lang w:val="en-US" w:eastAsia="zh-CN"/>
        </w:rPr>
        <w:t>补光距离：≥40m；</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strike/>
          <w:dstrike w:val="0"/>
          <w:highlight w:val="yellow"/>
          <w:lang w:val="en-US" w:eastAsia="zh-CN"/>
        </w:rPr>
      </w:pPr>
      <w:r>
        <w:rPr>
          <w:rFonts w:hint="eastAsia" w:ascii="宋体" w:hAnsi="宋体" w:eastAsia="宋体" w:cs="宋体"/>
          <w:lang w:val="en-US" w:eastAsia="zh-CN"/>
        </w:rPr>
        <w:t>镜头类型：电动变焦；</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视频压缩标准：H.265/H.264/MJPEG</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防抖、透雾、宽动态功能：支持</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主码流帧率分辨率：50 Hz：25 fps（最大分辨率下）</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子码流帧率分辨率：50 Hz：25 fps（最大分辨率下）</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strike/>
          <w:dstrike w:val="0"/>
          <w:highlight w:val="yellow"/>
          <w:lang w:val="en-US" w:eastAsia="zh-CN"/>
        </w:rPr>
      </w:pPr>
      <w:r>
        <w:rPr>
          <w:rFonts w:hint="eastAsia" w:ascii="宋体" w:hAnsi="宋体" w:eastAsia="宋体" w:cs="宋体"/>
          <w:lang w:val="en-US" w:eastAsia="zh-CN"/>
        </w:rPr>
        <w:t>音频/报警：支持音频/报警</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焦距：电动变焦镜头，2.7mm～13.5mm</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left"/>
        <w:textAlignment w:val="auto"/>
        <w:rPr>
          <w:rFonts w:hint="eastAsia" w:ascii="宋体" w:hAnsi="宋体" w:eastAsia="宋体" w:cs="宋体"/>
          <w:lang w:val="en-US" w:eastAsia="zh-CN"/>
        </w:rPr>
      </w:pPr>
      <w:r>
        <w:rPr>
          <w:rFonts w:hint="eastAsia" w:ascii="宋体" w:hAnsi="宋体" w:eastAsia="宋体" w:cs="宋体"/>
          <w:lang w:val="en-US" w:eastAsia="zh-CN"/>
        </w:rPr>
        <w:t>支持协议：IPV4/IPV6,HTTP,HTTPS,802.1x,FTP,SMTP,UPnP,SNMP,DNS,DDNS,NTP,RTSP,RTCP,RTP,TCP,UDP,IGMP,ICMP,PPPOE,ONVIFProfileS/G/T、GB/T28181,南网PG,SDK等</w:t>
      </w:r>
    </w:p>
    <w:p>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lang w:val="en-US" w:eastAsia="zh-CN"/>
        </w:rPr>
      </w:pPr>
      <w:r>
        <w:rPr>
          <w:rFonts w:hint="eastAsia" w:ascii="Times New Roman Regular" w:hAnsi="Times New Roman Regular" w:cs="Times New Roman Regular"/>
          <w:b/>
          <w:bCs/>
          <w:color w:val="auto"/>
          <w:sz w:val="21"/>
          <w:szCs w:val="16"/>
          <w:highlight w:val="none"/>
        </w:rPr>
        <w:t>▲</w:t>
      </w:r>
      <w:r>
        <w:rPr>
          <w:rFonts w:hint="eastAsia" w:ascii="宋体" w:hAnsi="宋体" w:eastAsia="宋体" w:cs="宋体"/>
          <w:lang w:val="en-US" w:eastAsia="zh-CN"/>
        </w:rPr>
        <w:t>采用电鸿操作系统</w:t>
      </w:r>
    </w:p>
    <w:p>
      <w:pPr>
        <w:pStyle w:val="6"/>
        <w:bidi w:val="0"/>
        <w:rPr>
          <w:rFonts w:hint="eastAsia"/>
          <w:color w:val="auto"/>
          <w:sz w:val="24"/>
          <w:szCs w:val="28"/>
          <w:highlight w:val="none"/>
          <w:lang w:val="en-US" w:eastAsia="zh-CN"/>
        </w:rPr>
      </w:pPr>
      <w:r>
        <w:rPr>
          <w:rFonts w:hint="eastAsia"/>
          <w:color w:val="auto"/>
          <w:sz w:val="24"/>
          <w:szCs w:val="28"/>
          <w:highlight w:val="none"/>
          <w:lang w:val="en-US" w:eastAsia="zh-CN"/>
        </w:rPr>
        <w:t>防爆固定视联融合终端</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有效像素：≥2688×1520；</w:t>
      </w:r>
    </w:p>
    <w:p>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ascii="宋体" w:hAnsi="宋体" w:eastAsia="宋体" w:cs="宋体"/>
          <w:lang w:val="en-US" w:eastAsia="zh-CN"/>
        </w:rPr>
      </w:pPr>
      <w:r>
        <w:rPr>
          <w:rFonts w:hint="eastAsia" w:ascii="Times New Roman Regular" w:hAnsi="Times New Roman Regular" w:cs="Times New Roman Regular"/>
          <w:b/>
          <w:bCs/>
          <w:color w:val="auto"/>
          <w:sz w:val="21"/>
          <w:szCs w:val="16"/>
          <w:highlight w:val="none"/>
        </w:rPr>
        <w:t>▲</w:t>
      </w:r>
      <w:r>
        <w:rPr>
          <w:rFonts w:hint="eastAsia" w:ascii="宋体" w:hAnsi="宋体" w:eastAsia="宋体" w:cs="宋体"/>
          <w:lang w:val="en-US" w:eastAsia="zh-CN"/>
        </w:rPr>
        <w:t>最低照度：≤0.05Lux（彩色），≤0.005Lux（黑白）；</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信噪比：≥50db；</w:t>
      </w:r>
    </w:p>
    <w:p>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ascii="宋体" w:hAnsi="宋体" w:eastAsia="宋体" w:cs="宋体"/>
          <w:highlight w:val="none"/>
          <w:lang w:val="en-US" w:eastAsia="zh-CN"/>
        </w:rPr>
      </w:pPr>
      <w:r>
        <w:rPr>
          <w:rFonts w:hint="eastAsia" w:ascii="Times New Roman Regular" w:hAnsi="Times New Roman Regular" w:cs="Times New Roman Regular"/>
          <w:b/>
          <w:bCs/>
          <w:color w:val="auto"/>
          <w:sz w:val="21"/>
          <w:szCs w:val="16"/>
          <w:highlight w:val="none"/>
        </w:rPr>
        <w:t>▲</w:t>
      </w:r>
      <w:r>
        <w:rPr>
          <w:rFonts w:hint="eastAsia" w:ascii="宋体" w:hAnsi="宋体" w:eastAsia="宋体" w:cs="宋体"/>
          <w:highlight w:val="none"/>
          <w:lang w:val="en-US" w:eastAsia="zh-CN"/>
        </w:rPr>
        <w:t>补光距离：红外≥20m</w:t>
      </w:r>
      <w:r>
        <w:rPr>
          <w:rFonts w:hint="eastAsia" w:ascii="宋体" w:hAnsi="宋体" w:eastAsia="宋体" w:cs="宋体"/>
          <w:strike w:val="0"/>
          <w:dstrike w:val="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防爆等级：Ex db IIC T6 Gb/Ex tb IIIC T80℃Db</w:t>
      </w:r>
    </w:p>
    <w:p>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lang w:val="en-US" w:eastAsia="zh-CN"/>
        </w:rPr>
      </w:pPr>
      <w:r>
        <w:rPr>
          <w:rFonts w:hint="eastAsia" w:ascii="Times New Roman Regular" w:hAnsi="Times New Roman Regular" w:cs="Times New Roman Regular"/>
          <w:b/>
          <w:bCs/>
          <w:color w:val="auto"/>
          <w:sz w:val="21"/>
          <w:szCs w:val="16"/>
          <w:highlight w:val="none"/>
        </w:rPr>
        <w:t>▲</w:t>
      </w:r>
      <w:r>
        <w:rPr>
          <w:rFonts w:hint="eastAsia" w:ascii="宋体" w:hAnsi="宋体" w:eastAsia="宋体" w:cs="宋体"/>
          <w:lang w:val="en-US" w:eastAsia="zh-CN"/>
        </w:rPr>
        <w:t>采用电鸿操作系统</w:t>
      </w:r>
    </w:p>
    <w:p>
      <w:pPr>
        <w:pStyle w:val="6"/>
        <w:bidi w:val="0"/>
        <w:rPr>
          <w:rFonts w:hint="eastAsia"/>
          <w:color w:val="auto"/>
          <w:sz w:val="24"/>
          <w:szCs w:val="28"/>
          <w:highlight w:val="none"/>
          <w:lang w:val="en-US" w:eastAsia="zh-Hans"/>
        </w:rPr>
      </w:pPr>
      <w:r>
        <w:rPr>
          <w:rFonts w:hint="eastAsia"/>
          <w:color w:val="auto"/>
          <w:sz w:val="24"/>
          <w:szCs w:val="28"/>
          <w:highlight w:val="none"/>
          <w:lang w:val="en-US" w:eastAsia="zh-CN"/>
        </w:rPr>
        <w:t>卡片视联融合终端</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传感器：采用先进CMOS图像传感技术；</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有效像素：</w:t>
      </w:r>
      <w:r>
        <w:rPr>
          <w:rFonts w:hint="eastAsia" w:ascii="宋体" w:hAnsi="宋体" w:eastAsia="宋体" w:cs="宋体"/>
          <w:lang w:val="en-US" w:eastAsia="zh-CN"/>
        </w:rPr>
        <w:t>≥</w:t>
      </w:r>
      <w:r>
        <w:rPr>
          <w:rFonts w:hint="eastAsia" w:ascii="宋体" w:hAnsi="宋体" w:eastAsia="宋体" w:cs="宋体"/>
          <w:highlight w:val="none"/>
          <w:lang w:val="en-US" w:eastAsia="zh-CN"/>
        </w:rPr>
        <w:t>2560*1440；</w:t>
      </w:r>
    </w:p>
    <w:p>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ascii="宋体" w:hAnsi="宋体" w:eastAsia="宋体" w:cs="宋体"/>
          <w:highlight w:val="none"/>
          <w:lang w:val="en-US" w:eastAsia="zh-CN"/>
        </w:rPr>
      </w:pPr>
      <w:r>
        <w:rPr>
          <w:rFonts w:hint="eastAsia" w:ascii="Times New Roman Regular" w:hAnsi="Times New Roman Regular" w:cs="Times New Roman Regular"/>
          <w:b/>
          <w:bCs/>
          <w:color w:val="auto"/>
          <w:sz w:val="21"/>
          <w:szCs w:val="16"/>
          <w:highlight w:val="none"/>
        </w:rPr>
        <w:t>▲</w:t>
      </w:r>
      <w:r>
        <w:rPr>
          <w:rFonts w:hint="eastAsia" w:ascii="宋体" w:hAnsi="宋体" w:eastAsia="宋体" w:cs="宋体"/>
          <w:highlight w:val="none"/>
          <w:lang w:val="en-US" w:eastAsia="zh-CN"/>
        </w:rPr>
        <w:t>最低照度：彩色≤0.02Lux，黑白≤0.001Lux；</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宽动态范围：≥80dB；</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最大功耗：≤6W；</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信噪比：≥50dB；</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视频压缩标准:H.265/H.264；</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电源:DC12V±10%或POE；</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color w:val="auto"/>
          <w:sz w:val="24"/>
          <w:szCs w:val="28"/>
          <w:highlight w:val="none"/>
          <w:lang w:val="en-US" w:eastAsia="zh-Hans"/>
        </w:rPr>
      </w:pPr>
      <w:r>
        <w:rPr>
          <w:rFonts w:hint="eastAsia" w:ascii="宋体" w:hAnsi="宋体" w:eastAsia="宋体" w:cs="宋体"/>
          <w:lang w:val="en-US" w:eastAsia="zh-CN"/>
        </w:rPr>
        <w:t>通讯接口:RJ45的网络接口，自适应10M/100M网络数据；</w:t>
      </w:r>
    </w:p>
    <w:p>
      <w:pPr>
        <w:pStyle w:val="6"/>
        <w:bidi w:val="0"/>
        <w:rPr>
          <w:rFonts w:hint="eastAsia"/>
          <w:color w:val="auto"/>
          <w:sz w:val="24"/>
          <w:szCs w:val="28"/>
          <w:highlight w:val="none"/>
          <w:lang w:val="en-US" w:eastAsia="zh-Hans"/>
        </w:rPr>
      </w:pPr>
      <w:r>
        <w:rPr>
          <w:rFonts w:hint="eastAsia"/>
          <w:color w:val="auto"/>
          <w:sz w:val="24"/>
          <w:szCs w:val="28"/>
          <w:highlight w:val="none"/>
          <w:lang w:val="en-US" w:eastAsia="zh-Hans"/>
        </w:rPr>
        <w:t>测温卡片视联融合终端</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可见光像素：≥400万像素；</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分辨率：≥2336×1752；</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图像传感器：靶面尺寸1/2.</w:t>
      </w:r>
      <w:r>
        <w:rPr>
          <w:rFonts w:hint="eastAsia" w:cs="宋体"/>
          <w:highlight w:val="none"/>
          <w:lang w:val="en-US" w:eastAsia="zh-CN"/>
        </w:rPr>
        <w:t>8</w:t>
      </w:r>
      <w:r>
        <w:rPr>
          <w:rFonts w:hint="eastAsia" w:ascii="宋体" w:hAnsi="宋体" w:eastAsia="宋体" w:cs="宋体"/>
          <w:highlight w:val="none"/>
          <w:lang w:val="en-US" w:eastAsia="zh-CN"/>
        </w:rPr>
        <w:t>英寸；</w:t>
      </w:r>
    </w:p>
    <w:p>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ascii="宋体" w:hAnsi="宋体" w:eastAsia="宋体" w:cs="宋体"/>
          <w:highlight w:val="none"/>
          <w:lang w:val="en-US" w:eastAsia="zh-CN"/>
        </w:rPr>
      </w:pPr>
      <w:r>
        <w:rPr>
          <w:rFonts w:hint="eastAsia" w:ascii="Times New Roman Regular" w:hAnsi="Times New Roman Regular" w:cs="Times New Roman Regular"/>
          <w:b/>
          <w:bCs/>
          <w:color w:val="auto"/>
          <w:sz w:val="21"/>
          <w:szCs w:val="16"/>
          <w:highlight w:val="none"/>
        </w:rPr>
        <w:t>▲</w:t>
      </w:r>
      <w:r>
        <w:rPr>
          <w:rFonts w:hint="eastAsia" w:ascii="宋体" w:hAnsi="宋体" w:eastAsia="宋体" w:cs="宋体"/>
          <w:highlight w:val="none"/>
          <w:lang w:val="en-US" w:eastAsia="zh-CN"/>
        </w:rPr>
        <w:t>热灵敏度（NETD）：≤50mk；</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热成像像素：≥256×192；</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最大亮度鉴别等级：≥11级；</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亮度信号信噪比：≥50dB；</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帧率：≥25fps；</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最大允许误差：Max(±2℃，±2%)；</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测温范围：低温模式-20℃~+100℃,高温模式100℃~+500℃；</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热成像像素：≥160×120；</w:t>
      </w:r>
    </w:p>
    <w:p>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ascii="宋体" w:hAnsi="宋体" w:eastAsia="宋体" w:cs="宋体"/>
          <w:highlight w:val="none"/>
          <w:lang w:val="en-US" w:eastAsia="zh-CN"/>
        </w:rPr>
      </w:pPr>
      <w:r>
        <w:rPr>
          <w:rFonts w:hint="eastAsia" w:ascii="Times New Roman Regular" w:hAnsi="Times New Roman Regular" w:cs="Times New Roman Regular"/>
          <w:b/>
          <w:bCs/>
          <w:color w:val="auto"/>
          <w:sz w:val="21"/>
          <w:szCs w:val="16"/>
          <w:highlight w:val="none"/>
        </w:rPr>
        <w:t>▲</w:t>
      </w:r>
      <w:r>
        <w:rPr>
          <w:rFonts w:hint="eastAsia" w:ascii="宋体" w:hAnsi="宋体" w:eastAsia="宋体" w:cs="宋体"/>
          <w:highlight w:val="none"/>
          <w:lang w:val="en-US" w:eastAsia="zh-CN"/>
        </w:rPr>
        <w:t>测温方式：鼠标实时点测温，最多可设10个点，10个区域、10个线规则；</w:t>
      </w:r>
    </w:p>
    <w:p>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ascii="宋体" w:hAnsi="宋体" w:eastAsia="宋体" w:cs="宋体"/>
          <w:highlight w:val="none"/>
          <w:lang w:val="en-US" w:eastAsia="zh-CN"/>
        </w:rPr>
      </w:pPr>
      <w:r>
        <w:rPr>
          <w:rFonts w:hint="eastAsia" w:ascii="Times New Roman Regular" w:hAnsi="Times New Roman Regular" w:cs="Times New Roman Regular"/>
          <w:b/>
          <w:bCs/>
          <w:color w:val="auto"/>
          <w:sz w:val="21"/>
          <w:szCs w:val="16"/>
          <w:highlight w:val="none"/>
        </w:rPr>
        <w:t>▲</w:t>
      </w:r>
      <w:r>
        <w:rPr>
          <w:rFonts w:hint="eastAsia" w:ascii="宋体" w:hAnsi="宋体" w:eastAsia="宋体" w:cs="宋体"/>
          <w:highlight w:val="none"/>
          <w:lang w:val="en-US" w:eastAsia="zh-CN"/>
        </w:rPr>
        <w:t>最低可用照度：彩色≤0.1Lux，黑白≤0.05Lux。</w:t>
      </w:r>
    </w:p>
    <w:p>
      <w:pPr>
        <w:pStyle w:val="6"/>
        <w:bidi w:val="0"/>
        <w:rPr>
          <w:rFonts w:hint="eastAsia"/>
          <w:color w:val="auto"/>
          <w:sz w:val="24"/>
          <w:szCs w:val="28"/>
          <w:highlight w:val="none"/>
          <w:lang w:val="en-US" w:eastAsia="zh-Hans"/>
        </w:rPr>
      </w:pPr>
      <w:r>
        <w:rPr>
          <w:rFonts w:hint="eastAsia"/>
          <w:color w:val="auto"/>
          <w:sz w:val="24"/>
          <w:szCs w:val="28"/>
          <w:highlight w:val="none"/>
          <w:lang w:val="en-US" w:eastAsia="zh-Hans"/>
        </w:rPr>
        <w:t>全景视联融合终端</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全景：</w:t>
      </w:r>
    </w:p>
    <w:p>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ascii="宋体" w:hAnsi="宋体" w:eastAsia="宋体" w:cs="宋体"/>
          <w:highlight w:val="none"/>
          <w:lang w:val="en-US" w:eastAsia="zh-CN"/>
        </w:rPr>
      </w:pPr>
      <w:r>
        <w:rPr>
          <w:rFonts w:hint="eastAsia" w:ascii="Times New Roman Regular" w:hAnsi="Times New Roman Regular" w:cs="Times New Roman Regular"/>
          <w:b/>
          <w:bCs/>
          <w:color w:val="auto"/>
          <w:sz w:val="21"/>
          <w:szCs w:val="16"/>
          <w:highlight w:val="none"/>
        </w:rPr>
        <w:t>▲</w:t>
      </w:r>
      <w:r>
        <w:rPr>
          <w:rFonts w:hint="eastAsia" w:ascii="宋体" w:hAnsi="宋体" w:eastAsia="宋体" w:cs="宋体"/>
          <w:highlight w:val="none"/>
          <w:lang w:val="en-US" w:eastAsia="zh-CN"/>
        </w:rPr>
        <w:t>传感器：8个1/1.8 CMOS，最高分辨率及帧率可达7680× 2400 @25fps；</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视场角：全景：水平：360°；垂直：100°；</w:t>
      </w:r>
    </w:p>
    <w:p>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ascii="宋体" w:hAnsi="宋体" w:eastAsia="宋体" w:cs="宋体"/>
          <w:highlight w:val="none"/>
          <w:lang w:val="en-US" w:eastAsia="zh-CN"/>
        </w:rPr>
      </w:pPr>
      <w:r>
        <w:rPr>
          <w:rFonts w:hint="eastAsia" w:ascii="Times New Roman Regular" w:hAnsi="Times New Roman Regular" w:cs="Times New Roman Regular"/>
          <w:b/>
          <w:bCs/>
          <w:color w:val="auto"/>
          <w:sz w:val="21"/>
          <w:szCs w:val="16"/>
          <w:highlight w:val="none"/>
        </w:rPr>
        <w:t>▲</w:t>
      </w:r>
      <w:r>
        <w:rPr>
          <w:rFonts w:hint="eastAsia" w:ascii="宋体" w:hAnsi="宋体" w:eastAsia="宋体" w:cs="宋体"/>
          <w:highlight w:val="none"/>
          <w:lang w:val="en-US" w:eastAsia="zh-CN"/>
        </w:rPr>
        <w:t>最低照度：≤0.005 Lux（彩色），≤0.001Lux（黑白）</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细节：</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传感器：1/1.8 CMOS，最高分辨率及帧率可达2560 × 1440 @25 fps</w:t>
      </w:r>
    </w:p>
    <w:p>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ascii="宋体" w:hAnsi="宋体" w:eastAsia="宋体" w:cs="宋体"/>
          <w:highlight w:val="none"/>
          <w:lang w:val="en-US" w:eastAsia="zh-CN"/>
        </w:rPr>
      </w:pPr>
      <w:r>
        <w:rPr>
          <w:rFonts w:hint="eastAsia" w:ascii="Times New Roman Regular" w:hAnsi="Times New Roman Regular" w:cs="Times New Roman Regular"/>
          <w:b/>
          <w:bCs/>
          <w:color w:val="auto"/>
          <w:sz w:val="21"/>
          <w:szCs w:val="16"/>
          <w:highlight w:val="none"/>
        </w:rPr>
        <w:t>▲</w:t>
      </w:r>
      <w:r>
        <w:rPr>
          <w:rFonts w:hint="eastAsia" w:ascii="宋体" w:hAnsi="宋体" w:eastAsia="宋体" w:cs="宋体"/>
          <w:highlight w:val="none"/>
          <w:lang w:val="en-US" w:eastAsia="zh-CN"/>
        </w:rPr>
        <w:t>最低照度：≤0.01 Lux（彩色），≤0.005Lux（黑白）</w:t>
      </w:r>
    </w:p>
    <w:p>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ascii="宋体" w:hAnsi="宋体" w:eastAsia="宋体" w:cs="宋体"/>
          <w:highlight w:val="none"/>
          <w:lang w:val="en-US" w:eastAsia="zh-CN"/>
        </w:rPr>
      </w:pPr>
      <w:r>
        <w:rPr>
          <w:rFonts w:hint="eastAsia" w:ascii="Times New Roman Regular" w:hAnsi="Times New Roman Regular" w:cs="Times New Roman Regular"/>
          <w:b/>
          <w:bCs/>
          <w:color w:val="auto"/>
          <w:sz w:val="21"/>
          <w:szCs w:val="16"/>
          <w:highlight w:val="none"/>
        </w:rPr>
        <w:t>▲</w:t>
      </w:r>
      <w:r>
        <w:rPr>
          <w:rFonts w:hint="eastAsia" w:ascii="宋体" w:hAnsi="宋体" w:eastAsia="宋体" w:cs="宋体"/>
          <w:highlight w:val="none"/>
          <w:lang w:val="en-US" w:eastAsia="zh-CN"/>
        </w:rPr>
        <w:t>光学变焦≥36倍</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调整角度：水平：0°～360°；垂直：0°～90°；</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红外补光：≥80 m</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可预设预置位：≥300个</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日夜转换：ICR自动切换</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拍摄功能：可自动/手动聚焦；支持背光补偿，强光抑制，宽动态，降噪，透雾</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白平衡：自动、自然光、路灯、室外、手动</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定位支持：支持北斗定位</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支持定位联动、自动跟踪、手动跟踪、混合跟踪功能</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主码流帧率分辨率：50 Hz：25 fps（最大分辨率下）</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子码流帧率分辨率：50 Hz：25 fps（最大分辨率下）</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支持协议：支持GB28181-2011/2016、ONVIF、南网PG等</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lang w:val="en-US" w:eastAsia="zh-Hans"/>
        </w:rPr>
      </w:pPr>
      <w:r>
        <w:rPr>
          <w:rFonts w:hint="eastAsia" w:ascii="宋体" w:hAnsi="宋体" w:eastAsia="宋体" w:cs="宋体"/>
          <w:lang w:val="en-US" w:eastAsia="zh-CN"/>
        </w:rPr>
        <w:t>视频压缩标准：H.265/H.264/MJPEG</w:t>
      </w:r>
    </w:p>
    <w:p>
      <w:pPr>
        <w:pStyle w:val="5"/>
        <w:bidi w:val="0"/>
        <w:rPr>
          <w:rFonts w:hint="default"/>
          <w:color w:val="auto"/>
          <w:sz w:val="24"/>
          <w:szCs w:val="28"/>
          <w:highlight w:val="none"/>
          <w:lang w:val="en-US" w:eastAsia="zh-CN"/>
        </w:rPr>
      </w:pPr>
      <w:bookmarkStart w:id="129" w:name="_Toc5598"/>
      <w:r>
        <w:rPr>
          <w:rFonts w:hint="eastAsia"/>
          <w:color w:val="auto"/>
          <w:sz w:val="24"/>
          <w:szCs w:val="28"/>
          <w:highlight w:val="none"/>
          <w:lang w:val="en-US" w:eastAsia="zh-CN"/>
        </w:rPr>
        <w:t>其他设备</w:t>
      </w:r>
      <w:bookmarkEnd w:id="129"/>
    </w:p>
    <w:p>
      <w:pPr>
        <w:pStyle w:val="6"/>
        <w:bidi w:val="0"/>
        <w:rPr>
          <w:rFonts w:hint="default"/>
          <w:color w:val="auto"/>
          <w:sz w:val="24"/>
          <w:szCs w:val="28"/>
          <w:highlight w:val="none"/>
          <w:lang w:val="en-US" w:eastAsia="zh-CN"/>
        </w:rPr>
      </w:pPr>
      <w:r>
        <w:rPr>
          <w:rFonts w:hint="eastAsia" w:eastAsia="宋体" w:cs="Times New Roman"/>
          <w:b/>
          <w:color w:val="auto"/>
          <w:sz w:val="24"/>
          <w:szCs w:val="28"/>
          <w:highlight w:val="none"/>
          <w:lang w:val="en-US" w:eastAsia="zh-CN"/>
        </w:rPr>
        <w:t>视频存储单元</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(1)最大支持128路网络视频接入,大于等于2个千兆电口;</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(2)支持24个SATA硬盘；支持接入容量为1T/2T/3T/4T/6T/8T/10T/12T/14T/16T/20T的SATA磁盘；</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(3)使用账户登录时连续输入用户名或密码错误次数超过设定的阀值时自动锁定账户一段时间，并产生报警信息；可限制用户在特定IP主机上登录；可限制用户在特定时间段登录；用户登录记录及信息应保存，并且具备导出功能；应具有软重启功能接口，支持远方软重启；</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(4)支持配置文件和数据导出；支持后台配置数据、账户数据和密钥数据均采用加密存储；存储硬盘出现故障，对应硬盘槽位有报警灯光提示；</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(5)可批量添加、修改接入的前端摄像机IP地址，可对已添加的前端摄像机IP进行过滤；HTTP、HTTPS、TCP/IP、IPv4、IPv6、UPnP、RTSP、UDP、NTP、DNS、SMTP、UPnP、DDNS、SNMP、报警中心、IPSearch(支持主流厂商网络相机，DVR,NVS等)、组播、P2P;</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(6)支持通过浏览器进行视频浏览、回放和下载，支持多画面同时段录像同时回放或不同时段录像同时回放；</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(7)可接入ONVIF、RTSP标准、GB/T28181、GB/T35114A级、RPU、PG、SDK协议的网络摄像机，并支持以私有协议方式接入第三方摄像机可一键添加和激活局域网内的网络摄像机；</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(8)本地录像时可支持的视频帧率不低</w:t>
      </w:r>
      <w:r>
        <w:rPr>
          <w:rFonts w:hint="eastAsia" w:ascii="宋体" w:hAnsi="宋体" w:eastAsia="宋体" w:cs="宋体"/>
          <w:highlight w:val="none"/>
          <w:lang w:val="en-US" w:eastAsia="zh-CN"/>
        </w:rPr>
        <w:t>于25帧/s；</w:t>
      </w:r>
      <w:r>
        <w:rPr>
          <w:rFonts w:hint="eastAsia" w:ascii="宋体" w:hAnsi="宋体" w:eastAsia="宋体" w:cs="宋体"/>
          <w:lang w:val="en-US" w:eastAsia="zh-CN"/>
        </w:rPr>
        <w:t>图像格式为CIF时，网络传输的视频帧率不低于25帧/s；图像格式为4CIF以上时,网络传输的视频帧率不低于15帧/s，重要图像信息宜25帧/s；</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(9)视频编码支持H.264、H.265或MPEG-4视频编码标准，视频解码同时支持H.264和MPEG-4视频解码标准；音频编码支持PCM/G711A/G711U/G726/AAC；</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(10)视频码流清晰度支持：支持接入鱼眼摄像机、双目摄像机、三日摄像机、四目摄像机、八目枪球联动一体机、全景摄像机:分辨率为3840X2160、8192X4800、8192X2700、8192X3840的摄像机并可将视频图像以多画面分割方式显示，支持Onvif、GB28181等前端设备的接入；</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(11)可自定义画面布局；</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default"/>
          <w:lang w:val="en-US" w:eastAsia="zh-CN"/>
        </w:rPr>
      </w:pPr>
      <w:r>
        <w:rPr>
          <w:rFonts w:hint="eastAsia" w:ascii="宋体" w:hAnsi="宋体" w:eastAsia="宋体" w:cs="宋体"/>
          <w:lang w:val="en-US" w:eastAsia="zh-CN"/>
        </w:rPr>
        <w:t>(12)北向接口协议：支持PG、SDK等标准协议，及主流摄像头厂家的私有协议：包含但不限于云台控制、预置位调用、预置位设置、热成像测温数据透传、视频推流、预览录像抓图、手动录像等；南向接口协议：支持PG、ONVIF、28181等标准协议，及主流摄像头厂家的私有协议：包含但不限于云台控制、预置位调用、预置位设置、抓图、热成像测温数据接入、热成像测温规则配置等。</w:t>
      </w:r>
    </w:p>
    <w:p>
      <w:pPr>
        <w:pStyle w:val="6"/>
        <w:bidi w:val="0"/>
        <w:rPr>
          <w:rFonts w:hint="default"/>
          <w:color w:val="auto"/>
          <w:sz w:val="24"/>
          <w:szCs w:val="28"/>
          <w:highlight w:val="none"/>
          <w:lang w:val="en-US" w:eastAsia="zh-CN"/>
        </w:rPr>
      </w:pPr>
      <w:r>
        <w:rPr>
          <w:rFonts w:hint="eastAsia"/>
          <w:color w:val="auto"/>
          <w:sz w:val="24"/>
          <w:szCs w:val="28"/>
          <w:highlight w:val="none"/>
          <w:lang w:val="en-US" w:eastAsia="zh-CN"/>
        </w:rPr>
        <w:t>企业级硬盘</w:t>
      </w:r>
    </w:p>
    <w:p>
      <w:pPr>
        <w:pStyle w:val="2"/>
        <w:spacing w:after="0"/>
        <w:ind w:firstLine="420" w:firstLineChars="200"/>
        <w:jc w:val="left"/>
        <w:rPr>
          <w:rFonts w:hint="default"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3.5英寸企业级硬盘，≥8TB；SATA接口。</w:t>
      </w:r>
    </w:p>
    <w:p>
      <w:pPr>
        <w:pStyle w:val="6"/>
        <w:bidi w:val="0"/>
        <w:rPr>
          <w:rFonts w:hint="default"/>
          <w:color w:val="auto"/>
          <w:sz w:val="24"/>
          <w:szCs w:val="28"/>
          <w:highlight w:val="none"/>
          <w:lang w:val="en-US" w:eastAsia="zh-CN"/>
        </w:rPr>
      </w:pPr>
      <w:r>
        <w:rPr>
          <w:rFonts w:hint="default"/>
          <w:color w:val="auto"/>
          <w:sz w:val="24"/>
          <w:szCs w:val="28"/>
          <w:highlight w:val="none"/>
          <w:lang w:val="en-US" w:eastAsia="zh-CN"/>
        </w:rPr>
        <w:t>多模态物联网汇聚箱（16路）（壁挂）</w:t>
      </w:r>
    </w:p>
    <w:p>
      <w:pPr>
        <w:pStyle w:val="7"/>
        <w:rPr>
          <w:rFonts w:hint="default" w:ascii="宋体" w:hAnsi="宋体" w:eastAsia="宋体" w:cs="宋体"/>
          <w:lang w:val="en-US" w:eastAsia="zh-CN"/>
        </w:rPr>
      </w:pPr>
      <w:r>
        <w:rPr>
          <w:rFonts w:hint="default" w:ascii="宋体" w:hAnsi="宋体" w:eastAsia="宋体" w:cs="宋体"/>
          <w:lang w:val="en-US" w:eastAsia="zh-CN"/>
        </w:rPr>
        <w:t>(1)采用国产工业级64位低功耗处理器，CPU核心数≥4、主频不低于1.5GHz；</w:t>
      </w:r>
    </w:p>
    <w:p>
      <w:pPr>
        <w:pStyle w:val="7"/>
        <w:rPr>
          <w:rFonts w:hint="default" w:ascii="宋体" w:hAnsi="宋体" w:eastAsia="宋体" w:cs="宋体"/>
          <w:lang w:val="en-US" w:eastAsia="zh-CN"/>
        </w:rPr>
      </w:pPr>
      <w:r>
        <w:rPr>
          <w:rFonts w:hint="default" w:ascii="宋体" w:hAnsi="宋体" w:eastAsia="宋体" w:cs="宋体"/>
          <w:lang w:val="en-US" w:eastAsia="zh-CN"/>
        </w:rPr>
        <w:t>(2)接口模块：支持HDMI接口、USB接口、Type-C接口、网口；</w:t>
      </w:r>
    </w:p>
    <w:p>
      <w:pPr>
        <w:pStyle w:val="7"/>
        <w:rPr>
          <w:rFonts w:hint="default" w:ascii="宋体" w:hAnsi="宋体" w:eastAsia="宋体" w:cs="宋体"/>
          <w:lang w:val="en-US" w:eastAsia="zh-CN"/>
        </w:rPr>
      </w:pPr>
      <w:r>
        <w:rPr>
          <w:rFonts w:hint="default" w:ascii="宋体" w:hAnsi="宋体" w:eastAsia="宋体" w:cs="宋体"/>
          <w:lang w:val="en-US" w:eastAsia="zh-CN"/>
        </w:rPr>
        <w:t>(3)物联模块：支持不低于2000测点的接入，支持边缘采集，计算，主动上报等边缘功能；</w:t>
      </w:r>
    </w:p>
    <w:p>
      <w:pPr>
        <w:pStyle w:val="7"/>
        <w:rPr>
          <w:rFonts w:hint="default" w:ascii="宋体" w:hAnsi="宋体" w:eastAsia="宋体" w:cs="宋体"/>
          <w:lang w:val="en-US" w:eastAsia="zh-CN"/>
        </w:rPr>
      </w:pPr>
      <w:r>
        <w:rPr>
          <w:rFonts w:hint="default" w:ascii="宋体" w:hAnsi="宋体" w:eastAsia="宋体" w:cs="宋体"/>
          <w:lang w:val="en-US" w:eastAsia="zh-CN"/>
        </w:rPr>
        <w:t>(4)协议要求：支持ModbusRTU，ModbusTCP、IEC101/104，IEC61850 南网物模型等多种协议，支持协议模型管理；</w:t>
      </w:r>
    </w:p>
    <w:p>
      <w:pPr>
        <w:pStyle w:val="7"/>
        <w:rPr>
          <w:rFonts w:hint="default" w:ascii="宋体" w:hAnsi="宋体" w:eastAsia="宋体" w:cs="宋体"/>
          <w:lang w:val="en-US" w:eastAsia="zh-CN"/>
        </w:rPr>
      </w:pPr>
      <w:r>
        <w:rPr>
          <w:rFonts w:hint="default" w:ascii="宋体" w:hAnsi="宋体" w:eastAsia="宋体" w:cs="宋体"/>
          <w:lang w:val="en-US" w:eastAsia="zh-CN"/>
        </w:rPr>
        <w:t>(5)支持16*RJ45，16*RS485，8*DI（干接点），8*DO（继电器型）；</w:t>
      </w:r>
    </w:p>
    <w:p>
      <w:pPr>
        <w:pStyle w:val="7"/>
        <w:rPr>
          <w:rFonts w:hint="default" w:ascii="宋体" w:hAnsi="宋体" w:eastAsia="宋体" w:cs="宋体"/>
          <w:lang w:val="en-US" w:eastAsia="zh-CN"/>
        </w:rPr>
      </w:pPr>
      <w:r>
        <w:rPr>
          <w:rFonts w:hint="default" w:ascii="宋体" w:hAnsi="宋体" w:eastAsia="宋体" w:cs="宋体"/>
          <w:lang w:val="en-US" w:eastAsia="zh-CN"/>
        </w:rPr>
        <w:t>(6)箱体采用不锈钢材料；</w:t>
      </w:r>
    </w:p>
    <w:p>
      <w:pPr>
        <w:pStyle w:val="7"/>
        <w:rPr>
          <w:rFonts w:hint="default" w:ascii="宋体" w:hAnsi="宋体" w:eastAsia="宋体" w:cs="宋体"/>
          <w:lang w:val="en-US" w:eastAsia="zh-CN"/>
        </w:rPr>
      </w:pPr>
      <w:r>
        <w:rPr>
          <w:rFonts w:hint="default" w:ascii="宋体" w:hAnsi="宋体" w:eastAsia="宋体" w:cs="宋体"/>
          <w:lang w:val="en-US" w:eastAsia="zh-CN"/>
        </w:rPr>
        <w:t>(7)模块功能：每路输出支持独立控制，支持远程控制；</w:t>
      </w:r>
    </w:p>
    <w:p>
      <w:pPr>
        <w:pStyle w:val="7"/>
        <w:rPr>
          <w:rFonts w:hint="default" w:ascii="宋体" w:hAnsi="宋体" w:eastAsia="宋体" w:cs="宋体"/>
          <w:lang w:val="en-US" w:eastAsia="zh-CN"/>
        </w:rPr>
      </w:pPr>
      <w:r>
        <w:rPr>
          <w:rFonts w:hint="default" w:ascii="宋体" w:hAnsi="宋体" w:eastAsia="宋体" w:cs="宋体"/>
          <w:lang w:val="en-US" w:eastAsia="zh-CN"/>
        </w:rPr>
        <w:t>(8)安装方式：壁挂。</w:t>
      </w:r>
    </w:p>
    <w:p>
      <w:pPr>
        <w:pStyle w:val="6"/>
        <w:bidi w:val="0"/>
        <w:rPr>
          <w:rFonts w:hint="default"/>
          <w:color w:val="auto"/>
          <w:sz w:val="24"/>
          <w:szCs w:val="28"/>
          <w:highlight w:val="none"/>
          <w:lang w:val="en-US" w:eastAsia="zh-CN"/>
        </w:rPr>
      </w:pPr>
      <w:r>
        <w:rPr>
          <w:rFonts w:hint="default"/>
          <w:color w:val="auto"/>
          <w:sz w:val="24"/>
          <w:szCs w:val="28"/>
          <w:highlight w:val="none"/>
          <w:lang w:val="en-US" w:eastAsia="zh-CN"/>
        </w:rPr>
        <w:t>多模态物联网汇聚箱（16路）（户外座立式）</w:t>
      </w:r>
    </w:p>
    <w:p>
      <w:pPr>
        <w:pStyle w:val="7"/>
        <w:rPr>
          <w:rFonts w:hint="default" w:ascii="宋体" w:hAnsi="宋体" w:eastAsia="宋体" w:cs="宋体"/>
          <w:lang w:val="en-US" w:eastAsia="zh-CN"/>
        </w:rPr>
      </w:pPr>
      <w:r>
        <w:rPr>
          <w:rFonts w:hint="default" w:ascii="宋体" w:hAnsi="宋体" w:eastAsia="宋体" w:cs="宋体"/>
          <w:lang w:val="en-US" w:eastAsia="zh-CN"/>
        </w:rPr>
        <w:t>(1)采用国产工业级64位低功耗处理器，CPU核心数≥4、主频不低于1.5GHz；</w:t>
      </w:r>
    </w:p>
    <w:p>
      <w:pPr>
        <w:pStyle w:val="7"/>
        <w:rPr>
          <w:rFonts w:hint="default" w:ascii="宋体" w:hAnsi="宋体" w:eastAsia="宋体" w:cs="宋体"/>
          <w:lang w:val="en-US" w:eastAsia="zh-CN"/>
        </w:rPr>
      </w:pPr>
      <w:r>
        <w:rPr>
          <w:rFonts w:hint="default" w:ascii="宋体" w:hAnsi="宋体" w:eastAsia="宋体" w:cs="宋体"/>
          <w:lang w:val="en-US" w:eastAsia="zh-CN"/>
        </w:rPr>
        <w:t>(2)接口模块：支持HDMI接口、USB接口、Type-C接口、网口；</w:t>
      </w:r>
    </w:p>
    <w:p>
      <w:pPr>
        <w:pStyle w:val="7"/>
        <w:rPr>
          <w:rFonts w:hint="default" w:ascii="宋体" w:hAnsi="宋体" w:eastAsia="宋体" w:cs="宋体"/>
          <w:lang w:val="en-US" w:eastAsia="zh-CN"/>
        </w:rPr>
      </w:pPr>
      <w:r>
        <w:rPr>
          <w:rFonts w:hint="default" w:ascii="宋体" w:hAnsi="宋体" w:eastAsia="宋体" w:cs="宋体"/>
          <w:lang w:val="en-US" w:eastAsia="zh-CN"/>
        </w:rPr>
        <w:t>(3)物联模块：支持不低于2000测点的接入，支持边缘采集，计算，主动上报等边缘功能；</w:t>
      </w:r>
    </w:p>
    <w:p>
      <w:pPr>
        <w:pStyle w:val="7"/>
        <w:rPr>
          <w:rFonts w:hint="default" w:ascii="宋体" w:hAnsi="宋体" w:eastAsia="宋体" w:cs="宋体"/>
          <w:lang w:val="en-US" w:eastAsia="zh-CN"/>
        </w:rPr>
      </w:pPr>
      <w:r>
        <w:rPr>
          <w:rFonts w:hint="default" w:ascii="宋体" w:hAnsi="宋体" w:eastAsia="宋体" w:cs="宋体"/>
          <w:lang w:val="en-US" w:eastAsia="zh-CN"/>
        </w:rPr>
        <w:t>(4)协议要求：支持ModbusRTU，ModbusTCP、IEC101/104，IEC61850 南网物模型等多种协议，支持协议模型管理；</w:t>
      </w:r>
    </w:p>
    <w:p>
      <w:pPr>
        <w:pStyle w:val="7"/>
        <w:rPr>
          <w:rFonts w:hint="default" w:ascii="宋体" w:hAnsi="宋体" w:eastAsia="宋体" w:cs="宋体"/>
          <w:lang w:val="en-US" w:eastAsia="zh-CN"/>
        </w:rPr>
      </w:pPr>
      <w:r>
        <w:rPr>
          <w:rFonts w:hint="default" w:ascii="宋体" w:hAnsi="宋体" w:eastAsia="宋体" w:cs="宋体"/>
          <w:lang w:val="en-US" w:eastAsia="zh-CN"/>
        </w:rPr>
        <w:t>(5)支持16*RJ45，16*RS485，8*DI（干接点），8*DO（继电器型）；</w:t>
      </w:r>
    </w:p>
    <w:p>
      <w:pPr>
        <w:pStyle w:val="7"/>
        <w:rPr>
          <w:rFonts w:hint="default" w:ascii="宋体" w:hAnsi="宋体" w:eastAsia="宋体" w:cs="宋体"/>
          <w:lang w:val="en-US" w:eastAsia="zh-CN"/>
        </w:rPr>
      </w:pPr>
      <w:r>
        <w:rPr>
          <w:rFonts w:hint="default" w:ascii="宋体" w:hAnsi="宋体" w:eastAsia="宋体" w:cs="宋体"/>
          <w:lang w:val="en-US" w:eastAsia="zh-CN"/>
        </w:rPr>
        <w:t>(6)箱体采用不锈钢材料；</w:t>
      </w:r>
    </w:p>
    <w:p>
      <w:pPr>
        <w:pStyle w:val="7"/>
        <w:rPr>
          <w:rFonts w:hint="default" w:ascii="宋体" w:hAnsi="宋体" w:eastAsia="宋体" w:cs="宋体"/>
          <w:lang w:val="en-US" w:eastAsia="zh-CN"/>
        </w:rPr>
      </w:pPr>
      <w:r>
        <w:rPr>
          <w:rFonts w:hint="default" w:ascii="宋体" w:hAnsi="宋体" w:eastAsia="宋体" w:cs="宋体"/>
          <w:lang w:val="en-US" w:eastAsia="zh-CN"/>
        </w:rPr>
        <w:t>(7)模块功能：每路输出支持独立控制，支持远程控制；</w:t>
      </w:r>
    </w:p>
    <w:p>
      <w:pPr>
        <w:pStyle w:val="7"/>
        <w:rPr>
          <w:rFonts w:hint="default" w:ascii="宋体" w:hAnsi="宋体" w:eastAsia="宋体" w:cs="宋体"/>
          <w:lang w:val="en-US" w:eastAsia="zh-CN"/>
        </w:rPr>
      </w:pPr>
      <w:r>
        <w:rPr>
          <w:rFonts w:hint="default" w:ascii="宋体" w:hAnsi="宋体" w:eastAsia="宋体" w:cs="宋体"/>
          <w:lang w:val="en-US" w:eastAsia="zh-CN"/>
        </w:rPr>
        <w:t>(8)带升高座、空调；</w:t>
      </w:r>
    </w:p>
    <w:p>
      <w:pPr>
        <w:pStyle w:val="6"/>
        <w:bidi w:val="0"/>
        <w:rPr>
          <w:rFonts w:hint="default"/>
          <w:color w:val="auto"/>
          <w:sz w:val="24"/>
          <w:szCs w:val="28"/>
          <w:highlight w:val="none"/>
          <w:lang w:val="en-US" w:eastAsia="zh-CN"/>
        </w:rPr>
      </w:pPr>
      <w:r>
        <w:rPr>
          <w:rFonts w:hint="default"/>
          <w:color w:val="auto"/>
          <w:sz w:val="24"/>
          <w:szCs w:val="28"/>
          <w:highlight w:val="none"/>
          <w:lang w:val="en-US" w:eastAsia="zh-CN"/>
        </w:rPr>
        <w:t>多模态物联网汇聚箱（16路）（户内座立式）</w:t>
      </w:r>
    </w:p>
    <w:p>
      <w:pPr>
        <w:pStyle w:val="7"/>
        <w:rPr>
          <w:rFonts w:hint="default" w:ascii="宋体" w:hAnsi="宋体" w:eastAsia="宋体" w:cs="宋体"/>
          <w:lang w:val="en-US" w:eastAsia="zh-CN"/>
        </w:rPr>
      </w:pPr>
      <w:r>
        <w:rPr>
          <w:rFonts w:hint="default" w:ascii="宋体" w:hAnsi="宋体" w:eastAsia="宋体" w:cs="宋体"/>
          <w:lang w:val="en-US" w:eastAsia="zh-CN"/>
        </w:rPr>
        <w:t>(1)采用国产工业级64位低功耗处理器，CPU核心数≥4、主频不低于1.5GHz；</w:t>
      </w:r>
    </w:p>
    <w:p>
      <w:pPr>
        <w:pStyle w:val="7"/>
        <w:rPr>
          <w:rFonts w:hint="default" w:ascii="宋体" w:hAnsi="宋体" w:eastAsia="宋体" w:cs="宋体"/>
          <w:lang w:val="en-US" w:eastAsia="zh-CN"/>
        </w:rPr>
      </w:pPr>
      <w:r>
        <w:rPr>
          <w:rFonts w:hint="default" w:ascii="宋体" w:hAnsi="宋体" w:eastAsia="宋体" w:cs="宋体"/>
          <w:lang w:val="en-US" w:eastAsia="zh-CN"/>
        </w:rPr>
        <w:t>(2)接口模块：支持HDMI接口、USB接口、Type-C接口、网口；</w:t>
      </w:r>
    </w:p>
    <w:p>
      <w:pPr>
        <w:pStyle w:val="7"/>
        <w:rPr>
          <w:rFonts w:hint="default" w:ascii="宋体" w:hAnsi="宋体" w:eastAsia="宋体" w:cs="宋体"/>
          <w:lang w:val="en-US" w:eastAsia="zh-CN"/>
        </w:rPr>
      </w:pPr>
      <w:r>
        <w:rPr>
          <w:rFonts w:hint="default" w:ascii="宋体" w:hAnsi="宋体" w:eastAsia="宋体" w:cs="宋体"/>
          <w:lang w:val="en-US" w:eastAsia="zh-CN"/>
        </w:rPr>
        <w:t>(3)物联模块：支持不低于2000测点的接入，支持边缘采集，计算，主动上报等边缘功能；</w:t>
      </w:r>
    </w:p>
    <w:p>
      <w:pPr>
        <w:pStyle w:val="7"/>
        <w:rPr>
          <w:rFonts w:hint="default" w:ascii="宋体" w:hAnsi="宋体" w:eastAsia="宋体" w:cs="宋体"/>
          <w:lang w:val="en-US" w:eastAsia="zh-CN"/>
        </w:rPr>
      </w:pPr>
      <w:r>
        <w:rPr>
          <w:rFonts w:hint="default" w:ascii="宋体" w:hAnsi="宋体" w:eastAsia="宋体" w:cs="宋体"/>
          <w:lang w:val="en-US" w:eastAsia="zh-CN"/>
        </w:rPr>
        <w:t>(4)协议要求：支持ModbusRTU，ModbusTCP、IEC101/104，IEC61850 南网物模型等多种协议，支持协议模型管理；</w:t>
      </w:r>
    </w:p>
    <w:p>
      <w:pPr>
        <w:pStyle w:val="7"/>
        <w:rPr>
          <w:rFonts w:hint="default" w:ascii="宋体" w:hAnsi="宋体" w:eastAsia="宋体" w:cs="宋体"/>
          <w:lang w:val="en-US" w:eastAsia="zh-CN"/>
        </w:rPr>
      </w:pPr>
      <w:r>
        <w:rPr>
          <w:rFonts w:hint="default" w:ascii="宋体" w:hAnsi="宋体" w:eastAsia="宋体" w:cs="宋体"/>
          <w:lang w:val="en-US" w:eastAsia="zh-CN"/>
        </w:rPr>
        <w:t>(5)支持16*RJ45，16*RS485，8*DI（干接点），8*DO（继电器型）；</w:t>
      </w:r>
    </w:p>
    <w:p>
      <w:pPr>
        <w:pStyle w:val="7"/>
        <w:rPr>
          <w:rFonts w:hint="default" w:ascii="宋体" w:hAnsi="宋体" w:eastAsia="宋体" w:cs="宋体"/>
          <w:lang w:val="en-US" w:eastAsia="zh-CN"/>
        </w:rPr>
      </w:pPr>
      <w:r>
        <w:rPr>
          <w:rFonts w:hint="default" w:ascii="宋体" w:hAnsi="宋体" w:eastAsia="宋体" w:cs="宋体"/>
          <w:lang w:val="en-US" w:eastAsia="zh-CN"/>
        </w:rPr>
        <w:t>(6)箱体采用不锈钢材料；</w:t>
      </w:r>
    </w:p>
    <w:p>
      <w:pPr>
        <w:pStyle w:val="7"/>
        <w:rPr>
          <w:rFonts w:hint="default" w:ascii="宋体" w:hAnsi="宋体" w:eastAsia="宋体" w:cs="宋体"/>
          <w:lang w:val="en-US" w:eastAsia="zh-CN"/>
        </w:rPr>
      </w:pPr>
      <w:r>
        <w:rPr>
          <w:rFonts w:hint="default" w:ascii="宋体" w:hAnsi="宋体" w:eastAsia="宋体" w:cs="宋体"/>
          <w:lang w:val="en-US" w:eastAsia="zh-CN"/>
        </w:rPr>
        <w:t>(7)模块功能：每路输出支持独立控制，支持远程控制；</w:t>
      </w:r>
    </w:p>
    <w:p>
      <w:pPr>
        <w:pStyle w:val="7"/>
        <w:rPr>
          <w:rFonts w:hint="default" w:ascii="宋体" w:hAnsi="宋体" w:eastAsia="宋体" w:cs="宋体"/>
          <w:lang w:val="en-US" w:eastAsia="zh-CN"/>
        </w:rPr>
      </w:pPr>
      <w:r>
        <w:rPr>
          <w:rFonts w:hint="default" w:ascii="宋体" w:hAnsi="宋体" w:eastAsia="宋体" w:cs="宋体"/>
          <w:lang w:val="en-US" w:eastAsia="zh-CN"/>
        </w:rPr>
        <w:t>(8)带升高座；</w:t>
      </w:r>
    </w:p>
    <w:p>
      <w:pPr>
        <w:pStyle w:val="6"/>
        <w:bidi w:val="0"/>
        <w:rPr>
          <w:rFonts w:hint="default"/>
          <w:color w:val="auto"/>
          <w:sz w:val="24"/>
          <w:szCs w:val="28"/>
          <w:highlight w:val="none"/>
          <w:lang w:val="en-US" w:eastAsia="zh-CN"/>
        </w:rPr>
      </w:pPr>
      <w:r>
        <w:rPr>
          <w:rFonts w:hint="default"/>
          <w:color w:val="auto"/>
          <w:sz w:val="24"/>
          <w:szCs w:val="28"/>
          <w:highlight w:val="none"/>
          <w:lang w:val="en-US" w:eastAsia="zh-CN"/>
        </w:rPr>
        <w:t>多模态物联网汇聚箱（8路）</w:t>
      </w:r>
    </w:p>
    <w:p>
      <w:pPr>
        <w:pStyle w:val="7"/>
        <w:rPr>
          <w:rFonts w:hint="default" w:ascii="宋体" w:hAnsi="宋体" w:eastAsia="宋体" w:cs="宋体"/>
          <w:lang w:val="en-US" w:eastAsia="zh-CN"/>
        </w:rPr>
      </w:pPr>
      <w:r>
        <w:rPr>
          <w:rFonts w:hint="default" w:ascii="宋体" w:hAnsi="宋体" w:eastAsia="宋体" w:cs="宋体"/>
          <w:lang w:val="en-US" w:eastAsia="zh-CN"/>
        </w:rPr>
        <w:t>(1)采用国产工业级64位低功耗处理器，CPU核心数≥4、主频不低于1.5GHz；</w:t>
      </w:r>
    </w:p>
    <w:p>
      <w:pPr>
        <w:pStyle w:val="7"/>
        <w:rPr>
          <w:rFonts w:hint="default" w:ascii="宋体" w:hAnsi="宋体" w:eastAsia="宋体" w:cs="宋体"/>
          <w:lang w:val="en-US" w:eastAsia="zh-CN"/>
        </w:rPr>
      </w:pPr>
      <w:r>
        <w:rPr>
          <w:rFonts w:hint="default" w:ascii="宋体" w:hAnsi="宋体" w:eastAsia="宋体" w:cs="宋体"/>
          <w:lang w:val="en-US" w:eastAsia="zh-CN"/>
        </w:rPr>
        <w:t>(2)接口模块：支持HDMI接口、USB接口、Type-C接口、网口；</w:t>
      </w:r>
    </w:p>
    <w:p>
      <w:pPr>
        <w:pStyle w:val="7"/>
        <w:rPr>
          <w:rFonts w:hint="default" w:ascii="宋体" w:hAnsi="宋体" w:eastAsia="宋体" w:cs="宋体"/>
          <w:lang w:val="en-US" w:eastAsia="zh-CN"/>
        </w:rPr>
      </w:pPr>
      <w:r>
        <w:rPr>
          <w:rFonts w:hint="default" w:ascii="宋体" w:hAnsi="宋体" w:eastAsia="宋体" w:cs="宋体"/>
          <w:lang w:val="en-US" w:eastAsia="zh-CN"/>
        </w:rPr>
        <w:t>(3)物联模块：支持不低于2000测点的接入，支持边缘采集，计算，主动上报等边缘功能；</w:t>
      </w:r>
    </w:p>
    <w:p>
      <w:pPr>
        <w:pStyle w:val="7"/>
        <w:rPr>
          <w:rFonts w:hint="default" w:ascii="宋体" w:hAnsi="宋体" w:eastAsia="宋体" w:cs="宋体"/>
          <w:lang w:val="en-US" w:eastAsia="zh-CN"/>
        </w:rPr>
      </w:pPr>
      <w:r>
        <w:rPr>
          <w:rFonts w:hint="default" w:ascii="宋体" w:hAnsi="宋体" w:eastAsia="宋体" w:cs="宋体"/>
          <w:lang w:val="en-US" w:eastAsia="zh-CN"/>
        </w:rPr>
        <w:t>(4)协议要求：支持ModbusRTU，ModbusTCP、IEC101/104，IEC61850 南网物模型等多种协议，支持协议模型管理；</w:t>
      </w:r>
    </w:p>
    <w:p>
      <w:pPr>
        <w:pStyle w:val="7"/>
        <w:rPr>
          <w:rFonts w:hint="default" w:ascii="宋体" w:hAnsi="宋体" w:eastAsia="宋体" w:cs="宋体"/>
          <w:lang w:val="en-US" w:eastAsia="zh-CN"/>
        </w:rPr>
      </w:pPr>
      <w:r>
        <w:rPr>
          <w:rFonts w:hint="default" w:ascii="宋体" w:hAnsi="宋体" w:eastAsia="宋体" w:cs="宋体"/>
          <w:lang w:val="en-US" w:eastAsia="zh-CN"/>
        </w:rPr>
        <w:t>(5)支持8*RJ45，8*RS485，4*DI（干接点），4*DO（继电器型）；</w:t>
      </w:r>
    </w:p>
    <w:p>
      <w:pPr>
        <w:pStyle w:val="7"/>
        <w:rPr>
          <w:rFonts w:hint="default" w:ascii="宋体" w:hAnsi="宋体" w:eastAsia="宋体" w:cs="宋体"/>
          <w:lang w:val="en-US" w:eastAsia="zh-CN"/>
        </w:rPr>
      </w:pPr>
      <w:r>
        <w:rPr>
          <w:rFonts w:hint="default" w:ascii="宋体" w:hAnsi="宋体" w:eastAsia="宋体" w:cs="宋体"/>
          <w:lang w:val="en-US" w:eastAsia="zh-CN"/>
        </w:rPr>
        <w:t>(6)箱体采用不锈钢材料；</w:t>
      </w:r>
    </w:p>
    <w:p>
      <w:pPr>
        <w:pStyle w:val="7"/>
        <w:rPr>
          <w:rFonts w:hint="default" w:ascii="宋体" w:hAnsi="宋体" w:eastAsia="宋体" w:cs="宋体"/>
          <w:lang w:val="en-US" w:eastAsia="zh-CN"/>
        </w:rPr>
      </w:pPr>
      <w:r>
        <w:rPr>
          <w:rFonts w:hint="default" w:ascii="宋体" w:hAnsi="宋体" w:eastAsia="宋体" w:cs="宋体"/>
          <w:lang w:val="en-US" w:eastAsia="zh-CN"/>
        </w:rPr>
        <w:t>(7)模块功能：每路输出支持独立控制，支持远程控制；</w:t>
      </w:r>
    </w:p>
    <w:p>
      <w:pPr>
        <w:pStyle w:val="7"/>
        <w:rPr>
          <w:rFonts w:hint="default" w:ascii="宋体" w:hAnsi="宋体" w:eastAsia="宋体" w:cs="宋体"/>
          <w:lang w:val="en-US" w:eastAsia="zh-CN"/>
        </w:rPr>
      </w:pPr>
      <w:r>
        <w:rPr>
          <w:rFonts w:hint="default" w:ascii="宋体" w:hAnsi="宋体" w:eastAsia="宋体" w:cs="宋体"/>
          <w:lang w:val="en-US" w:eastAsia="zh-CN"/>
        </w:rPr>
        <w:t>(8)安装方式：壁挂。</w:t>
      </w:r>
    </w:p>
    <w:p>
      <w:pPr>
        <w:pStyle w:val="6"/>
        <w:bidi w:val="0"/>
        <w:rPr>
          <w:rFonts w:hint="eastAsia"/>
          <w:color w:val="auto"/>
          <w:sz w:val="24"/>
          <w:szCs w:val="28"/>
          <w:highlight w:val="none"/>
          <w:lang w:val="en-US" w:eastAsia="zh-CN"/>
        </w:rPr>
      </w:pPr>
      <w:r>
        <w:rPr>
          <w:rFonts w:hint="eastAsia"/>
          <w:color w:val="auto"/>
          <w:sz w:val="24"/>
          <w:szCs w:val="28"/>
          <w:highlight w:val="none"/>
          <w:lang w:val="en-US" w:eastAsia="zh-CN"/>
        </w:rPr>
        <w:t>智能门禁</w:t>
      </w:r>
    </w:p>
    <w:p>
      <w:pPr>
        <w:pStyle w:val="2"/>
        <w:keepNext w:val="0"/>
        <w:keepLines w:val="0"/>
        <w:pageBreakBefore w:val="0"/>
        <w:widowControl w:val="0"/>
        <w:kinsoku/>
        <w:wordWrap/>
        <w:overflowPunct/>
        <w:topLinePunct w:val="0"/>
        <w:autoSpaceDE/>
        <w:autoSpaceDN/>
        <w:bidi w:val="0"/>
        <w:adjustRightInd/>
        <w:snapToGrid/>
        <w:spacing w:after="0"/>
        <w:ind w:left="0" w:leftChars="0" w:firstLine="420" w:firstLineChars="200"/>
        <w:jc w:val="left"/>
        <w:textAlignment w:val="auto"/>
        <w:rPr>
          <w:rFonts w:hint="default" w:ascii="宋体" w:hAnsi="宋体" w:eastAsia="宋体" w:cs="Times New Roman"/>
          <w:color w:val="auto"/>
          <w:highlight w:val="none"/>
          <w:lang w:val="en-US" w:eastAsia="zh-CN"/>
        </w:rPr>
      </w:pPr>
      <w:r>
        <w:rPr>
          <w:rFonts w:hint="default" w:ascii="宋体" w:hAnsi="宋体" w:eastAsia="宋体" w:cs="Times New Roman"/>
          <w:color w:val="auto"/>
          <w:highlight w:val="none"/>
          <w:lang w:val="en-US" w:eastAsia="zh-CN"/>
        </w:rPr>
        <w:t>(1)主处理器高性能嵌入式处理器；显示屏不小于7英寸液晶屏，屏幕分辩率不小于600(H)×1024(V)；</w:t>
      </w:r>
    </w:p>
    <w:p>
      <w:pPr>
        <w:pStyle w:val="2"/>
        <w:keepNext w:val="0"/>
        <w:keepLines w:val="0"/>
        <w:pageBreakBefore w:val="0"/>
        <w:widowControl w:val="0"/>
        <w:kinsoku/>
        <w:wordWrap/>
        <w:overflowPunct/>
        <w:topLinePunct w:val="0"/>
        <w:autoSpaceDE/>
        <w:autoSpaceDN/>
        <w:bidi w:val="0"/>
        <w:adjustRightInd/>
        <w:snapToGrid/>
        <w:spacing w:after="0"/>
        <w:ind w:left="0" w:leftChars="0" w:firstLine="420" w:firstLineChars="200"/>
        <w:jc w:val="left"/>
        <w:textAlignment w:val="auto"/>
        <w:rPr>
          <w:rFonts w:hint="default" w:ascii="宋体" w:hAnsi="宋体" w:eastAsia="宋体" w:cs="Times New Roman"/>
          <w:color w:val="auto"/>
          <w:highlight w:val="none"/>
          <w:lang w:val="en-US" w:eastAsia="zh-CN"/>
        </w:rPr>
      </w:pPr>
      <w:r>
        <w:rPr>
          <w:rFonts w:hint="default" w:ascii="宋体" w:hAnsi="宋体" w:eastAsia="宋体" w:cs="Times New Roman"/>
          <w:color w:val="auto"/>
          <w:highlight w:val="none"/>
          <w:lang w:val="en-US" w:eastAsia="zh-CN"/>
        </w:rPr>
        <w:t>(2)开门模式支持远程、密码、人员身份识别开门模式，支持组合开门模式设置；</w:t>
      </w:r>
    </w:p>
    <w:p>
      <w:pPr>
        <w:pStyle w:val="2"/>
        <w:keepNext w:val="0"/>
        <w:keepLines w:val="0"/>
        <w:pageBreakBefore w:val="0"/>
        <w:widowControl w:val="0"/>
        <w:kinsoku/>
        <w:wordWrap/>
        <w:overflowPunct/>
        <w:topLinePunct w:val="0"/>
        <w:autoSpaceDE/>
        <w:autoSpaceDN/>
        <w:bidi w:val="0"/>
        <w:adjustRightInd/>
        <w:snapToGrid/>
        <w:spacing w:after="0"/>
        <w:ind w:left="0" w:leftChars="0" w:firstLine="420" w:firstLineChars="200"/>
        <w:jc w:val="left"/>
        <w:textAlignment w:val="auto"/>
        <w:rPr>
          <w:rFonts w:hint="default" w:ascii="宋体" w:hAnsi="宋体" w:eastAsia="宋体" w:cs="Times New Roman"/>
          <w:color w:val="auto"/>
          <w:highlight w:val="none"/>
          <w:lang w:val="en-US" w:eastAsia="zh-CN"/>
        </w:rPr>
      </w:pPr>
      <w:r>
        <w:rPr>
          <w:rFonts w:hint="default" w:ascii="宋体" w:hAnsi="宋体" w:eastAsia="宋体" w:cs="Times New Roman"/>
          <w:color w:val="auto"/>
          <w:highlight w:val="none"/>
          <w:lang w:val="en-US" w:eastAsia="zh-CN"/>
        </w:rPr>
        <w:t>(3)接口及门磁要求：支持1个RS-485接口，1个RS-232接口，1路输入/输出韦根接口；1个10Mbps/100Mbps/1000Mbps自适应以太网口；报警输入2路，报警输出1路，支持报警联动，开门按钮1路，按实际要求支持电磁锁，门锁控制1路，供电方式DC12V2A；</w:t>
      </w:r>
    </w:p>
    <w:p>
      <w:pPr>
        <w:pStyle w:val="2"/>
        <w:keepNext w:val="0"/>
        <w:keepLines w:val="0"/>
        <w:pageBreakBefore w:val="0"/>
        <w:widowControl w:val="0"/>
        <w:kinsoku/>
        <w:wordWrap/>
        <w:overflowPunct/>
        <w:topLinePunct w:val="0"/>
        <w:autoSpaceDE/>
        <w:autoSpaceDN/>
        <w:bidi w:val="0"/>
        <w:adjustRightInd/>
        <w:snapToGrid/>
        <w:spacing w:after="0"/>
        <w:ind w:left="0" w:leftChars="0" w:firstLine="420" w:firstLineChars="200"/>
        <w:jc w:val="left"/>
        <w:textAlignment w:val="auto"/>
        <w:rPr>
          <w:rFonts w:hint="default" w:ascii="宋体" w:hAnsi="宋体" w:eastAsia="宋体" w:cs="Times New Roman"/>
          <w:color w:val="auto"/>
          <w:highlight w:val="none"/>
          <w:lang w:val="en-US" w:eastAsia="zh-CN"/>
        </w:rPr>
      </w:pPr>
      <w:r>
        <w:rPr>
          <w:rFonts w:hint="default" w:ascii="宋体" w:hAnsi="宋体" w:eastAsia="宋体" w:cs="Times New Roman"/>
          <w:color w:val="auto"/>
          <w:highlight w:val="none"/>
          <w:lang w:val="en-US" w:eastAsia="zh-CN"/>
        </w:rPr>
        <w:t>(4)门禁系统设备应保证在温度-40℃～+85℃，相对湿度5%～95%、太阳长时间暴晒、夜间无光源下正常运行；</w:t>
      </w:r>
    </w:p>
    <w:p>
      <w:pPr>
        <w:pStyle w:val="2"/>
        <w:keepNext w:val="0"/>
        <w:keepLines w:val="0"/>
        <w:pageBreakBefore w:val="0"/>
        <w:widowControl w:val="0"/>
        <w:kinsoku/>
        <w:wordWrap/>
        <w:overflowPunct/>
        <w:topLinePunct w:val="0"/>
        <w:autoSpaceDE/>
        <w:autoSpaceDN/>
        <w:bidi w:val="0"/>
        <w:adjustRightInd/>
        <w:snapToGrid/>
        <w:spacing w:after="0"/>
        <w:ind w:left="0" w:leftChars="0" w:firstLine="420" w:firstLineChars="200"/>
        <w:jc w:val="left"/>
        <w:textAlignment w:val="auto"/>
        <w:rPr>
          <w:rFonts w:hint="default" w:ascii="宋体" w:hAnsi="宋体" w:eastAsia="宋体" w:cs="Times New Roman"/>
          <w:color w:val="auto"/>
          <w:highlight w:val="none"/>
          <w:lang w:val="en-US" w:eastAsia="zh-CN"/>
        </w:rPr>
      </w:pPr>
      <w:r>
        <w:rPr>
          <w:rFonts w:hint="default" w:ascii="宋体" w:hAnsi="宋体" w:eastAsia="宋体" w:cs="Times New Roman"/>
          <w:color w:val="auto"/>
          <w:highlight w:val="none"/>
          <w:lang w:val="en-US" w:eastAsia="zh-CN"/>
        </w:rPr>
        <w:t>(</w:t>
      </w:r>
      <w:r>
        <w:rPr>
          <w:rFonts w:hint="eastAsia" w:cs="Times New Roman"/>
          <w:color w:val="auto"/>
          <w:highlight w:val="none"/>
          <w:lang w:val="en-US" w:eastAsia="zh-CN"/>
        </w:rPr>
        <w:t>5</w:t>
      </w:r>
      <w:r>
        <w:rPr>
          <w:rFonts w:hint="default" w:ascii="宋体" w:hAnsi="宋体" w:eastAsia="宋体" w:cs="Times New Roman"/>
          <w:color w:val="auto"/>
          <w:highlight w:val="none"/>
          <w:lang w:val="en-US" w:eastAsia="zh-CN"/>
        </w:rPr>
        <w:t>)系统应具备与变电生产运行支持系统开展数据对接，实现开门信息、权限信息、进出站记录、报警等数据交互及进行时间同步等功能；系统应具备活体识别功能，人脸识别响应时间应满足无感识别体验，应支持自动补光，人员在佩戴安全帽的情况下识别速度应不受影响。</w:t>
      </w:r>
    </w:p>
    <w:p>
      <w:pPr>
        <w:pStyle w:val="2"/>
        <w:keepNext w:val="0"/>
        <w:keepLines w:val="0"/>
        <w:pageBreakBefore w:val="0"/>
        <w:widowControl w:val="0"/>
        <w:kinsoku/>
        <w:wordWrap/>
        <w:overflowPunct/>
        <w:topLinePunct w:val="0"/>
        <w:autoSpaceDE/>
        <w:autoSpaceDN/>
        <w:bidi w:val="0"/>
        <w:adjustRightInd/>
        <w:snapToGrid/>
        <w:spacing w:after="0"/>
        <w:ind w:left="0" w:leftChars="0" w:firstLine="420" w:firstLineChars="200"/>
        <w:jc w:val="left"/>
        <w:textAlignment w:val="auto"/>
        <w:rPr>
          <w:rFonts w:hint="default" w:ascii="宋体" w:hAnsi="宋体" w:eastAsia="宋体" w:cs="Times New Roman"/>
          <w:color w:val="auto"/>
          <w:highlight w:val="none"/>
          <w:lang w:val="en-US" w:eastAsia="zh-CN"/>
        </w:rPr>
      </w:pPr>
      <w:r>
        <w:rPr>
          <w:rFonts w:hint="default" w:ascii="宋体" w:hAnsi="宋体" w:eastAsia="宋体" w:cs="Times New Roman"/>
          <w:color w:val="auto"/>
          <w:highlight w:val="none"/>
          <w:lang w:val="en-US" w:eastAsia="zh-CN"/>
        </w:rPr>
        <w:t>(</w:t>
      </w:r>
      <w:r>
        <w:rPr>
          <w:rFonts w:hint="eastAsia" w:cs="Times New Roman"/>
          <w:color w:val="auto"/>
          <w:highlight w:val="none"/>
          <w:lang w:val="en-US" w:eastAsia="zh-CN"/>
        </w:rPr>
        <w:t>6</w:t>
      </w:r>
      <w:r>
        <w:rPr>
          <w:rFonts w:hint="default" w:ascii="宋体" w:hAnsi="宋体" w:eastAsia="宋体" w:cs="Times New Roman"/>
          <w:color w:val="auto"/>
          <w:highlight w:val="none"/>
          <w:lang w:val="en-US" w:eastAsia="zh-CN"/>
        </w:rPr>
        <w:t>)含开门按钮、安装底座、</w:t>
      </w:r>
      <w:r>
        <w:rPr>
          <w:rFonts w:hint="eastAsia" w:cs="Times New Roman"/>
          <w:color w:val="auto"/>
          <w:highlight w:val="none"/>
          <w:lang w:val="en-US" w:eastAsia="zh-CN"/>
        </w:rPr>
        <w:t>门磁锁、</w:t>
      </w:r>
      <w:r>
        <w:rPr>
          <w:rFonts w:hint="default" w:ascii="宋体" w:hAnsi="宋体" w:eastAsia="宋体" w:cs="Times New Roman"/>
          <w:color w:val="auto"/>
          <w:highlight w:val="none"/>
          <w:lang w:val="en-US" w:eastAsia="zh-CN"/>
        </w:rPr>
        <w:t>门磁安装支架、防雨罩等配件。</w:t>
      </w:r>
    </w:p>
    <w:bookmarkEnd w:id="114"/>
    <w:bookmarkEnd w:id="115"/>
    <w:bookmarkEnd w:id="116"/>
    <w:bookmarkEnd w:id="117"/>
    <w:bookmarkEnd w:id="118"/>
    <w:bookmarkEnd w:id="119"/>
    <w:bookmarkEnd w:id="120"/>
    <w:bookmarkEnd w:id="121"/>
    <w:p>
      <w:pPr>
        <w:pStyle w:val="4"/>
        <w:bidi w:val="0"/>
        <w:rPr>
          <w:rFonts w:hint="eastAsia"/>
          <w:color w:val="auto"/>
          <w:sz w:val="24"/>
          <w:szCs w:val="40"/>
          <w:highlight w:val="none"/>
        </w:rPr>
      </w:pPr>
      <w:bookmarkStart w:id="130" w:name="_Toc23438"/>
      <w:bookmarkStart w:id="131" w:name="_Toc10019"/>
      <w:r>
        <w:rPr>
          <w:rFonts w:hint="eastAsia"/>
          <w:color w:val="auto"/>
          <w:sz w:val="24"/>
          <w:szCs w:val="40"/>
          <w:highlight w:val="none"/>
          <w:lang w:val="en-US" w:eastAsia="zh-CN"/>
        </w:rPr>
        <w:t>站端设备智能化应用业务调试</w:t>
      </w:r>
      <w:bookmarkEnd w:id="130"/>
    </w:p>
    <w:p>
      <w:pPr>
        <w:pStyle w:val="5"/>
        <w:pageBreakBefore w:val="0"/>
        <w:kinsoku/>
        <w:wordWrap/>
        <w:overflowPunct/>
        <w:topLinePunct w:val="0"/>
        <w:bidi w:val="0"/>
        <w:spacing w:line="560" w:lineRule="exact"/>
        <w:rPr>
          <w:rFonts w:hint="eastAsia"/>
          <w:color w:val="auto"/>
          <w:sz w:val="24"/>
          <w:szCs w:val="28"/>
          <w:highlight w:val="none"/>
          <w:lang w:val="en-US" w:eastAsia="zh-CN"/>
        </w:rPr>
      </w:pPr>
      <w:bookmarkStart w:id="132" w:name="_Toc23612"/>
      <w:bookmarkStart w:id="133" w:name="_Toc13535"/>
      <w:bookmarkStart w:id="134" w:name="_Toc8330"/>
      <w:bookmarkStart w:id="135" w:name="_Toc12941"/>
      <w:r>
        <w:rPr>
          <w:rFonts w:hint="eastAsia"/>
          <w:color w:val="auto"/>
          <w:sz w:val="24"/>
          <w:szCs w:val="28"/>
          <w:highlight w:val="none"/>
          <w:lang w:val="en-US" w:eastAsia="zh-CN"/>
        </w:rPr>
        <w:t>仓调技术要求</w:t>
      </w:r>
      <w:bookmarkEnd w:id="132"/>
      <w:bookmarkEnd w:id="133"/>
      <w:bookmarkEnd w:id="134"/>
      <w:bookmarkEnd w:id="135"/>
    </w:p>
    <w:p>
      <w:pPr>
        <w:pStyle w:val="2"/>
        <w:keepNext w:val="0"/>
        <w:keepLines w:val="0"/>
        <w:pageBreakBefore w:val="0"/>
        <w:widowControl w:val="0"/>
        <w:kinsoku/>
        <w:wordWrap/>
        <w:overflowPunct/>
        <w:topLinePunct w:val="0"/>
        <w:autoSpaceDE/>
        <w:autoSpaceDN/>
        <w:bidi w:val="0"/>
        <w:adjustRightInd/>
        <w:snapToGrid/>
        <w:spacing w:before="203" w:line="360" w:lineRule="auto"/>
        <w:ind w:left="119" w:right="23" w:firstLine="482"/>
        <w:jc w:val="both"/>
        <w:textAlignment w:val="auto"/>
      </w:pPr>
      <w:r>
        <w:rPr>
          <w:spacing w:val="-2"/>
        </w:rPr>
        <w:t>投标方需按照招标方要求，到指定地点开展设备仓库调试工作，制定仓调业务流程和制度体系，部署仓调环境，完成设备开箱检查，上电检测，调测配置等工作，满足现场施工要求。并配合招标方完成设备技术质量管控抽查工作。需在投标文件中提供完整</w:t>
      </w:r>
      <w:r>
        <w:rPr>
          <w:spacing w:val="-5"/>
        </w:rPr>
        <w:t>的仓调方案。</w:t>
      </w:r>
    </w:p>
    <w:p>
      <w:pPr>
        <w:pStyle w:val="5"/>
        <w:pageBreakBefore w:val="0"/>
        <w:kinsoku/>
        <w:wordWrap/>
        <w:overflowPunct/>
        <w:topLinePunct w:val="0"/>
        <w:bidi w:val="0"/>
        <w:spacing w:line="560" w:lineRule="exact"/>
        <w:rPr>
          <w:rFonts w:hint="eastAsia"/>
          <w:color w:val="auto"/>
          <w:sz w:val="24"/>
          <w:szCs w:val="28"/>
          <w:highlight w:val="none"/>
          <w:lang w:val="en-US" w:eastAsia="zh-CN"/>
        </w:rPr>
      </w:pPr>
      <w:bookmarkStart w:id="136" w:name="bookmark29"/>
      <w:bookmarkEnd w:id="136"/>
      <w:bookmarkStart w:id="137" w:name="_Toc3903"/>
      <w:bookmarkStart w:id="138" w:name="_Toc29157"/>
      <w:bookmarkStart w:id="139" w:name="_Toc16479"/>
      <w:bookmarkStart w:id="140" w:name="_Toc9458"/>
      <w:r>
        <w:rPr>
          <w:rFonts w:hint="eastAsia"/>
          <w:color w:val="auto"/>
          <w:sz w:val="24"/>
          <w:szCs w:val="28"/>
          <w:highlight w:val="none"/>
          <w:lang w:val="en-US" w:eastAsia="zh-CN"/>
        </w:rPr>
        <w:t>变电站智能化业务调试内容</w:t>
      </w:r>
      <w:bookmarkEnd w:id="137"/>
      <w:bookmarkEnd w:id="138"/>
      <w:bookmarkEnd w:id="139"/>
      <w:bookmarkEnd w:id="140"/>
    </w:p>
    <w:tbl>
      <w:tblPr>
        <w:tblStyle w:val="64"/>
        <w:tblW w:w="920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72"/>
        <w:gridCol w:w="7357"/>
        <w:gridCol w:w="67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05" w:hRule="atLeast"/>
        </w:trPr>
        <w:tc>
          <w:tcPr>
            <w:tcW w:w="1172"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pacing w:val="-20"/>
                <w:sz w:val="21"/>
                <w:szCs w:val="21"/>
              </w:rPr>
              <w:t>变电站</w:t>
            </w:r>
            <w:r>
              <w:rPr>
                <w:rFonts w:hint="eastAsia" w:ascii="宋体" w:hAnsi="宋体" w:eastAsia="宋体" w:cs="宋体"/>
                <w:spacing w:val="-10"/>
                <w:sz w:val="21"/>
                <w:szCs w:val="21"/>
              </w:rPr>
              <w:t>接入调</w:t>
            </w:r>
            <w:r>
              <w:rPr>
                <w:rFonts w:hint="eastAsia" w:ascii="宋体" w:hAnsi="宋体" w:eastAsia="宋体" w:cs="宋体"/>
                <w:sz w:val="21"/>
                <w:szCs w:val="21"/>
              </w:rPr>
              <w:t>试</w:t>
            </w:r>
          </w:p>
        </w:tc>
        <w:tc>
          <w:tcPr>
            <w:tcW w:w="7357" w:type="dxa"/>
            <w:noWrap w:val="0"/>
            <w:vAlign w:val="top"/>
          </w:tcPr>
          <w:p>
            <w:pPr>
              <w:pStyle w:val="63"/>
              <w:keepNext w:val="0"/>
              <w:keepLines w:val="0"/>
              <w:pageBreakBefore w:val="0"/>
              <w:widowControl w:val="0"/>
              <w:kinsoku/>
              <w:wordWrap/>
              <w:overflowPunct/>
              <w:topLinePunct w:val="0"/>
              <w:autoSpaceDE/>
              <w:autoSpaceDN/>
              <w:bidi w:val="0"/>
              <w:adjustRightInd/>
              <w:snapToGrid/>
              <w:spacing w:line="360" w:lineRule="auto"/>
              <w:ind w:left="130"/>
              <w:textAlignment w:val="auto"/>
              <w:rPr>
                <w:rFonts w:hint="eastAsia" w:ascii="宋体" w:hAnsi="宋体" w:eastAsia="宋体" w:cs="宋体"/>
                <w:sz w:val="21"/>
                <w:szCs w:val="21"/>
              </w:rPr>
            </w:pPr>
            <w:r>
              <w:rPr>
                <w:rFonts w:hint="eastAsia" w:ascii="宋体" w:hAnsi="宋体" w:eastAsia="宋体" w:cs="宋体"/>
                <w:spacing w:val="-3"/>
                <w:sz w:val="21"/>
                <w:szCs w:val="21"/>
              </w:rPr>
              <w:t>110kV智能变电站接入</w:t>
            </w:r>
          </w:p>
          <w:p>
            <w:pPr>
              <w:pStyle w:val="63"/>
              <w:keepNext w:val="0"/>
              <w:keepLines w:val="0"/>
              <w:pageBreakBefore w:val="0"/>
              <w:widowControl w:val="0"/>
              <w:kinsoku/>
              <w:wordWrap/>
              <w:overflowPunct/>
              <w:topLinePunct w:val="0"/>
              <w:autoSpaceDE/>
              <w:autoSpaceDN/>
              <w:bidi w:val="0"/>
              <w:adjustRightInd/>
              <w:snapToGrid/>
              <w:spacing w:line="360" w:lineRule="auto"/>
              <w:ind w:left="112" w:right="103"/>
              <w:jc w:val="both"/>
              <w:textAlignment w:val="auto"/>
              <w:rPr>
                <w:rFonts w:hint="eastAsia" w:ascii="宋体" w:hAnsi="宋体" w:eastAsia="宋体" w:cs="宋体"/>
                <w:sz w:val="21"/>
                <w:szCs w:val="21"/>
              </w:rPr>
            </w:pPr>
            <w:r>
              <w:rPr>
                <w:rFonts w:hint="eastAsia" w:ascii="宋体" w:hAnsi="宋体" w:eastAsia="宋体" w:cs="宋体"/>
                <w:sz w:val="21"/>
                <w:szCs w:val="21"/>
              </w:rPr>
              <w:t>包括:含站端网络及智能网关调试、</w:t>
            </w:r>
            <w:r>
              <w:rPr>
                <w:rFonts w:hint="eastAsia" w:ascii="宋体" w:hAnsi="宋体" w:eastAsia="宋体" w:cs="宋体"/>
                <w:spacing w:val="-1"/>
                <w:sz w:val="21"/>
                <w:szCs w:val="21"/>
              </w:rPr>
              <w:t>数据初始</w:t>
            </w:r>
            <w:r>
              <w:rPr>
                <w:rFonts w:hint="eastAsia" w:ascii="宋体" w:hAnsi="宋体" w:eastAsia="宋体" w:cs="宋体"/>
                <w:spacing w:val="-2"/>
                <w:sz w:val="21"/>
                <w:szCs w:val="21"/>
              </w:rPr>
              <w:t>化、主接线图、平面布置图、全景层、场景层、功能</w:t>
            </w:r>
            <w:r>
              <w:rPr>
                <w:rFonts w:hint="eastAsia" w:ascii="宋体" w:hAnsi="宋体" w:eastAsia="宋体" w:cs="宋体"/>
                <w:spacing w:val="-3"/>
                <w:sz w:val="21"/>
                <w:szCs w:val="21"/>
              </w:rPr>
              <w:t>层接入及功能</w:t>
            </w:r>
            <w:r>
              <w:rPr>
                <w:rFonts w:hint="eastAsia" w:ascii="宋体" w:hAnsi="宋体" w:eastAsia="宋体" w:cs="宋体"/>
                <w:spacing w:val="-3"/>
                <w:sz w:val="21"/>
                <w:szCs w:val="21"/>
                <w:lang w:val="en-US" w:eastAsia="zh-CN"/>
              </w:rPr>
              <w:t>联调</w:t>
            </w:r>
          </w:p>
        </w:tc>
        <w:tc>
          <w:tcPr>
            <w:tcW w:w="672" w:type="dxa"/>
            <w:noWrap w:val="0"/>
            <w:vAlign w:val="center"/>
          </w:tcPr>
          <w:p>
            <w:pPr>
              <w:pStyle w:val="63"/>
              <w:keepNext w:val="0"/>
              <w:keepLines w:val="0"/>
              <w:pageBreakBefore w:val="0"/>
              <w:widowControl w:val="0"/>
              <w:kinsoku/>
              <w:wordWrap/>
              <w:overflowPunct/>
              <w:topLinePunct w:val="0"/>
              <w:autoSpaceDE/>
              <w:autoSpaceDN/>
              <w:bidi w:val="0"/>
              <w:adjustRightInd/>
              <w:snapToGrid/>
              <w:spacing w:line="360" w:lineRule="auto"/>
              <w:ind w:left="223"/>
              <w:jc w:val="both"/>
              <w:textAlignment w:val="auto"/>
              <w:rPr>
                <w:rFonts w:hint="eastAsia" w:ascii="宋体" w:hAnsi="宋体" w:eastAsia="宋体" w:cs="宋体"/>
                <w:sz w:val="21"/>
                <w:szCs w:val="21"/>
              </w:rPr>
            </w:pPr>
            <w:r>
              <w:rPr>
                <w:rFonts w:hint="eastAsia" w:ascii="宋体" w:hAnsi="宋体" w:eastAsia="宋体" w:cs="宋体"/>
                <w:sz w:val="21"/>
                <w:szCs w:val="21"/>
              </w:rPr>
              <w:t>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68" w:hRule="atLeast"/>
        </w:trPr>
        <w:tc>
          <w:tcPr>
            <w:tcW w:w="117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1"/>
                <w:szCs w:val="21"/>
              </w:rPr>
            </w:pPr>
          </w:p>
        </w:tc>
        <w:tc>
          <w:tcPr>
            <w:tcW w:w="7357" w:type="dxa"/>
            <w:noWrap w:val="0"/>
            <w:vAlign w:val="top"/>
          </w:tcPr>
          <w:p>
            <w:pPr>
              <w:pStyle w:val="63"/>
              <w:keepNext w:val="0"/>
              <w:keepLines w:val="0"/>
              <w:pageBreakBefore w:val="0"/>
              <w:widowControl w:val="0"/>
              <w:kinsoku/>
              <w:wordWrap/>
              <w:overflowPunct/>
              <w:topLinePunct w:val="0"/>
              <w:autoSpaceDE/>
              <w:autoSpaceDN/>
              <w:bidi w:val="0"/>
              <w:adjustRightInd/>
              <w:snapToGrid/>
              <w:spacing w:line="360" w:lineRule="auto"/>
              <w:ind w:left="115"/>
              <w:textAlignment w:val="auto"/>
              <w:rPr>
                <w:rFonts w:hint="eastAsia" w:ascii="宋体" w:hAnsi="宋体" w:eastAsia="宋体" w:cs="宋体"/>
                <w:sz w:val="21"/>
                <w:szCs w:val="21"/>
              </w:rPr>
            </w:pPr>
            <w:r>
              <w:rPr>
                <w:rFonts w:hint="eastAsia" w:ascii="宋体" w:hAnsi="宋体" w:eastAsia="宋体" w:cs="宋体"/>
                <w:spacing w:val="-2"/>
                <w:sz w:val="21"/>
                <w:szCs w:val="21"/>
              </w:rPr>
              <w:t>220kV智能变电站接入</w:t>
            </w:r>
          </w:p>
          <w:p>
            <w:pPr>
              <w:pStyle w:val="63"/>
              <w:keepNext w:val="0"/>
              <w:keepLines w:val="0"/>
              <w:pageBreakBefore w:val="0"/>
              <w:widowControl w:val="0"/>
              <w:kinsoku/>
              <w:wordWrap/>
              <w:overflowPunct/>
              <w:topLinePunct w:val="0"/>
              <w:autoSpaceDE/>
              <w:autoSpaceDN/>
              <w:bidi w:val="0"/>
              <w:adjustRightInd/>
              <w:snapToGrid/>
              <w:spacing w:line="360" w:lineRule="auto"/>
              <w:ind w:left="112" w:right="103"/>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包括:含站端网络及智能网关调试、数据初始化、主接线图、平面布置图、全景层、场景层、功能层接入及功能</w:t>
            </w:r>
            <w:r>
              <w:rPr>
                <w:rFonts w:hint="eastAsia" w:ascii="宋体" w:hAnsi="宋体" w:eastAsia="宋体" w:cs="宋体"/>
                <w:sz w:val="21"/>
                <w:szCs w:val="21"/>
                <w:lang w:val="en-US" w:eastAsia="zh-CN"/>
              </w:rPr>
              <w:t>联调</w:t>
            </w:r>
          </w:p>
        </w:tc>
        <w:tc>
          <w:tcPr>
            <w:tcW w:w="672" w:type="dxa"/>
            <w:noWrap w:val="0"/>
            <w:vAlign w:val="center"/>
          </w:tcPr>
          <w:p>
            <w:pPr>
              <w:pStyle w:val="63"/>
              <w:keepNext w:val="0"/>
              <w:keepLines w:val="0"/>
              <w:pageBreakBefore w:val="0"/>
              <w:widowControl w:val="0"/>
              <w:kinsoku/>
              <w:wordWrap/>
              <w:overflowPunct/>
              <w:topLinePunct w:val="0"/>
              <w:autoSpaceDE/>
              <w:autoSpaceDN/>
              <w:bidi w:val="0"/>
              <w:adjustRightInd/>
              <w:snapToGrid/>
              <w:spacing w:line="360" w:lineRule="auto"/>
              <w:ind w:left="223"/>
              <w:jc w:val="both"/>
              <w:textAlignment w:val="auto"/>
              <w:rPr>
                <w:rFonts w:hint="eastAsia" w:ascii="宋体" w:hAnsi="宋体" w:eastAsia="宋体" w:cs="宋体"/>
                <w:sz w:val="21"/>
                <w:szCs w:val="21"/>
              </w:rPr>
            </w:pPr>
            <w:r>
              <w:rPr>
                <w:rFonts w:hint="eastAsia" w:ascii="宋体" w:hAnsi="宋体" w:eastAsia="宋体" w:cs="宋体"/>
                <w:sz w:val="21"/>
                <w:szCs w:val="21"/>
              </w:rPr>
              <w:t>套</w:t>
            </w:r>
          </w:p>
        </w:tc>
      </w:tr>
    </w:tbl>
    <w:p>
      <w:pPr>
        <w:pStyle w:val="5"/>
        <w:pageBreakBefore w:val="0"/>
        <w:kinsoku/>
        <w:wordWrap/>
        <w:overflowPunct/>
        <w:topLinePunct w:val="0"/>
        <w:bidi w:val="0"/>
        <w:spacing w:line="560" w:lineRule="exact"/>
        <w:rPr>
          <w:rFonts w:hint="eastAsia"/>
          <w:color w:val="auto"/>
          <w:sz w:val="24"/>
          <w:szCs w:val="28"/>
          <w:highlight w:val="none"/>
          <w:lang w:val="en-US" w:eastAsia="zh-CN"/>
        </w:rPr>
      </w:pPr>
      <w:bookmarkStart w:id="141" w:name="bookmark30"/>
      <w:bookmarkEnd w:id="141"/>
      <w:bookmarkStart w:id="142" w:name="_Toc2516"/>
      <w:bookmarkStart w:id="143" w:name="_Toc764"/>
      <w:bookmarkStart w:id="144" w:name="_Toc31144"/>
      <w:bookmarkStart w:id="145" w:name="_Toc5548"/>
      <w:r>
        <w:rPr>
          <w:rFonts w:hint="eastAsia"/>
          <w:color w:val="auto"/>
          <w:sz w:val="24"/>
          <w:szCs w:val="28"/>
          <w:highlight w:val="none"/>
          <w:lang w:val="en-US" w:eastAsia="zh-CN"/>
        </w:rPr>
        <w:t>变电站基础网络调试与接入</w:t>
      </w:r>
      <w:bookmarkEnd w:id="142"/>
      <w:bookmarkEnd w:id="143"/>
      <w:bookmarkEnd w:id="144"/>
      <w:bookmarkEnd w:id="145"/>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对变电站端智能终端进行通网调试，联通生产运行支持系统、物联网平台的网络，确保网络通讯正常。</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对智能终端命名、账号、IP等进行配置并校调。检查通过后，调试摄像头视频配置是否正常、实时取流是否正常、控制是否正常、数据回传是否正常，调试传感器数据采集是</w:t>
      </w:r>
      <w:r>
        <w:rPr>
          <w:rFonts w:hint="eastAsia" w:ascii="宋体" w:cs="宋体"/>
          <w:color w:val="auto"/>
          <w:spacing w:val="-4"/>
          <w:kern w:val="2"/>
          <w:sz w:val="21"/>
          <w:szCs w:val="21"/>
          <w:highlight w:val="none"/>
          <w:lang w:val="en-US" w:eastAsia="zh-CN" w:bidi="ar-SA"/>
        </w:rPr>
        <w:t>否</w:t>
      </w:r>
      <w:r>
        <w:rPr>
          <w:rFonts w:hint="eastAsia" w:ascii="宋体" w:hAnsi="宋体" w:eastAsia="宋体" w:cs="宋体"/>
          <w:color w:val="auto"/>
          <w:spacing w:val="-4"/>
          <w:kern w:val="2"/>
          <w:sz w:val="21"/>
          <w:szCs w:val="21"/>
          <w:highlight w:val="none"/>
          <w:lang w:val="en-US" w:eastAsia="zh-CN" w:bidi="ar-SA"/>
        </w:rPr>
        <w:t>正常、数据上送是否正常，调整智能门禁数据下发是否正常、数据回传是否正常，调试视频存储单元接入是否正常。确保变电站端智能终端与生产运行支持系统、物联网管理平台网络的通讯正常。</w:t>
      </w:r>
    </w:p>
    <w:p>
      <w:pPr>
        <w:pStyle w:val="5"/>
        <w:pageBreakBefore w:val="0"/>
        <w:kinsoku/>
        <w:wordWrap/>
        <w:overflowPunct/>
        <w:topLinePunct w:val="0"/>
        <w:bidi w:val="0"/>
        <w:spacing w:line="560" w:lineRule="exact"/>
        <w:rPr>
          <w:rFonts w:hint="eastAsia"/>
          <w:color w:val="auto"/>
          <w:sz w:val="24"/>
          <w:szCs w:val="28"/>
          <w:highlight w:val="none"/>
          <w:lang w:val="en-US" w:eastAsia="zh-CN"/>
        </w:rPr>
      </w:pPr>
      <w:bookmarkStart w:id="146" w:name="bookmark31"/>
      <w:bookmarkEnd w:id="146"/>
      <w:bookmarkStart w:id="147" w:name="_Toc3863"/>
      <w:bookmarkStart w:id="148" w:name="_Toc477"/>
      <w:bookmarkStart w:id="149" w:name="_Toc19953"/>
      <w:bookmarkStart w:id="150" w:name="_Toc7491"/>
      <w:r>
        <w:rPr>
          <w:rFonts w:hint="eastAsia"/>
          <w:color w:val="auto"/>
          <w:sz w:val="24"/>
          <w:szCs w:val="28"/>
          <w:highlight w:val="none"/>
          <w:lang w:val="en-US" w:eastAsia="zh-CN"/>
        </w:rPr>
        <w:t>变电智能网关接入调试</w:t>
      </w:r>
      <w:bookmarkEnd w:id="147"/>
      <w:bookmarkEnd w:id="148"/>
      <w:bookmarkEnd w:id="149"/>
      <w:bookmarkEnd w:id="150"/>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（1）按照《生产运行支持系统(变电)物模型技术要求(试行)》等南方电网技术标准和规范要求，创建相关辅助设备的物模型，实现与物联网平台和边侧、云侧生产运行支持系统的运维协同。</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（2）完成变电站智能网关南、北向接入及调试。</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（3）南向实现Ⅲ区视频、动环、消防、安防接入，数据经集成化处理后统一上送全域物联网平台。</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pPr>
      <w:r>
        <w:rPr>
          <w:rFonts w:hint="eastAsia" w:ascii="宋体" w:hAnsi="宋体" w:eastAsia="宋体" w:cs="宋体"/>
          <w:color w:val="auto"/>
          <w:spacing w:val="-4"/>
          <w:kern w:val="2"/>
          <w:sz w:val="21"/>
          <w:szCs w:val="21"/>
          <w:highlight w:val="none"/>
          <w:lang w:val="en-US" w:eastAsia="zh-CN" w:bidi="ar-SA"/>
        </w:rPr>
        <w:t>（4）北向与云侧变电生产运行支持系统交互，通过云侧智能运维模块实现对智能</w:t>
      </w:r>
      <w:r>
        <w:rPr>
          <w:spacing w:val="-2"/>
        </w:rPr>
        <w:t>网关的信息维护、下发、物联网平台注册及监控。</w:t>
      </w:r>
    </w:p>
    <w:p>
      <w:pPr>
        <w:pStyle w:val="6"/>
        <w:pageBreakBefore w:val="0"/>
        <w:kinsoku/>
        <w:wordWrap/>
        <w:overflowPunct/>
        <w:topLinePunct w:val="0"/>
        <w:bidi w:val="0"/>
        <w:spacing w:line="560" w:lineRule="exact"/>
        <w:rPr>
          <w:rFonts w:hint="eastAsia"/>
          <w:color w:val="auto"/>
          <w:sz w:val="24"/>
          <w:szCs w:val="28"/>
          <w:highlight w:val="none"/>
          <w:lang w:val="en-US" w:eastAsia="zh-CN"/>
        </w:rPr>
      </w:pPr>
      <w:bookmarkStart w:id="151" w:name="_Toc14017"/>
      <w:r>
        <w:rPr>
          <w:rFonts w:hint="eastAsia"/>
          <w:color w:val="auto"/>
          <w:sz w:val="24"/>
          <w:szCs w:val="28"/>
          <w:highlight w:val="none"/>
          <w:lang w:val="en-US" w:eastAsia="zh-CN"/>
        </w:rPr>
        <w:t>设备、设施等监测对象维护及应用</w:t>
      </w:r>
      <w:bookmarkEnd w:id="151"/>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按照南方电网公司数字变电技术规范要求，站端主设备台账必须由云侧生产运行支持系统对接设备中心获取并应用，以满足设备全生命周期管理要求；站端辅助设备及设施必须按照网级统一规范的编码规则进行编码，并在云侧生产运行支持系统进行统一注册，并完成标准的编码获取，生成，同步按照规定协议完成终端接入调试。</w:t>
      </w:r>
    </w:p>
    <w:p>
      <w:pPr>
        <w:pStyle w:val="53"/>
        <w:keepNext w:val="0"/>
        <w:keepLines w:val="0"/>
        <w:pageBreakBefore w:val="0"/>
        <w:widowControl w:val="0"/>
        <w:numPr>
          <w:ilvl w:val="0"/>
          <w:numId w:val="7"/>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设施台账收资数据格式</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应按照统一规范的变电站设施、辅助设备收资模板定义的数据模型要求，对变电站内部存量的设施以及辅助设备终端进行台账收资，用于构建基准的设施台账树及统一运维管理。</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（2）收资台账授码</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应按照统一规范的变电站辅助设备编码规则要求对收资台账进行授码，用于智能网关使用此码注册至物联网平台，保证云、物联网、生产运行支持系统三侧的编码一致。</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（3）收资台账数据维护</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应将收资台账表格作为基准数据录入到云侧设施台账管理模块，完成辅助设备台账的初始化工作，后续通过设施台账管理模块功能对变电站设施、辅助设备终端、终端与设施挂靠关系进行维护。</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（4）数据分发</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由云侧将初始化后的辅助设备台账下发至边端主机，在云侧台账发生变化时实时增量告知边端主机进行应用。</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云侧同步将辅助设备台账下发至智能网关主机，智能网关主机根据辅助设备台账中的北向ID，将终端设备注册至物联网平台。</w:t>
      </w:r>
    </w:p>
    <w:p>
      <w:pPr>
        <w:pStyle w:val="6"/>
        <w:pageBreakBefore w:val="0"/>
        <w:kinsoku/>
        <w:wordWrap/>
        <w:overflowPunct/>
        <w:topLinePunct w:val="0"/>
        <w:bidi w:val="0"/>
        <w:spacing w:line="560" w:lineRule="exact"/>
        <w:rPr>
          <w:rFonts w:hint="eastAsia"/>
          <w:color w:val="auto"/>
          <w:sz w:val="24"/>
          <w:szCs w:val="28"/>
          <w:highlight w:val="none"/>
          <w:lang w:val="en-US" w:eastAsia="zh-CN"/>
        </w:rPr>
      </w:pPr>
      <w:bookmarkStart w:id="152" w:name="_Toc12921"/>
      <w:r>
        <w:rPr>
          <w:rFonts w:hint="eastAsia"/>
          <w:color w:val="auto"/>
          <w:sz w:val="24"/>
          <w:szCs w:val="28"/>
          <w:highlight w:val="none"/>
          <w:lang w:val="en-US" w:eastAsia="zh-CN"/>
        </w:rPr>
        <w:t>网关、智能传感终端等IOT设备维护及应用</w:t>
      </w:r>
      <w:bookmarkEnd w:id="152"/>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变电站站端的智能网关、智能传感终端等终端设备，必须符合统一编码规范要求，在云侧生产运行支持系统进行统一注册，并完成标准的编码获取，生成。同步按照规定协议完成终端接入调试。实现统一的维护，以及各类证书的生成及下载，更新数据的下发。</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（1）网关纳管</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需在云侧生产运行支持系统完成对智能网关主机的纳管，达到由云侧统一远程运维的目的。在网侧系统，完成智能网关虚拟主机的统一创建。需在智能网关主机安装并运行纳管程序以及运维组件，完成主机在云端的注册和纳管。</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（2）智能传感终端运维</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智能传感终端资产信息发生变化时，需要在云侧生产运行支持系统进行统一运维确认无误后，注册至物联网平台，并下发至生产运行支持系统进行应用。</w:t>
      </w:r>
      <w:bookmarkStart w:id="153" w:name="bookmark32"/>
      <w:bookmarkEnd w:id="153"/>
    </w:p>
    <w:p>
      <w:pPr>
        <w:pStyle w:val="6"/>
        <w:pageBreakBefore w:val="0"/>
        <w:kinsoku/>
        <w:wordWrap/>
        <w:overflowPunct/>
        <w:topLinePunct w:val="0"/>
        <w:bidi w:val="0"/>
        <w:spacing w:line="560" w:lineRule="exact"/>
        <w:rPr>
          <w:rFonts w:hint="eastAsia"/>
          <w:color w:val="auto"/>
          <w:sz w:val="24"/>
          <w:szCs w:val="28"/>
          <w:highlight w:val="none"/>
          <w:lang w:val="en-US" w:eastAsia="zh-CN"/>
        </w:rPr>
      </w:pPr>
      <w:r>
        <w:rPr>
          <w:rFonts w:hint="eastAsia"/>
          <w:color w:val="auto"/>
          <w:sz w:val="24"/>
          <w:szCs w:val="28"/>
          <w:highlight w:val="none"/>
          <w:lang w:val="en-US" w:eastAsia="zh-CN"/>
        </w:rPr>
        <w:t>站内存量动环、摄像头接入调试</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将站内原有的动环及可利旧摄像头接入智能网关，在生产运行支持系统进行数据展示。</w:t>
      </w:r>
    </w:p>
    <w:p>
      <w:pPr>
        <w:pStyle w:val="5"/>
        <w:pageBreakBefore w:val="0"/>
        <w:kinsoku/>
        <w:wordWrap/>
        <w:overflowPunct/>
        <w:topLinePunct w:val="0"/>
        <w:bidi w:val="0"/>
        <w:spacing w:line="560" w:lineRule="exact"/>
        <w:rPr>
          <w:rFonts w:hint="eastAsia"/>
          <w:color w:val="auto"/>
          <w:sz w:val="24"/>
          <w:szCs w:val="28"/>
          <w:highlight w:val="none"/>
          <w:lang w:val="en-US" w:eastAsia="zh-CN"/>
        </w:rPr>
      </w:pPr>
      <w:bookmarkStart w:id="154" w:name="_Toc10071"/>
      <w:bookmarkStart w:id="155" w:name="_Toc31198"/>
      <w:bookmarkStart w:id="156" w:name="_Toc21782"/>
      <w:bookmarkStart w:id="157" w:name="_Toc12222"/>
      <w:r>
        <w:rPr>
          <w:rFonts w:hint="eastAsia"/>
          <w:color w:val="auto"/>
          <w:sz w:val="24"/>
          <w:szCs w:val="28"/>
          <w:highlight w:val="none"/>
          <w:lang w:val="en-US" w:eastAsia="zh-CN"/>
        </w:rPr>
        <w:t>变电站基础数据初始化</w:t>
      </w:r>
      <w:bookmarkEnd w:id="154"/>
      <w:bookmarkEnd w:id="155"/>
      <w:bookmarkEnd w:id="156"/>
      <w:bookmarkEnd w:id="157"/>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（1）根据《南方电网公司设备台账规范》要求，在生产运行支持系统完成接入变电站设备台账构建。变电站设备台账信息包括变电站、区域、间隔、设备等信息。</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（2）接入变电站扩展信息配置，包括所在地理信息、管辖班组、站端首页视频等。</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（3）接入变电站摄像机布点图片绘制，匹配对应摄像机终端。</w:t>
      </w:r>
    </w:p>
    <w:p>
      <w:pPr>
        <w:pStyle w:val="5"/>
        <w:pageBreakBefore w:val="0"/>
        <w:kinsoku/>
        <w:wordWrap/>
        <w:overflowPunct/>
        <w:topLinePunct w:val="0"/>
        <w:bidi w:val="0"/>
        <w:spacing w:line="560" w:lineRule="exact"/>
        <w:rPr>
          <w:rFonts w:hint="eastAsia"/>
          <w:color w:val="auto"/>
          <w:sz w:val="24"/>
          <w:szCs w:val="28"/>
          <w:highlight w:val="none"/>
          <w:lang w:val="en-US" w:eastAsia="zh-CN"/>
        </w:rPr>
      </w:pPr>
      <w:bookmarkStart w:id="158" w:name="bookmark33"/>
      <w:bookmarkEnd w:id="158"/>
      <w:bookmarkStart w:id="159" w:name="bookmark34"/>
      <w:bookmarkEnd w:id="159"/>
      <w:bookmarkStart w:id="160" w:name="_Toc6146"/>
      <w:bookmarkStart w:id="161" w:name="_Toc8071"/>
      <w:bookmarkStart w:id="162" w:name="_Toc11040"/>
      <w:bookmarkStart w:id="163" w:name="_Toc32261"/>
      <w:r>
        <w:rPr>
          <w:rFonts w:hint="eastAsia"/>
          <w:color w:val="auto"/>
          <w:sz w:val="24"/>
          <w:szCs w:val="28"/>
          <w:highlight w:val="none"/>
          <w:lang w:val="en-US" w:eastAsia="zh-CN"/>
        </w:rPr>
        <w:t>变电站智能操作监控接入</w:t>
      </w:r>
      <w:bookmarkEnd w:id="160"/>
      <w:bookmarkEnd w:id="161"/>
      <w:bookmarkEnd w:id="162"/>
      <w:bookmarkEnd w:id="163"/>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根据智能操作监控要求，结合变电站设备、智能终端实际情况，编制智能操作监控接入方案。经业主方审核通过后，在生产运行支持系统上按站固化智能操作监控方案，满足智能操作监控业务开展要求。</w:t>
      </w:r>
    </w:p>
    <w:p>
      <w:pPr>
        <w:pStyle w:val="5"/>
        <w:pageBreakBefore w:val="0"/>
        <w:kinsoku/>
        <w:wordWrap/>
        <w:overflowPunct/>
        <w:topLinePunct w:val="0"/>
        <w:bidi w:val="0"/>
        <w:spacing w:line="560" w:lineRule="exact"/>
        <w:rPr>
          <w:rFonts w:hint="eastAsia"/>
          <w:color w:val="auto"/>
          <w:sz w:val="24"/>
          <w:szCs w:val="28"/>
          <w:highlight w:val="none"/>
          <w:lang w:val="en-US" w:eastAsia="zh-CN"/>
        </w:rPr>
      </w:pPr>
      <w:bookmarkStart w:id="164" w:name="bookmark35"/>
      <w:bookmarkEnd w:id="164"/>
      <w:bookmarkStart w:id="165" w:name="_Toc18329"/>
      <w:bookmarkStart w:id="166" w:name="_Toc28090"/>
      <w:bookmarkStart w:id="167" w:name="_Toc26953"/>
      <w:bookmarkStart w:id="168" w:name="_Toc6339"/>
      <w:r>
        <w:rPr>
          <w:rFonts w:hint="eastAsia"/>
          <w:color w:val="auto"/>
          <w:sz w:val="24"/>
          <w:szCs w:val="28"/>
          <w:highlight w:val="none"/>
          <w:lang w:val="en-US" w:eastAsia="zh-CN"/>
        </w:rPr>
        <w:t>变电站智能安全接入</w:t>
      </w:r>
      <w:bookmarkEnd w:id="165"/>
      <w:bookmarkEnd w:id="166"/>
      <w:bookmarkEnd w:id="167"/>
      <w:bookmarkEnd w:id="168"/>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（1）根据变电站智能安全要求，结合变电站设备、智能终端实际情况，编制智能安全接入方案。</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（2）在生产运行支持系统上按站固化智能安全接入方案，满足智能安全功能要求，包括但不仅限于如下工作项：</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1）配置变电站围墙监控摄像头的周界安全监控，如有。</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2）配置变电站开关、主变等场地的不安全行为监控。</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3）配置变电站大门门禁的黑、白名单，如有。</w:t>
      </w:r>
    </w:p>
    <w:p>
      <w:pPr>
        <w:pStyle w:val="5"/>
        <w:pageBreakBefore w:val="0"/>
        <w:kinsoku/>
        <w:wordWrap/>
        <w:overflowPunct/>
        <w:topLinePunct w:val="0"/>
        <w:bidi w:val="0"/>
        <w:spacing w:line="560" w:lineRule="exact"/>
        <w:rPr>
          <w:rFonts w:hint="eastAsia"/>
          <w:color w:val="auto"/>
          <w:sz w:val="24"/>
          <w:szCs w:val="28"/>
          <w:highlight w:val="none"/>
          <w:lang w:val="en-US" w:eastAsia="zh-CN"/>
        </w:rPr>
      </w:pPr>
      <w:bookmarkStart w:id="169" w:name="bookmark37"/>
      <w:bookmarkEnd w:id="169"/>
      <w:bookmarkStart w:id="170" w:name="bookmark36"/>
      <w:bookmarkEnd w:id="170"/>
      <w:bookmarkStart w:id="171" w:name="_Toc31443"/>
      <w:bookmarkStart w:id="172" w:name="_Toc15607"/>
      <w:bookmarkStart w:id="173" w:name="_Toc16438"/>
      <w:bookmarkStart w:id="174" w:name="_Toc14711"/>
      <w:r>
        <w:rPr>
          <w:rFonts w:hint="eastAsia"/>
          <w:color w:val="auto"/>
          <w:sz w:val="24"/>
          <w:szCs w:val="28"/>
          <w:highlight w:val="none"/>
          <w:lang w:val="en-US" w:eastAsia="zh-CN"/>
        </w:rPr>
        <w:t>与生产运行支持系统功能联调</w:t>
      </w:r>
      <w:bookmarkEnd w:id="171"/>
      <w:bookmarkEnd w:id="172"/>
      <w:bookmarkEnd w:id="173"/>
      <w:bookmarkEnd w:id="174"/>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rPr>
      </w:pPr>
      <w:r>
        <w:rPr>
          <w:rFonts w:hint="eastAsia" w:ascii="宋体" w:hAnsi="宋体" w:eastAsia="宋体" w:cs="宋体"/>
          <w:color w:val="auto"/>
          <w:spacing w:val="-4"/>
          <w:kern w:val="2"/>
          <w:sz w:val="21"/>
          <w:szCs w:val="21"/>
          <w:highlight w:val="none"/>
          <w:lang w:val="en-US" w:eastAsia="zh-CN" w:bidi="ar-SA"/>
        </w:rPr>
        <w:t>按变电站，在生产运行支持系统各项功能模块进行整体校核、业务验证，保证业务利开展。</w:t>
      </w:r>
    </w:p>
    <w:bookmarkEnd w:id="131"/>
    <w:p>
      <w:pPr>
        <w:pStyle w:val="4"/>
        <w:bidi w:val="0"/>
        <w:rPr>
          <w:rFonts w:hint="eastAsia"/>
          <w:color w:val="auto"/>
          <w:sz w:val="24"/>
          <w:szCs w:val="40"/>
          <w:highlight w:val="none"/>
        </w:rPr>
      </w:pPr>
      <w:bookmarkStart w:id="175" w:name="_Toc9482"/>
      <w:r>
        <w:rPr>
          <w:rFonts w:hint="eastAsia"/>
          <w:color w:val="auto"/>
          <w:sz w:val="24"/>
          <w:szCs w:val="40"/>
          <w:highlight w:val="none"/>
        </w:rPr>
        <w:t>项目验收、交付</w:t>
      </w:r>
      <w:bookmarkEnd w:id="175"/>
      <w:bookmarkStart w:id="176" w:name="_Toc111585274"/>
    </w:p>
    <w:p>
      <w:pPr>
        <w:pStyle w:val="5"/>
        <w:bidi w:val="0"/>
        <w:rPr>
          <w:rFonts w:hint="eastAsia"/>
          <w:color w:val="auto"/>
          <w:sz w:val="24"/>
          <w:szCs w:val="28"/>
          <w:highlight w:val="none"/>
        </w:rPr>
      </w:pPr>
      <w:bookmarkStart w:id="177" w:name="_Toc18463"/>
      <w:r>
        <w:rPr>
          <w:rFonts w:hint="eastAsia"/>
          <w:color w:val="auto"/>
          <w:sz w:val="24"/>
          <w:szCs w:val="28"/>
          <w:highlight w:val="none"/>
        </w:rPr>
        <w:t>验收</w:t>
      </w:r>
      <w:bookmarkEnd w:id="176"/>
      <w:bookmarkEnd w:id="177"/>
    </w:p>
    <w:p>
      <w:pPr>
        <w:ind w:firstLine="420" w:firstLineChars="200"/>
        <w:rPr>
          <w:color w:val="auto"/>
          <w:szCs w:val="21"/>
          <w:highlight w:val="none"/>
        </w:rPr>
      </w:pPr>
      <w:r>
        <w:rPr>
          <w:rFonts w:hint="eastAsia"/>
          <w:color w:val="auto"/>
          <w:szCs w:val="21"/>
          <w:highlight w:val="none"/>
        </w:rPr>
        <w:t>投标方在自评具备验收条件后提出验收申请，招标方在收到验收申请后五个工作日内组织专家对所有项目材料和相关成果进行评审，开展项目验收。验收按照招标方制定的验收方案具体实施，方案将包括验收项目、验收目的、验收标准、验收人员等。项目验收后，验收人员将根据实际情况提出验收报告，如若有需要整改的内容，投标方在验收后应主动配合招标方严格按照整改意见进行整改完善。</w:t>
      </w:r>
    </w:p>
    <w:p>
      <w:pPr>
        <w:ind w:firstLine="420" w:firstLineChars="200"/>
        <w:rPr>
          <w:color w:val="auto"/>
          <w:szCs w:val="21"/>
          <w:highlight w:val="none"/>
        </w:rPr>
      </w:pPr>
      <w:r>
        <w:rPr>
          <w:rFonts w:hint="eastAsia"/>
          <w:color w:val="auto"/>
          <w:szCs w:val="21"/>
          <w:highlight w:val="none"/>
        </w:rPr>
        <w:t>投标方所提供系统的所有软、硬件设备的质量、功能、性能等均应经过试验，并经招标方认可才能交货。</w:t>
      </w:r>
    </w:p>
    <w:p>
      <w:pPr>
        <w:ind w:firstLine="420" w:firstLineChars="200"/>
        <w:rPr>
          <w:color w:val="auto"/>
          <w:szCs w:val="21"/>
          <w:highlight w:val="none"/>
        </w:rPr>
      </w:pPr>
      <w:r>
        <w:rPr>
          <w:rFonts w:hint="eastAsia"/>
          <w:color w:val="auto"/>
          <w:szCs w:val="21"/>
          <w:highlight w:val="none"/>
        </w:rPr>
        <w:t>投标方提供验收试验的细则及测试大纲，细则中应明确规定试验项目以及所达到的性能要求，并经招标方认可。招标方人员对试验的认可签字并不解除投标方对合同规定的保证责任</w:t>
      </w:r>
      <w:r>
        <w:rPr>
          <w:color w:val="auto"/>
          <w:szCs w:val="21"/>
          <w:highlight w:val="none"/>
        </w:rPr>
        <w:t>。</w:t>
      </w:r>
    </w:p>
    <w:p>
      <w:pPr>
        <w:pStyle w:val="6"/>
        <w:bidi w:val="0"/>
        <w:rPr>
          <w:rFonts w:hint="eastAsia"/>
          <w:color w:val="auto"/>
          <w:sz w:val="24"/>
          <w:szCs w:val="28"/>
          <w:highlight w:val="none"/>
        </w:rPr>
      </w:pPr>
      <w:r>
        <w:rPr>
          <w:rFonts w:hint="eastAsia"/>
          <w:color w:val="auto"/>
          <w:sz w:val="24"/>
          <w:szCs w:val="28"/>
          <w:highlight w:val="none"/>
        </w:rPr>
        <w:t>验收计划</w:t>
      </w:r>
    </w:p>
    <w:p>
      <w:pPr>
        <w:ind w:firstLine="420" w:firstLineChars="200"/>
        <w:rPr>
          <w:rFonts w:hint="eastAsia"/>
          <w:color w:val="auto"/>
          <w:sz w:val="24"/>
          <w:szCs w:val="28"/>
          <w:highlight w:val="none"/>
        </w:rPr>
      </w:pPr>
      <w:r>
        <w:rPr>
          <w:rFonts w:hint="eastAsia"/>
          <w:color w:val="auto"/>
          <w:szCs w:val="21"/>
          <w:highlight w:val="none"/>
        </w:rPr>
        <w:t>投标方提供一份验收详细的计划。招标方对投标方提供的验收计划具有修改的权力，并经招标方确认后生效。</w:t>
      </w:r>
    </w:p>
    <w:p>
      <w:pPr>
        <w:pStyle w:val="6"/>
        <w:bidi w:val="0"/>
        <w:rPr>
          <w:rFonts w:hint="eastAsia"/>
          <w:color w:val="auto"/>
          <w:sz w:val="24"/>
          <w:szCs w:val="28"/>
          <w:highlight w:val="none"/>
        </w:rPr>
      </w:pPr>
      <w:r>
        <w:rPr>
          <w:rFonts w:hint="eastAsia"/>
          <w:color w:val="auto"/>
          <w:sz w:val="24"/>
          <w:szCs w:val="28"/>
          <w:highlight w:val="none"/>
        </w:rPr>
        <w:t>验收标准</w:t>
      </w:r>
    </w:p>
    <w:p>
      <w:pPr>
        <w:ind w:firstLine="420" w:firstLineChars="200"/>
        <w:rPr>
          <w:rFonts w:hint="eastAsia" w:eastAsia="宋体"/>
          <w:color w:val="auto"/>
          <w:szCs w:val="21"/>
          <w:highlight w:val="none"/>
          <w:lang w:eastAsia="zh-CN"/>
        </w:rPr>
      </w:pPr>
      <w:r>
        <w:rPr>
          <w:rFonts w:hint="eastAsia"/>
          <w:color w:val="auto"/>
          <w:szCs w:val="21"/>
          <w:highlight w:val="none"/>
        </w:rPr>
        <w:t>（1）所有的功能和技术指标应满足本技术规范书的要求。</w:t>
      </w:r>
    </w:p>
    <w:p>
      <w:pPr>
        <w:ind w:firstLine="420" w:firstLineChars="200"/>
        <w:rPr>
          <w:rFonts w:hint="eastAsia" w:eastAsia="宋体"/>
          <w:color w:val="auto"/>
          <w:szCs w:val="21"/>
          <w:highlight w:val="none"/>
          <w:lang w:eastAsia="zh-CN"/>
        </w:rPr>
      </w:pPr>
      <w:r>
        <w:rPr>
          <w:rFonts w:hint="eastAsia"/>
          <w:color w:val="auto"/>
          <w:szCs w:val="21"/>
          <w:highlight w:val="none"/>
        </w:rPr>
        <w:t>（2）所有信息均能完全展示。</w:t>
      </w:r>
    </w:p>
    <w:p>
      <w:pPr>
        <w:ind w:firstLine="420" w:firstLineChars="200"/>
        <w:rPr>
          <w:rFonts w:hint="eastAsia" w:eastAsia="宋体"/>
          <w:color w:val="auto"/>
          <w:szCs w:val="21"/>
          <w:highlight w:val="none"/>
          <w:lang w:eastAsia="zh-CN"/>
        </w:rPr>
      </w:pPr>
      <w:r>
        <w:rPr>
          <w:rFonts w:hint="eastAsia"/>
          <w:color w:val="auto"/>
          <w:szCs w:val="21"/>
          <w:highlight w:val="none"/>
        </w:rPr>
        <w:t>（3）在连续72小时稳定性试验内，不允许进行自动切换，不发生关键功能重启动，没有主要硬件故障，控制系统不能发生系统崩溃。</w:t>
      </w:r>
    </w:p>
    <w:p>
      <w:pPr>
        <w:ind w:firstLine="420" w:firstLineChars="200"/>
        <w:rPr>
          <w:rFonts w:hint="eastAsia" w:eastAsia="宋体"/>
          <w:color w:val="auto"/>
          <w:szCs w:val="21"/>
          <w:highlight w:val="none"/>
          <w:lang w:eastAsia="zh-CN"/>
        </w:rPr>
      </w:pPr>
      <w:r>
        <w:rPr>
          <w:rFonts w:hint="eastAsia"/>
          <w:color w:val="auto"/>
          <w:szCs w:val="21"/>
          <w:highlight w:val="none"/>
        </w:rPr>
        <w:t>（4）如有软件出错，不允许对软件进行修改以跳过出错软件模块。</w:t>
      </w:r>
    </w:p>
    <w:p>
      <w:pPr>
        <w:ind w:firstLine="420" w:firstLineChars="200"/>
        <w:rPr>
          <w:color w:val="auto"/>
          <w:szCs w:val="21"/>
          <w:highlight w:val="none"/>
        </w:rPr>
      </w:pPr>
      <w:r>
        <w:rPr>
          <w:rFonts w:hint="eastAsia"/>
          <w:color w:val="auto"/>
          <w:szCs w:val="21"/>
          <w:highlight w:val="none"/>
        </w:rPr>
        <w:t>（5）如果设备或功能不能满足要求，投标方替换或维修故障单元或功能，所有额外的花费均应由投标方承担。</w:t>
      </w:r>
    </w:p>
    <w:p>
      <w:pPr>
        <w:pStyle w:val="6"/>
        <w:bidi w:val="0"/>
        <w:rPr>
          <w:rFonts w:hint="eastAsia"/>
          <w:color w:val="auto"/>
          <w:sz w:val="24"/>
          <w:szCs w:val="28"/>
          <w:highlight w:val="none"/>
        </w:rPr>
      </w:pPr>
      <w:r>
        <w:rPr>
          <w:rFonts w:hint="eastAsia"/>
          <w:color w:val="auto"/>
          <w:sz w:val="24"/>
          <w:szCs w:val="28"/>
          <w:highlight w:val="none"/>
        </w:rPr>
        <w:t>其它</w:t>
      </w:r>
    </w:p>
    <w:p>
      <w:pPr>
        <w:ind w:firstLine="420" w:firstLineChars="200"/>
        <w:rPr>
          <w:color w:val="auto"/>
          <w:szCs w:val="21"/>
          <w:highlight w:val="none"/>
        </w:rPr>
      </w:pPr>
      <w:r>
        <w:rPr>
          <w:rFonts w:hint="eastAsia"/>
          <w:color w:val="auto"/>
          <w:szCs w:val="21"/>
          <w:highlight w:val="none"/>
        </w:rPr>
        <w:t>（1）招标方派工程师参加验收试验。投标方提供必要的试验工具、办公场所和通信设施等。</w:t>
      </w:r>
    </w:p>
    <w:p>
      <w:pPr>
        <w:ind w:firstLine="420" w:firstLineChars="200"/>
        <w:rPr>
          <w:color w:val="auto"/>
          <w:szCs w:val="21"/>
          <w:highlight w:val="none"/>
        </w:rPr>
      </w:pPr>
      <w:r>
        <w:rPr>
          <w:rFonts w:hint="eastAsia"/>
          <w:color w:val="auto"/>
          <w:szCs w:val="21"/>
          <w:highlight w:val="none"/>
        </w:rPr>
        <w:t>（2）验收通过后，如果在招标方现场发现有不按规范供货的全部或部分设备，招标方有权拒绝签收。</w:t>
      </w:r>
    </w:p>
    <w:p>
      <w:pPr>
        <w:ind w:firstLine="420" w:firstLineChars="200"/>
        <w:rPr>
          <w:color w:val="auto"/>
          <w:szCs w:val="21"/>
          <w:highlight w:val="none"/>
        </w:rPr>
      </w:pPr>
      <w:r>
        <w:rPr>
          <w:rFonts w:hint="eastAsia"/>
          <w:color w:val="auto"/>
          <w:szCs w:val="21"/>
          <w:highlight w:val="none"/>
        </w:rPr>
        <w:t>（3）由于投标方责任，验收不能按计划完成而引起的一切额外费用，应由投标方承担。</w:t>
      </w:r>
    </w:p>
    <w:p>
      <w:pPr>
        <w:pStyle w:val="5"/>
        <w:bidi w:val="0"/>
        <w:rPr>
          <w:rFonts w:hint="eastAsia"/>
          <w:color w:val="auto"/>
          <w:sz w:val="24"/>
          <w:szCs w:val="28"/>
          <w:highlight w:val="none"/>
        </w:rPr>
      </w:pPr>
      <w:bookmarkStart w:id="178" w:name="_Toc111585275"/>
      <w:bookmarkStart w:id="179" w:name="_Toc230"/>
      <w:r>
        <w:rPr>
          <w:rFonts w:hint="eastAsia"/>
          <w:color w:val="auto"/>
          <w:sz w:val="24"/>
          <w:szCs w:val="28"/>
          <w:highlight w:val="none"/>
        </w:rPr>
        <w:t>项目交付项</w:t>
      </w:r>
      <w:bookmarkEnd w:id="178"/>
      <w:bookmarkEnd w:id="179"/>
    </w:p>
    <w:p>
      <w:pPr>
        <w:ind w:firstLine="420" w:firstLineChars="200"/>
        <w:rPr>
          <w:color w:val="auto"/>
          <w:szCs w:val="21"/>
          <w:highlight w:val="none"/>
        </w:rPr>
      </w:pPr>
      <w:r>
        <w:rPr>
          <w:rFonts w:hint="eastAsia"/>
          <w:color w:val="auto"/>
          <w:szCs w:val="21"/>
          <w:highlight w:val="none"/>
        </w:rPr>
        <w:t>投标方应在合同规定时间内，将本技术规范书所界定的工作完成，并在通过双方认可的验收后，交付给招标方。</w:t>
      </w:r>
    </w:p>
    <w:p>
      <w:pPr>
        <w:pStyle w:val="4"/>
        <w:bidi w:val="0"/>
        <w:rPr>
          <w:rFonts w:hint="eastAsia"/>
          <w:color w:val="auto"/>
          <w:sz w:val="24"/>
          <w:szCs w:val="40"/>
          <w:highlight w:val="none"/>
        </w:rPr>
      </w:pPr>
      <w:bookmarkStart w:id="180" w:name="_Toc111585276"/>
      <w:bookmarkStart w:id="181" w:name="_Toc6891"/>
      <w:r>
        <w:rPr>
          <w:rFonts w:hint="eastAsia"/>
          <w:color w:val="auto"/>
          <w:sz w:val="24"/>
          <w:szCs w:val="40"/>
          <w:highlight w:val="none"/>
        </w:rPr>
        <w:t>技术服务</w:t>
      </w:r>
      <w:bookmarkEnd w:id="180"/>
      <w:bookmarkEnd w:id="181"/>
    </w:p>
    <w:p>
      <w:pPr>
        <w:pStyle w:val="60"/>
        <w:keepNext/>
        <w:keepLines/>
        <w:numPr>
          <w:ilvl w:val="0"/>
          <w:numId w:val="3"/>
        </w:numPr>
        <w:ind w:firstLineChars="0"/>
        <w:outlineLvl w:val="0"/>
        <w:rPr>
          <w:rFonts w:hint="eastAsia"/>
          <w:b/>
          <w:bCs/>
          <w:vanish/>
          <w:color w:val="auto"/>
          <w:kern w:val="44"/>
          <w:sz w:val="20"/>
          <w:szCs w:val="40"/>
          <w:highlight w:val="none"/>
        </w:rPr>
      </w:pPr>
      <w:bookmarkStart w:id="182" w:name="_Toc111585277"/>
    </w:p>
    <w:p>
      <w:pPr>
        <w:pStyle w:val="5"/>
        <w:bidi w:val="0"/>
        <w:rPr>
          <w:rFonts w:hint="eastAsia"/>
          <w:color w:val="auto"/>
          <w:sz w:val="24"/>
          <w:szCs w:val="28"/>
          <w:highlight w:val="none"/>
        </w:rPr>
      </w:pPr>
      <w:bookmarkStart w:id="183" w:name="_Toc16515"/>
      <w:r>
        <w:rPr>
          <w:rFonts w:hint="eastAsia"/>
          <w:color w:val="auto"/>
          <w:sz w:val="24"/>
          <w:szCs w:val="28"/>
          <w:highlight w:val="none"/>
        </w:rPr>
        <w:t>项目管理</w:t>
      </w:r>
      <w:bookmarkEnd w:id="182"/>
      <w:bookmarkEnd w:id="183"/>
    </w:p>
    <w:p>
      <w:pPr>
        <w:ind w:firstLine="420" w:firstLineChars="200"/>
        <w:rPr>
          <w:color w:val="auto"/>
          <w:szCs w:val="21"/>
          <w:highlight w:val="none"/>
        </w:rPr>
      </w:pPr>
      <w:r>
        <w:rPr>
          <w:rFonts w:hint="eastAsia"/>
          <w:color w:val="auto"/>
          <w:szCs w:val="21"/>
          <w:highlight w:val="none"/>
        </w:rPr>
        <w:t>合同签定后，卖方应指定负责本工程的项目经理，负责协调卖方在工程全过程的各项工作，如工程进度、设计制造、图纸文件、制造确认、包装运输、调试验收等。</w:t>
      </w:r>
    </w:p>
    <w:p>
      <w:pPr>
        <w:pStyle w:val="5"/>
        <w:bidi w:val="0"/>
        <w:rPr>
          <w:rFonts w:hint="eastAsia"/>
          <w:color w:val="auto"/>
          <w:sz w:val="24"/>
          <w:szCs w:val="28"/>
          <w:highlight w:val="none"/>
        </w:rPr>
      </w:pPr>
      <w:bookmarkStart w:id="184" w:name="_Toc29366"/>
      <w:bookmarkStart w:id="185" w:name="_Toc111585278"/>
      <w:r>
        <w:rPr>
          <w:rFonts w:hint="eastAsia"/>
          <w:color w:val="auto"/>
          <w:sz w:val="24"/>
          <w:szCs w:val="28"/>
          <w:highlight w:val="none"/>
        </w:rPr>
        <w:t>设计联络</w:t>
      </w:r>
      <w:bookmarkEnd w:id="184"/>
      <w:bookmarkEnd w:id="185"/>
    </w:p>
    <w:p>
      <w:pPr>
        <w:ind w:firstLine="420" w:firstLineChars="200"/>
        <w:rPr>
          <w:color w:val="auto"/>
          <w:szCs w:val="21"/>
          <w:highlight w:val="none"/>
        </w:rPr>
      </w:pPr>
      <w:r>
        <w:rPr>
          <w:rFonts w:hint="eastAsia"/>
          <w:color w:val="auto"/>
          <w:szCs w:val="21"/>
          <w:highlight w:val="none"/>
        </w:rPr>
        <w:t>买卖双方技术人员在买方指定的地点召开工程设计联络会议解决设计及制造中的问题。设计联络会议的主要内容如下：</w:t>
      </w:r>
    </w:p>
    <w:p>
      <w:pPr>
        <w:ind w:firstLine="420" w:firstLineChars="200"/>
        <w:rPr>
          <w:color w:val="auto"/>
          <w:szCs w:val="21"/>
          <w:highlight w:val="none"/>
        </w:rPr>
      </w:pPr>
      <w:r>
        <w:rPr>
          <w:color w:val="auto"/>
          <w:szCs w:val="21"/>
          <w:highlight w:val="none"/>
        </w:rPr>
        <w:t>a)</w:t>
      </w:r>
      <w:r>
        <w:rPr>
          <w:rFonts w:hint="eastAsia"/>
          <w:color w:val="auto"/>
          <w:szCs w:val="21"/>
          <w:highlight w:val="none"/>
        </w:rPr>
        <w:t>确定工程设计中的组织方案、信令方式、设备的安装等问题。向买方解答卖方提交的资料和设计图纸中的问题。</w:t>
      </w:r>
    </w:p>
    <w:p>
      <w:pPr>
        <w:ind w:firstLine="420" w:firstLineChars="200"/>
        <w:rPr>
          <w:color w:val="auto"/>
          <w:szCs w:val="21"/>
          <w:highlight w:val="none"/>
        </w:rPr>
      </w:pPr>
      <w:r>
        <w:rPr>
          <w:color w:val="auto"/>
          <w:szCs w:val="21"/>
          <w:highlight w:val="none"/>
        </w:rPr>
        <w:t>b)</w:t>
      </w:r>
      <w:r>
        <w:rPr>
          <w:rFonts w:hint="eastAsia"/>
          <w:color w:val="auto"/>
          <w:szCs w:val="21"/>
          <w:highlight w:val="none"/>
        </w:rPr>
        <w:t>审核卖方提供的合同设备的技术资料及图纸，并解释合同设备的有关功能和特性问题。</w:t>
      </w:r>
    </w:p>
    <w:p>
      <w:pPr>
        <w:ind w:firstLine="420" w:firstLineChars="200"/>
        <w:rPr>
          <w:color w:val="auto"/>
          <w:szCs w:val="21"/>
          <w:highlight w:val="none"/>
        </w:rPr>
      </w:pPr>
      <w:r>
        <w:rPr>
          <w:color w:val="auto"/>
          <w:szCs w:val="21"/>
          <w:highlight w:val="none"/>
        </w:rPr>
        <w:t>c)</w:t>
      </w:r>
      <w:r>
        <w:rPr>
          <w:rFonts w:hint="eastAsia"/>
          <w:color w:val="auto"/>
          <w:szCs w:val="21"/>
          <w:highlight w:val="none"/>
        </w:rPr>
        <w:t>讨论和确定卖方所提供的设备与其它设备之间的接口。</w:t>
      </w:r>
    </w:p>
    <w:p>
      <w:pPr>
        <w:ind w:firstLine="420" w:firstLineChars="200"/>
        <w:rPr>
          <w:color w:val="auto"/>
          <w:szCs w:val="21"/>
          <w:highlight w:val="none"/>
        </w:rPr>
      </w:pPr>
      <w:r>
        <w:rPr>
          <w:color w:val="auto"/>
          <w:szCs w:val="21"/>
          <w:highlight w:val="none"/>
        </w:rPr>
        <w:t>d)</w:t>
      </w:r>
      <w:r>
        <w:rPr>
          <w:rFonts w:hint="eastAsia"/>
          <w:color w:val="auto"/>
          <w:szCs w:val="21"/>
          <w:highlight w:val="none"/>
        </w:rPr>
        <w:t>讨论有关设备的检验和测试项目。</w:t>
      </w:r>
    </w:p>
    <w:p>
      <w:pPr>
        <w:ind w:firstLine="420" w:firstLineChars="200"/>
        <w:rPr>
          <w:color w:val="auto"/>
          <w:szCs w:val="21"/>
          <w:highlight w:val="none"/>
        </w:rPr>
      </w:pPr>
      <w:r>
        <w:rPr>
          <w:color w:val="auto"/>
          <w:szCs w:val="21"/>
          <w:highlight w:val="none"/>
        </w:rPr>
        <w:t>e)</w:t>
      </w:r>
      <w:r>
        <w:rPr>
          <w:rFonts w:hint="eastAsia"/>
          <w:color w:val="auto"/>
          <w:szCs w:val="21"/>
          <w:highlight w:val="none"/>
        </w:rPr>
        <w:t>工程实施中的其它问题。</w:t>
      </w:r>
    </w:p>
    <w:p>
      <w:pPr>
        <w:pStyle w:val="5"/>
        <w:bidi w:val="0"/>
        <w:rPr>
          <w:rFonts w:hint="eastAsia"/>
          <w:color w:val="auto"/>
          <w:sz w:val="24"/>
          <w:szCs w:val="28"/>
          <w:highlight w:val="none"/>
        </w:rPr>
      </w:pPr>
      <w:bookmarkStart w:id="186" w:name="_Toc14680"/>
      <w:bookmarkStart w:id="187" w:name="_Toc111585279"/>
      <w:r>
        <w:rPr>
          <w:rFonts w:hint="eastAsia"/>
          <w:color w:val="auto"/>
          <w:sz w:val="24"/>
          <w:szCs w:val="28"/>
          <w:highlight w:val="none"/>
        </w:rPr>
        <w:t>培训</w:t>
      </w:r>
      <w:bookmarkEnd w:id="186"/>
      <w:bookmarkEnd w:id="187"/>
    </w:p>
    <w:p>
      <w:pPr>
        <w:ind w:firstLine="420" w:firstLineChars="200"/>
        <w:rPr>
          <w:color w:val="auto"/>
          <w:szCs w:val="21"/>
          <w:highlight w:val="none"/>
        </w:rPr>
      </w:pPr>
      <w:r>
        <w:rPr>
          <w:rFonts w:hint="eastAsia"/>
          <w:color w:val="auto"/>
          <w:szCs w:val="21"/>
          <w:highlight w:val="none"/>
        </w:rPr>
        <w:t>卖方应为买方工作人员提供一次技术现场培训，培训应包括以下内容：</w:t>
      </w:r>
    </w:p>
    <w:p>
      <w:pPr>
        <w:ind w:firstLine="420" w:firstLineChars="200"/>
        <w:rPr>
          <w:color w:val="auto"/>
          <w:szCs w:val="21"/>
          <w:highlight w:val="none"/>
        </w:rPr>
      </w:pPr>
      <w:r>
        <w:rPr>
          <w:rFonts w:hint="eastAsia"/>
          <w:color w:val="auto"/>
          <w:szCs w:val="21"/>
          <w:highlight w:val="none"/>
        </w:rPr>
        <w:t>（1）设备的工作原理和技术性能；</w:t>
      </w:r>
    </w:p>
    <w:p>
      <w:pPr>
        <w:ind w:firstLine="420" w:firstLineChars="200"/>
        <w:rPr>
          <w:color w:val="auto"/>
          <w:szCs w:val="21"/>
          <w:highlight w:val="none"/>
        </w:rPr>
      </w:pPr>
      <w:r>
        <w:rPr>
          <w:rFonts w:hint="eastAsia"/>
          <w:color w:val="auto"/>
          <w:szCs w:val="21"/>
          <w:highlight w:val="none"/>
        </w:rPr>
        <w:t>（2）设备维护、测试、操作。</w:t>
      </w:r>
    </w:p>
    <w:p>
      <w:pPr>
        <w:pStyle w:val="5"/>
        <w:bidi w:val="0"/>
        <w:rPr>
          <w:rFonts w:hint="eastAsia"/>
          <w:color w:val="auto"/>
          <w:sz w:val="24"/>
          <w:szCs w:val="28"/>
          <w:highlight w:val="none"/>
        </w:rPr>
      </w:pPr>
      <w:bookmarkStart w:id="188" w:name="_Toc111585280"/>
      <w:bookmarkStart w:id="189" w:name="_Toc15149"/>
      <w:r>
        <w:rPr>
          <w:rFonts w:hint="eastAsia"/>
          <w:color w:val="auto"/>
          <w:sz w:val="24"/>
          <w:szCs w:val="28"/>
          <w:highlight w:val="none"/>
        </w:rPr>
        <w:t>质量保证</w:t>
      </w:r>
      <w:bookmarkEnd w:id="188"/>
      <w:bookmarkEnd w:id="189"/>
    </w:p>
    <w:p>
      <w:pPr>
        <w:ind w:firstLine="420" w:firstLineChars="200"/>
        <w:rPr>
          <w:color w:val="auto"/>
          <w:szCs w:val="21"/>
          <w:highlight w:val="none"/>
        </w:rPr>
      </w:pPr>
      <w:r>
        <w:rPr>
          <w:rFonts w:hint="eastAsia"/>
          <w:color w:val="auto"/>
          <w:szCs w:val="21"/>
          <w:highlight w:val="none"/>
        </w:rPr>
        <w:t>投标方提供的全部硬件设备必须是全新的，并应满足作为一个完整产品所能满足的全部要求。</w:t>
      </w:r>
    </w:p>
    <w:p>
      <w:pPr>
        <w:ind w:firstLine="420" w:firstLineChars="200"/>
        <w:rPr>
          <w:rFonts w:hint="eastAsia"/>
          <w:color w:val="auto"/>
          <w:szCs w:val="21"/>
          <w:highlight w:val="none"/>
        </w:rPr>
      </w:pPr>
      <w:r>
        <w:rPr>
          <w:rFonts w:hint="eastAsia"/>
          <w:color w:val="auto"/>
          <w:szCs w:val="21"/>
          <w:highlight w:val="none"/>
        </w:rPr>
        <w:t>投标方应对其整套硬件设备在到货后提供不少于</w:t>
      </w:r>
      <w:r>
        <w:rPr>
          <w:rFonts w:hint="eastAsia"/>
          <w:color w:val="auto"/>
          <w:szCs w:val="21"/>
          <w:highlight w:val="none"/>
          <w:lang w:val="en-US" w:eastAsia="zh-CN"/>
        </w:rPr>
        <w:t>三</w:t>
      </w:r>
      <w:r>
        <w:rPr>
          <w:rFonts w:hint="eastAsia"/>
          <w:color w:val="auto"/>
          <w:szCs w:val="21"/>
          <w:highlight w:val="none"/>
        </w:rPr>
        <w:t>年的“三包”质量保证。之后如发生产品损坏，投标方应及时为本套装置提供维修部件，并按最近的投标价提供。</w:t>
      </w:r>
    </w:p>
    <w:p>
      <w:pPr>
        <w:pStyle w:val="4"/>
        <w:bidi w:val="0"/>
        <w:rPr>
          <w:rFonts w:hint="eastAsia"/>
          <w:color w:val="auto"/>
          <w:sz w:val="24"/>
          <w:szCs w:val="40"/>
          <w:highlight w:val="none"/>
        </w:rPr>
      </w:pPr>
      <w:bookmarkStart w:id="190" w:name="_Toc11313"/>
      <w:bookmarkStart w:id="191" w:name="_Toc127541489"/>
      <w:r>
        <w:rPr>
          <w:rFonts w:hint="eastAsia"/>
          <w:color w:val="auto"/>
          <w:sz w:val="24"/>
          <w:szCs w:val="40"/>
          <w:highlight w:val="none"/>
        </w:rPr>
        <w:t>包装、运输和储存</w:t>
      </w:r>
      <w:bookmarkEnd w:id="190"/>
      <w:bookmarkEnd w:id="191"/>
    </w:p>
    <w:p>
      <w:pPr>
        <w:pStyle w:val="5"/>
        <w:bidi w:val="0"/>
        <w:rPr>
          <w:color w:val="auto"/>
          <w:sz w:val="24"/>
          <w:szCs w:val="28"/>
          <w:highlight w:val="none"/>
        </w:rPr>
      </w:pPr>
      <w:bookmarkStart w:id="192" w:name="_Toc20111"/>
      <w:bookmarkStart w:id="193" w:name="_Toc127541490"/>
      <w:r>
        <w:rPr>
          <w:rFonts w:hint="eastAsia"/>
          <w:color w:val="auto"/>
          <w:sz w:val="24"/>
          <w:szCs w:val="28"/>
          <w:highlight w:val="none"/>
        </w:rPr>
        <w:t>其他防护措施</w:t>
      </w:r>
      <w:bookmarkEnd w:id="192"/>
      <w:bookmarkEnd w:id="193"/>
    </w:p>
    <w:p>
      <w:pPr>
        <w:ind w:firstLine="420" w:firstLineChars="200"/>
        <w:rPr>
          <w:rFonts w:hint="eastAsia"/>
          <w:color w:val="auto"/>
          <w:kern w:val="0"/>
          <w:szCs w:val="20"/>
          <w:highlight w:val="none"/>
        </w:rPr>
      </w:pPr>
      <w:r>
        <w:rPr>
          <w:rFonts w:hint="eastAsia"/>
          <w:color w:val="auto"/>
          <w:kern w:val="0"/>
          <w:szCs w:val="20"/>
          <w:highlight w:val="none"/>
        </w:rPr>
        <w:t>所有设备部件经妥善包装或装箱后,在运输过程中尚应采取其它防护措施,以免散失损坏或被盗。</w:t>
      </w:r>
    </w:p>
    <w:p>
      <w:pPr>
        <w:numPr>
          <w:ilvl w:val="0"/>
          <w:numId w:val="8"/>
        </w:numPr>
        <w:tabs>
          <w:tab w:val="left" w:pos="567"/>
          <w:tab w:val="left" w:pos="1276"/>
        </w:tabs>
        <w:ind w:right="108"/>
        <w:rPr>
          <w:rFonts w:hint="eastAsia"/>
          <w:color w:val="auto"/>
          <w:kern w:val="0"/>
          <w:szCs w:val="20"/>
          <w:highlight w:val="none"/>
        </w:rPr>
      </w:pPr>
      <w:r>
        <w:rPr>
          <w:rFonts w:hint="eastAsia"/>
          <w:color w:val="auto"/>
          <w:kern w:val="0"/>
          <w:szCs w:val="20"/>
          <w:highlight w:val="none"/>
        </w:rPr>
        <w:t>在包装箱外应标明需方的订货型号、发货号。</w:t>
      </w:r>
    </w:p>
    <w:p>
      <w:pPr>
        <w:numPr>
          <w:ilvl w:val="0"/>
          <w:numId w:val="8"/>
        </w:numPr>
        <w:tabs>
          <w:tab w:val="left" w:pos="567"/>
          <w:tab w:val="left" w:pos="1276"/>
        </w:tabs>
        <w:ind w:right="108"/>
        <w:rPr>
          <w:rFonts w:hint="eastAsia"/>
          <w:color w:val="auto"/>
          <w:kern w:val="0"/>
          <w:szCs w:val="20"/>
          <w:highlight w:val="none"/>
        </w:rPr>
      </w:pPr>
      <w:r>
        <w:rPr>
          <w:color w:val="auto"/>
          <w:kern w:val="0"/>
          <w:szCs w:val="20"/>
          <w:highlight w:val="none"/>
        </w:rPr>
        <w:t>包装箱</w:t>
      </w:r>
      <w:r>
        <w:rPr>
          <w:rFonts w:hint="eastAsia"/>
          <w:color w:val="auto"/>
          <w:kern w:val="0"/>
          <w:szCs w:val="20"/>
          <w:highlight w:val="none"/>
        </w:rPr>
        <w:t>上应有明显的包装储运图示标志。</w:t>
      </w:r>
    </w:p>
    <w:p>
      <w:pPr>
        <w:numPr>
          <w:ilvl w:val="0"/>
          <w:numId w:val="8"/>
        </w:numPr>
        <w:tabs>
          <w:tab w:val="left" w:pos="567"/>
          <w:tab w:val="left" w:pos="1276"/>
        </w:tabs>
        <w:ind w:right="108"/>
        <w:rPr>
          <w:rFonts w:hint="eastAsia"/>
          <w:color w:val="auto"/>
          <w:kern w:val="0"/>
          <w:szCs w:val="20"/>
          <w:highlight w:val="none"/>
        </w:rPr>
      </w:pPr>
      <w:r>
        <w:rPr>
          <w:rFonts w:hint="eastAsia"/>
          <w:color w:val="auto"/>
          <w:kern w:val="0"/>
          <w:szCs w:val="20"/>
          <w:highlight w:val="none"/>
        </w:rPr>
        <w:t>各种包装应能确保各零部件在运输过程中不致遭到损坏、丢失、变形、受潮和腐蚀。</w:t>
      </w:r>
    </w:p>
    <w:p>
      <w:pPr>
        <w:numPr>
          <w:ilvl w:val="0"/>
          <w:numId w:val="8"/>
        </w:numPr>
        <w:tabs>
          <w:tab w:val="left" w:pos="567"/>
          <w:tab w:val="left" w:pos="1276"/>
        </w:tabs>
        <w:ind w:right="108"/>
        <w:rPr>
          <w:rFonts w:hint="eastAsia"/>
          <w:color w:val="auto"/>
          <w:kern w:val="0"/>
          <w:szCs w:val="20"/>
          <w:highlight w:val="none"/>
        </w:rPr>
      </w:pPr>
      <w:r>
        <w:rPr>
          <w:rFonts w:hint="eastAsia"/>
          <w:color w:val="auto"/>
          <w:kern w:val="0"/>
          <w:szCs w:val="20"/>
          <w:highlight w:val="none"/>
        </w:rPr>
        <w:t>在运输和存储期间，设备的电气绝缘应防止受潮和灰尘进入。</w:t>
      </w:r>
    </w:p>
    <w:p>
      <w:pPr>
        <w:numPr>
          <w:ilvl w:val="0"/>
          <w:numId w:val="8"/>
        </w:numPr>
        <w:tabs>
          <w:tab w:val="left" w:pos="567"/>
          <w:tab w:val="left" w:pos="1276"/>
        </w:tabs>
        <w:ind w:right="108"/>
        <w:rPr>
          <w:rFonts w:hint="eastAsia"/>
          <w:color w:val="auto"/>
          <w:kern w:val="0"/>
          <w:szCs w:val="20"/>
          <w:highlight w:val="none"/>
        </w:rPr>
      </w:pPr>
      <w:r>
        <w:rPr>
          <w:rFonts w:hint="eastAsia"/>
          <w:color w:val="auto"/>
          <w:kern w:val="0"/>
          <w:szCs w:val="20"/>
          <w:highlight w:val="none"/>
        </w:rPr>
        <w:t>装置在运输中允许的环境温度</w:t>
      </w:r>
      <w:r>
        <w:rPr>
          <w:rFonts w:hint="eastAsia" w:ascii="宋体" w:hAnsi="宋体" w:eastAsia="宋体" w:cs="宋体"/>
          <w:color w:val="auto"/>
          <w:spacing w:val="-4"/>
          <w:kern w:val="2"/>
          <w:sz w:val="21"/>
          <w:szCs w:val="21"/>
          <w:highlight w:val="none"/>
          <w:lang w:val="en-US" w:eastAsia="zh-CN" w:bidi="ar-SA"/>
        </w:rPr>
        <w:t>-25℃～＋55℃</w:t>
      </w:r>
      <w:r>
        <w:rPr>
          <w:rFonts w:hint="eastAsia"/>
          <w:color w:val="auto"/>
          <w:kern w:val="0"/>
          <w:szCs w:val="20"/>
          <w:highlight w:val="none"/>
        </w:rPr>
        <w:t>，相对湿度不大于85%；</w:t>
      </w:r>
    </w:p>
    <w:p>
      <w:pPr>
        <w:numPr>
          <w:ilvl w:val="0"/>
          <w:numId w:val="8"/>
        </w:numPr>
        <w:tabs>
          <w:tab w:val="left" w:pos="567"/>
          <w:tab w:val="left" w:pos="1276"/>
        </w:tabs>
        <w:ind w:right="108"/>
        <w:rPr>
          <w:rFonts w:hint="eastAsia"/>
          <w:color w:val="auto"/>
          <w:kern w:val="0"/>
          <w:szCs w:val="20"/>
          <w:highlight w:val="none"/>
        </w:rPr>
      </w:pPr>
      <w:r>
        <w:rPr>
          <w:rFonts w:hint="eastAsia"/>
          <w:color w:val="auto"/>
          <w:kern w:val="0"/>
          <w:szCs w:val="20"/>
          <w:highlight w:val="none"/>
        </w:rPr>
        <w:t>对于那些受冲击和振动易于损坏的设备，应按要求用于运输的方法包装。</w:t>
      </w:r>
    </w:p>
    <w:p>
      <w:pPr>
        <w:numPr>
          <w:ilvl w:val="0"/>
          <w:numId w:val="8"/>
        </w:numPr>
        <w:tabs>
          <w:tab w:val="left" w:pos="567"/>
          <w:tab w:val="left" w:pos="1276"/>
        </w:tabs>
        <w:ind w:right="108"/>
        <w:rPr>
          <w:rFonts w:hint="eastAsia"/>
          <w:color w:val="auto"/>
          <w:kern w:val="0"/>
          <w:szCs w:val="20"/>
          <w:highlight w:val="none"/>
        </w:rPr>
      </w:pPr>
      <w:r>
        <w:rPr>
          <w:rFonts w:hint="eastAsia"/>
          <w:color w:val="auto"/>
          <w:kern w:val="0"/>
          <w:szCs w:val="20"/>
          <w:highlight w:val="none"/>
        </w:rPr>
        <w:t>从卖方到目的地的运输由卖方负责。目的地为买方指定的地点。</w:t>
      </w:r>
    </w:p>
    <w:p>
      <w:pPr>
        <w:numPr>
          <w:ilvl w:val="0"/>
          <w:numId w:val="8"/>
        </w:numPr>
        <w:tabs>
          <w:tab w:val="left" w:pos="567"/>
          <w:tab w:val="left" w:pos="1276"/>
        </w:tabs>
        <w:ind w:right="108"/>
        <w:rPr>
          <w:rFonts w:hint="eastAsia"/>
          <w:color w:val="auto"/>
          <w:highlight w:val="none"/>
        </w:rPr>
      </w:pPr>
      <w:r>
        <w:rPr>
          <w:rFonts w:hint="eastAsia"/>
          <w:color w:val="auto"/>
          <w:kern w:val="0"/>
          <w:szCs w:val="20"/>
          <w:highlight w:val="none"/>
        </w:rPr>
        <w:t>在设备到达目的地后，由卖方组织，买方参加，进行开箱验收。</w:t>
      </w:r>
    </w:p>
    <w:p>
      <w:pPr>
        <w:pStyle w:val="4"/>
        <w:bidi w:val="0"/>
        <w:rPr>
          <w:rFonts w:hint="eastAsia"/>
          <w:color w:val="auto"/>
          <w:sz w:val="24"/>
          <w:szCs w:val="40"/>
          <w:highlight w:val="none"/>
        </w:rPr>
      </w:pPr>
      <w:bookmarkStart w:id="194" w:name="_Toc15458"/>
      <w:bookmarkStart w:id="195" w:name="_Toc9444"/>
      <w:bookmarkStart w:id="196" w:name="_Toc11134"/>
      <w:bookmarkStart w:id="197" w:name="_Toc12002"/>
      <w:bookmarkStart w:id="198" w:name="_Toc20154"/>
      <w:bookmarkStart w:id="199" w:name="_Toc23380"/>
      <w:bookmarkStart w:id="200" w:name="_Toc78894469"/>
      <w:bookmarkStart w:id="201" w:name="_Toc19622"/>
      <w:bookmarkStart w:id="202" w:name="_Toc3267"/>
      <w:bookmarkStart w:id="203" w:name="_Toc19228"/>
      <w:r>
        <w:rPr>
          <w:rFonts w:hint="eastAsia"/>
          <w:color w:val="auto"/>
          <w:sz w:val="24"/>
          <w:szCs w:val="40"/>
          <w:highlight w:val="none"/>
        </w:rPr>
        <w:t>双方工作安排</w:t>
      </w:r>
      <w:bookmarkEnd w:id="194"/>
    </w:p>
    <w:p>
      <w:pPr>
        <w:pStyle w:val="5"/>
        <w:bidi w:val="0"/>
        <w:rPr>
          <w:rFonts w:hint="eastAsia"/>
          <w:color w:val="auto"/>
          <w:sz w:val="24"/>
          <w:szCs w:val="28"/>
          <w:highlight w:val="none"/>
        </w:rPr>
      </w:pPr>
      <w:bookmarkStart w:id="204" w:name="_Toc5266"/>
      <w:bookmarkStart w:id="205" w:name="_Toc127541492"/>
      <w:r>
        <w:rPr>
          <w:rFonts w:hint="eastAsia"/>
          <w:color w:val="auto"/>
          <w:sz w:val="24"/>
          <w:szCs w:val="28"/>
          <w:highlight w:val="none"/>
        </w:rPr>
        <w:t>招标方职责</w:t>
      </w:r>
      <w:bookmarkEnd w:id="204"/>
      <w:bookmarkEnd w:id="205"/>
    </w:p>
    <w:p>
      <w:pPr>
        <w:numPr>
          <w:ilvl w:val="0"/>
          <w:numId w:val="9"/>
        </w:numPr>
        <w:ind w:firstLine="480"/>
        <w:rPr>
          <w:rFonts w:hint="eastAsia" w:cs="宋体"/>
          <w:color w:val="auto"/>
          <w:szCs w:val="21"/>
          <w:highlight w:val="none"/>
        </w:rPr>
      </w:pPr>
      <w:r>
        <w:rPr>
          <w:rFonts w:hint="eastAsia" w:cs="宋体"/>
          <w:color w:val="auto"/>
          <w:szCs w:val="21"/>
          <w:highlight w:val="none"/>
        </w:rPr>
        <w:t>负责提出本系统硬件设备的现场布置图。</w:t>
      </w:r>
    </w:p>
    <w:p>
      <w:pPr>
        <w:numPr>
          <w:ilvl w:val="0"/>
          <w:numId w:val="9"/>
        </w:numPr>
        <w:ind w:firstLine="480"/>
        <w:rPr>
          <w:rFonts w:hint="eastAsia" w:cs="宋体"/>
          <w:color w:val="auto"/>
          <w:szCs w:val="21"/>
          <w:highlight w:val="none"/>
        </w:rPr>
      </w:pPr>
      <w:r>
        <w:rPr>
          <w:rFonts w:hint="eastAsia" w:cs="宋体"/>
          <w:color w:val="auto"/>
          <w:szCs w:val="21"/>
          <w:highlight w:val="none"/>
        </w:rPr>
        <w:t>负责协调与本系统互联的各个系统、终端厂家的配合工作。</w:t>
      </w:r>
    </w:p>
    <w:p>
      <w:pPr>
        <w:numPr>
          <w:ilvl w:val="0"/>
          <w:numId w:val="9"/>
        </w:numPr>
        <w:ind w:firstLine="480"/>
        <w:rPr>
          <w:rFonts w:hint="eastAsia" w:cs="宋体"/>
          <w:color w:val="auto"/>
          <w:szCs w:val="21"/>
          <w:highlight w:val="none"/>
        </w:rPr>
      </w:pPr>
      <w:r>
        <w:rPr>
          <w:rFonts w:hint="eastAsia" w:cs="宋体"/>
          <w:color w:val="auto"/>
          <w:szCs w:val="21"/>
          <w:highlight w:val="none"/>
        </w:rPr>
        <w:t>参加设计联络会、试验与验收,并负责现场验收。</w:t>
      </w:r>
    </w:p>
    <w:p>
      <w:pPr>
        <w:numPr>
          <w:ilvl w:val="0"/>
          <w:numId w:val="9"/>
        </w:numPr>
        <w:ind w:firstLine="480"/>
        <w:rPr>
          <w:rFonts w:hint="eastAsia"/>
          <w:color w:val="auto"/>
          <w:highlight w:val="none"/>
        </w:rPr>
      </w:pPr>
      <w:r>
        <w:rPr>
          <w:rFonts w:hint="eastAsia" w:cs="宋体"/>
          <w:color w:val="auto"/>
          <w:szCs w:val="21"/>
          <w:highlight w:val="none"/>
        </w:rPr>
        <w:t>负责协调施工单位配合现场设备施工安装工作。</w:t>
      </w:r>
    </w:p>
    <w:p>
      <w:pPr>
        <w:pStyle w:val="5"/>
        <w:bidi w:val="0"/>
        <w:rPr>
          <w:rFonts w:hint="eastAsia"/>
          <w:color w:val="auto"/>
          <w:sz w:val="24"/>
          <w:szCs w:val="28"/>
          <w:highlight w:val="none"/>
        </w:rPr>
      </w:pPr>
      <w:bookmarkStart w:id="206" w:name="_Toc1466"/>
      <w:bookmarkStart w:id="207" w:name="_Toc127541493"/>
      <w:r>
        <w:rPr>
          <w:rFonts w:hint="eastAsia"/>
          <w:color w:val="auto"/>
          <w:sz w:val="24"/>
          <w:szCs w:val="28"/>
          <w:highlight w:val="none"/>
        </w:rPr>
        <w:t>投标方职责</w:t>
      </w:r>
      <w:bookmarkEnd w:id="206"/>
      <w:bookmarkEnd w:id="207"/>
    </w:p>
    <w:bookmarkEnd w:id="195"/>
    <w:bookmarkEnd w:id="196"/>
    <w:bookmarkEnd w:id="197"/>
    <w:bookmarkEnd w:id="198"/>
    <w:bookmarkEnd w:id="199"/>
    <w:bookmarkEnd w:id="200"/>
    <w:bookmarkEnd w:id="201"/>
    <w:bookmarkEnd w:id="202"/>
    <w:bookmarkEnd w:id="203"/>
    <w:p>
      <w:pPr>
        <w:numPr>
          <w:ilvl w:val="0"/>
          <w:numId w:val="10"/>
        </w:numPr>
        <w:ind w:firstLine="480"/>
        <w:rPr>
          <w:rFonts w:hint="eastAsia" w:cs="宋体"/>
          <w:color w:val="auto"/>
          <w:szCs w:val="21"/>
          <w:highlight w:val="none"/>
        </w:rPr>
      </w:pPr>
      <w:r>
        <w:rPr>
          <w:rFonts w:hint="eastAsia" w:cs="宋体"/>
          <w:color w:val="auto"/>
          <w:szCs w:val="21"/>
          <w:highlight w:val="none"/>
        </w:rPr>
        <w:t>负责现场设备调试，确保设备及系统正常投入运行。</w:t>
      </w:r>
    </w:p>
    <w:p>
      <w:pPr>
        <w:numPr>
          <w:ilvl w:val="0"/>
          <w:numId w:val="10"/>
        </w:numPr>
        <w:ind w:firstLine="480"/>
        <w:rPr>
          <w:rFonts w:hint="eastAsia" w:cs="宋体"/>
          <w:color w:val="auto"/>
          <w:szCs w:val="21"/>
          <w:highlight w:val="none"/>
        </w:rPr>
      </w:pPr>
      <w:r>
        <w:rPr>
          <w:rFonts w:hint="eastAsia" w:cs="宋体"/>
          <w:color w:val="auto"/>
          <w:szCs w:val="21"/>
          <w:highlight w:val="none"/>
        </w:rPr>
        <w:t>负责提供投标范围内所有</w:t>
      </w:r>
      <w:r>
        <w:rPr>
          <w:rFonts w:hint="eastAsia" w:cs="宋体"/>
          <w:color w:val="auto"/>
          <w:szCs w:val="21"/>
          <w:highlight w:val="none"/>
          <w:lang w:val="en-US" w:eastAsia="zh-CN"/>
        </w:rPr>
        <w:t>软</w:t>
      </w:r>
      <w:r>
        <w:rPr>
          <w:rFonts w:hint="eastAsia" w:cs="宋体"/>
          <w:color w:val="auto"/>
          <w:szCs w:val="21"/>
          <w:highlight w:val="none"/>
        </w:rPr>
        <w:t>硬件设备以及设备配件。</w:t>
      </w:r>
    </w:p>
    <w:p>
      <w:pPr>
        <w:numPr>
          <w:ilvl w:val="0"/>
          <w:numId w:val="10"/>
        </w:numPr>
        <w:ind w:firstLine="480"/>
        <w:rPr>
          <w:rFonts w:hint="eastAsia" w:cs="宋体"/>
          <w:color w:val="auto"/>
          <w:szCs w:val="21"/>
          <w:highlight w:val="none"/>
        </w:rPr>
      </w:pPr>
      <w:r>
        <w:rPr>
          <w:rFonts w:hint="eastAsia" w:cs="宋体"/>
          <w:color w:val="auto"/>
          <w:szCs w:val="21"/>
          <w:highlight w:val="none"/>
        </w:rPr>
        <w:t>负责提供设备及系统台账资料。</w:t>
      </w:r>
    </w:p>
    <w:p>
      <w:pPr>
        <w:numPr>
          <w:ilvl w:val="0"/>
          <w:numId w:val="10"/>
        </w:numPr>
        <w:ind w:firstLine="480"/>
        <w:rPr>
          <w:rFonts w:hint="eastAsia" w:cs="宋体"/>
          <w:color w:val="auto"/>
          <w:szCs w:val="21"/>
          <w:highlight w:val="none"/>
        </w:rPr>
      </w:pPr>
      <w:r>
        <w:rPr>
          <w:rFonts w:hint="eastAsia" w:cs="宋体"/>
          <w:color w:val="auto"/>
          <w:szCs w:val="21"/>
          <w:highlight w:val="none"/>
        </w:rPr>
        <w:t>负责对招标方专业人员的技术培训(包括硬件、软件的维护及运行培训)。</w:t>
      </w:r>
    </w:p>
    <w:p>
      <w:pPr>
        <w:numPr>
          <w:ilvl w:val="0"/>
          <w:numId w:val="10"/>
        </w:numPr>
        <w:ind w:firstLine="480"/>
        <w:rPr>
          <w:rFonts w:hint="eastAsia" w:cs="宋体"/>
          <w:color w:val="auto"/>
          <w:szCs w:val="21"/>
          <w:highlight w:val="none"/>
        </w:rPr>
      </w:pPr>
      <w:r>
        <w:rPr>
          <w:rFonts w:hint="eastAsia" w:cs="宋体"/>
          <w:color w:val="auto"/>
          <w:szCs w:val="21"/>
          <w:highlight w:val="none"/>
        </w:rPr>
        <w:t>负责本</w:t>
      </w:r>
      <w:r>
        <w:rPr>
          <w:rFonts w:hint="eastAsia" w:cs="宋体"/>
          <w:color w:val="auto"/>
          <w:szCs w:val="21"/>
          <w:highlight w:val="none"/>
          <w:lang w:val="en-US" w:eastAsia="zh-CN"/>
        </w:rPr>
        <w:t>项目</w:t>
      </w:r>
      <w:r>
        <w:rPr>
          <w:rFonts w:hint="eastAsia" w:cs="宋体"/>
          <w:color w:val="auto"/>
          <w:szCs w:val="21"/>
          <w:highlight w:val="none"/>
        </w:rPr>
        <w:t>接入增量、存量设备的接口设备及接口调试。</w:t>
      </w:r>
    </w:p>
    <w:p>
      <w:pPr>
        <w:numPr>
          <w:ilvl w:val="0"/>
          <w:numId w:val="10"/>
        </w:numPr>
        <w:ind w:firstLine="480"/>
        <w:rPr>
          <w:rFonts w:hint="eastAsia" w:cs="宋体"/>
          <w:color w:val="auto"/>
          <w:szCs w:val="21"/>
          <w:highlight w:val="none"/>
        </w:rPr>
      </w:pPr>
      <w:r>
        <w:rPr>
          <w:rFonts w:hint="eastAsia" w:cs="宋体"/>
          <w:color w:val="auto"/>
          <w:szCs w:val="21"/>
          <w:highlight w:val="none"/>
        </w:rPr>
        <w:t>负责本系统设备的入网安评、等保定级及相关网络安全防护措施配置。</w:t>
      </w:r>
    </w:p>
    <w:p>
      <w:pPr>
        <w:numPr>
          <w:ilvl w:val="0"/>
          <w:numId w:val="10"/>
        </w:numPr>
        <w:ind w:firstLine="480"/>
        <w:rPr>
          <w:rFonts w:hint="eastAsia" w:cs="宋体"/>
          <w:color w:val="auto"/>
          <w:szCs w:val="21"/>
          <w:highlight w:val="none"/>
        </w:rPr>
      </w:pPr>
      <w:r>
        <w:rPr>
          <w:rFonts w:hint="eastAsia" w:cs="宋体"/>
          <w:color w:val="auto"/>
          <w:szCs w:val="21"/>
          <w:highlight w:val="none"/>
        </w:rPr>
        <w:t>负责本</w:t>
      </w:r>
      <w:r>
        <w:rPr>
          <w:rFonts w:hint="eastAsia" w:cs="宋体"/>
          <w:color w:val="auto"/>
          <w:szCs w:val="21"/>
          <w:highlight w:val="none"/>
          <w:lang w:val="en-US" w:eastAsia="zh-CN"/>
        </w:rPr>
        <w:t>项目</w:t>
      </w:r>
      <w:r>
        <w:rPr>
          <w:rFonts w:hint="eastAsia" w:cs="宋体"/>
          <w:color w:val="auto"/>
          <w:szCs w:val="21"/>
          <w:highlight w:val="none"/>
        </w:rPr>
        <w:t>与相关平台对接的接口调试。</w:t>
      </w:r>
    </w:p>
    <w:p>
      <w:pPr>
        <w:numPr>
          <w:ilvl w:val="0"/>
          <w:numId w:val="10"/>
        </w:numPr>
        <w:ind w:firstLine="480"/>
        <w:rPr>
          <w:rFonts w:hint="eastAsia" w:cs="宋体"/>
          <w:color w:val="auto"/>
          <w:szCs w:val="21"/>
          <w:highlight w:val="none"/>
        </w:rPr>
      </w:pPr>
      <w:r>
        <w:rPr>
          <w:rFonts w:hint="eastAsia" w:cs="宋体"/>
          <w:color w:val="auto"/>
          <w:szCs w:val="21"/>
          <w:highlight w:val="none"/>
        </w:rPr>
        <w:t>负责提供供货范围内所有设备的文件资料。</w:t>
      </w:r>
    </w:p>
    <w:p>
      <w:pPr>
        <w:numPr>
          <w:ilvl w:val="0"/>
          <w:numId w:val="10"/>
        </w:numPr>
        <w:ind w:firstLine="480"/>
        <w:rPr>
          <w:rFonts w:hint="eastAsia"/>
          <w:color w:val="auto"/>
          <w:highlight w:val="none"/>
        </w:rPr>
      </w:pPr>
      <w:r>
        <w:rPr>
          <w:rFonts w:hint="eastAsia" w:cs="宋体"/>
          <w:color w:val="auto"/>
          <w:szCs w:val="21"/>
          <w:highlight w:val="none"/>
        </w:rPr>
        <w:t>负责</w:t>
      </w:r>
      <w:r>
        <w:rPr>
          <w:rFonts w:hint="eastAsia" w:cs="宋体"/>
          <w:color w:val="auto"/>
          <w:szCs w:val="21"/>
          <w:highlight w:val="none"/>
          <w:lang w:val="en-US" w:eastAsia="zh-CN"/>
        </w:rPr>
        <w:t>本项目</w:t>
      </w:r>
      <w:r>
        <w:rPr>
          <w:rFonts w:hint="eastAsia" w:cs="宋体"/>
          <w:color w:val="auto"/>
          <w:szCs w:val="21"/>
          <w:highlight w:val="none"/>
        </w:rPr>
        <w:t>设备的运输。</w:t>
      </w:r>
    </w:p>
    <w:sectPr>
      <w:headerReference r:id="rId7" w:type="default"/>
      <w:footerReference r:id="rId8" w:type="default"/>
      <w:pgSz w:w="11906" w:h="16838"/>
      <w:pgMar w:top="1440" w:right="1080" w:bottom="1440" w:left="1080" w:header="851" w:footer="992" w:gutter="0"/>
      <w:pgNumType w:start="1"/>
      <w:cols w:space="720"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lotter">
    <w:altName w:val="Times New Roman"/>
    <w:panose1 w:val="00000000000000000000"/>
    <w:charset w:val="00"/>
    <w:family w:val="auto"/>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方正书宋简体">
    <w:altName w:val="宋体"/>
    <w:panose1 w:val="00000000000000000000"/>
    <w:charset w:val="86"/>
    <w:family w:val="auto"/>
    <w:pitch w:val="default"/>
    <w:sig w:usb0="00000000" w:usb1="00000000" w:usb2="00000010" w:usb3="00000000" w:csb0="00040000" w:csb1="00000000"/>
  </w:font>
  <w:font w:name="Times New Roman Regular">
    <w:altName w:val="Times New Roman"/>
    <w:panose1 w:val="02020603050405020304"/>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8"/>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ASOb0a3gEAAL4DAAAOAAAAAAAA&#10;AAEAIAAAAB4BAABkcnMvZTJvRG9jLnhtbFBLBQYAAAAABgAGAFkBAABuBQAAAAA=&#10;">
              <v:fill on="f" focussize="0,0"/>
              <v:stroke on="f"/>
              <v:imagedata o:title=""/>
              <o:lock v:ext="edit" aspectratio="f"/>
              <v:textbox inset="0mm,0mm,0mm,0mm" style="mso-fit-shape-to-text:t;">
                <w:txbxContent>
                  <w:p>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8"/>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文本框 7"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Bllm873gEAAL4DAAAOAAAAAAAA&#10;AAEAIAAAAB4BAABkcnMvZTJvRG9jLnhtbFBLBQYAAAAABgAGAFkBAABuBQAAAAA=&#10;">
              <v:fill on="f" focussize="0,0"/>
              <v:stroke on="f"/>
              <v:imagedata o:title=""/>
              <o:lock v:ext="edit" aspectratio="f"/>
              <v:textbox inset="0mm,0mm,0mm,0mm" style="mso-fit-shape-to-text:t;">
                <w:txbxContent>
                  <w:p>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1"/>
      </w:pBdr>
      <w:jc w:val="cent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1"/>
      </w:pBdr>
      <w:jc w:val="both"/>
      <w:rPr>
        <w:rFonts w:hint="eastAsia" w:eastAsia="宋体"/>
        <w:lang w:val="en-US" w:eastAsia="zh-CN"/>
      </w:rPr>
    </w:pPr>
  </w:p>
  <w:p>
    <w:pPr>
      <w:pStyle w:val="19"/>
      <w:pBdr>
        <w:bottom w:val="none" w:color="auto" w:sz="0" w:space="1"/>
      </w:pBdr>
      <w:jc w:val="left"/>
      <w:rPr>
        <w:rFonts w:hint="eastAsia"/>
      </w:rPr>
    </w:pPr>
    <w:r>
      <w:rPr>
        <w:rFonts w:hint="eastAsia"/>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A214B0"/>
    <w:multiLevelType w:val="multilevel"/>
    <w:tmpl w:val="C0A214B0"/>
    <w:lvl w:ilvl="0" w:tentative="0">
      <w:start w:val="1"/>
      <w:numFmt w:val="decimal"/>
      <w:pStyle w:val="4"/>
      <w:lvlText w:val="%1."/>
      <w:lvlJc w:val="left"/>
      <w:pPr>
        <w:ind w:left="432" w:hanging="432"/>
      </w:pPr>
      <w:rPr>
        <w:rFonts w:hint="default"/>
      </w:rPr>
    </w:lvl>
    <w:lvl w:ilvl="1" w:tentative="0">
      <w:start w:val="1"/>
      <w:numFmt w:val="decimal"/>
      <w:pStyle w:val="5"/>
      <w:suff w:val="space"/>
      <w:lvlText w:val="%1.%2."/>
      <w:lvlJc w:val="left"/>
      <w:pPr>
        <w:ind w:left="575" w:hanging="575"/>
      </w:pPr>
      <w:rPr>
        <w:rFonts w:hint="default"/>
      </w:rPr>
    </w:lvl>
    <w:lvl w:ilvl="2" w:tentative="0">
      <w:start w:val="1"/>
      <w:numFmt w:val="decimal"/>
      <w:pStyle w:val="6"/>
      <w:lvlText w:val="%1.%2.%3."/>
      <w:lvlJc w:val="left"/>
      <w:pPr>
        <w:ind w:left="720" w:hanging="720"/>
      </w:pPr>
      <w:rPr>
        <w:rFonts w:hint="default"/>
      </w:rPr>
    </w:lvl>
    <w:lvl w:ilvl="3" w:tentative="0">
      <w:start w:val="1"/>
      <w:numFmt w:val="decimal"/>
      <w:pStyle w:val="8"/>
      <w:lvlText w:val="%1.%2.%3.%4."/>
      <w:lvlJc w:val="left"/>
      <w:pPr>
        <w:ind w:left="864" w:hanging="864"/>
      </w:pPr>
      <w:rPr>
        <w:rFonts w:hint="default"/>
      </w:rPr>
    </w:lvl>
    <w:lvl w:ilvl="4" w:tentative="0">
      <w:start w:val="1"/>
      <w:numFmt w:val="decimal"/>
      <w:pStyle w:val="9"/>
      <w:lvlText w:val="%1.%2.%3.%4.%5."/>
      <w:lvlJc w:val="left"/>
      <w:pPr>
        <w:ind w:left="1008" w:hanging="1008"/>
      </w:pPr>
      <w:rPr>
        <w:rFonts w:hint="default"/>
      </w:rPr>
    </w:lvl>
    <w:lvl w:ilvl="5" w:tentative="0">
      <w:start w:val="1"/>
      <w:numFmt w:val="decimal"/>
      <w:pStyle w:val="10"/>
      <w:lvlText w:val="%1.%2.%3.%4.%5.%6."/>
      <w:lvlJc w:val="left"/>
      <w:pPr>
        <w:ind w:left="1151" w:hanging="1151"/>
      </w:pPr>
      <w:rPr>
        <w:rFonts w:hint="default"/>
      </w:rPr>
    </w:lvl>
    <w:lvl w:ilvl="6" w:tentative="0">
      <w:start w:val="1"/>
      <w:numFmt w:val="decimal"/>
      <w:pStyle w:val="11"/>
      <w:lvlText w:val="%1.%2.%3.%4.%5.%6.%7."/>
      <w:lvlJc w:val="left"/>
      <w:pPr>
        <w:ind w:left="1296" w:hanging="1296"/>
      </w:pPr>
      <w:rPr>
        <w:rFonts w:hint="default"/>
      </w:rPr>
    </w:lvl>
    <w:lvl w:ilvl="7" w:tentative="0">
      <w:start w:val="1"/>
      <w:numFmt w:val="decimal"/>
      <w:pStyle w:val="12"/>
      <w:lvlText w:val="%1.%2.%3.%4.%5.%6.%7.%8."/>
      <w:lvlJc w:val="left"/>
      <w:pPr>
        <w:ind w:left="1440" w:hanging="1440"/>
      </w:pPr>
      <w:rPr>
        <w:rFonts w:hint="default"/>
      </w:rPr>
    </w:lvl>
    <w:lvl w:ilvl="8" w:tentative="0">
      <w:start w:val="1"/>
      <w:numFmt w:val="decimal"/>
      <w:pStyle w:val="13"/>
      <w:lvlText w:val="%1.%2.%3.%4.%5.%6.%7.%8.%9."/>
      <w:lvlJc w:val="left"/>
      <w:pPr>
        <w:ind w:left="1583" w:hanging="1583"/>
      </w:pPr>
      <w:rPr>
        <w:rFonts w:hint="default"/>
      </w:rPr>
    </w:lvl>
  </w:abstractNum>
  <w:abstractNum w:abstractNumId="1">
    <w:nsid w:val="CD0E88CE"/>
    <w:multiLevelType w:val="singleLevel"/>
    <w:tmpl w:val="CD0E88CE"/>
    <w:lvl w:ilvl="0" w:tentative="0">
      <w:start w:val="1"/>
      <w:numFmt w:val="decimal"/>
      <w:suff w:val="nothing"/>
      <w:lvlText w:val="（%1）"/>
      <w:lvlJc w:val="left"/>
    </w:lvl>
  </w:abstractNum>
  <w:abstractNum w:abstractNumId="2">
    <w:nsid w:val="D685BB5E"/>
    <w:multiLevelType w:val="singleLevel"/>
    <w:tmpl w:val="D685BB5E"/>
    <w:lvl w:ilvl="0" w:tentative="0">
      <w:start w:val="1"/>
      <w:numFmt w:val="decimal"/>
      <w:suff w:val="space"/>
      <w:lvlText w:val="（%1）"/>
      <w:lvlJc w:val="left"/>
    </w:lvl>
  </w:abstractNum>
  <w:abstractNum w:abstractNumId="3">
    <w:nsid w:val="FDBB7C44"/>
    <w:multiLevelType w:val="singleLevel"/>
    <w:tmpl w:val="FDBB7C44"/>
    <w:lvl w:ilvl="0" w:tentative="0">
      <w:start w:val="1"/>
      <w:numFmt w:val="decimal"/>
      <w:suff w:val="space"/>
      <w:lvlText w:val="%1）"/>
      <w:lvlJc w:val="left"/>
    </w:lvl>
  </w:abstractNum>
  <w:abstractNum w:abstractNumId="4">
    <w:nsid w:val="00000009"/>
    <w:multiLevelType w:val="multilevel"/>
    <w:tmpl w:val="00000009"/>
    <w:lvl w:ilvl="0" w:tentative="0">
      <w:start w:val="1"/>
      <w:numFmt w:val="decimal"/>
      <w:suff w:val="space"/>
      <w:lvlText w:val="%1."/>
      <w:lvlJc w:val="left"/>
      <w:pPr>
        <w:ind w:left="0" w:firstLine="0"/>
      </w:pPr>
      <w:rPr>
        <w:rFonts w:hint="eastAsia"/>
      </w:rPr>
    </w:lvl>
    <w:lvl w:ilvl="1" w:tentative="0">
      <w:start w:val="1"/>
      <w:numFmt w:val="decimal"/>
      <w:isLgl/>
      <w:suff w:val="space"/>
      <w:lvlText w:val="%1.%2"/>
      <w:lvlJc w:val="left"/>
      <w:pPr>
        <w:ind w:left="142" w:firstLine="0"/>
      </w:pPr>
      <w:rPr>
        <w:rFonts w:hint="eastAsia"/>
        <w:b w:val="0"/>
      </w:rPr>
    </w:lvl>
    <w:lvl w:ilvl="2" w:tentative="0">
      <w:start w:val="1"/>
      <w:numFmt w:val="decimal"/>
      <w:pStyle w:val="52"/>
      <w:isLgl/>
      <w:suff w:val="space"/>
      <w:lvlText w:val="%1.%2.%3"/>
      <w:lvlJc w:val="left"/>
      <w:pPr>
        <w:ind w:left="567" w:firstLine="0"/>
      </w:pPr>
      <w:rPr>
        <w:rFonts w:hint="eastAsia"/>
        <w:b w:val="0"/>
        <w:i w:val="0"/>
        <w:lang w:val="en-US"/>
      </w:rPr>
    </w:lvl>
    <w:lvl w:ilvl="3" w:tentative="0">
      <w:start w:val="1"/>
      <w:numFmt w:val="decimal"/>
      <w:pStyle w:val="51"/>
      <w:isLgl/>
      <w:suff w:val="space"/>
      <w:lvlText w:val="%1.%2.%3.%4"/>
      <w:lvlJc w:val="left"/>
      <w:pPr>
        <w:ind w:left="2411" w:firstLine="0"/>
      </w:pPr>
      <w:rPr>
        <w:rFonts w:hint="eastAsia"/>
      </w:rPr>
    </w:lvl>
    <w:lvl w:ilvl="4" w:tentative="0">
      <w:start w:val="1"/>
      <w:numFmt w:val="decimal"/>
      <w:isLgl/>
      <w:lvlText w:val="%1.%2.%3.%4.%5"/>
      <w:lvlJc w:val="left"/>
      <w:pPr>
        <w:tabs>
          <w:tab w:val="left" w:pos="0"/>
        </w:tabs>
        <w:ind w:left="0" w:firstLine="0"/>
      </w:pPr>
      <w:rPr>
        <w:rFonts w:hint="eastAsia"/>
      </w:rPr>
    </w:lvl>
    <w:lvl w:ilvl="5" w:tentative="0">
      <w:start w:val="1"/>
      <w:numFmt w:val="decimal"/>
      <w:lvlText w:val="%1.%2.%3.%4.%5.%6"/>
      <w:lvlJc w:val="left"/>
      <w:pPr>
        <w:tabs>
          <w:tab w:val="left" w:pos="6086"/>
        </w:tabs>
        <w:ind w:left="3260" w:hanging="1134"/>
      </w:pPr>
      <w:rPr>
        <w:rFonts w:hint="eastAsia"/>
      </w:rPr>
    </w:lvl>
    <w:lvl w:ilvl="6" w:tentative="0">
      <w:start w:val="1"/>
      <w:numFmt w:val="decimal"/>
      <w:lvlText w:val="%1.%2.%3.%4.%5.%6.%7"/>
      <w:lvlJc w:val="left"/>
      <w:pPr>
        <w:tabs>
          <w:tab w:val="left" w:pos="7231"/>
        </w:tabs>
        <w:ind w:left="3827" w:hanging="1276"/>
      </w:pPr>
      <w:rPr>
        <w:rFonts w:hint="eastAsia"/>
      </w:rPr>
    </w:lvl>
    <w:lvl w:ilvl="7" w:tentative="0">
      <w:start w:val="1"/>
      <w:numFmt w:val="decimal"/>
      <w:lvlText w:val="%1.%2.%3.%4.%5.%6.%7.%8"/>
      <w:lvlJc w:val="left"/>
      <w:pPr>
        <w:tabs>
          <w:tab w:val="left" w:pos="8376"/>
        </w:tabs>
        <w:ind w:left="4394" w:hanging="1418"/>
      </w:pPr>
      <w:rPr>
        <w:rFonts w:hint="eastAsia"/>
      </w:rPr>
    </w:lvl>
    <w:lvl w:ilvl="8" w:tentative="0">
      <w:start w:val="1"/>
      <w:numFmt w:val="decimal"/>
      <w:lvlText w:val="%1.%2.%3.%4.%5.%6.%7.%8.%9"/>
      <w:lvlJc w:val="left"/>
      <w:pPr>
        <w:tabs>
          <w:tab w:val="left" w:pos="9522"/>
        </w:tabs>
        <w:ind w:left="5102" w:hanging="1700"/>
      </w:pPr>
      <w:rPr>
        <w:rFonts w:hint="eastAsia"/>
      </w:rPr>
    </w:lvl>
  </w:abstractNum>
  <w:abstractNum w:abstractNumId="5">
    <w:nsid w:val="00000019"/>
    <w:multiLevelType w:val="multilevel"/>
    <w:tmpl w:val="00000019"/>
    <w:lvl w:ilvl="0" w:tentative="0">
      <w:start w:val="1"/>
      <w:numFmt w:val="decimal"/>
      <w:lvlText w:val="%1"/>
      <w:lvlJc w:val="left"/>
      <w:pPr>
        <w:tabs>
          <w:tab w:val="left" w:pos="360"/>
        </w:tabs>
        <w:ind w:left="360" w:hanging="360"/>
      </w:pPr>
      <w:rPr>
        <w:rFonts w:hint="default"/>
        <w:u w:val="none" w:color="auto"/>
      </w:rPr>
    </w:lvl>
    <w:lvl w:ilvl="1" w:tentative="0">
      <w:start w:val="1"/>
      <w:numFmt w:val="lowerLetter"/>
      <w:pStyle w:val="45"/>
      <w:lvlText w:val="%2）"/>
      <w:lvlJc w:val="left"/>
      <w:pPr>
        <w:tabs>
          <w:tab w:val="left" w:pos="780"/>
        </w:tabs>
        <w:ind w:left="780" w:hanging="360"/>
      </w:pPr>
      <w:rPr>
        <w:rFonts w:hint="default"/>
        <w:u w:val="none" w:color="auto"/>
      </w:rPr>
    </w:lvl>
    <w:lvl w:ilvl="2" w:tentative="0">
      <w:start w:val="1"/>
      <w:numFmt w:val="lowerRoman"/>
      <w:pStyle w:val="44"/>
      <w:lvlText w:val="%3."/>
      <w:lvlJc w:val="right"/>
      <w:pPr>
        <w:tabs>
          <w:tab w:val="left" w:pos="1260"/>
        </w:tabs>
        <w:ind w:left="1260" w:hanging="420"/>
      </w:pPr>
      <w:rPr>
        <w:rFonts w:hint="default"/>
        <w:u w:val="none" w:color="auto"/>
      </w:rPr>
    </w:lvl>
    <w:lvl w:ilvl="3" w:tentative="0">
      <w:start w:val="1"/>
      <w:numFmt w:val="decimal"/>
      <w:lvlText w:val="%4."/>
      <w:lvlJc w:val="left"/>
      <w:pPr>
        <w:tabs>
          <w:tab w:val="left" w:pos="1680"/>
        </w:tabs>
        <w:ind w:left="1680" w:hanging="420"/>
      </w:pPr>
      <w:rPr>
        <w:rFonts w:hint="default"/>
        <w:u w:val="none" w:color="auto"/>
      </w:rPr>
    </w:lvl>
    <w:lvl w:ilvl="4" w:tentative="0">
      <w:start w:val="1"/>
      <w:numFmt w:val="lowerLetter"/>
      <w:lvlText w:val="%5)"/>
      <w:lvlJc w:val="left"/>
      <w:pPr>
        <w:tabs>
          <w:tab w:val="left" w:pos="2100"/>
        </w:tabs>
        <w:ind w:left="2100" w:hanging="420"/>
      </w:pPr>
      <w:rPr>
        <w:rFonts w:hint="default"/>
        <w:u w:val="none" w:color="auto"/>
      </w:rPr>
    </w:lvl>
    <w:lvl w:ilvl="5" w:tentative="0">
      <w:start w:val="1"/>
      <w:numFmt w:val="lowerRoman"/>
      <w:lvlText w:val="%6."/>
      <w:lvlJc w:val="right"/>
      <w:pPr>
        <w:tabs>
          <w:tab w:val="left" w:pos="2520"/>
        </w:tabs>
        <w:ind w:left="2520" w:hanging="420"/>
      </w:pPr>
      <w:rPr>
        <w:rFonts w:hint="default"/>
        <w:u w:val="none" w:color="auto"/>
      </w:rPr>
    </w:lvl>
    <w:lvl w:ilvl="6" w:tentative="0">
      <w:start w:val="1"/>
      <w:numFmt w:val="decimal"/>
      <w:lvlText w:val="%7."/>
      <w:lvlJc w:val="left"/>
      <w:pPr>
        <w:tabs>
          <w:tab w:val="left" w:pos="2940"/>
        </w:tabs>
        <w:ind w:left="2940" w:hanging="420"/>
      </w:pPr>
      <w:rPr>
        <w:rFonts w:hint="default"/>
        <w:u w:val="none" w:color="auto"/>
      </w:rPr>
    </w:lvl>
    <w:lvl w:ilvl="7" w:tentative="0">
      <w:start w:val="1"/>
      <w:numFmt w:val="lowerLetter"/>
      <w:lvlText w:val="%8)"/>
      <w:lvlJc w:val="left"/>
      <w:pPr>
        <w:tabs>
          <w:tab w:val="left" w:pos="3360"/>
        </w:tabs>
        <w:ind w:left="3360" w:hanging="420"/>
      </w:pPr>
      <w:rPr>
        <w:rFonts w:hint="default"/>
        <w:u w:val="none" w:color="auto"/>
      </w:rPr>
    </w:lvl>
    <w:lvl w:ilvl="8" w:tentative="0">
      <w:start w:val="1"/>
      <w:numFmt w:val="lowerRoman"/>
      <w:lvlText w:val="%9."/>
      <w:lvlJc w:val="right"/>
      <w:pPr>
        <w:tabs>
          <w:tab w:val="left" w:pos="3780"/>
        </w:tabs>
        <w:ind w:left="3780" w:hanging="420"/>
      </w:pPr>
      <w:rPr>
        <w:rFonts w:hint="default"/>
        <w:u w:val="none" w:color="auto"/>
      </w:rPr>
    </w:lvl>
  </w:abstractNum>
  <w:abstractNum w:abstractNumId="6">
    <w:nsid w:val="12CA93CF"/>
    <w:multiLevelType w:val="singleLevel"/>
    <w:tmpl w:val="12CA93CF"/>
    <w:lvl w:ilvl="0" w:tentative="0">
      <w:start w:val="1"/>
      <w:numFmt w:val="decimal"/>
      <w:suff w:val="space"/>
      <w:lvlText w:val="(%1)"/>
      <w:lvlJc w:val="left"/>
    </w:lvl>
  </w:abstractNum>
  <w:abstractNum w:abstractNumId="7">
    <w:nsid w:val="2A84D1F5"/>
    <w:multiLevelType w:val="singleLevel"/>
    <w:tmpl w:val="2A84D1F5"/>
    <w:lvl w:ilvl="0" w:tentative="0">
      <w:start w:val="1"/>
      <w:numFmt w:val="decimal"/>
      <w:suff w:val="space"/>
      <w:lvlText w:val="%1)"/>
      <w:lvlJc w:val="left"/>
    </w:lvl>
  </w:abstractNum>
  <w:abstractNum w:abstractNumId="8">
    <w:nsid w:val="367DF252"/>
    <w:multiLevelType w:val="singleLevel"/>
    <w:tmpl w:val="367DF252"/>
    <w:lvl w:ilvl="0" w:tentative="0">
      <w:start w:val="1"/>
      <w:numFmt w:val="decimal"/>
      <w:suff w:val="space"/>
      <w:lvlText w:val="(%1)"/>
      <w:lvlJc w:val="left"/>
    </w:lvl>
  </w:abstractNum>
  <w:abstractNum w:abstractNumId="9">
    <w:nsid w:val="57636091"/>
    <w:multiLevelType w:val="singleLevel"/>
    <w:tmpl w:val="57636091"/>
    <w:lvl w:ilvl="0" w:tentative="0">
      <w:start w:val="1"/>
      <w:numFmt w:val="decimal"/>
      <w:lvlText w:val="%1."/>
      <w:lvlJc w:val="left"/>
      <w:pPr>
        <w:ind w:left="425" w:hanging="425"/>
      </w:pPr>
      <w:rPr>
        <w:rFonts w:hint="default"/>
      </w:rPr>
    </w:lvl>
  </w:abstractNum>
  <w:num w:numId="1">
    <w:abstractNumId w:val="0"/>
  </w:num>
  <w:num w:numId="2">
    <w:abstractNumId w:val="5"/>
  </w:num>
  <w:num w:numId="3">
    <w:abstractNumId w:val="4"/>
  </w:num>
  <w:num w:numId="4">
    <w:abstractNumId w:val="7"/>
  </w:num>
  <w:num w:numId="5">
    <w:abstractNumId w:val="9"/>
  </w:num>
  <w:num w:numId="6">
    <w:abstractNumId w:val="3"/>
  </w:num>
  <w:num w:numId="7">
    <w:abstractNumId w:val="1"/>
  </w:num>
  <w:num w:numId="8">
    <w:abstractNumId w:val="2"/>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1ZWIwYjAzYWMzY2E3OWVhM2E0ODc3MjFiYTkwNGMifQ=="/>
  </w:docVars>
  <w:rsids>
    <w:rsidRoot w:val="00172A27"/>
    <w:rsid w:val="00000240"/>
    <w:rsid w:val="0000106E"/>
    <w:rsid w:val="0000113B"/>
    <w:rsid w:val="000013EF"/>
    <w:rsid w:val="00001491"/>
    <w:rsid w:val="000014DB"/>
    <w:rsid w:val="000015D7"/>
    <w:rsid w:val="00001B3B"/>
    <w:rsid w:val="00001B49"/>
    <w:rsid w:val="00001C54"/>
    <w:rsid w:val="0000207B"/>
    <w:rsid w:val="00002522"/>
    <w:rsid w:val="000033F7"/>
    <w:rsid w:val="00003FDC"/>
    <w:rsid w:val="000053E9"/>
    <w:rsid w:val="00005733"/>
    <w:rsid w:val="00005906"/>
    <w:rsid w:val="0000592E"/>
    <w:rsid w:val="00005B57"/>
    <w:rsid w:val="00006261"/>
    <w:rsid w:val="00006537"/>
    <w:rsid w:val="000067F5"/>
    <w:rsid w:val="00007040"/>
    <w:rsid w:val="00007F02"/>
    <w:rsid w:val="0001085B"/>
    <w:rsid w:val="00010D83"/>
    <w:rsid w:val="000112F2"/>
    <w:rsid w:val="000119A4"/>
    <w:rsid w:val="00012D07"/>
    <w:rsid w:val="00013654"/>
    <w:rsid w:val="00013FBF"/>
    <w:rsid w:val="00014666"/>
    <w:rsid w:val="00014917"/>
    <w:rsid w:val="00014F92"/>
    <w:rsid w:val="0001505F"/>
    <w:rsid w:val="0001514B"/>
    <w:rsid w:val="00015205"/>
    <w:rsid w:val="000157F6"/>
    <w:rsid w:val="00015B1D"/>
    <w:rsid w:val="00015E42"/>
    <w:rsid w:val="000161AE"/>
    <w:rsid w:val="000168A2"/>
    <w:rsid w:val="000168F3"/>
    <w:rsid w:val="00016CE4"/>
    <w:rsid w:val="00016DEE"/>
    <w:rsid w:val="0001702D"/>
    <w:rsid w:val="000178D6"/>
    <w:rsid w:val="0002052B"/>
    <w:rsid w:val="00020F78"/>
    <w:rsid w:val="000213DA"/>
    <w:rsid w:val="00021825"/>
    <w:rsid w:val="00022439"/>
    <w:rsid w:val="000228AE"/>
    <w:rsid w:val="000229AF"/>
    <w:rsid w:val="000241B2"/>
    <w:rsid w:val="00024236"/>
    <w:rsid w:val="00024534"/>
    <w:rsid w:val="00024842"/>
    <w:rsid w:val="00025DD3"/>
    <w:rsid w:val="00026070"/>
    <w:rsid w:val="000260E3"/>
    <w:rsid w:val="000267D9"/>
    <w:rsid w:val="00030653"/>
    <w:rsid w:val="0003066A"/>
    <w:rsid w:val="000308A8"/>
    <w:rsid w:val="00031A70"/>
    <w:rsid w:val="0003246A"/>
    <w:rsid w:val="00032F39"/>
    <w:rsid w:val="00032FBF"/>
    <w:rsid w:val="00033255"/>
    <w:rsid w:val="00033292"/>
    <w:rsid w:val="0003332A"/>
    <w:rsid w:val="00033596"/>
    <w:rsid w:val="00033625"/>
    <w:rsid w:val="00033656"/>
    <w:rsid w:val="00035922"/>
    <w:rsid w:val="0003618A"/>
    <w:rsid w:val="00037499"/>
    <w:rsid w:val="00037594"/>
    <w:rsid w:val="0004010D"/>
    <w:rsid w:val="000401AB"/>
    <w:rsid w:val="0004071A"/>
    <w:rsid w:val="00040A84"/>
    <w:rsid w:val="00040BCA"/>
    <w:rsid w:val="00040E02"/>
    <w:rsid w:val="00041627"/>
    <w:rsid w:val="00041D11"/>
    <w:rsid w:val="00041E7D"/>
    <w:rsid w:val="00042EB1"/>
    <w:rsid w:val="0004302D"/>
    <w:rsid w:val="000435C3"/>
    <w:rsid w:val="0004380D"/>
    <w:rsid w:val="00043B08"/>
    <w:rsid w:val="00043C0D"/>
    <w:rsid w:val="00043ECF"/>
    <w:rsid w:val="00043F6D"/>
    <w:rsid w:val="00043FA3"/>
    <w:rsid w:val="0004433E"/>
    <w:rsid w:val="000444D2"/>
    <w:rsid w:val="00044743"/>
    <w:rsid w:val="00044989"/>
    <w:rsid w:val="00044D78"/>
    <w:rsid w:val="00044DED"/>
    <w:rsid w:val="00045D24"/>
    <w:rsid w:val="000471CE"/>
    <w:rsid w:val="0004747C"/>
    <w:rsid w:val="00047A20"/>
    <w:rsid w:val="00047B6D"/>
    <w:rsid w:val="000516F1"/>
    <w:rsid w:val="000519CD"/>
    <w:rsid w:val="00051E1B"/>
    <w:rsid w:val="00052369"/>
    <w:rsid w:val="00052FAA"/>
    <w:rsid w:val="000530A2"/>
    <w:rsid w:val="000532BE"/>
    <w:rsid w:val="0005374C"/>
    <w:rsid w:val="00053890"/>
    <w:rsid w:val="00053915"/>
    <w:rsid w:val="00053C9D"/>
    <w:rsid w:val="00054965"/>
    <w:rsid w:val="00054ECF"/>
    <w:rsid w:val="000562B0"/>
    <w:rsid w:val="0005660E"/>
    <w:rsid w:val="00056AEC"/>
    <w:rsid w:val="00056CC2"/>
    <w:rsid w:val="00057265"/>
    <w:rsid w:val="00057829"/>
    <w:rsid w:val="000602C1"/>
    <w:rsid w:val="00060B29"/>
    <w:rsid w:val="00061325"/>
    <w:rsid w:val="0006151B"/>
    <w:rsid w:val="000615F1"/>
    <w:rsid w:val="00061B31"/>
    <w:rsid w:val="00061D6A"/>
    <w:rsid w:val="00061DDC"/>
    <w:rsid w:val="0006295F"/>
    <w:rsid w:val="00062BB4"/>
    <w:rsid w:val="00062C3F"/>
    <w:rsid w:val="00062ED6"/>
    <w:rsid w:val="000632B0"/>
    <w:rsid w:val="00063316"/>
    <w:rsid w:val="000637F2"/>
    <w:rsid w:val="0006584E"/>
    <w:rsid w:val="000659FE"/>
    <w:rsid w:val="00065E39"/>
    <w:rsid w:val="000664F0"/>
    <w:rsid w:val="00066DA4"/>
    <w:rsid w:val="00066DC2"/>
    <w:rsid w:val="00067E6A"/>
    <w:rsid w:val="00070BC4"/>
    <w:rsid w:val="00071450"/>
    <w:rsid w:val="00071664"/>
    <w:rsid w:val="00071C90"/>
    <w:rsid w:val="00072171"/>
    <w:rsid w:val="000726E1"/>
    <w:rsid w:val="00072875"/>
    <w:rsid w:val="0007322E"/>
    <w:rsid w:val="000732B3"/>
    <w:rsid w:val="00073E3A"/>
    <w:rsid w:val="00074939"/>
    <w:rsid w:val="00074AF9"/>
    <w:rsid w:val="00075CC1"/>
    <w:rsid w:val="00076189"/>
    <w:rsid w:val="0007634B"/>
    <w:rsid w:val="0007663B"/>
    <w:rsid w:val="00076ED6"/>
    <w:rsid w:val="000773C9"/>
    <w:rsid w:val="0007743D"/>
    <w:rsid w:val="00077471"/>
    <w:rsid w:val="00077931"/>
    <w:rsid w:val="00080C4D"/>
    <w:rsid w:val="000826F1"/>
    <w:rsid w:val="00082C9A"/>
    <w:rsid w:val="000833B4"/>
    <w:rsid w:val="000844BD"/>
    <w:rsid w:val="0008456E"/>
    <w:rsid w:val="00084AD5"/>
    <w:rsid w:val="00084BFD"/>
    <w:rsid w:val="00084D84"/>
    <w:rsid w:val="00085372"/>
    <w:rsid w:val="00085A7F"/>
    <w:rsid w:val="00085A96"/>
    <w:rsid w:val="00086007"/>
    <w:rsid w:val="00086411"/>
    <w:rsid w:val="00086B4B"/>
    <w:rsid w:val="00086F2E"/>
    <w:rsid w:val="000871F9"/>
    <w:rsid w:val="000878AF"/>
    <w:rsid w:val="00087A96"/>
    <w:rsid w:val="00087ED7"/>
    <w:rsid w:val="000904D9"/>
    <w:rsid w:val="00090947"/>
    <w:rsid w:val="00090B15"/>
    <w:rsid w:val="00090FE2"/>
    <w:rsid w:val="000911E9"/>
    <w:rsid w:val="00091C90"/>
    <w:rsid w:val="000925C2"/>
    <w:rsid w:val="000932A9"/>
    <w:rsid w:val="00093A8D"/>
    <w:rsid w:val="00093D50"/>
    <w:rsid w:val="0009482A"/>
    <w:rsid w:val="00094899"/>
    <w:rsid w:val="00095BDC"/>
    <w:rsid w:val="00095EB3"/>
    <w:rsid w:val="00095FE6"/>
    <w:rsid w:val="00096898"/>
    <w:rsid w:val="0009691E"/>
    <w:rsid w:val="00096C41"/>
    <w:rsid w:val="00097AEA"/>
    <w:rsid w:val="000A1473"/>
    <w:rsid w:val="000A1753"/>
    <w:rsid w:val="000A230F"/>
    <w:rsid w:val="000A241D"/>
    <w:rsid w:val="000A27C8"/>
    <w:rsid w:val="000A38D1"/>
    <w:rsid w:val="000A3B81"/>
    <w:rsid w:val="000A3C84"/>
    <w:rsid w:val="000A523F"/>
    <w:rsid w:val="000A5DA6"/>
    <w:rsid w:val="000A73AA"/>
    <w:rsid w:val="000A7FE0"/>
    <w:rsid w:val="000B04F9"/>
    <w:rsid w:val="000B05B8"/>
    <w:rsid w:val="000B0686"/>
    <w:rsid w:val="000B1D4E"/>
    <w:rsid w:val="000B302C"/>
    <w:rsid w:val="000B338D"/>
    <w:rsid w:val="000B3654"/>
    <w:rsid w:val="000B4229"/>
    <w:rsid w:val="000B48DA"/>
    <w:rsid w:val="000B4B18"/>
    <w:rsid w:val="000B4FE9"/>
    <w:rsid w:val="000B582C"/>
    <w:rsid w:val="000B5AF5"/>
    <w:rsid w:val="000B61AC"/>
    <w:rsid w:val="000B6300"/>
    <w:rsid w:val="000B6A28"/>
    <w:rsid w:val="000B6AAC"/>
    <w:rsid w:val="000B6CB8"/>
    <w:rsid w:val="000B6FE4"/>
    <w:rsid w:val="000B7074"/>
    <w:rsid w:val="000B761C"/>
    <w:rsid w:val="000C0B0A"/>
    <w:rsid w:val="000C14DB"/>
    <w:rsid w:val="000C1D73"/>
    <w:rsid w:val="000C262D"/>
    <w:rsid w:val="000C33E8"/>
    <w:rsid w:val="000C3D91"/>
    <w:rsid w:val="000C40E6"/>
    <w:rsid w:val="000C4CE3"/>
    <w:rsid w:val="000C4D8D"/>
    <w:rsid w:val="000C4DE3"/>
    <w:rsid w:val="000C5052"/>
    <w:rsid w:val="000C5B30"/>
    <w:rsid w:val="000C62D2"/>
    <w:rsid w:val="000C687E"/>
    <w:rsid w:val="000C6C2D"/>
    <w:rsid w:val="000C73BF"/>
    <w:rsid w:val="000C7540"/>
    <w:rsid w:val="000C7A8C"/>
    <w:rsid w:val="000D01E2"/>
    <w:rsid w:val="000D03B1"/>
    <w:rsid w:val="000D158B"/>
    <w:rsid w:val="000D1751"/>
    <w:rsid w:val="000D1995"/>
    <w:rsid w:val="000D1A28"/>
    <w:rsid w:val="000D1A4B"/>
    <w:rsid w:val="000D208B"/>
    <w:rsid w:val="000D36D3"/>
    <w:rsid w:val="000D3A80"/>
    <w:rsid w:val="000D3EA3"/>
    <w:rsid w:val="000D4045"/>
    <w:rsid w:val="000D404E"/>
    <w:rsid w:val="000D4A1F"/>
    <w:rsid w:val="000D4CD2"/>
    <w:rsid w:val="000D5820"/>
    <w:rsid w:val="000D59A2"/>
    <w:rsid w:val="000D5DD5"/>
    <w:rsid w:val="000D65EE"/>
    <w:rsid w:val="000D73BD"/>
    <w:rsid w:val="000D7BDE"/>
    <w:rsid w:val="000D7F46"/>
    <w:rsid w:val="000E06CB"/>
    <w:rsid w:val="000E0817"/>
    <w:rsid w:val="000E1136"/>
    <w:rsid w:val="000E129D"/>
    <w:rsid w:val="000E22D6"/>
    <w:rsid w:val="000E25B8"/>
    <w:rsid w:val="000E28C4"/>
    <w:rsid w:val="000E2BD6"/>
    <w:rsid w:val="000E4211"/>
    <w:rsid w:val="000E439E"/>
    <w:rsid w:val="000E445E"/>
    <w:rsid w:val="000E4B49"/>
    <w:rsid w:val="000E4C61"/>
    <w:rsid w:val="000E4F81"/>
    <w:rsid w:val="000E66A8"/>
    <w:rsid w:val="000E7345"/>
    <w:rsid w:val="000E7BF7"/>
    <w:rsid w:val="000E7F82"/>
    <w:rsid w:val="000F08E4"/>
    <w:rsid w:val="000F0A7F"/>
    <w:rsid w:val="000F11D4"/>
    <w:rsid w:val="000F1711"/>
    <w:rsid w:val="000F2D58"/>
    <w:rsid w:val="000F334E"/>
    <w:rsid w:val="000F33B2"/>
    <w:rsid w:val="000F342D"/>
    <w:rsid w:val="000F3696"/>
    <w:rsid w:val="000F3C9C"/>
    <w:rsid w:val="000F4182"/>
    <w:rsid w:val="000F51BA"/>
    <w:rsid w:val="000F58E5"/>
    <w:rsid w:val="000F596D"/>
    <w:rsid w:val="000F5B85"/>
    <w:rsid w:val="000F5B9D"/>
    <w:rsid w:val="000F672B"/>
    <w:rsid w:val="000F6D16"/>
    <w:rsid w:val="000F7FDF"/>
    <w:rsid w:val="00100181"/>
    <w:rsid w:val="00100B38"/>
    <w:rsid w:val="00101054"/>
    <w:rsid w:val="00101628"/>
    <w:rsid w:val="00101648"/>
    <w:rsid w:val="00102156"/>
    <w:rsid w:val="001024E8"/>
    <w:rsid w:val="00102FF9"/>
    <w:rsid w:val="001033C5"/>
    <w:rsid w:val="00103B93"/>
    <w:rsid w:val="00103E97"/>
    <w:rsid w:val="001043C4"/>
    <w:rsid w:val="00104A4B"/>
    <w:rsid w:val="001055D9"/>
    <w:rsid w:val="001055E7"/>
    <w:rsid w:val="001056BE"/>
    <w:rsid w:val="001058FF"/>
    <w:rsid w:val="001059D4"/>
    <w:rsid w:val="00105CC5"/>
    <w:rsid w:val="00106166"/>
    <w:rsid w:val="001063D8"/>
    <w:rsid w:val="0010672C"/>
    <w:rsid w:val="00107065"/>
    <w:rsid w:val="00107544"/>
    <w:rsid w:val="001077AA"/>
    <w:rsid w:val="00110468"/>
    <w:rsid w:val="00110523"/>
    <w:rsid w:val="00110764"/>
    <w:rsid w:val="00110BEC"/>
    <w:rsid w:val="00110DBB"/>
    <w:rsid w:val="0011100C"/>
    <w:rsid w:val="001123F7"/>
    <w:rsid w:val="00112CFF"/>
    <w:rsid w:val="00113BBA"/>
    <w:rsid w:val="00113C37"/>
    <w:rsid w:val="00113CE1"/>
    <w:rsid w:val="001148C0"/>
    <w:rsid w:val="00114DFC"/>
    <w:rsid w:val="00114E64"/>
    <w:rsid w:val="00114FEC"/>
    <w:rsid w:val="001151E1"/>
    <w:rsid w:val="001160D0"/>
    <w:rsid w:val="00117569"/>
    <w:rsid w:val="001177EB"/>
    <w:rsid w:val="00117EB1"/>
    <w:rsid w:val="0012012E"/>
    <w:rsid w:val="00120324"/>
    <w:rsid w:val="0012034A"/>
    <w:rsid w:val="0012034D"/>
    <w:rsid w:val="0012071F"/>
    <w:rsid w:val="00120C0D"/>
    <w:rsid w:val="00121385"/>
    <w:rsid w:val="00121BAD"/>
    <w:rsid w:val="00121DEB"/>
    <w:rsid w:val="00122518"/>
    <w:rsid w:val="00122D28"/>
    <w:rsid w:val="001235B7"/>
    <w:rsid w:val="00123DAD"/>
    <w:rsid w:val="0012433F"/>
    <w:rsid w:val="001252C1"/>
    <w:rsid w:val="00125B8E"/>
    <w:rsid w:val="00126190"/>
    <w:rsid w:val="001266F1"/>
    <w:rsid w:val="00130A83"/>
    <w:rsid w:val="00131968"/>
    <w:rsid w:val="001321B9"/>
    <w:rsid w:val="001324D8"/>
    <w:rsid w:val="00132B37"/>
    <w:rsid w:val="00132E76"/>
    <w:rsid w:val="00132FFA"/>
    <w:rsid w:val="00133093"/>
    <w:rsid w:val="001336A6"/>
    <w:rsid w:val="00133735"/>
    <w:rsid w:val="00133AFB"/>
    <w:rsid w:val="001345AF"/>
    <w:rsid w:val="00134632"/>
    <w:rsid w:val="00134BC0"/>
    <w:rsid w:val="0013519F"/>
    <w:rsid w:val="00135FA6"/>
    <w:rsid w:val="00136069"/>
    <w:rsid w:val="001365D5"/>
    <w:rsid w:val="001368F3"/>
    <w:rsid w:val="00136E87"/>
    <w:rsid w:val="0013737F"/>
    <w:rsid w:val="0013779D"/>
    <w:rsid w:val="001378A4"/>
    <w:rsid w:val="00140DDD"/>
    <w:rsid w:val="00141CF2"/>
    <w:rsid w:val="001422E3"/>
    <w:rsid w:val="00142380"/>
    <w:rsid w:val="00145EC1"/>
    <w:rsid w:val="001467BF"/>
    <w:rsid w:val="00146921"/>
    <w:rsid w:val="00146C0A"/>
    <w:rsid w:val="001476A3"/>
    <w:rsid w:val="001503B0"/>
    <w:rsid w:val="0015102C"/>
    <w:rsid w:val="0015120D"/>
    <w:rsid w:val="001513DA"/>
    <w:rsid w:val="00151452"/>
    <w:rsid w:val="00151C69"/>
    <w:rsid w:val="001525D4"/>
    <w:rsid w:val="0015266D"/>
    <w:rsid w:val="001527B7"/>
    <w:rsid w:val="00152F4C"/>
    <w:rsid w:val="001530A9"/>
    <w:rsid w:val="0015313D"/>
    <w:rsid w:val="00153D5A"/>
    <w:rsid w:val="0015414F"/>
    <w:rsid w:val="001543E6"/>
    <w:rsid w:val="001544DB"/>
    <w:rsid w:val="00154653"/>
    <w:rsid w:val="00154877"/>
    <w:rsid w:val="00154C80"/>
    <w:rsid w:val="00155270"/>
    <w:rsid w:val="00155619"/>
    <w:rsid w:val="001558E2"/>
    <w:rsid w:val="00155C22"/>
    <w:rsid w:val="00156CF4"/>
    <w:rsid w:val="00157334"/>
    <w:rsid w:val="00157C32"/>
    <w:rsid w:val="00157EAD"/>
    <w:rsid w:val="00157FAD"/>
    <w:rsid w:val="00160171"/>
    <w:rsid w:val="001601AE"/>
    <w:rsid w:val="00160678"/>
    <w:rsid w:val="00160772"/>
    <w:rsid w:val="00160B23"/>
    <w:rsid w:val="00160E50"/>
    <w:rsid w:val="00160F3C"/>
    <w:rsid w:val="00161871"/>
    <w:rsid w:val="00161962"/>
    <w:rsid w:val="00162245"/>
    <w:rsid w:val="00162AF1"/>
    <w:rsid w:val="0016330A"/>
    <w:rsid w:val="00163CEC"/>
    <w:rsid w:val="00163E59"/>
    <w:rsid w:val="001641C0"/>
    <w:rsid w:val="0016440F"/>
    <w:rsid w:val="0016489A"/>
    <w:rsid w:val="00164B94"/>
    <w:rsid w:val="00165724"/>
    <w:rsid w:val="00165B8D"/>
    <w:rsid w:val="00165D54"/>
    <w:rsid w:val="0016631A"/>
    <w:rsid w:val="0016647C"/>
    <w:rsid w:val="00166F0A"/>
    <w:rsid w:val="0016714B"/>
    <w:rsid w:val="001672F3"/>
    <w:rsid w:val="001673AC"/>
    <w:rsid w:val="001673F3"/>
    <w:rsid w:val="001675EB"/>
    <w:rsid w:val="00167822"/>
    <w:rsid w:val="00170046"/>
    <w:rsid w:val="00170486"/>
    <w:rsid w:val="001704DF"/>
    <w:rsid w:val="001709AF"/>
    <w:rsid w:val="00170E18"/>
    <w:rsid w:val="001715AC"/>
    <w:rsid w:val="001720B4"/>
    <w:rsid w:val="00172522"/>
    <w:rsid w:val="001726AE"/>
    <w:rsid w:val="00173CBF"/>
    <w:rsid w:val="0017413E"/>
    <w:rsid w:val="001743E3"/>
    <w:rsid w:val="0017463D"/>
    <w:rsid w:val="00174CAB"/>
    <w:rsid w:val="00176144"/>
    <w:rsid w:val="0017783E"/>
    <w:rsid w:val="001778FC"/>
    <w:rsid w:val="001778FD"/>
    <w:rsid w:val="001801F7"/>
    <w:rsid w:val="00180B52"/>
    <w:rsid w:val="0018131B"/>
    <w:rsid w:val="001818C1"/>
    <w:rsid w:val="00181963"/>
    <w:rsid w:val="00182399"/>
    <w:rsid w:val="001827B2"/>
    <w:rsid w:val="00182C8B"/>
    <w:rsid w:val="00183192"/>
    <w:rsid w:val="0018346F"/>
    <w:rsid w:val="00183660"/>
    <w:rsid w:val="0018440B"/>
    <w:rsid w:val="00184470"/>
    <w:rsid w:val="00184B22"/>
    <w:rsid w:val="00184F42"/>
    <w:rsid w:val="00185508"/>
    <w:rsid w:val="0018562E"/>
    <w:rsid w:val="00185821"/>
    <w:rsid w:val="00186432"/>
    <w:rsid w:val="0018680C"/>
    <w:rsid w:val="00186934"/>
    <w:rsid w:val="001870B3"/>
    <w:rsid w:val="0018739A"/>
    <w:rsid w:val="00187967"/>
    <w:rsid w:val="00187A1D"/>
    <w:rsid w:val="0019026E"/>
    <w:rsid w:val="00190817"/>
    <w:rsid w:val="0019083F"/>
    <w:rsid w:val="00192574"/>
    <w:rsid w:val="00192A68"/>
    <w:rsid w:val="00193479"/>
    <w:rsid w:val="00193CB7"/>
    <w:rsid w:val="00194195"/>
    <w:rsid w:val="001943CB"/>
    <w:rsid w:val="00194513"/>
    <w:rsid w:val="00195D56"/>
    <w:rsid w:val="0019615E"/>
    <w:rsid w:val="001967A5"/>
    <w:rsid w:val="00196A4B"/>
    <w:rsid w:val="00196A84"/>
    <w:rsid w:val="001971FA"/>
    <w:rsid w:val="001A0001"/>
    <w:rsid w:val="001A047D"/>
    <w:rsid w:val="001A0D37"/>
    <w:rsid w:val="001A2209"/>
    <w:rsid w:val="001A24A7"/>
    <w:rsid w:val="001A253B"/>
    <w:rsid w:val="001A28B1"/>
    <w:rsid w:val="001A2974"/>
    <w:rsid w:val="001A2B06"/>
    <w:rsid w:val="001A3440"/>
    <w:rsid w:val="001A391B"/>
    <w:rsid w:val="001A3963"/>
    <w:rsid w:val="001A3A43"/>
    <w:rsid w:val="001A3D03"/>
    <w:rsid w:val="001A3D7E"/>
    <w:rsid w:val="001A471F"/>
    <w:rsid w:val="001A5832"/>
    <w:rsid w:val="001A63FF"/>
    <w:rsid w:val="001A658D"/>
    <w:rsid w:val="001A6988"/>
    <w:rsid w:val="001A6FC5"/>
    <w:rsid w:val="001A7469"/>
    <w:rsid w:val="001A761F"/>
    <w:rsid w:val="001B0332"/>
    <w:rsid w:val="001B101B"/>
    <w:rsid w:val="001B1382"/>
    <w:rsid w:val="001B162F"/>
    <w:rsid w:val="001B182A"/>
    <w:rsid w:val="001B2062"/>
    <w:rsid w:val="001B25A4"/>
    <w:rsid w:val="001B26E2"/>
    <w:rsid w:val="001B2FDC"/>
    <w:rsid w:val="001B3851"/>
    <w:rsid w:val="001B4CF2"/>
    <w:rsid w:val="001B515B"/>
    <w:rsid w:val="001B520D"/>
    <w:rsid w:val="001B58F2"/>
    <w:rsid w:val="001B65A5"/>
    <w:rsid w:val="001B65BE"/>
    <w:rsid w:val="001B677E"/>
    <w:rsid w:val="001B6B70"/>
    <w:rsid w:val="001B7418"/>
    <w:rsid w:val="001C05FB"/>
    <w:rsid w:val="001C0651"/>
    <w:rsid w:val="001C0E8C"/>
    <w:rsid w:val="001C10FB"/>
    <w:rsid w:val="001C112D"/>
    <w:rsid w:val="001C127C"/>
    <w:rsid w:val="001C1302"/>
    <w:rsid w:val="001C13A3"/>
    <w:rsid w:val="001C1980"/>
    <w:rsid w:val="001C1B78"/>
    <w:rsid w:val="001C2096"/>
    <w:rsid w:val="001C254C"/>
    <w:rsid w:val="001C2564"/>
    <w:rsid w:val="001C2EA0"/>
    <w:rsid w:val="001C3921"/>
    <w:rsid w:val="001C48A5"/>
    <w:rsid w:val="001C4F93"/>
    <w:rsid w:val="001C534C"/>
    <w:rsid w:val="001C539C"/>
    <w:rsid w:val="001C5EB9"/>
    <w:rsid w:val="001C64CA"/>
    <w:rsid w:val="001C742D"/>
    <w:rsid w:val="001C7628"/>
    <w:rsid w:val="001D01E4"/>
    <w:rsid w:val="001D0660"/>
    <w:rsid w:val="001D232C"/>
    <w:rsid w:val="001D24A1"/>
    <w:rsid w:val="001D2602"/>
    <w:rsid w:val="001D2E26"/>
    <w:rsid w:val="001D2E5A"/>
    <w:rsid w:val="001D4087"/>
    <w:rsid w:val="001D46FD"/>
    <w:rsid w:val="001D56F3"/>
    <w:rsid w:val="001D66C6"/>
    <w:rsid w:val="001D6AD3"/>
    <w:rsid w:val="001D7002"/>
    <w:rsid w:val="001D72D5"/>
    <w:rsid w:val="001D73D8"/>
    <w:rsid w:val="001D73DB"/>
    <w:rsid w:val="001D7E18"/>
    <w:rsid w:val="001E0019"/>
    <w:rsid w:val="001E0321"/>
    <w:rsid w:val="001E0C4E"/>
    <w:rsid w:val="001E111C"/>
    <w:rsid w:val="001E246C"/>
    <w:rsid w:val="001E2A33"/>
    <w:rsid w:val="001E3338"/>
    <w:rsid w:val="001E3483"/>
    <w:rsid w:val="001E3524"/>
    <w:rsid w:val="001E3E51"/>
    <w:rsid w:val="001E418A"/>
    <w:rsid w:val="001E4F3E"/>
    <w:rsid w:val="001E5625"/>
    <w:rsid w:val="001E5F10"/>
    <w:rsid w:val="001E66FB"/>
    <w:rsid w:val="001E673A"/>
    <w:rsid w:val="001E6C46"/>
    <w:rsid w:val="001E73D9"/>
    <w:rsid w:val="001E7992"/>
    <w:rsid w:val="001E7CAE"/>
    <w:rsid w:val="001F018E"/>
    <w:rsid w:val="001F03F5"/>
    <w:rsid w:val="001F12BF"/>
    <w:rsid w:val="001F1399"/>
    <w:rsid w:val="001F150D"/>
    <w:rsid w:val="001F1A9F"/>
    <w:rsid w:val="001F22D5"/>
    <w:rsid w:val="001F25CC"/>
    <w:rsid w:val="001F264B"/>
    <w:rsid w:val="001F2704"/>
    <w:rsid w:val="001F2F66"/>
    <w:rsid w:val="001F44E0"/>
    <w:rsid w:val="001F4555"/>
    <w:rsid w:val="001F46CB"/>
    <w:rsid w:val="001F5258"/>
    <w:rsid w:val="001F65EC"/>
    <w:rsid w:val="001F6639"/>
    <w:rsid w:val="001F6CBD"/>
    <w:rsid w:val="001F7827"/>
    <w:rsid w:val="001F7832"/>
    <w:rsid w:val="001F7EF5"/>
    <w:rsid w:val="00200201"/>
    <w:rsid w:val="002004F5"/>
    <w:rsid w:val="00200864"/>
    <w:rsid w:val="00200BAE"/>
    <w:rsid w:val="002015C8"/>
    <w:rsid w:val="00202359"/>
    <w:rsid w:val="00203000"/>
    <w:rsid w:val="00203416"/>
    <w:rsid w:val="002040D7"/>
    <w:rsid w:val="0020462C"/>
    <w:rsid w:val="00204C37"/>
    <w:rsid w:val="00204CE2"/>
    <w:rsid w:val="00205030"/>
    <w:rsid w:val="00205090"/>
    <w:rsid w:val="00205128"/>
    <w:rsid w:val="002051D9"/>
    <w:rsid w:val="0020550D"/>
    <w:rsid w:val="0020551B"/>
    <w:rsid w:val="002057A5"/>
    <w:rsid w:val="002058C2"/>
    <w:rsid w:val="00206C3A"/>
    <w:rsid w:val="00206F11"/>
    <w:rsid w:val="0020743F"/>
    <w:rsid w:val="00207468"/>
    <w:rsid w:val="00207F75"/>
    <w:rsid w:val="002108F8"/>
    <w:rsid w:val="00211422"/>
    <w:rsid w:val="00211A69"/>
    <w:rsid w:val="00211DD2"/>
    <w:rsid w:val="00212002"/>
    <w:rsid w:val="0021231B"/>
    <w:rsid w:val="00212BA8"/>
    <w:rsid w:val="00213AD6"/>
    <w:rsid w:val="0021425B"/>
    <w:rsid w:val="0021504B"/>
    <w:rsid w:val="0021534A"/>
    <w:rsid w:val="00215426"/>
    <w:rsid w:val="002156EB"/>
    <w:rsid w:val="00215B20"/>
    <w:rsid w:val="00215B57"/>
    <w:rsid w:val="00216386"/>
    <w:rsid w:val="00216447"/>
    <w:rsid w:val="00216B8F"/>
    <w:rsid w:val="00216C63"/>
    <w:rsid w:val="00217206"/>
    <w:rsid w:val="00220397"/>
    <w:rsid w:val="00221198"/>
    <w:rsid w:val="002214AA"/>
    <w:rsid w:val="0022237E"/>
    <w:rsid w:val="002229AA"/>
    <w:rsid w:val="00222B1A"/>
    <w:rsid w:val="00222BAD"/>
    <w:rsid w:val="00222E0C"/>
    <w:rsid w:val="00222E30"/>
    <w:rsid w:val="0022347D"/>
    <w:rsid w:val="002235F4"/>
    <w:rsid w:val="00225079"/>
    <w:rsid w:val="00225BBF"/>
    <w:rsid w:val="00226169"/>
    <w:rsid w:val="002270F0"/>
    <w:rsid w:val="00227192"/>
    <w:rsid w:val="00227555"/>
    <w:rsid w:val="00227650"/>
    <w:rsid w:val="0022793F"/>
    <w:rsid w:val="00227E6E"/>
    <w:rsid w:val="00227E7E"/>
    <w:rsid w:val="00227F31"/>
    <w:rsid w:val="00230860"/>
    <w:rsid w:val="00230E24"/>
    <w:rsid w:val="00230FBB"/>
    <w:rsid w:val="00231A01"/>
    <w:rsid w:val="00231A04"/>
    <w:rsid w:val="00232F21"/>
    <w:rsid w:val="00233767"/>
    <w:rsid w:val="00234197"/>
    <w:rsid w:val="00234F47"/>
    <w:rsid w:val="00235161"/>
    <w:rsid w:val="00235171"/>
    <w:rsid w:val="002352E3"/>
    <w:rsid w:val="0023581A"/>
    <w:rsid w:val="002370EA"/>
    <w:rsid w:val="00237403"/>
    <w:rsid w:val="00237459"/>
    <w:rsid w:val="002374F2"/>
    <w:rsid w:val="0023758D"/>
    <w:rsid w:val="002377A8"/>
    <w:rsid w:val="00237EC2"/>
    <w:rsid w:val="00241E3A"/>
    <w:rsid w:val="00242104"/>
    <w:rsid w:val="0024228F"/>
    <w:rsid w:val="00242852"/>
    <w:rsid w:val="00242BA9"/>
    <w:rsid w:val="00242D80"/>
    <w:rsid w:val="00243431"/>
    <w:rsid w:val="002437DF"/>
    <w:rsid w:val="0024390F"/>
    <w:rsid w:val="00244996"/>
    <w:rsid w:val="00244AFB"/>
    <w:rsid w:val="0024505C"/>
    <w:rsid w:val="00245322"/>
    <w:rsid w:val="00245523"/>
    <w:rsid w:val="00245BE6"/>
    <w:rsid w:val="00245CD4"/>
    <w:rsid w:val="002462BD"/>
    <w:rsid w:val="002465AC"/>
    <w:rsid w:val="00246C4A"/>
    <w:rsid w:val="00246D92"/>
    <w:rsid w:val="00247051"/>
    <w:rsid w:val="0024759F"/>
    <w:rsid w:val="002477BC"/>
    <w:rsid w:val="002502CB"/>
    <w:rsid w:val="002507FC"/>
    <w:rsid w:val="00250D79"/>
    <w:rsid w:val="00251261"/>
    <w:rsid w:val="002512B6"/>
    <w:rsid w:val="0025130B"/>
    <w:rsid w:val="002514C5"/>
    <w:rsid w:val="0025160F"/>
    <w:rsid w:val="00251997"/>
    <w:rsid w:val="002530DA"/>
    <w:rsid w:val="00253E04"/>
    <w:rsid w:val="002542E4"/>
    <w:rsid w:val="00254345"/>
    <w:rsid w:val="002543A6"/>
    <w:rsid w:val="0025459A"/>
    <w:rsid w:val="00254C39"/>
    <w:rsid w:val="0025512F"/>
    <w:rsid w:val="002557D2"/>
    <w:rsid w:val="00255B7D"/>
    <w:rsid w:val="00255C0C"/>
    <w:rsid w:val="00256073"/>
    <w:rsid w:val="0025657F"/>
    <w:rsid w:val="002565BB"/>
    <w:rsid w:val="00256945"/>
    <w:rsid w:val="00256AA1"/>
    <w:rsid w:val="002572C1"/>
    <w:rsid w:val="002572F8"/>
    <w:rsid w:val="00257392"/>
    <w:rsid w:val="00257E7B"/>
    <w:rsid w:val="002600B8"/>
    <w:rsid w:val="0026067C"/>
    <w:rsid w:val="00260B0F"/>
    <w:rsid w:val="00261285"/>
    <w:rsid w:val="00261830"/>
    <w:rsid w:val="00261B3B"/>
    <w:rsid w:val="002622D7"/>
    <w:rsid w:val="0026232D"/>
    <w:rsid w:val="00262AB6"/>
    <w:rsid w:val="00263551"/>
    <w:rsid w:val="00263787"/>
    <w:rsid w:val="00263AED"/>
    <w:rsid w:val="00263E34"/>
    <w:rsid w:val="002651BC"/>
    <w:rsid w:val="00265402"/>
    <w:rsid w:val="00265659"/>
    <w:rsid w:val="00265D80"/>
    <w:rsid w:val="00265DEE"/>
    <w:rsid w:val="00266529"/>
    <w:rsid w:val="002667D1"/>
    <w:rsid w:val="00266A3F"/>
    <w:rsid w:val="00266CF1"/>
    <w:rsid w:val="0026705D"/>
    <w:rsid w:val="00267C26"/>
    <w:rsid w:val="00267C43"/>
    <w:rsid w:val="00270DD2"/>
    <w:rsid w:val="00270F56"/>
    <w:rsid w:val="00271037"/>
    <w:rsid w:val="00271A18"/>
    <w:rsid w:val="00272549"/>
    <w:rsid w:val="002729F1"/>
    <w:rsid w:val="00272A6D"/>
    <w:rsid w:val="00272B96"/>
    <w:rsid w:val="002730F4"/>
    <w:rsid w:val="00273705"/>
    <w:rsid w:val="00273A12"/>
    <w:rsid w:val="00273F4E"/>
    <w:rsid w:val="002744C7"/>
    <w:rsid w:val="00274ADD"/>
    <w:rsid w:val="00274C36"/>
    <w:rsid w:val="00274CF8"/>
    <w:rsid w:val="00276675"/>
    <w:rsid w:val="0027685F"/>
    <w:rsid w:val="00276E15"/>
    <w:rsid w:val="00276E3E"/>
    <w:rsid w:val="00277024"/>
    <w:rsid w:val="002775A6"/>
    <w:rsid w:val="002776F3"/>
    <w:rsid w:val="00277968"/>
    <w:rsid w:val="002802CB"/>
    <w:rsid w:val="00280412"/>
    <w:rsid w:val="00280556"/>
    <w:rsid w:val="00280A11"/>
    <w:rsid w:val="00281377"/>
    <w:rsid w:val="0028178B"/>
    <w:rsid w:val="002818ED"/>
    <w:rsid w:val="00281B8D"/>
    <w:rsid w:val="00281BB6"/>
    <w:rsid w:val="00281C38"/>
    <w:rsid w:val="00281C43"/>
    <w:rsid w:val="002820A1"/>
    <w:rsid w:val="002821E8"/>
    <w:rsid w:val="0028235C"/>
    <w:rsid w:val="0028236B"/>
    <w:rsid w:val="00282C2D"/>
    <w:rsid w:val="0028353E"/>
    <w:rsid w:val="00283CF8"/>
    <w:rsid w:val="00283F61"/>
    <w:rsid w:val="002840BB"/>
    <w:rsid w:val="00284143"/>
    <w:rsid w:val="00284211"/>
    <w:rsid w:val="0028456F"/>
    <w:rsid w:val="00284B48"/>
    <w:rsid w:val="00285109"/>
    <w:rsid w:val="00286330"/>
    <w:rsid w:val="002868A4"/>
    <w:rsid w:val="00287BBD"/>
    <w:rsid w:val="00290CC0"/>
    <w:rsid w:val="0029128D"/>
    <w:rsid w:val="002912DF"/>
    <w:rsid w:val="00291A9F"/>
    <w:rsid w:val="00292C42"/>
    <w:rsid w:val="00292F40"/>
    <w:rsid w:val="00293D09"/>
    <w:rsid w:val="002941A6"/>
    <w:rsid w:val="0029425D"/>
    <w:rsid w:val="00294B5C"/>
    <w:rsid w:val="00294BFF"/>
    <w:rsid w:val="00294EC2"/>
    <w:rsid w:val="00295157"/>
    <w:rsid w:val="002962FF"/>
    <w:rsid w:val="00296E31"/>
    <w:rsid w:val="00297465"/>
    <w:rsid w:val="002975CA"/>
    <w:rsid w:val="00297833"/>
    <w:rsid w:val="00297FE1"/>
    <w:rsid w:val="002A00EC"/>
    <w:rsid w:val="002A07CC"/>
    <w:rsid w:val="002A17B6"/>
    <w:rsid w:val="002A2342"/>
    <w:rsid w:val="002A2536"/>
    <w:rsid w:val="002A2877"/>
    <w:rsid w:val="002A3C7B"/>
    <w:rsid w:val="002A4711"/>
    <w:rsid w:val="002A47B1"/>
    <w:rsid w:val="002A4812"/>
    <w:rsid w:val="002A4815"/>
    <w:rsid w:val="002A4930"/>
    <w:rsid w:val="002A4D0F"/>
    <w:rsid w:val="002A5E4D"/>
    <w:rsid w:val="002A7312"/>
    <w:rsid w:val="002A7B22"/>
    <w:rsid w:val="002B02B9"/>
    <w:rsid w:val="002B04F4"/>
    <w:rsid w:val="002B0A28"/>
    <w:rsid w:val="002B0F77"/>
    <w:rsid w:val="002B1D6C"/>
    <w:rsid w:val="002B38DE"/>
    <w:rsid w:val="002B3AF8"/>
    <w:rsid w:val="002B4DFC"/>
    <w:rsid w:val="002B5269"/>
    <w:rsid w:val="002B5696"/>
    <w:rsid w:val="002B6982"/>
    <w:rsid w:val="002B6D12"/>
    <w:rsid w:val="002B6DA8"/>
    <w:rsid w:val="002B7030"/>
    <w:rsid w:val="002B748F"/>
    <w:rsid w:val="002B7B10"/>
    <w:rsid w:val="002C03A8"/>
    <w:rsid w:val="002C0B1F"/>
    <w:rsid w:val="002C10AA"/>
    <w:rsid w:val="002C1291"/>
    <w:rsid w:val="002C1640"/>
    <w:rsid w:val="002C196B"/>
    <w:rsid w:val="002C27CE"/>
    <w:rsid w:val="002C2B34"/>
    <w:rsid w:val="002C31FB"/>
    <w:rsid w:val="002C3436"/>
    <w:rsid w:val="002C36B7"/>
    <w:rsid w:val="002C36F7"/>
    <w:rsid w:val="002C3721"/>
    <w:rsid w:val="002C3871"/>
    <w:rsid w:val="002C4B00"/>
    <w:rsid w:val="002C4DDF"/>
    <w:rsid w:val="002C4F2C"/>
    <w:rsid w:val="002C5423"/>
    <w:rsid w:val="002C5AED"/>
    <w:rsid w:val="002C5FB4"/>
    <w:rsid w:val="002C607B"/>
    <w:rsid w:val="002C68B6"/>
    <w:rsid w:val="002C6FE7"/>
    <w:rsid w:val="002C7B50"/>
    <w:rsid w:val="002C7C6D"/>
    <w:rsid w:val="002D019D"/>
    <w:rsid w:val="002D083C"/>
    <w:rsid w:val="002D1794"/>
    <w:rsid w:val="002D1EED"/>
    <w:rsid w:val="002D2D3E"/>
    <w:rsid w:val="002D3589"/>
    <w:rsid w:val="002D3B9C"/>
    <w:rsid w:val="002D459A"/>
    <w:rsid w:val="002D4849"/>
    <w:rsid w:val="002D4D28"/>
    <w:rsid w:val="002D4F50"/>
    <w:rsid w:val="002D4FEB"/>
    <w:rsid w:val="002D5441"/>
    <w:rsid w:val="002D54D0"/>
    <w:rsid w:val="002D5615"/>
    <w:rsid w:val="002D5997"/>
    <w:rsid w:val="002D61AB"/>
    <w:rsid w:val="002D66C0"/>
    <w:rsid w:val="002D7C61"/>
    <w:rsid w:val="002E1597"/>
    <w:rsid w:val="002E1BA2"/>
    <w:rsid w:val="002E2224"/>
    <w:rsid w:val="002E24B0"/>
    <w:rsid w:val="002E2796"/>
    <w:rsid w:val="002E2858"/>
    <w:rsid w:val="002E338E"/>
    <w:rsid w:val="002E3BBB"/>
    <w:rsid w:val="002E3DF0"/>
    <w:rsid w:val="002E557D"/>
    <w:rsid w:val="002E6674"/>
    <w:rsid w:val="002E72C3"/>
    <w:rsid w:val="002E72CA"/>
    <w:rsid w:val="002E7F33"/>
    <w:rsid w:val="002F0494"/>
    <w:rsid w:val="002F077A"/>
    <w:rsid w:val="002F088D"/>
    <w:rsid w:val="002F092C"/>
    <w:rsid w:val="002F175A"/>
    <w:rsid w:val="002F1B75"/>
    <w:rsid w:val="002F2059"/>
    <w:rsid w:val="002F2253"/>
    <w:rsid w:val="002F233A"/>
    <w:rsid w:val="002F2A33"/>
    <w:rsid w:val="002F2BF5"/>
    <w:rsid w:val="002F39AE"/>
    <w:rsid w:val="002F3A10"/>
    <w:rsid w:val="002F408A"/>
    <w:rsid w:val="002F422D"/>
    <w:rsid w:val="002F4600"/>
    <w:rsid w:val="002F5B7E"/>
    <w:rsid w:val="002F61AD"/>
    <w:rsid w:val="002F64E0"/>
    <w:rsid w:val="002F6607"/>
    <w:rsid w:val="002F66AE"/>
    <w:rsid w:val="002F6771"/>
    <w:rsid w:val="002F7EFC"/>
    <w:rsid w:val="00300A93"/>
    <w:rsid w:val="00300DF5"/>
    <w:rsid w:val="00302610"/>
    <w:rsid w:val="0030315F"/>
    <w:rsid w:val="0030319F"/>
    <w:rsid w:val="003033A1"/>
    <w:rsid w:val="0030360F"/>
    <w:rsid w:val="00303617"/>
    <w:rsid w:val="0030373B"/>
    <w:rsid w:val="00304AA0"/>
    <w:rsid w:val="00305A25"/>
    <w:rsid w:val="00305AA3"/>
    <w:rsid w:val="00305C78"/>
    <w:rsid w:val="00305E62"/>
    <w:rsid w:val="00306523"/>
    <w:rsid w:val="00306781"/>
    <w:rsid w:val="0030717F"/>
    <w:rsid w:val="00310324"/>
    <w:rsid w:val="00310DE3"/>
    <w:rsid w:val="003115D8"/>
    <w:rsid w:val="00311659"/>
    <w:rsid w:val="00311987"/>
    <w:rsid w:val="00312088"/>
    <w:rsid w:val="0031254C"/>
    <w:rsid w:val="00312C36"/>
    <w:rsid w:val="00312FB8"/>
    <w:rsid w:val="0031329F"/>
    <w:rsid w:val="00313E41"/>
    <w:rsid w:val="00313EB9"/>
    <w:rsid w:val="00313FA4"/>
    <w:rsid w:val="003142E9"/>
    <w:rsid w:val="003144D9"/>
    <w:rsid w:val="00314EBB"/>
    <w:rsid w:val="00315D2E"/>
    <w:rsid w:val="003160A9"/>
    <w:rsid w:val="003162D5"/>
    <w:rsid w:val="00316348"/>
    <w:rsid w:val="0031649F"/>
    <w:rsid w:val="00316994"/>
    <w:rsid w:val="00316A11"/>
    <w:rsid w:val="0031757D"/>
    <w:rsid w:val="0031793C"/>
    <w:rsid w:val="00317C7A"/>
    <w:rsid w:val="00317C8A"/>
    <w:rsid w:val="00317EF2"/>
    <w:rsid w:val="00320402"/>
    <w:rsid w:val="00321471"/>
    <w:rsid w:val="003216DC"/>
    <w:rsid w:val="00321CFF"/>
    <w:rsid w:val="00321D73"/>
    <w:rsid w:val="00322138"/>
    <w:rsid w:val="00322524"/>
    <w:rsid w:val="003227C8"/>
    <w:rsid w:val="00322E5B"/>
    <w:rsid w:val="00323205"/>
    <w:rsid w:val="003233F6"/>
    <w:rsid w:val="00323819"/>
    <w:rsid w:val="00323B99"/>
    <w:rsid w:val="00323EDB"/>
    <w:rsid w:val="00323F90"/>
    <w:rsid w:val="003253F9"/>
    <w:rsid w:val="0032578E"/>
    <w:rsid w:val="00325B64"/>
    <w:rsid w:val="0032616F"/>
    <w:rsid w:val="00326746"/>
    <w:rsid w:val="00326A68"/>
    <w:rsid w:val="00327249"/>
    <w:rsid w:val="003273B4"/>
    <w:rsid w:val="00327A92"/>
    <w:rsid w:val="00327C4E"/>
    <w:rsid w:val="00327D76"/>
    <w:rsid w:val="00330182"/>
    <w:rsid w:val="003306D1"/>
    <w:rsid w:val="0033083D"/>
    <w:rsid w:val="00330E2E"/>
    <w:rsid w:val="00331CAB"/>
    <w:rsid w:val="00331E30"/>
    <w:rsid w:val="00332562"/>
    <w:rsid w:val="003330B2"/>
    <w:rsid w:val="00333EF7"/>
    <w:rsid w:val="00334537"/>
    <w:rsid w:val="003369A6"/>
    <w:rsid w:val="00337208"/>
    <w:rsid w:val="00337484"/>
    <w:rsid w:val="0033764B"/>
    <w:rsid w:val="003402CD"/>
    <w:rsid w:val="00340460"/>
    <w:rsid w:val="00340D7E"/>
    <w:rsid w:val="00340DB0"/>
    <w:rsid w:val="00340F8C"/>
    <w:rsid w:val="003413F2"/>
    <w:rsid w:val="00341A2E"/>
    <w:rsid w:val="0034277B"/>
    <w:rsid w:val="00342D64"/>
    <w:rsid w:val="003435F4"/>
    <w:rsid w:val="0034395C"/>
    <w:rsid w:val="003440AE"/>
    <w:rsid w:val="00344241"/>
    <w:rsid w:val="00344400"/>
    <w:rsid w:val="0034452E"/>
    <w:rsid w:val="00344B4E"/>
    <w:rsid w:val="00344F81"/>
    <w:rsid w:val="0034512B"/>
    <w:rsid w:val="00345940"/>
    <w:rsid w:val="00345B85"/>
    <w:rsid w:val="00346657"/>
    <w:rsid w:val="00347444"/>
    <w:rsid w:val="00350A5E"/>
    <w:rsid w:val="00350FF7"/>
    <w:rsid w:val="00351B10"/>
    <w:rsid w:val="00351E08"/>
    <w:rsid w:val="00351E79"/>
    <w:rsid w:val="00352221"/>
    <w:rsid w:val="00352A32"/>
    <w:rsid w:val="00352AC4"/>
    <w:rsid w:val="00352D36"/>
    <w:rsid w:val="00353B56"/>
    <w:rsid w:val="00353D0F"/>
    <w:rsid w:val="00354C18"/>
    <w:rsid w:val="00354CF6"/>
    <w:rsid w:val="00354D13"/>
    <w:rsid w:val="003552C2"/>
    <w:rsid w:val="003554C6"/>
    <w:rsid w:val="00355B94"/>
    <w:rsid w:val="003560A2"/>
    <w:rsid w:val="0035622B"/>
    <w:rsid w:val="00356322"/>
    <w:rsid w:val="00356511"/>
    <w:rsid w:val="00357149"/>
    <w:rsid w:val="00357229"/>
    <w:rsid w:val="00357E10"/>
    <w:rsid w:val="003600A4"/>
    <w:rsid w:val="00360702"/>
    <w:rsid w:val="00360952"/>
    <w:rsid w:val="003609B1"/>
    <w:rsid w:val="00360BE4"/>
    <w:rsid w:val="00361259"/>
    <w:rsid w:val="003621D3"/>
    <w:rsid w:val="003628A9"/>
    <w:rsid w:val="003628AC"/>
    <w:rsid w:val="00362A2C"/>
    <w:rsid w:val="00362DA6"/>
    <w:rsid w:val="00362FB6"/>
    <w:rsid w:val="00363210"/>
    <w:rsid w:val="0036415D"/>
    <w:rsid w:val="003641D0"/>
    <w:rsid w:val="003643A5"/>
    <w:rsid w:val="00366909"/>
    <w:rsid w:val="00367D87"/>
    <w:rsid w:val="00370670"/>
    <w:rsid w:val="0037079C"/>
    <w:rsid w:val="00371A73"/>
    <w:rsid w:val="003722FE"/>
    <w:rsid w:val="00372494"/>
    <w:rsid w:val="00372699"/>
    <w:rsid w:val="003728D4"/>
    <w:rsid w:val="00372AB7"/>
    <w:rsid w:val="00372BE7"/>
    <w:rsid w:val="00373136"/>
    <w:rsid w:val="0037372C"/>
    <w:rsid w:val="00373BD8"/>
    <w:rsid w:val="00374813"/>
    <w:rsid w:val="00374E80"/>
    <w:rsid w:val="003757C4"/>
    <w:rsid w:val="00375C79"/>
    <w:rsid w:val="00376A4E"/>
    <w:rsid w:val="00376E00"/>
    <w:rsid w:val="00377ED2"/>
    <w:rsid w:val="003802B6"/>
    <w:rsid w:val="003802FE"/>
    <w:rsid w:val="003804AA"/>
    <w:rsid w:val="00381513"/>
    <w:rsid w:val="003818AC"/>
    <w:rsid w:val="00381E4B"/>
    <w:rsid w:val="00381EFC"/>
    <w:rsid w:val="00382B75"/>
    <w:rsid w:val="00383435"/>
    <w:rsid w:val="003836B6"/>
    <w:rsid w:val="00383706"/>
    <w:rsid w:val="00383AD1"/>
    <w:rsid w:val="00384DD4"/>
    <w:rsid w:val="00385DAA"/>
    <w:rsid w:val="003863AA"/>
    <w:rsid w:val="00386C41"/>
    <w:rsid w:val="00386DBA"/>
    <w:rsid w:val="00387064"/>
    <w:rsid w:val="00387169"/>
    <w:rsid w:val="00387256"/>
    <w:rsid w:val="00387ACF"/>
    <w:rsid w:val="00387ED5"/>
    <w:rsid w:val="003908D5"/>
    <w:rsid w:val="00390BA9"/>
    <w:rsid w:val="00390DBE"/>
    <w:rsid w:val="00391CF1"/>
    <w:rsid w:val="00391D6B"/>
    <w:rsid w:val="00392A98"/>
    <w:rsid w:val="00392C5B"/>
    <w:rsid w:val="0039354F"/>
    <w:rsid w:val="003936E2"/>
    <w:rsid w:val="003941A2"/>
    <w:rsid w:val="0039424D"/>
    <w:rsid w:val="0039471E"/>
    <w:rsid w:val="00394AB4"/>
    <w:rsid w:val="00394E68"/>
    <w:rsid w:val="00396134"/>
    <w:rsid w:val="003964C5"/>
    <w:rsid w:val="00396A8B"/>
    <w:rsid w:val="00396B38"/>
    <w:rsid w:val="00396C9D"/>
    <w:rsid w:val="0039762A"/>
    <w:rsid w:val="00397848"/>
    <w:rsid w:val="003A05EC"/>
    <w:rsid w:val="003A08D9"/>
    <w:rsid w:val="003A1DC2"/>
    <w:rsid w:val="003A2A68"/>
    <w:rsid w:val="003A2FAF"/>
    <w:rsid w:val="003A4A95"/>
    <w:rsid w:val="003A4D90"/>
    <w:rsid w:val="003A57D3"/>
    <w:rsid w:val="003A5E28"/>
    <w:rsid w:val="003A6BC3"/>
    <w:rsid w:val="003A6FB3"/>
    <w:rsid w:val="003A6FC9"/>
    <w:rsid w:val="003A74D7"/>
    <w:rsid w:val="003A75FB"/>
    <w:rsid w:val="003B0924"/>
    <w:rsid w:val="003B18BC"/>
    <w:rsid w:val="003B2272"/>
    <w:rsid w:val="003B25AB"/>
    <w:rsid w:val="003B26A1"/>
    <w:rsid w:val="003B3E91"/>
    <w:rsid w:val="003B3EB7"/>
    <w:rsid w:val="003B432D"/>
    <w:rsid w:val="003B494A"/>
    <w:rsid w:val="003B4A6C"/>
    <w:rsid w:val="003B51FC"/>
    <w:rsid w:val="003B56E9"/>
    <w:rsid w:val="003B5832"/>
    <w:rsid w:val="003B5B81"/>
    <w:rsid w:val="003B5C7D"/>
    <w:rsid w:val="003B5F65"/>
    <w:rsid w:val="003B62D7"/>
    <w:rsid w:val="003B6783"/>
    <w:rsid w:val="003B7052"/>
    <w:rsid w:val="003B7647"/>
    <w:rsid w:val="003B7828"/>
    <w:rsid w:val="003C0507"/>
    <w:rsid w:val="003C1F57"/>
    <w:rsid w:val="003C2D95"/>
    <w:rsid w:val="003C3215"/>
    <w:rsid w:val="003C411F"/>
    <w:rsid w:val="003C43B2"/>
    <w:rsid w:val="003C4D99"/>
    <w:rsid w:val="003C57E2"/>
    <w:rsid w:val="003C5E20"/>
    <w:rsid w:val="003C5F30"/>
    <w:rsid w:val="003C612C"/>
    <w:rsid w:val="003C6D09"/>
    <w:rsid w:val="003C6D6E"/>
    <w:rsid w:val="003C7862"/>
    <w:rsid w:val="003C7CBA"/>
    <w:rsid w:val="003D13C1"/>
    <w:rsid w:val="003D180E"/>
    <w:rsid w:val="003D26F4"/>
    <w:rsid w:val="003D33E5"/>
    <w:rsid w:val="003D3A9B"/>
    <w:rsid w:val="003D4243"/>
    <w:rsid w:val="003D4AB6"/>
    <w:rsid w:val="003D5576"/>
    <w:rsid w:val="003D5647"/>
    <w:rsid w:val="003D5A8B"/>
    <w:rsid w:val="003D5D73"/>
    <w:rsid w:val="003D62C6"/>
    <w:rsid w:val="003D6BA2"/>
    <w:rsid w:val="003D7042"/>
    <w:rsid w:val="003D7C31"/>
    <w:rsid w:val="003E01A1"/>
    <w:rsid w:val="003E16FD"/>
    <w:rsid w:val="003E2DC5"/>
    <w:rsid w:val="003E2F09"/>
    <w:rsid w:val="003E308F"/>
    <w:rsid w:val="003E3B1C"/>
    <w:rsid w:val="003E3F9D"/>
    <w:rsid w:val="003E4CA8"/>
    <w:rsid w:val="003E5290"/>
    <w:rsid w:val="003E5623"/>
    <w:rsid w:val="003E5768"/>
    <w:rsid w:val="003E5F77"/>
    <w:rsid w:val="003E6470"/>
    <w:rsid w:val="003E686D"/>
    <w:rsid w:val="003E6898"/>
    <w:rsid w:val="003E72C5"/>
    <w:rsid w:val="003E7F50"/>
    <w:rsid w:val="003F00CF"/>
    <w:rsid w:val="003F0295"/>
    <w:rsid w:val="003F0478"/>
    <w:rsid w:val="003F0520"/>
    <w:rsid w:val="003F07D0"/>
    <w:rsid w:val="003F08CB"/>
    <w:rsid w:val="003F1108"/>
    <w:rsid w:val="003F140F"/>
    <w:rsid w:val="003F206F"/>
    <w:rsid w:val="003F20D6"/>
    <w:rsid w:val="003F28AC"/>
    <w:rsid w:val="003F3282"/>
    <w:rsid w:val="003F343A"/>
    <w:rsid w:val="003F40DF"/>
    <w:rsid w:val="003F40EF"/>
    <w:rsid w:val="003F461B"/>
    <w:rsid w:val="003F4641"/>
    <w:rsid w:val="003F486D"/>
    <w:rsid w:val="003F5891"/>
    <w:rsid w:val="003F5FD4"/>
    <w:rsid w:val="003F6755"/>
    <w:rsid w:val="003F7B7F"/>
    <w:rsid w:val="003F7F55"/>
    <w:rsid w:val="00400564"/>
    <w:rsid w:val="00400A7D"/>
    <w:rsid w:val="004024D3"/>
    <w:rsid w:val="004028F0"/>
    <w:rsid w:val="00402B7A"/>
    <w:rsid w:val="0040301F"/>
    <w:rsid w:val="00403346"/>
    <w:rsid w:val="00403351"/>
    <w:rsid w:val="0040395D"/>
    <w:rsid w:val="00404141"/>
    <w:rsid w:val="00404329"/>
    <w:rsid w:val="0040442B"/>
    <w:rsid w:val="00404C6B"/>
    <w:rsid w:val="00405D44"/>
    <w:rsid w:val="00405FC3"/>
    <w:rsid w:val="00406672"/>
    <w:rsid w:val="004068F1"/>
    <w:rsid w:val="0040776F"/>
    <w:rsid w:val="004079A7"/>
    <w:rsid w:val="004100F9"/>
    <w:rsid w:val="00410AE3"/>
    <w:rsid w:val="004113AB"/>
    <w:rsid w:val="004119DB"/>
    <w:rsid w:val="00412AC7"/>
    <w:rsid w:val="00413755"/>
    <w:rsid w:val="00413984"/>
    <w:rsid w:val="00413B48"/>
    <w:rsid w:val="00413F25"/>
    <w:rsid w:val="00414855"/>
    <w:rsid w:val="004148D9"/>
    <w:rsid w:val="004153BF"/>
    <w:rsid w:val="0041589B"/>
    <w:rsid w:val="00415CF5"/>
    <w:rsid w:val="00416393"/>
    <w:rsid w:val="0041646B"/>
    <w:rsid w:val="00416739"/>
    <w:rsid w:val="004167AA"/>
    <w:rsid w:val="0041699B"/>
    <w:rsid w:val="00416E69"/>
    <w:rsid w:val="004176F5"/>
    <w:rsid w:val="00417F43"/>
    <w:rsid w:val="004206BC"/>
    <w:rsid w:val="00420880"/>
    <w:rsid w:val="00420B9A"/>
    <w:rsid w:val="00420FF1"/>
    <w:rsid w:val="0042119E"/>
    <w:rsid w:val="0042188D"/>
    <w:rsid w:val="004220BA"/>
    <w:rsid w:val="004227A8"/>
    <w:rsid w:val="004228A2"/>
    <w:rsid w:val="004228CF"/>
    <w:rsid w:val="00422B5C"/>
    <w:rsid w:val="004232B8"/>
    <w:rsid w:val="00423477"/>
    <w:rsid w:val="00424E8A"/>
    <w:rsid w:val="00425132"/>
    <w:rsid w:val="0042535C"/>
    <w:rsid w:val="00425842"/>
    <w:rsid w:val="00425C7E"/>
    <w:rsid w:val="00425E1D"/>
    <w:rsid w:val="00425FAB"/>
    <w:rsid w:val="0042641F"/>
    <w:rsid w:val="0042652D"/>
    <w:rsid w:val="00426FFD"/>
    <w:rsid w:val="00427093"/>
    <w:rsid w:val="0042758E"/>
    <w:rsid w:val="00427682"/>
    <w:rsid w:val="0042771F"/>
    <w:rsid w:val="00427BB3"/>
    <w:rsid w:val="00427E28"/>
    <w:rsid w:val="004302D3"/>
    <w:rsid w:val="0043053A"/>
    <w:rsid w:val="004307C7"/>
    <w:rsid w:val="00431134"/>
    <w:rsid w:val="00432453"/>
    <w:rsid w:val="00432AED"/>
    <w:rsid w:val="00432E85"/>
    <w:rsid w:val="004330F4"/>
    <w:rsid w:val="004349E5"/>
    <w:rsid w:val="00435092"/>
    <w:rsid w:val="004358A6"/>
    <w:rsid w:val="00435C5F"/>
    <w:rsid w:val="0043688D"/>
    <w:rsid w:val="0043735B"/>
    <w:rsid w:val="0043757D"/>
    <w:rsid w:val="00440849"/>
    <w:rsid w:val="004416EC"/>
    <w:rsid w:val="0044181B"/>
    <w:rsid w:val="00441D44"/>
    <w:rsid w:val="004424D8"/>
    <w:rsid w:val="00442CA7"/>
    <w:rsid w:val="00442D11"/>
    <w:rsid w:val="00442D66"/>
    <w:rsid w:val="00442DAC"/>
    <w:rsid w:val="004431FB"/>
    <w:rsid w:val="0044329B"/>
    <w:rsid w:val="00443366"/>
    <w:rsid w:val="004435A9"/>
    <w:rsid w:val="00443CDC"/>
    <w:rsid w:val="00443CE0"/>
    <w:rsid w:val="00443F9D"/>
    <w:rsid w:val="004448FD"/>
    <w:rsid w:val="00444DB7"/>
    <w:rsid w:val="0044543C"/>
    <w:rsid w:val="0044560B"/>
    <w:rsid w:val="004460E2"/>
    <w:rsid w:val="004463AB"/>
    <w:rsid w:val="00446E78"/>
    <w:rsid w:val="00446EBB"/>
    <w:rsid w:val="00447291"/>
    <w:rsid w:val="00447691"/>
    <w:rsid w:val="004476C9"/>
    <w:rsid w:val="004478AA"/>
    <w:rsid w:val="00447B41"/>
    <w:rsid w:val="00450092"/>
    <w:rsid w:val="00450DAC"/>
    <w:rsid w:val="00450E49"/>
    <w:rsid w:val="0045171B"/>
    <w:rsid w:val="00451F65"/>
    <w:rsid w:val="00452099"/>
    <w:rsid w:val="00452767"/>
    <w:rsid w:val="00453670"/>
    <w:rsid w:val="00453707"/>
    <w:rsid w:val="00453871"/>
    <w:rsid w:val="00453C44"/>
    <w:rsid w:val="00453D93"/>
    <w:rsid w:val="0045451E"/>
    <w:rsid w:val="0045479D"/>
    <w:rsid w:val="00454D36"/>
    <w:rsid w:val="00454F7B"/>
    <w:rsid w:val="00455117"/>
    <w:rsid w:val="00455127"/>
    <w:rsid w:val="00455AEE"/>
    <w:rsid w:val="00455F97"/>
    <w:rsid w:val="0045677F"/>
    <w:rsid w:val="00456FED"/>
    <w:rsid w:val="00456FF4"/>
    <w:rsid w:val="0046012A"/>
    <w:rsid w:val="00460193"/>
    <w:rsid w:val="00460438"/>
    <w:rsid w:val="00460E0A"/>
    <w:rsid w:val="0046266A"/>
    <w:rsid w:val="00463083"/>
    <w:rsid w:val="00463699"/>
    <w:rsid w:val="00463C64"/>
    <w:rsid w:val="00463EDD"/>
    <w:rsid w:val="00464243"/>
    <w:rsid w:val="00464936"/>
    <w:rsid w:val="00464A6D"/>
    <w:rsid w:val="004650C0"/>
    <w:rsid w:val="004653F0"/>
    <w:rsid w:val="004655F9"/>
    <w:rsid w:val="004657C2"/>
    <w:rsid w:val="004666DD"/>
    <w:rsid w:val="00466B03"/>
    <w:rsid w:val="004672F6"/>
    <w:rsid w:val="00467505"/>
    <w:rsid w:val="00467C85"/>
    <w:rsid w:val="00467DC2"/>
    <w:rsid w:val="004706DE"/>
    <w:rsid w:val="00470EE8"/>
    <w:rsid w:val="00472175"/>
    <w:rsid w:val="0047236B"/>
    <w:rsid w:val="004723C1"/>
    <w:rsid w:val="0047248C"/>
    <w:rsid w:val="00472DC7"/>
    <w:rsid w:val="00473505"/>
    <w:rsid w:val="0047381C"/>
    <w:rsid w:val="00473C2B"/>
    <w:rsid w:val="0047402D"/>
    <w:rsid w:val="004744AF"/>
    <w:rsid w:val="0047484A"/>
    <w:rsid w:val="00474928"/>
    <w:rsid w:val="004759E7"/>
    <w:rsid w:val="004764BA"/>
    <w:rsid w:val="00476603"/>
    <w:rsid w:val="00476B67"/>
    <w:rsid w:val="004770E4"/>
    <w:rsid w:val="004772D4"/>
    <w:rsid w:val="004775D5"/>
    <w:rsid w:val="0047772C"/>
    <w:rsid w:val="00477C71"/>
    <w:rsid w:val="00480B40"/>
    <w:rsid w:val="00480CDC"/>
    <w:rsid w:val="0048147D"/>
    <w:rsid w:val="00481AF5"/>
    <w:rsid w:val="00482F68"/>
    <w:rsid w:val="00483218"/>
    <w:rsid w:val="00485091"/>
    <w:rsid w:val="00485C23"/>
    <w:rsid w:val="0048659E"/>
    <w:rsid w:val="004865C2"/>
    <w:rsid w:val="004869D2"/>
    <w:rsid w:val="00486B2E"/>
    <w:rsid w:val="00490B67"/>
    <w:rsid w:val="004911FA"/>
    <w:rsid w:val="0049191A"/>
    <w:rsid w:val="00491E8C"/>
    <w:rsid w:val="0049229F"/>
    <w:rsid w:val="00492301"/>
    <w:rsid w:val="004939D6"/>
    <w:rsid w:val="0049416D"/>
    <w:rsid w:val="00494352"/>
    <w:rsid w:val="00494492"/>
    <w:rsid w:val="00494B1A"/>
    <w:rsid w:val="00495BF5"/>
    <w:rsid w:val="0049639D"/>
    <w:rsid w:val="00496F21"/>
    <w:rsid w:val="00497D65"/>
    <w:rsid w:val="004A0742"/>
    <w:rsid w:val="004A1332"/>
    <w:rsid w:val="004A1701"/>
    <w:rsid w:val="004A1ADE"/>
    <w:rsid w:val="004A296E"/>
    <w:rsid w:val="004A3308"/>
    <w:rsid w:val="004A3535"/>
    <w:rsid w:val="004A375A"/>
    <w:rsid w:val="004A391C"/>
    <w:rsid w:val="004A4B1E"/>
    <w:rsid w:val="004A4E87"/>
    <w:rsid w:val="004A58BD"/>
    <w:rsid w:val="004A5CA4"/>
    <w:rsid w:val="004A6431"/>
    <w:rsid w:val="004A6948"/>
    <w:rsid w:val="004A6C9B"/>
    <w:rsid w:val="004A6EF9"/>
    <w:rsid w:val="004A7282"/>
    <w:rsid w:val="004B037E"/>
    <w:rsid w:val="004B0FED"/>
    <w:rsid w:val="004B11A8"/>
    <w:rsid w:val="004B11D5"/>
    <w:rsid w:val="004B1EE6"/>
    <w:rsid w:val="004B2236"/>
    <w:rsid w:val="004B2275"/>
    <w:rsid w:val="004B240B"/>
    <w:rsid w:val="004B2699"/>
    <w:rsid w:val="004B330E"/>
    <w:rsid w:val="004B3BEB"/>
    <w:rsid w:val="004B3F3B"/>
    <w:rsid w:val="004B4104"/>
    <w:rsid w:val="004B41B8"/>
    <w:rsid w:val="004B429A"/>
    <w:rsid w:val="004B42E2"/>
    <w:rsid w:val="004B4BC6"/>
    <w:rsid w:val="004B4E46"/>
    <w:rsid w:val="004B5DA2"/>
    <w:rsid w:val="004B5F81"/>
    <w:rsid w:val="004B60D6"/>
    <w:rsid w:val="004B6167"/>
    <w:rsid w:val="004B64BF"/>
    <w:rsid w:val="004B660B"/>
    <w:rsid w:val="004B6715"/>
    <w:rsid w:val="004B67AB"/>
    <w:rsid w:val="004B70EA"/>
    <w:rsid w:val="004B7331"/>
    <w:rsid w:val="004B77CF"/>
    <w:rsid w:val="004B7910"/>
    <w:rsid w:val="004B7AFD"/>
    <w:rsid w:val="004B7E27"/>
    <w:rsid w:val="004C007D"/>
    <w:rsid w:val="004C02CD"/>
    <w:rsid w:val="004C0563"/>
    <w:rsid w:val="004C0E38"/>
    <w:rsid w:val="004C11AF"/>
    <w:rsid w:val="004C13AE"/>
    <w:rsid w:val="004C2028"/>
    <w:rsid w:val="004C2A03"/>
    <w:rsid w:val="004C39FE"/>
    <w:rsid w:val="004C3D4C"/>
    <w:rsid w:val="004C41C1"/>
    <w:rsid w:val="004C4640"/>
    <w:rsid w:val="004C481D"/>
    <w:rsid w:val="004C4A5E"/>
    <w:rsid w:val="004C4F03"/>
    <w:rsid w:val="004C59B4"/>
    <w:rsid w:val="004C5D77"/>
    <w:rsid w:val="004C7706"/>
    <w:rsid w:val="004C786F"/>
    <w:rsid w:val="004C7E2E"/>
    <w:rsid w:val="004D09DD"/>
    <w:rsid w:val="004D1076"/>
    <w:rsid w:val="004D125D"/>
    <w:rsid w:val="004D1347"/>
    <w:rsid w:val="004D2742"/>
    <w:rsid w:val="004D3592"/>
    <w:rsid w:val="004D3780"/>
    <w:rsid w:val="004D399A"/>
    <w:rsid w:val="004D3BA6"/>
    <w:rsid w:val="004D4126"/>
    <w:rsid w:val="004D4128"/>
    <w:rsid w:val="004D465A"/>
    <w:rsid w:val="004D49C0"/>
    <w:rsid w:val="004D4E5C"/>
    <w:rsid w:val="004D56C9"/>
    <w:rsid w:val="004D5905"/>
    <w:rsid w:val="004D6066"/>
    <w:rsid w:val="004D6263"/>
    <w:rsid w:val="004D70DA"/>
    <w:rsid w:val="004D720E"/>
    <w:rsid w:val="004D7293"/>
    <w:rsid w:val="004D7C49"/>
    <w:rsid w:val="004E16F5"/>
    <w:rsid w:val="004E1A81"/>
    <w:rsid w:val="004E1D7F"/>
    <w:rsid w:val="004E2107"/>
    <w:rsid w:val="004E2230"/>
    <w:rsid w:val="004E236A"/>
    <w:rsid w:val="004E23F4"/>
    <w:rsid w:val="004E251F"/>
    <w:rsid w:val="004E2873"/>
    <w:rsid w:val="004E318E"/>
    <w:rsid w:val="004E33AD"/>
    <w:rsid w:val="004E3679"/>
    <w:rsid w:val="004E44F8"/>
    <w:rsid w:val="004E48B4"/>
    <w:rsid w:val="004E4F07"/>
    <w:rsid w:val="004E5040"/>
    <w:rsid w:val="004E58BB"/>
    <w:rsid w:val="004E5C2C"/>
    <w:rsid w:val="004E6352"/>
    <w:rsid w:val="004E6534"/>
    <w:rsid w:val="004E76A2"/>
    <w:rsid w:val="004E7C21"/>
    <w:rsid w:val="004F09D2"/>
    <w:rsid w:val="004F0E2D"/>
    <w:rsid w:val="004F1914"/>
    <w:rsid w:val="004F204C"/>
    <w:rsid w:val="004F282F"/>
    <w:rsid w:val="004F31DE"/>
    <w:rsid w:val="004F3C6D"/>
    <w:rsid w:val="004F4154"/>
    <w:rsid w:val="004F49A3"/>
    <w:rsid w:val="004F4B7A"/>
    <w:rsid w:val="004F4BF0"/>
    <w:rsid w:val="004F53F7"/>
    <w:rsid w:val="004F5576"/>
    <w:rsid w:val="004F6B95"/>
    <w:rsid w:val="004F711F"/>
    <w:rsid w:val="004F7322"/>
    <w:rsid w:val="004F7452"/>
    <w:rsid w:val="004F7526"/>
    <w:rsid w:val="004F75CA"/>
    <w:rsid w:val="004F75E8"/>
    <w:rsid w:val="004F78A2"/>
    <w:rsid w:val="004F7E2C"/>
    <w:rsid w:val="00500309"/>
    <w:rsid w:val="00500525"/>
    <w:rsid w:val="00500635"/>
    <w:rsid w:val="00500B45"/>
    <w:rsid w:val="00501604"/>
    <w:rsid w:val="00501CD2"/>
    <w:rsid w:val="00501DC1"/>
    <w:rsid w:val="00501F99"/>
    <w:rsid w:val="00502322"/>
    <w:rsid w:val="00502A82"/>
    <w:rsid w:val="005031C7"/>
    <w:rsid w:val="005041B7"/>
    <w:rsid w:val="00504F5B"/>
    <w:rsid w:val="0050528E"/>
    <w:rsid w:val="00505F93"/>
    <w:rsid w:val="00506084"/>
    <w:rsid w:val="005065DB"/>
    <w:rsid w:val="00506CAC"/>
    <w:rsid w:val="00506CDE"/>
    <w:rsid w:val="00506FC9"/>
    <w:rsid w:val="00507A67"/>
    <w:rsid w:val="00507AF0"/>
    <w:rsid w:val="00507F63"/>
    <w:rsid w:val="005105BE"/>
    <w:rsid w:val="005108D5"/>
    <w:rsid w:val="00510FAF"/>
    <w:rsid w:val="00511063"/>
    <w:rsid w:val="00511264"/>
    <w:rsid w:val="0051143E"/>
    <w:rsid w:val="00511BAC"/>
    <w:rsid w:val="00511C30"/>
    <w:rsid w:val="005120EC"/>
    <w:rsid w:val="00512F3F"/>
    <w:rsid w:val="0051333C"/>
    <w:rsid w:val="005140B2"/>
    <w:rsid w:val="005145AD"/>
    <w:rsid w:val="00514AA4"/>
    <w:rsid w:val="00515C5E"/>
    <w:rsid w:val="00515FFA"/>
    <w:rsid w:val="005165B1"/>
    <w:rsid w:val="005165C5"/>
    <w:rsid w:val="00516A7D"/>
    <w:rsid w:val="00516DDB"/>
    <w:rsid w:val="0051708A"/>
    <w:rsid w:val="0051768D"/>
    <w:rsid w:val="00517874"/>
    <w:rsid w:val="00520763"/>
    <w:rsid w:val="00520865"/>
    <w:rsid w:val="00520D0E"/>
    <w:rsid w:val="00521D42"/>
    <w:rsid w:val="00522C98"/>
    <w:rsid w:val="00522CCA"/>
    <w:rsid w:val="005235A7"/>
    <w:rsid w:val="0052374C"/>
    <w:rsid w:val="00523A6D"/>
    <w:rsid w:val="00523D92"/>
    <w:rsid w:val="0052480A"/>
    <w:rsid w:val="00524D01"/>
    <w:rsid w:val="00525136"/>
    <w:rsid w:val="005253BE"/>
    <w:rsid w:val="0052649B"/>
    <w:rsid w:val="00526535"/>
    <w:rsid w:val="0052682A"/>
    <w:rsid w:val="005268B2"/>
    <w:rsid w:val="00526B71"/>
    <w:rsid w:val="0052714B"/>
    <w:rsid w:val="00527C81"/>
    <w:rsid w:val="00530531"/>
    <w:rsid w:val="00530632"/>
    <w:rsid w:val="00530B5C"/>
    <w:rsid w:val="00531369"/>
    <w:rsid w:val="005313AC"/>
    <w:rsid w:val="005314BC"/>
    <w:rsid w:val="00531EA8"/>
    <w:rsid w:val="00532448"/>
    <w:rsid w:val="0053249D"/>
    <w:rsid w:val="00532643"/>
    <w:rsid w:val="0053270F"/>
    <w:rsid w:val="00533270"/>
    <w:rsid w:val="0053332D"/>
    <w:rsid w:val="00533533"/>
    <w:rsid w:val="00533DBD"/>
    <w:rsid w:val="0053488F"/>
    <w:rsid w:val="00534C74"/>
    <w:rsid w:val="00534E68"/>
    <w:rsid w:val="0053507F"/>
    <w:rsid w:val="005351C1"/>
    <w:rsid w:val="00535341"/>
    <w:rsid w:val="00535436"/>
    <w:rsid w:val="00535CF7"/>
    <w:rsid w:val="00535E7A"/>
    <w:rsid w:val="00536477"/>
    <w:rsid w:val="00536C1F"/>
    <w:rsid w:val="0053708A"/>
    <w:rsid w:val="0053718C"/>
    <w:rsid w:val="00537845"/>
    <w:rsid w:val="00537B0D"/>
    <w:rsid w:val="00537EB3"/>
    <w:rsid w:val="00540F43"/>
    <w:rsid w:val="00540FB0"/>
    <w:rsid w:val="005421DC"/>
    <w:rsid w:val="005421DD"/>
    <w:rsid w:val="00542FEC"/>
    <w:rsid w:val="00543317"/>
    <w:rsid w:val="00543933"/>
    <w:rsid w:val="00544131"/>
    <w:rsid w:val="005444B6"/>
    <w:rsid w:val="00544764"/>
    <w:rsid w:val="0054491E"/>
    <w:rsid w:val="00544B41"/>
    <w:rsid w:val="00544CAE"/>
    <w:rsid w:val="0054500B"/>
    <w:rsid w:val="00545D25"/>
    <w:rsid w:val="005475AB"/>
    <w:rsid w:val="005476ED"/>
    <w:rsid w:val="00547E76"/>
    <w:rsid w:val="00551A92"/>
    <w:rsid w:val="00551CC6"/>
    <w:rsid w:val="00551F7A"/>
    <w:rsid w:val="00551FA1"/>
    <w:rsid w:val="00552025"/>
    <w:rsid w:val="0055271F"/>
    <w:rsid w:val="005529A2"/>
    <w:rsid w:val="00552AE8"/>
    <w:rsid w:val="00553716"/>
    <w:rsid w:val="00553798"/>
    <w:rsid w:val="00554AA1"/>
    <w:rsid w:val="00554F76"/>
    <w:rsid w:val="00555028"/>
    <w:rsid w:val="0055511E"/>
    <w:rsid w:val="005554D6"/>
    <w:rsid w:val="005555EB"/>
    <w:rsid w:val="005562DA"/>
    <w:rsid w:val="005563FA"/>
    <w:rsid w:val="005564A3"/>
    <w:rsid w:val="005576C1"/>
    <w:rsid w:val="005576F6"/>
    <w:rsid w:val="00557D87"/>
    <w:rsid w:val="005600D2"/>
    <w:rsid w:val="00560E4B"/>
    <w:rsid w:val="005611E0"/>
    <w:rsid w:val="0056158B"/>
    <w:rsid w:val="005618F2"/>
    <w:rsid w:val="00561C87"/>
    <w:rsid w:val="00561CF6"/>
    <w:rsid w:val="00561FF4"/>
    <w:rsid w:val="00562A52"/>
    <w:rsid w:val="005630D6"/>
    <w:rsid w:val="005641E0"/>
    <w:rsid w:val="0056477C"/>
    <w:rsid w:val="00565833"/>
    <w:rsid w:val="00566542"/>
    <w:rsid w:val="005667A6"/>
    <w:rsid w:val="005667F9"/>
    <w:rsid w:val="00566CBF"/>
    <w:rsid w:val="00566E41"/>
    <w:rsid w:val="00567BB4"/>
    <w:rsid w:val="005703F5"/>
    <w:rsid w:val="00570A10"/>
    <w:rsid w:val="00571342"/>
    <w:rsid w:val="005714E9"/>
    <w:rsid w:val="005716EF"/>
    <w:rsid w:val="005720E1"/>
    <w:rsid w:val="00572764"/>
    <w:rsid w:val="00572C80"/>
    <w:rsid w:val="005733A0"/>
    <w:rsid w:val="00573497"/>
    <w:rsid w:val="005735DA"/>
    <w:rsid w:val="00573A10"/>
    <w:rsid w:val="00573E37"/>
    <w:rsid w:val="00573F18"/>
    <w:rsid w:val="005743B5"/>
    <w:rsid w:val="005743F5"/>
    <w:rsid w:val="00574A30"/>
    <w:rsid w:val="0057500B"/>
    <w:rsid w:val="00575792"/>
    <w:rsid w:val="00575CC7"/>
    <w:rsid w:val="005763C3"/>
    <w:rsid w:val="00576A84"/>
    <w:rsid w:val="00576B74"/>
    <w:rsid w:val="00576E14"/>
    <w:rsid w:val="0057791D"/>
    <w:rsid w:val="005779BC"/>
    <w:rsid w:val="00577AAB"/>
    <w:rsid w:val="00580686"/>
    <w:rsid w:val="005807E2"/>
    <w:rsid w:val="0058099E"/>
    <w:rsid w:val="00581332"/>
    <w:rsid w:val="005817C6"/>
    <w:rsid w:val="0058188E"/>
    <w:rsid w:val="00581956"/>
    <w:rsid w:val="00581E25"/>
    <w:rsid w:val="0058212D"/>
    <w:rsid w:val="00582517"/>
    <w:rsid w:val="00583660"/>
    <w:rsid w:val="00584547"/>
    <w:rsid w:val="00584D04"/>
    <w:rsid w:val="005854D1"/>
    <w:rsid w:val="00585E85"/>
    <w:rsid w:val="00585F35"/>
    <w:rsid w:val="0058695B"/>
    <w:rsid w:val="00586CA9"/>
    <w:rsid w:val="00587080"/>
    <w:rsid w:val="00587182"/>
    <w:rsid w:val="005879AF"/>
    <w:rsid w:val="0059114B"/>
    <w:rsid w:val="00591F99"/>
    <w:rsid w:val="00593565"/>
    <w:rsid w:val="0059368B"/>
    <w:rsid w:val="005939B5"/>
    <w:rsid w:val="0059498A"/>
    <w:rsid w:val="00595B70"/>
    <w:rsid w:val="00596BE8"/>
    <w:rsid w:val="00596D3D"/>
    <w:rsid w:val="00597112"/>
    <w:rsid w:val="0059712B"/>
    <w:rsid w:val="005976BB"/>
    <w:rsid w:val="00597DCD"/>
    <w:rsid w:val="005A091C"/>
    <w:rsid w:val="005A1004"/>
    <w:rsid w:val="005A1C7D"/>
    <w:rsid w:val="005A293A"/>
    <w:rsid w:val="005A356F"/>
    <w:rsid w:val="005A3658"/>
    <w:rsid w:val="005A39E8"/>
    <w:rsid w:val="005A3EA0"/>
    <w:rsid w:val="005A5079"/>
    <w:rsid w:val="005A52BD"/>
    <w:rsid w:val="005A6E47"/>
    <w:rsid w:val="005A7F16"/>
    <w:rsid w:val="005B0651"/>
    <w:rsid w:val="005B126C"/>
    <w:rsid w:val="005B192E"/>
    <w:rsid w:val="005B21A2"/>
    <w:rsid w:val="005B2461"/>
    <w:rsid w:val="005B2A28"/>
    <w:rsid w:val="005B2B6C"/>
    <w:rsid w:val="005B2D67"/>
    <w:rsid w:val="005B32DB"/>
    <w:rsid w:val="005B3419"/>
    <w:rsid w:val="005B4101"/>
    <w:rsid w:val="005B4471"/>
    <w:rsid w:val="005B459C"/>
    <w:rsid w:val="005B484D"/>
    <w:rsid w:val="005B5082"/>
    <w:rsid w:val="005B5A06"/>
    <w:rsid w:val="005B5C86"/>
    <w:rsid w:val="005B65EE"/>
    <w:rsid w:val="005B670C"/>
    <w:rsid w:val="005B6D0E"/>
    <w:rsid w:val="005B752F"/>
    <w:rsid w:val="005C1415"/>
    <w:rsid w:val="005C1D83"/>
    <w:rsid w:val="005C1E84"/>
    <w:rsid w:val="005C2111"/>
    <w:rsid w:val="005C256E"/>
    <w:rsid w:val="005C2820"/>
    <w:rsid w:val="005C347A"/>
    <w:rsid w:val="005C40A5"/>
    <w:rsid w:val="005C4F00"/>
    <w:rsid w:val="005C55E0"/>
    <w:rsid w:val="005C5DD4"/>
    <w:rsid w:val="005C6811"/>
    <w:rsid w:val="005C7853"/>
    <w:rsid w:val="005C7A10"/>
    <w:rsid w:val="005D02E0"/>
    <w:rsid w:val="005D0301"/>
    <w:rsid w:val="005D14B5"/>
    <w:rsid w:val="005D1ADB"/>
    <w:rsid w:val="005D280D"/>
    <w:rsid w:val="005D293C"/>
    <w:rsid w:val="005D2C21"/>
    <w:rsid w:val="005D31D6"/>
    <w:rsid w:val="005D3B1D"/>
    <w:rsid w:val="005D4782"/>
    <w:rsid w:val="005D49A0"/>
    <w:rsid w:val="005D4ECD"/>
    <w:rsid w:val="005D5307"/>
    <w:rsid w:val="005D5DD2"/>
    <w:rsid w:val="005D5EDF"/>
    <w:rsid w:val="005D5F27"/>
    <w:rsid w:val="005D6725"/>
    <w:rsid w:val="005D6929"/>
    <w:rsid w:val="005D7B8F"/>
    <w:rsid w:val="005D7C0C"/>
    <w:rsid w:val="005D7D92"/>
    <w:rsid w:val="005E00A2"/>
    <w:rsid w:val="005E09E0"/>
    <w:rsid w:val="005E13F2"/>
    <w:rsid w:val="005E158A"/>
    <w:rsid w:val="005E1706"/>
    <w:rsid w:val="005E1746"/>
    <w:rsid w:val="005E184F"/>
    <w:rsid w:val="005E1F83"/>
    <w:rsid w:val="005E25AF"/>
    <w:rsid w:val="005E26B9"/>
    <w:rsid w:val="005E2B70"/>
    <w:rsid w:val="005E2ED3"/>
    <w:rsid w:val="005E31A8"/>
    <w:rsid w:val="005E338D"/>
    <w:rsid w:val="005E33EB"/>
    <w:rsid w:val="005E37E0"/>
    <w:rsid w:val="005E3A10"/>
    <w:rsid w:val="005E3B62"/>
    <w:rsid w:val="005E44BD"/>
    <w:rsid w:val="005E4977"/>
    <w:rsid w:val="005E4A54"/>
    <w:rsid w:val="005E4E51"/>
    <w:rsid w:val="005E512B"/>
    <w:rsid w:val="005E61D2"/>
    <w:rsid w:val="005E6950"/>
    <w:rsid w:val="005E7B65"/>
    <w:rsid w:val="005F01DF"/>
    <w:rsid w:val="005F2784"/>
    <w:rsid w:val="005F27DB"/>
    <w:rsid w:val="005F299C"/>
    <w:rsid w:val="005F2BC7"/>
    <w:rsid w:val="005F3539"/>
    <w:rsid w:val="005F35E1"/>
    <w:rsid w:val="005F385C"/>
    <w:rsid w:val="005F4333"/>
    <w:rsid w:val="005F51AE"/>
    <w:rsid w:val="005F5303"/>
    <w:rsid w:val="005F592D"/>
    <w:rsid w:val="005F5D67"/>
    <w:rsid w:val="005F62A5"/>
    <w:rsid w:val="005F663F"/>
    <w:rsid w:val="005F6EC4"/>
    <w:rsid w:val="005F76E4"/>
    <w:rsid w:val="005F78D9"/>
    <w:rsid w:val="00600E77"/>
    <w:rsid w:val="00600F4C"/>
    <w:rsid w:val="006011C9"/>
    <w:rsid w:val="006013AC"/>
    <w:rsid w:val="006022C4"/>
    <w:rsid w:val="006026FA"/>
    <w:rsid w:val="006027BF"/>
    <w:rsid w:val="006029BF"/>
    <w:rsid w:val="006029D5"/>
    <w:rsid w:val="00603A60"/>
    <w:rsid w:val="00603A7F"/>
    <w:rsid w:val="00603FE3"/>
    <w:rsid w:val="006042E4"/>
    <w:rsid w:val="00605667"/>
    <w:rsid w:val="006058C0"/>
    <w:rsid w:val="00605C74"/>
    <w:rsid w:val="006063FA"/>
    <w:rsid w:val="006067B6"/>
    <w:rsid w:val="00606A07"/>
    <w:rsid w:val="00606A25"/>
    <w:rsid w:val="00606D82"/>
    <w:rsid w:val="0060755E"/>
    <w:rsid w:val="00607C55"/>
    <w:rsid w:val="00610004"/>
    <w:rsid w:val="00610007"/>
    <w:rsid w:val="00610142"/>
    <w:rsid w:val="00610232"/>
    <w:rsid w:val="006109E8"/>
    <w:rsid w:val="00610FB7"/>
    <w:rsid w:val="006110E1"/>
    <w:rsid w:val="00611A1C"/>
    <w:rsid w:val="006124C0"/>
    <w:rsid w:val="006124DA"/>
    <w:rsid w:val="00612E3B"/>
    <w:rsid w:val="00613BDF"/>
    <w:rsid w:val="00613F4A"/>
    <w:rsid w:val="00613FDB"/>
    <w:rsid w:val="0061456A"/>
    <w:rsid w:val="006145DF"/>
    <w:rsid w:val="00615507"/>
    <w:rsid w:val="00615A45"/>
    <w:rsid w:val="00615EE4"/>
    <w:rsid w:val="00615F54"/>
    <w:rsid w:val="00616714"/>
    <w:rsid w:val="00616DB3"/>
    <w:rsid w:val="00616E04"/>
    <w:rsid w:val="00617321"/>
    <w:rsid w:val="006174E1"/>
    <w:rsid w:val="006174F1"/>
    <w:rsid w:val="00617BE6"/>
    <w:rsid w:val="00617C91"/>
    <w:rsid w:val="00617CD4"/>
    <w:rsid w:val="006201D9"/>
    <w:rsid w:val="00620757"/>
    <w:rsid w:val="0062077F"/>
    <w:rsid w:val="006208C8"/>
    <w:rsid w:val="00620D81"/>
    <w:rsid w:val="00620D99"/>
    <w:rsid w:val="00620DCE"/>
    <w:rsid w:val="00621ACD"/>
    <w:rsid w:val="00621EDF"/>
    <w:rsid w:val="00622C3A"/>
    <w:rsid w:val="00622D27"/>
    <w:rsid w:val="006241E8"/>
    <w:rsid w:val="006248FB"/>
    <w:rsid w:val="00624DBE"/>
    <w:rsid w:val="00626D8E"/>
    <w:rsid w:val="0062710F"/>
    <w:rsid w:val="006274D3"/>
    <w:rsid w:val="006274D5"/>
    <w:rsid w:val="006275E2"/>
    <w:rsid w:val="00630C8B"/>
    <w:rsid w:val="00631287"/>
    <w:rsid w:val="006316A9"/>
    <w:rsid w:val="00631BDB"/>
    <w:rsid w:val="0063207C"/>
    <w:rsid w:val="0063218C"/>
    <w:rsid w:val="0063315F"/>
    <w:rsid w:val="006339B2"/>
    <w:rsid w:val="00633F16"/>
    <w:rsid w:val="006346A7"/>
    <w:rsid w:val="00634758"/>
    <w:rsid w:val="0063493A"/>
    <w:rsid w:val="00634DF0"/>
    <w:rsid w:val="00634E2A"/>
    <w:rsid w:val="00634E57"/>
    <w:rsid w:val="00635498"/>
    <w:rsid w:val="006354D1"/>
    <w:rsid w:val="006355E1"/>
    <w:rsid w:val="006355FE"/>
    <w:rsid w:val="00636419"/>
    <w:rsid w:val="00636491"/>
    <w:rsid w:val="0063710A"/>
    <w:rsid w:val="00637734"/>
    <w:rsid w:val="0064033E"/>
    <w:rsid w:val="00640769"/>
    <w:rsid w:val="00641C18"/>
    <w:rsid w:val="00641CD8"/>
    <w:rsid w:val="00642CCD"/>
    <w:rsid w:val="00642E2D"/>
    <w:rsid w:val="006436E4"/>
    <w:rsid w:val="00643D18"/>
    <w:rsid w:val="00643D74"/>
    <w:rsid w:val="00644CF6"/>
    <w:rsid w:val="006451A5"/>
    <w:rsid w:val="00645E5C"/>
    <w:rsid w:val="00646948"/>
    <w:rsid w:val="0064730C"/>
    <w:rsid w:val="00647823"/>
    <w:rsid w:val="00647A27"/>
    <w:rsid w:val="00647B89"/>
    <w:rsid w:val="00647D0E"/>
    <w:rsid w:val="00647EE7"/>
    <w:rsid w:val="0065049C"/>
    <w:rsid w:val="0065053B"/>
    <w:rsid w:val="0065110E"/>
    <w:rsid w:val="00651747"/>
    <w:rsid w:val="006518C8"/>
    <w:rsid w:val="00652F8E"/>
    <w:rsid w:val="0065356F"/>
    <w:rsid w:val="00653F75"/>
    <w:rsid w:val="006544DA"/>
    <w:rsid w:val="0065474D"/>
    <w:rsid w:val="00655627"/>
    <w:rsid w:val="00655976"/>
    <w:rsid w:val="006565C7"/>
    <w:rsid w:val="00657DA9"/>
    <w:rsid w:val="00660426"/>
    <w:rsid w:val="00660500"/>
    <w:rsid w:val="00660648"/>
    <w:rsid w:val="006609D5"/>
    <w:rsid w:val="0066266E"/>
    <w:rsid w:val="006627C3"/>
    <w:rsid w:val="0066286D"/>
    <w:rsid w:val="00662881"/>
    <w:rsid w:val="00662E3B"/>
    <w:rsid w:val="00662E82"/>
    <w:rsid w:val="00662ECA"/>
    <w:rsid w:val="006630C2"/>
    <w:rsid w:val="00663423"/>
    <w:rsid w:val="0066455B"/>
    <w:rsid w:val="00664BD6"/>
    <w:rsid w:val="00664E6D"/>
    <w:rsid w:val="00665376"/>
    <w:rsid w:val="00665FFE"/>
    <w:rsid w:val="006662B0"/>
    <w:rsid w:val="00666383"/>
    <w:rsid w:val="006667DF"/>
    <w:rsid w:val="00666816"/>
    <w:rsid w:val="006673E6"/>
    <w:rsid w:val="0066780C"/>
    <w:rsid w:val="006706F3"/>
    <w:rsid w:val="0067078F"/>
    <w:rsid w:val="00670BD4"/>
    <w:rsid w:val="00671038"/>
    <w:rsid w:val="0067128F"/>
    <w:rsid w:val="00671E5D"/>
    <w:rsid w:val="00671FDE"/>
    <w:rsid w:val="006723A3"/>
    <w:rsid w:val="00672751"/>
    <w:rsid w:val="00673410"/>
    <w:rsid w:val="00673ECD"/>
    <w:rsid w:val="00674015"/>
    <w:rsid w:val="006746BE"/>
    <w:rsid w:val="00674EDA"/>
    <w:rsid w:val="00675054"/>
    <w:rsid w:val="006756E0"/>
    <w:rsid w:val="00676451"/>
    <w:rsid w:val="00676AB4"/>
    <w:rsid w:val="006770B1"/>
    <w:rsid w:val="00680989"/>
    <w:rsid w:val="00681157"/>
    <w:rsid w:val="00681257"/>
    <w:rsid w:val="006814C7"/>
    <w:rsid w:val="00681C10"/>
    <w:rsid w:val="00681FB1"/>
    <w:rsid w:val="00682682"/>
    <w:rsid w:val="00682CE9"/>
    <w:rsid w:val="00682D8C"/>
    <w:rsid w:val="0068360F"/>
    <w:rsid w:val="0068371E"/>
    <w:rsid w:val="00684A44"/>
    <w:rsid w:val="00684E09"/>
    <w:rsid w:val="006851FA"/>
    <w:rsid w:val="00685806"/>
    <w:rsid w:val="00686385"/>
    <w:rsid w:val="006863B3"/>
    <w:rsid w:val="0068664B"/>
    <w:rsid w:val="00686912"/>
    <w:rsid w:val="00686A30"/>
    <w:rsid w:val="0068731E"/>
    <w:rsid w:val="006875F0"/>
    <w:rsid w:val="0068788B"/>
    <w:rsid w:val="0069057D"/>
    <w:rsid w:val="00690D80"/>
    <w:rsid w:val="00691699"/>
    <w:rsid w:val="00691C41"/>
    <w:rsid w:val="00692319"/>
    <w:rsid w:val="00692FA7"/>
    <w:rsid w:val="0069343A"/>
    <w:rsid w:val="006936E7"/>
    <w:rsid w:val="006940C5"/>
    <w:rsid w:val="006947E7"/>
    <w:rsid w:val="0069648E"/>
    <w:rsid w:val="00697657"/>
    <w:rsid w:val="006A0C92"/>
    <w:rsid w:val="006A1552"/>
    <w:rsid w:val="006A19FE"/>
    <w:rsid w:val="006A1CCC"/>
    <w:rsid w:val="006A1D33"/>
    <w:rsid w:val="006A1DC7"/>
    <w:rsid w:val="006A2126"/>
    <w:rsid w:val="006A2CE8"/>
    <w:rsid w:val="006A361B"/>
    <w:rsid w:val="006A3793"/>
    <w:rsid w:val="006A38CB"/>
    <w:rsid w:val="006A3CC5"/>
    <w:rsid w:val="006A42C0"/>
    <w:rsid w:val="006A4B27"/>
    <w:rsid w:val="006A4BC0"/>
    <w:rsid w:val="006A5157"/>
    <w:rsid w:val="006A5AF4"/>
    <w:rsid w:val="006A610C"/>
    <w:rsid w:val="006A6522"/>
    <w:rsid w:val="006A7D81"/>
    <w:rsid w:val="006B0661"/>
    <w:rsid w:val="006B0CF1"/>
    <w:rsid w:val="006B0D28"/>
    <w:rsid w:val="006B0F94"/>
    <w:rsid w:val="006B1143"/>
    <w:rsid w:val="006B18AB"/>
    <w:rsid w:val="006B2D64"/>
    <w:rsid w:val="006B3277"/>
    <w:rsid w:val="006B32B6"/>
    <w:rsid w:val="006B34E8"/>
    <w:rsid w:val="006B3A3B"/>
    <w:rsid w:val="006B44E1"/>
    <w:rsid w:val="006B4EC3"/>
    <w:rsid w:val="006B5CAD"/>
    <w:rsid w:val="006B660B"/>
    <w:rsid w:val="006B730E"/>
    <w:rsid w:val="006B79E1"/>
    <w:rsid w:val="006B7B65"/>
    <w:rsid w:val="006C0285"/>
    <w:rsid w:val="006C07A1"/>
    <w:rsid w:val="006C0E70"/>
    <w:rsid w:val="006C0F9B"/>
    <w:rsid w:val="006C11AF"/>
    <w:rsid w:val="006C1E8C"/>
    <w:rsid w:val="006C280E"/>
    <w:rsid w:val="006C2D13"/>
    <w:rsid w:val="006C2FBF"/>
    <w:rsid w:val="006C3FC4"/>
    <w:rsid w:val="006C4342"/>
    <w:rsid w:val="006C4837"/>
    <w:rsid w:val="006C51B8"/>
    <w:rsid w:val="006C5762"/>
    <w:rsid w:val="006C5785"/>
    <w:rsid w:val="006C5907"/>
    <w:rsid w:val="006C6047"/>
    <w:rsid w:val="006C658C"/>
    <w:rsid w:val="006C69DD"/>
    <w:rsid w:val="006C716E"/>
    <w:rsid w:val="006C7424"/>
    <w:rsid w:val="006C7446"/>
    <w:rsid w:val="006C75C9"/>
    <w:rsid w:val="006C7A9F"/>
    <w:rsid w:val="006D0C2B"/>
    <w:rsid w:val="006D0EE8"/>
    <w:rsid w:val="006D0F8F"/>
    <w:rsid w:val="006D15A7"/>
    <w:rsid w:val="006D19CB"/>
    <w:rsid w:val="006D1CCB"/>
    <w:rsid w:val="006D22B5"/>
    <w:rsid w:val="006D277E"/>
    <w:rsid w:val="006D2B3D"/>
    <w:rsid w:val="006D3C8C"/>
    <w:rsid w:val="006D3CCA"/>
    <w:rsid w:val="006D4015"/>
    <w:rsid w:val="006D43E0"/>
    <w:rsid w:val="006D5214"/>
    <w:rsid w:val="006D557C"/>
    <w:rsid w:val="006D6DFD"/>
    <w:rsid w:val="006D7509"/>
    <w:rsid w:val="006D78BA"/>
    <w:rsid w:val="006D7ADC"/>
    <w:rsid w:val="006D7B22"/>
    <w:rsid w:val="006D7B2A"/>
    <w:rsid w:val="006D7C7A"/>
    <w:rsid w:val="006E0F18"/>
    <w:rsid w:val="006E1771"/>
    <w:rsid w:val="006E2523"/>
    <w:rsid w:val="006E2D14"/>
    <w:rsid w:val="006E390A"/>
    <w:rsid w:val="006E47A0"/>
    <w:rsid w:val="006E490D"/>
    <w:rsid w:val="006E4F52"/>
    <w:rsid w:val="006E6FAC"/>
    <w:rsid w:val="006E6FF7"/>
    <w:rsid w:val="006E79B2"/>
    <w:rsid w:val="006E79CE"/>
    <w:rsid w:val="006E7C8D"/>
    <w:rsid w:val="006E7D89"/>
    <w:rsid w:val="006F049C"/>
    <w:rsid w:val="006F1EB1"/>
    <w:rsid w:val="006F219A"/>
    <w:rsid w:val="006F2418"/>
    <w:rsid w:val="006F2438"/>
    <w:rsid w:val="006F2CE2"/>
    <w:rsid w:val="006F3103"/>
    <w:rsid w:val="006F33BD"/>
    <w:rsid w:val="006F3A5E"/>
    <w:rsid w:val="006F42F8"/>
    <w:rsid w:val="006F44FB"/>
    <w:rsid w:val="006F4AE1"/>
    <w:rsid w:val="006F58C8"/>
    <w:rsid w:val="006F5D7C"/>
    <w:rsid w:val="006F6730"/>
    <w:rsid w:val="006F6763"/>
    <w:rsid w:val="006F6B1C"/>
    <w:rsid w:val="006F6C2E"/>
    <w:rsid w:val="006F6E09"/>
    <w:rsid w:val="006F6F85"/>
    <w:rsid w:val="00700383"/>
    <w:rsid w:val="007004EE"/>
    <w:rsid w:val="007005A4"/>
    <w:rsid w:val="007008DF"/>
    <w:rsid w:val="0070182C"/>
    <w:rsid w:val="00701CE9"/>
    <w:rsid w:val="0070209D"/>
    <w:rsid w:val="00703452"/>
    <w:rsid w:val="00704A21"/>
    <w:rsid w:val="00704CF4"/>
    <w:rsid w:val="0070508A"/>
    <w:rsid w:val="00705968"/>
    <w:rsid w:val="00706020"/>
    <w:rsid w:val="0070697B"/>
    <w:rsid w:val="00706AFE"/>
    <w:rsid w:val="00706D39"/>
    <w:rsid w:val="00706D5C"/>
    <w:rsid w:val="007071CB"/>
    <w:rsid w:val="0070764E"/>
    <w:rsid w:val="00707D18"/>
    <w:rsid w:val="00707E4B"/>
    <w:rsid w:val="00710069"/>
    <w:rsid w:val="0071083A"/>
    <w:rsid w:val="00711151"/>
    <w:rsid w:val="0071171C"/>
    <w:rsid w:val="00711B4A"/>
    <w:rsid w:val="00711BB7"/>
    <w:rsid w:val="007120AF"/>
    <w:rsid w:val="007126D5"/>
    <w:rsid w:val="007128F4"/>
    <w:rsid w:val="00713646"/>
    <w:rsid w:val="00713829"/>
    <w:rsid w:val="00714289"/>
    <w:rsid w:val="00714315"/>
    <w:rsid w:val="0071434D"/>
    <w:rsid w:val="00714361"/>
    <w:rsid w:val="00714BFD"/>
    <w:rsid w:val="00714D3D"/>
    <w:rsid w:val="007158B8"/>
    <w:rsid w:val="00715AD2"/>
    <w:rsid w:val="007160F3"/>
    <w:rsid w:val="007171B5"/>
    <w:rsid w:val="0071732E"/>
    <w:rsid w:val="00717B8E"/>
    <w:rsid w:val="00720BB6"/>
    <w:rsid w:val="007212A5"/>
    <w:rsid w:val="0072183B"/>
    <w:rsid w:val="0072226F"/>
    <w:rsid w:val="00722860"/>
    <w:rsid w:val="00722865"/>
    <w:rsid w:val="0072404A"/>
    <w:rsid w:val="00724163"/>
    <w:rsid w:val="0072416A"/>
    <w:rsid w:val="0072434F"/>
    <w:rsid w:val="00724DE8"/>
    <w:rsid w:val="00724EB8"/>
    <w:rsid w:val="0072528D"/>
    <w:rsid w:val="007255FD"/>
    <w:rsid w:val="007260BF"/>
    <w:rsid w:val="0072788E"/>
    <w:rsid w:val="007278EB"/>
    <w:rsid w:val="00727952"/>
    <w:rsid w:val="00727CF6"/>
    <w:rsid w:val="00727D44"/>
    <w:rsid w:val="00727E30"/>
    <w:rsid w:val="00730629"/>
    <w:rsid w:val="00730DE0"/>
    <w:rsid w:val="00731125"/>
    <w:rsid w:val="00731446"/>
    <w:rsid w:val="00731DB5"/>
    <w:rsid w:val="007322C1"/>
    <w:rsid w:val="007329B7"/>
    <w:rsid w:val="0073309B"/>
    <w:rsid w:val="00733605"/>
    <w:rsid w:val="007338CB"/>
    <w:rsid w:val="00733AA1"/>
    <w:rsid w:val="00733CBC"/>
    <w:rsid w:val="00735359"/>
    <w:rsid w:val="00735835"/>
    <w:rsid w:val="0073590C"/>
    <w:rsid w:val="007360BE"/>
    <w:rsid w:val="00736800"/>
    <w:rsid w:val="0073715F"/>
    <w:rsid w:val="0073717F"/>
    <w:rsid w:val="00737372"/>
    <w:rsid w:val="00737B47"/>
    <w:rsid w:val="00737BF8"/>
    <w:rsid w:val="00737F7F"/>
    <w:rsid w:val="0074016E"/>
    <w:rsid w:val="00740BE3"/>
    <w:rsid w:val="00741BEB"/>
    <w:rsid w:val="00742BCC"/>
    <w:rsid w:val="00742DAF"/>
    <w:rsid w:val="00742E04"/>
    <w:rsid w:val="00743F12"/>
    <w:rsid w:val="00743FFB"/>
    <w:rsid w:val="0074422C"/>
    <w:rsid w:val="0074460D"/>
    <w:rsid w:val="0074472B"/>
    <w:rsid w:val="0074490F"/>
    <w:rsid w:val="0074552C"/>
    <w:rsid w:val="00745DAA"/>
    <w:rsid w:val="007462D3"/>
    <w:rsid w:val="00746313"/>
    <w:rsid w:val="00747771"/>
    <w:rsid w:val="007477B9"/>
    <w:rsid w:val="007502A3"/>
    <w:rsid w:val="00750AFB"/>
    <w:rsid w:val="00750B2A"/>
    <w:rsid w:val="007519C9"/>
    <w:rsid w:val="00751E84"/>
    <w:rsid w:val="007527BB"/>
    <w:rsid w:val="0075368D"/>
    <w:rsid w:val="00753B21"/>
    <w:rsid w:val="00753DA6"/>
    <w:rsid w:val="00753F1F"/>
    <w:rsid w:val="00754345"/>
    <w:rsid w:val="007544C0"/>
    <w:rsid w:val="00754B1A"/>
    <w:rsid w:val="00756905"/>
    <w:rsid w:val="0075764B"/>
    <w:rsid w:val="0075774B"/>
    <w:rsid w:val="00760461"/>
    <w:rsid w:val="007609B4"/>
    <w:rsid w:val="00761BA2"/>
    <w:rsid w:val="00761E7E"/>
    <w:rsid w:val="00762008"/>
    <w:rsid w:val="00762254"/>
    <w:rsid w:val="00762A45"/>
    <w:rsid w:val="007632A8"/>
    <w:rsid w:val="00763591"/>
    <w:rsid w:val="0076372D"/>
    <w:rsid w:val="00763953"/>
    <w:rsid w:val="007642DB"/>
    <w:rsid w:val="00764747"/>
    <w:rsid w:val="00764A62"/>
    <w:rsid w:val="00765672"/>
    <w:rsid w:val="00765963"/>
    <w:rsid w:val="00765B4A"/>
    <w:rsid w:val="00765E35"/>
    <w:rsid w:val="00765F5C"/>
    <w:rsid w:val="00766FC5"/>
    <w:rsid w:val="00767377"/>
    <w:rsid w:val="007673DF"/>
    <w:rsid w:val="00767711"/>
    <w:rsid w:val="0077087B"/>
    <w:rsid w:val="007709E1"/>
    <w:rsid w:val="00770E83"/>
    <w:rsid w:val="00771198"/>
    <w:rsid w:val="00771B4F"/>
    <w:rsid w:val="0077223B"/>
    <w:rsid w:val="007723D0"/>
    <w:rsid w:val="0077257E"/>
    <w:rsid w:val="007732C5"/>
    <w:rsid w:val="00773343"/>
    <w:rsid w:val="00773EC7"/>
    <w:rsid w:val="007749BB"/>
    <w:rsid w:val="00774C6C"/>
    <w:rsid w:val="00775140"/>
    <w:rsid w:val="00776A89"/>
    <w:rsid w:val="00777154"/>
    <w:rsid w:val="00777684"/>
    <w:rsid w:val="00777E99"/>
    <w:rsid w:val="00780FCA"/>
    <w:rsid w:val="007812C4"/>
    <w:rsid w:val="007814D9"/>
    <w:rsid w:val="00782D3C"/>
    <w:rsid w:val="0078332A"/>
    <w:rsid w:val="007834CD"/>
    <w:rsid w:val="00783540"/>
    <w:rsid w:val="0078364F"/>
    <w:rsid w:val="0078418C"/>
    <w:rsid w:val="00784527"/>
    <w:rsid w:val="007854B2"/>
    <w:rsid w:val="007859AE"/>
    <w:rsid w:val="00785D7B"/>
    <w:rsid w:val="00786498"/>
    <w:rsid w:val="00787661"/>
    <w:rsid w:val="00787961"/>
    <w:rsid w:val="00787C3C"/>
    <w:rsid w:val="00787EE3"/>
    <w:rsid w:val="00790145"/>
    <w:rsid w:val="007904A1"/>
    <w:rsid w:val="00790CAC"/>
    <w:rsid w:val="00791196"/>
    <w:rsid w:val="00791377"/>
    <w:rsid w:val="0079226E"/>
    <w:rsid w:val="007927A1"/>
    <w:rsid w:val="00792C9F"/>
    <w:rsid w:val="0079339D"/>
    <w:rsid w:val="0079445C"/>
    <w:rsid w:val="0079499E"/>
    <w:rsid w:val="00794BC5"/>
    <w:rsid w:val="007951D9"/>
    <w:rsid w:val="0079591F"/>
    <w:rsid w:val="00795AF6"/>
    <w:rsid w:val="00795F9B"/>
    <w:rsid w:val="00796797"/>
    <w:rsid w:val="00797546"/>
    <w:rsid w:val="007976CA"/>
    <w:rsid w:val="007A0B67"/>
    <w:rsid w:val="007A0EF2"/>
    <w:rsid w:val="007A1C49"/>
    <w:rsid w:val="007A3177"/>
    <w:rsid w:val="007A37A0"/>
    <w:rsid w:val="007A3B93"/>
    <w:rsid w:val="007A3DFD"/>
    <w:rsid w:val="007A3ECD"/>
    <w:rsid w:val="007A3EE2"/>
    <w:rsid w:val="007A3EEA"/>
    <w:rsid w:val="007A43F9"/>
    <w:rsid w:val="007A5334"/>
    <w:rsid w:val="007A5749"/>
    <w:rsid w:val="007A5788"/>
    <w:rsid w:val="007A5901"/>
    <w:rsid w:val="007A5AC1"/>
    <w:rsid w:val="007A5B3E"/>
    <w:rsid w:val="007A61B8"/>
    <w:rsid w:val="007A61D3"/>
    <w:rsid w:val="007A6598"/>
    <w:rsid w:val="007A665E"/>
    <w:rsid w:val="007A67A9"/>
    <w:rsid w:val="007A6CFD"/>
    <w:rsid w:val="007A7249"/>
    <w:rsid w:val="007A7394"/>
    <w:rsid w:val="007A7711"/>
    <w:rsid w:val="007A794F"/>
    <w:rsid w:val="007A7F9C"/>
    <w:rsid w:val="007B0DC1"/>
    <w:rsid w:val="007B0E17"/>
    <w:rsid w:val="007B1821"/>
    <w:rsid w:val="007B1A72"/>
    <w:rsid w:val="007B21D2"/>
    <w:rsid w:val="007B244D"/>
    <w:rsid w:val="007B34A5"/>
    <w:rsid w:val="007B3946"/>
    <w:rsid w:val="007B3CBB"/>
    <w:rsid w:val="007B3D78"/>
    <w:rsid w:val="007B4C74"/>
    <w:rsid w:val="007B53B8"/>
    <w:rsid w:val="007B56E2"/>
    <w:rsid w:val="007B583F"/>
    <w:rsid w:val="007B5A62"/>
    <w:rsid w:val="007B5BC2"/>
    <w:rsid w:val="007B6044"/>
    <w:rsid w:val="007B677A"/>
    <w:rsid w:val="007B6814"/>
    <w:rsid w:val="007B6904"/>
    <w:rsid w:val="007B705C"/>
    <w:rsid w:val="007B7124"/>
    <w:rsid w:val="007B7CCF"/>
    <w:rsid w:val="007C0227"/>
    <w:rsid w:val="007C10C8"/>
    <w:rsid w:val="007C2400"/>
    <w:rsid w:val="007C285D"/>
    <w:rsid w:val="007C297D"/>
    <w:rsid w:val="007C3074"/>
    <w:rsid w:val="007C30C3"/>
    <w:rsid w:val="007C36AC"/>
    <w:rsid w:val="007C453B"/>
    <w:rsid w:val="007C4678"/>
    <w:rsid w:val="007C4CE9"/>
    <w:rsid w:val="007C587E"/>
    <w:rsid w:val="007C5C77"/>
    <w:rsid w:val="007C5E27"/>
    <w:rsid w:val="007C623C"/>
    <w:rsid w:val="007C65EA"/>
    <w:rsid w:val="007C68FA"/>
    <w:rsid w:val="007C6A20"/>
    <w:rsid w:val="007C6A5C"/>
    <w:rsid w:val="007C6AD6"/>
    <w:rsid w:val="007C71F3"/>
    <w:rsid w:val="007C7204"/>
    <w:rsid w:val="007C7455"/>
    <w:rsid w:val="007C74EA"/>
    <w:rsid w:val="007C7788"/>
    <w:rsid w:val="007C7FC7"/>
    <w:rsid w:val="007D0100"/>
    <w:rsid w:val="007D0A72"/>
    <w:rsid w:val="007D14E3"/>
    <w:rsid w:val="007D1C24"/>
    <w:rsid w:val="007D20A3"/>
    <w:rsid w:val="007D21EE"/>
    <w:rsid w:val="007D2863"/>
    <w:rsid w:val="007D2F48"/>
    <w:rsid w:val="007D3074"/>
    <w:rsid w:val="007D350F"/>
    <w:rsid w:val="007D3F02"/>
    <w:rsid w:val="007D4AA6"/>
    <w:rsid w:val="007D53AD"/>
    <w:rsid w:val="007D545A"/>
    <w:rsid w:val="007D5C91"/>
    <w:rsid w:val="007D5DA6"/>
    <w:rsid w:val="007D5ED3"/>
    <w:rsid w:val="007D6A53"/>
    <w:rsid w:val="007D6C79"/>
    <w:rsid w:val="007D71DE"/>
    <w:rsid w:val="007E1449"/>
    <w:rsid w:val="007E1691"/>
    <w:rsid w:val="007E18A2"/>
    <w:rsid w:val="007E21D7"/>
    <w:rsid w:val="007E2EFB"/>
    <w:rsid w:val="007E3075"/>
    <w:rsid w:val="007E36A8"/>
    <w:rsid w:val="007E3C7F"/>
    <w:rsid w:val="007E427C"/>
    <w:rsid w:val="007E46BF"/>
    <w:rsid w:val="007E4949"/>
    <w:rsid w:val="007E4F40"/>
    <w:rsid w:val="007E53CE"/>
    <w:rsid w:val="007E54A7"/>
    <w:rsid w:val="007E57E7"/>
    <w:rsid w:val="007E59B7"/>
    <w:rsid w:val="007E5AB3"/>
    <w:rsid w:val="007E5D9E"/>
    <w:rsid w:val="007E67CD"/>
    <w:rsid w:val="007E764D"/>
    <w:rsid w:val="007E7A09"/>
    <w:rsid w:val="007F02A5"/>
    <w:rsid w:val="007F09B2"/>
    <w:rsid w:val="007F0EDD"/>
    <w:rsid w:val="007F1114"/>
    <w:rsid w:val="007F1311"/>
    <w:rsid w:val="007F16ED"/>
    <w:rsid w:val="007F1BA5"/>
    <w:rsid w:val="007F2039"/>
    <w:rsid w:val="007F20BF"/>
    <w:rsid w:val="007F2417"/>
    <w:rsid w:val="007F270F"/>
    <w:rsid w:val="007F2CA0"/>
    <w:rsid w:val="007F3130"/>
    <w:rsid w:val="007F3783"/>
    <w:rsid w:val="007F3BCF"/>
    <w:rsid w:val="007F3E7B"/>
    <w:rsid w:val="007F3F55"/>
    <w:rsid w:val="007F3FF2"/>
    <w:rsid w:val="007F40B6"/>
    <w:rsid w:val="007F49E8"/>
    <w:rsid w:val="007F4FF6"/>
    <w:rsid w:val="007F52B8"/>
    <w:rsid w:val="007F55DF"/>
    <w:rsid w:val="007F579C"/>
    <w:rsid w:val="007F66C1"/>
    <w:rsid w:val="007F6AD9"/>
    <w:rsid w:val="007F6AF4"/>
    <w:rsid w:val="007F7A3F"/>
    <w:rsid w:val="007F7B62"/>
    <w:rsid w:val="008005A6"/>
    <w:rsid w:val="00801E4A"/>
    <w:rsid w:val="00802227"/>
    <w:rsid w:val="00802B76"/>
    <w:rsid w:val="00803D78"/>
    <w:rsid w:val="008043A1"/>
    <w:rsid w:val="00804673"/>
    <w:rsid w:val="00804AF0"/>
    <w:rsid w:val="00805272"/>
    <w:rsid w:val="00805694"/>
    <w:rsid w:val="00805CF1"/>
    <w:rsid w:val="00805D66"/>
    <w:rsid w:val="00805F82"/>
    <w:rsid w:val="008060D3"/>
    <w:rsid w:val="00806755"/>
    <w:rsid w:val="00806802"/>
    <w:rsid w:val="008069FF"/>
    <w:rsid w:val="008102D6"/>
    <w:rsid w:val="008118C4"/>
    <w:rsid w:val="00811D5C"/>
    <w:rsid w:val="008123F4"/>
    <w:rsid w:val="00812867"/>
    <w:rsid w:val="00812A15"/>
    <w:rsid w:val="00812E71"/>
    <w:rsid w:val="008149A8"/>
    <w:rsid w:val="00815929"/>
    <w:rsid w:val="00815B33"/>
    <w:rsid w:val="00815C45"/>
    <w:rsid w:val="00815D6C"/>
    <w:rsid w:val="00816E2E"/>
    <w:rsid w:val="00817649"/>
    <w:rsid w:val="0081764B"/>
    <w:rsid w:val="008176F4"/>
    <w:rsid w:val="0081773E"/>
    <w:rsid w:val="00817F03"/>
    <w:rsid w:val="0082039F"/>
    <w:rsid w:val="00820742"/>
    <w:rsid w:val="00820C75"/>
    <w:rsid w:val="008210D6"/>
    <w:rsid w:val="00821243"/>
    <w:rsid w:val="008219C8"/>
    <w:rsid w:val="00821CA7"/>
    <w:rsid w:val="008224C5"/>
    <w:rsid w:val="00822DED"/>
    <w:rsid w:val="0082340D"/>
    <w:rsid w:val="00823774"/>
    <w:rsid w:val="00823D38"/>
    <w:rsid w:val="00823FF1"/>
    <w:rsid w:val="0082417D"/>
    <w:rsid w:val="0082496A"/>
    <w:rsid w:val="00824B97"/>
    <w:rsid w:val="0082662E"/>
    <w:rsid w:val="00826D7D"/>
    <w:rsid w:val="0082753E"/>
    <w:rsid w:val="0082783B"/>
    <w:rsid w:val="00827A90"/>
    <w:rsid w:val="00830306"/>
    <w:rsid w:val="0083045A"/>
    <w:rsid w:val="00830E5A"/>
    <w:rsid w:val="00831138"/>
    <w:rsid w:val="00831229"/>
    <w:rsid w:val="00831F20"/>
    <w:rsid w:val="008323AE"/>
    <w:rsid w:val="008326E1"/>
    <w:rsid w:val="00832733"/>
    <w:rsid w:val="008328E0"/>
    <w:rsid w:val="00832B3F"/>
    <w:rsid w:val="00832B75"/>
    <w:rsid w:val="00832D2E"/>
    <w:rsid w:val="00833258"/>
    <w:rsid w:val="00833680"/>
    <w:rsid w:val="00835858"/>
    <w:rsid w:val="00835B8D"/>
    <w:rsid w:val="00836427"/>
    <w:rsid w:val="0083701B"/>
    <w:rsid w:val="00837058"/>
    <w:rsid w:val="0083738E"/>
    <w:rsid w:val="008377EC"/>
    <w:rsid w:val="00837824"/>
    <w:rsid w:val="00837B11"/>
    <w:rsid w:val="00837CD0"/>
    <w:rsid w:val="0084029C"/>
    <w:rsid w:val="00840822"/>
    <w:rsid w:val="00840EDF"/>
    <w:rsid w:val="00842505"/>
    <w:rsid w:val="00842D80"/>
    <w:rsid w:val="00842F28"/>
    <w:rsid w:val="00842FEE"/>
    <w:rsid w:val="00843526"/>
    <w:rsid w:val="00843789"/>
    <w:rsid w:val="008439B7"/>
    <w:rsid w:val="00844694"/>
    <w:rsid w:val="008450C9"/>
    <w:rsid w:val="008451D5"/>
    <w:rsid w:val="00845387"/>
    <w:rsid w:val="008455FB"/>
    <w:rsid w:val="00845693"/>
    <w:rsid w:val="008459B1"/>
    <w:rsid w:val="00845E8F"/>
    <w:rsid w:val="00845ED7"/>
    <w:rsid w:val="008473D5"/>
    <w:rsid w:val="008474C4"/>
    <w:rsid w:val="00847823"/>
    <w:rsid w:val="00847B74"/>
    <w:rsid w:val="00850148"/>
    <w:rsid w:val="008503A5"/>
    <w:rsid w:val="008504FA"/>
    <w:rsid w:val="0085113A"/>
    <w:rsid w:val="008513D3"/>
    <w:rsid w:val="008520F7"/>
    <w:rsid w:val="008525EC"/>
    <w:rsid w:val="00852797"/>
    <w:rsid w:val="00852DE8"/>
    <w:rsid w:val="00853698"/>
    <w:rsid w:val="00853AB4"/>
    <w:rsid w:val="00853C43"/>
    <w:rsid w:val="00853C69"/>
    <w:rsid w:val="00854973"/>
    <w:rsid w:val="00854D42"/>
    <w:rsid w:val="00854DA1"/>
    <w:rsid w:val="00854ED5"/>
    <w:rsid w:val="008553EF"/>
    <w:rsid w:val="00855C48"/>
    <w:rsid w:val="00855DA0"/>
    <w:rsid w:val="00855EB2"/>
    <w:rsid w:val="00856171"/>
    <w:rsid w:val="00856DC0"/>
    <w:rsid w:val="0085741E"/>
    <w:rsid w:val="00857467"/>
    <w:rsid w:val="0085760F"/>
    <w:rsid w:val="00857B6B"/>
    <w:rsid w:val="0086063C"/>
    <w:rsid w:val="00860A0D"/>
    <w:rsid w:val="00860C60"/>
    <w:rsid w:val="008613CF"/>
    <w:rsid w:val="00861B46"/>
    <w:rsid w:val="00862910"/>
    <w:rsid w:val="00862AB0"/>
    <w:rsid w:val="00862D29"/>
    <w:rsid w:val="00863BF6"/>
    <w:rsid w:val="008641A1"/>
    <w:rsid w:val="0086461D"/>
    <w:rsid w:val="00864BCE"/>
    <w:rsid w:val="00864C5C"/>
    <w:rsid w:val="00864FD4"/>
    <w:rsid w:val="00866692"/>
    <w:rsid w:val="00867AC4"/>
    <w:rsid w:val="0087072A"/>
    <w:rsid w:val="00870C91"/>
    <w:rsid w:val="00871BB1"/>
    <w:rsid w:val="0087209D"/>
    <w:rsid w:val="00872297"/>
    <w:rsid w:val="008724DE"/>
    <w:rsid w:val="00874345"/>
    <w:rsid w:val="008745D0"/>
    <w:rsid w:val="00874B2C"/>
    <w:rsid w:val="00874B3F"/>
    <w:rsid w:val="00874CA4"/>
    <w:rsid w:val="0087535F"/>
    <w:rsid w:val="008758B9"/>
    <w:rsid w:val="00875BAF"/>
    <w:rsid w:val="00875BE9"/>
    <w:rsid w:val="008768AE"/>
    <w:rsid w:val="00876A5A"/>
    <w:rsid w:val="00876EC5"/>
    <w:rsid w:val="008775DA"/>
    <w:rsid w:val="00877959"/>
    <w:rsid w:val="00877FCE"/>
    <w:rsid w:val="008802AC"/>
    <w:rsid w:val="008806F9"/>
    <w:rsid w:val="0088098A"/>
    <w:rsid w:val="00880D4A"/>
    <w:rsid w:val="00881682"/>
    <w:rsid w:val="0088181F"/>
    <w:rsid w:val="00881BD6"/>
    <w:rsid w:val="00882375"/>
    <w:rsid w:val="008829AE"/>
    <w:rsid w:val="00882F86"/>
    <w:rsid w:val="008832F2"/>
    <w:rsid w:val="008835FD"/>
    <w:rsid w:val="008839DE"/>
    <w:rsid w:val="0088509F"/>
    <w:rsid w:val="0088543A"/>
    <w:rsid w:val="00885D50"/>
    <w:rsid w:val="00886DBB"/>
    <w:rsid w:val="0088723F"/>
    <w:rsid w:val="00887280"/>
    <w:rsid w:val="008877A9"/>
    <w:rsid w:val="00890223"/>
    <w:rsid w:val="008903CA"/>
    <w:rsid w:val="00890ED2"/>
    <w:rsid w:val="00890F39"/>
    <w:rsid w:val="008912A1"/>
    <w:rsid w:val="008923F4"/>
    <w:rsid w:val="0089268A"/>
    <w:rsid w:val="008926CA"/>
    <w:rsid w:val="008933BE"/>
    <w:rsid w:val="00893AE7"/>
    <w:rsid w:val="00894291"/>
    <w:rsid w:val="00894410"/>
    <w:rsid w:val="008949F6"/>
    <w:rsid w:val="00894C64"/>
    <w:rsid w:val="00896756"/>
    <w:rsid w:val="008967F5"/>
    <w:rsid w:val="008968B5"/>
    <w:rsid w:val="0089725C"/>
    <w:rsid w:val="00897637"/>
    <w:rsid w:val="008977AC"/>
    <w:rsid w:val="00897825"/>
    <w:rsid w:val="00897836"/>
    <w:rsid w:val="0089799B"/>
    <w:rsid w:val="00897B51"/>
    <w:rsid w:val="008A0498"/>
    <w:rsid w:val="008A054D"/>
    <w:rsid w:val="008A19E8"/>
    <w:rsid w:val="008A1B8E"/>
    <w:rsid w:val="008A1F37"/>
    <w:rsid w:val="008A2229"/>
    <w:rsid w:val="008A26BF"/>
    <w:rsid w:val="008A2E59"/>
    <w:rsid w:val="008A2F60"/>
    <w:rsid w:val="008A3FEA"/>
    <w:rsid w:val="008A4628"/>
    <w:rsid w:val="008A4A0C"/>
    <w:rsid w:val="008A55F6"/>
    <w:rsid w:val="008A5651"/>
    <w:rsid w:val="008A5FC6"/>
    <w:rsid w:val="008A6C8F"/>
    <w:rsid w:val="008A7DD5"/>
    <w:rsid w:val="008A7FD2"/>
    <w:rsid w:val="008B06C1"/>
    <w:rsid w:val="008B06D5"/>
    <w:rsid w:val="008B08B7"/>
    <w:rsid w:val="008B0CB5"/>
    <w:rsid w:val="008B0EC6"/>
    <w:rsid w:val="008B10FD"/>
    <w:rsid w:val="008B12D8"/>
    <w:rsid w:val="008B1301"/>
    <w:rsid w:val="008B1691"/>
    <w:rsid w:val="008B1C79"/>
    <w:rsid w:val="008B1F5D"/>
    <w:rsid w:val="008B1F5F"/>
    <w:rsid w:val="008B27C5"/>
    <w:rsid w:val="008B2D87"/>
    <w:rsid w:val="008B2EA2"/>
    <w:rsid w:val="008B3A52"/>
    <w:rsid w:val="008B3F31"/>
    <w:rsid w:val="008B46E1"/>
    <w:rsid w:val="008B4F9E"/>
    <w:rsid w:val="008B5A79"/>
    <w:rsid w:val="008B5BB2"/>
    <w:rsid w:val="008B5C62"/>
    <w:rsid w:val="008B61E1"/>
    <w:rsid w:val="008B6527"/>
    <w:rsid w:val="008B6857"/>
    <w:rsid w:val="008B7222"/>
    <w:rsid w:val="008C04BE"/>
    <w:rsid w:val="008C0790"/>
    <w:rsid w:val="008C09BA"/>
    <w:rsid w:val="008C12FC"/>
    <w:rsid w:val="008C1488"/>
    <w:rsid w:val="008C17C7"/>
    <w:rsid w:val="008C1AB3"/>
    <w:rsid w:val="008C1CD6"/>
    <w:rsid w:val="008C2030"/>
    <w:rsid w:val="008C263C"/>
    <w:rsid w:val="008C28A3"/>
    <w:rsid w:val="008C29A8"/>
    <w:rsid w:val="008C2A17"/>
    <w:rsid w:val="008C38B1"/>
    <w:rsid w:val="008C46E7"/>
    <w:rsid w:val="008C569F"/>
    <w:rsid w:val="008C6342"/>
    <w:rsid w:val="008C6EEE"/>
    <w:rsid w:val="008C743E"/>
    <w:rsid w:val="008C784C"/>
    <w:rsid w:val="008C7B31"/>
    <w:rsid w:val="008D0022"/>
    <w:rsid w:val="008D0C1F"/>
    <w:rsid w:val="008D13DB"/>
    <w:rsid w:val="008D195A"/>
    <w:rsid w:val="008D1FC2"/>
    <w:rsid w:val="008D2CF5"/>
    <w:rsid w:val="008D2FD0"/>
    <w:rsid w:val="008D3126"/>
    <w:rsid w:val="008D36AA"/>
    <w:rsid w:val="008D3B0B"/>
    <w:rsid w:val="008D3B8A"/>
    <w:rsid w:val="008D3D55"/>
    <w:rsid w:val="008D3FC0"/>
    <w:rsid w:val="008D5AA3"/>
    <w:rsid w:val="008D61BB"/>
    <w:rsid w:val="008D64A2"/>
    <w:rsid w:val="008D6995"/>
    <w:rsid w:val="008D6E90"/>
    <w:rsid w:val="008D70FF"/>
    <w:rsid w:val="008D79C7"/>
    <w:rsid w:val="008D7C4C"/>
    <w:rsid w:val="008D7DA2"/>
    <w:rsid w:val="008D7F9C"/>
    <w:rsid w:val="008E01A1"/>
    <w:rsid w:val="008E0210"/>
    <w:rsid w:val="008E2A9F"/>
    <w:rsid w:val="008E4D58"/>
    <w:rsid w:val="008E4D9F"/>
    <w:rsid w:val="008E4F2F"/>
    <w:rsid w:val="008E5456"/>
    <w:rsid w:val="008E5668"/>
    <w:rsid w:val="008E5C5D"/>
    <w:rsid w:val="008E5EC7"/>
    <w:rsid w:val="008E62AF"/>
    <w:rsid w:val="008E639F"/>
    <w:rsid w:val="008E685A"/>
    <w:rsid w:val="008E68D4"/>
    <w:rsid w:val="008E6EA3"/>
    <w:rsid w:val="008E6EF3"/>
    <w:rsid w:val="008E7675"/>
    <w:rsid w:val="008E78DB"/>
    <w:rsid w:val="008E79C0"/>
    <w:rsid w:val="008F04ED"/>
    <w:rsid w:val="008F0A29"/>
    <w:rsid w:val="008F0C6E"/>
    <w:rsid w:val="008F0D90"/>
    <w:rsid w:val="008F13C4"/>
    <w:rsid w:val="008F18BC"/>
    <w:rsid w:val="008F1DC8"/>
    <w:rsid w:val="008F2728"/>
    <w:rsid w:val="008F29A7"/>
    <w:rsid w:val="008F2CA8"/>
    <w:rsid w:val="008F2E30"/>
    <w:rsid w:val="008F3410"/>
    <w:rsid w:val="008F3496"/>
    <w:rsid w:val="008F365B"/>
    <w:rsid w:val="008F3968"/>
    <w:rsid w:val="008F3CD8"/>
    <w:rsid w:val="008F3D94"/>
    <w:rsid w:val="008F4B8F"/>
    <w:rsid w:val="008F6CBB"/>
    <w:rsid w:val="008F7BF0"/>
    <w:rsid w:val="009005A8"/>
    <w:rsid w:val="00900A92"/>
    <w:rsid w:val="00900B33"/>
    <w:rsid w:val="009020A5"/>
    <w:rsid w:val="00902917"/>
    <w:rsid w:val="009031A6"/>
    <w:rsid w:val="009046EE"/>
    <w:rsid w:val="0090548F"/>
    <w:rsid w:val="00905B01"/>
    <w:rsid w:val="009062D1"/>
    <w:rsid w:val="00906994"/>
    <w:rsid w:val="009070BC"/>
    <w:rsid w:val="00907296"/>
    <w:rsid w:val="0090736F"/>
    <w:rsid w:val="00907A2F"/>
    <w:rsid w:val="0091009E"/>
    <w:rsid w:val="009106B2"/>
    <w:rsid w:val="00910AAA"/>
    <w:rsid w:val="00910FBF"/>
    <w:rsid w:val="009111B5"/>
    <w:rsid w:val="00911DF6"/>
    <w:rsid w:val="009121A6"/>
    <w:rsid w:val="0091236D"/>
    <w:rsid w:val="009123F4"/>
    <w:rsid w:val="00912EC7"/>
    <w:rsid w:val="00912F11"/>
    <w:rsid w:val="00913081"/>
    <w:rsid w:val="00913627"/>
    <w:rsid w:val="009138F4"/>
    <w:rsid w:val="00913A1E"/>
    <w:rsid w:val="00913A99"/>
    <w:rsid w:val="0091428D"/>
    <w:rsid w:val="009164C6"/>
    <w:rsid w:val="009164F5"/>
    <w:rsid w:val="00916865"/>
    <w:rsid w:val="0091759D"/>
    <w:rsid w:val="00920307"/>
    <w:rsid w:val="00920FE7"/>
    <w:rsid w:val="00921071"/>
    <w:rsid w:val="009211E3"/>
    <w:rsid w:val="00921B3F"/>
    <w:rsid w:val="0092238D"/>
    <w:rsid w:val="0092263B"/>
    <w:rsid w:val="00922B5D"/>
    <w:rsid w:val="00922DA1"/>
    <w:rsid w:val="00923984"/>
    <w:rsid w:val="00923A91"/>
    <w:rsid w:val="00923D63"/>
    <w:rsid w:val="0092408E"/>
    <w:rsid w:val="00924175"/>
    <w:rsid w:val="00924223"/>
    <w:rsid w:val="00924810"/>
    <w:rsid w:val="00924982"/>
    <w:rsid w:val="009255C6"/>
    <w:rsid w:val="0092641E"/>
    <w:rsid w:val="00926818"/>
    <w:rsid w:val="00926CCD"/>
    <w:rsid w:val="0092707A"/>
    <w:rsid w:val="0092722A"/>
    <w:rsid w:val="0092749B"/>
    <w:rsid w:val="00927C93"/>
    <w:rsid w:val="009300FA"/>
    <w:rsid w:val="0093036E"/>
    <w:rsid w:val="009306CC"/>
    <w:rsid w:val="009308D5"/>
    <w:rsid w:val="009313C7"/>
    <w:rsid w:val="00931538"/>
    <w:rsid w:val="00931730"/>
    <w:rsid w:val="009322B7"/>
    <w:rsid w:val="00932767"/>
    <w:rsid w:val="009335EB"/>
    <w:rsid w:val="00933B9A"/>
    <w:rsid w:val="00934217"/>
    <w:rsid w:val="009346FF"/>
    <w:rsid w:val="00934DB8"/>
    <w:rsid w:val="0093503F"/>
    <w:rsid w:val="009351D3"/>
    <w:rsid w:val="00935B0E"/>
    <w:rsid w:val="00935E76"/>
    <w:rsid w:val="0093658E"/>
    <w:rsid w:val="00936C97"/>
    <w:rsid w:val="0093729C"/>
    <w:rsid w:val="009372AA"/>
    <w:rsid w:val="00937823"/>
    <w:rsid w:val="00937CBE"/>
    <w:rsid w:val="0094034E"/>
    <w:rsid w:val="0094054A"/>
    <w:rsid w:val="00940C82"/>
    <w:rsid w:val="00940FE3"/>
    <w:rsid w:val="009416A7"/>
    <w:rsid w:val="00941A0F"/>
    <w:rsid w:val="00941CC9"/>
    <w:rsid w:val="00941DD2"/>
    <w:rsid w:val="00941DFB"/>
    <w:rsid w:val="009420B3"/>
    <w:rsid w:val="00942D0A"/>
    <w:rsid w:val="009435F3"/>
    <w:rsid w:val="00943DB7"/>
    <w:rsid w:val="0094411B"/>
    <w:rsid w:val="00944301"/>
    <w:rsid w:val="00944870"/>
    <w:rsid w:val="00944EF7"/>
    <w:rsid w:val="009452D4"/>
    <w:rsid w:val="009457A3"/>
    <w:rsid w:val="00946316"/>
    <w:rsid w:val="009466DC"/>
    <w:rsid w:val="00946BE7"/>
    <w:rsid w:val="00946DFE"/>
    <w:rsid w:val="00946EB0"/>
    <w:rsid w:val="0094727C"/>
    <w:rsid w:val="0094733E"/>
    <w:rsid w:val="0094751B"/>
    <w:rsid w:val="00947D53"/>
    <w:rsid w:val="00950265"/>
    <w:rsid w:val="00950BAF"/>
    <w:rsid w:val="0095105D"/>
    <w:rsid w:val="00951195"/>
    <w:rsid w:val="00951C1F"/>
    <w:rsid w:val="00951D51"/>
    <w:rsid w:val="00951F99"/>
    <w:rsid w:val="00952447"/>
    <w:rsid w:val="0095286C"/>
    <w:rsid w:val="00952F8E"/>
    <w:rsid w:val="009530C3"/>
    <w:rsid w:val="00954B36"/>
    <w:rsid w:val="00955305"/>
    <w:rsid w:val="00955316"/>
    <w:rsid w:val="00955390"/>
    <w:rsid w:val="00955706"/>
    <w:rsid w:val="00955796"/>
    <w:rsid w:val="00956694"/>
    <w:rsid w:val="00956F08"/>
    <w:rsid w:val="00957171"/>
    <w:rsid w:val="0095776A"/>
    <w:rsid w:val="00957834"/>
    <w:rsid w:val="009579FB"/>
    <w:rsid w:val="00957B25"/>
    <w:rsid w:val="00960141"/>
    <w:rsid w:val="00960231"/>
    <w:rsid w:val="00960EE1"/>
    <w:rsid w:val="00962380"/>
    <w:rsid w:val="009625BA"/>
    <w:rsid w:val="00962731"/>
    <w:rsid w:val="00962DB1"/>
    <w:rsid w:val="00963566"/>
    <w:rsid w:val="009636EC"/>
    <w:rsid w:val="00963D41"/>
    <w:rsid w:val="00963D68"/>
    <w:rsid w:val="00963E11"/>
    <w:rsid w:val="00964DA5"/>
    <w:rsid w:val="009650A9"/>
    <w:rsid w:val="0096540D"/>
    <w:rsid w:val="00965CAF"/>
    <w:rsid w:val="00965E73"/>
    <w:rsid w:val="00965ECE"/>
    <w:rsid w:val="00965FE1"/>
    <w:rsid w:val="00966A38"/>
    <w:rsid w:val="009673B0"/>
    <w:rsid w:val="009674FD"/>
    <w:rsid w:val="00967733"/>
    <w:rsid w:val="009679C6"/>
    <w:rsid w:val="009705D5"/>
    <w:rsid w:val="00971289"/>
    <w:rsid w:val="009723B9"/>
    <w:rsid w:val="00972614"/>
    <w:rsid w:val="009727A3"/>
    <w:rsid w:val="00972C71"/>
    <w:rsid w:val="00972D53"/>
    <w:rsid w:val="00972D60"/>
    <w:rsid w:val="009731A2"/>
    <w:rsid w:val="00973506"/>
    <w:rsid w:val="009735DF"/>
    <w:rsid w:val="0097434B"/>
    <w:rsid w:val="00974D6D"/>
    <w:rsid w:val="0097516F"/>
    <w:rsid w:val="00975825"/>
    <w:rsid w:val="00975E49"/>
    <w:rsid w:val="0097757D"/>
    <w:rsid w:val="00977A09"/>
    <w:rsid w:val="009800ED"/>
    <w:rsid w:val="00980414"/>
    <w:rsid w:val="00980641"/>
    <w:rsid w:val="00981099"/>
    <w:rsid w:val="0098125D"/>
    <w:rsid w:val="00981993"/>
    <w:rsid w:val="00981BF1"/>
    <w:rsid w:val="00981EA3"/>
    <w:rsid w:val="00982112"/>
    <w:rsid w:val="00982321"/>
    <w:rsid w:val="00982A84"/>
    <w:rsid w:val="00982B46"/>
    <w:rsid w:val="00982C35"/>
    <w:rsid w:val="00982E6D"/>
    <w:rsid w:val="00983006"/>
    <w:rsid w:val="009830BD"/>
    <w:rsid w:val="00983DE6"/>
    <w:rsid w:val="00984DA1"/>
    <w:rsid w:val="00984DFD"/>
    <w:rsid w:val="00985498"/>
    <w:rsid w:val="009862C5"/>
    <w:rsid w:val="00986619"/>
    <w:rsid w:val="0098676F"/>
    <w:rsid w:val="00986A8C"/>
    <w:rsid w:val="00987545"/>
    <w:rsid w:val="00987BA2"/>
    <w:rsid w:val="00987C7F"/>
    <w:rsid w:val="00987D0E"/>
    <w:rsid w:val="00987D97"/>
    <w:rsid w:val="00990397"/>
    <w:rsid w:val="00990E62"/>
    <w:rsid w:val="00990E7C"/>
    <w:rsid w:val="009911A4"/>
    <w:rsid w:val="00991702"/>
    <w:rsid w:val="00991824"/>
    <w:rsid w:val="00991FBB"/>
    <w:rsid w:val="0099201E"/>
    <w:rsid w:val="009922A6"/>
    <w:rsid w:val="00992717"/>
    <w:rsid w:val="00993A01"/>
    <w:rsid w:val="00994DFF"/>
    <w:rsid w:val="00995824"/>
    <w:rsid w:val="009962AB"/>
    <w:rsid w:val="009964B6"/>
    <w:rsid w:val="00996EA6"/>
    <w:rsid w:val="009976CC"/>
    <w:rsid w:val="00997B17"/>
    <w:rsid w:val="009A03C2"/>
    <w:rsid w:val="009A0533"/>
    <w:rsid w:val="009A06D4"/>
    <w:rsid w:val="009A0E07"/>
    <w:rsid w:val="009A24B7"/>
    <w:rsid w:val="009A26D0"/>
    <w:rsid w:val="009A2741"/>
    <w:rsid w:val="009A27FF"/>
    <w:rsid w:val="009A2EA2"/>
    <w:rsid w:val="009A2F89"/>
    <w:rsid w:val="009A33B6"/>
    <w:rsid w:val="009A3500"/>
    <w:rsid w:val="009A36D9"/>
    <w:rsid w:val="009A3791"/>
    <w:rsid w:val="009A39B0"/>
    <w:rsid w:val="009A3B50"/>
    <w:rsid w:val="009A3B5A"/>
    <w:rsid w:val="009A4251"/>
    <w:rsid w:val="009A48FF"/>
    <w:rsid w:val="009A4A25"/>
    <w:rsid w:val="009A4E29"/>
    <w:rsid w:val="009A4F88"/>
    <w:rsid w:val="009A500B"/>
    <w:rsid w:val="009A514E"/>
    <w:rsid w:val="009A57C7"/>
    <w:rsid w:val="009A582E"/>
    <w:rsid w:val="009A5F06"/>
    <w:rsid w:val="009A5F18"/>
    <w:rsid w:val="009A6679"/>
    <w:rsid w:val="009A6BDA"/>
    <w:rsid w:val="009A6C38"/>
    <w:rsid w:val="009A6C43"/>
    <w:rsid w:val="009A6C9E"/>
    <w:rsid w:val="009A7842"/>
    <w:rsid w:val="009B0955"/>
    <w:rsid w:val="009B0C3B"/>
    <w:rsid w:val="009B1463"/>
    <w:rsid w:val="009B178B"/>
    <w:rsid w:val="009B1840"/>
    <w:rsid w:val="009B1966"/>
    <w:rsid w:val="009B236C"/>
    <w:rsid w:val="009B2384"/>
    <w:rsid w:val="009B2D14"/>
    <w:rsid w:val="009B2DCB"/>
    <w:rsid w:val="009B3330"/>
    <w:rsid w:val="009B37AC"/>
    <w:rsid w:val="009B3CA4"/>
    <w:rsid w:val="009B3F6C"/>
    <w:rsid w:val="009B48CA"/>
    <w:rsid w:val="009B5209"/>
    <w:rsid w:val="009B56B6"/>
    <w:rsid w:val="009B572A"/>
    <w:rsid w:val="009B58D7"/>
    <w:rsid w:val="009B60D0"/>
    <w:rsid w:val="009B6495"/>
    <w:rsid w:val="009B6523"/>
    <w:rsid w:val="009B6788"/>
    <w:rsid w:val="009B7B70"/>
    <w:rsid w:val="009B7DA9"/>
    <w:rsid w:val="009B7DE3"/>
    <w:rsid w:val="009C03DF"/>
    <w:rsid w:val="009C176F"/>
    <w:rsid w:val="009C22BF"/>
    <w:rsid w:val="009C2AC3"/>
    <w:rsid w:val="009C34BC"/>
    <w:rsid w:val="009C4304"/>
    <w:rsid w:val="009C4672"/>
    <w:rsid w:val="009C476F"/>
    <w:rsid w:val="009C4805"/>
    <w:rsid w:val="009C55FF"/>
    <w:rsid w:val="009C5F16"/>
    <w:rsid w:val="009D06FA"/>
    <w:rsid w:val="009D1162"/>
    <w:rsid w:val="009D1299"/>
    <w:rsid w:val="009D139C"/>
    <w:rsid w:val="009D15C8"/>
    <w:rsid w:val="009D23C3"/>
    <w:rsid w:val="009D2622"/>
    <w:rsid w:val="009D2700"/>
    <w:rsid w:val="009D2C62"/>
    <w:rsid w:val="009D2F01"/>
    <w:rsid w:val="009D3019"/>
    <w:rsid w:val="009D32B5"/>
    <w:rsid w:val="009D342B"/>
    <w:rsid w:val="009D36DA"/>
    <w:rsid w:val="009D4341"/>
    <w:rsid w:val="009D4A1E"/>
    <w:rsid w:val="009D53E7"/>
    <w:rsid w:val="009D5DF3"/>
    <w:rsid w:val="009D62BE"/>
    <w:rsid w:val="009D68B2"/>
    <w:rsid w:val="009D6D75"/>
    <w:rsid w:val="009D713F"/>
    <w:rsid w:val="009D734C"/>
    <w:rsid w:val="009E0292"/>
    <w:rsid w:val="009E0B04"/>
    <w:rsid w:val="009E0CD6"/>
    <w:rsid w:val="009E0F34"/>
    <w:rsid w:val="009E0F94"/>
    <w:rsid w:val="009E1341"/>
    <w:rsid w:val="009E1D57"/>
    <w:rsid w:val="009E2395"/>
    <w:rsid w:val="009E3A6B"/>
    <w:rsid w:val="009E3AE4"/>
    <w:rsid w:val="009E4264"/>
    <w:rsid w:val="009E4444"/>
    <w:rsid w:val="009E4F0F"/>
    <w:rsid w:val="009E5AB6"/>
    <w:rsid w:val="009E5E0D"/>
    <w:rsid w:val="009E6285"/>
    <w:rsid w:val="009E633A"/>
    <w:rsid w:val="009E697D"/>
    <w:rsid w:val="009F0949"/>
    <w:rsid w:val="009F1546"/>
    <w:rsid w:val="009F23C8"/>
    <w:rsid w:val="009F3100"/>
    <w:rsid w:val="009F388C"/>
    <w:rsid w:val="009F3C8F"/>
    <w:rsid w:val="009F4892"/>
    <w:rsid w:val="009F5197"/>
    <w:rsid w:val="009F62D1"/>
    <w:rsid w:val="009F67C0"/>
    <w:rsid w:val="009F6F53"/>
    <w:rsid w:val="009F768B"/>
    <w:rsid w:val="009F7F3F"/>
    <w:rsid w:val="00A00584"/>
    <w:rsid w:val="00A00B6D"/>
    <w:rsid w:val="00A00E60"/>
    <w:rsid w:val="00A016CE"/>
    <w:rsid w:val="00A01CE8"/>
    <w:rsid w:val="00A01E1C"/>
    <w:rsid w:val="00A023ED"/>
    <w:rsid w:val="00A02BF0"/>
    <w:rsid w:val="00A02CBB"/>
    <w:rsid w:val="00A0339D"/>
    <w:rsid w:val="00A03409"/>
    <w:rsid w:val="00A0361F"/>
    <w:rsid w:val="00A03690"/>
    <w:rsid w:val="00A03DFA"/>
    <w:rsid w:val="00A04344"/>
    <w:rsid w:val="00A044FB"/>
    <w:rsid w:val="00A047C5"/>
    <w:rsid w:val="00A04D7A"/>
    <w:rsid w:val="00A058D8"/>
    <w:rsid w:val="00A06178"/>
    <w:rsid w:val="00A06517"/>
    <w:rsid w:val="00A07291"/>
    <w:rsid w:val="00A07873"/>
    <w:rsid w:val="00A07B9A"/>
    <w:rsid w:val="00A106C1"/>
    <w:rsid w:val="00A10D19"/>
    <w:rsid w:val="00A13698"/>
    <w:rsid w:val="00A136C9"/>
    <w:rsid w:val="00A1392E"/>
    <w:rsid w:val="00A1488D"/>
    <w:rsid w:val="00A14C82"/>
    <w:rsid w:val="00A15030"/>
    <w:rsid w:val="00A15577"/>
    <w:rsid w:val="00A15BDA"/>
    <w:rsid w:val="00A16318"/>
    <w:rsid w:val="00A1689E"/>
    <w:rsid w:val="00A16D70"/>
    <w:rsid w:val="00A171AA"/>
    <w:rsid w:val="00A171F1"/>
    <w:rsid w:val="00A20E01"/>
    <w:rsid w:val="00A21EE9"/>
    <w:rsid w:val="00A2225A"/>
    <w:rsid w:val="00A22F4D"/>
    <w:rsid w:val="00A230BA"/>
    <w:rsid w:val="00A23F3C"/>
    <w:rsid w:val="00A24825"/>
    <w:rsid w:val="00A248FB"/>
    <w:rsid w:val="00A251E4"/>
    <w:rsid w:val="00A2544D"/>
    <w:rsid w:val="00A25986"/>
    <w:rsid w:val="00A25B3E"/>
    <w:rsid w:val="00A26A8F"/>
    <w:rsid w:val="00A26E00"/>
    <w:rsid w:val="00A272DC"/>
    <w:rsid w:val="00A27839"/>
    <w:rsid w:val="00A27B14"/>
    <w:rsid w:val="00A30301"/>
    <w:rsid w:val="00A30A13"/>
    <w:rsid w:val="00A31A98"/>
    <w:rsid w:val="00A31DD7"/>
    <w:rsid w:val="00A32729"/>
    <w:rsid w:val="00A328F7"/>
    <w:rsid w:val="00A329D2"/>
    <w:rsid w:val="00A34E42"/>
    <w:rsid w:val="00A3524C"/>
    <w:rsid w:val="00A3531D"/>
    <w:rsid w:val="00A35418"/>
    <w:rsid w:val="00A35689"/>
    <w:rsid w:val="00A358B7"/>
    <w:rsid w:val="00A35A0F"/>
    <w:rsid w:val="00A361D9"/>
    <w:rsid w:val="00A36C17"/>
    <w:rsid w:val="00A3703F"/>
    <w:rsid w:val="00A3748C"/>
    <w:rsid w:val="00A37505"/>
    <w:rsid w:val="00A37C82"/>
    <w:rsid w:val="00A40138"/>
    <w:rsid w:val="00A403A1"/>
    <w:rsid w:val="00A40CA4"/>
    <w:rsid w:val="00A40D6A"/>
    <w:rsid w:val="00A410F4"/>
    <w:rsid w:val="00A41B22"/>
    <w:rsid w:val="00A42A58"/>
    <w:rsid w:val="00A42D30"/>
    <w:rsid w:val="00A42EE2"/>
    <w:rsid w:val="00A4421B"/>
    <w:rsid w:val="00A44C97"/>
    <w:rsid w:val="00A44D80"/>
    <w:rsid w:val="00A45731"/>
    <w:rsid w:val="00A45981"/>
    <w:rsid w:val="00A45A71"/>
    <w:rsid w:val="00A46E2E"/>
    <w:rsid w:val="00A47196"/>
    <w:rsid w:val="00A4731E"/>
    <w:rsid w:val="00A47EFD"/>
    <w:rsid w:val="00A50428"/>
    <w:rsid w:val="00A50442"/>
    <w:rsid w:val="00A515B2"/>
    <w:rsid w:val="00A5238F"/>
    <w:rsid w:val="00A52A12"/>
    <w:rsid w:val="00A52C85"/>
    <w:rsid w:val="00A52E9E"/>
    <w:rsid w:val="00A540E4"/>
    <w:rsid w:val="00A54553"/>
    <w:rsid w:val="00A54760"/>
    <w:rsid w:val="00A54DB6"/>
    <w:rsid w:val="00A56005"/>
    <w:rsid w:val="00A56025"/>
    <w:rsid w:val="00A56128"/>
    <w:rsid w:val="00A57DA4"/>
    <w:rsid w:val="00A60611"/>
    <w:rsid w:val="00A6065B"/>
    <w:rsid w:val="00A60B4A"/>
    <w:rsid w:val="00A60B87"/>
    <w:rsid w:val="00A60C3F"/>
    <w:rsid w:val="00A60E41"/>
    <w:rsid w:val="00A615BA"/>
    <w:rsid w:val="00A616AC"/>
    <w:rsid w:val="00A61C82"/>
    <w:rsid w:val="00A62040"/>
    <w:rsid w:val="00A6240C"/>
    <w:rsid w:val="00A625FA"/>
    <w:rsid w:val="00A627E0"/>
    <w:rsid w:val="00A629B7"/>
    <w:rsid w:val="00A62EA6"/>
    <w:rsid w:val="00A632BE"/>
    <w:rsid w:val="00A6414E"/>
    <w:rsid w:val="00A642A4"/>
    <w:rsid w:val="00A64A17"/>
    <w:rsid w:val="00A65666"/>
    <w:rsid w:val="00A67153"/>
    <w:rsid w:val="00A67352"/>
    <w:rsid w:val="00A67390"/>
    <w:rsid w:val="00A67444"/>
    <w:rsid w:val="00A67CDC"/>
    <w:rsid w:val="00A7031D"/>
    <w:rsid w:val="00A70418"/>
    <w:rsid w:val="00A7083F"/>
    <w:rsid w:val="00A70A25"/>
    <w:rsid w:val="00A71BD3"/>
    <w:rsid w:val="00A7220C"/>
    <w:rsid w:val="00A72359"/>
    <w:rsid w:val="00A73D27"/>
    <w:rsid w:val="00A74174"/>
    <w:rsid w:val="00A74DF1"/>
    <w:rsid w:val="00A74E6F"/>
    <w:rsid w:val="00A750EC"/>
    <w:rsid w:val="00A75A75"/>
    <w:rsid w:val="00A75ADF"/>
    <w:rsid w:val="00A75DCC"/>
    <w:rsid w:val="00A76204"/>
    <w:rsid w:val="00A76580"/>
    <w:rsid w:val="00A76AC5"/>
    <w:rsid w:val="00A76E7B"/>
    <w:rsid w:val="00A76ED5"/>
    <w:rsid w:val="00A771A3"/>
    <w:rsid w:val="00A77566"/>
    <w:rsid w:val="00A77A87"/>
    <w:rsid w:val="00A77F47"/>
    <w:rsid w:val="00A803D1"/>
    <w:rsid w:val="00A80F34"/>
    <w:rsid w:val="00A811BB"/>
    <w:rsid w:val="00A81D22"/>
    <w:rsid w:val="00A81E34"/>
    <w:rsid w:val="00A81EB2"/>
    <w:rsid w:val="00A82225"/>
    <w:rsid w:val="00A822D2"/>
    <w:rsid w:val="00A82974"/>
    <w:rsid w:val="00A83075"/>
    <w:rsid w:val="00A83AAB"/>
    <w:rsid w:val="00A84CAA"/>
    <w:rsid w:val="00A84D77"/>
    <w:rsid w:val="00A84E7F"/>
    <w:rsid w:val="00A85390"/>
    <w:rsid w:val="00A853F3"/>
    <w:rsid w:val="00A8589E"/>
    <w:rsid w:val="00A8595F"/>
    <w:rsid w:val="00A85A1E"/>
    <w:rsid w:val="00A85B3F"/>
    <w:rsid w:val="00A8663E"/>
    <w:rsid w:val="00A86643"/>
    <w:rsid w:val="00A867F6"/>
    <w:rsid w:val="00A86B8C"/>
    <w:rsid w:val="00A870AA"/>
    <w:rsid w:val="00A9062B"/>
    <w:rsid w:val="00A9090C"/>
    <w:rsid w:val="00A90CAB"/>
    <w:rsid w:val="00A91552"/>
    <w:rsid w:val="00A91E42"/>
    <w:rsid w:val="00A924B1"/>
    <w:rsid w:val="00A927A2"/>
    <w:rsid w:val="00A9394A"/>
    <w:rsid w:val="00A94E61"/>
    <w:rsid w:val="00A9519E"/>
    <w:rsid w:val="00A95692"/>
    <w:rsid w:val="00A95DEC"/>
    <w:rsid w:val="00A95F53"/>
    <w:rsid w:val="00A965FA"/>
    <w:rsid w:val="00A96ADA"/>
    <w:rsid w:val="00A96BD8"/>
    <w:rsid w:val="00A96F28"/>
    <w:rsid w:val="00A9708D"/>
    <w:rsid w:val="00A97AEA"/>
    <w:rsid w:val="00AA0030"/>
    <w:rsid w:val="00AA089E"/>
    <w:rsid w:val="00AA0C44"/>
    <w:rsid w:val="00AA0F85"/>
    <w:rsid w:val="00AA1195"/>
    <w:rsid w:val="00AA12B8"/>
    <w:rsid w:val="00AA1D0B"/>
    <w:rsid w:val="00AA1D68"/>
    <w:rsid w:val="00AA1E36"/>
    <w:rsid w:val="00AA28E2"/>
    <w:rsid w:val="00AA2CE3"/>
    <w:rsid w:val="00AA2D77"/>
    <w:rsid w:val="00AA2FDD"/>
    <w:rsid w:val="00AA3C39"/>
    <w:rsid w:val="00AA449B"/>
    <w:rsid w:val="00AA45D4"/>
    <w:rsid w:val="00AA47F0"/>
    <w:rsid w:val="00AA4933"/>
    <w:rsid w:val="00AA52BE"/>
    <w:rsid w:val="00AA5924"/>
    <w:rsid w:val="00AA5F46"/>
    <w:rsid w:val="00AA5FFA"/>
    <w:rsid w:val="00AA690E"/>
    <w:rsid w:val="00AA6E57"/>
    <w:rsid w:val="00AA7808"/>
    <w:rsid w:val="00AA799C"/>
    <w:rsid w:val="00AA7D9F"/>
    <w:rsid w:val="00AB0623"/>
    <w:rsid w:val="00AB08B5"/>
    <w:rsid w:val="00AB0AF1"/>
    <w:rsid w:val="00AB0D2B"/>
    <w:rsid w:val="00AB0E37"/>
    <w:rsid w:val="00AB1B7A"/>
    <w:rsid w:val="00AB1D05"/>
    <w:rsid w:val="00AB23FD"/>
    <w:rsid w:val="00AB302F"/>
    <w:rsid w:val="00AB39DD"/>
    <w:rsid w:val="00AB4081"/>
    <w:rsid w:val="00AB47BD"/>
    <w:rsid w:val="00AB47C0"/>
    <w:rsid w:val="00AB4E87"/>
    <w:rsid w:val="00AB5250"/>
    <w:rsid w:val="00AB5CDA"/>
    <w:rsid w:val="00AB65D5"/>
    <w:rsid w:val="00AB693C"/>
    <w:rsid w:val="00AB7967"/>
    <w:rsid w:val="00AB79FD"/>
    <w:rsid w:val="00AB7C9C"/>
    <w:rsid w:val="00AC0254"/>
    <w:rsid w:val="00AC0931"/>
    <w:rsid w:val="00AC1703"/>
    <w:rsid w:val="00AC1DAD"/>
    <w:rsid w:val="00AC1FB1"/>
    <w:rsid w:val="00AC2530"/>
    <w:rsid w:val="00AC2F23"/>
    <w:rsid w:val="00AC38EC"/>
    <w:rsid w:val="00AC490F"/>
    <w:rsid w:val="00AC4EDE"/>
    <w:rsid w:val="00AC5270"/>
    <w:rsid w:val="00AC64F0"/>
    <w:rsid w:val="00AC65A0"/>
    <w:rsid w:val="00AC69A7"/>
    <w:rsid w:val="00AC7A1F"/>
    <w:rsid w:val="00AD0453"/>
    <w:rsid w:val="00AD04BD"/>
    <w:rsid w:val="00AD098B"/>
    <w:rsid w:val="00AD0C24"/>
    <w:rsid w:val="00AD0F49"/>
    <w:rsid w:val="00AD1336"/>
    <w:rsid w:val="00AD20EA"/>
    <w:rsid w:val="00AD23FD"/>
    <w:rsid w:val="00AD2445"/>
    <w:rsid w:val="00AD25D5"/>
    <w:rsid w:val="00AD26A6"/>
    <w:rsid w:val="00AD28B9"/>
    <w:rsid w:val="00AD2ACD"/>
    <w:rsid w:val="00AD33F9"/>
    <w:rsid w:val="00AD3D52"/>
    <w:rsid w:val="00AD3E05"/>
    <w:rsid w:val="00AD4026"/>
    <w:rsid w:val="00AD42C0"/>
    <w:rsid w:val="00AD4D00"/>
    <w:rsid w:val="00AD4D1A"/>
    <w:rsid w:val="00AD55AD"/>
    <w:rsid w:val="00AD5BB8"/>
    <w:rsid w:val="00AD6290"/>
    <w:rsid w:val="00AD65DB"/>
    <w:rsid w:val="00AD6762"/>
    <w:rsid w:val="00AD6DFB"/>
    <w:rsid w:val="00AD784B"/>
    <w:rsid w:val="00AE0540"/>
    <w:rsid w:val="00AE08F8"/>
    <w:rsid w:val="00AE0993"/>
    <w:rsid w:val="00AE0FCE"/>
    <w:rsid w:val="00AE120F"/>
    <w:rsid w:val="00AE152E"/>
    <w:rsid w:val="00AE25F2"/>
    <w:rsid w:val="00AE280E"/>
    <w:rsid w:val="00AE32BD"/>
    <w:rsid w:val="00AE35FA"/>
    <w:rsid w:val="00AE38F5"/>
    <w:rsid w:val="00AE3A9C"/>
    <w:rsid w:val="00AE3D51"/>
    <w:rsid w:val="00AE43D8"/>
    <w:rsid w:val="00AE44C4"/>
    <w:rsid w:val="00AE46F0"/>
    <w:rsid w:val="00AE4E5E"/>
    <w:rsid w:val="00AE5194"/>
    <w:rsid w:val="00AE579C"/>
    <w:rsid w:val="00AE5889"/>
    <w:rsid w:val="00AE5BAB"/>
    <w:rsid w:val="00AE5DEB"/>
    <w:rsid w:val="00AE5FA6"/>
    <w:rsid w:val="00AE64E2"/>
    <w:rsid w:val="00AE6FE3"/>
    <w:rsid w:val="00AE6FEC"/>
    <w:rsid w:val="00AE794A"/>
    <w:rsid w:val="00AF1565"/>
    <w:rsid w:val="00AF1A7A"/>
    <w:rsid w:val="00AF1B9F"/>
    <w:rsid w:val="00AF1D5E"/>
    <w:rsid w:val="00AF2081"/>
    <w:rsid w:val="00AF22AC"/>
    <w:rsid w:val="00AF3175"/>
    <w:rsid w:val="00AF374D"/>
    <w:rsid w:val="00AF397D"/>
    <w:rsid w:val="00AF3AA4"/>
    <w:rsid w:val="00AF3C1F"/>
    <w:rsid w:val="00AF43D0"/>
    <w:rsid w:val="00AF556A"/>
    <w:rsid w:val="00AF55E4"/>
    <w:rsid w:val="00AF618E"/>
    <w:rsid w:val="00AF6285"/>
    <w:rsid w:val="00AF6496"/>
    <w:rsid w:val="00AF6869"/>
    <w:rsid w:val="00AF6A12"/>
    <w:rsid w:val="00AF751E"/>
    <w:rsid w:val="00AF78CB"/>
    <w:rsid w:val="00B006B9"/>
    <w:rsid w:val="00B00711"/>
    <w:rsid w:val="00B010AF"/>
    <w:rsid w:val="00B010BA"/>
    <w:rsid w:val="00B010EC"/>
    <w:rsid w:val="00B01EEF"/>
    <w:rsid w:val="00B02C59"/>
    <w:rsid w:val="00B031FC"/>
    <w:rsid w:val="00B03BDB"/>
    <w:rsid w:val="00B05A7B"/>
    <w:rsid w:val="00B05CE5"/>
    <w:rsid w:val="00B0684D"/>
    <w:rsid w:val="00B06DAA"/>
    <w:rsid w:val="00B07070"/>
    <w:rsid w:val="00B10507"/>
    <w:rsid w:val="00B10BE1"/>
    <w:rsid w:val="00B10C0A"/>
    <w:rsid w:val="00B11037"/>
    <w:rsid w:val="00B11203"/>
    <w:rsid w:val="00B1139E"/>
    <w:rsid w:val="00B12E0C"/>
    <w:rsid w:val="00B138F3"/>
    <w:rsid w:val="00B141EC"/>
    <w:rsid w:val="00B14848"/>
    <w:rsid w:val="00B14C5C"/>
    <w:rsid w:val="00B14E07"/>
    <w:rsid w:val="00B15094"/>
    <w:rsid w:val="00B15788"/>
    <w:rsid w:val="00B16D65"/>
    <w:rsid w:val="00B16F84"/>
    <w:rsid w:val="00B17052"/>
    <w:rsid w:val="00B204CA"/>
    <w:rsid w:val="00B205E3"/>
    <w:rsid w:val="00B20845"/>
    <w:rsid w:val="00B20A65"/>
    <w:rsid w:val="00B20CA5"/>
    <w:rsid w:val="00B21462"/>
    <w:rsid w:val="00B21F11"/>
    <w:rsid w:val="00B22BAA"/>
    <w:rsid w:val="00B234FA"/>
    <w:rsid w:val="00B242B0"/>
    <w:rsid w:val="00B24776"/>
    <w:rsid w:val="00B24B93"/>
    <w:rsid w:val="00B25974"/>
    <w:rsid w:val="00B25975"/>
    <w:rsid w:val="00B26091"/>
    <w:rsid w:val="00B26414"/>
    <w:rsid w:val="00B271B8"/>
    <w:rsid w:val="00B27D85"/>
    <w:rsid w:val="00B27DB8"/>
    <w:rsid w:val="00B304AD"/>
    <w:rsid w:val="00B30562"/>
    <w:rsid w:val="00B31EA9"/>
    <w:rsid w:val="00B32574"/>
    <w:rsid w:val="00B32B73"/>
    <w:rsid w:val="00B32EE3"/>
    <w:rsid w:val="00B333BF"/>
    <w:rsid w:val="00B33867"/>
    <w:rsid w:val="00B33BDB"/>
    <w:rsid w:val="00B33D59"/>
    <w:rsid w:val="00B340B0"/>
    <w:rsid w:val="00B344F6"/>
    <w:rsid w:val="00B35188"/>
    <w:rsid w:val="00B352AF"/>
    <w:rsid w:val="00B353AF"/>
    <w:rsid w:val="00B35494"/>
    <w:rsid w:val="00B35823"/>
    <w:rsid w:val="00B36800"/>
    <w:rsid w:val="00B36973"/>
    <w:rsid w:val="00B3697B"/>
    <w:rsid w:val="00B36D86"/>
    <w:rsid w:val="00B374DB"/>
    <w:rsid w:val="00B37594"/>
    <w:rsid w:val="00B37792"/>
    <w:rsid w:val="00B4009B"/>
    <w:rsid w:val="00B40241"/>
    <w:rsid w:val="00B4129D"/>
    <w:rsid w:val="00B41F88"/>
    <w:rsid w:val="00B4209D"/>
    <w:rsid w:val="00B42EEC"/>
    <w:rsid w:val="00B431A8"/>
    <w:rsid w:val="00B43898"/>
    <w:rsid w:val="00B438B8"/>
    <w:rsid w:val="00B438FC"/>
    <w:rsid w:val="00B44810"/>
    <w:rsid w:val="00B44972"/>
    <w:rsid w:val="00B44C19"/>
    <w:rsid w:val="00B44CA1"/>
    <w:rsid w:val="00B45682"/>
    <w:rsid w:val="00B456E7"/>
    <w:rsid w:val="00B45E9F"/>
    <w:rsid w:val="00B4705F"/>
    <w:rsid w:val="00B471F3"/>
    <w:rsid w:val="00B47748"/>
    <w:rsid w:val="00B5008C"/>
    <w:rsid w:val="00B500D2"/>
    <w:rsid w:val="00B5042B"/>
    <w:rsid w:val="00B51908"/>
    <w:rsid w:val="00B53501"/>
    <w:rsid w:val="00B542E7"/>
    <w:rsid w:val="00B54839"/>
    <w:rsid w:val="00B549D4"/>
    <w:rsid w:val="00B54DCB"/>
    <w:rsid w:val="00B56A7D"/>
    <w:rsid w:val="00B56AA0"/>
    <w:rsid w:val="00B5778E"/>
    <w:rsid w:val="00B5785C"/>
    <w:rsid w:val="00B57B5E"/>
    <w:rsid w:val="00B60398"/>
    <w:rsid w:val="00B6040D"/>
    <w:rsid w:val="00B6056B"/>
    <w:rsid w:val="00B608C0"/>
    <w:rsid w:val="00B60DCB"/>
    <w:rsid w:val="00B61864"/>
    <w:rsid w:val="00B640FC"/>
    <w:rsid w:val="00B647EE"/>
    <w:rsid w:val="00B648AC"/>
    <w:rsid w:val="00B64941"/>
    <w:rsid w:val="00B6502C"/>
    <w:rsid w:val="00B664F9"/>
    <w:rsid w:val="00B66684"/>
    <w:rsid w:val="00B669FA"/>
    <w:rsid w:val="00B66C0F"/>
    <w:rsid w:val="00B66E65"/>
    <w:rsid w:val="00B66E9B"/>
    <w:rsid w:val="00B66F6B"/>
    <w:rsid w:val="00B676E7"/>
    <w:rsid w:val="00B67CAB"/>
    <w:rsid w:val="00B70B2E"/>
    <w:rsid w:val="00B71C06"/>
    <w:rsid w:val="00B72607"/>
    <w:rsid w:val="00B726EB"/>
    <w:rsid w:val="00B72E4E"/>
    <w:rsid w:val="00B72E96"/>
    <w:rsid w:val="00B73038"/>
    <w:rsid w:val="00B741BA"/>
    <w:rsid w:val="00B74ADC"/>
    <w:rsid w:val="00B777E3"/>
    <w:rsid w:val="00B77BD4"/>
    <w:rsid w:val="00B80086"/>
    <w:rsid w:val="00B80744"/>
    <w:rsid w:val="00B8174C"/>
    <w:rsid w:val="00B81785"/>
    <w:rsid w:val="00B81ABC"/>
    <w:rsid w:val="00B81D8E"/>
    <w:rsid w:val="00B822BE"/>
    <w:rsid w:val="00B8284F"/>
    <w:rsid w:val="00B82922"/>
    <w:rsid w:val="00B82CBE"/>
    <w:rsid w:val="00B830CB"/>
    <w:rsid w:val="00B832B6"/>
    <w:rsid w:val="00B83314"/>
    <w:rsid w:val="00B839BE"/>
    <w:rsid w:val="00B83B98"/>
    <w:rsid w:val="00B83D32"/>
    <w:rsid w:val="00B84536"/>
    <w:rsid w:val="00B8534D"/>
    <w:rsid w:val="00B859DB"/>
    <w:rsid w:val="00B86A0D"/>
    <w:rsid w:val="00B87B32"/>
    <w:rsid w:val="00B87FC8"/>
    <w:rsid w:val="00B87FCA"/>
    <w:rsid w:val="00B90496"/>
    <w:rsid w:val="00B904BC"/>
    <w:rsid w:val="00B91258"/>
    <w:rsid w:val="00B916BF"/>
    <w:rsid w:val="00B91903"/>
    <w:rsid w:val="00B91B47"/>
    <w:rsid w:val="00B91E98"/>
    <w:rsid w:val="00B91F37"/>
    <w:rsid w:val="00B92520"/>
    <w:rsid w:val="00B9276A"/>
    <w:rsid w:val="00B928ED"/>
    <w:rsid w:val="00B92C69"/>
    <w:rsid w:val="00B92E13"/>
    <w:rsid w:val="00B943C0"/>
    <w:rsid w:val="00B9440A"/>
    <w:rsid w:val="00B94D01"/>
    <w:rsid w:val="00B95055"/>
    <w:rsid w:val="00B955D8"/>
    <w:rsid w:val="00B9634F"/>
    <w:rsid w:val="00B968D4"/>
    <w:rsid w:val="00B96FC7"/>
    <w:rsid w:val="00B972F6"/>
    <w:rsid w:val="00B974F8"/>
    <w:rsid w:val="00B97FCC"/>
    <w:rsid w:val="00BA02CD"/>
    <w:rsid w:val="00BA04BA"/>
    <w:rsid w:val="00BA066A"/>
    <w:rsid w:val="00BA1355"/>
    <w:rsid w:val="00BA1858"/>
    <w:rsid w:val="00BA1ECC"/>
    <w:rsid w:val="00BA212E"/>
    <w:rsid w:val="00BA29C8"/>
    <w:rsid w:val="00BA2ECB"/>
    <w:rsid w:val="00BA2EDD"/>
    <w:rsid w:val="00BA3C51"/>
    <w:rsid w:val="00BA408B"/>
    <w:rsid w:val="00BA4B93"/>
    <w:rsid w:val="00BA4DD8"/>
    <w:rsid w:val="00BA56BD"/>
    <w:rsid w:val="00BA5750"/>
    <w:rsid w:val="00BA5F92"/>
    <w:rsid w:val="00BA6BD9"/>
    <w:rsid w:val="00BA77DF"/>
    <w:rsid w:val="00BA7E06"/>
    <w:rsid w:val="00BB0B0F"/>
    <w:rsid w:val="00BB1296"/>
    <w:rsid w:val="00BB134E"/>
    <w:rsid w:val="00BB2066"/>
    <w:rsid w:val="00BB235D"/>
    <w:rsid w:val="00BB24EA"/>
    <w:rsid w:val="00BB2814"/>
    <w:rsid w:val="00BB2B52"/>
    <w:rsid w:val="00BB2D31"/>
    <w:rsid w:val="00BB35BF"/>
    <w:rsid w:val="00BB3AED"/>
    <w:rsid w:val="00BB42D1"/>
    <w:rsid w:val="00BB43D7"/>
    <w:rsid w:val="00BB4632"/>
    <w:rsid w:val="00BB468B"/>
    <w:rsid w:val="00BB4A41"/>
    <w:rsid w:val="00BB4E1E"/>
    <w:rsid w:val="00BB619B"/>
    <w:rsid w:val="00BB666C"/>
    <w:rsid w:val="00BB6FA0"/>
    <w:rsid w:val="00BB756B"/>
    <w:rsid w:val="00BB75B8"/>
    <w:rsid w:val="00BB7802"/>
    <w:rsid w:val="00BB78A3"/>
    <w:rsid w:val="00BB7988"/>
    <w:rsid w:val="00BC0473"/>
    <w:rsid w:val="00BC0683"/>
    <w:rsid w:val="00BC0E99"/>
    <w:rsid w:val="00BC1A41"/>
    <w:rsid w:val="00BC1F2C"/>
    <w:rsid w:val="00BC2088"/>
    <w:rsid w:val="00BC2A3B"/>
    <w:rsid w:val="00BC3132"/>
    <w:rsid w:val="00BC33D0"/>
    <w:rsid w:val="00BC3447"/>
    <w:rsid w:val="00BC39F4"/>
    <w:rsid w:val="00BC3C93"/>
    <w:rsid w:val="00BC41D7"/>
    <w:rsid w:val="00BC45E7"/>
    <w:rsid w:val="00BC4D7D"/>
    <w:rsid w:val="00BC52D5"/>
    <w:rsid w:val="00BC59F0"/>
    <w:rsid w:val="00BC5DB5"/>
    <w:rsid w:val="00BC5F01"/>
    <w:rsid w:val="00BC6111"/>
    <w:rsid w:val="00BC62D0"/>
    <w:rsid w:val="00BC6D05"/>
    <w:rsid w:val="00BC7E46"/>
    <w:rsid w:val="00BD1003"/>
    <w:rsid w:val="00BD16A0"/>
    <w:rsid w:val="00BD24CB"/>
    <w:rsid w:val="00BD3511"/>
    <w:rsid w:val="00BD3C79"/>
    <w:rsid w:val="00BD41FE"/>
    <w:rsid w:val="00BD42DC"/>
    <w:rsid w:val="00BD43B6"/>
    <w:rsid w:val="00BD54A2"/>
    <w:rsid w:val="00BD5B26"/>
    <w:rsid w:val="00BD5BBA"/>
    <w:rsid w:val="00BD60E0"/>
    <w:rsid w:val="00BD771D"/>
    <w:rsid w:val="00BD778A"/>
    <w:rsid w:val="00BD7A8E"/>
    <w:rsid w:val="00BE04DD"/>
    <w:rsid w:val="00BE091F"/>
    <w:rsid w:val="00BE0921"/>
    <w:rsid w:val="00BE113E"/>
    <w:rsid w:val="00BE2270"/>
    <w:rsid w:val="00BE28DA"/>
    <w:rsid w:val="00BE2E05"/>
    <w:rsid w:val="00BE2E8B"/>
    <w:rsid w:val="00BE3057"/>
    <w:rsid w:val="00BE33B7"/>
    <w:rsid w:val="00BE3515"/>
    <w:rsid w:val="00BE3FD4"/>
    <w:rsid w:val="00BE4525"/>
    <w:rsid w:val="00BE4AEE"/>
    <w:rsid w:val="00BE5227"/>
    <w:rsid w:val="00BE5345"/>
    <w:rsid w:val="00BE5581"/>
    <w:rsid w:val="00BE667A"/>
    <w:rsid w:val="00BE69AE"/>
    <w:rsid w:val="00BE69CE"/>
    <w:rsid w:val="00BE6A25"/>
    <w:rsid w:val="00BE6E0B"/>
    <w:rsid w:val="00BE6F31"/>
    <w:rsid w:val="00BE70D6"/>
    <w:rsid w:val="00BE742D"/>
    <w:rsid w:val="00BE759C"/>
    <w:rsid w:val="00BE78AE"/>
    <w:rsid w:val="00BE7A60"/>
    <w:rsid w:val="00BE7C67"/>
    <w:rsid w:val="00BE7E83"/>
    <w:rsid w:val="00BF0649"/>
    <w:rsid w:val="00BF0B02"/>
    <w:rsid w:val="00BF0CA7"/>
    <w:rsid w:val="00BF0F1C"/>
    <w:rsid w:val="00BF1B86"/>
    <w:rsid w:val="00BF2E8A"/>
    <w:rsid w:val="00BF3217"/>
    <w:rsid w:val="00BF32CC"/>
    <w:rsid w:val="00BF3355"/>
    <w:rsid w:val="00BF3506"/>
    <w:rsid w:val="00BF368D"/>
    <w:rsid w:val="00BF391D"/>
    <w:rsid w:val="00BF3CB8"/>
    <w:rsid w:val="00BF4E80"/>
    <w:rsid w:val="00BF5C9B"/>
    <w:rsid w:val="00BF6837"/>
    <w:rsid w:val="00BF687E"/>
    <w:rsid w:val="00BF68FD"/>
    <w:rsid w:val="00BF75F4"/>
    <w:rsid w:val="00BF76F8"/>
    <w:rsid w:val="00BF7726"/>
    <w:rsid w:val="00C005C5"/>
    <w:rsid w:val="00C0183D"/>
    <w:rsid w:val="00C01F3A"/>
    <w:rsid w:val="00C02516"/>
    <w:rsid w:val="00C02D7F"/>
    <w:rsid w:val="00C03234"/>
    <w:rsid w:val="00C03690"/>
    <w:rsid w:val="00C03CD5"/>
    <w:rsid w:val="00C04033"/>
    <w:rsid w:val="00C0418A"/>
    <w:rsid w:val="00C042E8"/>
    <w:rsid w:val="00C0541C"/>
    <w:rsid w:val="00C055BF"/>
    <w:rsid w:val="00C05B44"/>
    <w:rsid w:val="00C05E41"/>
    <w:rsid w:val="00C060B6"/>
    <w:rsid w:val="00C06110"/>
    <w:rsid w:val="00C066F5"/>
    <w:rsid w:val="00C06A97"/>
    <w:rsid w:val="00C073E6"/>
    <w:rsid w:val="00C0747A"/>
    <w:rsid w:val="00C079B4"/>
    <w:rsid w:val="00C07F33"/>
    <w:rsid w:val="00C10192"/>
    <w:rsid w:val="00C10BFD"/>
    <w:rsid w:val="00C11035"/>
    <w:rsid w:val="00C11738"/>
    <w:rsid w:val="00C12B3F"/>
    <w:rsid w:val="00C12BF1"/>
    <w:rsid w:val="00C12C48"/>
    <w:rsid w:val="00C12CF3"/>
    <w:rsid w:val="00C1300E"/>
    <w:rsid w:val="00C13027"/>
    <w:rsid w:val="00C130B5"/>
    <w:rsid w:val="00C14F3F"/>
    <w:rsid w:val="00C14F80"/>
    <w:rsid w:val="00C16B1D"/>
    <w:rsid w:val="00C175B5"/>
    <w:rsid w:val="00C209E6"/>
    <w:rsid w:val="00C21DCA"/>
    <w:rsid w:val="00C220FE"/>
    <w:rsid w:val="00C22868"/>
    <w:rsid w:val="00C22C44"/>
    <w:rsid w:val="00C260D3"/>
    <w:rsid w:val="00C26236"/>
    <w:rsid w:val="00C27933"/>
    <w:rsid w:val="00C3031F"/>
    <w:rsid w:val="00C305D1"/>
    <w:rsid w:val="00C313FA"/>
    <w:rsid w:val="00C314C2"/>
    <w:rsid w:val="00C3163F"/>
    <w:rsid w:val="00C3289F"/>
    <w:rsid w:val="00C33902"/>
    <w:rsid w:val="00C34AFC"/>
    <w:rsid w:val="00C34E64"/>
    <w:rsid w:val="00C34E8E"/>
    <w:rsid w:val="00C34F52"/>
    <w:rsid w:val="00C35089"/>
    <w:rsid w:val="00C351DB"/>
    <w:rsid w:val="00C354AB"/>
    <w:rsid w:val="00C35A22"/>
    <w:rsid w:val="00C362D7"/>
    <w:rsid w:val="00C364EA"/>
    <w:rsid w:val="00C36709"/>
    <w:rsid w:val="00C36DFC"/>
    <w:rsid w:val="00C37245"/>
    <w:rsid w:val="00C37F1F"/>
    <w:rsid w:val="00C40B6A"/>
    <w:rsid w:val="00C40FED"/>
    <w:rsid w:val="00C410CE"/>
    <w:rsid w:val="00C4143F"/>
    <w:rsid w:val="00C41BD1"/>
    <w:rsid w:val="00C42A60"/>
    <w:rsid w:val="00C42BE3"/>
    <w:rsid w:val="00C42D9D"/>
    <w:rsid w:val="00C43BCF"/>
    <w:rsid w:val="00C43D40"/>
    <w:rsid w:val="00C4470B"/>
    <w:rsid w:val="00C4530A"/>
    <w:rsid w:val="00C45A9C"/>
    <w:rsid w:val="00C45C72"/>
    <w:rsid w:val="00C45E07"/>
    <w:rsid w:val="00C469A1"/>
    <w:rsid w:val="00C470DD"/>
    <w:rsid w:val="00C472D6"/>
    <w:rsid w:val="00C47842"/>
    <w:rsid w:val="00C47B01"/>
    <w:rsid w:val="00C47EB0"/>
    <w:rsid w:val="00C47F0D"/>
    <w:rsid w:val="00C50277"/>
    <w:rsid w:val="00C506C1"/>
    <w:rsid w:val="00C50C44"/>
    <w:rsid w:val="00C50CC4"/>
    <w:rsid w:val="00C50D3A"/>
    <w:rsid w:val="00C50F75"/>
    <w:rsid w:val="00C51BC5"/>
    <w:rsid w:val="00C51E69"/>
    <w:rsid w:val="00C5208B"/>
    <w:rsid w:val="00C523F8"/>
    <w:rsid w:val="00C528D4"/>
    <w:rsid w:val="00C52B91"/>
    <w:rsid w:val="00C52F48"/>
    <w:rsid w:val="00C540FE"/>
    <w:rsid w:val="00C5530E"/>
    <w:rsid w:val="00C55680"/>
    <w:rsid w:val="00C55B03"/>
    <w:rsid w:val="00C568EE"/>
    <w:rsid w:val="00C57091"/>
    <w:rsid w:val="00C574CE"/>
    <w:rsid w:val="00C600E3"/>
    <w:rsid w:val="00C60321"/>
    <w:rsid w:val="00C605AF"/>
    <w:rsid w:val="00C605F1"/>
    <w:rsid w:val="00C6122A"/>
    <w:rsid w:val="00C61388"/>
    <w:rsid w:val="00C613B2"/>
    <w:rsid w:val="00C61D28"/>
    <w:rsid w:val="00C624F0"/>
    <w:rsid w:val="00C63FC0"/>
    <w:rsid w:val="00C649FC"/>
    <w:rsid w:val="00C64E64"/>
    <w:rsid w:val="00C654CA"/>
    <w:rsid w:val="00C65523"/>
    <w:rsid w:val="00C659F7"/>
    <w:rsid w:val="00C6655F"/>
    <w:rsid w:val="00C66694"/>
    <w:rsid w:val="00C66E0D"/>
    <w:rsid w:val="00C67033"/>
    <w:rsid w:val="00C6714E"/>
    <w:rsid w:val="00C675FF"/>
    <w:rsid w:val="00C67F60"/>
    <w:rsid w:val="00C7153E"/>
    <w:rsid w:val="00C71A72"/>
    <w:rsid w:val="00C71BC7"/>
    <w:rsid w:val="00C72825"/>
    <w:rsid w:val="00C731AF"/>
    <w:rsid w:val="00C73282"/>
    <w:rsid w:val="00C73581"/>
    <w:rsid w:val="00C736D6"/>
    <w:rsid w:val="00C73DB7"/>
    <w:rsid w:val="00C73EC9"/>
    <w:rsid w:val="00C7429C"/>
    <w:rsid w:val="00C7482A"/>
    <w:rsid w:val="00C75426"/>
    <w:rsid w:val="00C75831"/>
    <w:rsid w:val="00C76340"/>
    <w:rsid w:val="00C7683E"/>
    <w:rsid w:val="00C76B32"/>
    <w:rsid w:val="00C76E30"/>
    <w:rsid w:val="00C772E3"/>
    <w:rsid w:val="00C77B9A"/>
    <w:rsid w:val="00C81F2F"/>
    <w:rsid w:val="00C829C4"/>
    <w:rsid w:val="00C82E10"/>
    <w:rsid w:val="00C83341"/>
    <w:rsid w:val="00C83AC0"/>
    <w:rsid w:val="00C83C00"/>
    <w:rsid w:val="00C83F84"/>
    <w:rsid w:val="00C84300"/>
    <w:rsid w:val="00C849DE"/>
    <w:rsid w:val="00C853E0"/>
    <w:rsid w:val="00C85D76"/>
    <w:rsid w:val="00C867B5"/>
    <w:rsid w:val="00C868B1"/>
    <w:rsid w:val="00C8752F"/>
    <w:rsid w:val="00C87B12"/>
    <w:rsid w:val="00C913DE"/>
    <w:rsid w:val="00C91981"/>
    <w:rsid w:val="00C91B6A"/>
    <w:rsid w:val="00C9212F"/>
    <w:rsid w:val="00C92485"/>
    <w:rsid w:val="00C925D7"/>
    <w:rsid w:val="00C92A06"/>
    <w:rsid w:val="00C92A94"/>
    <w:rsid w:val="00C92BD0"/>
    <w:rsid w:val="00C9309D"/>
    <w:rsid w:val="00C938AF"/>
    <w:rsid w:val="00C94970"/>
    <w:rsid w:val="00C94D85"/>
    <w:rsid w:val="00C94DBA"/>
    <w:rsid w:val="00C94E5E"/>
    <w:rsid w:val="00C950B4"/>
    <w:rsid w:val="00C9527A"/>
    <w:rsid w:val="00C954B5"/>
    <w:rsid w:val="00C95695"/>
    <w:rsid w:val="00C956BE"/>
    <w:rsid w:val="00C95A8A"/>
    <w:rsid w:val="00C96936"/>
    <w:rsid w:val="00CA0330"/>
    <w:rsid w:val="00CA052A"/>
    <w:rsid w:val="00CA08D2"/>
    <w:rsid w:val="00CA0CEA"/>
    <w:rsid w:val="00CA148B"/>
    <w:rsid w:val="00CA14D9"/>
    <w:rsid w:val="00CA181A"/>
    <w:rsid w:val="00CA1C6F"/>
    <w:rsid w:val="00CA26BB"/>
    <w:rsid w:val="00CA2CAC"/>
    <w:rsid w:val="00CA2CED"/>
    <w:rsid w:val="00CA2D4E"/>
    <w:rsid w:val="00CA39F8"/>
    <w:rsid w:val="00CA3D03"/>
    <w:rsid w:val="00CA3EE1"/>
    <w:rsid w:val="00CA43E4"/>
    <w:rsid w:val="00CA483F"/>
    <w:rsid w:val="00CA5049"/>
    <w:rsid w:val="00CA53FA"/>
    <w:rsid w:val="00CA5B47"/>
    <w:rsid w:val="00CA63DC"/>
    <w:rsid w:val="00CA72F2"/>
    <w:rsid w:val="00CB0BCD"/>
    <w:rsid w:val="00CB2D19"/>
    <w:rsid w:val="00CB31DF"/>
    <w:rsid w:val="00CB391F"/>
    <w:rsid w:val="00CB4574"/>
    <w:rsid w:val="00CB4B51"/>
    <w:rsid w:val="00CB52A7"/>
    <w:rsid w:val="00CB531D"/>
    <w:rsid w:val="00CB589C"/>
    <w:rsid w:val="00CB5B08"/>
    <w:rsid w:val="00CB601C"/>
    <w:rsid w:val="00CB6CB4"/>
    <w:rsid w:val="00CB72ED"/>
    <w:rsid w:val="00CB7444"/>
    <w:rsid w:val="00CB7577"/>
    <w:rsid w:val="00CB7C05"/>
    <w:rsid w:val="00CB7CF6"/>
    <w:rsid w:val="00CB7F75"/>
    <w:rsid w:val="00CC03BB"/>
    <w:rsid w:val="00CC05A9"/>
    <w:rsid w:val="00CC085C"/>
    <w:rsid w:val="00CC0CBD"/>
    <w:rsid w:val="00CC116B"/>
    <w:rsid w:val="00CC1C36"/>
    <w:rsid w:val="00CC211B"/>
    <w:rsid w:val="00CC25A1"/>
    <w:rsid w:val="00CC2797"/>
    <w:rsid w:val="00CC2C04"/>
    <w:rsid w:val="00CC31D0"/>
    <w:rsid w:val="00CC36C3"/>
    <w:rsid w:val="00CC3A1E"/>
    <w:rsid w:val="00CC3AD8"/>
    <w:rsid w:val="00CC3EE0"/>
    <w:rsid w:val="00CC49A2"/>
    <w:rsid w:val="00CC4C82"/>
    <w:rsid w:val="00CC4E4A"/>
    <w:rsid w:val="00CC5B7E"/>
    <w:rsid w:val="00CC615C"/>
    <w:rsid w:val="00CC6701"/>
    <w:rsid w:val="00CC7B6E"/>
    <w:rsid w:val="00CD0217"/>
    <w:rsid w:val="00CD04DF"/>
    <w:rsid w:val="00CD05CA"/>
    <w:rsid w:val="00CD0C48"/>
    <w:rsid w:val="00CD255D"/>
    <w:rsid w:val="00CD26E6"/>
    <w:rsid w:val="00CD2C85"/>
    <w:rsid w:val="00CD32CD"/>
    <w:rsid w:val="00CD3E35"/>
    <w:rsid w:val="00CD44CB"/>
    <w:rsid w:val="00CD527C"/>
    <w:rsid w:val="00CD5C47"/>
    <w:rsid w:val="00CD6FFF"/>
    <w:rsid w:val="00CD73FD"/>
    <w:rsid w:val="00CD7483"/>
    <w:rsid w:val="00CD7809"/>
    <w:rsid w:val="00CE002D"/>
    <w:rsid w:val="00CE0585"/>
    <w:rsid w:val="00CE0B7A"/>
    <w:rsid w:val="00CE0F75"/>
    <w:rsid w:val="00CE1028"/>
    <w:rsid w:val="00CE1500"/>
    <w:rsid w:val="00CE18D1"/>
    <w:rsid w:val="00CE1AA4"/>
    <w:rsid w:val="00CE21E0"/>
    <w:rsid w:val="00CE27FD"/>
    <w:rsid w:val="00CE3704"/>
    <w:rsid w:val="00CE3906"/>
    <w:rsid w:val="00CE3EE5"/>
    <w:rsid w:val="00CE4929"/>
    <w:rsid w:val="00CE4E55"/>
    <w:rsid w:val="00CE5976"/>
    <w:rsid w:val="00CE5A2C"/>
    <w:rsid w:val="00CE70F2"/>
    <w:rsid w:val="00CF022C"/>
    <w:rsid w:val="00CF06F0"/>
    <w:rsid w:val="00CF087B"/>
    <w:rsid w:val="00CF0C6F"/>
    <w:rsid w:val="00CF107D"/>
    <w:rsid w:val="00CF1392"/>
    <w:rsid w:val="00CF15AD"/>
    <w:rsid w:val="00CF169E"/>
    <w:rsid w:val="00CF1CCE"/>
    <w:rsid w:val="00CF214A"/>
    <w:rsid w:val="00CF29AA"/>
    <w:rsid w:val="00CF344C"/>
    <w:rsid w:val="00CF35B0"/>
    <w:rsid w:val="00CF365E"/>
    <w:rsid w:val="00CF36EF"/>
    <w:rsid w:val="00CF3752"/>
    <w:rsid w:val="00CF3F13"/>
    <w:rsid w:val="00CF4187"/>
    <w:rsid w:val="00CF435D"/>
    <w:rsid w:val="00CF4700"/>
    <w:rsid w:val="00CF4C38"/>
    <w:rsid w:val="00CF4E4A"/>
    <w:rsid w:val="00CF56DB"/>
    <w:rsid w:val="00CF5E54"/>
    <w:rsid w:val="00CF633B"/>
    <w:rsid w:val="00CF6A5B"/>
    <w:rsid w:val="00CF6F1E"/>
    <w:rsid w:val="00CF7788"/>
    <w:rsid w:val="00CF7997"/>
    <w:rsid w:val="00CF7B14"/>
    <w:rsid w:val="00CF7F2E"/>
    <w:rsid w:val="00D002B7"/>
    <w:rsid w:val="00D00339"/>
    <w:rsid w:val="00D0096E"/>
    <w:rsid w:val="00D00FD7"/>
    <w:rsid w:val="00D01726"/>
    <w:rsid w:val="00D018FF"/>
    <w:rsid w:val="00D01928"/>
    <w:rsid w:val="00D01C78"/>
    <w:rsid w:val="00D01EE9"/>
    <w:rsid w:val="00D020A6"/>
    <w:rsid w:val="00D02240"/>
    <w:rsid w:val="00D023BF"/>
    <w:rsid w:val="00D02E6F"/>
    <w:rsid w:val="00D036FD"/>
    <w:rsid w:val="00D040E9"/>
    <w:rsid w:val="00D04A30"/>
    <w:rsid w:val="00D04D0F"/>
    <w:rsid w:val="00D04DE6"/>
    <w:rsid w:val="00D05214"/>
    <w:rsid w:val="00D055F4"/>
    <w:rsid w:val="00D05988"/>
    <w:rsid w:val="00D062CE"/>
    <w:rsid w:val="00D06319"/>
    <w:rsid w:val="00D07C3F"/>
    <w:rsid w:val="00D07C65"/>
    <w:rsid w:val="00D10744"/>
    <w:rsid w:val="00D11FD3"/>
    <w:rsid w:val="00D12B08"/>
    <w:rsid w:val="00D1344A"/>
    <w:rsid w:val="00D139BE"/>
    <w:rsid w:val="00D13ABA"/>
    <w:rsid w:val="00D13C8C"/>
    <w:rsid w:val="00D13EDB"/>
    <w:rsid w:val="00D14F8F"/>
    <w:rsid w:val="00D15AD2"/>
    <w:rsid w:val="00D15B42"/>
    <w:rsid w:val="00D15CEE"/>
    <w:rsid w:val="00D15DB1"/>
    <w:rsid w:val="00D15E31"/>
    <w:rsid w:val="00D1646B"/>
    <w:rsid w:val="00D17147"/>
    <w:rsid w:val="00D1790E"/>
    <w:rsid w:val="00D21088"/>
    <w:rsid w:val="00D21636"/>
    <w:rsid w:val="00D22897"/>
    <w:rsid w:val="00D2309A"/>
    <w:rsid w:val="00D23400"/>
    <w:rsid w:val="00D24735"/>
    <w:rsid w:val="00D249F9"/>
    <w:rsid w:val="00D25B7C"/>
    <w:rsid w:val="00D261BA"/>
    <w:rsid w:val="00D26362"/>
    <w:rsid w:val="00D26731"/>
    <w:rsid w:val="00D2686C"/>
    <w:rsid w:val="00D27CB3"/>
    <w:rsid w:val="00D27DBF"/>
    <w:rsid w:val="00D30477"/>
    <w:rsid w:val="00D30929"/>
    <w:rsid w:val="00D30A85"/>
    <w:rsid w:val="00D30EA4"/>
    <w:rsid w:val="00D30EC8"/>
    <w:rsid w:val="00D3164B"/>
    <w:rsid w:val="00D31B24"/>
    <w:rsid w:val="00D32BB3"/>
    <w:rsid w:val="00D33382"/>
    <w:rsid w:val="00D34FC7"/>
    <w:rsid w:val="00D3512B"/>
    <w:rsid w:val="00D3583A"/>
    <w:rsid w:val="00D35D0D"/>
    <w:rsid w:val="00D35F94"/>
    <w:rsid w:val="00D35FC0"/>
    <w:rsid w:val="00D362C3"/>
    <w:rsid w:val="00D367B5"/>
    <w:rsid w:val="00D367D7"/>
    <w:rsid w:val="00D400CE"/>
    <w:rsid w:val="00D4017A"/>
    <w:rsid w:val="00D40790"/>
    <w:rsid w:val="00D407F2"/>
    <w:rsid w:val="00D41016"/>
    <w:rsid w:val="00D41326"/>
    <w:rsid w:val="00D413BE"/>
    <w:rsid w:val="00D4148E"/>
    <w:rsid w:val="00D41496"/>
    <w:rsid w:val="00D41D25"/>
    <w:rsid w:val="00D41D2B"/>
    <w:rsid w:val="00D429AE"/>
    <w:rsid w:val="00D42D42"/>
    <w:rsid w:val="00D42E82"/>
    <w:rsid w:val="00D4344B"/>
    <w:rsid w:val="00D437CC"/>
    <w:rsid w:val="00D43BFF"/>
    <w:rsid w:val="00D44DCC"/>
    <w:rsid w:val="00D45238"/>
    <w:rsid w:val="00D458EF"/>
    <w:rsid w:val="00D4643D"/>
    <w:rsid w:val="00D469FD"/>
    <w:rsid w:val="00D46A33"/>
    <w:rsid w:val="00D46B14"/>
    <w:rsid w:val="00D46D88"/>
    <w:rsid w:val="00D4730D"/>
    <w:rsid w:val="00D4745F"/>
    <w:rsid w:val="00D4782B"/>
    <w:rsid w:val="00D479AA"/>
    <w:rsid w:val="00D47AA7"/>
    <w:rsid w:val="00D47AB5"/>
    <w:rsid w:val="00D505B8"/>
    <w:rsid w:val="00D5060D"/>
    <w:rsid w:val="00D50C26"/>
    <w:rsid w:val="00D50F78"/>
    <w:rsid w:val="00D512C5"/>
    <w:rsid w:val="00D51747"/>
    <w:rsid w:val="00D51C0F"/>
    <w:rsid w:val="00D5206C"/>
    <w:rsid w:val="00D523CC"/>
    <w:rsid w:val="00D5275B"/>
    <w:rsid w:val="00D53816"/>
    <w:rsid w:val="00D53A03"/>
    <w:rsid w:val="00D54005"/>
    <w:rsid w:val="00D54357"/>
    <w:rsid w:val="00D5438D"/>
    <w:rsid w:val="00D5492C"/>
    <w:rsid w:val="00D54BFB"/>
    <w:rsid w:val="00D552B8"/>
    <w:rsid w:val="00D5540C"/>
    <w:rsid w:val="00D5599A"/>
    <w:rsid w:val="00D55CFC"/>
    <w:rsid w:val="00D55ECF"/>
    <w:rsid w:val="00D5690A"/>
    <w:rsid w:val="00D56DFC"/>
    <w:rsid w:val="00D57308"/>
    <w:rsid w:val="00D5733C"/>
    <w:rsid w:val="00D57AE4"/>
    <w:rsid w:val="00D57E29"/>
    <w:rsid w:val="00D57E73"/>
    <w:rsid w:val="00D60538"/>
    <w:rsid w:val="00D60A2F"/>
    <w:rsid w:val="00D60DAF"/>
    <w:rsid w:val="00D60E03"/>
    <w:rsid w:val="00D61033"/>
    <w:rsid w:val="00D613AA"/>
    <w:rsid w:val="00D61672"/>
    <w:rsid w:val="00D61D79"/>
    <w:rsid w:val="00D62176"/>
    <w:rsid w:val="00D629E4"/>
    <w:rsid w:val="00D62ED4"/>
    <w:rsid w:val="00D6328F"/>
    <w:rsid w:val="00D6368B"/>
    <w:rsid w:val="00D638F4"/>
    <w:rsid w:val="00D6413F"/>
    <w:rsid w:val="00D646E6"/>
    <w:rsid w:val="00D647FD"/>
    <w:rsid w:val="00D654EE"/>
    <w:rsid w:val="00D65DAE"/>
    <w:rsid w:val="00D664F3"/>
    <w:rsid w:val="00D6781A"/>
    <w:rsid w:val="00D67E86"/>
    <w:rsid w:val="00D70A28"/>
    <w:rsid w:val="00D70E12"/>
    <w:rsid w:val="00D71924"/>
    <w:rsid w:val="00D71D86"/>
    <w:rsid w:val="00D71F2F"/>
    <w:rsid w:val="00D72776"/>
    <w:rsid w:val="00D72ADA"/>
    <w:rsid w:val="00D72C08"/>
    <w:rsid w:val="00D72E95"/>
    <w:rsid w:val="00D73487"/>
    <w:rsid w:val="00D73F07"/>
    <w:rsid w:val="00D73F59"/>
    <w:rsid w:val="00D73F81"/>
    <w:rsid w:val="00D741EA"/>
    <w:rsid w:val="00D74624"/>
    <w:rsid w:val="00D7485D"/>
    <w:rsid w:val="00D7494A"/>
    <w:rsid w:val="00D74F6A"/>
    <w:rsid w:val="00D74FAD"/>
    <w:rsid w:val="00D765FD"/>
    <w:rsid w:val="00D76C41"/>
    <w:rsid w:val="00D7740F"/>
    <w:rsid w:val="00D7786A"/>
    <w:rsid w:val="00D778EA"/>
    <w:rsid w:val="00D779E1"/>
    <w:rsid w:val="00D807AD"/>
    <w:rsid w:val="00D8105C"/>
    <w:rsid w:val="00D8123C"/>
    <w:rsid w:val="00D818D8"/>
    <w:rsid w:val="00D81EA9"/>
    <w:rsid w:val="00D81ED4"/>
    <w:rsid w:val="00D81F35"/>
    <w:rsid w:val="00D82AC4"/>
    <w:rsid w:val="00D82C9F"/>
    <w:rsid w:val="00D82FD0"/>
    <w:rsid w:val="00D83075"/>
    <w:rsid w:val="00D8331C"/>
    <w:rsid w:val="00D833CF"/>
    <w:rsid w:val="00D83828"/>
    <w:rsid w:val="00D84480"/>
    <w:rsid w:val="00D84ABF"/>
    <w:rsid w:val="00D850B7"/>
    <w:rsid w:val="00D86569"/>
    <w:rsid w:val="00D86D68"/>
    <w:rsid w:val="00D86F97"/>
    <w:rsid w:val="00D8736E"/>
    <w:rsid w:val="00D87662"/>
    <w:rsid w:val="00D87829"/>
    <w:rsid w:val="00D900FD"/>
    <w:rsid w:val="00D9012D"/>
    <w:rsid w:val="00D90233"/>
    <w:rsid w:val="00D90B76"/>
    <w:rsid w:val="00D9114F"/>
    <w:rsid w:val="00D9167C"/>
    <w:rsid w:val="00D921BF"/>
    <w:rsid w:val="00D9242F"/>
    <w:rsid w:val="00D9247F"/>
    <w:rsid w:val="00D92DF7"/>
    <w:rsid w:val="00D9361E"/>
    <w:rsid w:val="00D940A8"/>
    <w:rsid w:val="00D949B7"/>
    <w:rsid w:val="00D9508C"/>
    <w:rsid w:val="00D964B0"/>
    <w:rsid w:val="00D9654E"/>
    <w:rsid w:val="00D965DB"/>
    <w:rsid w:val="00D9680C"/>
    <w:rsid w:val="00D971EB"/>
    <w:rsid w:val="00DA0102"/>
    <w:rsid w:val="00DA065D"/>
    <w:rsid w:val="00DA0A63"/>
    <w:rsid w:val="00DA0EAB"/>
    <w:rsid w:val="00DA1004"/>
    <w:rsid w:val="00DA168D"/>
    <w:rsid w:val="00DA1910"/>
    <w:rsid w:val="00DA1B59"/>
    <w:rsid w:val="00DA1FF2"/>
    <w:rsid w:val="00DA248E"/>
    <w:rsid w:val="00DA2657"/>
    <w:rsid w:val="00DA29C0"/>
    <w:rsid w:val="00DA2C36"/>
    <w:rsid w:val="00DA2F78"/>
    <w:rsid w:val="00DA3419"/>
    <w:rsid w:val="00DA3DFE"/>
    <w:rsid w:val="00DA3F5D"/>
    <w:rsid w:val="00DA4731"/>
    <w:rsid w:val="00DA5305"/>
    <w:rsid w:val="00DA582B"/>
    <w:rsid w:val="00DA5D5D"/>
    <w:rsid w:val="00DA6093"/>
    <w:rsid w:val="00DA669D"/>
    <w:rsid w:val="00DA6EE5"/>
    <w:rsid w:val="00DA6F78"/>
    <w:rsid w:val="00DA72D8"/>
    <w:rsid w:val="00DA7966"/>
    <w:rsid w:val="00DB03F7"/>
    <w:rsid w:val="00DB08E4"/>
    <w:rsid w:val="00DB0981"/>
    <w:rsid w:val="00DB0C91"/>
    <w:rsid w:val="00DB0E49"/>
    <w:rsid w:val="00DB2917"/>
    <w:rsid w:val="00DB3EEA"/>
    <w:rsid w:val="00DB475C"/>
    <w:rsid w:val="00DB4F39"/>
    <w:rsid w:val="00DB50A7"/>
    <w:rsid w:val="00DB56D8"/>
    <w:rsid w:val="00DB586F"/>
    <w:rsid w:val="00DB5BF8"/>
    <w:rsid w:val="00DB6779"/>
    <w:rsid w:val="00DB6B01"/>
    <w:rsid w:val="00DB6BA3"/>
    <w:rsid w:val="00DB6F8E"/>
    <w:rsid w:val="00DB7341"/>
    <w:rsid w:val="00DB7BC7"/>
    <w:rsid w:val="00DC019A"/>
    <w:rsid w:val="00DC020F"/>
    <w:rsid w:val="00DC05CC"/>
    <w:rsid w:val="00DC0977"/>
    <w:rsid w:val="00DC0A08"/>
    <w:rsid w:val="00DC0D8E"/>
    <w:rsid w:val="00DC0FC7"/>
    <w:rsid w:val="00DC12F6"/>
    <w:rsid w:val="00DC131A"/>
    <w:rsid w:val="00DC22A0"/>
    <w:rsid w:val="00DC32C0"/>
    <w:rsid w:val="00DC3879"/>
    <w:rsid w:val="00DC3A72"/>
    <w:rsid w:val="00DC3BB7"/>
    <w:rsid w:val="00DC3E1F"/>
    <w:rsid w:val="00DC4E57"/>
    <w:rsid w:val="00DC50D7"/>
    <w:rsid w:val="00DC68B2"/>
    <w:rsid w:val="00DC6959"/>
    <w:rsid w:val="00DC6990"/>
    <w:rsid w:val="00DC6A5F"/>
    <w:rsid w:val="00DC7179"/>
    <w:rsid w:val="00DC75BD"/>
    <w:rsid w:val="00DC7EEA"/>
    <w:rsid w:val="00DC7F97"/>
    <w:rsid w:val="00DD1341"/>
    <w:rsid w:val="00DD1955"/>
    <w:rsid w:val="00DD1C1F"/>
    <w:rsid w:val="00DD1D47"/>
    <w:rsid w:val="00DD2A97"/>
    <w:rsid w:val="00DD32E1"/>
    <w:rsid w:val="00DD361B"/>
    <w:rsid w:val="00DD3A04"/>
    <w:rsid w:val="00DD4246"/>
    <w:rsid w:val="00DD45FA"/>
    <w:rsid w:val="00DD4B90"/>
    <w:rsid w:val="00DD4DD6"/>
    <w:rsid w:val="00DD5D50"/>
    <w:rsid w:val="00DD62A7"/>
    <w:rsid w:val="00DD6ACB"/>
    <w:rsid w:val="00DD6BAB"/>
    <w:rsid w:val="00DD6DE4"/>
    <w:rsid w:val="00DD78A2"/>
    <w:rsid w:val="00DD794C"/>
    <w:rsid w:val="00DD7B41"/>
    <w:rsid w:val="00DD7C62"/>
    <w:rsid w:val="00DD7CB5"/>
    <w:rsid w:val="00DD7D78"/>
    <w:rsid w:val="00DD7E19"/>
    <w:rsid w:val="00DE0976"/>
    <w:rsid w:val="00DE09C0"/>
    <w:rsid w:val="00DE0CCB"/>
    <w:rsid w:val="00DE159A"/>
    <w:rsid w:val="00DE1A59"/>
    <w:rsid w:val="00DE1AE5"/>
    <w:rsid w:val="00DE257D"/>
    <w:rsid w:val="00DE2637"/>
    <w:rsid w:val="00DE2B3E"/>
    <w:rsid w:val="00DE2C77"/>
    <w:rsid w:val="00DE322C"/>
    <w:rsid w:val="00DE38AA"/>
    <w:rsid w:val="00DE38CF"/>
    <w:rsid w:val="00DE3C3E"/>
    <w:rsid w:val="00DE3FD7"/>
    <w:rsid w:val="00DE4387"/>
    <w:rsid w:val="00DE446C"/>
    <w:rsid w:val="00DE44FC"/>
    <w:rsid w:val="00DE470F"/>
    <w:rsid w:val="00DE4C08"/>
    <w:rsid w:val="00DE52F5"/>
    <w:rsid w:val="00DE5873"/>
    <w:rsid w:val="00DE5A9B"/>
    <w:rsid w:val="00DE5BBF"/>
    <w:rsid w:val="00DE70E9"/>
    <w:rsid w:val="00DE711F"/>
    <w:rsid w:val="00DE73B9"/>
    <w:rsid w:val="00DE776F"/>
    <w:rsid w:val="00DE7A21"/>
    <w:rsid w:val="00DF0254"/>
    <w:rsid w:val="00DF18F7"/>
    <w:rsid w:val="00DF1CFC"/>
    <w:rsid w:val="00DF1D22"/>
    <w:rsid w:val="00DF2047"/>
    <w:rsid w:val="00DF3151"/>
    <w:rsid w:val="00DF4163"/>
    <w:rsid w:val="00DF4DAB"/>
    <w:rsid w:val="00DF501A"/>
    <w:rsid w:val="00DF510C"/>
    <w:rsid w:val="00DF54C6"/>
    <w:rsid w:val="00DF5B1C"/>
    <w:rsid w:val="00DF5ED7"/>
    <w:rsid w:val="00DF7705"/>
    <w:rsid w:val="00DF7D4E"/>
    <w:rsid w:val="00DF7DC3"/>
    <w:rsid w:val="00E009F3"/>
    <w:rsid w:val="00E0166D"/>
    <w:rsid w:val="00E01BEC"/>
    <w:rsid w:val="00E023BB"/>
    <w:rsid w:val="00E027F3"/>
    <w:rsid w:val="00E02F82"/>
    <w:rsid w:val="00E037C9"/>
    <w:rsid w:val="00E03A7A"/>
    <w:rsid w:val="00E042D6"/>
    <w:rsid w:val="00E04A96"/>
    <w:rsid w:val="00E04D25"/>
    <w:rsid w:val="00E052F9"/>
    <w:rsid w:val="00E05B41"/>
    <w:rsid w:val="00E0615B"/>
    <w:rsid w:val="00E06171"/>
    <w:rsid w:val="00E0659E"/>
    <w:rsid w:val="00E065F5"/>
    <w:rsid w:val="00E07498"/>
    <w:rsid w:val="00E07CD1"/>
    <w:rsid w:val="00E10686"/>
    <w:rsid w:val="00E10B32"/>
    <w:rsid w:val="00E1188B"/>
    <w:rsid w:val="00E1226A"/>
    <w:rsid w:val="00E1227F"/>
    <w:rsid w:val="00E12703"/>
    <w:rsid w:val="00E129BB"/>
    <w:rsid w:val="00E12AB7"/>
    <w:rsid w:val="00E1321D"/>
    <w:rsid w:val="00E14AC6"/>
    <w:rsid w:val="00E15405"/>
    <w:rsid w:val="00E1543D"/>
    <w:rsid w:val="00E16B23"/>
    <w:rsid w:val="00E177B8"/>
    <w:rsid w:val="00E17F6D"/>
    <w:rsid w:val="00E2077F"/>
    <w:rsid w:val="00E20DE5"/>
    <w:rsid w:val="00E20FBC"/>
    <w:rsid w:val="00E2168D"/>
    <w:rsid w:val="00E21BD8"/>
    <w:rsid w:val="00E22ECF"/>
    <w:rsid w:val="00E231B5"/>
    <w:rsid w:val="00E231BA"/>
    <w:rsid w:val="00E232B9"/>
    <w:rsid w:val="00E23D7C"/>
    <w:rsid w:val="00E23DF9"/>
    <w:rsid w:val="00E24037"/>
    <w:rsid w:val="00E244F1"/>
    <w:rsid w:val="00E255EF"/>
    <w:rsid w:val="00E25F64"/>
    <w:rsid w:val="00E263F8"/>
    <w:rsid w:val="00E26523"/>
    <w:rsid w:val="00E26C7A"/>
    <w:rsid w:val="00E274FB"/>
    <w:rsid w:val="00E27BAD"/>
    <w:rsid w:val="00E3098B"/>
    <w:rsid w:val="00E309F8"/>
    <w:rsid w:val="00E3149B"/>
    <w:rsid w:val="00E320CE"/>
    <w:rsid w:val="00E32352"/>
    <w:rsid w:val="00E32BCA"/>
    <w:rsid w:val="00E32FF1"/>
    <w:rsid w:val="00E33571"/>
    <w:rsid w:val="00E33DBD"/>
    <w:rsid w:val="00E33EE0"/>
    <w:rsid w:val="00E344DF"/>
    <w:rsid w:val="00E345CE"/>
    <w:rsid w:val="00E34839"/>
    <w:rsid w:val="00E3483C"/>
    <w:rsid w:val="00E358BA"/>
    <w:rsid w:val="00E3591C"/>
    <w:rsid w:val="00E359B3"/>
    <w:rsid w:val="00E35FAD"/>
    <w:rsid w:val="00E36241"/>
    <w:rsid w:val="00E36314"/>
    <w:rsid w:val="00E36BDD"/>
    <w:rsid w:val="00E36D59"/>
    <w:rsid w:val="00E36E8F"/>
    <w:rsid w:val="00E37044"/>
    <w:rsid w:val="00E3708E"/>
    <w:rsid w:val="00E40189"/>
    <w:rsid w:val="00E4041F"/>
    <w:rsid w:val="00E404FA"/>
    <w:rsid w:val="00E405AF"/>
    <w:rsid w:val="00E40F29"/>
    <w:rsid w:val="00E4116A"/>
    <w:rsid w:val="00E416EF"/>
    <w:rsid w:val="00E41F32"/>
    <w:rsid w:val="00E41FB3"/>
    <w:rsid w:val="00E424A2"/>
    <w:rsid w:val="00E42659"/>
    <w:rsid w:val="00E4291B"/>
    <w:rsid w:val="00E42932"/>
    <w:rsid w:val="00E42A5D"/>
    <w:rsid w:val="00E42C5D"/>
    <w:rsid w:val="00E42DC2"/>
    <w:rsid w:val="00E431C2"/>
    <w:rsid w:val="00E43F2C"/>
    <w:rsid w:val="00E44FB6"/>
    <w:rsid w:val="00E457A3"/>
    <w:rsid w:val="00E4643A"/>
    <w:rsid w:val="00E46470"/>
    <w:rsid w:val="00E47098"/>
    <w:rsid w:val="00E473CB"/>
    <w:rsid w:val="00E47860"/>
    <w:rsid w:val="00E50365"/>
    <w:rsid w:val="00E506E5"/>
    <w:rsid w:val="00E5149B"/>
    <w:rsid w:val="00E51682"/>
    <w:rsid w:val="00E51E3E"/>
    <w:rsid w:val="00E52F76"/>
    <w:rsid w:val="00E536F0"/>
    <w:rsid w:val="00E5419E"/>
    <w:rsid w:val="00E551D5"/>
    <w:rsid w:val="00E5542A"/>
    <w:rsid w:val="00E556D9"/>
    <w:rsid w:val="00E56532"/>
    <w:rsid w:val="00E56BBA"/>
    <w:rsid w:val="00E60BC2"/>
    <w:rsid w:val="00E60E53"/>
    <w:rsid w:val="00E614F9"/>
    <w:rsid w:val="00E61EB5"/>
    <w:rsid w:val="00E6332C"/>
    <w:rsid w:val="00E639C1"/>
    <w:rsid w:val="00E640F9"/>
    <w:rsid w:val="00E64258"/>
    <w:rsid w:val="00E64EB2"/>
    <w:rsid w:val="00E6517A"/>
    <w:rsid w:val="00E654DD"/>
    <w:rsid w:val="00E657F0"/>
    <w:rsid w:val="00E678A2"/>
    <w:rsid w:val="00E678EC"/>
    <w:rsid w:val="00E7036C"/>
    <w:rsid w:val="00E70EB5"/>
    <w:rsid w:val="00E714E8"/>
    <w:rsid w:val="00E71A2E"/>
    <w:rsid w:val="00E71B54"/>
    <w:rsid w:val="00E72370"/>
    <w:rsid w:val="00E72501"/>
    <w:rsid w:val="00E7263D"/>
    <w:rsid w:val="00E72E12"/>
    <w:rsid w:val="00E7323F"/>
    <w:rsid w:val="00E73373"/>
    <w:rsid w:val="00E73EB1"/>
    <w:rsid w:val="00E73FA4"/>
    <w:rsid w:val="00E741A0"/>
    <w:rsid w:val="00E74922"/>
    <w:rsid w:val="00E7574C"/>
    <w:rsid w:val="00E75E92"/>
    <w:rsid w:val="00E75FC9"/>
    <w:rsid w:val="00E75FDF"/>
    <w:rsid w:val="00E761B2"/>
    <w:rsid w:val="00E8046B"/>
    <w:rsid w:val="00E80AAA"/>
    <w:rsid w:val="00E81A52"/>
    <w:rsid w:val="00E820A9"/>
    <w:rsid w:val="00E8227A"/>
    <w:rsid w:val="00E82DAB"/>
    <w:rsid w:val="00E8320E"/>
    <w:rsid w:val="00E83312"/>
    <w:rsid w:val="00E83BCC"/>
    <w:rsid w:val="00E842F9"/>
    <w:rsid w:val="00E8474E"/>
    <w:rsid w:val="00E8475C"/>
    <w:rsid w:val="00E84917"/>
    <w:rsid w:val="00E855F7"/>
    <w:rsid w:val="00E85D0C"/>
    <w:rsid w:val="00E85D88"/>
    <w:rsid w:val="00E85F43"/>
    <w:rsid w:val="00E866C6"/>
    <w:rsid w:val="00E86F0C"/>
    <w:rsid w:val="00E8730D"/>
    <w:rsid w:val="00E874BA"/>
    <w:rsid w:val="00E874F7"/>
    <w:rsid w:val="00E87E5E"/>
    <w:rsid w:val="00E9020F"/>
    <w:rsid w:val="00E904F9"/>
    <w:rsid w:val="00E9090F"/>
    <w:rsid w:val="00E90FCB"/>
    <w:rsid w:val="00E9164E"/>
    <w:rsid w:val="00E91A4C"/>
    <w:rsid w:val="00E91AF0"/>
    <w:rsid w:val="00E91BB8"/>
    <w:rsid w:val="00E91F8B"/>
    <w:rsid w:val="00E92071"/>
    <w:rsid w:val="00E926CC"/>
    <w:rsid w:val="00E928E7"/>
    <w:rsid w:val="00E92C3E"/>
    <w:rsid w:val="00E92C6F"/>
    <w:rsid w:val="00E92F96"/>
    <w:rsid w:val="00E92FD5"/>
    <w:rsid w:val="00E93382"/>
    <w:rsid w:val="00E93876"/>
    <w:rsid w:val="00E93E62"/>
    <w:rsid w:val="00E93ED1"/>
    <w:rsid w:val="00E94154"/>
    <w:rsid w:val="00E945E1"/>
    <w:rsid w:val="00E94772"/>
    <w:rsid w:val="00E94BDA"/>
    <w:rsid w:val="00E9508A"/>
    <w:rsid w:val="00E9645F"/>
    <w:rsid w:val="00E96498"/>
    <w:rsid w:val="00E969C0"/>
    <w:rsid w:val="00E96DBF"/>
    <w:rsid w:val="00E972D4"/>
    <w:rsid w:val="00EA0502"/>
    <w:rsid w:val="00EA0825"/>
    <w:rsid w:val="00EA0FA6"/>
    <w:rsid w:val="00EA11E4"/>
    <w:rsid w:val="00EA1215"/>
    <w:rsid w:val="00EA3601"/>
    <w:rsid w:val="00EA4A5B"/>
    <w:rsid w:val="00EA4A5C"/>
    <w:rsid w:val="00EA4AF5"/>
    <w:rsid w:val="00EA5310"/>
    <w:rsid w:val="00EA59BE"/>
    <w:rsid w:val="00EA5AB2"/>
    <w:rsid w:val="00EA6019"/>
    <w:rsid w:val="00EA642A"/>
    <w:rsid w:val="00EA7AF8"/>
    <w:rsid w:val="00EA7DFC"/>
    <w:rsid w:val="00EB08C9"/>
    <w:rsid w:val="00EB0CD8"/>
    <w:rsid w:val="00EB153D"/>
    <w:rsid w:val="00EB1F4D"/>
    <w:rsid w:val="00EB245A"/>
    <w:rsid w:val="00EB2665"/>
    <w:rsid w:val="00EB36CD"/>
    <w:rsid w:val="00EB37BA"/>
    <w:rsid w:val="00EB5166"/>
    <w:rsid w:val="00EB53AE"/>
    <w:rsid w:val="00EB54A1"/>
    <w:rsid w:val="00EB58EA"/>
    <w:rsid w:val="00EB6746"/>
    <w:rsid w:val="00EB754D"/>
    <w:rsid w:val="00EC067E"/>
    <w:rsid w:val="00EC0A4E"/>
    <w:rsid w:val="00EC0BB4"/>
    <w:rsid w:val="00EC13E9"/>
    <w:rsid w:val="00EC162D"/>
    <w:rsid w:val="00EC198A"/>
    <w:rsid w:val="00EC2106"/>
    <w:rsid w:val="00EC2751"/>
    <w:rsid w:val="00EC2879"/>
    <w:rsid w:val="00EC28A4"/>
    <w:rsid w:val="00EC309C"/>
    <w:rsid w:val="00EC32C1"/>
    <w:rsid w:val="00EC355C"/>
    <w:rsid w:val="00EC3CA6"/>
    <w:rsid w:val="00EC4144"/>
    <w:rsid w:val="00EC4213"/>
    <w:rsid w:val="00EC4283"/>
    <w:rsid w:val="00EC4742"/>
    <w:rsid w:val="00EC59FA"/>
    <w:rsid w:val="00EC7C76"/>
    <w:rsid w:val="00EC7DFF"/>
    <w:rsid w:val="00ED021E"/>
    <w:rsid w:val="00ED0882"/>
    <w:rsid w:val="00ED0B8F"/>
    <w:rsid w:val="00ED1249"/>
    <w:rsid w:val="00ED1560"/>
    <w:rsid w:val="00ED1D46"/>
    <w:rsid w:val="00ED1EB6"/>
    <w:rsid w:val="00ED256D"/>
    <w:rsid w:val="00ED33E1"/>
    <w:rsid w:val="00ED3F88"/>
    <w:rsid w:val="00ED47AE"/>
    <w:rsid w:val="00ED4DB7"/>
    <w:rsid w:val="00ED5E65"/>
    <w:rsid w:val="00ED5EEA"/>
    <w:rsid w:val="00ED61F8"/>
    <w:rsid w:val="00ED62DF"/>
    <w:rsid w:val="00ED65AE"/>
    <w:rsid w:val="00ED6847"/>
    <w:rsid w:val="00ED7412"/>
    <w:rsid w:val="00ED7C95"/>
    <w:rsid w:val="00ED7E08"/>
    <w:rsid w:val="00ED7FE2"/>
    <w:rsid w:val="00EE02BB"/>
    <w:rsid w:val="00EE04F2"/>
    <w:rsid w:val="00EE10D1"/>
    <w:rsid w:val="00EE1510"/>
    <w:rsid w:val="00EE1715"/>
    <w:rsid w:val="00EE1D7D"/>
    <w:rsid w:val="00EE1E05"/>
    <w:rsid w:val="00EE1F05"/>
    <w:rsid w:val="00EE2199"/>
    <w:rsid w:val="00EE2774"/>
    <w:rsid w:val="00EE331D"/>
    <w:rsid w:val="00EE3C52"/>
    <w:rsid w:val="00EE3DA7"/>
    <w:rsid w:val="00EE3F1A"/>
    <w:rsid w:val="00EE4341"/>
    <w:rsid w:val="00EE4B8B"/>
    <w:rsid w:val="00EE4FB2"/>
    <w:rsid w:val="00EE524D"/>
    <w:rsid w:val="00EE5617"/>
    <w:rsid w:val="00EE59E0"/>
    <w:rsid w:val="00EE60C9"/>
    <w:rsid w:val="00EE6722"/>
    <w:rsid w:val="00EE67F3"/>
    <w:rsid w:val="00EE726E"/>
    <w:rsid w:val="00EF0328"/>
    <w:rsid w:val="00EF05FE"/>
    <w:rsid w:val="00EF0E05"/>
    <w:rsid w:val="00EF15AA"/>
    <w:rsid w:val="00EF2282"/>
    <w:rsid w:val="00EF282D"/>
    <w:rsid w:val="00EF2864"/>
    <w:rsid w:val="00EF2A21"/>
    <w:rsid w:val="00EF4E20"/>
    <w:rsid w:val="00EF5B62"/>
    <w:rsid w:val="00EF5D6F"/>
    <w:rsid w:val="00EF6AB4"/>
    <w:rsid w:val="00EF6B39"/>
    <w:rsid w:val="00EF6BE0"/>
    <w:rsid w:val="00EF6C58"/>
    <w:rsid w:val="00F00821"/>
    <w:rsid w:val="00F00ACC"/>
    <w:rsid w:val="00F016A5"/>
    <w:rsid w:val="00F02026"/>
    <w:rsid w:val="00F02069"/>
    <w:rsid w:val="00F027FC"/>
    <w:rsid w:val="00F02D8D"/>
    <w:rsid w:val="00F03040"/>
    <w:rsid w:val="00F0311C"/>
    <w:rsid w:val="00F031F3"/>
    <w:rsid w:val="00F037BD"/>
    <w:rsid w:val="00F03859"/>
    <w:rsid w:val="00F03FBC"/>
    <w:rsid w:val="00F043E9"/>
    <w:rsid w:val="00F04BBD"/>
    <w:rsid w:val="00F04DC2"/>
    <w:rsid w:val="00F052D4"/>
    <w:rsid w:val="00F05522"/>
    <w:rsid w:val="00F061EE"/>
    <w:rsid w:val="00F06209"/>
    <w:rsid w:val="00F062E9"/>
    <w:rsid w:val="00F064FC"/>
    <w:rsid w:val="00F06665"/>
    <w:rsid w:val="00F067FD"/>
    <w:rsid w:val="00F072E8"/>
    <w:rsid w:val="00F10F93"/>
    <w:rsid w:val="00F1141E"/>
    <w:rsid w:val="00F11A2C"/>
    <w:rsid w:val="00F12127"/>
    <w:rsid w:val="00F1235E"/>
    <w:rsid w:val="00F123DB"/>
    <w:rsid w:val="00F125D9"/>
    <w:rsid w:val="00F1266A"/>
    <w:rsid w:val="00F132E9"/>
    <w:rsid w:val="00F13325"/>
    <w:rsid w:val="00F1356A"/>
    <w:rsid w:val="00F13671"/>
    <w:rsid w:val="00F1379E"/>
    <w:rsid w:val="00F14334"/>
    <w:rsid w:val="00F14342"/>
    <w:rsid w:val="00F14B5A"/>
    <w:rsid w:val="00F15A6D"/>
    <w:rsid w:val="00F161F1"/>
    <w:rsid w:val="00F169CB"/>
    <w:rsid w:val="00F174C8"/>
    <w:rsid w:val="00F175CD"/>
    <w:rsid w:val="00F177CD"/>
    <w:rsid w:val="00F17E0C"/>
    <w:rsid w:val="00F201E3"/>
    <w:rsid w:val="00F204C7"/>
    <w:rsid w:val="00F2073A"/>
    <w:rsid w:val="00F20B37"/>
    <w:rsid w:val="00F2226E"/>
    <w:rsid w:val="00F22293"/>
    <w:rsid w:val="00F223DC"/>
    <w:rsid w:val="00F2284A"/>
    <w:rsid w:val="00F22D53"/>
    <w:rsid w:val="00F23693"/>
    <w:rsid w:val="00F23993"/>
    <w:rsid w:val="00F23DC2"/>
    <w:rsid w:val="00F23E19"/>
    <w:rsid w:val="00F23EC5"/>
    <w:rsid w:val="00F243F7"/>
    <w:rsid w:val="00F24563"/>
    <w:rsid w:val="00F24692"/>
    <w:rsid w:val="00F24720"/>
    <w:rsid w:val="00F2602A"/>
    <w:rsid w:val="00F2664E"/>
    <w:rsid w:val="00F26EFD"/>
    <w:rsid w:val="00F27095"/>
    <w:rsid w:val="00F2715D"/>
    <w:rsid w:val="00F272EC"/>
    <w:rsid w:val="00F275FC"/>
    <w:rsid w:val="00F3003D"/>
    <w:rsid w:val="00F3006C"/>
    <w:rsid w:val="00F30156"/>
    <w:rsid w:val="00F3029A"/>
    <w:rsid w:val="00F30D3E"/>
    <w:rsid w:val="00F3127B"/>
    <w:rsid w:val="00F312DC"/>
    <w:rsid w:val="00F31423"/>
    <w:rsid w:val="00F31797"/>
    <w:rsid w:val="00F31C34"/>
    <w:rsid w:val="00F31F0F"/>
    <w:rsid w:val="00F32114"/>
    <w:rsid w:val="00F321D8"/>
    <w:rsid w:val="00F32252"/>
    <w:rsid w:val="00F339E4"/>
    <w:rsid w:val="00F340F4"/>
    <w:rsid w:val="00F35071"/>
    <w:rsid w:val="00F35243"/>
    <w:rsid w:val="00F35267"/>
    <w:rsid w:val="00F35517"/>
    <w:rsid w:val="00F35A58"/>
    <w:rsid w:val="00F35AF7"/>
    <w:rsid w:val="00F363E9"/>
    <w:rsid w:val="00F36453"/>
    <w:rsid w:val="00F36BDA"/>
    <w:rsid w:val="00F401C3"/>
    <w:rsid w:val="00F40B37"/>
    <w:rsid w:val="00F40DDC"/>
    <w:rsid w:val="00F41186"/>
    <w:rsid w:val="00F41473"/>
    <w:rsid w:val="00F42746"/>
    <w:rsid w:val="00F42B34"/>
    <w:rsid w:val="00F42DA4"/>
    <w:rsid w:val="00F4325B"/>
    <w:rsid w:val="00F4343D"/>
    <w:rsid w:val="00F4414E"/>
    <w:rsid w:val="00F44564"/>
    <w:rsid w:val="00F4476E"/>
    <w:rsid w:val="00F4490D"/>
    <w:rsid w:val="00F44B0D"/>
    <w:rsid w:val="00F44CE9"/>
    <w:rsid w:val="00F45014"/>
    <w:rsid w:val="00F45062"/>
    <w:rsid w:val="00F4588A"/>
    <w:rsid w:val="00F45D66"/>
    <w:rsid w:val="00F460A1"/>
    <w:rsid w:val="00F4636C"/>
    <w:rsid w:val="00F46564"/>
    <w:rsid w:val="00F46FA5"/>
    <w:rsid w:val="00F47062"/>
    <w:rsid w:val="00F47DF5"/>
    <w:rsid w:val="00F47E9E"/>
    <w:rsid w:val="00F5053E"/>
    <w:rsid w:val="00F50940"/>
    <w:rsid w:val="00F50BCD"/>
    <w:rsid w:val="00F50CF7"/>
    <w:rsid w:val="00F510C9"/>
    <w:rsid w:val="00F5263D"/>
    <w:rsid w:val="00F52BDC"/>
    <w:rsid w:val="00F53A0A"/>
    <w:rsid w:val="00F53C0E"/>
    <w:rsid w:val="00F542B4"/>
    <w:rsid w:val="00F546F9"/>
    <w:rsid w:val="00F554D5"/>
    <w:rsid w:val="00F55608"/>
    <w:rsid w:val="00F5577E"/>
    <w:rsid w:val="00F55943"/>
    <w:rsid w:val="00F55A5B"/>
    <w:rsid w:val="00F565C0"/>
    <w:rsid w:val="00F57EA6"/>
    <w:rsid w:val="00F601B8"/>
    <w:rsid w:val="00F603A8"/>
    <w:rsid w:val="00F608DA"/>
    <w:rsid w:val="00F609BE"/>
    <w:rsid w:val="00F61280"/>
    <w:rsid w:val="00F6158E"/>
    <w:rsid w:val="00F61AB8"/>
    <w:rsid w:val="00F63178"/>
    <w:rsid w:val="00F63322"/>
    <w:rsid w:val="00F63401"/>
    <w:rsid w:val="00F637CF"/>
    <w:rsid w:val="00F63890"/>
    <w:rsid w:val="00F6395A"/>
    <w:rsid w:val="00F63D4C"/>
    <w:rsid w:val="00F63E6B"/>
    <w:rsid w:val="00F64218"/>
    <w:rsid w:val="00F64427"/>
    <w:rsid w:val="00F648EB"/>
    <w:rsid w:val="00F649C1"/>
    <w:rsid w:val="00F64A77"/>
    <w:rsid w:val="00F64BE2"/>
    <w:rsid w:val="00F65768"/>
    <w:rsid w:val="00F65C33"/>
    <w:rsid w:val="00F66370"/>
    <w:rsid w:val="00F66627"/>
    <w:rsid w:val="00F66826"/>
    <w:rsid w:val="00F669BE"/>
    <w:rsid w:val="00F66BCD"/>
    <w:rsid w:val="00F66EBA"/>
    <w:rsid w:val="00F67683"/>
    <w:rsid w:val="00F67E94"/>
    <w:rsid w:val="00F70428"/>
    <w:rsid w:val="00F7135E"/>
    <w:rsid w:val="00F71741"/>
    <w:rsid w:val="00F72C16"/>
    <w:rsid w:val="00F730D1"/>
    <w:rsid w:val="00F74D6D"/>
    <w:rsid w:val="00F75327"/>
    <w:rsid w:val="00F75FEF"/>
    <w:rsid w:val="00F7648A"/>
    <w:rsid w:val="00F7730C"/>
    <w:rsid w:val="00F77F60"/>
    <w:rsid w:val="00F80AFC"/>
    <w:rsid w:val="00F8156A"/>
    <w:rsid w:val="00F817D4"/>
    <w:rsid w:val="00F81A42"/>
    <w:rsid w:val="00F81E37"/>
    <w:rsid w:val="00F81F1F"/>
    <w:rsid w:val="00F82FC8"/>
    <w:rsid w:val="00F830B9"/>
    <w:rsid w:val="00F833B6"/>
    <w:rsid w:val="00F838F6"/>
    <w:rsid w:val="00F83BF2"/>
    <w:rsid w:val="00F83F4F"/>
    <w:rsid w:val="00F8430F"/>
    <w:rsid w:val="00F84F61"/>
    <w:rsid w:val="00F850C4"/>
    <w:rsid w:val="00F854B7"/>
    <w:rsid w:val="00F85FE3"/>
    <w:rsid w:val="00F86823"/>
    <w:rsid w:val="00F87AE4"/>
    <w:rsid w:val="00F90121"/>
    <w:rsid w:val="00F9105A"/>
    <w:rsid w:val="00F91990"/>
    <w:rsid w:val="00F9259E"/>
    <w:rsid w:val="00F92B85"/>
    <w:rsid w:val="00F92DF0"/>
    <w:rsid w:val="00F93436"/>
    <w:rsid w:val="00F93C3A"/>
    <w:rsid w:val="00F961C8"/>
    <w:rsid w:val="00F96330"/>
    <w:rsid w:val="00F9638F"/>
    <w:rsid w:val="00F97547"/>
    <w:rsid w:val="00F97D1D"/>
    <w:rsid w:val="00FA07C0"/>
    <w:rsid w:val="00FA1D9B"/>
    <w:rsid w:val="00FA2CF5"/>
    <w:rsid w:val="00FA3061"/>
    <w:rsid w:val="00FA3191"/>
    <w:rsid w:val="00FA32D1"/>
    <w:rsid w:val="00FA39C3"/>
    <w:rsid w:val="00FA3C5A"/>
    <w:rsid w:val="00FA41C4"/>
    <w:rsid w:val="00FA5DB7"/>
    <w:rsid w:val="00FA6074"/>
    <w:rsid w:val="00FA608E"/>
    <w:rsid w:val="00FA6BB0"/>
    <w:rsid w:val="00FA76E9"/>
    <w:rsid w:val="00FA775D"/>
    <w:rsid w:val="00FA784D"/>
    <w:rsid w:val="00FA787C"/>
    <w:rsid w:val="00FB008B"/>
    <w:rsid w:val="00FB07E3"/>
    <w:rsid w:val="00FB1263"/>
    <w:rsid w:val="00FB17A7"/>
    <w:rsid w:val="00FB1A3B"/>
    <w:rsid w:val="00FB202B"/>
    <w:rsid w:val="00FB242F"/>
    <w:rsid w:val="00FB27A0"/>
    <w:rsid w:val="00FB2876"/>
    <w:rsid w:val="00FB2CBB"/>
    <w:rsid w:val="00FB3FB4"/>
    <w:rsid w:val="00FB4330"/>
    <w:rsid w:val="00FB639F"/>
    <w:rsid w:val="00FB67F2"/>
    <w:rsid w:val="00FB6D8A"/>
    <w:rsid w:val="00FB7124"/>
    <w:rsid w:val="00FB7825"/>
    <w:rsid w:val="00FB7A58"/>
    <w:rsid w:val="00FC0AD6"/>
    <w:rsid w:val="00FC19AE"/>
    <w:rsid w:val="00FC1C73"/>
    <w:rsid w:val="00FC2613"/>
    <w:rsid w:val="00FC36A3"/>
    <w:rsid w:val="00FC3D2B"/>
    <w:rsid w:val="00FC4804"/>
    <w:rsid w:val="00FC4990"/>
    <w:rsid w:val="00FC5073"/>
    <w:rsid w:val="00FC524A"/>
    <w:rsid w:val="00FC56C8"/>
    <w:rsid w:val="00FC5C07"/>
    <w:rsid w:val="00FC60D6"/>
    <w:rsid w:val="00FC6771"/>
    <w:rsid w:val="00FC722E"/>
    <w:rsid w:val="00FC72BD"/>
    <w:rsid w:val="00FD05A8"/>
    <w:rsid w:val="00FD0DCE"/>
    <w:rsid w:val="00FD1612"/>
    <w:rsid w:val="00FD1D9E"/>
    <w:rsid w:val="00FD1DB3"/>
    <w:rsid w:val="00FD24E0"/>
    <w:rsid w:val="00FD2584"/>
    <w:rsid w:val="00FD3253"/>
    <w:rsid w:val="00FD3257"/>
    <w:rsid w:val="00FD38B3"/>
    <w:rsid w:val="00FD39D9"/>
    <w:rsid w:val="00FD4534"/>
    <w:rsid w:val="00FD453D"/>
    <w:rsid w:val="00FD5011"/>
    <w:rsid w:val="00FD5BC9"/>
    <w:rsid w:val="00FD5C84"/>
    <w:rsid w:val="00FD5D97"/>
    <w:rsid w:val="00FD72F2"/>
    <w:rsid w:val="00FE056E"/>
    <w:rsid w:val="00FE0D31"/>
    <w:rsid w:val="00FE10B6"/>
    <w:rsid w:val="00FE1D5E"/>
    <w:rsid w:val="00FE3669"/>
    <w:rsid w:val="00FE40F8"/>
    <w:rsid w:val="00FE4CE0"/>
    <w:rsid w:val="00FE4EAC"/>
    <w:rsid w:val="00FE56DD"/>
    <w:rsid w:val="00FE5896"/>
    <w:rsid w:val="00FE5B6A"/>
    <w:rsid w:val="00FE656B"/>
    <w:rsid w:val="00FE7033"/>
    <w:rsid w:val="00FE7444"/>
    <w:rsid w:val="00FE7895"/>
    <w:rsid w:val="00FE7C45"/>
    <w:rsid w:val="00FE7DD3"/>
    <w:rsid w:val="00FF05C9"/>
    <w:rsid w:val="00FF0832"/>
    <w:rsid w:val="00FF08C2"/>
    <w:rsid w:val="00FF1A6E"/>
    <w:rsid w:val="00FF1BA9"/>
    <w:rsid w:val="00FF24DC"/>
    <w:rsid w:val="00FF2C5C"/>
    <w:rsid w:val="00FF3F51"/>
    <w:rsid w:val="00FF4571"/>
    <w:rsid w:val="00FF459C"/>
    <w:rsid w:val="00FF56B5"/>
    <w:rsid w:val="00FF56D2"/>
    <w:rsid w:val="00FF5868"/>
    <w:rsid w:val="00FF6191"/>
    <w:rsid w:val="00FF6D18"/>
    <w:rsid w:val="0100390C"/>
    <w:rsid w:val="01141165"/>
    <w:rsid w:val="012706AB"/>
    <w:rsid w:val="01282E62"/>
    <w:rsid w:val="012A2737"/>
    <w:rsid w:val="0136671F"/>
    <w:rsid w:val="01406866"/>
    <w:rsid w:val="01445E84"/>
    <w:rsid w:val="01545A05"/>
    <w:rsid w:val="0155762F"/>
    <w:rsid w:val="01565C22"/>
    <w:rsid w:val="017574B6"/>
    <w:rsid w:val="01964270"/>
    <w:rsid w:val="01981D96"/>
    <w:rsid w:val="019B4A7E"/>
    <w:rsid w:val="01AA3877"/>
    <w:rsid w:val="01B97F5E"/>
    <w:rsid w:val="01BF5575"/>
    <w:rsid w:val="01C847CA"/>
    <w:rsid w:val="01E054EB"/>
    <w:rsid w:val="01FB40D3"/>
    <w:rsid w:val="02056E30"/>
    <w:rsid w:val="020B07BA"/>
    <w:rsid w:val="020C62E0"/>
    <w:rsid w:val="02192175"/>
    <w:rsid w:val="021A6C4F"/>
    <w:rsid w:val="02377801"/>
    <w:rsid w:val="02441F1E"/>
    <w:rsid w:val="024912E2"/>
    <w:rsid w:val="02533F0F"/>
    <w:rsid w:val="025659EF"/>
    <w:rsid w:val="026701F4"/>
    <w:rsid w:val="028479E4"/>
    <w:rsid w:val="028D1487"/>
    <w:rsid w:val="029167E5"/>
    <w:rsid w:val="02A12ECC"/>
    <w:rsid w:val="02A31C4A"/>
    <w:rsid w:val="02B250DA"/>
    <w:rsid w:val="02E84657"/>
    <w:rsid w:val="02F254D6"/>
    <w:rsid w:val="03031491"/>
    <w:rsid w:val="03196F07"/>
    <w:rsid w:val="032918FC"/>
    <w:rsid w:val="032D650E"/>
    <w:rsid w:val="034A3347"/>
    <w:rsid w:val="035A2E3C"/>
    <w:rsid w:val="0380417C"/>
    <w:rsid w:val="038F5521"/>
    <w:rsid w:val="039B4570"/>
    <w:rsid w:val="039C3694"/>
    <w:rsid w:val="03A01F22"/>
    <w:rsid w:val="03AF63FB"/>
    <w:rsid w:val="03B46C2F"/>
    <w:rsid w:val="03B64756"/>
    <w:rsid w:val="03C74BB5"/>
    <w:rsid w:val="03D1158F"/>
    <w:rsid w:val="03D90444"/>
    <w:rsid w:val="03FB660C"/>
    <w:rsid w:val="03FE7B4A"/>
    <w:rsid w:val="04123CC2"/>
    <w:rsid w:val="04284AA8"/>
    <w:rsid w:val="043D750E"/>
    <w:rsid w:val="04446205"/>
    <w:rsid w:val="044B7594"/>
    <w:rsid w:val="046C675B"/>
    <w:rsid w:val="04826D2E"/>
    <w:rsid w:val="048748A1"/>
    <w:rsid w:val="049A5E25"/>
    <w:rsid w:val="04A3117E"/>
    <w:rsid w:val="04A40A52"/>
    <w:rsid w:val="04AB7E08"/>
    <w:rsid w:val="04B862AB"/>
    <w:rsid w:val="04D01847"/>
    <w:rsid w:val="04D05CEB"/>
    <w:rsid w:val="04E564EB"/>
    <w:rsid w:val="05065269"/>
    <w:rsid w:val="05282E0F"/>
    <w:rsid w:val="05597A8E"/>
    <w:rsid w:val="05611D92"/>
    <w:rsid w:val="05614B95"/>
    <w:rsid w:val="05720B50"/>
    <w:rsid w:val="057F6DC9"/>
    <w:rsid w:val="058823E6"/>
    <w:rsid w:val="05930720"/>
    <w:rsid w:val="0599432F"/>
    <w:rsid w:val="05AD724B"/>
    <w:rsid w:val="05B8094F"/>
    <w:rsid w:val="05B87F70"/>
    <w:rsid w:val="05B9052D"/>
    <w:rsid w:val="05BB1411"/>
    <w:rsid w:val="05BE78F1"/>
    <w:rsid w:val="05C40443"/>
    <w:rsid w:val="05C70E9C"/>
    <w:rsid w:val="05D22BD7"/>
    <w:rsid w:val="05D2339D"/>
    <w:rsid w:val="05D643AA"/>
    <w:rsid w:val="05DB4947"/>
    <w:rsid w:val="05EA6431"/>
    <w:rsid w:val="05EC0902"/>
    <w:rsid w:val="05FE4192"/>
    <w:rsid w:val="060C68AF"/>
    <w:rsid w:val="061D47D6"/>
    <w:rsid w:val="06310210"/>
    <w:rsid w:val="063F5145"/>
    <w:rsid w:val="064A5629"/>
    <w:rsid w:val="06562220"/>
    <w:rsid w:val="06635478"/>
    <w:rsid w:val="066A67AC"/>
    <w:rsid w:val="067B3A34"/>
    <w:rsid w:val="068C109B"/>
    <w:rsid w:val="06A50AB1"/>
    <w:rsid w:val="06AD62E4"/>
    <w:rsid w:val="06C23411"/>
    <w:rsid w:val="06C929F2"/>
    <w:rsid w:val="06C947A0"/>
    <w:rsid w:val="06DC360B"/>
    <w:rsid w:val="06DF2215"/>
    <w:rsid w:val="0706613D"/>
    <w:rsid w:val="07100621"/>
    <w:rsid w:val="0710194F"/>
    <w:rsid w:val="07114A5F"/>
    <w:rsid w:val="072145DC"/>
    <w:rsid w:val="07262162"/>
    <w:rsid w:val="07322345"/>
    <w:rsid w:val="07394902"/>
    <w:rsid w:val="073F2CB4"/>
    <w:rsid w:val="07411808"/>
    <w:rsid w:val="0768220B"/>
    <w:rsid w:val="07782CB2"/>
    <w:rsid w:val="07852DBD"/>
    <w:rsid w:val="07861F8D"/>
    <w:rsid w:val="07A5520D"/>
    <w:rsid w:val="07A70055"/>
    <w:rsid w:val="07B97205"/>
    <w:rsid w:val="07BE007D"/>
    <w:rsid w:val="07C55F47"/>
    <w:rsid w:val="07CB3328"/>
    <w:rsid w:val="07D64630"/>
    <w:rsid w:val="07E07FF3"/>
    <w:rsid w:val="07E8334B"/>
    <w:rsid w:val="08204893"/>
    <w:rsid w:val="085F10A3"/>
    <w:rsid w:val="08793FA4"/>
    <w:rsid w:val="087D3A94"/>
    <w:rsid w:val="0889068B"/>
    <w:rsid w:val="089B216C"/>
    <w:rsid w:val="08A57C21"/>
    <w:rsid w:val="08B97D2A"/>
    <w:rsid w:val="08D062B9"/>
    <w:rsid w:val="08F822C4"/>
    <w:rsid w:val="090D5601"/>
    <w:rsid w:val="09187C60"/>
    <w:rsid w:val="091B505B"/>
    <w:rsid w:val="091C77F4"/>
    <w:rsid w:val="092A0D6F"/>
    <w:rsid w:val="095011A8"/>
    <w:rsid w:val="095C5D9F"/>
    <w:rsid w:val="09684744"/>
    <w:rsid w:val="097F0C75"/>
    <w:rsid w:val="09911702"/>
    <w:rsid w:val="0995305F"/>
    <w:rsid w:val="099A19B7"/>
    <w:rsid w:val="099F5C8C"/>
    <w:rsid w:val="09AF4121"/>
    <w:rsid w:val="09C676BC"/>
    <w:rsid w:val="09D122E9"/>
    <w:rsid w:val="09DE67B4"/>
    <w:rsid w:val="09DF42DA"/>
    <w:rsid w:val="09FD07BD"/>
    <w:rsid w:val="0A0C3321"/>
    <w:rsid w:val="0A285C81"/>
    <w:rsid w:val="0A4A3E4A"/>
    <w:rsid w:val="0A5847B8"/>
    <w:rsid w:val="0A71587A"/>
    <w:rsid w:val="0A867253"/>
    <w:rsid w:val="0A8A4F9B"/>
    <w:rsid w:val="0AA51080"/>
    <w:rsid w:val="0AA95014"/>
    <w:rsid w:val="0AC41E4E"/>
    <w:rsid w:val="0AD656DD"/>
    <w:rsid w:val="0AD775F9"/>
    <w:rsid w:val="0ADC6E54"/>
    <w:rsid w:val="0ADD2F10"/>
    <w:rsid w:val="0AE222D4"/>
    <w:rsid w:val="0AE712C5"/>
    <w:rsid w:val="0AEC3153"/>
    <w:rsid w:val="0B1D3123"/>
    <w:rsid w:val="0B41524D"/>
    <w:rsid w:val="0B7C2DAB"/>
    <w:rsid w:val="0B855C86"/>
    <w:rsid w:val="0B9A495D"/>
    <w:rsid w:val="0BA8707A"/>
    <w:rsid w:val="0BC4500E"/>
    <w:rsid w:val="0BC67500"/>
    <w:rsid w:val="0BD22349"/>
    <w:rsid w:val="0BE61950"/>
    <w:rsid w:val="0C0D512F"/>
    <w:rsid w:val="0C1666D9"/>
    <w:rsid w:val="0C234952"/>
    <w:rsid w:val="0C252478"/>
    <w:rsid w:val="0C28640C"/>
    <w:rsid w:val="0C3E0707"/>
    <w:rsid w:val="0C6C00A7"/>
    <w:rsid w:val="0C6D3E1F"/>
    <w:rsid w:val="0C721E00"/>
    <w:rsid w:val="0C880C59"/>
    <w:rsid w:val="0C9D4705"/>
    <w:rsid w:val="0CC06645"/>
    <w:rsid w:val="0CE703FF"/>
    <w:rsid w:val="0CE73BD2"/>
    <w:rsid w:val="0CF07F0A"/>
    <w:rsid w:val="0CF339BC"/>
    <w:rsid w:val="0D0429D6"/>
    <w:rsid w:val="0D1351F4"/>
    <w:rsid w:val="0D136775"/>
    <w:rsid w:val="0D374B59"/>
    <w:rsid w:val="0D4252AC"/>
    <w:rsid w:val="0D4B23B2"/>
    <w:rsid w:val="0D645222"/>
    <w:rsid w:val="0D7359F8"/>
    <w:rsid w:val="0D98311E"/>
    <w:rsid w:val="0D9C2C0E"/>
    <w:rsid w:val="0DB00467"/>
    <w:rsid w:val="0DC34C83"/>
    <w:rsid w:val="0DD17656"/>
    <w:rsid w:val="0DD24882"/>
    <w:rsid w:val="0DE77E71"/>
    <w:rsid w:val="0DEE037B"/>
    <w:rsid w:val="0DEF6CC9"/>
    <w:rsid w:val="0DFA5B87"/>
    <w:rsid w:val="0E0662D9"/>
    <w:rsid w:val="0E124C7E"/>
    <w:rsid w:val="0E3A5F83"/>
    <w:rsid w:val="0E4312DC"/>
    <w:rsid w:val="0E451DEF"/>
    <w:rsid w:val="0E4706B2"/>
    <w:rsid w:val="0E47172B"/>
    <w:rsid w:val="0E5232CD"/>
    <w:rsid w:val="0E7616B1"/>
    <w:rsid w:val="0E8222F3"/>
    <w:rsid w:val="0E8E0DB9"/>
    <w:rsid w:val="0E903DF5"/>
    <w:rsid w:val="0E941B37"/>
    <w:rsid w:val="0EAA1CD0"/>
    <w:rsid w:val="0EB33357"/>
    <w:rsid w:val="0EB775D4"/>
    <w:rsid w:val="0EC15D79"/>
    <w:rsid w:val="0EC33971"/>
    <w:rsid w:val="0ED308B1"/>
    <w:rsid w:val="0EDB1768"/>
    <w:rsid w:val="0EE66874"/>
    <w:rsid w:val="0EF15ED7"/>
    <w:rsid w:val="0EF71CE5"/>
    <w:rsid w:val="0F136F00"/>
    <w:rsid w:val="0F16254C"/>
    <w:rsid w:val="0F3360BD"/>
    <w:rsid w:val="0F3D066F"/>
    <w:rsid w:val="0F601A19"/>
    <w:rsid w:val="0F865924"/>
    <w:rsid w:val="0F9718DF"/>
    <w:rsid w:val="0FB57FB7"/>
    <w:rsid w:val="0FE93565"/>
    <w:rsid w:val="0FEC5E28"/>
    <w:rsid w:val="10046849"/>
    <w:rsid w:val="101F3DCE"/>
    <w:rsid w:val="102B0279"/>
    <w:rsid w:val="103A1689"/>
    <w:rsid w:val="10417A9D"/>
    <w:rsid w:val="10521CAA"/>
    <w:rsid w:val="105552F6"/>
    <w:rsid w:val="107240FA"/>
    <w:rsid w:val="10817E99"/>
    <w:rsid w:val="108B0D18"/>
    <w:rsid w:val="10953945"/>
    <w:rsid w:val="10A83678"/>
    <w:rsid w:val="10B1077E"/>
    <w:rsid w:val="10B65D95"/>
    <w:rsid w:val="10D601E5"/>
    <w:rsid w:val="10D954F6"/>
    <w:rsid w:val="10ED580D"/>
    <w:rsid w:val="10ED76DA"/>
    <w:rsid w:val="10FB40F0"/>
    <w:rsid w:val="10FE7942"/>
    <w:rsid w:val="110C3C07"/>
    <w:rsid w:val="110C54A5"/>
    <w:rsid w:val="11205904"/>
    <w:rsid w:val="11497DC2"/>
    <w:rsid w:val="11592BC4"/>
    <w:rsid w:val="115A7068"/>
    <w:rsid w:val="116F4196"/>
    <w:rsid w:val="11A2456B"/>
    <w:rsid w:val="11AE1C3B"/>
    <w:rsid w:val="11B32767"/>
    <w:rsid w:val="11BB562D"/>
    <w:rsid w:val="11D93624"/>
    <w:rsid w:val="11EF44FC"/>
    <w:rsid w:val="12064AFA"/>
    <w:rsid w:val="12217B86"/>
    <w:rsid w:val="12315C2B"/>
    <w:rsid w:val="12543AB7"/>
    <w:rsid w:val="1283094F"/>
    <w:rsid w:val="128E689D"/>
    <w:rsid w:val="129761C0"/>
    <w:rsid w:val="129B16E6"/>
    <w:rsid w:val="12AB43E5"/>
    <w:rsid w:val="12B66FFA"/>
    <w:rsid w:val="12B91B6C"/>
    <w:rsid w:val="12CA01A3"/>
    <w:rsid w:val="12CF313E"/>
    <w:rsid w:val="12E34E3B"/>
    <w:rsid w:val="12F11306"/>
    <w:rsid w:val="12FC5EFD"/>
    <w:rsid w:val="130230C3"/>
    <w:rsid w:val="13103E70"/>
    <w:rsid w:val="131750AF"/>
    <w:rsid w:val="133631BD"/>
    <w:rsid w:val="135B6CD3"/>
    <w:rsid w:val="139240C1"/>
    <w:rsid w:val="139E0D62"/>
    <w:rsid w:val="13C24A51"/>
    <w:rsid w:val="13C92283"/>
    <w:rsid w:val="13CB5FFB"/>
    <w:rsid w:val="13E26EA1"/>
    <w:rsid w:val="13F05A62"/>
    <w:rsid w:val="14005579"/>
    <w:rsid w:val="14037ED2"/>
    <w:rsid w:val="140A2DF4"/>
    <w:rsid w:val="140B53A4"/>
    <w:rsid w:val="14131750"/>
    <w:rsid w:val="14265F1E"/>
    <w:rsid w:val="143771ED"/>
    <w:rsid w:val="143D057B"/>
    <w:rsid w:val="144638D4"/>
    <w:rsid w:val="144D6DB5"/>
    <w:rsid w:val="144E4536"/>
    <w:rsid w:val="144F625E"/>
    <w:rsid w:val="146124BC"/>
    <w:rsid w:val="147A357D"/>
    <w:rsid w:val="14847F58"/>
    <w:rsid w:val="14905CF7"/>
    <w:rsid w:val="149A3C1F"/>
    <w:rsid w:val="149C7998"/>
    <w:rsid w:val="14B818B8"/>
    <w:rsid w:val="14BC3B96"/>
    <w:rsid w:val="14BF71E2"/>
    <w:rsid w:val="14C845F4"/>
    <w:rsid w:val="14DB3513"/>
    <w:rsid w:val="14E60C13"/>
    <w:rsid w:val="14FC0436"/>
    <w:rsid w:val="15137B54"/>
    <w:rsid w:val="152C0D1B"/>
    <w:rsid w:val="153C6A85"/>
    <w:rsid w:val="1565635E"/>
    <w:rsid w:val="156A5264"/>
    <w:rsid w:val="159A4C5C"/>
    <w:rsid w:val="159F1C9E"/>
    <w:rsid w:val="15B11221"/>
    <w:rsid w:val="15C26F8A"/>
    <w:rsid w:val="15C54CCC"/>
    <w:rsid w:val="15D35A83"/>
    <w:rsid w:val="15E72E94"/>
    <w:rsid w:val="160612D0"/>
    <w:rsid w:val="162A64DB"/>
    <w:rsid w:val="162B2D81"/>
    <w:rsid w:val="162B33A3"/>
    <w:rsid w:val="1635775C"/>
    <w:rsid w:val="164D0F49"/>
    <w:rsid w:val="1656580D"/>
    <w:rsid w:val="16730D2F"/>
    <w:rsid w:val="168D57EA"/>
    <w:rsid w:val="169301DA"/>
    <w:rsid w:val="1695469E"/>
    <w:rsid w:val="16A13043"/>
    <w:rsid w:val="16AE750E"/>
    <w:rsid w:val="16B16C10"/>
    <w:rsid w:val="16B72867"/>
    <w:rsid w:val="16C62AAA"/>
    <w:rsid w:val="16CC11A2"/>
    <w:rsid w:val="16CC28C1"/>
    <w:rsid w:val="16D71DE1"/>
    <w:rsid w:val="16DB7DA4"/>
    <w:rsid w:val="16E41182"/>
    <w:rsid w:val="16E64EFA"/>
    <w:rsid w:val="16F05D79"/>
    <w:rsid w:val="170B4961"/>
    <w:rsid w:val="170E16D7"/>
    <w:rsid w:val="171B1048"/>
    <w:rsid w:val="174560C4"/>
    <w:rsid w:val="174817BF"/>
    <w:rsid w:val="174F6F43"/>
    <w:rsid w:val="17555BDC"/>
    <w:rsid w:val="175E7186"/>
    <w:rsid w:val="17712A16"/>
    <w:rsid w:val="177D585E"/>
    <w:rsid w:val="17843134"/>
    <w:rsid w:val="17A728DB"/>
    <w:rsid w:val="17B0494C"/>
    <w:rsid w:val="17B44FF8"/>
    <w:rsid w:val="17B772AD"/>
    <w:rsid w:val="17C74BC7"/>
    <w:rsid w:val="17CF3BE0"/>
    <w:rsid w:val="17D261EE"/>
    <w:rsid w:val="17D47448"/>
    <w:rsid w:val="17EF3567"/>
    <w:rsid w:val="180B7FD4"/>
    <w:rsid w:val="18125758"/>
    <w:rsid w:val="18130B49"/>
    <w:rsid w:val="18155A97"/>
    <w:rsid w:val="1816180F"/>
    <w:rsid w:val="181D2B9D"/>
    <w:rsid w:val="1828648C"/>
    <w:rsid w:val="1872441E"/>
    <w:rsid w:val="18754787"/>
    <w:rsid w:val="18884F66"/>
    <w:rsid w:val="18950986"/>
    <w:rsid w:val="189A41EE"/>
    <w:rsid w:val="18A62B93"/>
    <w:rsid w:val="18C13529"/>
    <w:rsid w:val="18C84512"/>
    <w:rsid w:val="18CA1AF8"/>
    <w:rsid w:val="18D222F8"/>
    <w:rsid w:val="18E92A80"/>
    <w:rsid w:val="18F558C8"/>
    <w:rsid w:val="18FD7EBD"/>
    <w:rsid w:val="19467ED2"/>
    <w:rsid w:val="194A1770"/>
    <w:rsid w:val="194B373A"/>
    <w:rsid w:val="19687E48"/>
    <w:rsid w:val="196D2C52"/>
    <w:rsid w:val="19762565"/>
    <w:rsid w:val="197B7B7C"/>
    <w:rsid w:val="19866520"/>
    <w:rsid w:val="198A7DBF"/>
    <w:rsid w:val="1990114D"/>
    <w:rsid w:val="19AA0FA9"/>
    <w:rsid w:val="19E75211"/>
    <w:rsid w:val="19EE5FDA"/>
    <w:rsid w:val="1A0933D9"/>
    <w:rsid w:val="1A206975"/>
    <w:rsid w:val="1A212962"/>
    <w:rsid w:val="1A240213"/>
    <w:rsid w:val="1A424B3D"/>
    <w:rsid w:val="1A5B175B"/>
    <w:rsid w:val="1A737243"/>
    <w:rsid w:val="1A7647E7"/>
    <w:rsid w:val="1A7B1DFD"/>
    <w:rsid w:val="1A863179"/>
    <w:rsid w:val="1A974E89"/>
    <w:rsid w:val="1AA41354"/>
    <w:rsid w:val="1AAB4FF4"/>
    <w:rsid w:val="1AB05F4B"/>
    <w:rsid w:val="1AB9593B"/>
    <w:rsid w:val="1AC45552"/>
    <w:rsid w:val="1ADC6D40"/>
    <w:rsid w:val="1AE16B5D"/>
    <w:rsid w:val="1AE22C71"/>
    <w:rsid w:val="1AE9320B"/>
    <w:rsid w:val="1AEC6857"/>
    <w:rsid w:val="1AED4AA9"/>
    <w:rsid w:val="1B010554"/>
    <w:rsid w:val="1B040045"/>
    <w:rsid w:val="1B19589E"/>
    <w:rsid w:val="1B3A0805"/>
    <w:rsid w:val="1B3C77DE"/>
    <w:rsid w:val="1B41388C"/>
    <w:rsid w:val="1B4C54E0"/>
    <w:rsid w:val="1B5543FC"/>
    <w:rsid w:val="1B610FF3"/>
    <w:rsid w:val="1B811695"/>
    <w:rsid w:val="1B8B6C8F"/>
    <w:rsid w:val="1B944F25"/>
    <w:rsid w:val="1B9E4562"/>
    <w:rsid w:val="1BD25E85"/>
    <w:rsid w:val="1BD73063"/>
    <w:rsid w:val="1BDD4B1E"/>
    <w:rsid w:val="1BE4373A"/>
    <w:rsid w:val="1BE55780"/>
    <w:rsid w:val="1BF65BDF"/>
    <w:rsid w:val="1C031F68"/>
    <w:rsid w:val="1C134F7F"/>
    <w:rsid w:val="1C166281"/>
    <w:rsid w:val="1C3109C5"/>
    <w:rsid w:val="1C4701E9"/>
    <w:rsid w:val="1C6E0AF0"/>
    <w:rsid w:val="1C9C6787"/>
    <w:rsid w:val="1CAA0778"/>
    <w:rsid w:val="1CD221A8"/>
    <w:rsid w:val="1D291FE4"/>
    <w:rsid w:val="1D320E99"/>
    <w:rsid w:val="1D350989"/>
    <w:rsid w:val="1D392227"/>
    <w:rsid w:val="1D3F4C86"/>
    <w:rsid w:val="1D4166B7"/>
    <w:rsid w:val="1D660B43"/>
    <w:rsid w:val="1D6B7EB8"/>
    <w:rsid w:val="1D793E49"/>
    <w:rsid w:val="1D7A45EE"/>
    <w:rsid w:val="1D8F5944"/>
    <w:rsid w:val="1D9236E6"/>
    <w:rsid w:val="1D9A07EC"/>
    <w:rsid w:val="1DB47301"/>
    <w:rsid w:val="1DCE5DC9"/>
    <w:rsid w:val="1DCF4116"/>
    <w:rsid w:val="1DDB508D"/>
    <w:rsid w:val="1DE61B3F"/>
    <w:rsid w:val="1DE71C83"/>
    <w:rsid w:val="1DEC1119"/>
    <w:rsid w:val="1DF17587"/>
    <w:rsid w:val="1E067C30"/>
    <w:rsid w:val="1E15744D"/>
    <w:rsid w:val="1E1862E1"/>
    <w:rsid w:val="1E1A2F33"/>
    <w:rsid w:val="1E1E141D"/>
    <w:rsid w:val="1E285DF8"/>
    <w:rsid w:val="1E2C7696"/>
    <w:rsid w:val="1E383081"/>
    <w:rsid w:val="1E464819"/>
    <w:rsid w:val="1E58492F"/>
    <w:rsid w:val="1E621193"/>
    <w:rsid w:val="1E707ECB"/>
    <w:rsid w:val="1E7159F1"/>
    <w:rsid w:val="1E74360C"/>
    <w:rsid w:val="1E766B63"/>
    <w:rsid w:val="1E9A7B0A"/>
    <w:rsid w:val="1EA04D17"/>
    <w:rsid w:val="1EA23DFC"/>
    <w:rsid w:val="1EA96F39"/>
    <w:rsid w:val="1EAB0F03"/>
    <w:rsid w:val="1EBB0A1A"/>
    <w:rsid w:val="1EBF49AE"/>
    <w:rsid w:val="1ED06FC7"/>
    <w:rsid w:val="1ED82C6B"/>
    <w:rsid w:val="1EE2244B"/>
    <w:rsid w:val="1EEB6762"/>
    <w:rsid w:val="1EF53F2C"/>
    <w:rsid w:val="1F0722BB"/>
    <w:rsid w:val="1F0E2870"/>
    <w:rsid w:val="1F134CFA"/>
    <w:rsid w:val="1F1B47D5"/>
    <w:rsid w:val="1F1C7A1F"/>
    <w:rsid w:val="1F334A54"/>
    <w:rsid w:val="1F372797"/>
    <w:rsid w:val="1F4B6242"/>
    <w:rsid w:val="1F521978"/>
    <w:rsid w:val="1F616510"/>
    <w:rsid w:val="1F631620"/>
    <w:rsid w:val="1F640E42"/>
    <w:rsid w:val="1F66526C"/>
    <w:rsid w:val="1F6F0182"/>
    <w:rsid w:val="1F765918"/>
    <w:rsid w:val="1F7E6617"/>
    <w:rsid w:val="1F847BEC"/>
    <w:rsid w:val="1F996057"/>
    <w:rsid w:val="1FC25332"/>
    <w:rsid w:val="1FCA37AB"/>
    <w:rsid w:val="1FCD68B6"/>
    <w:rsid w:val="1FDC5812"/>
    <w:rsid w:val="1FE6685A"/>
    <w:rsid w:val="1FF2793C"/>
    <w:rsid w:val="20020FF7"/>
    <w:rsid w:val="201725C8"/>
    <w:rsid w:val="203921F1"/>
    <w:rsid w:val="204B2A6D"/>
    <w:rsid w:val="207215AC"/>
    <w:rsid w:val="207755FD"/>
    <w:rsid w:val="20817D3B"/>
    <w:rsid w:val="20875058"/>
    <w:rsid w:val="209B6D55"/>
    <w:rsid w:val="20A0436C"/>
    <w:rsid w:val="20B816B5"/>
    <w:rsid w:val="20DC49B2"/>
    <w:rsid w:val="20DD111C"/>
    <w:rsid w:val="20EE1606"/>
    <w:rsid w:val="20FE2069"/>
    <w:rsid w:val="212136FE"/>
    <w:rsid w:val="21246D4B"/>
    <w:rsid w:val="21310388"/>
    <w:rsid w:val="21311468"/>
    <w:rsid w:val="21350F58"/>
    <w:rsid w:val="2139714E"/>
    <w:rsid w:val="213F4AC5"/>
    <w:rsid w:val="21562C7C"/>
    <w:rsid w:val="21577120"/>
    <w:rsid w:val="215A6C10"/>
    <w:rsid w:val="21667363"/>
    <w:rsid w:val="216E7FC6"/>
    <w:rsid w:val="21771570"/>
    <w:rsid w:val="217E2162"/>
    <w:rsid w:val="217E6327"/>
    <w:rsid w:val="218C5F62"/>
    <w:rsid w:val="218D2B42"/>
    <w:rsid w:val="21C6656C"/>
    <w:rsid w:val="21C8519B"/>
    <w:rsid w:val="21E40288"/>
    <w:rsid w:val="21F726B1"/>
    <w:rsid w:val="2201708C"/>
    <w:rsid w:val="220A23E4"/>
    <w:rsid w:val="221C5C74"/>
    <w:rsid w:val="22286BE8"/>
    <w:rsid w:val="225E44DE"/>
    <w:rsid w:val="22600256"/>
    <w:rsid w:val="2264745D"/>
    <w:rsid w:val="226513C9"/>
    <w:rsid w:val="227656B5"/>
    <w:rsid w:val="228C4BA7"/>
    <w:rsid w:val="228F28EA"/>
    <w:rsid w:val="22904101"/>
    <w:rsid w:val="22910410"/>
    <w:rsid w:val="229B4DEB"/>
    <w:rsid w:val="22A964C9"/>
    <w:rsid w:val="22AA14D2"/>
    <w:rsid w:val="22AD2D70"/>
    <w:rsid w:val="22AF0896"/>
    <w:rsid w:val="22C02AA3"/>
    <w:rsid w:val="22D35427"/>
    <w:rsid w:val="22EC384A"/>
    <w:rsid w:val="22F369D5"/>
    <w:rsid w:val="22F8048F"/>
    <w:rsid w:val="22FD4100"/>
    <w:rsid w:val="230C5CE8"/>
    <w:rsid w:val="231057D9"/>
    <w:rsid w:val="2318468D"/>
    <w:rsid w:val="23270D74"/>
    <w:rsid w:val="23337719"/>
    <w:rsid w:val="233745A8"/>
    <w:rsid w:val="23384D2F"/>
    <w:rsid w:val="234611FA"/>
    <w:rsid w:val="234A05BF"/>
    <w:rsid w:val="234C4337"/>
    <w:rsid w:val="2369138D"/>
    <w:rsid w:val="236D2FDD"/>
    <w:rsid w:val="238E2BA1"/>
    <w:rsid w:val="239D4DC0"/>
    <w:rsid w:val="23C959D7"/>
    <w:rsid w:val="23D014C7"/>
    <w:rsid w:val="23DC56BB"/>
    <w:rsid w:val="23EF3DB7"/>
    <w:rsid w:val="241A23AD"/>
    <w:rsid w:val="242B2467"/>
    <w:rsid w:val="24332478"/>
    <w:rsid w:val="2460579C"/>
    <w:rsid w:val="246A53BC"/>
    <w:rsid w:val="246C0125"/>
    <w:rsid w:val="247876AF"/>
    <w:rsid w:val="248D27F1"/>
    <w:rsid w:val="248F084E"/>
    <w:rsid w:val="24902C02"/>
    <w:rsid w:val="24997A50"/>
    <w:rsid w:val="24A3267C"/>
    <w:rsid w:val="24A563F4"/>
    <w:rsid w:val="24C06D8A"/>
    <w:rsid w:val="24D64692"/>
    <w:rsid w:val="24D67678"/>
    <w:rsid w:val="24EF141E"/>
    <w:rsid w:val="251D5F8B"/>
    <w:rsid w:val="25280752"/>
    <w:rsid w:val="252B034F"/>
    <w:rsid w:val="253C7853"/>
    <w:rsid w:val="256331FD"/>
    <w:rsid w:val="25A14E0E"/>
    <w:rsid w:val="25C10028"/>
    <w:rsid w:val="25C32FD6"/>
    <w:rsid w:val="25C426FB"/>
    <w:rsid w:val="25D32AED"/>
    <w:rsid w:val="25F5515A"/>
    <w:rsid w:val="26040EF9"/>
    <w:rsid w:val="26064C71"/>
    <w:rsid w:val="26176E7E"/>
    <w:rsid w:val="26301CEE"/>
    <w:rsid w:val="2641571C"/>
    <w:rsid w:val="265005E2"/>
    <w:rsid w:val="266235BB"/>
    <w:rsid w:val="2665408D"/>
    <w:rsid w:val="266A16A4"/>
    <w:rsid w:val="26AA7CF2"/>
    <w:rsid w:val="26AF70B6"/>
    <w:rsid w:val="26B172D2"/>
    <w:rsid w:val="26DC1F7C"/>
    <w:rsid w:val="26F15921"/>
    <w:rsid w:val="26FA0C65"/>
    <w:rsid w:val="27027B2E"/>
    <w:rsid w:val="27082C6B"/>
    <w:rsid w:val="27797227"/>
    <w:rsid w:val="27893DAB"/>
    <w:rsid w:val="278C42F2"/>
    <w:rsid w:val="27C052F3"/>
    <w:rsid w:val="27C21D50"/>
    <w:rsid w:val="27D2112D"/>
    <w:rsid w:val="27EC2F50"/>
    <w:rsid w:val="27FE6547"/>
    <w:rsid w:val="28090A48"/>
    <w:rsid w:val="28221090"/>
    <w:rsid w:val="28343D0E"/>
    <w:rsid w:val="284F6DA3"/>
    <w:rsid w:val="28536A7A"/>
    <w:rsid w:val="286D7229"/>
    <w:rsid w:val="286F0C68"/>
    <w:rsid w:val="288E0F4E"/>
    <w:rsid w:val="28947A1A"/>
    <w:rsid w:val="28A30E9D"/>
    <w:rsid w:val="28AB1994"/>
    <w:rsid w:val="28B12497"/>
    <w:rsid w:val="28D3613E"/>
    <w:rsid w:val="28D92B11"/>
    <w:rsid w:val="28F9286B"/>
    <w:rsid w:val="29080D00"/>
    <w:rsid w:val="290A0F1C"/>
    <w:rsid w:val="2910714E"/>
    <w:rsid w:val="29211DC2"/>
    <w:rsid w:val="29215D08"/>
    <w:rsid w:val="292A336C"/>
    <w:rsid w:val="293935AF"/>
    <w:rsid w:val="294C58B8"/>
    <w:rsid w:val="294E4B7A"/>
    <w:rsid w:val="29542197"/>
    <w:rsid w:val="295D729E"/>
    <w:rsid w:val="29652034"/>
    <w:rsid w:val="297665B1"/>
    <w:rsid w:val="297B3BC8"/>
    <w:rsid w:val="298567F4"/>
    <w:rsid w:val="29916714"/>
    <w:rsid w:val="29917AFF"/>
    <w:rsid w:val="29B96FF4"/>
    <w:rsid w:val="29E7300B"/>
    <w:rsid w:val="29EF7B20"/>
    <w:rsid w:val="29F7494D"/>
    <w:rsid w:val="29FE683E"/>
    <w:rsid w:val="2A0E2346"/>
    <w:rsid w:val="2A51486E"/>
    <w:rsid w:val="2A685EFA"/>
    <w:rsid w:val="2A6E0B8C"/>
    <w:rsid w:val="2A742BAF"/>
    <w:rsid w:val="2A7A3C61"/>
    <w:rsid w:val="2A832D34"/>
    <w:rsid w:val="2A894C49"/>
    <w:rsid w:val="2A8B1BE9"/>
    <w:rsid w:val="2A9A007E"/>
    <w:rsid w:val="2A9C2048"/>
    <w:rsid w:val="2AB94CB4"/>
    <w:rsid w:val="2ABE1FBE"/>
    <w:rsid w:val="2AC60E73"/>
    <w:rsid w:val="2ACA0963"/>
    <w:rsid w:val="2AD71F55"/>
    <w:rsid w:val="2AEA4B61"/>
    <w:rsid w:val="2AED63FF"/>
    <w:rsid w:val="2B035C23"/>
    <w:rsid w:val="2B084612"/>
    <w:rsid w:val="2B275DB5"/>
    <w:rsid w:val="2B430715"/>
    <w:rsid w:val="2B807273"/>
    <w:rsid w:val="2B874E89"/>
    <w:rsid w:val="2B8E7BE2"/>
    <w:rsid w:val="2B8F1305"/>
    <w:rsid w:val="2BA74800"/>
    <w:rsid w:val="2BA80578"/>
    <w:rsid w:val="2BB24265"/>
    <w:rsid w:val="2BD936B3"/>
    <w:rsid w:val="2BF612E4"/>
    <w:rsid w:val="2C1D0F66"/>
    <w:rsid w:val="2C1D4AC2"/>
    <w:rsid w:val="2C320F03"/>
    <w:rsid w:val="2C3A38C6"/>
    <w:rsid w:val="2C4402A1"/>
    <w:rsid w:val="2C464019"/>
    <w:rsid w:val="2C802A45"/>
    <w:rsid w:val="2C813049"/>
    <w:rsid w:val="2C925D3B"/>
    <w:rsid w:val="2CA156F3"/>
    <w:rsid w:val="2CB52F4D"/>
    <w:rsid w:val="2CB57615"/>
    <w:rsid w:val="2CC9735F"/>
    <w:rsid w:val="2CD422AD"/>
    <w:rsid w:val="2CD72D3E"/>
    <w:rsid w:val="2CDE0BB4"/>
    <w:rsid w:val="2CE51A84"/>
    <w:rsid w:val="2CEA3A7F"/>
    <w:rsid w:val="2D170586"/>
    <w:rsid w:val="2D21366B"/>
    <w:rsid w:val="2D307E81"/>
    <w:rsid w:val="2D4667FD"/>
    <w:rsid w:val="2D52796B"/>
    <w:rsid w:val="2D6B7AAF"/>
    <w:rsid w:val="2D80355B"/>
    <w:rsid w:val="2D846F81"/>
    <w:rsid w:val="2D8D3ECA"/>
    <w:rsid w:val="2DAA05D8"/>
    <w:rsid w:val="2DF06932"/>
    <w:rsid w:val="2DFB7085"/>
    <w:rsid w:val="2E081321"/>
    <w:rsid w:val="2E150D41"/>
    <w:rsid w:val="2E1F0FC6"/>
    <w:rsid w:val="2E2E745B"/>
    <w:rsid w:val="2E2F24A3"/>
    <w:rsid w:val="2E3D3B83"/>
    <w:rsid w:val="2E490957"/>
    <w:rsid w:val="2E56250D"/>
    <w:rsid w:val="2E5E3A03"/>
    <w:rsid w:val="2E877616"/>
    <w:rsid w:val="2EA66FF1"/>
    <w:rsid w:val="2EC1207D"/>
    <w:rsid w:val="2EC67693"/>
    <w:rsid w:val="2EC90F31"/>
    <w:rsid w:val="2EE47B19"/>
    <w:rsid w:val="2EEE3E49"/>
    <w:rsid w:val="2EFB5316"/>
    <w:rsid w:val="2F0D0E1E"/>
    <w:rsid w:val="2F2F5238"/>
    <w:rsid w:val="2F397F5C"/>
    <w:rsid w:val="2F3C7955"/>
    <w:rsid w:val="2F452CAE"/>
    <w:rsid w:val="2F4A14FC"/>
    <w:rsid w:val="2F5A7DDB"/>
    <w:rsid w:val="2F5B560D"/>
    <w:rsid w:val="2F7B222C"/>
    <w:rsid w:val="2F875074"/>
    <w:rsid w:val="2F885FD0"/>
    <w:rsid w:val="2FAD43AF"/>
    <w:rsid w:val="2FB43990"/>
    <w:rsid w:val="2FBA317E"/>
    <w:rsid w:val="2FC35981"/>
    <w:rsid w:val="2FD7142C"/>
    <w:rsid w:val="2FEA5603"/>
    <w:rsid w:val="2FEE3B30"/>
    <w:rsid w:val="2FF16992"/>
    <w:rsid w:val="30316D8E"/>
    <w:rsid w:val="30317DA0"/>
    <w:rsid w:val="30356467"/>
    <w:rsid w:val="30360848"/>
    <w:rsid w:val="30466CDD"/>
    <w:rsid w:val="30600436"/>
    <w:rsid w:val="308C0468"/>
    <w:rsid w:val="309335A5"/>
    <w:rsid w:val="30A43A04"/>
    <w:rsid w:val="30BD239F"/>
    <w:rsid w:val="30C31AC9"/>
    <w:rsid w:val="30D847C0"/>
    <w:rsid w:val="30DD2A72"/>
    <w:rsid w:val="30E2637C"/>
    <w:rsid w:val="30ED53AB"/>
    <w:rsid w:val="30F34ED5"/>
    <w:rsid w:val="30F71D86"/>
    <w:rsid w:val="30FC1431"/>
    <w:rsid w:val="3103533F"/>
    <w:rsid w:val="31085D41"/>
    <w:rsid w:val="31124E12"/>
    <w:rsid w:val="311A26B5"/>
    <w:rsid w:val="312D1C4B"/>
    <w:rsid w:val="313034EA"/>
    <w:rsid w:val="3130510C"/>
    <w:rsid w:val="31322DBE"/>
    <w:rsid w:val="31457C05"/>
    <w:rsid w:val="31570A76"/>
    <w:rsid w:val="316B4522"/>
    <w:rsid w:val="31864EB8"/>
    <w:rsid w:val="318D4EC3"/>
    <w:rsid w:val="318D6246"/>
    <w:rsid w:val="31903F88"/>
    <w:rsid w:val="31912EAD"/>
    <w:rsid w:val="31971F49"/>
    <w:rsid w:val="31A812D2"/>
    <w:rsid w:val="31B0537B"/>
    <w:rsid w:val="31C3435E"/>
    <w:rsid w:val="31C61758"/>
    <w:rsid w:val="31E96446"/>
    <w:rsid w:val="31F91B2E"/>
    <w:rsid w:val="320A5AE9"/>
    <w:rsid w:val="32230959"/>
    <w:rsid w:val="322D17D7"/>
    <w:rsid w:val="32456B21"/>
    <w:rsid w:val="324A05DB"/>
    <w:rsid w:val="328F5FEE"/>
    <w:rsid w:val="3291620A"/>
    <w:rsid w:val="32990FCC"/>
    <w:rsid w:val="32A95F2D"/>
    <w:rsid w:val="32B20E08"/>
    <w:rsid w:val="32C91500"/>
    <w:rsid w:val="32F01183"/>
    <w:rsid w:val="32FF5514"/>
    <w:rsid w:val="330563D9"/>
    <w:rsid w:val="33174961"/>
    <w:rsid w:val="331D7A9E"/>
    <w:rsid w:val="3322463D"/>
    <w:rsid w:val="33244988"/>
    <w:rsid w:val="332D165D"/>
    <w:rsid w:val="33386686"/>
    <w:rsid w:val="334E5EA9"/>
    <w:rsid w:val="335E60EC"/>
    <w:rsid w:val="3363669F"/>
    <w:rsid w:val="33727DEA"/>
    <w:rsid w:val="33770F5C"/>
    <w:rsid w:val="337D74C8"/>
    <w:rsid w:val="33883169"/>
    <w:rsid w:val="339C22C4"/>
    <w:rsid w:val="339C6C14"/>
    <w:rsid w:val="33A53516"/>
    <w:rsid w:val="33BA52ED"/>
    <w:rsid w:val="33C341A1"/>
    <w:rsid w:val="33D20888"/>
    <w:rsid w:val="33DC34B5"/>
    <w:rsid w:val="33E02FA5"/>
    <w:rsid w:val="33E32343"/>
    <w:rsid w:val="33E505BB"/>
    <w:rsid w:val="33E92B83"/>
    <w:rsid w:val="33EA7F67"/>
    <w:rsid w:val="33ED7470"/>
    <w:rsid w:val="34012F1B"/>
    <w:rsid w:val="3417273F"/>
    <w:rsid w:val="34254E5C"/>
    <w:rsid w:val="342866FA"/>
    <w:rsid w:val="342F7A89"/>
    <w:rsid w:val="34343BAA"/>
    <w:rsid w:val="34360E17"/>
    <w:rsid w:val="343E7CCC"/>
    <w:rsid w:val="34580D8D"/>
    <w:rsid w:val="346323FC"/>
    <w:rsid w:val="34655329"/>
    <w:rsid w:val="34677222"/>
    <w:rsid w:val="346D235F"/>
    <w:rsid w:val="347F27BE"/>
    <w:rsid w:val="3491064E"/>
    <w:rsid w:val="34943D90"/>
    <w:rsid w:val="349A13A6"/>
    <w:rsid w:val="34B0543F"/>
    <w:rsid w:val="34EC3BCC"/>
    <w:rsid w:val="34F0546A"/>
    <w:rsid w:val="352E1AEE"/>
    <w:rsid w:val="35386E11"/>
    <w:rsid w:val="35414D4C"/>
    <w:rsid w:val="355F614C"/>
    <w:rsid w:val="35A3072E"/>
    <w:rsid w:val="35C00BFA"/>
    <w:rsid w:val="35C10BB4"/>
    <w:rsid w:val="35C506A4"/>
    <w:rsid w:val="35C80195"/>
    <w:rsid w:val="35CB4EB3"/>
    <w:rsid w:val="35E14DB3"/>
    <w:rsid w:val="35FE3BB6"/>
    <w:rsid w:val="36032F7B"/>
    <w:rsid w:val="360B1E2F"/>
    <w:rsid w:val="361C403D"/>
    <w:rsid w:val="361E2777"/>
    <w:rsid w:val="365732C7"/>
    <w:rsid w:val="365C268B"/>
    <w:rsid w:val="36696ACA"/>
    <w:rsid w:val="3676199F"/>
    <w:rsid w:val="369A2A06"/>
    <w:rsid w:val="36A312FD"/>
    <w:rsid w:val="36AA2DC7"/>
    <w:rsid w:val="36C50230"/>
    <w:rsid w:val="36FC6348"/>
    <w:rsid w:val="36FF7ADF"/>
    <w:rsid w:val="3709636F"/>
    <w:rsid w:val="3715740A"/>
    <w:rsid w:val="3727713D"/>
    <w:rsid w:val="372C02AF"/>
    <w:rsid w:val="37305FF2"/>
    <w:rsid w:val="373716BA"/>
    <w:rsid w:val="37405933"/>
    <w:rsid w:val="37476E97"/>
    <w:rsid w:val="37685F95"/>
    <w:rsid w:val="37687DB6"/>
    <w:rsid w:val="37731271"/>
    <w:rsid w:val="37B02C8E"/>
    <w:rsid w:val="37B7374C"/>
    <w:rsid w:val="37B85195"/>
    <w:rsid w:val="37C5034C"/>
    <w:rsid w:val="37D050DF"/>
    <w:rsid w:val="37D57F4F"/>
    <w:rsid w:val="37F2326F"/>
    <w:rsid w:val="37F30DCD"/>
    <w:rsid w:val="37FF4D81"/>
    <w:rsid w:val="380A67EF"/>
    <w:rsid w:val="381C08AE"/>
    <w:rsid w:val="38277DEA"/>
    <w:rsid w:val="382A0C93"/>
    <w:rsid w:val="38390ED6"/>
    <w:rsid w:val="38415FDC"/>
    <w:rsid w:val="384E7282"/>
    <w:rsid w:val="38797524"/>
    <w:rsid w:val="38804D57"/>
    <w:rsid w:val="38831EFF"/>
    <w:rsid w:val="38A9721D"/>
    <w:rsid w:val="38B55F85"/>
    <w:rsid w:val="38B844F1"/>
    <w:rsid w:val="38CC7F9C"/>
    <w:rsid w:val="38DE382B"/>
    <w:rsid w:val="38E928FC"/>
    <w:rsid w:val="38EA6674"/>
    <w:rsid w:val="38EE7F12"/>
    <w:rsid w:val="39162FC5"/>
    <w:rsid w:val="393D31F5"/>
    <w:rsid w:val="393F251C"/>
    <w:rsid w:val="394369EE"/>
    <w:rsid w:val="39581830"/>
    <w:rsid w:val="395B67BA"/>
    <w:rsid w:val="396D5E8B"/>
    <w:rsid w:val="396F26D5"/>
    <w:rsid w:val="396F7E3B"/>
    <w:rsid w:val="397119C0"/>
    <w:rsid w:val="398443D3"/>
    <w:rsid w:val="398E5251"/>
    <w:rsid w:val="39B226CB"/>
    <w:rsid w:val="39BA53ED"/>
    <w:rsid w:val="39BD1693"/>
    <w:rsid w:val="39BF4A8B"/>
    <w:rsid w:val="39CF4F57"/>
    <w:rsid w:val="39DF5AAD"/>
    <w:rsid w:val="39F672C9"/>
    <w:rsid w:val="3A125E82"/>
    <w:rsid w:val="3A396F6B"/>
    <w:rsid w:val="3A465B2C"/>
    <w:rsid w:val="3A4F678F"/>
    <w:rsid w:val="3A75009A"/>
    <w:rsid w:val="3A846FC3"/>
    <w:rsid w:val="3A971EE4"/>
    <w:rsid w:val="3A9A5E58"/>
    <w:rsid w:val="3AA21391"/>
    <w:rsid w:val="3AB900AC"/>
    <w:rsid w:val="3ACC4283"/>
    <w:rsid w:val="3AD0016E"/>
    <w:rsid w:val="3ADA530D"/>
    <w:rsid w:val="3AE70CAD"/>
    <w:rsid w:val="3AF47336"/>
    <w:rsid w:val="3AF76197"/>
    <w:rsid w:val="3B155CE5"/>
    <w:rsid w:val="3B1962D5"/>
    <w:rsid w:val="3B1D688D"/>
    <w:rsid w:val="3B253993"/>
    <w:rsid w:val="3B2714BA"/>
    <w:rsid w:val="3B372F95"/>
    <w:rsid w:val="3B7346FF"/>
    <w:rsid w:val="3B742225"/>
    <w:rsid w:val="3B7D6B9F"/>
    <w:rsid w:val="3B871E24"/>
    <w:rsid w:val="3B8D3A0D"/>
    <w:rsid w:val="3B9F54F4"/>
    <w:rsid w:val="3BAE5737"/>
    <w:rsid w:val="3BB32D4D"/>
    <w:rsid w:val="3BB371F1"/>
    <w:rsid w:val="3BCD37E1"/>
    <w:rsid w:val="3BE850ED"/>
    <w:rsid w:val="3C015278"/>
    <w:rsid w:val="3C2B6D87"/>
    <w:rsid w:val="3C2E55CC"/>
    <w:rsid w:val="3C432323"/>
    <w:rsid w:val="3C457B19"/>
    <w:rsid w:val="3C4E0CC8"/>
    <w:rsid w:val="3C522C0A"/>
    <w:rsid w:val="3C6D4145"/>
    <w:rsid w:val="3C8175A1"/>
    <w:rsid w:val="3C8B07F8"/>
    <w:rsid w:val="3C8D52ED"/>
    <w:rsid w:val="3C994922"/>
    <w:rsid w:val="3CA36E5C"/>
    <w:rsid w:val="3CAB0CFF"/>
    <w:rsid w:val="3CB44FCF"/>
    <w:rsid w:val="3CC33D1F"/>
    <w:rsid w:val="3CFB3B5D"/>
    <w:rsid w:val="3D000214"/>
    <w:rsid w:val="3D074420"/>
    <w:rsid w:val="3D162188"/>
    <w:rsid w:val="3D251A29"/>
    <w:rsid w:val="3D255ECD"/>
    <w:rsid w:val="3D2A69F0"/>
    <w:rsid w:val="3D5440BC"/>
    <w:rsid w:val="3D7F44C1"/>
    <w:rsid w:val="3D840E45"/>
    <w:rsid w:val="3D954E00"/>
    <w:rsid w:val="3D962926"/>
    <w:rsid w:val="3D9A41C5"/>
    <w:rsid w:val="3DAE7C70"/>
    <w:rsid w:val="3DBD6105"/>
    <w:rsid w:val="3DD65CA8"/>
    <w:rsid w:val="3DDF7E2A"/>
    <w:rsid w:val="3DF53AF1"/>
    <w:rsid w:val="3DF80EEB"/>
    <w:rsid w:val="3E1046A4"/>
    <w:rsid w:val="3E2B12C1"/>
    <w:rsid w:val="3E2D1393"/>
    <w:rsid w:val="3E344619"/>
    <w:rsid w:val="3E375EB7"/>
    <w:rsid w:val="3E5C591E"/>
    <w:rsid w:val="3E6032EC"/>
    <w:rsid w:val="3E6A5F7B"/>
    <w:rsid w:val="3E8A5EF5"/>
    <w:rsid w:val="3E8A6CAC"/>
    <w:rsid w:val="3E9055C8"/>
    <w:rsid w:val="3EA64DEB"/>
    <w:rsid w:val="3EA80B63"/>
    <w:rsid w:val="3EC032A2"/>
    <w:rsid w:val="3ED6747E"/>
    <w:rsid w:val="3EE15347"/>
    <w:rsid w:val="3EF75647"/>
    <w:rsid w:val="3EFD4831"/>
    <w:rsid w:val="3F081602"/>
    <w:rsid w:val="3F251DB3"/>
    <w:rsid w:val="3F255D10"/>
    <w:rsid w:val="3F3B012E"/>
    <w:rsid w:val="3F3C12AC"/>
    <w:rsid w:val="3F4E170B"/>
    <w:rsid w:val="3F772F6F"/>
    <w:rsid w:val="3F7B6278"/>
    <w:rsid w:val="3FAA090B"/>
    <w:rsid w:val="3FBB0422"/>
    <w:rsid w:val="3FC20A8C"/>
    <w:rsid w:val="3FE756BB"/>
    <w:rsid w:val="3FF57DD8"/>
    <w:rsid w:val="400D3374"/>
    <w:rsid w:val="401F30A7"/>
    <w:rsid w:val="40291830"/>
    <w:rsid w:val="40365A8B"/>
    <w:rsid w:val="40534AFF"/>
    <w:rsid w:val="40662A84"/>
    <w:rsid w:val="40A37834"/>
    <w:rsid w:val="40B023DA"/>
    <w:rsid w:val="40DD1F60"/>
    <w:rsid w:val="40DF6B8A"/>
    <w:rsid w:val="40E13EB9"/>
    <w:rsid w:val="40F0234E"/>
    <w:rsid w:val="41087697"/>
    <w:rsid w:val="410A4873"/>
    <w:rsid w:val="410C4A62"/>
    <w:rsid w:val="41112074"/>
    <w:rsid w:val="4111265B"/>
    <w:rsid w:val="4125649B"/>
    <w:rsid w:val="412E1EDF"/>
    <w:rsid w:val="4148482D"/>
    <w:rsid w:val="414C7BE3"/>
    <w:rsid w:val="414E0CFF"/>
    <w:rsid w:val="41597EF3"/>
    <w:rsid w:val="4171051A"/>
    <w:rsid w:val="419E1DAA"/>
    <w:rsid w:val="41BA0EA1"/>
    <w:rsid w:val="41E77BF5"/>
    <w:rsid w:val="41F01EAA"/>
    <w:rsid w:val="41F145CF"/>
    <w:rsid w:val="41F83BB0"/>
    <w:rsid w:val="424B0183"/>
    <w:rsid w:val="42707BEA"/>
    <w:rsid w:val="42742F6B"/>
    <w:rsid w:val="42815953"/>
    <w:rsid w:val="429D667C"/>
    <w:rsid w:val="42CE59A0"/>
    <w:rsid w:val="42EA174A"/>
    <w:rsid w:val="43014CE6"/>
    <w:rsid w:val="4303280C"/>
    <w:rsid w:val="430F2F5F"/>
    <w:rsid w:val="43106CD7"/>
    <w:rsid w:val="432B1D63"/>
    <w:rsid w:val="43920DB2"/>
    <w:rsid w:val="43B40A28"/>
    <w:rsid w:val="43BB4E95"/>
    <w:rsid w:val="43E02B4D"/>
    <w:rsid w:val="43E72261"/>
    <w:rsid w:val="44146C1C"/>
    <w:rsid w:val="441B1DD7"/>
    <w:rsid w:val="44254A04"/>
    <w:rsid w:val="44466E54"/>
    <w:rsid w:val="444B446B"/>
    <w:rsid w:val="44580936"/>
    <w:rsid w:val="445B21D4"/>
    <w:rsid w:val="446430E5"/>
    <w:rsid w:val="44663053"/>
    <w:rsid w:val="44821EB0"/>
    <w:rsid w:val="44890AEF"/>
    <w:rsid w:val="449F0313"/>
    <w:rsid w:val="449F20EB"/>
    <w:rsid w:val="44AE027F"/>
    <w:rsid w:val="44BC6205"/>
    <w:rsid w:val="44D015AB"/>
    <w:rsid w:val="44ED75F7"/>
    <w:rsid w:val="45014B29"/>
    <w:rsid w:val="450151D4"/>
    <w:rsid w:val="450B1E4C"/>
    <w:rsid w:val="450D4910"/>
    <w:rsid w:val="45240818"/>
    <w:rsid w:val="453D1755"/>
    <w:rsid w:val="4541761C"/>
    <w:rsid w:val="45570BED"/>
    <w:rsid w:val="4558520A"/>
    <w:rsid w:val="456A1385"/>
    <w:rsid w:val="458D460F"/>
    <w:rsid w:val="45A71B75"/>
    <w:rsid w:val="45B36151"/>
    <w:rsid w:val="45BB73CE"/>
    <w:rsid w:val="45C269AF"/>
    <w:rsid w:val="45C5024D"/>
    <w:rsid w:val="45CE6554"/>
    <w:rsid w:val="45D154F1"/>
    <w:rsid w:val="45D651FD"/>
    <w:rsid w:val="45D665BD"/>
    <w:rsid w:val="45DD5596"/>
    <w:rsid w:val="463263F1"/>
    <w:rsid w:val="46352521"/>
    <w:rsid w:val="46674E60"/>
    <w:rsid w:val="467A3826"/>
    <w:rsid w:val="46A03EB0"/>
    <w:rsid w:val="46C16C66"/>
    <w:rsid w:val="46C949E7"/>
    <w:rsid w:val="46CB53EF"/>
    <w:rsid w:val="46CD560B"/>
    <w:rsid w:val="46DD5122"/>
    <w:rsid w:val="46E165F3"/>
    <w:rsid w:val="46F10BCE"/>
    <w:rsid w:val="46F34946"/>
    <w:rsid w:val="4763569D"/>
    <w:rsid w:val="476D46F8"/>
    <w:rsid w:val="476E221E"/>
    <w:rsid w:val="478163F5"/>
    <w:rsid w:val="478A4634"/>
    <w:rsid w:val="479C322F"/>
    <w:rsid w:val="47A04ACD"/>
    <w:rsid w:val="47A83982"/>
    <w:rsid w:val="47C87B80"/>
    <w:rsid w:val="47DB78E4"/>
    <w:rsid w:val="47DC187E"/>
    <w:rsid w:val="47DD7AD0"/>
    <w:rsid w:val="47E81FD1"/>
    <w:rsid w:val="47FE17F4"/>
    <w:rsid w:val="48180B08"/>
    <w:rsid w:val="482374AD"/>
    <w:rsid w:val="482C60D7"/>
    <w:rsid w:val="48315726"/>
    <w:rsid w:val="48384D06"/>
    <w:rsid w:val="485A1120"/>
    <w:rsid w:val="486C49B0"/>
    <w:rsid w:val="48720648"/>
    <w:rsid w:val="488243C5"/>
    <w:rsid w:val="488A12DA"/>
    <w:rsid w:val="48A40E9F"/>
    <w:rsid w:val="48C26CD1"/>
    <w:rsid w:val="48CC544E"/>
    <w:rsid w:val="48CE77DB"/>
    <w:rsid w:val="491648E0"/>
    <w:rsid w:val="491F0E25"/>
    <w:rsid w:val="492D05E3"/>
    <w:rsid w:val="493F65A3"/>
    <w:rsid w:val="4968786D"/>
    <w:rsid w:val="496C7999"/>
    <w:rsid w:val="498B355B"/>
    <w:rsid w:val="49A56B48"/>
    <w:rsid w:val="49B760FE"/>
    <w:rsid w:val="49B9324B"/>
    <w:rsid w:val="49BE123B"/>
    <w:rsid w:val="49E50EBD"/>
    <w:rsid w:val="49E623DF"/>
    <w:rsid w:val="49E92030"/>
    <w:rsid w:val="49F95C7A"/>
    <w:rsid w:val="4A08170C"/>
    <w:rsid w:val="4A315EB1"/>
    <w:rsid w:val="4A514C45"/>
    <w:rsid w:val="4A534079"/>
    <w:rsid w:val="4A5971B6"/>
    <w:rsid w:val="4A800BE6"/>
    <w:rsid w:val="4A9B5A20"/>
    <w:rsid w:val="4AC76815"/>
    <w:rsid w:val="4AD131F0"/>
    <w:rsid w:val="4AD54A8E"/>
    <w:rsid w:val="4AE051E1"/>
    <w:rsid w:val="4AEE78FE"/>
    <w:rsid w:val="4AEF7EAA"/>
    <w:rsid w:val="4AF07B1A"/>
    <w:rsid w:val="4AFB14A9"/>
    <w:rsid w:val="4B1A06F3"/>
    <w:rsid w:val="4B3C4B0D"/>
    <w:rsid w:val="4B3D2633"/>
    <w:rsid w:val="4B441C14"/>
    <w:rsid w:val="4B4B4D50"/>
    <w:rsid w:val="4B4C61C0"/>
    <w:rsid w:val="4B616322"/>
    <w:rsid w:val="4B645E12"/>
    <w:rsid w:val="4B7324F9"/>
    <w:rsid w:val="4B7A3887"/>
    <w:rsid w:val="4B9304A5"/>
    <w:rsid w:val="4B9506D4"/>
    <w:rsid w:val="4B9F7A3A"/>
    <w:rsid w:val="4BA354EB"/>
    <w:rsid w:val="4BB174A0"/>
    <w:rsid w:val="4BBA5F7D"/>
    <w:rsid w:val="4BC52D55"/>
    <w:rsid w:val="4BC845F3"/>
    <w:rsid w:val="4BCE7DC4"/>
    <w:rsid w:val="4BE331DB"/>
    <w:rsid w:val="4BF90821"/>
    <w:rsid w:val="4C35316B"/>
    <w:rsid w:val="4C416153"/>
    <w:rsid w:val="4C5A0B33"/>
    <w:rsid w:val="4C7327B1"/>
    <w:rsid w:val="4C96024D"/>
    <w:rsid w:val="4CA30BBC"/>
    <w:rsid w:val="4CAA019C"/>
    <w:rsid w:val="4CDA1B69"/>
    <w:rsid w:val="4CF27ACC"/>
    <w:rsid w:val="4D0044D5"/>
    <w:rsid w:val="4D086EF0"/>
    <w:rsid w:val="4D3A1520"/>
    <w:rsid w:val="4D445EFB"/>
    <w:rsid w:val="4D447CA9"/>
    <w:rsid w:val="4D522B65"/>
    <w:rsid w:val="4D5B049A"/>
    <w:rsid w:val="4D5C64C8"/>
    <w:rsid w:val="4D5F4AE3"/>
    <w:rsid w:val="4D697710"/>
    <w:rsid w:val="4D6E2F78"/>
    <w:rsid w:val="4D763316"/>
    <w:rsid w:val="4D834C75"/>
    <w:rsid w:val="4D930852"/>
    <w:rsid w:val="4D9A02FE"/>
    <w:rsid w:val="4DA44BEC"/>
    <w:rsid w:val="4DAB41CC"/>
    <w:rsid w:val="4DAE0DAF"/>
    <w:rsid w:val="4DD202D7"/>
    <w:rsid w:val="4DDB02DB"/>
    <w:rsid w:val="4DFB170D"/>
    <w:rsid w:val="4DFE42FC"/>
    <w:rsid w:val="4DFF1E22"/>
    <w:rsid w:val="4E0D09E3"/>
    <w:rsid w:val="4E1E674C"/>
    <w:rsid w:val="4E3441C2"/>
    <w:rsid w:val="4E41243B"/>
    <w:rsid w:val="4E4B77CC"/>
    <w:rsid w:val="4E4D7D8C"/>
    <w:rsid w:val="4E8D1FA1"/>
    <w:rsid w:val="4EA905B1"/>
    <w:rsid w:val="4EB946C7"/>
    <w:rsid w:val="4EBD10D6"/>
    <w:rsid w:val="4EC401DD"/>
    <w:rsid w:val="4ED4505D"/>
    <w:rsid w:val="4ED66DFC"/>
    <w:rsid w:val="4ED82D9F"/>
    <w:rsid w:val="4EE476A8"/>
    <w:rsid w:val="4EF05C35"/>
    <w:rsid w:val="4EFB6A8D"/>
    <w:rsid w:val="4F147B4F"/>
    <w:rsid w:val="4F196F13"/>
    <w:rsid w:val="4F6A394F"/>
    <w:rsid w:val="4F764366"/>
    <w:rsid w:val="4F806F93"/>
    <w:rsid w:val="4F90786D"/>
    <w:rsid w:val="4F9A62A6"/>
    <w:rsid w:val="4FA26F09"/>
    <w:rsid w:val="4FAB04B3"/>
    <w:rsid w:val="4FAC63CF"/>
    <w:rsid w:val="4FBE0DE4"/>
    <w:rsid w:val="4FC83EFD"/>
    <w:rsid w:val="4FE45773"/>
    <w:rsid w:val="4FF026D5"/>
    <w:rsid w:val="4FFD05E3"/>
    <w:rsid w:val="50016325"/>
    <w:rsid w:val="5003209D"/>
    <w:rsid w:val="500876B4"/>
    <w:rsid w:val="50137E07"/>
    <w:rsid w:val="50151DD1"/>
    <w:rsid w:val="501E4797"/>
    <w:rsid w:val="50267B3A"/>
    <w:rsid w:val="50280577"/>
    <w:rsid w:val="504F7091"/>
    <w:rsid w:val="50616231"/>
    <w:rsid w:val="508222D9"/>
    <w:rsid w:val="50923421"/>
    <w:rsid w:val="50A82C45"/>
    <w:rsid w:val="50A867A1"/>
    <w:rsid w:val="50AF4E94"/>
    <w:rsid w:val="50B00232"/>
    <w:rsid w:val="50C555A5"/>
    <w:rsid w:val="50CE2D85"/>
    <w:rsid w:val="50E377D9"/>
    <w:rsid w:val="50F419E6"/>
    <w:rsid w:val="50FE0AB7"/>
    <w:rsid w:val="50FE572B"/>
    <w:rsid w:val="51136310"/>
    <w:rsid w:val="511814B9"/>
    <w:rsid w:val="511E4CB5"/>
    <w:rsid w:val="512F2A1E"/>
    <w:rsid w:val="513242BC"/>
    <w:rsid w:val="515E2DD4"/>
    <w:rsid w:val="51761FDE"/>
    <w:rsid w:val="51774F95"/>
    <w:rsid w:val="51791EEB"/>
    <w:rsid w:val="517C40BA"/>
    <w:rsid w:val="519A7DC4"/>
    <w:rsid w:val="519E5F96"/>
    <w:rsid w:val="51A415BA"/>
    <w:rsid w:val="51BF0246"/>
    <w:rsid w:val="51F52A62"/>
    <w:rsid w:val="520B348B"/>
    <w:rsid w:val="52195BA8"/>
    <w:rsid w:val="523227C6"/>
    <w:rsid w:val="52846D9A"/>
    <w:rsid w:val="52AB2578"/>
    <w:rsid w:val="52AD62F0"/>
    <w:rsid w:val="52B64B40"/>
    <w:rsid w:val="52D60458"/>
    <w:rsid w:val="52DC4124"/>
    <w:rsid w:val="52EF3600"/>
    <w:rsid w:val="52FB3500"/>
    <w:rsid w:val="5318379D"/>
    <w:rsid w:val="532A16EF"/>
    <w:rsid w:val="53310CD0"/>
    <w:rsid w:val="533B7DA0"/>
    <w:rsid w:val="5354702A"/>
    <w:rsid w:val="535F1857"/>
    <w:rsid w:val="53634455"/>
    <w:rsid w:val="53690469"/>
    <w:rsid w:val="53740BBC"/>
    <w:rsid w:val="5379604F"/>
    <w:rsid w:val="539619D3"/>
    <w:rsid w:val="53A76147"/>
    <w:rsid w:val="53B11E10"/>
    <w:rsid w:val="53BB67EB"/>
    <w:rsid w:val="53D8114B"/>
    <w:rsid w:val="53DA4EC3"/>
    <w:rsid w:val="53DD0E57"/>
    <w:rsid w:val="53F1220D"/>
    <w:rsid w:val="540B117B"/>
    <w:rsid w:val="541008E5"/>
    <w:rsid w:val="5410142F"/>
    <w:rsid w:val="5413655E"/>
    <w:rsid w:val="541C54DC"/>
    <w:rsid w:val="54316AAD"/>
    <w:rsid w:val="54391A8A"/>
    <w:rsid w:val="54680022"/>
    <w:rsid w:val="548B2661"/>
    <w:rsid w:val="548D63DA"/>
    <w:rsid w:val="54A656ED"/>
    <w:rsid w:val="54B366F0"/>
    <w:rsid w:val="54D133B6"/>
    <w:rsid w:val="54E16725"/>
    <w:rsid w:val="55110DB9"/>
    <w:rsid w:val="5515619A"/>
    <w:rsid w:val="551D40B0"/>
    <w:rsid w:val="551D59AF"/>
    <w:rsid w:val="55256612"/>
    <w:rsid w:val="553C545B"/>
    <w:rsid w:val="55442F23"/>
    <w:rsid w:val="554A6079"/>
    <w:rsid w:val="555869E7"/>
    <w:rsid w:val="555927FA"/>
    <w:rsid w:val="55615D59"/>
    <w:rsid w:val="556A2277"/>
    <w:rsid w:val="558E3CF2"/>
    <w:rsid w:val="55A16646"/>
    <w:rsid w:val="55B81234"/>
    <w:rsid w:val="55B94FAC"/>
    <w:rsid w:val="55BB6F76"/>
    <w:rsid w:val="55CE0A58"/>
    <w:rsid w:val="55E069DD"/>
    <w:rsid w:val="56091A90"/>
    <w:rsid w:val="5611061C"/>
    <w:rsid w:val="561D553B"/>
    <w:rsid w:val="563034C0"/>
    <w:rsid w:val="5637484F"/>
    <w:rsid w:val="56382375"/>
    <w:rsid w:val="563F3703"/>
    <w:rsid w:val="564255D4"/>
    <w:rsid w:val="56521053"/>
    <w:rsid w:val="56552190"/>
    <w:rsid w:val="56661F8F"/>
    <w:rsid w:val="56674982"/>
    <w:rsid w:val="567F7FA4"/>
    <w:rsid w:val="568B2843"/>
    <w:rsid w:val="568D446F"/>
    <w:rsid w:val="56A82EFE"/>
    <w:rsid w:val="56AF6ADB"/>
    <w:rsid w:val="56C37E91"/>
    <w:rsid w:val="56C5326E"/>
    <w:rsid w:val="56DF30B0"/>
    <w:rsid w:val="56E46B61"/>
    <w:rsid w:val="56F35579"/>
    <w:rsid w:val="5706735A"/>
    <w:rsid w:val="570D1A54"/>
    <w:rsid w:val="571903F8"/>
    <w:rsid w:val="571E5A0F"/>
    <w:rsid w:val="57343493"/>
    <w:rsid w:val="57362D58"/>
    <w:rsid w:val="57364B06"/>
    <w:rsid w:val="573C40E7"/>
    <w:rsid w:val="5750404A"/>
    <w:rsid w:val="575C02E5"/>
    <w:rsid w:val="57672FF7"/>
    <w:rsid w:val="57825F9E"/>
    <w:rsid w:val="5787129F"/>
    <w:rsid w:val="578A58D4"/>
    <w:rsid w:val="57911D3D"/>
    <w:rsid w:val="5793605A"/>
    <w:rsid w:val="57980FE9"/>
    <w:rsid w:val="57982EAC"/>
    <w:rsid w:val="57AA2DFF"/>
    <w:rsid w:val="57AB4B41"/>
    <w:rsid w:val="57B123DF"/>
    <w:rsid w:val="57CA524F"/>
    <w:rsid w:val="57D5535E"/>
    <w:rsid w:val="57E04BF0"/>
    <w:rsid w:val="57EC7845"/>
    <w:rsid w:val="57F120B3"/>
    <w:rsid w:val="580D7800"/>
    <w:rsid w:val="58256929"/>
    <w:rsid w:val="5853793A"/>
    <w:rsid w:val="58562F86"/>
    <w:rsid w:val="585F62DF"/>
    <w:rsid w:val="586557AC"/>
    <w:rsid w:val="58670CF0"/>
    <w:rsid w:val="58701409"/>
    <w:rsid w:val="58845D45"/>
    <w:rsid w:val="588C0756"/>
    <w:rsid w:val="58940C16"/>
    <w:rsid w:val="58C425E6"/>
    <w:rsid w:val="58CE6FC1"/>
    <w:rsid w:val="58D936FB"/>
    <w:rsid w:val="58E62E0E"/>
    <w:rsid w:val="58EA22FF"/>
    <w:rsid w:val="58EF75E0"/>
    <w:rsid w:val="58F22CAF"/>
    <w:rsid w:val="58FA6909"/>
    <w:rsid w:val="5906675A"/>
    <w:rsid w:val="59084281"/>
    <w:rsid w:val="590B48FC"/>
    <w:rsid w:val="592310BA"/>
    <w:rsid w:val="59254E33"/>
    <w:rsid w:val="593037D7"/>
    <w:rsid w:val="593432C8"/>
    <w:rsid w:val="594159E5"/>
    <w:rsid w:val="59480B21"/>
    <w:rsid w:val="595079D6"/>
    <w:rsid w:val="59562667"/>
    <w:rsid w:val="5975743C"/>
    <w:rsid w:val="598972CA"/>
    <w:rsid w:val="598F04FE"/>
    <w:rsid w:val="59A044B9"/>
    <w:rsid w:val="59C36EAB"/>
    <w:rsid w:val="59CA7788"/>
    <w:rsid w:val="59CF2FF0"/>
    <w:rsid w:val="5A025174"/>
    <w:rsid w:val="5A0C1B4F"/>
    <w:rsid w:val="5A19426B"/>
    <w:rsid w:val="5A2E5306"/>
    <w:rsid w:val="5A335334"/>
    <w:rsid w:val="5A3D61AC"/>
    <w:rsid w:val="5A56726E"/>
    <w:rsid w:val="5A6453A2"/>
    <w:rsid w:val="5A71428A"/>
    <w:rsid w:val="5A89319F"/>
    <w:rsid w:val="5A8A5655"/>
    <w:rsid w:val="5A9765C9"/>
    <w:rsid w:val="5A9B5B7C"/>
    <w:rsid w:val="5AB048B7"/>
    <w:rsid w:val="5AC62645"/>
    <w:rsid w:val="5AD13C47"/>
    <w:rsid w:val="5ADD173D"/>
    <w:rsid w:val="5AE160AE"/>
    <w:rsid w:val="5B084A0C"/>
    <w:rsid w:val="5B0D5B7E"/>
    <w:rsid w:val="5B294982"/>
    <w:rsid w:val="5B296730"/>
    <w:rsid w:val="5B2A2BD4"/>
    <w:rsid w:val="5B321A89"/>
    <w:rsid w:val="5B4041A6"/>
    <w:rsid w:val="5B4B2B4A"/>
    <w:rsid w:val="5B5B33DA"/>
    <w:rsid w:val="5B811D24"/>
    <w:rsid w:val="5BA16467"/>
    <w:rsid w:val="5BAA7871"/>
    <w:rsid w:val="5BAF30D9"/>
    <w:rsid w:val="5BB62C4D"/>
    <w:rsid w:val="5BB95D06"/>
    <w:rsid w:val="5BBC196D"/>
    <w:rsid w:val="5BCA6EF9"/>
    <w:rsid w:val="5BCF1A62"/>
    <w:rsid w:val="5BFC585C"/>
    <w:rsid w:val="5C2F421A"/>
    <w:rsid w:val="5C3E620B"/>
    <w:rsid w:val="5C462889"/>
    <w:rsid w:val="5C5B6DBD"/>
    <w:rsid w:val="5C5F565F"/>
    <w:rsid w:val="5C7D4F86"/>
    <w:rsid w:val="5C91458D"/>
    <w:rsid w:val="5CA475DA"/>
    <w:rsid w:val="5CA72002"/>
    <w:rsid w:val="5CB32A9F"/>
    <w:rsid w:val="5CC826A5"/>
    <w:rsid w:val="5CDA2B05"/>
    <w:rsid w:val="5CF1327E"/>
    <w:rsid w:val="5D02548B"/>
    <w:rsid w:val="5D103591"/>
    <w:rsid w:val="5D156F6C"/>
    <w:rsid w:val="5D177188"/>
    <w:rsid w:val="5D227F56"/>
    <w:rsid w:val="5D25683A"/>
    <w:rsid w:val="5D2673CB"/>
    <w:rsid w:val="5D30024A"/>
    <w:rsid w:val="5D403922"/>
    <w:rsid w:val="5D6D4FFA"/>
    <w:rsid w:val="5D7874FB"/>
    <w:rsid w:val="5D7A1978"/>
    <w:rsid w:val="5DA36C6E"/>
    <w:rsid w:val="5DA54794"/>
    <w:rsid w:val="5DAB167E"/>
    <w:rsid w:val="5DB61834"/>
    <w:rsid w:val="5DE057CC"/>
    <w:rsid w:val="5DE132F2"/>
    <w:rsid w:val="5DF31EEA"/>
    <w:rsid w:val="5DFB7EDC"/>
    <w:rsid w:val="5E0D40E7"/>
    <w:rsid w:val="5E171282"/>
    <w:rsid w:val="5E190A90"/>
    <w:rsid w:val="5E1C6949"/>
    <w:rsid w:val="5E4F4318"/>
    <w:rsid w:val="5E5D4C1A"/>
    <w:rsid w:val="5E670C65"/>
    <w:rsid w:val="5E6A153A"/>
    <w:rsid w:val="5E6B3EB6"/>
    <w:rsid w:val="5E7561A4"/>
    <w:rsid w:val="5E7D7F49"/>
    <w:rsid w:val="5E820BF5"/>
    <w:rsid w:val="5E826883"/>
    <w:rsid w:val="5E8521E9"/>
    <w:rsid w:val="5E9D1A51"/>
    <w:rsid w:val="5EAC1B52"/>
    <w:rsid w:val="5EC0115A"/>
    <w:rsid w:val="5ECE3876"/>
    <w:rsid w:val="5ED42758"/>
    <w:rsid w:val="5ED510A9"/>
    <w:rsid w:val="5EDF007D"/>
    <w:rsid w:val="5EF52F7B"/>
    <w:rsid w:val="5F083759"/>
    <w:rsid w:val="5F4A11A3"/>
    <w:rsid w:val="5F4B4EC7"/>
    <w:rsid w:val="5F57386C"/>
    <w:rsid w:val="5F5D57A0"/>
    <w:rsid w:val="5F624796"/>
    <w:rsid w:val="5F71128A"/>
    <w:rsid w:val="5F72149E"/>
    <w:rsid w:val="5F775CBC"/>
    <w:rsid w:val="5F7A510C"/>
    <w:rsid w:val="5F8F4BF1"/>
    <w:rsid w:val="5F9525E6"/>
    <w:rsid w:val="5FC65148"/>
    <w:rsid w:val="5FD27396"/>
    <w:rsid w:val="5FD56E87"/>
    <w:rsid w:val="5FD90725"/>
    <w:rsid w:val="600339F4"/>
    <w:rsid w:val="600833A2"/>
    <w:rsid w:val="601B6F8F"/>
    <w:rsid w:val="601C6864"/>
    <w:rsid w:val="60255B9B"/>
    <w:rsid w:val="602D0A71"/>
    <w:rsid w:val="604F4E8B"/>
    <w:rsid w:val="606864A5"/>
    <w:rsid w:val="607448F1"/>
    <w:rsid w:val="607B7A2E"/>
    <w:rsid w:val="60806DF2"/>
    <w:rsid w:val="60B46A9C"/>
    <w:rsid w:val="60C83AD9"/>
    <w:rsid w:val="60D54146"/>
    <w:rsid w:val="60DF1D6B"/>
    <w:rsid w:val="60E3028F"/>
    <w:rsid w:val="60F60FD9"/>
    <w:rsid w:val="610C68D8"/>
    <w:rsid w:val="611063C8"/>
    <w:rsid w:val="61282692"/>
    <w:rsid w:val="61412A26"/>
    <w:rsid w:val="614E0C9F"/>
    <w:rsid w:val="615362B5"/>
    <w:rsid w:val="61652467"/>
    <w:rsid w:val="616C63AC"/>
    <w:rsid w:val="61BA6334"/>
    <w:rsid w:val="61DF5D9B"/>
    <w:rsid w:val="61E3513D"/>
    <w:rsid w:val="61F45CEA"/>
    <w:rsid w:val="61FE227F"/>
    <w:rsid w:val="61FE26C5"/>
    <w:rsid w:val="623B574A"/>
    <w:rsid w:val="624520A2"/>
    <w:rsid w:val="625937AE"/>
    <w:rsid w:val="627001B9"/>
    <w:rsid w:val="62882881"/>
    <w:rsid w:val="62A52B40"/>
    <w:rsid w:val="62AC3ECF"/>
    <w:rsid w:val="62CE02E9"/>
    <w:rsid w:val="62CE4024"/>
    <w:rsid w:val="62D001E2"/>
    <w:rsid w:val="62D13935"/>
    <w:rsid w:val="62D22596"/>
    <w:rsid w:val="62EE44E7"/>
    <w:rsid w:val="62FB4E56"/>
    <w:rsid w:val="62FE0F0D"/>
    <w:rsid w:val="63091321"/>
    <w:rsid w:val="6340742A"/>
    <w:rsid w:val="635A1B7D"/>
    <w:rsid w:val="637D586B"/>
    <w:rsid w:val="638E0F0C"/>
    <w:rsid w:val="63CD05A1"/>
    <w:rsid w:val="63CE22D7"/>
    <w:rsid w:val="640F0BB9"/>
    <w:rsid w:val="641B7B81"/>
    <w:rsid w:val="6424428B"/>
    <w:rsid w:val="64356146"/>
    <w:rsid w:val="643C1282"/>
    <w:rsid w:val="644C474A"/>
    <w:rsid w:val="647F55DB"/>
    <w:rsid w:val="648937ED"/>
    <w:rsid w:val="648A46E4"/>
    <w:rsid w:val="6499540C"/>
    <w:rsid w:val="649B069F"/>
    <w:rsid w:val="649B41FB"/>
    <w:rsid w:val="649C7F73"/>
    <w:rsid w:val="64A532CB"/>
    <w:rsid w:val="64C33752"/>
    <w:rsid w:val="64DD2A65"/>
    <w:rsid w:val="64F63B27"/>
    <w:rsid w:val="65110961"/>
    <w:rsid w:val="65170288"/>
    <w:rsid w:val="651B2A4B"/>
    <w:rsid w:val="65646CE3"/>
    <w:rsid w:val="656E190F"/>
    <w:rsid w:val="657664B4"/>
    <w:rsid w:val="657D36E6"/>
    <w:rsid w:val="658D65D9"/>
    <w:rsid w:val="65A17F37"/>
    <w:rsid w:val="65AF10FF"/>
    <w:rsid w:val="65B9473D"/>
    <w:rsid w:val="65BF216B"/>
    <w:rsid w:val="65CE6852"/>
    <w:rsid w:val="65D200F0"/>
    <w:rsid w:val="65DA0D53"/>
    <w:rsid w:val="65FC516D"/>
    <w:rsid w:val="65FC5ADD"/>
    <w:rsid w:val="660364FC"/>
    <w:rsid w:val="66263F98"/>
    <w:rsid w:val="6632293D"/>
    <w:rsid w:val="66364F77"/>
    <w:rsid w:val="66415276"/>
    <w:rsid w:val="66456B14"/>
    <w:rsid w:val="664B1C51"/>
    <w:rsid w:val="666351EC"/>
    <w:rsid w:val="66805D9E"/>
    <w:rsid w:val="668D3E7A"/>
    <w:rsid w:val="66CA526B"/>
    <w:rsid w:val="66D73660"/>
    <w:rsid w:val="66E04A8F"/>
    <w:rsid w:val="66E63727"/>
    <w:rsid w:val="670D5158"/>
    <w:rsid w:val="67254250"/>
    <w:rsid w:val="672901E4"/>
    <w:rsid w:val="67304613"/>
    <w:rsid w:val="674C3ED2"/>
    <w:rsid w:val="67931B01"/>
    <w:rsid w:val="67B0620F"/>
    <w:rsid w:val="67B37AAD"/>
    <w:rsid w:val="67B83316"/>
    <w:rsid w:val="67BF28F6"/>
    <w:rsid w:val="67C938CC"/>
    <w:rsid w:val="67E81A17"/>
    <w:rsid w:val="67F5196D"/>
    <w:rsid w:val="67F85E08"/>
    <w:rsid w:val="68040309"/>
    <w:rsid w:val="680B4379"/>
    <w:rsid w:val="68103152"/>
    <w:rsid w:val="68104508"/>
    <w:rsid w:val="68106CAE"/>
    <w:rsid w:val="682269E1"/>
    <w:rsid w:val="682B7F8C"/>
    <w:rsid w:val="682D3D04"/>
    <w:rsid w:val="684150B9"/>
    <w:rsid w:val="684D7F02"/>
    <w:rsid w:val="684F58C3"/>
    <w:rsid w:val="68646FFA"/>
    <w:rsid w:val="686D5EAE"/>
    <w:rsid w:val="68703BF0"/>
    <w:rsid w:val="687436E1"/>
    <w:rsid w:val="68945B31"/>
    <w:rsid w:val="68A95569"/>
    <w:rsid w:val="68AA6222"/>
    <w:rsid w:val="68AD6BF3"/>
    <w:rsid w:val="68C1269E"/>
    <w:rsid w:val="68C45917"/>
    <w:rsid w:val="68E00D76"/>
    <w:rsid w:val="68E058BA"/>
    <w:rsid w:val="68E87B2E"/>
    <w:rsid w:val="68ED6FEF"/>
    <w:rsid w:val="68F1591B"/>
    <w:rsid w:val="69054604"/>
    <w:rsid w:val="690F3409"/>
    <w:rsid w:val="691B0000"/>
    <w:rsid w:val="69201173"/>
    <w:rsid w:val="694C01BA"/>
    <w:rsid w:val="695C1683"/>
    <w:rsid w:val="69656D85"/>
    <w:rsid w:val="69675EB2"/>
    <w:rsid w:val="69724159"/>
    <w:rsid w:val="69766FE4"/>
    <w:rsid w:val="697A44A1"/>
    <w:rsid w:val="697F058F"/>
    <w:rsid w:val="697F5E1B"/>
    <w:rsid w:val="698E33AF"/>
    <w:rsid w:val="699F29DF"/>
    <w:rsid w:val="69AE2C22"/>
    <w:rsid w:val="69D00DEB"/>
    <w:rsid w:val="69D63F27"/>
    <w:rsid w:val="69E45590"/>
    <w:rsid w:val="69E5416A"/>
    <w:rsid w:val="69F60125"/>
    <w:rsid w:val="6A1D3904"/>
    <w:rsid w:val="6A332365"/>
    <w:rsid w:val="6A590DE0"/>
    <w:rsid w:val="6A6415CC"/>
    <w:rsid w:val="6A9066B2"/>
    <w:rsid w:val="6AA0086F"/>
    <w:rsid w:val="6AAF0A00"/>
    <w:rsid w:val="6ABC4ECB"/>
    <w:rsid w:val="6AC22AB0"/>
    <w:rsid w:val="6ACA3A8C"/>
    <w:rsid w:val="6ACC6C35"/>
    <w:rsid w:val="6ADB4726"/>
    <w:rsid w:val="6AE52674"/>
    <w:rsid w:val="6AEA00BD"/>
    <w:rsid w:val="6AEA5EDC"/>
    <w:rsid w:val="6AFB3C45"/>
    <w:rsid w:val="6B036F9E"/>
    <w:rsid w:val="6B054AC4"/>
    <w:rsid w:val="6B064398"/>
    <w:rsid w:val="6B244066"/>
    <w:rsid w:val="6B2F1B41"/>
    <w:rsid w:val="6B4355EC"/>
    <w:rsid w:val="6B5E3C32"/>
    <w:rsid w:val="6B961970"/>
    <w:rsid w:val="6BA37E39"/>
    <w:rsid w:val="6BBB51FE"/>
    <w:rsid w:val="6BBD714D"/>
    <w:rsid w:val="6C132EF1"/>
    <w:rsid w:val="6C24541E"/>
    <w:rsid w:val="6C2B67AC"/>
    <w:rsid w:val="6C2C42D2"/>
    <w:rsid w:val="6C3D028D"/>
    <w:rsid w:val="6C3F0FBE"/>
    <w:rsid w:val="6C3F7B62"/>
    <w:rsid w:val="6C467142"/>
    <w:rsid w:val="6C501D6F"/>
    <w:rsid w:val="6C572E7F"/>
    <w:rsid w:val="6C711F9D"/>
    <w:rsid w:val="6C726189"/>
    <w:rsid w:val="6C787517"/>
    <w:rsid w:val="6C90660F"/>
    <w:rsid w:val="6C944351"/>
    <w:rsid w:val="6CB340FA"/>
    <w:rsid w:val="6CB73B9C"/>
    <w:rsid w:val="6CCE130E"/>
    <w:rsid w:val="6CE8644B"/>
    <w:rsid w:val="6CEF77DA"/>
    <w:rsid w:val="6CF50B68"/>
    <w:rsid w:val="6CF748E0"/>
    <w:rsid w:val="6D0543E4"/>
    <w:rsid w:val="6D0E1CE3"/>
    <w:rsid w:val="6D351FB7"/>
    <w:rsid w:val="6D437B25"/>
    <w:rsid w:val="6D5C1224"/>
    <w:rsid w:val="6D6406A2"/>
    <w:rsid w:val="6D723DEA"/>
    <w:rsid w:val="6D836174"/>
    <w:rsid w:val="6D853DB6"/>
    <w:rsid w:val="6D8A7502"/>
    <w:rsid w:val="6D9026E1"/>
    <w:rsid w:val="6D92591C"/>
    <w:rsid w:val="6DA700B4"/>
    <w:rsid w:val="6DB0689E"/>
    <w:rsid w:val="6DC81DD9"/>
    <w:rsid w:val="6DC81FDB"/>
    <w:rsid w:val="6DCA78FF"/>
    <w:rsid w:val="6DE24921"/>
    <w:rsid w:val="6DE32B52"/>
    <w:rsid w:val="6DF171BC"/>
    <w:rsid w:val="6E054B8A"/>
    <w:rsid w:val="6E0E1EE1"/>
    <w:rsid w:val="6E113118"/>
    <w:rsid w:val="6E1374F8"/>
    <w:rsid w:val="6E150911"/>
    <w:rsid w:val="6E3704FE"/>
    <w:rsid w:val="6E3B1A16"/>
    <w:rsid w:val="6E3D3D92"/>
    <w:rsid w:val="6E4C2A0A"/>
    <w:rsid w:val="6E5E68C6"/>
    <w:rsid w:val="6E5F098F"/>
    <w:rsid w:val="6E7837FF"/>
    <w:rsid w:val="6E7A7577"/>
    <w:rsid w:val="6E970129"/>
    <w:rsid w:val="6EAA10E7"/>
    <w:rsid w:val="6EAD16FA"/>
    <w:rsid w:val="6EB34837"/>
    <w:rsid w:val="6EDC2B65"/>
    <w:rsid w:val="6EE60768"/>
    <w:rsid w:val="6F12155D"/>
    <w:rsid w:val="6F173018"/>
    <w:rsid w:val="6F197CAA"/>
    <w:rsid w:val="6F3C65DA"/>
    <w:rsid w:val="6F424C6C"/>
    <w:rsid w:val="6F593630"/>
    <w:rsid w:val="6F6263A4"/>
    <w:rsid w:val="6F636D54"/>
    <w:rsid w:val="6F6873CF"/>
    <w:rsid w:val="6F693E8F"/>
    <w:rsid w:val="6F7246F2"/>
    <w:rsid w:val="6F7E7599"/>
    <w:rsid w:val="6F857F81"/>
    <w:rsid w:val="6F863CF9"/>
    <w:rsid w:val="6F8B7D1B"/>
    <w:rsid w:val="6F946416"/>
    <w:rsid w:val="6FAD74D8"/>
    <w:rsid w:val="6FB2689C"/>
    <w:rsid w:val="6FB40368"/>
    <w:rsid w:val="6FB865A9"/>
    <w:rsid w:val="6FC0545D"/>
    <w:rsid w:val="6FC860C0"/>
    <w:rsid w:val="6FD03B16"/>
    <w:rsid w:val="6FD9528A"/>
    <w:rsid w:val="6FE3114C"/>
    <w:rsid w:val="701632CF"/>
    <w:rsid w:val="701D01BA"/>
    <w:rsid w:val="701E3AAD"/>
    <w:rsid w:val="702E23C7"/>
    <w:rsid w:val="70447E3C"/>
    <w:rsid w:val="70646DCB"/>
    <w:rsid w:val="70657DB3"/>
    <w:rsid w:val="706978A3"/>
    <w:rsid w:val="707056B1"/>
    <w:rsid w:val="70822713"/>
    <w:rsid w:val="708242DD"/>
    <w:rsid w:val="70851D0C"/>
    <w:rsid w:val="709C3BCC"/>
    <w:rsid w:val="70A83C8D"/>
    <w:rsid w:val="70B632AC"/>
    <w:rsid w:val="70D311C0"/>
    <w:rsid w:val="70D86D3F"/>
    <w:rsid w:val="70D92A09"/>
    <w:rsid w:val="70E94540"/>
    <w:rsid w:val="71153587"/>
    <w:rsid w:val="71245578"/>
    <w:rsid w:val="712A5284"/>
    <w:rsid w:val="7141437C"/>
    <w:rsid w:val="71551BD5"/>
    <w:rsid w:val="71554135"/>
    <w:rsid w:val="717402AD"/>
    <w:rsid w:val="71775A02"/>
    <w:rsid w:val="71A4676C"/>
    <w:rsid w:val="71C70D25"/>
    <w:rsid w:val="71EF3DD8"/>
    <w:rsid w:val="71FE04BF"/>
    <w:rsid w:val="71FE401B"/>
    <w:rsid w:val="720158B9"/>
    <w:rsid w:val="7209417B"/>
    <w:rsid w:val="72112254"/>
    <w:rsid w:val="72203F91"/>
    <w:rsid w:val="72233A82"/>
    <w:rsid w:val="72367C59"/>
    <w:rsid w:val="725325B9"/>
    <w:rsid w:val="72532D01"/>
    <w:rsid w:val="725D6F93"/>
    <w:rsid w:val="72646574"/>
    <w:rsid w:val="7265409A"/>
    <w:rsid w:val="726B3B2B"/>
    <w:rsid w:val="72761B95"/>
    <w:rsid w:val="728C1627"/>
    <w:rsid w:val="72A921D9"/>
    <w:rsid w:val="72A946A6"/>
    <w:rsid w:val="72A9667D"/>
    <w:rsid w:val="72D57472"/>
    <w:rsid w:val="72D850F7"/>
    <w:rsid w:val="72EE5AD4"/>
    <w:rsid w:val="72F332DE"/>
    <w:rsid w:val="73025D8D"/>
    <w:rsid w:val="731E651B"/>
    <w:rsid w:val="73214465"/>
    <w:rsid w:val="73335F46"/>
    <w:rsid w:val="733C4DFB"/>
    <w:rsid w:val="733C7230"/>
    <w:rsid w:val="734608FB"/>
    <w:rsid w:val="734D525A"/>
    <w:rsid w:val="73536328"/>
    <w:rsid w:val="73621AF4"/>
    <w:rsid w:val="7372081D"/>
    <w:rsid w:val="73740A39"/>
    <w:rsid w:val="73745B3F"/>
    <w:rsid w:val="737F118B"/>
    <w:rsid w:val="739D7D12"/>
    <w:rsid w:val="73AF7CC3"/>
    <w:rsid w:val="73B21561"/>
    <w:rsid w:val="73CF5C6F"/>
    <w:rsid w:val="73D22BED"/>
    <w:rsid w:val="73D46CB4"/>
    <w:rsid w:val="73DA5EA2"/>
    <w:rsid w:val="73F25E01"/>
    <w:rsid w:val="74274436"/>
    <w:rsid w:val="742F670E"/>
    <w:rsid w:val="74470483"/>
    <w:rsid w:val="746E1BCA"/>
    <w:rsid w:val="746F7452"/>
    <w:rsid w:val="7472484C"/>
    <w:rsid w:val="74850A24"/>
    <w:rsid w:val="7492525C"/>
    <w:rsid w:val="749D7B1B"/>
    <w:rsid w:val="74B3733F"/>
    <w:rsid w:val="74DD260E"/>
    <w:rsid w:val="74F153EB"/>
    <w:rsid w:val="75153B55"/>
    <w:rsid w:val="751D6EAE"/>
    <w:rsid w:val="751E4292"/>
    <w:rsid w:val="75317FE3"/>
    <w:rsid w:val="754901D2"/>
    <w:rsid w:val="75616D9B"/>
    <w:rsid w:val="7564688B"/>
    <w:rsid w:val="756B5E6B"/>
    <w:rsid w:val="75700E5D"/>
    <w:rsid w:val="757F36C5"/>
    <w:rsid w:val="758B02BC"/>
    <w:rsid w:val="759A405B"/>
    <w:rsid w:val="75CB4B5C"/>
    <w:rsid w:val="75D94B83"/>
    <w:rsid w:val="75E55C1E"/>
    <w:rsid w:val="75F22F53"/>
    <w:rsid w:val="75F52445"/>
    <w:rsid w:val="7601057E"/>
    <w:rsid w:val="7657019E"/>
    <w:rsid w:val="7674645C"/>
    <w:rsid w:val="769F401E"/>
    <w:rsid w:val="76AF0C58"/>
    <w:rsid w:val="7706409E"/>
    <w:rsid w:val="77071BC4"/>
    <w:rsid w:val="770C71DA"/>
    <w:rsid w:val="770E2F52"/>
    <w:rsid w:val="77201FD4"/>
    <w:rsid w:val="77364257"/>
    <w:rsid w:val="77562203"/>
    <w:rsid w:val="776D5ECB"/>
    <w:rsid w:val="7784241B"/>
    <w:rsid w:val="779A2A38"/>
    <w:rsid w:val="77A206A4"/>
    <w:rsid w:val="77BD2282"/>
    <w:rsid w:val="77C54382"/>
    <w:rsid w:val="77E77F06"/>
    <w:rsid w:val="77FB63C8"/>
    <w:rsid w:val="7808174F"/>
    <w:rsid w:val="78281B99"/>
    <w:rsid w:val="78570929"/>
    <w:rsid w:val="78692FB8"/>
    <w:rsid w:val="7890003B"/>
    <w:rsid w:val="78A3591C"/>
    <w:rsid w:val="78B95140"/>
    <w:rsid w:val="78C0027C"/>
    <w:rsid w:val="78C6499F"/>
    <w:rsid w:val="78CC4E73"/>
    <w:rsid w:val="78D8279D"/>
    <w:rsid w:val="78E145F6"/>
    <w:rsid w:val="78EA52F9"/>
    <w:rsid w:val="78F148D9"/>
    <w:rsid w:val="78F61EF0"/>
    <w:rsid w:val="78F65A4C"/>
    <w:rsid w:val="79172B27"/>
    <w:rsid w:val="79213670"/>
    <w:rsid w:val="79295E21"/>
    <w:rsid w:val="792E65EF"/>
    <w:rsid w:val="79312F28"/>
    <w:rsid w:val="79381576"/>
    <w:rsid w:val="79386064"/>
    <w:rsid w:val="79426EE3"/>
    <w:rsid w:val="79555860"/>
    <w:rsid w:val="79584959"/>
    <w:rsid w:val="79586707"/>
    <w:rsid w:val="796D1D65"/>
    <w:rsid w:val="79786DE1"/>
    <w:rsid w:val="79944586"/>
    <w:rsid w:val="799F32EF"/>
    <w:rsid w:val="79CC738B"/>
    <w:rsid w:val="79DC2E94"/>
    <w:rsid w:val="79E16391"/>
    <w:rsid w:val="79E41D48"/>
    <w:rsid w:val="79ED32F3"/>
    <w:rsid w:val="79F30CDC"/>
    <w:rsid w:val="79F75F20"/>
    <w:rsid w:val="79FE0838"/>
    <w:rsid w:val="7A01349C"/>
    <w:rsid w:val="7A293BFF"/>
    <w:rsid w:val="7A4921BA"/>
    <w:rsid w:val="7A523156"/>
    <w:rsid w:val="7A6335B5"/>
    <w:rsid w:val="7A680BCB"/>
    <w:rsid w:val="7A6A4943"/>
    <w:rsid w:val="7A73769A"/>
    <w:rsid w:val="7A811C8D"/>
    <w:rsid w:val="7A8552D9"/>
    <w:rsid w:val="7A8C2B0C"/>
    <w:rsid w:val="7A995229"/>
    <w:rsid w:val="7ACC63D9"/>
    <w:rsid w:val="7AE2097E"/>
    <w:rsid w:val="7B166879"/>
    <w:rsid w:val="7B1804AB"/>
    <w:rsid w:val="7B485AB9"/>
    <w:rsid w:val="7B4B0C6C"/>
    <w:rsid w:val="7B61313A"/>
    <w:rsid w:val="7B65510B"/>
    <w:rsid w:val="7B662BAB"/>
    <w:rsid w:val="7B7A20A7"/>
    <w:rsid w:val="7B8E28EF"/>
    <w:rsid w:val="7BB565DB"/>
    <w:rsid w:val="7BD52290"/>
    <w:rsid w:val="7BE129E3"/>
    <w:rsid w:val="7BE349AD"/>
    <w:rsid w:val="7C0861C2"/>
    <w:rsid w:val="7C1F350C"/>
    <w:rsid w:val="7C377744"/>
    <w:rsid w:val="7C4A67DB"/>
    <w:rsid w:val="7C78422C"/>
    <w:rsid w:val="7CB579CC"/>
    <w:rsid w:val="7CB63E70"/>
    <w:rsid w:val="7CD3791B"/>
    <w:rsid w:val="7CD76997"/>
    <w:rsid w:val="7CE04A49"/>
    <w:rsid w:val="7CE46C00"/>
    <w:rsid w:val="7CE54A26"/>
    <w:rsid w:val="7CF54265"/>
    <w:rsid w:val="7D083FA0"/>
    <w:rsid w:val="7D275975"/>
    <w:rsid w:val="7D337190"/>
    <w:rsid w:val="7D3B25C7"/>
    <w:rsid w:val="7D3E3E65"/>
    <w:rsid w:val="7D7358BD"/>
    <w:rsid w:val="7DC600E3"/>
    <w:rsid w:val="7DCA74A7"/>
    <w:rsid w:val="7DD70BE5"/>
    <w:rsid w:val="7DFC3B04"/>
    <w:rsid w:val="7E0B5B17"/>
    <w:rsid w:val="7E186464"/>
    <w:rsid w:val="7E33329E"/>
    <w:rsid w:val="7E361391"/>
    <w:rsid w:val="7E386B07"/>
    <w:rsid w:val="7E3C2153"/>
    <w:rsid w:val="7E3F1C43"/>
    <w:rsid w:val="7E437985"/>
    <w:rsid w:val="7E586E5E"/>
    <w:rsid w:val="7E70004F"/>
    <w:rsid w:val="7E7E276B"/>
    <w:rsid w:val="7E8A7362"/>
    <w:rsid w:val="7E8D6E52"/>
    <w:rsid w:val="7E9975A5"/>
    <w:rsid w:val="7E9F0934"/>
    <w:rsid w:val="7EC33D20"/>
    <w:rsid w:val="7ED71E7C"/>
    <w:rsid w:val="7EE10F4C"/>
    <w:rsid w:val="7EFB2319"/>
    <w:rsid w:val="7F250E39"/>
    <w:rsid w:val="7F300390"/>
    <w:rsid w:val="7F3B433E"/>
    <w:rsid w:val="7F58120E"/>
    <w:rsid w:val="7F5B0CFF"/>
    <w:rsid w:val="7F761695"/>
    <w:rsid w:val="7F974659"/>
    <w:rsid w:val="7FA620FF"/>
    <w:rsid w:val="7FAF4BA7"/>
    <w:rsid w:val="7FF501B8"/>
    <w:rsid w:val="7FFD591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宋体" w:hAnsi="宋体" w:eastAsia="宋体" w:cs="Times New Roman"/>
      <w:kern w:val="2"/>
      <w:sz w:val="21"/>
      <w:szCs w:val="24"/>
      <w:lang w:val="en-US" w:eastAsia="zh-CN" w:bidi="ar-SA"/>
    </w:rPr>
  </w:style>
  <w:style w:type="paragraph" w:styleId="4">
    <w:name w:val="heading 1"/>
    <w:basedOn w:val="1"/>
    <w:next w:val="1"/>
    <w:link w:val="28"/>
    <w:qFormat/>
    <w:uiPriority w:val="0"/>
    <w:pPr>
      <w:keepNext/>
      <w:keepLines/>
      <w:numPr>
        <w:ilvl w:val="0"/>
        <w:numId w:val="1"/>
      </w:numPr>
      <w:spacing w:before="100" w:beforeLines="100" w:line="360" w:lineRule="auto"/>
      <w:ind w:left="432" w:hanging="432"/>
      <w:outlineLvl w:val="0"/>
    </w:pPr>
    <w:rPr>
      <w:b/>
      <w:bCs/>
      <w:kern w:val="44"/>
      <w:sz w:val="28"/>
      <w:szCs w:val="44"/>
    </w:rPr>
  </w:style>
  <w:style w:type="paragraph" w:styleId="5">
    <w:name w:val="heading 2"/>
    <w:basedOn w:val="1"/>
    <w:next w:val="1"/>
    <w:link w:val="29"/>
    <w:qFormat/>
    <w:uiPriority w:val="0"/>
    <w:pPr>
      <w:keepNext/>
      <w:keepLines/>
      <w:numPr>
        <w:ilvl w:val="1"/>
        <w:numId w:val="1"/>
      </w:numPr>
      <w:ind w:left="575" w:hanging="575"/>
      <w:outlineLvl w:val="1"/>
    </w:pPr>
    <w:rPr>
      <w:b/>
      <w:bCs/>
      <w:sz w:val="28"/>
      <w:szCs w:val="32"/>
    </w:rPr>
  </w:style>
  <w:style w:type="paragraph" w:styleId="6">
    <w:name w:val="heading 3"/>
    <w:basedOn w:val="1"/>
    <w:next w:val="7"/>
    <w:link w:val="30"/>
    <w:qFormat/>
    <w:uiPriority w:val="9"/>
    <w:pPr>
      <w:keepNext/>
      <w:keepLines/>
      <w:numPr>
        <w:ilvl w:val="2"/>
        <w:numId w:val="1"/>
      </w:numPr>
      <w:spacing w:line="360" w:lineRule="auto"/>
      <w:ind w:left="720" w:hanging="720"/>
      <w:outlineLvl w:val="2"/>
    </w:pPr>
    <w:rPr>
      <w:rFonts w:ascii="Plotter" w:hAnsi="Plotter"/>
      <w:b/>
      <w:sz w:val="28"/>
      <w:szCs w:val="32"/>
    </w:rPr>
  </w:style>
  <w:style w:type="paragraph" w:styleId="8">
    <w:name w:val="heading 4"/>
    <w:basedOn w:val="1"/>
    <w:next w:val="1"/>
    <w:link w:val="32"/>
    <w:qFormat/>
    <w:uiPriority w:val="9"/>
    <w:pPr>
      <w:keepNext/>
      <w:keepLines/>
      <w:numPr>
        <w:ilvl w:val="3"/>
        <w:numId w:val="1"/>
      </w:numPr>
      <w:spacing w:line="360" w:lineRule="auto"/>
      <w:ind w:left="864" w:hanging="864"/>
      <w:outlineLvl w:val="3"/>
    </w:pPr>
    <w:rPr>
      <w:rFonts w:ascii="Calibri Light" w:hAnsi="Calibri Light"/>
      <w:b/>
      <w:bCs/>
      <w:sz w:val="28"/>
      <w:szCs w:val="28"/>
    </w:rPr>
  </w:style>
  <w:style w:type="paragraph" w:styleId="9">
    <w:name w:val="heading 5"/>
    <w:basedOn w:val="1"/>
    <w:next w:val="1"/>
    <w:qFormat/>
    <w:uiPriority w:val="9"/>
    <w:pPr>
      <w:keepNext/>
      <w:keepLines/>
      <w:numPr>
        <w:ilvl w:val="4"/>
        <w:numId w:val="1"/>
      </w:numPr>
      <w:tabs>
        <w:tab w:val="left" w:pos="210"/>
      </w:tabs>
      <w:spacing w:line="360" w:lineRule="auto"/>
      <w:ind w:left="1008" w:hanging="1008"/>
      <w:outlineLvl w:val="4"/>
    </w:pPr>
    <w:rPr>
      <w:rFonts w:ascii="Times New Roman" w:hAnsi="Times New Roman"/>
      <w:b/>
      <w:bCs/>
      <w:sz w:val="28"/>
      <w:szCs w:val="28"/>
    </w:rPr>
  </w:style>
  <w:style w:type="paragraph" w:styleId="10">
    <w:name w:val="heading 6"/>
    <w:basedOn w:val="1"/>
    <w:next w:val="1"/>
    <w:qFormat/>
    <w:uiPriority w:val="9"/>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11">
    <w:name w:val="heading 7"/>
    <w:basedOn w:val="1"/>
    <w:next w:val="1"/>
    <w:qFormat/>
    <w:uiPriority w:val="9"/>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12">
    <w:name w:val="heading 8"/>
    <w:basedOn w:val="1"/>
    <w:next w:val="1"/>
    <w:qFormat/>
    <w:uiPriority w:val="9"/>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3">
    <w:name w:val="heading 9"/>
    <w:basedOn w:val="1"/>
    <w:next w:val="1"/>
    <w:qFormat/>
    <w:uiPriority w:val="9"/>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5">
    <w:name w:val="Default Paragraph Font"/>
    <w:unhideWhenUsed/>
    <w:qFormat/>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2">
    <w:name w:val="Body Text"/>
    <w:basedOn w:val="1"/>
    <w:next w:val="3"/>
    <w:qFormat/>
    <w:uiPriority w:val="99"/>
    <w:pPr>
      <w:spacing w:after="120" w:afterLines="0"/>
    </w:pPr>
  </w:style>
  <w:style w:type="paragraph" w:styleId="3">
    <w:name w:val="Title"/>
    <w:basedOn w:val="1"/>
    <w:next w:val="1"/>
    <w:qFormat/>
    <w:uiPriority w:val="99"/>
    <w:pPr>
      <w:spacing w:before="240" w:beforeLines="0" w:after="60" w:afterLines="0"/>
      <w:jc w:val="center"/>
      <w:outlineLvl w:val="0"/>
    </w:pPr>
    <w:rPr>
      <w:rFonts w:ascii="Arial" w:hAnsi="Arial"/>
      <w:b/>
      <w:bCs/>
      <w:sz w:val="32"/>
      <w:szCs w:val="32"/>
    </w:rPr>
  </w:style>
  <w:style w:type="paragraph" w:styleId="7">
    <w:name w:val="Normal Indent"/>
    <w:basedOn w:val="1"/>
    <w:link w:val="31"/>
    <w:qFormat/>
    <w:uiPriority w:val="0"/>
    <w:pPr>
      <w:ind w:firstLine="420" w:firstLineChars="200"/>
    </w:pPr>
    <w:rPr>
      <w:rFonts w:ascii="Times New Roman"/>
      <w:sz w:val="21"/>
    </w:rPr>
  </w:style>
  <w:style w:type="paragraph" w:styleId="14">
    <w:name w:val="annotation text"/>
    <w:basedOn w:val="1"/>
    <w:unhideWhenUsed/>
    <w:qFormat/>
    <w:uiPriority w:val="99"/>
    <w:pPr>
      <w:jc w:val="left"/>
    </w:pPr>
  </w:style>
  <w:style w:type="paragraph" w:styleId="15">
    <w:name w:val="Body Text Indent"/>
    <w:basedOn w:val="1"/>
    <w:link w:val="33"/>
    <w:semiHidden/>
    <w:qFormat/>
    <w:uiPriority w:val="0"/>
    <w:pPr>
      <w:spacing w:line="240" w:lineRule="auto"/>
      <w:ind w:firstLine="424" w:firstLineChars="202"/>
    </w:pPr>
    <w:rPr>
      <w:rFonts w:ascii="Times New Roman"/>
      <w:sz w:val="21"/>
      <w:szCs w:val="20"/>
    </w:rPr>
  </w:style>
  <w:style w:type="paragraph" w:styleId="16">
    <w:name w:val="Plain Text"/>
    <w:basedOn w:val="1"/>
    <w:link w:val="34"/>
    <w:qFormat/>
    <w:uiPriority w:val="0"/>
    <w:pPr>
      <w:spacing w:line="240" w:lineRule="auto"/>
    </w:pPr>
    <w:rPr>
      <w:rFonts w:hAnsi="Courier New"/>
      <w:sz w:val="21"/>
      <w:szCs w:val="20"/>
    </w:rPr>
  </w:style>
  <w:style w:type="paragraph" w:styleId="17">
    <w:name w:val="Balloon Text"/>
    <w:basedOn w:val="1"/>
    <w:link w:val="35"/>
    <w:unhideWhenUsed/>
    <w:qFormat/>
    <w:uiPriority w:val="99"/>
    <w:pPr>
      <w:spacing w:line="240" w:lineRule="auto"/>
    </w:pPr>
    <w:rPr>
      <w:sz w:val="18"/>
      <w:szCs w:val="18"/>
    </w:rPr>
  </w:style>
  <w:style w:type="paragraph" w:styleId="18">
    <w:name w:val="footer"/>
    <w:basedOn w:val="1"/>
    <w:link w:val="36"/>
    <w:unhideWhenUsed/>
    <w:qFormat/>
    <w:uiPriority w:val="99"/>
    <w:pPr>
      <w:tabs>
        <w:tab w:val="center" w:pos="4153"/>
        <w:tab w:val="right" w:pos="8306"/>
      </w:tabs>
      <w:snapToGrid w:val="0"/>
      <w:spacing w:line="240" w:lineRule="auto"/>
      <w:jc w:val="left"/>
    </w:pPr>
    <w:rPr>
      <w:sz w:val="18"/>
      <w:szCs w:val="18"/>
    </w:rPr>
  </w:style>
  <w:style w:type="paragraph" w:styleId="19">
    <w:name w:val="header"/>
    <w:basedOn w:val="1"/>
    <w:link w:val="37"/>
    <w:qFormat/>
    <w:uiPriority w:val="0"/>
    <w:pPr>
      <w:pBdr>
        <w:bottom w:val="single" w:color="auto" w:sz="6" w:space="1"/>
      </w:pBdr>
      <w:tabs>
        <w:tab w:val="center" w:pos="4153"/>
        <w:tab w:val="right" w:pos="8306"/>
      </w:tabs>
      <w:snapToGrid w:val="0"/>
      <w:spacing w:line="240" w:lineRule="auto"/>
      <w:jc w:val="center"/>
    </w:pPr>
    <w:rPr>
      <w:rFonts w:hAnsi="Calibri"/>
      <w:kern w:val="0"/>
      <w:sz w:val="18"/>
      <w:szCs w:val="18"/>
    </w:rPr>
  </w:style>
  <w:style w:type="paragraph" w:styleId="20">
    <w:name w:val="toc 1"/>
    <w:basedOn w:val="1"/>
    <w:next w:val="1"/>
    <w:qFormat/>
    <w:uiPriority w:val="39"/>
    <w:pPr>
      <w:tabs>
        <w:tab w:val="right" w:leader="dot" w:pos="8296"/>
      </w:tabs>
    </w:pPr>
  </w:style>
  <w:style w:type="paragraph" w:styleId="21">
    <w:name w:val="toc 2"/>
    <w:basedOn w:val="1"/>
    <w:next w:val="1"/>
    <w:unhideWhenUsed/>
    <w:qFormat/>
    <w:uiPriority w:val="39"/>
    <w:pPr>
      <w:ind w:left="420" w:leftChars="200"/>
    </w:pPr>
  </w:style>
  <w:style w:type="paragraph" w:styleId="22">
    <w:name w:val="Body Text First Indent"/>
    <w:basedOn w:val="2"/>
    <w:qFormat/>
    <w:uiPriority w:val="99"/>
    <w:pPr>
      <w:ind w:firstLine="420"/>
    </w:pPr>
  </w:style>
  <w:style w:type="table" w:styleId="24">
    <w:name w:val="Table Grid"/>
    <w:basedOn w:val="2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qFormat/>
    <w:uiPriority w:val="99"/>
    <w:rPr>
      <w:color w:val="0000FF"/>
      <w:u w:val="single"/>
    </w:rPr>
  </w:style>
  <w:style w:type="character" w:styleId="27">
    <w:name w:val="annotation reference"/>
    <w:qFormat/>
    <w:uiPriority w:val="0"/>
    <w:rPr>
      <w:sz w:val="21"/>
      <w:szCs w:val="21"/>
    </w:rPr>
  </w:style>
  <w:style w:type="character" w:customStyle="1" w:styleId="28">
    <w:name w:val="标题 1 字符"/>
    <w:link w:val="4"/>
    <w:qFormat/>
    <w:uiPriority w:val="0"/>
    <w:rPr>
      <w:rFonts w:ascii="宋体" w:hAnsi="宋体" w:eastAsia="宋体"/>
      <w:b/>
      <w:bCs/>
      <w:kern w:val="44"/>
      <w:sz w:val="28"/>
      <w:szCs w:val="44"/>
    </w:rPr>
  </w:style>
  <w:style w:type="character" w:customStyle="1" w:styleId="29">
    <w:name w:val="标题 2 字符"/>
    <w:link w:val="5"/>
    <w:qFormat/>
    <w:uiPriority w:val="0"/>
    <w:rPr>
      <w:rFonts w:ascii="宋体" w:hAnsi="宋体" w:eastAsia="宋体"/>
      <w:b/>
      <w:bCs/>
      <w:kern w:val="2"/>
      <w:sz w:val="28"/>
      <w:szCs w:val="32"/>
    </w:rPr>
  </w:style>
  <w:style w:type="character" w:customStyle="1" w:styleId="30">
    <w:name w:val="标题 3 字符"/>
    <w:link w:val="6"/>
    <w:qFormat/>
    <w:uiPriority w:val="9"/>
    <w:rPr>
      <w:rFonts w:ascii="Plotter" w:hAnsi="Plotter" w:eastAsia="宋体"/>
      <w:b/>
      <w:kern w:val="2"/>
      <w:sz w:val="28"/>
      <w:szCs w:val="32"/>
    </w:rPr>
  </w:style>
  <w:style w:type="character" w:customStyle="1" w:styleId="31">
    <w:name w:val="正文缩进 字符"/>
    <w:link w:val="7"/>
    <w:qFormat/>
    <w:uiPriority w:val="0"/>
    <w:rPr>
      <w:rFonts w:ascii="Times New Roman" w:hAnsi="Times New Roman"/>
      <w:kern w:val="2"/>
      <w:sz w:val="21"/>
      <w:szCs w:val="24"/>
    </w:rPr>
  </w:style>
  <w:style w:type="character" w:customStyle="1" w:styleId="32">
    <w:name w:val="标题 4 字符"/>
    <w:link w:val="8"/>
    <w:qFormat/>
    <w:uiPriority w:val="9"/>
    <w:rPr>
      <w:rFonts w:ascii="Calibri Light" w:hAnsi="Calibri Light" w:eastAsia="宋体"/>
      <w:b/>
      <w:bCs/>
      <w:kern w:val="2"/>
      <w:sz w:val="28"/>
      <w:szCs w:val="28"/>
    </w:rPr>
  </w:style>
  <w:style w:type="character" w:customStyle="1" w:styleId="33">
    <w:name w:val="正文文本缩进 字符"/>
    <w:link w:val="15"/>
    <w:semiHidden/>
    <w:qFormat/>
    <w:uiPriority w:val="0"/>
    <w:rPr>
      <w:rFonts w:ascii="Times New Roman" w:hAnsi="Times New Roman"/>
      <w:kern w:val="2"/>
      <w:sz w:val="21"/>
    </w:rPr>
  </w:style>
  <w:style w:type="character" w:customStyle="1" w:styleId="34">
    <w:name w:val="纯文本 字符"/>
    <w:link w:val="16"/>
    <w:qFormat/>
    <w:uiPriority w:val="0"/>
    <w:rPr>
      <w:rFonts w:ascii="宋体" w:hAnsi="Courier New"/>
      <w:kern w:val="2"/>
      <w:sz w:val="21"/>
    </w:rPr>
  </w:style>
  <w:style w:type="character" w:customStyle="1" w:styleId="35">
    <w:name w:val="批注框文本 字符"/>
    <w:link w:val="17"/>
    <w:semiHidden/>
    <w:qFormat/>
    <w:uiPriority w:val="99"/>
    <w:rPr>
      <w:rFonts w:ascii="宋体" w:hAnsi="Times New Roman"/>
      <w:kern w:val="2"/>
      <w:sz w:val="18"/>
      <w:szCs w:val="18"/>
    </w:rPr>
  </w:style>
  <w:style w:type="character" w:customStyle="1" w:styleId="36">
    <w:name w:val="页脚 字符"/>
    <w:link w:val="18"/>
    <w:qFormat/>
    <w:uiPriority w:val="99"/>
    <w:rPr>
      <w:rFonts w:ascii="宋体" w:hAnsi="Times New Roman"/>
      <w:kern w:val="2"/>
      <w:sz w:val="18"/>
      <w:szCs w:val="18"/>
    </w:rPr>
  </w:style>
  <w:style w:type="character" w:customStyle="1" w:styleId="37">
    <w:name w:val="页眉 字符"/>
    <w:link w:val="19"/>
    <w:qFormat/>
    <w:uiPriority w:val="0"/>
    <w:rPr>
      <w:rFonts w:ascii="宋体"/>
      <w:sz w:val="18"/>
      <w:szCs w:val="18"/>
    </w:rPr>
  </w:style>
  <w:style w:type="character" w:customStyle="1" w:styleId="38">
    <w:name w:val="font31"/>
    <w:qFormat/>
    <w:uiPriority w:val="0"/>
    <w:rPr>
      <w:rFonts w:hint="eastAsia" w:ascii="宋体" w:hAnsi="宋体" w:eastAsia="宋体" w:cs="宋体"/>
      <w:color w:val="000000"/>
      <w:sz w:val="18"/>
      <w:szCs w:val="18"/>
      <w:u w:val="none"/>
    </w:rPr>
  </w:style>
  <w:style w:type="character" w:customStyle="1" w:styleId="39">
    <w:name w:val="首行缩进 Char"/>
    <w:link w:val="40"/>
    <w:qFormat/>
    <w:uiPriority w:val="99"/>
    <w:rPr>
      <w:rFonts w:eastAsia="方正书宋简体"/>
      <w:kern w:val="2"/>
      <w:sz w:val="21"/>
    </w:rPr>
  </w:style>
  <w:style w:type="paragraph" w:customStyle="1" w:styleId="40">
    <w:name w:val="首行缩进"/>
    <w:basedOn w:val="1"/>
    <w:link w:val="39"/>
    <w:qFormat/>
    <w:uiPriority w:val="99"/>
    <w:pPr>
      <w:spacing w:line="300" w:lineRule="auto"/>
      <w:ind w:firstLine="420" w:firstLineChars="200"/>
    </w:pPr>
    <w:rPr>
      <w:rFonts w:ascii="Calibri" w:hAnsi="Calibri" w:eastAsia="方正书宋简体"/>
      <w:sz w:val="21"/>
      <w:szCs w:val="20"/>
    </w:rPr>
  </w:style>
  <w:style w:type="character" w:customStyle="1" w:styleId="41">
    <w:name w:val="font11"/>
    <w:qFormat/>
    <w:uiPriority w:val="0"/>
    <w:rPr>
      <w:rFonts w:hint="eastAsia" w:ascii="宋体" w:hAnsi="宋体" w:eastAsia="宋体" w:cs="宋体"/>
      <w:b/>
      <w:bCs/>
      <w:color w:val="000000"/>
      <w:sz w:val="21"/>
      <w:szCs w:val="21"/>
      <w:u w:val="none"/>
    </w:rPr>
  </w:style>
  <w:style w:type="character" w:customStyle="1" w:styleId="42">
    <w:name w:val="二级条标题 Char"/>
    <w:link w:val="43"/>
    <w:qFormat/>
    <w:locked/>
    <w:uiPriority w:val="0"/>
    <w:rPr>
      <w:rFonts w:ascii="黑体" w:hAnsi="黑体" w:eastAsia="黑体"/>
      <w:b/>
      <w:sz w:val="21"/>
    </w:rPr>
  </w:style>
  <w:style w:type="paragraph" w:customStyle="1" w:styleId="43">
    <w:name w:val="二级条标题"/>
    <w:basedOn w:val="44"/>
    <w:next w:val="1"/>
    <w:link w:val="42"/>
    <w:qFormat/>
    <w:uiPriority w:val="0"/>
    <w:pPr>
      <w:widowControl/>
      <w:tabs>
        <w:tab w:val="left" w:pos="420"/>
        <w:tab w:val="left" w:pos="525"/>
        <w:tab w:val="left" w:pos="780"/>
      </w:tabs>
      <w:spacing w:line="240" w:lineRule="auto"/>
      <w:outlineLvl w:val="3"/>
    </w:pPr>
    <w:rPr>
      <w:rFonts w:ascii="黑体" w:hAnsi="黑体" w:eastAsia="黑体"/>
      <w:b w:val="0"/>
      <w:kern w:val="0"/>
      <w:sz w:val="21"/>
      <w:szCs w:val="20"/>
    </w:rPr>
  </w:style>
  <w:style w:type="paragraph" w:customStyle="1" w:styleId="44">
    <w:name w:val="一级条标题"/>
    <w:basedOn w:val="45"/>
    <w:next w:val="46"/>
    <w:unhideWhenUsed/>
    <w:qFormat/>
    <w:uiPriority w:val="0"/>
    <w:pPr>
      <w:numPr>
        <w:ilvl w:val="2"/>
      </w:numPr>
      <w:tabs>
        <w:tab w:val="left" w:pos="420"/>
        <w:tab w:val="left" w:pos="525"/>
        <w:tab w:val="left" w:pos="780"/>
      </w:tabs>
      <w:spacing w:before="0" w:beforeLines="0" w:after="0" w:afterLines="0"/>
      <w:ind w:left="1260" w:hanging="420"/>
      <w:outlineLvl w:val="2"/>
    </w:pPr>
    <w:rPr>
      <w:rFonts w:hint="eastAsia"/>
      <w:sz w:val="21"/>
      <w:szCs w:val="24"/>
    </w:rPr>
  </w:style>
  <w:style w:type="paragraph" w:customStyle="1" w:styleId="45">
    <w:name w:val="章标题"/>
    <w:next w:val="46"/>
    <w:unhideWhenUsed/>
    <w:qFormat/>
    <w:uiPriority w:val="99"/>
    <w:pPr>
      <w:numPr>
        <w:ilvl w:val="1"/>
        <w:numId w:val="2"/>
      </w:numPr>
      <w:tabs>
        <w:tab w:val="left" w:pos="420"/>
      </w:tabs>
      <w:spacing w:before="156" w:beforeLines="50" w:after="156" w:afterLines="50"/>
      <w:jc w:val="both"/>
      <w:outlineLvl w:val="1"/>
    </w:pPr>
    <w:rPr>
      <w:rFonts w:hint="eastAsia" w:ascii="黑体" w:hAnsi="Times New Roman" w:eastAsia="黑体" w:cs="Times New Roman"/>
      <w:b/>
      <w:sz w:val="21"/>
      <w:szCs w:val="24"/>
      <w:lang w:val="en-US" w:eastAsia="zh-CN" w:bidi="ar-SA"/>
    </w:rPr>
  </w:style>
  <w:style w:type="paragraph" w:customStyle="1" w:styleId="46">
    <w:name w:val="段"/>
    <w:qFormat/>
    <w:uiPriority w:val="0"/>
    <w:pPr>
      <w:ind w:firstLine="200" w:firstLineChars="200"/>
      <w:jc w:val="both"/>
    </w:pPr>
    <w:rPr>
      <w:rFonts w:ascii="宋体" w:hAnsi="Times New Roman" w:eastAsia="宋体" w:cs="Times New Roman"/>
      <w:sz w:val="21"/>
      <w:lang w:val="en-US" w:eastAsia="zh-CN" w:bidi="ar-SA"/>
    </w:rPr>
  </w:style>
  <w:style w:type="character" w:customStyle="1" w:styleId="47">
    <w:name w:val="Char Char16"/>
    <w:unhideWhenUsed/>
    <w:qFormat/>
    <w:uiPriority w:val="0"/>
    <w:rPr>
      <w:rFonts w:hint="default" w:ascii="Arial" w:hAnsi="Arial" w:eastAsia="黑体" w:cs="Arial"/>
      <w:b/>
      <w:kern w:val="2"/>
      <w:sz w:val="32"/>
      <w:szCs w:val="32"/>
      <w:lang w:val="en-US" w:eastAsia="zh-CN" w:bidi="ar-SA"/>
    </w:rPr>
  </w:style>
  <w:style w:type="character" w:customStyle="1" w:styleId="48">
    <w:name w:val="页眉 Char1"/>
    <w:semiHidden/>
    <w:qFormat/>
    <w:uiPriority w:val="99"/>
    <w:rPr>
      <w:rFonts w:ascii="宋体" w:hAnsi="Times New Roman" w:eastAsia="宋体" w:cs="Times New Roman"/>
      <w:sz w:val="18"/>
      <w:szCs w:val="18"/>
    </w:rPr>
  </w:style>
  <w:style w:type="character" w:customStyle="1" w:styleId="49">
    <w:name w:val="纯文本 Char1"/>
    <w:semiHidden/>
    <w:qFormat/>
    <w:uiPriority w:val="99"/>
    <w:rPr>
      <w:rFonts w:ascii="宋体" w:hAnsi="Courier New" w:cs="Courier New"/>
      <w:kern w:val="2"/>
      <w:sz w:val="21"/>
      <w:szCs w:val="21"/>
    </w:rPr>
  </w:style>
  <w:style w:type="character" w:customStyle="1" w:styleId="50">
    <w:name w:val="样式2 Char Char"/>
    <w:link w:val="51"/>
    <w:qFormat/>
    <w:uiPriority w:val="0"/>
    <w:rPr>
      <w:rFonts w:ascii="宋体"/>
      <w:sz w:val="24"/>
      <w:szCs w:val="24"/>
    </w:rPr>
  </w:style>
  <w:style w:type="paragraph" w:customStyle="1" w:styleId="51">
    <w:name w:val="样式2"/>
    <w:basedOn w:val="1"/>
    <w:link w:val="50"/>
    <w:qFormat/>
    <w:uiPriority w:val="0"/>
    <w:pPr>
      <w:numPr>
        <w:ilvl w:val="3"/>
        <w:numId w:val="3"/>
      </w:numPr>
    </w:pPr>
    <w:rPr>
      <w:rFonts w:hAnsi="Calibri"/>
      <w:kern w:val="0"/>
    </w:rPr>
  </w:style>
  <w:style w:type="paragraph" w:customStyle="1" w:styleId="52">
    <w:name w:val="样式1"/>
    <w:basedOn w:val="1"/>
    <w:qFormat/>
    <w:uiPriority w:val="0"/>
    <w:pPr>
      <w:numPr>
        <w:ilvl w:val="2"/>
        <w:numId w:val="3"/>
      </w:numPr>
    </w:pPr>
  </w:style>
  <w:style w:type="paragraph" w:customStyle="1" w:styleId="53">
    <w:name w:val="正文1"/>
    <w:basedOn w:val="15"/>
    <w:qFormat/>
    <w:uiPriority w:val="0"/>
    <w:pPr>
      <w:widowControl w:val="0"/>
      <w:tabs>
        <w:tab w:val="left" w:pos="0"/>
      </w:tabs>
      <w:autoSpaceDE/>
      <w:autoSpaceDN/>
      <w:ind w:firstLine="200" w:firstLineChars="200"/>
      <w:textAlignment w:val="auto"/>
      <w:outlineLvl w:val="9"/>
    </w:pPr>
    <w:rPr>
      <w:szCs w:val="24"/>
    </w:rPr>
  </w:style>
  <w:style w:type="paragraph" w:customStyle="1" w:styleId="54">
    <w:name w:val="标题5"/>
    <w:basedOn w:val="9"/>
    <w:next w:val="1"/>
    <w:qFormat/>
    <w:uiPriority w:val="0"/>
    <w:pPr>
      <w:spacing w:line="360" w:lineRule="auto"/>
      <w:ind w:left="850" w:hanging="850"/>
    </w:pPr>
    <w:rPr>
      <w:rFonts w:ascii="Times New Roman" w:hAnsi="Times New Roman"/>
      <w:sz w:val="28"/>
    </w:rPr>
  </w:style>
  <w:style w:type="paragraph" w:customStyle="1" w:styleId="55">
    <w:name w:val="bn"/>
    <w:basedOn w:val="1"/>
    <w:qFormat/>
    <w:uiPriority w:val="0"/>
    <w:pPr>
      <w:topLinePunct/>
      <w:spacing w:line="240" w:lineRule="auto"/>
      <w:jc w:val="center"/>
    </w:pPr>
    <w:rPr>
      <w:rFonts w:cs="宋体"/>
      <w:sz w:val="18"/>
      <w:szCs w:val="24"/>
    </w:rPr>
  </w:style>
  <w:style w:type="paragraph" w:customStyle="1" w:styleId="56">
    <w:name w:val="样式 标题 2"/>
    <w:basedOn w:val="5"/>
    <w:qFormat/>
    <w:uiPriority w:val="0"/>
    <w:rPr>
      <w:b w:val="0"/>
      <w:bCs w:val="0"/>
    </w:rPr>
  </w:style>
  <w:style w:type="paragraph" w:customStyle="1" w:styleId="57">
    <w:name w:val="列出段落1"/>
    <w:basedOn w:val="1"/>
    <w:qFormat/>
    <w:uiPriority w:val="34"/>
    <w:pPr>
      <w:ind w:firstLine="420" w:firstLineChars="200"/>
    </w:pPr>
  </w:style>
  <w:style w:type="paragraph" w:customStyle="1" w:styleId="58">
    <w:name w:val="p0"/>
    <w:basedOn w:val="1"/>
    <w:qFormat/>
    <w:uiPriority w:val="0"/>
    <w:pPr>
      <w:widowControl/>
      <w:spacing w:line="240" w:lineRule="auto"/>
    </w:pPr>
    <w:rPr>
      <w:rFonts w:ascii="Calibri" w:hAnsi="Calibri" w:cs="宋体"/>
      <w:kern w:val="0"/>
      <w:sz w:val="21"/>
      <w:szCs w:val="21"/>
    </w:rPr>
  </w:style>
  <w:style w:type="paragraph" w:styleId="59">
    <w:name w:val="No Spacing"/>
    <w:qFormat/>
    <w:uiPriority w:val="1"/>
    <w:pPr>
      <w:widowControl w:val="0"/>
      <w:ind w:firstLine="200" w:firstLineChars="200"/>
      <w:jc w:val="both"/>
    </w:pPr>
    <w:rPr>
      <w:rFonts w:ascii="Times New Roman" w:hAnsi="Times New Roman" w:eastAsia="宋体" w:cs="Times New Roman"/>
      <w:kern w:val="2"/>
      <w:sz w:val="21"/>
      <w:szCs w:val="22"/>
      <w:lang w:val="en-US" w:eastAsia="zh-CN" w:bidi="ar-SA"/>
    </w:rPr>
  </w:style>
  <w:style w:type="paragraph" w:styleId="60">
    <w:name w:val="List Paragraph"/>
    <w:basedOn w:val="1"/>
    <w:qFormat/>
    <w:uiPriority w:val="99"/>
    <w:pPr>
      <w:ind w:firstLine="420" w:firstLineChars="200"/>
    </w:pPr>
  </w:style>
  <w:style w:type="paragraph" w:customStyle="1" w:styleId="61">
    <w:name w:val="居中"/>
    <w:basedOn w:val="59"/>
    <w:qFormat/>
    <w:uiPriority w:val="0"/>
    <w:pPr>
      <w:ind w:firstLine="0" w:firstLineChars="0"/>
      <w:jc w:val="center"/>
    </w:pPr>
    <w:rPr>
      <w:rFonts w:ascii="宋体" w:hAnsi="宋体"/>
      <w:sz w:val="24"/>
      <w:szCs w:val="24"/>
    </w:rPr>
  </w:style>
  <w:style w:type="paragraph" w:customStyle="1" w:styleId="62">
    <w:name w:val="Table Paragraph"/>
    <w:basedOn w:val="1"/>
    <w:qFormat/>
    <w:uiPriority w:val="1"/>
    <w:rPr>
      <w:rFonts w:ascii="宋体" w:hAnsi="宋体" w:eastAsia="宋体" w:cs="宋体"/>
      <w:lang w:val="en-US" w:eastAsia="zh-CN" w:bidi="ar-SA"/>
    </w:rPr>
  </w:style>
  <w:style w:type="paragraph" w:customStyle="1" w:styleId="63">
    <w:name w:val="Table Text"/>
    <w:basedOn w:val="1"/>
    <w:semiHidden/>
    <w:qFormat/>
    <w:uiPriority w:val="0"/>
    <w:rPr>
      <w:rFonts w:ascii="宋体" w:hAnsi="宋体" w:eastAsia="宋体" w:cs="宋体"/>
      <w:sz w:val="20"/>
      <w:szCs w:val="20"/>
      <w:lang w:val="en-US" w:eastAsia="en-US" w:bidi="ar-SA"/>
    </w:rPr>
  </w:style>
  <w:style w:type="table" w:customStyle="1" w:styleId="6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32</Pages>
  <Words>10386</Words>
  <Characters>12100</Characters>
  <Lines>464</Lines>
  <Paragraphs>130</Paragraphs>
  <TotalTime>3</TotalTime>
  <ScaleCrop>false</ScaleCrop>
  <LinksUpToDate>false</LinksUpToDate>
  <CharactersWithSpaces>12221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2024-04-21T10:50:00Z</dcterms:created>
  <dc:creator>zhong_shiyu</dc:creator>
  <cp:lastModifiedBy>4AAEF205E03F46EE8F230D4D3B5C0AA0</cp:lastModifiedBy>
  <dcterms:modified xsi:type="dcterms:W3CDTF">2026-06-12T09:40:43Z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5880903691ED4FF6BDAFEE5A12B99EE4</vt:lpwstr>
  </property>
  <property fmtid="{D5CDD505-2E9C-101B-9397-08002B2CF9AE}" pid="4" name="KSOTemplateDocerSaveRecord">
    <vt:lpwstr>eyJoZGlkIjoiMWM0YzlmMzdlMjNjMmMzOTA5MzcxZjBmZGMwMmU1YzciLCJ1c2VySWQiOiIxMTAxNjQzOTUyIn0=</vt:lpwstr>
  </property>
</Properties>
</file>