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eastAsia="黑体"/>
          <w:sz w:val="44"/>
          <w:szCs w:val="44"/>
          <w:highlight w:val="none"/>
        </w:rPr>
      </w:pPr>
    </w:p>
    <w:p>
      <w:pPr>
        <w:rPr>
          <w:highlight w:val="none"/>
        </w:rPr>
      </w:pPr>
    </w:p>
    <w:p>
      <w:pPr>
        <w:spacing w:line="700" w:lineRule="exact"/>
        <w:jc w:val="center"/>
        <w:rPr>
          <w:rFonts w:eastAsia="黑体"/>
          <w:b/>
          <w:sz w:val="48"/>
          <w:szCs w:val="22"/>
          <w:highlight w:val="none"/>
          <w:lang w:val="zh-CN"/>
        </w:rPr>
      </w:pPr>
    </w:p>
    <w:p>
      <w:pPr>
        <w:spacing w:before="652" w:beforeLines="200"/>
        <w:ind w:firstLine="420"/>
        <w:jc w:val="center"/>
        <w:rPr>
          <w:rFonts w:hint="eastAsia" w:eastAsia="黑体"/>
          <w:b/>
          <w:color w:val="auto"/>
          <w:sz w:val="48"/>
          <w:szCs w:val="22"/>
          <w:highlight w:val="none"/>
          <w:lang w:val="en-US" w:eastAsia="zh-CN"/>
        </w:rPr>
      </w:pPr>
      <w:r>
        <w:rPr>
          <w:rFonts w:hint="eastAsia" w:eastAsia="黑体"/>
          <w:b/>
          <w:color w:val="auto"/>
          <w:sz w:val="48"/>
          <w:szCs w:val="22"/>
          <w:highlight w:val="none"/>
        </w:rPr>
        <w:t>海南</w:t>
      </w:r>
      <w:r>
        <w:rPr>
          <w:rFonts w:hint="eastAsia" w:eastAsia="黑体"/>
          <w:b/>
          <w:color w:val="auto"/>
          <w:sz w:val="48"/>
          <w:szCs w:val="22"/>
          <w:highlight w:val="none"/>
          <w:lang w:val="en-US" w:eastAsia="zh-CN"/>
        </w:rPr>
        <w:t>电力产业发展有限责任公司</w:t>
      </w:r>
    </w:p>
    <w:p>
      <w:pPr>
        <w:spacing w:before="652" w:beforeLines="200"/>
        <w:ind w:firstLine="420"/>
        <w:jc w:val="center"/>
        <w:rPr>
          <w:rFonts w:hint="eastAsia" w:eastAsia="黑体"/>
          <w:b/>
          <w:color w:val="auto"/>
          <w:sz w:val="48"/>
          <w:szCs w:val="22"/>
          <w:highlight w:val="none"/>
          <w:lang w:val="en-US" w:eastAsia="zh-CN"/>
        </w:rPr>
      </w:pPr>
      <w:r>
        <w:rPr>
          <w:rFonts w:hint="eastAsia" w:eastAsia="黑体"/>
          <w:b/>
          <w:color w:val="auto"/>
          <w:sz w:val="48"/>
          <w:szCs w:val="22"/>
          <w:highlight w:val="none"/>
          <w:lang w:val="en-US" w:eastAsia="zh-CN"/>
        </w:rPr>
        <w:t>2026-2027年</w:t>
      </w:r>
    </w:p>
    <w:p>
      <w:pPr>
        <w:spacing w:before="652" w:beforeLines="200"/>
        <w:ind w:firstLine="420"/>
        <w:jc w:val="center"/>
        <w:rPr>
          <w:rFonts w:hint="default" w:eastAsia="黑体"/>
          <w:b/>
          <w:color w:val="auto"/>
          <w:sz w:val="48"/>
          <w:szCs w:val="22"/>
          <w:highlight w:val="none"/>
          <w:lang w:val="en-US" w:eastAsia="zh-CN"/>
        </w:rPr>
      </w:pPr>
      <w:r>
        <w:rPr>
          <w:rFonts w:hint="eastAsia" w:eastAsia="黑体"/>
          <w:b/>
          <w:color w:val="auto"/>
          <w:sz w:val="48"/>
          <w:szCs w:val="22"/>
          <w:highlight w:val="none"/>
          <w:lang w:val="en-US" w:eastAsia="zh-CN"/>
        </w:rPr>
        <w:t>技防安全系统类采购</w:t>
      </w:r>
    </w:p>
    <w:p>
      <w:pPr>
        <w:spacing w:before="652" w:beforeLines="200"/>
        <w:ind w:firstLine="420"/>
        <w:jc w:val="center"/>
        <w:rPr>
          <w:rFonts w:eastAsia="黑体"/>
          <w:b/>
          <w:color w:val="auto"/>
          <w:sz w:val="52"/>
          <w:highlight w:val="none"/>
        </w:rPr>
      </w:pPr>
      <w:r>
        <w:rPr>
          <w:rFonts w:hint="eastAsia" w:eastAsia="黑体"/>
          <w:b/>
          <w:color w:val="auto"/>
          <w:sz w:val="52"/>
          <w:highlight w:val="none"/>
        </w:rPr>
        <w:t>技术规范书</w:t>
      </w:r>
    </w:p>
    <w:p>
      <w:pPr>
        <w:rPr>
          <w:rFonts w:ascii="宋体"/>
          <w:b/>
          <w:sz w:val="32"/>
          <w:szCs w:val="20"/>
          <w:highlight w:val="none"/>
        </w:rPr>
      </w:pPr>
    </w:p>
    <w:p>
      <w:pPr>
        <w:rPr>
          <w:rFonts w:ascii="宋体"/>
          <w:b/>
          <w:sz w:val="32"/>
          <w:szCs w:val="20"/>
          <w:highlight w:val="none"/>
        </w:rPr>
      </w:pPr>
    </w:p>
    <w:p>
      <w:pPr>
        <w:rPr>
          <w:highlight w:val="none"/>
        </w:rPr>
      </w:pPr>
    </w:p>
    <w:p>
      <w:pPr>
        <w:rPr>
          <w:highlight w:val="none"/>
        </w:rPr>
      </w:pPr>
    </w:p>
    <w:p>
      <w:pPr>
        <w:rPr>
          <w:highlight w:val="none"/>
        </w:rPr>
      </w:pPr>
    </w:p>
    <w:p>
      <w:pPr>
        <w:rPr>
          <w:highlight w:val="none"/>
        </w:rPr>
      </w:pPr>
    </w:p>
    <w:p>
      <w:pPr>
        <w:spacing w:line="240" w:lineRule="auto"/>
        <w:jc w:val="both"/>
        <w:rPr>
          <w:rFonts w:ascii="黑体" w:eastAsia="黑体"/>
          <w:b/>
          <w:spacing w:val="20"/>
          <w:w w:val="135"/>
          <w:sz w:val="30"/>
          <w:szCs w:val="20"/>
          <w:highlight w:val="none"/>
        </w:rPr>
      </w:pPr>
    </w:p>
    <w:p>
      <w:pPr>
        <w:snapToGrid w:val="0"/>
        <w:ind w:firstLine="420"/>
        <w:jc w:val="center"/>
        <w:rPr>
          <w:rFonts w:eastAsia="黑体"/>
          <w:b/>
          <w:sz w:val="40"/>
          <w:szCs w:val="20"/>
          <w:highlight w:val="none"/>
          <w:lang w:val="zh-CN"/>
        </w:rPr>
      </w:pPr>
      <w:r>
        <w:rPr>
          <w:rFonts w:hint="eastAsia" w:eastAsia="黑体"/>
          <w:b/>
          <w:sz w:val="40"/>
          <w:szCs w:val="20"/>
          <w:highlight w:val="none"/>
          <w:lang w:val="zh-CN"/>
        </w:rPr>
        <w:t>海南电网有限责任公司</w:t>
      </w:r>
    </w:p>
    <w:p>
      <w:pPr>
        <w:snapToGrid w:val="0"/>
        <w:ind w:firstLine="420"/>
        <w:jc w:val="center"/>
        <w:rPr>
          <w:rFonts w:eastAsia="黑体"/>
          <w:b/>
          <w:sz w:val="40"/>
          <w:szCs w:val="20"/>
          <w:highlight w:val="none"/>
          <w:lang w:val="zh-CN"/>
        </w:rPr>
        <w:sectPr>
          <w:footerReference r:id="rId5" w:type="default"/>
          <w:pgSz w:w="11906" w:h="16838"/>
          <w:pgMar w:top="1440" w:right="1800" w:bottom="1440" w:left="1800" w:header="851" w:footer="992" w:gutter="0"/>
          <w:pgNumType w:start="1"/>
          <w:cols w:space="425" w:num="1"/>
          <w:docGrid w:type="lines" w:linePitch="312" w:charSpace="0"/>
        </w:sectPr>
      </w:pPr>
      <w:r>
        <w:rPr>
          <w:rFonts w:hint="eastAsia" w:eastAsia="黑体"/>
          <w:b/>
          <w:sz w:val="40"/>
          <w:szCs w:val="20"/>
          <w:highlight w:val="none"/>
          <w:lang w:val="zh-CN"/>
        </w:rPr>
        <w:t>202</w:t>
      </w:r>
      <w:r>
        <w:rPr>
          <w:rFonts w:hint="eastAsia" w:eastAsia="黑体"/>
          <w:b/>
          <w:sz w:val="40"/>
          <w:szCs w:val="20"/>
          <w:highlight w:val="none"/>
        </w:rPr>
        <w:t>6</w:t>
      </w:r>
      <w:r>
        <w:rPr>
          <w:rFonts w:hint="eastAsia" w:eastAsia="黑体"/>
          <w:b/>
          <w:sz w:val="40"/>
          <w:szCs w:val="20"/>
          <w:highlight w:val="none"/>
          <w:lang w:val="zh-CN"/>
        </w:rPr>
        <w:t>年</w:t>
      </w:r>
      <w:r>
        <w:rPr>
          <w:rFonts w:hint="eastAsia" w:eastAsia="黑体"/>
          <w:b/>
          <w:sz w:val="40"/>
          <w:szCs w:val="20"/>
          <w:highlight w:val="none"/>
        </w:rPr>
        <w:t>3</w:t>
      </w:r>
      <w:r>
        <w:rPr>
          <w:rFonts w:hint="eastAsia" w:eastAsia="黑体"/>
          <w:b/>
          <w:sz w:val="40"/>
          <w:szCs w:val="20"/>
          <w:highlight w:val="none"/>
          <w:lang w:val="zh-CN"/>
        </w:rPr>
        <w:t>月</w:t>
      </w:r>
    </w:p>
    <w:p>
      <w:pPr>
        <w:spacing w:line="360" w:lineRule="exact"/>
        <w:jc w:val="center"/>
        <w:rPr>
          <w:rFonts w:eastAsia="黑体"/>
          <w:b/>
          <w:sz w:val="52"/>
          <w:highlight w:val="none"/>
        </w:rPr>
      </w:pPr>
    </w:p>
    <w:p>
      <w:pPr>
        <w:pStyle w:val="16"/>
        <w:tabs>
          <w:tab w:val="right" w:leader="dot" w:pos="8705"/>
        </w:tabs>
        <w:spacing w:line="240" w:lineRule="auto"/>
        <w:jc w:val="center"/>
        <w:rPr>
          <w:rFonts w:ascii="黑体" w:hAnsi="黑体" w:eastAsia="黑体" w:cs="黑体"/>
          <w:b/>
          <w:sz w:val="36"/>
          <w:szCs w:val="36"/>
          <w:highlight w:val="none"/>
        </w:rPr>
      </w:pPr>
      <w:bookmarkStart w:id="0" w:name="_Toc384241741"/>
      <w:r>
        <w:rPr>
          <w:rFonts w:hint="eastAsia" w:ascii="黑体" w:hAnsi="黑体" w:eastAsia="黑体" w:cs="黑体"/>
          <w:b/>
          <w:sz w:val="36"/>
          <w:szCs w:val="36"/>
          <w:highlight w:val="none"/>
        </w:rPr>
        <w:t>目录</w:t>
      </w:r>
    </w:p>
    <w:p>
      <w:pPr>
        <w:pStyle w:val="16"/>
        <w:tabs>
          <w:tab w:val="right" w:leader="dot" w:pos="8306"/>
        </w:tabs>
      </w:pPr>
      <w:bookmarkStart w:id="290" w:name="_GoBack"/>
      <w:bookmarkEnd w:id="290"/>
      <w:r>
        <w:rPr>
          <w:b/>
          <w:sz w:val="21"/>
          <w:highlight w:val="none"/>
        </w:rPr>
        <w:fldChar w:fldCharType="begin"/>
      </w:r>
      <w:r>
        <w:rPr>
          <w:b/>
          <w:sz w:val="21"/>
          <w:highlight w:val="none"/>
        </w:rPr>
        <w:instrText xml:space="preserve">TOC \o "1-3" \t "" \h \z \u </w:instrText>
      </w:r>
      <w:r>
        <w:rPr>
          <w:b/>
          <w:sz w:val="21"/>
          <w:highlight w:val="none"/>
        </w:rPr>
        <w:fldChar w:fldCharType="separate"/>
      </w:r>
      <w:r>
        <w:rPr>
          <w:highlight w:val="none"/>
        </w:rPr>
        <w:fldChar w:fldCharType="begin"/>
      </w:r>
      <w:r>
        <w:rPr>
          <w:highlight w:val="none"/>
        </w:rPr>
        <w:instrText xml:space="preserve"> HYPERLINK \l _Toc21094 </w:instrText>
      </w:r>
      <w:r>
        <w:rPr>
          <w:highlight w:val="none"/>
        </w:rPr>
        <w:fldChar w:fldCharType="separate"/>
      </w:r>
      <w:r>
        <w:rPr>
          <w:rFonts w:hint="default" w:ascii="黑体" w:hAnsi="黑体" w:eastAsia="黑体"/>
          <w:bCs w:val="0"/>
          <w:szCs w:val="22"/>
        </w:rPr>
        <w:t xml:space="preserve">1. </w:t>
      </w:r>
      <w:r>
        <w:rPr>
          <w:rFonts w:hint="eastAsia" w:ascii="黑体" w:hAnsi="黑体" w:eastAsia="黑体"/>
          <w:bCs w:val="0"/>
          <w:szCs w:val="22"/>
          <w:highlight w:val="none"/>
        </w:rPr>
        <w:t>总则</w:t>
      </w:r>
      <w:r>
        <w:tab/>
      </w:r>
      <w:r>
        <w:fldChar w:fldCharType="begin"/>
      </w:r>
      <w:r>
        <w:instrText xml:space="preserve"> PAGEREF _Toc21094 \h </w:instrText>
      </w:r>
      <w:r>
        <w:fldChar w:fldCharType="separate"/>
      </w:r>
      <w:r>
        <w:t>1</w:t>
      </w:r>
      <w:r>
        <w:fldChar w:fldCharType="end"/>
      </w:r>
      <w:r>
        <w:rPr>
          <w:highlight w:val="none"/>
        </w:rPr>
        <w:fldChar w:fldCharType="end"/>
      </w:r>
    </w:p>
    <w:p>
      <w:pPr>
        <w:pStyle w:val="16"/>
        <w:tabs>
          <w:tab w:val="right" w:leader="dot" w:pos="8306"/>
        </w:tabs>
      </w:pPr>
      <w:r>
        <w:rPr>
          <w:highlight w:val="none"/>
        </w:rPr>
        <w:fldChar w:fldCharType="begin"/>
      </w:r>
      <w:r>
        <w:rPr>
          <w:highlight w:val="none"/>
        </w:rPr>
        <w:instrText xml:space="preserve"> HYPERLINK \l _Toc8714 </w:instrText>
      </w:r>
      <w:r>
        <w:rPr>
          <w:highlight w:val="none"/>
        </w:rPr>
        <w:fldChar w:fldCharType="separate"/>
      </w:r>
      <w:r>
        <w:rPr>
          <w:rFonts w:hint="default" w:ascii="黑体" w:hAnsi="黑体" w:eastAsia="黑体"/>
          <w:bCs w:val="0"/>
          <w:szCs w:val="22"/>
        </w:rPr>
        <w:t xml:space="preserve">2. </w:t>
      </w:r>
      <w:r>
        <w:rPr>
          <w:rFonts w:hint="eastAsia" w:ascii="黑体" w:hAnsi="黑体" w:eastAsia="黑体"/>
          <w:bCs w:val="0"/>
          <w:szCs w:val="22"/>
          <w:highlight w:val="none"/>
        </w:rPr>
        <w:t>工作要求</w:t>
      </w:r>
      <w:r>
        <w:tab/>
      </w:r>
      <w:r>
        <w:fldChar w:fldCharType="begin"/>
      </w:r>
      <w:r>
        <w:instrText xml:space="preserve"> PAGEREF _Toc8714 \h </w:instrText>
      </w:r>
      <w:r>
        <w:fldChar w:fldCharType="separate"/>
      </w:r>
      <w:r>
        <w:t>1</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_Toc25740 </w:instrText>
      </w:r>
      <w:r>
        <w:rPr>
          <w:highlight w:val="none"/>
        </w:rPr>
        <w:fldChar w:fldCharType="separate"/>
      </w:r>
      <w:r>
        <w:rPr>
          <w:rFonts w:hint="default" w:ascii="黑体" w:hAnsi="黑体" w:eastAsia="黑体"/>
          <w:bCs w:val="0"/>
          <w:szCs w:val="22"/>
        </w:rPr>
        <w:t xml:space="preserve">2.1. </w:t>
      </w:r>
      <w:r>
        <w:rPr>
          <w:rFonts w:hint="eastAsia" w:ascii="黑体" w:hAnsi="黑体" w:eastAsia="黑体"/>
          <w:bCs w:val="0"/>
          <w:szCs w:val="22"/>
          <w:highlight w:val="none"/>
        </w:rPr>
        <w:t>范围和界限</w:t>
      </w:r>
      <w:r>
        <w:tab/>
      </w:r>
      <w:r>
        <w:fldChar w:fldCharType="begin"/>
      </w:r>
      <w:r>
        <w:instrText xml:space="preserve"> PAGEREF _Toc25740 \h </w:instrText>
      </w:r>
      <w:r>
        <w:fldChar w:fldCharType="separate"/>
      </w:r>
      <w:r>
        <w:t>1</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_Toc21930 </w:instrText>
      </w:r>
      <w:r>
        <w:rPr>
          <w:highlight w:val="none"/>
        </w:rPr>
        <w:fldChar w:fldCharType="separate"/>
      </w:r>
      <w:r>
        <w:rPr>
          <w:rFonts w:hint="default" w:ascii="黑体" w:hAnsi="黑体" w:eastAsia="黑体"/>
          <w:szCs w:val="22"/>
        </w:rPr>
        <w:t xml:space="preserve">2.1.1. </w:t>
      </w:r>
      <w:r>
        <w:rPr>
          <w:rFonts w:hint="eastAsia" w:ascii="黑体" w:hAnsi="黑体" w:eastAsia="黑体"/>
          <w:szCs w:val="22"/>
          <w:highlight w:val="none"/>
        </w:rPr>
        <w:t>贮存、运输环境条件</w:t>
      </w:r>
      <w:r>
        <w:tab/>
      </w:r>
      <w:r>
        <w:fldChar w:fldCharType="begin"/>
      </w:r>
      <w:r>
        <w:instrText xml:space="preserve"> PAGEREF _Toc21930 \h </w:instrText>
      </w:r>
      <w:r>
        <w:fldChar w:fldCharType="separate"/>
      </w:r>
      <w:r>
        <w:t>1</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_Toc12688 </w:instrText>
      </w:r>
      <w:r>
        <w:rPr>
          <w:highlight w:val="none"/>
        </w:rPr>
        <w:fldChar w:fldCharType="separate"/>
      </w:r>
      <w:r>
        <w:rPr>
          <w:rFonts w:hint="default" w:ascii="黑体" w:hAnsi="黑体" w:eastAsia="黑体"/>
          <w:szCs w:val="22"/>
        </w:rPr>
        <w:t xml:space="preserve">2.1.2. </w:t>
      </w:r>
      <w:r>
        <w:rPr>
          <w:rFonts w:hint="eastAsia" w:ascii="黑体" w:hAnsi="黑体" w:eastAsia="黑体"/>
          <w:szCs w:val="22"/>
          <w:highlight w:val="none"/>
        </w:rPr>
        <w:t>现场实施要求</w:t>
      </w:r>
      <w:r>
        <w:tab/>
      </w:r>
      <w:r>
        <w:fldChar w:fldCharType="begin"/>
      </w:r>
      <w:r>
        <w:instrText xml:space="preserve"> PAGEREF _Toc12688 \h </w:instrText>
      </w:r>
      <w:r>
        <w:fldChar w:fldCharType="separate"/>
      </w:r>
      <w:r>
        <w:t>1</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_Toc17544 </w:instrText>
      </w:r>
      <w:r>
        <w:rPr>
          <w:highlight w:val="none"/>
        </w:rPr>
        <w:fldChar w:fldCharType="separate"/>
      </w:r>
      <w:r>
        <w:rPr>
          <w:rFonts w:hint="default" w:ascii="黑体" w:hAnsi="黑体" w:eastAsia="黑体"/>
          <w:szCs w:val="22"/>
        </w:rPr>
        <w:t xml:space="preserve">2.1.3. </w:t>
      </w:r>
      <w:r>
        <w:rPr>
          <w:rFonts w:hint="eastAsia" w:ascii="黑体" w:hAnsi="黑体" w:eastAsia="黑体"/>
          <w:szCs w:val="22"/>
          <w:highlight w:val="none"/>
        </w:rPr>
        <w:t>运维要求</w:t>
      </w:r>
      <w:r>
        <w:tab/>
      </w:r>
      <w:r>
        <w:fldChar w:fldCharType="begin"/>
      </w:r>
      <w:r>
        <w:instrText xml:space="preserve"> PAGEREF _Toc17544 \h </w:instrText>
      </w:r>
      <w:r>
        <w:fldChar w:fldCharType="separate"/>
      </w:r>
      <w:r>
        <w:t>2</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_Toc14935 </w:instrText>
      </w:r>
      <w:r>
        <w:rPr>
          <w:highlight w:val="none"/>
        </w:rPr>
        <w:fldChar w:fldCharType="separate"/>
      </w:r>
      <w:r>
        <w:rPr>
          <w:rFonts w:hint="default" w:ascii="黑体" w:hAnsi="黑体" w:eastAsia="黑体"/>
          <w:szCs w:val="22"/>
        </w:rPr>
        <w:t xml:space="preserve">2.1.4. </w:t>
      </w:r>
      <w:r>
        <w:rPr>
          <w:rFonts w:hint="eastAsia" w:ascii="黑体" w:hAnsi="黑体" w:eastAsia="黑体"/>
          <w:szCs w:val="22"/>
          <w:highlight w:val="none"/>
        </w:rPr>
        <w:t>投运要求</w:t>
      </w:r>
      <w:r>
        <w:tab/>
      </w:r>
      <w:r>
        <w:fldChar w:fldCharType="begin"/>
      </w:r>
      <w:r>
        <w:instrText xml:space="preserve"> PAGEREF _Toc14935 \h </w:instrText>
      </w:r>
      <w:r>
        <w:fldChar w:fldCharType="separate"/>
      </w:r>
      <w:r>
        <w:t>2</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_Toc9401 </w:instrText>
      </w:r>
      <w:r>
        <w:rPr>
          <w:highlight w:val="none"/>
        </w:rPr>
        <w:fldChar w:fldCharType="separate"/>
      </w:r>
      <w:r>
        <w:rPr>
          <w:rFonts w:hint="default" w:ascii="黑体" w:hAnsi="黑体" w:eastAsia="黑体"/>
          <w:szCs w:val="22"/>
        </w:rPr>
        <w:t xml:space="preserve">2.1.5. </w:t>
      </w:r>
      <w:r>
        <w:rPr>
          <w:rFonts w:hint="eastAsia" w:ascii="黑体" w:hAnsi="黑体" w:eastAsia="黑体"/>
          <w:szCs w:val="22"/>
          <w:highlight w:val="none"/>
        </w:rPr>
        <w:t>工作要求</w:t>
      </w:r>
      <w:r>
        <w:tab/>
      </w:r>
      <w:r>
        <w:fldChar w:fldCharType="begin"/>
      </w:r>
      <w:r>
        <w:instrText xml:space="preserve"> PAGEREF _Toc9401 \h </w:instrText>
      </w:r>
      <w:r>
        <w:fldChar w:fldCharType="separate"/>
      </w:r>
      <w:r>
        <w:t>2</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_Toc14929 </w:instrText>
      </w:r>
      <w:r>
        <w:rPr>
          <w:highlight w:val="none"/>
        </w:rPr>
        <w:fldChar w:fldCharType="separate"/>
      </w:r>
      <w:r>
        <w:rPr>
          <w:rFonts w:hint="default" w:ascii="黑体" w:hAnsi="黑体" w:eastAsia="黑体"/>
          <w:szCs w:val="22"/>
        </w:rPr>
        <w:t xml:space="preserve">2.1.6. </w:t>
      </w:r>
      <w:r>
        <w:rPr>
          <w:rFonts w:hint="eastAsia" w:ascii="黑体" w:hAnsi="黑体" w:eastAsia="黑体"/>
          <w:szCs w:val="22"/>
          <w:highlight w:val="none"/>
        </w:rPr>
        <w:t>其他要求</w:t>
      </w:r>
      <w:r>
        <w:tab/>
      </w:r>
      <w:r>
        <w:fldChar w:fldCharType="begin"/>
      </w:r>
      <w:r>
        <w:instrText xml:space="preserve"> PAGEREF _Toc14929 \h </w:instrText>
      </w:r>
      <w:r>
        <w:fldChar w:fldCharType="separate"/>
      </w:r>
      <w:r>
        <w:t>2</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_Toc4797 </w:instrText>
      </w:r>
      <w:r>
        <w:rPr>
          <w:highlight w:val="none"/>
        </w:rPr>
        <w:fldChar w:fldCharType="separate"/>
      </w:r>
      <w:r>
        <w:rPr>
          <w:rFonts w:hint="default" w:ascii="黑体" w:hAnsi="黑体" w:eastAsia="黑体"/>
          <w:bCs w:val="0"/>
          <w:szCs w:val="22"/>
        </w:rPr>
        <w:t xml:space="preserve">2.2. </w:t>
      </w:r>
      <w:r>
        <w:rPr>
          <w:rFonts w:hint="eastAsia" w:ascii="黑体" w:hAnsi="黑体" w:eastAsia="黑体"/>
          <w:bCs w:val="0"/>
          <w:szCs w:val="22"/>
          <w:highlight w:val="none"/>
        </w:rPr>
        <w:t>服务范围</w:t>
      </w:r>
      <w:r>
        <w:tab/>
      </w:r>
      <w:r>
        <w:fldChar w:fldCharType="begin"/>
      </w:r>
      <w:r>
        <w:instrText xml:space="preserve"> PAGEREF _Toc4797 \h </w:instrText>
      </w:r>
      <w:r>
        <w:fldChar w:fldCharType="separate"/>
      </w:r>
      <w:r>
        <w:t>2</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_Toc14224 </w:instrText>
      </w:r>
      <w:r>
        <w:rPr>
          <w:highlight w:val="none"/>
        </w:rPr>
        <w:fldChar w:fldCharType="separate"/>
      </w:r>
      <w:r>
        <w:rPr>
          <w:rFonts w:hint="default" w:ascii="黑体" w:hAnsi="黑体" w:eastAsia="黑体"/>
          <w:bCs w:val="0"/>
          <w:szCs w:val="22"/>
        </w:rPr>
        <w:t xml:space="preserve">2.3. </w:t>
      </w:r>
      <w:r>
        <w:rPr>
          <w:rFonts w:hint="eastAsia" w:ascii="黑体" w:hAnsi="黑体" w:eastAsia="黑体"/>
          <w:bCs w:val="0"/>
          <w:szCs w:val="22"/>
          <w:highlight w:val="none"/>
        </w:rPr>
        <w:t>应遵循的主要标准</w:t>
      </w:r>
      <w:r>
        <w:tab/>
      </w:r>
      <w:r>
        <w:fldChar w:fldCharType="begin"/>
      </w:r>
      <w:r>
        <w:instrText xml:space="preserve"> PAGEREF _Toc14224 \h </w:instrText>
      </w:r>
      <w:r>
        <w:fldChar w:fldCharType="separate"/>
      </w:r>
      <w:r>
        <w:t>2</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_Toc4543 </w:instrText>
      </w:r>
      <w:r>
        <w:rPr>
          <w:highlight w:val="none"/>
        </w:rPr>
        <w:fldChar w:fldCharType="separate"/>
      </w:r>
      <w:r>
        <w:rPr>
          <w:rFonts w:hint="default" w:ascii="黑体" w:hAnsi="黑体" w:eastAsia="黑体"/>
          <w:bCs w:val="0"/>
          <w:szCs w:val="22"/>
          <w:lang w:val="en-US" w:eastAsia="zh-CN"/>
        </w:rPr>
        <w:t xml:space="preserve">2.4. </w:t>
      </w:r>
      <w:r>
        <w:rPr>
          <w:rFonts w:hint="eastAsia" w:ascii="黑体" w:hAnsi="黑体" w:eastAsia="黑体"/>
          <w:bCs w:val="0"/>
          <w:szCs w:val="22"/>
          <w:highlight w:val="none"/>
        </w:rPr>
        <w:t>项目需求清单</w:t>
      </w:r>
      <w:r>
        <w:tab/>
      </w:r>
      <w:r>
        <w:fldChar w:fldCharType="begin"/>
      </w:r>
      <w:r>
        <w:instrText xml:space="preserve"> PAGEREF _Toc4543 \h </w:instrText>
      </w:r>
      <w:r>
        <w:fldChar w:fldCharType="separate"/>
      </w:r>
      <w:r>
        <w:t>3</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_Toc28778 </w:instrText>
      </w:r>
      <w:r>
        <w:rPr>
          <w:highlight w:val="none"/>
        </w:rPr>
        <w:fldChar w:fldCharType="separate"/>
      </w:r>
      <w:r>
        <w:rPr>
          <w:rFonts w:hint="default" w:ascii="黑体" w:hAnsi="黑体" w:eastAsia="黑体"/>
          <w:bCs w:val="0"/>
          <w:szCs w:val="22"/>
        </w:rPr>
        <w:t xml:space="preserve">2.5. </w:t>
      </w:r>
      <w:r>
        <w:rPr>
          <w:rFonts w:hint="eastAsia" w:ascii="黑体" w:hAnsi="黑体" w:eastAsia="黑体"/>
          <w:bCs w:val="0"/>
          <w:szCs w:val="22"/>
          <w:highlight w:val="none"/>
        </w:rPr>
        <w:t>技防部分数据集成应遵循的技术架构</w:t>
      </w:r>
      <w:r>
        <w:tab/>
      </w:r>
      <w:r>
        <w:fldChar w:fldCharType="begin"/>
      </w:r>
      <w:r>
        <w:instrText xml:space="preserve"> PAGEREF _Toc28778 \h </w:instrText>
      </w:r>
      <w:r>
        <w:fldChar w:fldCharType="separate"/>
      </w:r>
      <w:r>
        <w:t>16</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_Toc30513 </w:instrText>
      </w:r>
      <w:r>
        <w:rPr>
          <w:highlight w:val="none"/>
        </w:rPr>
        <w:fldChar w:fldCharType="separate"/>
      </w:r>
      <w:r>
        <w:rPr>
          <w:rFonts w:hint="default" w:ascii="黑体" w:hAnsi="黑体" w:eastAsia="黑体"/>
          <w:szCs w:val="22"/>
        </w:rPr>
        <w:t xml:space="preserve">2.5.1. </w:t>
      </w:r>
      <w:r>
        <w:rPr>
          <w:rFonts w:hint="eastAsia" w:ascii="黑体" w:hAnsi="黑体" w:eastAsia="黑体"/>
          <w:szCs w:val="22"/>
          <w:highlight w:val="none"/>
        </w:rPr>
        <w:t>安装</w:t>
      </w:r>
      <w:r>
        <w:rPr>
          <w:rFonts w:hint="eastAsia" w:ascii="黑体" w:hAnsi="黑体" w:eastAsia="黑体"/>
          <w:szCs w:val="22"/>
          <w:highlight w:val="none"/>
          <w:lang w:val="en-US" w:eastAsia="zh-CN"/>
        </w:rPr>
        <w:t>督导</w:t>
      </w:r>
      <w:r>
        <w:rPr>
          <w:rFonts w:hint="eastAsia" w:ascii="黑体" w:hAnsi="黑体" w:eastAsia="黑体"/>
          <w:szCs w:val="22"/>
          <w:highlight w:val="none"/>
        </w:rPr>
        <w:t>调试</w:t>
      </w:r>
      <w:r>
        <w:tab/>
      </w:r>
      <w:r>
        <w:fldChar w:fldCharType="begin"/>
      </w:r>
      <w:r>
        <w:instrText xml:space="preserve"> PAGEREF _Toc30513 \h </w:instrText>
      </w:r>
      <w:r>
        <w:fldChar w:fldCharType="separate"/>
      </w:r>
      <w:r>
        <w:t>18</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_Toc31541 </w:instrText>
      </w:r>
      <w:r>
        <w:rPr>
          <w:highlight w:val="none"/>
        </w:rPr>
        <w:fldChar w:fldCharType="separate"/>
      </w:r>
      <w:r>
        <w:rPr>
          <w:rFonts w:hint="default" w:ascii="黑体" w:hAnsi="黑体" w:eastAsia="黑体"/>
          <w:szCs w:val="22"/>
        </w:rPr>
        <w:t xml:space="preserve">2.5.2. </w:t>
      </w:r>
      <w:r>
        <w:rPr>
          <w:rFonts w:hint="eastAsia" w:ascii="黑体" w:hAnsi="黑体" w:eastAsia="黑体"/>
          <w:szCs w:val="22"/>
          <w:highlight w:val="none"/>
        </w:rPr>
        <w:t>测试</w:t>
      </w:r>
      <w:r>
        <w:tab/>
      </w:r>
      <w:r>
        <w:fldChar w:fldCharType="begin"/>
      </w:r>
      <w:r>
        <w:instrText xml:space="preserve"> PAGEREF _Toc31541 \h </w:instrText>
      </w:r>
      <w:r>
        <w:fldChar w:fldCharType="separate"/>
      </w:r>
      <w:r>
        <w:t>19</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_Toc25621 </w:instrText>
      </w:r>
      <w:r>
        <w:rPr>
          <w:highlight w:val="none"/>
        </w:rPr>
        <w:fldChar w:fldCharType="separate"/>
      </w:r>
      <w:r>
        <w:rPr>
          <w:rFonts w:hint="default" w:ascii="黑体" w:hAnsi="黑体" w:eastAsia="黑体"/>
          <w:bCs w:val="0"/>
          <w:szCs w:val="22"/>
        </w:rPr>
        <w:t xml:space="preserve">2.6. </w:t>
      </w:r>
      <w:r>
        <w:rPr>
          <w:rFonts w:hint="eastAsia" w:ascii="黑体" w:hAnsi="黑体" w:eastAsia="黑体"/>
          <w:bCs w:val="0"/>
          <w:szCs w:val="22"/>
          <w:highlight w:val="none"/>
        </w:rPr>
        <w:t>质保及验收要求</w:t>
      </w:r>
      <w:r>
        <w:tab/>
      </w:r>
      <w:r>
        <w:fldChar w:fldCharType="begin"/>
      </w:r>
      <w:r>
        <w:instrText xml:space="preserve"> PAGEREF _Toc25621 \h </w:instrText>
      </w:r>
      <w:r>
        <w:fldChar w:fldCharType="separate"/>
      </w:r>
      <w:r>
        <w:t>19</w:t>
      </w:r>
      <w:r>
        <w:fldChar w:fldCharType="end"/>
      </w:r>
      <w:r>
        <w:rPr>
          <w:highlight w:val="none"/>
        </w:rPr>
        <w:fldChar w:fldCharType="end"/>
      </w:r>
    </w:p>
    <w:p>
      <w:pPr>
        <w:pStyle w:val="16"/>
        <w:tabs>
          <w:tab w:val="right" w:leader="dot" w:pos="8306"/>
        </w:tabs>
      </w:pPr>
      <w:r>
        <w:rPr>
          <w:highlight w:val="none"/>
        </w:rPr>
        <w:fldChar w:fldCharType="begin"/>
      </w:r>
      <w:r>
        <w:rPr>
          <w:highlight w:val="none"/>
        </w:rPr>
        <w:instrText xml:space="preserve"> HYPERLINK \l _Toc20704 </w:instrText>
      </w:r>
      <w:r>
        <w:rPr>
          <w:highlight w:val="none"/>
        </w:rPr>
        <w:fldChar w:fldCharType="separate"/>
      </w:r>
      <w:r>
        <w:rPr>
          <w:rFonts w:hint="default" w:ascii="黑体" w:hAnsi="黑体" w:eastAsia="黑体"/>
          <w:bCs w:val="0"/>
          <w:szCs w:val="22"/>
        </w:rPr>
        <w:t xml:space="preserve">3. </w:t>
      </w:r>
      <w:r>
        <w:rPr>
          <w:rFonts w:hint="eastAsia" w:ascii="黑体" w:hAnsi="黑体" w:eastAsia="黑体"/>
          <w:bCs w:val="0"/>
          <w:szCs w:val="22"/>
          <w:highlight w:val="none"/>
        </w:rPr>
        <w:t>终端设备与系统集成要求</w:t>
      </w:r>
      <w:r>
        <w:tab/>
      </w:r>
      <w:r>
        <w:fldChar w:fldCharType="begin"/>
      </w:r>
      <w:r>
        <w:instrText xml:space="preserve"> PAGEREF _Toc20704 \h </w:instrText>
      </w:r>
      <w:r>
        <w:fldChar w:fldCharType="separate"/>
      </w:r>
      <w:r>
        <w:t>19</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_Toc16808 </w:instrText>
      </w:r>
      <w:r>
        <w:rPr>
          <w:highlight w:val="none"/>
        </w:rPr>
        <w:fldChar w:fldCharType="separate"/>
      </w:r>
      <w:r>
        <w:rPr>
          <w:rFonts w:hint="default" w:ascii="黑体" w:hAnsi="黑体" w:eastAsia="黑体"/>
          <w:bCs w:val="0"/>
          <w:szCs w:val="22"/>
        </w:rPr>
        <w:t xml:space="preserve">3.1. </w:t>
      </w:r>
      <w:r>
        <w:rPr>
          <w:rFonts w:hint="eastAsia" w:ascii="黑体" w:hAnsi="黑体" w:eastAsia="黑体"/>
          <w:bCs w:val="0"/>
          <w:szCs w:val="22"/>
          <w:highlight w:val="none"/>
        </w:rPr>
        <w:t>联网要求</w:t>
      </w:r>
      <w:r>
        <w:tab/>
      </w:r>
      <w:r>
        <w:fldChar w:fldCharType="begin"/>
      </w:r>
      <w:r>
        <w:instrText xml:space="preserve"> PAGEREF _Toc16808 \h </w:instrText>
      </w:r>
      <w:r>
        <w:fldChar w:fldCharType="separate"/>
      </w:r>
      <w:r>
        <w:t>19</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_Toc387 </w:instrText>
      </w:r>
      <w:r>
        <w:rPr>
          <w:highlight w:val="none"/>
        </w:rPr>
        <w:fldChar w:fldCharType="separate"/>
      </w:r>
      <w:r>
        <w:rPr>
          <w:rFonts w:hint="default" w:ascii="黑体" w:hAnsi="黑体" w:eastAsia="黑体"/>
          <w:bCs w:val="0"/>
          <w:szCs w:val="22"/>
        </w:rPr>
        <w:t xml:space="preserve">3.2. </w:t>
      </w:r>
      <w:r>
        <w:rPr>
          <w:rFonts w:hint="eastAsia" w:ascii="黑体" w:hAnsi="黑体" w:eastAsia="黑体"/>
          <w:bCs w:val="0"/>
          <w:szCs w:val="22"/>
          <w:highlight w:val="none"/>
        </w:rPr>
        <w:t>无线通信</w:t>
      </w:r>
      <w:r>
        <w:tab/>
      </w:r>
      <w:r>
        <w:fldChar w:fldCharType="begin"/>
      </w:r>
      <w:r>
        <w:instrText xml:space="preserve"> PAGEREF _Toc387 \h </w:instrText>
      </w:r>
      <w:r>
        <w:fldChar w:fldCharType="separate"/>
      </w:r>
      <w:r>
        <w:t>20</w:t>
      </w:r>
      <w:r>
        <w:fldChar w:fldCharType="end"/>
      </w:r>
      <w:r>
        <w:rPr>
          <w:highlight w:val="none"/>
        </w:rPr>
        <w:fldChar w:fldCharType="end"/>
      </w:r>
    </w:p>
    <w:p>
      <w:pPr>
        <w:pStyle w:val="16"/>
        <w:tabs>
          <w:tab w:val="right" w:leader="dot" w:pos="8306"/>
        </w:tabs>
      </w:pPr>
      <w:r>
        <w:rPr>
          <w:highlight w:val="none"/>
        </w:rPr>
        <w:fldChar w:fldCharType="begin"/>
      </w:r>
      <w:r>
        <w:rPr>
          <w:highlight w:val="none"/>
        </w:rPr>
        <w:instrText xml:space="preserve"> HYPERLINK \l _Toc9294 </w:instrText>
      </w:r>
      <w:r>
        <w:rPr>
          <w:highlight w:val="none"/>
        </w:rPr>
        <w:fldChar w:fldCharType="separate"/>
      </w:r>
      <w:r>
        <w:rPr>
          <w:rFonts w:hint="default" w:ascii="黑体" w:hAnsi="黑体" w:eastAsia="黑体"/>
          <w:bCs w:val="0"/>
          <w:szCs w:val="22"/>
        </w:rPr>
        <w:t xml:space="preserve">4. </w:t>
      </w:r>
      <w:r>
        <w:rPr>
          <w:rFonts w:hint="eastAsia" w:ascii="黑体" w:hAnsi="黑体" w:eastAsia="黑体"/>
          <w:bCs w:val="0"/>
          <w:szCs w:val="22"/>
          <w:highlight w:val="none"/>
        </w:rPr>
        <w:t>包装、运输和贮存</w:t>
      </w:r>
      <w:r>
        <w:tab/>
      </w:r>
      <w:r>
        <w:fldChar w:fldCharType="begin"/>
      </w:r>
      <w:r>
        <w:instrText xml:space="preserve"> PAGEREF _Toc9294 \h </w:instrText>
      </w:r>
      <w:r>
        <w:fldChar w:fldCharType="separate"/>
      </w:r>
      <w:r>
        <w:t>20</w:t>
      </w:r>
      <w:r>
        <w:fldChar w:fldCharType="end"/>
      </w:r>
      <w:r>
        <w:rPr>
          <w:highlight w:val="none"/>
        </w:rPr>
        <w:fldChar w:fldCharType="end"/>
      </w:r>
    </w:p>
    <w:p>
      <w:pPr>
        <w:pStyle w:val="16"/>
        <w:tabs>
          <w:tab w:val="right" w:leader="dot" w:pos="8306"/>
        </w:tabs>
      </w:pPr>
      <w:r>
        <w:rPr>
          <w:highlight w:val="none"/>
        </w:rPr>
        <w:fldChar w:fldCharType="begin"/>
      </w:r>
      <w:r>
        <w:rPr>
          <w:highlight w:val="none"/>
        </w:rPr>
        <w:instrText xml:space="preserve"> HYPERLINK \l _Toc2571 </w:instrText>
      </w:r>
      <w:r>
        <w:rPr>
          <w:highlight w:val="none"/>
        </w:rPr>
        <w:fldChar w:fldCharType="separate"/>
      </w:r>
      <w:r>
        <w:rPr>
          <w:rFonts w:hint="default" w:ascii="黑体" w:hAnsi="黑体" w:eastAsia="黑体"/>
          <w:bCs w:val="0"/>
          <w:szCs w:val="22"/>
        </w:rPr>
        <w:t xml:space="preserve">5. </w:t>
      </w:r>
      <w:r>
        <w:rPr>
          <w:rFonts w:hint="eastAsia" w:ascii="黑体" w:hAnsi="黑体" w:eastAsia="黑体"/>
          <w:bCs w:val="0"/>
          <w:szCs w:val="22"/>
          <w:highlight w:val="none"/>
        </w:rPr>
        <w:t>双方工作安排</w:t>
      </w:r>
      <w:r>
        <w:tab/>
      </w:r>
      <w:r>
        <w:fldChar w:fldCharType="begin"/>
      </w:r>
      <w:r>
        <w:instrText xml:space="preserve"> PAGEREF _Toc2571 \h </w:instrText>
      </w:r>
      <w:r>
        <w:fldChar w:fldCharType="separate"/>
      </w:r>
      <w:r>
        <w:t>20</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_Toc20204 </w:instrText>
      </w:r>
      <w:r>
        <w:rPr>
          <w:highlight w:val="none"/>
        </w:rPr>
        <w:fldChar w:fldCharType="separate"/>
      </w:r>
      <w:r>
        <w:rPr>
          <w:rFonts w:hint="default" w:ascii="黑体" w:hAnsi="黑体" w:eastAsia="黑体"/>
          <w:bCs w:val="0"/>
          <w:szCs w:val="22"/>
        </w:rPr>
        <w:t xml:space="preserve">5.1. </w:t>
      </w:r>
      <w:r>
        <w:rPr>
          <w:rFonts w:hint="eastAsia" w:ascii="黑体" w:hAnsi="黑体" w:eastAsia="黑体"/>
          <w:bCs w:val="0"/>
          <w:szCs w:val="22"/>
          <w:highlight w:val="none"/>
        </w:rPr>
        <w:t>招标人职责</w:t>
      </w:r>
      <w:r>
        <w:tab/>
      </w:r>
      <w:r>
        <w:fldChar w:fldCharType="begin"/>
      </w:r>
      <w:r>
        <w:instrText xml:space="preserve"> PAGEREF _Toc20204 \h </w:instrText>
      </w:r>
      <w:r>
        <w:fldChar w:fldCharType="separate"/>
      </w:r>
      <w:r>
        <w:t>20</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_Toc15537 </w:instrText>
      </w:r>
      <w:r>
        <w:rPr>
          <w:highlight w:val="none"/>
        </w:rPr>
        <w:fldChar w:fldCharType="separate"/>
      </w:r>
      <w:r>
        <w:rPr>
          <w:rFonts w:hint="default" w:ascii="黑体" w:hAnsi="黑体" w:eastAsia="黑体"/>
          <w:bCs w:val="0"/>
          <w:szCs w:val="22"/>
        </w:rPr>
        <w:t xml:space="preserve">5.2. </w:t>
      </w:r>
      <w:r>
        <w:rPr>
          <w:rFonts w:hint="eastAsia" w:ascii="黑体" w:hAnsi="黑体" w:eastAsia="黑体"/>
          <w:bCs w:val="0"/>
          <w:szCs w:val="22"/>
          <w:highlight w:val="none"/>
        </w:rPr>
        <w:t>投标人职责</w:t>
      </w:r>
      <w:r>
        <w:tab/>
      </w:r>
      <w:r>
        <w:fldChar w:fldCharType="begin"/>
      </w:r>
      <w:r>
        <w:instrText xml:space="preserve"> PAGEREF _Toc15537 \h </w:instrText>
      </w:r>
      <w:r>
        <w:fldChar w:fldCharType="separate"/>
      </w:r>
      <w:r>
        <w:t>20</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_Toc8729 </w:instrText>
      </w:r>
      <w:r>
        <w:rPr>
          <w:highlight w:val="none"/>
        </w:rPr>
        <w:fldChar w:fldCharType="separate"/>
      </w:r>
      <w:r>
        <w:rPr>
          <w:rFonts w:hint="default" w:ascii="黑体" w:hAnsi="黑体" w:eastAsia="黑体"/>
          <w:bCs w:val="0"/>
          <w:szCs w:val="22"/>
        </w:rPr>
        <w:t xml:space="preserve">5.3. </w:t>
      </w:r>
      <w:r>
        <w:rPr>
          <w:rFonts w:hint="eastAsia" w:ascii="黑体" w:hAnsi="黑体" w:eastAsia="黑体"/>
          <w:bCs w:val="0"/>
          <w:szCs w:val="22"/>
          <w:highlight w:val="none"/>
        </w:rPr>
        <w:t>设计联络会与培训</w:t>
      </w:r>
      <w:r>
        <w:tab/>
      </w:r>
      <w:r>
        <w:fldChar w:fldCharType="begin"/>
      </w:r>
      <w:r>
        <w:instrText xml:space="preserve"> PAGEREF _Toc8729 \h </w:instrText>
      </w:r>
      <w:r>
        <w:fldChar w:fldCharType="separate"/>
      </w:r>
      <w:r>
        <w:t>21</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_Toc31209 </w:instrText>
      </w:r>
      <w:r>
        <w:rPr>
          <w:highlight w:val="none"/>
        </w:rPr>
        <w:fldChar w:fldCharType="separate"/>
      </w:r>
      <w:r>
        <w:rPr>
          <w:rFonts w:hint="default" w:ascii="黑体" w:hAnsi="黑体" w:eastAsia="黑体"/>
          <w:szCs w:val="22"/>
        </w:rPr>
        <w:t xml:space="preserve">5.3.1. </w:t>
      </w:r>
      <w:r>
        <w:rPr>
          <w:rFonts w:hint="eastAsia" w:ascii="黑体" w:hAnsi="黑体" w:eastAsia="黑体"/>
          <w:szCs w:val="22"/>
          <w:highlight w:val="none"/>
        </w:rPr>
        <w:t>设计联络会</w:t>
      </w:r>
      <w:r>
        <w:tab/>
      </w:r>
      <w:r>
        <w:fldChar w:fldCharType="begin"/>
      </w:r>
      <w:r>
        <w:instrText xml:space="preserve"> PAGEREF _Toc31209 \h </w:instrText>
      </w:r>
      <w:r>
        <w:fldChar w:fldCharType="separate"/>
      </w:r>
      <w:r>
        <w:t>21</w:t>
      </w:r>
      <w:r>
        <w:fldChar w:fldCharType="end"/>
      </w:r>
      <w:r>
        <w:rPr>
          <w:highlight w:val="none"/>
        </w:rPr>
        <w:fldChar w:fldCharType="end"/>
      </w:r>
    </w:p>
    <w:p>
      <w:pPr>
        <w:pStyle w:val="11"/>
        <w:tabs>
          <w:tab w:val="right" w:leader="dot" w:pos="8306"/>
        </w:tabs>
      </w:pPr>
      <w:r>
        <w:rPr>
          <w:highlight w:val="none"/>
        </w:rPr>
        <w:fldChar w:fldCharType="begin"/>
      </w:r>
      <w:r>
        <w:rPr>
          <w:highlight w:val="none"/>
        </w:rPr>
        <w:instrText xml:space="preserve"> HYPERLINK \l _Toc24012 </w:instrText>
      </w:r>
      <w:r>
        <w:rPr>
          <w:highlight w:val="none"/>
        </w:rPr>
        <w:fldChar w:fldCharType="separate"/>
      </w:r>
      <w:r>
        <w:rPr>
          <w:rFonts w:hint="default" w:ascii="黑体" w:hAnsi="黑体" w:eastAsia="黑体"/>
          <w:szCs w:val="22"/>
        </w:rPr>
        <w:t xml:space="preserve">5.3.2. </w:t>
      </w:r>
      <w:r>
        <w:rPr>
          <w:rFonts w:hint="eastAsia" w:ascii="黑体" w:hAnsi="黑体" w:eastAsia="黑体"/>
          <w:szCs w:val="22"/>
          <w:highlight w:val="none"/>
        </w:rPr>
        <w:t>培训</w:t>
      </w:r>
      <w:r>
        <w:tab/>
      </w:r>
      <w:r>
        <w:fldChar w:fldCharType="begin"/>
      </w:r>
      <w:r>
        <w:instrText xml:space="preserve"> PAGEREF _Toc24012 \h </w:instrText>
      </w:r>
      <w:r>
        <w:fldChar w:fldCharType="separate"/>
      </w:r>
      <w:r>
        <w:t>21</w:t>
      </w:r>
      <w:r>
        <w:fldChar w:fldCharType="end"/>
      </w:r>
      <w:r>
        <w:rPr>
          <w:highlight w:val="none"/>
        </w:rPr>
        <w:fldChar w:fldCharType="end"/>
      </w:r>
    </w:p>
    <w:p>
      <w:pPr>
        <w:pStyle w:val="16"/>
        <w:tabs>
          <w:tab w:val="right" w:leader="dot" w:pos="8306"/>
        </w:tabs>
      </w:pPr>
      <w:r>
        <w:rPr>
          <w:highlight w:val="none"/>
        </w:rPr>
        <w:fldChar w:fldCharType="begin"/>
      </w:r>
      <w:r>
        <w:rPr>
          <w:highlight w:val="none"/>
        </w:rPr>
        <w:instrText xml:space="preserve"> HYPERLINK \l _Toc9693 </w:instrText>
      </w:r>
      <w:r>
        <w:rPr>
          <w:highlight w:val="none"/>
        </w:rPr>
        <w:fldChar w:fldCharType="separate"/>
      </w:r>
      <w:r>
        <w:rPr>
          <w:rFonts w:hint="default" w:ascii="黑体" w:hAnsi="黑体" w:eastAsia="黑体"/>
          <w:bCs w:val="0"/>
          <w:szCs w:val="22"/>
        </w:rPr>
        <w:t xml:space="preserve">6. </w:t>
      </w:r>
      <w:r>
        <w:rPr>
          <w:rFonts w:hint="eastAsia" w:ascii="黑体" w:hAnsi="黑体" w:eastAsia="黑体"/>
          <w:bCs w:val="0"/>
          <w:szCs w:val="22"/>
          <w:highlight w:val="none"/>
        </w:rPr>
        <w:t>技术资料</w:t>
      </w:r>
      <w:r>
        <w:tab/>
      </w:r>
      <w:r>
        <w:fldChar w:fldCharType="begin"/>
      </w:r>
      <w:r>
        <w:instrText xml:space="preserve"> PAGEREF _Toc9693 \h </w:instrText>
      </w:r>
      <w:r>
        <w:fldChar w:fldCharType="separate"/>
      </w:r>
      <w:r>
        <w:t>22</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_Toc4457 </w:instrText>
      </w:r>
      <w:r>
        <w:rPr>
          <w:highlight w:val="none"/>
        </w:rPr>
        <w:fldChar w:fldCharType="separate"/>
      </w:r>
      <w:r>
        <w:rPr>
          <w:rFonts w:hint="default" w:ascii="黑体" w:hAnsi="黑体" w:eastAsia="黑体"/>
          <w:bCs w:val="0"/>
          <w:szCs w:val="22"/>
        </w:rPr>
        <w:t xml:space="preserve">6.1. </w:t>
      </w:r>
      <w:r>
        <w:rPr>
          <w:rFonts w:hint="eastAsia" w:ascii="黑体" w:hAnsi="黑体" w:eastAsia="黑体"/>
          <w:bCs w:val="0"/>
          <w:szCs w:val="22"/>
          <w:highlight w:val="none"/>
        </w:rPr>
        <w:t>文件资料的数量</w:t>
      </w:r>
      <w:r>
        <w:tab/>
      </w:r>
      <w:r>
        <w:fldChar w:fldCharType="begin"/>
      </w:r>
      <w:r>
        <w:instrText xml:space="preserve"> PAGEREF _Toc4457 \h </w:instrText>
      </w:r>
      <w:r>
        <w:fldChar w:fldCharType="separate"/>
      </w:r>
      <w:r>
        <w:t>22</w:t>
      </w:r>
      <w:r>
        <w:fldChar w:fldCharType="end"/>
      </w:r>
      <w:r>
        <w:rPr>
          <w:highlight w:val="none"/>
        </w:rPr>
        <w:fldChar w:fldCharType="end"/>
      </w:r>
    </w:p>
    <w:p>
      <w:pPr>
        <w:pStyle w:val="16"/>
        <w:tabs>
          <w:tab w:val="right" w:leader="dot" w:pos="8306"/>
        </w:tabs>
      </w:pPr>
      <w:r>
        <w:rPr>
          <w:highlight w:val="none"/>
        </w:rPr>
        <w:fldChar w:fldCharType="begin"/>
      </w:r>
      <w:r>
        <w:rPr>
          <w:highlight w:val="none"/>
        </w:rPr>
        <w:instrText xml:space="preserve"> HYPERLINK \l _Toc26296 </w:instrText>
      </w:r>
      <w:r>
        <w:rPr>
          <w:highlight w:val="none"/>
        </w:rPr>
        <w:fldChar w:fldCharType="separate"/>
      </w:r>
      <w:r>
        <w:rPr>
          <w:rFonts w:hint="default" w:ascii="黑体" w:hAnsi="黑体" w:eastAsia="黑体"/>
          <w:bCs w:val="0"/>
          <w:szCs w:val="22"/>
        </w:rPr>
        <w:t xml:space="preserve">7. </w:t>
      </w:r>
      <w:r>
        <w:rPr>
          <w:rFonts w:hint="eastAsia" w:ascii="黑体" w:hAnsi="黑体" w:eastAsia="黑体"/>
          <w:bCs w:val="0"/>
          <w:szCs w:val="22"/>
          <w:highlight w:val="none"/>
        </w:rPr>
        <w:t>到货及验收</w:t>
      </w:r>
      <w:r>
        <w:tab/>
      </w:r>
      <w:r>
        <w:fldChar w:fldCharType="begin"/>
      </w:r>
      <w:r>
        <w:instrText xml:space="preserve"> PAGEREF _Toc26296 \h </w:instrText>
      </w:r>
      <w:r>
        <w:fldChar w:fldCharType="separate"/>
      </w:r>
      <w:r>
        <w:t>22</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_Toc13669 </w:instrText>
      </w:r>
      <w:r>
        <w:rPr>
          <w:highlight w:val="none"/>
        </w:rPr>
        <w:fldChar w:fldCharType="separate"/>
      </w:r>
      <w:r>
        <w:rPr>
          <w:rFonts w:hint="default" w:ascii="黑体" w:hAnsi="黑体" w:eastAsia="黑体"/>
          <w:bCs w:val="0"/>
          <w:szCs w:val="22"/>
        </w:rPr>
        <w:t xml:space="preserve">7.1. </w:t>
      </w:r>
      <w:r>
        <w:rPr>
          <w:rFonts w:hint="eastAsia" w:ascii="黑体" w:hAnsi="黑体" w:eastAsia="黑体"/>
          <w:bCs w:val="0"/>
          <w:szCs w:val="22"/>
          <w:highlight w:val="none"/>
        </w:rPr>
        <w:t>到货</w:t>
      </w:r>
      <w:r>
        <w:tab/>
      </w:r>
      <w:r>
        <w:fldChar w:fldCharType="begin"/>
      </w:r>
      <w:r>
        <w:instrText xml:space="preserve"> PAGEREF _Toc13669 \h </w:instrText>
      </w:r>
      <w:r>
        <w:fldChar w:fldCharType="separate"/>
      </w:r>
      <w:r>
        <w:t>22</w:t>
      </w:r>
      <w:r>
        <w:fldChar w:fldCharType="end"/>
      </w:r>
      <w:r>
        <w:rPr>
          <w:highlight w:val="none"/>
        </w:rPr>
        <w:fldChar w:fldCharType="end"/>
      </w:r>
    </w:p>
    <w:p>
      <w:pPr>
        <w:pStyle w:val="17"/>
        <w:tabs>
          <w:tab w:val="right" w:leader="dot" w:pos="8306"/>
        </w:tabs>
      </w:pPr>
      <w:r>
        <w:rPr>
          <w:highlight w:val="none"/>
        </w:rPr>
        <w:fldChar w:fldCharType="begin"/>
      </w:r>
      <w:r>
        <w:rPr>
          <w:highlight w:val="none"/>
        </w:rPr>
        <w:instrText xml:space="preserve"> HYPERLINK \l _Toc23111 </w:instrText>
      </w:r>
      <w:r>
        <w:rPr>
          <w:highlight w:val="none"/>
        </w:rPr>
        <w:fldChar w:fldCharType="separate"/>
      </w:r>
      <w:r>
        <w:rPr>
          <w:rFonts w:hint="default" w:ascii="黑体" w:hAnsi="黑体" w:eastAsia="黑体"/>
          <w:bCs w:val="0"/>
          <w:szCs w:val="22"/>
        </w:rPr>
        <w:t xml:space="preserve">7.2. </w:t>
      </w:r>
      <w:r>
        <w:rPr>
          <w:rFonts w:hint="eastAsia" w:ascii="黑体" w:hAnsi="黑体" w:eastAsia="黑体"/>
          <w:bCs w:val="0"/>
          <w:szCs w:val="22"/>
          <w:highlight w:val="none"/>
        </w:rPr>
        <w:t>验收</w:t>
      </w:r>
      <w:r>
        <w:tab/>
      </w:r>
      <w:r>
        <w:fldChar w:fldCharType="begin"/>
      </w:r>
      <w:r>
        <w:instrText xml:space="preserve"> PAGEREF _Toc23111 \h </w:instrText>
      </w:r>
      <w:r>
        <w:fldChar w:fldCharType="separate"/>
      </w:r>
      <w:r>
        <w:t>22</w:t>
      </w:r>
      <w:r>
        <w:fldChar w:fldCharType="end"/>
      </w:r>
      <w:r>
        <w:rPr>
          <w:highlight w:val="none"/>
        </w:rPr>
        <w:fldChar w:fldCharType="end"/>
      </w:r>
    </w:p>
    <w:p>
      <w:pPr>
        <w:pStyle w:val="16"/>
        <w:tabs>
          <w:tab w:val="right" w:leader="dot" w:pos="8306"/>
        </w:tabs>
      </w:pPr>
      <w:r>
        <w:rPr>
          <w:highlight w:val="none"/>
        </w:rPr>
        <w:fldChar w:fldCharType="begin"/>
      </w:r>
      <w:r>
        <w:rPr>
          <w:highlight w:val="none"/>
        </w:rPr>
        <w:instrText xml:space="preserve"> HYPERLINK \l _Toc724 </w:instrText>
      </w:r>
      <w:r>
        <w:rPr>
          <w:highlight w:val="none"/>
        </w:rPr>
        <w:fldChar w:fldCharType="separate"/>
      </w:r>
      <w:r>
        <w:rPr>
          <w:rFonts w:hint="default" w:ascii="黑体" w:hAnsi="黑体" w:eastAsia="黑体"/>
          <w:bCs w:val="0"/>
          <w:szCs w:val="22"/>
        </w:rPr>
        <w:t xml:space="preserve">8. </w:t>
      </w:r>
      <w:r>
        <w:rPr>
          <w:rFonts w:hint="eastAsia" w:ascii="黑体" w:hAnsi="黑体" w:eastAsia="黑体"/>
          <w:bCs w:val="0"/>
          <w:szCs w:val="22"/>
          <w:highlight w:val="none"/>
        </w:rPr>
        <w:t>技术服务</w:t>
      </w:r>
      <w:r>
        <w:tab/>
      </w:r>
      <w:r>
        <w:fldChar w:fldCharType="begin"/>
      </w:r>
      <w:r>
        <w:instrText xml:space="preserve"> PAGEREF _Toc724 \h </w:instrText>
      </w:r>
      <w:r>
        <w:fldChar w:fldCharType="separate"/>
      </w:r>
      <w:r>
        <w:t>22</w:t>
      </w:r>
      <w:r>
        <w:fldChar w:fldCharType="end"/>
      </w:r>
      <w:r>
        <w:rPr>
          <w:highlight w:val="none"/>
        </w:rPr>
        <w:fldChar w:fldCharType="end"/>
      </w:r>
    </w:p>
    <w:p>
      <w:pPr>
        <w:pStyle w:val="16"/>
        <w:tabs>
          <w:tab w:val="center" w:pos="4153"/>
        </w:tabs>
        <w:spacing w:line="240" w:lineRule="auto"/>
        <w:rPr>
          <w:rFonts w:hint="eastAsia" w:eastAsia="宋体"/>
          <w:b/>
          <w:sz w:val="21"/>
          <w:highlight w:val="none"/>
          <w:lang w:eastAsia="zh-CN"/>
        </w:rPr>
        <w:sectPr>
          <w:pgSz w:w="11906" w:h="16838"/>
          <w:pgMar w:top="1440" w:right="1800" w:bottom="1440" w:left="1800" w:header="851" w:footer="992" w:gutter="0"/>
          <w:pgNumType w:start="1"/>
          <w:cols w:space="425" w:num="1"/>
          <w:docGrid w:type="lines" w:linePitch="312" w:charSpace="0"/>
        </w:sectPr>
      </w:pPr>
      <w:r>
        <w:rPr>
          <w:highlight w:val="none"/>
        </w:rPr>
        <w:fldChar w:fldCharType="end"/>
      </w:r>
      <w:r>
        <w:rPr>
          <w:b/>
          <w:sz w:val="21"/>
          <w:highlight w:val="none"/>
        </w:rPr>
        <w:br w:type="page"/>
      </w:r>
    </w:p>
    <w:bookmarkEnd w:id="0"/>
    <w:p>
      <w:pPr>
        <w:pStyle w:val="4"/>
        <w:numPr>
          <w:ilvl w:val="0"/>
          <w:numId w:val="5"/>
        </w:numPr>
        <w:topLinePunct/>
        <w:spacing w:before="0" w:after="0" w:line="480" w:lineRule="auto"/>
        <w:jc w:val="left"/>
        <w:textAlignment w:val="baseline"/>
        <w:rPr>
          <w:rFonts w:ascii="黑体" w:hAnsi="黑体" w:eastAsia="黑体"/>
          <w:bCs w:val="0"/>
          <w:color w:val="auto"/>
          <w:sz w:val="22"/>
          <w:szCs w:val="22"/>
          <w:highlight w:val="none"/>
        </w:rPr>
      </w:pPr>
      <w:bookmarkStart w:id="1" w:name="_Toc21094"/>
      <w:r>
        <w:rPr>
          <w:rFonts w:hint="eastAsia" w:ascii="黑体" w:hAnsi="黑体" w:eastAsia="黑体"/>
          <w:bCs w:val="0"/>
          <w:color w:val="auto"/>
          <w:sz w:val="22"/>
          <w:szCs w:val="22"/>
          <w:highlight w:val="none"/>
        </w:rPr>
        <w:t>总则</w:t>
      </w:r>
      <w:bookmarkEnd w:id="1"/>
    </w:p>
    <w:p>
      <w:pPr>
        <w:numPr>
          <w:ilvl w:val="0"/>
          <w:numId w:val="6"/>
        </w:numPr>
        <w:adjustRightInd w:val="0"/>
        <w:snapToGrid w:val="0"/>
        <w:rPr>
          <w:rFonts w:hint="eastAsia" w:ascii="宋体" w:hAnsi="宋体"/>
          <w:spacing w:val="-4"/>
          <w:sz w:val="21"/>
          <w:szCs w:val="21"/>
          <w:highlight w:val="none"/>
        </w:rPr>
      </w:pPr>
      <w:bookmarkStart w:id="2" w:name="_Toc27301"/>
      <w:bookmarkStart w:id="3" w:name="_Toc12600"/>
      <w:r>
        <w:rPr>
          <w:rFonts w:hint="eastAsia" w:ascii="宋体" w:hAnsi="宋体"/>
          <w:spacing w:val="-4"/>
          <w:sz w:val="21"/>
          <w:szCs w:val="21"/>
          <w:highlight w:val="none"/>
        </w:rPr>
        <w:t>本次招标的中标方应按照项目的设备供货、调试、数据接入、系统联调等集成技术服务方面的技术要求，完成项目规定的建设任务，并协助其他相关的工作。</w:t>
      </w:r>
    </w:p>
    <w:p>
      <w:pPr>
        <w:numPr>
          <w:ilvl w:val="0"/>
          <w:numId w:val="6"/>
        </w:numPr>
        <w:adjustRightInd w:val="0"/>
        <w:snapToGrid w:val="0"/>
        <w:rPr>
          <w:rFonts w:ascii="宋体" w:hAnsi="宋体"/>
          <w:spacing w:val="-4"/>
          <w:sz w:val="21"/>
          <w:szCs w:val="21"/>
          <w:highlight w:val="none"/>
        </w:rPr>
      </w:pPr>
      <w:r>
        <w:rPr>
          <w:rFonts w:hint="eastAsia" w:ascii="宋体" w:hAnsi="宋体"/>
          <w:spacing w:val="-4"/>
          <w:sz w:val="21"/>
          <w:szCs w:val="21"/>
          <w:highlight w:val="none"/>
        </w:rPr>
        <w:t>本招标技术规范提出的是最低限度的技术要求,并未对一切技术细节作出规定,也未充分引述有关标准和规范的条文,投标人应提供符合本招标技术文件和工业标准的优质产品。</w:t>
      </w:r>
      <w:bookmarkEnd w:id="2"/>
      <w:bookmarkEnd w:id="3"/>
      <w:bookmarkStart w:id="4" w:name="_Toc8475"/>
      <w:bookmarkStart w:id="5" w:name="_Toc8522"/>
    </w:p>
    <w:p>
      <w:pPr>
        <w:numPr>
          <w:ilvl w:val="0"/>
          <w:numId w:val="6"/>
        </w:numPr>
        <w:adjustRightInd w:val="0"/>
        <w:snapToGrid w:val="0"/>
        <w:rPr>
          <w:rFonts w:ascii="宋体" w:hAnsi="宋体"/>
          <w:spacing w:val="-4"/>
          <w:sz w:val="21"/>
          <w:szCs w:val="21"/>
          <w:highlight w:val="none"/>
        </w:rPr>
      </w:pPr>
      <w:r>
        <w:rPr>
          <w:rFonts w:hint="eastAsia" w:ascii="宋体" w:hAnsi="宋体"/>
          <w:spacing w:val="-4"/>
          <w:sz w:val="21"/>
          <w:szCs w:val="21"/>
          <w:highlight w:val="none"/>
        </w:rPr>
        <w:t>如果投标人没有以书面形式对本招标技术规范的条文提出异议,则意味着投标人提供的设备完全符合本招标技术规范的要求。如有异议,都应在报价书中以“对招标技术规范的意见和同招标技术规范的差异”为标题的专门章节中加以详细描述。</w:t>
      </w:r>
      <w:bookmarkEnd w:id="4"/>
      <w:bookmarkEnd w:id="5"/>
      <w:bookmarkStart w:id="6" w:name="_Toc8446"/>
      <w:bookmarkStart w:id="7" w:name="_Toc3512"/>
    </w:p>
    <w:p>
      <w:pPr>
        <w:numPr>
          <w:ilvl w:val="0"/>
          <w:numId w:val="6"/>
        </w:numPr>
        <w:adjustRightInd w:val="0"/>
        <w:snapToGrid w:val="0"/>
        <w:rPr>
          <w:rFonts w:ascii="宋体" w:hAnsi="宋体"/>
          <w:spacing w:val="-4"/>
          <w:sz w:val="21"/>
          <w:szCs w:val="21"/>
          <w:highlight w:val="none"/>
        </w:rPr>
      </w:pPr>
      <w:r>
        <w:rPr>
          <w:rFonts w:hint="eastAsia" w:ascii="宋体" w:hAnsi="宋体"/>
          <w:spacing w:val="-4"/>
          <w:sz w:val="21"/>
          <w:szCs w:val="21"/>
          <w:highlight w:val="none"/>
        </w:rPr>
        <w:t>本招标技术规范所使用的标准如遇与投标人所执行的标准不一致时,按较高标准执行。</w:t>
      </w:r>
      <w:bookmarkEnd w:id="6"/>
      <w:bookmarkEnd w:id="7"/>
      <w:bookmarkStart w:id="8" w:name="_Toc31746"/>
      <w:bookmarkStart w:id="9" w:name="_Toc31528"/>
    </w:p>
    <w:p>
      <w:pPr>
        <w:numPr>
          <w:ilvl w:val="0"/>
          <w:numId w:val="6"/>
        </w:numPr>
        <w:adjustRightInd w:val="0"/>
        <w:snapToGrid w:val="0"/>
        <w:rPr>
          <w:rFonts w:ascii="宋体" w:hAnsi="宋体"/>
          <w:spacing w:val="-4"/>
          <w:sz w:val="21"/>
          <w:szCs w:val="21"/>
          <w:highlight w:val="none"/>
        </w:rPr>
      </w:pPr>
      <w:r>
        <w:rPr>
          <w:rFonts w:hint="eastAsia" w:ascii="宋体" w:hAnsi="宋体"/>
          <w:spacing w:val="-4"/>
          <w:sz w:val="21"/>
          <w:szCs w:val="21"/>
          <w:highlight w:val="none"/>
        </w:rPr>
        <w:t>本招标技术规范经买、卖双方确认后作为订货合同的技术附件，与合同正文具有同等法律效力。</w:t>
      </w:r>
      <w:bookmarkEnd w:id="8"/>
      <w:bookmarkEnd w:id="9"/>
      <w:bookmarkStart w:id="10" w:name="_Toc21421"/>
      <w:bookmarkStart w:id="11" w:name="_Toc4896"/>
    </w:p>
    <w:p>
      <w:pPr>
        <w:numPr>
          <w:ilvl w:val="0"/>
          <w:numId w:val="6"/>
        </w:numPr>
        <w:adjustRightInd w:val="0"/>
        <w:snapToGrid w:val="0"/>
        <w:rPr>
          <w:rFonts w:ascii="宋体" w:hAnsi="宋体"/>
          <w:spacing w:val="-4"/>
          <w:sz w:val="21"/>
          <w:szCs w:val="21"/>
          <w:highlight w:val="none"/>
        </w:rPr>
      </w:pPr>
      <w:r>
        <w:rPr>
          <w:rFonts w:hint="eastAsia" w:ascii="宋体" w:hAnsi="宋体"/>
          <w:spacing w:val="-4"/>
          <w:sz w:val="21"/>
          <w:szCs w:val="21"/>
          <w:highlight w:val="none"/>
        </w:rPr>
        <w:t>投标人在应标技术文件中应如实反映应标产品与本招标技术规范的技术差异。如果投标人没有提出技术差异，而在执行合同的过程中，招标人发现投标人提供的产品与其应标技术文件的条文存在差异，招标人有权利要求退货，并将对下一年度的评标工作有不同程度的影响。</w:t>
      </w:r>
      <w:bookmarkStart w:id="12" w:name="_Toc13847"/>
      <w:bookmarkStart w:id="13" w:name="_Toc30656"/>
    </w:p>
    <w:p>
      <w:pPr>
        <w:numPr>
          <w:ilvl w:val="0"/>
          <w:numId w:val="6"/>
        </w:numPr>
        <w:adjustRightInd w:val="0"/>
        <w:snapToGrid w:val="0"/>
        <w:rPr>
          <w:rFonts w:ascii="宋体" w:hAnsi="宋体"/>
          <w:spacing w:val="-4"/>
          <w:sz w:val="21"/>
          <w:szCs w:val="21"/>
          <w:highlight w:val="none"/>
        </w:rPr>
      </w:pPr>
      <w:r>
        <w:rPr>
          <w:rFonts w:hint="eastAsia" w:ascii="宋体" w:hAnsi="宋体"/>
          <w:spacing w:val="-4"/>
          <w:sz w:val="21"/>
          <w:szCs w:val="21"/>
          <w:highlight w:val="none"/>
        </w:rPr>
        <w:t>投标人应在应标技术部分按本招标技术规范的要求如实详细的填写应标设备详情，并在应标商务部分按此标准配置进行报价，如发现二者有矛盾之处，将对评标工作有不同程度的影响。</w:t>
      </w:r>
      <w:bookmarkEnd w:id="12"/>
      <w:bookmarkEnd w:id="13"/>
      <w:bookmarkStart w:id="14" w:name="_Toc4033"/>
      <w:bookmarkStart w:id="15" w:name="_Toc11887"/>
    </w:p>
    <w:p>
      <w:pPr>
        <w:numPr>
          <w:ilvl w:val="0"/>
          <w:numId w:val="6"/>
        </w:numPr>
        <w:adjustRightInd w:val="0"/>
        <w:snapToGrid w:val="0"/>
        <w:rPr>
          <w:rFonts w:ascii="宋体" w:hAnsi="宋体"/>
          <w:spacing w:val="-4"/>
          <w:sz w:val="21"/>
          <w:szCs w:val="21"/>
          <w:highlight w:val="none"/>
        </w:rPr>
      </w:pPr>
      <w:r>
        <w:rPr>
          <w:rFonts w:hint="eastAsia" w:ascii="宋体" w:hAnsi="宋体"/>
          <w:spacing w:val="-4"/>
          <w:sz w:val="21"/>
          <w:szCs w:val="21"/>
          <w:highlight w:val="none"/>
        </w:rPr>
        <w:t>投标人应充分理解本招标技术规范并按本招标技术规范的具体条款、格式要求填写应标的技术文件，如发现应标的技术文件条款、格式不符合本招标技术文件的要求，则认为应标不严肃，在评标时将有不同程度的扣分。</w:t>
      </w:r>
      <w:bookmarkEnd w:id="14"/>
      <w:bookmarkEnd w:id="15"/>
    </w:p>
    <w:p>
      <w:pPr>
        <w:numPr>
          <w:ilvl w:val="0"/>
          <w:numId w:val="6"/>
        </w:numPr>
        <w:adjustRightInd w:val="0"/>
        <w:snapToGrid w:val="0"/>
        <w:rPr>
          <w:highlight w:val="none"/>
        </w:rPr>
      </w:pPr>
      <w:r>
        <w:rPr>
          <w:rFonts w:hint="eastAsia" w:ascii="宋体" w:hAnsi="宋体"/>
          <w:spacing w:val="-4"/>
          <w:sz w:val="21"/>
          <w:szCs w:val="21"/>
          <w:highlight w:val="none"/>
        </w:rPr>
        <w:t>本项目采购的配套智能终端硬件设备需与变电边侧系统、省级统一视频平台开展调试及配套应用，投标人须具有数据集成的信息系统开发实施业绩经验，以满足终端与系统的数据接入及调测。</w:t>
      </w:r>
    </w:p>
    <w:p>
      <w:pPr>
        <w:numPr>
          <w:ilvl w:val="0"/>
          <w:numId w:val="6"/>
        </w:numPr>
        <w:adjustRightInd w:val="0"/>
        <w:snapToGrid w:val="0"/>
        <w:rPr>
          <w:highlight w:val="none"/>
        </w:rPr>
      </w:pPr>
      <w:r>
        <w:rPr>
          <w:rFonts w:hint="eastAsia" w:ascii="宋体" w:hAnsi="宋体"/>
          <w:spacing w:val="-4"/>
          <w:sz w:val="21"/>
          <w:szCs w:val="21"/>
          <w:highlight w:val="none"/>
        </w:rPr>
        <w:t>本招标技术规范未尽事宜,由买卖双方协商确定。</w:t>
      </w:r>
      <w:bookmarkEnd w:id="10"/>
      <w:bookmarkEnd w:id="11"/>
    </w:p>
    <w:p>
      <w:pPr>
        <w:pStyle w:val="4"/>
        <w:numPr>
          <w:ilvl w:val="0"/>
          <w:numId w:val="5"/>
        </w:numPr>
        <w:topLinePunct/>
        <w:spacing w:before="0" w:after="0" w:line="480" w:lineRule="auto"/>
        <w:jc w:val="left"/>
        <w:textAlignment w:val="baseline"/>
        <w:rPr>
          <w:rFonts w:ascii="黑体" w:hAnsi="黑体" w:eastAsia="黑体"/>
          <w:bCs w:val="0"/>
          <w:color w:val="auto"/>
          <w:sz w:val="22"/>
          <w:szCs w:val="22"/>
          <w:highlight w:val="none"/>
        </w:rPr>
      </w:pPr>
      <w:bookmarkStart w:id="16" w:name="_Toc8714"/>
      <w:bookmarkStart w:id="17" w:name="_Toc5508413"/>
      <w:bookmarkStart w:id="18" w:name="_Toc187218694"/>
      <w:bookmarkStart w:id="19" w:name="_Toc5508683"/>
      <w:bookmarkStart w:id="20" w:name="_Toc75589595"/>
      <w:r>
        <w:rPr>
          <w:rFonts w:hint="eastAsia" w:ascii="黑体" w:hAnsi="黑体" w:eastAsia="黑体"/>
          <w:bCs w:val="0"/>
          <w:color w:val="auto"/>
          <w:sz w:val="22"/>
          <w:szCs w:val="22"/>
          <w:highlight w:val="none"/>
        </w:rPr>
        <w:t>工作要求</w:t>
      </w:r>
      <w:bookmarkEnd w:id="16"/>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21" w:name="_Toc31953"/>
      <w:bookmarkStart w:id="22" w:name="_Toc23403"/>
      <w:bookmarkStart w:id="23" w:name="_Toc32441"/>
      <w:bookmarkStart w:id="24" w:name="_Toc28311"/>
      <w:bookmarkStart w:id="25" w:name="_Toc25740"/>
      <w:bookmarkStart w:id="26" w:name="_Toc431377049"/>
      <w:bookmarkStart w:id="27" w:name="_Toc431340486"/>
      <w:bookmarkStart w:id="28" w:name="_Toc10929"/>
      <w:bookmarkStart w:id="29" w:name="_Toc508213789"/>
      <w:bookmarkStart w:id="30" w:name="_Toc384241743"/>
      <w:r>
        <w:rPr>
          <w:rFonts w:hint="eastAsia" w:ascii="黑体" w:hAnsi="黑体" w:eastAsia="黑体"/>
          <w:bCs w:val="0"/>
          <w:sz w:val="22"/>
          <w:szCs w:val="22"/>
          <w:highlight w:val="none"/>
        </w:rPr>
        <w:t>范围和界限</w:t>
      </w:r>
      <w:bookmarkEnd w:id="21"/>
      <w:bookmarkEnd w:id="22"/>
      <w:bookmarkEnd w:id="23"/>
      <w:bookmarkEnd w:id="24"/>
      <w:bookmarkEnd w:id="25"/>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31" w:name="_Toc31999"/>
      <w:bookmarkStart w:id="32" w:name="_Toc21930"/>
      <w:r>
        <w:rPr>
          <w:rFonts w:hint="eastAsia" w:ascii="黑体" w:hAnsi="黑体" w:eastAsia="黑体"/>
          <w:sz w:val="22"/>
          <w:szCs w:val="22"/>
          <w:highlight w:val="none"/>
        </w:rPr>
        <w:t>贮存、运输环境条件</w:t>
      </w:r>
      <w:bookmarkEnd w:id="31"/>
      <w:bookmarkEnd w:id="32"/>
    </w:p>
    <w:p>
      <w:pPr>
        <w:adjustRightInd w:val="0"/>
        <w:snapToGrid w:val="0"/>
        <w:ind w:firstLine="202" w:firstLineChars="100"/>
        <w:rPr>
          <w:rFonts w:ascii="宋体" w:hAnsi="宋体"/>
          <w:spacing w:val="-4"/>
          <w:sz w:val="21"/>
          <w:szCs w:val="21"/>
          <w:highlight w:val="none"/>
        </w:rPr>
      </w:pPr>
      <w:r>
        <w:rPr>
          <w:rFonts w:hint="eastAsia" w:ascii="黑体" w:hAnsi="黑体" w:eastAsia="黑体"/>
          <w:spacing w:val="-4"/>
          <w:sz w:val="21"/>
          <w:szCs w:val="21"/>
          <w:highlight w:val="none"/>
        </w:rPr>
        <w:t>（1）</w:t>
      </w:r>
      <w:r>
        <w:rPr>
          <w:rFonts w:hint="eastAsia" w:ascii="宋体" w:hAnsi="宋体"/>
          <w:spacing w:val="-4"/>
          <w:sz w:val="21"/>
          <w:szCs w:val="21"/>
          <w:highlight w:val="none"/>
        </w:rPr>
        <w:t>装置在运输中允许的环境温度-40℃～＋70℃，相对湿度不大于85%；</w:t>
      </w:r>
    </w:p>
    <w:p>
      <w:pPr>
        <w:adjustRightInd w:val="0"/>
        <w:snapToGrid w:val="0"/>
        <w:ind w:firstLine="202" w:firstLineChars="100"/>
        <w:rPr>
          <w:highlight w:val="none"/>
        </w:rPr>
      </w:pPr>
      <w:r>
        <w:rPr>
          <w:rFonts w:hint="eastAsia" w:ascii="黑体" w:hAnsi="黑体" w:eastAsia="黑体"/>
          <w:spacing w:val="-4"/>
          <w:sz w:val="21"/>
          <w:szCs w:val="21"/>
          <w:highlight w:val="none"/>
        </w:rPr>
        <w:t>（2）</w:t>
      </w:r>
      <w:r>
        <w:rPr>
          <w:rFonts w:hint="eastAsia" w:ascii="宋体" w:hAnsi="宋体"/>
          <w:spacing w:val="-4"/>
          <w:sz w:val="21"/>
          <w:szCs w:val="21"/>
          <w:highlight w:val="none"/>
        </w:rPr>
        <w:t>在贮存中允许2的环境温度-25℃～＋55℃，相对湿度不大于85%，在不施加任何激励量的条件下，装置不出现不可逆变化。</w:t>
      </w:r>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33" w:name="_Toc13185"/>
      <w:bookmarkStart w:id="34" w:name="_Toc12688"/>
      <w:r>
        <w:rPr>
          <w:rFonts w:hint="eastAsia" w:ascii="黑体" w:hAnsi="黑体" w:eastAsia="黑体"/>
          <w:sz w:val="22"/>
          <w:szCs w:val="22"/>
          <w:highlight w:val="none"/>
        </w:rPr>
        <w:t>现场实施要求</w:t>
      </w:r>
      <w:bookmarkEnd w:id="33"/>
      <w:bookmarkEnd w:id="34"/>
    </w:p>
    <w:bookmarkEnd w:id="26"/>
    <w:bookmarkEnd w:id="27"/>
    <w:p>
      <w:pPr>
        <w:pStyle w:val="91"/>
        <w:spacing w:after="0"/>
        <w:ind w:left="0" w:leftChars="0" w:firstLine="404"/>
        <w:rPr>
          <w:rFonts w:ascii="宋体" w:hAnsi="宋体"/>
          <w:highlight w:val="none"/>
        </w:rPr>
      </w:pPr>
      <w:bookmarkStart w:id="35" w:name="_Toc431340487"/>
      <w:bookmarkStart w:id="36" w:name="_Toc431377050"/>
      <w:r>
        <w:rPr>
          <w:rFonts w:hint="eastAsia" w:ascii="宋体" w:hAnsi="宋体"/>
          <w:spacing w:val="-4"/>
          <w:sz w:val="21"/>
          <w:szCs w:val="21"/>
          <w:highlight w:val="none"/>
        </w:rPr>
        <w:t>本次招标的中标方应提供所招标系统的供货、集成、调试及技术服务，完成本招标书规定的建设任务，并协助相关的建设工作</w:t>
      </w:r>
      <w:r>
        <w:rPr>
          <w:rFonts w:hint="eastAsia" w:ascii="宋体" w:hAnsi="宋体"/>
          <w:highlight w:val="none"/>
        </w:rPr>
        <w:t>。</w:t>
      </w:r>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37" w:name="_Toc15865"/>
      <w:bookmarkStart w:id="38" w:name="_Toc17544"/>
      <w:r>
        <w:rPr>
          <w:rFonts w:hint="eastAsia" w:ascii="黑体" w:hAnsi="黑体" w:eastAsia="黑体"/>
          <w:sz w:val="22"/>
          <w:szCs w:val="22"/>
          <w:highlight w:val="none"/>
        </w:rPr>
        <w:t>运维要求</w:t>
      </w:r>
      <w:bookmarkEnd w:id="37"/>
      <w:bookmarkEnd w:id="38"/>
    </w:p>
    <w:p>
      <w:pPr>
        <w:adjustRightInd w:val="0"/>
        <w:snapToGrid w:val="0"/>
        <w:ind w:firstLine="404" w:firstLineChars="200"/>
        <w:rPr>
          <w:rFonts w:ascii="宋体" w:hAnsi="宋体"/>
          <w:spacing w:val="-4"/>
          <w:sz w:val="21"/>
          <w:szCs w:val="21"/>
          <w:highlight w:val="none"/>
        </w:rPr>
      </w:pPr>
      <w:r>
        <w:rPr>
          <w:rFonts w:hint="eastAsia" w:ascii="宋体" w:hAnsi="宋体"/>
          <w:spacing w:val="-4"/>
          <w:sz w:val="21"/>
          <w:szCs w:val="21"/>
          <w:highlight w:val="none"/>
        </w:rPr>
        <w:t>投标人应协助招标人解决设备运行中出现的问题。</w:t>
      </w:r>
      <w:bookmarkEnd w:id="35"/>
      <w:bookmarkEnd w:id="36"/>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39" w:name="_Toc23301"/>
      <w:bookmarkStart w:id="40" w:name="_Toc14935"/>
      <w:bookmarkStart w:id="41" w:name="_Toc431377051"/>
      <w:bookmarkStart w:id="42" w:name="_Toc431340488"/>
      <w:r>
        <w:rPr>
          <w:rFonts w:hint="eastAsia" w:ascii="黑体" w:hAnsi="黑体" w:eastAsia="黑体"/>
          <w:sz w:val="22"/>
          <w:szCs w:val="22"/>
          <w:highlight w:val="none"/>
        </w:rPr>
        <w:t>投运要求</w:t>
      </w:r>
      <w:bookmarkEnd w:id="39"/>
      <w:bookmarkEnd w:id="40"/>
    </w:p>
    <w:p>
      <w:pPr>
        <w:adjustRightInd w:val="0"/>
        <w:snapToGrid w:val="0"/>
        <w:ind w:firstLine="404" w:firstLineChars="200"/>
        <w:rPr>
          <w:rFonts w:ascii="宋体" w:hAnsi="宋体"/>
          <w:spacing w:val="-4"/>
          <w:sz w:val="21"/>
          <w:szCs w:val="21"/>
          <w:highlight w:val="none"/>
        </w:rPr>
      </w:pPr>
      <w:r>
        <w:rPr>
          <w:rFonts w:hint="eastAsia" w:ascii="宋体" w:hAnsi="宋体"/>
          <w:spacing w:val="-4"/>
          <w:sz w:val="21"/>
          <w:szCs w:val="21"/>
          <w:highlight w:val="none"/>
        </w:rPr>
        <w:t>设备安装、调试和性能试验合格后方可投运。设备需与变电边侧系统、统一视频平台做好数据接入和功能应用展示，投运并稳定运行后，投标人和招标人（业主）双方应根据相关法律、法规和公司管理制度签署验收证明书。该证明书共两份，双方各执一份。</w:t>
      </w:r>
      <w:bookmarkEnd w:id="41"/>
      <w:bookmarkEnd w:id="42"/>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43" w:name="_Toc15159"/>
      <w:bookmarkStart w:id="44" w:name="_Toc9401"/>
      <w:bookmarkStart w:id="45" w:name="_Toc431377052"/>
      <w:bookmarkStart w:id="46" w:name="_Toc431340489"/>
      <w:r>
        <w:rPr>
          <w:rFonts w:hint="eastAsia" w:ascii="黑体" w:hAnsi="黑体" w:eastAsia="黑体"/>
          <w:sz w:val="22"/>
          <w:szCs w:val="22"/>
          <w:highlight w:val="none"/>
        </w:rPr>
        <w:t>工作要求</w:t>
      </w:r>
      <w:bookmarkEnd w:id="43"/>
      <w:bookmarkEnd w:id="44"/>
    </w:p>
    <w:p>
      <w:pPr>
        <w:adjustRightInd w:val="0"/>
        <w:snapToGrid w:val="0"/>
        <w:ind w:firstLine="404" w:firstLineChars="200"/>
        <w:rPr>
          <w:rFonts w:ascii="宋体" w:hAnsi="宋体"/>
          <w:spacing w:val="-4"/>
          <w:sz w:val="21"/>
          <w:szCs w:val="21"/>
          <w:highlight w:val="none"/>
        </w:rPr>
      </w:pPr>
      <w:r>
        <w:rPr>
          <w:rFonts w:hint="eastAsia" w:ascii="宋体" w:hAnsi="宋体"/>
          <w:spacing w:val="-4"/>
          <w:sz w:val="21"/>
          <w:szCs w:val="21"/>
          <w:highlight w:val="none"/>
        </w:rPr>
        <w:t>如果安装调试、性能试验、运行期间及质保期内技术指标一项或多项不能满足合同技术部分要求，招、投标双方共同分析原因，分清责任，如属制造方面的原因，或涉及索赔部分，按商务部分有关条款执行。</w:t>
      </w:r>
      <w:bookmarkEnd w:id="45"/>
      <w:bookmarkEnd w:id="46"/>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47" w:name="_Toc28304"/>
      <w:bookmarkStart w:id="48" w:name="_Toc14929"/>
      <w:bookmarkStart w:id="49" w:name="_Toc431377053"/>
      <w:bookmarkStart w:id="50" w:name="_Toc431340490"/>
      <w:r>
        <w:rPr>
          <w:rFonts w:hint="eastAsia" w:ascii="黑体" w:hAnsi="黑体" w:eastAsia="黑体"/>
          <w:sz w:val="22"/>
          <w:szCs w:val="22"/>
          <w:highlight w:val="none"/>
        </w:rPr>
        <w:t>其他要求</w:t>
      </w:r>
      <w:bookmarkEnd w:id="47"/>
      <w:bookmarkEnd w:id="48"/>
    </w:p>
    <w:p>
      <w:pPr>
        <w:adjustRightInd w:val="0"/>
        <w:snapToGrid w:val="0"/>
        <w:ind w:firstLine="404" w:firstLineChars="200"/>
        <w:rPr>
          <w:highlight w:val="none"/>
        </w:rPr>
      </w:pPr>
      <w:r>
        <w:rPr>
          <w:rFonts w:hint="eastAsia" w:ascii="宋体" w:hAnsi="宋体"/>
          <w:spacing w:val="-4"/>
          <w:sz w:val="21"/>
          <w:szCs w:val="21"/>
          <w:highlight w:val="none"/>
        </w:rPr>
        <w:t>本标书未说明，但又与设计、制造、装配、试验、运输、包装、保管和运行维护有关的技术要求，按条款3所规定的有关标准执行。</w:t>
      </w:r>
      <w:bookmarkEnd w:id="49"/>
      <w:bookmarkEnd w:id="50"/>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51" w:name="_Toc431340491"/>
      <w:bookmarkStart w:id="52" w:name="_Toc3559"/>
      <w:bookmarkStart w:id="53" w:name="_Toc7369"/>
      <w:bookmarkStart w:id="54" w:name="_Toc15802"/>
      <w:bookmarkStart w:id="55" w:name="_Toc431377054"/>
      <w:bookmarkStart w:id="56" w:name="_Toc16004"/>
      <w:bookmarkStart w:id="57" w:name="_Toc10983"/>
      <w:bookmarkStart w:id="58" w:name="_Toc26989"/>
      <w:bookmarkStart w:id="59" w:name="_Toc14931"/>
      <w:bookmarkStart w:id="60" w:name="_Toc29001"/>
      <w:bookmarkStart w:id="61" w:name="_Toc17580"/>
      <w:bookmarkStart w:id="62" w:name="_Toc14450"/>
      <w:bookmarkStart w:id="63" w:name="_Toc4797"/>
      <w:r>
        <w:rPr>
          <w:rFonts w:hint="eastAsia" w:ascii="黑体" w:hAnsi="黑体" w:eastAsia="黑体"/>
          <w:bCs w:val="0"/>
          <w:sz w:val="22"/>
          <w:szCs w:val="22"/>
          <w:highlight w:val="none"/>
        </w:rPr>
        <w:t>服务范围</w:t>
      </w:r>
      <w:bookmarkEnd w:id="51"/>
      <w:bookmarkEnd w:id="52"/>
      <w:bookmarkEnd w:id="53"/>
      <w:bookmarkEnd w:id="54"/>
      <w:bookmarkEnd w:id="55"/>
      <w:bookmarkEnd w:id="56"/>
      <w:bookmarkEnd w:id="57"/>
      <w:bookmarkEnd w:id="58"/>
      <w:bookmarkEnd w:id="59"/>
      <w:bookmarkEnd w:id="60"/>
      <w:bookmarkEnd w:id="61"/>
      <w:bookmarkEnd w:id="62"/>
      <w:bookmarkEnd w:id="63"/>
    </w:p>
    <w:p>
      <w:pPr>
        <w:adjustRightInd w:val="0"/>
        <w:snapToGrid w:val="0"/>
        <w:ind w:firstLine="404" w:firstLineChars="200"/>
        <w:rPr>
          <w:rFonts w:ascii="宋体" w:hAnsi="宋体"/>
          <w:spacing w:val="-4"/>
          <w:sz w:val="21"/>
          <w:szCs w:val="21"/>
          <w:highlight w:val="none"/>
        </w:rPr>
      </w:pPr>
      <w:bookmarkStart w:id="64" w:name="_Toc431377055"/>
      <w:bookmarkStart w:id="65" w:name="_Toc431340492"/>
      <w:r>
        <w:rPr>
          <w:rFonts w:hint="eastAsia" w:ascii="宋体" w:hAnsi="宋体"/>
          <w:spacing w:val="-4"/>
          <w:sz w:val="21"/>
          <w:szCs w:val="21"/>
          <w:highlight w:val="none"/>
        </w:rPr>
        <w:t>投标人应按本技术标书的要求提供全新的、合格的终端设备，并配合完成设备数据与变电边侧系统、统一视频平台的数据接入、调试和集成相关技术服务。</w:t>
      </w:r>
      <w:bookmarkEnd w:id="64"/>
      <w:bookmarkEnd w:id="65"/>
    </w:p>
    <w:p>
      <w:pPr>
        <w:adjustRightInd w:val="0"/>
        <w:snapToGrid w:val="0"/>
        <w:ind w:firstLine="404" w:firstLineChars="200"/>
        <w:rPr>
          <w:rFonts w:ascii="宋体" w:hAnsi="宋体"/>
          <w:spacing w:val="-4"/>
          <w:sz w:val="21"/>
          <w:szCs w:val="21"/>
          <w:highlight w:val="none"/>
        </w:rPr>
      </w:pPr>
      <w:r>
        <w:rPr>
          <w:rFonts w:hint="eastAsia" w:ascii="宋体" w:hAnsi="宋体"/>
          <w:spacing w:val="-4"/>
          <w:sz w:val="21"/>
          <w:szCs w:val="21"/>
          <w:highlight w:val="none"/>
        </w:rPr>
        <w:t>按照《中国南方电网有限责任公司内部治安及反恐怖防范管理细则》的整体架构，配套相关感知终端，全面实现变电站内部治安及反恐管控功能。</w:t>
      </w:r>
    </w:p>
    <w:p>
      <w:pPr>
        <w:adjustRightInd w:val="0"/>
        <w:snapToGrid w:val="0"/>
        <w:ind w:firstLine="404" w:firstLineChars="200"/>
        <w:rPr>
          <w:rFonts w:ascii="宋体" w:hAnsi="宋体"/>
          <w:spacing w:val="-4"/>
          <w:sz w:val="21"/>
          <w:szCs w:val="21"/>
          <w:highlight w:val="none"/>
        </w:rPr>
      </w:pPr>
      <w:r>
        <w:rPr>
          <w:rFonts w:hint="eastAsia" w:ascii="宋体" w:hAnsi="宋体"/>
          <w:spacing w:val="-4"/>
          <w:sz w:val="21"/>
          <w:szCs w:val="21"/>
          <w:highlight w:val="none"/>
        </w:rPr>
        <w:t>采购内容服务范围：</w:t>
      </w:r>
    </w:p>
    <w:bookmarkEnd w:id="17"/>
    <w:bookmarkEnd w:id="18"/>
    <w:bookmarkEnd w:id="19"/>
    <w:bookmarkEnd w:id="20"/>
    <w:bookmarkEnd w:id="28"/>
    <w:bookmarkEnd w:id="29"/>
    <w:bookmarkEnd w:id="30"/>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66" w:name="_Toc32508"/>
      <w:bookmarkStart w:id="67" w:name="_Toc15400"/>
      <w:bookmarkStart w:id="68" w:name="_Toc5643"/>
      <w:bookmarkStart w:id="69" w:name="_Toc384241745"/>
      <w:bookmarkStart w:id="70" w:name="_Toc7060"/>
      <w:bookmarkStart w:id="71" w:name="_Toc14071"/>
      <w:bookmarkStart w:id="72" w:name="_Toc508213791"/>
      <w:bookmarkStart w:id="73" w:name="_Toc14224"/>
      <w:r>
        <w:rPr>
          <w:rFonts w:hint="eastAsia" w:ascii="黑体" w:hAnsi="黑体" w:eastAsia="黑体"/>
          <w:bCs w:val="0"/>
          <w:sz w:val="22"/>
          <w:szCs w:val="22"/>
          <w:highlight w:val="none"/>
        </w:rPr>
        <w:t>应遵循的主要标准</w:t>
      </w:r>
      <w:bookmarkEnd w:id="66"/>
      <w:bookmarkEnd w:id="67"/>
      <w:bookmarkEnd w:id="68"/>
      <w:bookmarkEnd w:id="69"/>
      <w:bookmarkEnd w:id="70"/>
      <w:bookmarkEnd w:id="71"/>
      <w:bookmarkEnd w:id="72"/>
      <w:bookmarkEnd w:id="73"/>
    </w:p>
    <w:p>
      <w:pPr>
        <w:adjustRightInd w:val="0"/>
        <w:snapToGrid w:val="0"/>
        <w:ind w:firstLine="404" w:firstLineChars="200"/>
        <w:rPr>
          <w:rFonts w:ascii="宋体" w:hAnsi="宋体"/>
          <w:spacing w:val="-4"/>
          <w:sz w:val="21"/>
          <w:szCs w:val="21"/>
          <w:highlight w:val="none"/>
        </w:rPr>
      </w:pPr>
      <w:r>
        <w:rPr>
          <w:rFonts w:hint="eastAsia" w:ascii="宋体" w:hAnsi="宋体"/>
          <w:spacing w:val="-4"/>
          <w:sz w:val="21"/>
          <w:szCs w:val="21"/>
          <w:highlight w:val="none"/>
        </w:rPr>
        <w:t>下列标准所包含的条文,通过在本招标技术文件中引用而构成本招标技术文件的基本条文。在本招标技术文件出版时,所示版本均为有效。所有标准都会被修订,使用本招标技术文件的各方应探讨使用下列标准最新版本的可能性。按标准号顺序排列标准，如果各标准要求有所不同，满足更高的标准要求。</w:t>
      </w:r>
    </w:p>
    <w:p>
      <w:p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1）《南方电网生产技术改造指导原则》；</w:t>
      </w:r>
    </w:p>
    <w:p>
      <w:p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2）《南方电网公司生产项目准入条件及预算标准》2022年版；</w:t>
      </w:r>
    </w:p>
    <w:p>
      <w:pPr>
        <w:adjustRightInd w:val="0"/>
        <w:snapToGrid w:val="0"/>
        <w:jc w:val="left"/>
        <w:rPr>
          <w:rFonts w:ascii="宋体" w:hAnsi="宋体"/>
          <w:spacing w:val="-4"/>
          <w:sz w:val="21"/>
          <w:szCs w:val="21"/>
          <w:highlight w:val="none"/>
        </w:rPr>
      </w:pPr>
      <w:bookmarkStart w:id="74" w:name="docnum"/>
      <w:r>
        <w:rPr>
          <w:rFonts w:hint="eastAsia" w:ascii="宋体" w:hAnsi="宋体"/>
          <w:spacing w:val="-4"/>
          <w:sz w:val="21"/>
          <w:szCs w:val="21"/>
          <w:highlight w:val="none"/>
        </w:rPr>
        <w:t>3）《中国南方电网有限责任公司内部治安及反恐怖防范管理细则（2021版）》；</w:t>
      </w:r>
    </w:p>
    <w:p>
      <w:p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Q/CSG-HNPG2103006-202</w:t>
      </w:r>
      <w:bookmarkEnd w:id="74"/>
      <w:r>
        <w:rPr>
          <w:rFonts w:hint="eastAsia" w:ascii="宋体" w:hAnsi="宋体"/>
          <w:spacing w:val="-4"/>
          <w:sz w:val="21"/>
          <w:szCs w:val="21"/>
          <w:highlight w:val="none"/>
        </w:rPr>
        <w:t>1；</w:t>
      </w:r>
    </w:p>
    <w:p>
      <w:pPr>
        <w:numPr>
          <w:ilvl w:val="0"/>
          <w:numId w:val="7"/>
        </w:num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GB/T22239-2008</w:t>
      </w:r>
      <w:r>
        <w:rPr>
          <w:rFonts w:hint="eastAsia" w:ascii="宋体" w:hAnsi="宋体"/>
          <w:spacing w:val="-4"/>
          <w:sz w:val="21"/>
          <w:szCs w:val="21"/>
          <w:highlight w:val="none"/>
        </w:rPr>
        <w:tab/>
      </w:r>
      <w:r>
        <w:rPr>
          <w:rFonts w:hint="eastAsia" w:ascii="宋体" w:hAnsi="宋体"/>
          <w:spacing w:val="-4"/>
          <w:sz w:val="21"/>
          <w:szCs w:val="21"/>
          <w:highlight w:val="none"/>
        </w:rPr>
        <w:t>信息安全技术信息系统安全等级保护基本要求；</w:t>
      </w:r>
    </w:p>
    <w:p>
      <w:pPr>
        <w:numPr>
          <w:ilvl w:val="0"/>
          <w:numId w:val="7"/>
        </w:num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GB/T20271-2006</w:t>
      </w:r>
      <w:r>
        <w:rPr>
          <w:rFonts w:hint="eastAsia" w:ascii="宋体" w:hAnsi="宋体"/>
          <w:spacing w:val="-4"/>
          <w:sz w:val="21"/>
          <w:szCs w:val="21"/>
          <w:highlight w:val="none"/>
        </w:rPr>
        <w:tab/>
      </w:r>
      <w:r>
        <w:rPr>
          <w:rFonts w:hint="eastAsia" w:ascii="宋体" w:hAnsi="宋体"/>
          <w:spacing w:val="-4"/>
          <w:sz w:val="21"/>
          <w:szCs w:val="21"/>
          <w:highlight w:val="none"/>
        </w:rPr>
        <w:t>信息系统通用安全技术要求；</w:t>
      </w:r>
    </w:p>
    <w:p>
      <w:pPr>
        <w:numPr>
          <w:ilvl w:val="0"/>
          <w:numId w:val="7"/>
        </w:num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GB/T20269-2006</w:t>
      </w:r>
      <w:r>
        <w:rPr>
          <w:rFonts w:hint="eastAsia" w:ascii="宋体" w:hAnsi="宋体"/>
          <w:spacing w:val="-4"/>
          <w:sz w:val="21"/>
          <w:szCs w:val="21"/>
          <w:highlight w:val="none"/>
        </w:rPr>
        <w:tab/>
      </w:r>
      <w:r>
        <w:rPr>
          <w:rFonts w:hint="eastAsia" w:ascii="宋体" w:hAnsi="宋体"/>
          <w:spacing w:val="-4"/>
          <w:sz w:val="21"/>
          <w:szCs w:val="21"/>
          <w:highlight w:val="none"/>
        </w:rPr>
        <w:t>信息安全技术信息系统安全管理要求；</w:t>
      </w:r>
    </w:p>
    <w:p>
      <w:pPr>
        <w:numPr>
          <w:ilvl w:val="0"/>
          <w:numId w:val="7"/>
        </w:num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ab/>
      </w:r>
      <w:r>
        <w:rPr>
          <w:rFonts w:hint="eastAsia" w:ascii="宋体" w:hAnsi="宋体"/>
          <w:spacing w:val="-4"/>
          <w:sz w:val="21"/>
          <w:szCs w:val="21"/>
          <w:highlight w:val="none"/>
        </w:rPr>
        <w:t>南方电网时间同步系统防欺骗抗干扰测试规范；</w:t>
      </w:r>
    </w:p>
    <w:p>
      <w:pPr>
        <w:numPr>
          <w:ilvl w:val="0"/>
          <w:numId w:val="7"/>
        </w:num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Q/CSG118010-2012</w:t>
      </w:r>
      <w:r>
        <w:rPr>
          <w:rFonts w:hint="eastAsia" w:ascii="宋体" w:hAnsi="宋体"/>
          <w:spacing w:val="-4"/>
          <w:sz w:val="21"/>
          <w:szCs w:val="21"/>
          <w:highlight w:val="none"/>
        </w:rPr>
        <w:tab/>
      </w:r>
      <w:r>
        <w:rPr>
          <w:rFonts w:hint="eastAsia" w:ascii="宋体" w:hAnsi="宋体"/>
          <w:spacing w:val="-4"/>
          <w:sz w:val="21"/>
          <w:szCs w:val="21"/>
          <w:highlight w:val="none"/>
        </w:rPr>
        <w:t>中国南方电网有限责任公司信息安全保障体系；</w:t>
      </w:r>
    </w:p>
    <w:p>
      <w:pPr>
        <w:numPr>
          <w:ilvl w:val="0"/>
          <w:numId w:val="7"/>
        </w:num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ab/>
      </w:r>
      <w:r>
        <w:rPr>
          <w:rFonts w:hint="eastAsia" w:ascii="宋体" w:hAnsi="宋体"/>
          <w:spacing w:val="-4"/>
          <w:sz w:val="21"/>
          <w:szCs w:val="21"/>
          <w:highlight w:val="none"/>
        </w:rPr>
        <w:t>《南方电网一体化电网运行智能系统技术规范》；</w:t>
      </w:r>
    </w:p>
    <w:p>
      <w:pPr>
        <w:numPr>
          <w:ilvl w:val="0"/>
          <w:numId w:val="7"/>
        </w:num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QCSG-212032-201</w:t>
      </w:r>
      <w:r>
        <w:rPr>
          <w:rFonts w:hint="eastAsia" w:ascii="宋体" w:hAnsi="宋体"/>
          <w:spacing w:val="-4"/>
          <w:sz w:val="21"/>
          <w:szCs w:val="21"/>
          <w:highlight w:val="none"/>
        </w:rPr>
        <w:tab/>
      </w:r>
      <w:r>
        <w:rPr>
          <w:rFonts w:hint="eastAsia" w:ascii="宋体" w:hAnsi="宋体"/>
          <w:spacing w:val="-4"/>
          <w:sz w:val="21"/>
          <w:szCs w:val="21"/>
          <w:highlight w:val="none"/>
        </w:rPr>
        <w:t>《中国南方电网调度自动化管理规定》；</w:t>
      </w:r>
    </w:p>
    <w:p>
      <w:pPr>
        <w:numPr>
          <w:ilvl w:val="0"/>
          <w:numId w:val="7"/>
        </w:numPr>
        <w:adjustRightInd w:val="0"/>
        <w:snapToGrid w:val="0"/>
        <w:jc w:val="left"/>
        <w:rPr>
          <w:rFonts w:ascii="宋体" w:hAnsi="宋体"/>
          <w:spacing w:val="-4"/>
          <w:sz w:val="21"/>
          <w:szCs w:val="21"/>
          <w:highlight w:val="none"/>
        </w:rPr>
      </w:pPr>
      <w:r>
        <w:rPr>
          <w:rFonts w:hint="eastAsia" w:ascii="宋体" w:hAnsi="宋体"/>
          <w:spacing w:val="-4"/>
          <w:sz w:val="21"/>
          <w:szCs w:val="21"/>
          <w:highlight w:val="none"/>
        </w:rPr>
        <w:t>其它国家和行业相关规程规范。</w:t>
      </w:r>
    </w:p>
    <w:p>
      <w:pPr>
        <w:pStyle w:val="5"/>
        <w:numPr>
          <w:ilvl w:val="1"/>
          <w:numId w:val="5"/>
        </w:numPr>
        <w:topLinePunct/>
        <w:spacing w:before="0" w:after="0" w:line="480" w:lineRule="auto"/>
        <w:jc w:val="left"/>
        <w:textAlignment w:val="baseline"/>
        <w:rPr>
          <w:rFonts w:hint="default" w:ascii="黑体" w:hAnsi="黑体" w:eastAsia="黑体"/>
          <w:bCs w:val="0"/>
          <w:sz w:val="22"/>
          <w:szCs w:val="22"/>
          <w:highlight w:val="none"/>
          <w:lang w:val="en-US" w:eastAsia="zh-CN"/>
        </w:rPr>
      </w:pPr>
      <w:bookmarkStart w:id="75" w:name="_Toc4543"/>
      <w:bookmarkStart w:id="76" w:name="_Toc6469"/>
      <w:bookmarkStart w:id="77" w:name="_Toc11446"/>
      <w:bookmarkStart w:id="78" w:name="_Toc19938"/>
      <w:bookmarkStart w:id="79" w:name="_Toc13526"/>
      <w:bookmarkStart w:id="80" w:name="_Toc30090"/>
      <w:bookmarkStart w:id="81" w:name="_Toc508213792"/>
      <w:bookmarkStart w:id="82" w:name="_Toc384241746"/>
      <w:r>
        <w:rPr>
          <w:rFonts w:hint="eastAsia" w:ascii="黑体" w:hAnsi="黑体" w:eastAsia="黑体"/>
          <w:bCs w:val="0"/>
          <w:sz w:val="22"/>
          <w:szCs w:val="22"/>
          <w:highlight w:val="none"/>
        </w:rPr>
        <w:t>项目需求清单</w:t>
      </w:r>
      <w:bookmarkEnd w:id="75"/>
      <w:bookmarkStart w:id="83" w:name="OLE_LINK2"/>
    </w:p>
    <w:tbl>
      <w:tblPr>
        <w:tblStyle w:val="22"/>
        <w:tblW w:w="4972" w:type="pct"/>
        <w:jc w:val="center"/>
        <w:tblLayout w:type="fixed"/>
        <w:tblCellMar>
          <w:top w:w="0" w:type="dxa"/>
          <w:left w:w="108" w:type="dxa"/>
          <w:bottom w:w="0" w:type="dxa"/>
          <w:right w:w="108" w:type="dxa"/>
        </w:tblCellMar>
      </w:tblPr>
      <w:tblGrid>
        <w:gridCol w:w="681"/>
        <w:gridCol w:w="1465"/>
        <w:gridCol w:w="614"/>
        <w:gridCol w:w="676"/>
        <w:gridCol w:w="4370"/>
        <w:gridCol w:w="668"/>
      </w:tblGrid>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序号</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名称</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单位</w:t>
            </w: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数量</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规格要求</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jc w:val="left"/>
              <w:textAlignment w:val="center"/>
              <w:rPr>
                <w:rFonts w:ascii="宋体" w:hAnsi="宋体" w:cs="宋体"/>
                <w:b/>
                <w:bCs/>
                <w:color w:val="auto"/>
                <w:sz w:val="22"/>
                <w:szCs w:val="22"/>
                <w:highlight w:val="none"/>
              </w:rPr>
            </w:pPr>
            <w:r>
              <w:rPr>
                <w:rFonts w:hint="eastAsia" w:ascii="宋体" w:hAnsi="宋体" w:cs="宋体"/>
                <w:b/>
                <w:bCs/>
                <w:color w:val="auto"/>
                <w:kern w:val="0"/>
                <w:sz w:val="22"/>
                <w:szCs w:val="22"/>
                <w:highlight w:val="none"/>
                <w:lang w:bidi="ar"/>
              </w:rPr>
              <w:t>备注</w:t>
            </w: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b/>
                <w:bCs/>
                <w:color w:val="auto"/>
                <w:sz w:val="21"/>
                <w:szCs w:val="21"/>
                <w:highlight w:val="none"/>
                <w:lang w:eastAsia="zh-CN"/>
              </w:rPr>
            </w:pPr>
            <w:r>
              <w:rPr>
                <w:rFonts w:hint="eastAsia" w:ascii="宋体" w:hAnsi="宋体" w:cs="宋体"/>
                <w:b/>
                <w:bCs/>
                <w:color w:val="auto"/>
                <w:kern w:val="0"/>
                <w:sz w:val="21"/>
                <w:szCs w:val="21"/>
                <w:highlight w:val="none"/>
                <w:lang w:val="en-US" w:eastAsia="zh-CN" w:bidi="ar"/>
              </w:rPr>
              <w:t>一</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技防部分配置表</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b/>
                <w:bCs/>
                <w:color w:val="auto"/>
                <w:sz w:val="21"/>
                <w:szCs w:val="21"/>
                <w:highlight w:val="none"/>
              </w:rPr>
            </w:pP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b/>
                <w:bCs/>
                <w:color w:val="auto"/>
                <w:sz w:val="21"/>
                <w:szCs w:val="21"/>
                <w:highlight w:val="none"/>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b/>
                <w:bCs/>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视频安防监控系统</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b/>
                <w:bCs/>
                <w:color w:val="auto"/>
                <w:sz w:val="21"/>
                <w:szCs w:val="21"/>
                <w:highlight w:val="none"/>
              </w:rPr>
            </w:pP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b/>
                <w:bCs/>
                <w:color w:val="auto"/>
                <w:sz w:val="21"/>
                <w:szCs w:val="21"/>
                <w:highlight w:val="none"/>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37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智能分析一体机（含平台软件1套）</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eSATA接口：1个（预留）；</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USB接口：不少于：2个，1个USB2.0接口、1个USB3.0接口</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操作界面：WEB方式（PCAPP），本地GUI操作；</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操作系统：嵌入式Linux操作系统；</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多路回放：支持不少于16路回放；</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解码能力：同时解码输出32路2MP、H.265编码、25fps、1920×1080格式的视频图像；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视频输出：≥1路VGA输出，1路HDMI输出，其中VGA1和HDMI1异源输出支持≥2K显示；</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≥1路VGA输出，1路HDMI输出，其中VGA1和HDMI1异源输出支持≥2K显示；</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网络带宽：接入带宽≥360Mbps，存储带宽≥360Mbps，转发带宽≥250Mbps；</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网络接口：≥2个RJ-45，10/100/1000Mbps自适应以太网口（千兆电口）；</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网络协议：GAT1400;P2P;DDNS;DNS;DHCP;NTP;SMTP;UDP;RTSP;IPv4;TCP/IP;HTTPS;HTTP；</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硬盘接口：不少于16个，SATA3.0，单盘≥8T不少于；</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主处理器：工业级嵌入式微控制器；</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报警输出：≥8路；</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54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1.2</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管理工作站</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2"/>
                <w:szCs w:val="22"/>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1、国产化处理器不低于8核/8线程/2.7GHz；</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2、内存≥8 GB；</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3、硬盘不低于256G SSD；</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4、视频接口≥1个HDMI，1个DP，1个VGA；</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5、含USB有线键鼠</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6、显示器≥24英寸，分辨率1920x1080；</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7、操作系统：国产化操作系统；</w:t>
            </w:r>
          </w:p>
          <w:p>
            <w:pPr>
              <w:widowControl/>
              <w:spacing w:line="400" w:lineRule="exact"/>
              <w:jc w:val="left"/>
              <w:textAlignment w:val="center"/>
              <w:rPr>
                <w:color w:val="auto"/>
                <w:highlight w:val="none"/>
              </w:rPr>
            </w:pPr>
            <w:r>
              <w:rPr>
                <w:rFonts w:hint="eastAsia" w:ascii="宋体" w:hAnsi="宋体" w:cs="宋体"/>
                <w:color w:val="auto"/>
                <w:kern w:val="0"/>
                <w:sz w:val="21"/>
                <w:szCs w:val="21"/>
                <w:highlight w:val="none"/>
                <w:lang w:bidi="ar"/>
              </w:rPr>
              <w:t>操作系统和CPU需经过国家信息安全测评中心测评通过。</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1.3</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机械硬盘</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2"/>
                <w:szCs w:val="22"/>
                <w:highlight w:val="none"/>
                <w:u w:val="none"/>
                <w:lang w:val="en-US" w:eastAsia="zh-CN" w:bidi="ar"/>
              </w:rPr>
              <w:t>20</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6000G；7200RPM；256M；SATA</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1.4</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脉冲电子围栏系统</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cs="宋体"/>
                <w:b/>
                <w:bCs/>
                <w:color w:val="auto"/>
                <w:kern w:val="0"/>
                <w:sz w:val="21"/>
                <w:szCs w:val="21"/>
                <w:highlight w:val="none"/>
                <w:lang w:bidi="ar"/>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189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1.4.1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双防区脉冲主机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LCD液晶显示，高低压切换功能，可根据安全需要灵活选择，多种电压输出值可调节，独有的闪控技术，可以实现每根合金线都有高压脉冲,4线6线可灵活选择，外形尺寸350*210*110；</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双防区;支持12V辅电输出，支持2路常开/常闭报警输出，支持2路警号输出；支持短路、断线、防拆报警，设备故障自动检测；输出电压峰值：5KV～10KV</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输出低压峰值：700～1000V；输出电量峰值：&lt;10A；脉冲宽度（脉冲持续时间）：≤0.1s；脉冲间隔时间：1s～1.5s；；脉冲输出电量：2.5mC；脉冲输出能量：≤5.0J；输入电压:AC24V或DC24V，标配电源适配器，系统正常工作功耗：12W</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10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2</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双防区脉冲主机防水箱</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1个防水箱国标202不锈钢，长*宽*高(400mm*200mm*500mm)；</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2个氧化锌复合材料避雷器；</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12个抗紫外线ABS材质紧线器，24个线连接器（M10×20开槽铝螺丝，用于连接金属合金线）；</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2根3米接地线，线材为6平方铜导线；</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3</w:t>
            </w:r>
          </w:p>
        </w:tc>
        <w:tc>
          <w:tcPr>
            <w:tcW w:w="864"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接地桩</w:t>
            </w:r>
          </w:p>
        </w:tc>
        <w:tc>
          <w:tcPr>
            <w:tcW w:w="362"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套</w:t>
            </w:r>
          </w:p>
        </w:tc>
        <w:tc>
          <w:tcPr>
            <w:tcW w:w="398" w:type="pct"/>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8</w:t>
            </w:r>
          </w:p>
        </w:tc>
        <w:tc>
          <w:tcPr>
            <w:tcW w:w="2578"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角铁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38*1000mm</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864"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362"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398" w:type="pct"/>
            <w:vMerge w:val="continue"/>
            <w:tcBorders>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2578"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4</w:t>
            </w:r>
          </w:p>
        </w:tc>
        <w:tc>
          <w:tcPr>
            <w:tcW w:w="864"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终端杆</w:t>
            </w:r>
          </w:p>
        </w:tc>
        <w:tc>
          <w:tcPr>
            <w:tcW w:w="362"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根</w:t>
            </w:r>
          </w:p>
        </w:tc>
        <w:tc>
          <w:tcPr>
            <w:tcW w:w="398" w:type="pct"/>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16</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铝合金管Φ32*85；4、6线可用</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864"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362"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398" w:type="pct"/>
            <w:vMerge w:val="continue"/>
            <w:tcBorders>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85cm*32mm</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54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5</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终端杆配件包（四线制）</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包</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16</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包括4个绝缘子和1个防雨帽，2片底座；绝缘子为优质尼龙材料，添加抗紫外剂、抗老化剂，内径Φ32；底座为镀锌金属底版，万向调节杆子的角度，含固定件；</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6</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承力杆</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根</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28</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铝合金管Φ21*85；4、6线可用</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54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7</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承力杆配件包（四线制）</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包</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28</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包括4个绝缘子和1个防雨帽，2片底座；绝缘子为优质尼龙材料，添加抗紫外剂、抗老化剂，内径Φ21；底座为镀锌金属底版，万向调节杆子的角度，含固定件；</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8</w:t>
            </w:r>
          </w:p>
        </w:tc>
        <w:tc>
          <w:tcPr>
            <w:tcW w:w="864"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中间杆</w:t>
            </w:r>
          </w:p>
        </w:tc>
        <w:tc>
          <w:tcPr>
            <w:tcW w:w="362"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根</w:t>
            </w:r>
          </w:p>
        </w:tc>
        <w:tc>
          <w:tcPr>
            <w:tcW w:w="398" w:type="pct"/>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162</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85CM玻璃钢</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864"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362"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398" w:type="pct"/>
            <w:vMerge w:val="continue"/>
            <w:tcBorders>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85cm*9.8mm</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54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9</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中间杆配件包（四线制）</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包</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162</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包括4个绝缘子和1个防雨帽，1片底座；绝缘子为优质尼龙材料，添加抗紫外剂、抗老化剂，内径Φ10；底座为镀锌金属底版，万向调节杆子的角度，含固定件；</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default"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10</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合金线</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卷</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9</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多股铝镁18号合金线，高强度，不易折断；400米一卷</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default"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11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高压绝缘线</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卷</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耐高压15KV，单芯硅胶绝缘材质；100米一卷</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1.4.</w:t>
            </w:r>
            <w:r>
              <w:rPr>
                <w:rFonts w:hint="eastAsia" w:ascii="宋体" w:hAnsi="宋体" w:cs="宋体"/>
                <w:color w:val="auto"/>
                <w:kern w:val="0"/>
                <w:sz w:val="21"/>
                <w:szCs w:val="21"/>
                <w:highlight w:val="none"/>
                <w:lang w:val="en-US" w:eastAsia="zh-CN" w:bidi="ar"/>
              </w:rPr>
              <w:t>12</w:t>
            </w:r>
          </w:p>
        </w:tc>
        <w:tc>
          <w:tcPr>
            <w:tcW w:w="864"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警示牌</w:t>
            </w:r>
          </w:p>
        </w:tc>
        <w:tc>
          <w:tcPr>
            <w:tcW w:w="362"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块</w:t>
            </w:r>
          </w:p>
        </w:tc>
        <w:tc>
          <w:tcPr>
            <w:tcW w:w="398" w:type="pct"/>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76</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夜光型警示牌</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864"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362"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398" w:type="pct"/>
            <w:vMerge w:val="continue"/>
            <w:tcBorders>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color w:val="auto"/>
                <w:sz w:val="21"/>
                <w:szCs w:val="21"/>
                <w:highlight w:val="none"/>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200mm*100mm</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513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1.5</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红外高清网络球型摄像机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14</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传感器类型：1/2.8英寸CMOS；</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像素：≥200万；</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最大分辨率：≥1920×1080</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最低照度：彩色：≤0.005Lux@F1.5</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黑白：≤0.0005Lux@F1.50Lux（红外灯开启）；</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最大补光距离：≥100m（红外）；</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镜头焦距：不劣于4.8mm~150mm；</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光学变倍：≥30倍；</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可视域功能：支持；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通用行为分析：支持区域入侵侦测，越界侦测，进入区域侦测和离开区域侦等智能侦测并联动跟踪；</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防抖功能：电子防抖；</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透雾功能：电子透雾；</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音频输入：1路（LINEIN；裸线）；</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音频输出：1路（LINEOUT；裸线）；</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报警接口：不少于1进1出；</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报警输入：≥1路，开关量输入（0~5VDC）；</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供电方式：AC24V/3A±25%（标配）；</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接口类型：RS485接口;RJ45接口;BNC接口</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（含安装支架、电源适配器、配电箱）</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432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1.6</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红外高清网络枪型摄像机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像素：≥200万；</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最大分辨率：≥1920×1080</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最低照度：≤0.004Lux(彩色模式);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≤0.0004Lux(黑白模式);0Lux(补光灯开启)；</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最大补光距离：≥20米（红外）；</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镜头类型：电动变焦；</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镜头焦距：不劣于2.9-12mm；</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支持精准的人车分类侦测，支持越界侦测，区域入侵侦测，进入区域侦测和离开区域侦测</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人脸检测：支持人脸检测；支持跟踪；支持优选；支持抓拍；支持上报最优的人脸抓图；</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视频压缩标准：H.265；H.264；H.264H；H.264B；MJPEG（仅辅码流支持）；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智能编码：H.264：支持H.265：支持；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宽动态：≥100dB；</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透雾功能：支持；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内置MIC：支持；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SD卡扩展：内置MicroSD/SDHC/SDXC插槽，支持≥256GB</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接入标准：ONVIF（ProfileS/ProfileG/ProfileT）；CGI；GB/T28181（双国标）；GA/T1400；</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513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1.7</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全景凝视摄像机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支持最低照度≤彩色0.0005lx，黑白0.0002lx；</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最大补光距离：球机：≥80m米（红外补光）；</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镜头类型：全景：</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定焦镜头细节：电动变焦；</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镜头焦距：不劣于：全景：4mm球机：5.9mm~180mm，≥30倍光学变倍；</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通用行为分析：区域入侵侦测、越界侦测；</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视频压缩标准：H.265；H.264；H.264H；H.264B；MJPEG（仅辅码流支持）；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智能编码：H.264：支持H.265：支持；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宽动态：全景：数字宽动态；球机：真实宽动态；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透雾功能：全景不支持，球机支持；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报警事件：无SD卡；SD卡空间不足；SD卡出错；网络断开；IP冲突；非法访问；动态检测；视频遮挡；区域入侵侦测、越界侦测；SMD等；</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接入标准：ONVIF（ProfileS/ProfileG/ProfileT）；CGI；GB/T28181；</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最大MicroSD卡：≥128GB；</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音频输入：≥1路（接线端子）；音频输出：≥1路（接线端子）；报警输入：≥1路（湿节点,支持直流3V~5V电位,5mA电流）；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报警输出：≥1路</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供电方式：DC36V；</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防护等级：IP66</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2</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入侵报警系统</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套</w:t>
            </w: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cs="宋体"/>
                <w:b/>
                <w:bCs/>
                <w:color w:val="auto"/>
                <w:kern w:val="0"/>
                <w:sz w:val="21"/>
                <w:szCs w:val="21"/>
                <w:highlight w:val="none"/>
                <w:lang w:bidi="ar"/>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防盗报警控制器</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报警输入：支持本地不少于6路，最大可扩展不少于128路；</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135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2.2</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单防区模块</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一个常开或常闭防区输入</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带地址编码设置开关</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和总线报警主机通讯采用MBus协议</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和主机最大传输距离为2400米</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电源由Mbus总线提供，无需外接电源</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135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2.3</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双防区模块</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二个常开或常闭防区输入</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带地址编码设置开关</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和总线报警主机通讯采用Mbus协议</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和主机最大传输距离为2400米</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电源由Mbus总线提供，无需外接电源接口</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2.4</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蓄电池</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12V7AH</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81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2.5</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声光警号</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ABS外壳，具有一定阻燃性能</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多种安装方式可选，灵活方便</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超大报警音量，威慑力强</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10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2.6</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报警编程键盘</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分辨率：≥128x64，LCD屏尺寸：≥75X23mm；具防区状态指示灯、故障指示灯、布撤防指示灯、网络指示灯、通讯指示灯；具有0~9数字键和菜单键；具蜂鸣器；壳体防拆；对主机编程、布撤防、消警、旁路/旁路恢复、子系统操作、继电器操作、防区状态查询、步测模式等功能；支持防区状态、系统故障、程序版本、通信参数查询；支持无线433MHz,支持无线遥控器，RS485接口与主机连接</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162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2.7</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紧急求助报警终端</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主处理器：高性能嵌入式处理器；</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操作系统：嵌入式LINUX操作系统；</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安装方式：明装；</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外观颜色：银色；</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外壳材料：铝合金；</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RS-485接口：1个</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189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2.8</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融合通信终端</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主处理器：高性能嵌入式处理器；</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操作系统：嵌入式LINUX操作系统；</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显示屏：≥9.4寸TFT屏；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屏幕分辨率：≥1024*600；</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安装方式：桌面安装；</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外观颜色：钛金灰；</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外壳材料：PC+ABS</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2.9</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报警控制器接入110报警中心</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项</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2.10</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视频监控系统联网及加密</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项</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c>
          <w:tcPr>
            <w:tcW w:w="86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c>
          <w:tcPr>
            <w:tcW w:w="362"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c>
          <w:tcPr>
            <w:tcW w:w="398"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c>
          <w:tcPr>
            <w:tcW w:w="2578"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jc w:val="left"/>
              <w:rPr>
                <w:rFonts w:ascii="宋体" w:hAnsi="宋体" w:cs="宋体"/>
                <w:color w:val="auto"/>
                <w:sz w:val="22"/>
                <w:szCs w:val="22"/>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3</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外来人员访客装置</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套</w:t>
            </w: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cs="宋体"/>
                <w:b/>
                <w:bCs/>
                <w:color w:val="auto"/>
                <w:kern w:val="0"/>
                <w:sz w:val="21"/>
                <w:szCs w:val="21"/>
                <w:highlight w:val="none"/>
                <w:lang w:bidi="ar"/>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在门卫室安装</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540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3.1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人证合一智能访客机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操作系统：Windows1064位、安卓系统等认证：委托认证；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USB接口：不少于1个USB2.0接口；</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读卡距离：1cm～3cm；</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主处理器：高性能嵌入式处理器；</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硬盘：≥8GB（固态硬盘）；</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显示屏：≥13寸触摸显示屏；后屏：≥10寸显示屏；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屏幕类型：前屏：电容触摸屏；后屏：非触摸屏；；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屏幕分辨率：≥1280×720；后屏：≥1024×600；</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人证比对：支持；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读卡类型：IC卡身份证；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广告播放：支持图文、视频广告播放；</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抓拍功能：支持；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刷卡响应时间：≤1.5s；</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人脸识别距离：50cm～80cm；</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人脸识别速度：≤0.7s；</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人证比对时间：≤2s；</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凭条打印机：热敏式点阵打印，打印速度≥70mm/s；</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存储记录数量：≥9000条；</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供电方式：DC12V5A；</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工作温度：-10℃~+55℃</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3.2</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人脸门禁一体机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主处理器：高性能嵌入式处理器；显示屏：≥7寸TFT液晶屏；</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屏幕类型：电容屏；屏幕分辩率：≥600×1024；使用环境：室内室外；摄像头：不低于2MP CMOS高清宽动态双摄像头；外壳材料：铝合金/钢化玻璃/PC；开门模式：支持刷卡/远程/密码/二维码/人脸识别开门模式，支持组合开门模式设置；远程验证：支持；黑白名单设定：支持；Wi-Fi：支持；实时监控：支持；多重认证：支持；WEB配置：支持；主动注册：支持；人脸识别准确率：≥99%；人脸识别速度：≤0.5s；用户容量：≥9000个用户；人脸容量：≥9000张；卡片容量：≥48600张；密码容量：≥9000个；存储记录数量：≥145000条开门记录；RS-485接口：≥1个；RS-232接口：≥1个；韦根接口：≥1路输入/输出；USB接口：≥1个USB2.0接口；网络接口：≥1个RJ-45；报警输入：≥2路；报警输出：≥1路；报警联动：支持；</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3.3</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门禁一体机电源</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插墙式电源适配器AC100V~240V-12V2A-V级-ADS-25FSG-1212024GPCN-国标-Φ5.5×Φ2.1×10</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81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3.4</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单门磁力锁</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把</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铝合金；电镀拉丝；锁体尺寸：长250x宽47x厚26(mm)；吸板尺寸：长180x宽38x厚11(mm)；280kg(600Lbs)直线拉力；锁状态信号输出；断电开门；适用木门\玻璃门\金属门\防火门等；工作温度：-20℃-+60℃，工作湿度：≤95%；2KG；（含磁力锁支架）</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81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3.5</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开门按钮</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塑料外壳</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86*86*25mm</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工作温度：-30℃-+60℃，工作湿度：≤95%；0.1KG</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324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3.6</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门禁读卡器</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采用8位高速处理器</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支持卡、卡+密码、密码、卡或密码、四种身份识别模式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支持普通Mifare卡识别、二代身份证卡、公交IC卡、银行IC卡等卡片的物理卡号读取，可读取Mifare卡号</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读卡频率13.56MHZ</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同时支持RS485协议和韦根协议，韦根接口支持国际标准W26\W34</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支持在线升级</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带蜂鸣器和指示灯提示功能</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支持防拆报警，内置看门口狗程序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具备防雷防静电防短接功能</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所有连接端口均具备过流和过压保护</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工作温度：-30℃-+60℃，工作湿度：≤95%</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支持86盒安装、明装</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3.7</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IC卡</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4</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出入口控制系统</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cs="宋体"/>
                <w:b/>
                <w:bCs/>
                <w:color w:val="auto"/>
                <w:kern w:val="0"/>
                <w:sz w:val="21"/>
                <w:szCs w:val="21"/>
                <w:highlight w:val="none"/>
                <w:lang w:bidi="ar"/>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405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4.1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综合管理平台</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套</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1、软硬一体化自动部署，插电可用，支持30*24小时稳定运行；</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2、国产化管理平台，软件授权不低于：视频监控500路；视频联网1套；门禁管理100个门禁点；出入口车辆放行管理8个车道；停车场车辆收费管理1套；人车管理10000个人、20000张卡、5000辆车；智能监控1套；入侵报警200个防区；紧急报警50个；国产化客户端4个；设备网络管理500路；支持扩容其他业务应用；</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3、硬件规格不低于：</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≥2颗国产化处理器24核2.6GHz；</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≥64G内存；</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≥2T硬盘；</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≥2个板载千兆网口,1个管理网口；</w:t>
            </w:r>
          </w:p>
          <w:p>
            <w:pPr>
              <w:widowControl/>
              <w:spacing w:line="400" w:lineRule="exact"/>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4、配置国产化操作系统；</w:t>
            </w:r>
          </w:p>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操作系统和CPU需经过国家信息安全测评中心测评通过。</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756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4.2</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车辆抓拍摄像机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传感器类型：1/1.8英寸CMOS；像素：≥200万；</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最大分辨率：≥1920×1080；</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最低照度：≤0.001Lux（彩色模式）；≤0.0001Lux（黑白模式）；0Lux（补光灯开启）；最大补光距离：≥20m（红外）；镜头类型：电动变焦；镜头焦距：3.5-12mm；支持多种智能模式：全结构化（默认）、人脸抓拍、人脸比对、道路监控、Smart事件、人数统计、热度图等，多种智能模式可按需切换</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全结构化模式：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a)抓拍人体：支持运动方向、上衣颜色、下装颜色、性别、年龄段、戴眼镜等属性识别，</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b)抓拍人脸：支持性别、年龄、年龄段、戴眼镜、戴口罩、表情、戴帽子等属性识别，</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c)抓拍非机动车：支持上衣颜色、下衣颜色、性别、戴眼镜、非机动车类型，</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d)抓拍机动车：支持车身颜色、车型识别、车辆行驶方向、车牌颜色、车牌类型等属性识别</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人脸抓拍模式：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a)支持对运动人脸进行检测、跟进查看、抓拍、评分、筛选，输出优选的人脸，</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b)支持人脸去误报、快速抓拍人脸，</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c)支持快速抓拍和最佳抓拍两种模式，</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d)支持同时检测≥56张人脸，</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e)支持人脸去重</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人脸比对模式：可支持≥14万张图片库导入，比对结果支持报警输出；</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视频压缩标准：H.265；H.264；H.264H；H.264B；MJPEG；智能编码：H.264：支持H.265：支持；宽动态：≥100dB；透雾功能：支持；报警事件：无SD卡；SD卡空间不足；SD卡出错；网络断开；IP冲突；非法访问；动态检测；接入标准：ONVIF（ProfileS/ProfileG）；GB/T28181；CGI；最大MicroSD卡：≥128GBRS-485接口：至少1个</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（波特率范围:1200bps~115200bps）；</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音频输入：≥1路（RCA头）；</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音频输出：≥1路（RCA头）；</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报警输入：≥2路（湿节点,支持直流3V~5V电位,5mA电流）；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报警输出：≥1路（湿节点,支持直流最大12V电位,0.3A电流）；</w:t>
            </w:r>
            <w:r>
              <w:rPr>
                <w:rFonts w:hint="eastAsia" w:ascii="宋体" w:hAnsi="宋体" w:cs="宋体"/>
                <w:color w:val="auto"/>
                <w:kern w:val="0"/>
                <w:sz w:val="21"/>
                <w:szCs w:val="21"/>
                <w:highlight w:val="none"/>
                <w:lang w:bidi="ar"/>
              </w:rPr>
              <w:br w:type="textWrapping"/>
            </w:r>
            <w:r>
              <w:rPr>
                <w:rFonts w:hint="eastAsia" w:ascii="宋体" w:hAnsi="宋体" w:cs="宋体"/>
                <w:color w:val="auto"/>
                <w:kern w:val="0"/>
                <w:sz w:val="21"/>
                <w:szCs w:val="21"/>
                <w:highlight w:val="none"/>
                <w:lang w:bidi="ar"/>
              </w:rPr>
              <w:t>模拟输出接口：≥1路（CVBS输出BNC接口）；供电方式：DC12V/POE；防护等级：IP67。含电源适配器及支架。</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5</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巡更系统</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cs="宋体"/>
                <w:b/>
                <w:bCs/>
                <w:color w:val="auto"/>
                <w:kern w:val="0"/>
                <w:sz w:val="21"/>
                <w:szCs w:val="21"/>
                <w:highlight w:val="none"/>
                <w:lang w:bidi="ar"/>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5.1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巡更采集器</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存储记录数，65000条；读卡反应时间≤0.3s；通讯线:USB；简体中文；3.67V充电电池；IP55等级；</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5.2</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巡更信息钮</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24</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巡更点；读卡反应时间≤0.3s；简体中文；明装</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5.3</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巡更人员钮</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6</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巡更点；读卡反应时间≤0.3s；简体中文；携带；</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6</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交换机及线缆</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b/>
                <w:bCs/>
                <w:color w:val="auto"/>
                <w:sz w:val="21"/>
                <w:szCs w:val="21"/>
                <w:highlight w:val="none"/>
              </w:rPr>
            </w:pP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s="宋体"/>
                <w:b/>
                <w:bCs/>
                <w:color w:val="auto"/>
                <w:sz w:val="21"/>
                <w:szCs w:val="21"/>
                <w:highlight w:val="none"/>
              </w:rPr>
            </w:pP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6.1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二层网络交换机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二层交换机，24电口，2个光口</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6.2</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路由器</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BSR2900-10B</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81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6.3</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光纤收发器</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19</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电口速率：1个10/100MbpsBase-TX；光口速率：1个100MbpsBase-FX；光接口类型：SC；形态：盒式；传输距离：20km；光纤类型：单模单纤；波长：1310nm发送,1550nm接收；防护等级：IP30；安装方式：壁装</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81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6.4</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4芯光纤</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米</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2000</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GYTA-4D光缆结构是将250μm光纤套入高模量材料制成的松套管中，松套管内填充防水化合物。缆芯中心是一根金属加强芯，松套管（和填充绳）围绕中心加强芯绞合成紧凑和圆形的缆芯，缆芯内的缝隙充以阻水填充物。涂塑铝带纵包挤制聚乙烯护套成缆。</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54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6.5</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机柜</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面</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（高*宽*深）1600*800*600（mm），含单门楣60mm，颜色RAL7035，前门单开玻璃门，门轴在右，后门双开铁门，优质冷板制作</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6.</w:t>
            </w:r>
            <w:r>
              <w:rPr>
                <w:rFonts w:hint="eastAsia" w:ascii="宋体" w:hAnsi="宋体" w:cs="宋体"/>
                <w:color w:val="auto"/>
                <w:kern w:val="0"/>
                <w:sz w:val="21"/>
                <w:szCs w:val="21"/>
                <w:highlight w:val="none"/>
                <w:lang w:val="en-US" w:eastAsia="zh-CN" w:bidi="ar"/>
              </w:rPr>
              <w:t>6</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控制线</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米</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2"/>
                <w:szCs w:val="22"/>
                <w:highlight w:val="none"/>
                <w:u w:val="none"/>
                <w:lang w:val="en-US" w:eastAsia="zh-CN" w:bidi="ar"/>
              </w:rPr>
              <w:t>20</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ZR-RVVP-4*1.0（国标）</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6.</w:t>
            </w:r>
            <w:r>
              <w:rPr>
                <w:rFonts w:hint="eastAsia" w:ascii="宋体" w:hAnsi="宋体" w:cs="宋体"/>
                <w:color w:val="auto"/>
                <w:kern w:val="0"/>
                <w:sz w:val="21"/>
                <w:szCs w:val="21"/>
                <w:highlight w:val="none"/>
                <w:lang w:val="en-US" w:eastAsia="zh-CN" w:bidi="ar"/>
              </w:rPr>
              <w:t>7</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超六类信号线</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米</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2"/>
                <w:szCs w:val="22"/>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6.</w:t>
            </w:r>
            <w:r>
              <w:rPr>
                <w:rFonts w:hint="eastAsia" w:ascii="宋体" w:hAnsi="宋体" w:cs="宋体"/>
                <w:color w:val="auto"/>
                <w:kern w:val="0"/>
                <w:sz w:val="21"/>
                <w:szCs w:val="21"/>
                <w:highlight w:val="none"/>
                <w:lang w:val="en-US" w:eastAsia="zh-CN" w:bidi="ar"/>
              </w:rPr>
              <w:t>8</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门禁专用控制电缆</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米</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2"/>
                <w:szCs w:val="22"/>
                <w:highlight w:val="none"/>
                <w:u w:val="none"/>
                <w:lang w:val="en-US" w:eastAsia="zh-CN" w:bidi="ar"/>
              </w:rPr>
              <w:t>36</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ZR-RVVP-6*0.75</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6.</w:t>
            </w:r>
            <w:r>
              <w:rPr>
                <w:rFonts w:hint="eastAsia" w:ascii="宋体" w:hAnsi="宋体" w:cs="宋体"/>
                <w:color w:val="auto"/>
                <w:kern w:val="0"/>
                <w:sz w:val="21"/>
                <w:szCs w:val="21"/>
                <w:highlight w:val="none"/>
                <w:lang w:val="en-US" w:eastAsia="zh-CN" w:bidi="ar"/>
              </w:rPr>
              <w:t>9</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室外防水箱</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面</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2"/>
                <w:szCs w:val="22"/>
                <w:highlight w:val="none"/>
                <w:u w:val="none"/>
                <w:lang w:val="en-US" w:eastAsia="zh-CN" w:bidi="ar"/>
              </w:rPr>
              <w:t>2.8</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1个2P20A、6个1P10A、1个3插位插排</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6.1</w:t>
            </w:r>
            <w:r>
              <w:rPr>
                <w:rFonts w:hint="eastAsia" w:ascii="宋体" w:hAnsi="宋体" w:cs="宋体"/>
                <w:color w:val="auto"/>
                <w:kern w:val="0"/>
                <w:sz w:val="21"/>
                <w:szCs w:val="21"/>
                <w:highlight w:val="none"/>
                <w:lang w:val="en-US" w:eastAsia="zh-CN" w:bidi="ar"/>
              </w:rPr>
              <w:t>0</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交换机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cs="宋体"/>
                <w:i w:val="0"/>
                <w:iCs w:val="0"/>
                <w:color w:val="auto"/>
                <w:kern w:val="0"/>
                <w:sz w:val="22"/>
                <w:szCs w:val="22"/>
                <w:highlight w:val="none"/>
                <w:u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8电口</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6.1</w:t>
            </w:r>
            <w:r>
              <w:rPr>
                <w:rFonts w:hint="eastAsia" w:ascii="宋体" w:hAnsi="宋体" w:cs="宋体"/>
                <w:color w:val="auto"/>
                <w:kern w:val="0"/>
                <w:sz w:val="21"/>
                <w:szCs w:val="21"/>
                <w:highlight w:val="none"/>
                <w:lang w:val="en-US" w:eastAsia="zh-CN" w:bidi="ar"/>
              </w:rPr>
              <w:t>1</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交换机</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个</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cs="宋体"/>
                <w:i w:val="0"/>
                <w:iCs w:val="0"/>
                <w:color w:val="auto"/>
                <w:kern w:val="0"/>
                <w:sz w:val="22"/>
                <w:szCs w:val="22"/>
                <w:highlight w:val="none"/>
                <w:u w:val="none"/>
                <w:lang w:val="en-US" w:eastAsia="zh-CN" w:bidi="ar"/>
              </w:rPr>
              <w:t>2</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16光口</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6.1</w:t>
            </w:r>
            <w:r>
              <w:rPr>
                <w:rFonts w:hint="eastAsia" w:ascii="宋体" w:hAnsi="宋体" w:cs="宋体"/>
                <w:color w:val="auto"/>
                <w:kern w:val="0"/>
                <w:sz w:val="21"/>
                <w:szCs w:val="21"/>
                <w:highlight w:val="none"/>
                <w:lang w:val="en-US" w:eastAsia="zh-CN" w:bidi="ar"/>
              </w:rPr>
              <w:t>2</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视频信号避雷器</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18</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6.1</w:t>
            </w:r>
            <w:r>
              <w:rPr>
                <w:rFonts w:hint="eastAsia" w:ascii="宋体" w:hAnsi="宋体" w:cs="宋体"/>
                <w:color w:val="auto"/>
                <w:kern w:val="0"/>
                <w:sz w:val="21"/>
                <w:szCs w:val="21"/>
                <w:highlight w:val="none"/>
                <w:lang w:val="en-US" w:eastAsia="zh-CN" w:bidi="ar"/>
              </w:rPr>
              <w:t>3</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数据信号避雷器</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18</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lang w:bidi="ar"/>
              </w:rPr>
              <w:t>6.1</w:t>
            </w:r>
            <w:r>
              <w:rPr>
                <w:rFonts w:hint="eastAsia" w:ascii="宋体" w:hAnsi="宋体" w:cs="宋体"/>
                <w:color w:val="auto"/>
                <w:kern w:val="0"/>
                <w:sz w:val="21"/>
                <w:szCs w:val="21"/>
                <w:highlight w:val="none"/>
                <w:lang w:val="en-US" w:eastAsia="zh-CN" w:bidi="ar"/>
              </w:rPr>
              <w:t>4</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电源避雷器</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台</w:t>
            </w:r>
          </w:p>
        </w:tc>
        <w:tc>
          <w:tcPr>
            <w:tcW w:w="398"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bidi="ar"/>
              </w:rPr>
            </w:pPr>
            <w:r>
              <w:rPr>
                <w:rFonts w:hint="eastAsia" w:ascii="宋体" w:hAnsi="宋体" w:eastAsia="宋体" w:cs="宋体"/>
                <w:i w:val="0"/>
                <w:iCs w:val="0"/>
                <w:color w:val="auto"/>
                <w:kern w:val="0"/>
                <w:sz w:val="21"/>
                <w:szCs w:val="21"/>
                <w:highlight w:val="none"/>
                <w:u w:val="none"/>
                <w:lang w:val="en-US" w:eastAsia="zh-CN" w:bidi="ar"/>
              </w:rPr>
              <w:t>20</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AC220V电源防雷器</w:t>
            </w: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r>
        <w:tblPrEx>
          <w:tblCellMar>
            <w:top w:w="0" w:type="dxa"/>
            <w:left w:w="108" w:type="dxa"/>
            <w:bottom w:w="0" w:type="dxa"/>
            <w:right w:w="108" w:type="dxa"/>
          </w:tblCellMar>
        </w:tblPrEx>
        <w:trPr>
          <w:trHeight w:val="280" w:hRule="atLeast"/>
          <w:jc w:val="center"/>
        </w:trPr>
        <w:tc>
          <w:tcPr>
            <w:tcW w:w="401"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7</w:t>
            </w:r>
          </w:p>
        </w:tc>
        <w:tc>
          <w:tcPr>
            <w:tcW w:w="864"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入网安评</w:t>
            </w:r>
          </w:p>
        </w:tc>
        <w:tc>
          <w:tcPr>
            <w:tcW w:w="362"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lang w:bidi="ar"/>
              </w:rPr>
              <w:t>项</w:t>
            </w:r>
          </w:p>
        </w:tc>
        <w:tc>
          <w:tcPr>
            <w:tcW w:w="39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3</w:t>
            </w:r>
          </w:p>
        </w:tc>
        <w:tc>
          <w:tcPr>
            <w:tcW w:w="2578" w:type="pc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left"/>
              <w:rPr>
                <w:rFonts w:ascii="宋体" w:hAnsi="宋体" w:cs="宋体"/>
                <w:color w:val="auto"/>
                <w:sz w:val="21"/>
                <w:szCs w:val="21"/>
                <w:highlight w:val="none"/>
              </w:rPr>
            </w:pPr>
          </w:p>
        </w:tc>
        <w:tc>
          <w:tcPr>
            <w:tcW w:w="394" w:type="pct"/>
            <w:tcBorders>
              <w:top w:val="single" w:color="000000" w:sz="4" w:space="0"/>
              <w:left w:val="single" w:color="000000" w:sz="4" w:space="0"/>
              <w:bottom w:val="single" w:color="000000" w:sz="4" w:space="0"/>
              <w:right w:val="single" w:color="000000" w:sz="4" w:space="0"/>
            </w:tcBorders>
            <w:noWrap/>
            <w:vAlign w:val="center"/>
          </w:tcPr>
          <w:p>
            <w:pPr>
              <w:widowControl/>
              <w:spacing w:line="400" w:lineRule="exact"/>
              <w:rPr>
                <w:rFonts w:ascii="宋体" w:hAnsi="宋体" w:cs="宋体"/>
                <w:color w:val="auto"/>
                <w:sz w:val="22"/>
                <w:szCs w:val="22"/>
                <w:highlight w:val="none"/>
              </w:rPr>
            </w:pPr>
          </w:p>
        </w:tc>
      </w:tr>
    </w:tbl>
    <w:p>
      <w:pPr>
        <w:rPr>
          <w:rFonts w:hint="default"/>
          <w:lang w:val="en-US" w:eastAsia="zh-CN"/>
        </w:rPr>
      </w:pPr>
    </w:p>
    <w:bookmarkEnd w:id="83"/>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84" w:name="_Toc28778"/>
      <w:r>
        <w:rPr>
          <w:rFonts w:hint="eastAsia" w:ascii="黑体" w:hAnsi="黑体" w:eastAsia="黑体"/>
          <w:bCs w:val="0"/>
          <w:sz w:val="22"/>
          <w:szCs w:val="22"/>
          <w:highlight w:val="none"/>
        </w:rPr>
        <w:t>技防部分数据集成应遵循的技术架构</w:t>
      </w:r>
      <w:bookmarkEnd w:id="76"/>
      <w:bookmarkEnd w:id="77"/>
      <w:bookmarkEnd w:id="78"/>
      <w:bookmarkEnd w:id="79"/>
      <w:bookmarkEnd w:id="84"/>
    </w:p>
    <w:p>
      <w:pPr>
        <w:adjustRightInd w:val="0"/>
        <w:snapToGrid w:val="0"/>
        <w:ind w:firstLine="404" w:firstLineChars="200"/>
        <w:rPr>
          <w:rFonts w:ascii="宋体" w:hAnsi="宋体"/>
          <w:spacing w:val="-4"/>
          <w:sz w:val="21"/>
          <w:szCs w:val="21"/>
          <w:highlight w:val="none"/>
        </w:rPr>
      </w:pPr>
      <w:r>
        <w:rPr>
          <w:rFonts w:hint="eastAsia" w:ascii="宋体" w:hAnsi="宋体"/>
          <w:spacing w:val="-4"/>
          <w:sz w:val="21"/>
          <w:szCs w:val="21"/>
          <w:highlight w:val="none"/>
        </w:rPr>
        <w:t>根据《中国南方电网有限责任公司内部治安及反恐怖防范管理细则》（Q/CSG2103025-2020），变电站治安反恐安全防范系统部署在站端，主要由视频安防监控、入侵报警、出入口控制及安检、巡更及无线通讯、无人机防御等系统组成，实现告警信息的全方位联动、显示。</w:t>
      </w:r>
    </w:p>
    <w:p>
      <w:pPr>
        <w:spacing w:line="240" w:lineRule="auto"/>
        <w:rPr>
          <w:highlight w:val="none"/>
        </w:rPr>
      </w:pPr>
      <w:bookmarkStart w:id="85" w:name="_Toc25662"/>
      <w:bookmarkStart w:id="86" w:name="_Toc15894"/>
      <w:bookmarkStart w:id="87" w:name="_Toc24630"/>
      <w:r>
        <w:rPr>
          <w:highlight w:val="none"/>
        </w:rPr>
        <w:drawing>
          <wp:inline distT="0" distB="0" distL="114300" distR="114300">
            <wp:extent cx="5006340" cy="3272790"/>
            <wp:effectExtent l="0" t="0" r="7620" b="381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5006340" cy="3272790"/>
                    </a:xfrm>
                    <a:prstGeom prst="rect">
                      <a:avLst/>
                    </a:prstGeom>
                    <a:noFill/>
                    <a:ln>
                      <a:noFill/>
                    </a:ln>
                  </pic:spPr>
                </pic:pic>
              </a:graphicData>
            </a:graphic>
          </wp:inline>
        </w:drawing>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系统侧以便后续根据南网规范开发接口，实现与上级应急指挥中心系统之间的通信。站端系统的遥视、遥信数据可上传至中心，供应急指挥中心坐席人员调用查看，并实现远程遥控。</w:t>
      </w:r>
    </w:p>
    <w:p>
      <w:pPr>
        <w:pStyle w:val="31"/>
        <w:ind w:firstLine="404" w:firstLineChars="200"/>
        <w:rPr>
          <w:rFonts w:ascii="宋体" w:hAnsi="宋体" w:eastAsia="宋体" w:cs="Times New Roman"/>
          <w:color w:val="auto"/>
          <w:spacing w:val="-4"/>
          <w:kern w:val="2"/>
          <w:sz w:val="21"/>
          <w:szCs w:val="21"/>
          <w:highlight w:val="none"/>
        </w:rPr>
      </w:pPr>
      <w:bookmarkStart w:id="88" w:name="_Toc82542234"/>
      <w:bookmarkStart w:id="89" w:name="_Toc134466249"/>
      <w:r>
        <w:rPr>
          <w:rFonts w:hint="eastAsia" w:ascii="宋体" w:hAnsi="宋体" w:eastAsia="宋体" w:cs="Times New Roman"/>
          <w:color w:val="auto"/>
          <w:spacing w:val="-4"/>
          <w:kern w:val="2"/>
          <w:sz w:val="21"/>
          <w:szCs w:val="21"/>
          <w:highlight w:val="none"/>
        </w:rPr>
        <w:t>系统功能</w:t>
      </w:r>
      <w:bookmarkEnd w:id="88"/>
      <w:bookmarkEnd w:id="89"/>
      <w:r>
        <w:rPr>
          <w:rFonts w:hint="eastAsia" w:ascii="宋体" w:hAnsi="宋体" w:eastAsia="宋体" w:cs="Times New Roman"/>
          <w:color w:val="auto"/>
          <w:spacing w:val="-4"/>
          <w:kern w:val="2"/>
          <w:sz w:val="21"/>
          <w:szCs w:val="21"/>
          <w:highlight w:val="none"/>
        </w:rPr>
        <w:t>：</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①实时视频监控</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采用高品质摄像机，具有防尘、防水等功能特性。实时获取监控区域内清晰的监控图像，不同类型的摄像机可以满足各类区域监控点的监控需求，实现24小时不间断监控。支持对带云台的设备进行云台操作，对视角、方位、焦距的调整，实现全方位、多视角、无盲区、全天候式监控。</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②视频存储回放</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站端设备的视音频接入硬盘录像机存储，达到前端存储的需要，以供事后调查取证；支持不间断录像，录像存储时间不少于90天；中心平台按需进行录像检索，并通过流转发方式回放或下载指定时间的录像。</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③视频分析功能</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支持对人员入侵行为分析、人脸识别、车牌识别以及视频质量诊断。</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④远程图片巡更</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系统支持图片巡更模式，按人工巡更的顺序，把站内固定安装的多个监控点添加进预案，全程自动抓图，人工复核发现问题可进行注释，最后输出巡更报告。</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⑤现场巡更</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通过平台编辑现场巡更任务，并给巡更终端下发任务。采用巡更终端，离线模式下在巡更点进行NFC签到并现场拍照。结束巡更后，巡更终端上的数据回传至平台，生成巡更报告并在平台产生巡更事件记录。</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⑥视频智能联动</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当入侵报警系统出现报警时，平台接收到报警信号，联动相关监控点的预置点实现抓图上传，实现可视化运行管理。</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⑦访客登记</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以访客软件为基础，辅以人脸识别、身份证阅读器、扫描仪等外设，支持人证比对身份录入、权限管控。</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⑧人车识别</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车辆进出站需通过车牌识别，车牌在库车辆自动开启大门并记录通行事件；人员进出站和主控楼等场所，需通过人脸识别，人脸在库人员自动开启门禁并记录通行事件。</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⑨智慧安检</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通过金属探测安检门，可对过检人员随身携带的违禁金属刀具、枪支等违禁物品进行精准检测。基于人工智能的物品图像识别技术，实时分析过检视频，提取违禁品轮廓、物质类型，可精准识别至少15大类违禁品，有效辅助保安对违禁品判断和识别，提升违禁品识别效率和准确率。</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⑩无线通讯</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通过巡更终端进行对讲，无需接入平台。</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⑪无人机防御</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管理全站防御设备，图上显示防御设备及黑飞动态、轨迹（多站模式），实时侦测黑飞、显示告警信息并联动反制设备，对黑飞进行入侵统计，显示黑飞无人机的机型、方位、频段等，统计入侵的时间及次数等。</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⑫告警管理功能</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站端平台根据站端设备或硬盘录像机提供的信号，形成告警事件，并支持告警信息储存管理；支持处理多事件多点告警，告警信息不得丢失和误报。</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⑬远程维护功能</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通过平台软件能够对站端设备进行校时、重新启动、修改参数、软件升级、远程维护等功能。设备提供远程访问功能，运维人员不必到达设备现场，就可修改设备的各项参数，提高的设备维护效率。</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⑭系统管理功能</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通过平台软件能够对站端设备进行校时、重新启动、修改参数、权限配置、软件升级、远程维护等功能。设备提供远程访问功能，运维人员不必到达设备现场，就可修改设备的各项参数，提高的设备维护效率。</w:t>
      </w:r>
    </w:p>
    <w:p>
      <w:pPr>
        <w:pStyle w:val="31"/>
        <w:ind w:firstLine="404" w:firstLineChars="200"/>
        <w:rPr>
          <w:rFonts w:ascii="宋体" w:hAnsi="宋体" w:eastAsia="宋体" w:cs="Times New Roman"/>
          <w:color w:val="auto"/>
          <w:spacing w:val="-4"/>
          <w:kern w:val="2"/>
          <w:sz w:val="21"/>
          <w:szCs w:val="21"/>
          <w:highlight w:val="none"/>
        </w:rPr>
      </w:pPr>
      <w:bookmarkStart w:id="90" w:name="_Toc70369165"/>
      <w:bookmarkStart w:id="91" w:name="_Toc134466250"/>
      <w:r>
        <w:rPr>
          <w:rFonts w:hint="eastAsia" w:ascii="宋体" w:hAnsi="宋体" w:eastAsia="宋体" w:cs="Times New Roman"/>
          <w:color w:val="auto"/>
          <w:spacing w:val="-4"/>
          <w:kern w:val="2"/>
          <w:sz w:val="21"/>
          <w:szCs w:val="21"/>
          <w:highlight w:val="none"/>
        </w:rPr>
        <w:t>核心应用</w:t>
      </w:r>
      <w:bookmarkEnd w:id="90"/>
      <w:bookmarkEnd w:id="91"/>
    </w:p>
    <w:p>
      <w:pPr>
        <w:pStyle w:val="31"/>
        <w:ind w:firstLine="404" w:firstLineChars="200"/>
        <w:rPr>
          <w:rFonts w:ascii="宋体" w:hAnsi="宋体" w:eastAsia="宋体" w:cs="Times New Roman"/>
          <w:color w:val="auto"/>
          <w:spacing w:val="-4"/>
          <w:kern w:val="2"/>
          <w:sz w:val="21"/>
          <w:szCs w:val="21"/>
          <w:highlight w:val="none"/>
        </w:rPr>
      </w:pPr>
      <w:bookmarkStart w:id="92" w:name="_Toc134466251"/>
      <w:r>
        <w:rPr>
          <w:rFonts w:hint="eastAsia" w:ascii="宋体" w:hAnsi="宋体" w:eastAsia="宋体" w:cs="Times New Roman"/>
          <w:color w:val="auto"/>
          <w:spacing w:val="-4"/>
          <w:kern w:val="2"/>
          <w:sz w:val="21"/>
          <w:szCs w:val="21"/>
          <w:highlight w:val="none"/>
        </w:rPr>
        <w:t>①视频智能联动</w:t>
      </w:r>
      <w:bookmarkEnd w:id="92"/>
    </w:p>
    <w:p>
      <w:pPr>
        <w:pStyle w:val="31"/>
        <w:ind w:firstLine="404" w:firstLineChars="200"/>
        <w:rPr>
          <w:rFonts w:ascii="宋体" w:hAnsi="宋体" w:eastAsia="宋体" w:cs="宋体"/>
          <w:color w:val="auto"/>
          <w:highlight w:val="none"/>
        </w:rPr>
      </w:pPr>
      <w:r>
        <w:rPr>
          <w:rFonts w:hint="eastAsia" w:ascii="宋体" w:hAnsi="宋体" w:eastAsia="宋体" w:cs="Times New Roman"/>
          <w:color w:val="auto"/>
          <w:spacing w:val="-4"/>
          <w:kern w:val="2"/>
          <w:sz w:val="21"/>
          <w:szCs w:val="21"/>
          <w:highlight w:val="none"/>
        </w:rPr>
        <w:t>当出现区域入侵（雷达探测、探测器报警）、门禁开门，都会触发视频联动，调用摄像机预置位进行现场视频呈现。</w:t>
      </w:r>
    </w:p>
    <w:p>
      <w:pPr>
        <w:pStyle w:val="31"/>
        <w:ind w:firstLine="404" w:firstLineChars="200"/>
        <w:rPr>
          <w:rFonts w:ascii="宋体" w:hAnsi="宋体" w:eastAsia="宋体" w:cs="Times New Roman"/>
          <w:color w:val="auto"/>
          <w:spacing w:val="-4"/>
          <w:kern w:val="2"/>
          <w:sz w:val="21"/>
          <w:szCs w:val="21"/>
          <w:highlight w:val="none"/>
        </w:rPr>
      </w:pPr>
      <w:bookmarkStart w:id="93" w:name="_Toc134466253"/>
      <w:r>
        <w:rPr>
          <w:rFonts w:hint="eastAsia" w:ascii="宋体" w:hAnsi="宋体" w:eastAsia="宋体" w:cs="Times New Roman"/>
          <w:color w:val="auto"/>
          <w:spacing w:val="-4"/>
          <w:kern w:val="2"/>
          <w:sz w:val="21"/>
          <w:szCs w:val="21"/>
          <w:highlight w:val="none"/>
        </w:rPr>
        <w:t>②巡更管理</w:t>
      </w:r>
      <w:bookmarkEnd w:id="93"/>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通过平台配置巡更任务，下发至对应账号的巡更终端，当巡更任务发生变更时，需及时同步任务信息。每班保安登录各自账号，接收巡检任务、执行巡检任务等流程。</w:t>
      </w:r>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巡更过程中，按照任务路线进行巡更，抵达巡更点后先用终端扫描NFC标签，进行巡更打卡，再拍照记录。考虑站内网络安全，支持离线巡更。巡更结束，终端接入网络后，向平台回传巡更数据，平台生成巡更报告。</w:t>
      </w:r>
    </w:p>
    <w:p>
      <w:pPr>
        <w:pStyle w:val="31"/>
        <w:ind w:firstLine="480" w:firstLineChars="200"/>
        <w:rPr>
          <w:rFonts w:ascii="宋体" w:hAnsi="宋体" w:eastAsia="宋体" w:cs="Times New Roman"/>
          <w:color w:val="auto"/>
          <w:spacing w:val="-4"/>
          <w:kern w:val="2"/>
          <w:sz w:val="21"/>
          <w:szCs w:val="21"/>
          <w:highlight w:val="none"/>
        </w:rPr>
      </w:pPr>
      <w:bookmarkStart w:id="94" w:name="_Toc134466255"/>
      <w:bookmarkStart w:id="95" w:name="_Toc70369171"/>
      <w:r>
        <w:rPr>
          <w:rFonts w:hint="eastAsia" w:ascii="宋体" w:hAnsi="宋体" w:eastAsia="宋体" w:cs="宋体"/>
          <w:color w:val="auto"/>
          <w:highlight w:val="none"/>
        </w:rPr>
        <w:t>③</w:t>
      </w:r>
      <w:r>
        <w:rPr>
          <w:rFonts w:hint="eastAsia" w:ascii="宋体" w:hAnsi="宋体" w:eastAsia="宋体" w:cs="Times New Roman"/>
          <w:color w:val="auto"/>
          <w:spacing w:val="-4"/>
          <w:kern w:val="2"/>
          <w:sz w:val="21"/>
          <w:szCs w:val="21"/>
          <w:highlight w:val="none"/>
        </w:rPr>
        <w:t>治安数据看板</w:t>
      </w:r>
      <w:bookmarkEnd w:id="94"/>
      <w:bookmarkEnd w:id="95"/>
    </w:p>
    <w:p>
      <w:pPr>
        <w:pStyle w:val="31"/>
        <w:ind w:firstLine="404" w:firstLineChars="200"/>
        <w:rPr>
          <w:rFonts w:ascii="宋体" w:hAnsi="宋体" w:eastAsia="宋体" w:cs="Times New Roman"/>
          <w:color w:val="auto"/>
          <w:spacing w:val="-4"/>
          <w:kern w:val="2"/>
          <w:sz w:val="21"/>
          <w:szCs w:val="21"/>
          <w:highlight w:val="none"/>
        </w:rPr>
      </w:pPr>
      <w:r>
        <w:rPr>
          <w:rFonts w:hint="eastAsia" w:ascii="宋体" w:hAnsi="宋体" w:eastAsia="宋体" w:cs="Times New Roman"/>
          <w:color w:val="auto"/>
          <w:spacing w:val="-4"/>
          <w:kern w:val="2"/>
          <w:sz w:val="21"/>
          <w:szCs w:val="21"/>
          <w:highlight w:val="none"/>
        </w:rPr>
        <w:t>基于治安数据看板，对站内的巡更任务、人车出入情况、入侵报警事件等进行统计展示。</w:t>
      </w:r>
    </w:p>
    <w:p>
      <w:pPr>
        <w:pStyle w:val="31"/>
        <w:ind w:firstLine="404" w:firstLineChars="200"/>
        <w:rPr>
          <w:rFonts w:ascii="宋体" w:hAnsi="宋体" w:eastAsia="宋体" w:cs="Times New Roman"/>
          <w:color w:val="auto"/>
          <w:spacing w:val="-4"/>
          <w:kern w:val="2"/>
          <w:sz w:val="21"/>
          <w:szCs w:val="21"/>
          <w:highlight w:val="none"/>
        </w:rPr>
      </w:pPr>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96" w:name="_Toc32071"/>
      <w:bookmarkStart w:id="97" w:name="_Toc30513"/>
      <w:r>
        <w:rPr>
          <w:rFonts w:hint="eastAsia" w:ascii="黑体" w:hAnsi="黑体" w:eastAsia="黑体"/>
          <w:sz w:val="22"/>
          <w:szCs w:val="22"/>
          <w:highlight w:val="none"/>
        </w:rPr>
        <w:t>安装</w:t>
      </w:r>
      <w:r>
        <w:rPr>
          <w:rFonts w:hint="eastAsia" w:ascii="黑体" w:hAnsi="黑体" w:eastAsia="黑体"/>
          <w:sz w:val="22"/>
          <w:szCs w:val="22"/>
          <w:highlight w:val="none"/>
          <w:lang w:val="en-US" w:eastAsia="zh-CN"/>
        </w:rPr>
        <w:t>督导</w:t>
      </w:r>
      <w:r>
        <w:rPr>
          <w:rFonts w:hint="eastAsia" w:ascii="黑体" w:hAnsi="黑体" w:eastAsia="黑体"/>
          <w:sz w:val="22"/>
          <w:szCs w:val="22"/>
          <w:highlight w:val="none"/>
        </w:rPr>
        <w:t>调试</w:t>
      </w:r>
      <w:bookmarkEnd w:id="96"/>
      <w:bookmarkEnd w:id="97"/>
    </w:p>
    <w:p>
      <w:pPr>
        <w:pStyle w:val="106"/>
        <w:numPr>
          <w:ilvl w:val="2"/>
          <w:numId w:val="0"/>
        </w:numPr>
        <w:bidi w:val="0"/>
        <w:ind w:left="170" w:leftChars="0" w:firstLine="0" w:firstLineChars="0"/>
      </w:pP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.1</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.1</w:t>
      </w:r>
      <w:r>
        <w:rPr>
          <w:rFonts w:hint="eastAsia"/>
        </w:rPr>
        <w:t>投标方必须向招标人提供所投标产品原制造商的安装</w:t>
      </w:r>
      <w:r>
        <w:rPr>
          <w:rFonts w:hint="eastAsia"/>
          <w:lang w:val="en-US" w:eastAsia="zh-CN"/>
        </w:rPr>
        <w:t>督导</w:t>
      </w:r>
      <w:r>
        <w:rPr>
          <w:rFonts w:hint="eastAsia"/>
        </w:rPr>
        <w:t>调试服务。</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.1</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.2</w:t>
      </w:r>
      <w:r>
        <w:rPr>
          <w:rFonts w:hint="eastAsia"/>
          <w:color w:val="auto"/>
          <w:highlight w:val="none"/>
        </w:rPr>
        <w:t>到货验收通过后，于本招标文件规定时间内完成合同产品的调试等工作，并提供调试过程中的各种文档资料。</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.1</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.3</w:t>
      </w:r>
      <w:r>
        <w:rPr>
          <w:rFonts w:hint="eastAsia"/>
          <w:color w:val="auto"/>
          <w:highlight w:val="none"/>
        </w:rPr>
        <w:t>投标方在实施前必须按招标人要求编制实施计划表，并提交招标人项目负责人审核。项目安装调试工作须严格按照实施计划表进行。</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.1</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.4</w:t>
      </w:r>
      <w:r>
        <w:rPr>
          <w:rFonts w:hint="eastAsia"/>
          <w:color w:val="auto"/>
          <w:highlight w:val="none"/>
        </w:rPr>
        <w:t>提供安装调测时使用的工具和设备, 通用工具由招标人协助解决</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.1</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.5</w:t>
      </w:r>
      <w:r>
        <w:rPr>
          <w:rFonts w:hint="eastAsia"/>
          <w:color w:val="auto"/>
          <w:highlight w:val="none"/>
        </w:rPr>
        <w:t>修复在实施工作中发现的合同产品相关的故障和缺陷，确保系统稳定、可靠运行。</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.1</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.6</w:t>
      </w:r>
      <w:r>
        <w:rPr>
          <w:rFonts w:hint="eastAsia"/>
          <w:color w:val="auto"/>
          <w:highlight w:val="none"/>
        </w:rPr>
        <w:t>必须按照招标人相关标准做信息安全加固。</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.1</w:t>
      </w:r>
      <w:r>
        <w:rPr>
          <w:rFonts w:hint="eastAsia" w:eastAsia="汉仪大黑简" w:cs="汉仪大宋简"/>
          <w:b/>
          <w:bCs w:val="0"/>
          <w:i w:val="0"/>
          <w:iCs w:val="0"/>
          <w:caps w:val="0"/>
          <w:smallCaps w:val="0"/>
          <w:strike w:val="0"/>
          <w:dstrike w:val="0"/>
          <w:vanish w:val="0"/>
          <w:color w:val="000000"/>
          <w:spacing w:val="0"/>
          <w:kern w:val="2"/>
          <w:position w:val="0"/>
          <w:sz w:val="24"/>
          <w:szCs w:val="24"/>
          <w:u w:val="none"/>
          <w:vertAlign w:val="baseline"/>
          <w:lang w:val="en-US" w:eastAsia="zh-CN" w:bidi="ar-SA"/>
        </w:rPr>
        <w:t>.</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7</w:t>
      </w:r>
      <w:r>
        <w:rPr>
          <w:rFonts w:hint="eastAsia"/>
          <w:color w:val="auto"/>
          <w:highlight w:val="none"/>
        </w:rPr>
        <w:t>投标方须负责授时安全隔离装置与调度中心运行管控系统的接口调试工作，实现告警信息的及时传递。</w:t>
      </w:r>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98" w:name="_Toc2158"/>
      <w:bookmarkStart w:id="99" w:name="_Toc291008619"/>
      <w:bookmarkStart w:id="100" w:name="_Toc31541"/>
      <w:r>
        <w:rPr>
          <w:rFonts w:hint="eastAsia" w:ascii="黑体" w:hAnsi="黑体" w:eastAsia="黑体"/>
          <w:sz w:val="22"/>
          <w:szCs w:val="22"/>
          <w:highlight w:val="none"/>
        </w:rPr>
        <w:t>测试</w:t>
      </w:r>
      <w:bookmarkEnd w:id="98"/>
      <w:bookmarkEnd w:id="99"/>
      <w:bookmarkEnd w:id="100"/>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2.1</w:t>
      </w:r>
      <w:r>
        <w:rPr>
          <w:rFonts w:hint="eastAsia"/>
          <w:color w:val="auto"/>
          <w:highlight w:val="none"/>
        </w:rPr>
        <w:t>投标人须制定测试方案，详细说明合同产品相关的测试项目、测试标准、测试计划、测试条件、测试方法、测试步骤、测试结果等内容。测试方案须经招标人审核通过。</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eastAsia"/>
          <w:color w:val="auto"/>
          <w:highlight w:val="none"/>
        </w:rPr>
        <w:t>在整体软硬件平台的联通、联调工作完成后，协助招标人按照测试方案进行测试。</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.3</w:t>
      </w:r>
      <w:r>
        <w:rPr>
          <w:rFonts w:hint="eastAsia"/>
          <w:color w:val="auto"/>
          <w:highlight w:val="none"/>
        </w:rPr>
        <w:t>如果在测试中发现合同产品相关问题，投标人须对其缺陷或缺点进行修正，然后重新测试直至合格为止。</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.4</w:t>
      </w:r>
      <w:r>
        <w:rPr>
          <w:rFonts w:hint="eastAsia"/>
          <w:color w:val="auto"/>
          <w:highlight w:val="none"/>
        </w:rPr>
        <w:t>测试完成后，整理并向招标人提交测试记录。</w:t>
      </w:r>
    </w:p>
    <w:p>
      <w:pPr>
        <w:pStyle w:val="106"/>
        <w:numPr>
          <w:ilvl w:val="2"/>
          <w:numId w:val="0"/>
        </w:numPr>
        <w:ind w:left="170" w:leftChars="0" w:firstLine="0" w:firstLineChars="0"/>
        <w:rPr>
          <w:color w:val="auto"/>
          <w:highlight w:val="none"/>
        </w:rPr>
      </w:pP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5</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w:t>
      </w:r>
      <w:r>
        <w:rPr>
          <w:rFonts w:hint="eastAsia"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2</w:t>
      </w:r>
      <w:r>
        <w:rPr>
          <w:rFonts w:hint="default" w:ascii="汉仪大宋简" w:hAnsi="汉仪大宋简" w:eastAsia="汉仪大黑简" w:cs="汉仪大宋简"/>
          <w:b/>
          <w:bCs w:val="0"/>
          <w:i w:val="0"/>
          <w:iCs w:val="0"/>
          <w:caps w:val="0"/>
          <w:smallCaps w:val="0"/>
          <w:strike w:val="0"/>
          <w:dstrike w:val="0"/>
          <w:vanish w:val="0"/>
          <w:color w:val="auto"/>
          <w:spacing w:val="0"/>
          <w:kern w:val="2"/>
          <w:position w:val="0"/>
          <w:sz w:val="24"/>
          <w:szCs w:val="24"/>
          <w:u w:val="none"/>
          <w:vertAlign w:val="baseline"/>
          <w:lang w:val="en-US" w:eastAsia="zh-CN" w:bidi="ar-SA"/>
        </w:rPr>
        <w:t>.5</w:t>
      </w:r>
      <w:r>
        <w:rPr>
          <w:rFonts w:hint="eastAsia"/>
          <w:color w:val="auto"/>
          <w:highlight w:val="none"/>
        </w:rPr>
        <w:t>其余要求由签订合同的双方协商确定。</w:t>
      </w:r>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101" w:name="_Toc25621"/>
      <w:r>
        <w:rPr>
          <w:rFonts w:hint="eastAsia" w:ascii="黑体" w:hAnsi="黑体" w:eastAsia="黑体"/>
          <w:bCs w:val="0"/>
          <w:sz w:val="22"/>
          <w:szCs w:val="22"/>
          <w:highlight w:val="none"/>
        </w:rPr>
        <w:t>质保及验收要求</w:t>
      </w:r>
      <w:bookmarkEnd w:id="101"/>
    </w:p>
    <w:p>
      <w:pPr>
        <w:ind w:firstLine="464" w:firstLineChars="200"/>
        <w:rPr>
          <w:rFonts w:hint="eastAsia" w:ascii="宋体" w:hAnsi="宋体"/>
          <w:spacing w:val="-4"/>
          <w:highlight w:val="none"/>
        </w:rPr>
      </w:pPr>
      <w:r>
        <w:rPr>
          <w:rFonts w:hint="eastAsia" w:ascii="宋体" w:hAnsi="宋体"/>
          <w:spacing w:val="-4"/>
          <w:highlight w:val="none"/>
        </w:rPr>
        <w:t>1.需求清单里罗列的设备的质保期均为</w:t>
      </w:r>
      <w:r>
        <w:rPr>
          <w:rFonts w:hint="eastAsia" w:ascii="宋体" w:hAnsi="宋体"/>
          <w:spacing w:val="-4"/>
          <w:highlight w:val="none"/>
          <w:lang w:val="en-US" w:eastAsia="zh-CN"/>
        </w:rPr>
        <w:t>3</w:t>
      </w:r>
      <w:r>
        <w:rPr>
          <w:rFonts w:hint="eastAsia" w:ascii="宋体" w:hAnsi="宋体"/>
          <w:spacing w:val="-4"/>
          <w:highlight w:val="none"/>
        </w:rPr>
        <w:t>年。</w:t>
      </w:r>
    </w:p>
    <w:p>
      <w:pPr>
        <w:ind w:firstLine="464" w:firstLineChars="200"/>
        <w:rPr>
          <w:rFonts w:hint="eastAsia" w:ascii="宋体" w:hAnsi="宋体"/>
          <w:spacing w:val="-4"/>
          <w:highlight w:val="none"/>
        </w:rPr>
      </w:pPr>
      <w:r>
        <w:rPr>
          <w:rFonts w:hint="eastAsia" w:ascii="宋体" w:hAnsi="宋体"/>
          <w:spacing w:val="-4"/>
          <w:highlight w:val="none"/>
        </w:rPr>
        <w:t>2.需求清单里物防、技防、土建部分的建设内容需通过属地反恐部门验收。</w:t>
      </w:r>
    </w:p>
    <w:bookmarkEnd w:id="80"/>
    <w:bookmarkEnd w:id="81"/>
    <w:bookmarkEnd w:id="82"/>
    <w:bookmarkEnd w:id="85"/>
    <w:bookmarkEnd w:id="86"/>
    <w:bookmarkEnd w:id="87"/>
    <w:p>
      <w:pPr>
        <w:pStyle w:val="4"/>
        <w:numPr>
          <w:ilvl w:val="0"/>
          <w:numId w:val="5"/>
        </w:numPr>
        <w:topLinePunct/>
        <w:spacing w:before="0" w:after="0" w:line="480" w:lineRule="auto"/>
        <w:jc w:val="left"/>
        <w:textAlignment w:val="baseline"/>
        <w:rPr>
          <w:rFonts w:ascii="黑体" w:hAnsi="黑体" w:eastAsia="黑体"/>
          <w:bCs w:val="0"/>
          <w:color w:val="auto"/>
          <w:sz w:val="22"/>
          <w:szCs w:val="22"/>
          <w:highlight w:val="none"/>
        </w:rPr>
      </w:pPr>
      <w:bookmarkStart w:id="102" w:name="_Toc31353"/>
      <w:bookmarkStart w:id="103" w:name="_Toc29294"/>
      <w:bookmarkStart w:id="104" w:name="_Toc20704"/>
      <w:bookmarkStart w:id="105" w:name="_Toc11765"/>
      <w:bookmarkStart w:id="106" w:name="_Toc347154881"/>
      <w:bookmarkStart w:id="107" w:name="_Toc265313593"/>
      <w:bookmarkStart w:id="108" w:name="_Toc10574"/>
      <w:bookmarkStart w:id="109" w:name="_Toc17945"/>
      <w:bookmarkStart w:id="110" w:name="_Toc30581"/>
      <w:bookmarkStart w:id="111" w:name="_Toc21089"/>
      <w:bookmarkStart w:id="112" w:name="_Toc15481"/>
      <w:bookmarkStart w:id="113" w:name="_Toc14493"/>
      <w:bookmarkStart w:id="114" w:name="_Toc20335"/>
      <w:bookmarkStart w:id="115" w:name="_Toc168869426"/>
      <w:bookmarkStart w:id="116" w:name="_Toc2054"/>
      <w:bookmarkStart w:id="117" w:name="_Toc15226"/>
      <w:bookmarkStart w:id="118" w:name="_Toc500920862"/>
      <w:bookmarkStart w:id="119" w:name="_Toc10207"/>
      <w:bookmarkStart w:id="120" w:name="_Toc356999079"/>
      <w:r>
        <w:rPr>
          <w:rFonts w:hint="eastAsia" w:ascii="黑体" w:hAnsi="黑体" w:eastAsia="黑体"/>
          <w:bCs w:val="0"/>
          <w:color w:val="auto"/>
          <w:sz w:val="22"/>
          <w:szCs w:val="22"/>
          <w:highlight w:val="none"/>
        </w:rPr>
        <w:t>终端设备与系统集成要求</w:t>
      </w:r>
      <w:bookmarkEnd w:id="102"/>
      <w:bookmarkEnd w:id="103"/>
      <w:bookmarkEnd w:id="104"/>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121" w:name="_Toc111237313"/>
      <w:bookmarkStart w:id="122" w:name="_Toc581"/>
      <w:bookmarkStart w:id="123" w:name="_Toc16808"/>
      <w:bookmarkStart w:id="124" w:name="_Toc384241749"/>
      <w:bookmarkStart w:id="125" w:name="_Toc508213795"/>
      <w:r>
        <w:rPr>
          <w:rFonts w:hint="eastAsia" w:ascii="黑体" w:hAnsi="黑体" w:eastAsia="黑体"/>
          <w:bCs w:val="0"/>
          <w:sz w:val="22"/>
          <w:szCs w:val="22"/>
          <w:highlight w:val="none"/>
        </w:rPr>
        <w:t>联网要求</w:t>
      </w:r>
      <w:bookmarkEnd w:id="121"/>
      <w:bookmarkEnd w:id="122"/>
      <w:bookmarkEnd w:id="123"/>
    </w:p>
    <w:p>
      <w:pPr>
        <w:ind w:firstLine="464" w:firstLineChars="200"/>
        <w:rPr>
          <w:rFonts w:ascii="宋体" w:hAnsi="宋体"/>
          <w:spacing w:val="-4"/>
          <w:highlight w:val="none"/>
        </w:rPr>
      </w:pPr>
      <w:r>
        <w:rPr>
          <w:rFonts w:hint="eastAsia" w:ascii="宋体" w:hAnsi="宋体"/>
          <w:spacing w:val="-4"/>
          <w:highlight w:val="none"/>
        </w:rPr>
        <w:t>根据《中国南方电网有限责任公司内部治安及反恐怖防范管理细则》要求，联网要求包括安全防范管理平台联网、视频监控系统联网、远程联网的接口预留或接入三个方面，本期工程新增的视频监控系统预留远程联网接口。</w:t>
      </w:r>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126" w:name="_Toc111237314"/>
      <w:bookmarkStart w:id="127" w:name="_Toc7597"/>
      <w:bookmarkStart w:id="128" w:name="_Toc387"/>
      <w:r>
        <w:rPr>
          <w:rFonts w:hint="eastAsia" w:ascii="黑体" w:hAnsi="黑体" w:eastAsia="黑体"/>
          <w:bCs w:val="0"/>
          <w:sz w:val="22"/>
          <w:szCs w:val="22"/>
          <w:highlight w:val="none"/>
        </w:rPr>
        <w:t>无线通信</w:t>
      </w:r>
      <w:bookmarkEnd w:id="126"/>
      <w:bookmarkEnd w:id="127"/>
      <w:bookmarkEnd w:id="128"/>
    </w:p>
    <w:p>
      <w:pPr>
        <w:ind w:firstLine="464" w:firstLineChars="200"/>
        <w:rPr>
          <w:rFonts w:ascii="宋体" w:hAnsi="宋体"/>
          <w:spacing w:val="-4"/>
          <w:highlight w:val="none"/>
        </w:rPr>
      </w:pPr>
      <w:r>
        <w:rPr>
          <w:rFonts w:hint="eastAsia" w:ascii="宋体" w:hAnsi="宋体"/>
          <w:spacing w:val="-4"/>
          <w:highlight w:val="none"/>
        </w:rPr>
        <w:t>根据《中国南方电网有限责任公司内部治安及反恐怖防范管理细则》要求，每班应设置一个无线通信设备，在物防项目里已经设置里用于无线通讯的对讲机，而且目前各个值班人员都配置有手机作为无线通信设备，因此此处不在单独设置无线通信设备。</w:t>
      </w:r>
    </w:p>
    <w:p>
      <w:pPr>
        <w:pStyle w:val="4"/>
        <w:numPr>
          <w:ilvl w:val="0"/>
          <w:numId w:val="5"/>
        </w:numPr>
        <w:topLinePunct/>
        <w:spacing w:before="0" w:after="0" w:line="480" w:lineRule="auto"/>
        <w:jc w:val="left"/>
        <w:textAlignment w:val="baseline"/>
        <w:rPr>
          <w:rFonts w:ascii="黑体" w:hAnsi="黑体" w:eastAsia="黑体"/>
          <w:bCs w:val="0"/>
          <w:color w:val="auto"/>
          <w:sz w:val="22"/>
          <w:szCs w:val="22"/>
          <w:highlight w:val="none"/>
        </w:rPr>
      </w:pPr>
      <w:bookmarkStart w:id="129" w:name="_Toc9294"/>
      <w:r>
        <w:rPr>
          <w:rFonts w:hint="eastAsia" w:ascii="黑体" w:hAnsi="黑体" w:eastAsia="黑体"/>
          <w:bCs w:val="0"/>
          <w:color w:val="auto"/>
          <w:sz w:val="22"/>
          <w:szCs w:val="22"/>
          <w:highlight w:val="none"/>
        </w:rPr>
        <w:t>包装、运输和贮存</w:t>
      </w:r>
      <w:bookmarkEnd w:id="124"/>
      <w:bookmarkEnd w:id="125"/>
      <w:bookmarkEnd w:id="129"/>
    </w:p>
    <w:p>
      <w:pPr>
        <w:adjustRightInd w:val="0"/>
        <w:snapToGrid w:val="0"/>
        <w:rPr>
          <w:rFonts w:ascii="宋体" w:hAnsi="宋体"/>
          <w:spacing w:val="-4"/>
          <w:highlight w:val="none"/>
        </w:rPr>
      </w:pPr>
      <w:bookmarkStart w:id="130" w:name="_Toc25250"/>
      <w:bookmarkStart w:id="131" w:name="_Toc2589"/>
      <w:r>
        <w:rPr>
          <w:rFonts w:hint="eastAsia" w:ascii="黑体" w:hAnsi="黑体" w:eastAsia="黑体"/>
          <w:spacing w:val="-4"/>
          <w:highlight w:val="none"/>
        </w:rPr>
        <w:t>4.1</w:t>
      </w:r>
      <w:r>
        <w:rPr>
          <w:rFonts w:hint="eastAsia" w:ascii="宋体" w:hAnsi="宋体"/>
          <w:spacing w:val="-4"/>
          <w:highlight w:val="none"/>
        </w:rPr>
        <w:t>设备制造完成并通过试验后应及时包装,否则应得到切实的保护,确保其不受污损。</w:t>
      </w:r>
      <w:bookmarkEnd w:id="130"/>
      <w:bookmarkEnd w:id="131"/>
    </w:p>
    <w:p>
      <w:pPr>
        <w:adjustRightInd w:val="0"/>
        <w:snapToGrid w:val="0"/>
        <w:rPr>
          <w:rFonts w:ascii="宋体" w:hAnsi="宋体"/>
          <w:spacing w:val="-4"/>
          <w:highlight w:val="none"/>
        </w:rPr>
      </w:pPr>
      <w:bookmarkStart w:id="132" w:name="_Toc7064"/>
      <w:bookmarkStart w:id="133" w:name="_Toc96"/>
      <w:r>
        <w:rPr>
          <w:rFonts w:hint="eastAsia" w:ascii="黑体" w:hAnsi="黑体" w:eastAsia="黑体"/>
          <w:spacing w:val="-4"/>
          <w:highlight w:val="none"/>
        </w:rPr>
        <w:t>4.2</w:t>
      </w:r>
      <w:r>
        <w:rPr>
          <w:rFonts w:hint="eastAsia" w:ascii="宋体" w:hAnsi="宋体"/>
          <w:spacing w:val="-4"/>
          <w:highlight w:val="none"/>
        </w:rPr>
        <w:t>所有部件经妥善包装或装箱后,在运输过程中尚应采取其它防护措施,以免散失损坏或被盗。</w:t>
      </w:r>
      <w:bookmarkEnd w:id="132"/>
      <w:bookmarkEnd w:id="133"/>
    </w:p>
    <w:p>
      <w:pPr>
        <w:adjustRightInd w:val="0"/>
        <w:snapToGrid w:val="0"/>
        <w:rPr>
          <w:rFonts w:ascii="宋体" w:hAnsi="宋体"/>
          <w:spacing w:val="-4"/>
          <w:highlight w:val="none"/>
        </w:rPr>
      </w:pPr>
      <w:bookmarkStart w:id="134" w:name="_Toc23692"/>
      <w:bookmarkStart w:id="135" w:name="_Toc30620"/>
      <w:r>
        <w:rPr>
          <w:rFonts w:hint="eastAsia" w:ascii="黑体" w:hAnsi="黑体" w:eastAsia="黑体"/>
          <w:spacing w:val="-4"/>
          <w:highlight w:val="none"/>
        </w:rPr>
        <w:t>4.3</w:t>
      </w:r>
      <w:r>
        <w:rPr>
          <w:rFonts w:hint="eastAsia" w:ascii="宋体" w:hAnsi="宋体"/>
          <w:spacing w:val="-4"/>
          <w:highlight w:val="none"/>
        </w:rPr>
        <w:t>在包装箱外应标明需方的订货号、发货号。</w:t>
      </w:r>
      <w:bookmarkEnd w:id="134"/>
      <w:bookmarkEnd w:id="135"/>
    </w:p>
    <w:p>
      <w:pPr>
        <w:adjustRightInd w:val="0"/>
        <w:snapToGrid w:val="0"/>
        <w:rPr>
          <w:rFonts w:ascii="宋体" w:hAnsi="宋体"/>
          <w:spacing w:val="-4"/>
          <w:highlight w:val="none"/>
        </w:rPr>
      </w:pPr>
      <w:bookmarkStart w:id="136" w:name="_Toc21854"/>
      <w:bookmarkStart w:id="137" w:name="_Toc5770"/>
      <w:r>
        <w:rPr>
          <w:rFonts w:hint="eastAsia" w:ascii="黑体" w:hAnsi="黑体" w:eastAsia="黑体"/>
          <w:spacing w:val="-4"/>
          <w:highlight w:val="none"/>
        </w:rPr>
        <w:t>4.4</w:t>
      </w:r>
      <w:r>
        <w:rPr>
          <w:rFonts w:hint="eastAsia" w:ascii="宋体" w:hAnsi="宋体"/>
          <w:spacing w:val="-4"/>
          <w:highlight w:val="none"/>
        </w:rPr>
        <w:t>各种包装应能确保各零部件在运输过程中不致遭到损坏、丢失、变形、受潮和腐蚀。</w:t>
      </w:r>
      <w:bookmarkEnd w:id="136"/>
      <w:bookmarkEnd w:id="137"/>
    </w:p>
    <w:p>
      <w:pPr>
        <w:adjustRightInd w:val="0"/>
        <w:snapToGrid w:val="0"/>
        <w:rPr>
          <w:rFonts w:ascii="宋体" w:hAnsi="宋体"/>
          <w:spacing w:val="-4"/>
          <w:highlight w:val="none"/>
        </w:rPr>
      </w:pPr>
      <w:bookmarkStart w:id="138" w:name="_Toc5646"/>
      <w:bookmarkStart w:id="139" w:name="_Toc22009"/>
      <w:r>
        <w:rPr>
          <w:rFonts w:hint="eastAsia" w:ascii="黑体" w:hAnsi="黑体" w:eastAsia="黑体"/>
          <w:spacing w:val="-4"/>
          <w:highlight w:val="none"/>
        </w:rPr>
        <w:t>4.5</w:t>
      </w:r>
      <w:r>
        <w:rPr>
          <w:rFonts w:hint="eastAsia" w:ascii="宋体" w:hAnsi="宋体"/>
          <w:spacing w:val="-4"/>
          <w:highlight w:val="none"/>
        </w:rPr>
        <w:t>整体产品或分别运输的部件都要适合运输和装载的要求。</w:t>
      </w:r>
      <w:bookmarkEnd w:id="138"/>
      <w:bookmarkEnd w:id="139"/>
    </w:p>
    <w:p>
      <w:pPr>
        <w:pStyle w:val="4"/>
        <w:numPr>
          <w:ilvl w:val="0"/>
          <w:numId w:val="5"/>
        </w:numPr>
        <w:topLinePunct/>
        <w:spacing w:before="0" w:after="0" w:line="480" w:lineRule="auto"/>
        <w:jc w:val="left"/>
        <w:textAlignment w:val="baseline"/>
        <w:rPr>
          <w:rFonts w:ascii="黑体" w:hAnsi="黑体" w:eastAsia="黑体"/>
          <w:bCs w:val="0"/>
          <w:color w:val="auto"/>
          <w:sz w:val="22"/>
          <w:szCs w:val="22"/>
          <w:highlight w:val="none"/>
        </w:rPr>
      </w:pPr>
      <w:bookmarkStart w:id="140" w:name="_Toc384241750"/>
      <w:bookmarkStart w:id="141" w:name="_Toc508213796"/>
      <w:bookmarkStart w:id="142" w:name="_Toc309034198"/>
      <w:bookmarkStart w:id="143" w:name="_Toc2571"/>
      <w:r>
        <w:rPr>
          <w:rFonts w:hint="eastAsia" w:ascii="黑体" w:hAnsi="黑体" w:eastAsia="黑体"/>
          <w:bCs w:val="0"/>
          <w:color w:val="auto"/>
          <w:sz w:val="22"/>
          <w:szCs w:val="22"/>
          <w:highlight w:val="none"/>
        </w:rPr>
        <w:t>双方工作安排</w:t>
      </w:r>
      <w:bookmarkEnd w:id="140"/>
      <w:bookmarkEnd w:id="141"/>
      <w:bookmarkEnd w:id="142"/>
      <w:bookmarkEnd w:id="143"/>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144" w:name="_Toc13388"/>
      <w:bookmarkStart w:id="145" w:name="_Toc31745"/>
      <w:bookmarkStart w:id="146" w:name="_Toc29565"/>
      <w:bookmarkStart w:id="147" w:name="_Toc12312"/>
      <w:bookmarkStart w:id="148" w:name="_Toc20204"/>
      <w:r>
        <w:rPr>
          <w:rFonts w:hint="eastAsia" w:ascii="黑体" w:hAnsi="黑体" w:eastAsia="黑体"/>
          <w:bCs w:val="0"/>
          <w:sz w:val="22"/>
          <w:szCs w:val="22"/>
          <w:highlight w:val="none"/>
        </w:rPr>
        <w:t>招标人职责</w:t>
      </w:r>
      <w:bookmarkEnd w:id="144"/>
      <w:bookmarkEnd w:id="145"/>
      <w:bookmarkEnd w:id="146"/>
      <w:bookmarkEnd w:id="147"/>
      <w:bookmarkEnd w:id="148"/>
    </w:p>
    <w:p>
      <w:pPr>
        <w:adjustRightInd w:val="0"/>
        <w:snapToGrid w:val="0"/>
        <w:rPr>
          <w:rFonts w:ascii="宋体" w:hAnsi="宋体"/>
          <w:spacing w:val="-4"/>
          <w:highlight w:val="none"/>
        </w:rPr>
      </w:pPr>
      <w:bookmarkStart w:id="149" w:name="_Toc2020"/>
      <w:bookmarkStart w:id="150" w:name="_Toc24239"/>
      <w:r>
        <w:rPr>
          <w:rFonts w:hint="eastAsia" w:ascii="黑体" w:hAnsi="黑体" w:eastAsia="黑体"/>
          <w:spacing w:val="-4"/>
          <w:highlight w:val="none"/>
        </w:rPr>
        <w:t>5.1.1</w:t>
      </w:r>
      <w:r>
        <w:rPr>
          <w:rFonts w:hint="eastAsia" w:ascii="宋体" w:hAnsi="宋体"/>
          <w:spacing w:val="-4"/>
          <w:highlight w:val="none"/>
        </w:rPr>
        <w:t>提出本项目配套设备的现场布置图。</w:t>
      </w:r>
      <w:bookmarkEnd w:id="149"/>
      <w:bookmarkEnd w:id="150"/>
    </w:p>
    <w:p>
      <w:pPr>
        <w:adjustRightInd w:val="0"/>
        <w:snapToGrid w:val="0"/>
        <w:rPr>
          <w:rFonts w:ascii="宋体" w:hAnsi="宋体"/>
          <w:spacing w:val="-4"/>
          <w:highlight w:val="none"/>
        </w:rPr>
      </w:pPr>
      <w:bookmarkStart w:id="151" w:name="_Toc7122"/>
      <w:bookmarkStart w:id="152" w:name="_Toc31502"/>
      <w:r>
        <w:rPr>
          <w:rFonts w:hint="eastAsia" w:ascii="黑体" w:hAnsi="黑体" w:eastAsia="黑体"/>
          <w:spacing w:val="-4"/>
          <w:highlight w:val="none"/>
        </w:rPr>
        <w:t>5.1.2</w:t>
      </w:r>
      <w:r>
        <w:rPr>
          <w:rFonts w:hint="eastAsia" w:ascii="宋体" w:hAnsi="宋体"/>
          <w:spacing w:val="-4"/>
          <w:highlight w:val="none"/>
        </w:rPr>
        <w:t>协调与本系统互联的各个系统的接口工作。</w:t>
      </w:r>
      <w:bookmarkEnd w:id="151"/>
      <w:bookmarkEnd w:id="152"/>
    </w:p>
    <w:p>
      <w:pPr>
        <w:adjustRightInd w:val="0"/>
        <w:snapToGrid w:val="0"/>
        <w:rPr>
          <w:rFonts w:ascii="宋体" w:hAnsi="宋体"/>
          <w:spacing w:val="-4"/>
          <w:highlight w:val="none"/>
        </w:rPr>
      </w:pPr>
      <w:bookmarkStart w:id="153" w:name="_Toc11120"/>
      <w:bookmarkStart w:id="154" w:name="_Toc9813"/>
      <w:r>
        <w:rPr>
          <w:rFonts w:hint="eastAsia" w:ascii="黑体" w:hAnsi="黑体" w:eastAsia="黑体"/>
          <w:spacing w:val="-4"/>
          <w:highlight w:val="none"/>
        </w:rPr>
        <w:t>5.1.3</w:t>
      </w:r>
      <w:r>
        <w:rPr>
          <w:rFonts w:hint="eastAsia" w:ascii="宋体" w:hAnsi="宋体"/>
          <w:spacing w:val="-4"/>
          <w:highlight w:val="none"/>
        </w:rPr>
        <w:t>提供本系统硬件设备与招标人设备之间的管材（PVC管、镀锌钢管等）。</w:t>
      </w:r>
      <w:bookmarkEnd w:id="153"/>
      <w:bookmarkEnd w:id="154"/>
    </w:p>
    <w:p>
      <w:pPr>
        <w:adjustRightInd w:val="0"/>
        <w:snapToGrid w:val="0"/>
        <w:rPr>
          <w:rFonts w:ascii="宋体" w:hAnsi="宋体"/>
          <w:spacing w:val="-4"/>
          <w:highlight w:val="none"/>
        </w:rPr>
      </w:pPr>
      <w:bookmarkStart w:id="155" w:name="_Toc15836"/>
      <w:bookmarkStart w:id="156" w:name="_Toc29623"/>
      <w:r>
        <w:rPr>
          <w:rFonts w:hint="eastAsia" w:ascii="黑体" w:hAnsi="黑体" w:eastAsia="黑体"/>
          <w:spacing w:val="-4"/>
          <w:highlight w:val="none"/>
        </w:rPr>
        <w:t>5.1.4</w:t>
      </w:r>
      <w:r>
        <w:rPr>
          <w:rFonts w:hint="eastAsia" w:ascii="宋体" w:hAnsi="宋体"/>
          <w:spacing w:val="-4"/>
          <w:highlight w:val="none"/>
        </w:rPr>
        <w:t>本系统现场设备的安装准备。</w:t>
      </w:r>
      <w:bookmarkEnd w:id="155"/>
      <w:bookmarkEnd w:id="156"/>
    </w:p>
    <w:p>
      <w:pPr>
        <w:adjustRightInd w:val="0"/>
        <w:snapToGrid w:val="0"/>
        <w:rPr>
          <w:rFonts w:ascii="宋体" w:hAnsi="宋体"/>
          <w:spacing w:val="-4"/>
          <w:highlight w:val="none"/>
        </w:rPr>
      </w:pPr>
      <w:bookmarkStart w:id="157" w:name="_Toc4337"/>
      <w:bookmarkStart w:id="158" w:name="_Toc29726"/>
      <w:r>
        <w:rPr>
          <w:rFonts w:hint="eastAsia" w:ascii="黑体" w:hAnsi="黑体" w:eastAsia="黑体"/>
          <w:spacing w:val="-4"/>
          <w:highlight w:val="none"/>
        </w:rPr>
        <w:t>5.1.5</w:t>
      </w:r>
      <w:r>
        <w:rPr>
          <w:rFonts w:hint="eastAsia" w:ascii="宋体" w:hAnsi="宋体"/>
          <w:spacing w:val="-4"/>
          <w:highlight w:val="none"/>
        </w:rPr>
        <w:t>参加设计联络会、试验与验收,并负责现场验收。</w:t>
      </w:r>
      <w:bookmarkEnd w:id="157"/>
      <w:bookmarkEnd w:id="158"/>
    </w:p>
    <w:p>
      <w:pPr>
        <w:adjustRightInd w:val="0"/>
        <w:snapToGrid w:val="0"/>
        <w:rPr>
          <w:rFonts w:ascii="宋体" w:hAnsi="宋体"/>
          <w:spacing w:val="-4"/>
          <w:highlight w:val="none"/>
        </w:rPr>
      </w:pPr>
      <w:r>
        <w:rPr>
          <w:rFonts w:hint="eastAsia" w:ascii="黑体" w:hAnsi="黑体" w:eastAsia="黑体"/>
          <w:spacing w:val="-4"/>
          <w:highlight w:val="none"/>
        </w:rPr>
        <w:t>5.1.6</w:t>
      </w:r>
      <w:r>
        <w:rPr>
          <w:rFonts w:hint="eastAsia" w:ascii="宋体" w:hAnsi="宋体"/>
          <w:spacing w:val="-4"/>
          <w:highlight w:val="none"/>
        </w:rPr>
        <w:t>设备所需APN卡及配套流量费用由招标人负责。</w:t>
      </w:r>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159" w:name="_Toc1219"/>
      <w:bookmarkStart w:id="160" w:name="_Toc28705"/>
      <w:bookmarkStart w:id="161" w:name="_Toc30904"/>
      <w:bookmarkStart w:id="162" w:name="_Toc4908"/>
      <w:bookmarkStart w:id="163" w:name="_Toc15537"/>
      <w:r>
        <w:rPr>
          <w:rFonts w:hint="eastAsia" w:ascii="黑体" w:hAnsi="黑体" w:eastAsia="黑体"/>
          <w:bCs w:val="0"/>
          <w:sz w:val="22"/>
          <w:szCs w:val="22"/>
          <w:highlight w:val="none"/>
        </w:rPr>
        <w:t>投标人职责</w:t>
      </w:r>
      <w:bookmarkEnd w:id="159"/>
      <w:bookmarkEnd w:id="160"/>
      <w:bookmarkEnd w:id="161"/>
      <w:bookmarkEnd w:id="162"/>
      <w:bookmarkEnd w:id="163"/>
    </w:p>
    <w:p>
      <w:pPr>
        <w:adjustRightInd w:val="0"/>
        <w:snapToGrid w:val="0"/>
        <w:rPr>
          <w:rFonts w:ascii="宋体" w:hAnsi="宋体"/>
          <w:spacing w:val="-4"/>
          <w:highlight w:val="none"/>
        </w:rPr>
      </w:pPr>
      <w:bookmarkStart w:id="164" w:name="_Toc32188"/>
      <w:bookmarkStart w:id="165" w:name="_Toc8392"/>
      <w:r>
        <w:rPr>
          <w:rFonts w:hint="eastAsia" w:ascii="黑体" w:hAnsi="黑体" w:eastAsia="黑体"/>
          <w:spacing w:val="-4"/>
          <w:highlight w:val="none"/>
        </w:rPr>
        <w:t>5.2.1</w:t>
      </w:r>
      <w:r>
        <w:rPr>
          <w:rFonts w:hint="eastAsia" w:ascii="宋体" w:hAnsi="宋体"/>
          <w:spacing w:val="-4"/>
          <w:highlight w:val="none"/>
        </w:rPr>
        <w:t>负责提供投标范围内所有硬件设备（含电缆、网线、光缆、立杆等施工辅材）。</w:t>
      </w:r>
      <w:bookmarkEnd w:id="164"/>
      <w:bookmarkEnd w:id="165"/>
    </w:p>
    <w:p>
      <w:pPr>
        <w:adjustRightInd w:val="0"/>
        <w:snapToGrid w:val="0"/>
        <w:rPr>
          <w:rFonts w:ascii="宋体" w:hAnsi="宋体"/>
          <w:spacing w:val="-4"/>
          <w:highlight w:val="none"/>
        </w:rPr>
      </w:pPr>
      <w:bookmarkStart w:id="166" w:name="_Toc16332"/>
      <w:bookmarkStart w:id="167" w:name="_Toc12473"/>
      <w:r>
        <w:rPr>
          <w:rFonts w:hint="eastAsia" w:ascii="黑体" w:hAnsi="黑体" w:eastAsia="黑体"/>
          <w:spacing w:val="-4"/>
          <w:highlight w:val="none"/>
        </w:rPr>
        <w:t>5.2.2</w:t>
      </w:r>
      <w:r>
        <w:rPr>
          <w:rFonts w:hint="eastAsia" w:ascii="宋体" w:hAnsi="宋体"/>
          <w:spacing w:val="-4"/>
          <w:highlight w:val="none"/>
        </w:rPr>
        <w:t>负责完成本项目采购设备之间以及与智能安防可视化系统、边侧支持系统等数字生产系统的数据集成和调试工作。</w:t>
      </w:r>
      <w:bookmarkEnd w:id="166"/>
      <w:bookmarkEnd w:id="167"/>
    </w:p>
    <w:p>
      <w:pPr>
        <w:adjustRightInd w:val="0"/>
        <w:snapToGrid w:val="0"/>
        <w:rPr>
          <w:rFonts w:ascii="宋体" w:hAnsi="宋体"/>
          <w:spacing w:val="-4"/>
          <w:highlight w:val="none"/>
        </w:rPr>
      </w:pPr>
      <w:bookmarkStart w:id="168" w:name="_Toc12980"/>
      <w:bookmarkStart w:id="169" w:name="_Toc11383"/>
      <w:r>
        <w:rPr>
          <w:rFonts w:hint="eastAsia" w:ascii="黑体" w:hAnsi="黑体" w:eastAsia="黑体"/>
          <w:spacing w:val="-4"/>
          <w:highlight w:val="none"/>
        </w:rPr>
        <w:t>5.2.3</w:t>
      </w:r>
      <w:r>
        <w:rPr>
          <w:rFonts w:hint="eastAsia" w:ascii="宋体" w:hAnsi="宋体"/>
          <w:spacing w:val="-4"/>
          <w:highlight w:val="none"/>
        </w:rPr>
        <w:t>负责对招标人专业人员的技术培训(包括硬件、软件的维护及运行培训),并提供必要的工作场地。</w:t>
      </w:r>
      <w:bookmarkEnd w:id="168"/>
      <w:bookmarkEnd w:id="169"/>
    </w:p>
    <w:p>
      <w:pPr>
        <w:adjustRightInd w:val="0"/>
        <w:snapToGrid w:val="0"/>
        <w:rPr>
          <w:rFonts w:ascii="宋体" w:hAnsi="宋体"/>
          <w:spacing w:val="-4"/>
          <w:highlight w:val="none"/>
        </w:rPr>
      </w:pPr>
      <w:bookmarkStart w:id="170" w:name="_Toc28620"/>
      <w:bookmarkStart w:id="171" w:name="_Toc28243"/>
      <w:r>
        <w:rPr>
          <w:rFonts w:hint="eastAsia" w:ascii="黑体" w:hAnsi="黑体" w:eastAsia="黑体"/>
          <w:spacing w:val="-4"/>
          <w:highlight w:val="none"/>
        </w:rPr>
        <w:t>5.2.4</w:t>
      </w:r>
      <w:r>
        <w:rPr>
          <w:rFonts w:hint="eastAsia" w:ascii="宋体" w:hAnsi="宋体"/>
          <w:spacing w:val="-4"/>
          <w:highlight w:val="none"/>
        </w:rPr>
        <w:t>负责设备现场调试、技术指导，参加现场验收。</w:t>
      </w:r>
      <w:bookmarkEnd w:id="170"/>
      <w:bookmarkEnd w:id="171"/>
    </w:p>
    <w:p>
      <w:pPr>
        <w:adjustRightInd w:val="0"/>
        <w:snapToGrid w:val="0"/>
        <w:rPr>
          <w:rFonts w:ascii="宋体" w:hAnsi="宋体"/>
          <w:spacing w:val="-4"/>
          <w:highlight w:val="none"/>
        </w:rPr>
      </w:pPr>
      <w:bookmarkStart w:id="172" w:name="_Toc25616"/>
      <w:bookmarkStart w:id="173" w:name="_Toc12770"/>
      <w:r>
        <w:rPr>
          <w:rFonts w:hint="eastAsia" w:ascii="黑体" w:hAnsi="黑体" w:eastAsia="黑体"/>
          <w:spacing w:val="-4"/>
          <w:highlight w:val="none"/>
        </w:rPr>
        <w:t>5.2.5</w:t>
      </w:r>
      <w:r>
        <w:rPr>
          <w:rFonts w:hint="eastAsia" w:ascii="宋体" w:hAnsi="宋体"/>
          <w:spacing w:val="-4"/>
          <w:highlight w:val="none"/>
        </w:rPr>
        <w:t>负责提供供货范围内所有设备的文件资料和运行维护手册。</w:t>
      </w:r>
      <w:bookmarkEnd w:id="172"/>
      <w:bookmarkEnd w:id="173"/>
    </w:p>
    <w:p>
      <w:pPr>
        <w:adjustRightInd w:val="0"/>
        <w:snapToGrid w:val="0"/>
        <w:rPr>
          <w:rFonts w:ascii="宋体" w:hAnsi="宋体"/>
          <w:spacing w:val="-4"/>
          <w:highlight w:val="none"/>
        </w:rPr>
      </w:pPr>
      <w:bookmarkStart w:id="174" w:name="_Toc26288"/>
      <w:bookmarkStart w:id="175" w:name="_Toc10652"/>
      <w:r>
        <w:rPr>
          <w:rFonts w:hint="eastAsia" w:ascii="黑体" w:hAnsi="黑体" w:eastAsia="黑体"/>
          <w:spacing w:val="-4"/>
          <w:highlight w:val="none"/>
        </w:rPr>
        <w:t>5.2.6</w:t>
      </w:r>
      <w:r>
        <w:rPr>
          <w:rFonts w:hint="eastAsia" w:ascii="宋体" w:hAnsi="宋体"/>
          <w:spacing w:val="-4"/>
          <w:highlight w:val="none"/>
        </w:rPr>
        <w:t>负责本系统设备的运输和保险。</w:t>
      </w:r>
      <w:bookmarkEnd w:id="174"/>
      <w:bookmarkEnd w:id="175"/>
    </w:p>
    <w:p>
      <w:pPr>
        <w:adjustRightInd w:val="0"/>
        <w:snapToGrid w:val="0"/>
        <w:rPr>
          <w:rFonts w:ascii="宋体" w:hAnsi="宋体"/>
          <w:spacing w:val="-4"/>
          <w:highlight w:val="none"/>
        </w:rPr>
      </w:pPr>
      <w:bookmarkStart w:id="176" w:name="_Toc18986"/>
      <w:bookmarkStart w:id="177" w:name="_Toc12790"/>
      <w:r>
        <w:rPr>
          <w:rFonts w:hint="eastAsia" w:ascii="黑体" w:hAnsi="黑体" w:eastAsia="黑体"/>
          <w:spacing w:val="-4"/>
          <w:highlight w:val="none"/>
        </w:rPr>
        <w:t>5.2.7</w:t>
      </w:r>
      <w:r>
        <w:rPr>
          <w:rFonts w:hint="eastAsia" w:ascii="宋体" w:hAnsi="宋体"/>
          <w:spacing w:val="-4"/>
          <w:highlight w:val="none"/>
        </w:rPr>
        <w:t>投标人应提供所供产品技术资料及电子版本；投标人至少应提供下列技术文件以供设计确认：设备清单、产品说明书、系统拓扑结构图、技术方案。</w:t>
      </w:r>
      <w:bookmarkEnd w:id="176"/>
      <w:bookmarkEnd w:id="177"/>
    </w:p>
    <w:p>
      <w:pPr>
        <w:adjustRightInd w:val="0"/>
        <w:snapToGrid w:val="0"/>
        <w:rPr>
          <w:rFonts w:ascii="宋体" w:hAnsi="宋体"/>
          <w:spacing w:val="-4"/>
          <w:highlight w:val="none"/>
        </w:rPr>
      </w:pPr>
      <w:bookmarkStart w:id="178" w:name="_Toc9343"/>
      <w:bookmarkStart w:id="179" w:name="_Toc16991"/>
      <w:r>
        <w:rPr>
          <w:rFonts w:hint="eastAsia" w:ascii="黑体" w:hAnsi="黑体" w:eastAsia="黑体"/>
          <w:spacing w:val="-4"/>
          <w:highlight w:val="none"/>
        </w:rPr>
        <w:t>5.2.8</w:t>
      </w:r>
      <w:r>
        <w:rPr>
          <w:rFonts w:hint="eastAsia" w:ascii="宋体" w:hAnsi="宋体"/>
          <w:spacing w:val="-4"/>
          <w:highlight w:val="none"/>
        </w:rPr>
        <w:t>投标人提供的设备参数或配置接线有变化时,应及时书面通知招标人,否则由此引起的一切后果将由卖方承担。</w:t>
      </w:r>
      <w:bookmarkEnd w:id="178"/>
      <w:bookmarkEnd w:id="179"/>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180" w:name="_Toc19309"/>
      <w:bookmarkStart w:id="181" w:name="_Toc11968"/>
      <w:bookmarkStart w:id="182" w:name="_Toc21887"/>
      <w:bookmarkStart w:id="183" w:name="_Toc8729"/>
      <w:r>
        <w:rPr>
          <w:rFonts w:hint="eastAsia" w:ascii="黑体" w:hAnsi="黑体" w:eastAsia="黑体"/>
          <w:bCs w:val="0"/>
          <w:sz w:val="22"/>
          <w:szCs w:val="22"/>
          <w:highlight w:val="none"/>
        </w:rPr>
        <w:t>设计联络会与培训</w:t>
      </w:r>
      <w:bookmarkEnd w:id="180"/>
      <w:bookmarkEnd w:id="181"/>
      <w:bookmarkEnd w:id="182"/>
      <w:bookmarkEnd w:id="183"/>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184" w:name="_Toc10710"/>
      <w:bookmarkStart w:id="185" w:name="_Toc16103"/>
      <w:bookmarkStart w:id="186" w:name="_Toc19372"/>
      <w:bookmarkStart w:id="187" w:name="_Toc11243"/>
      <w:bookmarkStart w:id="188" w:name="_Toc31209"/>
      <w:r>
        <w:rPr>
          <w:rFonts w:hint="eastAsia" w:ascii="黑体" w:hAnsi="黑体" w:eastAsia="黑体"/>
          <w:sz w:val="22"/>
          <w:szCs w:val="22"/>
          <w:highlight w:val="none"/>
        </w:rPr>
        <w:t>设计联络会</w:t>
      </w:r>
      <w:bookmarkEnd w:id="184"/>
      <w:bookmarkEnd w:id="185"/>
      <w:bookmarkEnd w:id="186"/>
      <w:bookmarkEnd w:id="187"/>
      <w:bookmarkEnd w:id="188"/>
    </w:p>
    <w:p>
      <w:pPr>
        <w:adjustRightInd w:val="0"/>
        <w:snapToGrid w:val="0"/>
        <w:ind w:firstLine="464" w:firstLineChars="200"/>
        <w:rPr>
          <w:rFonts w:ascii="宋体" w:hAnsi="宋体"/>
          <w:spacing w:val="-4"/>
          <w:highlight w:val="none"/>
        </w:rPr>
      </w:pPr>
      <w:bookmarkStart w:id="189" w:name="_Toc10197"/>
      <w:bookmarkStart w:id="190" w:name="_Toc25943"/>
      <w:r>
        <w:rPr>
          <w:rFonts w:hint="eastAsia" w:ascii="宋体" w:hAnsi="宋体"/>
          <w:spacing w:val="-4"/>
          <w:highlight w:val="none"/>
        </w:rPr>
        <w:t>为了确认本系统的设计方案，确定各互联系统软硬件接口界面，交换必需的设计配合资料,协调工程进度，投标人应在设计联络会召开前二周,提交给招标人需要确认的图纸和资料。由投标人负责设计联络会费用，调度、设计院、供电局参加，投标时需单独报价。是否召开设计联络会由招标人决定。</w:t>
      </w:r>
      <w:bookmarkEnd w:id="189"/>
      <w:bookmarkEnd w:id="190"/>
    </w:p>
    <w:p>
      <w:pPr>
        <w:adjustRightInd w:val="0"/>
        <w:snapToGrid w:val="0"/>
        <w:rPr>
          <w:rFonts w:ascii="宋体" w:hAnsi="宋体"/>
          <w:spacing w:val="-4"/>
          <w:highlight w:val="none"/>
        </w:rPr>
      </w:pPr>
      <w:bookmarkStart w:id="191" w:name="_Toc26628"/>
      <w:bookmarkStart w:id="192" w:name="_Toc13656"/>
      <w:r>
        <w:rPr>
          <w:rFonts w:hint="eastAsia" w:ascii="黑体" w:hAnsi="黑体" w:eastAsia="黑体"/>
          <w:spacing w:val="-4"/>
          <w:highlight w:val="none"/>
        </w:rPr>
        <w:t>5.3.1.1</w:t>
      </w:r>
      <w:r>
        <w:rPr>
          <w:rFonts w:hint="eastAsia" w:ascii="宋体" w:hAnsi="宋体"/>
          <w:spacing w:val="-4"/>
          <w:highlight w:val="none"/>
        </w:rPr>
        <w:t>设计联络会议内容为：</w:t>
      </w:r>
      <w:bookmarkEnd w:id="191"/>
      <w:bookmarkEnd w:id="192"/>
    </w:p>
    <w:p>
      <w:pPr>
        <w:adjustRightInd w:val="0"/>
        <w:snapToGrid w:val="0"/>
        <w:rPr>
          <w:rFonts w:ascii="宋体" w:hAnsi="宋体"/>
          <w:spacing w:val="-4"/>
          <w:highlight w:val="none"/>
        </w:rPr>
      </w:pPr>
      <w:r>
        <w:rPr>
          <w:rFonts w:hint="eastAsia" w:ascii="宋体" w:hAnsi="宋体"/>
          <w:spacing w:val="-4"/>
          <w:highlight w:val="none"/>
        </w:rPr>
        <w:t>1）确认本系统的详细设计方案；</w:t>
      </w:r>
    </w:p>
    <w:p>
      <w:pPr>
        <w:adjustRightInd w:val="0"/>
        <w:snapToGrid w:val="0"/>
        <w:rPr>
          <w:rFonts w:ascii="宋体" w:hAnsi="宋体"/>
          <w:spacing w:val="-4"/>
          <w:highlight w:val="none"/>
        </w:rPr>
      </w:pPr>
      <w:r>
        <w:rPr>
          <w:rFonts w:hint="eastAsia" w:ascii="宋体" w:hAnsi="宋体"/>
          <w:spacing w:val="-4"/>
          <w:highlight w:val="none"/>
        </w:rPr>
        <w:t>2）确认本系统的具体功能规范；</w:t>
      </w:r>
    </w:p>
    <w:p>
      <w:pPr>
        <w:adjustRightInd w:val="0"/>
        <w:snapToGrid w:val="0"/>
        <w:rPr>
          <w:rFonts w:ascii="宋体" w:hAnsi="宋体"/>
          <w:spacing w:val="-4"/>
          <w:highlight w:val="none"/>
        </w:rPr>
      </w:pPr>
      <w:r>
        <w:rPr>
          <w:rFonts w:hint="eastAsia" w:ascii="宋体" w:hAnsi="宋体"/>
          <w:spacing w:val="-4"/>
          <w:highlight w:val="none"/>
        </w:rPr>
        <w:t>3）讨论/确定培训计划；</w:t>
      </w:r>
    </w:p>
    <w:p>
      <w:pPr>
        <w:adjustRightInd w:val="0"/>
        <w:snapToGrid w:val="0"/>
        <w:rPr>
          <w:rFonts w:ascii="宋体" w:hAnsi="宋体"/>
          <w:spacing w:val="-4"/>
          <w:highlight w:val="none"/>
        </w:rPr>
      </w:pPr>
      <w:r>
        <w:rPr>
          <w:rFonts w:hint="eastAsia" w:ascii="宋体" w:hAnsi="宋体"/>
          <w:spacing w:val="-4"/>
          <w:highlight w:val="none"/>
        </w:rPr>
        <w:t>4）讨论/确定工程进度要求；</w:t>
      </w:r>
    </w:p>
    <w:p>
      <w:pPr>
        <w:adjustRightInd w:val="0"/>
        <w:snapToGrid w:val="0"/>
        <w:rPr>
          <w:rFonts w:ascii="宋体" w:hAnsi="宋体"/>
          <w:spacing w:val="-4"/>
          <w:highlight w:val="none"/>
        </w:rPr>
      </w:pPr>
      <w:r>
        <w:rPr>
          <w:rFonts w:hint="eastAsia" w:ascii="宋体" w:hAnsi="宋体"/>
          <w:spacing w:val="-4"/>
          <w:highlight w:val="none"/>
        </w:rPr>
        <w:t>5）讨论/确定工厂验收(FAT)计划；</w:t>
      </w:r>
    </w:p>
    <w:p>
      <w:pPr>
        <w:adjustRightInd w:val="0"/>
        <w:snapToGrid w:val="0"/>
        <w:rPr>
          <w:rFonts w:ascii="宋体" w:hAnsi="宋体"/>
          <w:spacing w:val="-4"/>
          <w:highlight w:val="none"/>
        </w:rPr>
      </w:pPr>
      <w:r>
        <w:rPr>
          <w:rFonts w:hint="eastAsia" w:ascii="宋体" w:hAnsi="宋体"/>
          <w:spacing w:val="-4"/>
          <w:highlight w:val="none"/>
        </w:rPr>
        <w:t>6）讨论/确定现场安装计划要求；</w:t>
      </w:r>
    </w:p>
    <w:p>
      <w:pPr>
        <w:adjustRightInd w:val="0"/>
        <w:snapToGrid w:val="0"/>
        <w:rPr>
          <w:rFonts w:ascii="宋体" w:hAnsi="宋体"/>
          <w:spacing w:val="-4"/>
          <w:highlight w:val="none"/>
        </w:rPr>
      </w:pPr>
      <w:r>
        <w:rPr>
          <w:rFonts w:hint="eastAsia" w:ascii="宋体" w:hAnsi="宋体"/>
          <w:spacing w:val="-4"/>
          <w:highlight w:val="none"/>
        </w:rPr>
        <w:t>7）讨论/确定现场验收(SAT)计划。</w:t>
      </w:r>
    </w:p>
    <w:p>
      <w:pPr>
        <w:pStyle w:val="6"/>
        <w:numPr>
          <w:ilvl w:val="2"/>
          <w:numId w:val="5"/>
        </w:numPr>
        <w:topLinePunct/>
        <w:spacing w:before="0" w:after="0" w:line="480" w:lineRule="auto"/>
        <w:jc w:val="left"/>
        <w:textAlignment w:val="baseline"/>
        <w:rPr>
          <w:rFonts w:ascii="黑体" w:hAnsi="黑体" w:eastAsia="黑体"/>
          <w:sz w:val="22"/>
          <w:szCs w:val="22"/>
          <w:highlight w:val="none"/>
        </w:rPr>
      </w:pPr>
      <w:bookmarkStart w:id="193" w:name="_Toc13366"/>
      <w:bookmarkStart w:id="194" w:name="_Toc22613"/>
      <w:bookmarkStart w:id="195" w:name="_Toc8482"/>
      <w:bookmarkStart w:id="196" w:name="_Toc17175"/>
      <w:bookmarkStart w:id="197" w:name="_Toc24012"/>
      <w:r>
        <w:rPr>
          <w:rFonts w:hint="eastAsia" w:ascii="黑体" w:hAnsi="黑体" w:eastAsia="黑体"/>
          <w:sz w:val="22"/>
          <w:szCs w:val="22"/>
          <w:highlight w:val="none"/>
        </w:rPr>
        <w:t>培训</w:t>
      </w:r>
      <w:bookmarkEnd w:id="193"/>
      <w:bookmarkEnd w:id="194"/>
      <w:bookmarkEnd w:id="195"/>
      <w:bookmarkEnd w:id="196"/>
      <w:bookmarkEnd w:id="197"/>
    </w:p>
    <w:p>
      <w:pPr>
        <w:adjustRightInd w:val="0"/>
        <w:snapToGrid w:val="0"/>
        <w:rPr>
          <w:rFonts w:ascii="宋体" w:hAnsi="宋体"/>
          <w:spacing w:val="-4"/>
          <w:highlight w:val="none"/>
        </w:rPr>
      </w:pPr>
      <w:bookmarkStart w:id="198" w:name="_Toc20533"/>
      <w:bookmarkStart w:id="199" w:name="_Toc32747"/>
      <w:r>
        <w:rPr>
          <w:rFonts w:hint="eastAsia" w:ascii="宋体" w:hAnsi="宋体"/>
          <w:spacing w:val="-4"/>
          <w:highlight w:val="none"/>
        </w:rPr>
        <w:t>5.3.2.1投标人负责对招标人技术人员及运行、维护人员的培训。</w:t>
      </w:r>
      <w:bookmarkEnd w:id="198"/>
      <w:bookmarkEnd w:id="199"/>
    </w:p>
    <w:p>
      <w:pPr>
        <w:adjustRightInd w:val="0"/>
        <w:snapToGrid w:val="0"/>
        <w:rPr>
          <w:rFonts w:ascii="宋体" w:hAnsi="宋体"/>
          <w:spacing w:val="-4"/>
          <w:highlight w:val="none"/>
        </w:rPr>
      </w:pPr>
      <w:bookmarkStart w:id="200" w:name="_Toc7521"/>
      <w:bookmarkStart w:id="201" w:name="_Toc17680"/>
      <w:r>
        <w:rPr>
          <w:rFonts w:hint="eastAsia" w:ascii="宋体" w:hAnsi="宋体"/>
          <w:spacing w:val="-4"/>
          <w:highlight w:val="none"/>
        </w:rPr>
        <w:t>5.3.2.2由投标人负责免费提供培训，招标人选派人员参加。</w:t>
      </w:r>
      <w:bookmarkEnd w:id="200"/>
      <w:bookmarkEnd w:id="201"/>
    </w:p>
    <w:p>
      <w:pPr>
        <w:adjustRightInd w:val="0"/>
        <w:snapToGrid w:val="0"/>
        <w:rPr>
          <w:rFonts w:ascii="宋体" w:hAnsi="宋体"/>
          <w:spacing w:val="-4"/>
          <w:highlight w:val="none"/>
        </w:rPr>
      </w:pPr>
      <w:r>
        <w:rPr>
          <w:rFonts w:hint="eastAsia" w:ascii="宋体" w:hAnsi="宋体"/>
          <w:spacing w:val="-4"/>
          <w:highlight w:val="none"/>
        </w:rPr>
        <w:t>5.4售后服务要求</w:t>
      </w:r>
    </w:p>
    <w:p>
      <w:pPr>
        <w:adjustRightInd w:val="0"/>
        <w:snapToGrid w:val="0"/>
        <w:rPr>
          <w:rFonts w:ascii="宋体" w:hAnsi="宋体"/>
          <w:spacing w:val="-4"/>
          <w:highlight w:val="none"/>
        </w:rPr>
      </w:pPr>
      <w:r>
        <w:rPr>
          <w:rFonts w:hint="eastAsia" w:ascii="宋体" w:hAnsi="宋体"/>
          <w:spacing w:val="-4"/>
          <w:highlight w:val="none"/>
        </w:rPr>
        <w:t>1）应对技术支持人员进行网络安全身份认证，并进行安全教育、培训；</w:t>
      </w:r>
    </w:p>
    <w:p>
      <w:pPr>
        <w:adjustRightInd w:val="0"/>
        <w:snapToGrid w:val="0"/>
        <w:rPr>
          <w:rFonts w:ascii="宋体" w:hAnsi="宋体"/>
          <w:spacing w:val="-4"/>
          <w:highlight w:val="none"/>
        </w:rPr>
      </w:pPr>
      <w:r>
        <w:rPr>
          <w:rFonts w:hint="eastAsia" w:ascii="宋体" w:hAnsi="宋体"/>
          <w:spacing w:val="-4"/>
          <w:highlight w:val="none"/>
        </w:rPr>
        <w:t>2）投标人人员现场按规定流程工作，严禁使用非专用终端（笔记本电脑）、移动介质（U盘），防范病毒感染等风险；</w:t>
      </w:r>
    </w:p>
    <w:p>
      <w:pPr>
        <w:adjustRightInd w:val="0"/>
        <w:snapToGrid w:val="0"/>
        <w:rPr>
          <w:rFonts w:ascii="宋体" w:hAnsi="宋体"/>
          <w:spacing w:val="-4"/>
          <w:highlight w:val="none"/>
        </w:rPr>
      </w:pPr>
      <w:r>
        <w:rPr>
          <w:rFonts w:hint="eastAsia" w:ascii="宋体" w:hAnsi="宋体"/>
          <w:spacing w:val="-4"/>
          <w:highlight w:val="none"/>
        </w:rPr>
        <w:t>3）投标人应做好有关信息的保密工作，严禁将带有南方电网公司标志及相关信息的开发、测试环境接入互联网等外部环境，严禁将系统运行的业务数据拷贝或发送到外部使用。</w:t>
      </w:r>
    </w:p>
    <w:p>
      <w:pPr>
        <w:pStyle w:val="4"/>
        <w:numPr>
          <w:ilvl w:val="0"/>
          <w:numId w:val="5"/>
        </w:numPr>
        <w:topLinePunct/>
        <w:spacing w:before="0" w:after="0" w:line="480" w:lineRule="auto"/>
        <w:jc w:val="left"/>
        <w:textAlignment w:val="baseline"/>
        <w:rPr>
          <w:rFonts w:ascii="黑体" w:hAnsi="黑体" w:eastAsia="黑体"/>
          <w:bCs w:val="0"/>
          <w:color w:val="auto"/>
          <w:sz w:val="22"/>
          <w:szCs w:val="22"/>
          <w:highlight w:val="none"/>
        </w:rPr>
      </w:pPr>
      <w:bookmarkStart w:id="202" w:name="_Toc85616809"/>
      <w:bookmarkStart w:id="203" w:name="_Toc85616904"/>
      <w:bookmarkStart w:id="204" w:name="_Toc118205220"/>
      <w:bookmarkStart w:id="205" w:name="_Toc85616714"/>
      <w:bookmarkStart w:id="206" w:name="_Toc116033328"/>
      <w:bookmarkStart w:id="207" w:name="_Toc9693"/>
      <w:r>
        <w:rPr>
          <w:rFonts w:hint="eastAsia" w:ascii="黑体" w:hAnsi="黑体" w:eastAsia="黑体"/>
          <w:bCs w:val="0"/>
          <w:color w:val="auto"/>
          <w:sz w:val="22"/>
          <w:szCs w:val="22"/>
          <w:highlight w:val="none"/>
        </w:rPr>
        <w:t>技术资料</w:t>
      </w:r>
      <w:bookmarkEnd w:id="202"/>
      <w:bookmarkEnd w:id="203"/>
      <w:bookmarkEnd w:id="204"/>
      <w:bookmarkEnd w:id="205"/>
      <w:bookmarkEnd w:id="206"/>
      <w:bookmarkEnd w:id="207"/>
    </w:p>
    <w:p>
      <w:pPr>
        <w:pStyle w:val="91"/>
        <w:ind w:left="0" w:leftChars="0" w:firstLine="464"/>
        <w:rPr>
          <w:rFonts w:ascii="宋体" w:hAnsi="宋体"/>
          <w:spacing w:val="-4"/>
          <w:highlight w:val="none"/>
        </w:rPr>
      </w:pPr>
      <w:r>
        <w:rPr>
          <w:rFonts w:hint="eastAsia" w:ascii="宋体" w:hAnsi="宋体"/>
          <w:spacing w:val="-4"/>
          <w:highlight w:val="none"/>
        </w:rPr>
        <w:t>投标人应提供设备和系统的安装文件和图纸、检验记录、工程竣工文件、技术手册、用户手册、设备技术使用的说明书等资料，并对所提供的全部技术资料的准确性负责。</w:t>
      </w:r>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208" w:name="_Toc9588"/>
      <w:bookmarkStart w:id="209" w:name="_Toc85616810"/>
      <w:bookmarkStart w:id="210" w:name="_Toc32578"/>
      <w:bookmarkStart w:id="211" w:name="_Toc116033329"/>
      <w:bookmarkStart w:id="212" w:name="_Toc252534255"/>
      <w:bookmarkStart w:id="213" w:name="_Toc9458"/>
      <w:bookmarkStart w:id="214" w:name="_Toc5327"/>
      <w:bookmarkStart w:id="215" w:name="_Toc9733"/>
      <w:bookmarkStart w:id="216" w:name="_Toc252536015"/>
      <w:bookmarkStart w:id="217" w:name="_Toc85616715"/>
      <w:bookmarkStart w:id="218" w:name="_Toc256460952"/>
      <w:bookmarkStart w:id="219" w:name="_Toc85616905"/>
      <w:bookmarkStart w:id="220" w:name="_Toc4457"/>
      <w:r>
        <w:rPr>
          <w:rFonts w:hint="eastAsia" w:ascii="黑体" w:hAnsi="黑体" w:eastAsia="黑体"/>
          <w:bCs w:val="0"/>
          <w:sz w:val="22"/>
          <w:szCs w:val="22"/>
          <w:highlight w:val="none"/>
        </w:rPr>
        <w:t>文件资料的数量</w:t>
      </w:r>
      <w:bookmarkEnd w:id="208"/>
      <w:bookmarkEnd w:id="209"/>
      <w:bookmarkEnd w:id="210"/>
      <w:bookmarkEnd w:id="211"/>
      <w:bookmarkEnd w:id="212"/>
      <w:bookmarkEnd w:id="213"/>
      <w:bookmarkEnd w:id="214"/>
      <w:bookmarkEnd w:id="215"/>
      <w:bookmarkEnd w:id="216"/>
      <w:bookmarkEnd w:id="217"/>
      <w:bookmarkEnd w:id="218"/>
      <w:bookmarkEnd w:id="219"/>
      <w:bookmarkEnd w:id="220"/>
    </w:p>
    <w:p>
      <w:pPr>
        <w:pStyle w:val="91"/>
        <w:ind w:left="0" w:leftChars="0" w:firstLine="464"/>
        <w:rPr>
          <w:rFonts w:ascii="宋体" w:hAnsi="宋体"/>
          <w:spacing w:val="-4"/>
          <w:highlight w:val="none"/>
        </w:rPr>
      </w:pPr>
      <w:bookmarkStart w:id="221" w:name="_Toc97017983"/>
      <w:r>
        <w:rPr>
          <w:rFonts w:hint="eastAsia" w:ascii="宋体" w:hAnsi="宋体"/>
          <w:spacing w:val="-4"/>
          <w:highlight w:val="none"/>
        </w:rPr>
        <w:t>投标人提供的图纸和资料的数量为2套。</w:t>
      </w:r>
      <w:bookmarkEnd w:id="221"/>
    </w:p>
    <w:p>
      <w:pPr>
        <w:pStyle w:val="4"/>
        <w:numPr>
          <w:ilvl w:val="0"/>
          <w:numId w:val="5"/>
        </w:numPr>
        <w:topLinePunct/>
        <w:spacing w:before="0" w:after="0" w:line="480" w:lineRule="auto"/>
        <w:jc w:val="left"/>
        <w:textAlignment w:val="baseline"/>
        <w:rPr>
          <w:rFonts w:ascii="黑体" w:hAnsi="黑体" w:eastAsia="黑体"/>
          <w:bCs w:val="0"/>
          <w:color w:val="auto"/>
          <w:sz w:val="22"/>
          <w:szCs w:val="22"/>
          <w:highlight w:val="none"/>
        </w:rPr>
      </w:pPr>
      <w:bookmarkStart w:id="222" w:name="_Toc85616725"/>
      <w:bookmarkStart w:id="223" w:name="_Toc118205223"/>
      <w:bookmarkStart w:id="224" w:name="_Toc85616915"/>
      <w:bookmarkStart w:id="225" w:name="_Toc85616820"/>
      <w:bookmarkStart w:id="226" w:name="_Toc116033333"/>
      <w:bookmarkStart w:id="227" w:name="_Toc26296"/>
      <w:r>
        <w:rPr>
          <w:rFonts w:hint="eastAsia" w:ascii="黑体" w:hAnsi="黑体" w:eastAsia="黑体"/>
          <w:bCs w:val="0"/>
          <w:color w:val="auto"/>
          <w:sz w:val="22"/>
          <w:szCs w:val="22"/>
          <w:highlight w:val="none"/>
        </w:rPr>
        <w:t>到货及验收</w:t>
      </w:r>
      <w:bookmarkEnd w:id="222"/>
      <w:bookmarkEnd w:id="223"/>
      <w:bookmarkEnd w:id="224"/>
      <w:bookmarkEnd w:id="225"/>
      <w:bookmarkEnd w:id="226"/>
      <w:bookmarkEnd w:id="227"/>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228" w:name="_Toc2101"/>
      <w:bookmarkStart w:id="229" w:name="_Toc18257"/>
      <w:bookmarkStart w:id="230" w:name="_Toc15686"/>
      <w:bookmarkStart w:id="231" w:name="_Toc28670"/>
      <w:bookmarkStart w:id="232" w:name="_Toc13669"/>
      <w:r>
        <w:rPr>
          <w:rFonts w:hint="eastAsia" w:ascii="黑体" w:hAnsi="黑体" w:eastAsia="黑体"/>
          <w:bCs w:val="0"/>
          <w:sz w:val="22"/>
          <w:szCs w:val="22"/>
          <w:highlight w:val="none"/>
        </w:rPr>
        <w:t>到货</w:t>
      </w:r>
      <w:bookmarkEnd w:id="228"/>
      <w:bookmarkEnd w:id="229"/>
      <w:bookmarkEnd w:id="230"/>
      <w:bookmarkEnd w:id="231"/>
      <w:bookmarkEnd w:id="232"/>
    </w:p>
    <w:p>
      <w:pPr>
        <w:pStyle w:val="91"/>
        <w:spacing w:after="0"/>
        <w:ind w:left="0" w:leftChars="0" w:firstLine="0" w:firstLineChars="0"/>
        <w:rPr>
          <w:rFonts w:ascii="宋体" w:hAnsi="宋体" w:cs="宋体"/>
          <w:highlight w:val="none"/>
        </w:rPr>
      </w:pPr>
      <w:r>
        <w:rPr>
          <w:rFonts w:hint="eastAsia" w:ascii="宋体" w:hAnsi="宋体" w:cs="宋体"/>
          <w:highlight w:val="none"/>
          <w:lang w:val="en-US" w:eastAsia="zh-CN"/>
        </w:rPr>
        <w:t>7</w:t>
      </w:r>
      <w:r>
        <w:rPr>
          <w:rFonts w:hint="eastAsia" w:ascii="宋体" w:hAnsi="宋体" w:cs="宋体"/>
          <w:highlight w:val="none"/>
        </w:rPr>
        <w:t>.1.1设备到货地点根据甲方建设地点而定。</w:t>
      </w:r>
    </w:p>
    <w:p>
      <w:pPr>
        <w:pStyle w:val="91"/>
        <w:spacing w:after="0"/>
        <w:ind w:left="0" w:leftChars="0" w:firstLine="0" w:firstLineChars="0"/>
        <w:rPr>
          <w:rFonts w:ascii="宋体" w:hAnsi="宋体" w:cs="宋体"/>
          <w:highlight w:val="none"/>
        </w:rPr>
      </w:pPr>
      <w:r>
        <w:rPr>
          <w:rFonts w:hint="eastAsia" w:ascii="宋体" w:hAnsi="宋体" w:cs="宋体"/>
          <w:highlight w:val="none"/>
          <w:lang w:val="en-US" w:eastAsia="zh-CN"/>
        </w:rPr>
        <w:t>7</w:t>
      </w:r>
      <w:r>
        <w:rPr>
          <w:rFonts w:hint="eastAsia" w:ascii="宋体" w:hAnsi="宋体" w:cs="宋体"/>
          <w:highlight w:val="none"/>
        </w:rPr>
        <w:t>.1.2设备到货后开箱验收无误后施工方做到货签收，甲方做见证方。</w:t>
      </w:r>
    </w:p>
    <w:p>
      <w:pPr>
        <w:pStyle w:val="5"/>
        <w:numPr>
          <w:ilvl w:val="1"/>
          <w:numId w:val="5"/>
        </w:numPr>
        <w:topLinePunct/>
        <w:spacing w:before="0" w:after="0" w:line="480" w:lineRule="auto"/>
        <w:jc w:val="left"/>
        <w:textAlignment w:val="baseline"/>
        <w:rPr>
          <w:rFonts w:ascii="黑体" w:hAnsi="黑体" w:eastAsia="黑体"/>
          <w:bCs w:val="0"/>
          <w:sz w:val="22"/>
          <w:szCs w:val="22"/>
          <w:highlight w:val="none"/>
        </w:rPr>
      </w:pPr>
      <w:bookmarkStart w:id="233" w:name="_Toc425184678"/>
      <w:bookmarkStart w:id="234" w:name="_Toc85616917"/>
      <w:bookmarkStart w:id="235" w:name="_Toc449287343"/>
      <w:bookmarkStart w:id="236" w:name="_Toc85616822"/>
      <w:bookmarkStart w:id="237" w:name="_Toc85616727"/>
      <w:bookmarkStart w:id="238" w:name="_Toc116033335"/>
      <w:bookmarkStart w:id="239" w:name="_Toc6793"/>
      <w:bookmarkStart w:id="240" w:name="_Toc18237"/>
      <w:bookmarkStart w:id="241" w:name="_Toc19468"/>
      <w:bookmarkStart w:id="242" w:name="_Toc2188"/>
      <w:bookmarkStart w:id="243" w:name="_Toc23111"/>
      <w:r>
        <w:rPr>
          <w:rFonts w:hint="eastAsia" w:ascii="黑体" w:hAnsi="黑体" w:eastAsia="黑体"/>
          <w:bCs w:val="0"/>
          <w:sz w:val="22"/>
          <w:szCs w:val="22"/>
          <w:highlight w:val="none"/>
        </w:rPr>
        <w:t>验收</w:t>
      </w:r>
      <w:bookmarkEnd w:id="233"/>
      <w:bookmarkEnd w:id="234"/>
      <w:bookmarkEnd w:id="235"/>
      <w:bookmarkEnd w:id="236"/>
      <w:bookmarkEnd w:id="237"/>
      <w:bookmarkEnd w:id="238"/>
      <w:bookmarkEnd w:id="239"/>
      <w:bookmarkEnd w:id="240"/>
      <w:bookmarkEnd w:id="241"/>
      <w:bookmarkEnd w:id="242"/>
      <w:bookmarkEnd w:id="243"/>
    </w:p>
    <w:p>
      <w:pPr>
        <w:pStyle w:val="91"/>
        <w:spacing w:after="0"/>
        <w:ind w:left="0" w:leftChars="0" w:firstLine="0" w:firstLineChars="0"/>
        <w:rPr>
          <w:rFonts w:ascii="宋体" w:hAnsi="宋体" w:cs="宋体"/>
          <w:highlight w:val="none"/>
        </w:rPr>
      </w:pPr>
      <w:bookmarkStart w:id="244" w:name="_Toc112464957"/>
      <w:bookmarkStart w:id="245" w:name="_Toc479638335"/>
      <w:bookmarkStart w:id="246" w:name="_Toc479643393"/>
      <w:bookmarkStart w:id="247" w:name="_Toc120415787"/>
      <w:bookmarkStart w:id="248" w:name="_Toc120505994"/>
      <w:bookmarkStart w:id="249" w:name="_Toc120415234"/>
      <w:bookmarkStart w:id="250" w:name="_Toc116795368"/>
      <w:bookmarkStart w:id="251" w:name="_Toc479638148"/>
      <w:bookmarkStart w:id="252" w:name="_Toc120363385"/>
      <w:bookmarkStart w:id="253" w:name="_Toc120363736"/>
      <w:bookmarkStart w:id="254" w:name="_Toc120363225"/>
      <w:bookmarkStart w:id="255" w:name="_Toc120415886"/>
      <w:bookmarkStart w:id="256" w:name="_Toc112465568"/>
      <w:bookmarkStart w:id="257" w:name="_Toc468466457"/>
      <w:bookmarkStart w:id="258" w:name="_Toc422824595"/>
      <w:bookmarkStart w:id="259" w:name="_Toc120415502"/>
      <w:bookmarkStart w:id="260" w:name="_Toc450935001"/>
      <w:bookmarkStart w:id="261" w:name="_Toc112465926"/>
      <w:bookmarkStart w:id="262" w:name="_Toc468503907"/>
      <w:r>
        <w:rPr>
          <w:rFonts w:hint="eastAsia" w:ascii="宋体" w:hAnsi="宋体" w:cs="宋体"/>
          <w:highlight w:val="none"/>
          <w:lang w:val="en-US" w:eastAsia="zh-CN"/>
        </w:rPr>
        <w:t>7</w:t>
      </w:r>
      <w:r>
        <w:rPr>
          <w:rFonts w:hint="eastAsia" w:ascii="宋体" w:hAnsi="宋体" w:cs="宋体"/>
          <w:highlight w:val="none"/>
        </w:rPr>
        <w:t>.2.1依据投标人在投标文件中的承诺对全部设备、产品、型号、规格、数量、外型、外观、包装及资料、文件（包括装箱单、保修单、随箱介质等）进行验收。</w:t>
      </w:r>
    </w:p>
    <w:p>
      <w:pPr>
        <w:pStyle w:val="91"/>
        <w:spacing w:after="0"/>
        <w:ind w:left="0" w:leftChars="0" w:firstLine="0" w:firstLineChars="0"/>
        <w:rPr>
          <w:rFonts w:ascii="宋体" w:hAnsi="宋体" w:cs="宋体"/>
          <w:highlight w:val="none"/>
        </w:rPr>
      </w:pPr>
      <w:r>
        <w:rPr>
          <w:rFonts w:hint="eastAsia" w:ascii="宋体" w:hAnsi="宋体" w:cs="宋体"/>
          <w:highlight w:val="none"/>
          <w:lang w:val="en-US" w:eastAsia="zh-CN"/>
        </w:rPr>
        <w:t>7</w:t>
      </w:r>
      <w:r>
        <w:rPr>
          <w:rFonts w:hint="eastAsia" w:ascii="宋体" w:hAnsi="宋体" w:cs="宋体"/>
          <w:highlight w:val="none"/>
        </w:rPr>
        <w:t>.2.2招标人与投标人对设备到货后共同配合进行开箱检查，出现损坏、数量不全或设备不符等问题时，由投标人负责解决。</w:t>
      </w:r>
    </w:p>
    <w:p>
      <w:pPr>
        <w:pStyle w:val="91"/>
        <w:spacing w:after="0"/>
        <w:ind w:left="0" w:leftChars="0" w:firstLine="0" w:firstLineChars="0"/>
        <w:rPr>
          <w:rFonts w:ascii="宋体" w:hAnsi="宋体" w:cs="宋体"/>
          <w:highlight w:val="none"/>
        </w:rPr>
      </w:pPr>
      <w:r>
        <w:rPr>
          <w:rFonts w:hint="eastAsia" w:ascii="宋体" w:hAnsi="宋体" w:cs="宋体"/>
          <w:highlight w:val="none"/>
          <w:lang w:val="en-US" w:eastAsia="zh-CN"/>
        </w:rPr>
        <w:t>7</w:t>
      </w:r>
      <w:r>
        <w:rPr>
          <w:rFonts w:hint="eastAsia" w:ascii="宋体" w:hAnsi="宋体" w:cs="宋体"/>
          <w:highlight w:val="none"/>
        </w:rPr>
        <w:t>.2.3设备测试中出现性能指标或功能上不符合投标人在投标文件中的承诺和合同要求时，招标人有拒收的权利。</w:t>
      </w:r>
    </w:p>
    <w:p>
      <w:pPr>
        <w:pStyle w:val="91"/>
        <w:spacing w:after="0"/>
        <w:ind w:left="0" w:leftChars="0" w:firstLine="0" w:firstLineChars="0"/>
        <w:rPr>
          <w:rFonts w:ascii="宋体" w:hAnsi="宋体" w:cs="宋体"/>
          <w:highlight w:val="none"/>
        </w:rPr>
      </w:pPr>
      <w:r>
        <w:rPr>
          <w:rFonts w:hint="eastAsia" w:ascii="宋体" w:hAnsi="宋体" w:cs="宋体"/>
          <w:highlight w:val="none"/>
          <w:lang w:val="en-US" w:eastAsia="zh-CN"/>
        </w:rPr>
        <w:t>7</w:t>
      </w:r>
      <w:r>
        <w:rPr>
          <w:rFonts w:hint="eastAsia" w:ascii="宋体" w:hAnsi="宋体" w:cs="宋体"/>
          <w:highlight w:val="none"/>
        </w:rPr>
        <w:t>.2.4如验收及测试中出现不符合投标人在投标文件中的承诺和合同要求的严重质量问题时，招标人保留索赔权利。</w:t>
      </w:r>
    </w:p>
    <w:p>
      <w:pPr>
        <w:pStyle w:val="4"/>
        <w:numPr>
          <w:ilvl w:val="0"/>
          <w:numId w:val="5"/>
        </w:numPr>
        <w:topLinePunct/>
        <w:spacing w:before="0" w:after="0" w:line="480" w:lineRule="auto"/>
        <w:jc w:val="left"/>
        <w:textAlignment w:val="baseline"/>
        <w:rPr>
          <w:rFonts w:ascii="黑体" w:hAnsi="黑体" w:eastAsia="黑体"/>
          <w:bCs w:val="0"/>
          <w:color w:val="auto"/>
          <w:sz w:val="22"/>
          <w:szCs w:val="22"/>
          <w:highlight w:val="none"/>
        </w:rPr>
      </w:pPr>
      <w:bookmarkStart w:id="263" w:name="_Toc116033337"/>
      <w:bookmarkStart w:id="264" w:name="_Toc85616824"/>
      <w:bookmarkStart w:id="265" w:name="_Toc85616729"/>
      <w:bookmarkStart w:id="266" w:name="_Toc118205225"/>
      <w:bookmarkStart w:id="267" w:name="_Toc425184679"/>
      <w:bookmarkStart w:id="268" w:name="_Toc85616919"/>
      <w:bookmarkStart w:id="269" w:name="_Toc449287345"/>
      <w:bookmarkStart w:id="270" w:name="_Toc724"/>
      <w:r>
        <w:rPr>
          <w:rFonts w:hint="eastAsia" w:ascii="黑体" w:hAnsi="黑体" w:eastAsia="黑体"/>
          <w:bCs w:val="0"/>
          <w:color w:val="auto"/>
          <w:sz w:val="22"/>
          <w:szCs w:val="22"/>
          <w:highlight w:val="none"/>
        </w:rPr>
        <w:t>技术服务</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adjustRightInd w:val="0"/>
        <w:snapToGrid w:val="0"/>
        <w:rPr>
          <w:rFonts w:ascii="宋体" w:hAnsi="宋体" w:cs="宋体"/>
          <w:highlight w:val="none"/>
        </w:rPr>
      </w:pPr>
      <w:bookmarkStart w:id="271" w:name="_Toc112465946"/>
      <w:bookmarkStart w:id="272" w:name="_Toc116795388"/>
      <w:bookmarkStart w:id="273" w:name="_Toc422824596"/>
      <w:bookmarkStart w:id="274" w:name="_Toc120363228"/>
      <w:bookmarkStart w:id="275" w:name="_Toc120415889"/>
      <w:bookmarkStart w:id="276" w:name="_Toc120415237"/>
      <w:bookmarkStart w:id="277" w:name="_Toc120363739"/>
      <w:bookmarkStart w:id="278" w:name="_Toc112464977"/>
      <w:bookmarkStart w:id="279" w:name="_Toc479638168"/>
      <w:bookmarkStart w:id="280" w:name="_Toc468466478"/>
      <w:bookmarkStart w:id="281" w:name="_Toc120415505"/>
      <w:bookmarkStart w:id="282" w:name="_Toc112465588"/>
      <w:bookmarkStart w:id="283" w:name="_Toc468503927"/>
      <w:bookmarkStart w:id="284" w:name="_Toc479643413"/>
      <w:bookmarkStart w:id="285" w:name="_Toc479638355"/>
      <w:bookmarkStart w:id="286" w:name="_Toc120415790"/>
      <w:bookmarkStart w:id="287" w:name="_Toc120505997"/>
      <w:bookmarkStart w:id="288" w:name="_Toc120363388"/>
      <w:bookmarkStart w:id="289" w:name="_Toc450935021"/>
      <w:r>
        <w:rPr>
          <w:rFonts w:hint="eastAsia" w:ascii="宋体" w:hAnsi="宋体" w:cs="宋体"/>
          <w:highlight w:val="none"/>
          <w:lang w:val="en-US" w:eastAsia="zh-CN"/>
        </w:rPr>
        <w:t>8</w:t>
      </w:r>
      <w:r>
        <w:rPr>
          <w:rFonts w:hint="eastAsia" w:ascii="宋体" w:hAnsi="宋体" w:cs="宋体"/>
          <w:highlight w:val="none"/>
        </w:rPr>
        <w:t>.1设备安装调试并通过验收运行后，进入质保期。质保期之后发生设备损坏，如招标单位需进行设备修理，投标方应按最近的投标价提供维修部件及维修服务。</w:t>
      </w:r>
    </w:p>
    <w:p>
      <w:pPr>
        <w:adjustRightInd w:val="0"/>
        <w:snapToGrid w:val="0"/>
        <w:rPr>
          <w:rFonts w:ascii="宋体" w:hAnsi="宋体" w:cs="宋体"/>
          <w:highlight w:val="none"/>
        </w:rPr>
      </w:pPr>
      <w:r>
        <w:rPr>
          <w:rFonts w:hint="eastAsia" w:ascii="宋体" w:hAnsi="宋体" w:cs="宋体"/>
          <w:highlight w:val="none"/>
          <w:lang w:val="en-US" w:eastAsia="zh-CN"/>
        </w:rPr>
        <w:t>8</w:t>
      </w:r>
      <w:r>
        <w:rPr>
          <w:rFonts w:hint="eastAsia" w:ascii="宋体" w:hAnsi="宋体" w:cs="宋体"/>
          <w:highlight w:val="none"/>
        </w:rPr>
        <w:t>.2装置质保期内免费维修，设备发生的所有非不可抗力因素造成的缺陷或故障由生产厂家免费进行维修或更换，包括所需人力和所需更换材料。</w:t>
      </w:r>
    </w:p>
    <w:p>
      <w:pPr>
        <w:adjustRightInd w:val="0"/>
        <w:snapToGrid w:val="0"/>
        <w:rPr>
          <w:rFonts w:ascii="宋体" w:hAnsi="宋体" w:cs="宋体"/>
          <w:highlight w:val="none"/>
        </w:rPr>
      </w:pPr>
      <w:r>
        <w:rPr>
          <w:rFonts w:hint="eastAsia" w:ascii="宋体" w:hAnsi="宋体" w:cs="宋体"/>
          <w:highlight w:val="none"/>
          <w:lang w:val="en-US" w:eastAsia="zh-CN"/>
        </w:rPr>
        <w:t>8</w:t>
      </w:r>
      <w:r>
        <w:rPr>
          <w:rFonts w:hint="eastAsia" w:ascii="宋体" w:hAnsi="宋体" w:cs="宋体"/>
          <w:highlight w:val="none"/>
        </w:rPr>
        <w:t>.3系统软件终身免费升级。</w:t>
      </w:r>
    </w:p>
    <w:p>
      <w:pPr>
        <w:adjustRightInd w:val="0"/>
        <w:snapToGrid w:val="0"/>
        <w:rPr>
          <w:rFonts w:ascii="宋体" w:hAnsi="宋体" w:cs="宋体"/>
          <w:highlight w:val="none"/>
        </w:rPr>
      </w:pPr>
      <w:r>
        <w:rPr>
          <w:rFonts w:hint="eastAsia" w:ascii="宋体" w:hAnsi="宋体" w:cs="宋体"/>
          <w:highlight w:val="none"/>
          <w:lang w:val="en-US" w:eastAsia="zh-CN"/>
        </w:rPr>
        <w:t>8</w:t>
      </w:r>
      <w:r>
        <w:rPr>
          <w:rFonts w:hint="eastAsia" w:ascii="宋体" w:hAnsi="宋体" w:cs="宋体"/>
          <w:highlight w:val="none"/>
        </w:rPr>
        <w:t>.4投标人对售后服务的需求必须在24小时答复，在48小时内提供技术服务。</w:t>
      </w:r>
    </w:p>
    <w:p>
      <w:pPr>
        <w:pStyle w:val="91"/>
        <w:spacing w:after="0"/>
        <w:ind w:left="0" w:leftChars="0" w:firstLine="0" w:firstLineChars="0"/>
        <w:rPr>
          <w:rFonts w:ascii="宋体" w:hAnsi="宋体" w:cs="宋体"/>
          <w:highlight w:val="none"/>
        </w:rPr>
      </w:pPr>
      <w:r>
        <w:rPr>
          <w:rFonts w:hint="eastAsia" w:ascii="宋体" w:hAnsi="宋体" w:cs="宋体"/>
          <w:highlight w:val="none"/>
          <w:lang w:val="en-US" w:eastAsia="zh-CN"/>
        </w:rPr>
        <w:t>8</w:t>
      </w:r>
      <w:r>
        <w:rPr>
          <w:rFonts w:hint="eastAsia" w:ascii="宋体" w:hAnsi="宋体" w:cs="宋体"/>
          <w:highlight w:val="none"/>
        </w:rPr>
        <w:t>.5投标人应向招标人提供以下内容的技术支持，包括但不限于：</w:t>
      </w:r>
    </w:p>
    <w:p>
      <w:pPr>
        <w:pStyle w:val="91"/>
        <w:spacing w:after="0"/>
        <w:ind w:left="0" w:leftChars="0" w:firstLine="240" w:firstLineChars="100"/>
        <w:rPr>
          <w:rFonts w:ascii="宋体" w:hAnsi="宋体" w:cs="宋体"/>
          <w:highlight w:val="none"/>
        </w:rPr>
      </w:pPr>
      <w:r>
        <w:rPr>
          <w:rFonts w:hint="eastAsia" w:ascii="宋体" w:hAnsi="宋体" w:cs="宋体"/>
          <w:highlight w:val="none"/>
        </w:rPr>
        <w:t>1)设备安装、调试以及发生故障时的技术支持；</w:t>
      </w:r>
    </w:p>
    <w:p>
      <w:pPr>
        <w:pStyle w:val="91"/>
        <w:spacing w:after="0"/>
        <w:ind w:left="0" w:leftChars="0" w:firstLine="240" w:firstLineChars="100"/>
        <w:rPr>
          <w:rFonts w:ascii="宋体" w:hAnsi="宋体" w:cs="宋体"/>
          <w:highlight w:val="none"/>
        </w:rPr>
      </w:pPr>
      <w:r>
        <w:rPr>
          <w:rFonts w:hint="eastAsia" w:ascii="宋体" w:hAnsi="宋体" w:cs="宋体"/>
          <w:highlight w:val="none"/>
        </w:rPr>
        <w:t>2)设备定期健康巡检现场技术支持；</w:t>
      </w:r>
    </w:p>
    <w:p>
      <w:pPr>
        <w:pStyle w:val="91"/>
        <w:spacing w:after="0"/>
        <w:ind w:left="0" w:leftChars="0" w:firstLine="240" w:firstLineChars="100"/>
        <w:rPr>
          <w:rFonts w:ascii="宋体" w:hAnsi="宋体" w:cs="宋体"/>
          <w:highlight w:val="none"/>
        </w:rPr>
      </w:pPr>
      <w:r>
        <w:rPr>
          <w:rFonts w:hint="eastAsia" w:ascii="宋体" w:hAnsi="宋体" w:cs="宋体"/>
          <w:highlight w:val="none"/>
        </w:rPr>
        <w:t>3)重大故障及重大活动保障技术支持。</w:t>
      </w:r>
    </w:p>
    <w:p>
      <w:pPr>
        <w:pStyle w:val="91"/>
        <w:spacing w:after="0"/>
        <w:ind w:left="0" w:leftChars="0" w:firstLine="240" w:firstLineChars="100"/>
        <w:rPr>
          <w:rFonts w:ascii="宋体" w:hAnsi="宋体" w:cs="宋体"/>
          <w:highlight w:val="none"/>
        </w:rPr>
      </w:pPr>
      <w:r>
        <w:rPr>
          <w:rFonts w:hint="eastAsia" w:ascii="宋体" w:hAnsi="宋体" w:cs="宋体"/>
          <w:highlight w:val="none"/>
        </w:rPr>
        <w:t>4)投标人在质保期内安装的任何零配件，必须是其报价货物生产厂家原产的或是经其认可的产品。</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sectPr>
      <w:headerReference r:id="rId6" w:type="default"/>
      <w:footerReference r:id="rId7"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FangSong_GB2312">
    <w:altName w:val="仿宋_GB2312"/>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汉仪大宋简">
    <w:altName w:val="宋体"/>
    <w:panose1 w:val="020B0604020202020204"/>
    <w:charset w:val="86"/>
    <w:family w:val="modern"/>
    <w:pitch w:val="default"/>
    <w:sig w:usb0="00000000" w:usb1="00000000" w:usb2="00000012" w:usb3="00000000" w:csb0="00040000" w:csb1="00000000"/>
  </w:font>
  <w:font w:name="汉仪大黑简">
    <w:altName w:val="黑体"/>
    <w:panose1 w:val="020B0604020202020204"/>
    <w:charset w:val="86"/>
    <w:family w:val="modern"/>
    <w:pitch w:val="default"/>
    <w:sig w:usb0="00000000" w:usb1="00000000" w:usb2="00000012"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19864304"/>
                          </w:sdtPr>
                          <w:sdtContent>
                            <w:p>
                              <w:pPr>
                                <w:pStyle w:val="14"/>
                                <w:jc w:val="center"/>
                              </w:pPr>
                              <w:r>
                                <w:fldChar w:fldCharType="begin"/>
                              </w:r>
                              <w:r>
                                <w:instrText xml:space="preserve">PAGE   \* MERGEFORMAT</w:instrText>
                              </w:r>
                              <w:r>
                                <w:fldChar w:fldCharType="separate"/>
                              </w:r>
                              <w:r>
                                <w:rPr>
                                  <w:lang w:val="zh-CN"/>
                                </w:rPr>
                                <w:t>24</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219864304"/>
                    </w:sdtPr>
                    <w:sdtContent>
                      <w:p>
                        <w:pPr>
                          <w:pStyle w:val="14"/>
                          <w:jc w:val="center"/>
                        </w:pPr>
                        <w:r>
                          <w:fldChar w:fldCharType="begin"/>
                        </w:r>
                        <w:r>
                          <w:instrText xml:space="preserve">PAGE   \* MERGEFORMAT</w:instrText>
                        </w:r>
                        <w:r>
                          <w:fldChar w:fldCharType="separate"/>
                        </w:r>
                        <w:r>
                          <w:rPr>
                            <w:lang w:val="zh-CN"/>
                          </w:rPr>
                          <w:t>24</w:t>
                        </w:r>
                        <w:r>
                          <w:fldChar w:fldCharType="end"/>
                        </w:r>
                      </w:p>
                    </w:sdtContent>
                  </w:sdt>
                  <w:p>
                    <w:pPr>
                      <w:pStyle w:val="2"/>
                    </w:pPr>
                  </w:p>
                </w:txbxContent>
              </v:textbox>
            </v:shape>
          </w:pict>
        </mc:Fallback>
      </mc:AlternateContent>
    </w:r>
  </w:p>
  <w:p>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74DA53"/>
    <w:multiLevelType w:val="singleLevel"/>
    <w:tmpl w:val="E374DA53"/>
    <w:lvl w:ilvl="0" w:tentative="0">
      <w:start w:val="1"/>
      <w:numFmt w:val="decimal"/>
      <w:suff w:val="nothing"/>
      <w:lvlText w:val="（%1）"/>
      <w:lvlJc w:val="left"/>
    </w:lvl>
  </w:abstractNum>
  <w:abstractNum w:abstractNumId="1">
    <w:nsid w:val="FEE6DDE1"/>
    <w:multiLevelType w:val="multilevel"/>
    <w:tmpl w:val="FEE6DDE1"/>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0000098"/>
    <w:multiLevelType w:val="multilevel"/>
    <w:tmpl w:val="00000098"/>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55"/>
      <w:lvlText w:val="%1%2"/>
      <w:lvlJc w:val="left"/>
      <w:pPr>
        <w:tabs>
          <w:tab w:val="left" w:pos="360"/>
        </w:tabs>
        <w:ind w:left="0" w:firstLine="0"/>
      </w:pPr>
      <w:rPr>
        <w:rFonts w:hint="eastAsia" w:ascii="黑体" w:hAnsi="Times New Roman" w:eastAsia="黑体" w:cs="Times New Roman"/>
        <w:b/>
        <w:i w:val="0"/>
        <w:sz w:val="20"/>
      </w:rPr>
    </w:lvl>
    <w:lvl w:ilvl="2" w:tentative="0">
      <w:start w:val="1"/>
      <w:numFmt w:val="decimal"/>
      <w:pStyle w:val="54"/>
      <w:lvlText w:val="%1%2.%3"/>
      <w:lvlJc w:val="left"/>
      <w:pPr>
        <w:tabs>
          <w:tab w:val="left" w:pos="720"/>
        </w:tabs>
        <w:ind w:left="0" w:firstLine="0"/>
      </w:pPr>
      <w:rPr>
        <w:rFonts w:hint="eastAsia" w:ascii="黑体" w:hAnsi="Times New Roman" w:eastAsia="黑体" w:cs="Times New Roman"/>
        <w:b/>
        <w:i w:val="0"/>
        <w:sz w:val="20"/>
        <w:szCs w:val="20"/>
      </w:rPr>
    </w:lvl>
    <w:lvl w:ilvl="3" w:tentative="0">
      <w:start w:val="1"/>
      <w:numFmt w:val="decimal"/>
      <w:pStyle w:val="58"/>
      <w:lvlText w:val="%1%2.%3.%4"/>
      <w:lvlJc w:val="left"/>
      <w:pPr>
        <w:tabs>
          <w:tab w:val="left" w:pos="720"/>
        </w:tabs>
        <w:ind w:left="0" w:firstLine="0"/>
      </w:pPr>
      <w:rPr>
        <w:rFonts w:hint="default" w:ascii="Times New Roman" w:hAnsi="Times New Roman" w:eastAsia="黑体" w:cs="Times New Roman"/>
        <w:b w:val="0"/>
        <w:i w:val="0"/>
        <w:sz w:val="21"/>
      </w:rPr>
    </w:lvl>
    <w:lvl w:ilvl="4" w:tentative="0">
      <w:start w:val="1"/>
      <w:numFmt w:val="decimal"/>
      <w:pStyle w:val="57"/>
      <w:lvlText w:val="%2.%3.%4.%5"/>
      <w:lvlJc w:val="left"/>
      <w:pPr>
        <w:tabs>
          <w:tab w:val="left" w:pos="0"/>
        </w:tabs>
        <w:ind w:left="0" w:firstLine="0"/>
      </w:pPr>
      <w:rPr>
        <w:rFonts w:hint="default" w:ascii="Times New Roman" w:hAnsi="Times New Roman" w:eastAsia="宋体" w:cs="Times New Roman"/>
        <w:b w:val="0"/>
        <w:i w:val="0"/>
        <w:sz w:val="21"/>
      </w:rPr>
    </w:lvl>
    <w:lvl w:ilvl="5" w:tentative="0">
      <w:start w:val="1"/>
      <w:numFmt w:val="decimal"/>
      <w:pStyle w:val="56"/>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pStyle w:val="59"/>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3">
    <w:nsid w:val="000000FF"/>
    <w:multiLevelType w:val="multilevel"/>
    <w:tmpl w:val="000000FF"/>
    <w:lvl w:ilvl="0" w:tentative="0">
      <w:start w:val="1"/>
      <w:numFmt w:val="none"/>
      <w:suff w:val="nothing"/>
      <w:lvlText w:val=""/>
      <w:lvlJc w:val="left"/>
      <w:pPr>
        <w:ind w:left="420" w:firstLine="0"/>
      </w:pPr>
      <w:rPr>
        <w:rFonts w:hint="eastAsia" w:ascii="黑体" w:hAnsi="Times New Roman" w:eastAsia="黑体"/>
        <w:b/>
        <w:i w:val="0"/>
        <w:sz w:val="28"/>
      </w:rPr>
    </w:lvl>
    <w:lvl w:ilvl="1" w:tentative="0">
      <w:start w:val="1"/>
      <w:numFmt w:val="lowerLetter"/>
      <w:pStyle w:val="53"/>
      <w:suff w:val="nothing"/>
      <w:lvlText w:val="%1%2)  "/>
      <w:lvlJc w:val="left"/>
      <w:pPr>
        <w:ind w:left="420" w:hanging="420"/>
      </w:pPr>
      <w:rPr>
        <w:rFonts w:hint="eastAsia" w:ascii="黑体" w:hAnsi="Times New Roman" w:eastAsia="黑体"/>
        <w:b/>
        <w:i w:val="0"/>
        <w:sz w:val="21"/>
      </w:rPr>
    </w:lvl>
    <w:lvl w:ilvl="2" w:tentative="0">
      <w:start w:val="1"/>
      <w:numFmt w:val="decimal"/>
      <w:pStyle w:val="52"/>
      <w:suff w:val="nothing"/>
      <w:lvlText w:val="    %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420" w:firstLine="0"/>
      </w:pPr>
      <w:rPr>
        <w:rFonts w:hint="eastAsia" w:ascii="黑体" w:hAnsi="Times New Roman" w:eastAsia="黑体"/>
        <w:b/>
        <w:i w:val="0"/>
        <w:sz w:val="21"/>
      </w:rPr>
    </w:lvl>
    <w:lvl w:ilvl="4" w:tentative="0">
      <w:start w:val="1"/>
      <w:numFmt w:val="decimal"/>
      <w:lvlRestart w:val="2"/>
      <w:suff w:val="nothing"/>
      <w:lvlText w:val="%2.0.%5  "/>
      <w:lvlJc w:val="left"/>
      <w:pPr>
        <w:ind w:left="420" w:firstLine="0"/>
      </w:pPr>
      <w:rPr>
        <w:rFonts w:hint="eastAsia" w:ascii="黑体" w:hAnsi="Times New Roman" w:eastAsia="黑体"/>
        <w:b/>
        <w:i w:val="0"/>
        <w:sz w:val="21"/>
      </w:rPr>
    </w:lvl>
    <w:lvl w:ilvl="5" w:tentative="0">
      <w:start w:val="1"/>
      <w:numFmt w:val="decimal"/>
      <w:suff w:val="nothing"/>
      <w:lvlText w:val="      %6)  "/>
      <w:lvlJc w:val="left"/>
      <w:pPr>
        <w:ind w:left="1441" w:hanging="1021"/>
      </w:pPr>
      <w:rPr>
        <w:rFonts w:hint="eastAsia" w:ascii="黑体" w:hAnsi="Times New Roman" w:eastAsia="黑体"/>
        <w:b/>
        <w:i w:val="0"/>
        <w:sz w:val="21"/>
      </w:rPr>
    </w:lvl>
    <w:lvl w:ilvl="6" w:tentative="0">
      <w:start w:val="1"/>
      <w:numFmt w:val="decimal"/>
      <w:lvlRestart w:val="4"/>
      <w:suff w:val="nothing"/>
      <w:lvlText w:val="表 %2.%3.%4-%7  "/>
      <w:lvlJc w:val="left"/>
      <w:pPr>
        <w:ind w:left="420" w:firstLine="0"/>
      </w:pPr>
      <w:rPr>
        <w:rFonts w:hint="eastAsia" w:ascii="黑体" w:hAnsi="Times New Roman" w:eastAsia="黑体"/>
        <w:b/>
        <w:i w:val="0"/>
        <w:sz w:val="21"/>
      </w:rPr>
    </w:lvl>
    <w:lvl w:ilvl="7" w:tentative="0">
      <w:start w:val="1"/>
      <w:numFmt w:val="decimal"/>
      <w:lvlRestart w:val="4"/>
      <w:suff w:val="nothing"/>
      <w:lvlText w:val="图 %2.%3.%4-%8  "/>
      <w:lvlJc w:val="left"/>
      <w:pPr>
        <w:ind w:left="420" w:firstLine="0"/>
      </w:pPr>
      <w:rPr>
        <w:rFonts w:hint="eastAsia" w:ascii="黑体" w:eastAsia="黑体"/>
        <w:b/>
        <w:i w:val="0"/>
        <w:sz w:val="21"/>
      </w:rPr>
    </w:lvl>
    <w:lvl w:ilvl="8" w:tentative="0">
      <w:start w:val="1"/>
      <w:numFmt w:val="decimal"/>
      <w:lvlRestart w:val="5"/>
      <w:suff w:val="nothing"/>
      <w:lvlText w:val="    %9  "/>
      <w:lvlJc w:val="left"/>
      <w:pPr>
        <w:ind w:left="420" w:firstLine="0"/>
      </w:pPr>
      <w:rPr>
        <w:rFonts w:hint="eastAsia" w:ascii="黑体" w:hAnsi="华文细黑" w:eastAsia="黑体"/>
        <w:b/>
        <w:i w:val="0"/>
        <w:sz w:val="21"/>
      </w:rPr>
    </w:lvl>
  </w:abstractNum>
  <w:abstractNum w:abstractNumId="4">
    <w:nsid w:val="08137B6C"/>
    <w:multiLevelType w:val="multilevel"/>
    <w:tmpl w:val="08137B6C"/>
    <w:lvl w:ilvl="0" w:tentative="0">
      <w:start w:val="1"/>
      <w:numFmt w:val="decimal"/>
      <w:pStyle w:val="102"/>
      <w:suff w:val="space"/>
      <w:lvlText w:val="%1."/>
      <w:lvlJc w:val="left"/>
      <w:pPr>
        <w:ind w:left="0" w:firstLine="0"/>
      </w:pPr>
      <w:rPr>
        <w:rFonts w:hint="default" w:ascii="汉仪大宋简" w:hAnsi="汉仪大宋简" w:cs="汉仪大宋简"/>
      </w:rPr>
    </w:lvl>
    <w:lvl w:ilvl="1" w:tentative="0">
      <w:start w:val="1"/>
      <w:numFmt w:val="decimal"/>
      <w:pStyle w:val="105"/>
      <w:isLgl/>
      <w:suff w:val="space"/>
      <w:lvlText w:val="%1.%2"/>
      <w:lvlJc w:val="left"/>
      <w:pPr>
        <w:ind w:left="85" w:firstLine="0"/>
      </w:pPr>
      <w:rPr>
        <w:rFonts w:hint="eastAsia"/>
        <w:b/>
      </w:rPr>
    </w:lvl>
    <w:lvl w:ilvl="2" w:tentative="0">
      <w:start w:val="1"/>
      <w:numFmt w:val="decimal"/>
      <w:pStyle w:val="106"/>
      <w:isLgl/>
      <w:suff w:val="space"/>
      <w:lvlText w:val="%1.%2.%3"/>
      <w:lvlJc w:val="left"/>
      <w:pPr>
        <w:ind w:left="170" w:firstLine="0"/>
      </w:pPr>
      <w:rPr>
        <w:rFonts w:hint="default" w:ascii="汉仪大宋简" w:hAnsi="汉仪大宋简" w:eastAsia="汉仪大黑简" w:cs="汉仪大宋简"/>
        <w:b/>
        <w:bCs w:val="0"/>
        <w:i w:val="0"/>
        <w:iCs w:val="0"/>
        <w:caps w:val="0"/>
        <w:smallCaps w:val="0"/>
        <w:strike w:val="0"/>
        <w:dstrike w:val="0"/>
        <w:vanish w:val="0"/>
        <w:spacing w:val="0"/>
        <w:position w:val="0"/>
        <w:sz w:val="24"/>
        <w:u w:val="none"/>
        <w:vertAlign w:val="baseline"/>
      </w:rPr>
    </w:lvl>
    <w:lvl w:ilvl="3" w:tentative="0">
      <w:start w:val="1"/>
      <w:numFmt w:val="decimal"/>
      <w:isLgl/>
      <w:suff w:val="nothing"/>
      <w:lvlText w:val="%1.%2.%3.%4"/>
      <w:lvlJc w:val="left"/>
      <w:pPr>
        <w:ind w:left="227" w:firstLine="0"/>
      </w:pPr>
      <w:rPr>
        <w:rFonts w:hint="default" w:ascii="汉仪大宋简" w:hAnsi="汉仪大宋简" w:cs="汉仪大宋简"/>
      </w:rPr>
    </w:lvl>
    <w:lvl w:ilvl="4" w:tentative="0">
      <w:start w:val="1"/>
      <w:numFmt w:val="decimal"/>
      <w:isLgl/>
      <w:lvlText w:val="%1.%2.%3.%4.%5"/>
      <w:lvlJc w:val="left"/>
      <w:pPr>
        <w:tabs>
          <w:tab w:val="left" w:pos="0"/>
        </w:tabs>
        <w:ind w:left="0" w:firstLine="0"/>
      </w:pPr>
      <w:rPr>
        <w:rFonts w:hint="default" w:ascii="汉仪大宋简" w:hAnsi="汉仪大宋简" w:cs="汉仪大宋简"/>
        <w:sz w:val="24"/>
      </w:rPr>
    </w:lvl>
    <w:lvl w:ilvl="5" w:tentative="0">
      <w:start w:val="1"/>
      <w:numFmt w:val="decimal"/>
      <w:lvlText w:val="%1.%2.%3.%4.%5.%6"/>
      <w:lvlJc w:val="left"/>
      <w:pPr>
        <w:tabs>
          <w:tab w:val="left" w:pos="6086"/>
        </w:tabs>
        <w:ind w:left="3260" w:hanging="1134"/>
      </w:pPr>
      <w:rPr>
        <w:rFonts w:hint="default" w:ascii="汉仪大宋简" w:hAnsi="汉仪大宋简" w:cs="汉仪大宋简"/>
      </w:rPr>
    </w:lvl>
    <w:lvl w:ilvl="6" w:tentative="0">
      <w:start w:val="1"/>
      <w:numFmt w:val="decimal"/>
      <w:lvlText w:val="%1.%2.%3.%4.%5.%6.%7"/>
      <w:lvlJc w:val="left"/>
      <w:pPr>
        <w:tabs>
          <w:tab w:val="left" w:pos="7231"/>
        </w:tabs>
        <w:ind w:left="3827" w:hanging="1276"/>
      </w:pPr>
      <w:rPr>
        <w:rFonts w:hint="default" w:ascii="汉仪大宋简" w:hAnsi="汉仪大宋简" w:cs="汉仪大宋简"/>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5">
    <w:nsid w:val="49F9AE48"/>
    <w:multiLevelType w:val="singleLevel"/>
    <w:tmpl w:val="49F9AE48"/>
    <w:lvl w:ilvl="0" w:tentative="0">
      <w:start w:val="4"/>
      <w:numFmt w:val="decimal"/>
      <w:suff w:val="nothing"/>
      <w:lvlText w:val="%1）"/>
      <w:lvlJc w:val="left"/>
    </w:lvl>
  </w:abstractNum>
  <w:abstractNum w:abstractNumId="6">
    <w:nsid w:val="6883480C"/>
    <w:multiLevelType w:val="multilevel"/>
    <w:tmpl w:val="6883480C"/>
    <w:lvl w:ilvl="0" w:tentative="0">
      <w:start w:val="1"/>
      <w:numFmt w:val="decimal"/>
      <w:pStyle w:val="100"/>
      <w:lvlText w:val="%1)"/>
      <w:lvlJc w:val="left"/>
      <w:pPr>
        <w:tabs>
          <w:tab w:val="left" w:pos="839"/>
        </w:tabs>
        <w:ind w:left="0" w:firstLine="420"/>
      </w:pPr>
      <w:rPr>
        <w:rFonts w:hint="eastAsia"/>
      </w:rPr>
    </w:lvl>
    <w:lvl w:ilvl="1" w:tentative="0">
      <w:start w:val="1"/>
      <w:numFmt w:val="lowerLetter"/>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3"/>
  </w:num>
  <w:num w:numId="2">
    <w:abstractNumId w:val="2"/>
  </w:num>
  <w:num w:numId="3">
    <w:abstractNumId w:val="6"/>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hideSpellingError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zZTI3MTA2MjhiZGFlZDE4Y2MxOGNkNjgwZjc5ZDUifQ=="/>
    <w:docVar w:name="KSO_WPS_MARK_KEY" w:val="a13b7d57-5287-4e19-866d-cc3ce6fa6100"/>
  </w:docVars>
  <w:rsids>
    <w:rsidRoot w:val="00F028FB"/>
    <w:rsid w:val="0000024A"/>
    <w:rsid w:val="00001EAA"/>
    <w:rsid w:val="000046A6"/>
    <w:rsid w:val="00011273"/>
    <w:rsid w:val="00027EBF"/>
    <w:rsid w:val="00041D7F"/>
    <w:rsid w:val="0004222E"/>
    <w:rsid w:val="00042B3B"/>
    <w:rsid w:val="00044753"/>
    <w:rsid w:val="00052133"/>
    <w:rsid w:val="000522D5"/>
    <w:rsid w:val="00053D85"/>
    <w:rsid w:val="000545F4"/>
    <w:rsid w:val="000652DE"/>
    <w:rsid w:val="00073479"/>
    <w:rsid w:val="0008173C"/>
    <w:rsid w:val="0009110D"/>
    <w:rsid w:val="000922C8"/>
    <w:rsid w:val="00092775"/>
    <w:rsid w:val="000A524F"/>
    <w:rsid w:val="000A5D6C"/>
    <w:rsid w:val="000B08F2"/>
    <w:rsid w:val="000B1190"/>
    <w:rsid w:val="000B5783"/>
    <w:rsid w:val="000B6E1D"/>
    <w:rsid w:val="000C2974"/>
    <w:rsid w:val="000C5A3E"/>
    <w:rsid w:val="000D063D"/>
    <w:rsid w:val="000D2217"/>
    <w:rsid w:val="000D79F7"/>
    <w:rsid w:val="000E68C1"/>
    <w:rsid w:val="000F1A25"/>
    <w:rsid w:val="000F440A"/>
    <w:rsid w:val="00100789"/>
    <w:rsid w:val="00101B2F"/>
    <w:rsid w:val="0010507A"/>
    <w:rsid w:val="0010637F"/>
    <w:rsid w:val="00106C27"/>
    <w:rsid w:val="001111E8"/>
    <w:rsid w:val="0011190D"/>
    <w:rsid w:val="00113529"/>
    <w:rsid w:val="00134F18"/>
    <w:rsid w:val="0013756E"/>
    <w:rsid w:val="001414C8"/>
    <w:rsid w:val="00141AF5"/>
    <w:rsid w:val="001424CD"/>
    <w:rsid w:val="00143E02"/>
    <w:rsid w:val="00145424"/>
    <w:rsid w:val="00147282"/>
    <w:rsid w:val="001501DA"/>
    <w:rsid w:val="0015207E"/>
    <w:rsid w:val="00152C6E"/>
    <w:rsid w:val="001672D2"/>
    <w:rsid w:val="001701C5"/>
    <w:rsid w:val="00170211"/>
    <w:rsid w:val="00171C36"/>
    <w:rsid w:val="00180C38"/>
    <w:rsid w:val="00181D18"/>
    <w:rsid w:val="00183571"/>
    <w:rsid w:val="001836E8"/>
    <w:rsid w:val="00184072"/>
    <w:rsid w:val="00187E40"/>
    <w:rsid w:val="001910DB"/>
    <w:rsid w:val="00191583"/>
    <w:rsid w:val="001971BD"/>
    <w:rsid w:val="00197E61"/>
    <w:rsid w:val="001A4B1C"/>
    <w:rsid w:val="001A5D74"/>
    <w:rsid w:val="001C1A17"/>
    <w:rsid w:val="001C5520"/>
    <w:rsid w:val="001C5665"/>
    <w:rsid w:val="001C5781"/>
    <w:rsid w:val="001D0A2F"/>
    <w:rsid w:val="001D30D2"/>
    <w:rsid w:val="001D5A27"/>
    <w:rsid w:val="001D6A8A"/>
    <w:rsid w:val="001D785D"/>
    <w:rsid w:val="001E1376"/>
    <w:rsid w:val="001E439D"/>
    <w:rsid w:val="001E563F"/>
    <w:rsid w:val="001F6841"/>
    <w:rsid w:val="00200D22"/>
    <w:rsid w:val="00201B1C"/>
    <w:rsid w:val="002026DF"/>
    <w:rsid w:val="00211056"/>
    <w:rsid w:val="00213194"/>
    <w:rsid w:val="00216B2D"/>
    <w:rsid w:val="0022124A"/>
    <w:rsid w:val="00223B74"/>
    <w:rsid w:val="00223FF0"/>
    <w:rsid w:val="00224C33"/>
    <w:rsid w:val="002273C8"/>
    <w:rsid w:val="00230158"/>
    <w:rsid w:val="002349DE"/>
    <w:rsid w:val="00235EC0"/>
    <w:rsid w:val="002375AC"/>
    <w:rsid w:val="0023778A"/>
    <w:rsid w:val="00240DFF"/>
    <w:rsid w:val="002424A7"/>
    <w:rsid w:val="0024370D"/>
    <w:rsid w:val="00243D06"/>
    <w:rsid w:val="00247B9F"/>
    <w:rsid w:val="002513DD"/>
    <w:rsid w:val="0025258A"/>
    <w:rsid w:val="00265751"/>
    <w:rsid w:val="00265CC9"/>
    <w:rsid w:val="00271423"/>
    <w:rsid w:val="00274E6C"/>
    <w:rsid w:val="00275328"/>
    <w:rsid w:val="002764F4"/>
    <w:rsid w:val="00277062"/>
    <w:rsid w:val="00277700"/>
    <w:rsid w:val="0028128D"/>
    <w:rsid w:val="00283664"/>
    <w:rsid w:val="00286BCF"/>
    <w:rsid w:val="00295997"/>
    <w:rsid w:val="002A3BAD"/>
    <w:rsid w:val="002B6F55"/>
    <w:rsid w:val="002C5D0F"/>
    <w:rsid w:val="002C7C8D"/>
    <w:rsid w:val="002D38FD"/>
    <w:rsid w:val="002E71ED"/>
    <w:rsid w:val="00305F59"/>
    <w:rsid w:val="003168D3"/>
    <w:rsid w:val="00317B26"/>
    <w:rsid w:val="00320DE7"/>
    <w:rsid w:val="00321332"/>
    <w:rsid w:val="003336FF"/>
    <w:rsid w:val="00347C96"/>
    <w:rsid w:val="003519FC"/>
    <w:rsid w:val="00354E49"/>
    <w:rsid w:val="00356C43"/>
    <w:rsid w:val="003627D0"/>
    <w:rsid w:val="00365EB7"/>
    <w:rsid w:val="00366DF2"/>
    <w:rsid w:val="00372341"/>
    <w:rsid w:val="0037442C"/>
    <w:rsid w:val="00383DE8"/>
    <w:rsid w:val="00386101"/>
    <w:rsid w:val="0039755E"/>
    <w:rsid w:val="00397864"/>
    <w:rsid w:val="003A0816"/>
    <w:rsid w:val="003B1996"/>
    <w:rsid w:val="003B6A28"/>
    <w:rsid w:val="003D6307"/>
    <w:rsid w:val="003E35B4"/>
    <w:rsid w:val="003F5488"/>
    <w:rsid w:val="003F72C0"/>
    <w:rsid w:val="00400EE9"/>
    <w:rsid w:val="00401D51"/>
    <w:rsid w:val="0040443C"/>
    <w:rsid w:val="0041002C"/>
    <w:rsid w:val="0041728C"/>
    <w:rsid w:val="00423441"/>
    <w:rsid w:val="00423E30"/>
    <w:rsid w:val="00424EE3"/>
    <w:rsid w:val="00430667"/>
    <w:rsid w:val="00430D3F"/>
    <w:rsid w:val="00445C5B"/>
    <w:rsid w:val="00446194"/>
    <w:rsid w:val="004574E6"/>
    <w:rsid w:val="004607C8"/>
    <w:rsid w:val="0046775E"/>
    <w:rsid w:val="00472F46"/>
    <w:rsid w:val="00473243"/>
    <w:rsid w:val="004764A9"/>
    <w:rsid w:val="0047696C"/>
    <w:rsid w:val="00476BC4"/>
    <w:rsid w:val="004912FF"/>
    <w:rsid w:val="0049223B"/>
    <w:rsid w:val="00495E4A"/>
    <w:rsid w:val="004A1E74"/>
    <w:rsid w:val="004A3CAA"/>
    <w:rsid w:val="004B1328"/>
    <w:rsid w:val="004C2D09"/>
    <w:rsid w:val="004C4029"/>
    <w:rsid w:val="004C4B3A"/>
    <w:rsid w:val="004C555C"/>
    <w:rsid w:val="004C7071"/>
    <w:rsid w:val="004E066B"/>
    <w:rsid w:val="004E16CE"/>
    <w:rsid w:val="004E2556"/>
    <w:rsid w:val="004E7FB1"/>
    <w:rsid w:val="004F18BF"/>
    <w:rsid w:val="004F4F53"/>
    <w:rsid w:val="005029BA"/>
    <w:rsid w:val="00505C4A"/>
    <w:rsid w:val="00522827"/>
    <w:rsid w:val="005231A9"/>
    <w:rsid w:val="0052542F"/>
    <w:rsid w:val="00531325"/>
    <w:rsid w:val="005323FC"/>
    <w:rsid w:val="00535571"/>
    <w:rsid w:val="00546BE6"/>
    <w:rsid w:val="00553B1E"/>
    <w:rsid w:val="00557CE8"/>
    <w:rsid w:val="0056159D"/>
    <w:rsid w:val="005634F9"/>
    <w:rsid w:val="00566347"/>
    <w:rsid w:val="005667A5"/>
    <w:rsid w:val="0056738E"/>
    <w:rsid w:val="00572EFF"/>
    <w:rsid w:val="00594258"/>
    <w:rsid w:val="005A4C89"/>
    <w:rsid w:val="005B31C2"/>
    <w:rsid w:val="005B6F16"/>
    <w:rsid w:val="005C08B9"/>
    <w:rsid w:val="005C2E75"/>
    <w:rsid w:val="005C5DF7"/>
    <w:rsid w:val="005C6372"/>
    <w:rsid w:val="005D6384"/>
    <w:rsid w:val="005E1963"/>
    <w:rsid w:val="005E24DB"/>
    <w:rsid w:val="005E2DA5"/>
    <w:rsid w:val="005E4BD1"/>
    <w:rsid w:val="005E4EB2"/>
    <w:rsid w:val="005E67EF"/>
    <w:rsid w:val="005F2712"/>
    <w:rsid w:val="005F2847"/>
    <w:rsid w:val="005F2E27"/>
    <w:rsid w:val="005F4B29"/>
    <w:rsid w:val="005F7E4A"/>
    <w:rsid w:val="00602202"/>
    <w:rsid w:val="00602B37"/>
    <w:rsid w:val="00605C1C"/>
    <w:rsid w:val="00607064"/>
    <w:rsid w:val="006119E2"/>
    <w:rsid w:val="006149C7"/>
    <w:rsid w:val="00615A65"/>
    <w:rsid w:val="00621F3F"/>
    <w:rsid w:val="0062555F"/>
    <w:rsid w:val="0063502E"/>
    <w:rsid w:val="006436D4"/>
    <w:rsid w:val="006456BF"/>
    <w:rsid w:val="00650225"/>
    <w:rsid w:val="00652870"/>
    <w:rsid w:val="00653AFF"/>
    <w:rsid w:val="00654B30"/>
    <w:rsid w:val="0066591D"/>
    <w:rsid w:val="00671F85"/>
    <w:rsid w:val="00672AF9"/>
    <w:rsid w:val="00674F5F"/>
    <w:rsid w:val="006756BE"/>
    <w:rsid w:val="00677B11"/>
    <w:rsid w:val="00681A08"/>
    <w:rsid w:val="00682988"/>
    <w:rsid w:val="00687A87"/>
    <w:rsid w:val="00687BBE"/>
    <w:rsid w:val="006938C8"/>
    <w:rsid w:val="00697626"/>
    <w:rsid w:val="006A2245"/>
    <w:rsid w:val="006A5A47"/>
    <w:rsid w:val="006A6F1A"/>
    <w:rsid w:val="006B2237"/>
    <w:rsid w:val="006B67EE"/>
    <w:rsid w:val="006C13F6"/>
    <w:rsid w:val="006C475D"/>
    <w:rsid w:val="006C6467"/>
    <w:rsid w:val="006E1FC0"/>
    <w:rsid w:val="006E4001"/>
    <w:rsid w:val="006E53A2"/>
    <w:rsid w:val="006E5C88"/>
    <w:rsid w:val="006F1CCD"/>
    <w:rsid w:val="006F520D"/>
    <w:rsid w:val="00700950"/>
    <w:rsid w:val="00701039"/>
    <w:rsid w:val="00703401"/>
    <w:rsid w:val="007069E4"/>
    <w:rsid w:val="00712CB0"/>
    <w:rsid w:val="00717034"/>
    <w:rsid w:val="007202DE"/>
    <w:rsid w:val="00723DD0"/>
    <w:rsid w:val="00734BAF"/>
    <w:rsid w:val="007412E3"/>
    <w:rsid w:val="0074688A"/>
    <w:rsid w:val="007500EA"/>
    <w:rsid w:val="007502C7"/>
    <w:rsid w:val="0075215B"/>
    <w:rsid w:val="00777084"/>
    <w:rsid w:val="0077749F"/>
    <w:rsid w:val="0077773B"/>
    <w:rsid w:val="00784BCF"/>
    <w:rsid w:val="00785C23"/>
    <w:rsid w:val="0079072C"/>
    <w:rsid w:val="007911BC"/>
    <w:rsid w:val="00794687"/>
    <w:rsid w:val="00797DF1"/>
    <w:rsid w:val="007A1E43"/>
    <w:rsid w:val="007A2E2C"/>
    <w:rsid w:val="007B6C99"/>
    <w:rsid w:val="007C799F"/>
    <w:rsid w:val="007D0D55"/>
    <w:rsid w:val="007D28A9"/>
    <w:rsid w:val="007D3826"/>
    <w:rsid w:val="007E05CE"/>
    <w:rsid w:val="007E1357"/>
    <w:rsid w:val="007E496B"/>
    <w:rsid w:val="007F0791"/>
    <w:rsid w:val="007F2D18"/>
    <w:rsid w:val="007F4C45"/>
    <w:rsid w:val="007F5932"/>
    <w:rsid w:val="007F6255"/>
    <w:rsid w:val="007F7699"/>
    <w:rsid w:val="0080563D"/>
    <w:rsid w:val="008105A3"/>
    <w:rsid w:val="00810B17"/>
    <w:rsid w:val="00812613"/>
    <w:rsid w:val="00814771"/>
    <w:rsid w:val="00816BD8"/>
    <w:rsid w:val="00825522"/>
    <w:rsid w:val="00827F38"/>
    <w:rsid w:val="008362BF"/>
    <w:rsid w:val="00840EA2"/>
    <w:rsid w:val="00845B64"/>
    <w:rsid w:val="00846BF7"/>
    <w:rsid w:val="00847E3C"/>
    <w:rsid w:val="008624CB"/>
    <w:rsid w:val="0086487D"/>
    <w:rsid w:val="00865181"/>
    <w:rsid w:val="008674B3"/>
    <w:rsid w:val="0086785D"/>
    <w:rsid w:val="008679BD"/>
    <w:rsid w:val="00874B5C"/>
    <w:rsid w:val="00876DD2"/>
    <w:rsid w:val="008824C3"/>
    <w:rsid w:val="0089313D"/>
    <w:rsid w:val="00893697"/>
    <w:rsid w:val="0089391D"/>
    <w:rsid w:val="00893BF1"/>
    <w:rsid w:val="008A1D80"/>
    <w:rsid w:val="008A3E8F"/>
    <w:rsid w:val="008B35F5"/>
    <w:rsid w:val="008C192A"/>
    <w:rsid w:val="008C57D0"/>
    <w:rsid w:val="008D49DB"/>
    <w:rsid w:val="008D7121"/>
    <w:rsid w:val="008D735A"/>
    <w:rsid w:val="008E0528"/>
    <w:rsid w:val="008E5A9B"/>
    <w:rsid w:val="008F384E"/>
    <w:rsid w:val="008F7444"/>
    <w:rsid w:val="008F7DA0"/>
    <w:rsid w:val="00902A30"/>
    <w:rsid w:val="0090420E"/>
    <w:rsid w:val="009062B4"/>
    <w:rsid w:val="00910875"/>
    <w:rsid w:val="00921D16"/>
    <w:rsid w:val="00927B95"/>
    <w:rsid w:val="00932644"/>
    <w:rsid w:val="0093310D"/>
    <w:rsid w:val="00943361"/>
    <w:rsid w:val="00946D75"/>
    <w:rsid w:val="00957F3F"/>
    <w:rsid w:val="00964FF9"/>
    <w:rsid w:val="00976754"/>
    <w:rsid w:val="009812DC"/>
    <w:rsid w:val="00984BDD"/>
    <w:rsid w:val="009911DA"/>
    <w:rsid w:val="009947F0"/>
    <w:rsid w:val="00995505"/>
    <w:rsid w:val="009A02A9"/>
    <w:rsid w:val="009A34B1"/>
    <w:rsid w:val="009A35B7"/>
    <w:rsid w:val="009B2DD8"/>
    <w:rsid w:val="009B456E"/>
    <w:rsid w:val="009C09D7"/>
    <w:rsid w:val="009C38D7"/>
    <w:rsid w:val="009D0D80"/>
    <w:rsid w:val="009D2084"/>
    <w:rsid w:val="009D400A"/>
    <w:rsid w:val="009F62D6"/>
    <w:rsid w:val="00A01F99"/>
    <w:rsid w:val="00A074B1"/>
    <w:rsid w:val="00A12EFB"/>
    <w:rsid w:val="00A17C20"/>
    <w:rsid w:val="00A22FAF"/>
    <w:rsid w:val="00A26CA5"/>
    <w:rsid w:val="00A3764A"/>
    <w:rsid w:val="00A37C3C"/>
    <w:rsid w:val="00A44538"/>
    <w:rsid w:val="00A46EB6"/>
    <w:rsid w:val="00A52DC6"/>
    <w:rsid w:val="00A52F9F"/>
    <w:rsid w:val="00A54DC2"/>
    <w:rsid w:val="00A60F4C"/>
    <w:rsid w:val="00A62C97"/>
    <w:rsid w:val="00A62D8E"/>
    <w:rsid w:val="00A71131"/>
    <w:rsid w:val="00A80841"/>
    <w:rsid w:val="00A86639"/>
    <w:rsid w:val="00A9770B"/>
    <w:rsid w:val="00A97FF6"/>
    <w:rsid w:val="00AA1351"/>
    <w:rsid w:val="00AA5FDF"/>
    <w:rsid w:val="00AA74A6"/>
    <w:rsid w:val="00AB4E06"/>
    <w:rsid w:val="00AB6421"/>
    <w:rsid w:val="00AC6102"/>
    <w:rsid w:val="00AD17A1"/>
    <w:rsid w:val="00AD6B5B"/>
    <w:rsid w:val="00AE7530"/>
    <w:rsid w:val="00AF3F28"/>
    <w:rsid w:val="00AF733A"/>
    <w:rsid w:val="00B01F62"/>
    <w:rsid w:val="00B26593"/>
    <w:rsid w:val="00B338B8"/>
    <w:rsid w:val="00B35AF9"/>
    <w:rsid w:val="00B37E0B"/>
    <w:rsid w:val="00B43996"/>
    <w:rsid w:val="00B4564D"/>
    <w:rsid w:val="00B51777"/>
    <w:rsid w:val="00B51CEA"/>
    <w:rsid w:val="00B541AA"/>
    <w:rsid w:val="00B60124"/>
    <w:rsid w:val="00B64969"/>
    <w:rsid w:val="00B66225"/>
    <w:rsid w:val="00B72104"/>
    <w:rsid w:val="00B775B3"/>
    <w:rsid w:val="00B80C76"/>
    <w:rsid w:val="00B82EB6"/>
    <w:rsid w:val="00B833DB"/>
    <w:rsid w:val="00B86AEE"/>
    <w:rsid w:val="00B87FA6"/>
    <w:rsid w:val="00B9437B"/>
    <w:rsid w:val="00B949AB"/>
    <w:rsid w:val="00B953F8"/>
    <w:rsid w:val="00BA2D99"/>
    <w:rsid w:val="00BA3A01"/>
    <w:rsid w:val="00BC2EF3"/>
    <w:rsid w:val="00BC5CB6"/>
    <w:rsid w:val="00BD69A3"/>
    <w:rsid w:val="00BE2510"/>
    <w:rsid w:val="00BE3D7E"/>
    <w:rsid w:val="00BE404F"/>
    <w:rsid w:val="00BF18AA"/>
    <w:rsid w:val="00BF69A1"/>
    <w:rsid w:val="00C063D9"/>
    <w:rsid w:val="00C13B3C"/>
    <w:rsid w:val="00C24B8C"/>
    <w:rsid w:val="00C255F9"/>
    <w:rsid w:val="00C279C2"/>
    <w:rsid w:val="00C37AB0"/>
    <w:rsid w:val="00C41BED"/>
    <w:rsid w:val="00C60C69"/>
    <w:rsid w:val="00C65675"/>
    <w:rsid w:val="00C712B8"/>
    <w:rsid w:val="00C80546"/>
    <w:rsid w:val="00C84604"/>
    <w:rsid w:val="00C86DF8"/>
    <w:rsid w:val="00C90191"/>
    <w:rsid w:val="00C968B2"/>
    <w:rsid w:val="00C970B5"/>
    <w:rsid w:val="00C97FC4"/>
    <w:rsid w:val="00CA44BD"/>
    <w:rsid w:val="00CB09A0"/>
    <w:rsid w:val="00CB7960"/>
    <w:rsid w:val="00CC106C"/>
    <w:rsid w:val="00CC4244"/>
    <w:rsid w:val="00CC426D"/>
    <w:rsid w:val="00CD4409"/>
    <w:rsid w:val="00CE4866"/>
    <w:rsid w:val="00CF0DCE"/>
    <w:rsid w:val="00CF2B7E"/>
    <w:rsid w:val="00CF2F5A"/>
    <w:rsid w:val="00CF4C31"/>
    <w:rsid w:val="00CF5E34"/>
    <w:rsid w:val="00D05ED9"/>
    <w:rsid w:val="00D10060"/>
    <w:rsid w:val="00D11319"/>
    <w:rsid w:val="00D11A08"/>
    <w:rsid w:val="00D33898"/>
    <w:rsid w:val="00D52559"/>
    <w:rsid w:val="00D558DA"/>
    <w:rsid w:val="00D65C12"/>
    <w:rsid w:val="00D6655D"/>
    <w:rsid w:val="00D7269D"/>
    <w:rsid w:val="00D7456A"/>
    <w:rsid w:val="00D74EFE"/>
    <w:rsid w:val="00D75295"/>
    <w:rsid w:val="00D760B2"/>
    <w:rsid w:val="00D8229A"/>
    <w:rsid w:val="00D83DA2"/>
    <w:rsid w:val="00D84E6D"/>
    <w:rsid w:val="00D87811"/>
    <w:rsid w:val="00D945C8"/>
    <w:rsid w:val="00D959D3"/>
    <w:rsid w:val="00DA4759"/>
    <w:rsid w:val="00DA6A90"/>
    <w:rsid w:val="00DA745C"/>
    <w:rsid w:val="00DB0213"/>
    <w:rsid w:val="00DB2576"/>
    <w:rsid w:val="00DB6B9E"/>
    <w:rsid w:val="00DC32B9"/>
    <w:rsid w:val="00DD3BC1"/>
    <w:rsid w:val="00DD5AD2"/>
    <w:rsid w:val="00DE0105"/>
    <w:rsid w:val="00DE2A1A"/>
    <w:rsid w:val="00DF699D"/>
    <w:rsid w:val="00E018DA"/>
    <w:rsid w:val="00E02B7A"/>
    <w:rsid w:val="00E12E84"/>
    <w:rsid w:val="00E154C1"/>
    <w:rsid w:val="00E223EC"/>
    <w:rsid w:val="00E24F17"/>
    <w:rsid w:val="00E25286"/>
    <w:rsid w:val="00E258D4"/>
    <w:rsid w:val="00E27467"/>
    <w:rsid w:val="00E30EE9"/>
    <w:rsid w:val="00E32189"/>
    <w:rsid w:val="00E346BB"/>
    <w:rsid w:val="00E35CCE"/>
    <w:rsid w:val="00E42C8C"/>
    <w:rsid w:val="00E55BA5"/>
    <w:rsid w:val="00E55BD6"/>
    <w:rsid w:val="00E56F9D"/>
    <w:rsid w:val="00E60763"/>
    <w:rsid w:val="00E61CCE"/>
    <w:rsid w:val="00E63B56"/>
    <w:rsid w:val="00E7794C"/>
    <w:rsid w:val="00E84689"/>
    <w:rsid w:val="00E961E9"/>
    <w:rsid w:val="00E96FE2"/>
    <w:rsid w:val="00EA5F87"/>
    <w:rsid w:val="00EA758B"/>
    <w:rsid w:val="00EB1D0B"/>
    <w:rsid w:val="00EB5A73"/>
    <w:rsid w:val="00EB68BE"/>
    <w:rsid w:val="00EB7541"/>
    <w:rsid w:val="00EC01E9"/>
    <w:rsid w:val="00EC03AF"/>
    <w:rsid w:val="00EC3557"/>
    <w:rsid w:val="00EC3B5C"/>
    <w:rsid w:val="00EC4AFA"/>
    <w:rsid w:val="00EC65F6"/>
    <w:rsid w:val="00ED0545"/>
    <w:rsid w:val="00ED0F4B"/>
    <w:rsid w:val="00ED39C4"/>
    <w:rsid w:val="00ED6725"/>
    <w:rsid w:val="00EE5DD9"/>
    <w:rsid w:val="00EF10EE"/>
    <w:rsid w:val="00EF24C7"/>
    <w:rsid w:val="00EF3315"/>
    <w:rsid w:val="00F028FB"/>
    <w:rsid w:val="00F11F1C"/>
    <w:rsid w:val="00F143AE"/>
    <w:rsid w:val="00F14EBC"/>
    <w:rsid w:val="00F20A89"/>
    <w:rsid w:val="00F323C3"/>
    <w:rsid w:val="00F33A89"/>
    <w:rsid w:val="00F36CED"/>
    <w:rsid w:val="00F40182"/>
    <w:rsid w:val="00F41312"/>
    <w:rsid w:val="00F4309F"/>
    <w:rsid w:val="00F440B6"/>
    <w:rsid w:val="00F5001D"/>
    <w:rsid w:val="00F5112C"/>
    <w:rsid w:val="00F539F5"/>
    <w:rsid w:val="00F63DD8"/>
    <w:rsid w:val="00F81D5A"/>
    <w:rsid w:val="00F85AF4"/>
    <w:rsid w:val="00F9094A"/>
    <w:rsid w:val="00F96125"/>
    <w:rsid w:val="00FA2129"/>
    <w:rsid w:val="00FA40BB"/>
    <w:rsid w:val="00FB142A"/>
    <w:rsid w:val="00FB3F7A"/>
    <w:rsid w:val="00FB7647"/>
    <w:rsid w:val="00FC0EA1"/>
    <w:rsid w:val="00FC271E"/>
    <w:rsid w:val="00FD0755"/>
    <w:rsid w:val="00FD0F9F"/>
    <w:rsid w:val="00FD250A"/>
    <w:rsid w:val="00FD3E68"/>
    <w:rsid w:val="00FE4A02"/>
    <w:rsid w:val="00FE7884"/>
    <w:rsid w:val="00FE7D03"/>
    <w:rsid w:val="014538BE"/>
    <w:rsid w:val="01581DE5"/>
    <w:rsid w:val="01C94589"/>
    <w:rsid w:val="01E822E4"/>
    <w:rsid w:val="01EB79CB"/>
    <w:rsid w:val="01F176F8"/>
    <w:rsid w:val="020134AA"/>
    <w:rsid w:val="022A49B8"/>
    <w:rsid w:val="023E20FC"/>
    <w:rsid w:val="0250441F"/>
    <w:rsid w:val="028B7134"/>
    <w:rsid w:val="029456A5"/>
    <w:rsid w:val="0348161B"/>
    <w:rsid w:val="034A3347"/>
    <w:rsid w:val="03577A2F"/>
    <w:rsid w:val="03713C6D"/>
    <w:rsid w:val="037A1943"/>
    <w:rsid w:val="039E565E"/>
    <w:rsid w:val="03A10CAA"/>
    <w:rsid w:val="03DC0CE6"/>
    <w:rsid w:val="03E46C6F"/>
    <w:rsid w:val="04047E3E"/>
    <w:rsid w:val="040826C1"/>
    <w:rsid w:val="041D4120"/>
    <w:rsid w:val="04353F4F"/>
    <w:rsid w:val="043F474B"/>
    <w:rsid w:val="04504BAA"/>
    <w:rsid w:val="04697A1A"/>
    <w:rsid w:val="04892500"/>
    <w:rsid w:val="04AF4FC9"/>
    <w:rsid w:val="04D36A97"/>
    <w:rsid w:val="04F50227"/>
    <w:rsid w:val="0560343B"/>
    <w:rsid w:val="05605769"/>
    <w:rsid w:val="05621471"/>
    <w:rsid w:val="056F1060"/>
    <w:rsid w:val="05707FA8"/>
    <w:rsid w:val="05880232"/>
    <w:rsid w:val="05C03809"/>
    <w:rsid w:val="05CB5EF3"/>
    <w:rsid w:val="05EE7CD7"/>
    <w:rsid w:val="06230E50"/>
    <w:rsid w:val="062533F6"/>
    <w:rsid w:val="066873B5"/>
    <w:rsid w:val="06872661"/>
    <w:rsid w:val="068F0FF0"/>
    <w:rsid w:val="06D5105D"/>
    <w:rsid w:val="06E56E50"/>
    <w:rsid w:val="06ED4932"/>
    <w:rsid w:val="06F35CC1"/>
    <w:rsid w:val="06F774D6"/>
    <w:rsid w:val="074B323A"/>
    <w:rsid w:val="075B0AA8"/>
    <w:rsid w:val="07767C8F"/>
    <w:rsid w:val="07911A78"/>
    <w:rsid w:val="07935918"/>
    <w:rsid w:val="07B500DE"/>
    <w:rsid w:val="07F42FE9"/>
    <w:rsid w:val="08115ED9"/>
    <w:rsid w:val="08161C67"/>
    <w:rsid w:val="08203426"/>
    <w:rsid w:val="083210FA"/>
    <w:rsid w:val="085B1D6F"/>
    <w:rsid w:val="0874687F"/>
    <w:rsid w:val="08CF5356"/>
    <w:rsid w:val="08DF47BB"/>
    <w:rsid w:val="08F55B75"/>
    <w:rsid w:val="09646A02"/>
    <w:rsid w:val="09735957"/>
    <w:rsid w:val="09945539"/>
    <w:rsid w:val="099A2404"/>
    <w:rsid w:val="09AD6C7F"/>
    <w:rsid w:val="09E65669"/>
    <w:rsid w:val="0A3F1837"/>
    <w:rsid w:val="0A6A34C4"/>
    <w:rsid w:val="0AC70955"/>
    <w:rsid w:val="0ACB1AB0"/>
    <w:rsid w:val="0AE136ED"/>
    <w:rsid w:val="0B2E5519"/>
    <w:rsid w:val="0B6321E1"/>
    <w:rsid w:val="0B694084"/>
    <w:rsid w:val="0B6D50FE"/>
    <w:rsid w:val="0B81389B"/>
    <w:rsid w:val="0B8E2F2C"/>
    <w:rsid w:val="0BA5204E"/>
    <w:rsid w:val="0BB80199"/>
    <w:rsid w:val="0BC0201B"/>
    <w:rsid w:val="0BC32105"/>
    <w:rsid w:val="0BCD4D32"/>
    <w:rsid w:val="0BF306E7"/>
    <w:rsid w:val="0C017AAB"/>
    <w:rsid w:val="0C0656B7"/>
    <w:rsid w:val="0C126BE9"/>
    <w:rsid w:val="0C260C03"/>
    <w:rsid w:val="0C52649A"/>
    <w:rsid w:val="0C553808"/>
    <w:rsid w:val="0C5E4087"/>
    <w:rsid w:val="0C7F6071"/>
    <w:rsid w:val="0C8109E8"/>
    <w:rsid w:val="0C8B0011"/>
    <w:rsid w:val="0C9F06F1"/>
    <w:rsid w:val="0CB523AD"/>
    <w:rsid w:val="0D516D74"/>
    <w:rsid w:val="0D811899"/>
    <w:rsid w:val="0D83617F"/>
    <w:rsid w:val="0DAE729F"/>
    <w:rsid w:val="0DDC4816"/>
    <w:rsid w:val="0DEF3BD2"/>
    <w:rsid w:val="0DF27914"/>
    <w:rsid w:val="0DF3365B"/>
    <w:rsid w:val="0E605A42"/>
    <w:rsid w:val="0E6B25E0"/>
    <w:rsid w:val="0EA765D8"/>
    <w:rsid w:val="0EA91092"/>
    <w:rsid w:val="0EAF2C06"/>
    <w:rsid w:val="0ECF46D5"/>
    <w:rsid w:val="0ED02240"/>
    <w:rsid w:val="0EF064E4"/>
    <w:rsid w:val="0EF73EE7"/>
    <w:rsid w:val="0F0A3B4E"/>
    <w:rsid w:val="0F252E43"/>
    <w:rsid w:val="0F281563"/>
    <w:rsid w:val="0F514A4E"/>
    <w:rsid w:val="0F5F0397"/>
    <w:rsid w:val="0F671D15"/>
    <w:rsid w:val="0F7C45F0"/>
    <w:rsid w:val="0F852FE9"/>
    <w:rsid w:val="0F8C7557"/>
    <w:rsid w:val="0FD141B5"/>
    <w:rsid w:val="10387D13"/>
    <w:rsid w:val="10411DE1"/>
    <w:rsid w:val="10443FEE"/>
    <w:rsid w:val="108160EB"/>
    <w:rsid w:val="10C552AD"/>
    <w:rsid w:val="10D66428"/>
    <w:rsid w:val="10D97CD5"/>
    <w:rsid w:val="10E967B8"/>
    <w:rsid w:val="112C53E1"/>
    <w:rsid w:val="11335637"/>
    <w:rsid w:val="115E7EA9"/>
    <w:rsid w:val="11641C95"/>
    <w:rsid w:val="117B240F"/>
    <w:rsid w:val="11893A84"/>
    <w:rsid w:val="119430DF"/>
    <w:rsid w:val="11990339"/>
    <w:rsid w:val="11F86C31"/>
    <w:rsid w:val="1213336C"/>
    <w:rsid w:val="12842D03"/>
    <w:rsid w:val="12A5136F"/>
    <w:rsid w:val="12A968EF"/>
    <w:rsid w:val="12AF6000"/>
    <w:rsid w:val="12B039EC"/>
    <w:rsid w:val="130F3E82"/>
    <w:rsid w:val="133A09E4"/>
    <w:rsid w:val="134F3734"/>
    <w:rsid w:val="13525E00"/>
    <w:rsid w:val="13686085"/>
    <w:rsid w:val="13A710FA"/>
    <w:rsid w:val="13DBFB82"/>
    <w:rsid w:val="13DF4C93"/>
    <w:rsid w:val="13EE12C2"/>
    <w:rsid w:val="13EF023D"/>
    <w:rsid w:val="13F9686D"/>
    <w:rsid w:val="146975C2"/>
    <w:rsid w:val="14E12ADA"/>
    <w:rsid w:val="15245D06"/>
    <w:rsid w:val="15516AE8"/>
    <w:rsid w:val="155400DE"/>
    <w:rsid w:val="1580010C"/>
    <w:rsid w:val="15887945"/>
    <w:rsid w:val="15AC1B03"/>
    <w:rsid w:val="15CE1DD3"/>
    <w:rsid w:val="160471DB"/>
    <w:rsid w:val="162474CE"/>
    <w:rsid w:val="1631701A"/>
    <w:rsid w:val="163C399A"/>
    <w:rsid w:val="165E3157"/>
    <w:rsid w:val="16930F3A"/>
    <w:rsid w:val="16CC7A92"/>
    <w:rsid w:val="16D20BBA"/>
    <w:rsid w:val="17247B10"/>
    <w:rsid w:val="173B43BF"/>
    <w:rsid w:val="175207E1"/>
    <w:rsid w:val="17736DE3"/>
    <w:rsid w:val="17C46A8A"/>
    <w:rsid w:val="17D1740D"/>
    <w:rsid w:val="17E04E2E"/>
    <w:rsid w:val="180B4373"/>
    <w:rsid w:val="18125238"/>
    <w:rsid w:val="18463EA2"/>
    <w:rsid w:val="18470CF5"/>
    <w:rsid w:val="18736C61"/>
    <w:rsid w:val="187E3CD6"/>
    <w:rsid w:val="189D3DA0"/>
    <w:rsid w:val="18AF4BE5"/>
    <w:rsid w:val="18F42F8A"/>
    <w:rsid w:val="192D5062"/>
    <w:rsid w:val="193F4955"/>
    <w:rsid w:val="19615486"/>
    <w:rsid w:val="1977414E"/>
    <w:rsid w:val="199F4BCF"/>
    <w:rsid w:val="19BA6943"/>
    <w:rsid w:val="19BD361F"/>
    <w:rsid w:val="19D3239C"/>
    <w:rsid w:val="1A010F4D"/>
    <w:rsid w:val="1A064B30"/>
    <w:rsid w:val="1A141D7E"/>
    <w:rsid w:val="1A3F3C40"/>
    <w:rsid w:val="1A4A6F18"/>
    <w:rsid w:val="1A680207"/>
    <w:rsid w:val="1A9E1ABF"/>
    <w:rsid w:val="1AAD645B"/>
    <w:rsid w:val="1ABD55F0"/>
    <w:rsid w:val="1ACE017F"/>
    <w:rsid w:val="1AE94FB9"/>
    <w:rsid w:val="1B227943"/>
    <w:rsid w:val="1B241ADD"/>
    <w:rsid w:val="1B3F71FD"/>
    <w:rsid w:val="1B49788A"/>
    <w:rsid w:val="1B79633D"/>
    <w:rsid w:val="1B7C266B"/>
    <w:rsid w:val="1B8134F5"/>
    <w:rsid w:val="1BA16C5B"/>
    <w:rsid w:val="1BD45C69"/>
    <w:rsid w:val="1C106923"/>
    <w:rsid w:val="1C3C17CB"/>
    <w:rsid w:val="1C642303"/>
    <w:rsid w:val="1C6E3FA7"/>
    <w:rsid w:val="1C7F76DE"/>
    <w:rsid w:val="1C890E39"/>
    <w:rsid w:val="1C8B2BA7"/>
    <w:rsid w:val="1CB6536F"/>
    <w:rsid w:val="1CCB2BC8"/>
    <w:rsid w:val="1D412577"/>
    <w:rsid w:val="1D7756A4"/>
    <w:rsid w:val="1D8A2A83"/>
    <w:rsid w:val="1D9751A0"/>
    <w:rsid w:val="1DB5338B"/>
    <w:rsid w:val="1DBA3BCA"/>
    <w:rsid w:val="1DD65420"/>
    <w:rsid w:val="1DDD36E9"/>
    <w:rsid w:val="1DF727AA"/>
    <w:rsid w:val="1DFC32A7"/>
    <w:rsid w:val="1DFD1F72"/>
    <w:rsid w:val="1E044E54"/>
    <w:rsid w:val="1E0B4512"/>
    <w:rsid w:val="1E1705D1"/>
    <w:rsid w:val="1E5E39CB"/>
    <w:rsid w:val="1F7C7C5D"/>
    <w:rsid w:val="1FAD141F"/>
    <w:rsid w:val="1FDE0E64"/>
    <w:rsid w:val="1FE807F4"/>
    <w:rsid w:val="1FED34B7"/>
    <w:rsid w:val="1FF97535"/>
    <w:rsid w:val="203D202F"/>
    <w:rsid w:val="204939D6"/>
    <w:rsid w:val="205621F7"/>
    <w:rsid w:val="207B2B57"/>
    <w:rsid w:val="207C3542"/>
    <w:rsid w:val="20865A1C"/>
    <w:rsid w:val="209B10A9"/>
    <w:rsid w:val="20B52C13"/>
    <w:rsid w:val="20F21E37"/>
    <w:rsid w:val="212035C9"/>
    <w:rsid w:val="21400304"/>
    <w:rsid w:val="214B42D7"/>
    <w:rsid w:val="214E00F0"/>
    <w:rsid w:val="21A42791"/>
    <w:rsid w:val="21BD1870"/>
    <w:rsid w:val="21C46D49"/>
    <w:rsid w:val="21CE180C"/>
    <w:rsid w:val="21D07930"/>
    <w:rsid w:val="21D123BA"/>
    <w:rsid w:val="22155086"/>
    <w:rsid w:val="22282960"/>
    <w:rsid w:val="225D0766"/>
    <w:rsid w:val="228757E3"/>
    <w:rsid w:val="228B68C7"/>
    <w:rsid w:val="22AA7723"/>
    <w:rsid w:val="22B81E40"/>
    <w:rsid w:val="23027F17"/>
    <w:rsid w:val="231D1CA3"/>
    <w:rsid w:val="235037D1"/>
    <w:rsid w:val="235B27CC"/>
    <w:rsid w:val="23627062"/>
    <w:rsid w:val="237A0CA6"/>
    <w:rsid w:val="23803CE2"/>
    <w:rsid w:val="23C80FDD"/>
    <w:rsid w:val="23CE7442"/>
    <w:rsid w:val="23D33B36"/>
    <w:rsid w:val="24067475"/>
    <w:rsid w:val="241C63FF"/>
    <w:rsid w:val="242121E0"/>
    <w:rsid w:val="2421482D"/>
    <w:rsid w:val="244F1A72"/>
    <w:rsid w:val="249A4D83"/>
    <w:rsid w:val="24FB4266"/>
    <w:rsid w:val="251826F8"/>
    <w:rsid w:val="25601CC6"/>
    <w:rsid w:val="2562673B"/>
    <w:rsid w:val="256A2ECE"/>
    <w:rsid w:val="256C34B2"/>
    <w:rsid w:val="25A34073"/>
    <w:rsid w:val="25AE0FD0"/>
    <w:rsid w:val="25D63756"/>
    <w:rsid w:val="260809E9"/>
    <w:rsid w:val="26186849"/>
    <w:rsid w:val="262F0AD0"/>
    <w:rsid w:val="26680BCC"/>
    <w:rsid w:val="26794B4B"/>
    <w:rsid w:val="268816D1"/>
    <w:rsid w:val="268D07CE"/>
    <w:rsid w:val="26CA2D50"/>
    <w:rsid w:val="26D3650A"/>
    <w:rsid w:val="26F45FB4"/>
    <w:rsid w:val="26F767D8"/>
    <w:rsid w:val="27063307"/>
    <w:rsid w:val="270C5A90"/>
    <w:rsid w:val="27444241"/>
    <w:rsid w:val="275024C4"/>
    <w:rsid w:val="27BA3F65"/>
    <w:rsid w:val="27C56D0C"/>
    <w:rsid w:val="27DD14F6"/>
    <w:rsid w:val="27F96C00"/>
    <w:rsid w:val="27FA2B24"/>
    <w:rsid w:val="28175DE8"/>
    <w:rsid w:val="283539BB"/>
    <w:rsid w:val="289D1C22"/>
    <w:rsid w:val="28BF101B"/>
    <w:rsid w:val="28C459C8"/>
    <w:rsid w:val="28E41437"/>
    <w:rsid w:val="28E5558B"/>
    <w:rsid w:val="28EA3125"/>
    <w:rsid w:val="290C6FDC"/>
    <w:rsid w:val="29213C5B"/>
    <w:rsid w:val="293B7327"/>
    <w:rsid w:val="29512C4D"/>
    <w:rsid w:val="29592D82"/>
    <w:rsid w:val="29C54D67"/>
    <w:rsid w:val="29DF1B7A"/>
    <w:rsid w:val="29F064F6"/>
    <w:rsid w:val="2A005E7B"/>
    <w:rsid w:val="2A0C4820"/>
    <w:rsid w:val="2A321EC1"/>
    <w:rsid w:val="2A476616"/>
    <w:rsid w:val="2A613095"/>
    <w:rsid w:val="2A6B0125"/>
    <w:rsid w:val="2B44327F"/>
    <w:rsid w:val="2B523590"/>
    <w:rsid w:val="2B6F5066"/>
    <w:rsid w:val="2BD00B97"/>
    <w:rsid w:val="2BDA6B7F"/>
    <w:rsid w:val="2BE048B5"/>
    <w:rsid w:val="2C315CC7"/>
    <w:rsid w:val="2C554743"/>
    <w:rsid w:val="2C5D5807"/>
    <w:rsid w:val="2C7D1A05"/>
    <w:rsid w:val="2C7E3E48"/>
    <w:rsid w:val="2C8E0675"/>
    <w:rsid w:val="2CD551A0"/>
    <w:rsid w:val="2CEB7679"/>
    <w:rsid w:val="2CFE3491"/>
    <w:rsid w:val="2D6C012C"/>
    <w:rsid w:val="2D711F8E"/>
    <w:rsid w:val="2D797625"/>
    <w:rsid w:val="2D7F1B49"/>
    <w:rsid w:val="2D9569B5"/>
    <w:rsid w:val="2D967EBA"/>
    <w:rsid w:val="2DC51454"/>
    <w:rsid w:val="2DE63641"/>
    <w:rsid w:val="2E074870"/>
    <w:rsid w:val="2E24482E"/>
    <w:rsid w:val="2E262242"/>
    <w:rsid w:val="2E2A4465"/>
    <w:rsid w:val="2E3D68D2"/>
    <w:rsid w:val="2E836D65"/>
    <w:rsid w:val="2E944192"/>
    <w:rsid w:val="2EBE238B"/>
    <w:rsid w:val="2EC662A1"/>
    <w:rsid w:val="2EE50797"/>
    <w:rsid w:val="2EE637A2"/>
    <w:rsid w:val="2EF51025"/>
    <w:rsid w:val="2F0C3BC8"/>
    <w:rsid w:val="2F6F6C75"/>
    <w:rsid w:val="2F846413"/>
    <w:rsid w:val="2F9C3AF8"/>
    <w:rsid w:val="2F9F0C94"/>
    <w:rsid w:val="2FA67613"/>
    <w:rsid w:val="2FC242FE"/>
    <w:rsid w:val="2FE916AC"/>
    <w:rsid w:val="301F724E"/>
    <w:rsid w:val="302D048E"/>
    <w:rsid w:val="302E10E4"/>
    <w:rsid w:val="304300F8"/>
    <w:rsid w:val="30566028"/>
    <w:rsid w:val="305C6F8D"/>
    <w:rsid w:val="30754091"/>
    <w:rsid w:val="309D4424"/>
    <w:rsid w:val="30A21A3A"/>
    <w:rsid w:val="30B238A0"/>
    <w:rsid w:val="30B50A45"/>
    <w:rsid w:val="30B6432E"/>
    <w:rsid w:val="30E97669"/>
    <w:rsid w:val="3115442A"/>
    <w:rsid w:val="31254DC1"/>
    <w:rsid w:val="312F7772"/>
    <w:rsid w:val="31523460"/>
    <w:rsid w:val="318F2474"/>
    <w:rsid w:val="31B05FAE"/>
    <w:rsid w:val="31DC5726"/>
    <w:rsid w:val="321B2412"/>
    <w:rsid w:val="3228123F"/>
    <w:rsid w:val="32417408"/>
    <w:rsid w:val="324328E8"/>
    <w:rsid w:val="324E5458"/>
    <w:rsid w:val="325B17FA"/>
    <w:rsid w:val="327D275F"/>
    <w:rsid w:val="328E04C8"/>
    <w:rsid w:val="329D29D0"/>
    <w:rsid w:val="32CB22D2"/>
    <w:rsid w:val="32CE6B16"/>
    <w:rsid w:val="32DF4DBC"/>
    <w:rsid w:val="32E85F2C"/>
    <w:rsid w:val="330234B1"/>
    <w:rsid w:val="3307457A"/>
    <w:rsid w:val="333444BA"/>
    <w:rsid w:val="33644B6C"/>
    <w:rsid w:val="33815131"/>
    <w:rsid w:val="33A96549"/>
    <w:rsid w:val="33AB1057"/>
    <w:rsid w:val="33B8167C"/>
    <w:rsid w:val="33C2557A"/>
    <w:rsid w:val="33D50ECD"/>
    <w:rsid w:val="33E33A03"/>
    <w:rsid w:val="34003264"/>
    <w:rsid w:val="340B70F0"/>
    <w:rsid w:val="343135A8"/>
    <w:rsid w:val="3444658B"/>
    <w:rsid w:val="348A5C35"/>
    <w:rsid w:val="349D5435"/>
    <w:rsid w:val="34DA355B"/>
    <w:rsid w:val="34DC69E2"/>
    <w:rsid w:val="35051E84"/>
    <w:rsid w:val="350F226B"/>
    <w:rsid w:val="351E142A"/>
    <w:rsid w:val="35531BEF"/>
    <w:rsid w:val="35546891"/>
    <w:rsid w:val="355B5E30"/>
    <w:rsid w:val="35845926"/>
    <w:rsid w:val="35E74E10"/>
    <w:rsid w:val="36124F80"/>
    <w:rsid w:val="362551E1"/>
    <w:rsid w:val="3652234A"/>
    <w:rsid w:val="366D4C0B"/>
    <w:rsid w:val="367C375D"/>
    <w:rsid w:val="36B369DE"/>
    <w:rsid w:val="36DE7C08"/>
    <w:rsid w:val="37111471"/>
    <w:rsid w:val="37381826"/>
    <w:rsid w:val="373830F8"/>
    <w:rsid w:val="375A12C0"/>
    <w:rsid w:val="375E4232"/>
    <w:rsid w:val="376E6CD5"/>
    <w:rsid w:val="37C4498C"/>
    <w:rsid w:val="37DB4820"/>
    <w:rsid w:val="37E96018"/>
    <w:rsid w:val="37F43748"/>
    <w:rsid w:val="384D0210"/>
    <w:rsid w:val="384F77CD"/>
    <w:rsid w:val="38545D10"/>
    <w:rsid w:val="38662931"/>
    <w:rsid w:val="386D3CC7"/>
    <w:rsid w:val="3892031E"/>
    <w:rsid w:val="38C45110"/>
    <w:rsid w:val="38ED6392"/>
    <w:rsid w:val="390362EA"/>
    <w:rsid w:val="390F39AA"/>
    <w:rsid w:val="39183B69"/>
    <w:rsid w:val="393F16DF"/>
    <w:rsid w:val="395879F1"/>
    <w:rsid w:val="395E6897"/>
    <w:rsid w:val="39B10DA0"/>
    <w:rsid w:val="39B60304"/>
    <w:rsid w:val="39DF0648"/>
    <w:rsid w:val="39E56049"/>
    <w:rsid w:val="39F87DDA"/>
    <w:rsid w:val="3A137505"/>
    <w:rsid w:val="3A1D418F"/>
    <w:rsid w:val="3A213D95"/>
    <w:rsid w:val="3A5C70FE"/>
    <w:rsid w:val="3A6A369B"/>
    <w:rsid w:val="3A9D05A1"/>
    <w:rsid w:val="3AA46CD1"/>
    <w:rsid w:val="3AAE6DBC"/>
    <w:rsid w:val="3ACC1461"/>
    <w:rsid w:val="3AF234FB"/>
    <w:rsid w:val="3B156174"/>
    <w:rsid w:val="3B4A1A3E"/>
    <w:rsid w:val="3B4A29FE"/>
    <w:rsid w:val="3B511126"/>
    <w:rsid w:val="3B6363FD"/>
    <w:rsid w:val="3B655FBE"/>
    <w:rsid w:val="3BC37566"/>
    <w:rsid w:val="3BDF2028"/>
    <w:rsid w:val="3BFC2946"/>
    <w:rsid w:val="3C061DC8"/>
    <w:rsid w:val="3C145EE2"/>
    <w:rsid w:val="3C2A157C"/>
    <w:rsid w:val="3C543542"/>
    <w:rsid w:val="3C5938F5"/>
    <w:rsid w:val="3C607674"/>
    <w:rsid w:val="3C796F68"/>
    <w:rsid w:val="3C932AE9"/>
    <w:rsid w:val="3C997BB8"/>
    <w:rsid w:val="3CB921E0"/>
    <w:rsid w:val="3CBA7A8C"/>
    <w:rsid w:val="3CBB592C"/>
    <w:rsid w:val="3CBF5346"/>
    <w:rsid w:val="3CDB15CF"/>
    <w:rsid w:val="3CF17875"/>
    <w:rsid w:val="3CFC0B7B"/>
    <w:rsid w:val="3CFD70F5"/>
    <w:rsid w:val="3D0E511E"/>
    <w:rsid w:val="3D14125C"/>
    <w:rsid w:val="3D1F06AD"/>
    <w:rsid w:val="3D27440B"/>
    <w:rsid w:val="3D523307"/>
    <w:rsid w:val="3D5E6D7A"/>
    <w:rsid w:val="3D722222"/>
    <w:rsid w:val="3D8728B8"/>
    <w:rsid w:val="3DA336B6"/>
    <w:rsid w:val="3DBE042D"/>
    <w:rsid w:val="3DF16BF9"/>
    <w:rsid w:val="3E360AF0"/>
    <w:rsid w:val="3E3C384D"/>
    <w:rsid w:val="3E543D71"/>
    <w:rsid w:val="3E6C5024"/>
    <w:rsid w:val="3E833AE5"/>
    <w:rsid w:val="3E99447C"/>
    <w:rsid w:val="3E9B6D98"/>
    <w:rsid w:val="3ECF4342"/>
    <w:rsid w:val="3ED94B3D"/>
    <w:rsid w:val="3EE02302"/>
    <w:rsid w:val="3EE40EEC"/>
    <w:rsid w:val="3EE42355"/>
    <w:rsid w:val="3EF55D5B"/>
    <w:rsid w:val="3EFD0EAF"/>
    <w:rsid w:val="3F8C2233"/>
    <w:rsid w:val="3FAA090B"/>
    <w:rsid w:val="3FDF1A6B"/>
    <w:rsid w:val="3FE25F20"/>
    <w:rsid w:val="3FF37F4F"/>
    <w:rsid w:val="4015723B"/>
    <w:rsid w:val="401B65C6"/>
    <w:rsid w:val="40251C04"/>
    <w:rsid w:val="403527CC"/>
    <w:rsid w:val="403C65F0"/>
    <w:rsid w:val="40723A94"/>
    <w:rsid w:val="40741142"/>
    <w:rsid w:val="4074437E"/>
    <w:rsid w:val="4078096E"/>
    <w:rsid w:val="409C1E13"/>
    <w:rsid w:val="40A36FCC"/>
    <w:rsid w:val="40AB69E9"/>
    <w:rsid w:val="40B133AB"/>
    <w:rsid w:val="40E34A44"/>
    <w:rsid w:val="410A78B3"/>
    <w:rsid w:val="41192FC0"/>
    <w:rsid w:val="41344C53"/>
    <w:rsid w:val="413E130B"/>
    <w:rsid w:val="41793629"/>
    <w:rsid w:val="419F2719"/>
    <w:rsid w:val="41C54703"/>
    <w:rsid w:val="4208676F"/>
    <w:rsid w:val="423579D1"/>
    <w:rsid w:val="424343F7"/>
    <w:rsid w:val="425863FC"/>
    <w:rsid w:val="42646EFA"/>
    <w:rsid w:val="42654155"/>
    <w:rsid w:val="427C4CBB"/>
    <w:rsid w:val="429C55C3"/>
    <w:rsid w:val="42A653BA"/>
    <w:rsid w:val="42AA790E"/>
    <w:rsid w:val="42BB7A43"/>
    <w:rsid w:val="42F223AD"/>
    <w:rsid w:val="42F47904"/>
    <w:rsid w:val="43426EF0"/>
    <w:rsid w:val="43667828"/>
    <w:rsid w:val="436A5D68"/>
    <w:rsid w:val="437B4D47"/>
    <w:rsid w:val="4381172B"/>
    <w:rsid w:val="43874B97"/>
    <w:rsid w:val="43F449E0"/>
    <w:rsid w:val="443D7CDF"/>
    <w:rsid w:val="44652587"/>
    <w:rsid w:val="447529CB"/>
    <w:rsid w:val="44B33216"/>
    <w:rsid w:val="44BA3517"/>
    <w:rsid w:val="44D61905"/>
    <w:rsid w:val="44F606BC"/>
    <w:rsid w:val="451C5E07"/>
    <w:rsid w:val="45324937"/>
    <w:rsid w:val="45551317"/>
    <w:rsid w:val="45833790"/>
    <w:rsid w:val="45C2324B"/>
    <w:rsid w:val="45EA7CB3"/>
    <w:rsid w:val="46103DBF"/>
    <w:rsid w:val="46162FCB"/>
    <w:rsid w:val="4627121C"/>
    <w:rsid w:val="46314844"/>
    <w:rsid w:val="468E77D6"/>
    <w:rsid w:val="46F17D02"/>
    <w:rsid w:val="46F6371E"/>
    <w:rsid w:val="4702443D"/>
    <w:rsid w:val="47182ABE"/>
    <w:rsid w:val="474D22A8"/>
    <w:rsid w:val="47863A0C"/>
    <w:rsid w:val="479B1F7B"/>
    <w:rsid w:val="47A1656C"/>
    <w:rsid w:val="47A16E34"/>
    <w:rsid w:val="47C73AAB"/>
    <w:rsid w:val="47D46525"/>
    <w:rsid w:val="47DB18CA"/>
    <w:rsid w:val="47DF074B"/>
    <w:rsid w:val="482A1D84"/>
    <w:rsid w:val="482D011C"/>
    <w:rsid w:val="482D0610"/>
    <w:rsid w:val="484D3B9A"/>
    <w:rsid w:val="485575AB"/>
    <w:rsid w:val="486D24D6"/>
    <w:rsid w:val="49150CCE"/>
    <w:rsid w:val="49234ED0"/>
    <w:rsid w:val="49264982"/>
    <w:rsid w:val="493846DA"/>
    <w:rsid w:val="495F7F55"/>
    <w:rsid w:val="49773D81"/>
    <w:rsid w:val="499C61E7"/>
    <w:rsid w:val="49B275D7"/>
    <w:rsid w:val="49E15727"/>
    <w:rsid w:val="4A6B7109"/>
    <w:rsid w:val="4A6D2B1B"/>
    <w:rsid w:val="4A7D2A42"/>
    <w:rsid w:val="4A821A6C"/>
    <w:rsid w:val="4A8660AA"/>
    <w:rsid w:val="4A881849"/>
    <w:rsid w:val="4A9D2073"/>
    <w:rsid w:val="4AC60F4C"/>
    <w:rsid w:val="4B053858"/>
    <w:rsid w:val="4B0E15F0"/>
    <w:rsid w:val="4B180E1F"/>
    <w:rsid w:val="4B4166D3"/>
    <w:rsid w:val="4B4755C6"/>
    <w:rsid w:val="4B865F03"/>
    <w:rsid w:val="4B934D9D"/>
    <w:rsid w:val="4BDF7906"/>
    <w:rsid w:val="4BF929FE"/>
    <w:rsid w:val="4C1F525F"/>
    <w:rsid w:val="4C333C43"/>
    <w:rsid w:val="4C8E4A89"/>
    <w:rsid w:val="4CA82465"/>
    <w:rsid w:val="4CCC77A0"/>
    <w:rsid w:val="4CD04FF7"/>
    <w:rsid w:val="4CD1799D"/>
    <w:rsid w:val="4CDC6076"/>
    <w:rsid w:val="4D4B6FE7"/>
    <w:rsid w:val="4D73058E"/>
    <w:rsid w:val="4DCE3209"/>
    <w:rsid w:val="4DDE1EAC"/>
    <w:rsid w:val="4DED539D"/>
    <w:rsid w:val="4E305009"/>
    <w:rsid w:val="4E307EB2"/>
    <w:rsid w:val="4E3C4E59"/>
    <w:rsid w:val="4E696E36"/>
    <w:rsid w:val="4E9342BB"/>
    <w:rsid w:val="4E994025"/>
    <w:rsid w:val="4F3F4BCC"/>
    <w:rsid w:val="4F691C56"/>
    <w:rsid w:val="4FAB3AB9"/>
    <w:rsid w:val="4FBD5B92"/>
    <w:rsid w:val="4FC77524"/>
    <w:rsid w:val="50207F24"/>
    <w:rsid w:val="504601DC"/>
    <w:rsid w:val="504776FA"/>
    <w:rsid w:val="505428F9"/>
    <w:rsid w:val="50EE105E"/>
    <w:rsid w:val="50FC7299"/>
    <w:rsid w:val="51090712"/>
    <w:rsid w:val="51165E00"/>
    <w:rsid w:val="51443DB3"/>
    <w:rsid w:val="51561A17"/>
    <w:rsid w:val="5176747F"/>
    <w:rsid w:val="51B63E74"/>
    <w:rsid w:val="51BE51EC"/>
    <w:rsid w:val="51E541F9"/>
    <w:rsid w:val="51EC7AEB"/>
    <w:rsid w:val="51FB43B8"/>
    <w:rsid w:val="52043710"/>
    <w:rsid w:val="52A631B4"/>
    <w:rsid w:val="52D8553F"/>
    <w:rsid w:val="52FB4353"/>
    <w:rsid w:val="534B7DED"/>
    <w:rsid w:val="534C7892"/>
    <w:rsid w:val="53566988"/>
    <w:rsid w:val="53584873"/>
    <w:rsid w:val="53A75428"/>
    <w:rsid w:val="53C0743D"/>
    <w:rsid w:val="53F22E6E"/>
    <w:rsid w:val="53FD1767"/>
    <w:rsid w:val="54396291"/>
    <w:rsid w:val="544818EA"/>
    <w:rsid w:val="544B67BA"/>
    <w:rsid w:val="547370C6"/>
    <w:rsid w:val="54831220"/>
    <w:rsid w:val="54875601"/>
    <w:rsid w:val="55313C82"/>
    <w:rsid w:val="55321953"/>
    <w:rsid w:val="553C5568"/>
    <w:rsid w:val="554A2F54"/>
    <w:rsid w:val="55517327"/>
    <w:rsid w:val="55702059"/>
    <w:rsid w:val="55825812"/>
    <w:rsid w:val="558305F6"/>
    <w:rsid w:val="55833E84"/>
    <w:rsid w:val="55AD5E19"/>
    <w:rsid w:val="55BE4F9B"/>
    <w:rsid w:val="55C960B5"/>
    <w:rsid w:val="56003601"/>
    <w:rsid w:val="560A57B1"/>
    <w:rsid w:val="562B067F"/>
    <w:rsid w:val="565D0F1A"/>
    <w:rsid w:val="567F2397"/>
    <w:rsid w:val="56D819DB"/>
    <w:rsid w:val="57453238"/>
    <w:rsid w:val="57744744"/>
    <w:rsid w:val="5787709F"/>
    <w:rsid w:val="57BD5228"/>
    <w:rsid w:val="57C41773"/>
    <w:rsid w:val="57CC0550"/>
    <w:rsid w:val="57CD7A1B"/>
    <w:rsid w:val="57DC054F"/>
    <w:rsid w:val="58042DAB"/>
    <w:rsid w:val="582157B7"/>
    <w:rsid w:val="582452E7"/>
    <w:rsid w:val="583662B9"/>
    <w:rsid w:val="5864507A"/>
    <w:rsid w:val="58785CFB"/>
    <w:rsid w:val="588B3298"/>
    <w:rsid w:val="58991ADF"/>
    <w:rsid w:val="58B77EC9"/>
    <w:rsid w:val="58BF1585"/>
    <w:rsid w:val="590769F6"/>
    <w:rsid w:val="59080B3C"/>
    <w:rsid w:val="591D705C"/>
    <w:rsid w:val="59B11016"/>
    <w:rsid w:val="5A1D74BF"/>
    <w:rsid w:val="5A1F6100"/>
    <w:rsid w:val="5A3A116C"/>
    <w:rsid w:val="5A4931B5"/>
    <w:rsid w:val="5A6E2219"/>
    <w:rsid w:val="5A897A1B"/>
    <w:rsid w:val="5A971C91"/>
    <w:rsid w:val="5AA71596"/>
    <w:rsid w:val="5AC16CE6"/>
    <w:rsid w:val="5ACE793E"/>
    <w:rsid w:val="5ACE7FEC"/>
    <w:rsid w:val="5AE33BCC"/>
    <w:rsid w:val="5B40165B"/>
    <w:rsid w:val="5B7735CF"/>
    <w:rsid w:val="5BA83AF9"/>
    <w:rsid w:val="5BBB382C"/>
    <w:rsid w:val="5BC562C3"/>
    <w:rsid w:val="5BFB1FF7"/>
    <w:rsid w:val="5C1A6B8A"/>
    <w:rsid w:val="5C3024A4"/>
    <w:rsid w:val="5C324DFF"/>
    <w:rsid w:val="5C426117"/>
    <w:rsid w:val="5C440E29"/>
    <w:rsid w:val="5C457D46"/>
    <w:rsid w:val="5C4B5480"/>
    <w:rsid w:val="5C5B3D65"/>
    <w:rsid w:val="5C7D4B7D"/>
    <w:rsid w:val="5C7E3621"/>
    <w:rsid w:val="5C8072A7"/>
    <w:rsid w:val="5CF557FF"/>
    <w:rsid w:val="5D242428"/>
    <w:rsid w:val="5D3550AB"/>
    <w:rsid w:val="5D3C15D1"/>
    <w:rsid w:val="5D423AD9"/>
    <w:rsid w:val="5D765DBA"/>
    <w:rsid w:val="5D792FD2"/>
    <w:rsid w:val="5D835E13"/>
    <w:rsid w:val="5D8E5D2E"/>
    <w:rsid w:val="5DA05CCA"/>
    <w:rsid w:val="5E1A7778"/>
    <w:rsid w:val="5E40021E"/>
    <w:rsid w:val="5E465C5B"/>
    <w:rsid w:val="5E671A49"/>
    <w:rsid w:val="5E723D15"/>
    <w:rsid w:val="5EB901AD"/>
    <w:rsid w:val="5F4E49B7"/>
    <w:rsid w:val="5F556AC1"/>
    <w:rsid w:val="5F5E109E"/>
    <w:rsid w:val="5F875C0D"/>
    <w:rsid w:val="5F9422B9"/>
    <w:rsid w:val="5FBFB66B"/>
    <w:rsid w:val="5FDE5D3B"/>
    <w:rsid w:val="5FE377F5"/>
    <w:rsid w:val="5FF60448"/>
    <w:rsid w:val="600C0AFA"/>
    <w:rsid w:val="60184F52"/>
    <w:rsid w:val="601B687E"/>
    <w:rsid w:val="604F57F0"/>
    <w:rsid w:val="60600E46"/>
    <w:rsid w:val="609A0DFE"/>
    <w:rsid w:val="60A70823"/>
    <w:rsid w:val="61076E4F"/>
    <w:rsid w:val="61162C20"/>
    <w:rsid w:val="611A0FF5"/>
    <w:rsid w:val="611D1FCC"/>
    <w:rsid w:val="61540081"/>
    <w:rsid w:val="617A6DD7"/>
    <w:rsid w:val="617E401C"/>
    <w:rsid w:val="61A60ADB"/>
    <w:rsid w:val="620677CB"/>
    <w:rsid w:val="620B1A41"/>
    <w:rsid w:val="620D31BD"/>
    <w:rsid w:val="624C462A"/>
    <w:rsid w:val="62542F83"/>
    <w:rsid w:val="625E0610"/>
    <w:rsid w:val="62697495"/>
    <w:rsid w:val="628250A4"/>
    <w:rsid w:val="62B76DBB"/>
    <w:rsid w:val="62C1746C"/>
    <w:rsid w:val="62CE0975"/>
    <w:rsid w:val="62FB0319"/>
    <w:rsid w:val="62FC737D"/>
    <w:rsid w:val="63011FC8"/>
    <w:rsid w:val="630E6F1E"/>
    <w:rsid w:val="63152FEB"/>
    <w:rsid w:val="63361F48"/>
    <w:rsid w:val="639B6E5B"/>
    <w:rsid w:val="63FB0514"/>
    <w:rsid w:val="63FE769E"/>
    <w:rsid w:val="640D5690"/>
    <w:rsid w:val="64183577"/>
    <w:rsid w:val="646A49B2"/>
    <w:rsid w:val="649D3936"/>
    <w:rsid w:val="64E86A69"/>
    <w:rsid w:val="64F701BA"/>
    <w:rsid w:val="650C4160"/>
    <w:rsid w:val="650D75C5"/>
    <w:rsid w:val="652E36C8"/>
    <w:rsid w:val="658C6D75"/>
    <w:rsid w:val="659316AD"/>
    <w:rsid w:val="65A610A9"/>
    <w:rsid w:val="65B71508"/>
    <w:rsid w:val="65B740EF"/>
    <w:rsid w:val="66077C4D"/>
    <w:rsid w:val="661F70AE"/>
    <w:rsid w:val="66232367"/>
    <w:rsid w:val="66302EB2"/>
    <w:rsid w:val="66350190"/>
    <w:rsid w:val="6635307D"/>
    <w:rsid w:val="6660157E"/>
    <w:rsid w:val="66691C0A"/>
    <w:rsid w:val="668D4017"/>
    <w:rsid w:val="669228BC"/>
    <w:rsid w:val="66980D1A"/>
    <w:rsid w:val="669C06FE"/>
    <w:rsid w:val="66A3135F"/>
    <w:rsid w:val="66D73D29"/>
    <w:rsid w:val="66F916AD"/>
    <w:rsid w:val="66FF4245"/>
    <w:rsid w:val="670B24B1"/>
    <w:rsid w:val="67124CC9"/>
    <w:rsid w:val="67493769"/>
    <w:rsid w:val="674E00BA"/>
    <w:rsid w:val="674E110B"/>
    <w:rsid w:val="67782B30"/>
    <w:rsid w:val="67A466D7"/>
    <w:rsid w:val="67DD1B12"/>
    <w:rsid w:val="67F262C2"/>
    <w:rsid w:val="67F27FB8"/>
    <w:rsid w:val="6841314B"/>
    <w:rsid w:val="68C70AA5"/>
    <w:rsid w:val="68EC7FE3"/>
    <w:rsid w:val="68F82760"/>
    <w:rsid w:val="694138E4"/>
    <w:rsid w:val="694E42F2"/>
    <w:rsid w:val="697A1B99"/>
    <w:rsid w:val="69A1092F"/>
    <w:rsid w:val="69A9513C"/>
    <w:rsid w:val="69F00C4D"/>
    <w:rsid w:val="69F4186F"/>
    <w:rsid w:val="69FB573C"/>
    <w:rsid w:val="6A06389B"/>
    <w:rsid w:val="6A07721C"/>
    <w:rsid w:val="6A535F41"/>
    <w:rsid w:val="6A567D3A"/>
    <w:rsid w:val="6A59128D"/>
    <w:rsid w:val="6A5E2EEC"/>
    <w:rsid w:val="6A6210A8"/>
    <w:rsid w:val="6A69638B"/>
    <w:rsid w:val="6A7451F0"/>
    <w:rsid w:val="6A977A5F"/>
    <w:rsid w:val="6ACB3360"/>
    <w:rsid w:val="6AE67800"/>
    <w:rsid w:val="6B39183C"/>
    <w:rsid w:val="6B3B52F0"/>
    <w:rsid w:val="6B3B614C"/>
    <w:rsid w:val="6B47EC40"/>
    <w:rsid w:val="6B79120D"/>
    <w:rsid w:val="6B961D3E"/>
    <w:rsid w:val="6BA37E39"/>
    <w:rsid w:val="6BA44BC1"/>
    <w:rsid w:val="6C10737C"/>
    <w:rsid w:val="6C2C3503"/>
    <w:rsid w:val="6C347CF4"/>
    <w:rsid w:val="6C3A43FB"/>
    <w:rsid w:val="6C3D4540"/>
    <w:rsid w:val="6C451752"/>
    <w:rsid w:val="6C750599"/>
    <w:rsid w:val="6C79406F"/>
    <w:rsid w:val="6C9B132C"/>
    <w:rsid w:val="6CA253FA"/>
    <w:rsid w:val="6CCF654A"/>
    <w:rsid w:val="6D164A3C"/>
    <w:rsid w:val="6D2A6A7F"/>
    <w:rsid w:val="6D342067"/>
    <w:rsid w:val="6D5D3E30"/>
    <w:rsid w:val="6D8C327A"/>
    <w:rsid w:val="6DA22A9E"/>
    <w:rsid w:val="6DCB6A5E"/>
    <w:rsid w:val="6DEE4CEB"/>
    <w:rsid w:val="6E1B3154"/>
    <w:rsid w:val="6E206CBB"/>
    <w:rsid w:val="6E2630A2"/>
    <w:rsid w:val="6E476587"/>
    <w:rsid w:val="6EC477F1"/>
    <w:rsid w:val="6ED732B4"/>
    <w:rsid w:val="6F014F52"/>
    <w:rsid w:val="6FA21BCE"/>
    <w:rsid w:val="6FAB613E"/>
    <w:rsid w:val="6FD135B8"/>
    <w:rsid w:val="70136957"/>
    <w:rsid w:val="70343755"/>
    <w:rsid w:val="704E6689"/>
    <w:rsid w:val="705D0EFE"/>
    <w:rsid w:val="706E6C67"/>
    <w:rsid w:val="70756F68"/>
    <w:rsid w:val="70782528"/>
    <w:rsid w:val="70B21D20"/>
    <w:rsid w:val="70D80585"/>
    <w:rsid w:val="70F61E55"/>
    <w:rsid w:val="70FA7093"/>
    <w:rsid w:val="711348A9"/>
    <w:rsid w:val="71757A4D"/>
    <w:rsid w:val="71834994"/>
    <w:rsid w:val="719646C8"/>
    <w:rsid w:val="71AB6EA6"/>
    <w:rsid w:val="721E2B1B"/>
    <w:rsid w:val="723877B8"/>
    <w:rsid w:val="72433424"/>
    <w:rsid w:val="72473CD9"/>
    <w:rsid w:val="72694E43"/>
    <w:rsid w:val="726A5150"/>
    <w:rsid w:val="727D63E6"/>
    <w:rsid w:val="728D79E5"/>
    <w:rsid w:val="72A03CB2"/>
    <w:rsid w:val="72B06CB1"/>
    <w:rsid w:val="72CD4767"/>
    <w:rsid w:val="72D54D7C"/>
    <w:rsid w:val="72DF26F8"/>
    <w:rsid w:val="732C12FE"/>
    <w:rsid w:val="733865EF"/>
    <w:rsid w:val="733E651C"/>
    <w:rsid w:val="73766BDC"/>
    <w:rsid w:val="74207643"/>
    <w:rsid w:val="7431692A"/>
    <w:rsid w:val="74432255"/>
    <w:rsid w:val="74611A15"/>
    <w:rsid w:val="747C3CCA"/>
    <w:rsid w:val="749F1450"/>
    <w:rsid w:val="74BA0582"/>
    <w:rsid w:val="74CE6052"/>
    <w:rsid w:val="74D97004"/>
    <w:rsid w:val="74F22817"/>
    <w:rsid w:val="750B54FF"/>
    <w:rsid w:val="75616FD4"/>
    <w:rsid w:val="75722E44"/>
    <w:rsid w:val="75834EB5"/>
    <w:rsid w:val="759251A6"/>
    <w:rsid w:val="75BE712D"/>
    <w:rsid w:val="75CA57FD"/>
    <w:rsid w:val="75E05AC1"/>
    <w:rsid w:val="75E867DE"/>
    <w:rsid w:val="76200A04"/>
    <w:rsid w:val="764A4A9E"/>
    <w:rsid w:val="768E52D6"/>
    <w:rsid w:val="76AF6918"/>
    <w:rsid w:val="76CB0134"/>
    <w:rsid w:val="76D56C55"/>
    <w:rsid w:val="76E24D54"/>
    <w:rsid w:val="76E6271F"/>
    <w:rsid w:val="77044C4F"/>
    <w:rsid w:val="77104C31"/>
    <w:rsid w:val="77212C85"/>
    <w:rsid w:val="77592E0B"/>
    <w:rsid w:val="777031A6"/>
    <w:rsid w:val="77707B20"/>
    <w:rsid w:val="77A72073"/>
    <w:rsid w:val="77B06E9D"/>
    <w:rsid w:val="77CE06C5"/>
    <w:rsid w:val="77E37F3B"/>
    <w:rsid w:val="77ED2B68"/>
    <w:rsid w:val="780D1EDE"/>
    <w:rsid w:val="78194F72"/>
    <w:rsid w:val="781D7A0E"/>
    <w:rsid w:val="781E6F48"/>
    <w:rsid w:val="78394C08"/>
    <w:rsid w:val="783E271A"/>
    <w:rsid w:val="785139C4"/>
    <w:rsid w:val="787E2089"/>
    <w:rsid w:val="78B6564F"/>
    <w:rsid w:val="78B673FD"/>
    <w:rsid w:val="78CC3620"/>
    <w:rsid w:val="78E102A8"/>
    <w:rsid w:val="79081EBE"/>
    <w:rsid w:val="793A2AD7"/>
    <w:rsid w:val="793D0887"/>
    <w:rsid w:val="79741296"/>
    <w:rsid w:val="79975481"/>
    <w:rsid w:val="79AD54C1"/>
    <w:rsid w:val="79E46DBB"/>
    <w:rsid w:val="79E50B30"/>
    <w:rsid w:val="79F521A7"/>
    <w:rsid w:val="7A0348C4"/>
    <w:rsid w:val="7A066BE5"/>
    <w:rsid w:val="7A601D17"/>
    <w:rsid w:val="7A944FF3"/>
    <w:rsid w:val="7AA421C5"/>
    <w:rsid w:val="7AC85425"/>
    <w:rsid w:val="7ACE4ED2"/>
    <w:rsid w:val="7AD26045"/>
    <w:rsid w:val="7AD56E26"/>
    <w:rsid w:val="7AE90865"/>
    <w:rsid w:val="7B100061"/>
    <w:rsid w:val="7B103CC3"/>
    <w:rsid w:val="7B1D12F9"/>
    <w:rsid w:val="7B607E50"/>
    <w:rsid w:val="7B7E4E8E"/>
    <w:rsid w:val="7B9B01B1"/>
    <w:rsid w:val="7B9C0ECD"/>
    <w:rsid w:val="7BBB7A53"/>
    <w:rsid w:val="7BBF481B"/>
    <w:rsid w:val="7BC240F9"/>
    <w:rsid w:val="7BE3039A"/>
    <w:rsid w:val="7BE477B8"/>
    <w:rsid w:val="7C005242"/>
    <w:rsid w:val="7C0A249C"/>
    <w:rsid w:val="7C2C41CB"/>
    <w:rsid w:val="7C407F42"/>
    <w:rsid w:val="7C4569E4"/>
    <w:rsid w:val="7C535AC6"/>
    <w:rsid w:val="7C54350E"/>
    <w:rsid w:val="7C7760C6"/>
    <w:rsid w:val="7CC43247"/>
    <w:rsid w:val="7CE32CDB"/>
    <w:rsid w:val="7D061436"/>
    <w:rsid w:val="7D3B4EBE"/>
    <w:rsid w:val="7D4E22FA"/>
    <w:rsid w:val="7D576635"/>
    <w:rsid w:val="7D7C43E1"/>
    <w:rsid w:val="7DCF27D2"/>
    <w:rsid w:val="7E0635EE"/>
    <w:rsid w:val="7E0A1514"/>
    <w:rsid w:val="7E160DD1"/>
    <w:rsid w:val="7E1D5ADF"/>
    <w:rsid w:val="7E374B3D"/>
    <w:rsid w:val="7E976965"/>
    <w:rsid w:val="7EC34622"/>
    <w:rsid w:val="7EC6194C"/>
    <w:rsid w:val="7EEA2A78"/>
    <w:rsid w:val="7EFA72F6"/>
    <w:rsid w:val="7EFD317B"/>
    <w:rsid w:val="7F64707C"/>
    <w:rsid w:val="7FC56178"/>
    <w:rsid w:val="7FCE1C76"/>
    <w:rsid w:val="7FE21234"/>
    <w:rsid w:val="7FEC5DFB"/>
    <w:rsid w:val="FBECF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2"/>
    <w:next w:val="1"/>
    <w:link w:val="32"/>
    <w:qFormat/>
    <w:uiPriority w:val="0"/>
    <w:pPr>
      <w:keepNext/>
      <w:keepLines/>
      <w:spacing w:before="340" w:after="330" w:line="576" w:lineRule="auto"/>
    </w:pPr>
    <w:rPr>
      <w:kern w:val="44"/>
      <w:sz w:val="44"/>
      <w:szCs w:val="44"/>
    </w:rPr>
  </w:style>
  <w:style w:type="paragraph" w:styleId="5">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unhideWhenUsed/>
    <w:qFormat/>
    <w:uiPriority w:val="9"/>
    <w:pPr>
      <w:keepNext/>
      <w:keepLines/>
      <w:spacing w:before="260" w:after="260" w:line="413" w:lineRule="auto"/>
      <w:outlineLvl w:val="2"/>
    </w:pPr>
    <w:rPr>
      <w:b/>
      <w:sz w:val="32"/>
    </w:rPr>
  </w:style>
  <w:style w:type="paragraph" w:styleId="7">
    <w:name w:val="heading 4"/>
    <w:basedOn w:val="1"/>
    <w:next w:val="1"/>
    <w:unhideWhenUsed/>
    <w:qFormat/>
    <w:uiPriority w:val="9"/>
    <w:pPr>
      <w:keepNext/>
      <w:keepLines/>
      <w:spacing w:before="280" w:after="290" w:line="376" w:lineRule="auto"/>
      <w:outlineLvl w:val="3"/>
    </w:pPr>
    <w:rPr>
      <w:rFonts w:ascii="Cambria" w:hAnsi="Cambria"/>
      <w:b/>
      <w:bCs/>
      <w:kern w:val="0"/>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rPr>
      <w:sz w:val="21"/>
    </w:rPr>
  </w:style>
  <w:style w:type="paragraph" w:styleId="3">
    <w:name w:val="Title"/>
    <w:basedOn w:val="1"/>
    <w:next w:val="1"/>
    <w:qFormat/>
    <w:uiPriority w:val="10"/>
    <w:pPr>
      <w:spacing w:before="240" w:after="60" w:line="560" w:lineRule="exact"/>
      <w:jc w:val="center"/>
      <w:outlineLvl w:val="0"/>
    </w:pPr>
    <w:rPr>
      <w:rFonts w:ascii="Arial" w:hAnsi="Arial" w:eastAsia="华文中宋" w:cs="Arial"/>
      <w:b/>
      <w:bCs/>
      <w:color w:val="FF0000"/>
      <w:sz w:val="84"/>
      <w:szCs w:val="32"/>
    </w:rPr>
  </w:style>
  <w:style w:type="paragraph" w:styleId="8">
    <w:name w:val="Normal Indent"/>
    <w:basedOn w:val="1"/>
    <w:qFormat/>
    <w:uiPriority w:val="0"/>
    <w:pPr>
      <w:ind w:firstLine="420"/>
    </w:pPr>
    <w:rPr>
      <w:szCs w:val="20"/>
    </w:rPr>
  </w:style>
  <w:style w:type="paragraph" w:styleId="9">
    <w:name w:val="annotation text"/>
    <w:basedOn w:val="1"/>
    <w:link w:val="93"/>
    <w:unhideWhenUsed/>
    <w:qFormat/>
    <w:uiPriority w:val="99"/>
    <w:pPr>
      <w:jc w:val="left"/>
    </w:pPr>
  </w:style>
  <w:style w:type="paragraph" w:styleId="10">
    <w:name w:val="Body Text Indent"/>
    <w:basedOn w:val="1"/>
    <w:link w:val="61"/>
    <w:unhideWhenUsed/>
    <w:qFormat/>
    <w:uiPriority w:val="0"/>
    <w:pPr>
      <w:spacing w:after="120"/>
      <w:ind w:left="420" w:leftChars="200"/>
    </w:pPr>
  </w:style>
  <w:style w:type="paragraph" w:styleId="11">
    <w:name w:val="toc 3"/>
    <w:basedOn w:val="1"/>
    <w:next w:val="1"/>
    <w:unhideWhenUsed/>
    <w:qFormat/>
    <w:uiPriority w:val="39"/>
    <w:pPr>
      <w:ind w:left="840" w:leftChars="400"/>
    </w:pPr>
  </w:style>
  <w:style w:type="paragraph" w:styleId="12">
    <w:name w:val="Body Text Indent 2"/>
    <w:basedOn w:val="1"/>
    <w:unhideWhenUsed/>
    <w:qFormat/>
    <w:uiPriority w:val="99"/>
    <w:pPr>
      <w:spacing w:after="120" w:line="480" w:lineRule="auto"/>
      <w:ind w:left="420"/>
    </w:pPr>
  </w:style>
  <w:style w:type="paragraph" w:styleId="13">
    <w:name w:val="Balloon Text"/>
    <w:basedOn w:val="1"/>
    <w:link w:val="39"/>
    <w:unhideWhenUsed/>
    <w:qFormat/>
    <w:uiPriority w:val="0"/>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header"/>
    <w:basedOn w:val="1"/>
    <w:link w:val="34"/>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toc 2"/>
    <w:basedOn w:val="1"/>
    <w:next w:val="1"/>
    <w:unhideWhenUsed/>
    <w:qFormat/>
    <w:uiPriority w:val="39"/>
    <w:pPr>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cs="宋体"/>
      <w:kern w:val="0"/>
    </w:rPr>
  </w:style>
  <w:style w:type="paragraph" w:styleId="19">
    <w:name w:val="index 1"/>
    <w:basedOn w:val="1"/>
    <w:next w:val="1"/>
    <w:unhideWhenUsed/>
    <w:qFormat/>
    <w:uiPriority w:val="99"/>
    <w:pPr>
      <w:tabs>
        <w:tab w:val="left" w:pos="0"/>
      </w:tabs>
    </w:pPr>
    <w:rPr>
      <w:szCs w:val="20"/>
    </w:rPr>
  </w:style>
  <w:style w:type="paragraph" w:styleId="20">
    <w:name w:val="annotation subject"/>
    <w:basedOn w:val="9"/>
    <w:next w:val="9"/>
    <w:link w:val="94"/>
    <w:unhideWhenUsed/>
    <w:qFormat/>
    <w:uiPriority w:val="99"/>
    <w:rPr>
      <w:b/>
      <w:bCs/>
    </w:rPr>
  </w:style>
  <w:style w:type="paragraph" w:styleId="21">
    <w:name w:val="Body Text First Indent"/>
    <w:basedOn w:val="2"/>
    <w:unhideWhenUsed/>
    <w:qFormat/>
    <w:uiPriority w:val="99"/>
    <w:pPr>
      <w:widowControl/>
      <w:overflowPunct w:val="0"/>
      <w:autoSpaceDE w:val="0"/>
      <w:autoSpaceDN w:val="0"/>
      <w:adjustRightInd w:val="0"/>
      <w:ind w:firstLine="420"/>
      <w:jc w:val="left"/>
      <w:textAlignment w:val="baseline"/>
    </w:p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qFormat/>
    <w:uiPriority w:val="0"/>
    <w:rPr>
      <w:rFonts w:ascii="宋体" w:hAnsi="宋体" w:eastAsia="宋体"/>
    </w:rPr>
  </w:style>
  <w:style w:type="character" w:styleId="27">
    <w:name w:val="FollowedHyperlink"/>
    <w:basedOn w:val="24"/>
    <w:unhideWhenUsed/>
    <w:qFormat/>
    <w:uiPriority w:val="99"/>
    <w:rPr>
      <w:color w:val="800080"/>
      <w:u w:val="single"/>
    </w:rPr>
  </w:style>
  <w:style w:type="character" w:styleId="28">
    <w:name w:val="Hyperlink"/>
    <w:basedOn w:val="24"/>
    <w:unhideWhenUsed/>
    <w:qFormat/>
    <w:uiPriority w:val="99"/>
    <w:rPr>
      <w:color w:val="0563C1" w:themeColor="hyperlink"/>
      <w:u w:val="single"/>
      <w14:textFill>
        <w14:solidFill>
          <w14:schemeClr w14:val="hlink"/>
        </w14:solidFill>
      </w14:textFill>
    </w:rPr>
  </w:style>
  <w:style w:type="character" w:styleId="29">
    <w:name w:val="annotation reference"/>
    <w:basedOn w:val="24"/>
    <w:unhideWhenUsed/>
    <w:qFormat/>
    <w:uiPriority w:val="99"/>
    <w:rPr>
      <w:sz w:val="21"/>
      <w:szCs w:val="21"/>
    </w:rPr>
  </w:style>
  <w:style w:type="character" w:styleId="30">
    <w:name w:val="HTML Cite"/>
    <w:qFormat/>
    <w:uiPriority w:val="0"/>
    <w:rPr>
      <w:i/>
      <w:iCs/>
    </w:rPr>
  </w:style>
  <w:style w:type="paragraph" w:customStyle="1" w:styleId="31">
    <w:name w:val="Default"/>
    <w:qFormat/>
    <w:uiPriority w:val="0"/>
    <w:pPr>
      <w:widowControl w:val="0"/>
      <w:autoSpaceDE w:val="0"/>
      <w:autoSpaceDN w:val="0"/>
      <w:adjustRightInd w:val="0"/>
    </w:pPr>
    <w:rPr>
      <w:rFonts w:ascii="FangSong_GB2312" w:hAnsi="Times New Roman" w:eastAsia="FangSong_GB2312" w:cs="FangSong_GB2312"/>
      <w:color w:val="000000"/>
      <w:sz w:val="24"/>
      <w:szCs w:val="24"/>
      <w:lang w:val="en-US" w:eastAsia="zh-CN" w:bidi="ar-SA"/>
    </w:rPr>
  </w:style>
  <w:style w:type="character" w:customStyle="1" w:styleId="32">
    <w:name w:val="标题 1 字符"/>
    <w:basedOn w:val="24"/>
    <w:link w:val="4"/>
    <w:qFormat/>
    <w:uiPriority w:val="0"/>
    <w:rPr>
      <w:rFonts w:ascii="Times New Roman" w:hAnsi="Times New Roman" w:eastAsia="宋体" w:cs="Times New Roman"/>
      <w:b/>
      <w:bCs/>
      <w:kern w:val="44"/>
      <w:sz w:val="44"/>
      <w:szCs w:val="44"/>
    </w:rPr>
  </w:style>
  <w:style w:type="character" w:customStyle="1" w:styleId="33">
    <w:name w:val="标题 2 字符"/>
    <w:basedOn w:val="24"/>
    <w:link w:val="5"/>
    <w:semiHidden/>
    <w:qFormat/>
    <w:uiPriority w:val="9"/>
    <w:rPr>
      <w:rFonts w:asciiTheme="majorHAnsi" w:hAnsiTheme="majorHAnsi" w:eastAsiaTheme="majorEastAsia" w:cstheme="majorBidi"/>
      <w:b/>
      <w:bCs/>
      <w:sz w:val="32"/>
      <w:szCs w:val="32"/>
    </w:rPr>
  </w:style>
  <w:style w:type="character" w:customStyle="1" w:styleId="34">
    <w:name w:val="页眉 字符"/>
    <w:basedOn w:val="24"/>
    <w:link w:val="15"/>
    <w:qFormat/>
    <w:uiPriority w:val="0"/>
    <w:rPr>
      <w:sz w:val="18"/>
      <w:szCs w:val="18"/>
    </w:rPr>
  </w:style>
  <w:style w:type="character" w:customStyle="1" w:styleId="35">
    <w:name w:val="页脚 字符"/>
    <w:basedOn w:val="24"/>
    <w:link w:val="14"/>
    <w:qFormat/>
    <w:uiPriority w:val="99"/>
    <w:rPr>
      <w:sz w:val="18"/>
      <w:szCs w:val="18"/>
    </w:rPr>
  </w:style>
  <w:style w:type="paragraph" w:customStyle="1" w:styleId="3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7">
    <w:name w:val="列出段落1"/>
    <w:basedOn w:val="1"/>
    <w:link w:val="63"/>
    <w:qFormat/>
    <w:uiPriority w:val="34"/>
    <w:pPr>
      <w:ind w:firstLine="420" w:firstLineChars="200"/>
    </w:pPr>
  </w:style>
  <w:style w:type="paragraph" w:customStyle="1" w:styleId="38">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color w:val="2E75B6" w:themeColor="accent1" w:themeShade="BF"/>
      <w:kern w:val="0"/>
      <w:sz w:val="32"/>
      <w:szCs w:val="32"/>
    </w:rPr>
  </w:style>
  <w:style w:type="character" w:customStyle="1" w:styleId="39">
    <w:name w:val="批注框文本 字符"/>
    <w:basedOn w:val="24"/>
    <w:link w:val="13"/>
    <w:semiHidden/>
    <w:qFormat/>
    <w:uiPriority w:val="0"/>
    <w:rPr>
      <w:rFonts w:ascii="Times New Roman" w:hAnsi="Times New Roman" w:eastAsia="宋体" w:cs="Times New Roman"/>
      <w:sz w:val="18"/>
      <w:szCs w:val="18"/>
    </w:rPr>
  </w:style>
  <w:style w:type="paragraph" w:customStyle="1" w:styleId="40">
    <w:name w:val="五级无标题条"/>
    <w:basedOn w:val="1"/>
    <w:qFormat/>
    <w:uiPriority w:val="0"/>
    <w:rPr>
      <w:rFonts w:ascii="黑体" w:eastAsia="黑体"/>
      <w:b/>
    </w:rPr>
  </w:style>
  <w:style w:type="paragraph" w:customStyle="1" w:styleId="41">
    <w:name w:val="一级无标题条"/>
    <w:basedOn w:val="1"/>
    <w:qFormat/>
    <w:uiPriority w:val="0"/>
    <w:pPr>
      <w:tabs>
        <w:tab w:val="left" w:pos="420"/>
      </w:tabs>
    </w:pPr>
    <w:rPr>
      <w:b/>
    </w:rPr>
  </w:style>
  <w:style w:type="paragraph" w:customStyle="1" w:styleId="42">
    <w:name w:val="三级无标题条"/>
    <w:basedOn w:val="1"/>
    <w:qFormat/>
    <w:uiPriority w:val="0"/>
    <w:rPr>
      <w:b/>
    </w:rPr>
  </w:style>
  <w:style w:type="paragraph" w:customStyle="1" w:styleId="43">
    <w:name w:val="列表文字"/>
    <w:basedOn w:val="1"/>
    <w:qFormat/>
    <w:uiPriority w:val="0"/>
  </w:style>
  <w:style w:type="paragraph" w:customStyle="1" w:styleId="44">
    <w:name w:val="四级无标题条"/>
    <w:basedOn w:val="1"/>
    <w:qFormat/>
    <w:uiPriority w:val="0"/>
    <w:rPr>
      <w:rFonts w:eastAsia="黑体"/>
      <w:b/>
    </w:rPr>
  </w:style>
  <w:style w:type="paragraph" w:customStyle="1" w:styleId="45">
    <w:name w:val="二级无标题条"/>
    <w:basedOn w:val="1"/>
    <w:qFormat/>
    <w:uiPriority w:val="0"/>
    <w:rPr>
      <w:b/>
    </w:rPr>
  </w:style>
  <w:style w:type="paragraph" w:customStyle="1" w:styleId="46">
    <w:name w:val="附录四级条标题"/>
    <w:basedOn w:val="47"/>
    <w:next w:val="1"/>
    <w:qFormat/>
    <w:uiPriority w:val="0"/>
    <w:pPr>
      <w:outlineLvl w:val="5"/>
    </w:pPr>
  </w:style>
  <w:style w:type="paragraph" w:customStyle="1" w:styleId="47">
    <w:name w:val="附录三级条标题"/>
    <w:basedOn w:val="48"/>
    <w:next w:val="1"/>
    <w:qFormat/>
    <w:uiPriority w:val="0"/>
    <w:pPr>
      <w:ind w:left="0"/>
      <w:outlineLvl w:val="4"/>
    </w:pPr>
  </w:style>
  <w:style w:type="paragraph" w:customStyle="1" w:styleId="48">
    <w:name w:val="附录二级条标题"/>
    <w:basedOn w:val="49"/>
    <w:next w:val="1"/>
    <w:qFormat/>
    <w:uiPriority w:val="0"/>
    <w:pPr>
      <w:ind w:left="142"/>
      <w:outlineLvl w:val="3"/>
    </w:pPr>
  </w:style>
  <w:style w:type="paragraph" w:customStyle="1" w:styleId="49">
    <w:name w:val="附录一级条标题"/>
    <w:basedOn w:val="50"/>
    <w:next w:val="1"/>
    <w:qFormat/>
    <w:uiPriority w:val="0"/>
    <w:pPr>
      <w:autoSpaceDN w:val="0"/>
      <w:ind w:left="426"/>
      <w:outlineLvl w:val="2"/>
    </w:pPr>
    <w:rPr>
      <w:rFonts w:ascii="宋体" w:hAnsi="宋体" w:eastAsia="宋体"/>
      <w:b w:val="0"/>
      <w:kern w:val="0"/>
    </w:rPr>
  </w:style>
  <w:style w:type="paragraph" w:customStyle="1" w:styleId="50">
    <w:name w:val="附录章标题"/>
    <w:next w:val="1"/>
    <w:qFormat/>
    <w:uiPriority w:val="0"/>
    <w:pPr>
      <w:overflowPunct w:val="0"/>
      <w:autoSpaceDE w:val="0"/>
      <w:spacing w:line="360" w:lineRule="auto"/>
      <w:jc w:val="both"/>
      <w:textAlignment w:val="baseline"/>
      <w:outlineLvl w:val="1"/>
    </w:pPr>
    <w:rPr>
      <w:rFonts w:ascii="黑体" w:hAnsi="Times New Roman" w:eastAsia="黑体" w:cs="Times New Roman"/>
      <w:b/>
      <w:kern w:val="21"/>
      <w:sz w:val="21"/>
      <w:lang w:val="en-US" w:eastAsia="zh-CN" w:bidi="ar-SA"/>
    </w:rPr>
  </w:style>
  <w:style w:type="paragraph" w:customStyle="1" w:styleId="51">
    <w:name w:val="附录五级条标题"/>
    <w:basedOn w:val="46"/>
    <w:next w:val="1"/>
    <w:qFormat/>
    <w:uiPriority w:val="0"/>
    <w:pPr>
      <w:outlineLvl w:val="6"/>
    </w:pPr>
  </w:style>
  <w:style w:type="paragraph" w:customStyle="1" w:styleId="52">
    <w:name w:val="数字编号列项（二级）"/>
    <w:qFormat/>
    <w:uiPriority w:val="0"/>
    <w:pPr>
      <w:numPr>
        <w:ilvl w:val="2"/>
        <w:numId w:val="1"/>
      </w:numPr>
      <w:ind w:left="400" w:leftChars="400" w:hanging="200" w:hangingChars="200"/>
      <w:jc w:val="both"/>
    </w:pPr>
    <w:rPr>
      <w:rFonts w:ascii="宋体" w:hAnsi="Times New Roman" w:eastAsia="宋体" w:cs="Times New Roman"/>
      <w:sz w:val="21"/>
      <w:lang w:val="en-US" w:eastAsia="zh-CN" w:bidi="ar-SA"/>
    </w:rPr>
  </w:style>
  <w:style w:type="paragraph" w:customStyle="1" w:styleId="53">
    <w:name w:val="字母编号列项（一级）"/>
    <w:qFormat/>
    <w:uiPriority w:val="0"/>
    <w:pPr>
      <w:numPr>
        <w:ilvl w:val="1"/>
        <w:numId w:val="1"/>
      </w:numPr>
      <w:ind w:left="200" w:leftChars="200" w:hanging="200" w:hangingChars="200"/>
      <w:jc w:val="both"/>
    </w:pPr>
    <w:rPr>
      <w:rFonts w:ascii="宋体" w:hAnsi="Times New Roman" w:eastAsia="宋体" w:cs="Times New Roman"/>
      <w:sz w:val="21"/>
      <w:lang w:val="en-US" w:eastAsia="zh-CN" w:bidi="ar-SA"/>
    </w:rPr>
  </w:style>
  <w:style w:type="paragraph" w:customStyle="1" w:styleId="54">
    <w:name w:val="一级条标题"/>
    <w:basedOn w:val="55"/>
    <w:next w:val="1"/>
    <w:qFormat/>
    <w:uiPriority w:val="0"/>
    <w:pPr>
      <w:numPr>
        <w:ilvl w:val="2"/>
      </w:numPr>
      <w:tabs>
        <w:tab w:val="left" w:pos="360"/>
        <w:tab w:val="left" w:pos="420"/>
        <w:tab w:val="left" w:pos="567"/>
      </w:tabs>
      <w:spacing w:before="0" w:beforeLines="0" w:after="312" w:afterLines="100"/>
      <w:outlineLvl w:val="2"/>
    </w:pPr>
    <w:rPr>
      <w:rFonts w:ascii="宋体" w:hAnsi="宋体" w:eastAsia="宋体"/>
    </w:rPr>
  </w:style>
  <w:style w:type="paragraph" w:customStyle="1" w:styleId="55">
    <w:name w:val="章标题"/>
    <w:next w:val="1"/>
    <w:qFormat/>
    <w:uiPriority w:val="0"/>
    <w:pPr>
      <w:numPr>
        <w:ilvl w:val="1"/>
        <w:numId w:val="2"/>
      </w:numPr>
      <w:tabs>
        <w:tab w:val="left" w:pos="42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56">
    <w:name w:val="四级条标题"/>
    <w:basedOn w:val="57"/>
    <w:next w:val="1"/>
    <w:qFormat/>
    <w:uiPriority w:val="0"/>
    <w:pPr>
      <w:numPr>
        <w:ilvl w:val="5"/>
      </w:numPr>
      <w:tabs>
        <w:tab w:val="left" w:pos="360"/>
        <w:tab w:val="left" w:pos="420"/>
        <w:tab w:val="left" w:pos="945"/>
        <w:tab w:val="left" w:pos="1155"/>
      </w:tabs>
      <w:outlineLvl w:val="5"/>
    </w:pPr>
  </w:style>
  <w:style w:type="paragraph" w:customStyle="1" w:styleId="57">
    <w:name w:val="三级条标题"/>
    <w:basedOn w:val="58"/>
    <w:next w:val="1"/>
    <w:qFormat/>
    <w:uiPriority w:val="0"/>
    <w:pPr>
      <w:numPr>
        <w:ilvl w:val="4"/>
      </w:numPr>
      <w:tabs>
        <w:tab w:val="left" w:pos="360"/>
        <w:tab w:val="left" w:pos="420"/>
        <w:tab w:val="left" w:pos="945"/>
      </w:tabs>
      <w:outlineLvl w:val="4"/>
    </w:pPr>
  </w:style>
  <w:style w:type="paragraph" w:customStyle="1" w:styleId="58">
    <w:name w:val="二级条标题"/>
    <w:basedOn w:val="54"/>
    <w:next w:val="1"/>
    <w:qFormat/>
    <w:uiPriority w:val="0"/>
    <w:pPr>
      <w:numPr>
        <w:ilvl w:val="3"/>
      </w:numPr>
      <w:tabs>
        <w:tab w:val="clear" w:pos="567"/>
      </w:tabs>
      <w:outlineLvl w:val="3"/>
    </w:pPr>
  </w:style>
  <w:style w:type="paragraph" w:customStyle="1" w:styleId="59">
    <w:name w:val="五级条标题"/>
    <w:basedOn w:val="56"/>
    <w:next w:val="1"/>
    <w:qFormat/>
    <w:uiPriority w:val="0"/>
    <w:pPr>
      <w:numPr>
        <w:ilvl w:val="6"/>
      </w:numPr>
      <w:tabs>
        <w:tab w:val="left" w:pos="1407"/>
        <w:tab w:val="clear" w:pos="1155"/>
      </w:tabs>
      <w:outlineLvl w:val="6"/>
    </w:pPr>
  </w:style>
  <w:style w:type="character" w:customStyle="1" w:styleId="60">
    <w:name w:val="正文文本缩进 Char"/>
    <w:basedOn w:val="24"/>
    <w:semiHidden/>
    <w:qFormat/>
    <w:uiPriority w:val="99"/>
    <w:rPr>
      <w:rFonts w:ascii="Times New Roman" w:hAnsi="Times New Roman" w:eastAsia="宋体" w:cs="Times New Roman"/>
      <w:szCs w:val="24"/>
    </w:rPr>
  </w:style>
  <w:style w:type="character" w:customStyle="1" w:styleId="61">
    <w:name w:val="正文文本缩进 字符"/>
    <w:basedOn w:val="24"/>
    <w:link w:val="10"/>
    <w:qFormat/>
    <w:uiPriority w:val="99"/>
    <w:rPr>
      <w:rFonts w:ascii="Times New Roman" w:hAnsi="Times New Roman" w:eastAsia="宋体" w:cs="Times New Roman"/>
      <w:szCs w:val="24"/>
    </w:rPr>
  </w:style>
  <w:style w:type="character" w:customStyle="1" w:styleId="62">
    <w:name w:val="发布"/>
    <w:qFormat/>
    <w:uiPriority w:val="0"/>
    <w:rPr>
      <w:rFonts w:ascii="黑体" w:eastAsia="黑体"/>
      <w:spacing w:val="22"/>
      <w:w w:val="100"/>
      <w:position w:val="3"/>
      <w:sz w:val="28"/>
    </w:rPr>
  </w:style>
  <w:style w:type="character" w:customStyle="1" w:styleId="63">
    <w:name w:val="列出段落 Char"/>
    <w:link w:val="37"/>
    <w:qFormat/>
    <w:uiPriority w:val="34"/>
    <w:rPr>
      <w:rFonts w:ascii="Times New Roman" w:hAnsi="Times New Roman" w:eastAsia="宋体" w:cs="Times New Roman"/>
      <w:kern w:val="2"/>
      <w:sz w:val="24"/>
      <w:szCs w:val="24"/>
    </w:rPr>
  </w:style>
  <w:style w:type="paragraph" w:customStyle="1" w:styleId="64">
    <w:name w:val="列出段落2"/>
    <w:basedOn w:val="1"/>
    <w:qFormat/>
    <w:uiPriority w:val="34"/>
    <w:pPr>
      <w:ind w:firstLine="420" w:firstLineChars="200"/>
    </w:pPr>
  </w:style>
  <w:style w:type="paragraph" w:customStyle="1" w:styleId="65">
    <w:name w:val="列出段落21"/>
    <w:basedOn w:val="1"/>
    <w:qFormat/>
    <w:uiPriority w:val="99"/>
    <w:pPr>
      <w:spacing w:line="240" w:lineRule="auto"/>
      <w:ind w:firstLine="420" w:firstLineChars="200"/>
    </w:pPr>
    <w:rPr>
      <w:rFonts w:ascii="Calibri" w:hAnsi="Calibri"/>
      <w:sz w:val="21"/>
      <w:szCs w:val="22"/>
    </w:rPr>
  </w:style>
  <w:style w:type="character" w:customStyle="1" w:styleId="66">
    <w:name w:val="apple-tab-span"/>
    <w:basedOn w:val="24"/>
    <w:qFormat/>
    <w:uiPriority w:val="0"/>
  </w:style>
  <w:style w:type="paragraph" w:customStyle="1" w:styleId="67">
    <w:name w:val="font5"/>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customStyle="1" w:styleId="68">
    <w:name w:val="xl63"/>
    <w:basedOn w:val="1"/>
    <w:qFormat/>
    <w:uiPriority w:val="0"/>
    <w:pPr>
      <w:widowControl/>
      <w:pBdr>
        <w:top w:val="single" w:color="auto" w:sz="8" w:space="0"/>
        <w:left w:val="single" w:color="auto" w:sz="8" w:space="0"/>
      </w:pBdr>
      <w:spacing w:before="100" w:beforeAutospacing="1" w:after="100" w:afterAutospacing="1" w:line="240" w:lineRule="auto"/>
      <w:jc w:val="center"/>
      <w:textAlignment w:val="center"/>
    </w:pPr>
    <w:rPr>
      <w:rFonts w:ascii="宋体" w:hAnsi="宋体" w:cs="宋体"/>
      <w:b/>
      <w:bCs/>
      <w:color w:val="000000"/>
      <w:kern w:val="0"/>
      <w:sz w:val="20"/>
      <w:szCs w:val="20"/>
    </w:rPr>
  </w:style>
  <w:style w:type="paragraph" w:customStyle="1" w:styleId="69">
    <w:name w:val="xl64"/>
    <w:basedOn w:val="1"/>
    <w:qFormat/>
    <w:uiPriority w:val="0"/>
    <w:pPr>
      <w:widowControl/>
      <w:pBdr>
        <w:top w:val="single" w:color="auto" w:sz="8" w:space="0"/>
      </w:pBdr>
      <w:spacing w:before="100" w:beforeAutospacing="1" w:after="100" w:afterAutospacing="1" w:line="240" w:lineRule="auto"/>
      <w:jc w:val="center"/>
      <w:textAlignment w:val="center"/>
    </w:pPr>
    <w:rPr>
      <w:rFonts w:ascii="宋体" w:hAnsi="宋体" w:cs="宋体"/>
      <w:b/>
      <w:bCs/>
      <w:color w:val="000000"/>
      <w:kern w:val="0"/>
      <w:sz w:val="20"/>
      <w:szCs w:val="20"/>
    </w:rPr>
  </w:style>
  <w:style w:type="paragraph" w:customStyle="1" w:styleId="70">
    <w:name w:val="xl65"/>
    <w:basedOn w:val="1"/>
    <w:qFormat/>
    <w:uiPriority w:val="0"/>
    <w:pPr>
      <w:widowControl/>
      <w:pBdr>
        <w:top w:val="single" w:color="auto" w:sz="8" w:space="0"/>
        <w:right w:val="single" w:color="auto" w:sz="8" w:space="0"/>
      </w:pBdr>
      <w:spacing w:before="100" w:beforeAutospacing="1" w:after="100" w:afterAutospacing="1" w:line="240" w:lineRule="auto"/>
      <w:jc w:val="center"/>
      <w:textAlignment w:val="center"/>
    </w:pPr>
    <w:rPr>
      <w:rFonts w:ascii="宋体" w:hAnsi="宋体" w:cs="宋体"/>
      <w:b/>
      <w:bCs/>
      <w:color w:val="000000"/>
      <w:kern w:val="0"/>
      <w:sz w:val="20"/>
      <w:szCs w:val="20"/>
    </w:rPr>
  </w:style>
  <w:style w:type="paragraph" w:customStyle="1" w:styleId="7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color w:val="000000"/>
      <w:kern w:val="0"/>
      <w:sz w:val="20"/>
      <w:szCs w:val="20"/>
    </w:rPr>
  </w:style>
  <w:style w:type="paragraph" w:customStyle="1" w:styleId="7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73">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ascii="宋体" w:hAnsi="宋体" w:cs="宋体"/>
      <w:color w:val="000000"/>
      <w:kern w:val="0"/>
      <w:sz w:val="18"/>
      <w:szCs w:val="18"/>
    </w:rPr>
  </w:style>
  <w:style w:type="paragraph" w:customStyle="1" w:styleId="74">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color w:val="000000"/>
      <w:kern w:val="0"/>
    </w:rPr>
  </w:style>
  <w:style w:type="paragraph" w:customStyle="1" w:styleId="77">
    <w:name w:val="msonormal"/>
    <w:basedOn w:val="1"/>
    <w:qFormat/>
    <w:uiPriority w:val="0"/>
    <w:pPr>
      <w:widowControl/>
      <w:spacing w:before="100" w:beforeAutospacing="1" w:after="100" w:afterAutospacing="1" w:line="240" w:lineRule="auto"/>
      <w:jc w:val="left"/>
    </w:pPr>
    <w:rPr>
      <w:rFonts w:ascii="宋体" w:hAnsi="宋体" w:cs="宋体"/>
      <w:kern w:val="0"/>
    </w:rPr>
  </w:style>
  <w:style w:type="paragraph" w:customStyle="1" w:styleId="78">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b/>
      <w:bCs/>
      <w:color w:val="000000"/>
      <w:kern w:val="0"/>
      <w:sz w:val="18"/>
      <w:szCs w:val="18"/>
    </w:rPr>
  </w:style>
  <w:style w:type="paragraph" w:customStyle="1" w:styleId="79">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b/>
      <w:bCs/>
      <w:color w:val="000000"/>
      <w:kern w:val="0"/>
      <w:sz w:val="20"/>
      <w:szCs w:val="20"/>
    </w:rPr>
  </w:style>
  <w:style w:type="paragraph" w:customStyle="1" w:styleId="80">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cs="宋体"/>
      <w:color w:val="000000"/>
      <w:kern w:val="0"/>
      <w:sz w:val="20"/>
      <w:szCs w:val="20"/>
    </w:rPr>
  </w:style>
  <w:style w:type="character" w:customStyle="1" w:styleId="81">
    <w:name w:val="font31"/>
    <w:basedOn w:val="24"/>
    <w:qFormat/>
    <w:uiPriority w:val="0"/>
    <w:rPr>
      <w:rFonts w:hint="eastAsia" w:ascii="宋体" w:hAnsi="宋体" w:eastAsia="宋体" w:cs="宋体"/>
      <w:color w:val="000000"/>
      <w:sz w:val="18"/>
      <w:szCs w:val="18"/>
      <w:u w:val="none"/>
    </w:rPr>
  </w:style>
  <w:style w:type="character" w:customStyle="1" w:styleId="82">
    <w:name w:val="font21"/>
    <w:basedOn w:val="24"/>
    <w:qFormat/>
    <w:uiPriority w:val="0"/>
    <w:rPr>
      <w:rFonts w:hint="eastAsia" w:ascii="宋体" w:hAnsi="宋体" w:eastAsia="宋体" w:cs="宋体"/>
      <w:color w:val="000000"/>
      <w:sz w:val="21"/>
      <w:szCs w:val="21"/>
      <w:u w:val="none"/>
    </w:rPr>
  </w:style>
  <w:style w:type="character" w:customStyle="1" w:styleId="83">
    <w:name w:val="font11"/>
    <w:basedOn w:val="24"/>
    <w:qFormat/>
    <w:uiPriority w:val="0"/>
    <w:rPr>
      <w:rFonts w:hint="default" w:ascii="Times New Roman" w:hAnsi="Times New Roman" w:cs="Times New Roman"/>
      <w:color w:val="000000"/>
      <w:sz w:val="21"/>
      <w:szCs w:val="21"/>
      <w:u w:val="none"/>
    </w:rPr>
  </w:style>
  <w:style w:type="paragraph" w:customStyle="1" w:styleId="84">
    <w:name w:val="列出段落3"/>
    <w:basedOn w:val="1"/>
    <w:qFormat/>
    <w:uiPriority w:val="0"/>
    <w:pPr>
      <w:ind w:firstLine="420" w:firstLineChars="200"/>
    </w:pPr>
  </w:style>
  <w:style w:type="character" w:customStyle="1" w:styleId="85">
    <w:name w:val="font01"/>
    <w:basedOn w:val="24"/>
    <w:qFormat/>
    <w:uiPriority w:val="0"/>
    <w:rPr>
      <w:rFonts w:hint="default" w:ascii="Times New Roman" w:hAnsi="Times New Roman" w:cs="Times New Roman"/>
      <w:color w:val="000000"/>
      <w:sz w:val="20"/>
      <w:szCs w:val="20"/>
      <w:u w:val="none"/>
    </w:rPr>
  </w:style>
  <w:style w:type="character" w:customStyle="1" w:styleId="86">
    <w:name w:val="font41"/>
    <w:basedOn w:val="24"/>
    <w:qFormat/>
    <w:uiPriority w:val="0"/>
    <w:rPr>
      <w:rFonts w:hint="eastAsia" w:ascii="宋体" w:hAnsi="宋体" w:eastAsia="宋体" w:cs="宋体"/>
      <w:color w:val="FF0000"/>
      <w:sz w:val="20"/>
      <w:szCs w:val="20"/>
      <w:u w:val="none"/>
    </w:rPr>
  </w:style>
  <w:style w:type="character" w:customStyle="1" w:styleId="87">
    <w:name w:val="font51"/>
    <w:basedOn w:val="24"/>
    <w:qFormat/>
    <w:uiPriority w:val="0"/>
    <w:rPr>
      <w:rFonts w:hint="eastAsia" w:ascii="宋体" w:hAnsi="宋体" w:eastAsia="宋体" w:cs="宋体"/>
      <w:color w:val="000000"/>
      <w:sz w:val="20"/>
      <w:szCs w:val="20"/>
      <w:u w:val="none"/>
    </w:rPr>
  </w:style>
  <w:style w:type="character" w:customStyle="1" w:styleId="88">
    <w:name w:val="font71"/>
    <w:basedOn w:val="24"/>
    <w:qFormat/>
    <w:uiPriority w:val="0"/>
    <w:rPr>
      <w:rFonts w:hint="eastAsia" w:ascii="宋体" w:hAnsi="宋体" w:eastAsia="宋体" w:cs="宋体"/>
      <w:color w:val="FF0000"/>
      <w:sz w:val="24"/>
      <w:szCs w:val="24"/>
      <w:u w:val="none"/>
    </w:rPr>
  </w:style>
  <w:style w:type="paragraph" w:customStyle="1" w:styleId="89">
    <w:name w:val="列出段落4"/>
    <w:basedOn w:val="1"/>
    <w:qFormat/>
    <w:uiPriority w:val="0"/>
    <w:pPr>
      <w:ind w:firstLine="420" w:firstLineChars="200"/>
    </w:pPr>
  </w:style>
  <w:style w:type="paragraph" w:customStyle="1" w:styleId="90">
    <w:name w:val="列表段落2"/>
    <w:basedOn w:val="1"/>
    <w:qFormat/>
    <w:uiPriority w:val="0"/>
    <w:pPr>
      <w:spacing w:line="240" w:lineRule="auto"/>
      <w:ind w:firstLine="420" w:firstLineChars="200"/>
    </w:pPr>
    <w:rPr>
      <w:sz w:val="21"/>
    </w:rPr>
  </w:style>
  <w:style w:type="paragraph" w:customStyle="1" w:styleId="91">
    <w:name w:val="正文1"/>
    <w:basedOn w:val="10"/>
    <w:qFormat/>
    <w:uiPriority w:val="0"/>
    <w:pPr>
      <w:tabs>
        <w:tab w:val="left" w:pos="0"/>
      </w:tabs>
      <w:ind w:firstLine="200" w:firstLineChars="200"/>
    </w:pPr>
  </w:style>
  <w:style w:type="paragraph" w:customStyle="1" w:styleId="92">
    <w:name w:val="列出段落11"/>
    <w:basedOn w:val="1"/>
    <w:qFormat/>
    <w:uiPriority w:val="0"/>
    <w:pPr>
      <w:spacing w:line="240" w:lineRule="auto"/>
      <w:ind w:firstLine="420" w:firstLineChars="200"/>
    </w:pPr>
    <w:rPr>
      <w:rFonts w:ascii="Calibri" w:hAnsi="Calibri"/>
      <w:szCs w:val="22"/>
    </w:rPr>
  </w:style>
  <w:style w:type="character" w:customStyle="1" w:styleId="93">
    <w:name w:val="批注文字 字符"/>
    <w:basedOn w:val="24"/>
    <w:link w:val="9"/>
    <w:qFormat/>
    <w:uiPriority w:val="99"/>
    <w:rPr>
      <w:kern w:val="2"/>
      <w:sz w:val="24"/>
      <w:szCs w:val="24"/>
    </w:rPr>
  </w:style>
  <w:style w:type="character" w:customStyle="1" w:styleId="94">
    <w:name w:val="批注主题 字符"/>
    <w:basedOn w:val="93"/>
    <w:link w:val="20"/>
    <w:semiHidden/>
    <w:qFormat/>
    <w:uiPriority w:val="99"/>
    <w:rPr>
      <w:b/>
      <w:bCs/>
      <w:kern w:val="2"/>
      <w:sz w:val="24"/>
      <w:szCs w:val="24"/>
    </w:rPr>
  </w:style>
  <w:style w:type="paragraph" w:styleId="95">
    <w:name w:val="List Paragraph"/>
    <w:basedOn w:val="1"/>
    <w:qFormat/>
    <w:uiPriority w:val="99"/>
    <w:pPr>
      <w:ind w:firstLine="420" w:firstLineChars="200"/>
    </w:pPr>
    <w:rPr>
      <w:rFonts w:ascii="Calibri" w:hAnsi="Calibri"/>
      <w:szCs w:val="22"/>
    </w:rPr>
  </w:style>
  <w:style w:type="paragraph" w:customStyle="1" w:styleId="96">
    <w:name w:val="p0"/>
    <w:basedOn w:val="1"/>
    <w:qFormat/>
    <w:uiPriority w:val="0"/>
    <w:pPr>
      <w:widowControl/>
    </w:pPr>
    <w:rPr>
      <w:kern w:val="0"/>
      <w:szCs w:val="21"/>
    </w:rPr>
  </w:style>
  <w:style w:type="character" w:customStyle="1" w:styleId="97">
    <w:name w:val="不明显强调1"/>
    <w:qFormat/>
    <w:uiPriority w:val="0"/>
    <w:rPr>
      <w:rFonts w:eastAsia="黑体"/>
      <w:iCs/>
      <w:color w:val="auto"/>
      <w:sz w:val="21"/>
    </w:rPr>
  </w:style>
  <w:style w:type="paragraph" w:customStyle="1" w:styleId="9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99">
    <w:name w:val="GEDI一级项目编号"/>
    <w:basedOn w:val="100"/>
    <w:qFormat/>
    <w:uiPriority w:val="0"/>
    <w:pPr>
      <w:numPr>
        <w:numId w:val="0"/>
      </w:numPr>
      <w:tabs>
        <w:tab w:val="left" w:pos="839"/>
      </w:tabs>
      <w:adjustRightInd w:val="0"/>
      <w:snapToGrid w:val="0"/>
      <w:spacing w:line="480" w:lineRule="atLeast"/>
    </w:pPr>
  </w:style>
  <w:style w:type="paragraph" w:customStyle="1" w:styleId="100">
    <w:name w:val="1级列项"/>
    <w:basedOn w:val="101"/>
    <w:qFormat/>
    <w:uiPriority w:val="0"/>
    <w:pPr>
      <w:numPr>
        <w:ilvl w:val="0"/>
        <w:numId w:val="3"/>
      </w:numPr>
      <w:ind w:firstLine="0"/>
    </w:pPr>
  </w:style>
  <w:style w:type="paragraph" w:customStyle="1" w:styleId="101">
    <w:name w:val="正文文字样式"/>
    <w:basedOn w:val="1"/>
    <w:qFormat/>
    <w:uiPriority w:val="0"/>
    <w:pPr>
      <w:ind w:firstLine="480"/>
    </w:pPr>
  </w:style>
  <w:style w:type="paragraph" w:customStyle="1" w:styleId="102">
    <w:name w:val="一级标题"/>
    <w:basedOn w:val="1"/>
    <w:next w:val="103"/>
    <w:qFormat/>
    <w:uiPriority w:val="0"/>
    <w:pPr>
      <w:numPr>
        <w:ilvl w:val="0"/>
        <w:numId w:val="4"/>
      </w:numPr>
      <w:outlineLvl w:val="0"/>
    </w:pPr>
    <w:rPr>
      <w:rFonts w:ascii="汉仪大宋简" w:hAnsi="汉仪大宋简" w:eastAsia="Wingdings" w:cs="汉仪大宋简"/>
      <w:b/>
      <w:sz w:val="28"/>
    </w:rPr>
  </w:style>
  <w:style w:type="paragraph" w:customStyle="1" w:styleId="103">
    <w:name w:val="内容"/>
    <w:basedOn w:val="1"/>
    <w:qFormat/>
    <w:uiPriority w:val="0"/>
    <w:pPr>
      <w:widowControl/>
      <w:shd w:val="clear" w:color="auto" w:fill="FFFFFF"/>
      <w:ind w:firstLine="200" w:firstLineChars="200"/>
    </w:pPr>
    <w:rPr>
      <w:rFonts w:ascii="汉仪大宋简" w:hAnsi="汉仪大宋简" w:eastAsia="汉仪大黑简" w:cs="汉仪大黑简"/>
      <w:color w:val="000000"/>
      <w:kern w:val="0"/>
    </w:rPr>
  </w:style>
  <w:style w:type="paragraph" w:customStyle="1" w:styleId="104">
    <w:name w:val="正文（首行不缩进）"/>
    <w:basedOn w:val="1"/>
    <w:qFormat/>
    <w:uiPriority w:val="0"/>
    <w:pPr>
      <w:spacing w:afterLines="50"/>
    </w:pPr>
  </w:style>
  <w:style w:type="paragraph" w:customStyle="1" w:styleId="105">
    <w:name w:val="二级标题"/>
    <w:basedOn w:val="1"/>
    <w:next w:val="103"/>
    <w:qFormat/>
    <w:uiPriority w:val="0"/>
    <w:pPr>
      <w:numPr>
        <w:ilvl w:val="1"/>
        <w:numId w:val="4"/>
      </w:numPr>
      <w:outlineLvl w:val="1"/>
    </w:pPr>
    <w:rPr>
      <w:rFonts w:ascii="汉仪大宋简" w:hAnsi="汉仪大宋简" w:eastAsia="Wingdings" w:cs="汉仪大宋简"/>
      <w:b/>
    </w:rPr>
  </w:style>
  <w:style w:type="paragraph" w:customStyle="1" w:styleId="106">
    <w:name w:val="三级内容"/>
    <w:basedOn w:val="1"/>
    <w:next w:val="103"/>
    <w:qFormat/>
    <w:uiPriority w:val="0"/>
    <w:pPr>
      <w:numPr>
        <w:ilvl w:val="2"/>
        <w:numId w:val="4"/>
      </w:numPr>
    </w:pPr>
    <w:rPr>
      <w:rFonts w:ascii="汉仪大宋简" w:hAnsi="汉仪大宋简"/>
      <w:color w:val="00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26</Pages>
  <Words>11364</Words>
  <Characters>13479</Characters>
  <Lines>140</Lines>
  <Paragraphs>39</Paragraphs>
  <TotalTime>1</TotalTime>
  <ScaleCrop>false</ScaleCrop>
  <LinksUpToDate>false</LinksUpToDate>
  <CharactersWithSpaces>13554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2019-09-16T17:06:00Z</dcterms:created>
  <dc:creator>lys</dc:creator>
  <cp:lastModifiedBy>4AAEF205E03F46EE8F230D4D3B5C0AA0</cp:lastModifiedBy>
  <dcterms:modified xsi:type="dcterms:W3CDTF">2026-06-17T01:58:21Z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HWMT_d46a6755">
    <vt:lpwstr>f2455fb8_mFV0yz85Iik2PcpOlHv+rbQsVE8=_8QYrryMlQkddIYkR/Bqg/X35GM3VFtT7ENJPNbSOOFkaEoWMQthqZox8nexg/17OuuhsPeLwYFnhw6c=_b1f00102</vt:lpwstr>
  </property>
  <property fmtid="{D5CDD505-2E9C-101B-9397-08002B2CF9AE}" pid="3" name="KSOProductBuildVer">
    <vt:lpwstr>2052-11.8.2.12085</vt:lpwstr>
  </property>
  <property fmtid="{D5CDD505-2E9C-101B-9397-08002B2CF9AE}" pid="4" name="ICV">
    <vt:lpwstr>2FFFEFC342BE4B699B02E8B73FF60ABE</vt:lpwstr>
  </property>
  <property fmtid="{D5CDD505-2E9C-101B-9397-08002B2CF9AE}" pid="5" name="KSOTemplateDocerSaveRecord">
    <vt:lpwstr>eyJoZGlkIjoiMWM0YzlmMzdlMjNjMmMzOTA5MzcxZjBmZGMwMmU1YzciLCJ1c2VySWQiOiIxMTAxNjQzOTUyIn0=</vt:lpwstr>
  </property>
</Properties>
</file>