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80" w:beforeLines="200"/>
        <w:jc w:val="center"/>
        <w:rPr>
          <w:rFonts w:ascii="微软雅黑" w:hAnsi="微软雅黑" w:eastAsia="微软雅黑"/>
          <w:b/>
          <w:color w:val="auto"/>
          <w:sz w:val="44"/>
          <w:szCs w:val="21"/>
          <w:highlight w:val="none"/>
        </w:rPr>
      </w:pPr>
      <w:bookmarkStart w:id="0" w:name="_Toc224469826"/>
      <w:bookmarkStart w:id="1" w:name="_Toc224470066"/>
      <w:bookmarkStart w:id="2" w:name="_Toc224531918"/>
      <w:r>
        <w:rPr>
          <w:rFonts w:ascii="微软雅黑" w:hAnsi="微软雅黑" w:eastAsia="微软雅黑"/>
          <w:b/>
          <w:color w:val="auto"/>
          <w:sz w:val="44"/>
          <w:szCs w:val="21"/>
          <w:highlight w:val="none"/>
        </w:rPr>
        <w:drawing>
          <wp:anchor distT="0" distB="0" distL="114300" distR="114300" simplePos="0" relativeHeight="251659264" behindDoc="1" locked="0" layoutInCell="1" allowOverlap="1">
            <wp:simplePos x="0" y="0"/>
            <wp:positionH relativeFrom="column">
              <wp:posOffset>-863600</wp:posOffset>
            </wp:positionH>
            <wp:positionV relativeFrom="paragraph">
              <wp:posOffset>-1307465</wp:posOffset>
            </wp:positionV>
            <wp:extent cx="7578090" cy="2736850"/>
            <wp:effectExtent l="0" t="0" r="3810" b="6350"/>
            <wp:wrapTight wrapText="bothSides">
              <wp:wrapPolygon>
                <wp:start x="0" y="0"/>
                <wp:lineTo x="0" y="21500"/>
                <wp:lineTo x="21557" y="21500"/>
                <wp:lineTo x="21557"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578090" cy="2736850"/>
                    </a:xfrm>
                    <a:prstGeom prst="rect">
                      <a:avLst/>
                    </a:prstGeom>
                    <a:noFill/>
                    <a:ln>
                      <a:noFill/>
                    </a:ln>
                  </pic:spPr>
                </pic:pic>
              </a:graphicData>
            </a:graphic>
          </wp:anchor>
        </w:drawing>
      </w:r>
    </w:p>
    <w:p>
      <w:pPr>
        <w:spacing w:before="480" w:beforeLines="200" w:line="360" w:lineRule="auto"/>
        <w:ind w:left="420" w:hanging="420"/>
        <w:jc w:val="center"/>
        <w:rPr>
          <w:rFonts w:eastAsia="黑体"/>
          <w:b/>
          <w:color w:val="auto"/>
          <w:sz w:val="52"/>
          <w:highlight w:val="none"/>
        </w:rPr>
      </w:pPr>
      <w:r>
        <w:rPr>
          <w:rFonts w:hint="eastAsia" w:eastAsia="黑体"/>
          <w:b/>
          <w:color w:val="auto"/>
          <w:sz w:val="52"/>
          <w:highlight w:val="none"/>
          <w:lang w:eastAsia="zh-CN"/>
        </w:rPr>
        <w:t>图像视频核心感知与传输单元</w:t>
      </w:r>
      <w:r>
        <w:rPr>
          <w:rFonts w:hint="eastAsia" w:eastAsia="黑体"/>
          <w:b/>
          <w:color w:val="auto"/>
          <w:sz w:val="52"/>
          <w:highlight w:val="none"/>
          <w:lang w:val="en-US" w:eastAsia="zh-CN"/>
        </w:rPr>
        <w:t>技术</w:t>
      </w:r>
      <w:r>
        <w:rPr>
          <w:rFonts w:hint="eastAsia" w:eastAsia="黑体"/>
          <w:b/>
          <w:color w:val="auto"/>
          <w:sz w:val="52"/>
          <w:highlight w:val="none"/>
        </w:rPr>
        <w:t>规范书</w:t>
      </w:r>
    </w:p>
    <w:p>
      <w:pPr>
        <w:spacing w:before="480" w:beforeLines="200" w:line="360" w:lineRule="auto"/>
        <w:ind w:left="420" w:hanging="420"/>
        <w:jc w:val="center"/>
        <w:rPr>
          <w:rFonts w:hint="eastAsia" w:eastAsia="黑体"/>
          <w:b/>
          <w:color w:val="auto"/>
          <w:sz w:val="36"/>
          <w:highlight w:val="none"/>
        </w:rPr>
      </w:pPr>
    </w:p>
    <w:p>
      <w:pPr>
        <w:spacing w:before="480" w:beforeLines="200" w:line="360" w:lineRule="auto"/>
        <w:ind w:left="420" w:hanging="420"/>
        <w:jc w:val="center"/>
        <w:rPr>
          <w:rFonts w:eastAsia="黑体"/>
          <w:b/>
          <w:color w:val="auto"/>
          <w:sz w:val="36"/>
          <w:highlight w:val="none"/>
        </w:rPr>
      </w:pPr>
      <w:r>
        <w:rPr>
          <w:rFonts w:hint="eastAsia" w:eastAsia="黑体"/>
          <w:b/>
          <w:color w:val="auto"/>
          <w:sz w:val="36"/>
          <w:highlight w:val="none"/>
        </w:rPr>
        <w:t>版本号：</w:t>
      </w:r>
      <w:r>
        <w:rPr>
          <w:rFonts w:eastAsia="黑体"/>
          <w:b/>
          <w:color w:val="auto"/>
          <w:sz w:val="36"/>
          <w:highlight w:val="none"/>
        </w:rPr>
        <w:t>20</w:t>
      </w:r>
      <w:r>
        <w:rPr>
          <w:rFonts w:hint="eastAsia" w:eastAsia="黑体"/>
          <w:b/>
          <w:color w:val="auto"/>
          <w:sz w:val="36"/>
          <w:highlight w:val="none"/>
        </w:rPr>
        <w:t>2</w:t>
      </w:r>
      <w:r>
        <w:rPr>
          <w:rFonts w:hint="eastAsia" w:eastAsia="黑体"/>
          <w:b/>
          <w:color w:val="auto"/>
          <w:sz w:val="36"/>
          <w:highlight w:val="none"/>
          <w:lang w:val="en-US" w:eastAsia="zh-CN"/>
        </w:rPr>
        <w:t>5</w:t>
      </w:r>
      <w:r>
        <w:rPr>
          <w:rFonts w:hint="eastAsia" w:eastAsia="黑体"/>
          <w:b/>
          <w:color w:val="auto"/>
          <w:sz w:val="36"/>
          <w:highlight w:val="none"/>
        </w:rPr>
        <w:t>版</w:t>
      </w:r>
      <w:r>
        <w:rPr>
          <w:rFonts w:eastAsia="黑体"/>
          <w:b/>
          <w:color w:val="auto"/>
          <w:sz w:val="36"/>
          <w:highlight w:val="none"/>
        </w:rPr>
        <w:t>V</w:t>
      </w:r>
      <w:r>
        <w:rPr>
          <w:rFonts w:hint="eastAsia" w:eastAsia="黑体"/>
          <w:b/>
          <w:color w:val="auto"/>
          <w:sz w:val="36"/>
          <w:highlight w:val="none"/>
          <w:lang w:val="en-US" w:eastAsia="zh-CN"/>
        </w:rPr>
        <w:t>1</w:t>
      </w:r>
      <w:r>
        <w:rPr>
          <w:rFonts w:eastAsia="黑体"/>
          <w:b/>
          <w:color w:val="auto"/>
          <w:sz w:val="36"/>
          <w:highlight w:val="none"/>
        </w:rPr>
        <w:t>.0</w:t>
      </w:r>
    </w:p>
    <w:p>
      <w:pPr>
        <w:spacing w:line="360" w:lineRule="auto"/>
        <w:ind w:left="2520" w:firstLine="315"/>
        <w:rPr>
          <w:rFonts w:eastAsia="黑体"/>
          <w:b/>
          <w:color w:val="auto"/>
          <w:sz w:val="36"/>
          <w:highlight w:val="none"/>
        </w:rPr>
      </w:pPr>
      <w:r>
        <w:rPr>
          <w:rFonts w:hint="eastAsia" w:eastAsia="黑体"/>
          <w:b/>
          <w:color w:val="auto"/>
          <w:sz w:val="36"/>
          <w:highlight w:val="none"/>
        </w:rPr>
        <w:t>编号：</w:t>
      </w:r>
      <w:r>
        <w:rPr>
          <w:rFonts w:eastAsia="黑体"/>
          <w:b/>
          <w:color w:val="auto"/>
          <w:sz w:val="36"/>
          <w:highlight w:val="none"/>
        </w:rPr>
        <w:tab/>
      </w:r>
    </w:p>
    <w:p>
      <w:pPr>
        <w:spacing w:before="480" w:beforeLines="200" w:line="360" w:lineRule="auto"/>
        <w:ind w:left="420" w:firstLine="2873" w:firstLineChars="795"/>
        <w:jc w:val="left"/>
        <w:rPr>
          <w:rFonts w:eastAsia="黑体"/>
          <w:b/>
          <w:color w:val="auto"/>
          <w:sz w:val="36"/>
          <w:highlight w:val="none"/>
        </w:rPr>
      </w:pPr>
    </w:p>
    <w:p>
      <w:pPr>
        <w:spacing w:before="480" w:beforeLines="200"/>
        <w:ind w:left="418" w:hanging="415" w:hangingChars="93"/>
        <w:jc w:val="center"/>
        <w:rPr>
          <w:rFonts w:ascii="黑体" w:eastAsia="黑体"/>
          <w:b/>
          <w:color w:val="auto"/>
          <w:spacing w:val="20"/>
          <w:w w:val="135"/>
          <w:sz w:val="30"/>
          <w:highlight w:val="none"/>
        </w:rPr>
      </w:pPr>
      <w:r>
        <w:rPr>
          <w:rFonts w:hint="eastAsia" w:ascii="黑体" w:eastAsia="黑体"/>
          <w:b/>
          <w:color w:val="auto"/>
          <w:spacing w:val="20"/>
          <w:w w:val="135"/>
          <w:sz w:val="30"/>
          <w:highlight w:val="none"/>
        </w:rPr>
        <w:t>海南电力产业发展有限责任公司</w:t>
      </w:r>
    </w:p>
    <w:p>
      <w:pPr>
        <w:jc w:val="center"/>
        <w:rPr>
          <w:rFonts w:eastAsia="黑体"/>
          <w:b/>
          <w:color w:val="auto"/>
          <w:szCs w:val="28"/>
          <w:highlight w:val="none"/>
        </w:rPr>
        <w:sectPr>
          <w:footerReference r:id="rId4" w:type="default"/>
          <w:headerReference r:id="rId3"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color w:val="auto"/>
          <w:spacing w:val="20"/>
          <w:w w:val="135"/>
          <w:sz w:val="30"/>
          <w:highlight w:val="none"/>
        </w:rPr>
        <w:t>202</w:t>
      </w:r>
      <w:r>
        <w:rPr>
          <w:rFonts w:hint="eastAsia" w:ascii="黑体" w:eastAsia="黑体"/>
          <w:b/>
          <w:color w:val="auto"/>
          <w:spacing w:val="20"/>
          <w:w w:val="135"/>
          <w:sz w:val="30"/>
          <w:highlight w:val="none"/>
          <w:lang w:val="en-US" w:eastAsia="zh-CN"/>
        </w:rPr>
        <w:t>6</w:t>
      </w:r>
      <w:r>
        <w:rPr>
          <w:rFonts w:hint="eastAsia" w:ascii="黑体" w:eastAsia="黑体"/>
          <w:b/>
          <w:color w:val="auto"/>
          <w:spacing w:val="20"/>
          <w:w w:val="135"/>
          <w:sz w:val="30"/>
          <w:highlight w:val="none"/>
        </w:rPr>
        <w:t>年</w:t>
      </w:r>
      <w:r>
        <w:rPr>
          <w:rFonts w:hint="eastAsia" w:ascii="黑体" w:eastAsia="黑体"/>
          <w:b/>
          <w:color w:val="auto"/>
          <w:spacing w:val="20"/>
          <w:w w:val="135"/>
          <w:sz w:val="30"/>
          <w:highlight w:val="none"/>
          <w:lang w:val="en-US" w:eastAsia="zh-CN"/>
        </w:rPr>
        <w:t>5</w:t>
      </w:r>
      <w:r>
        <w:rPr>
          <w:rFonts w:hint="eastAsia" w:ascii="黑体" w:eastAsia="黑体"/>
          <w:b/>
          <w:color w:val="auto"/>
          <w:spacing w:val="20"/>
          <w:w w:val="135"/>
          <w:sz w:val="30"/>
          <w:highlight w:val="none"/>
        </w:rPr>
        <w:t>月</w:t>
      </w:r>
    </w:p>
    <w:p>
      <w:pPr>
        <w:snapToGrid w:val="0"/>
        <w:jc w:val="center"/>
        <w:rPr>
          <w:rFonts w:eastAsia="黑体"/>
          <w:color w:val="auto"/>
          <w:sz w:val="32"/>
          <w:szCs w:val="28"/>
          <w:highlight w:val="none"/>
        </w:rPr>
      </w:pPr>
      <w:r>
        <w:rPr>
          <w:rFonts w:hint="eastAsia" w:eastAsia="黑体"/>
          <w:color w:val="auto"/>
          <w:sz w:val="32"/>
          <w:szCs w:val="28"/>
          <w:highlight w:val="none"/>
        </w:rPr>
        <w:t>本技术规范书对应的目录</w:t>
      </w:r>
    </w:p>
    <w:tbl>
      <w:tblPr>
        <w:tblStyle w:val="57"/>
        <w:tblW w:w="893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21"/>
        <w:gridCol w:w="27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tcPr>
          <w:p>
            <w:pPr>
              <w:snapToGrid w:val="0"/>
              <w:jc w:val="center"/>
              <w:rPr>
                <w:color w:val="auto"/>
                <w:szCs w:val="21"/>
                <w:highlight w:val="none"/>
              </w:rPr>
            </w:pPr>
            <w:r>
              <w:rPr>
                <w:rFonts w:hint="eastAsia"/>
                <w:color w:val="auto"/>
                <w:szCs w:val="21"/>
                <w:highlight w:val="none"/>
              </w:rPr>
              <w:t>序号</w:t>
            </w:r>
          </w:p>
        </w:tc>
        <w:tc>
          <w:tcPr>
            <w:tcW w:w="5121" w:type="dxa"/>
          </w:tcPr>
          <w:p>
            <w:pPr>
              <w:snapToGrid w:val="0"/>
              <w:jc w:val="center"/>
              <w:rPr>
                <w:color w:val="auto"/>
                <w:szCs w:val="21"/>
                <w:highlight w:val="none"/>
              </w:rPr>
            </w:pPr>
            <w:r>
              <w:rPr>
                <w:rFonts w:hint="eastAsia"/>
                <w:color w:val="auto"/>
                <w:szCs w:val="21"/>
                <w:highlight w:val="none"/>
              </w:rPr>
              <w:t>名称</w:t>
            </w:r>
          </w:p>
        </w:tc>
        <w:tc>
          <w:tcPr>
            <w:tcW w:w="2709" w:type="dxa"/>
          </w:tcPr>
          <w:p>
            <w:pPr>
              <w:snapToGrid w:val="0"/>
              <w:jc w:val="center"/>
              <w:rPr>
                <w:color w:val="auto"/>
                <w:szCs w:val="21"/>
                <w:highlight w:val="none"/>
              </w:rPr>
            </w:pPr>
            <w:r>
              <w:rPr>
                <w:rFonts w:hint="eastAsia" w:hAnsi="宋体"/>
                <w:color w:val="auto"/>
                <w:sz w:val="24"/>
                <w:highlight w:val="none"/>
              </w:rPr>
              <w:t>品类优化清单对应型号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pPr>
              <w:snapToGrid w:val="0"/>
              <w:jc w:val="center"/>
              <w:rPr>
                <w:color w:val="auto"/>
                <w:szCs w:val="21"/>
                <w:highlight w:val="none"/>
              </w:rPr>
            </w:pPr>
            <w:r>
              <w:rPr>
                <w:color w:val="auto"/>
                <w:szCs w:val="21"/>
                <w:highlight w:val="none"/>
              </w:rPr>
              <w:t>1</w:t>
            </w:r>
          </w:p>
        </w:tc>
        <w:tc>
          <w:tcPr>
            <w:tcW w:w="5121" w:type="dxa"/>
          </w:tcPr>
          <w:p>
            <w:pPr>
              <w:rPr>
                <w:color w:val="auto"/>
                <w:highlight w:val="none"/>
              </w:rPr>
            </w:pPr>
            <w:bookmarkStart w:id="3" w:name="_Toc17324"/>
            <w:bookmarkStart w:id="4" w:name="_Toc15077"/>
            <w:bookmarkStart w:id="5" w:name="_Toc30421"/>
            <w:r>
              <w:rPr>
                <w:rFonts w:hint="eastAsia"/>
                <w:color w:val="auto"/>
                <w:highlight w:val="none"/>
                <w:lang w:eastAsia="zh-CN"/>
              </w:rPr>
              <w:t>图像视频核心感知</w:t>
            </w:r>
            <w:r>
              <w:rPr>
                <w:rFonts w:hint="eastAsia"/>
                <w:highlight w:val="none"/>
                <w:lang w:val="en-US" w:eastAsia="zh-CN"/>
              </w:rPr>
              <w:t>模组</w:t>
            </w:r>
            <w:r>
              <w:rPr>
                <w:rFonts w:hint="eastAsia"/>
                <w:color w:val="auto"/>
                <w:highlight w:val="none"/>
                <w:lang w:eastAsia="zh-CN"/>
              </w:rPr>
              <w:t>与传输单元</w:t>
            </w:r>
            <w:r>
              <w:rPr>
                <w:rFonts w:hint="eastAsia"/>
                <w:highlight w:val="none"/>
                <w:lang w:val="en-US" w:eastAsia="zh-CN"/>
              </w:rPr>
              <w:t>模组</w:t>
            </w:r>
            <w:r>
              <w:rPr>
                <w:rFonts w:hint="eastAsia"/>
                <w:color w:val="auto"/>
                <w:highlight w:val="none"/>
                <w:lang w:val="en-US" w:eastAsia="zh-CN"/>
              </w:rPr>
              <w:t>技术</w:t>
            </w:r>
            <w:r>
              <w:rPr>
                <w:rFonts w:hint="eastAsia"/>
                <w:color w:val="auto"/>
                <w:highlight w:val="none"/>
              </w:rPr>
              <w:t>规范书</w:t>
            </w:r>
            <w:bookmarkEnd w:id="3"/>
            <w:bookmarkEnd w:id="4"/>
            <w:bookmarkEnd w:id="5"/>
          </w:p>
        </w:tc>
        <w:tc>
          <w:tcPr>
            <w:tcW w:w="2709" w:type="dxa"/>
          </w:tcPr>
          <w:p>
            <w:pPr>
              <w:snapToGrid w:val="0"/>
              <w:jc w:val="center"/>
              <w:rPr>
                <w:rFonts w:hint="eastAsia" w:eastAsia="宋体"/>
                <w:color w:val="auto"/>
                <w:szCs w:val="21"/>
                <w:highlight w:val="none"/>
                <w:lang w:eastAsia="zh-CN"/>
              </w:rPr>
            </w:pPr>
          </w:p>
        </w:tc>
      </w:tr>
    </w:tbl>
    <w:p>
      <w:pPr>
        <w:spacing w:line="360" w:lineRule="auto"/>
        <w:jc w:val="center"/>
        <w:rPr>
          <w:rFonts w:eastAsia="黑体"/>
          <w:color w:val="auto"/>
          <w:sz w:val="32"/>
          <w:szCs w:val="20"/>
          <w:highlight w:val="none"/>
        </w:rPr>
        <w:sectPr>
          <w:footerReference r:id="rId5" w:type="default"/>
          <w:footerReference r:id="rId6" w:type="even"/>
          <w:pgSz w:w="11906" w:h="16838"/>
          <w:pgMar w:top="1418" w:right="1418" w:bottom="1418" w:left="1365" w:header="851" w:footer="992" w:gutter="0"/>
          <w:cols w:space="425" w:num="1"/>
          <w:titlePg/>
          <w:docGrid w:type="lines" w:linePitch="312" w:charSpace="0"/>
        </w:sectPr>
      </w:pPr>
    </w:p>
    <w:p>
      <w:pPr>
        <w:spacing w:line="360" w:lineRule="auto"/>
        <w:jc w:val="center"/>
        <w:rPr>
          <w:b/>
          <w:color w:val="auto"/>
          <w:highlight w:val="none"/>
        </w:rPr>
      </w:pPr>
      <w:r>
        <w:rPr>
          <w:rFonts w:hint="eastAsia"/>
          <w:b/>
          <w:color w:val="auto"/>
          <w:highlight w:val="none"/>
        </w:rPr>
        <w:t>目</w:t>
      </w:r>
      <w:r>
        <w:rPr>
          <w:b/>
          <w:color w:val="auto"/>
          <w:highlight w:val="none"/>
        </w:rPr>
        <w:t xml:space="preserve">    </w:t>
      </w:r>
      <w:r>
        <w:rPr>
          <w:rFonts w:hint="eastAsia"/>
          <w:b/>
          <w:color w:val="auto"/>
          <w:highlight w:val="none"/>
        </w:rPr>
        <w:t>录</w:t>
      </w:r>
      <w:bookmarkEnd w:id="0"/>
      <w:bookmarkEnd w:id="1"/>
      <w:bookmarkEnd w:id="2"/>
    </w:p>
    <w:p>
      <w:pPr>
        <w:pStyle w:val="39"/>
        <w:tabs>
          <w:tab w:val="right" w:leader="dot" w:pos="9070"/>
        </w:tabs>
      </w:pPr>
      <w:r>
        <w:rPr>
          <w:color w:val="auto"/>
          <w:szCs w:val="21"/>
          <w:highlight w:val="none"/>
        </w:rPr>
        <w:fldChar w:fldCharType="begin"/>
      </w:r>
      <w:r>
        <w:rPr>
          <w:color w:val="auto"/>
          <w:szCs w:val="21"/>
          <w:highlight w:val="none"/>
        </w:rPr>
        <w:instrText xml:space="preserve"> TOC \o "1-2" \h \z \u </w:instrText>
      </w:r>
      <w:r>
        <w:rPr>
          <w:color w:val="auto"/>
          <w:szCs w:val="21"/>
          <w:highlight w:val="none"/>
        </w:rPr>
        <w:fldChar w:fldCharType="separate"/>
      </w:r>
      <w:r>
        <w:rPr>
          <w:color w:val="auto"/>
          <w:szCs w:val="21"/>
          <w:highlight w:val="none"/>
        </w:rPr>
        <w:fldChar w:fldCharType="begin"/>
      </w:r>
      <w:r>
        <w:rPr>
          <w:szCs w:val="21"/>
          <w:highlight w:val="none"/>
        </w:rPr>
        <w:instrText xml:space="preserve"> HYPERLINK \l _Toc15521 </w:instrText>
      </w:r>
      <w:r>
        <w:rPr>
          <w:szCs w:val="21"/>
          <w:highlight w:val="none"/>
        </w:rPr>
        <w:fldChar w:fldCharType="separate"/>
      </w:r>
      <w:r>
        <w:rPr>
          <w:rFonts w:eastAsia="黑体"/>
          <w:szCs w:val="28"/>
          <w:highlight w:val="none"/>
        </w:rPr>
        <w:t>1 总则</w:t>
      </w:r>
      <w:r>
        <w:tab/>
      </w:r>
      <w:r>
        <w:fldChar w:fldCharType="begin"/>
      </w:r>
      <w:r>
        <w:instrText xml:space="preserve"> PAGEREF _Toc15521 \h </w:instrText>
      </w:r>
      <w:r>
        <w:fldChar w:fldCharType="separate"/>
      </w:r>
      <w:r>
        <w:t>2</w:t>
      </w:r>
      <w:r>
        <w:fldChar w:fldCharType="end"/>
      </w:r>
      <w:r>
        <w:rPr>
          <w:color w:val="auto"/>
          <w:szCs w:val="21"/>
          <w:highlight w:val="none"/>
        </w:rPr>
        <w:fldChar w:fldCharType="end"/>
      </w:r>
    </w:p>
    <w:p>
      <w:pPr>
        <w:pStyle w:val="39"/>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_Toc16503 </w:instrText>
      </w:r>
      <w:r>
        <w:rPr>
          <w:rFonts w:ascii="Times New Roman" w:hAnsi="Times New Roman"/>
          <w:szCs w:val="21"/>
          <w:highlight w:val="none"/>
        </w:rPr>
        <w:fldChar w:fldCharType="separate"/>
      </w:r>
      <w:r>
        <w:rPr>
          <w:rFonts w:eastAsia="黑体"/>
          <w:szCs w:val="28"/>
          <w:highlight w:val="none"/>
        </w:rPr>
        <w:t>2 工作范围</w:t>
      </w:r>
      <w:r>
        <w:tab/>
      </w:r>
      <w:r>
        <w:fldChar w:fldCharType="begin"/>
      </w:r>
      <w:r>
        <w:instrText xml:space="preserve"> PAGEREF _Toc16503 \h </w:instrText>
      </w:r>
      <w:r>
        <w:fldChar w:fldCharType="separate"/>
      </w:r>
      <w:r>
        <w:t>3</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_Toc22453 </w:instrText>
      </w:r>
      <w:r>
        <w:rPr>
          <w:rFonts w:ascii="Times New Roman" w:hAnsi="Times New Roman"/>
          <w:szCs w:val="21"/>
          <w:highlight w:val="none"/>
        </w:rPr>
        <w:fldChar w:fldCharType="separate"/>
      </w:r>
      <w:r>
        <w:rPr>
          <w:rFonts w:ascii="Times New Roman" w:hAnsi="Times New Roman" w:eastAsia="黑体"/>
          <w:bCs/>
          <w:szCs w:val="24"/>
          <w:highlight w:val="none"/>
        </w:rPr>
        <w:t>2.1 供货范围</w:t>
      </w:r>
      <w:r>
        <w:tab/>
      </w:r>
      <w:r>
        <w:fldChar w:fldCharType="begin"/>
      </w:r>
      <w:r>
        <w:instrText xml:space="preserve"> PAGEREF _Toc22453 \h </w:instrText>
      </w:r>
      <w:r>
        <w:fldChar w:fldCharType="separate"/>
      </w:r>
      <w:r>
        <w:t>3</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_Toc8038 </w:instrText>
      </w:r>
      <w:r>
        <w:rPr>
          <w:rFonts w:ascii="Times New Roman" w:hAnsi="Times New Roman"/>
          <w:szCs w:val="21"/>
          <w:highlight w:val="none"/>
        </w:rPr>
        <w:fldChar w:fldCharType="separate"/>
      </w:r>
      <w:r>
        <w:rPr>
          <w:szCs w:val="21"/>
          <w:highlight w:val="none"/>
        </w:rPr>
        <w:t>合同供货范围为</w:t>
      </w:r>
      <w:r>
        <w:rPr>
          <w:rFonts w:hint="eastAsia"/>
          <w:highlight w:val="none"/>
          <w:lang w:eastAsia="zh-CN"/>
        </w:rPr>
        <w:t>图像视频核心感知</w:t>
      </w:r>
      <w:r>
        <w:rPr>
          <w:rFonts w:hint="eastAsia"/>
          <w:highlight w:val="none"/>
          <w:lang w:val="en-US" w:eastAsia="zh-CN"/>
        </w:rPr>
        <w:t>模组</w:t>
      </w:r>
      <w:r>
        <w:rPr>
          <w:rFonts w:hint="eastAsia"/>
          <w:highlight w:val="none"/>
          <w:lang w:eastAsia="zh-CN"/>
        </w:rPr>
        <w:t>与传输单元</w:t>
      </w:r>
      <w:r>
        <w:rPr>
          <w:rFonts w:hint="eastAsia"/>
          <w:highlight w:val="none"/>
          <w:lang w:val="en-US" w:eastAsia="zh-CN"/>
        </w:rPr>
        <w:t>模组</w:t>
      </w:r>
      <w:r>
        <w:tab/>
      </w:r>
      <w:r>
        <w:fldChar w:fldCharType="begin"/>
      </w:r>
      <w:r>
        <w:instrText xml:space="preserve"> PAGEREF _Toc8038 \h </w:instrText>
      </w:r>
      <w:r>
        <w:fldChar w:fldCharType="separate"/>
      </w:r>
      <w:r>
        <w:t>3</w:t>
      </w:r>
      <w:r>
        <w:fldChar w:fldCharType="end"/>
      </w:r>
      <w:r>
        <w:rPr>
          <w:rFonts w:ascii="Times New Roman" w:hAnsi="Times New Roman"/>
          <w:color w:val="auto"/>
          <w:szCs w:val="21"/>
          <w:highlight w:val="none"/>
        </w:rPr>
        <w:fldChar w:fldCharType="end"/>
      </w:r>
    </w:p>
    <w:p>
      <w:pPr>
        <w:pStyle w:val="39"/>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_Toc32515 </w:instrText>
      </w:r>
      <w:r>
        <w:rPr>
          <w:rFonts w:ascii="Times New Roman" w:hAnsi="Times New Roman"/>
          <w:szCs w:val="21"/>
          <w:highlight w:val="none"/>
        </w:rPr>
        <w:fldChar w:fldCharType="separate"/>
      </w:r>
      <w:r>
        <w:rPr>
          <w:rFonts w:eastAsia="黑体"/>
          <w:szCs w:val="28"/>
          <w:highlight w:val="none"/>
        </w:rPr>
        <w:t>2.2 服务界限</w:t>
      </w:r>
      <w:r>
        <w:tab/>
      </w:r>
      <w:r>
        <w:fldChar w:fldCharType="begin"/>
      </w:r>
      <w:r>
        <w:instrText xml:space="preserve"> PAGEREF _Toc32515 \h </w:instrText>
      </w:r>
      <w:r>
        <w:fldChar w:fldCharType="separate"/>
      </w:r>
      <w:r>
        <w:t>1</w:t>
      </w:r>
      <w:r>
        <w:fldChar w:fldCharType="end"/>
      </w:r>
      <w:r>
        <w:rPr>
          <w:rFonts w:ascii="Times New Roman" w:hAnsi="Times New Roman"/>
          <w:color w:val="auto"/>
          <w:szCs w:val="21"/>
          <w:highlight w:val="none"/>
        </w:rPr>
        <w:fldChar w:fldCharType="end"/>
      </w:r>
    </w:p>
    <w:p>
      <w:pPr>
        <w:pStyle w:val="39"/>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_Toc24400 </w:instrText>
      </w:r>
      <w:r>
        <w:rPr>
          <w:rFonts w:ascii="Times New Roman" w:hAnsi="Times New Roman"/>
          <w:szCs w:val="21"/>
          <w:highlight w:val="none"/>
        </w:rPr>
        <w:fldChar w:fldCharType="separate"/>
      </w:r>
      <w:r>
        <w:rPr>
          <w:rFonts w:eastAsia="黑体"/>
          <w:szCs w:val="28"/>
          <w:highlight w:val="none"/>
        </w:rPr>
        <w:t>2.3 技术文件</w:t>
      </w:r>
      <w:r>
        <w:tab/>
      </w:r>
      <w:r>
        <w:fldChar w:fldCharType="begin"/>
      </w:r>
      <w:r>
        <w:instrText xml:space="preserve"> PAGEREF _Toc24400 \h </w:instrText>
      </w:r>
      <w:r>
        <w:fldChar w:fldCharType="separate"/>
      </w:r>
      <w:r>
        <w:t>1</w:t>
      </w:r>
      <w:r>
        <w:fldChar w:fldCharType="end"/>
      </w:r>
      <w:r>
        <w:rPr>
          <w:rFonts w:ascii="Times New Roman" w:hAnsi="Times New Roman"/>
          <w:color w:val="auto"/>
          <w:szCs w:val="21"/>
          <w:highlight w:val="none"/>
        </w:rPr>
        <w:fldChar w:fldCharType="end"/>
      </w:r>
    </w:p>
    <w:p>
      <w:pPr>
        <w:pStyle w:val="39"/>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_Toc5998 </w:instrText>
      </w:r>
      <w:r>
        <w:rPr>
          <w:rFonts w:ascii="Times New Roman" w:hAnsi="Times New Roman"/>
          <w:szCs w:val="21"/>
          <w:highlight w:val="none"/>
        </w:rPr>
        <w:fldChar w:fldCharType="separate"/>
      </w:r>
      <w:r>
        <w:rPr>
          <w:rFonts w:eastAsia="黑体"/>
          <w:szCs w:val="28"/>
          <w:highlight w:val="none"/>
        </w:rPr>
        <w:t>3 应遵循的主要标准</w:t>
      </w:r>
      <w:r>
        <w:tab/>
      </w:r>
      <w:r>
        <w:fldChar w:fldCharType="begin"/>
      </w:r>
      <w:r>
        <w:instrText xml:space="preserve"> PAGEREF _Toc5998 \h </w:instrText>
      </w:r>
      <w:r>
        <w:fldChar w:fldCharType="separate"/>
      </w:r>
      <w:r>
        <w:t>1</w:t>
      </w:r>
      <w:r>
        <w:fldChar w:fldCharType="end"/>
      </w:r>
      <w:r>
        <w:rPr>
          <w:rFonts w:ascii="Times New Roman" w:hAnsi="Times New Roman"/>
          <w:color w:val="auto"/>
          <w:szCs w:val="21"/>
          <w:highlight w:val="none"/>
        </w:rPr>
        <w:fldChar w:fldCharType="end"/>
      </w:r>
    </w:p>
    <w:p>
      <w:pPr>
        <w:pStyle w:val="39"/>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_Toc8367 </w:instrText>
      </w:r>
      <w:r>
        <w:rPr>
          <w:rFonts w:ascii="Times New Roman" w:hAnsi="Times New Roman"/>
          <w:szCs w:val="21"/>
          <w:highlight w:val="none"/>
        </w:rPr>
        <w:fldChar w:fldCharType="separate"/>
      </w:r>
      <w:r>
        <w:rPr>
          <w:rFonts w:eastAsia="黑体"/>
          <w:szCs w:val="28"/>
          <w:highlight w:val="none"/>
        </w:rPr>
        <w:t>4 使用条件</w:t>
      </w:r>
      <w:r>
        <w:tab/>
      </w:r>
      <w:r>
        <w:fldChar w:fldCharType="begin"/>
      </w:r>
      <w:r>
        <w:instrText xml:space="preserve"> PAGEREF _Toc8367 \h </w:instrText>
      </w:r>
      <w:r>
        <w:fldChar w:fldCharType="separate"/>
      </w:r>
      <w:r>
        <w:t>3</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_Toc31248 </w:instrText>
      </w:r>
      <w:r>
        <w:rPr>
          <w:rFonts w:ascii="Times New Roman" w:hAnsi="Times New Roman"/>
          <w:szCs w:val="21"/>
          <w:highlight w:val="none"/>
        </w:rPr>
        <w:fldChar w:fldCharType="separate"/>
      </w:r>
      <w:r>
        <w:rPr>
          <w:rFonts w:ascii="Times New Roman" w:hAnsi="Times New Roman" w:eastAsia="黑体"/>
          <w:bCs/>
          <w:szCs w:val="24"/>
          <w:highlight w:val="none"/>
        </w:rPr>
        <w:t>4.1正常工作条件</w:t>
      </w:r>
      <w:r>
        <w:tab/>
      </w:r>
      <w:r>
        <w:fldChar w:fldCharType="begin"/>
      </w:r>
      <w:r>
        <w:instrText xml:space="preserve"> PAGEREF _Toc31248 \h </w:instrText>
      </w:r>
      <w:r>
        <w:fldChar w:fldCharType="separate"/>
      </w:r>
      <w:r>
        <w:t>3</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_Toc12467 </w:instrText>
      </w:r>
      <w:r>
        <w:rPr>
          <w:rFonts w:ascii="Times New Roman" w:hAnsi="Times New Roman"/>
          <w:szCs w:val="21"/>
          <w:highlight w:val="none"/>
        </w:rPr>
        <w:fldChar w:fldCharType="separate"/>
      </w:r>
      <w:r>
        <w:rPr>
          <w:rFonts w:ascii="Times New Roman" w:hAnsi="Times New Roman" w:eastAsia="黑体"/>
          <w:bCs/>
          <w:szCs w:val="24"/>
          <w:highlight w:val="none"/>
        </w:rPr>
        <w:t>4.</w:t>
      </w:r>
      <w:r>
        <w:rPr>
          <w:rFonts w:hint="eastAsia" w:ascii="Times New Roman" w:hAnsi="Times New Roman" w:eastAsia="黑体"/>
          <w:bCs/>
          <w:szCs w:val="24"/>
          <w:highlight w:val="none"/>
          <w:lang w:val="en-US" w:eastAsia="zh-CN"/>
        </w:rPr>
        <w:t>2</w:t>
      </w:r>
      <w:r>
        <w:rPr>
          <w:rFonts w:ascii="Times New Roman" w:hAnsi="Times New Roman" w:eastAsia="黑体"/>
          <w:bCs/>
          <w:szCs w:val="24"/>
          <w:highlight w:val="none"/>
        </w:rPr>
        <w:t xml:space="preserve"> 安全性要求</w:t>
      </w:r>
      <w:r>
        <w:tab/>
      </w:r>
      <w:r>
        <w:fldChar w:fldCharType="begin"/>
      </w:r>
      <w:r>
        <w:instrText xml:space="preserve"> PAGEREF _Toc12467 \h </w:instrText>
      </w:r>
      <w:r>
        <w:fldChar w:fldCharType="separate"/>
      </w:r>
      <w:r>
        <w:t>3</w:t>
      </w:r>
      <w:r>
        <w:fldChar w:fldCharType="end"/>
      </w:r>
      <w:r>
        <w:rPr>
          <w:rFonts w:ascii="Times New Roman" w:hAnsi="Times New Roman"/>
          <w:color w:val="auto"/>
          <w:szCs w:val="21"/>
          <w:highlight w:val="none"/>
        </w:rPr>
        <w:fldChar w:fldCharType="end"/>
      </w:r>
    </w:p>
    <w:p>
      <w:pPr>
        <w:pStyle w:val="39"/>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_Toc7651 </w:instrText>
      </w:r>
      <w:r>
        <w:rPr>
          <w:rFonts w:ascii="Times New Roman" w:hAnsi="Times New Roman"/>
          <w:szCs w:val="21"/>
          <w:highlight w:val="none"/>
        </w:rPr>
        <w:fldChar w:fldCharType="separate"/>
      </w:r>
      <w:r>
        <w:rPr>
          <w:rFonts w:eastAsia="黑体"/>
          <w:szCs w:val="28"/>
          <w:highlight w:val="none"/>
        </w:rPr>
        <w:t>5 技术要求</w:t>
      </w:r>
      <w:r>
        <w:tab/>
      </w:r>
      <w:r>
        <w:fldChar w:fldCharType="begin"/>
      </w:r>
      <w:r>
        <w:instrText xml:space="preserve"> PAGEREF _Toc7651 \h </w:instrText>
      </w:r>
      <w:r>
        <w:fldChar w:fldCharType="separate"/>
      </w:r>
      <w:r>
        <w:t>3</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_Toc22201 </w:instrText>
      </w:r>
      <w:r>
        <w:rPr>
          <w:rFonts w:ascii="Times New Roman" w:hAnsi="Times New Roman"/>
          <w:szCs w:val="21"/>
          <w:highlight w:val="none"/>
        </w:rPr>
        <w:fldChar w:fldCharType="separate"/>
      </w:r>
      <w:r>
        <w:rPr>
          <w:rFonts w:ascii="Times New Roman" w:hAnsi="Times New Roman" w:eastAsia="黑体"/>
          <w:bCs/>
          <w:szCs w:val="24"/>
          <w:highlight w:val="none"/>
        </w:rPr>
        <w:t>5.1 基本功能要求</w:t>
      </w:r>
      <w:r>
        <w:tab/>
      </w:r>
      <w:r>
        <w:fldChar w:fldCharType="begin"/>
      </w:r>
      <w:r>
        <w:instrText xml:space="preserve"> PAGEREF _Toc22201 \h </w:instrText>
      </w:r>
      <w:r>
        <w:fldChar w:fldCharType="separate"/>
      </w:r>
      <w:r>
        <w:t>3</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_Toc20473 </w:instrText>
      </w:r>
      <w:r>
        <w:rPr>
          <w:rFonts w:ascii="Times New Roman" w:hAnsi="Times New Roman"/>
          <w:szCs w:val="21"/>
          <w:highlight w:val="none"/>
        </w:rPr>
        <w:fldChar w:fldCharType="separate"/>
      </w:r>
      <w:r>
        <w:rPr>
          <w:rFonts w:ascii="Times New Roman" w:hAnsi="Times New Roman" w:eastAsia="黑体"/>
          <w:bCs/>
          <w:szCs w:val="24"/>
          <w:highlight w:val="none"/>
        </w:rPr>
        <w:t>5.2 装置技术参数要求</w:t>
      </w:r>
      <w:r>
        <w:tab/>
      </w:r>
      <w:r>
        <w:fldChar w:fldCharType="begin"/>
      </w:r>
      <w:r>
        <w:instrText xml:space="preserve"> PAGEREF _Toc20473 \h </w:instrText>
      </w:r>
      <w:r>
        <w:fldChar w:fldCharType="separate"/>
      </w:r>
      <w:r>
        <w:t>5</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_Toc18977 </w:instrText>
      </w:r>
      <w:r>
        <w:rPr>
          <w:rFonts w:ascii="Times New Roman" w:hAnsi="Times New Roman"/>
          <w:szCs w:val="21"/>
          <w:highlight w:val="none"/>
        </w:rPr>
        <w:fldChar w:fldCharType="separate"/>
      </w:r>
      <w:r>
        <w:rPr>
          <w:rFonts w:ascii="Times New Roman" w:hAnsi="Times New Roman" w:eastAsia="黑体"/>
          <w:bCs/>
          <w:szCs w:val="24"/>
          <w:highlight w:val="none"/>
        </w:rPr>
        <w:t>5.2.</w:t>
      </w:r>
      <w:r>
        <w:rPr>
          <w:rFonts w:hint="eastAsia" w:ascii="Times New Roman" w:hAnsi="Times New Roman" w:eastAsia="黑体"/>
          <w:bCs/>
          <w:szCs w:val="24"/>
          <w:highlight w:val="none"/>
          <w:lang w:val="en-US" w:eastAsia="zh-CN"/>
        </w:rPr>
        <w:t>2</w:t>
      </w:r>
      <w:r>
        <w:rPr>
          <w:rFonts w:ascii="Times New Roman" w:hAnsi="Times New Roman" w:eastAsia="黑体"/>
          <w:bCs/>
          <w:szCs w:val="24"/>
          <w:highlight w:val="none"/>
        </w:rPr>
        <w:t xml:space="preserve"> </w:t>
      </w:r>
      <w:r>
        <w:rPr>
          <w:rFonts w:hint="eastAsia" w:ascii="Times New Roman" w:hAnsi="Times New Roman" w:eastAsia="黑体"/>
          <w:bCs/>
          <w:szCs w:val="24"/>
          <w:highlight w:val="none"/>
          <w:lang w:eastAsia="zh-CN"/>
        </w:rPr>
        <w:t>图像视频核心感知</w:t>
      </w:r>
      <w:r>
        <w:rPr>
          <w:rFonts w:hint="eastAsia" w:ascii="Times New Roman" w:hAnsi="Times New Roman" w:eastAsia="黑体"/>
          <w:bCs/>
          <w:szCs w:val="24"/>
          <w:highlight w:val="none"/>
          <w:lang w:val="en-US" w:eastAsia="zh-CN"/>
        </w:rPr>
        <w:t>模组</w:t>
      </w:r>
      <w:r>
        <w:rPr>
          <w:rFonts w:hint="eastAsia" w:ascii="Times New Roman" w:hAnsi="Times New Roman" w:eastAsia="黑体"/>
          <w:bCs/>
          <w:szCs w:val="24"/>
          <w:highlight w:val="none"/>
          <w:lang w:eastAsia="zh-CN"/>
        </w:rPr>
        <w:t>与传输单元</w:t>
      </w:r>
      <w:r>
        <w:rPr>
          <w:rFonts w:hint="eastAsia" w:ascii="Times New Roman" w:hAnsi="Times New Roman" w:eastAsia="黑体"/>
          <w:bCs/>
          <w:szCs w:val="24"/>
          <w:highlight w:val="none"/>
          <w:lang w:val="en-US" w:eastAsia="zh-CN"/>
        </w:rPr>
        <w:t>模组</w:t>
      </w:r>
      <w:r>
        <w:tab/>
      </w:r>
      <w:r>
        <w:fldChar w:fldCharType="begin"/>
      </w:r>
      <w:r>
        <w:instrText xml:space="preserve"> PAGEREF _Toc18977 \h </w:instrText>
      </w:r>
      <w:r>
        <w:fldChar w:fldCharType="separate"/>
      </w:r>
      <w:r>
        <w:t>6</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_Toc30305 </w:instrText>
      </w:r>
      <w:r>
        <w:rPr>
          <w:rFonts w:ascii="Times New Roman" w:hAnsi="Times New Roman"/>
          <w:szCs w:val="21"/>
          <w:highlight w:val="none"/>
        </w:rPr>
        <w:fldChar w:fldCharType="separate"/>
      </w:r>
      <w:r>
        <w:rPr>
          <w:rFonts w:ascii="Times New Roman" w:hAnsi="Times New Roman" w:eastAsia="黑体"/>
          <w:bCs/>
          <w:szCs w:val="24"/>
          <w:highlight w:val="none"/>
        </w:rPr>
        <w:t>5.</w:t>
      </w:r>
      <w:r>
        <w:rPr>
          <w:rFonts w:hint="eastAsia" w:ascii="Times New Roman" w:hAnsi="Times New Roman" w:eastAsia="黑体"/>
          <w:bCs/>
          <w:szCs w:val="24"/>
          <w:highlight w:val="none"/>
          <w:lang w:val="en-US" w:eastAsia="zh-CN"/>
        </w:rPr>
        <w:t>3</w:t>
      </w:r>
      <w:r>
        <w:rPr>
          <w:rFonts w:ascii="Times New Roman" w:hAnsi="Times New Roman" w:eastAsia="黑体"/>
          <w:bCs/>
          <w:szCs w:val="24"/>
          <w:highlight w:val="none"/>
        </w:rPr>
        <w:t xml:space="preserve"> 定位、对时功能</w:t>
      </w:r>
      <w:r>
        <w:tab/>
      </w:r>
      <w:r>
        <w:fldChar w:fldCharType="begin"/>
      </w:r>
      <w:r>
        <w:instrText xml:space="preserve"> PAGEREF _Toc30305 \h </w:instrText>
      </w:r>
      <w:r>
        <w:fldChar w:fldCharType="separate"/>
      </w:r>
      <w:r>
        <w:t>6</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_Toc31787 </w:instrText>
      </w:r>
      <w:r>
        <w:rPr>
          <w:rFonts w:ascii="Times New Roman" w:hAnsi="Times New Roman"/>
          <w:szCs w:val="21"/>
          <w:highlight w:val="none"/>
        </w:rPr>
        <w:fldChar w:fldCharType="separate"/>
      </w:r>
      <w:r>
        <w:rPr>
          <w:rFonts w:ascii="Times New Roman" w:hAnsi="Times New Roman" w:eastAsia="黑体"/>
          <w:bCs/>
          <w:szCs w:val="24"/>
          <w:highlight w:val="none"/>
        </w:rPr>
        <w:t>5.</w:t>
      </w:r>
      <w:r>
        <w:rPr>
          <w:rFonts w:hint="eastAsia" w:ascii="Times New Roman" w:hAnsi="Times New Roman" w:eastAsia="黑体"/>
          <w:bCs/>
          <w:szCs w:val="24"/>
          <w:highlight w:val="none"/>
          <w:lang w:val="en-US" w:eastAsia="zh-CN"/>
        </w:rPr>
        <w:t>4</w:t>
      </w:r>
      <w:r>
        <w:rPr>
          <w:rFonts w:ascii="Times New Roman" w:hAnsi="Times New Roman" w:eastAsia="黑体"/>
          <w:bCs/>
          <w:szCs w:val="24"/>
          <w:highlight w:val="none"/>
        </w:rPr>
        <w:t xml:space="preserve"> 可靠性要求</w:t>
      </w:r>
      <w:r>
        <w:tab/>
      </w:r>
      <w:r>
        <w:fldChar w:fldCharType="begin"/>
      </w:r>
      <w:r>
        <w:instrText xml:space="preserve"> PAGEREF _Toc31787 \h </w:instrText>
      </w:r>
      <w:r>
        <w:fldChar w:fldCharType="separate"/>
      </w:r>
      <w:r>
        <w:t>6</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_Toc31515 </w:instrText>
      </w:r>
      <w:r>
        <w:rPr>
          <w:rFonts w:ascii="Times New Roman" w:hAnsi="Times New Roman"/>
          <w:szCs w:val="21"/>
          <w:highlight w:val="none"/>
        </w:rPr>
        <w:fldChar w:fldCharType="separate"/>
      </w:r>
      <w:r>
        <w:rPr>
          <w:rFonts w:ascii="Times New Roman" w:hAnsi="Times New Roman" w:eastAsia="黑体"/>
          <w:bCs/>
          <w:szCs w:val="24"/>
          <w:highlight w:val="none"/>
        </w:rPr>
        <w:t>5.</w:t>
      </w:r>
      <w:r>
        <w:rPr>
          <w:rFonts w:hint="eastAsia" w:ascii="Times New Roman" w:hAnsi="Times New Roman" w:eastAsia="黑体"/>
          <w:bCs/>
          <w:szCs w:val="24"/>
          <w:highlight w:val="none"/>
          <w:lang w:val="en-US" w:eastAsia="zh-CN"/>
        </w:rPr>
        <w:t>5</w:t>
      </w:r>
      <w:r>
        <w:rPr>
          <w:rFonts w:ascii="Times New Roman" w:hAnsi="Times New Roman" w:eastAsia="黑体"/>
          <w:bCs/>
          <w:szCs w:val="24"/>
          <w:highlight w:val="none"/>
        </w:rPr>
        <w:t xml:space="preserve"> 功耗要求</w:t>
      </w:r>
      <w:r>
        <w:tab/>
      </w:r>
      <w:r>
        <w:fldChar w:fldCharType="begin"/>
      </w:r>
      <w:r>
        <w:instrText xml:space="preserve"> PAGEREF _Toc31515 \h </w:instrText>
      </w:r>
      <w:r>
        <w:fldChar w:fldCharType="separate"/>
      </w:r>
      <w:r>
        <w:t>6</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_Toc32145 </w:instrText>
      </w:r>
      <w:r>
        <w:rPr>
          <w:rFonts w:ascii="Times New Roman" w:hAnsi="Times New Roman"/>
          <w:szCs w:val="21"/>
          <w:highlight w:val="none"/>
        </w:rPr>
        <w:fldChar w:fldCharType="separate"/>
      </w:r>
      <w:r>
        <w:rPr>
          <w:rFonts w:ascii="Times New Roman" w:hAnsi="Times New Roman" w:eastAsia="黑体"/>
          <w:bCs/>
          <w:szCs w:val="24"/>
          <w:highlight w:val="none"/>
        </w:rPr>
        <w:t>5.</w:t>
      </w:r>
      <w:r>
        <w:rPr>
          <w:rFonts w:hint="eastAsia" w:ascii="Times New Roman" w:hAnsi="Times New Roman" w:eastAsia="黑体"/>
          <w:bCs/>
          <w:szCs w:val="24"/>
          <w:highlight w:val="none"/>
          <w:lang w:val="en-US" w:eastAsia="zh-CN"/>
        </w:rPr>
        <w:t>6</w:t>
      </w:r>
      <w:r>
        <w:rPr>
          <w:rFonts w:ascii="Times New Roman" w:hAnsi="Times New Roman" w:eastAsia="黑体"/>
          <w:bCs/>
          <w:szCs w:val="24"/>
          <w:highlight w:val="none"/>
        </w:rPr>
        <w:t xml:space="preserve"> 外观及结构</w:t>
      </w:r>
      <w:r>
        <w:tab/>
      </w:r>
      <w:r>
        <w:fldChar w:fldCharType="begin"/>
      </w:r>
      <w:r>
        <w:instrText xml:space="preserve"> PAGEREF _Toc32145 \h </w:instrText>
      </w:r>
      <w:r>
        <w:fldChar w:fldCharType="separate"/>
      </w:r>
      <w:r>
        <w:t>7</w:t>
      </w:r>
      <w:r>
        <w:fldChar w:fldCharType="end"/>
      </w:r>
      <w:r>
        <w:rPr>
          <w:rFonts w:ascii="Times New Roman" w:hAnsi="Times New Roman"/>
          <w:color w:val="auto"/>
          <w:szCs w:val="21"/>
          <w:highlight w:val="none"/>
        </w:rPr>
        <w:fldChar w:fldCharType="end"/>
      </w:r>
    </w:p>
    <w:p>
      <w:pPr>
        <w:pStyle w:val="39"/>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_Toc10190 </w:instrText>
      </w:r>
      <w:r>
        <w:rPr>
          <w:rFonts w:ascii="Times New Roman" w:hAnsi="Times New Roman"/>
          <w:szCs w:val="21"/>
          <w:highlight w:val="none"/>
        </w:rPr>
        <w:fldChar w:fldCharType="separate"/>
      </w:r>
      <w:r>
        <w:rPr>
          <w:rFonts w:eastAsia="黑体"/>
          <w:szCs w:val="28"/>
          <w:highlight w:val="none"/>
        </w:rPr>
        <w:t>6 试验项目及要求</w:t>
      </w:r>
      <w:r>
        <w:tab/>
      </w:r>
      <w:r>
        <w:fldChar w:fldCharType="begin"/>
      </w:r>
      <w:r>
        <w:instrText xml:space="preserve"> PAGEREF _Toc10190 \h </w:instrText>
      </w:r>
      <w:r>
        <w:fldChar w:fldCharType="separate"/>
      </w:r>
      <w:r>
        <w:t>7</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_Toc17894 </w:instrText>
      </w:r>
      <w:r>
        <w:rPr>
          <w:rFonts w:ascii="Times New Roman" w:hAnsi="Times New Roman"/>
          <w:szCs w:val="21"/>
          <w:highlight w:val="none"/>
        </w:rPr>
        <w:fldChar w:fldCharType="separate"/>
      </w:r>
      <w:r>
        <w:rPr>
          <w:rFonts w:ascii="Times New Roman" w:hAnsi="Times New Roman" w:eastAsia="黑体"/>
          <w:bCs/>
          <w:szCs w:val="24"/>
          <w:highlight w:val="none"/>
        </w:rPr>
        <w:t>6.1 试验环境</w:t>
      </w:r>
      <w:r>
        <w:tab/>
      </w:r>
      <w:r>
        <w:fldChar w:fldCharType="begin"/>
      </w:r>
      <w:r>
        <w:instrText xml:space="preserve"> PAGEREF _Toc17894 \h </w:instrText>
      </w:r>
      <w:r>
        <w:fldChar w:fldCharType="separate"/>
      </w:r>
      <w:r>
        <w:t>7</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_Toc16419 </w:instrText>
      </w:r>
      <w:r>
        <w:rPr>
          <w:rFonts w:ascii="Times New Roman" w:hAnsi="Times New Roman"/>
          <w:szCs w:val="21"/>
          <w:highlight w:val="none"/>
        </w:rPr>
        <w:fldChar w:fldCharType="separate"/>
      </w:r>
      <w:r>
        <w:rPr>
          <w:rFonts w:ascii="Times New Roman" w:hAnsi="Times New Roman" w:eastAsia="黑体"/>
          <w:bCs/>
          <w:szCs w:val="24"/>
          <w:highlight w:val="none"/>
        </w:rPr>
        <w:t>6.2 基本功能试验（数据传输规约测试）</w:t>
      </w:r>
      <w:r>
        <w:tab/>
      </w:r>
      <w:r>
        <w:fldChar w:fldCharType="begin"/>
      </w:r>
      <w:r>
        <w:instrText xml:space="preserve"> PAGEREF _Toc16419 \h </w:instrText>
      </w:r>
      <w:r>
        <w:fldChar w:fldCharType="separate"/>
      </w:r>
      <w:r>
        <w:t>7</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_Toc4875 </w:instrText>
      </w:r>
      <w:r>
        <w:rPr>
          <w:rFonts w:ascii="Times New Roman" w:hAnsi="Times New Roman"/>
          <w:szCs w:val="21"/>
          <w:highlight w:val="none"/>
        </w:rPr>
        <w:fldChar w:fldCharType="separate"/>
      </w:r>
      <w:r>
        <w:rPr>
          <w:rFonts w:hint="eastAsia" w:ascii="Times New Roman" w:hAnsi="Times New Roman" w:eastAsia="黑体"/>
          <w:bCs/>
          <w:szCs w:val="24"/>
          <w:highlight w:val="none"/>
          <w:lang w:val="en-US" w:eastAsia="zh-CN"/>
        </w:rPr>
        <w:t>6.3</w:t>
      </w:r>
      <w:r>
        <w:rPr>
          <w:rFonts w:ascii="Times New Roman" w:hAnsi="Times New Roman" w:eastAsia="黑体"/>
          <w:bCs/>
          <w:szCs w:val="24"/>
          <w:highlight w:val="none"/>
        </w:rPr>
        <w:t>按照“GB/T 17626.2 电磁兼容 试验和测量技术 静电放电抗扰度试验”中规定，并在下述条件下进行：电磁兼容性能试验</w:t>
      </w:r>
      <w:r>
        <w:tab/>
      </w:r>
      <w:r>
        <w:fldChar w:fldCharType="begin"/>
      </w:r>
      <w:r>
        <w:instrText xml:space="preserve"> PAGEREF _Toc4875 \h </w:instrText>
      </w:r>
      <w:r>
        <w:fldChar w:fldCharType="separate"/>
      </w:r>
      <w:r>
        <w:t>7</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_Toc22506 </w:instrText>
      </w:r>
      <w:r>
        <w:rPr>
          <w:rFonts w:ascii="Times New Roman" w:hAnsi="Times New Roman"/>
          <w:szCs w:val="21"/>
          <w:highlight w:val="none"/>
        </w:rPr>
        <w:fldChar w:fldCharType="separate"/>
      </w:r>
      <w:r>
        <w:rPr>
          <w:rFonts w:ascii="Times New Roman" w:hAnsi="Times New Roman" w:eastAsia="黑体"/>
          <w:bCs/>
          <w:szCs w:val="24"/>
          <w:highlight w:val="none"/>
        </w:rPr>
        <w:t>6.</w:t>
      </w:r>
      <w:r>
        <w:rPr>
          <w:rFonts w:hint="eastAsia" w:ascii="Times New Roman" w:hAnsi="Times New Roman" w:eastAsia="黑体"/>
          <w:bCs/>
          <w:szCs w:val="24"/>
          <w:highlight w:val="none"/>
          <w:lang w:val="en-US" w:eastAsia="zh-CN"/>
        </w:rPr>
        <w:t>4</w:t>
      </w:r>
      <w:r>
        <w:rPr>
          <w:rFonts w:ascii="Times New Roman" w:hAnsi="Times New Roman" w:eastAsia="黑体"/>
          <w:bCs/>
          <w:szCs w:val="24"/>
          <w:highlight w:val="none"/>
        </w:rPr>
        <w:t xml:space="preserve"> 环境适应性能试验</w:t>
      </w:r>
      <w:r>
        <w:tab/>
      </w:r>
      <w:r>
        <w:fldChar w:fldCharType="begin"/>
      </w:r>
      <w:r>
        <w:instrText xml:space="preserve"> PAGEREF _Toc22506 \h </w:instrText>
      </w:r>
      <w:r>
        <w:fldChar w:fldCharType="separate"/>
      </w:r>
      <w:r>
        <w:t>9</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_Toc2361 </w:instrText>
      </w:r>
      <w:r>
        <w:rPr>
          <w:rFonts w:ascii="Times New Roman" w:hAnsi="Times New Roman"/>
          <w:szCs w:val="21"/>
          <w:highlight w:val="none"/>
        </w:rPr>
        <w:fldChar w:fldCharType="separate"/>
      </w:r>
      <w:r>
        <w:rPr>
          <w:rFonts w:ascii="Times New Roman" w:hAnsi="Times New Roman" w:eastAsia="黑体"/>
          <w:bCs/>
          <w:szCs w:val="24"/>
          <w:highlight w:val="none"/>
        </w:rPr>
        <w:t>6.</w:t>
      </w:r>
      <w:r>
        <w:rPr>
          <w:rFonts w:hint="eastAsia" w:ascii="Times New Roman" w:hAnsi="Times New Roman" w:eastAsia="黑体"/>
          <w:bCs/>
          <w:szCs w:val="24"/>
          <w:highlight w:val="none"/>
          <w:lang w:val="en-US" w:eastAsia="zh-CN"/>
        </w:rPr>
        <w:t>5</w:t>
      </w:r>
      <w:r>
        <w:rPr>
          <w:rFonts w:ascii="Times New Roman" w:hAnsi="Times New Roman" w:eastAsia="黑体"/>
          <w:bCs/>
          <w:szCs w:val="24"/>
          <w:highlight w:val="none"/>
        </w:rPr>
        <w:t xml:space="preserve"> 机械性能试验</w:t>
      </w:r>
      <w:r>
        <w:tab/>
      </w:r>
      <w:r>
        <w:fldChar w:fldCharType="begin"/>
      </w:r>
      <w:r>
        <w:instrText xml:space="preserve"> PAGEREF _Toc2361 \h </w:instrText>
      </w:r>
      <w:r>
        <w:fldChar w:fldCharType="separate"/>
      </w:r>
      <w:r>
        <w:t>10</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_Toc2934 </w:instrText>
      </w:r>
      <w:r>
        <w:rPr>
          <w:rFonts w:ascii="Times New Roman" w:hAnsi="Times New Roman"/>
          <w:szCs w:val="21"/>
          <w:highlight w:val="none"/>
        </w:rPr>
        <w:fldChar w:fldCharType="separate"/>
      </w:r>
      <w:r>
        <w:rPr>
          <w:rFonts w:ascii="Times New Roman" w:hAnsi="Times New Roman" w:eastAsia="黑体"/>
          <w:bCs/>
          <w:szCs w:val="24"/>
          <w:highlight w:val="none"/>
        </w:rPr>
        <w:t>6.</w:t>
      </w:r>
      <w:r>
        <w:rPr>
          <w:rFonts w:hint="eastAsia" w:ascii="Times New Roman" w:hAnsi="Times New Roman" w:eastAsia="黑体"/>
          <w:bCs/>
          <w:szCs w:val="24"/>
          <w:highlight w:val="none"/>
          <w:lang w:val="en-US" w:eastAsia="zh-CN"/>
        </w:rPr>
        <w:t>6</w:t>
      </w:r>
      <w:r>
        <w:rPr>
          <w:rFonts w:ascii="Times New Roman" w:hAnsi="Times New Roman" w:eastAsia="黑体"/>
          <w:bCs/>
          <w:szCs w:val="24"/>
          <w:highlight w:val="none"/>
        </w:rPr>
        <w:t xml:space="preserve"> 性能及功耗试验</w:t>
      </w:r>
      <w:r>
        <w:tab/>
      </w:r>
      <w:r>
        <w:fldChar w:fldCharType="begin"/>
      </w:r>
      <w:r>
        <w:instrText xml:space="preserve"> PAGEREF _Toc2934 \h </w:instrText>
      </w:r>
      <w:r>
        <w:fldChar w:fldCharType="separate"/>
      </w:r>
      <w:r>
        <w:t>10</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_Toc16498 </w:instrText>
      </w:r>
      <w:r>
        <w:rPr>
          <w:rFonts w:ascii="Times New Roman" w:hAnsi="Times New Roman"/>
          <w:szCs w:val="21"/>
          <w:highlight w:val="none"/>
        </w:rPr>
        <w:fldChar w:fldCharType="separate"/>
      </w:r>
      <w:r>
        <w:rPr>
          <w:rFonts w:ascii="Times New Roman" w:hAnsi="Times New Roman" w:eastAsia="黑体"/>
          <w:bCs/>
          <w:szCs w:val="24"/>
          <w:highlight w:val="none"/>
        </w:rPr>
        <w:t>6.</w:t>
      </w:r>
      <w:r>
        <w:rPr>
          <w:rFonts w:hint="eastAsia" w:ascii="Times New Roman" w:hAnsi="Times New Roman" w:eastAsia="黑体"/>
          <w:bCs/>
          <w:szCs w:val="24"/>
          <w:highlight w:val="none"/>
          <w:lang w:val="en-US" w:eastAsia="zh-CN"/>
        </w:rPr>
        <w:t>7</w:t>
      </w:r>
      <w:r>
        <w:rPr>
          <w:rFonts w:ascii="Times New Roman" w:hAnsi="Times New Roman" w:eastAsia="黑体"/>
          <w:bCs/>
          <w:szCs w:val="24"/>
          <w:highlight w:val="none"/>
        </w:rPr>
        <w:t>可见光相机功能及性能试验</w:t>
      </w:r>
      <w:r>
        <w:tab/>
      </w:r>
      <w:r>
        <w:fldChar w:fldCharType="begin"/>
      </w:r>
      <w:r>
        <w:instrText xml:space="preserve"> PAGEREF _Toc16498 \h </w:instrText>
      </w:r>
      <w:r>
        <w:fldChar w:fldCharType="separate"/>
      </w:r>
      <w:r>
        <w:t>11</w:t>
      </w:r>
      <w:r>
        <w:fldChar w:fldCharType="end"/>
      </w:r>
      <w:r>
        <w:rPr>
          <w:rFonts w:ascii="Times New Roman" w:hAnsi="Times New Roman"/>
          <w:color w:val="auto"/>
          <w:szCs w:val="21"/>
          <w:highlight w:val="none"/>
        </w:rPr>
        <w:fldChar w:fldCharType="end"/>
      </w:r>
    </w:p>
    <w:p>
      <w:pPr>
        <w:pStyle w:val="39"/>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_Toc13269 </w:instrText>
      </w:r>
      <w:r>
        <w:rPr>
          <w:rFonts w:ascii="Times New Roman" w:hAnsi="Times New Roman"/>
          <w:szCs w:val="21"/>
          <w:highlight w:val="none"/>
        </w:rPr>
        <w:fldChar w:fldCharType="separate"/>
      </w:r>
      <w:r>
        <w:rPr>
          <w:rFonts w:eastAsia="黑体"/>
          <w:szCs w:val="28"/>
          <w:highlight w:val="none"/>
        </w:rPr>
        <w:t>7 检验规则</w:t>
      </w:r>
      <w:r>
        <w:tab/>
      </w:r>
      <w:r>
        <w:fldChar w:fldCharType="begin"/>
      </w:r>
      <w:r>
        <w:instrText xml:space="preserve"> PAGEREF _Toc13269 \h </w:instrText>
      </w:r>
      <w:r>
        <w:fldChar w:fldCharType="separate"/>
      </w:r>
      <w:r>
        <w:t>13</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_Toc4692 </w:instrText>
      </w:r>
      <w:r>
        <w:rPr>
          <w:rFonts w:ascii="Times New Roman" w:hAnsi="Times New Roman"/>
          <w:szCs w:val="21"/>
          <w:highlight w:val="none"/>
        </w:rPr>
        <w:fldChar w:fldCharType="separate"/>
      </w:r>
      <w:r>
        <w:rPr>
          <w:rFonts w:ascii="Times New Roman" w:hAnsi="Times New Roman" w:eastAsia="黑体"/>
          <w:bCs/>
          <w:szCs w:val="24"/>
          <w:highlight w:val="none"/>
        </w:rPr>
        <w:t xml:space="preserve">7.1 </w:t>
      </w:r>
      <w:r>
        <w:rPr>
          <w:rFonts w:hint="eastAsia" w:ascii="Times New Roman" w:hAnsi="Times New Roman" w:eastAsia="黑体"/>
          <w:bCs/>
          <w:szCs w:val="24"/>
          <w:highlight w:val="none"/>
          <w:lang w:val="en-US" w:eastAsia="zh-CN"/>
        </w:rPr>
        <w:t>委托</w:t>
      </w:r>
      <w:r>
        <w:rPr>
          <w:rFonts w:ascii="Times New Roman" w:hAnsi="Times New Roman" w:eastAsia="黑体"/>
          <w:bCs/>
          <w:szCs w:val="24"/>
          <w:highlight w:val="none"/>
        </w:rPr>
        <w:t>试验</w:t>
      </w:r>
      <w:r>
        <w:tab/>
      </w:r>
      <w:r>
        <w:fldChar w:fldCharType="begin"/>
      </w:r>
      <w:r>
        <w:instrText xml:space="preserve"> PAGEREF _Toc4692 \h </w:instrText>
      </w:r>
      <w:r>
        <w:fldChar w:fldCharType="separate"/>
      </w:r>
      <w:r>
        <w:t>13</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_Toc15824 </w:instrText>
      </w:r>
      <w:r>
        <w:rPr>
          <w:rFonts w:ascii="Times New Roman" w:hAnsi="Times New Roman"/>
          <w:szCs w:val="21"/>
          <w:highlight w:val="none"/>
        </w:rPr>
        <w:fldChar w:fldCharType="separate"/>
      </w:r>
      <w:r>
        <w:rPr>
          <w:rFonts w:ascii="Times New Roman" w:hAnsi="Times New Roman" w:eastAsia="黑体"/>
          <w:bCs/>
          <w:szCs w:val="24"/>
          <w:highlight w:val="none"/>
        </w:rPr>
        <w:t>7.2 出厂检验</w:t>
      </w:r>
      <w:r>
        <w:tab/>
      </w:r>
      <w:r>
        <w:fldChar w:fldCharType="begin"/>
      </w:r>
      <w:r>
        <w:instrText xml:space="preserve"> PAGEREF _Toc15824 \h </w:instrText>
      </w:r>
      <w:r>
        <w:fldChar w:fldCharType="separate"/>
      </w:r>
      <w:r>
        <w:t>14</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_Toc21410 </w:instrText>
      </w:r>
      <w:r>
        <w:rPr>
          <w:rFonts w:ascii="Times New Roman" w:hAnsi="Times New Roman"/>
          <w:szCs w:val="21"/>
          <w:highlight w:val="none"/>
        </w:rPr>
        <w:fldChar w:fldCharType="separate"/>
      </w:r>
      <w:r>
        <w:rPr>
          <w:rFonts w:ascii="Times New Roman" w:hAnsi="Times New Roman" w:eastAsia="黑体"/>
          <w:bCs/>
          <w:szCs w:val="24"/>
          <w:highlight w:val="none"/>
        </w:rPr>
        <w:t>7.3 送样检测</w:t>
      </w:r>
      <w:r>
        <w:tab/>
      </w:r>
      <w:r>
        <w:fldChar w:fldCharType="begin"/>
      </w:r>
      <w:r>
        <w:instrText xml:space="preserve"> PAGEREF _Toc21410 \h </w:instrText>
      </w:r>
      <w:r>
        <w:fldChar w:fldCharType="separate"/>
      </w:r>
      <w:r>
        <w:t>14</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_Toc16850 </w:instrText>
      </w:r>
      <w:r>
        <w:rPr>
          <w:rFonts w:ascii="Times New Roman" w:hAnsi="Times New Roman"/>
          <w:szCs w:val="21"/>
          <w:highlight w:val="none"/>
        </w:rPr>
        <w:fldChar w:fldCharType="separate"/>
      </w:r>
      <w:r>
        <w:rPr>
          <w:rFonts w:ascii="Times New Roman" w:hAnsi="Times New Roman" w:eastAsia="黑体"/>
          <w:bCs/>
          <w:szCs w:val="24"/>
          <w:highlight w:val="none"/>
        </w:rPr>
        <w:t>7.4 到货抽检</w:t>
      </w:r>
      <w:r>
        <w:tab/>
      </w:r>
      <w:r>
        <w:fldChar w:fldCharType="begin"/>
      </w:r>
      <w:r>
        <w:instrText xml:space="preserve"> PAGEREF _Toc16850 \h </w:instrText>
      </w:r>
      <w:r>
        <w:fldChar w:fldCharType="separate"/>
      </w:r>
      <w:r>
        <w:t>14</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_Toc16128 </w:instrText>
      </w:r>
      <w:r>
        <w:rPr>
          <w:rFonts w:ascii="Times New Roman" w:hAnsi="Times New Roman"/>
          <w:szCs w:val="21"/>
          <w:highlight w:val="none"/>
        </w:rPr>
        <w:fldChar w:fldCharType="separate"/>
      </w:r>
      <w:r>
        <w:rPr>
          <w:rFonts w:ascii="Times New Roman" w:hAnsi="Times New Roman" w:eastAsia="黑体"/>
          <w:bCs/>
          <w:szCs w:val="24"/>
          <w:highlight w:val="none"/>
        </w:rPr>
        <w:t>7.5 交接试验</w:t>
      </w:r>
      <w:r>
        <w:tab/>
      </w:r>
      <w:r>
        <w:fldChar w:fldCharType="begin"/>
      </w:r>
      <w:r>
        <w:instrText xml:space="preserve"> PAGEREF _Toc16128 \h </w:instrText>
      </w:r>
      <w:r>
        <w:fldChar w:fldCharType="separate"/>
      </w:r>
      <w:r>
        <w:t>14</w:t>
      </w:r>
      <w:r>
        <w:fldChar w:fldCharType="end"/>
      </w:r>
      <w:r>
        <w:rPr>
          <w:rFonts w:ascii="Times New Roman" w:hAnsi="Times New Roman"/>
          <w:color w:val="auto"/>
          <w:szCs w:val="21"/>
          <w:highlight w:val="none"/>
        </w:rPr>
        <w:fldChar w:fldCharType="end"/>
      </w:r>
    </w:p>
    <w:p>
      <w:pPr>
        <w:pStyle w:val="39"/>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_Toc11306 </w:instrText>
      </w:r>
      <w:r>
        <w:rPr>
          <w:rFonts w:ascii="Times New Roman" w:hAnsi="Times New Roman"/>
          <w:szCs w:val="21"/>
          <w:highlight w:val="none"/>
        </w:rPr>
        <w:fldChar w:fldCharType="separate"/>
      </w:r>
      <w:r>
        <w:rPr>
          <w:rFonts w:eastAsia="黑体"/>
          <w:szCs w:val="28"/>
          <w:highlight w:val="none"/>
        </w:rPr>
        <w:t>8 技术联络、技术培训及售后服务</w:t>
      </w:r>
      <w:r>
        <w:tab/>
      </w:r>
      <w:r>
        <w:fldChar w:fldCharType="begin"/>
      </w:r>
      <w:r>
        <w:instrText xml:space="preserve"> PAGEREF _Toc11306 \h </w:instrText>
      </w:r>
      <w:r>
        <w:fldChar w:fldCharType="separate"/>
      </w:r>
      <w:r>
        <w:t>15</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_Toc17083 </w:instrText>
      </w:r>
      <w:r>
        <w:rPr>
          <w:rFonts w:ascii="Times New Roman" w:hAnsi="Times New Roman"/>
          <w:szCs w:val="21"/>
          <w:highlight w:val="none"/>
        </w:rPr>
        <w:fldChar w:fldCharType="separate"/>
      </w:r>
      <w:r>
        <w:rPr>
          <w:rFonts w:ascii="Times New Roman" w:hAnsi="Times New Roman" w:eastAsia="黑体"/>
          <w:bCs/>
          <w:szCs w:val="24"/>
          <w:highlight w:val="none"/>
        </w:rPr>
        <w:t>8.1 技术联络</w:t>
      </w:r>
      <w:r>
        <w:tab/>
      </w:r>
      <w:r>
        <w:fldChar w:fldCharType="begin"/>
      </w:r>
      <w:r>
        <w:instrText xml:space="preserve"> PAGEREF _Toc17083 \h </w:instrText>
      </w:r>
      <w:r>
        <w:fldChar w:fldCharType="separate"/>
      </w:r>
      <w:r>
        <w:t>15</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_Toc74 </w:instrText>
      </w:r>
      <w:r>
        <w:rPr>
          <w:rFonts w:ascii="Times New Roman" w:hAnsi="Times New Roman"/>
          <w:szCs w:val="21"/>
          <w:highlight w:val="none"/>
        </w:rPr>
        <w:fldChar w:fldCharType="separate"/>
      </w:r>
      <w:r>
        <w:rPr>
          <w:rFonts w:ascii="Times New Roman" w:hAnsi="Times New Roman" w:eastAsia="黑体"/>
          <w:bCs/>
          <w:szCs w:val="24"/>
          <w:highlight w:val="none"/>
        </w:rPr>
        <w:t>8.2 技术培训</w:t>
      </w:r>
      <w:r>
        <w:tab/>
      </w:r>
      <w:r>
        <w:fldChar w:fldCharType="begin"/>
      </w:r>
      <w:r>
        <w:instrText xml:space="preserve"> PAGEREF _Toc74 \h </w:instrText>
      </w:r>
      <w:r>
        <w:fldChar w:fldCharType="separate"/>
      </w:r>
      <w:r>
        <w:t>15</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_Toc12685 </w:instrText>
      </w:r>
      <w:r>
        <w:rPr>
          <w:rFonts w:ascii="Times New Roman" w:hAnsi="Times New Roman"/>
          <w:szCs w:val="21"/>
          <w:highlight w:val="none"/>
        </w:rPr>
        <w:fldChar w:fldCharType="separate"/>
      </w:r>
      <w:r>
        <w:rPr>
          <w:rFonts w:ascii="Times New Roman" w:hAnsi="Times New Roman" w:eastAsia="黑体"/>
          <w:bCs/>
          <w:szCs w:val="24"/>
          <w:highlight w:val="none"/>
        </w:rPr>
        <w:t>8.3 售后服务</w:t>
      </w:r>
      <w:r>
        <w:tab/>
      </w:r>
      <w:r>
        <w:fldChar w:fldCharType="begin"/>
      </w:r>
      <w:r>
        <w:instrText xml:space="preserve"> PAGEREF _Toc12685 \h </w:instrText>
      </w:r>
      <w:r>
        <w:fldChar w:fldCharType="separate"/>
      </w:r>
      <w:r>
        <w:t>15</w:t>
      </w:r>
      <w:r>
        <w:fldChar w:fldCharType="end"/>
      </w:r>
      <w:r>
        <w:rPr>
          <w:rFonts w:ascii="Times New Roman" w:hAnsi="Times New Roman"/>
          <w:color w:val="auto"/>
          <w:szCs w:val="21"/>
          <w:highlight w:val="none"/>
        </w:rPr>
        <w:fldChar w:fldCharType="end"/>
      </w:r>
    </w:p>
    <w:p>
      <w:pPr>
        <w:pStyle w:val="39"/>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_Toc22242 </w:instrText>
      </w:r>
      <w:r>
        <w:rPr>
          <w:rFonts w:ascii="Times New Roman" w:hAnsi="Times New Roman"/>
          <w:szCs w:val="21"/>
          <w:highlight w:val="none"/>
        </w:rPr>
        <w:fldChar w:fldCharType="separate"/>
      </w:r>
      <w:r>
        <w:rPr>
          <w:rFonts w:eastAsia="黑体"/>
          <w:szCs w:val="28"/>
          <w:highlight w:val="none"/>
        </w:rPr>
        <w:t>9 标志、包装、运输、贮存</w:t>
      </w:r>
      <w:r>
        <w:tab/>
      </w:r>
      <w:r>
        <w:fldChar w:fldCharType="begin"/>
      </w:r>
      <w:r>
        <w:instrText xml:space="preserve"> PAGEREF _Toc22242 \h </w:instrText>
      </w:r>
      <w:r>
        <w:fldChar w:fldCharType="separate"/>
      </w:r>
      <w:r>
        <w:t>15</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_Toc5819 </w:instrText>
      </w:r>
      <w:r>
        <w:rPr>
          <w:rFonts w:ascii="Times New Roman" w:hAnsi="Times New Roman"/>
          <w:szCs w:val="21"/>
          <w:highlight w:val="none"/>
        </w:rPr>
        <w:fldChar w:fldCharType="separate"/>
      </w:r>
      <w:r>
        <w:rPr>
          <w:rFonts w:ascii="Times New Roman" w:hAnsi="Times New Roman" w:eastAsia="黑体"/>
          <w:bCs/>
          <w:szCs w:val="24"/>
          <w:highlight w:val="none"/>
        </w:rPr>
        <w:t>9.1 标志</w:t>
      </w:r>
      <w:r>
        <w:tab/>
      </w:r>
      <w:r>
        <w:fldChar w:fldCharType="begin"/>
      </w:r>
      <w:r>
        <w:instrText xml:space="preserve"> PAGEREF _Toc5819 \h </w:instrText>
      </w:r>
      <w:r>
        <w:fldChar w:fldCharType="separate"/>
      </w:r>
      <w:r>
        <w:t>15</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_Toc30228 </w:instrText>
      </w:r>
      <w:r>
        <w:rPr>
          <w:rFonts w:ascii="Times New Roman" w:hAnsi="Times New Roman"/>
          <w:szCs w:val="21"/>
          <w:highlight w:val="none"/>
        </w:rPr>
        <w:fldChar w:fldCharType="separate"/>
      </w:r>
      <w:r>
        <w:rPr>
          <w:rFonts w:ascii="Times New Roman" w:hAnsi="Times New Roman" w:eastAsia="黑体"/>
          <w:bCs/>
          <w:szCs w:val="24"/>
          <w:highlight w:val="none"/>
        </w:rPr>
        <w:t>9.2 包装</w:t>
      </w:r>
      <w:r>
        <w:tab/>
      </w:r>
      <w:r>
        <w:fldChar w:fldCharType="begin"/>
      </w:r>
      <w:r>
        <w:instrText xml:space="preserve"> PAGEREF _Toc30228 \h </w:instrText>
      </w:r>
      <w:r>
        <w:fldChar w:fldCharType="separate"/>
      </w:r>
      <w:r>
        <w:t>16</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_Toc12299 </w:instrText>
      </w:r>
      <w:r>
        <w:rPr>
          <w:rFonts w:ascii="Times New Roman" w:hAnsi="Times New Roman"/>
          <w:szCs w:val="21"/>
          <w:highlight w:val="none"/>
        </w:rPr>
        <w:fldChar w:fldCharType="separate"/>
      </w:r>
      <w:r>
        <w:rPr>
          <w:rFonts w:ascii="Times New Roman" w:hAnsi="Times New Roman" w:eastAsia="黑体"/>
          <w:bCs/>
          <w:szCs w:val="24"/>
          <w:highlight w:val="none"/>
        </w:rPr>
        <w:t>9.3 运输</w:t>
      </w:r>
      <w:r>
        <w:tab/>
      </w:r>
      <w:r>
        <w:fldChar w:fldCharType="begin"/>
      </w:r>
      <w:r>
        <w:instrText xml:space="preserve"> PAGEREF _Toc12299 \h </w:instrText>
      </w:r>
      <w:r>
        <w:fldChar w:fldCharType="separate"/>
      </w:r>
      <w:r>
        <w:t>17</w:t>
      </w:r>
      <w:r>
        <w:fldChar w:fldCharType="end"/>
      </w:r>
      <w:r>
        <w:rPr>
          <w:rFonts w:ascii="Times New Roman" w:hAnsi="Times New Roman"/>
          <w:color w:val="auto"/>
          <w:szCs w:val="21"/>
          <w:highlight w:val="none"/>
        </w:rPr>
        <w:fldChar w:fldCharType="end"/>
      </w:r>
    </w:p>
    <w:p>
      <w:pPr>
        <w:pStyle w:val="50"/>
        <w:tabs>
          <w:tab w:val="right" w:leader="dot" w:pos="9070"/>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_Toc7190 </w:instrText>
      </w:r>
      <w:r>
        <w:rPr>
          <w:rFonts w:ascii="Times New Roman" w:hAnsi="Times New Roman"/>
          <w:szCs w:val="21"/>
          <w:highlight w:val="none"/>
        </w:rPr>
        <w:fldChar w:fldCharType="separate"/>
      </w:r>
      <w:r>
        <w:rPr>
          <w:rFonts w:ascii="Times New Roman" w:hAnsi="Times New Roman" w:eastAsia="黑体"/>
          <w:bCs/>
          <w:szCs w:val="24"/>
          <w:highlight w:val="none"/>
        </w:rPr>
        <w:t>9.4 贮存</w:t>
      </w:r>
      <w:r>
        <w:tab/>
      </w:r>
      <w:r>
        <w:fldChar w:fldCharType="begin"/>
      </w:r>
      <w:r>
        <w:instrText xml:space="preserve"> PAGEREF _Toc7190 \h </w:instrText>
      </w:r>
      <w:r>
        <w:fldChar w:fldCharType="separate"/>
      </w:r>
      <w:r>
        <w:t>17</w:t>
      </w:r>
      <w:r>
        <w:fldChar w:fldCharType="end"/>
      </w:r>
      <w:r>
        <w:rPr>
          <w:rFonts w:ascii="Times New Roman" w:hAnsi="Times New Roman"/>
          <w:color w:val="auto"/>
          <w:szCs w:val="21"/>
          <w:highlight w:val="none"/>
        </w:rPr>
        <w:fldChar w:fldCharType="end"/>
      </w:r>
    </w:p>
    <w:p>
      <w:pPr>
        <w:pStyle w:val="30"/>
        <w:spacing w:line="360" w:lineRule="auto"/>
        <w:rPr>
          <w:rFonts w:ascii="Times New Roman" w:hAnsi="Times New Roman"/>
          <w:color w:val="auto"/>
          <w:szCs w:val="21"/>
          <w:highlight w:val="none"/>
        </w:rPr>
      </w:pPr>
      <w:r>
        <w:rPr>
          <w:rFonts w:ascii="Times New Roman" w:hAnsi="Times New Roman"/>
          <w:color w:val="auto"/>
          <w:szCs w:val="21"/>
          <w:highlight w:val="none"/>
        </w:rPr>
        <w:fldChar w:fldCharType="end"/>
      </w:r>
    </w:p>
    <w:p>
      <w:pPr>
        <w:spacing w:line="360" w:lineRule="auto"/>
        <w:outlineLvl w:val="0"/>
        <w:rPr>
          <w:rFonts w:eastAsia="黑体"/>
          <w:color w:val="auto"/>
          <w:sz w:val="28"/>
          <w:szCs w:val="28"/>
          <w:highlight w:val="none"/>
        </w:rPr>
      </w:pPr>
      <w:bookmarkStart w:id="6" w:name="_Toc29230"/>
      <w:bookmarkStart w:id="7" w:name="_Toc30445"/>
      <w:bookmarkStart w:id="8" w:name="_Toc168869391"/>
      <w:bookmarkStart w:id="9" w:name="_Toc500920831"/>
      <w:bookmarkStart w:id="10" w:name="_Toc31464"/>
      <w:bookmarkStart w:id="11" w:name="_Toc18481"/>
      <w:bookmarkStart w:id="12" w:name="_Toc12266"/>
      <w:bookmarkStart w:id="13" w:name="_Toc2655"/>
      <w:bookmarkStart w:id="14" w:name="_Toc224531919"/>
      <w:bookmarkStart w:id="15" w:name="_Toc29809"/>
      <w:bookmarkStart w:id="16" w:name="_Toc22406"/>
      <w:bookmarkStart w:id="17" w:name="_Toc16539"/>
      <w:bookmarkStart w:id="18" w:name="_Toc224274558"/>
      <w:bookmarkStart w:id="19" w:name="_Toc28819"/>
      <w:bookmarkStart w:id="20" w:name="_Toc20321"/>
      <w:bookmarkStart w:id="21" w:name="_Toc15521"/>
      <w:r>
        <w:rPr>
          <w:rFonts w:eastAsia="黑体"/>
          <w:color w:val="auto"/>
          <w:sz w:val="28"/>
          <w:szCs w:val="28"/>
          <w:highlight w:val="none"/>
        </w:rPr>
        <w:t>1 总则</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1.1本技术规范书适用于中国南方电网公司电网设备采购</w:t>
      </w:r>
      <w:r>
        <w:rPr>
          <w:rFonts w:hint="eastAsia"/>
          <w:color w:val="auto"/>
          <w:highlight w:val="none"/>
          <w:lang w:eastAsia="zh-CN"/>
        </w:rPr>
        <w:t>图像视频核心感知</w:t>
      </w:r>
      <w:r>
        <w:rPr>
          <w:rFonts w:hint="eastAsia"/>
          <w:highlight w:val="none"/>
          <w:lang w:val="en-US" w:eastAsia="zh-CN"/>
        </w:rPr>
        <w:t>模组</w:t>
      </w:r>
      <w:r>
        <w:rPr>
          <w:rFonts w:hint="eastAsia"/>
          <w:color w:val="auto"/>
          <w:highlight w:val="none"/>
          <w:lang w:eastAsia="zh-CN"/>
        </w:rPr>
        <w:t>与传输单元</w:t>
      </w:r>
      <w:r>
        <w:rPr>
          <w:rFonts w:hint="eastAsia"/>
          <w:highlight w:val="none"/>
          <w:lang w:val="en-US" w:eastAsia="zh-CN"/>
        </w:rPr>
        <w:t>模组</w:t>
      </w:r>
      <w:r>
        <w:rPr>
          <w:rFonts w:ascii="Times New Roman" w:hAnsi="Times New Roman"/>
          <w:color w:val="auto"/>
          <w:kern w:val="0"/>
          <w:szCs w:val="21"/>
          <w:highlight w:val="none"/>
        </w:rPr>
        <w:t>设计、结构、性能、安装和试验等方面的技术要求。</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1.2本技术条件提出的是最低限度的技术要求。凡本技术条件中未规定，但在相关设备的国家标准或IEC标准中有规定的规范条文，投标方应按相应标准的条文进行设备设计、制造、试验和安装。对国家有关安全、环保等强制性标准，必须满足其要求。</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1.3如果投标方没有以书面形式对本规范书的条文提出异议，则意味着投标方提供的设备完全符合本规范书的要求。如有异议，不管多么微小，都应在报价书中以“对规范书的意见和同规范书的差异”为标题的专门章节中加以详细描述。</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1.4本技术规范书所使用的标准如遇与投标方所执行的标准不一致时，按较高标准执行。</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1.5本技术规范书经招标方、投标方确认后作为订货合同的技术附件，与合同正文具有同等的法律效力。</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1.6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1.7投标方应在应标技术部分按本技术条件的要求如实详细的填写应标设备的标准配置表，并在应标商务部分按此标准配置进行报价，如发现二者有矛盾之处，将对评标工作有不同程度的影响。</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1.8投标方应充分理解本技术条件并按本技术条件的具体条款、格式要求填写应标的技术文件，如发现应标的技术文件条款、格式不符合本技术条件的要求，则认为应标不严肃，在评标时将有不同程度的扣分。</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1.9本技术规范书未尽事宜，由招标方、投标方协商确定。</w:t>
      </w:r>
    </w:p>
    <w:p>
      <w:pPr>
        <w:pStyle w:val="30"/>
        <w:spacing w:line="360" w:lineRule="auto"/>
        <w:rPr>
          <w:rFonts w:ascii="Times New Roman" w:hAnsi="Times New Roman"/>
          <w:color w:val="auto"/>
          <w:szCs w:val="21"/>
          <w:highlight w:val="none"/>
        </w:rPr>
      </w:pPr>
      <w:r>
        <w:rPr>
          <w:rFonts w:ascii="Times New Roman" w:hAnsi="Times New Roman"/>
          <w:color w:val="auto"/>
          <w:kern w:val="0"/>
          <w:szCs w:val="21"/>
          <w:highlight w:val="none"/>
        </w:rPr>
        <w:t>1.10投标方应提供不少于5年的产品质量保证期。</w:t>
      </w:r>
    </w:p>
    <w:p>
      <w:pPr>
        <w:rPr>
          <w:rFonts w:eastAsia="黑体"/>
          <w:color w:val="auto"/>
          <w:sz w:val="28"/>
          <w:szCs w:val="28"/>
          <w:highlight w:val="none"/>
        </w:rPr>
      </w:pPr>
      <w:bookmarkStart w:id="22" w:name="_Toc500920832"/>
      <w:bookmarkStart w:id="23" w:name="_Toc26308"/>
      <w:bookmarkStart w:id="24" w:name="_Toc26745"/>
      <w:r>
        <w:rPr>
          <w:rFonts w:eastAsia="黑体"/>
          <w:color w:val="auto"/>
          <w:sz w:val="28"/>
          <w:szCs w:val="28"/>
          <w:highlight w:val="none"/>
        </w:rPr>
        <w:br w:type="page"/>
      </w:r>
    </w:p>
    <w:p>
      <w:pPr>
        <w:spacing w:line="360" w:lineRule="auto"/>
        <w:outlineLvl w:val="0"/>
        <w:rPr>
          <w:rFonts w:eastAsia="黑体"/>
          <w:color w:val="auto"/>
          <w:sz w:val="28"/>
          <w:szCs w:val="28"/>
          <w:highlight w:val="none"/>
        </w:rPr>
      </w:pPr>
      <w:bookmarkStart w:id="25" w:name="_Toc24727"/>
      <w:bookmarkStart w:id="26" w:name="_Toc168869392"/>
      <w:bookmarkStart w:id="27" w:name="_Toc18198"/>
      <w:bookmarkStart w:id="28" w:name="_Toc20655"/>
      <w:bookmarkStart w:id="29" w:name="_Toc23046"/>
      <w:bookmarkStart w:id="30" w:name="_Toc6740"/>
      <w:bookmarkStart w:id="31" w:name="_Toc26097"/>
      <w:bookmarkStart w:id="32" w:name="_Toc7208"/>
      <w:bookmarkStart w:id="33" w:name="_Toc31891"/>
      <w:bookmarkStart w:id="34" w:name="_Toc31268"/>
      <w:bookmarkStart w:id="35" w:name="_Toc16503"/>
      <w:r>
        <w:rPr>
          <w:rFonts w:eastAsia="黑体"/>
          <w:color w:val="auto"/>
          <w:sz w:val="28"/>
          <w:szCs w:val="28"/>
          <w:highlight w:val="none"/>
        </w:rPr>
        <w:t>2 工作范围</w:t>
      </w:r>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Style w:val="3"/>
        <w:spacing w:before="0" w:after="0" w:line="360" w:lineRule="auto"/>
        <w:rPr>
          <w:rFonts w:ascii="Times New Roman" w:hAnsi="Times New Roman" w:eastAsia="黑体"/>
          <w:b w:val="0"/>
          <w:bCs/>
          <w:color w:val="auto"/>
          <w:sz w:val="24"/>
          <w:szCs w:val="24"/>
          <w:highlight w:val="none"/>
        </w:rPr>
      </w:pPr>
      <w:bookmarkStart w:id="36" w:name="_Toc7768"/>
      <w:bookmarkStart w:id="37" w:name="_Toc168869393"/>
      <w:bookmarkStart w:id="38" w:name="_Toc19420"/>
      <w:bookmarkStart w:id="39" w:name="_Toc500920833"/>
      <w:bookmarkStart w:id="40" w:name="_Toc26"/>
      <w:bookmarkStart w:id="41" w:name="_Toc12897"/>
      <w:bookmarkStart w:id="42" w:name="_Toc8546"/>
      <w:bookmarkStart w:id="43" w:name="_Toc12139"/>
      <w:bookmarkStart w:id="44" w:name="_Toc26595"/>
      <w:bookmarkStart w:id="45" w:name="_Toc14240"/>
      <w:bookmarkStart w:id="46" w:name="_Toc11129"/>
      <w:bookmarkStart w:id="47" w:name="_Toc145"/>
      <w:bookmarkStart w:id="48" w:name="_Toc18536"/>
      <w:bookmarkStart w:id="49" w:name="_Toc22453"/>
      <w:r>
        <w:rPr>
          <w:rFonts w:ascii="Times New Roman" w:hAnsi="Times New Roman" w:eastAsia="黑体"/>
          <w:b w:val="0"/>
          <w:bCs/>
          <w:color w:val="auto"/>
          <w:sz w:val="24"/>
          <w:szCs w:val="24"/>
          <w:highlight w:val="none"/>
        </w:rPr>
        <w:t>2.1 供货范围</w:t>
      </w:r>
      <w:bookmarkEnd w:id="36"/>
      <w:bookmarkEnd w:id="37"/>
      <w:bookmarkEnd w:id="38"/>
      <w:bookmarkEnd w:id="39"/>
      <w:bookmarkEnd w:id="40"/>
      <w:bookmarkEnd w:id="41"/>
      <w:bookmarkEnd w:id="42"/>
      <w:bookmarkEnd w:id="43"/>
      <w:bookmarkEnd w:id="44"/>
      <w:bookmarkEnd w:id="45"/>
      <w:bookmarkEnd w:id="46"/>
      <w:bookmarkEnd w:id="47"/>
      <w:bookmarkEnd w:id="48"/>
      <w:bookmarkEnd w:id="49"/>
    </w:p>
    <w:p>
      <w:pPr>
        <w:pStyle w:val="3"/>
        <w:spacing w:before="0" w:after="0" w:line="360" w:lineRule="auto"/>
        <w:rPr>
          <w:rFonts w:hint="eastAsia" w:eastAsia="宋体"/>
          <w:color w:val="auto"/>
          <w:szCs w:val="21"/>
          <w:highlight w:val="none"/>
          <w:lang w:eastAsia="zh-CN"/>
        </w:rPr>
      </w:pPr>
      <w:bookmarkStart w:id="50" w:name="_Toc8038"/>
      <w:r>
        <w:rPr>
          <w:color w:val="auto"/>
          <w:szCs w:val="21"/>
          <w:highlight w:val="none"/>
        </w:rPr>
        <w:t>合同供货范围为</w:t>
      </w:r>
      <w:r>
        <w:rPr>
          <w:rFonts w:hint="eastAsia"/>
          <w:color w:val="auto"/>
          <w:highlight w:val="none"/>
          <w:lang w:eastAsia="zh-CN"/>
        </w:rPr>
        <w:t>图像视频核心感知</w:t>
      </w:r>
      <w:r>
        <w:rPr>
          <w:rFonts w:hint="eastAsia"/>
          <w:highlight w:val="none"/>
          <w:lang w:val="en-US" w:eastAsia="zh-CN"/>
        </w:rPr>
        <w:t>模组</w:t>
      </w:r>
      <w:r>
        <w:rPr>
          <w:rFonts w:hint="eastAsia"/>
          <w:color w:val="auto"/>
          <w:highlight w:val="none"/>
          <w:lang w:eastAsia="zh-CN"/>
        </w:rPr>
        <w:t>与传输单元</w:t>
      </w:r>
      <w:r>
        <w:rPr>
          <w:rFonts w:hint="eastAsia"/>
          <w:highlight w:val="none"/>
          <w:lang w:val="en-US" w:eastAsia="zh-CN"/>
        </w:rPr>
        <w:t>模组</w:t>
      </w:r>
      <w:bookmarkEnd w:id="50"/>
    </w:p>
    <w:p>
      <w:pPr>
        <w:numPr>
          <w:ilvl w:val="255"/>
          <w:numId w:val="0"/>
        </w:numPr>
        <w:spacing w:line="360" w:lineRule="auto"/>
        <w:rPr>
          <w:color w:val="auto"/>
          <w:szCs w:val="21"/>
          <w:highlight w:val="none"/>
        </w:rPr>
      </w:pPr>
      <w:r>
        <w:rPr>
          <w:rFonts w:hint="eastAsia"/>
          <w:color w:val="auto"/>
          <w:highlight w:val="none"/>
          <w:lang w:eastAsia="zh-CN"/>
        </w:rPr>
        <w:t>图像视频核心感知</w:t>
      </w:r>
      <w:r>
        <w:rPr>
          <w:rFonts w:hint="eastAsia"/>
          <w:highlight w:val="none"/>
          <w:lang w:val="en-US" w:eastAsia="zh-CN"/>
        </w:rPr>
        <w:t>模组</w:t>
      </w:r>
      <w:r>
        <w:rPr>
          <w:rFonts w:hint="eastAsia"/>
          <w:color w:val="auto"/>
          <w:highlight w:val="none"/>
          <w:lang w:eastAsia="zh-CN"/>
        </w:rPr>
        <w:t>与传输单元</w:t>
      </w:r>
      <w:r>
        <w:rPr>
          <w:rFonts w:hint="eastAsia"/>
          <w:highlight w:val="none"/>
          <w:lang w:val="en-US" w:eastAsia="zh-CN"/>
        </w:rPr>
        <w:t>模组</w:t>
      </w:r>
      <w:r>
        <w:rPr>
          <w:rFonts w:hint="eastAsia" w:ascii="宋体" w:hAnsi="宋体"/>
          <w:szCs w:val="21"/>
          <w:highlight w:val="none"/>
        </w:rPr>
        <w:t>参数特性见表1。</w:t>
      </w:r>
    </w:p>
    <w:p>
      <w:pPr>
        <w:pStyle w:val="238"/>
        <w:spacing w:line="240" w:lineRule="auto"/>
        <w:rPr>
          <w:highlight w:val="none"/>
        </w:rPr>
      </w:pPr>
      <w:r>
        <w:rPr>
          <w:rFonts w:hint="eastAsia"/>
          <w:highlight w:val="none"/>
        </w:rPr>
        <w:t>表1　</w:t>
      </w:r>
      <w:r>
        <w:rPr>
          <w:rFonts w:hint="eastAsia"/>
          <w:spacing w:val="30"/>
          <w:highlight w:val="none"/>
        </w:rPr>
        <w:t>技术参数特性</w:t>
      </w:r>
      <w:r>
        <w:rPr>
          <w:rFonts w:hint="eastAsia"/>
          <w:highlight w:val="none"/>
        </w:rPr>
        <w:t>表</w:t>
      </w:r>
    </w:p>
    <w:tbl>
      <w:tblPr>
        <w:tblStyle w:val="5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38"/>
        <w:gridCol w:w="760"/>
        <w:gridCol w:w="5719"/>
        <w:gridCol w:w="492"/>
        <w:gridCol w:w="18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2" w:hRule="atLeast"/>
          <w:tblHeader/>
          <w:jc w:val="center"/>
        </w:trPr>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eastAsia="宋体"/>
                <w:b/>
                <w:highlight w:val="none"/>
                <w:lang w:val="en-US" w:eastAsia="zh-CN"/>
              </w:rPr>
            </w:pPr>
            <w:r>
              <w:rPr>
                <w:rFonts w:hint="eastAsia"/>
                <w:b/>
                <w:highlight w:val="none"/>
                <w:lang w:val="en-US" w:eastAsia="zh-CN"/>
              </w:rPr>
              <w:t>序号</w:t>
            </w:r>
          </w:p>
        </w:tc>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default"/>
                <w:b/>
                <w:highlight w:val="none"/>
                <w:lang w:val="en-US" w:eastAsia="zh-CN"/>
              </w:rPr>
            </w:pPr>
            <w:r>
              <w:rPr>
                <w:rFonts w:hint="eastAsia"/>
                <w:b/>
                <w:highlight w:val="none"/>
                <w:lang w:val="en-US" w:eastAsia="zh-CN"/>
              </w:rPr>
              <w:t>单元</w:t>
            </w:r>
          </w:p>
        </w:tc>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b/>
                <w:highlight w:val="none"/>
              </w:rPr>
            </w:pPr>
            <w:r>
              <w:rPr>
                <w:rFonts w:hint="eastAsia"/>
                <w:b/>
                <w:highlight w:val="none"/>
              </w:rPr>
              <w:t>名称</w:t>
            </w:r>
          </w:p>
        </w:tc>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eastAsia="宋体"/>
                <w:b/>
                <w:highlight w:val="none"/>
                <w:lang w:val="en-US" w:eastAsia="zh-CN"/>
              </w:rPr>
            </w:pPr>
            <w:r>
              <w:rPr>
                <w:rFonts w:hint="eastAsia"/>
                <w:b/>
                <w:highlight w:val="none"/>
                <w:lang w:val="en-US" w:eastAsia="zh-CN"/>
              </w:rPr>
              <w:t>单位</w:t>
            </w:r>
          </w:p>
        </w:tc>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b/>
                <w:highlight w:val="none"/>
              </w:rPr>
            </w:pPr>
            <w:r>
              <w:rPr>
                <w:rFonts w:hint="eastAsia" w:ascii="宋体" w:hAnsi="宋体"/>
                <w:szCs w:val="21"/>
                <w:highlight w:val="none"/>
              </w:rPr>
              <w:t>标准参数</w:t>
            </w:r>
            <w:r>
              <w:rPr>
                <w:rFonts w:ascii="宋体" w:hAnsi="宋体"/>
                <w:szCs w:val="21"/>
                <w:highlight w:val="none"/>
              </w:rPr>
              <w:t>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9" w:hRule="atLeast"/>
          <w:jc w:val="center"/>
        </w:trPr>
        <w:tc>
          <w:tcPr>
            <w:tcW w:w="0" w:type="auto"/>
            <w:vMerge w:val="restart"/>
            <w:tcBorders>
              <w:top w:val="single" w:color="000000" w:sz="4" w:space="0"/>
              <w:left w:val="single" w:color="000000" w:sz="4" w:space="0"/>
              <w:right w:val="single" w:color="000000" w:sz="4" w:space="0"/>
            </w:tcBorders>
            <w:noWrap w:val="0"/>
            <w:vAlign w:val="center"/>
          </w:tcPr>
          <w:p>
            <w:pPr>
              <w:pStyle w:val="453"/>
              <w:keepNext w:val="0"/>
              <w:keepLines w:val="0"/>
              <w:pageBreakBefore w:val="0"/>
              <w:numPr>
                <w:ilvl w:val="0"/>
                <w:numId w:val="31"/>
              </w:numPr>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restart"/>
            <w:tcBorders>
              <w:top w:val="single" w:color="000000" w:sz="4" w:space="0"/>
              <w:left w:val="single" w:color="000000" w:sz="4" w:space="0"/>
              <w:right w:val="single" w:color="000000" w:sz="4" w:space="0"/>
            </w:tcBorders>
            <w:noWrap w:val="0"/>
            <w:vAlign w:val="center"/>
          </w:tcPr>
          <w:p>
            <w:pPr>
              <w:pStyle w:val="453"/>
              <w:keepNext w:val="0"/>
              <w:keepLines w:val="0"/>
              <w:pageBreakBefore w:val="0"/>
              <w:numPr>
                <w:ilvl w:val="0"/>
                <w:numId w:val="0"/>
              </w:numPr>
              <w:kinsoku/>
              <w:wordWrap/>
              <w:overflowPunct/>
              <w:autoSpaceDE/>
              <w:autoSpaceDN/>
              <w:bidi w:val="0"/>
              <w:adjustRightInd/>
              <w:spacing w:before="50" w:beforeLines="0" w:after="50" w:afterLines="0"/>
              <w:ind w:leftChars="0"/>
              <w:jc w:val="both"/>
              <w:textAlignment w:val="auto"/>
              <w:rPr>
                <w:rFonts w:hint="default" w:ascii="Times New Roman" w:hAnsi="Times New Roman" w:eastAsia="宋体"/>
                <w:highlight w:val="none"/>
                <w:lang w:val="en-US" w:eastAsia="zh-CN"/>
              </w:rPr>
            </w:pPr>
            <w:r>
              <w:rPr>
                <w:rFonts w:hint="eastAsia"/>
                <w:highlight w:val="none"/>
                <w:lang w:val="en-US" w:eastAsia="zh-CN"/>
              </w:rPr>
              <w:t>图像视频核心感知模组</w:t>
            </w:r>
          </w:p>
        </w:tc>
        <w:tc>
          <w:tcPr>
            <w:tcW w:w="0" w:type="auto"/>
            <w:tcBorders>
              <w:top w:val="single" w:color="000000" w:sz="4" w:space="0"/>
              <w:left w:val="single" w:color="000000" w:sz="4" w:space="0"/>
              <w:right w:val="single" w:color="000000" w:sz="4" w:space="0"/>
            </w:tcBorders>
            <w:noWrap w:val="0"/>
            <w:vAlign w:val="center"/>
          </w:tcPr>
          <w:p>
            <w:pPr>
              <w:pStyle w:val="453"/>
              <w:spacing w:before="50" w:beforeLines="0" w:after="50" w:afterLines="0"/>
              <w:rPr>
                <w:highlight w:val="none"/>
              </w:rPr>
            </w:pPr>
            <w:r>
              <w:rPr>
                <w:rFonts w:hint="eastAsia"/>
                <w:highlight w:val="none"/>
              </w:rPr>
              <w:t>单台</w:t>
            </w:r>
            <w:r>
              <w:rPr>
                <w:highlight w:val="none"/>
              </w:rPr>
              <w:t>设备总重量</w:t>
            </w:r>
          </w:p>
        </w:tc>
        <w:tc>
          <w:tcPr>
            <w:tcW w:w="0" w:type="auto"/>
            <w:tcBorders>
              <w:top w:val="single" w:color="000000" w:sz="4" w:space="0"/>
              <w:left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highlight w:val="none"/>
                <w:lang w:val="en-US" w:eastAsia="zh-CN"/>
              </w:rPr>
              <w:t>k</w:t>
            </w:r>
            <w:r>
              <w:rPr>
                <w:rFonts w:hint="eastAsia"/>
                <w:highlight w:val="none"/>
              </w:rPr>
              <w:t>g</w:t>
            </w:r>
          </w:p>
        </w:tc>
        <w:tc>
          <w:tcPr>
            <w:tcW w:w="0" w:type="auto"/>
            <w:tcBorders>
              <w:top w:val="single" w:color="000000" w:sz="4" w:space="0"/>
              <w:left w:val="single" w:color="000000" w:sz="4" w:space="0"/>
              <w:right w:val="single" w:color="000000" w:sz="4" w:space="0"/>
            </w:tcBorders>
            <w:noWrap w:val="0"/>
            <w:vAlign w:val="center"/>
          </w:tcPr>
          <w:p>
            <w:pPr>
              <w:pStyle w:val="453"/>
              <w:spacing w:before="50" w:beforeLines="0" w:after="50" w:afterLines="0"/>
              <w:rPr>
                <w:rFonts w:hint="default"/>
                <w:highlight w:val="none"/>
                <w:lang w:val="en-US"/>
              </w:rPr>
            </w:pPr>
            <w:r>
              <w:rPr>
                <w:rFonts w:hint="eastAsia"/>
                <w:highlight w:val="none"/>
              </w:rPr>
              <w:t>≤</w:t>
            </w:r>
            <w:r>
              <w:rPr>
                <w:rFonts w:hint="eastAsia"/>
                <w:highlight w:val="none"/>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noWrap w:val="0"/>
            <w:vAlign w:val="center"/>
          </w:tcPr>
          <w:p>
            <w:pPr>
              <w:pStyle w:val="453"/>
              <w:spacing w:before="50" w:beforeLines="0" w:after="50" w:afterLines="0"/>
              <w:rPr>
                <w:highlight w:val="none"/>
              </w:rPr>
            </w:pPr>
            <w:r>
              <w:rPr>
                <w:rFonts w:hint="eastAsia"/>
                <w:highlight w:val="none"/>
              </w:rPr>
              <w:t>总功耗</w:t>
            </w:r>
          </w:p>
        </w:tc>
        <w:tc>
          <w:tcPr>
            <w:tcW w:w="0" w:type="auto"/>
            <w:tcBorders>
              <w:top w:val="single" w:color="000000" w:sz="4" w:space="0"/>
              <w:left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highlight w:val="none"/>
              </w:rPr>
              <w:t>W</w:t>
            </w:r>
          </w:p>
        </w:tc>
        <w:tc>
          <w:tcPr>
            <w:tcW w:w="0" w:type="auto"/>
            <w:tcBorders>
              <w:top w:val="single" w:color="000000" w:sz="4" w:space="0"/>
              <w:left w:val="single" w:color="000000" w:sz="4" w:space="0"/>
              <w:right w:val="single" w:color="000000" w:sz="4" w:space="0"/>
            </w:tcBorders>
            <w:noWrap w:val="0"/>
            <w:vAlign w:val="center"/>
          </w:tcPr>
          <w:p>
            <w:pPr>
              <w:pStyle w:val="453"/>
              <w:spacing w:before="50" w:beforeLines="0" w:after="50" w:afterLines="0"/>
              <w:rPr>
                <w:highlight w:val="none"/>
              </w:rPr>
            </w:pPr>
            <w:r>
              <w:rPr>
                <w:rFonts w:hint="eastAsia"/>
                <w:highlight w:val="none"/>
              </w:rPr>
              <w:t>≤</w:t>
            </w:r>
            <w:r>
              <w:rPr>
                <w:rFonts w:hint="eastAsia"/>
                <w:highlight w:val="none"/>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color w:val="auto"/>
                <w:kern w:val="2"/>
                <w:sz w:val="18"/>
                <w:szCs w:val="24"/>
                <w:highlight w:val="none"/>
                <w:lang w:val="en-US" w:eastAsia="zh-CN" w:bidi="ar-SA"/>
              </w:rPr>
            </w:pPr>
            <w:r>
              <w:rPr>
                <w:rFonts w:hint="eastAsia"/>
                <w:color w:val="auto"/>
                <w:highlight w:val="none"/>
                <w:lang w:val="en-US" w:eastAsia="zh-CN"/>
              </w:rPr>
              <w:t>主</w:t>
            </w:r>
            <w:r>
              <w:rPr>
                <w:rFonts w:hint="eastAsia"/>
                <w:color w:val="auto"/>
                <w:highlight w:val="none"/>
              </w:rPr>
              <w:t>摄像</w:t>
            </w:r>
            <w:r>
              <w:rPr>
                <w:rFonts w:hint="eastAsia"/>
                <w:color w:val="auto"/>
                <w:highlight w:val="none"/>
                <w:lang w:val="en-US" w:eastAsia="zh-CN"/>
              </w:rPr>
              <w:t>机</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color w:val="auto"/>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color w:val="auto"/>
                <w:kern w:val="2"/>
                <w:sz w:val="18"/>
                <w:szCs w:val="24"/>
                <w:highlight w:val="none"/>
                <w:lang w:val="en-US" w:eastAsia="zh-CN" w:bidi="ar-SA"/>
              </w:rPr>
            </w:pPr>
            <w:r>
              <w:rPr>
                <w:rFonts w:hint="eastAsia"/>
                <w:color w:val="auto"/>
                <w:highlight w:val="none"/>
              </w:rPr>
              <w:t>最低像素1200万</w:t>
            </w:r>
            <w:r>
              <w:rPr>
                <w:rFonts w:hint="eastAsia"/>
                <w:color w:val="auto"/>
                <w:highlight w:val="none"/>
                <w:lang w:val="en-US" w:eastAsia="zh-CN"/>
              </w:rPr>
              <w:t>+200万夜视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color w:val="auto"/>
                <w:kern w:val="2"/>
                <w:sz w:val="18"/>
                <w:szCs w:val="24"/>
                <w:highlight w:val="none"/>
                <w:lang w:val="en-US" w:eastAsia="zh-CN" w:bidi="ar-SA"/>
              </w:rPr>
            </w:pPr>
            <w:r>
              <w:rPr>
                <w:rFonts w:hint="eastAsia"/>
                <w:color w:val="auto"/>
                <w:highlight w:val="none"/>
                <w:lang w:val="en-US" w:eastAsia="zh-CN"/>
              </w:rPr>
              <w:t>副摄像机</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color w:val="auto"/>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default" w:ascii="Times New Roman" w:hAnsi="Times New Roman" w:eastAsia="宋体" w:cs="Times New Roman"/>
                <w:color w:val="auto"/>
                <w:kern w:val="2"/>
                <w:sz w:val="18"/>
                <w:szCs w:val="24"/>
                <w:highlight w:val="none"/>
                <w:lang w:val="en-US" w:eastAsia="zh-CN" w:bidi="ar-SA"/>
              </w:rPr>
            </w:pPr>
            <w:r>
              <w:rPr>
                <w:rFonts w:hint="eastAsia"/>
                <w:color w:val="auto"/>
                <w:highlight w:val="none"/>
              </w:rPr>
              <w:t>最低像素1200万</w:t>
            </w:r>
            <w:r>
              <w:rPr>
                <w:rFonts w:hint="eastAsia"/>
                <w:color w:val="auto"/>
                <w:highlight w:val="none"/>
                <w:lang w:eastAsia="zh-CN"/>
              </w:rPr>
              <w:t>，</w:t>
            </w:r>
            <w:r>
              <w:rPr>
                <w:rFonts w:hint="eastAsia"/>
                <w:color w:val="auto"/>
                <w:highlight w:val="none"/>
                <w:lang w:val="en-US" w:eastAsia="zh-CN"/>
              </w:rPr>
              <w:t>数量2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lang w:val="en-US" w:eastAsia="zh-CN"/>
              </w:rPr>
              <w:t>主副摄像机同步拍照要求</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lang w:val="en-US" w:eastAsia="zh-CN"/>
              </w:rPr>
              <w:t>ms</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w:t>
            </w:r>
            <w:r>
              <w:rPr>
                <w:rFonts w:hint="eastAsia"/>
                <w:highlight w:val="none"/>
                <w:lang w:val="en-US" w:eastAsia="zh-CN"/>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lang w:val="en-US" w:eastAsia="zh-CN"/>
              </w:rPr>
              <w:t>主副机连接方式</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lang w:val="en-US" w:eastAsia="zh-CN"/>
              </w:rPr>
              <w:t>有线连接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lang w:val="en-US" w:eastAsia="zh-CN"/>
              </w:rPr>
              <w:t>副机供电方式</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lang w:val="en-US" w:eastAsia="zh-CN"/>
              </w:rPr>
              <w:t>通过主机连线供电，不独立供电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18"/>
                <w:highlight w:val="none"/>
                <w:lang w:val="en-US" w:eastAsia="zh-CN" w:bidi="ar-SA"/>
              </w:rPr>
            </w:pPr>
            <w:r>
              <w:rPr>
                <w:rFonts w:hint="eastAsia"/>
                <w:szCs w:val="18"/>
                <w:highlight w:val="none"/>
              </w:rPr>
              <w:t>低照度夜视功能</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物理像素不应低于200万，微光下可识别异常对象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lang w:val="en-US" w:eastAsia="zh-CN"/>
              </w:rPr>
              <w:t>主摄像机</w:t>
            </w:r>
            <w:r>
              <w:rPr>
                <w:rFonts w:hint="eastAsia"/>
                <w:highlight w:val="none"/>
              </w:rPr>
              <w:t>图像分辨率</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lang w:val="en-US" w:eastAsia="zh-CN"/>
              </w:rPr>
              <w:t>I1传图</w:t>
            </w:r>
            <w:r>
              <w:rPr>
                <w:rFonts w:hint="eastAsia"/>
                <w:highlight w:val="none"/>
              </w:rPr>
              <w:t>≥1920</w:t>
            </w:r>
            <w:r>
              <w:rPr>
                <w:rFonts w:hint="eastAsia"/>
                <w:highlight w:val="none"/>
                <w:lang w:val="en-US" w:eastAsia="zh-CN"/>
              </w:rPr>
              <w:t>*1080，同步拍照</w:t>
            </w:r>
            <w:r>
              <w:rPr>
                <w:rFonts w:hint="eastAsia"/>
                <w:highlight w:val="none"/>
              </w:rPr>
              <w:t>≥</w:t>
            </w:r>
            <w:r>
              <w:rPr>
                <w:rFonts w:hint="eastAsia"/>
                <w:highlight w:val="none"/>
                <w:lang w:val="en-US" w:eastAsia="zh-CN"/>
              </w:rPr>
              <w:t>4000*3000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lang w:val="en-US" w:eastAsia="zh-CN"/>
              </w:rPr>
              <w:t>副摄像机</w:t>
            </w:r>
            <w:r>
              <w:rPr>
                <w:rFonts w:hint="eastAsia"/>
                <w:highlight w:val="none"/>
              </w:rPr>
              <w:t>图像分辨率</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w:t>
            </w:r>
            <w:r>
              <w:rPr>
                <w:rFonts w:hint="eastAsia"/>
                <w:highlight w:val="none"/>
                <w:lang w:val="en-US" w:eastAsia="zh-CN"/>
              </w:rPr>
              <w:t>4000*3000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lang w:val="en-US" w:eastAsia="zh-CN"/>
              </w:rPr>
              <w:t>主副相机4000*3000的图片畸变</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lang w:val="en-US" w:eastAsia="zh-CN"/>
              </w:rPr>
              <w:t>%</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w:t>
            </w:r>
            <w:r>
              <w:rPr>
                <w:rFonts w:hint="eastAsia"/>
                <w:highlight w:val="none"/>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视频录制分辨率</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可设置，至少能够支持</w:t>
            </w:r>
            <w:r>
              <w:rPr>
                <w:rFonts w:hint="eastAsia"/>
                <w:highlight w:val="none"/>
                <w:lang w:val="en-US" w:eastAsia="zh-CN"/>
              </w:rPr>
              <w:t>1080</w:t>
            </w:r>
            <w:r>
              <w:rPr>
                <w:rFonts w:hint="eastAsia"/>
                <w:highlight w:val="none"/>
              </w:rPr>
              <w:t>P、720P</w:t>
            </w:r>
            <w:r>
              <w:rPr>
                <w:rFonts w:hint="eastAsia"/>
                <w:highlight w:val="none"/>
                <w:lang w:val="en-US" w:eastAsia="zh-CN"/>
              </w:rPr>
              <w:t>两</w:t>
            </w:r>
            <w:r>
              <w:rPr>
                <w:rFonts w:hint="eastAsia"/>
                <w:highlight w:val="none"/>
              </w:rPr>
              <w:t>种设置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lang w:val="en-US" w:eastAsia="zh-CN"/>
              </w:rPr>
              <w:t>主摄像机内部</w:t>
            </w:r>
            <w:r>
              <w:rPr>
                <w:rFonts w:hint="eastAsia"/>
                <w:highlight w:val="none"/>
              </w:rPr>
              <w:t>存储容量</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GB</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w:t>
            </w:r>
            <w:r>
              <w:rPr>
                <w:rFonts w:hint="eastAsia"/>
                <w:highlight w:val="none"/>
                <w:lang w:val="en-US" w:eastAsia="zh-CN"/>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拍照周期</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可设置最快不低于1张/分钟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jc w:val="center"/>
        </w:trPr>
        <w:tc>
          <w:tcPr>
            <w:tcW w:w="0" w:type="auto"/>
            <w:vMerge w:val="restart"/>
            <w:tcBorders>
              <w:top w:val="single" w:color="000000" w:sz="4" w:space="0"/>
              <w:left w:val="single" w:color="000000" w:sz="4" w:space="0"/>
              <w:right w:val="single" w:color="000000" w:sz="4" w:space="0"/>
            </w:tcBorders>
            <w:noWrap w:val="0"/>
            <w:vAlign w:val="center"/>
          </w:tcPr>
          <w:p>
            <w:pPr>
              <w:pStyle w:val="453"/>
              <w:keepNext w:val="0"/>
              <w:keepLines w:val="0"/>
              <w:pageBreakBefore w:val="0"/>
              <w:numPr>
                <w:ilvl w:val="0"/>
                <w:numId w:val="31"/>
              </w:numPr>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Cs w:val="18"/>
                <w:highlight w:val="none"/>
              </w:rPr>
            </w:pPr>
          </w:p>
        </w:tc>
        <w:tc>
          <w:tcPr>
            <w:tcW w:w="0" w:type="auto"/>
            <w:vMerge w:val="restart"/>
            <w:tcBorders>
              <w:top w:val="single" w:color="000000" w:sz="4" w:space="0"/>
              <w:left w:val="single" w:color="000000" w:sz="4" w:space="0"/>
              <w:right w:val="single" w:color="000000" w:sz="4" w:space="0"/>
            </w:tcBorders>
            <w:noWrap w:val="0"/>
            <w:vAlign w:val="center"/>
          </w:tcPr>
          <w:p>
            <w:pPr>
              <w:pStyle w:val="453"/>
              <w:keepNext w:val="0"/>
              <w:keepLines w:val="0"/>
              <w:pageBreakBefore w:val="0"/>
              <w:numPr>
                <w:ilvl w:val="0"/>
                <w:numId w:val="0"/>
              </w:numPr>
              <w:kinsoku/>
              <w:wordWrap/>
              <w:overflowPunct/>
              <w:autoSpaceDE/>
              <w:autoSpaceDN/>
              <w:bidi w:val="0"/>
              <w:adjustRightInd/>
              <w:spacing w:before="50" w:beforeLines="0" w:after="50" w:afterLines="0"/>
              <w:ind w:leftChars="0"/>
              <w:jc w:val="both"/>
              <w:textAlignment w:val="auto"/>
              <w:rPr>
                <w:rFonts w:hint="default" w:ascii="Times New Roman" w:hAnsi="Times New Roman" w:eastAsia="宋体"/>
                <w:szCs w:val="18"/>
                <w:highlight w:val="none"/>
                <w:lang w:val="en-US" w:eastAsia="zh-CN"/>
              </w:rPr>
            </w:pPr>
            <w:r>
              <w:rPr>
                <w:rFonts w:hint="eastAsia"/>
                <w:szCs w:val="18"/>
                <w:highlight w:val="none"/>
                <w:lang w:val="en-US" w:eastAsia="zh-CN"/>
              </w:rPr>
              <w:t>传输单元模组</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传输协议</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TCP或者UDP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Cs w:val="18"/>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Cs w:val="18"/>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通讯方式</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电信/联通/移动全网通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Cs w:val="18"/>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Cs w:val="18"/>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default" w:ascii="Times New Roman" w:hAnsi="Times New Roman" w:eastAsia="宋体" w:cs="Times New Roman"/>
                <w:kern w:val="2"/>
                <w:sz w:val="18"/>
                <w:szCs w:val="24"/>
                <w:highlight w:val="none"/>
                <w:lang w:val="en-US" w:eastAsia="zh-CN" w:bidi="ar-SA"/>
              </w:rPr>
            </w:pPr>
            <w:r>
              <w:rPr>
                <w:rFonts w:hint="eastAsia"/>
                <w:highlight w:val="none"/>
              </w:rPr>
              <w:t>图片通讯协议</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default" w:ascii="Times New Roman" w:hAnsi="Times New Roman" w:eastAsia="宋体" w:cs="Times New Roman"/>
                <w:kern w:val="2"/>
                <w:sz w:val="18"/>
                <w:szCs w:val="24"/>
                <w:highlight w:val="none"/>
                <w:lang w:val="en-US" w:eastAsia="zh-CN" w:bidi="ar-SA"/>
              </w:rPr>
            </w:pPr>
            <w:r>
              <w:rPr>
                <w:rFonts w:hint="eastAsia"/>
                <w:highlight w:val="none"/>
              </w:rPr>
              <w:t>I1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Cs w:val="18"/>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Cs w:val="18"/>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default" w:ascii="Times New Roman" w:hAnsi="Times New Roman" w:eastAsia="宋体" w:cs="Times New Roman"/>
                <w:kern w:val="2"/>
                <w:sz w:val="18"/>
                <w:szCs w:val="24"/>
                <w:highlight w:val="none"/>
                <w:lang w:val="en-US" w:eastAsia="zh-CN" w:bidi="ar-SA"/>
              </w:rPr>
            </w:pPr>
            <w:r>
              <w:rPr>
                <w:rFonts w:hint="eastAsia"/>
                <w:highlight w:val="none"/>
              </w:rPr>
              <w:t>实时视频通讯协议</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default" w:ascii="Times New Roman" w:hAnsi="Times New Roman" w:eastAsia="宋体" w:cs="Times New Roman"/>
                <w:kern w:val="2"/>
                <w:sz w:val="18"/>
                <w:szCs w:val="24"/>
                <w:highlight w:val="none"/>
                <w:lang w:val="en-US" w:eastAsia="zh-CN" w:bidi="ar-SA"/>
              </w:rPr>
            </w:pPr>
            <w:r>
              <w:rPr>
                <w:rFonts w:hint="eastAsia"/>
                <w:highlight w:val="none"/>
                <w:lang w:val="en-US" w:eastAsia="zh-CN"/>
              </w:rPr>
              <w:t>GB28181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卫星定位</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GPS、北斗定位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color w:val="FF0000"/>
                <w:highlight w:val="none"/>
                <w:lang w:val="en-US" w:eastAsia="zh-CN"/>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color w:val="FF0000"/>
                <w:highlight w:val="none"/>
                <w:lang w:val="en-US" w:eastAsia="zh-CN"/>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r>
              <w:rPr>
                <w:rFonts w:hint="eastAsia"/>
                <w:highlight w:val="none"/>
              </w:rPr>
              <w:t>视频</w:t>
            </w:r>
            <w:r>
              <w:rPr>
                <w:rFonts w:hint="eastAsia"/>
                <w:highlight w:val="none"/>
                <w:lang w:val="en-US" w:eastAsia="zh-CN"/>
              </w:rPr>
              <w:t>编码</w:t>
            </w:r>
            <w:r>
              <w:rPr>
                <w:rFonts w:hint="eastAsia"/>
                <w:highlight w:val="none"/>
              </w:rPr>
              <w:t>格式</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default" w:ascii="Times New Roman" w:hAnsi="Times New Roman" w:eastAsia="宋体" w:cs="Times New Roman"/>
                <w:kern w:val="2"/>
                <w:sz w:val="18"/>
                <w:szCs w:val="24"/>
                <w:highlight w:val="none"/>
                <w:lang w:val="en-US" w:eastAsia="zh-CN" w:bidi="ar-SA"/>
              </w:rPr>
            </w:pPr>
            <w:r>
              <w:rPr>
                <w:rFonts w:hint="eastAsia"/>
                <w:highlight w:val="none"/>
              </w:rPr>
              <w:t>H264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color w:val="FF0000"/>
                <w:highlight w:val="none"/>
                <w:lang w:val="en-US" w:eastAsia="zh-CN"/>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color w:val="FF0000"/>
                <w:highlight w:val="none"/>
                <w:lang w:val="en-US" w:eastAsia="zh-CN"/>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default" w:ascii="Times New Roman" w:hAnsi="Times New Roman" w:eastAsia="宋体" w:cs="Times New Roman"/>
                <w:kern w:val="2"/>
                <w:sz w:val="18"/>
                <w:szCs w:val="24"/>
                <w:highlight w:val="none"/>
                <w:lang w:val="en-US" w:eastAsia="zh-CN" w:bidi="ar-SA"/>
              </w:rPr>
            </w:pPr>
            <w:r>
              <w:rPr>
                <w:rFonts w:hint="eastAsia"/>
                <w:highlight w:val="none"/>
              </w:rPr>
              <w:t>设备</w:t>
            </w:r>
            <w:r>
              <w:rPr>
                <w:highlight w:val="none"/>
              </w:rPr>
              <w:t>支持</w:t>
            </w:r>
            <w:r>
              <w:rPr>
                <w:rFonts w:hint="eastAsia"/>
                <w:highlight w:val="none"/>
              </w:rPr>
              <w:t>定时和响应主站召测回传</w:t>
            </w:r>
            <w:r>
              <w:rPr>
                <w:highlight w:val="none"/>
              </w:rPr>
              <w:t>设备的状态信息</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ind w:left="21" w:leftChars="10"/>
              <w:jc w:val="center"/>
              <w:rPr>
                <w:rFonts w:hint="eastAsia" w:ascii="Times New Roman" w:hAnsi="Times New Roman" w:eastAsia="宋体" w:cs="Times New Roman"/>
                <w:kern w:val="2"/>
                <w:sz w:val="18"/>
                <w:szCs w:val="18"/>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ind w:left="21" w:leftChars="10"/>
              <w:rPr>
                <w:rFonts w:hint="eastAsia"/>
                <w:szCs w:val="18"/>
                <w:highlight w:val="none"/>
              </w:rPr>
            </w:pPr>
            <w:r>
              <w:rPr>
                <w:rFonts w:hint="eastAsia"/>
                <w:szCs w:val="18"/>
                <w:highlight w:val="none"/>
              </w:rPr>
              <w:t>设备现场信号强度</w:t>
            </w:r>
          </w:p>
          <w:p>
            <w:pPr>
              <w:pStyle w:val="453"/>
              <w:spacing w:before="50" w:beforeLines="0" w:after="50" w:afterLines="0"/>
              <w:ind w:left="21" w:leftChars="10"/>
              <w:jc w:val="both"/>
              <w:rPr>
                <w:rFonts w:hint="default" w:ascii="Times New Roman" w:hAnsi="Times New Roman" w:eastAsia="宋体" w:cs="Times New Roman"/>
                <w:kern w:val="2"/>
                <w:sz w:val="18"/>
                <w:szCs w:val="18"/>
                <w:highlight w:val="none"/>
                <w:lang w:val="en-US" w:eastAsia="zh-CN" w:bidi="ar-SA"/>
              </w:rPr>
            </w:pPr>
            <w:r>
              <w:rPr>
                <w:rFonts w:hint="eastAsia"/>
                <w:szCs w:val="18"/>
                <w:highlight w:val="none"/>
              </w:rPr>
              <w:t>、电池电压、内部运行环境温度、存储器剩余容量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lang w:val="en-US" w:eastAsia="zh-CN"/>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lang w:val="en-US" w:eastAsia="zh-CN"/>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topLinePunct/>
              <w:ind w:left="71" w:leftChars="0"/>
              <w:jc w:val="left"/>
              <w:rPr>
                <w:rFonts w:hint="default" w:ascii="Times New Roman" w:hAnsi="Times New Roman" w:eastAsia="宋体" w:cs="Times New Roman"/>
                <w:kern w:val="2"/>
                <w:sz w:val="18"/>
                <w:szCs w:val="18"/>
                <w:highlight w:val="none"/>
                <w:lang w:val="en-US" w:eastAsia="zh-CN" w:bidi="ar-SA"/>
              </w:rPr>
            </w:pPr>
            <w:r>
              <w:rPr>
                <w:rFonts w:hint="eastAsia"/>
                <w:sz w:val="18"/>
                <w:szCs w:val="18"/>
                <w:highlight w:val="none"/>
              </w:rPr>
              <w:t>前端设备同时支持联通、电信、移动4G通讯网络。当从一个运营商切换到另一个运营商时硬件无需更换和升级</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eastAsia" w:ascii="Times New Roman" w:hAnsi="Times New Roman" w:eastAsia="宋体" w:cs="Times New Roman"/>
                <w:kern w:val="2"/>
                <w:sz w:val="18"/>
                <w:szCs w:val="24"/>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rPr>
                <w:rFonts w:hint="default" w:ascii="Times New Roman" w:hAnsi="Times New Roman" w:eastAsia="宋体" w:cs="Times New Roman"/>
                <w:kern w:val="2"/>
                <w:sz w:val="18"/>
                <w:szCs w:val="24"/>
                <w:highlight w:val="none"/>
                <w:lang w:val="en-US" w:eastAsia="zh-CN" w:bidi="ar-SA"/>
              </w:rPr>
            </w:pPr>
            <w:r>
              <w:rPr>
                <w:rFonts w:hint="eastAsia"/>
                <w:highlight w:val="none"/>
              </w:rPr>
              <w:t>同时支持电信4G、移动4G、联通4G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lang w:val="en-US" w:eastAsia="zh-CN"/>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lang w:val="en-US" w:eastAsia="zh-CN"/>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topLinePunct/>
              <w:ind w:left="71" w:leftChars="0"/>
              <w:jc w:val="left"/>
              <w:rPr>
                <w:rFonts w:hint="default" w:ascii="Times New Roman" w:hAnsi="Times New Roman" w:eastAsia="宋体" w:cs="Times New Roman"/>
                <w:kern w:val="2"/>
                <w:sz w:val="18"/>
                <w:szCs w:val="18"/>
                <w:highlight w:val="none"/>
                <w:lang w:val="en-US" w:eastAsia="zh-CN" w:bidi="ar-SA"/>
              </w:rPr>
            </w:pPr>
            <w:r>
              <w:rPr>
                <w:rFonts w:hint="eastAsia"/>
                <w:sz w:val="18"/>
                <w:szCs w:val="18"/>
                <w:highlight w:val="none"/>
              </w:rPr>
              <w:t>前端设备支持周期性的数据清理和清除</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ind w:left="21" w:leftChars="10"/>
              <w:rPr>
                <w:rFonts w:hint="eastAsia" w:ascii="Times New Roman" w:hAnsi="Times New Roman" w:eastAsia="宋体" w:cs="Times New Roman"/>
                <w:kern w:val="2"/>
                <w:sz w:val="18"/>
                <w:szCs w:val="18"/>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ind w:left="21" w:leftChars="10"/>
              <w:rPr>
                <w:rFonts w:hint="eastAsia" w:ascii="Times New Roman" w:hAnsi="Times New Roman" w:eastAsia="宋体" w:cs="Times New Roman"/>
                <w:kern w:val="2"/>
                <w:sz w:val="18"/>
                <w:szCs w:val="18"/>
                <w:highlight w:val="none"/>
                <w:lang w:val="en-US" w:eastAsia="zh-CN" w:bidi="ar-SA"/>
              </w:rPr>
            </w:pPr>
            <w:r>
              <w:rPr>
                <w:rFonts w:hint="eastAsia"/>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topLinePunct/>
              <w:ind w:left="71" w:leftChars="0"/>
              <w:jc w:val="left"/>
              <w:rPr>
                <w:rFonts w:hint="eastAsia" w:ascii="宋体" w:hAnsi="Times New Roman" w:eastAsia="宋体" w:cs="宋体"/>
                <w:kern w:val="0"/>
                <w:sz w:val="18"/>
                <w:szCs w:val="18"/>
                <w:highlight w:val="none"/>
                <w:lang w:val="en-US" w:eastAsia="zh-CN" w:bidi="ar-SA"/>
              </w:rPr>
            </w:pPr>
            <w:r>
              <w:rPr>
                <w:rFonts w:hint="eastAsia" w:ascii="宋体" w:cs="宋体"/>
                <w:kern w:val="0"/>
                <w:sz w:val="18"/>
                <w:szCs w:val="18"/>
                <w:highlight w:val="none"/>
              </w:rPr>
              <w:t>应具有良好的抗工频电磁干扰性能，能实现在特高压电磁环境中正常工作</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ind w:left="21" w:leftChars="10"/>
              <w:rPr>
                <w:rFonts w:hint="eastAsia" w:ascii="Times New Roman" w:hAnsi="Times New Roman" w:eastAsia="宋体" w:cs="Times New Roman"/>
                <w:kern w:val="2"/>
                <w:sz w:val="18"/>
                <w:szCs w:val="18"/>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ind w:left="21" w:leftChars="10"/>
              <w:rPr>
                <w:rFonts w:hint="eastAsia" w:ascii="Times New Roman" w:hAnsi="Times New Roman" w:eastAsia="宋体" w:cs="Times New Roman"/>
                <w:kern w:val="2"/>
                <w:sz w:val="18"/>
                <w:szCs w:val="18"/>
                <w:highlight w:val="none"/>
                <w:lang w:val="en-US" w:eastAsia="zh-CN" w:bidi="ar-SA"/>
              </w:rPr>
            </w:pPr>
            <w:r>
              <w:rPr>
                <w:rFonts w:hint="eastAsia"/>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widowControl/>
              <w:spacing w:line="330" w:lineRule="atLeast"/>
              <w:jc w:val="left"/>
              <w:rPr>
                <w:rFonts w:hint="eastAsia" w:ascii="Times New Roman" w:hAnsi="Times New Roman" w:eastAsia="宋体" w:cs="Times New Roman"/>
                <w:kern w:val="2"/>
                <w:sz w:val="18"/>
                <w:szCs w:val="18"/>
                <w:highlight w:val="none"/>
                <w:lang w:val="en-US" w:eastAsia="zh-CN" w:bidi="ar-SA"/>
              </w:rPr>
            </w:pPr>
            <w:r>
              <w:rPr>
                <w:rFonts w:hint="eastAsia"/>
                <w:sz w:val="18"/>
                <w:szCs w:val="18"/>
                <w:highlight w:val="none"/>
              </w:rPr>
              <w:t>4G通讯支持TD-LTE/FDD-LTE/WCDMA/TD-SCDMA/GSM/CDMA2000等多种网络制式</w:t>
            </w: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ind w:left="21" w:leftChars="10"/>
              <w:rPr>
                <w:rFonts w:hint="eastAsia" w:ascii="Times New Roman" w:hAnsi="Times New Roman" w:eastAsia="宋体" w:cs="Times New Roman"/>
                <w:kern w:val="2"/>
                <w:sz w:val="18"/>
                <w:szCs w:val="18"/>
                <w:highlight w:val="none"/>
                <w:lang w:val="en-US" w:eastAsia="zh-CN" w:bidi="ar-SA"/>
              </w:rPr>
            </w:pPr>
          </w:p>
        </w:tc>
        <w:tc>
          <w:tcPr>
            <w:tcW w:w="0" w:type="auto"/>
            <w:tcBorders>
              <w:top w:val="single" w:color="000000" w:sz="4" w:space="0"/>
              <w:left w:val="single" w:color="000000" w:sz="4" w:space="0"/>
              <w:right w:val="single" w:color="000000" w:sz="4" w:space="0"/>
            </w:tcBorders>
            <w:shd w:val="clear" w:color="auto" w:fill="auto"/>
            <w:noWrap w:val="0"/>
            <w:vAlign w:val="center"/>
          </w:tcPr>
          <w:p>
            <w:pPr>
              <w:pStyle w:val="453"/>
              <w:spacing w:before="50" w:beforeLines="0" w:after="50" w:afterLines="0"/>
              <w:ind w:left="21" w:leftChars="10"/>
              <w:rPr>
                <w:rFonts w:hint="eastAsia" w:ascii="Times New Roman" w:hAnsi="Times New Roman" w:eastAsia="宋体" w:cs="Times New Roman"/>
                <w:kern w:val="2"/>
                <w:sz w:val="18"/>
                <w:szCs w:val="18"/>
                <w:highlight w:val="none"/>
                <w:lang w:val="en-US" w:eastAsia="zh-CN" w:bidi="ar-SA"/>
              </w:rPr>
            </w:pPr>
            <w:r>
              <w:rPr>
                <w:rFonts w:hint="eastAsia"/>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bottom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vMerge w:val="continue"/>
            <w:tcBorders>
              <w:left w:val="single" w:color="000000" w:sz="4" w:space="0"/>
              <w:bottom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topLinePunct/>
              <w:ind w:left="71" w:leftChars="0"/>
              <w:jc w:val="left"/>
              <w:rPr>
                <w:rFonts w:hint="eastAsia" w:ascii="Times New Roman" w:hAnsi="Times New Roman" w:eastAsia="宋体" w:cs="Times New Roman"/>
                <w:kern w:val="2"/>
                <w:sz w:val="18"/>
                <w:szCs w:val="18"/>
                <w:highlight w:val="none"/>
                <w:lang w:val="en-US" w:eastAsia="zh-CN" w:bidi="ar-SA"/>
              </w:rPr>
            </w:pPr>
            <w:r>
              <w:rPr>
                <w:highlight w:val="none"/>
              </w:rPr>
              <w:t>4</w:t>
            </w:r>
            <w:r>
              <w:rPr>
                <w:sz w:val="18"/>
                <w:szCs w:val="18"/>
                <w:highlight w:val="none"/>
              </w:rPr>
              <w:t>G</w:t>
            </w:r>
            <w:r>
              <w:rPr>
                <w:rFonts w:hint="eastAsia"/>
                <w:sz w:val="18"/>
                <w:szCs w:val="18"/>
                <w:highlight w:val="none"/>
              </w:rPr>
              <w:t>模块支持APN专网接入，实现专网安全传输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53"/>
              <w:spacing w:before="50" w:beforeLines="0" w:after="50" w:afterLines="0"/>
              <w:ind w:left="21" w:leftChars="10"/>
              <w:rPr>
                <w:rFonts w:hint="eastAsia" w:ascii="Times New Roman" w:hAnsi="Times New Roman" w:eastAsia="宋体" w:cs="Times New Roman"/>
                <w:kern w:val="2"/>
                <w:sz w:val="18"/>
                <w:szCs w:val="18"/>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53"/>
              <w:spacing w:before="50" w:beforeLines="0" w:after="50" w:afterLines="0"/>
              <w:ind w:left="21" w:leftChars="10"/>
              <w:rPr>
                <w:rFonts w:hint="eastAsia" w:ascii="Times New Roman" w:hAnsi="Times New Roman" w:eastAsia="宋体" w:cs="Times New Roman"/>
                <w:kern w:val="2"/>
                <w:sz w:val="18"/>
                <w:szCs w:val="18"/>
                <w:highlight w:val="none"/>
                <w:lang w:val="en-US" w:eastAsia="zh-CN" w:bidi="ar-SA"/>
              </w:rPr>
            </w:pPr>
            <w:r>
              <w:rPr>
                <w:rFonts w:hint="eastAsia"/>
                <w:szCs w:val="18"/>
                <w:highlight w:val="none"/>
              </w:rPr>
              <w:t>是</w:t>
            </w:r>
          </w:p>
        </w:tc>
      </w:tr>
    </w:tbl>
    <w:p>
      <w:pPr>
        <w:numPr>
          <w:ilvl w:val="255"/>
          <w:numId w:val="0"/>
        </w:numPr>
        <w:spacing w:line="360" w:lineRule="auto"/>
        <w:rPr>
          <w:color w:val="auto"/>
          <w:szCs w:val="21"/>
          <w:highlight w:val="none"/>
        </w:rPr>
        <w:sectPr>
          <w:footerReference r:id="rId7" w:type="default"/>
          <w:pgSz w:w="11906" w:h="16838"/>
          <w:pgMar w:top="1418" w:right="1418" w:bottom="1418" w:left="1418" w:header="851" w:footer="992" w:gutter="0"/>
          <w:pgNumType w:start="1"/>
          <w:cols w:space="720" w:num="1"/>
          <w:docGrid w:type="lines" w:linePitch="312" w:charSpace="0"/>
        </w:sectPr>
      </w:pPr>
    </w:p>
    <w:p>
      <w:pPr>
        <w:spacing w:line="360" w:lineRule="auto"/>
        <w:outlineLvl w:val="0"/>
        <w:rPr>
          <w:rFonts w:eastAsia="黑体"/>
          <w:color w:val="auto"/>
          <w:sz w:val="28"/>
          <w:szCs w:val="28"/>
          <w:highlight w:val="none"/>
        </w:rPr>
      </w:pPr>
      <w:bookmarkStart w:id="51" w:name="_Toc6984"/>
      <w:bookmarkStart w:id="52" w:name="_Toc940"/>
      <w:bookmarkStart w:id="53" w:name="_Toc17954"/>
      <w:bookmarkStart w:id="54" w:name="_Toc10296"/>
      <w:bookmarkStart w:id="55" w:name="_Toc29590"/>
      <w:bookmarkStart w:id="56" w:name="_Toc31907"/>
      <w:bookmarkStart w:id="57" w:name="_Toc11214"/>
      <w:bookmarkStart w:id="58" w:name="_Toc10795"/>
      <w:bookmarkStart w:id="59" w:name="_Toc24476"/>
      <w:bookmarkStart w:id="60" w:name="_Toc19021"/>
      <w:bookmarkStart w:id="61" w:name="_Toc10510"/>
      <w:bookmarkStart w:id="62" w:name="_Toc500920834"/>
      <w:bookmarkStart w:id="63" w:name="_Toc168869394"/>
      <w:bookmarkStart w:id="64" w:name="_Toc32515"/>
      <w:r>
        <w:rPr>
          <w:rFonts w:eastAsia="黑体"/>
          <w:color w:val="auto"/>
          <w:sz w:val="28"/>
          <w:szCs w:val="28"/>
          <w:highlight w:val="none"/>
        </w:rPr>
        <w:t>2.2 服务界限</w:t>
      </w:r>
      <w:bookmarkEnd w:id="51"/>
      <w:bookmarkEnd w:id="52"/>
      <w:bookmarkEnd w:id="53"/>
      <w:bookmarkEnd w:id="54"/>
      <w:bookmarkEnd w:id="55"/>
      <w:bookmarkEnd w:id="56"/>
      <w:bookmarkEnd w:id="57"/>
      <w:bookmarkEnd w:id="58"/>
      <w:bookmarkEnd w:id="59"/>
      <w:bookmarkEnd w:id="60"/>
      <w:bookmarkEnd w:id="61"/>
      <w:bookmarkEnd w:id="62"/>
      <w:bookmarkEnd w:id="63"/>
      <w:bookmarkEnd w:id="64"/>
    </w:p>
    <w:p>
      <w:pPr>
        <w:spacing w:line="360" w:lineRule="auto"/>
        <w:rPr>
          <w:color w:val="auto"/>
          <w:szCs w:val="21"/>
          <w:highlight w:val="none"/>
        </w:rPr>
      </w:pPr>
      <w:r>
        <w:rPr>
          <w:color w:val="auto"/>
          <w:szCs w:val="21"/>
          <w:highlight w:val="none"/>
        </w:rPr>
        <w:t xml:space="preserve">2.2.1 </w:t>
      </w:r>
      <w:r>
        <w:rPr>
          <w:rFonts w:hint="eastAsia"/>
          <w:color w:val="auto"/>
          <w:szCs w:val="21"/>
          <w:highlight w:val="none"/>
        </w:rPr>
        <w:t>装置从生产厂家到安装位置的运输全部由投标方完成，现场调试</w:t>
      </w:r>
      <w:r>
        <w:rPr>
          <w:rFonts w:hint="eastAsia"/>
          <w:color w:val="auto"/>
          <w:szCs w:val="21"/>
          <w:highlight w:val="none"/>
          <w:lang w:val="en-US" w:eastAsia="zh-CN"/>
        </w:rPr>
        <w:t>和安装</w:t>
      </w:r>
      <w:r>
        <w:rPr>
          <w:rFonts w:hint="eastAsia"/>
          <w:color w:val="auto"/>
          <w:szCs w:val="21"/>
          <w:highlight w:val="none"/>
        </w:rPr>
        <w:t>在招标方指导下由投标方完成</w:t>
      </w:r>
      <w:r>
        <w:rPr>
          <w:color w:val="auto"/>
          <w:highlight w:val="none"/>
        </w:rPr>
        <w:t>。</w:t>
      </w:r>
    </w:p>
    <w:p>
      <w:pPr>
        <w:spacing w:line="360" w:lineRule="auto"/>
        <w:rPr>
          <w:color w:val="auto"/>
          <w:szCs w:val="21"/>
          <w:highlight w:val="none"/>
        </w:rPr>
      </w:pPr>
      <w:r>
        <w:rPr>
          <w:color w:val="auto"/>
          <w:szCs w:val="21"/>
          <w:highlight w:val="none"/>
        </w:rPr>
        <w:t xml:space="preserve">2.2.2 </w:t>
      </w:r>
      <w:r>
        <w:rPr>
          <w:rFonts w:hint="eastAsia"/>
          <w:color w:val="auto"/>
          <w:highlight w:val="none"/>
          <w:lang w:eastAsia="zh-CN"/>
        </w:rPr>
        <w:t>图像视频核心感知</w:t>
      </w:r>
      <w:r>
        <w:rPr>
          <w:rFonts w:hint="eastAsia"/>
          <w:color w:val="auto"/>
          <w:highlight w:val="none"/>
          <w:lang w:val="en-US" w:eastAsia="zh-CN"/>
        </w:rPr>
        <w:t>模组</w:t>
      </w:r>
      <w:r>
        <w:rPr>
          <w:rFonts w:hint="eastAsia"/>
          <w:color w:val="auto"/>
          <w:highlight w:val="none"/>
          <w:lang w:eastAsia="zh-CN"/>
        </w:rPr>
        <w:t>与传输单元</w:t>
      </w:r>
      <w:r>
        <w:rPr>
          <w:rFonts w:hint="eastAsia"/>
          <w:color w:val="auto"/>
          <w:highlight w:val="none"/>
          <w:lang w:val="en-US" w:eastAsia="zh-CN"/>
        </w:rPr>
        <w:t>模组</w:t>
      </w:r>
      <w:r>
        <w:rPr>
          <w:color w:val="auto"/>
          <w:szCs w:val="21"/>
          <w:highlight w:val="none"/>
        </w:rPr>
        <w:t>现场安装和试验在招标方的技术指导和监督下由投标方完成，招标方协助投标方按标准检查安装质量，处理调试投运过程中出现的问题。通讯材料等所有材料由投标方提供，通讯布线及接线在招标方技术指导和监督下由投标方完成。</w:t>
      </w:r>
    </w:p>
    <w:p>
      <w:pPr>
        <w:spacing w:line="360" w:lineRule="auto"/>
        <w:rPr>
          <w:color w:val="auto"/>
          <w:szCs w:val="21"/>
          <w:highlight w:val="none"/>
        </w:rPr>
      </w:pPr>
      <w:r>
        <w:rPr>
          <w:color w:val="auto"/>
          <w:szCs w:val="21"/>
          <w:highlight w:val="none"/>
        </w:rPr>
        <w:t>2.2.3投标方负责在招标方的监督下对装置进行调试，并按本规范的相关要求，实现监测装置与南网全域物联网平台的通信。采用无线通信方式的终端设备，应按照技术规范要求终端设备数据安全接入至全域物联网平台，实现与全域物联网平台通信。如招标方有指定通信接入方式，按照招标方要求执行。</w:t>
      </w:r>
    </w:p>
    <w:p>
      <w:pPr>
        <w:spacing w:line="360" w:lineRule="auto"/>
        <w:rPr>
          <w:color w:val="auto"/>
          <w:szCs w:val="21"/>
          <w:highlight w:val="none"/>
        </w:rPr>
      </w:pPr>
      <w:r>
        <w:rPr>
          <w:color w:val="auto"/>
          <w:szCs w:val="21"/>
          <w:highlight w:val="none"/>
        </w:rPr>
        <w:t>2.2.4装置安装、调试合格后方可投运。装置投运并稳定运行后，投标方和招标方（业主）双方应根据相关法律、法规和公司管理制度签署合同设备的验收证明书。该证明书共两份，双方各执一份。</w:t>
      </w:r>
    </w:p>
    <w:p>
      <w:pPr>
        <w:spacing w:line="360" w:lineRule="auto"/>
        <w:rPr>
          <w:color w:val="auto"/>
          <w:szCs w:val="21"/>
          <w:highlight w:val="none"/>
        </w:rPr>
      </w:pPr>
      <w:r>
        <w:rPr>
          <w:color w:val="auto"/>
          <w:szCs w:val="21"/>
          <w:highlight w:val="none"/>
        </w:rPr>
        <w:t>2.2.5采用无线传输的装置，APN专用通信卡由招标方提供，相关流量费由招标方负责</w:t>
      </w:r>
      <w:r>
        <w:rPr>
          <w:color w:val="auto"/>
          <w:highlight w:val="none"/>
        </w:rPr>
        <w:t>。</w:t>
      </w:r>
    </w:p>
    <w:p>
      <w:pPr>
        <w:spacing w:line="360" w:lineRule="auto"/>
        <w:outlineLvl w:val="0"/>
        <w:rPr>
          <w:rFonts w:eastAsia="黑体"/>
          <w:color w:val="auto"/>
          <w:sz w:val="28"/>
          <w:szCs w:val="28"/>
          <w:highlight w:val="none"/>
        </w:rPr>
      </w:pPr>
      <w:bookmarkStart w:id="65" w:name="_Toc1949"/>
      <w:bookmarkStart w:id="66" w:name="_Toc168869395"/>
      <w:bookmarkStart w:id="67" w:name="_Toc24242"/>
      <w:bookmarkStart w:id="68" w:name="_Toc23745"/>
      <w:bookmarkStart w:id="69" w:name="_Toc31427"/>
      <w:bookmarkStart w:id="70" w:name="_Toc1345"/>
      <w:bookmarkStart w:id="71" w:name="_Toc28351"/>
      <w:bookmarkStart w:id="72" w:name="_Toc27274"/>
      <w:bookmarkStart w:id="73" w:name="_Toc500920835"/>
      <w:bookmarkStart w:id="74" w:name="_Toc5909"/>
      <w:bookmarkStart w:id="75" w:name="_Toc8835"/>
      <w:bookmarkStart w:id="76" w:name="_Toc21623"/>
      <w:bookmarkStart w:id="77" w:name="_Toc10577"/>
      <w:bookmarkStart w:id="78" w:name="_Toc24400"/>
      <w:r>
        <w:rPr>
          <w:rFonts w:eastAsia="黑体"/>
          <w:color w:val="auto"/>
          <w:sz w:val="28"/>
          <w:szCs w:val="28"/>
          <w:highlight w:val="none"/>
        </w:rPr>
        <w:t>2.3 技术文件</w:t>
      </w:r>
      <w:bookmarkEnd w:id="65"/>
      <w:bookmarkEnd w:id="66"/>
      <w:bookmarkEnd w:id="67"/>
      <w:bookmarkEnd w:id="68"/>
      <w:bookmarkEnd w:id="69"/>
      <w:bookmarkEnd w:id="70"/>
      <w:bookmarkEnd w:id="71"/>
      <w:bookmarkEnd w:id="72"/>
      <w:bookmarkEnd w:id="73"/>
      <w:bookmarkEnd w:id="74"/>
      <w:bookmarkEnd w:id="75"/>
      <w:bookmarkEnd w:id="76"/>
      <w:bookmarkEnd w:id="77"/>
      <w:bookmarkEnd w:id="78"/>
    </w:p>
    <w:p>
      <w:pPr>
        <w:spacing w:line="360" w:lineRule="auto"/>
        <w:rPr>
          <w:color w:val="auto"/>
          <w:szCs w:val="21"/>
          <w:highlight w:val="none"/>
        </w:rPr>
      </w:pPr>
      <w:r>
        <w:rPr>
          <w:color w:val="auto"/>
          <w:szCs w:val="21"/>
          <w:highlight w:val="none"/>
        </w:rPr>
        <w:t>2.3.1 在订货前，投标方应向招标方提供一般性资料，如</w:t>
      </w:r>
      <w:r>
        <w:rPr>
          <w:rFonts w:hint="eastAsia"/>
          <w:color w:val="auto"/>
          <w:szCs w:val="21"/>
          <w:highlight w:val="none"/>
          <w:lang w:eastAsia="zh-CN"/>
        </w:rPr>
        <w:t>委托</w:t>
      </w:r>
      <w:r>
        <w:rPr>
          <w:color w:val="auto"/>
          <w:szCs w:val="21"/>
          <w:highlight w:val="none"/>
        </w:rPr>
        <w:t>实验报告、报价书、典型说明书和主要技术参数。</w:t>
      </w:r>
    </w:p>
    <w:p>
      <w:pPr>
        <w:spacing w:line="360" w:lineRule="auto"/>
        <w:rPr>
          <w:color w:val="auto"/>
          <w:szCs w:val="21"/>
          <w:highlight w:val="none"/>
        </w:rPr>
      </w:pPr>
      <w:r>
        <w:rPr>
          <w:color w:val="auto"/>
          <w:szCs w:val="21"/>
          <w:highlight w:val="none"/>
        </w:rPr>
        <w:t>2.3.2 在技术协议签订10天内，投标方向招标方提供下列图纸资料。</w:t>
      </w:r>
    </w:p>
    <w:p>
      <w:pPr>
        <w:spacing w:line="360" w:lineRule="auto"/>
        <w:ind w:left="210" w:firstLine="210"/>
        <w:rPr>
          <w:color w:val="auto"/>
          <w:szCs w:val="21"/>
          <w:highlight w:val="none"/>
        </w:rPr>
      </w:pPr>
      <w:r>
        <w:rPr>
          <w:color w:val="auto"/>
          <w:szCs w:val="21"/>
          <w:highlight w:val="none"/>
        </w:rPr>
        <w:t>（a）装置配置图；</w:t>
      </w:r>
    </w:p>
    <w:p>
      <w:pPr>
        <w:spacing w:line="360" w:lineRule="auto"/>
        <w:ind w:left="210" w:firstLine="210"/>
        <w:rPr>
          <w:color w:val="auto"/>
          <w:szCs w:val="21"/>
          <w:highlight w:val="none"/>
        </w:rPr>
      </w:pPr>
      <w:r>
        <w:rPr>
          <w:color w:val="auto"/>
          <w:szCs w:val="21"/>
          <w:highlight w:val="none"/>
        </w:rPr>
        <w:t>（b）外形图、安装尺寸基础图；</w:t>
      </w:r>
    </w:p>
    <w:p>
      <w:pPr>
        <w:spacing w:line="360" w:lineRule="auto"/>
        <w:ind w:left="210" w:firstLine="210"/>
        <w:rPr>
          <w:color w:val="auto"/>
          <w:szCs w:val="21"/>
          <w:highlight w:val="none"/>
        </w:rPr>
      </w:pPr>
      <w:r>
        <w:rPr>
          <w:color w:val="auto"/>
          <w:szCs w:val="21"/>
          <w:highlight w:val="none"/>
        </w:rPr>
        <w:t>（c）装置使用说明书。</w:t>
      </w:r>
    </w:p>
    <w:p>
      <w:pPr>
        <w:spacing w:line="360" w:lineRule="auto"/>
        <w:rPr>
          <w:color w:val="auto"/>
          <w:szCs w:val="21"/>
          <w:highlight w:val="none"/>
        </w:rPr>
      </w:pPr>
      <w:bookmarkStart w:id="79" w:name="_Toc240363364"/>
      <w:bookmarkStart w:id="80" w:name="_Toc240363504"/>
      <w:bookmarkStart w:id="81" w:name="_Toc240364367"/>
      <w:r>
        <w:rPr>
          <w:color w:val="auto"/>
          <w:szCs w:val="21"/>
          <w:highlight w:val="none"/>
        </w:rPr>
        <w:t>2.3.3 装置供货时提供下列资料： 装置的开箱资料除了2.3.2条所述图纸资料外，还应包括安装、维护，部件清单，易损件的清单，出厂试验报告，产品合格证等。</w:t>
      </w:r>
      <w:bookmarkEnd w:id="79"/>
      <w:bookmarkEnd w:id="80"/>
      <w:bookmarkEnd w:id="81"/>
    </w:p>
    <w:p>
      <w:pPr>
        <w:spacing w:line="360" w:lineRule="auto"/>
        <w:rPr>
          <w:color w:val="auto"/>
          <w:szCs w:val="21"/>
          <w:highlight w:val="none"/>
        </w:rPr>
      </w:pPr>
      <w:r>
        <w:rPr>
          <w:color w:val="auto"/>
          <w:szCs w:val="21"/>
          <w:highlight w:val="none"/>
        </w:rPr>
        <w:t>2.3.4 投标方应提供上述资料的电子版本2份。</w:t>
      </w:r>
    </w:p>
    <w:p>
      <w:pPr>
        <w:spacing w:line="360" w:lineRule="auto"/>
        <w:outlineLvl w:val="0"/>
        <w:rPr>
          <w:rFonts w:eastAsia="黑体"/>
          <w:color w:val="auto"/>
          <w:sz w:val="28"/>
          <w:szCs w:val="28"/>
          <w:highlight w:val="none"/>
        </w:rPr>
      </w:pPr>
      <w:bookmarkStart w:id="82" w:name="_Toc12070"/>
      <w:bookmarkStart w:id="83" w:name="_Toc500920836"/>
      <w:bookmarkStart w:id="84" w:name="_Toc168869396"/>
      <w:bookmarkStart w:id="85" w:name="_Toc19004"/>
      <w:bookmarkStart w:id="86" w:name="_Toc28269"/>
      <w:bookmarkStart w:id="87" w:name="_Toc24132"/>
      <w:bookmarkStart w:id="88" w:name="_Toc82140158"/>
      <w:bookmarkStart w:id="89" w:name="_Toc81989605"/>
      <w:bookmarkStart w:id="90" w:name="_Toc6706"/>
      <w:bookmarkStart w:id="91" w:name="_Toc30616"/>
      <w:bookmarkStart w:id="92" w:name="_Toc15344"/>
      <w:bookmarkStart w:id="93" w:name="_Toc24497"/>
      <w:bookmarkStart w:id="94" w:name="_Toc9151"/>
      <w:bookmarkStart w:id="95" w:name="_Toc23785"/>
      <w:bookmarkStart w:id="96" w:name="_Toc2566"/>
      <w:bookmarkStart w:id="97" w:name="_Toc5998"/>
      <w:r>
        <w:rPr>
          <w:rFonts w:eastAsia="黑体"/>
          <w:color w:val="auto"/>
          <w:sz w:val="28"/>
          <w:szCs w:val="28"/>
          <w:highlight w:val="none"/>
        </w:rPr>
        <w:t>3 应遵循的主要标准</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34"/>
        <w:spacing w:after="0" w:line="360" w:lineRule="auto"/>
        <w:ind w:left="61" w:leftChars="29" w:firstLine="506"/>
        <w:rPr>
          <w:color w:val="auto"/>
          <w:szCs w:val="21"/>
          <w:highlight w:val="none"/>
        </w:rPr>
      </w:pPr>
      <w:r>
        <w:rPr>
          <w:color w:val="auto"/>
          <w:szCs w:val="21"/>
          <w:highlight w:val="none"/>
        </w:rPr>
        <w:t>下列标准包含的条文，通过在本标准中的引用而构成本标准的条文。在标准出版时，所示版本均为有效。所有版本都有可能被修订，应用时应探讨使用下列标准最新版本的可能性。</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 4943.1</w:t>
      </w:r>
      <w:r>
        <w:rPr>
          <w:color w:val="auto"/>
          <w:szCs w:val="21"/>
          <w:highlight w:val="none"/>
        </w:rPr>
        <w:tab/>
      </w:r>
      <w:r>
        <w:rPr>
          <w:color w:val="auto"/>
          <w:szCs w:val="21"/>
          <w:highlight w:val="none"/>
        </w:rPr>
        <w:tab/>
      </w:r>
      <w:r>
        <w:rPr>
          <w:color w:val="auto"/>
          <w:szCs w:val="21"/>
          <w:highlight w:val="none"/>
        </w:rPr>
        <w:t>信息技术设备安全第1部分：通用要求</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 6388</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运输包装收发货标志</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 50395</w:t>
      </w:r>
      <w:r>
        <w:rPr>
          <w:color w:val="auto"/>
          <w:szCs w:val="21"/>
          <w:highlight w:val="none"/>
        </w:rPr>
        <w:tab/>
      </w:r>
      <w:r>
        <w:rPr>
          <w:color w:val="auto"/>
          <w:szCs w:val="21"/>
          <w:highlight w:val="none"/>
        </w:rPr>
        <w:tab/>
      </w:r>
      <w:r>
        <w:rPr>
          <w:color w:val="auto"/>
          <w:szCs w:val="21"/>
          <w:highlight w:val="none"/>
        </w:rPr>
        <w:t>视频安防监控系统工程设计规范</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191</w:t>
      </w:r>
      <w:r>
        <w:rPr>
          <w:color w:val="auto"/>
          <w:szCs w:val="21"/>
          <w:highlight w:val="none"/>
        </w:rPr>
        <w:tab/>
      </w:r>
      <w:r>
        <w:rPr>
          <w:color w:val="auto"/>
          <w:szCs w:val="21"/>
          <w:highlight w:val="none"/>
        </w:rPr>
        <w:tab/>
      </w:r>
      <w:r>
        <w:rPr>
          <w:color w:val="auto"/>
          <w:szCs w:val="21"/>
          <w:highlight w:val="none"/>
        </w:rPr>
        <w:t>包装储运图示标志</w:t>
      </w:r>
    </w:p>
    <w:p>
      <w:pPr>
        <w:pStyle w:val="34"/>
        <w:adjustRightInd w:val="0"/>
        <w:spacing w:after="0" w:line="360" w:lineRule="auto"/>
        <w:ind w:left="0" w:leftChars="0" w:firstLine="420" w:firstLineChars="200"/>
        <w:rPr>
          <w:color w:val="auto"/>
          <w:szCs w:val="21"/>
          <w:highlight w:val="none"/>
        </w:rPr>
      </w:pPr>
      <w:r>
        <w:rPr>
          <w:color w:val="auto"/>
          <w:highlight w:val="none"/>
        </w:rPr>
        <w:t>GB/T 35697</w:t>
      </w:r>
      <w:r>
        <w:rPr>
          <w:color w:val="auto"/>
          <w:szCs w:val="21"/>
          <w:highlight w:val="none"/>
        </w:rPr>
        <w:tab/>
      </w:r>
      <w:r>
        <w:rPr>
          <w:color w:val="auto"/>
          <w:szCs w:val="21"/>
          <w:highlight w:val="none"/>
        </w:rPr>
        <w:tab/>
      </w:r>
      <w:r>
        <w:rPr>
          <w:color w:val="auto"/>
          <w:highlight w:val="none"/>
        </w:rPr>
        <w:t>架空输电线路在线监测装置通用技术规范</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2314       电力金具通用技术条件</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2317.2</w:t>
      </w:r>
      <w:r>
        <w:rPr>
          <w:color w:val="auto"/>
          <w:szCs w:val="21"/>
          <w:highlight w:val="none"/>
        </w:rPr>
        <w:tab/>
      </w:r>
      <w:r>
        <w:rPr>
          <w:color w:val="auto"/>
          <w:szCs w:val="21"/>
          <w:highlight w:val="none"/>
        </w:rPr>
        <w:tab/>
      </w:r>
      <w:r>
        <w:rPr>
          <w:color w:val="auto"/>
          <w:szCs w:val="21"/>
          <w:highlight w:val="none"/>
        </w:rPr>
        <w:t>电力金具试验方法第2部分：电晕和无线电干扰试验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2317.3</w:t>
      </w:r>
      <w:r>
        <w:rPr>
          <w:color w:val="auto"/>
          <w:szCs w:val="21"/>
          <w:highlight w:val="none"/>
        </w:rPr>
        <w:tab/>
      </w:r>
      <w:r>
        <w:rPr>
          <w:color w:val="auto"/>
          <w:szCs w:val="21"/>
          <w:highlight w:val="none"/>
        </w:rPr>
        <w:tab/>
      </w:r>
      <w:r>
        <w:rPr>
          <w:color w:val="auto"/>
          <w:szCs w:val="21"/>
          <w:highlight w:val="none"/>
        </w:rPr>
        <w:t>电力金具试验方法第3部分：热循环试验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2317.4</w:t>
      </w:r>
      <w:r>
        <w:rPr>
          <w:color w:val="auto"/>
          <w:szCs w:val="21"/>
          <w:highlight w:val="none"/>
        </w:rPr>
        <w:tab/>
      </w:r>
      <w:r>
        <w:rPr>
          <w:color w:val="auto"/>
          <w:szCs w:val="21"/>
          <w:highlight w:val="none"/>
        </w:rPr>
        <w:tab/>
      </w:r>
      <w:r>
        <w:rPr>
          <w:color w:val="auto"/>
          <w:szCs w:val="21"/>
          <w:highlight w:val="none"/>
        </w:rPr>
        <w:t>电力金具试验方法第4部分：验收规则</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2423.1</w:t>
      </w:r>
      <w:r>
        <w:rPr>
          <w:color w:val="auto"/>
          <w:szCs w:val="21"/>
          <w:highlight w:val="none"/>
        </w:rPr>
        <w:tab/>
      </w:r>
      <w:r>
        <w:rPr>
          <w:color w:val="auto"/>
          <w:szCs w:val="21"/>
          <w:highlight w:val="none"/>
        </w:rPr>
        <w:tab/>
      </w:r>
      <w:r>
        <w:rPr>
          <w:color w:val="auto"/>
          <w:szCs w:val="21"/>
          <w:highlight w:val="none"/>
        </w:rPr>
        <w:t>电工电子产品环境试验　第2部分：试验方法　试验A：低温</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2423.2</w:t>
      </w:r>
      <w:r>
        <w:rPr>
          <w:color w:val="auto"/>
          <w:szCs w:val="21"/>
          <w:highlight w:val="none"/>
        </w:rPr>
        <w:tab/>
      </w:r>
      <w:r>
        <w:rPr>
          <w:color w:val="auto"/>
          <w:szCs w:val="21"/>
          <w:highlight w:val="none"/>
        </w:rPr>
        <w:tab/>
      </w:r>
      <w:r>
        <w:rPr>
          <w:color w:val="auto"/>
          <w:szCs w:val="21"/>
          <w:highlight w:val="none"/>
        </w:rPr>
        <w:t>电工电子产品环境试验　第2部分：试验方法　试验B：高温</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2423.4</w:t>
      </w:r>
      <w:r>
        <w:rPr>
          <w:color w:val="auto"/>
          <w:szCs w:val="21"/>
          <w:highlight w:val="none"/>
        </w:rPr>
        <w:tab/>
      </w:r>
      <w:r>
        <w:rPr>
          <w:color w:val="auto"/>
          <w:szCs w:val="21"/>
          <w:highlight w:val="none"/>
        </w:rPr>
        <w:tab/>
      </w:r>
      <w:r>
        <w:rPr>
          <w:color w:val="auto"/>
          <w:szCs w:val="21"/>
          <w:highlight w:val="none"/>
        </w:rPr>
        <w:t>电工电子产品环境试验　第2部分：试验方法　试验Db：交变湿热（12h＋12h循环）</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2423.6</w:t>
      </w:r>
      <w:r>
        <w:rPr>
          <w:color w:val="auto"/>
          <w:szCs w:val="21"/>
          <w:highlight w:val="none"/>
        </w:rPr>
        <w:tab/>
      </w:r>
      <w:r>
        <w:rPr>
          <w:color w:val="auto"/>
          <w:szCs w:val="21"/>
          <w:highlight w:val="none"/>
        </w:rPr>
        <w:tab/>
      </w:r>
      <w:r>
        <w:rPr>
          <w:color w:val="auto"/>
          <w:szCs w:val="21"/>
          <w:highlight w:val="none"/>
        </w:rPr>
        <w:t>电工电子产品环境试验第2部分：试验方法试验Eb和导则：碰撞</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2423.10</w:t>
      </w:r>
      <w:r>
        <w:rPr>
          <w:color w:val="auto"/>
          <w:szCs w:val="21"/>
          <w:highlight w:val="none"/>
        </w:rPr>
        <w:tab/>
      </w:r>
      <w:r>
        <w:rPr>
          <w:color w:val="auto"/>
          <w:szCs w:val="21"/>
          <w:highlight w:val="none"/>
        </w:rPr>
        <w:tab/>
      </w:r>
      <w:r>
        <w:rPr>
          <w:color w:val="auto"/>
          <w:szCs w:val="21"/>
          <w:highlight w:val="none"/>
        </w:rPr>
        <w:t>电工电子产品环境试验　第2部分：试验方法　试验Fc：振动（正弦）</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3482</w:t>
      </w:r>
      <w:r>
        <w:rPr>
          <w:color w:val="auto"/>
          <w:szCs w:val="21"/>
          <w:highlight w:val="none"/>
        </w:rPr>
        <w:tab/>
      </w:r>
      <w:r>
        <w:rPr>
          <w:color w:val="auto"/>
          <w:szCs w:val="21"/>
          <w:highlight w:val="none"/>
        </w:rPr>
        <w:tab/>
      </w:r>
      <w:r>
        <w:rPr>
          <w:color w:val="auto"/>
          <w:szCs w:val="21"/>
          <w:highlight w:val="none"/>
        </w:rPr>
        <w:t>电子设备雷击试验方法</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3512</w:t>
      </w:r>
      <w:r>
        <w:rPr>
          <w:color w:val="auto"/>
          <w:szCs w:val="21"/>
          <w:highlight w:val="none"/>
        </w:rPr>
        <w:tab/>
      </w:r>
      <w:r>
        <w:rPr>
          <w:color w:val="auto"/>
          <w:szCs w:val="21"/>
          <w:highlight w:val="none"/>
        </w:rPr>
        <w:tab/>
      </w:r>
      <w:r>
        <w:rPr>
          <w:color w:val="auto"/>
          <w:szCs w:val="21"/>
          <w:highlight w:val="none"/>
        </w:rPr>
        <w:t>硫化橡胶或热塑性橡胶热空气加速老化和耐热试验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6587</w:t>
      </w:r>
      <w:r>
        <w:rPr>
          <w:color w:val="auto"/>
          <w:szCs w:val="21"/>
          <w:highlight w:val="none"/>
        </w:rPr>
        <w:tab/>
      </w:r>
      <w:r>
        <w:rPr>
          <w:color w:val="auto"/>
          <w:szCs w:val="21"/>
          <w:highlight w:val="none"/>
        </w:rPr>
        <w:tab/>
      </w:r>
      <w:r>
        <w:rPr>
          <w:color w:val="auto"/>
          <w:szCs w:val="21"/>
          <w:highlight w:val="none"/>
        </w:rPr>
        <w:t>电子测量仪器通用规范</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9969</w:t>
      </w:r>
      <w:r>
        <w:rPr>
          <w:color w:val="auto"/>
          <w:szCs w:val="21"/>
          <w:highlight w:val="none"/>
        </w:rPr>
        <w:tab/>
      </w:r>
      <w:r>
        <w:rPr>
          <w:color w:val="auto"/>
          <w:szCs w:val="21"/>
          <w:highlight w:val="none"/>
        </w:rPr>
        <w:tab/>
      </w:r>
      <w:r>
        <w:rPr>
          <w:color w:val="auto"/>
          <w:szCs w:val="21"/>
          <w:highlight w:val="none"/>
        </w:rPr>
        <w:t>工业产品使用说明书总则</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13384</w:t>
      </w:r>
      <w:r>
        <w:rPr>
          <w:color w:val="auto"/>
          <w:szCs w:val="21"/>
          <w:highlight w:val="none"/>
        </w:rPr>
        <w:tab/>
      </w:r>
      <w:r>
        <w:rPr>
          <w:color w:val="auto"/>
          <w:szCs w:val="21"/>
          <w:highlight w:val="none"/>
        </w:rPr>
        <w:tab/>
      </w:r>
      <w:r>
        <w:rPr>
          <w:color w:val="auto"/>
          <w:szCs w:val="21"/>
          <w:highlight w:val="none"/>
        </w:rPr>
        <w:t>机电产品包装通用技术条件</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17626.2</w:t>
      </w:r>
      <w:r>
        <w:rPr>
          <w:color w:val="auto"/>
          <w:szCs w:val="21"/>
          <w:highlight w:val="none"/>
        </w:rPr>
        <w:tab/>
      </w:r>
      <w:r>
        <w:rPr>
          <w:color w:val="auto"/>
          <w:szCs w:val="21"/>
          <w:highlight w:val="none"/>
        </w:rPr>
        <w:tab/>
      </w:r>
      <w:r>
        <w:rPr>
          <w:color w:val="auto"/>
          <w:szCs w:val="21"/>
          <w:highlight w:val="none"/>
        </w:rPr>
        <w:t>电磁兼容试验和测量技术　静电放电抗扰度试验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17626.3</w:t>
      </w:r>
      <w:r>
        <w:rPr>
          <w:color w:val="auto"/>
          <w:szCs w:val="21"/>
          <w:highlight w:val="none"/>
        </w:rPr>
        <w:tab/>
      </w:r>
      <w:r>
        <w:rPr>
          <w:color w:val="auto"/>
          <w:szCs w:val="21"/>
          <w:highlight w:val="none"/>
        </w:rPr>
        <w:tab/>
      </w:r>
      <w:r>
        <w:rPr>
          <w:color w:val="auto"/>
          <w:szCs w:val="21"/>
          <w:highlight w:val="none"/>
        </w:rPr>
        <w:t>电磁兼容试验和测量技术　射频电磁场辐射抗扰度试验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17626.4</w:t>
      </w:r>
      <w:r>
        <w:rPr>
          <w:color w:val="auto"/>
          <w:szCs w:val="21"/>
          <w:highlight w:val="none"/>
        </w:rPr>
        <w:tab/>
      </w:r>
      <w:r>
        <w:rPr>
          <w:color w:val="auto"/>
          <w:szCs w:val="21"/>
          <w:highlight w:val="none"/>
        </w:rPr>
        <w:tab/>
      </w:r>
      <w:r>
        <w:rPr>
          <w:color w:val="auto"/>
          <w:szCs w:val="21"/>
          <w:highlight w:val="none"/>
        </w:rPr>
        <w:t>电磁兼容试验和测量技术电快速瞬变脉冲群抗扰度试验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17626.5</w:t>
      </w:r>
      <w:r>
        <w:rPr>
          <w:color w:val="auto"/>
          <w:szCs w:val="21"/>
          <w:highlight w:val="none"/>
        </w:rPr>
        <w:tab/>
      </w:r>
      <w:r>
        <w:rPr>
          <w:color w:val="auto"/>
          <w:szCs w:val="21"/>
          <w:highlight w:val="none"/>
        </w:rPr>
        <w:tab/>
      </w:r>
      <w:r>
        <w:rPr>
          <w:color w:val="auto"/>
          <w:szCs w:val="21"/>
          <w:highlight w:val="none"/>
        </w:rPr>
        <w:t>电磁兼容试验和测量技术浪涌（冲击）抗扰度试验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17626.6</w:t>
      </w:r>
      <w:r>
        <w:rPr>
          <w:color w:val="auto"/>
          <w:szCs w:val="21"/>
          <w:highlight w:val="none"/>
        </w:rPr>
        <w:tab/>
      </w:r>
      <w:r>
        <w:rPr>
          <w:color w:val="auto"/>
          <w:szCs w:val="21"/>
          <w:highlight w:val="none"/>
        </w:rPr>
        <w:tab/>
      </w:r>
      <w:r>
        <w:rPr>
          <w:color w:val="auto"/>
          <w:szCs w:val="21"/>
          <w:highlight w:val="none"/>
        </w:rPr>
        <w:t>电磁兼容试验和测量技术射频场感应的传导骚扰抗扰度</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17626.8</w:t>
      </w:r>
      <w:r>
        <w:rPr>
          <w:color w:val="auto"/>
          <w:szCs w:val="21"/>
          <w:highlight w:val="none"/>
        </w:rPr>
        <w:tab/>
      </w:r>
      <w:r>
        <w:rPr>
          <w:color w:val="auto"/>
          <w:szCs w:val="21"/>
          <w:highlight w:val="none"/>
        </w:rPr>
        <w:tab/>
      </w:r>
      <w:r>
        <w:rPr>
          <w:color w:val="auto"/>
          <w:szCs w:val="21"/>
          <w:highlight w:val="none"/>
        </w:rPr>
        <w:t>电磁兼容试验和测量技术　工频磁场抗扰度试验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17626.9</w:t>
      </w:r>
      <w:r>
        <w:rPr>
          <w:color w:val="auto"/>
          <w:szCs w:val="21"/>
          <w:highlight w:val="none"/>
        </w:rPr>
        <w:tab/>
      </w:r>
      <w:r>
        <w:rPr>
          <w:color w:val="auto"/>
          <w:szCs w:val="21"/>
          <w:highlight w:val="none"/>
        </w:rPr>
        <w:tab/>
      </w:r>
      <w:r>
        <w:rPr>
          <w:color w:val="auto"/>
          <w:szCs w:val="21"/>
          <w:highlight w:val="none"/>
        </w:rPr>
        <w:t>电磁兼容试验和测量技术　脉冲磁场抗扰度试验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26264</w:t>
      </w:r>
      <w:r>
        <w:rPr>
          <w:color w:val="auto"/>
          <w:szCs w:val="21"/>
          <w:highlight w:val="none"/>
        </w:rPr>
        <w:tab/>
      </w:r>
      <w:r>
        <w:rPr>
          <w:color w:val="auto"/>
          <w:szCs w:val="21"/>
          <w:highlight w:val="none"/>
        </w:rPr>
        <w:tab/>
      </w:r>
      <w:r>
        <w:rPr>
          <w:color w:val="auto"/>
          <w:szCs w:val="21"/>
          <w:highlight w:val="none"/>
        </w:rPr>
        <w:t>通信用太阳能电源系统</w:t>
      </w:r>
    </w:p>
    <w:p>
      <w:pPr>
        <w:pStyle w:val="34"/>
        <w:adjustRightInd w:val="0"/>
        <w:spacing w:after="0" w:line="360" w:lineRule="auto"/>
        <w:ind w:left="0" w:leftChars="0" w:firstLine="420" w:firstLineChars="200"/>
        <w:rPr>
          <w:color w:val="auto"/>
          <w:szCs w:val="21"/>
          <w:highlight w:val="none"/>
        </w:rPr>
      </w:pPr>
      <w:r>
        <w:rPr>
          <w:color w:val="auto"/>
          <w:szCs w:val="21"/>
          <w:highlight w:val="none"/>
        </w:rPr>
        <w:t>DL/T 548</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电力系统通信站过电压防护规程</w:t>
      </w:r>
    </w:p>
    <w:p>
      <w:pPr>
        <w:pStyle w:val="34"/>
        <w:adjustRightInd w:val="0"/>
        <w:spacing w:after="0" w:line="360" w:lineRule="auto"/>
        <w:ind w:left="0" w:leftChars="0" w:firstLine="420" w:firstLineChars="200"/>
        <w:rPr>
          <w:color w:val="auto"/>
          <w:szCs w:val="21"/>
          <w:highlight w:val="none"/>
        </w:rPr>
      </w:pPr>
      <w:r>
        <w:rPr>
          <w:color w:val="auto"/>
          <w:szCs w:val="21"/>
          <w:highlight w:val="none"/>
        </w:rPr>
        <w:t>DL/T 1098</w:t>
      </w:r>
      <w:r>
        <w:rPr>
          <w:color w:val="auto"/>
          <w:szCs w:val="21"/>
          <w:highlight w:val="none"/>
        </w:rPr>
        <w:tab/>
      </w:r>
      <w:r>
        <w:rPr>
          <w:color w:val="auto"/>
          <w:szCs w:val="21"/>
          <w:highlight w:val="none"/>
        </w:rPr>
        <w:tab/>
      </w:r>
      <w:r>
        <w:rPr>
          <w:color w:val="auto"/>
          <w:szCs w:val="21"/>
          <w:highlight w:val="none"/>
        </w:rPr>
        <w:t>间隔棒技术条件和试验方法</w:t>
      </w:r>
    </w:p>
    <w:p>
      <w:pPr>
        <w:pStyle w:val="34"/>
        <w:adjustRightInd w:val="0"/>
        <w:spacing w:after="0" w:line="360" w:lineRule="auto"/>
        <w:ind w:left="0" w:leftChars="0" w:firstLine="420" w:firstLineChars="200"/>
        <w:rPr>
          <w:color w:val="auto"/>
          <w:szCs w:val="21"/>
          <w:highlight w:val="none"/>
        </w:rPr>
      </w:pPr>
      <w:r>
        <w:rPr>
          <w:color w:val="auto"/>
          <w:szCs w:val="21"/>
          <w:highlight w:val="none"/>
        </w:rPr>
        <w:t>DL/T 1247</w:t>
      </w:r>
      <w:r>
        <w:rPr>
          <w:color w:val="auto"/>
          <w:szCs w:val="21"/>
          <w:highlight w:val="none"/>
        </w:rPr>
        <w:tab/>
      </w:r>
      <w:r>
        <w:rPr>
          <w:color w:val="auto"/>
          <w:szCs w:val="21"/>
          <w:highlight w:val="none"/>
        </w:rPr>
        <w:tab/>
      </w:r>
      <w:r>
        <w:rPr>
          <w:color w:val="auto"/>
          <w:szCs w:val="21"/>
          <w:highlight w:val="none"/>
        </w:rPr>
        <w:t>高压直流绝缘子覆冰闪络试验方法</w:t>
      </w:r>
    </w:p>
    <w:p>
      <w:pPr>
        <w:pStyle w:val="34"/>
        <w:adjustRightInd w:val="0"/>
        <w:spacing w:after="0" w:line="360" w:lineRule="auto"/>
        <w:ind w:left="0" w:leftChars="0" w:firstLine="420" w:firstLineChars="200"/>
        <w:rPr>
          <w:color w:val="auto"/>
          <w:szCs w:val="21"/>
          <w:highlight w:val="none"/>
        </w:rPr>
      </w:pPr>
      <w:r>
        <w:rPr>
          <w:color w:val="auto"/>
          <w:szCs w:val="21"/>
          <w:highlight w:val="none"/>
        </w:rPr>
        <w:t>DL/T 5154</w:t>
      </w:r>
      <w:r>
        <w:rPr>
          <w:color w:val="auto"/>
          <w:szCs w:val="21"/>
          <w:highlight w:val="none"/>
        </w:rPr>
        <w:tab/>
      </w:r>
      <w:r>
        <w:rPr>
          <w:color w:val="auto"/>
          <w:szCs w:val="21"/>
          <w:highlight w:val="none"/>
        </w:rPr>
        <w:tab/>
      </w:r>
      <w:r>
        <w:rPr>
          <w:color w:val="auto"/>
          <w:szCs w:val="21"/>
          <w:highlight w:val="none"/>
        </w:rPr>
        <w:t>输电线路杆塔结构设计技术规定</w:t>
      </w:r>
    </w:p>
    <w:p>
      <w:pPr>
        <w:pStyle w:val="34"/>
        <w:adjustRightInd w:val="0"/>
        <w:spacing w:after="0" w:line="360" w:lineRule="auto"/>
        <w:ind w:left="0" w:leftChars="0" w:firstLine="420" w:firstLineChars="200"/>
        <w:rPr>
          <w:color w:val="auto"/>
          <w:szCs w:val="21"/>
          <w:highlight w:val="none"/>
        </w:rPr>
      </w:pPr>
      <w:r>
        <w:rPr>
          <w:color w:val="auto"/>
          <w:szCs w:val="21"/>
          <w:highlight w:val="none"/>
        </w:rPr>
        <w:t>DL/T 1508</w:t>
      </w:r>
      <w:r>
        <w:rPr>
          <w:color w:val="auto"/>
          <w:szCs w:val="21"/>
          <w:highlight w:val="none"/>
        </w:rPr>
        <w:tab/>
      </w:r>
      <w:r>
        <w:rPr>
          <w:color w:val="auto"/>
          <w:szCs w:val="21"/>
          <w:highlight w:val="none"/>
        </w:rPr>
        <w:tab/>
      </w:r>
      <w:r>
        <w:rPr>
          <w:color w:val="auto"/>
          <w:szCs w:val="21"/>
          <w:highlight w:val="none"/>
        </w:rPr>
        <w:t>输电线路导地线覆冰监测装置</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QJ/T 815.2</w:t>
      </w:r>
      <w:r>
        <w:rPr>
          <w:color w:val="auto"/>
          <w:szCs w:val="21"/>
          <w:highlight w:val="none"/>
        </w:rPr>
        <w:tab/>
      </w:r>
      <w:r>
        <w:rPr>
          <w:color w:val="auto"/>
          <w:szCs w:val="21"/>
          <w:highlight w:val="none"/>
        </w:rPr>
        <w:tab/>
      </w:r>
      <w:r>
        <w:rPr>
          <w:color w:val="auto"/>
          <w:szCs w:val="21"/>
          <w:highlight w:val="none"/>
        </w:rPr>
        <w:t>产品公路运输加速模拟试验方法</w:t>
      </w:r>
    </w:p>
    <w:p>
      <w:pPr>
        <w:pStyle w:val="34"/>
        <w:adjustRightInd w:val="0"/>
        <w:spacing w:after="0" w:line="360" w:lineRule="auto"/>
        <w:ind w:left="0" w:leftChars="0" w:firstLine="420" w:firstLineChars="200"/>
        <w:rPr>
          <w:color w:val="auto"/>
          <w:szCs w:val="21"/>
          <w:highlight w:val="none"/>
        </w:rPr>
      </w:pPr>
      <w:r>
        <w:rPr>
          <w:color w:val="auto"/>
          <w:szCs w:val="21"/>
          <w:highlight w:val="none"/>
        </w:rPr>
        <w:t>JB/T 9740.4</w:t>
      </w:r>
      <w:r>
        <w:rPr>
          <w:color w:val="auto"/>
          <w:szCs w:val="21"/>
          <w:highlight w:val="none"/>
        </w:rPr>
        <w:tab/>
      </w:r>
      <w:r>
        <w:rPr>
          <w:color w:val="auto"/>
          <w:szCs w:val="21"/>
          <w:highlight w:val="none"/>
        </w:rPr>
        <w:tab/>
      </w:r>
      <w:r>
        <w:rPr>
          <w:color w:val="auto"/>
          <w:szCs w:val="21"/>
          <w:highlight w:val="none"/>
        </w:rPr>
        <w:t>低速风力机安装规范</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Q/CSG 1204009</w:t>
      </w:r>
      <w:r>
        <w:rPr>
          <w:color w:val="auto"/>
          <w:szCs w:val="21"/>
          <w:highlight w:val="none"/>
        </w:rPr>
        <w:tab/>
      </w:r>
      <w:r>
        <w:rPr>
          <w:color w:val="auto"/>
          <w:szCs w:val="21"/>
          <w:highlight w:val="none"/>
        </w:rPr>
        <w:t>中国南方电网电力监控系统安全防护技术规范</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Q/CSG1205031</w:t>
      </w:r>
      <w:r>
        <w:rPr>
          <w:color w:val="auto"/>
          <w:szCs w:val="21"/>
          <w:highlight w:val="none"/>
        </w:rPr>
        <w:tab/>
      </w:r>
      <w:r>
        <w:rPr>
          <w:color w:val="auto"/>
          <w:szCs w:val="21"/>
          <w:highlight w:val="none"/>
        </w:rPr>
        <w:t>输电线路在线监测通信规约及信息交互规范</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Q/CSG1210050</w:t>
      </w:r>
      <w:r>
        <w:rPr>
          <w:color w:val="auto"/>
          <w:szCs w:val="21"/>
          <w:highlight w:val="none"/>
        </w:rPr>
        <w:tab/>
      </w:r>
      <w:r>
        <w:rPr>
          <w:color w:val="auto"/>
          <w:szCs w:val="21"/>
          <w:highlight w:val="none"/>
        </w:rPr>
        <w:t>南方电网电力全域物联网平台接入技术规范</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Q/CSG 1210066</w:t>
      </w:r>
      <w:r>
        <w:rPr>
          <w:color w:val="auto"/>
          <w:szCs w:val="21"/>
          <w:highlight w:val="none"/>
        </w:rPr>
        <w:tab/>
      </w:r>
      <w:r>
        <w:rPr>
          <w:color w:val="auto"/>
          <w:szCs w:val="21"/>
          <w:highlight w:val="none"/>
        </w:rPr>
        <w:t>南方电网物联网平台接入协议插件标准</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Q/CSG 1210067</w:t>
      </w:r>
      <w:r>
        <w:rPr>
          <w:color w:val="auto"/>
          <w:szCs w:val="21"/>
          <w:highlight w:val="none"/>
        </w:rPr>
        <w:tab/>
      </w:r>
      <w:r>
        <w:rPr>
          <w:color w:val="auto"/>
          <w:szCs w:val="21"/>
          <w:highlight w:val="none"/>
        </w:rPr>
        <w:t>南方电网物联网平台应用协议</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Q/CSG1210074</w:t>
      </w:r>
      <w:r>
        <w:rPr>
          <w:color w:val="auto"/>
          <w:szCs w:val="21"/>
          <w:highlight w:val="none"/>
        </w:rPr>
        <w:tab/>
      </w:r>
      <w:r>
        <w:rPr>
          <w:color w:val="auto"/>
          <w:szCs w:val="21"/>
          <w:highlight w:val="none"/>
        </w:rPr>
        <w:t>南方电网物联终端设备信息模型规范（试行）</w:t>
      </w:r>
    </w:p>
    <w:p>
      <w:pPr>
        <w:spacing w:line="360" w:lineRule="auto"/>
        <w:outlineLvl w:val="0"/>
        <w:rPr>
          <w:rFonts w:eastAsia="黑体"/>
          <w:color w:val="auto"/>
          <w:sz w:val="28"/>
          <w:szCs w:val="28"/>
          <w:highlight w:val="none"/>
        </w:rPr>
      </w:pPr>
      <w:bookmarkStart w:id="98" w:name="_Toc9870"/>
      <w:bookmarkStart w:id="99" w:name="_Toc3436"/>
      <w:bookmarkStart w:id="100" w:name="_Toc4351"/>
      <w:bookmarkStart w:id="101" w:name="_Toc500920837"/>
      <w:bookmarkStart w:id="102" w:name="_Toc2733"/>
      <w:bookmarkStart w:id="103" w:name="_Toc311"/>
      <w:bookmarkStart w:id="104" w:name="_Toc30689"/>
      <w:bookmarkStart w:id="105" w:name="_Toc26855"/>
      <w:bookmarkStart w:id="106" w:name="_Toc25591"/>
      <w:bookmarkStart w:id="107" w:name="_Toc16"/>
      <w:bookmarkStart w:id="108" w:name="_Toc168869397"/>
      <w:bookmarkStart w:id="109" w:name="_Toc1827"/>
      <w:bookmarkStart w:id="110" w:name="_Toc30043"/>
      <w:bookmarkStart w:id="111" w:name="_Toc8367"/>
      <w:r>
        <w:rPr>
          <w:rFonts w:eastAsia="黑体"/>
          <w:color w:val="auto"/>
          <w:sz w:val="28"/>
          <w:szCs w:val="28"/>
          <w:highlight w:val="none"/>
        </w:rPr>
        <w:t>4 使用条件</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pStyle w:val="3"/>
        <w:spacing w:before="0" w:after="0" w:line="360" w:lineRule="auto"/>
        <w:rPr>
          <w:rFonts w:ascii="Times New Roman" w:hAnsi="Times New Roman" w:eastAsia="黑体"/>
          <w:b w:val="0"/>
          <w:bCs/>
          <w:color w:val="auto"/>
          <w:sz w:val="24"/>
          <w:szCs w:val="24"/>
          <w:highlight w:val="none"/>
        </w:rPr>
      </w:pPr>
      <w:bookmarkStart w:id="112" w:name="_Toc6796"/>
      <w:bookmarkStart w:id="113" w:name="_Toc500920838"/>
      <w:bookmarkStart w:id="114" w:name="_Toc9028"/>
      <w:bookmarkStart w:id="115" w:name="_Toc22101"/>
      <w:bookmarkStart w:id="116" w:name="_Toc168869398"/>
      <w:bookmarkStart w:id="117" w:name="_Toc23033"/>
      <w:bookmarkStart w:id="118" w:name="_Toc9797"/>
      <w:bookmarkStart w:id="119" w:name="_Toc6903"/>
      <w:bookmarkStart w:id="120" w:name="_Toc8510"/>
      <w:bookmarkStart w:id="121" w:name="_Toc9702"/>
      <w:bookmarkStart w:id="122" w:name="_Toc18095"/>
      <w:bookmarkStart w:id="123" w:name="_Toc7583"/>
      <w:bookmarkStart w:id="124" w:name="_Toc861"/>
      <w:bookmarkStart w:id="125" w:name="_Toc31248"/>
      <w:r>
        <w:rPr>
          <w:rFonts w:ascii="Times New Roman" w:hAnsi="Times New Roman" w:eastAsia="黑体"/>
          <w:b w:val="0"/>
          <w:bCs/>
          <w:color w:val="auto"/>
          <w:sz w:val="24"/>
          <w:szCs w:val="24"/>
          <w:highlight w:val="none"/>
        </w:rPr>
        <w:t>4.1正常工作条件</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环境温度：-40℃～+70℃；</w:t>
      </w:r>
    </w:p>
    <w:p>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环境相对湿度：5％～98％；</w:t>
      </w:r>
    </w:p>
    <w:p>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大气压力：55kPa~106kPa；</w:t>
      </w:r>
    </w:p>
    <w:p>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基本风速：不低于本体抗风等级，且应满足南方电网风速分布图设防标准（按Ⅰ类风区50年一遇设防，V≥37m/s）；</w:t>
      </w:r>
    </w:p>
    <w:p>
      <w:pPr>
        <w:pStyle w:val="102"/>
        <w:numPr>
          <w:ilvl w:val="0"/>
          <w:numId w:val="26"/>
        </w:numPr>
        <w:spacing w:line="360" w:lineRule="auto"/>
        <w:ind w:left="420" w:firstLine="0" w:firstLineChars="0"/>
        <w:rPr>
          <w:rFonts w:ascii="Times New Roman" w:hAnsi="Times New Roman"/>
          <w:color w:val="auto"/>
          <w:szCs w:val="21"/>
          <w:highlight w:val="none"/>
        </w:rPr>
      </w:pPr>
      <w:r>
        <w:rPr>
          <w:rFonts w:ascii="Times New Roman" w:hAnsi="Times New Roman"/>
          <w:color w:val="auto"/>
          <w:szCs w:val="21"/>
          <w:highlight w:val="none"/>
        </w:rPr>
        <w:t>最大日温差：25℃；</w:t>
      </w:r>
    </w:p>
    <w:p>
      <w:pPr>
        <w:pStyle w:val="102"/>
        <w:numPr>
          <w:ilvl w:val="0"/>
          <w:numId w:val="26"/>
        </w:numPr>
        <w:spacing w:line="360" w:lineRule="auto"/>
        <w:ind w:left="420" w:firstLine="0" w:firstLineChars="0"/>
        <w:rPr>
          <w:rFonts w:ascii="Times New Roman" w:hAnsi="Times New Roman"/>
          <w:color w:val="auto"/>
          <w:szCs w:val="21"/>
          <w:highlight w:val="none"/>
        </w:rPr>
      </w:pPr>
      <w:r>
        <w:rPr>
          <w:rFonts w:ascii="Times New Roman" w:hAnsi="Times New Roman"/>
          <w:color w:val="auto"/>
          <w:szCs w:val="21"/>
          <w:highlight w:val="none"/>
        </w:rPr>
        <w:t>日照强度：0.1W/cm</w:t>
      </w:r>
      <w:r>
        <w:rPr>
          <w:rFonts w:ascii="Times New Roman" w:hAnsi="Times New Roman"/>
          <w:color w:val="auto"/>
          <w:szCs w:val="21"/>
          <w:highlight w:val="none"/>
          <w:vertAlign w:val="superscript"/>
        </w:rPr>
        <w:t>2</w:t>
      </w:r>
      <w:r>
        <w:rPr>
          <w:rFonts w:ascii="Times New Roman" w:hAnsi="Times New Roman"/>
          <w:color w:val="auto"/>
          <w:szCs w:val="21"/>
          <w:highlight w:val="none"/>
        </w:rPr>
        <w:t>（风速 0.5m/s）；</w:t>
      </w:r>
    </w:p>
    <w:p>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装置在大风、暴雨、冰冻等恶劣自然环境及强电磁环境中运行，其工作稳定性、可靠性不应受到明显影响。</w:t>
      </w:r>
    </w:p>
    <w:p>
      <w:pPr>
        <w:pStyle w:val="3"/>
        <w:spacing w:before="0" w:after="0" w:line="360" w:lineRule="auto"/>
        <w:rPr>
          <w:rFonts w:ascii="Times New Roman" w:hAnsi="Times New Roman" w:eastAsia="黑体"/>
          <w:b w:val="0"/>
          <w:bCs/>
          <w:color w:val="auto"/>
          <w:sz w:val="24"/>
          <w:szCs w:val="24"/>
          <w:highlight w:val="none"/>
        </w:rPr>
      </w:pPr>
      <w:bookmarkStart w:id="126" w:name="_Toc349050789"/>
      <w:bookmarkStart w:id="127" w:name="_Toc349051968"/>
      <w:bookmarkStart w:id="128" w:name="_Toc8528"/>
      <w:bookmarkStart w:id="129" w:name="_Toc17140"/>
      <w:bookmarkStart w:id="130" w:name="_Toc168869400"/>
      <w:bookmarkStart w:id="131" w:name="_Toc500920840"/>
      <w:bookmarkStart w:id="132" w:name="_Toc14533"/>
      <w:bookmarkStart w:id="133" w:name="_Toc1897"/>
      <w:bookmarkStart w:id="134" w:name="_Toc28014"/>
      <w:bookmarkStart w:id="135" w:name="_Toc12423"/>
      <w:bookmarkStart w:id="136" w:name="_Toc17553"/>
      <w:bookmarkStart w:id="137" w:name="_Toc6542"/>
      <w:bookmarkStart w:id="138" w:name="_Toc30413"/>
      <w:bookmarkStart w:id="139" w:name="_Toc30483"/>
      <w:bookmarkStart w:id="140" w:name="_Toc31492"/>
      <w:bookmarkStart w:id="141" w:name="_Toc12467"/>
      <w:r>
        <w:rPr>
          <w:rFonts w:ascii="Times New Roman" w:hAnsi="Times New Roman" w:eastAsia="黑体"/>
          <w:b w:val="0"/>
          <w:bCs/>
          <w:color w:val="auto"/>
          <w:sz w:val="24"/>
          <w:szCs w:val="24"/>
          <w:highlight w:val="none"/>
        </w:rPr>
        <w:t>4.</w:t>
      </w:r>
      <w:r>
        <w:rPr>
          <w:rFonts w:hint="eastAsia" w:ascii="Times New Roman" w:hAnsi="Times New Roman" w:eastAsia="黑体"/>
          <w:b w:val="0"/>
          <w:bCs/>
          <w:color w:val="auto"/>
          <w:sz w:val="24"/>
          <w:szCs w:val="24"/>
          <w:highlight w:val="none"/>
          <w:lang w:val="en-US" w:eastAsia="zh-CN"/>
        </w:rPr>
        <w:t>2</w:t>
      </w:r>
      <w:r>
        <w:rPr>
          <w:rFonts w:ascii="Times New Roman" w:hAnsi="Times New Roman" w:eastAsia="黑体"/>
          <w:b w:val="0"/>
          <w:bCs/>
          <w:color w:val="auto"/>
          <w:sz w:val="24"/>
          <w:szCs w:val="24"/>
          <w:highlight w:val="none"/>
        </w:rPr>
        <w:t xml:space="preserve"> 安全性</w:t>
      </w:r>
      <w:bookmarkEnd w:id="126"/>
      <w:bookmarkEnd w:id="127"/>
      <w:r>
        <w:rPr>
          <w:rFonts w:ascii="Times New Roman" w:hAnsi="Times New Roman" w:eastAsia="黑体"/>
          <w:b w:val="0"/>
          <w:bCs/>
          <w:color w:val="auto"/>
          <w:sz w:val="24"/>
          <w:szCs w:val="24"/>
          <w:highlight w:val="none"/>
        </w:rPr>
        <w:t>要求</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pPr>
        <w:numPr>
          <w:ilvl w:val="255"/>
          <w:numId w:val="0"/>
        </w:numPr>
        <w:tabs>
          <w:tab w:val="left" w:pos="851"/>
        </w:tabs>
        <w:adjustRightInd w:val="0"/>
        <w:spacing w:line="360" w:lineRule="auto"/>
        <w:ind w:firstLine="420" w:firstLineChars="200"/>
        <w:rPr>
          <w:color w:val="auto"/>
          <w:szCs w:val="21"/>
          <w:highlight w:val="none"/>
        </w:rPr>
      </w:pPr>
      <w:r>
        <w:rPr>
          <w:color w:val="auto"/>
          <w:szCs w:val="21"/>
          <w:highlight w:val="none"/>
        </w:rPr>
        <w:t>1）装置不应影响输电线路的运行安全；</w:t>
      </w:r>
    </w:p>
    <w:p>
      <w:pPr>
        <w:numPr>
          <w:ilvl w:val="255"/>
          <w:numId w:val="0"/>
        </w:numPr>
        <w:tabs>
          <w:tab w:val="left" w:pos="840"/>
        </w:tabs>
        <w:adjustRightInd w:val="0"/>
        <w:spacing w:line="360" w:lineRule="auto"/>
        <w:ind w:firstLine="420" w:firstLineChars="200"/>
        <w:rPr>
          <w:color w:val="auto"/>
          <w:szCs w:val="21"/>
          <w:highlight w:val="none"/>
        </w:rPr>
      </w:pPr>
      <w:r>
        <w:rPr>
          <w:color w:val="auto"/>
          <w:szCs w:val="21"/>
          <w:highlight w:val="none"/>
        </w:rPr>
        <w:t>2）安装在杆塔上的各功能部件应采取防振、防松措施，而且不应降低杆塔的机械强度；</w:t>
      </w:r>
    </w:p>
    <w:p>
      <w:pPr>
        <w:numPr>
          <w:ilvl w:val="255"/>
          <w:numId w:val="0"/>
        </w:numPr>
        <w:tabs>
          <w:tab w:val="left" w:pos="840"/>
        </w:tabs>
        <w:adjustRightInd w:val="0"/>
        <w:spacing w:line="360" w:lineRule="auto"/>
        <w:ind w:firstLine="420" w:firstLineChars="200"/>
        <w:rPr>
          <w:color w:val="auto"/>
          <w:szCs w:val="21"/>
          <w:highlight w:val="none"/>
        </w:rPr>
      </w:pPr>
      <w:r>
        <w:rPr>
          <w:color w:val="auto"/>
          <w:szCs w:val="21"/>
          <w:highlight w:val="none"/>
        </w:rPr>
        <w:t>3）装置与全域物联网平台之间的信息通信应满足安全接入要求，监测装置的安全要求应符合GB4943中的相关规定；</w:t>
      </w:r>
    </w:p>
    <w:p>
      <w:pPr>
        <w:numPr>
          <w:ilvl w:val="255"/>
          <w:numId w:val="0"/>
        </w:numPr>
        <w:tabs>
          <w:tab w:val="left" w:pos="840"/>
        </w:tabs>
        <w:adjustRightInd w:val="0"/>
        <w:spacing w:line="360" w:lineRule="auto"/>
        <w:ind w:firstLine="420" w:firstLineChars="200"/>
        <w:rPr>
          <w:color w:val="auto"/>
          <w:szCs w:val="21"/>
          <w:highlight w:val="none"/>
        </w:rPr>
      </w:pPr>
      <w:r>
        <w:rPr>
          <w:color w:val="auto"/>
          <w:szCs w:val="21"/>
          <w:highlight w:val="none"/>
        </w:rPr>
        <w:t>4）装置与全域物联网平台及其通信回路均应符合Q/CSG 1204009中对电力设备在线监测系统的安全防护要求；</w:t>
      </w:r>
    </w:p>
    <w:p>
      <w:pPr>
        <w:spacing w:line="360" w:lineRule="auto"/>
        <w:outlineLvl w:val="0"/>
        <w:rPr>
          <w:rFonts w:eastAsia="黑体"/>
          <w:color w:val="auto"/>
          <w:sz w:val="28"/>
          <w:szCs w:val="28"/>
          <w:highlight w:val="none"/>
        </w:rPr>
      </w:pPr>
      <w:bookmarkStart w:id="142" w:name="_Toc21534"/>
      <w:bookmarkStart w:id="143" w:name="_Toc25616"/>
      <w:bookmarkStart w:id="144" w:name="_Toc168869401"/>
      <w:bookmarkStart w:id="145" w:name="_Toc14923"/>
      <w:bookmarkStart w:id="146" w:name="_Toc500920841"/>
      <w:bookmarkStart w:id="147" w:name="_Toc697"/>
      <w:bookmarkStart w:id="148" w:name="_Toc20158"/>
      <w:bookmarkStart w:id="149" w:name="_Toc7763"/>
      <w:bookmarkStart w:id="150" w:name="_Toc15664"/>
      <w:bookmarkStart w:id="151" w:name="_Toc11433"/>
      <w:bookmarkStart w:id="152" w:name="_Toc3111"/>
      <w:bookmarkStart w:id="153" w:name="_Toc11064"/>
      <w:bookmarkStart w:id="154" w:name="_Toc21899"/>
      <w:bookmarkStart w:id="155" w:name="_Toc7651"/>
      <w:r>
        <w:rPr>
          <w:rFonts w:eastAsia="黑体"/>
          <w:color w:val="auto"/>
          <w:sz w:val="28"/>
          <w:szCs w:val="28"/>
          <w:highlight w:val="none"/>
        </w:rPr>
        <w:t>5 技术要求</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pStyle w:val="3"/>
        <w:spacing w:before="0" w:after="0" w:line="360" w:lineRule="auto"/>
        <w:rPr>
          <w:rFonts w:ascii="Times New Roman" w:hAnsi="Times New Roman" w:eastAsia="黑体"/>
          <w:b w:val="0"/>
          <w:bCs/>
          <w:color w:val="auto"/>
          <w:sz w:val="24"/>
          <w:szCs w:val="24"/>
          <w:highlight w:val="none"/>
        </w:rPr>
      </w:pPr>
      <w:bookmarkStart w:id="156" w:name="_Toc12648"/>
      <w:bookmarkStart w:id="157" w:name="_Toc168869402"/>
      <w:bookmarkStart w:id="158" w:name="_Toc29077"/>
      <w:bookmarkStart w:id="159" w:name="_Toc22763"/>
      <w:bookmarkStart w:id="160" w:name="_Toc500920842"/>
      <w:bookmarkStart w:id="161" w:name="_Toc31399"/>
      <w:bookmarkStart w:id="162" w:name="_Toc3604"/>
      <w:bookmarkStart w:id="163" w:name="_Toc26741"/>
      <w:bookmarkStart w:id="164" w:name="_Toc12452"/>
      <w:bookmarkStart w:id="165" w:name="_Toc31223"/>
      <w:bookmarkStart w:id="166" w:name="_Toc11697"/>
      <w:bookmarkStart w:id="167" w:name="_Toc28054"/>
      <w:bookmarkStart w:id="168" w:name="_Toc2460"/>
      <w:bookmarkStart w:id="169" w:name="_Toc22201"/>
      <w:r>
        <w:rPr>
          <w:rFonts w:ascii="Times New Roman" w:hAnsi="Times New Roman" w:eastAsia="黑体"/>
          <w:b w:val="0"/>
          <w:bCs/>
          <w:color w:val="auto"/>
          <w:sz w:val="24"/>
          <w:szCs w:val="24"/>
          <w:highlight w:val="none"/>
        </w:rPr>
        <w:t>5.1 基本功能要求</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pPr>
        <w:tabs>
          <w:tab w:val="left" w:pos="709"/>
        </w:tabs>
        <w:spacing w:line="360" w:lineRule="auto"/>
        <w:ind w:left="709" w:hanging="709"/>
        <w:outlineLvl w:val="2"/>
        <w:rPr>
          <w:b/>
          <w:color w:val="auto"/>
          <w:highlight w:val="none"/>
        </w:rPr>
      </w:pPr>
      <w:r>
        <w:rPr>
          <w:color w:val="auto"/>
          <w:highlight w:val="none"/>
        </w:rPr>
        <w:t xml:space="preserve">5.1.1 </w:t>
      </w:r>
      <w:r>
        <w:rPr>
          <w:b/>
          <w:color w:val="auto"/>
          <w:highlight w:val="none"/>
        </w:rPr>
        <w:t>装置配置</w:t>
      </w:r>
    </w:p>
    <w:p>
      <w:pPr>
        <w:widowControl/>
        <w:numPr>
          <w:ilvl w:val="255"/>
          <w:numId w:val="0"/>
        </w:numPr>
        <w:spacing w:line="360" w:lineRule="auto"/>
        <w:jc w:val="left"/>
        <w:outlineLvl w:val="3"/>
        <w:rPr>
          <w:rFonts w:hint="eastAsia" w:eastAsia="宋体"/>
          <w:color w:val="auto"/>
          <w:kern w:val="0"/>
          <w:szCs w:val="21"/>
          <w:highlight w:val="none"/>
          <w:lang w:eastAsia="zh-CN"/>
        </w:rPr>
      </w:pPr>
      <w:r>
        <w:rPr>
          <w:color w:val="auto"/>
          <w:highlight w:val="none"/>
        </w:rPr>
        <w:t>5.1.1</w:t>
      </w:r>
      <w:r>
        <w:rPr>
          <w:rFonts w:hint="eastAsia"/>
          <w:color w:val="auto"/>
          <w:highlight w:val="none"/>
          <w:lang w:val="en-US" w:eastAsia="zh-CN"/>
        </w:rPr>
        <w:t>.1</w:t>
      </w:r>
      <w:r>
        <w:rPr>
          <w:rFonts w:hint="eastAsia"/>
          <w:color w:val="auto"/>
          <w:highlight w:val="none"/>
          <w:lang w:eastAsia="zh-CN"/>
        </w:rPr>
        <w:t>图像视频核心感知</w:t>
      </w:r>
      <w:r>
        <w:rPr>
          <w:rFonts w:hint="eastAsia"/>
          <w:highlight w:val="none"/>
          <w:lang w:val="en-US" w:eastAsia="zh-CN"/>
        </w:rPr>
        <w:t>模组</w:t>
      </w:r>
      <w:r>
        <w:rPr>
          <w:rFonts w:hint="eastAsia"/>
          <w:color w:val="auto"/>
          <w:highlight w:val="none"/>
          <w:lang w:eastAsia="zh-CN"/>
        </w:rPr>
        <w:t>与传输单元</w:t>
      </w:r>
      <w:r>
        <w:rPr>
          <w:rFonts w:hint="eastAsia"/>
          <w:highlight w:val="none"/>
          <w:lang w:val="en-US" w:eastAsia="zh-CN"/>
        </w:rPr>
        <w:t>模组</w:t>
      </w:r>
    </w:p>
    <w:p>
      <w:pPr>
        <w:spacing w:line="360" w:lineRule="auto"/>
        <w:ind w:firstLine="420"/>
        <w:rPr>
          <w:rFonts w:hint="default"/>
          <w:color w:val="auto"/>
          <w:highlight w:val="none"/>
          <w:lang w:val="en-US"/>
        </w:rPr>
      </w:pPr>
      <w:r>
        <w:rPr>
          <w:rFonts w:hint="eastAsia"/>
          <w:highlight w:val="none"/>
          <w:lang w:val="en-US" w:eastAsia="zh-CN"/>
        </w:rPr>
        <w:t>图像视频采集模组</w:t>
      </w:r>
    </w:p>
    <w:p>
      <w:pPr>
        <w:numPr>
          <w:ilvl w:val="0"/>
          <w:numId w:val="32"/>
        </w:numPr>
        <w:spacing w:line="360" w:lineRule="auto"/>
        <w:ind w:firstLine="420"/>
        <w:rPr>
          <w:color w:val="auto"/>
          <w:highlight w:val="none"/>
        </w:rPr>
      </w:pPr>
      <w:r>
        <w:rPr>
          <w:rFonts w:hint="eastAsia"/>
          <w:color w:val="auto"/>
          <w:highlight w:val="none"/>
          <w:lang w:val="en-US" w:eastAsia="zh-CN"/>
        </w:rPr>
        <w:t>主机</w:t>
      </w:r>
      <w:r>
        <w:rPr>
          <w:color w:val="auto"/>
          <w:highlight w:val="none"/>
        </w:rPr>
        <w:t>主控：包括接口单元、中央处理单元、存储单元等；</w:t>
      </w:r>
    </w:p>
    <w:p>
      <w:pPr>
        <w:numPr>
          <w:ilvl w:val="0"/>
          <w:numId w:val="32"/>
        </w:numPr>
        <w:spacing w:line="360" w:lineRule="auto"/>
        <w:ind w:firstLine="420"/>
        <w:rPr>
          <w:rFonts w:hint="eastAsia"/>
          <w:color w:val="auto"/>
          <w:highlight w:val="none"/>
          <w:lang w:val="en-US" w:eastAsia="zh-CN"/>
        </w:rPr>
      </w:pPr>
      <w:r>
        <w:rPr>
          <w:rFonts w:hint="eastAsia"/>
          <w:color w:val="auto"/>
          <w:highlight w:val="none"/>
          <w:lang w:val="en-US" w:eastAsia="zh-CN"/>
        </w:rPr>
        <w:t>副机主控：</w:t>
      </w:r>
      <w:r>
        <w:rPr>
          <w:color w:val="auto"/>
          <w:highlight w:val="none"/>
        </w:rPr>
        <w:t>包括接口单元、中央处理单元、存储单元等</w:t>
      </w:r>
      <w:r>
        <w:rPr>
          <w:rFonts w:hint="eastAsia"/>
          <w:color w:val="auto"/>
          <w:highlight w:val="none"/>
          <w:lang w:eastAsia="zh-CN"/>
        </w:rPr>
        <w:t>；</w:t>
      </w:r>
      <w:bookmarkStart w:id="597" w:name="_GoBack"/>
      <w:bookmarkEnd w:id="597"/>
    </w:p>
    <w:p>
      <w:pPr>
        <w:numPr>
          <w:ilvl w:val="0"/>
          <w:numId w:val="0"/>
        </w:numPr>
        <w:spacing w:line="360" w:lineRule="auto"/>
        <w:ind w:firstLine="420" w:firstLineChars="200"/>
        <w:rPr>
          <w:rFonts w:hint="default"/>
          <w:color w:val="auto"/>
          <w:highlight w:val="none"/>
          <w:lang w:val="en-US" w:eastAsia="zh-CN"/>
        </w:rPr>
      </w:pPr>
      <w:r>
        <w:rPr>
          <w:rFonts w:hint="eastAsia"/>
          <w:szCs w:val="18"/>
          <w:highlight w:val="none"/>
          <w:lang w:val="en-US" w:eastAsia="zh-CN"/>
        </w:rPr>
        <w:t>传输单元模组</w:t>
      </w:r>
    </w:p>
    <w:p>
      <w:pPr>
        <w:numPr>
          <w:ilvl w:val="0"/>
          <w:numId w:val="0"/>
        </w:numPr>
        <w:spacing w:line="360" w:lineRule="auto"/>
        <w:ind w:firstLine="420" w:firstLineChars="200"/>
        <w:rPr>
          <w:rFonts w:hint="eastAsia"/>
          <w:color w:val="auto"/>
          <w:highlight w:val="none"/>
          <w:lang w:val="en-US" w:eastAsia="zh-CN"/>
        </w:rPr>
      </w:pPr>
      <w:r>
        <w:rPr>
          <w:rFonts w:hint="eastAsia"/>
          <w:color w:val="auto"/>
          <w:highlight w:val="none"/>
          <w:lang w:val="en-US" w:eastAsia="zh-CN"/>
        </w:rPr>
        <w:t>1）通信模块：选用无线网络通信（支持4G并向下兼容）；</w:t>
      </w:r>
    </w:p>
    <w:p>
      <w:pPr>
        <w:numPr>
          <w:ilvl w:val="0"/>
          <w:numId w:val="0"/>
        </w:numPr>
        <w:spacing w:line="360" w:lineRule="auto"/>
        <w:ind w:firstLine="420" w:firstLineChars="200"/>
        <w:rPr>
          <w:rFonts w:hint="eastAsia"/>
          <w:color w:val="auto"/>
          <w:highlight w:val="none"/>
          <w:lang w:val="en-US" w:eastAsia="zh-CN"/>
        </w:rPr>
      </w:pPr>
      <w:r>
        <w:rPr>
          <w:rFonts w:hint="eastAsia"/>
          <w:color w:val="auto"/>
          <w:highlight w:val="none"/>
          <w:lang w:val="en-US" w:eastAsia="zh-CN"/>
        </w:rPr>
        <w:t>2）定位模块：</w:t>
      </w:r>
      <w:r>
        <w:rPr>
          <w:rFonts w:hint="eastAsia"/>
          <w:color w:val="auto"/>
          <w:highlight w:val="none"/>
          <w:lang w:eastAsia="zh-CN"/>
        </w:rPr>
        <w:t>支持BDS定位</w:t>
      </w:r>
      <w:r>
        <w:rPr>
          <w:color w:val="auto"/>
          <w:highlight w:val="none"/>
        </w:rPr>
        <w:t>；</w:t>
      </w:r>
    </w:p>
    <w:p>
      <w:pPr>
        <w:numPr>
          <w:ilvl w:val="0"/>
          <w:numId w:val="0"/>
        </w:numPr>
        <w:spacing w:line="360" w:lineRule="auto"/>
        <w:ind w:firstLine="420" w:firstLineChars="200"/>
        <w:rPr>
          <w:rFonts w:hint="eastAsia"/>
          <w:color w:val="auto"/>
          <w:highlight w:val="none"/>
          <w:lang w:val="en-US" w:eastAsia="zh-CN"/>
        </w:rPr>
      </w:pPr>
      <w:r>
        <w:rPr>
          <w:rFonts w:hint="eastAsia"/>
          <w:color w:val="auto"/>
          <w:highlight w:val="none"/>
          <w:lang w:val="en-US" w:eastAsia="zh-CN"/>
        </w:rPr>
        <w:t>3）授时模块：支持BDS授时，同时能够兼容全域物联网平台的网络对时；</w:t>
      </w:r>
    </w:p>
    <w:p>
      <w:pPr>
        <w:tabs>
          <w:tab w:val="left" w:pos="709"/>
        </w:tabs>
        <w:spacing w:line="360" w:lineRule="auto"/>
        <w:ind w:left="707" w:leftChars="100" w:hanging="497" w:hangingChars="237"/>
        <w:outlineLvl w:val="2"/>
        <w:rPr>
          <w:color w:val="auto"/>
          <w:highlight w:val="none"/>
        </w:rPr>
      </w:pPr>
      <w:r>
        <w:rPr>
          <w:color w:val="auto"/>
          <w:highlight w:val="none"/>
        </w:rPr>
        <w:t xml:space="preserve">5.1.2 </w:t>
      </w:r>
      <w:r>
        <w:rPr>
          <w:b/>
          <w:color w:val="auto"/>
          <w:highlight w:val="none"/>
        </w:rPr>
        <w:t>视频监控功能</w:t>
      </w:r>
    </w:p>
    <w:p>
      <w:pPr>
        <w:numPr>
          <w:ilvl w:val="255"/>
          <w:numId w:val="0"/>
        </w:numPr>
        <w:adjustRightInd w:val="0"/>
        <w:spacing w:line="360" w:lineRule="auto"/>
        <w:ind w:firstLine="420" w:firstLineChars="200"/>
        <w:rPr>
          <w:color w:val="auto"/>
          <w:szCs w:val="21"/>
          <w:highlight w:val="none"/>
        </w:rPr>
      </w:pPr>
      <w:r>
        <w:rPr>
          <w:color w:val="auto"/>
          <w:szCs w:val="21"/>
          <w:highlight w:val="none"/>
        </w:rPr>
        <w:t>1）支持实时视频监控功能</w:t>
      </w:r>
    </w:p>
    <w:p>
      <w:pPr>
        <w:numPr>
          <w:ilvl w:val="255"/>
          <w:numId w:val="0"/>
        </w:numPr>
        <w:adjustRightInd w:val="0"/>
        <w:spacing w:line="360" w:lineRule="auto"/>
        <w:ind w:firstLine="420" w:firstLineChars="200"/>
        <w:rPr>
          <w:rFonts w:hint="default" w:eastAsia="宋体"/>
          <w:color w:val="auto"/>
          <w:szCs w:val="21"/>
          <w:highlight w:val="none"/>
          <w:lang w:val="en-US" w:eastAsia="zh-CN"/>
        </w:rPr>
      </w:pPr>
      <w:r>
        <w:rPr>
          <w:color w:val="auto"/>
          <w:szCs w:val="21"/>
          <w:highlight w:val="none"/>
        </w:rPr>
        <w:t>2）支持视频监控及录像</w:t>
      </w:r>
      <w:r>
        <w:rPr>
          <w:rFonts w:hint="eastAsia"/>
          <w:color w:val="auto"/>
          <w:szCs w:val="21"/>
          <w:highlight w:val="none"/>
          <w:lang w:eastAsia="zh-CN"/>
        </w:rPr>
        <w:t>，</w:t>
      </w:r>
      <w:r>
        <w:rPr>
          <w:rFonts w:hint="eastAsia"/>
          <w:color w:val="auto"/>
          <w:szCs w:val="21"/>
          <w:highlight w:val="none"/>
          <w:lang w:val="en-US" w:eastAsia="zh-CN"/>
        </w:rPr>
        <w:t>查看报警图片</w:t>
      </w:r>
    </w:p>
    <w:p>
      <w:pPr>
        <w:numPr>
          <w:ilvl w:val="255"/>
          <w:numId w:val="0"/>
        </w:numPr>
        <w:tabs>
          <w:tab w:val="left" w:pos="839"/>
        </w:tabs>
        <w:adjustRightInd w:val="0"/>
        <w:spacing w:line="360" w:lineRule="auto"/>
        <w:ind w:firstLine="420" w:firstLineChars="200"/>
        <w:rPr>
          <w:color w:val="auto"/>
          <w:szCs w:val="21"/>
          <w:highlight w:val="none"/>
        </w:rPr>
      </w:pPr>
      <w:r>
        <w:rPr>
          <w:rFonts w:hint="eastAsia"/>
          <w:color w:val="auto"/>
          <w:szCs w:val="21"/>
          <w:highlight w:val="none"/>
          <w:lang w:val="en-US" w:eastAsia="zh-CN"/>
        </w:rPr>
        <w:t>3</w:t>
      </w:r>
      <w:r>
        <w:rPr>
          <w:color w:val="auto"/>
          <w:szCs w:val="21"/>
          <w:highlight w:val="none"/>
        </w:rPr>
        <w:t>）巡视历史信息</w:t>
      </w:r>
      <w:r>
        <w:rPr>
          <w:rFonts w:hint="eastAsia"/>
          <w:color w:val="auto"/>
          <w:szCs w:val="21"/>
          <w:highlight w:val="none"/>
          <w:lang w:val="en-US" w:eastAsia="zh-CN"/>
        </w:rPr>
        <w:t>平台侧</w:t>
      </w:r>
      <w:r>
        <w:rPr>
          <w:color w:val="auto"/>
          <w:szCs w:val="21"/>
          <w:highlight w:val="none"/>
        </w:rPr>
        <w:t>可查询；</w:t>
      </w:r>
    </w:p>
    <w:p>
      <w:pPr>
        <w:numPr>
          <w:ilvl w:val="255"/>
          <w:numId w:val="0"/>
        </w:numPr>
        <w:tabs>
          <w:tab w:val="left" w:pos="839"/>
        </w:tabs>
        <w:adjustRightInd w:val="0"/>
        <w:spacing w:line="360" w:lineRule="auto"/>
        <w:ind w:firstLine="420" w:firstLineChars="200"/>
        <w:rPr>
          <w:color w:val="auto"/>
          <w:szCs w:val="21"/>
          <w:highlight w:val="none"/>
        </w:rPr>
      </w:pPr>
      <w:r>
        <w:rPr>
          <w:rFonts w:hint="eastAsia"/>
          <w:color w:val="auto"/>
          <w:szCs w:val="21"/>
          <w:highlight w:val="none"/>
          <w:lang w:val="en-US" w:eastAsia="zh-CN"/>
        </w:rPr>
        <w:t>4</w:t>
      </w:r>
      <w:r>
        <w:rPr>
          <w:color w:val="auto"/>
          <w:szCs w:val="21"/>
          <w:highlight w:val="none"/>
        </w:rPr>
        <w:t>）画面质量支持1080P及以上且多级可调，可变码流和固定码流可选，可设置双码流，主辅码流可设置；支持帧率可调：1-</w:t>
      </w:r>
      <w:r>
        <w:rPr>
          <w:rFonts w:hint="eastAsia"/>
          <w:color w:val="auto"/>
          <w:szCs w:val="21"/>
          <w:highlight w:val="none"/>
          <w:lang w:val="en-US" w:eastAsia="zh-CN"/>
        </w:rPr>
        <w:t>25</w:t>
      </w:r>
      <w:r>
        <w:rPr>
          <w:color w:val="auto"/>
          <w:szCs w:val="21"/>
          <w:highlight w:val="none"/>
        </w:rPr>
        <w:t>帧每秒可调；</w:t>
      </w:r>
    </w:p>
    <w:p>
      <w:pPr>
        <w:numPr>
          <w:ilvl w:val="255"/>
          <w:numId w:val="0"/>
        </w:numPr>
        <w:tabs>
          <w:tab w:val="left" w:pos="839"/>
        </w:tabs>
        <w:adjustRightInd w:val="0"/>
        <w:spacing w:line="360" w:lineRule="auto"/>
        <w:ind w:firstLine="420" w:firstLineChars="200"/>
        <w:rPr>
          <w:color w:val="auto"/>
          <w:szCs w:val="21"/>
          <w:highlight w:val="red"/>
        </w:rPr>
      </w:pPr>
      <w:r>
        <w:rPr>
          <w:rFonts w:hint="eastAsia"/>
          <w:color w:val="auto"/>
          <w:szCs w:val="21"/>
          <w:highlight w:val="none"/>
          <w:lang w:val="en-US" w:eastAsia="zh-CN"/>
        </w:rPr>
        <w:t>5</w:t>
      </w:r>
      <w:r>
        <w:rPr>
          <w:color w:val="auto"/>
          <w:szCs w:val="21"/>
          <w:highlight w:val="none"/>
        </w:rPr>
        <w:t>）支持JPG抓图，并支持位置信息及时间信息标注；</w:t>
      </w:r>
    </w:p>
    <w:p>
      <w:pPr>
        <w:numPr>
          <w:ilvl w:val="255"/>
          <w:numId w:val="0"/>
        </w:numPr>
        <w:adjustRightInd w:val="0"/>
        <w:spacing w:line="360" w:lineRule="auto"/>
        <w:ind w:firstLine="420" w:firstLineChars="200"/>
        <w:rPr>
          <w:color w:val="auto"/>
          <w:szCs w:val="21"/>
          <w:highlight w:val="none"/>
        </w:rPr>
      </w:pPr>
      <w:r>
        <w:rPr>
          <w:rFonts w:hint="eastAsia"/>
          <w:color w:val="auto"/>
          <w:szCs w:val="21"/>
          <w:highlight w:val="none"/>
          <w:lang w:val="en-US" w:eastAsia="zh-CN"/>
        </w:rPr>
        <w:t>6</w:t>
      </w:r>
      <w:r>
        <w:rPr>
          <w:color w:val="auto"/>
          <w:szCs w:val="21"/>
          <w:highlight w:val="none"/>
        </w:rPr>
        <w:t>）支持前端视频监测装置可配置并中文命名，设备命名以所安装的杆塔编号作为对象，命名为“XX局/XXkV+XX线/XX杆塔”，摄像机OSD包括正文和时间两部分内容；</w:t>
      </w:r>
    </w:p>
    <w:p>
      <w:pPr>
        <w:numPr>
          <w:ilvl w:val="255"/>
          <w:numId w:val="0"/>
        </w:numPr>
        <w:adjustRightInd w:val="0"/>
        <w:spacing w:line="360" w:lineRule="auto"/>
        <w:ind w:firstLine="420" w:firstLineChars="200"/>
        <w:rPr>
          <w:color w:val="auto"/>
          <w:szCs w:val="21"/>
          <w:highlight w:val="none"/>
        </w:rPr>
      </w:pPr>
      <w:r>
        <w:rPr>
          <w:rFonts w:hint="eastAsia"/>
          <w:color w:val="auto"/>
          <w:szCs w:val="21"/>
          <w:highlight w:val="none"/>
          <w:lang w:val="en-US" w:eastAsia="zh-CN"/>
        </w:rPr>
        <w:t>7</w:t>
      </w:r>
      <w:r>
        <w:rPr>
          <w:color w:val="auto"/>
          <w:szCs w:val="21"/>
          <w:highlight w:val="none"/>
        </w:rPr>
        <w:t>）支持端侧AI识别功能，支持智能识别算法</w:t>
      </w:r>
      <w:r>
        <w:rPr>
          <w:rFonts w:hint="eastAsia"/>
          <w:color w:val="auto"/>
          <w:szCs w:val="21"/>
          <w:highlight w:val="none"/>
          <w:lang w:val="en-US" w:eastAsia="zh-CN"/>
        </w:rPr>
        <w:t>通过平台侧下发升级</w:t>
      </w:r>
      <w:r>
        <w:rPr>
          <w:color w:val="auto"/>
          <w:szCs w:val="21"/>
          <w:highlight w:val="none"/>
        </w:rPr>
        <w:t>，具备算法灵活选择及算法远程更新、替换功能。</w:t>
      </w:r>
    </w:p>
    <w:p>
      <w:pPr>
        <w:tabs>
          <w:tab w:val="left" w:pos="709"/>
        </w:tabs>
        <w:spacing w:line="360" w:lineRule="auto"/>
        <w:ind w:left="709" w:hanging="709"/>
        <w:outlineLvl w:val="2"/>
        <w:rPr>
          <w:color w:val="auto"/>
          <w:highlight w:val="none"/>
        </w:rPr>
      </w:pPr>
      <w:r>
        <w:rPr>
          <w:color w:val="auto"/>
          <w:highlight w:val="none"/>
        </w:rPr>
        <w:t xml:space="preserve">5.1.3 </w:t>
      </w:r>
      <w:r>
        <w:rPr>
          <w:b/>
          <w:color w:val="auto"/>
          <w:highlight w:val="none"/>
        </w:rPr>
        <w:t>图像监控功能</w:t>
      </w:r>
    </w:p>
    <w:p>
      <w:pPr>
        <w:numPr>
          <w:ilvl w:val="255"/>
          <w:numId w:val="0"/>
        </w:numPr>
        <w:adjustRightInd w:val="0"/>
        <w:spacing w:line="360" w:lineRule="auto"/>
        <w:ind w:firstLine="420" w:firstLineChars="200"/>
        <w:rPr>
          <w:color w:val="auto"/>
          <w:szCs w:val="21"/>
          <w:highlight w:val="none"/>
        </w:rPr>
      </w:pPr>
      <w:r>
        <w:rPr>
          <w:color w:val="auto"/>
          <w:szCs w:val="21"/>
          <w:highlight w:val="none"/>
        </w:rPr>
        <w:t>1）支持定时图片巡视和手动开启图片拍摄，拍摄模式可选择；</w:t>
      </w:r>
    </w:p>
    <w:p>
      <w:pPr>
        <w:numPr>
          <w:ilvl w:val="255"/>
          <w:numId w:val="0"/>
        </w:numPr>
        <w:adjustRightInd w:val="0"/>
        <w:spacing w:line="360" w:lineRule="auto"/>
        <w:ind w:firstLine="420" w:firstLineChars="200"/>
        <w:rPr>
          <w:color w:val="auto"/>
          <w:szCs w:val="21"/>
          <w:highlight w:val="none"/>
        </w:rPr>
      </w:pPr>
      <w:r>
        <w:rPr>
          <w:color w:val="auto"/>
          <w:szCs w:val="21"/>
          <w:highlight w:val="none"/>
        </w:rPr>
        <w:t>2）拍摄模式可配置，包括运行周期、运行时间等信息；</w:t>
      </w:r>
    </w:p>
    <w:p>
      <w:pPr>
        <w:numPr>
          <w:ilvl w:val="255"/>
          <w:numId w:val="0"/>
        </w:numPr>
        <w:adjustRightInd w:val="0"/>
        <w:spacing w:line="360" w:lineRule="auto"/>
        <w:ind w:firstLine="420" w:firstLineChars="200"/>
        <w:rPr>
          <w:color w:val="auto"/>
          <w:szCs w:val="21"/>
          <w:highlight w:val="none"/>
        </w:rPr>
      </w:pPr>
      <w:r>
        <w:rPr>
          <w:color w:val="auto"/>
          <w:szCs w:val="21"/>
          <w:highlight w:val="none"/>
        </w:rPr>
        <w:t>3）支持前端视频监测装置可配置并中文命名，设备命名以所安装的杆塔编号作为对象，命名为“XX局/ XXkV+XX线/XX杆塔”，摄像机OSD包括正文和时间两部分内容。</w:t>
      </w:r>
    </w:p>
    <w:p>
      <w:pPr>
        <w:numPr>
          <w:ilvl w:val="-1"/>
          <w:numId w:val="0"/>
        </w:numPr>
        <w:adjustRightInd w:val="0"/>
        <w:spacing w:line="360" w:lineRule="auto"/>
        <w:ind w:left="0" w:leftChars="0" w:firstLine="420" w:firstLineChars="200"/>
        <w:outlineLvl w:val="9"/>
        <w:rPr>
          <w:rFonts w:hint="eastAsia" w:ascii="宋体" w:hAnsi="宋体"/>
          <w:color w:val="auto"/>
          <w:highlight w:val="none"/>
          <w:lang w:eastAsia="zh-CN"/>
        </w:rPr>
      </w:pPr>
      <w:r>
        <w:rPr>
          <w:rFonts w:hint="eastAsia" w:cs="Times New Roman"/>
          <w:color w:val="auto"/>
          <w:szCs w:val="21"/>
          <w:highlight w:val="none"/>
          <w:lang w:val="en-US" w:eastAsia="zh-CN"/>
        </w:rPr>
        <w:t>4）图像最小拍摄周期不大于5min。</w:t>
      </w:r>
    </w:p>
    <w:p>
      <w:pPr>
        <w:tabs>
          <w:tab w:val="left" w:pos="709"/>
        </w:tabs>
        <w:spacing w:line="360" w:lineRule="auto"/>
        <w:ind w:left="709" w:hanging="709"/>
        <w:outlineLvl w:val="2"/>
        <w:rPr>
          <w:b/>
          <w:color w:val="auto"/>
          <w:highlight w:val="none"/>
        </w:rPr>
      </w:pPr>
      <w:r>
        <w:rPr>
          <w:rFonts w:hint="eastAsia"/>
          <w:b/>
          <w:color w:val="auto"/>
          <w:highlight w:val="none"/>
        </w:rPr>
        <w:t>5</w:t>
      </w:r>
      <w:r>
        <w:rPr>
          <w:b/>
          <w:color w:val="auto"/>
          <w:highlight w:val="none"/>
        </w:rPr>
        <w:t>.1.</w:t>
      </w:r>
      <w:r>
        <w:rPr>
          <w:rFonts w:hint="eastAsia"/>
          <w:b/>
          <w:color w:val="auto"/>
          <w:highlight w:val="none"/>
          <w:lang w:val="en-US" w:eastAsia="zh-CN"/>
        </w:rPr>
        <w:t>4</w:t>
      </w:r>
      <w:r>
        <w:rPr>
          <w:b/>
          <w:color w:val="auto"/>
          <w:highlight w:val="none"/>
        </w:rPr>
        <w:t>数据采集</w:t>
      </w:r>
    </w:p>
    <w:p>
      <w:pPr>
        <w:spacing w:line="360" w:lineRule="auto"/>
        <w:rPr>
          <w:rFonts w:hint="default" w:eastAsia="宋体"/>
          <w:b/>
          <w:color w:val="auto"/>
          <w:highlight w:val="none"/>
          <w:lang w:val="en-US" w:eastAsia="zh-CN"/>
        </w:rPr>
      </w:pPr>
      <w:r>
        <w:rPr>
          <w:color w:val="auto"/>
          <w:highlight w:val="none"/>
        </w:rPr>
        <w:t>5.1.</w:t>
      </w:r>
      <w:r>
        <w:rPr>
          <w:rFonts w:hint="eastAsia"/>
          <w:color w:val="auto"/>
          <w:highlight w:val="none"/>
          <w:lang w:val="en-US" w:eastAsia="zh-CN"/>
        </w:rPr>
        <w:t>4</w:t>
      </w:r>
      <w:r>
        <w:rPr>
          <w:color w:val="auto"/>
          <w:highlight w:val="none"/>
        </w:rPr>
        <w:t>.1</w:t>
      </w:r>
      <w:r>
        <w:rPr>
          <w:rFonts w:hint="eastAsia"/>
          <w:color w:val="auto"/>
          <w:szCs w:val="21"/>
          <w:highlight w:val="none"/>
          <w:lang w:val="en-US" w:eastAsia="zh-CN"/>
        </w:rPr>
        <w:t>装置采集功能</w:t>
      </w:r>
    </w:p>
    <w:p>
      <w:pPr>
        <w:numPr>
          <w:ilvl w:val="255"/>
          <w:numId w:val="0"/>
        </w:numPr>
        <w:adjustRightInd w:val="0"/>
        <w:spacing w:line="360" w:lineRule="auto"/>
        <w:ind w:firstLine="420" w:firstLineChars="200"/>
        <w:rPr>
          <w:color w:val="auto"/>
          <w:szCs w:val="21"/>
          <w:highlight w:val="none"/>
        </w:rPr>
      </w:pPr>
      <w:bookmarkStart w:id="170" w:name="_Toc456656257"/>
      <w:bookmarkStart w:id="171" w:name="_Toc349050792"/>
      <w:bookmarkStart w:id="172" w:name="_Toc349051971"/>
      <w:r>
        <w:rPr>
          <w:rFonts w:hint="eastAsia"/>
          <w:color w:val="auto"/>
          <w:szCs w:val="21"/>
          <w:highlight w:val="none"/>
          <w:lang w:val="en-US" w:eastAsia="zh-CN"/>
        </w:rPr>
        <w:t>1</w:t>
      </w:r>
      <w:r>
        <w:rPr>
          <w:color w:val="auto"/>
          <w:szCs w:val="21"/>
          <w:highlight w:val="none"/>
        </w:rPr>
        <w:t>）应能采集监测装置所在位置通信信号强度、通信流量信息；</w:t>
      </w:r>
    </w:p>
    <w:p>
      <w:pPr>
        <w:numPr>
          <w:ilvl w:val="255"/>
          <w:numId w:val="0"/>
        </w:numPr>
        <w:adjustRightInd w:val="0"/>
        <w:spacing w:line="360" w:lineRule="auto"/>
        <w:ind w:firstLine="420" w:firstLineChars="200"/>
        <w:rPr>
          <w:color w:val="auto"/>
          <w:szCs w:val="21"/>
          <w:highlight w:val="none"/>
        </w:rPr>
      </w:pPr>
      <w:r>
        <w:rPr>
          <w:rFonts w:hint="eastAsia"/>
          <w:color w:val="auto"/>
          <w:szCs w:val="21"/>
          <w:highlight w:val="none"/>
          <w:lang w:val="en-US" w:eastAsia="zh-CN"/>
        </w:rPr>
        <w:t>2</w:t>
      </w:r>
      <w:r>
        <w:rPr>
          <w:color w:val="auto"/>
          <w:szCs w:val="21"/>
          <w:highlight w:val="none"/>
        </w:rPr>
        <w:t>）</w:t>
      </w:r>
      <w:r>
        <w:rPr>
          <w:color w:val="auto"/>
          <w:szCs w:val="21"/>
          <w:highlight w:val="none"/>
        </w:rPr>
        <w:tab/>
      </w:r>
      <w:r>
        <w:rPr>
          <w:color w:val="auto"/>
          <w:szCs w:val="21"/>
          <w:highlight w:val="none"/>
        </w:rPr>
        <w:t>应能采集监测装置各组成单元运行状态；</w:t>
      </w:r>
    </w:p>
    <w:p>
      <w:pPr>
        <w:numPr>
          <w:ilvl w:val="255"/>
          <w:numId w:val="0"/>
        </w:numPr>
        <w:adjustRightInd w:val="0"/>
        <w:spacing w:line="360" w:lineRule="auto"/>
        <w:ind w:firstLine="420" w:firstLineChars="200"/>
        <w:rPr>
          <w:color w:val="auto"/>
          <w:szCs w:val="21"/>
          <w:highlight w:val="none"/>
        </w:rPr>
      </w:pPr>
      <w:r>
        <w:rPr>
          <w:rFonts w:hint="eastAsia"/>
          <w:color w:val="auto"/>
          <w:szCs w:val="21"/>
          <w:highlight w:val="none"/>
          <w:lang w:val="en-US" w:eastAsia="zh-CN"/>
        </w:rPr>
        <w:t>3</w:t>
      </w:r>
      <w:r>
        <w:rPr>
          <w:color w:val="auto"/>
          <w:szCs w:val="21"/>
          <w:highlight w:val="none"/>
        </w:rPr>
        <w:t>）装置应同时具备自动采集方式与受控采集方式；</w:t>
      </w:r>
    </w:p>
    <w:p>
      <w:pPr>
        <w:numPr>
          <w:ilvl w:val="255"/>
          <w:numId w:val="0"/>
        </w:numPr>
        <w:adjustRightInd w:val="0"/>
        <w:spacing w:line="360" w:lineRule="auto"/>
        <w:ind w:firstLine="420" w:firstLineChars="200"/>
        <w:rPr>
          <w:color w:val="auto"/>
          <w:szCs w:val="21"/>
          <w:highlight w:val="none"/>
        </w:rPr>
      </w:pPr>
      <w:r>
        <w:rPr>
          <w:rFonts w:hint="eastAsia"/>
          <w:color w:val="auto"/>
          <w:szCs w:val="21"/>
          <w:highlight w:val="none"/>
          <w:lang w:val="en-US" w:eastAsia="zh-CN"/>
        </w:rPr>
        <w:t>4</w:t>
      </w:r>
      <w:r>
        <w:rPr>
          <w:color w:val="auto"/>
          <w:szCs w:val="21"/>
          <w:highlight w:val="none"/>
        </w:rPr>
        <w:t>）根据采集参量的变化特征可设定采集间隔。</w:t>
      </w:r>
    </w:p>
    <w:bookmarkEnd w:id="170"/>
    <w:p>
      <w:pPr>
        <w:tabs>
          <w:tab w:val="left" w:pos="709"/>
        </w:tabs>
        <w:spacing w:line="360" w:lineRule="auto"/>
        <w:ind w:left="709" w:hanging="709"/>
        <w:outlineLvl w:val="2"/>
        <w:rPr>
          <w:b/>
          <w:color w:val="auto"/>
          <w:highlight w:val="none"/>
        </w:rPr>
      </w:pPr>
      <w:r>
        <w:rPr>
          <w:color w:val="auto"/>
          <w:highlight w:val="none"/>
        </w:rPr>
        <w:t>5.1.</w:t>
      </w:r>
      <w:r>
        <w:rPr>
          <w:rFonts w:hint="eastAsia"/>
          <w:color w:val="auto"/>
          <w:highlight w:val="none"/>
          <w:lang w:val="en-US" w:eastAsia="zh-CN"/>
        </w:rPr>
        <w:t>5</w:t>
      </w:r>
      <w:r>
        <w:rPr>
          <w:color w:val="auto"/>
          <w:highlight w:val="none"/>
        </w:rPr>
        <w:t xml:space="preserve"> </w:t>
      </w:r>
      <w:r>
        <w:rPr>
          <w:b/>
          <w:color w:val="auto"/>
          <w:highlight w:val="none"/>
        </w:rPr>
        <w:t>存储功能</w:t>
      </w:r>
      <w:bookmarkEnd w:id="171"/>
      <w:bookmarkEnd w:id="172"/>
    </w:p>
    <w:p>
      <w:pPr>
        <w:adjustRightInd w:val="0"/>
        <w:spacing w:line="360" w:lineRule="auto"/>
        <w:ind w:firstLine="420" w:firstLineChars="200"/>
        <w:rPr>
          <w:color w:val="auto"/>
          <w:szCs w:val="21"/>
          <w:highlight w:val="none"/>
        </w:rPr>
      </w:pPr>
      <w:r>
        <w:rPr>
          <w:color w:val="auto"/>
          <w:szCs w:val="21"/>
          <w:highlight w:val="none"/>
        </w:rPr>
        <w:t>装置应具备数据存储功能，存储容量配置应满足“2.1 供货范围”要求。</w:t>
      </w:r>
    </w:p>
    <w:p>
      <w:pPr>
        <w:tabs>
          <w:tab w:val="left" w:pos="709"/>
        </w:tabs>
        <w:spacing w:line="360" w:lineRule="auto"/>
        <w:ind w:left="709" w:hanging="709"/>
        <w:outlineLvl w:val="2"/>
        <w:rPr>
          <w:color w:val="auto"/>
          <w:highlight w:val="none"/>
        </w:rPr>
      </w:pPr>
      <w:bookmarkStart w:id="173" w:name="_Toc349050793"/>
      <w:bookmarkStart w:id="174" w:name="_Toc349051972"/>
      <w:r>
        <w:rPr>
          <w:color w:val="auto"/>
          <w:highlight w:val="none"/>
        </w:rPr>
        <w:t>5.1.</w:t>
      </w:r>
      <w:bookmarkEnd w:id="173"/>
      <w:bookmarkEnd w:id="174"/>
      <w:r>
        <w:rPr>
          <w:rFonts w:hint="eastAsia"/>
          <w:color w:val="auto"/>
          <w:highlight w:val="none"/>
          <w:lang w:val="en-US" w:eastAsia="zh-CN"/>
        </w:rPr>
        <w:t>6</w:t>
      </w:r>
      <w:r>
        <w:rPr>
          <w:color w:val="auto"/>
          <w:highlight w:val="none"/>
        </w:rPr>
        <w:t xml:space="preserve"> </w:t>
      </w:r>
      <w:r>
        <w:rPr>
          <w:b/>
          <w:bCs/>
          <w:color w:val="auto"/>
          <w:highlight w:val="none"/>
        </w:rPr>
        <w:t>自检测与自恢复功能</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 xml:space="preserve">1）装置应具有自检测功能，提供装置运行状态自检信息，记录故障日志； </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2）装置应具有自恢复功能，当出现类似异常供电终止等情况后，装置能够自动恢复正常运行，且存储数据不丢失，并能实现自动补发，通过全域物联网平台的安全接入区实现数据上送至全域物联网平台。</w:t>
      </w:r>
    </w:p>
    <w:p>
      <w:pPr>
        <w:tabs>
          <w:tab w:val="left" w:pos="709"/>
        </w:tabs>
        <w:spacing w:line="360" w:lineRule="auto"/>
        <w:ind w:left="709" w:hanging="709"/>
        <w:outlineLvl w:val="2"/>
        <w:rPr>
          <w:color w:val="auto"/>
          <w:highlight w:val="none"/>
        </w:rPr>
      </w:pPr>
      <w:r>
        <w:rPr>
          <w:color w:val="auto"/>
          <w:highlight w:val="none"/>
        </w:rPr>
        <w:t>5.1.</w:t>
      </w:r>
      <w:r>
        <w:rPr>
          <w:rFonts w:hint="eastAsia"/>
          <w:color w:val="auto"/>
          <w:highlight w:val="none"/>
          <w:lang w:val="en-US" w:eastAsia="zh-CN"/>
        </w:rPr>
        <w:t>7</w:t>
      </w:r>
      <w:r>
        <w:rPr>
          <w:color w:val="auto"/>
          <w:highlight w:val="none"/>
        </w:rPr>
        <w:t xml:space="preserve"> </w:t>
      </w:r>
      <w:r>
        <w:rPr>
          <w:b/>
          <w:bCs/>
          <w:color w:val="auto"/>
          <w:highlight w:val="none"/>
        </w:rPr>
        <w:t>装置硬件和软件管理</w:t>
      </w:r>
    </w:p>
    <w:p>
      <w:pPr>
        <w:numPr>
          <w:ilvl w:val="255"/>
          <w:numId w:val="0"/>
        </w:numPr>
        <w:adjustRightInd w:val="0"/>
        <w:spacing w:line="360" w:lineRule="auto"/>
        <w:ind w:left="420"/>
        <w:rPr>
          <w:color w:val="auto"/>
          <w:szCs w:val="21"/>
          <w:highlight w:val="none"/>
        </w:rPr>
      </w:pPr>
      <w:r>
        <w:rPr>
          <w:color w:val="auto"/>
          <w:szCs w:val="21"/>
          <w:highlight w:val="none"/>
        </w:rPr>
        <w:t>1）应具备动态响应远程时间查询/设置、数据请求、重启等指令的能力；</w:t>
      </w:r>
    </w:p>
    <w:p>
      <w:pPr>
        <w:numPr>
          <w:ilvl w:val="255"/>
          <w:numId w:val="0"/>
        </w:numPr>
        <w:adjustRightInd w:val="0"/>
        <w:spacing w:line="360" w:lineRule="auto"/>
        <w:ind w:left="420"/>
        <w:rPr>
          <w:color w:val="auto"/>
          <w:szCs w:val="21"/>
          <w:highlight w:val="none"/>
        </w:rPr>
      </w:pPr>
      <w:r>
        <w:rPr>
          <w:color w:val="auto"/>
          <w:szCs w:val="21"/>
          <w:highlight w:val="none"/>
        </w:rPr>
        <w:t>2）应具备按远程指令修改装置运行参数的能力；</w:t>
      </w:r>
    </w:p>
    <w:p>
      <w:pPr>
        <w:numPr>
          <w:ilvl w:val="255"/>
          <w:numId w:val="0"/>
        </w:numPr>
        <w:adjustRightInd w:val="0"/>
        <w:spacing w:line="360" w:lineRule="auto"/>
        <w:ind w:left="420"/>
        <w:rPr>
          <w:color w:val="auto"/>
          <w:szCs w:val="21"/>
          <w:highlight w:val="none"/>
        </w:rPr>
      </w:pPr>
      <w:r>
        <w:rPr>
          <w:color w:val="auto"/>
          <w:szCs w:val="21"/>
          <w:highlight w:val="none"/>
        </w:rPr>
        <w:t xml:space="preserve">3）应具备密码认证和远程更新程序的功能，应具备可靠的更新机制与方式； </w:t>
      </w:r>
    </w:p>
    <w:p>
      <w:pPr>
        <w:numPr>
          <w:ilvl w:val="255"/>
          <w:numId w:val="0"/>
        </w:numPr>
        <w:adjustRightInd w:val="0"/>
        <w:spacing w:line="360" w:lineRule="auto"/>
        <w:ind w:left="420"/>
        <w:rPr>
          <w:color w:val="auto"/>
          <w:szCs w:val="21"/>
          <w:highlight w:val="none"/>
        </w:rPr>
      </w:pPr>
      <w:r>
        <w:rPr>
          <w:color w:val="auto"/>
          <w:szCs w:val="21"/>
          <w:highlight w:val="none"/>
        </w:rPr>
        <w:t>4）应具备周期性自检功能并能输出自检信息；</w:t>
      </w:r>
    </w:p>
    <w:p>
      <w:pPr>
        <w:numPr>
          <w:ilvl w:val="255"/>
          <w:numId w:val="0"/>
        </w:numPr>
        <w:adjustRightInd w:val="0"/>
        <w:spacing w:line="360" w:lineRule="auto"/>
        <w:ind w:left="420"/>
        <w:rPr>
          <w:color w:val="auto"/>
          <w:szCs w:val="21"/>
          <w:highlight w:val="none"/>
        </w:rPr>
      </w:pPr>
      <w:r>
        <w:rPr>
          <w:color w:val="auto"/>
          <w:szCs w:val="21"/>
          <w:highlight w:val="none"/>
        </w:rPr>
        <w:t>5）应具备错误自恢复、定时重启功能；</w:t>
      </w:r>
    </w:p>
    <w:p>
      <w:pPr>
        <w:numPr>
          <w:ilvl w:val="255"/>
          <w:numId w:val="0"/>
        </w:numPr>
        <w:adjustRightInd w:val="0"/>
        <w:spacing w:line="360" w:lineRule="auto"/>
        <w:ind w:left="420"/>
        <w:rPr>
          <w:color w:val="auto"/>
          <w:szCs w:val="21"/>
          <w:highlight w:val="none"/>
        </w:rPr>
      </w:pPr>
      <w:r>
        <w:rPr>
          <w:color w:val="auto"/>
          <w:szCs w:val="21"/>
          <w:highlight w:val="none"/>
        </w:rPr>
        <w:t>6）应具备休眠功能，应支持休眠唤醒，装置默认为无休眠</w:t>
      </w:r>
      <w:r>
        <w:rPr>
          <w:rFonts w:hint="eastAsia"/>
          <w:color w:val="auto"/>
          <w:szCs w:val="21"/>
          <w:highlight w:val="none"/>
          <w:lang w:eastAsia="zh-CN"/>
        </w:rPr>
        <w:t>；</w:t>
      </w:r>
    </w:p>
    <w:p>
      <w:pPr>
        <w:numPr>
          <w:ilvl w:val="-1"/>
          <w:numId w:val="0"/>
        </w:numPr>
        <w:adjustRightInd w:val="0"/>
        <w:spacing w:line="360" w:lineRule="auto"/>
        <w:ind w:left="420"/>
        <w:rPr>
          <w:color w:val="auto"/>
          <w:szCs w:val="21"/>
          <w:highlight w:val="none"/>
        </w:rPr>
      </w:pPr>
      <w:r>
        <w:rPr>
          <w:rFonts w:hint="default" w:ascii="Times New Roman" w:hAnsi="Times New Roman" w:cs="Times New Roman"/>
          <w:color w:val="auto"/>
          <w:szCs w:val="21"/>
          <w:highlight w:val="none"/>
        </w:rPr>
        <w:t>7）应具备APN专用通信卡卡号自动上传功能。</w:t>
      </w:r>
    </w:p>
    <w:p>
      <w:pPr>
        <w:pStyle w:val="3"/>
        <w:spacing w:before="0" w:after="0" w:line="360" w:lineRule="auto"/>
        <w:rPr>
          <w:rFonts w:ascii="Times New Roman" w:hAnsi="Times New Roman" w:eastAsia="黑体"/>
          <w:b w:val="0"/>
          <w:bCs/>
          <w:color w:val="auto"/>
          <w:sz w:val="24"/>
          <w:szCs w:val="24"/>
          <w:highlight w:val="none"/>
        </w:rPr>
      </w:pPr>
      <w:bookmarkStart w:id="175" w:name="_Toc32670"/>
      <w:bookmarkStart w:id="176" w:name="_Toc8857"/>
      <w:bookmarkStart w:id="177" w:name="_Toc28534"/>
      <w:bookmarkStart w:id="178" w:name="_Toc9259"/>
      <w:bookmarkStart w:id="179" w:name="_Toc500920843"/>
      <w:bookmarkStart w:id="180" w:name="_Toc31252"/>
      <w:bookmarkStart w:id="181" w:name="_Toc20890"/>
      <w:bookmarkStart w:id="182" w:name="_Toc32548"/>
      <w:bookmarkStart w:id="183" w:name="_Toc168869403"/>
      <w:bookmarkStart w:id="184" w:name="_Toc15818"/>
      <w:bookmarkStart w:id="185" w:name="_Toc1562"/>
      <w:bookmarkStart w:id="186" w:name="_Toc31951"/>
      <w:bookmarkStart w:id="187" w:name="_Toc8412"/>
      <w:bookmarkStart w:id="188" w:name="_Toc20473"/>
      <w:bookmarkStart w:id="189" w:name="_Toc265313588"/>
      <w:r>
        <w:rPr>
          <w:rFonts w:ascii="Times New Roman" w:hAnsi="Times New Roman" w:eastAsia="黑体"/>
          <w:b w:val="0"/>
          <w:bCs/>
          <w:color w:val="auto"/>
          <w:sz w:val="24"/>
          <w:szCs w:val="24"/>
          <w:highlight w:val="none"/>
        </w:rPr>
        <w:t>5.2 装置技术参数要求</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pStyle w:val="102"/>
        <w:widowControl/>
        <w:numPr>
          <w:ilvl w:val="255"/>
          <w:numId w:val="0"/>
        </w:numPr>
        <w:tabs>
          <w:tab w:val="left" w:pos="709"/>
        </w:tabs>
        <w:spacing w:line="360" w:lineRule="auto"/>
        <w:jc w:val="left"/>
        <w:outlineLvl w:val="2"/>
        <w:rPr>
          <w:rFonts w:ascii="Times New Roman" w:hAnsi="Times New Roman"/>
          <w:color w:val="auto"/>
          <w:szCs w:val="21"/>
          <w:highlight w:val="none"/>
        </w:rPr>
      </w:pPr>
      <w:r>
        <w:rPr>
          <w:rFonts w:ascii="Times New Roman" w:hAnsi="Times New Roman"/>
          <w:color w:val="auto"/>
          <w:szCs w:val="24"/>
          <w:highlight w:val="none"/>
        </w:rPr>
        <w:t xml:space="preserve">5.2.1 </w:t>
      </w:r>
      <w:r>
        <w:rPr>
          <w:rFonts w:ascii="Times New Roman" w:hAnsi="Times New Roman"/>
          <w:b/>
          <w:color w:val="auto"/>
          <w:szCs w:val="24"/>
          <w:highlight w:val="none"/>
        </w:rPr>
        <w:t xml:space="preserve">通用技术参数 </w:t>
      </w:r>
    </w:p>
    <w:bookmarkEnd w:id="189"/>
    <w:p>
      <w:pPr>
        <w:numPr>
          <w:ilvl w:val="255"/>
          <w:numId w:val="0"/>
        </w:numPr>
        <w:adjustRightInd w:val="0"/>
        <w:spacing w:line="360" w:lineRule="auto"/>
        <w:ind w:left="420"/>
        <w:rPr>
          <w:color w:val="auto"/>
          <w:szCs w:val="21"/>
          <w:highlight w:val="none"/>
        </w:rPr>
      </w:pPr>
      <w:r>
        <w:rPr>
          <w:color w:val="auto"/>
          <w:szCs w:val="21"/>
          <w:highlight w:val="none"/>
        </w:rPr>
        <w:t>1）增益控制：自动/手动</w:t>
      </w:r>
      <w:r>
        <w:rPr>
          <w:color w:val="auto"/>
          <w:szCs w:val="21"/>
          <w:highlight w:val="none"/>
        </w:rPr>
        <w:tab/>
      </w:r>
      <w:r>
        <w:rPr>
          <w:color w:val="auto"/>
          <w:szCs w:val="21"/>
          <w:highlight w:val="none"/>
        </w:rPr>
        <w:tab/>
      </w:r>
      <w:r>
        <w:rPr>
          <w:color w:val="auto"/>
          <w:szCs w:val="21"/>
          <w:highlight w:val="none"/>
        </w:rPr>
        <w:tab/>
      </w:r>
    </w:p>
    <w:p>
      <w:pPr>
        <w:numPr>
          <w:ilvl w:val="255"/>
          <w:numId w:val="0"/>
        </w:numPr>
        <w:adjustRightInd w:val="0"/>
        <w:spacing w:line="360" w:lineRule="auto"/>
        <w:ind w:left="420"/>
        <w:rPr>
          <w:color w:val="auto"/>
          <w:szCs w:val="21"/>
          <w:highlight w:val="none"/>
        </w:rPr>
      </w:pPr>
      <w:r>
        <w:rPr>
          <w:color w:val="auto"/>
          <w:szCs w:val="21"/>
          <w:highlight w:val="none"/>
        </w:rPr>
        <w:t>2）2D/3D降噪：支持</w:t>
      </w:r>
      <w:r>
        <w:rPr>
          <w:color w:val="auto"/>
          <w:szCs w:val="21"/>
          <w:highlight w:val="none"/>
        </w:rPr>
        <w:tab/>
      </w:r>
      <w:r>
        <w:rPr>
          <w:color w:val="auto"/>
          <w:szCs w:val="21"/>
          <w:highlight w:val="none"/>
        </w:rPr>
        <w:tab/>
      </w:r>
      <w:r>
        <w:rPr>
          <w:color w:val="auto"/>
          <w:szCs w:val="21"/>
          <w:highlight w:val="none"/>
        </w:rPr>
        <w:tab/>
      </w:r>
    </w:p>
    <w:p>
      <w:pPr>
        <w:numPr>
          <w:ilvl w:val="255"/>
          <w:numId w:val="0"/>
        </w:numPr>
        <w:adjustRightInd w:val="0"/>
        <w:spacing w:line="360" w:lineRule="auto"/>
        <w:ind w:left="420"/>
        <w:rPr>
          <w:color w:val="auto"/>
          <w:szCs w:val="21"/>
          <w:highlight w:val="none"/>
        </w:rPr>
      </w:pPr>
      <w:r>
        <w:rPr>
          <w:color w:val="auto"/>
          <w:szCs w:val="21"/>
          <w:highlight w:val="none"/>
        </w:rPr>
        <w:t>3）信噪比：大于55dB</w:t>
      </w:r>
      <w:r>
        <w:rPr>
          <w:color w:val="auto"/>
          <w:szCs w:val="21"/>
          <w:highlight w:val="none"/>
        </w:rPr>
        <w:tab/>
      </w:r>
      <w:r>
        <w:rPr>
          <w:color w:val="auto"/>
          <w:szCs w:val="21"/>
          <w:highlight w:val="none"/>
        </w:rPr>
        <w:tab/>
      </w:r>
      <w:r>
        <w:rPr>
          <w:color w:val="auto"/>
          <w:szCs w:val="21"/>
          <w:highlight w:val="none"/>
        </w:rPr>
        <w:tab/>
      </w:r>
    </w:p>
    <w:p>
      <w:pPr>
        <w:numPr>
          <w:ilvl w:val="255"/>
          <w:numId w:val="0"/>
        </w:numPr>
        <w:adjustRightInd w:val="0"/>
        <w:spacing w:line="360" w:lineRule="auto"/>
        <w:ind w:left="420"/>
        <w:rPr>
          <w:color w:val="auto"/>
          <w:szCs w:val="21"/>
          <w:highlight w:val="none"/>
        </w:rPr>
      </w:pPr>
      <w:r>
        <w:rPr>
          <w:color w:val="auto"/>
          <w:szCs w:val="21"/>
          <w:highlight w:val="none"/>
        </w:rPr>
        <w:t>4）自动白平衡：支持</w:t>
      </w:r>
      <w:r>
        <w:rPr>
          <w:color w:val="auto"/>
          <w:szCs w:val="21"/>
          <w:highlight w:val="none"/>
        </w:rPr>
        <w:tab/>
      </w:r>
      <w:r>
        <w:rPr>
          <w:color w:val="auto"/>
          <w:szCs w:val="21"/>
          <w:highlight w:val="none"/>
        </w:rPr>
        <w:tab/>
      </w:r>
      <w:r>
        <w:rPr>
          <w:color w:val="auto"/>
          <w:szCs w:val="21"/>
          <w:highlight w:val="none"/>
        </w:rPr>
        <w:tab/>
      </w:r>
    </w:p>
    <w:p>
      <w:pPr>
        <w:numPr>
          <w:ilvl w:val="255"/>
          <w:numId w:val="0"/>
        </w:numPr>
        <w:adjustRightInd w:val="0"/>
        <w:spacing w:line="360" w:lineRule="auto"/>
        <w:ind w:left="420"/>
        <w:rPr>
          <w:color w:val="auto"/>
          <w:szCs w:val="21"/>
          <w:highlight w:val="none"/>
        </w:rPr>
      </w:pPr>
      <w:r>
        <w:rPr>
          <w:color w:val="auto"/>
          <w:szCs w:val="21"/>
          <w:highlight w:val="none"/>
        </w:rPr>
        <w:t>5）电子透雾：支持</w:t>
      </w:r>
    </w:p>
    <w:p>
      <w:pPr>
        <w:numPr>
          <w:ilvl w:val="255"/>
          <w:numId w:val="0"/>
        </w:numPr>
        <w:adjustRightInd w:val="0"/>
        <w:spacing w:line="360" w:lineRule="auto"/>
        <w:ind w:left="420"/>
        <w:rPr>
          <w:color w:val="auto"/>
          <w:szCs w:val="21"/>
          <w:highlight w:val="none"/>
        </w:rPr>
      </w:pPr>
      <w:r>
        <w:rPr>
          <w:color w:val="auto"/>
          <w:szCs w:val="21"/>
          <w:highlight w:val="none"/>
        </w:rPr>
        <w:t>6）背光补偿：开/关</w:t>
      </w:r>
      <w:r>
        <w:rPr>
          <w:color w:val="auto"/>
          <w:szCs w:val="21"/>
          <w:highlight w:val="none"/>
        </w:rPr>
        <w:tab/>
      </w:r>
      <w:r>
        <w:rPr>
          <w:color w:val="auto"/>
          <w:szCs w:val="21"/>
          <w:highlight w:val="none"/>
        </w:rPr>
        <w:tab/>
      </w:r>
      <w:r>
        <w:rPr>
          <w:color w:val="auto"/>
          <w:szCs w:val="21"/>
          <w:highlight w:val="none"/>
        </w:rPr>
        <w:tab/>
      </w:r>
    </w:p>
    <w:p>
      <w:pPr>
        <w:numPr>
          <w:ilvl w:val="255"/>
          <w:numId w:val="0"/>
        </w:numPr>
        <w:adjustRightInd w:val="0"/>
        <w:spacing w:line="360" w:lineRule="auto"/>
        <w:ind w:left="420"/>
        <w:rPr>
          <w:color w:val="auto"/>
          <w:szCs w:val="21"/>
          <w:highlight w:val="none"/>
        </w:rPr>
      </w:pPr>
      <w:r>
        <w:rPr>
          <w:color w:val="auto"/>
          <w:szCs w:val="21"/>
          <w:highlight w:val="none"/>
        </w:rPr>
        <w:t>7）宽动态：128倍</w:t>
      </w:r>
      <w:r>
        <w:rPr>
          <w:color w:val="auto"/>
          <w:szCs w:val="21"/>
          <w:highlight w:val="none"/>
        </w:rPr>
        <w:tab/>
      </w:r>
      <w:r>
        <w:rPr>
          <w:color w:val="auto"/>
          <w:szCs w:val="21"/>
          <w:highlight w:val="none"/>
        </w:rPr>
        <w:tab/>
      </w:r>
      <w:r>
        <w:rPr>
          <w:color w:val="auto"/>
          <w:szCs w:val="21"/>
          <w:highlight w:val="none"/>
        </w:rPr>
        <w:tab/>
      </w:r>
    </w:p>
    <w:p>
      <w:pPr>
        <w:numPr>
          <w:ilvl w:val="255"/>
          <w:numId w:val="0"/>
        </w:numPr>
        <w:adjustRightInd w:val="0"/>
        <w:spacing w:line="360" w:lineRule="auto"/>
        <w:ind w:left="420"/>
        <w:rPr>
          <w:color w:val="auto"/>
          <w:szCs w:val="21"/>
          <w:highlight w:val="none"/>
        </w:rPr>
      </w:pPr>
      <w:r>
        <w:rPr>
          <w:color w:val="auto"/>
          <w:szCs w:val="21"/>
          <w:highlight w:val="none"/>
        </w:rPr>
        <w:t>8）强光抑制：支持</w:t>
      </w:r>
      <w:r>
        <w:rPr>
          <w:color w:val="auto"/>
          <w:szCs w:val="21"/>
          <w:highlight w:val="none"/>
        </w:rPr>
        <w:tab/>
      </w:r>
    </w:p>
    <w:p>
      <w:pPr>
        <w:numPr>
          <w:ilvl w:val="255"/>
          <w:numId w:val="0"/>
        </w:numPr>
        <w:adjustRightInd w:val="0"/>
        <w:spacing w:line="360" w:lineRule="auto"/>
        <w:ind w:left="420"/>
        <w:rPr>
          <w:color w:val="auto"/>
          <w:szCs w:val="21"/>
          <w:highlight w:val="none"/>
        </w:rPr>
      </w:pPr>
      <w:r>
        <w:rPr>
          <w:color w:val="auto"/>
          <w:szCs w:val="21"/>
          <w:highlight w:val="none"/>
        </w:rPr>
        <w:t>9）日夜模式：自动ICR滤光片彩转黑</w:t>
      </w:r>
      <w:r>
        <w:rPr>
          <w:color w:val="auto"/>
          <w:szCs w:val="21"/>
          <w:highlight w:val="none"/>
        </w:rPr>
        <w:tab/>
      </w:r>
    </w:p>
    <w:p>
      <w:pPr>
        <w:numPr>
          <w:ilvl w:val="255"/>
          <w:numId w:val="0"/>
        </w:numPr>
        <w:adjustRightInd w:val="0"/>
        <w:spacing w:line="360" w:lineRule="auto"/>
        <w:ind w:left="420"/>
        <w:rPr>
          <w:color w:val="auto"/>
          <w:szCs w:val="21"/>
          <w:highlight w:val="none"/>
        </w:rPr>
      </w:pPr>
      <w:r>
        <w:rPr>
          <w:color w:val="auto"/>
          <w:szCs w:val="21"/>
          <w:highlight w:val="none"/>
        </w:rPr>
        <w:t>10）最低照度：≤0.01Lux</w:t>
      </w:r>
    </w:p>
    <w:p>
      <w:pPr>
        <w:numPr>
          <w:ilvl w:val="255"/>
          <w:numId w:val="0"/>
        </w:numPr>
        <w:adjustRightInd w:val="0"/>
        <w:spacing w:line="360" w:lineRule="auto"/>
        <w:ind w:left="420"/>
        <w:rPr>
          <w:color w:val="auto"/>
          <w:szCs w:val="21"/>
          <w:highlight w:val="none"/>
        </w:rPr>
      </w:pPr>
      <w:r>
        <w:rPr>
          <w:color w:val="auto"/>
          <w:szCs w:val="21"/>
          <w:highlight w:val="none"/>
        </w:rPr>
        <w:t>11）聚焦模式：自动 / 半自动</w:t>
      </w:r>
    </w:p>
    <w:p>
      <w:pPr>
        <w:numPr>
          <w:ilvl w:val="255"/>
          <w:numId w:val="0"/>
        </w:numPr>
        <w:adjustRightInd w:val="0"/>
        <w:spacing w:line="360" w:lineRule="auto"/>
        <w:ind w:left="420"/>
        <w:rPr>
          <w:color w:val="auto"/>
          <w:szCs w:val="21"/>
          <w:highlight w:val="none"/>
        </w:rPr>
      </w:pPr>
      <w:r>
        <w:rPr>
          <w:rFonts w:hint="eastAsia" w:cs="Times New Roman"/>
          <w:color w:val="auto"/>
          <w:szCs w:val="21"/>
          <w:highlight w:val="none"/>
          <w:lang w:val="en-US" w:eastAsia="zh-CN"/>
        </w:rPr>
        <w:t>12）防抖：支持</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ab/>
      </w:r>
    </w:p>
    <w:p>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3</w:t>
      </w:r>
      <w:r>
        <w:rPr>
          <w:color w:val="auto"/>
          <w:szCs w:val="21"/>
          <w:highlight w:val="none"/>
        </w:rPr>
        <w:t>）视频压缩：H.265/H.264</w:t>
      </w:r>
    </w:p>
    <w:p>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4</w:t>
      </w:r>
      <w:r>
        <w:rPr>
          <w:color w:val="auto"/>
          <w:szCs w:val="21"/>
          <w:highlight w:val="none"/>
        </w:rPr>
        <w:t>）音频压缩：G.711a/G.711mu</w:t>
      </w:r>
      <w:r>
        <w:rPr>
          <w:color w:val="auto"/>
          <w:szCs w:val="21"/>
          <w:highlight w:val="none"/>
        </w:rPr>
        <w:tab/>
      </w:r>
      <w:r>
        <w:rPr>
          <w:color w:val="auto"/>
          <w:szCs w:val="21"/>
          <w:highlight w:val="none"/>
        </w:rPr>
        <w:tab/>
      </w:r>
      <w:r>
        <w:rPr>
          <w:color w:val="auto"/>
          <w:szCs w:val="21"/>
          <w:highlight w:val="none"/>
        </w:rPr>
        <w:tab/>
      </w:r>
    </w:p>
    <w:p>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5</w:t>
      </w:r>
      <w:r>
        <w:rPr>
          <w:color w:val="auto"/>
          <w:szCs w:val="21"/>
          <w:highlight w:val="none"/>
        </w:rPr>
        <w:t>）多码流：支持双码流</w:t>
      </w:r>
      <w:r>
        <w:rPr>
          <w:color w:val="auto"/>
          <w:szCs w:val="21"/>
          <w:highlight w:val="none"/>
        </w:rPr>
        <w:tab/>
      </w:r>
      <w:r>
        <w:rPr>
          <w:color w:val="auto"/>
          <w:szCs w:val="21"/>
          <w:highlight w:val="none"/>
        </w:rPr>
        <w:tab/>
      </w:r>
    </w:p>
    <w:p>
      <w:pPr>
        <w:pStyle w:val="3"/>
        <w:spacing w:before="0" w:after="0" w:line="360" w:lineRule="auto"/>
        <w:rPr>
          <w:rFonts w:hint="eastAsia" w:ascii="Times New Roman" w:hAnsi="Times New Roman" w:eastAsia="黑体"/>
          <w:b w:val="0"/>
          <w:bCs/>
          <w:color w:val="auto"/>
          <w:sz w:val="24"/>
          <w:szCs w:val="24"/>
          <w:highlight w:val="none"/>
          <w:lang w:eastAsia="zh-CN"/>
        </w:rPr>
      </w:pPr>
      <w:bookmarkStart w:id="190" w:name="_Toc18977"/>
      <w:r>
        <w:rPr>
          <w:rFonts w:ascii="Times New Roman" w:hAnsi="Times New Roman" w:eastAsia="黑体"/>
          <w:b w:val="0"/>
          <w:bCs/>
          <w:color w:val="auto"/>
          <w:sz w:val="24"/>
          <w:szCs w:val="24"/>
          <w:highlight w:val="none"/>
        </w:rPr>
        <w:t>5.2.</w:t>
      </w:r>
      <w:r>
        <w:rPr>
          <w:rFonts w:hint="eastAsia" w:ascii="Times New Roman" w:hAnsi="Times New Roman" w:eastAsia="黑体"/>
          <w:b w:val="0"/>
          <w:bCs/>
          <w:color w:val="auto"/>
          <w:sz w:val="24"/>
          <w:szCs w:val="24"/>
          <w:highlight w:val="none"/>
          <w:lang w:val="en-US" w:eastAsia="zh-CN"/>
        </w:rPr>
        <w:t>2</w:t>
      </w:r>
      <w:r>
        <w:rPr>
          <w:rFonts w:ascii="Times New Roman" w:hAnsi="Times New Roman" w:eastAsia="黑体"/>
          <w:b w:val="0"/>
          <w:bCs/>
          <w:color w:val="auto"/>
          <w:sz w:val="24"/>
          <w:szCs w:val="24"/>
          <w:highlight w:val="none"/>
        </w:rPr>
        <w:t xml:space="preserve"> </w:t>
      </w:r>
      <w:r>
        <w:rPr>
          <w:rFonts w:hint="eastAsia" w:ascii="Times New Roman" w:hAnsi="Times New Roman" w:eastAsia="黑体"/>
          <w:b w:val="0"/>
          <w:bCs/>
          <w:color w:val="auto"/>
          <w:sz w:val="24"/>
          <w:szCs w:val="24"/>
          <w:highlight w:val="none"/>
          <w:lang w:eastAsia="zh-CN"/>
        </w:rPr>
        <w:t>图像视频核心感知</w:t>
      </w:r>
      <w:r>
        <w:rPr>
          <w:rFonts w:hint="eastAsia" w:ascii="Times New Roman" w:hAnsi="Times New Roman" w:eastAsia="黑体"/>
          <w:b w:val="0"/>
          <w:bCs/>
          <w:color w:val="auto"/>
          <w:sz w:val="24"/>
          <w:szCs w:val="24"/>
          <w:highlight w:val="none"/>
          <w:lang w:val="en-US" w:eastAsia="zh-CN"/>
        </w:rPr>
        <w:t>模组</w:t>
      </w:r>
      <w:r>
        <w:rPr>
          <w:rFonts w:hint="eastAsia" w:ascii="Times New Roman" w:hAnsi="Times New Roman" w:eastAsia="黑体"/>
          <w:b w:val="0"/>
          <w:bCs/>
          <w:color w:val="auto"/>
          <w:sz w:val="24"/>
          <w:szCs w:val="24"/>
          <w:highlight w:val="none"/>
          <w:lang w:eastAsia="zh-CN"/>
        </w:rPr>
        <w:t>与传输单元</w:t>
      </w:r>
      <w:r>
        <w:rPr>
          <w:rFonts w:hint="eastAsia" w:ascii="Times New Roman" w:hAnsi="Times New Roman" w:eastAsia="黑体"/>
          <w:b w:val="0"/>
          <w:bCs/>
          <w:color w:val="auto"/>
          <w:sz w:val="24"/>
          <w:szCs w:val="24"/>
          <w:highlight w:val="none"/>
          <w:lang w:val="en-US" w:eastAsia="zh-CN"/>
        </w:rPr>
        <w:t>模组</w:t>
      </w:r>
      <w:bookmarkEnd w:id="190"/>
    </w:p>
    <w:p>
      <w:pPr>
        <w:numPr>
          <w:ilvl w:val="255"/>
          <w:numId w:val="0"/>
        </w:numPr>
        <w:adjustRightInd w:val="0"/>
        <w:spacing w:line="360" w:lineRule="auto"/>
        <w:ind w:left="420"/>
        <w:rPr>
          <w:color w:val="auto"/>
          <w:szCs w:val="21"/>
          <w:highlight w:val="none"/>
        </w:rPr>
      </w:pPr>
      <w:r>
        <w:rPr>
          <w:color w:val="auto"/>
          <w:szCs w:val="21"/>
          <w:highlight w:val="none"/>
        </w:rPr>
        <w:t>1）装置采用</w:t>
      </w:r>
      <w:r>
        <w:rPr>
          <w:rFonts w:hint="eastAsia"/>
          <w:color w:val="auto"/>
          <w:szCs w:val="21"/>
          <w:highlight w:val="none"/>
          <w:lang w:val="en-US" w:eastAsia="zh-CN"/>
        </w:rPr>
        <w:t>主相机</w:t>
      </w:r>
      <w:r>
        <w:rPr>
          <w:color w:val="auto"/>
          <w:szCs w:val="21"/>
          <w:highlight w:val="none"/>
        </w:rPr>
        <w:t>夜视</w:t>
      </w:r>
      <w:r>
        <w:rPr>
          <w:rFonts w:hint="eastAsia"/>
          <w:color w:val="auto"/>
          <w:szCs w:val="21"/>
          <w:highlight w:val="none"/>
          <w:lang w:val="en-US" w:eastAsia="zh-CN"/>
        </w:rPr>
        <w:t>和高分辨率测距</w:t>
      </w:r>
      <w:r>
        <w:rPr>
          <w:color w:val="auto"/>
          <w:szCs w:val="21"/>
          <w:highlight w:val="none"/>
        </w:rPr>
        <w:t>摄像头、</w:t>
      </w:r>
      <w:r>
        <w:rPr>
          <w:rFonts w:hint="eastAsia"/>
          <w:color w:val="auto"/>
          <w:szCs w:val="21"/>
          <w:highlight w:val="none"/>
          <w:lang w:val="en-US" w:eastAsia="zh-CN"/>
        </w:rPr>
        <w:t>副相机高分辨率测距摄</w:t>
      </w:r>
      <w:r>
        <w:rPr>
          <w:color w:val="auto"/>
          <w:szCs w:val="21"/>
          <w:highlight w:val="none"/>
        </w:rPr>
        <w:t>像头</w:t>
      </w:r>
      <w:r>
        <w:rPr>
          <w:rFonts w:hint="eastAsia"/>
          <w:color w:val="auto"/>
          <w:szCs w:val="21"/>
          <w:highlight w:val="none"/>
          <w:lang w:val="en-US" w:eastAsia="zh-CN"/>
        </w:rPr>
        <w:t>分体式</w:t>
      </w:r>
      <w:r>
        <w:rPr>
          <w:color w:val="auto"/>
          <w:szCs w:val="21"/>
          <w:highlight w:val="none"/>
        </w:rPr>
        <w:t>设计</w:t>
      </w:r>
    </w:p>
    <w:p>
      <w:pPr>
        <w:numPr>
          <w:ilvl w:val="255"/>
          <w:numId w:val="0"/>
        </w:numPr>
        <w:adjustRightInd w:val="0"/>
        <w:spacing w:line="360" w:lineRule="auto"/>
        <w:ind w:left="420"/>
        <w:rPr>
          <w:color w:val="auto"/>
          <w:szCs w:val="21"/>
          <w:highlight w:val="none"/>
        </w:rPr>
      </w:pPr>
      <w:r>
        <w:rPr>
          <w:color w:val="auto"/>
          <w:szCs w:val="21"/>
          <w:highlight w:val="none"/>
        </w:rPr>
        <w:t>2）图像传感器：≥1/2.</w:t>
      </w:r>
      <w:r>
        <w:rPr>
          <w:rFonts w:hint="eastAsia"/>
          <w:color w:val="auto"/>
          <w:szCs w:val="21"/>
          <w:highlight w:val="none"/>
          <w:lang w:val="en-US" w:eastAsia="zh-CN"/>
        </w:rPr>
        <w:t>3</w:t>
      </w:r>
      <w:r>
        <w:rPr>
          <w:color w:val="auto"/>
          <w:szCs w:val="21"/>
          <w:highlight w:val="none"/>
        </w:rPr>
        <w:t>”CMOS</w:t>
      </w:r>
    </w:p>
    <w:p>
      <w:pPr>
        <w:numPr>
          <w:ilvl w:val="255"/>
          <w:numId w:val="0"/>
        </w:numPr>
        <w:adjustRightInd w:val="0"/>
        <w:spacing w:line="360" w:lineRule="auto"/>
        <w:ind w:left="420"/>
        <w:rPr>
          <w:color w:val="auto"/>
          <w:szCs w:val="21"/>
          <w:highlight w:val="none"/>
        </w:rPr>
      </w:pPr>
      <w:r>
        <w:rPr>
          <w:color w:val="auto"/>
          <w:szCs w:val="21"/>
          <w:highlight w:val="none"/>
        </w:rPr>
        <w:t>3）</w:t>
      </w:r>
      <w:r>
        <w:rPr>
          <w:rFonts w:hint="eastAsia"/>
          <w:color w:val="auto"/>
          <w:szCs w:val="21"/>
          <w:highlight w:val="none"/>
          <w:lang w:val="en-US" w:eastAsia="zh-CN"/>
        </w:rPr>
        <w:t>主相机</w:t>
      </w:r>
      <w:r>
        <w:rPr>
          <w:color w:val="auto"/>
          <w:szCs w:val="21"/>
          <w:highlight w:val="none"/>
        </w:rPr>
        <w:t>广角</w:t>
      </w:r>
      <w:r>
        <w:rPr>
          <w:rFonts w:hint="eastAsia"/>
          <w:color w:val="auto"/>
          <w:szCs w:val="21"/>
          <w:highlight w:val="none"/>
          <w:lang w:val="en-US" w:eastAsia="zh-CN"/>
        </w:rPr>
        <w:t>夜视</w:t>
      </w:r>
      <w:r>
        <w:rPr>
          <w:color w:val="auto"/>
          <w:szCs w:val="21"/>
          <w:highlight w:val="none"/>
        </w:rPr>
        <w:t>摄像头像素：≥</w:t>
      </w:r>
      <w:r>
        <w:rPr>
          <w:rFonts w:hint="eastAsia"/>
          <w:color w:val="auto"/>
          <w:szCs w:val="21"/>
          <w:highlight w:val="none"/>
          <w:lang w:val="en-US" w:eastAsia="zh-CN"/>
        </w:rPr>
        <w:t>2</w:t>
      </w:r>
      <w:r>
        <w:rPr>
          <w:color w:val="auto"/>
          <w:szCs w:val="21"/>
          <w:highlight w:val="none"/>
        </w:rPr>
        <w:t>00万</w:t>
      </w:r>
    </w:p>
    <w:p>
      <w:pPr>
        <w:numPr>
          <w:ilvl w:val="255"/>
          <w:numId w:val="0"/>
        </w:numPr>
        <w:adjustRightInd w:val="0"/>
        <w:spacing w:line="360" w:lineRule="auto"/>
        <w:ind w:left="420"/>
        <w:rPr>
          <w:color w:val="auto"/>
          <w:szCs w:val="21"/>
          <w:highlight w:val="none"/>
        </w:rPr>
      </w:pPr>
      <w:r>
        <w:rPr>
          <w:color w:val="auto"/>
          <w:szCs w:val="21"/>
          <w:highlight w:val="none"/>
        </w:rPr>
        <w:t>4）</w:t>
      </w:r>
      <w:r>
        <w:rPr>
          <w:rFonts w:hint="eastAsia"/>
          <w:color w:val="auto"/>
          <w:szCs w:val="21"/>
          <w:highlight w:val="none"/>
          <w:lang w:val="en-US" w:eastAsia="zh-CN"/>
        </w:rPr>
        <w:t>主相机高分辨率测距</w:t>
      </w:r>
      <w:r>
        <w:rPr>
          <w:color w:val="auto"/>
          <w:szCs w:val="21"/>
          <w:highlight w:val="none"/>
        </w:rPr>
        <w:t>摄像头像素：≥</w:t>
      </w:r>
      <w:r>
        <w:rPr>
          <w:rFonts w:hint="eastAsia"/>
          <w:color w:val="auto"/>
          <w:szCs w:val="21"/>
          <w:highlight w:val="none"/>
          <w:lang w:val="en-US" w:eastAsia="zh-CN"/>
        </w:rPr>
        <w:t>1</w:t>
      </w:r>
      <w:r>
        <w:rPr>
          <w:color w:val="auto"/>
          <w:szCs w:val="21"/>
          <w:highlight w:val="none"/>
        </w:rPr>
        <w:t>200万</w:t>
      </w:r>
    </w:p>
    <w:p>
      <w:pPr>
        <w:numPr>
          <w:ilvl w:val="255"/>
          <w:numId w:val="0"/>
        </w:numPr>
        <w:adjustRightInd w:val="0"/>
        <w:spacing w:line="360" w:lineRule="auto"/>
        <w:ind w:left="420"/>
        <w:rPr>
          <w:color w:val="auto"/>
          <w:szCs w:val="21"/>
          <w:highlight w:val="none"/>
        </w:rPr>
      </w:pPr>
      <w:r>
        <w:rPr>
          <w:color w:val="auto"/>
          <w:szCs w:val="21"/>
          <w:highlight w:val="none"/>
        </w:rPr>
        <w:t>5）</w:t>
      </w:r>
      <w:r>
        <w:rPr>
          <w:rFonts w:hint="eastAsia"/>
          <w:color w:val="auto"/>
          <w:szCs w:val="21"/>
          <w:highlight w:val="none"/>
          <w:lang w:val="en-US" w:eastAsia="zh-CN"/>
        </w:rPr>
        <w:t>副相机高分辨率测距摄</w:t>
      </w:r>
      <w:r>
        <w:rPr>
          <w:color w:val="auto"/>
          <w:szCs w:val="21"/>
          <w:highlight w:val="none"/>
        </w:rPr>
        <w:t>像头像素：≥</w:t>
      </w:r>
      <w:r>
        <w:rPr>
          <w:rFonts w:hint="eastAsia"/>
          <w:color w:val="auto"/>
          <w:szCs w:val="21"/>
          <w:highlight w:val="none"/>
          <w:lang w:val="en-US" w:eastAsia="zh-CN"/>
        </w:rPr>
        <w:t>1</w:t>
      </w:r>
      <w:r>
        <w:rPr>
          <w:color w:val="auto"/>
          <w:szCs w:val="21"/>
          <w:highlight w:val="none"/>
        </w:rPr>
        <w:t>200万</w:t>
      </w:r>
    </w:p>
    <w:p>
      <w:pPr>
        <w:pStyle w:val="3"/>
        <w:spacing w:before="0" w:after="0" w:line="360" w:lineRule="auto"/>
        <w:rPr>
          <w:rFonts w:ascii="Times New Roman" w:hAnsi="Times New Roman" w:eastAsia="黑体"/>
          <w:b w:val="0"/>
          <w:bCs/>
          <w:color w:val="auto"/>
          <w:sz w:val="24"/>
          <w:szCs w:val="24"/>
          <w:highlight w:val="none"/>
        </w:rPr>
      </w:pPr>
      <w:bookmarkStart w:id="191" w:name="_Toc30940"/>
      <w:bookmarkStart w:id="192" w:name="_Toc28854"/>
      <w:bookmarkStart w:id="193" w:name="_Toc7028"/>
      <w:bookmarkStart w:id="194" w:name="_Toc168869405"/>
      <w:bookmarkStart w:id="195" w:name="_Toc9628"/>
      <w:bookmarkStart w:id="196" w:name="_Toc27419"/>
      <w:bookmarkStart w:id="197" w:name="_Toc6117"/>
      <w:bookmarkStart w:id="198" w:name="_Toc1176"/>
      <w:bookmarkStart w:id="199" w:name="_Toc19601"/>
      <w:bookmarkStart w:id="200" w:name="_Toc32478"/>
      <w:bookmarkStart w:id="201" w:name="_Toc22271"/>
      <w:bookmarkStart w:id="202" w:name="_Toc6453"/>
      <w:bookmarkStart w:id="203" w:name="_Toc30305"/>
      <w:r>
        <w:rPr>
          <w:rFonts w:ascii="Times New Roman" w:hAnsi="Times New Roman" w:eastAsia="黑体"/>
          <w:b w:val="0"/>
          <w:bCs/>
          <w:color w:val="auto"/>
          <w:sz w:val="24"/>
          <w:szCs w:val="24"/>
          <w:highlight w:val="none"/>
        </w:rPr>
        <w:t>5.</w:t>
      </w:r>
      <w:r>
        <w:rPr>
          <w:rFonts w:hint="eastAsia" w:ascii="Times New Roman" w:hAnsi="Times New Roman" w:eastAsia="黑体"/>
          <w:b w:val="0"/>
          <w:bCs/>
          <w:color w:val="auto"/>
          <w:sz w:val="24"/>
          <w:szCs w:val="24"/>
          <w:highlight w:val="none"/>
          <w:lang w:val="en-US" w:eastAsia="zh-CN"/>
        </w:rPr>
        <w:t>3</w:t>
      </w:r>
      <w:r>
        <w:rPr>
          <w:rFonts w:ascii="Times New Roman" w:hAnsi="Times New Roman" w:eastAsia="黑体"/>
          <w:b w:val="0"/>
          <w:bCs/>
          <w:color w:val="auto"/>
          <w:sz w:val="24"/>
          <w:szCs w:val="24"/>
          <w:highlight w:val="none"/>
        </w:rPr>
        <w:t xml:space="preserve"> 定位、对时功能</w:t>
      </w:r>
      <w:bookmarkEnd w:id="191"/>
      <w:bookmarkEnd w:id="192"/>
      <w:bookmarkEnd w:id="193"/>
      <w:bookmarkEnd w:id="194"/>
      <w:bookmarkEnd w:id="195"/>
      <w:bookmarkEnd w:id="196"/>
      <w:bookmarkEnd w:id="197"/>
      <w:bookmarkEnd w:id="198"/>
      <w:bookmarkEnd w:id="199"/>
      <w:bookmarkEnd w:id="200"/>
      <w:bookmarkEnd w:id="201"/>
      <w:bookmarkEnd w:id="202"/>
      <w:bookmarkEnd w:id="203"/>
    </w:p>
    <w:p>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1） 装置通信软件应采用</w:t>
      </w:r>
      <w:r>
        <w:rPr>
          <w:rFonts w:hint="eastAsia"/>
          <w:color w:val="auto"/>
          <w:szCs w:val="21"/>
          <w:highlight w:val="none"/>
        </w:rPr>
        <w:t>BDS</w:t>
      </w:r>
      <w:r>
        <w:rPr>
          <w:color w:val="auto"/>
          <w:szCs w:val="21"/>
          <w:highlight w:val="none"/>
        </w:rPr>
        <w:t>授时功能，同时能够兼容平台的网络对时，宜每天对时不少于一次，对时误差应不超过1s；走时误差应不大于1s/24h；</w:t>
      </w:r>
    </w:p>
    <w:p>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2） 装置断电24h以内，内部实时时钟须能正常走时；</w:t>
      </w:r>
    </w:p>
    <w:p>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3）</w:t>
      </w:r>
      <w:r>
        <w:rPr>
          <w:rFonts w:hint="eastAsia"/>
          <w:color w:val="auto"/>
          <w:szCs w:val="21"/>
          <w:highlight w:val="none"/>
          <w:lang w:eastAsia="zh-CN"/>
        </w:rPr>
        <w:t>支持BDS定位</w:t>
      </w:r>
      <w:r>
        <w:rPr>
          <w:color w:val="auto"/>
          <w:szCs w:val="21"/>
          <w:highlight w:val="none"/>
        </w:rPr>
        <w:t>，定位精度≤50米</w:t>
      </w:r>
      <w:r>
        <w:rPr>
          <w:rFonts w:hint="eastAsia"/>
          <w:color w:val="auto"/>
          <w:szCs w:val="21"/>
          <w:highlight w:val="none"/>
          <w:lang w:eastAsia="zh-CN"/>
        </w:rPr>
        <w:t>，</w:t>
      </w:r>
      <w:r>
        <w:rPr>
          <w:rFonts w:hint="default" w:ascii="Times New Roman" w:hAnsi="Times New Roman" w:cs="Times New Roman"/>
          <w:color w:val="auto"/>
          <w:szCs w:val="21"/>
          <w:highlight w:val="none"/>
        </w:rPr>
        <w:t>并将经纬度等定位数据上送至平台。</w:t>
      </w:r>
    </w:p>
    <w:p>
      <w:pPr>
        <w:pStyle w:val="3"/>
        <w:spacing w:before="0" w:after="0" w:line="360" w:lineRule="auto"/>
        <w:rPr>
          <w:rFonts w:ascii="Times New Roman" w:hAnsi="Times New Roman" w:eastAsia="黑体"/>
          <w:b w:val="0"/>
          <w:bCs/>
          <w:color w:val="auto"/>
          <w:sz w:val="24"/>
          <w:szCs w:val="24"/>
          <w:highlight w:val="none"/>
        </w:rPr>
      </w:pPr>
      <w:bookmarkStart w:id="204" w:name="_Toc349051998"/>
      <w:bookmarkStart w:id="205" w:name="_Toc349050819"/>
      <w:bookmarkStart w:id="206" w:name="_Toc16269"/>
      <w:bookmarkStart w:id="207" w:name="_Toc500920848"/>
      <w:bookmarkStart w:id="208" w:name="_Toc14650"/>
      <w:bookmarkStart w:id="209" w:name="_Toc32677"/>
      <w:bookmarkStart w:id="210" w:name="_Toc168869409"/>
      <w:bookmarkStart w:id="211" w:name="_Toc13812"/>
      <w:bookmarkStart w:id="212" w:name="_Toc13530"/>
      <w:bookmarkStart w:id="213" w:name="_Toc9423"/>
      <w:bookmarkStart w:id="214" w:name="_Toc11319"/>
      <w:bookmarkStart w:id="215" w:name="_Toc31391"/>
      <w:bookmarkStart w:id="216" w:name="_Toc31006"/>
      <w:bookmarkStart w:id="217" w:name="_Toc17458"/>
      <w:bookmarkStart w:id="218" w:name="_Toc20975"/>
      <w:bookmarkStart w:id="219" w:name="_Toc31787"/>
      <w:r>
        <w:rPr>
          <w:rFonts w:ascii="Times New Roman" w:hAnsi="Times New Roman" w:eastAsia="黑体"/>
          <w:b w:val="0"/>
          <w:bCs/>
          <w:color w:val="auto"/>
          <w:sz w:val="24"/>
          <w:szCs w:val="24"/>
          <w:highlight w:val="none"/>
        </w:rPr>
        <w:t>5.</w:t>
      </w:r>
      <w:r>
        <w:rPr>
          <w:rFonts w:hint="eastAsia" w:ascii="Times New Roman" w:hAnsi="Times New Roman" w:eastAsia="黑体"/>
          <w:b w:val="0"/>
          <w:bCs/>
          <w:color w:val="auto"/>
          <w:sz w:val="24"/>
          <w:szCs w:val="24"/>
          <w:highlight w:val="none"/>
          <w:lang w:val="en-US" w:eastAsia="zh-CN"/>
        </w:rPr>
        <w:t>4</w:t>
      </w:r>
      <w:r>
        <w:rPr>
          <w:rFonts w:ascii="Times New Roman" w:hAnsi="Times New Roman" w:eastAsia="黑体"/>
          <w:b w:val="0"/>
          <w:bCs/>
          <w:color w:val="auto"/>
          <w:sz w:val="24"/>
          <w:szCs w:val="24"/>
          <w:highlight w:val="none"/>
        </w:rPr>
        <w:t xml:space="preserve"> </w:t>
      </w:r>
      <w:bookmarkEnd w:id="204"/>
      <w:bookmarkEnd w:id="205"/>
      <w:r>
        <w:rPr>
          <w:rFonts w:ascii="Times New Roman" w:hAnsi="Times New Roman" w:eastAsia="黑体"/>
          <w:b w:val="0"/>
          <w:bCs/>
          <w:color w:val="auto"/>
          <w:sz w:val="24"/>
          <w:szCs w:val="24"/>
          <w:highlight w:val="none"/>
        </w:rPr>
        <w:t>可靠性要求</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tabs>
          <w:tab w:val="left" w:pos="709"/>
        </w:tabs>
        <w:spacing w:line="360" w:lineRule="auto"/>
        <w:ind w:left="709" w:hanging="709"/>
        <w:outlineLvl w:val="2"/>
        <w:rPr>
          <w:color w:val="auto"/>
          <w:highlight w:val="none"/>
        </w:rPr>
      </w:pPr>
      <w:bookmarkStart w:id="220" w:name="_Toc349050820"/>
      <w:bookmarkStart w:id="221" w:name="_Toc349051999"/>
      <w:r>
        <w:rPr>
          <w:color w:val="auto"/>
          <w:highlight w:val="none"/>
        </w:rPr>
        <w:t>5.</w:t>
      </w:r>
      <w:r>
        <w:rPr>
          <w:rFonts w:hint="eastAsia"/>
          <w:color w:val="auto"/>
          <w:highlight w:val="none"/>
          <w:lang w:val="en-US" w:eastAsia="zh-CN"/>
        </w:rPr>
        <w:t>4</w:t>
      </w:r>
      <w:r>
        <w:rPr>
          <w:color w:val="auto"/>
          <w:highlight w:val="none"/>
        </w:rPr>
        <w:t xml:space="preserve">.1 </w:t>
      </w:r>
      <w:bookmarkEnd w:id="220"/>
      <w:bookmarkEnd w:id="221"/>
      <w:r>
        <w:rPr>
          <w:color w:val="auto"/>
          <w:highlight w:val="none"/>
        </w:rPr>
        <w:t>基本要求</w:t>
      </w:r>
    </w:p>
    <w:p>
      <w:pPr>
        <w:pStyle w:val="102"/>
        <w:numPr>
          <w:ilvl w:val="0"/>
          <w:numId w:val="33"/>
        </w:numPr>
        <w:spacing w:line="360" w:lineRule="auto"/>
        <w:ind w:firstLineChars="0"/>
        <w:rPr>
          <w:rFonts w:ascii="Times New Roman" w:hAnsi="Times New Roman"/>
          <w:color w:val="auto"/>
          <w:kern w:val="0"/>
          <w:szCs w:val="21"/>
          <w:highlight w:val="none"/>
        </w:rPr>
      </w:pPr>
      <w:bookmarkStart w:id="222" w:name="_Toc349052000"/>
      <w:bookmarkStart w:id="223" w:name="_Toc349050821"/>
      <w:r>
        <w:rPr>
          <w:rFonts w:ascii="Times New Roman" w:hAnsi="Times New Roman"/>
          <w:color w:val="auto"/>
          <w:kern w:val="0"/>
          <w:szCs w:val="21"/>
          <w:highlight w:val="none"/>
        </w:rPr>
        <w:t>监测装置的平均无故障工作时间（MTBF）不应低于25000h；</w:t>
      </w:r>
    </w:p>
    <w:p>
      <w:pPr>
        <w:pStyle w:val="102"/>
        <w:numPr>
          <w:ilvl w:val="0"/>
          <w:numId w:val="33"/>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监测装置的使用寿命不应少于</w:t>
      </w:r>
      <w:r>
        <w:rPr>
          <w:rFonts w:hint="eastAsia" w:ascii="Times New Roman" w:hAnsi="Times New Roman"/>
          <w:color w:val="auto"/>
          <w:kern w:val="0"/>
          <w:szCs w:val="21"/>
          <w:highlight w:val="none"/>
          <w:lang w:val="en-US" w:eastAsia="zh-CN"/>
        </w:rPr>
        <w:t>5</w:t>
      </w:r>
      <w:r>
        <w:rPr>
          <w:rFonts w:ascii="Times New Roman" w:hAnsi="Times New Roman"/>
          <w:color w:val="auto"/>
          <w:kern w:val="0"/>
          <w:szCs w:val="21"/>
          <w:highlight w:val="none"/>
        </w:rPr>
        <w:t>年</w:t>
      </w:r>
    </w:p>
    <w:p>
      <w:pPr>
        <w:pStyle w:val="102"/>
        <w:numPr>
          <w:ilvl w:val="0"/>
          <w:numId w:val="33"/>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运行状态下，每日数据缺测率应不大于1%，监测装置各传感器每日无效数据率应不大于3%（不含附加模型算法输出）；</w:t>
      </w:r>
    </w:p>
    <w:p>
      <w:pPr>
        <w:pStyle w:val="102"/>
        <w:numPr>
          <w:ilvl w:val="0"/>
          <w:numId w:val="33"/>
        </w:numPr>
        <w:spacing w:line="360" w:lineRule="auto"/>
        <w:ind w:firstLineChars="0"/>
        <w:rPr>
          <w:rFonts w:ascii="Times New Roman" w:hAnsi="Times New Roman"/>
          <w:color w:val="auto"/>
          <w:kern w:val="0"/>
          <w:szCs w:val="21"/>
          <w:highlight w:val="none"/>
        </w:rPr>
      </w:pPr>
      <w:r>
        <w:rPr>
          <w:rFonts w:hint="eastAsia" w:ascii="Times New Roman" w:hAnsi="Times New Roman"/>
          <w:color w:val="auto"/>
          <w:kern w:val="0"/>
          <w:szCs w:val="21"/>
          <w:highlight w:val="none"/>
        </w:rPr>
        <w:t>装置主要元器件，如</w:t>
      </w:r>
      <w:r>
        <w:rPr>
          <w:rFonts w:ascii="Times New Roman" w:hAnsi="Times New Roman"/>
          <w:color w:val="auto"/>
          <w:kern w:val="0"/>
          <w:szCs w:val="21"/>
          <w:highlight w:val="none"/>
        </w:rPr>
        <w:t>MCU/CPU/NPU</w:t>
      </w:r>
      <w:r>
        <w:rPr>
          <w:rFonts w:hint="eastAsia" w:ascii="Times New Roman" w:hAnsi="Times New Roman"/>
          <w:color w:val="auto"/>
          <w:kern w:val="0"/>
          <w:szCs w:val="21"/>
          <w:highlight w:val="none"/>
        </w:rPr>
        <w:t>、存储、通信、电源芯片</w:t>
      </w:r>
      <w:r>
        <w:rPr>
          <w:rFonts w:ascii="Times New Roman" w:hAnsi="Times New Roman"/>
          <w:color w:val="auto"/>
          <w:kern w:val="0"/>
          <w:szCs w:val="21"/>
          <w:highlight w:val="none"/>
        </w:rPr>
        <w:t>/</w:t>
      </w:r>
      <w:r>
        <w:rPr>
          <w:rFonts w:hint="eastAsia" w:ascii="Times New Roman" w:hAnsi="Times New Roman"/>
          <w:color w:val="auto"/>
          <w:kern w:val="0"/>
          <w:szCs w:val="21"/>
          <w:highlight w:val="none"/>
        </w:rPr>
        <w:t>模组等，应采用工业级或车规级器件</w:t>
      </w:r>
      <w:r>
        <w:rPr>
          <w:rFonts w:ascii="Times New Roman" w:hAnsi="Times New Roman"/>
          <w:color w:val="auto"/>
          <w:kern w:val="0"/>
          <w:szCs w:val="21"/>
          <w:highlight w:val="none"/>
        </w:rPr>
        <w:t>/</w:t>
      </w:r>
      <w:r>
        <w:rPr>
          <w:rFonts w:hint="eastAsia" w:ascii="Times New Roman" w:hAnsi="Times New Roman"/>
          <w:color w:val="auto"/>
          <w:kern w:val="0"/>
          <w:szCs w:val="21"/>
          <w:highlight w:val="none"/>
        </w:rPr>
        <w:t>模组，车规级芯片应提供认证证明</w:t>
      </w:r>
      <w:r>
        <w:rPr>
          <w:rFonts w:hint="eastAsia" w:ascii="Times New Roman" w:hAnsi="Times New Roman"/>
          <w:color w:val="auto"/>
          <w:kern w:val="0"/>
          <w:szCs w:val="21"/>
          <w:highlight w:val="none"/>
          <w:lang w:eastAsia="zh-CN"/>
        </w:rPr>
        <w:t>；</w:t>
      </w:r>
    </w:p>
    <w:bookmarkEnd w:id="222"/>
    <w:bookmarkEnd w:id="223"/>
    <w:p>
      <w:pPr>
        <w:pStyle w:val="3"/>
        <w:spacing w:before="0" w:after="0" w:line="360" w:lineRule="auto"/>
        <w:rPr>
          <w:rFonts w:ascii="Times New Roman" w:hAnsi="Times New Roman" w:eastAsia="黑体"/>
          <w:b w:val="0"/>
          <w:bCs/>
          <w:color w:val="auto"/>
          <w:sz w:val="24"/>
          <w:szCs w:val="24"/>
          <w:highlight w:val="none"/>
        </w:rPr>
      </w:pPr>
      <w:bookmarkStart w:id="224" w:name="_Toc349052001"/>
      <w:bookmarkStart w:id="225" w:name="_Toc349050822"/>
      <w:bookmarkStart w:id="226" w:name="_Toc29414"/>
      <w:bookmarkStart w:id="227" w:name="_Toc7532"/>
      <w:bookmarkStart w:id="228" w:name="_Toc26394"/>
      <w:bookmarkStart w:id="229" w:name="_Toc16210"/>
      <w:bookmarkStart w:id="230" w:name="_Toc11259"/>
      <w:bookmarkStart w:id="231" w:name="_Toc500920849"/>
      <w:bookmarkStart w:id="232" w:name="_Toc13961"/>
      <w:bookmarkStart w:id="233" w:name="_Toc29857"/>
      <w:bookmarkStart w:id="234" w:name="_Toc168869410"/>
      <w:bookmarkStart w:id="235" w:name="_Toc24973"/>
      <w:bookmarkStart w:id="236" w:name="_Toc15072"/>
      <w:bookmarkStart w:id="237" w:name="_Toc26287"/>
      <w:bookmarkStart w:id="238" w:name="_Toc21639"/>
      <w:bookmarkStart w:id="239" w:name="_Toc31515"/>
      <w:r>
        <w:rPr>
          <w:rFonts w:ascii="Times New Roman" w:hAnsi="Times New Roman" w:eastAsia="黑体"/>
          <w:b w:val="0"/>
          <w:bCs/>
          <w:color w:val="auto"/>
          <w:sz w:val="24"/>
          <w:szCs w:val="24"/>
          <w:highlight w:val="none"/>
        </w:rPr>
        <w:t>5.</w:t>
      </w:r>
      <w:r>
        <w:rPr>
          <w:rFonts w:hint="eastAsia" w:ascii="Times New Roman" w:hAnsi="Times New Roman" w:eastAsia="黑体"/>
          <w:b w:val="0"/>
          <w:bCs/>
          <w:color w:val="auto"/>
          <w:sz w:val="24"/>
          <w:szCs w:val="24"/>
          <w:highlight w:val="none"/>
          <w:lang w:val="en-US" w:eastAsia="zh-CN"/>
        </w:rPr>
        <w:t>5</w:t>
      </w:r>
      <w:r>
        <w:rPr>
          <w:rFonts w:ascii="Times New Roman" w:hAnsi="Times New Roman" w:eastAsia="黑体"/>
          <w:b w:val="0"/>
          <w:bCs/>
          <w:color w:val="auto"/>
          <w:sz w:val="24"/>
          <w:szCs w:val="24"/>
          <w:highlight w:val="none"/>
        </w:rPr>
        <w:t xml:space="preserve"> </w:t>
      </w:r>
      <w:bookmarkEnd w:id="224"/>
      <w:bookmarkEnd w:id="225"/>
      <w:r>
        <w:rPr>
          <w:rFonts w:ascii="Times New Roman" w:hAnsi="Times New Roman" w:eastAsia="黑体"/>
          <w:b w:val="0"/>
          <w:bCs/>
          <w:color w:val="auto"/>
          <w:sz w:val="24"/>
          <w:szCs w:val="24"/>
          <w:highlight w:val="none"/>
        </w:rPr>
        <w:t>功耗要求</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spacing w:line="360" w:lineRule="auto"/>
        <w:ind w:firstLine="420" w:firstLineChars="200"/>
        <w:rPr>
          <w:color w:val="auto"/>
          <w:szCs w:val="21"/>
          <w:highlight w:val="none"/>
        </w:rPr>
      </w:pPr>
      <w:r>
        <w:rPr>
          <w:color w:val="auto"/>
          <w:szCs w:val="21"/>
          <w:highlight w:val="none"/>
        </w:rPr>
        <w:t>监测</w:t>
      </w:r>
      <w:r>
        <w:rPr>
          <w:color w:val="auto"/>
          <w:kern w:val="0"/>
          <w:szCs w:val="21"/>
          <w:highlight w:val="none"/>
        </w:rPr>
        <w:t>装置</w:t>
      </w:r>
      <w:r>
        <w:rPr>
          <w:color w:val="auto"/>
          <w:szCs w:val="21"/>
          <w:highlight w:val="none"/>
        </w:rPr>
        <w:t>整体应采用低功耗设计，10min内无监测任务时，装置应自动进入在线状态下的静态功耗模式，无需手动操作干预，此时装置仅向系统传输心跳数据。当监测任务启动或人为下发操作指令时，装置应立即恢复正常工作模式。</w:t>
      </w:r>
    </w:p>
    <w:p>
      <w:pPr>
        <w:numPr>
          <w:ilvl w:val="255"/>
          <w:numId w:val="0"/>
        </w:numPr>
        <w:tabs>
          <w:tab w:val="left" w:pos="709"/>
        </w:tabs>
        <w:spacing w:line="360" w:lineRule="auto"/>
        <w:ind w:left="709" w:hanging="709"/>
        <w:outlineLvl w:val="2"/>
        <w:rPr>
          <w:color w:val="auto"/>
          <w:highlight w:val="none"/>
        </w:rPr>
      </w:pPr>
      <w:r>
        <w:rPr>
          <w:color w:val="auto"/>
          <w:highlight w:val="none"/>
        </w:rPr>
        <w:t>5.</w:t>
      </w:r>
      <w:r>
        <w:rPr>
          <w:rFonts w:hint="eastAsia"/>
          <w:color w:val="auto"/>
          <w:highlight w:val="none"/>
          <w:lang w:val="en-US" w:eastAsia="zh-CN"/>
        </w:rPr>
        <w:t>5</w:t>
      </w:r>
      <w:r>
        <w:rPr>
          <w:color w:val="auto"/>
          <w:highlight w:val="none"/>
        </w:rPr>
        <w:t>.</w:t>
      </w:r>
      <w:r>
        <w:rPr>
          <w:rFonts w:hint="eastAsia"/>
          <w:color w:val="auto"/>
          <w:highlight w:val="none"/>
          <w:lang w:val="en-US" w:eastAsia="zh-CN"/>
        </w:rPr>
        <w:t>1</w:t>
      </w:r>
      <w:r>
        <w:rPr>
          <w:rFonts w:hint="eastAsia"/>
          <w:color w:val="auto"/>
          <w:highlight w:val="none"/>
          <w:lang w:eastAsia="zh-CN"/>
        </w:rPr>
        <w:t>图像视频核心感知</w:t>
      </w:r>
      <w:r>
        <w:rPr>
          <w:rFonts w:hint="eastAsia"/>
          <w:highlight w:val="none"/>
          <w:lang w:val="en-US" w:eastAsia="zh-CN"/>
        </w:rPr>
        <w:t>模组</w:t>
      </w:r>
      <w:r>
        <w:rPr>
          <w:rFonts w:hint="eastAsia"/>
          <w:color w:val="auto"/>
          <w:highlight w:val="none"/>
          <w:lang w:eastAsia="zh-CN"/>
        </w:rPr>
        <w:t>与传输单元</w:t>
      </w:r>
      <w:r>
        <w:rPr>
          <w:rFonts w:hint="eastAsia"/>
          <w:highlight w:val="none"/>
          <w:lang w:val="en-US" w:eastAsia="zh-CN"/>
        </w:rPr>
        <w:t>模组</w:t>
      </w:r>
      <w:r>
        <w:rPr>
          <w:b w:val="0"/>
          <w:bCs w:val="0"/>
          <w:color w:val="auto"/>
          <w:highlight w:val="none"/>
        </w:rPr>
        <w:t>功耗要求</w:t>
      </w:r>
    </w:p>
    <w:p>
      <w:pPr>
        <w:numPr>
          <w:ilvl w:val="255"/>
          <w:numId w:val="0"/>
        </w:numPr>
        <w:spacing w:line="360" w:lineRule="auto"/>
        <w:ind w:left="420"/>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w:t>
      </w:r>
      <w:r>
        <w:rPr>
          <w:color w:val="000000" w:themeColor="text1"/>
          <w:szCs w:val="21"/>
          <w:highlight w:val="none"/>
          <w14:textFill>
            <w14:solidFill>
              <w14:schemeClr w14:val="tx1"/>
            </w14:solidFill>
          </w14:textFill>
        </w:rPr>
        <w:t>）在线状态下采集功耗：≤8W</w:t>
      </w:r>
    </w:p>
    <w:p>
      <w:pPr>
        <w:pStyle w:val="3"/>
        <w:spacing w:before="0" w:after="0" w:line="360" w:lineRule="auto"/>
        <w:rPr>
          <w:rFonts w:ascii="Times New Roman" w:hAnsi="Times New Roman" w:eastAsia="黑体"/>
          <w:b w:val="0"/>
          <w:bCs/>
          <w:color w:val="auto"/>
          <w:sz w:val="24"/>
          <w:szCs w:val="24"/>
          <w:highlight w:val="none"/>
        </w:rPr>
      </w:pPr>
      <w:bookmarkStart w:id="240" w:name="_Toc349052002"/>
      <w:bookmarkStart w:id="241" w:name="_Toc349050823"/>
      <w:bookmarkStart w:id="242" w:name="_Toc10127"/>
      <w:bookmarkStart w:id="243" w:name="_Toc23993"/>
      <w:bookmarkStart w:id="244" w:name="_Toc22297"/>
      <w:bookmarkStart w:id="245" w:name="_Toc168869411"/>
      <w:bookmarkStart w:id="246" w:name="_Toc15751"/>
      <w:bookmarkStart w:id="247" w:name="_Toc26439"/>
      <w:bookmarkStart w:id="248" w:name="_Toc13954"/>
      <w:bookmarkStart w:id="249" w:name="_Toc2308"/>
      <w:bookmarkStart w:id="250" w:name="_Toc500920850"/>
      <w:bookmarkStart w:id="251" w:name="_Toc27948"/>
      <w:bookmarkStart w:id="252" w:name="_Toc8741"/>
      <w:bookmarkStart w:id="253" w:name="_Toc10900"/>
      <w:bookmarkStart w:id="254" w:name="_Toc15295"/>
      <w:bookmarkStart w:id="255" w:name="_Toc32145"/>
      <w:r>
        <w:rPr>
          <w:rFonts w:ascii="Times New Roman" w:hAnsi="Times New Roman" w:eastAsia="黑体"/>
          <w:b w:val="0"/>
          <w:bCs/>
          <w:color w:val="auto"/>
          <w:sz w:val="24"/>
          <w:szCs w:val="24"/>
          <w:highlight w:val="none"/>
        </w:rPr>
        <w:t>5.</w:t>
      </w:r>
      <w:r>
        <w:rPr>
          <w:rFonts w:hint="eastAsia" w:ascii="Times New Roman" w:hAnsi="Times New Roman" w:eastAsia="黑体"/>
          <w:b w:val="0"/>
          <w:bCs/>
          <w:color w:val="auto"/>
          <w:sz w:val="24"/>
          <w:szCs w:val="24"/>
          <w:highlight w:val="none"/>
          <w:lang w:val="en-US" w:eastAsia="zh-CN"/>
        </w:rPr>
        <w:t>6</w:t>
      </w:r>
      <w:r>
        <w:rPr>
          <w:rFonts w:ascii="Times New Roman" w:hAnsi="Times New Roman" w:eastAsia="黑体"/>
          <w:b w:val="0"/>
          <w:bCs/>
          <w:color w:val="auto"/>
          <w:sz w:val="24"/>
          <w:szCs w:val="24"/>
          <w:highlight w:val="none"/>
        </w:rPr>
        <w:t xml:space="preserve"> </w:t>
      </w:r>
      <w:bookmarkEnd w:id="240"/>
      <w:bookmarkEnd w:id="241"/>
      <w:r>
        <w:rPr>
          <w:rFonts w:ascii="Times New Roman" w:hAnsi="Times New Roman" w:eastAsia="黑体"/>
          <w:b w:val="0"/>
          <w:bCs/>
          <w:color w:val="auto"/>
          <w:sz w:val="24"/>
          <w:szCs w:val="24"/>
          <w:highlight w:val="none"/>
        </w:rPr>
        <w:t>外观及结构</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pPr>
        <w:numPr>
          <w:ilvl w:val="255"/>
          <w:numId w:val="0"/>
        </w:numPr>
        <w:spacing w:line="360" w:lineRule="auto"/>
        <w:ind w:firstLine="420" w:firstLineChars="200"/>
        <w:rPr>
          <w:color w:val="auto"/>
          <w:szCs w:val="21"/>
          <w:highlight w:val="none"/>
        </w:rPr>
      </w:pPr>
      <w:r>
        <w:rPr>
          <w:color w:val="auto"/>
          <w:szCs w:val="21"/>
          <w:highlight w:val="none"/>
        </w:rPr>
        <w:t>1）监测装置应遵循简单、可靠、适用的原则，采用标准化、模块化、小型化以及低功耗设计，并满足输电线路户外自然环境下长期可靠运行的要求；</w:t>
      </w:r>
    </w:p>
    <w:p>
      <w:pPr>
        <w:numPr>
          <w:ilvl w:val="255"/>
          <w:numId w:val="0"/>
        </w:numPr>
        <w:spacing w:line="360" w:lineRule="auto"/>
        <w:ind w:firstLine="420" w:firstLineChars="200"/>
        <w:rPr>
          <w:color w:val="auto"/>
          <w:szCs w:val="21"/>
          <w:highlight w:val="none"/>
        </w:rPr>
      </w:pPr>
      <w:r>
        <w:rPr>
          <w:rFonts w:hint="eastAsia"/>
          <w:color w:val="auto"/>
          <w:szCs w:val="21"/>
          <w:highlight w:val="none"/>
          <w:lang w:val="en-US" w:eastAsia="zh-CN"/>
        </w:rPr>
        <w:t>2</w:t>
      </w:r>
      <w:r>
        <w:rPr>
          <w:color w:val="auto"/>
          <w:szCs w:val="21"/>
          <w:highlight w:val="none"/>
        </w:rPr>
        <w:t>）摄像</w:t>
      </w:r>
      <w:r>
        <w:rPr>
          <w:rFonts w:hint="eastAsia"/>
          <w:color w:val="auto"/>
          <w:szCs w:val="21"/>
          <w:highlight w:val="none"/>
          <w:lang w:val="en-US" w:eastAsia="zh-CN"/>
        </w:rPr>
        <w:t>头</w:t>
      </w:r>
      <w:r>
        <w:rPr>
          <w:color w:val="auto"/>
          <w:szCs w:val="21"/>
          <w:highlight w:val="none"/>
        </w:rPr>
        <w:t>内层防护等级应满足IP65要求；</w:t>
      </w:r>
    </w:p>
    <w:p>
      <w:pPr>
        <w:numPr>
          <w:ilvl w:val="255"/>
          <w:numId w:val="0"/>
        </w:numPr>
        <w:spacing w:line="360" w:lineRule="auto"/>
        <w:ind w:firstLine="420" w:firstLineChars="200"/>
        <w:rPr>
          <w:color w:val="auto"/>
          <w:szCs w:val="21"/>
          <w:highlight w:val="none"/>
        </w:rPr>
      </w:pPr>
      <w:r>
        <w:rPr>
          <w:rFonts w:hint="eastAsia"/>
          <w:color w:val="auto"/>
          <w:szCs w:val="21"/>
          <w:highlight w:val="none"/>
          <w:lang w:val="en-US" w:eastAsia="zh-CN"/>
        </w:rPr>
        <w:t>3</w:t>
      </w:r>
      <w:r>
        <w:rPr>
          <w:color w:val="auto"/>
          <w:szCs w:val="21"/>
          <w:highlight w:val="none"/>
        </w:rPr>
        <w:t>）应满足防腐蚀、防霉菌、防潮湿、防盐雾要求；</w:t>
      </w:r>
    </w:p>
    <w:p>
      <w:pPr>
        <w:numPr>
          <w:ilvl w:val="255"/>
          <w:numId w:val="0"/>
        </w:numPr>
        <w:spacing w:line="360" w:lineRule="auto"/>
        <w:ind w:firstLine="420" w:firstLineChars="200"/>
        <w:rPr>
          <w:color w:val="auto"/>
          <w:szCs w:val="21"/>
          <w:highlight w:val="none"/>
        </w:rPr>
      </w:pPr>
      <w:r>
        <w:rPr>
          <w:rFonts w:hint="eastAsia"/>
          <w:color w:val="auto"/>
          <w:szCs w:val="21"/>
          <w:highlight w:val="none"/>
          <w:lang w:val="en-US" w:eastAsia="zh-CN"/>
        </w:rPr>
        <w:t>4</w:t>
      </w:r>
      <w:r>
        <w:rPr>
          <w:color w:val="auto"/>
          <w:szCs w:val="21"/>
          <w:highlight w:val="none"/>
        </w:rPr>
        <w:t>）装置各零部件及相应连接线应有防松措施，无机械损伤；</w:t>
      </w:r>
    </w:p>
    <w:p>
      <w:pPr>
        <w:pStyle w:val="102"/>
        <w:numPr>
          <w:ilvl w:val="255"/>
          <w:numId w:val="0"/>
        </w:numPr>
        <w:spacing w:line="360" w:lineRule="auto"/>
        <w:ind w:firstLine="420" w:firstLineChars="200"/>
        <w:rPr>
          <w:rFonts w:ascii="Times New Roman" w:hAnsi="Times New Roman"/>
          <w:color w:val="auto"/>
          <w:szCs w:val="21"/>
          <w:highlight w:val="none"/>
        </w:rPr>
      </w:pPr>
      <w:r>
        <w:rPr>
          <w:rFonts w:hint="eastAsia" w:ascii="Times New Roman" w:hAnsi="Times New Roman"/>
          <w:color w:val="auto"/>
          <w:szCs w:val="21"/>
          <w:highlight w:val="none"/>
          <w:lang w:val="en-US" w:eastAsia="zh-CN"/>
        </w:rPr>
        <w:t>5</w:t>
      </w:r>
      <w:r>
        <w:rPr>
          <w:rFonts w:ascii="Times New Roman" w:hAnsi="Times New Roman"/>
          <w:color w:val="auto"/>
          <w:szCs w:val="21"/>
          <w:highlight w:val="none"/>
        </w:rPr>
        <w:t>）电源和信号插口应采用防水航空插头，应具备防误插设计；</w:t>
      </w:r>
    </w:p>
    <w:p>
      <w:pPr>
        <w:numPr>
          <w:ilvl w:val="255"/>
          <w:numId w:val="0"/>
        </w:numPr>
        <w:spacing w:line="360" w:lineRule="auto"/>
        <w:ind w:firstLine="420" w:firstLineChars="200"/>
        <w:rPr>
          <w:color w:val="auto"/>
          <w:szCs w:val="21"/>
          <w:highlight w:val="none"/>
        </w:rPr>
      </w:pPr>
      <w:r>
        <w:rPr>
          <w:rFonts w:hint="eastAsia"/>
          <w:color w:val="auto"/>
          <w:szCs w:val="21"/>
          <w:highlight w:val="none"/>
          <w:lang w:val="en-US" w:eastAsia="zh-CN"/>
        </w:rPr>
        <w:t>6</w:t>
      </w:r>
      <w:r>
        <w:rPr>
          <w:color w:val="auto"/>
          <w:szCs w:val="21"/>
          <w:highlight w:val="none"/>
        </w:rPr>
        <w:t>）结构应满足防盗要求；</w:t>
      </w:r>
    </w:p>
    <w:p>
      <w:pPr>
        <w:numPr>
          <w:ilvl w:val="255"/>
          <w:numId w:val="0"/>
        </w:numPr>
        <w:spacing w:line="360" w:lineRule="auto"/>
        <w:ind w:firstLine="420" w:firstLineChars="200"/>
        <w:rPr>
          <w:color w:val="auto"/>
          <w:szCs w:val="21"/>
          <w:highlight w:val="none"/>
        </w:rPr>
      </w:pPr>
      <w:r>
        <w:rPr>
          <w:rFonts w:hint="eastAsia"/>
          <w:color w:val="auto"/>
          <w:szCs w:val="21"/>
          <w:highlight w:val="none"/>
          <w:lang w:val="en-US" w:eastAsia="zh-CN"/>
        </w:rPr>
        <w:t>7</w:t>
      </w:r>
      <w:r>
        <w:rPr>
          <w:color w:val="auto"/>
          <w:szCs w:val="21"/>
          <w:highlight w:val="none"/>
        </w:rPr>
        <w:t>）装置重量（不含安装平台和夹具）：</w:t>
      </w:r>
    </w:p>
    <w:p>
      <w:pPr>
        <w:widowControl/>
        <w:numPr>
          <w:ilvl w:val="255"/>
          <w:numId w:val="0"/>
        </w:numPr>
        <w:spacing w:line="360" w:lineRule="auto"/>
        <w:ind w:firstLine="420" w:firstLineChars="200"/>
        <w:jc w:val="left"/>
        <w:rPr>
          <w:rFonts w:hint="eastAsia" w:eastAsia="宋体"/>
          <w:color w:val="auto"/>
          <w:highlight w:val="none"/>
          <w:lang w:eastAsia="zh-CN"/>
        </w:rPr>
      </w:pPr>
      <w:r>
        <w:rPr>
          <w:rFonts w:hint="eastAsia"/>
          <w:color w:val="auto"/>
          <w:szCs w:val="21"/>
          <w:highlight w:val="none"/>
          <w:lang w:val="en-US" w:eastAsia="zh-CN"/>
        </w:rPr>
        <w:t>8</w:t>
      </w:r>
      <w:r>
        <w:rPr>
          <w:color w:val="auto"/>
          <w:szCs w:val="21"/>
          <w:highlight w:val="none"/>
        </w:rPr>
        <w:t>）</w:t>
      </w:r>
      <w:r>
        <w:rPr>
          <w:rFonts w:hint="eastAsia"/>
          <w:color w:val="auto"/>
          <w:szCs w:val="21"/>
          <w:highlight w:val="none"/>
          <w:lang w:eastAsia="zh-CN"/>
        </w:rPr>
        <w:t>图像视频核心感知与传输单元</w:t>
      </w:r>
      <w:r>
        <w:rPr>
          <w:color w:val="auto"/>
          <w:szCs w:val="21"/>
          <w:highlight w:val="none"/>
        </w:rPr>
        <w:t>主机重量应低于</w:t>
      </w:r>
      <w:r>
        <w:rPr>
          <w:rFonts w:hint="eastAsia"/>
          <w:color w:val="auto"/>
          <w:szCs w:val="21"/>
          <w:highlight w:val="none"/>
          <w:lang w:val="en-US" w:eastAsia="zh-CN"/>
        </w:rPr>
        <w:t>10</w:t>
      </w:r>
      <w:r>
        <w:rPr>
          <w:color w:val="auto"/>
          <w:szCs w:val="21"/>
          <w:highlight w:val="none"/>
        </w:rPr>
        <w:t>kg</w:t>
      </w:r>
      <w:r>
        <w:rPr>
          <w:rFonts w:hint="eastAsia"/>
          <w:color w:val="auto"/>
          <w:szCs w:val="21"/>
          <w:highlight w:val="none"/>
          <w:lang w:eastAsia="zh-CN"/>
        </w:rPr>
        <w:t>。</w:t>
      </w:r>
    </w:p>
    <w:p>
      <w:pPr>
        <w:spacing w:line="360" w:lineRule="auto"/>
        <w:outlineLvl w:val="0"/>
        <w:rPr>
          <w:rFonts w:eastAsia="黑体"/>
          <w:color w:val="auto"/>
          <w:sz w:val="28"/>
          <w:szCs w:val="28"/>
          <w:highlight w:val="none"/>
        </w:rPr>
      </w:pPr>
      <w:bookmarkStart w:id="256" w:name="_Toc23284"/>
      <w:bookmarkStart w:id="257" w:name="_Toc14646"/>
      <w:bookmarkStart w:id="258" w:name="_Toc25473"/>
      <w:bookmarkStart w:id="259" w:name="_Toc30655"/>
      <w:bookmarkStart w:id="260" w:name="_Toc6397"/>
      <w:bookmarkStart w:id="261" w:name="_Toc8298"/>
      <w:bookmarkStart w:id="262" w:name="_Toc500920851"/>
      <w:bookmarkStart w:id="263" w:name="_Toc32685"/>
      <w:bookmarkStart w:id="264" w:name="_Toc20793"/>
      <w:bookmarkStart w:id="265" w:name="_Toc168869412"/>
      <w:bookmarkStart w:id="266" w:name="_Toc16773"/>
      <w:bookmarkStart w:id="267" w:name="_Toc21021"/>
      <w:bookmarkStart w:id="268" w:name="_Toc15609"/>
      <w:bookmarkStart w:id="269" w:name="_Toc10190"/>
      <w:r>
        <w:rPr>
          <w:rFonts w:eastAsia="黑体"/>
          <w:color w:val="auto"/>
          <w:sz w:val="28"/>
          <w:szCs w:val="28"/>
          <w:highlight w:val="none"/>
        </w:rPr>
        <w:t>6 试验项目及要求</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pPr>
        <w:pStyle w:val="3"/>
        <w:spacing w:before="0" w:after="0" w:line="360" w:lineRule="auto"/>
        <w:rPr>
          <w:rFonts w:ascii="Times New Roman" w:hAnsi="Times New Roman" w:eastAsia="黑体"/>
          <w:b w:val="0"/>
          <w:bCs/>
          <w:color w:val="auto"/>
          <w:sz w:val="24"/>
          <w:szCs w:val="24"/>
          <w:highlight w:val="none"/>
        </w:rPr>
      </w:pPr>
      <w:bookmarkStart w:id="270" w:name="_Toc20764"/>
      <w:bookmarkStart w:id="271" w:name="_Toc18220"/>
      <w:bookmarkStart w:id="272" w:name="_Toc168869413"/>
      <w:bookmarkStart w:id="273" w:name="_Toc15000"/>
      <w:bookmarkStart w:id="274" w:name="_Toc25886"/>
      <w:bookmarkStart w:id="275" w:name="_Toc265313591"/>
      <w:bookmarkStart w:id="276" w:name="_Toc11031"/>
      <w:bookmarkStart w:id="277" w:name="_Toc21980"/>
      <w:bookmarkStart w:id="278" w:name="_Toc29173"/>
      <w:bookmarkStart w:id="279" w:name="_Toc6457"/>
      <w:bookmarkStart w:id="280" w:name="_Toc13042"/>
      <w:bookmarkStart w:id="281" w:name="_Toc500920852"/>
      <w:bookmarkStart w:id="282" w:name="_Toc16347"/>
      <w:bookmarkStart w:id="283" w:name="_Toc28278"/>
      <w:bookmarkStart w:id="284" w:name="_Toc17894"/>
      <w:bookmarkStart w:id="285" w:name="_Toc121821370"/>
      <w:bookmarkStart w:id="286" w:name="_Ref68083963"/>
      <w:bookmarkStart w:id="287" w:name="_Toc130279890"/>
      <w:bookmarkStart w:id="288" w:name="_Toc132512177"/>
      <w:bookmarkStart w:id="289" w:name="_Toc88045606"/>
      <w:bookmarkStart w:id="290" w:name="_Toc130279636"/>
      <w:r>
        <w:rPr>
          <w:rFonts w:ascii="Times New Roman" w:hAnsi="Times New Roman" w:eastAsia="黑体"/>
          <w:b w:val="0"/>
          <w:bCs/>
          <w:color w:val="auto"/>
          <w:sz w:val="24"/>
          <w:szCs w:val="24"/>
          <w:highlight w:val="none"/>
        </w:rPr>
        <w:t>6.1 试验环境</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pPr>
        <w:spacing w:line="360" w:lineRule="auto"/>
        <w:ind w:firstLine="420" w:firstLineChars="200"/>
        <w:rPr>
          <w:color w:val="auto"/>
          <w:szCs w:val="21"/>
          <w:highlight w:val="none"/>
        </w:rPr>
      </w:pPr>
      <w:r>
        <w:rPr>
          <w:color w:val="auto"/>
          <w:szCs w:val="21"/>
          <w:highlight w:val="none"/>
        </w:rPr>
        <w:t>除环境影响试验及运行中试验之外，其它试验项目应在如下试验环境中进行。</w:t>
      </w:r>
    </w:p>
    <w:p>
      <w:pPr>
        <w:widowControl/>
        <w:numPr>
          <w:ilvl w:val="0"/>
          <w:numId w:val="34"/>
        </w:numPr>
        <w:spacing w:line="360" w:lineRule="auto"/>
        <w:jc w:val="left"/>
        <w:rPr>
          <w:color w:val="auto"/>
          <w:szCs w:val="21"/>
          <w:highlight w:val="none"/>
        </w:rPr>
      </w:pPr>
      <w:r>
        <w:rPr>
          <w:color w:val="auto"/>
          <w:szCs w:val="21"/>
          <w:highlight w:val="none"/>
        </w:rPr>
        <w:t>环境温度：+15℃～+35℃；</w:t>
      </w:r>
    </w:p>
    <w:p>
      <w:pPr>
        <w:widowControl/>
        <w:numPr>
          <w:ilvl w:val="0"/>
          <w:numId w:val="34"/>
        </w:numPr>
        <w:spacing w:line="360" w:lineRule="auto"/>
        <w:jc w:val="left"/>
        <w:rPr>
          <w:color w:val="auto"/>
          <w:szCs w:val="21"/>
          <w:highlight w:val="none"/>
        </w:rPr>
      </w:pPr>
      <w:r>
        <w:rPr>
          <w:color w:val="auto"/>
          <w:szCs w:val="21"/>
          <w:highlight w:val="none"/>
        </w:rPr>
        <w:t>相对湿度：25%RH～75%RH；</w:t>
      </w:r>
    </w:p>
    <w:p>
      <w:pPr>
        <w:widowControl/>
        <w:numPr>
          <w:ilvl w:val="0"/>
          <w:numId w:val="34"/>
        </w:numPr>
        <w:spacing w:line="360" w:lineRule="auto"/>
        <w:jc w:val="left"/>
        <w:rPr>
          <w:color w:val="auto"/>
          <w:szCs w:val="21"/>
          <w:highlight w:val="none"/>
        </w:rPr>
      </w:pPr>
      <w:r>
        <w:rPr>
          <w:color w:val="auto"/>
          <w:szCs w:val="21"/>
          <w:highlight w:val="none"/>
        </w:rPr>
        <w:t>大气压力：55kPa~106kPa；</w:t>
      </w:r>
    </w:p>
    <w:p>
      <w:pPr>
        <w:pStyle w:val="3"/>
        <w:spacing w:before="0" w:after="0" w:line="360" w:lineRule="auto"/>
        <w:rPr>
          <w:rFonts w:ascii="Times New Roman" w:hAnsi="Times New Roman" w:eastAsia="黑体"/>
          <w:b w:val="0"/>
          <w:bCs/>
          <w:color w:val="auto"/>
          <w:sz w:val="24"/>
          <w:szCs w:val="24"/>
          <w:highlight w:val="none"/>
        </w:rPr>
      </w:pPr>
      <w:bookmarkStart w:id="291" w:name="_Toc27191"/>
      <w:bookmarkStart w:id="292" w:name="_Toc500920853"/>
      <w:bookmarkStart w:id="293" w:name="_Toc349053902"/>
      <w:bookmarkStart w:id="294" w:name="_Toc356971175"/>
      <w:bookmarkStart w:id="295" w:name="_Toc1826"/>
      <w:bookmarkStart w:id="296" w:name="_Toc10651"/>
      <w:bookmarkStart w:id="297" w:name="_Toc6124"/>
      <w:bookmarkStart w:id="298" w:name="_Toc27094"/>
      <w:bookmarkStart w:id="299" w:name="_Toc2630"/>
      <w:bookmarkStart w:id="300" w:name="_Toc9482"/>
      <w:bookmarkStart w:id="301" w:name="_Toc15724"/>
      <w:bookmarkStart w:id="302" w:name="_Toc21602"/>
      <w:bookmarkStart w:id="303" w:name="_Toc168869414"/>
      <w:bookmarkStart w:id="304" w:name="_Toc11130"/>
      <w:bookmarkStart w:id="305" w:name="_Toc22250"/>
      <w:bookmarkStart w:id="306" w:name="_Toc16419"/>
      <w:r>
        <w:rPr>
          <w:rFonts w:ascii="Times New Roman" w:hAnsi="Times New Roman" w:eastAsia="黑体"/>
          <w:b w:val="0"/>
          <w:bCs/>
          <w:color w:val="auto"/>
          <w:sz w:val="24"/>
          <w:szCs w:val="24"/>
          <w:highlight w:val="none"/>
        </w:rPr>
        <w:t xml:space="preserve">6.2 </w:t>
      </w:r>
      <w:bookmarkEnd w:id="291"/>
      <w:bookmarkEnd w:id="292"/>
      <w:bookmarkEnd w:id="293"/>
      <w:bookmarkEnd w:id="294"/>
      <w:r>
        <w:rPr>
          <w:rFonts w:ascii="Times New Roman" w:hAnsi="Times New Roman" w:eastAsia="黑体"/>
          <w:b w:val="0"/>
          <w:bCs/>
          <w:color w:val="auto"/>
          <w:sz w:val="24"/>
          <w:szCs w:val="24"/>
          <w:highlight w:val="none"/>
        </w:rPr>
        <w:t>基本功能试验（数据传输规约测试）</w:t>
      </w:r>
      <w:bookmarkEnd w:id="295"/>
      <w:bookmarkEnd w:id="296"/>
      <w:bookmarkEnd w:id="297"/>
      <w:bookmarkEnd w:id="298"/>
      <w:bookmarkEnd w:id="299"/>
      <w:bookmarkEnd w:id="300"/>
      <w:bookmarkEnd w:id="301"/>
      <w:bookmarkEnd w:id="302"/>
      <w:bookmarkEnd w:id="303"/>
      <w:bookmarkEnd w:id="304"/>
      <w:bookmarkEnd w:id="305"/>
      <w:bookmarkEnd w:id="306"/>
    </w:p>
    <w:p>
      <w:pPr>
        <w:spacing w:line="360" w:lineRule="auto"/>
        <w:ind w:firstLine="315" w:firstLineChars="150"/>
        <w:rPr>
          <w:color w:val="auto"/>
          <w:szCs w:val="21"/>
          <w:highlight w:val="none"/>
        </w:rPr>
      </w:pPr>
      <w:r>
        <w:rPr>
          <w:color w:val="auto"/>
          <w:highlight w:val="none"/>
        </w:rPr>
        <w:t>按照</w:t>
      </w:r>
      <w:r>
        <w:rPr>
          <w:color w:val="auto"/>
          <w:szCs w:val="21"/>
          <w:highlight w:val="none"/>
        </w:rPr>
        <w:t>现场配置方式将监测装置接入测试平台系统，给监测装置通电，施加相应信号，分项检测监测装置是否具备本标准要求的各项功能，应进行以下接口测试：</w:t>
      </w:r>
    </w:p>
    <w:p>
      <w:pPr>
        <w:numPr>
          <w:ilvl w:val="0"/>
          <w:numId w:val="35"/>
        </w:numPr>
        <w:spacing w:line="360" w:lineRule="auto"/>
        <w:ind w:left="851"/>
        <w:rPr>
          <w:color w:val="auto"/>
          <w:szCs w:val="21"/>
          <w:highlight w:val="none"/>
        </w:rPr>
      </w:pPr>
      <w:r>
        <w:rPr>
          <w:color w:val="auto"/>
          <w:szCs w:val="21"/>
          <w:highlight w:val="none"/>
        </w:rPr>
        <w:t>测试监测装置的数据输出接口及其一致性。</w:t>
      </w:r>
    </w:p>
    <w:p>
      <w:pPr>
        <w:numPr>
          <w:ilvl w:val="0"/>
          <w:numId w:val="35"/>
        </w:numPr>
        <w:spacing w:line="360" w:lineRule="auto"/>
        <w:ind w:left="851"/>
        <w:rPr>
          <w:color w:val="auto"/>
          <w:szCs w:val="21"/>
          <w:highlight w:val="none"/>
        </w:rPr>
      </w:pPr>
      <w:r>
        <w:rPr>
          <w:color w:val="auto"/>
          <w:szCs w:val="21"/>
          <w:highlight w:val="none"/>
        </w:rPr>
        <w:t>测试监测装置的查询/配置功能及其一致性。</w:t>
      </w:r>
    </w:p>
    <w:p>
      <w:pPr>
        <w:numPr>
          <w:ilvl w:val="0"/>
          <w:numId w:val="35"/>
        </w:numPr>
        <w:spacing w:line="360" w:lineRule="auto"/>
        <w:ind w:left="851"/>
        <w:rPr>
          <w:color w:val="auto"/>
          <w:szCs w:val="21"/>
          <w:highlight w:val="none"/>
        </w:rPr>
      </w:pPr>
      <w:r>
        <w:rPr>
          <w:color w:val="auto"/>
          <w:szCs w:val="21"/>
          <w:highlight w:val="none"/>
        </w:rPr>
        <w:t>测试监测装置的运行状态监测功能及</w:t>
      </w:r>
      <w:r>
        <w:rPr>
          <w:rFonts w:hint="eastAsia"/>
          <w:color w:val="auto"/>
          <w:szCs w:val="21"/>
          <w:highlight w:val="none"/>
          <w:lang w:val="en-US" w:eastAsia="zh-CN"/>
        </w:rPr>
        <w:t>数据传输</w:t>
      </w:r>
      <w:r>
        <w:rPr>
          <w:color w:val="auto"/>
          <w:szCs w:val="21"/>
          <w:highlight w:val="none"/>
        </w:rPr>
        <w:t>功能等。</w:t>
      </w:r>
    </w:p>
    <w:p>
      <w:pPr>
        <w:numPr>
          <w:ilvl w:val="255"/>
          <w:numId w:val="0"/>
        </w:numPr>
        <w:spacing w:line="360" w:lineRule="auto"/>
        <w:ind w:firstLine="315" w:firstLineChars="150"/>
        <w:rPr>
          <w:color w:val="auto"/>
          <w:szCs w:val="21"/>
          <w:highlight w:val="none"/>
        </w:rPr>
      </w:pPr>
      <w:r>
        <w:rPr>
          <w:color w:val="auto"/>
          <w:highlight w:val="none"/>
        </w:rPr>
        <w:t>应用</w:t>
      </w:r>
      <w:r>
        <w:rPr>
          <w:color w:val="auto"/>
          <w:szCs w:val="21"/>
          <w:highlight w:val="none"/>
        </w:rPr>
        <w:t>层</w:t>
      </w:r>
      <w:r>
        <w:rPr>
          <w:color w:val="auto"/>
          <w:highlight w:val="none"/>
        </w:rPr>
        <w:t>数据</w:t>
      </w:r>
      <w:r>
        <w:rPr>
          <w:color w:val="auto"/>
          <w:szCs w:val="21"/>
          <w:highlight w:val="none"/>
        </w:rPr>
        <w:t>传输规约及数据格式应符合《Q/CSG1205031输电线路在线监测通信规约及信息交互规范》要求，装置应能按照正确的数据格式传输各类数据，并正确响应执行各项操作指令。</w:t>
      </w:r>
    </w:p>
    <w:p>
      <w:pPr>
        <w:pStyle w:val="3"/>
        <w:spacing w:before="0" w:after="0" w:line="360" w:lineRule="auto"/>
        <w:rPr>
          <w:rFonts w:ascii="Times New Roman" w:hAnsi="Times New Roman" w:eastAsia="黑体"/>
          <w:b w:val="0"/>
          <w:bCs/>
          <w:color w:val="auto"/>
          <w:sz w:val="24"/>
          <w:szCs w:val="24"/>
          <w:highlight w:val="none"/>
        </w:rPr>
      </w:pPr>
      <w:bookmarkStart w:id="307" w:name="_Toc4875"/>
      <w:r>
        <w:rPr>
          <w:rFonts w:hint="eastAsia" w:ascii="Times New Roman" w:hAnsi="Times New Roman" w:eastAsia="黑体"/>
          <w:b w:val="0"/>
          <w:bCs/>
          <w:color w:val="auto"/>
          <w:sz w:val="24"/>
          <w:szCs w:val="24"/>
          <w:highlight w:val="none"/>
          <w:lang w:val="en-US" w:eastAsia="zh-CN"/>
        </w:rPr>
        <w:t>6.3</w:t>
      </w:r>
      <w:r>
        <w:rPr>
          <w:rFonts w:ascii="Times New Roman" w:hAnsi="Times New Roman" w:eastAsia="黑体"/>
          <w:b w:val="0"/>
          <w:bCs/>
          <w:color w:val="auto"/>
          <w:sz w:val="24"/>
          <w:szCs w:val="24"/>
          <w:highlight w:val="none"/>
        </w:rPr>
        <w:t>按照“GB/T 17626.2 电磁兼容 试验和测量技术 静电放电抗扰度试验”中规定，并在下述条件下进行：电磁兼容性能试验</w:t>
      </w:r>
      <w:bookmarkEnd w:id="307"/>
    </w:p>
    <w:p>
      <w:pPr>
        <w:tabs>
          <w:tab w:val="left" w:pos="709"/>
        </w:tabs>
        <w:spacing w:line="360" w:lineRule="auto"/>
        <w:ind w:left="709" w:hanging="709"/>
        <w:outlineLvl w:val="2"/>
        <w:rPr>
          <w:color w:val="auto"/>
          <w:szCs w:val="21"/>
          <w:highlight w:val="none"/>
        </w:rPr>
      </w:pPr>
      <w:bookmarkStart w:id="308" w:name="_Toc349050834"/>
      <w:bookmarkStart w:id="309" w:name="_Toc349052013"/>
      <w:r>
        <w:rPr>
          <w:color w:val="auto"/>
          <w:highlight w:val="none"/>
        </w:rPr>
        <w:t>6.</w:t>
      </w:r>
      <w:r>
        <w:rPr>
          <w:rFonts w:hint="eastAsia"/>
          <w:color w:val="auto"/>
          <w:highlight w:val="none"/>
          <w:lang w:val="en-US" w:eastAsia="zh-CN"/>
        </w:rPr>
        <w:t>3</w:t>
      </w:r>
      <w:r>
        <w:rPr>
          <w:color w:val="auto"/>
          <w:highlight w:val="none"/>
        </w:rPr>
        <w:t>.1 静电放电抗扰度试验</w:t>
      </w:r>
      <w:bookmarkEnd w:id="308"/>
      <w:bookmarkEnd w:id="309"/>
    </w:p>
    <w:p>
      <w:pPr>
        <w:pStyle w:val="102"/>
        <w:numPr>
          <w:ilvl w:val="0"/>
          <w:numId w:val="36"/>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pPr>
        <w:pStyle w:val="102"/>
        <w:numPr>
          <w:ilvl w:val="0"/>
          <w:numId w:val="36"/>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接触放电或空气放电；</w:t>
      </w:r>
    </w:p>
    <w:p>
      <w:pPr>
        <w:pStyle w:val="102"/>
        <w:numPr>
          <w:ilvl w:val="0"/>
          <w:numId w:val="36"/>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在外壳和工作人员经常可能触及的部位；</w:t>
      </w:r>
    </w:p>
    <w:p>
      <w:pPr>
        <w:pStyle w:val="102"/>
        <w:numPr>
          <w:ilvl w:val="0"/>
          <w:numId w:val="36"/>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 xml:space="preserve">试验电压：接触放电 8kV，空气放电15kV； </w:t>
      </w:r>
    </w:p>
    <w:p>
      <w:pPr>
        <w:pStyle w:val="102"/>
        <w:numPr>
          <w:ilvl w:val="0"/>
          <w:numId w:val="36"/>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正负极性放电各10次，每次放电间隔至少 1s。</w:t>
      </w:r>
    </w:p>
    <w:p>
      <w:pPr>
        <w:spacing w:line="360" w:lineRule="auto"/>
        <w:ind w:firstLine="420" w:firstLineChars="200"/>
        <w:rPr>
          <w:color w:val="auto"/>
          <w:szCs w:val="21"/>
          <w:highlight w:val="none"/>
        </w:rPr>
      </w:pPr>
      <w:bookmarkStart w:id="310" w:name="_Toc349052014"/>
      <w:bookmarkStart w:id="311" w:name="_Toc349050835"/>
      <w:r>
        <w:rPr>
          <w:color w:val="auto"/>
          <w:szCs w:val="21"/>
          <w:highlight w:val="none"/>
        </w:rPr>
        <w:t>在试验期间及试验后，监测装置的功能和性能应达到GB/T 17626.2中规定的a级要求。</w:t>
      </w:r>
    </w:p>
    <w:p>
      <w:pPr>
        <w:tabs>
          <w:tab w:val="left" w:pos="709"/>
        </w:tabs>
        <w:spacing w:line="360" w:lineRule="auto"/>
        <w:ind w:left="709" w:hanging="709"/>
        <w:outlineLvl w:val="2"/>
        <w:rPr>
          <w:color w:val="auto"/>
          <w:highlight w:val="none"/>
        </w:rPr>
      </w:pPr>
      <w:r>
        <w:rPr>
          <w:color w:val="auto"/>
          <w:highlight w:val="none"/>
        </w:rPr>
        <w:t>6.</w:t>
      </w:r>
      <w:r>
        <w:rPr>
          <w:rFonts w:hint="eastAsia"/>
          <w:color w:val="auto"/>
          <w:highlight w:val="none"/>
          <w:lang w:val="en-US" w:eastAsia="zh-CN"/>
        </w:rPr>
        <w:t>3</w:t>
      </w:r>
      <w:r>
        <w:rPr>
          <w:color w:val="auto"/>
          <w:highlight w:val="none"/>
        </w:rPr>
        <w:t>.2 射频电磁场辐射抗扰度试验</w:t>
      </w:r>
      <w:bookmarkEnd w:id="310"/>
      <w:bookmarkEnd w:id="311"/>
    </w:p>
    <w:p>
      <w:pPr>
        <w:spacing w:line="360" w:lineRule="auto"/>
        <w:ind w:firstLine="420"/>
        <w:rPr>
          <w:color w:val="auto"/>
          <w:szCs w:val="21"/>
          <w:highlight w:val="none"/>
        </w:rPr>
      </w:pPr>
      <w:r>
        <w:rPr>
          <w:color w:val="auto"/>
          <w:szCs w:val="21"/>
          <w:highlight w:val="none"/>
        </w:rPr>
        <w:t>按照“GB/T 17626.3 电磁兼容 试验和测量技术射频电磁场辐射抗扰度试验”中规定，并在下述条件下进行：</w:t>
      </w:r>
    </w:p>
    <w:p>
      <w:pPr>
        <w:pStyle w:val="102"/>
        <w:numPr>
          <w:ilvl w:val="0"/>
          <w:numId w:val="37"/>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pPr>
        <w:pStyle w:val="102"/>
        <w:numPr>
          <w:ilvl w:val="0"/>
          <w:numId w:val="37"/>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频率范围：80MHz～3000MHz；</w:t>
      </w:r>
    </w:p>
    <w:p>
      <w:pPr>
        <w:pStyle w:val="102"/>
        <w:numPr>
          <w:ilvl w:val="0"/>
          <w:numId w:val="37"/>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试验场强：10V/m。</w:t>
      </w:r>
    </w:p>
    <w:p>
      <w:pPr>
        <w:spacing w:line="360" w:lineRule="auto"/>
        <w:ind w:left="420"/>
        <w:rPr>
          <w:color w:val="auto"/>
          <w:kern w:val="0"/>
          <w:szCs w:val="21"/>
          <w:highlight w:val="none"/>
        </w:rPr>
      </w:pPr>
      <w:r>
        <w:rPr>
          <w:color w:val="auto"/>
          <w:szCs w:val="21"/>
          <w:highlight w:val="none"/>
        </w:rPr>
        <w:t>在试验期间及试验后，监测装置的功能和性能应达到GB/T 17626.3中规定的a级要求。</w:t>
      </w:r>
    </w:p>
    <w:p>
      <w:pPr>
        <w:tabs>
          <w:tab w:val="left" w:pos="709"/>
        </w:tabs>
        <w:spacing w:line="360" w:lineRule="auto"/>
        <w:ind w:left="709" w:hanging="709"/>
        <w:outlineLvl w:val="2"/>
        <w:rPr>
          <w:color w:val="auto"/>
          <w:highlight w:val="none"/>
        </w:rPr>
      </w:pPr>
      <w:bookmarkStart w:id="312" w:name="_Toc349050836"/>
      <w:bookmarkStart w:id="313" w:name="_Toc349052015"/>
      <w:r>
        <w:rPr>
          <w:color w:val="auto"/>
          <w:highlight w:val="none"/>
        </w:rPr>
        <w:t>6.</w:t>
      </w:r>
      <w:r>
        <w:rPr>
          <w:rFonts w:hint="eastAsia"/>
          <w:color w:val="auto"/>
          <w:highlight w:val="none"/>
          <w:lang w:val="en-US" w:eastAsia="zh-CN"/>
        </w:rPr>
        <w:t>3</w:t>
      </w:r>
      <w:r>
        <w:rPr>
          <w:color w:val="auto"/>
          <w:highlight w:val="none"/>
        </w:rPr>
        <w:t>.3 电快速瞬变脉冲群抗扰度试验</w:t>
      </w:r>
      <w:bookmarkEnd w:id="312"/>
      <w:bookmarkEnd w:id="313"/>
    </w:p>
    <w:p>
      <w:pPr>
        <w:spacing w:line="360" w:lineRule="auto"/>
        <w:ind w:firstLine="420"/>
        <w:rPr>
          <w:color w:val="auto"/>
          <w:szCs w:val="21"/>
          <w:highlight w:val="none"/>
        </w:rPr>
      </w:pPr>
      <w:r>
        <w:rPr>
          <w:color w:val="auto"/>
          <w:szCs w:val="21"/>
          <w:highlight w:val="none"/>
        </w:rPr>
        <w:t>按照“GB/T 17626.4 电磁兼容 试验和测量技术 电快速瞬变脉冲群抗扰度试验”中规定，并在下述条件下进行：</w:t>
      </w:r>
    </w:p>
    <w:p>
      <w:pPr>
        <w:pStyle w:val="102"/>
        <w:numPr>
          <w:ilvl w:val="0"/>
          <w:numId w:val="38"/>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pPr>
        <w:pStyle w:val="102"/>
        <w:numPr>
          <w:ilvl w:val="0"/>
          <w:numId w:val="38"/>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试验电压：电源端口4kV，数据端口2kV；</w:t>
      </w:r>
    </w:p>
    <w:p>
      <w:pPr>
        <w:pStyle w:val="102"/>
        <w:numPr>
          <w:ilvl w:val="0"/>
          <w:numId w:val="38"/>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在施加干扰的情况下，监测装置应能正常工作。</w:t>
      </w:r>
    </w:p>
    <w:p>
      <w:pPr>
        <w:spacing w:line="360" w:lineRule="auto"/>
        <w:ind w:firstLine="420"/>
        <w:rPr>
          <w:color w:val="auto"/>
          <w:szCs w:val="21"/>
          <w:highlight w:val="none"/>
        </w:rPr>
      </w:pPr>
      <w:r>
        <w:rPr>
          <w:color w:val="auto"/>
          <w:szCs w:val="21"/>
          <w:highlight w:val="none"/>
        </w:rPr>
        <w:t>在试验期间及试验后，监测装置的功能和性能应达到GB/T 17626.4中规定的a级要求。</w:t>
      </w:r>
    </w:p>
    <w:p>
      <w:pPr>
        <w:tabs>
          <w:tab w:val="left" w:pos="709"/>
        </w:tabs>
        <w:spacing w:line="360" w:lineRule="auto"/>
        <w:ind w:left="709" w:hanging="709"/>
        <w:outlineLvl w:val="2"/>
        <w:rPr>
          <w:color w:val="auto"/>
          <w:highlight w:val="none"/>
        </w:rPr>
      </w:pPr>
      <w:bookmarkStart w:id="314" w:name="_Toc349052016"/>
      <w:bookmarkStart w:id="315" w:name="_Toc349050837"/>
      <w:r>
        <w:rPr>
          <w:color w:val="auto"/>
          <w:highlight w:val="none"/>
        </w:rPr>
        <w:t>6.</w:t>
      </w:r>
      <w:r>
        <w:rPr>
          <w:rFonts w:hint="eastAsia"/>
          <w:color w:val="auto"/>
          <w:highlight w:val="none"/>
          <w:lang w:val="en-US" w:eastAsia="zh-CN"/>
        </w:rPr>
        <w:t>3</w:t>
      </w:r>
      <w:r>
        <w:rPr>
          <w:color w:val="auto"/>
          <w:highlight w:val="none"/>
        </w:rPr>
        <w:t>.4 浪涌（冲击）抗扰度试验</w:t>
      </w:r>
      <w:bookmarkEnd w:id="314"/>
      <w:bookmarkEnd w:id="315"/>
    </w:p>
    <w:p>
      <w:pPr>
        <w:spacing w:line="360" w:lineRule="auto"/>
        <w:ind w:firstLine="420"/>
        <w:rPr>
          <w:color w:val="auto"/>
          <w:szCs w:val="21"/>
          <w:highlight w:val="none"/>
        </w:rPr>
      </w:pPr>
      <w:r>
        <w:rPr>
          <w:color w:val="auto"/>
          <w:szCs w:val="21"/>
          <w:highlight w:val="none"/>
        </w:rPr>
        <w:t>按照“GB/T 17626.5 电磁兼容 试验和测量技术 浪涌（冲击）抗扰度试验”中规定，并在下述条件下进行：</w:t>
      </w:r>
    </w:p>
    <w:p>
      <w:pPr>
        <w:pStyle w:val="102"/>
        <w:numPr>
          <w:ilvl w:val="0"/>
          <w:numId w:val="39"/>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pPr>
        <w:pStyle w:val="102"/>
        <w:numPr>
          <w:ilvl w:val="0"/>
          <w:numId w:val="39"/>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试验电压：4kV。</w:t>
      </w:r>
    </w:p>
    <w:p>
      <w:pPr>
        <w:spacing w:line="360" w:lineRule="auto"/>
        <w:ind w:firstLine="420"/>
        <w:rPr>
          <w:color w:val="auto"/>
          <w:szCs w:val="21"/>
          <w:highlight w:val="none"/>
        </w:rPr>
      </w:pPr>
      <w:r>
        <w:rPr>
          <w:color w:val="auto"/>
          <w:szCs w:val="21"/>
          <w:highlight w:val="none"/>
        </w:rPr>
        <w:t>在试验期间及试验后，监测装置的功能和性能应达到GB/T 17626.5中规定的a级要求。</w:t>
      </w:r>
    </w:p>
    <w:p>
      <w:pPr>
        <w:tabs>
          <w:tab w:val="left" w:pos="709"/>
        </w:tabs>
        <w:spacing w:line="360" w:lineRule="auto"/>
        <w:ind w:left="709" w:hanging="709"/>
        <w:outlineLvl w:val="2"/>
        <w:rPr>
          <w:color w:val="auto"/>
          <w:highlight w:val="none"/>
        </w:rPr>
      </w:pPr>
      <w:bookmarkStart w:id="316" w:name="_Toc349050839"/>
      <w:bookmarkStart w:id="317" w:name="_Toc349052018"/>
      <w:r>
        <w:rPr>
          <w:color w:val="auto"/>
          <w:highlight w:val="none"/>
        </w:rPr>
        <w:t>6.</w:t>
      </w:r>
      <w:r>
        <w:rPr>
          <w:rFonts w:hint="eastAsia"/>
          <w:color w:val="auto"/>
          <w:highlight w:val="none"/>
          <w:lang w:val="en-US" w:eastAsia="zh-CN"/>
        </w:rPr>
        <w:t>3</w:t>
      </w:r>
      <w:r>
        <w:rPr>
          <w:color w:val="auto"/>
          <w:highlight w:val="none"/>
        </w:rPr>
        <w:t>.5 工频磁场抗扰度试验</w:t>
      </w:r>
      <w:bookmarkEnd w:id="316"/>
      <w:bookmarkEnd w:id="317"/>
    </w:p>
    <w:p>
      <w:pPr>
        <w:spacing w:line="360" w:lineRule="auto"/>
        <w:ind w:firstLine="420"/>
        <w:rPr>
          <w:color w:val="auto"/>
          <w:szCs w:val="21"/>
          <w:highlight w:val="none"/>
        </w:rPr>
      </w:pPr>
      <w:r>
        <w:rPr>
          <w:color w:val="auto"/>
          <w:szCs w:val="21"/>
          <w:highlight w:val="none"/>
        </w:rPr>
        <w:t>按照“GB/T 17626.8 电磁兼容 试验和测量技术 工频磁场抗扰度试验”中规定，并在下述条件下进行：</w:t>
      </w:r>
    </w:p>
    <w:p>
      <w:pPr>
        <w:spacing w:line="360" w:lineRule="auto"/>
        <w:ind w:firstLine="420"/>
        <w:rPr>
          <w:color w:val="auto"/>
          <w:szCs w:val="21"/>
          <w:highlight w:val="none"/>
        </w:rPr>
      </w:pPr>
      <w:r>
        <w:rPr>
          <w:color w:val="auto"/>
          <w:szCs w:val="21"/>
          <w:highlight w:val="none"/>
        </w:rPr>
        <w:t>a）</w:t>
      </w:r>
      <w:r>
        <w:rPr>
          <w:color w:val="auto"/>
          <w:szCs w:val="21"/>
          <w:highlight w:val="none"/>
        </w:rPr>
        <w:tab/>
      </w:r>
      <w:r>
        <w:rPr>
          <w:color w:val="auto"/>
          <w:szCs w:val="21"/>
          <w:highlight w:val="none"/>
        </w:rPr>
        <w:t>监测装置处于正常工作状态；</w:t>
      </w:r>
    </w:p>
    <w:p>
      <w:pPr>
        <w:spacing w:line="360" w:lineRule="auto"/>
        <w:ind w:firstLine="420"/>
        <w:rPr>
          <w:color w:val="auto"/>
          <w:szCs w:val="21"/>
          <w:highlight w:val="none"/>
        </w:rPr>
      </w:pPr>
      <w:r>
        <w:rPr>
          <w:color w:val="auto"/>
          <w:szCs w:val="21"/>
          <w:highlight w:val="none"/>
        </w:rPr>
        <w:t>b）</w:t>
      </w:r>
      <w:r>
        <w:rPr>
          <w:color w:val="auto"/>
          <w:szCs w:val="21"/>
          <w:highlight w:val="none"/>
        </w:rPr>
        <w:tab/>
      </w:r>
      <w:r>
        <w:rPr>
          <w:color w:val="auto"/>
          <w:szCs w:val="21"/>
          <w:highlight w:val="none"/>
        </w:rPr>
        <w:t>稳定持续的磁场强度：100A/m；</w:t>
      </w:r>
    </w:p>
    <w:p>
      <w:pPr>
        <w:spacing w:line="360" w:lineRule="auto"/>
        <w:ind w:firstLine="420"/>
        <w:rPr>
          <w:color w:val="auto"/>
          <w:szCs w:val="21"/>
          <w:highlight w:val="none"/>
        </w:rPr>
      </w:pPr>
      <w:r>
        <w:rPr>
          <w:color w:val="auto"/>
          <w:szCs w:val="21"/>
          <w:highlight w:val="none"/>
        </w:rPr>
        <w:t>c）</w:t>
      </w:r>
      <w:r>
        <w:rPr>
          <w:color w:val="auto"/>
          <w:szCs w:val="21"/>
          <w:highlight w:val="none"/>
        </w:rPr>
        <w:tab/>
      </w:r>
      <w:r>
        <w:rPr>
          <w:color w:val="auto"/>
          <w:szCs w:val="21"/>
          <w:highlight w:val="none"/>
        </w:rPr>
        <w:t>1s～3s短时作用的磁场强度：1000A/m。</w:t>
      </w:r>
    </w:p>
    <w:p>
      <w:pPr>
        <w:spacing w:line="360" w:lineRule="auto"/>
        <w:ind w:firstLine="420"/>
        <w:rPr>
          <w:color w:val="auto"/>
          <w:szCs w:val="21"/>
          <w:highlight w:val="none"/>
        </w:rPr>
      </w:pPr>
      <w:r>
        <w:rPr>
          <w:color w:val="auto"/>
          <w:szCs w:val="21"/>
          <w:highlight w:val="none"/>
        </w:rPr>
        <w:t>在试验期间及试验后，监测装置的功能和性能应达到GB/T 17626.8中规定的a级要求。</w:t>
      </w:r>
    </w:p>
    <w:p>
      <w:pPr>
        <w:tabs>
          <w:tab w:val="left" w:pos="709"/>
        </w:tabs>
        <w:spacing w:line="360" w:lineRule="auto"/>
        <w:ind w:left="709" w:hanging="709"/>
        <w:outlineLvl w:val="2"/>
        <w:rPr>
          <w:color w:val="auto"/>
          <w:highlight w:val="none"/>
        </w:rPr>
      </w:pPr>
      <w:bookmarkStart w:id="318" w:name="_Toc349050840"/>
      <w:bookmarkStart w:id="319" w:name="_Toc349052019"/>
      <w:r>
        <w:rPr>
          <w:color w:val="auto"/>
          <w:highlight w:val="none"/>
        </w:rPr>
        <w:t>6.</w:t>
      </w:r>
      <w:r>
        <w:rPr>
          <w:rFonts w:hint="eastAsia"/>
          <w:color w:val="auto"/>
          <w:highlight w:val="none"/>
          <w:lang w:val="en-US" w:eastAsia="zh-CN"/>
        </w:rPr>
        <w:t>3</w:t>
      </w:r>
      <w:r>
        <w:rPr>
          <w:color w:val="auto"/>
          <w:highlight w:val="none"/>
        </w:rPr>
        <w:t>.6 脉冲磁场抗扰度试验</w:t>
      </w:r>
      <w:bookmarkEnd w:id="318"/>
      <w:bookmarkEnd w:id="319"/>
    </w:p>
    <w:p>
      <w:pPr>
        <w:spacing w:line="360" w:lineRule="auto"/>
        <w:ind w:firstLine="420"/>
        <w:rPr>
          <w:color w:val="auto"/>
          <w:szCs w:val="21"/>
          <w:highlight w:val="none"/>
        </w:rPr>
      </w:pPr>
      <w:r>
        <w:rPr>
          <w:color w:val="auto"/>
          <w:szCs w:val="21"/>
          <w:highlight w:val="none"/>
        </w:rPr>
        <w:t>按照“GB/T 17626.9 电磁兼容 试验和测量技术 脉冲磁场抗扰度试验”中规定，并在下述条件下进行：</w:t>
      </w:r>
    </w:p>
    <w:p>
      <w:pPr>
        <w:pStyle w:val="102"/>
        <w:numPr>
          <w:ilvl w:val="0"/>
          <w:numId w:val="40"/>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pPr>
        <w:pStyle w:val="102"/>
        <w:numPr>
          <w:ilvl w:val="0"/>
          <w:numId w:val="40"/>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磁场强度：1000A/m。</w:t>
      </w:r>
    </w:p>
    <w:p>
      <w:pPr>
        <w:spacing w:line="360" w:lineRule="auto"/>
        <w:ind w:firstLine="420"/>
        <w:rPr>
          <w:color w:val="auto"/>
          <w:szCs w:val="21"/>
          <w:highlight w:val="none"/>
        </w:rPr>
      </w:pPr>
      <w:r>
        <w:rPr>
          <w:color w:val="auto"/>
          <w:szCs w:val="21"/>
          <w:highlight w:val="none"/>
        </w:rPr>
        <w:t>在试验期间及试验后，监测装置的功能和性能应达到GB/T 17626.9中规定的a级要求。</w:t>
      </w:r>
    </w:p>
    <w:p>
      <w:pPr>
        <w:pStyle w:val="3"/>
        <w:spacing w:before="0" w:after="0" w:line="360" w:lineRule="auto"/>
        <w:rPr>
          <w:rFonts w:ascii="Times New Roman" w:hAnsi="Times New Roman" w:eastAsia="黑体"/>
          <w:b w:val="0"/>
          <w:bCs/>
          <w:color w:val="auto"/>
          <w:sz w:val="24"/>
          <w:szCs w:val="24"/>
          <w:highlight w:val="none"/>
        </w:rPr>
      </w:pPr>
      <w:bookmarkStart w:id="320" w:name="_Toc20184"/>
      <w:bookmarkStart w:id="321" w:name="_Toc11896"/>
      <w:bookmarkStart w:id="322" w:name="_Toc4609"/>
      <w:bookmarkStart w:id="323" w:name="_Toc168869417"/>
      <w:bookmarkStart w:id="324" w:name="_Toc1303"/>
      <w:bookmarkStart w:id="325" w:name="_Toc19631"/>
      <w:bookmarkStart w:id="326" w:name="_Toc349052022"/>
      <w:bookmarkStart w:id="327" w:name="_Toc22188"/>
      <w:bookmarkStart w:id="328" w:name="_Toc500920856"/>
      <w:bookmarkStart w:id="329" w:name="_Toc16313"/>
      <w:bookmarkStart w:id="330" w:name="_Toc15131"/>
      <w:bookmarkStart w:id="331" w:name="_Toc349050843"/>
      <w:bookmarkStart w:id="332" w:name="_Toc23234"/>
      <w:bookmarkStart w:id="333" w:name="_Toc11803"/>
      <w:bookmarkStart w:id="334" w:name="_Toc3587"/>
      <w:bookmarkStart w:id="335" w:name="_Toc22506"/>
      <w:r>
        <w:rPr>
          <w:rFonts w:ascii="Times New Roman" w:hAnsi="Times New Roman" w:eastAsia="黑体"/>
          <w:b w:val="0"/>
          <w:bCs/>
          <w:color w:val="auto"/>
          <w:sz w:val="24"/>
          <w:szCs w:val="24"/>
          <w:highlight w:val="none"/>
        </w:rPr>
        <w:t>6.</w:t>
      </w:r>
      <w:r>
        <w:rPr>
          <w:rFonts w:hint="eastAsia" w:ascii="Times New Roman" w:hAnsi="Times New Roman" w:eastAsia="黑体"/>
          <w:b w:val="0"/>
          <w:bCs/>
          <w:color w:val="auto"/>
          <w:sz w:val="24"/>
          <w:szCs w:val="24"/>
          <w:highlight w:val="none"/>
          <w:lang w:val="en-US" w:eastAsia="zh-CN"/>
        </w:rPr>
        <w:t>4</w:t>
      </w:r>
      <w:r>
        <w:rPr>
          <w:rFonts w:ascii="Times New Roman" w:hAnsi="Times New Roman" w:eastAsia="黑体"/>
          <w:b w:val="0"/>
          <w:bCs/>
          <w:color w:val="auto"/>
          <w:sz w:val="24"/>
          <w:szCs w:val="24"/>
          <w:highlight w:val="none"/>
        </w:rPr>
        <w:t xml:space="preserve"> 环境适应性能试验</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pPr>
        <w:spacing w:line="360" w:lineRule="auto"/>
        <w:ind w:firstLine="420"/>
        <w:rPr>
          <w:color w:val="auto"/>
          <w:szCs w:val="21"/>
          <w:highlight w:val="none"/>
        </w:rPr>
      </w:pPr>
      <w:bookmarkStart w:id="336" w:name="_Toc349050844"/>
      <w:bookmarkStart w:id="337" w:name="_Toc349052023"/>
      <w:bookmarkStart w:id="338" w:name="_Toc955"/>
      <w:bookmarkStart w:id="339" w:name="_Toc26316"/>
      <w:bookmarkStart w:id="340" w:name="_Toc14061"/>
      <w:bookmarkStart w:id="341" w:name="_Toc25010"/>
      <w:bookmarkStart w:id="342" w:name="_Toc1539"/>
      <w:bookmarkStart w:id="343" w:name="_Toc8342"/>
      <w:bookmarkStart w:id="344" w:name="_Toc32403"/>
      <w:bookmarkStart w:id="345" w:name="_Toc500920857"/>
      <w:bookmarkStart w:id="346" w:name="_Toc12852"/>
      <w:bookmarkStart w:id="347" w:name="_Toc168869418"/>
      <w:bookmarkStart w:id="348" w:name="_Toc10769"/>
      <w:bookmarkStart w:id="349" w:name="_Toc349050848"/>
      <w:bookmarkStart w:id="350" w:name="_Toc18836"/>
      <w:bookmarkStart w:id="351" w:name="_Toc26677"/>
      <w:bookmarkStart w:id="352" w:name="_Toc349052027"/>
      <w:r>
        <w:rPr>
          <w:color w:val="auto"/>
          <w:szCs w:val="21"/>
          <w:highlight w:val="none"/>
        </w:rPr>
        <w:t>应按照现场配置方式组成架空输电线路在线监测系统，将整套设备置于环境试验箱中测试（不接太阳能板，测试前可通过适配器等对电池进行充电，确保电池电量充足），在下述条件下进行试验：</w:t>
      </w:r>
    </w:p>
    <w:p>
      <w:pPr>
        <w:spacing w:line="360" w:lineRule="auto"/>
        <w:ind w:firstLine="420"/>
        <w:rPr>
          <w:color w:val="auto"/>
          <w:szCs w:val="21"/>
          <w:highlight w:val="none"/>
        </w:rPr>
      </w:pPr>
      <w:r>
        <w:rPr>
          <w:color w:val="auto"/>
          <w:szCs w:val="21"/>
          <w:highlight w:val="none"/>
        </w:rPr>
        <w:t>a）非图像/视频类监测装置采集周期为10min，统计试验期间数据缺失率；</w:t>
      </w:r>
    </w:p>
    <w:p>
      <w:pPr>
        <w:tabs>
          <w:tab w:val="left" w:pos="709"/>
        </w:tabs>
        <w:spacing w:line="360" w:lineRule="auto"/>
        <w:outlineLvl w:val="2"/>
        <w:rPr>
          <w:color w:val="auto"/>
          <w:highlight w:val="none"/>
        </w:rPr>
      </w:pPr>
      <w:r>
        <w:rPr>
          <w:color w:val="auto"/>
          <w:highlight w:val="none"/>
        </w:rPr>
        <w:t>6.</w:t>
      </w:r>
      <w:r>
        <w:rPr>
          <w:rFonts w:hint="eastAsia"/>
          <w:color w:val="auto"/>
          <w:highlight w:val="none"/>
          <w:lang w:val="en-US" w:eastAsia="zh-CN"/>
        </w:rPr>
        <w:t>4</w:t>
      </w:r>
      <w:r>
        <w:rPr>
          <w:color w:val="auto"/>
          <w:highlight w:val="none"/>
        </w:rPr>
        <w:t>.1低温性能</w:t>
      </w:r>
    </w:p>
    <w:p>
      <w:pPr>
        <w:spacing w:line="360" w:lineRule="auto"/>
        <w:ind w:firstLine="420"/>
        <w:rPr>
          <w:color w:val="auto"/>
          <w:szCs w:val="21"/>
          <w:highlight w:val="none"/>
        </w:rPr>
      </w:pPr>
      <w:r>
        <w:rPr>
          <w:color w:val="auto"/>
          <w:szCs w:val="21"/>
          <w:highlight w:val="none"/>
        </w:rPr>
        <w:t>应满足GB/T 2423.1中6.6.1规定的温度为-40℃、持续时间72h的低温试验要求，试验结果应满足以下要求：</w:t>
      </w:r>
    </w:p>
    <w:p>
      <w:pPr>
        <w:spacing w:line="360" w:lineRule="auto"/>
        <w:ind w:firstLine="420"/>
        <w:rPr>
          <w:color w:val="auto"/>
          <w:szCs w:val="21"/>
          <w:highlight w:val="none"/>
        </w:rPr>
      </w:pPr>
      <w:r>
        <w:rPr>
          <w:color w:val="auto"/>
          <w:szCs w:val="21"/>
          <w:highlight w:val="none"/>
        </w:rPr>
        <w:t>a）非图像/视频类监测装置试验期间数据缺失率应小于1%；</w:t>
      </w:r>
    </w:p>
    <w:p>
      <w:pPr>
        <w:spacing w:line="360" w:lineRule="auto"/>
        <w:ind w:firstLine="420"/>
        <w:rPr>
          <w:color w:val="auto"/>
          <w:szCs w:val="21"/>
          <w:highlight w:val="none"/>
        </w:rPr>
      </w:pPr>
      <w:r>
        <w:rPr>
          <w:color w:val="auto"/>
          <w:szCs w:val="21"/>
          <w:highlight w:val="none"/>
        </w:rPr>
        <w:t>b）图像/视频类监测装置试验期间数据缺失率应小于1%，图像完整清晰；</w:t>
      </w:r>
    </w:p>
    <w:p>
      <w:pPr>
        <w:spacing w:line="360" w:lineRule="auto"/>
        <w:ind w:firstLine="420"/>
        <w:rPr>
          <w:color w:val="auto"/>
          <w:szCs w:val="21"/>
          <w:highlight w:val="none"/>
        </w:rPr>
      </w:pPr>
      <w:r>
        <w:rPr>
          <w:color w:val="auto"/>
          <w:szCs w:val="21"/>
          <w:highlight w:val="none"/>
        </w:rPr>
        <w:t>c）视频类监测装置所有指令执行正常，视频播放流畅。</w:t>
      </w:r>
    </w:p>
    <w:p>
      <w:pPr>
        <w:tabs>
          <w:tab w:val="left" w:pos="709"/>
        </w:tabs>
        <w:spacing w:line="360" w:lineRule="auto"/>
        <w:outlineLvl w:val="2"/>
        <w:rPr>
          <w:color w:val="auto"/>
          <w:highlight w:val="none"/>
        </w:rPr>
      </w:pPr>
      <w:r>
        <w:rPr>
          <w:color w:val="auto"/>
          <w:highlight w:val="none"/>
        </w:rPr>
        <w:t>6.</w:t>
      </w:r>
      <w:r>
        <w:rPr>
          <w:rFonts w:hint="eastAsia"/>
          <w:color w:val="auto"/>
          <w:highlight w:val="none"/>
          <w:lang w:val="en-US" w:eastAsia="zh-CN"/>
        </w:rPr>
        <w:t>4</w:t>
      </w:r>
      <w:r>
        <w:rPr>
          <w:color w:val="auto"/>
          <w:highlight w:val="none"/>
        </w:rPr>
        <w:t>.2高温性能</w:t>
      </w:r>
    </w:p>
    <w:p>
      <w:pPr>
        <w:spacing w:line="360" w:lineRule="auto"/>
        <w:ind w:firstLine="420"/>
        <w:rPr>
          <w:color w:val="auto"/>
          <w:szCs w:val="21"/>
          <w:highlight w:val="none"/>
        </w:rPr>
      </w:pPr>
      <w:r>
        <w:rPr>
          <w:color w:val="auto"/>
          <w:szCs w:val="21"/>
          <w:highlight w:val="none"/>
        </w:rPr>
        <w:t>应满足GB/T 2423.2中15.1规定的温度为＋70℃、持续时间72h的高温试验要求，试验结果应满足以下要求：</w:t>
      </w:r>
    </w:p>
    <w:p>
      <w:pPr>
        <w:spacing w:line="360" w:lineRule="auto"/>
        <w:ind w:firstLine="420"/>
        <w:rPr>
          <w:color w:val="auto"/>
          <w:szCs w:val="21"/>
          <w:highlight w:val="none"/>
        </w:rPr>
      </w:pPr>
      <w:r>
        <w:rPr>
          <w:color w:val="auto"/>
          <w:szCs w:val="21"/>
          <w:highlight w:val="none"/>
        </w:rPr>
        <w:t>a）非图像/视频类监测装置试验期间数据缺失率应小于1%；</w:t>
      </w:r>
    </w:p>
    <w:p>
      <w:pPr>
        <w:spacing w:line="360" w:lineRule="auto"/>
        <w:ind w:firstLine="420"/>
        <w:rPr>
          <w:color w:val="auto"/>
          <w:szCs w:val="21"/>
          <w:highlight w:val="none"/>
        </w:rPr>
      </w:pPr>
      <w:r>
        <w:rPr>
          <w:color w:val="auto"/>
          <w:szCs w:val="21"/>
          <w:highlight w:val="none"/>
        </w:rPr>
        <w:t>b）图像/视频类监测装置试验期间数据缺失率应小于1%，图像完整清晰；</w:t>
      </w:r>
    </w:p>
    <w:p>
      <w:pPr>
        <w:spacing w:line="360" w:lineRule="auto"/>
        <w:ind w:firstLine="420"/>
        <w:rPr>
          <w:color w:val="auto"/>
          <w:szCs w:val="21"/>
          <w:highlight w:val="none"/>
        </w:rPr>
      </w:pPr>
      <w:r>
        <w:rPr>
          <w:color w:val="auto"/>
          <w:szCs w:val="21"/>
          <w:highlight w:val="none"/>
        </w:rPr>
        <w:t>c）视频类监测装置所有指令执行正常，视频播放流畅。</w:t>
      </w:r>
    </w:p>
    <w:p>
      <w:pPr>
        <w:tabs>
          <w:tab w:val="left" w:pos="709"/>
        </w:tabs>
        <w:spacing w:line="360" w:lineRule="auto"/>
        <w:outlineLvl w:val="2"/>
        <w:rPr>
          <w:color w:val="auto"/>
          <w:highlight w:val="none"/>
        </w:rPr>
      </w:pPr>
      <w:r>
        <w:rPr>
          <w:color w:val="auto"/>
          <w:highlight w:val="none"/>
        </w:rPr>
        <w:t>6.</w:t>
      </w:r>
      <w:r>
        <w:rPr>
          <w:rFonts w:hint="eastAsia"/>
          <w:color w:val="auto"/>
          <w:highlight w:val="none"/>
          <w:lang w:val="en-US" w:eastAsia="zh-CN"/>
        </w:rPr>
        <w:t>4</w:t>
      </w:r>
      <w:r>
        <w:rPr>
          <w:color w:val="auto"/>
          <w:highlight w:val="none"/>
        </w:rPr>
        <w:t>.3交变湿热性能</w:t>
      </w:r>
    </w:p>
    <w:p>
      <w:pPr>
        <w:spacing w:line="360" w:lineRule="auto"/>
        <w:ind w:firstLine="420"/>
        <w:rPr>
          <w:color w:val="auto"/>
          <w:szCs w:val="21"/>
          <w:highlight w:val="none"/>
        </w:rPr>
      </w:pPr>
      <w:r>
        <w:rPr>
          <w:color w:val="auto"/>
          <w:szCs w:val="21"/>
          <w:highlight w:val="none"/>
        </w:rPr>
        <w:t>应满足GB/T 2423.4中7.3规定的温度为＋55℃，相对湿度大于90%RH，持续时间12h；温度为25℃，相对湿度大于95%，持续时间12h的交变湿热试验要求，试验结果应满足以下要求：</w:t>
      </w:r>
    </w:p>
    <w:p>
      <w:pPr>
        <w:spacing w:line="360" w:lineRule="auto"/>
        <w:ind w:firstLine="420"/>
        <w:rPr>
          <w:color w:val="auto"/>
          <w:szCs w:val="21"/>
          <w:highlight w:val="none"/>
        </w:rPr>
      </w:pPr>
      <w:r>
        <w:rPr>
          <w:color w:val="auto"/>
          <w:szCs w:val="21"/>
          <w:highlight w:val="none"/>
        </w:rPr>
        <w:t>a）非图像/视频类监测装置试验期间数据缺失率应小于1%；</w:t>
      </w:r>
    </w:p>
    <w:p>
      <w:pPr>
        <w:spacing w:line="360" w:lineRule="auto"/>
        <w:ind w:firstLine="420"/>
        <w:rPr>
          <w:color w:val="auto"/>
          <w:szCs w:val="21"/>
          <w:highlight w:val="none"/>
        </w:rPr>
      </w:pPr>
      <w:r>
        <w:rPr>
          <w:color w:val="auto"/>
          <w:szCs w:val="21"/>
          <w:highlight w:val="none"/>
        </w:rPr>
        <w:t>b）图像/视频类监测装置试验期间数据缺失率应小于1%，图像完整清晰；</w:t>
      </w:r>
    </w:p>
    <w:p>
      <w:pPr>
        <w:spacing w:line="360" w:lineRule="auto"/>
        <w:ind w:firstLine="420"/>
        <w:rPr>
          <w:color w:val="auto"/>
          <w:szCs w:val="21"/>
          <w:highlight w:val="none"/>
        </w:rPr>
      </w:pPr>
      <w:r>
        <w:rPr>
          <w:color w:val="auto"/>
          <w:szCs w:val="21"/>
          <w:highlight w:val="none"/>
        </w:rPr>
        <w:t>c）视频类监测装置所有指令执行正常，视频播放流畅。</w:t>
      </w:r>
    </w:p>
    <w:p>
      <w:pPr>
        <w:tabs>
          <w:tab w:val="left" w:pos="709"/>
        </w:tabs>
        <w:spacing w:line="360" w:lineRule="auto"/>
        <w:outlineLvl w:val="2"/>
        <w:rPr>
          <w:color w:val="auto"/>
          <w:highlight w:val="none"/>
        </w:rPr>
      </w:pPr>
      <w:r>
        <w:rPr>
          <w:color w:val="auto"/>
          <w:highlight w:val="none"/>
        </w:rPr>
        <w:t>6.</w:t>
      </w:r>
      <w:r>
        <w:rPr>
          <w:rFonts w:hint="eastAsia"/>
          <w:color w:val="auto"/>
          <w:highlight w:val="none"/>
          <w:lang w:val="en-US" w:eastAsia="zh-CN"/>
        </w:rPr>
        <w:t>4</w:t>
      </w:r>
      <w:r>
        <w:rPr>
          <w:color w:val="auto"/>
          <w:highlight w:val="none"/>
        </w:rPr>
        <w:t>.4低温覆冰试验</w:t>
      </w:r>
    </w:p>
    <w:p>
      <w:pPr>
        <w:spacing w:line="360" w:lineRule="auto"/>
        <w:ind w:firstLine="420"/>
        <w:rPr>
          <w:color w:val="auto"/>
          <w:szCs w:val="21"/>
          <w:highlight w:val="none"/>
        </w:rPr>
      </w:pPr>
      <w:r>
        <w:rPr>
          <w:color w:val="auto"/>
          <w:szCs w:val="21"/>
          <w:highlight w:val="none"/>
        </w:rPr>
        <w:t>按照DL/T 1247中规定的雨淞类型覆冰方法及气候室模拟的雨淞类型覆冰参数，将环境温度控制在-</w:t>
      </w:r>
      <w:r>
        <w:rPr>
          <w:rFonts w:hint="eastAsia"/>
          <w:color w:val="auto"/>
          <w:szCs w:val="21"/>
          <w:highlight w:val="none"/>
        </w:rPr>
        <w:t>7</w:t>
      </w:r>
      <w:r>
        <w:rPr>
          <w:color w:val="auto"/>
          <w:szCs w:val="21"/>
          <w:highlight w:val="none"/>
        </w:rPr>
        <w:t>℃～</w:t>
      </w:r>
      <w:r>
        <w:rPr>
          <w:rFonts w:hint="eastAsia"/>
          <w:color w:val="auto"/>
          <w:szCs w:val="21"/>
          <w:highlight w:val="none"/>
        </w:rPr>
        <w:t>-3</w:t>
      </w:r>
      <w:r>
        <w:rPr>
          <w:color w:val="auto"/>
          <w:szCs w:val="21"/>
          <w:highlight w:val="none"/>
        </w:rPr>
        <w:t>℃，覆冰厚度达到20mm 后并保持，保持时间48h。试验结果应满足以下要求：</w:t>
      </w:r>
    </w:p>
    <w:p>
      <w:pPr>
        <w:spacing w:line="360" w:lineRule="auto"/>
        <w:ind w:firstLine="420"/>
        <w:rPr>
          <w:color w:val="auto"/>
          <w:szCs w:val="21"/>
          <w:highlight w:val="none"/>
        </w:rPr>
      </w:pPr>
      <w:r>
        <w:rPr>
          <w:color w:val="auto"/>
          <w:szCs w:val="21"/>
          <w:highlight w:val="none"/>
        </w:rPr>
        <w:t>a）非图像/视频类监测装置试验期间数据缺失率应小于1%；</w:t>
      </w:r>
    </w:p>
    <w:p>
      <w:pPr>
        <w:spacing w:line="360" w:lineRule="auto"/>
        <w:ind w:firstLine="420"/>
        <w:rPr>
          <w:color w:val="auto"/>
          <w:szCs w:val="21"/>
          <w:highlight w:val="none"/>
        </w:rPr>
      </w:pPr>
      <w:r>
        <w:rPr>
          <w:color w:val="auto"/>
          <w:szCs w:val="21"/>
          <w:highlight w:val="none"/>
        </w:rPr>
        <w:t>b）图像/视频类监测装置试验期间数据缺失率应小于1%，图像完整清晰，但允许冰覆盖镜头；</w:t>
      </w:r>
    </w:p>
    <w:bookmarkEnd w:id="336"/>
    <w:bookmarkEnd w:id="337"/>
    <w:p>
      <w:pPr>
        <w:pStyle w:val="3"/>
        <w:spacing w:before="0" w:after="0" w:line="360" w:lineRule="auto"/>
        <w:rPr>
          <w:rFonts w:ascii="Times New Roman" w:hAnsi="Times New Roman" w:eastAsia="黑体"/>
          <w:b w:val="0"/>
          <w:bCs/>
          <w:color w:val="auto"/>
          <w:sz w:val="24"/>
          <w:szCs w:val="24"/>
          <w:highlight w:val="none"/>
        </w:rPr>
      </w:pPr>
      <w:bookmarkStart w:id="353" w:name="_Toc2361"/>
      <w:r>
        <w:rPr>
          <w:rFonts w:ascii="Times New Roman" w:hAnsi="Times New Roman" w:eastAsia="黑体"/>
          <w:b w:val="0"/>
          <w:bCs/>
          <w:color w:val="auto"/>
          <w:sz w:val="24"/>
          <w:szCs w:val="24"/>
          <w:highlight w:val="none"/>
        </w:rPr>
        <w:t>6.</w:t>
      </w:r>
      <w:r>
        <w:rPr>
          <w:rFonts w:hint="eastAsia" w:ascii="Times New Roman" w:hAnsi="Times New Roman" w:eastAsia="黑体"/>
          <w:b w:val="0"/>
          <w:bCs/>
          <w:color w:val="auto"/>
          <w:sz w:val="24"/>
          <w:szCs w:val="24"/>
          <w:highlight w:val="none"/>
          <w:lang w:val="en-US" w:eastAsia="zh-CN"/>
        </w:rPr>
        <w:t>5</w:t>
      </w:r>
      <w:r>
        <w:rPr>
          <w:rFonts w:ascii="Times New Roman" w:hAnsi="Times New Roman" w:eastAsia="黑体"/>
          <w:b w:val="0"/>
          <w:bCs/>
          <w:color w:val="auto"/>
          <w:sz w:val="24"/>
          <w:szCs w:val="24"/>
          <w:highlight w:val="none"/>
        </w:rPr>
        <w:t xml:space="preserve"> 机械性能试验</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pPr>
        <w:tabs>
          <w:tab w:val="left" w:pos="709"/>
        </w:tabs>
        <w:spacing w:line="360" w:lineRule="auto"/>
        <w:ind w:left="709" w:hanging="709"/>
        <w:outlineLvl w:val="2"/>
        <w:rPr>
          <w:color w:val="auto"/>
          <w:highlight w:val="none"/>
        </w:rPr>
      </w:pPr>
      <w:bookmarkStart w:id="354" w:name="_Toc349052028"/>
      <w:bookmarkStart w:id="355" w:name="_Toc349050849"/>
      <w:r>
        <w:rPr>
          <w:color w:val="auto"/>
          <w:highlight w:val="none"/>
        </w:rPr>
        <w:t>6.</w:t>
      </w:r>
      <w:r>
        <w:rPr>
          <w:rFonts w:hint="eastAsia"/>
          <w:color w:val="auto"/>
          <w:highlight w:val="none"/>
          <w:lang w:val="en-US" w:eastAsia="zh-CN"/>
        </w:rPr>
        <w:t>5</w:t>
      </w:r>
      <w:r>
        <w:rPr>
          <w:color w:val="auto"/>
          <w:highlight w:val="none"/>
        </w:rPr>
        <w:t>.1 振动试验</w:t>
      </w:r>
      <w:bookmarkEnd w:id="354"/>
      <w:bookmarkEnd w:id="355"/>
    </w:p>
    <w:p>
      <w:pPr>
        <w:spacing w:line="360" w:lineRule="auto"/>
        <w:rPr>
          <w:color w:val="auto"/>
          <w:szCs w:val="21"/>
          <w:highlight w:val="none"/>
        </w:rPr>
      </w:pPr>
      <w:r>
        <w:rPr>
          <w:color w:val="auto"/>
          <w:szCs w:val="21"/>
          <w:highlight w:val="none"/>
        </w:rPr>
        <w:t>（1）试验方法</w:t>
      </w:r>
    </w:p>
    <w:p>
      <w:pPr>
        <w:spacing w:line="360" w:lineRule="auto"/>
        <w:ind w:left="420"/>
        <w:rPr>
          <w:color w:val="auto"/>
          <w:kern w:val="0"/>
          <w:szCs w:val="21"/>
          <w:highlight w:val="none"/>
        </w:rPr>
      </w:pPr>
      <w:r>
        <w:rPr>
          <w:color w:val="auto"/>
          <w:kern w:val="0"/>
          <w:szCs w:val="21"/>
          <w:highlight w:val="none"/>
        </w:rPr>
        <w:t>监测装置不包装、不通电，固定在振动试验台中央，按照GB/T 2423.10中规定的试验方法和要求，并在本技术规范书中规定的严酷等级下进行试验。</w:t>
      </w:r>
    </w:p>
    <w:p>
      <w:pPr>
        <w:spacing w:line="360" w:lineRule="auto"/>
        <w:rPr>
          <w:color w:val="auto"/>
          <w:szCs w:val="21"/>
          <w:highlight w:val="none"/>
        </w:rPr>
      </w:pPr>
      <w:r>
        <w:rPr>
          <w:color w:val="auto"/>
          <w:szCs w:val="21"/>
          <w:highlight w:val="none"/>
        </w:rPr>
        <w:t>（2）判定准则</w:t>
      </w:r>
    </w:p>
    <w:p>
      <w:pPr>
        <w:spacing w:line="360" w:lineRule="auto"/>
        <w:ind w:left="420"/>
        <w:rPr>
          <w:color w:val="auto"/>
          <w:szCs w:val="21"/>
          <w:highlight w:val="none"/>
        </w:rPr>
      </w:pPr>
      <w:r>
        <w:rPr>
          <w:color w:val="auto"/>
          <w:szCs w:val="21"/>
          <w:highlight w:val="none"/>
        </w:rPr>
        <w:t>试验后，监测装置应无损坏，紧固件、连接件、模块及元器件无松动、脱落等现象，且通电后监测装置在规定的限值内性能正常。</w:t>
      </w:r>
    </w:p>
    <w:p>
      <w:pPr>
        <w:tabs>
          <w:tab w:val="left" w:pos="709"/>
        </w:tabs>
        <w:spacing w:line="360" w:lineRule="auto"/>
        <w:ind w:left="709" w:hanging="709"/>
        <w:outlineLvl w:val="2"/>
        <w:rPr>
          <w:color w:val="auto"/>
          <w:highlight w:val="none"/>
        </w:rPr>
      </w:pPr>
      <w:r>
        <w:rPr>
          <w:color w:val="auto"/>
          <w:highlight w:val="none"/>
        </w:rPr>
        <w:t>6.</w:t>
      </w:r>
      <w:r>
        <w:rPr>
          <w:rFonts w:hint="eastAsia"/>
          <w:color w:val="auto"/>
          <w:highlight w:val="none"/>
          <w:lang w:val="en-US" w:eastAsia="zh-CN"/>
        </w:rPr>
        <w:t>5</w:t>
      </w:r>
      <w:r>
        <w:rPr>
          <w:color w:val="auto"/>
          <w:highlight w:val="none"/>
        </w:rPr>
        <w:t>.2 碰撞试验</w:t>
      </w:r>
    </w:p>
    <w:p>
      <w:pPr>
        <w:spacing w:line="360" w:lineRule="auto"/>
        <w:rPr>
          <w:color w:val="auto"/>
          <w:szCs w:val="21"/>
          <w:highlight w:val="none"/>
        </w:rPr>
      </w:pPr>
      <w:r>
        <w:rPr>
          <w:color w:val="auto"/>
          <w:szCs w:val="21"/>
          <w:highlight w:val="none"/>
        </w:rPr>
        <w:t>（1）试验方法</w:t>
      </w:r>
    </w:p>
    <w:p>
      <w:pPr>
        <w:tabs>
          <w:tab w:val="left" w:pos="709"/>
        </w:tabs>
        <w:spacing w:line="360" w:lineRule="auto"/>
        <w:ind w:left="709" w:hanging="709"/>
        <w:outlineLvl w:val="2"/>
        <w:rPr>
          <w:color w:val="auto"/>
          <w:highlight w:val="none"/>
        </w:rPr>
      </w:pPr>
      <w:r>
        <w:rPr>
          <w:color w:val="auto"/>
          <w:szCs w:val="21"/>
          <w:highlight w:val="none"/>
        </w:rPr>
        <w:t>监测装置不包装、不通电，固定在</w:t>
      </w:r>
      <w:r>
        <w:rPr>
          <w:color w:val="auto"/>
          <w:highlight w:val="none"/>
        </w:rPr>
        <w:t>6.6.1 振动试验</w:t>
      </w:r>
    </w:p>
    <w:p>
      <w:pPr>
        <w:spacing w:line="360" w:lineRule="auto"/>
        <w:rPr>
          <w:color w:val="auto"/>
          <w:szCs w:val="21"/>
          <w:highlight w:val="none"/>
        </w:rPr>
      </w:pPr>
      <w:r>
        <w:rPr>
          <w:color w:val="auto"/>
          <w:szCs w:val="21"/>
          <w:highlight w:val="none"/>
        </w:rPr>
        <w:t>（1）试验方法</w:t>
      </w:r>
    </w:p>
    <w:p>
      <w:pPr>
        <w:spacing w:line="360" w:lineRule="auto"/>
        <w:ind w:left="420"/>
        <w:rPr>
          <w:color w:val="auto"/>
          <w:kern w:val="0"/>
          <w:szCs w:val="21"/>
          <w:highlight w:val="none"/>
        </w:rPr>
      </w:pPr>
      <w:r>
        <w:rPr>
          <w:color w:val="auto"/>
          <w:kern w:val="0"/>
          <w:szCs w:val="21"/>
          <w:highlight w:val="none"/>
        </w:rPr>
        <w:t>监测装置不包装、不通电，固定在振动试验台中央，按照GB/T 2423.10中规定的试验方法和要求，并在本技术规范书中规定的严酷等级下进行试验。</w:t>
      </w:r>
    </w:p>
    <w:p>
      <w:pPr>
        <w:spacing w:line="360" w:lineRule="auto"/>
        <w:rPr>
          <w:color w:val="auto"/>
          <w:szCs w:val="21"/>
          <w:highlight w:val="none"/>
        </w:rPr>
      </w:pPr>
      <w:r>
        <w:rPr>
          <w:color w:val="auto"/>
          <w:szCs w:val="21"/>
          <w:highlight w:val="none"/>
        </w:rPr>
        <w:t>（2）判定准则</w:t>
      </w:r>
    </w:p>
    <w:p>
      <w:pPr>
        <w:spacing w:line="360" w:lineRule="auto"/>
        <w:ind w:left="420"/>
        <w:rPr>
          <w:color w:val="auto"/>
          <w:szCs w:val="21"/>
          <w:highlight w:val="none"/>
        </w:rPr>
      </w:pPr>
      <w:r>
        <w:rPr>
          <w:color w:val="auto"/>
          <w:szCs w:val="21"/>
          <w:highlight w:val="none"/>
        </w:rPr>
        <w:t>试验后，监测装置应无损坏，紧固件、连接件、模块及元器件无松动、脱落等现象，且通电后监测装置在规定的限值内性能正常。</w:t>
      </w:r>
    </w:p>
    <w:p>
      <w:pPr>
        <w:pStyle w:val="3"/>
        <w:spacing w:before="0" w:after="0" w:line="360" w:lineRule="auto"/>
        <w:rPr>
          <w:rFonts w:ascii="Times New Roman" w:hAnsi="Times New Roman" w:eastAsia="黑体"/>
          <w:b w:val="0"/>
          <w:bCs/>
          <w:color w:val="auto"/>
          <w:sz w:val="24"/>
          <w:szCs w:val="24"/>
          <w:highlight w:val="none"/>
        </w:rPr>
      </w:pPr>
      <w:bookmarkStart w:id="356" w:name="_Toc27361"/>
      <w:bookmarkStart w:id="357" w:name="_Toc10807"/>
      <w:bookmarkStart w:id="358" w:name="_Toc349050851"/>
      <w:bookmarkStart w:id="359" w:name="_Toc18209"/>
      <w:bookmarkStart w:id="360" w:name="_Toc12770"/>
      <w:bookmarkStart w:id="361" w:name="_Toc349052030"/>
      <w:bookmarkStart w:id="362" w:name="_Toc10626"/>
      <w:bookmarkStart w:id="363" w:name="_Toc10518"/>
      <w:bookmarkStart w:id="364" w:name="_Toc16595"/>
      <w:bookmarkStart w:id="365" w:name="_Toc26166"/>
      <w:bookmarkStart w:id="366" w:name="_Toc13971"/>
      <w:bookmarkStart w:id="367" w:name="_Toc6523"/>
      <w:bookmarkStart w:id="368" w:name="_Toc17135"/>
      <w:bookmarkStart w:id="369" w:name="_Toc500920858"/>
      <w:bookmarkStart w:id="370" w:name="_Toc168869419"/>
      <w:bookmarkStart w:id="371" w:name="_Toc3230"/>
      <w:bookmarkStart w:id="372" w:name="_Toc2934"/>
      <w:r>
        <w:rPr>
          <w:rFonts w:ascii="Times New Roman" w:hAnsi="Times New Roman" w:eastAsia="黑体"/>
          <w:b w:val="0"/>
          <w:bCs/>
          <w:color w:val="auto"/>
          <w:sz w:val="24"/>
          <w:szCs w:val="24"/>
          <w:highlight w:val="none"/>
        </w:rPr>
        <w:t>6.</w:t>
      </w:r>
      <w:r>
        <w:rPr>
          <w:rFonts w:hint="eastAsia" w:ascii="Times New Roman" w:hAnsi="Times New Roman" w:eastAsia="黑体"/>
          <w:b w:val="0"/>
          <w:bCs/>
          <w:color w:val="auto"/>
          <w:sz w:val="24"/>
          <w:szCs w:val="24"/>
          <w:highlight w:val="none"/>
          <w:lang w:val="en-US" w:eastAsia="zh-CN"/>
        </w:rPr>
        <w:t>6</w:t>
      </w:r>
      <w:r>
        <w:rPr>
          <w:rFonts w:ascii="Times New Roman" w:hAnsi="Times New Roman" w:eastAsia="黑体"/>
          <w:b w:val="0"/>
          <w:bCs/>
          <w:color w:val="auto"/>
          <w:sz w:val="24"/>
          <w:szCs w:val="24"/>
          <w:highlight w:val="none"/>
        </w:rPr>
        <w:t xml:space="preserve"> 性能及功耗试验</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pPr>
        <w:spacing w:line="360" w:lineRule="auto"/>
        <w:ind w:firstLine="420"/>
        <w:rPr>
          <w:color w:val="auto"/>
          <w:highlight w:val="none"/>
        </w:rPr>
      </w:pPr>
      <w:bookmarkStart w:id="373" w:name="_Toc349050852"/>
      <w:bookmarkStart w:id="374" w:name="_Toc349052031"/>
      <w:r>
        <w:rPr>
          <w:color w:val="auto"/>
          <w:highlight w:val="none"/>
        </w:rPr>
        <w:t>6.</w:t>
      </w:r>
      <w:r>
        <w:rPr>
          <w:rFonts w:hint="eastAsia"/>
          <w:color w:val="auto"/>
          <w:highlight w:val="none"/>
          <w:lang w:val="en-US" w:eastAsia="zh-CN"/>
        </w:rPr>
        <w:t>6</w:t>
      </w:r>
      <w:r>
        <w:rPr>
          <w:color w:val="auto"/>
          <w:highlight w:val="none"/>
        </w:rPr>
        <w:t xml:space="preserve">.1 </w:t>
      </w:r>
      <w:bookmarkEnd w:id="373"/>
      <w:bookmarkEnd w:id="374"/>
      <w:r>
        <w:rPr>
          <w:color w:val="auto"/>
          <w:highlight w:val="none"/>
        </w:rPr>
        <w:t>功耗试验</w:t>
      </w:r>
    </w:p>
    <w:p>
      <w:pPr>
        <w:spacing w:line="360" w:lineRule="auto"/>
        <w:rPr>
          <w:color w:val="auto"/>
          <w:szCs w:val="21"/>
          <w:highlight w:val="none"/>
        </w:rPr>
      </w:pPr>
      <w:r>
        <w:rPr>
          <w:color w:val="auto"/>
          <w:szCs w:val="21"/>
          <w:highlight w:val="none"/>
        </w:rPr>
        <w:t>（1）试验方法</w:t>
      </w:r>
    </w:p>
    <w:p>
      <w:pPr>
        <w:spacing w:line="360" w:lineRule="auto"/>
        <w:ind w:firstLine="420"/>
        <w:rPr>
          <w:color w:val="auto"/>
          <w:szCs w:val="21"/>
          <w:highlight w:val="none"/>
        </w:rPr>
      </w:pPr>
      <w:r>
        <w:rPr>
          <w:color w:val="auto"/>
          <w:szCs w:val="21"/>
          <w:highlight w:val="none"/>
        </w:rPr>
        <w:t>通过高精度功耗测试仪在25℃±3℃的环境温度下开展在线静态功耗、采集功耗、峰值功耗测试，功耗数据采集频率应不低于10Hz。</w:t>
      </w:r>
    </w:p>
    <w:p>
      <w:pPr>
        <w:numPr>
          <w:ilvl w:val="0"/>
          <w:numId w:val="41"/>
        </w:numPr>
        <w:spacing w:line="360" w:lineRule="auto"/>
        <w:ind w:firstLine="420"/>
        <w:rPr>
          <w:color w:val="auto"/>
          <w:szCs w:val="21"/>
          <w:highlight w:val="none"/>
        </w:rPr>
      </w:pPr>
      <w:r>
        <w:rPr>
          <w:color w:val="auto"/>
          <w:szCs w:val="21"/>
          <w:highlight w:val="none"/>
        </w:rPr>
        <w:t>在线静态功耗测试：通过测试主站下发设置命令，设置装置采集周期为不低于60min/次，拍照时间表不低于60min/张，下发指令关闭摄像机电源，等待10min开始记录装置功率，连续记录不低于1min，计算记录时间周期内的平均功率；</w:t>
      </w:r>
    </w:p>
    <w:p>
      <w:pPr>
        <w:numPr>
          <w:ilvl w:val="0"/>
          <w:numId w:val="41"/>
        </w:numPr>
        <w:spacing w:line="360" w:lineRule="auto"/>
        <w:ind w:firstLine="420"/>
        <w:rPr>
          <w:color w:val="auto"/>
          <w:szCs w:val="21"/>
          <w:highlight w:val="none"/>
        </w:rPr>
      </w:pPr>
      <w:r>
        <w:rPr>
          <w:color w:val="auto"/>
          <w:szCs w:val="21"/>
          <w:highlight w:val="none"/>
        </w:rPr>
        <w:t>在线采集功耗：通过测试主站下发控制命令，控制摄像机所有摄像头启动拍照/拉流功能，在装置执行拍照/拉流命令和数据传输过程中记录装置功率，记录时间覆盖功率升高与降低的一个完整周期，计算记录时间周期内的平均功率；</w:t>
      </w:r>
    </w:p>
    <w:p>
      <w:pPr>
        <w:spacing w:line="360" w:lineRule="auto"/>
        <w:rPr>
          <w:color w:val="auto"/>
          <w:szCs w:val="21"/>
          <w:highlight w:val="none"/>
        </w:rPr>
      </w:pPr>
      <w:r>
        <w:rPr>
          <w:color w:val="auto"/>
          <w:szCs w:val="21"/>
          <w:highlight w:val="none"/>
        </w:rPr>
        <w:t>（2）判定准则</w:t>
      </w:r>
    </w:p>
    <w:p>
      <w:pPr>
        <w:spacing w:line="360" w:lineRule="auto"/>
        <w:ind w:firstLine="420"/>
        <w:rPr>
          <w:color w:val="auto"/>
          <w:szCs w:val="21"/>
          <w:highlight w:val="none"/>
        </w:rPr>
      </w:pPr>
      <w:r>
        <w:rPr>
          <w:color w:val="auto"/>
          <w:szCs w:val="21"/>
          <w:highlight w:val="none"/>
        </w:rPr>
        <w:t>功耗应满足本规范5.9规定的技术要求。</w:t>
      </w:r>
    </w:p>
    <w:bookmarkEnd w:id="285"/>
    <w:bookmarkEnd w:id="286"/>
    <w:bookmarkEnd w:id="287"/>
    <w:bookmarkEnd w:id="288"/>
    <w:bookmarkEnd w:id="289"/>
    <w:bookmarkEnd w:id="290"/>
    <w:p>
      <w:pPr>
        <w:pStyle w:val="3"/>
        <w:spacing w:before="0" w:after="0" w:line="360" w:lineRule="auto"/>
        <w:rPr>
          <w:rFonts w:ascii="Times New Roman" w:hAnsi="Times New Roman" w:eastAsia="黑体"/>
          <w:b w:val="0"/>
          <w:bCs/>
          <w:color w:val="auto"/>
          <w:sz w:val="24"/>
          <w:szCs w:val="24"/>
          <w:highlight w:val="none"/>
        </w:rPr>
      </w:pPr>
      <w:bookmarkStart w:id="375" w:name="_Toc30330"/>
      <w:bookmarkStart w:id="376" w:name="_Toc383"/>
      <w:bookmarkStart w:id="377" w:name="_Toc31255"/>
      <w:bookmarkStart w:id="378" w:name="_Toc10590"/>
      <w:bookmarkStart w:id="379" w:name="_Toc6736"/>
      <w:bookmarkStart w:id="380" w:name="_Toc12293"/>
      <w:bookmarkStart w:id="381" w:name="_Toc25434"/>
      <w:bookmarkStart w:id="382" w:name="_Toc2704"/>
      <w:bookmarkStart w:id="383" w:name="_Toc16498"/>
      <w:bookmarkStart w:id="384" w:name="_Toc16333"/>
      <w:bookmarkStart w:id="385" w:name="_Toc168869425"/>
      <w:bookmarkStart w:id="386" w:name="_Toc31037"/>
      <w:bookmarkStart w:id="387" w:name="_Toc6765"/>
      <w:bookmarkStart w:id="388" w:name="_Toc10591"/>
      <w:bookmarkStart w:id="389" w:name="_Toc13938"/>
      <w:bookmarkStart w:id="390" w:name="_Toc347154881"/>
      <w:bookmarkStart w:id="391" w:name="_Toc500920862"/>
      <w:bookmarkStart w:id="392" w:name="_Toc356999079"/>
      <w:bookmarkStart w:id="393" w:name="_Toc265313593"/>
      <w:bookmarkStart w:id="394" w:name="_Toc20335"/>
      <w:r>
        <w:rPr>
          <w:rFonts w:ascii="Times New Roman" w:hAnsi="Times New Roman" w:eastAsia="黑体"/>
          <w:b w:val="0"/>
          <w:bCs/>
          <w:color w:val="auto"/>
          <w:sz w:val="24"/>
          <w:szCs w:val="24"/>
          <w:highlight w:val="none"/>
        </w:rPr>
        <w:t>6.</w:t>
      </w:r>
      <w:r>
        <w:rPr>
          <w:rFonts w:hint="eastAsia" w:ascii="Times New Roman" w:hAnsi="Times New Roman" w:eastAsia="黑体"/>
          <w:b w:val="0"/>
          <w:bCs/>
          <w:color w:val="auto"/>
          <w:sz w:val="24"/>
          <w:szCs w:val="24"/>
          <w:highlight w:val="none"/>
          <w:lang w:val="en-US" w:eastAsia="zh-CN"/>
        </w:rPr>
        <w:t>7</w:t>
      </w:r>
      <w:r>
        <w:rPr>
          <w:rFonts w:ascii="Times New Roman" w:hAnsi="Times New Roman" w:eastAsia="黑体"/>
          <w:b w:val="0"/>
          <w:bCs/>
          <w:color w:val="auto"/>
          <w:sz w:val="24"/>
          <w:szCs w:val="24"/>
          <w:highlight w:val="none"/>
        </w:rPr>
        <w:t>可见光相机功能及性能试验</w:t>
      </w:r>
      <w:bookmarkEnd w:id="375"/>
      <w:bookmarkEnd w:id="376"/>
      <w:bookmarkEnd w:id="377"/>
      <w:bookmarkEnd w:id="378"/>
      <w:bookmarkEnd w:id="379"/>
      <w:bookmarkEnd w:id="380"/>
      <w:bookmarkEnd w:id="381"/>
      <w:bookmarkEnd w:id="382"/>
      <w:bookmarkEnd w:id="383"/>
    </w:p>
    <w:bookmarkEnd w:id="384"/>
    <w:bookmarkEnd w:id="385"/>
    <w:bookmarkEnd w:id="386"/>
    <w:bookmarkEnd w:id="387"/>
    <w:bookmarkEnd w:id="388"/>
    <w:bookmarkEnd w:id="389"/>
    <w:p>
      <w:pPr>
        <w:spacing w:line="360" w:lineRule="auto"/>
        <w:ind w:firstLine="420"/>
        <w:rPr>
          <w:color w:val="auto"/>
          <w:szCs w:val="21"/>
          <w:highlight w:val="none"/>
        </w:rPr>
      </w:pPr>
      <w:bookmarkStart w:id="395" w:name="_Toc24738"/>
      <w:bookmarkStart w:id="396" w:name="_Toc21821"/>
      <w:r>
        <w:rPr>
          <w:color w:val="auto"/>
          <w:szCs w:val="21"/>
          <w:highlight w:val="none"/>
        </w:rPr>
        <w:t>参照《GA/T 1127安全防范视频监控摄像机通用技术要求》《GA/T 1128 安全防范视频监控高清晰度摄像机测量方法》试验方法，逐项开展摄像机功能及性能试验，具体如下：</w:t>
      </w:r>
    </w:p>
    <w:p>
      <w:pPr>
        <w:numPr>
          <w:ilvl w:val="0"/>
          <w:numId w:val="42"/>
        </w:numPr>
        <w:spacing w:line="360" w:lineRule="auto"/>
        <w:ind w:firstLine="420"/>
        <w:rPr>
          <w:color w:val="auto"/>
          <w:szCs w:val="21"/>
          <w:highlight w:val="none"/>
        </w:rPr>
      </w:pPr>
      <w:r>
        <w:rPr>
          <w:rFonts w:hint="eastAsia"/>
          <w:color w:val="auto"/>
          <w:szCs w:val="21"/>
          <w:highlight w:val="none"/>
          <w:lang w:eastAsia="zh-CN"/>
        </w:rPr>
        <w:t>视频在线装置监测加装项目</w:t>
      </w:r>
    </w:p>
    <w:p>
      <w:pPr>
        <w:numPr>
          <w:ilvl w:val="255"/>
          <w:numId w:val="0"/>
        </w:numPr>
        <w:spacing w:line="360" w:lineRule="auto"/>
        <w:ind w:firstLine="420" w:firstLineChars="200"/>
        <w:rPr>
          <w:color w:val="auto"/>
          <w:szCs w:val="21"/>
          <w:highlight w:val="none"/>
        </w:rPr>
      </w:pPr>
      <w:r>
        <w:rPr>
          <w:color w:val="auto"/>
          <w:szCs w:val="21"/>
          <w:highlight w:val="none"/>
        </w:rPr>
        <w:t>摄像机图像性能试验：总像素、信噪比、动态范围、码流及帧率设置功能、2D/3D降噪功能、增益控制功能、自动白平衡功能、背光补偿功能、强光抑制功能、最低照度</w:t>
      </w:r>
      <w:r>
        <w:rPr>
          <w:rFonts w:hint="eastAsia"/>
          <w:color w:val="auto"/>
          <w:szCs w:val="21"/>
          <w:highlight w:val="none"/>
          <w:lang w:eastAsia="zh-CN"/>
        </w:rPr>
        <w:t>、</w:t>
      </w:r>
      <w:r>
        <w:rPr>
          <w:rFonts w:hint="eastAsia"/>
          <w:color w:val="auto"/>
          <w:szCs w:val="21"/>
          <w:highlight w:val="none"/>
          <w:lang w:val="en-US" w:eastAsia="zh-CN"/>
        </w:rPr>
        <w:t>同步拍照能力</w:t>
      </w:r>
      <w:r>
        <w:rPr>
          <w:color w:val="auto"/>
          <w:szCs w:val="21"/>
          <w:highlight w:val="none"/>
        </w:rPr>
        <w:t>；</w:t>
      </w:r>
    </w:p>
    <w:p>
      <w:pPr>
        <w:numPr>
          <w:ilvl w:val="255"/>
          <w:numId w:val="0"/>
        </w:numPr>
        <w:tabs>
          <w:tab w:val="left" w:pos="1276"/>
        </w:tabs>
        <w:spacing w:line="360" w:lineRule="auto"/>
        <w:ind w:firstLine="420"/>
        <w:rPr>
          <w:color w:val="auto"/>
          <w:szCs w:val="21"/>
          <w:highlight w:val="none"/>
        </w:rPr>
      </w:pPr>
      <w:r>
        <w:rPr>
          <w:color w:val="auto"/>
          <w:szCs w:val="21"/>
          <w:highlight w:val="none"/>
        </w:rPr>
        <w:t>试验方法如下：</w:t>
      </w:r>
    </w:p>
    <w:p>
      <w:pPr>
        <w:numPr>
          <w:ilvl w:val="255"/>
          <w:numId w:val="0"/>
        </w:numPr>
        <w:tabs>
          <w:tab w:val="left" w:pos="1276"/>
        </w:tabs>
        <w:spacing w:line="360" w:lineRule="auto"/>
        <w:ind w:firstLine="420"/>
        <w:rPr>
          <w:color w:val="auto"/>
          <w:szCs w:val="21"/>
          <w:highlight w:val="none"/>
        </w:rPr>
      </w:pPr>
      <w:r>
        <w:rPr>
          <w:color w:val="auto"/>
          <w:szCs w:val="21"/>
          <w:highlight w:val="none"/>
        </w:rPr>
        <w:t>6.</w:t>
      </w:r>
      <w:r>
        <w:rPr>
          <w:rFonts w:hint="eastAsia"/>
          <w:color w:val="auto"/>
          <w:szCs w:val="21"/>
          <w:highlight w:val="none"/>
          <w:lang w:val="en-US" w:eastAsia="zh-CN"/>
        </w:rPr>
        <w:t>7</w:t>
      </w:r>
      <w:r>
        <w:rPr>
          <w:color w:val="auto"/>
          <w:szCs w:val="21"/>
          <w:highlight w:val="none"/>
        </w:rPr>
        <w:t>.1摄像机图像性能试验</w:t>
      </w:r>
    </w:p>
    <w:p>
      <w:pPr>
        <w:numPr>
          <w:ilvl w:val="0"/>
          <w:numId w:val="43"/>
        </w:numPr>
        <w:tabs>
          <w:tab w:val="left" w:pos="1276"/>
        </w:tabs>
        <w:spacing w:line="360" w:lineRule="auto"/>
        <w:ind w:firstLine="420"/>
        <w:rPr>
          <w:color w:val="auto"/>
          <w:szCs w:val="21"/>
          <w:highlight w:val="none"/>
        </w:rPr>
      </w:pPr>
      <w:r>
        <w:rPr>
          <w:color w:val="auto"/>
          <w:szCs w:val="21"/>
          <w:highlight w:val="none"/>
        </w:rPr>
        <w:t>总像素（分辨率）</w:t>
      </w:r>
    </w:p>
    <w:p>
      <w:pPr>
        <w:tabs>
          <w:tab w:val="left" w:pos="1276"/>
        </w:tabs>
        <w:spacing w:line="360" w:lineRule="auto"/>
        <w:ind w:firstLine="420"/>
        <w:rPr>
          <w:color w:val="auto"/>
          <w:szCs w:val="21"/>
          <w:highlight w:val="none"/>
        </w:rPr>
      </w:pPr>
      <w:r>
        <w:rPr>
          <w:color w:val="auto"/>
          <w:szCs w:val="21"/>
          <w:highlight w:val="none"/>
        </w:rPr>
        <w:t>试验方法：设置摄像机分辨率为最高分辨率，对目标靶面进行标准拍照，通过图像分析软件计算拍摄照片的像素数。</w:t>
      </w:r>
    </w:p>
    <w:p>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pPr>
        <w:numPr>
          <w:ilvl w:val="0"/>
          <w:numId w:val="43"/>
        </w:numPr>
        <w:tabs>
          <w:tab w:val="left" w:pos="1276"/>
        </w:tabs>
        <w:spacing w:line="360" w:lineRule="auto"/>
        <w:ind w:firstLine="420"/>
        <w:rPr>
          <w:color w:val="auto"/>
          <w:szCs w:val="21"/>
          <w:highlight w:val="none"/>
        </w:rPr>
      </w:pPr>
      <w:r>
        <w:rPr>
          <w:color w:val="auto"/>
          <w:szCs w:val="21"/>
          <w:highlight w:val="none"/>
        </w:rPr>
        <w:t>信噪比</w:t>
      </w:r>
    </w:p>
    <w:p>
      <w:pPr>
        <w:tabs>
          <w:tab w:val="left" w:pos="1276"/>
        </w:tabs>
        <w:spacing w:line="360" w:lineRule="auto"/>
        <w:ind w:firstLine="420"/>
        <w:rPr>
          <w:color w:val="auto"/>
          <w:szCs w:val="21"/>
          <w:highlight w:val="none"/>
        </w:rPr>
      </w:pPr>
      <w:r>
        <w:rPr>
          <w:color w:val="auto"/>
          <w:szCs w:val="21"/>
          <w:highlight w:val="none"/>
        </w:rPr>
        <w:t>试验方法：参照《GA/T 1128 安全防范视频监控高清晰度摄像机测量方法》6.6规定的试验方法搭建测试环境，控制摄像机对标准灰阶测试卡进行拍摄（灰阶测试卡可按需选择），通过图像分析软件对拍摄图片进行分析，计算信噪比。</w:t>
      </w:r>
    </w:p>
    <w:p>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pPr>
        <w:numPr>
          <w:ilvl w:val="0"/>
          <w:numId w:val="43"/>
        </w:numPr>
        <w:tabs>
          <w:tab w:val="left" w:pos="1276"/>
        </w:tabs>
        <w:spacing w:line="360" w:lineRule="auto"/>
        <w:ind w:firstLine="420"/>
        <w:rPr>
          <w:color w:val="auto"/>
          <w:szCs w:val="21"/>
          <w:highlight w:val="none"/>
        </w:rPr>
      </w:pPr>
      <w:r>
        <w:rPr>
          <w:color w:val="auto"/>
          <w:szCs w:val="21"/>
          <w:highlight w:val="none"/>
        </w:rPr>
        <w:t>动态范围</w:t>
      </w:r>
    </w:p>
    <w:p>
      <w:pPr>
        <w:tabs>
          <w:tab w:val="left" w:pos="1276"/>
        </w:tabs>
        <w:spacing w:line="360" w:lineRule="auto"/>
        <w:ind w:firstLine="420"/>
        <w:rPr>
          <w:color w:val="auto"/>
          <w:szCs w:val="21"/>
          <w:highlight w:val="none"/>
        </w:rPr>
      </w:pPr>
      <w:r>
        <w:rPr>
          <w:color w:val="auto"/>
          <w:szCs w:val="21"/>
          <w:highlight w:val="none"/>
        </w:rPr>
        <w:t>试验方法：参照《GA/T 1127安全防范视频监控摄像机通用技术要求》6.4.1.7规定的试验方法搭建测试环境，控制摄像机对标准动态范围测试卡进行拍摄，通过图像分析软件对拍摄图片进行分析，计算动态范围。</w:t>
      </w:r>
    </w:p>
    <w:p>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pPr>
        <w:numPr>
          <w:ilvl w:val="0"/>
          <w:numId w:val="43"/>
        </w:numPr>
        <w:tabs>
          <w:tab w:val="left" w:pos="1276"/>
        </w:tabs>
        <w:spacing w:line="360" w:lineRule="auto"/>
        <w:ind w:firstLine="420"/>
        <w:rPr>
          <w:color w:val="auto"/>
          <w:szCs w:val="21"/>
          <w:highlight w:val="none"/>
        </w:rPr>
      </w:pPr>
      <w:r>
        <w:rPr>
          <w:color w:val="auto"/>
          <w:szCs w:val="21"/>
          <w:highlight w:val="none"/>
        </w:rPr>
        <w:t>码流及帧率设置功能</w:t>
      </w:r>
    </w:p>
    <w:p>
      <w:pPr>
        <w:tabs>
          <w:tab w:val="left" w:pos="1276"/>
        </w:tabs>
        <w:spacing w:line="360" w:lineRule="auto"/>
        <w:ind w:firstLine="420"/>
        <w:rPr>
          <w:color w:val="auto"/>
          <w:szCs w:val="21"/>
          <w:highlight w:val="none"/>
        </w:rPr>
      </w:pPr>
      <w:r>
        <w:rPr>
          <w:color w:val="auto"/>
          <w:szCs w:val="21"/>
          <w:highlight w:val="none"/>
        </w:rPr>
        <w:t>试验方法：进入摄像机后台控制软件，查看码流及帧率设置功能。</w:t>
      </w:r>
    </w:p>
    <w:p>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pPr>
        <w:numPr>
          <w:ilvl w:val="0"/>
          <w:numId w:val="43"/>
        </w:numPr>
        <w:tabs>
          <w:tab w:val="left" w:pos="1276"/>
        </w:tabs>
        <w:spacing w:line="360" w:lineRule="auto"/>
        <w:ind w:firstLine="420"/>
        <w:rPr>
          <w:color w:val="auto"/>
          <w:szCs w:val="21"/>
          <w:highlight w:val="none"/>
        </w:rPr>
      </w:pPr>
      <w:r>
        <w:rPr>
          <w:color w:val="auto"/>
          <w:szCs w:val="21"/>
          <w:highlight w:val="none"/>
        </w:rPr>
        <w:t>2D/3D降噪功能</w:t>
      </w:r>
    </w:p>
    <w:p>
      <w:pPr>
        <w:tabs>
          <w:tab w:val="left" w:pos="1276"/>
        </w:tabs>
        <w:spacing w:line="360" w:lineRule="auto"/>
        <w:ind w:firstLine="420"/>
        <w:rPr>
          <w:color w:val="auto"/>
          <w:szCs w:val="21"/>
          <w:highlight w:val="none"/>
        </w:rPr>
      </w:pPr>
      <w:r>
        <w:rPr>
          <w:color w:val="auto"/>
          <w:szCs w:val="21"/>
          <w:highlight w:val="none"/>
        </w:rPr>
        <w:t>试验方法：进入摄像机后台控制软件，查看2D/3D降噪功能。</w:t>
      </w:r>
    </w:p>
    <w:p>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pPr>
        <w:numPr>
          <w:ilvl w:val="0"/>
          <w:numId w:val="43"/>
        </w:numPr>
        <w:tabs>
          <w:tab w:val="left" w:pos="1276"/>
        </w:tabs>
        <w:spacing w:line="360" w:lineRule="auto"/>
        <w:ind w:firstLine="420"/>
        <w:rPr>
          <w:color w:val="auto"/>
          <w:szCs w:val="21"/>
          <w:highlight w:val="none"/>
        </w:rPr>
      </w:pPr>
      <w:r>
        <w:rPr>
          <w:color w:val="auto"/>
          <w:szCs w:val="21"/>
          <w:highlight w:val="none"/>
        </w:rPr>
        <w:t>增益控制功能</w:t>
      </w:r>
    </w:p>
    <w:p>
      <w:pPr>
        <w:tabs>
          <w:tab w:val="left" w:pos="1276"/>
        </w:tabs>
        <w:spacing w:line="360" w:lineRule="auto"/>
        <w:ind w:firstLine="420"/>
        <w:rPr>
          <w:color w:val="auto"/>
          <w:szCs w:val="21"/>
          <w:highlight w:val="none"/>
        </w:rPr>
      </w:pPr>
      <w:r>
        <w:rPr>
          <w:color w:val="auto"/>
          <w:szCs w:val="21"/>
          <w:highlight w:val="none"/>
        </w:rPr>
        <w:t>试验方法：关闭摄像机自动增益功能，将摄像机正对测试卡，调整实验室灯源至昏暗环境，开启自动增益功能，观察画面亮度是否有所提升，依此判断其功能是否符合要求。</w:t>
      </w:r>
    </w:p>
    <w:p>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pPr>
        <w:numPr>
          <w:ilvl w:val="0"/>
          <w:numId w:val="43"/>
        </w:numPr>
        <w:tabs>
          <w:tab w:val="left" w:pos="1276"/>
        </w:tabs>
        <w:spacing w:line="360" w:lineRule="auto"/>
        <w:ind w:firstLine="420"/>
        <w:rPr>
          <w:color w:val="auto"/>
          <w:szCs w:val="21"/>
          <w:highlight w:val="none"/>
        </w:rPr>
      </w:pPr>
      <w:r>
        <w:rPr>
          <w:color w:val="auto"/>
          <w:szCs w:val="21"/>
          <w:highlight w:val="none"/>
        </w:rPr>
        <w:t>自动白平衡功能</w:t>
      </w:r>
    </w:p>
    <w:p>
      <w:pPr>
        <w:tabs>
          <w:tab w:val="left" w:pos="1276"/>
        </w:tabs>
        <w:spacing w:line="360" w:lineRule="auto"/>
        <w:ind w:firstLine="420"/>
        <w:rPr>
          <w:color w:val="auto"/>
          <w:szCs w:val="21"/>
          <w:highlight w:val="none"/>
        </w:rPr>
      </w:pPr>
      <w:r>
        <w:rPr>
          <w:color w:val="auto"/>
          <w:szCs w:val="21"/>
          <w:highlight w:val="none"/>
        </w:rPr>
        <w:t>试验方法：参照《GA/T 1127安全防范视频监控摄像机通用技术要求》6.3.1.2规定的试验方法搭建测试环境，将摄像机对准标准白测试卡，改变光源色温(2800K、5100K、7500K、10000K)，观察在各色温下，监视器上画面颜色是否与标准白测试卡主观感觉一致。</w:t>
      </w:r>
    </w:p>
    <w:p>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pPr>
        <w:numPr>
          <w:ilvl w:val="0"/>
          <w:numId w:val="43"/>
        </w:numPr>
        <w:tabs>
          <w:tab w:val="left" w:pos="1276"/>
        </w:tabs>
        <w:spacing w:line="360" w:lineRule="auto"/>
        <w:ind w:firstLine="420"/>
        <w:rPr>
          <w:color w:val="auto"/>
          <w:szCs w:val="21"/>
          <w:highlight w:val="none"/>
        </w:rPr>
      </w:pPr>
      <w:r>
        <w:rPr>
          <w:color w:val="auto"/>
          <w:szCs w:val="21"/>
          <w:highlight w:val="none"/>
        </w:rPr>
        <w:t>背光补偿功能</w:t>
      </w:r>
    </w:p>
    <w:p>
      <w:pPr>
        <w:tabs>
          <w:tab w:val="left" w:pos="1276"/>
        </w:tabs>
        <w:spacing w:line="360" w:lineRule="auto"/>
        <w:ind w:firstLine="420"/>
        <w:rPr>
          <w:color w:val="auto"/>
          <w:szCs w:val="21"/>
          <w:highlight w:val="none"/>
        </w:rPr>
      </w:pPr>
      <w:r>
        <w:rPr>
          <w:color w:val="auto"/>
          <w:szCs w:val="21"/>
          <w:highlight w:val="none"/>
        </w:rPr>
        <w:t>试验方法：参照《GA/T 1127安全防范视频监控摄像机通用技术要求》6.3.1.3规定的试验方法搭建测试环境，摄像机对准灯箱，采用手动光圈的镜头，将手动光圈镜头光圈开到最大。将反射式灰度测试卡或其他明暗分界清晰的参照物放在摄像机所呈现画面的中心区域，分别切换逆光补偿的开关观察景物亮度，观察前景目标景物暗面亮度是否有明显变化，依此判断其功能是否符合要求。</w:t>
      </w:r>
    </w:p>
    <w:p>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pPr>
        <w:numPr>
          <w:ilvl w:val="0"/>
          <w:numId w:val="43"/>
        </w:numPr>
        <w:tabs>
          <w:tab w:val="left" w:pos="1276"/>
        </w:tabs>
        <w:spacing w:line="360" w:lineRule="auto"/>
        <w:ind w:firstLine="420"/>
        <w:rPr>
          <w:color w:val="auto"/>
          <w:szCs w:val="21"/>
          <w:highlight w:val="none"/>
        </w:rPr>
      </w:pPr>
      <w:r>
        <w:rPr>
          <w:color w:val="auto"/>
          <w:szCs w:val="21"/>
          <w:highlight w:val="none"/>
        </w:rPr>
        <w:t>强光抑制功能</w:t>
      </w:r>
    </w:p>
    <w:p>
      <w:pPr>
        <w:tabs>
          <w:tab w:val="left" w:pos="1276"/>
        </w:tabs>
        <w:spacing w:line="360" w:lineRule="auto"/>
        <w:ind w:firstLine="420"/>
        <w:rPr>
          <w:color w:val="auto"/>
          <w:szCs w:val="21"/>
          <w:highlight w:val="none"/>
        </w:rPr>
      </w:pPr>
      <w:r>
        <w:rPr>
          <w:color w:val="auto"/>
          <w:szCs w:val="21"/>
          <w:highlight w:val="none"/>
        </w:rPr>
        <w:t>试验方法：将摄像机对准灯箱，采用手动光圈的镜头，将手动光圈镜头光圈开到最大。将明暗分界清晰的参照物放在摄像机所呈现画面的中心区域，分别切换强光抑制的开关观察景物亮度，观察前景目标景物亮面亮度是否有明显变化，依此判断其功能是否符合要求。</w:t>
      </w:r>
    </w:p>
    <w:p>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pPr>
        <w:numPr>
          <w:ilvl w:val="0"/>
          <w:numId w:val="43"/>
        </w:numPr>
        <w:tabs>
          <w:tab w:val="left" w:pos="1276"/>
        </w:tabs>
        <w:spacing w:line="360" w:lineRule="auto"/>
        <w:ind w:firstLine="420"/>
        <w:rPr>
          <w:color w:val="auto"/>
          <w:szCs w:val="21"/>
          <w:highlight w:val="none"/>
        </w:rPr>
      </w:pPr>
      <w:r>
        <w:rPr>
          <w:color w:val="auto"/>
          <w:szCs w:val="21"/>
          <w:highlight w:val="none"/>
        </w:rPr>
        <w:t>最低照度</w:t>
      </w:r>
    </w:p>
    <w:p>
      <w:pPr>
        <w:tabs>
          <w:tab w:val="left" w:pos="1276"/>
        </w:tabs>
        <w:spacing w:line="360" w:lineRule="auto"/>
        <w:ind w:firstLine="420"/>
        <w:rPr>
          <w:color w:val="auto"/>
          <w:szCs w:val="21"/>
          <w:highlight w:val="none"/>
        </w:rPr>
      </w:pPr>
      <w:r>
        <w:rPr>
          <w:color w:val="auto"/>
          <w:szCs w:val="21"/>
          <w:highlight w:val="none"/>
        </w:rPr>
        <w:t>试验方法：参照《GA/T 1128 安全防范视频监控高清晰度摄像机测量方法》6.4规定的试验方法搭建测试环境，将摄像机对准标准清晰度测试卡，不断降低测试卡照射表面照度直至本标准规定的最低照度指标，拍摄一张图片，通过观察法查看当前图片的清晰度。</w:t>
      </w:r>
    </w:p>
    <w:p>
      <w:pPr>
        <w:numPr>
          <w:ilvl w:val="255"/>
          <w:numId w:val="0"/>
        </w:numPr>
        <w:tabs>
          <w:tab w:val="left" w:pos="1276"/>
        </w:tabs>
        <w:spacing w:line="360" w:lineRule="auto"/>
        <w:ind w:firstLine="420"/>
        <w:rPr>
          <w:color w:val="auto"/>
          <w:szCs w:val="21"/>
          <w:highlight w:val="none"/>
        </w:rPr>
      </w:pPr>
      <w:r>
        <w:rPr>
          <w:color w:val="auto"/>
          <w:szCs w:val="21"/>
          <w:highlight w:val="none"/>
        </w:rPr>
        <w:t>判定准则：最低照度下拍摄图片清晰度≥500线，则判定合格，否则不合格。</w:t>
      </w:r>
    </w:p>
    <w:p>
      <w:pPr>
        <w:numPr>
          <w:ilvl w:val="255"/>
          <w:numId w:val="0"/>
        </w:numPr>
        <w:tabs>
          <w:tab w:val="left" w:pos="1276"/>
        </w:tabs>
        <w:spacing w:line="360" w:lineRule="auto"/>
        <w:ind w:firstLine="420"/>
        <w:rPr>
          <w:color w:val="auto"/>
          <w:szCs w:val="21"/>
          <w:highlight w:val="none"/>
        </w:rPr>
      </w:pPr>
    </w:p>
    <w:p>
      <w:pPr>
        <w:numPr>
          <w:ilvl w:val="255"/>
          <w:numId w:val="0"/>
        </w:numPr>
        <w:tabs>
          <w:tab w:val="left" w:pos="1276"/>
        </w:tabs>
        <w:spacing w:line="360" w:lineRule="auto"/>
        <w:ind w:firstLine="420"/>
        <w:rPr>
          <w:rFonts w:hint="eastAsia" w:ascii="Times New Roman" w:hAnsi="Times New Roman" w:eastAsia="黑体"/>
          <w:b w:val="0"/>
          <w:bCs/>
          <w:color w:val="auto"/>
          <w:sz w:val="24"/>
          <w:szCs w:val="24"/>
          <w:highlight w:val="none"/>
          <w:lang w:val="en-US" w:eastAsia="zh-CN"/>
        </w:rPr>
      </w:pPr>
    </w:p>
    <w:p>
      <w:pPr>
        <w:numPr>
          <w:ilvl w:val="255"/>
          <w:numId w:val="0"/>
        </w:numPr>
        <w:tabs>
          <w:tab w:val="left" w:pos="1276"/>
        </w:tabs>
        <w:spacing w:line="360" w:lineRule="auto"/>
        <w:ind w:firstLine="420"/>
        <w:rPr>
          <w:rFonts w:hint="eastAsia" w:ascii="Times New Roman" w:hAnsi="Times New Roman" w:eastAsia="黑体"/>
          <w:b w:val="0"/>
          <w:bCs/>
          <w:color w:val="auto"/>
          <w:sz w:val="24"/>
          <w:szCs w:val="24"/>
          <w:highlight w:val="none"/>
          <w:lang w:val="en-US" w:eastAsia="zh-CN"/>
        </w:rPr>
      </w:pPr>
      <w:r>
        <w:rPr>
          <w:rFonts w:hint="eastAsia" w:ascii="Times New Roman" w:hAnsi="Times New Roman" w:eastAsia="黑体"/>
          <w:b w:val="0"/>
          <w:bCs/>
          <w:color w:val="auto"/>
          <w:sz w:val="24"/>
          <w:szCs w:val="24"/>
          <w:highlight w:val="none"/>
          <w:lang w:val="en-US" w:eastAsia="zh-CN"/>
        </w:rPr>
        <w:t>6.8检测报告</w:t>
      </w:r>
    </w:p>
    <w:p>
      <w:pPr>
        <w:numPr>
          <w:ilvl w:val="255"/>
          <w:numId w:val="0"/>
        </w:numPr>
        <w:tabs>
          <w:tab w:val="left" w:pos="1276"/>
        </w:tabs>
        <w:spacing w:line="360" w:lineRule="auto"/>
        <w:ind w:firstLine="420"/>
        <w:rPr>
          <w:highlight w:val="none"/>
        </w:rPr>
      </w:pPr>
      <w:r>
        <w:rPr>
          <w:rFonts w:hint="eastAsia"/>
          <w:color w:val="auto"/>
          <w:highlight w:val="none"/>
          <w:lang w:val="en-US" w:eastAsia="zh-CN"/>
        </w:rPr>
        <w:t>投标方须提供本次招标所涉</w:t>
      </w:r>
      <w:r>
        <w:rPr>
          <w:rFonts w:hint="eastAsia"/>
          <w:color w:val="auto"/>
          <w:highlight w:val="none"/>
          <w:lang w:eastAsia="zh-CN"/>
        </w:rPr>
        <w:t>图像视频核心感知</w:t>
      </w:r>
      <w:r>
        <w:rPr>
          <w:rFonts w:hint="eastAsia"/>
          <w:color w:val="auto"/>
          <w:highlight w:val="none"/>
          <w:lang w:val="en-US" w:eastAsia="zh-CN"/>
        </w:rPr>
        <w:t>模组</w:t>
      </w:r>
      <w:r>
        <w:rPr>
          <w:rFonts w:hint="eastAsia"/>
          <w:color w:val="auto"/>
          <w:highlight w:val="none"/>
          <w:lang w:eastAsia="zh-CN"/>
        </w:rPr>
        <w:t>与传输单元</w:t>
      </w:r>
      <w:r>
        <w:rPr>
          <w:rFonts w:hint="eastAsia"/>
          <w:color w:val="auto"/>
          <w:highlight w:val="none"/>
          <w:lang w:val="en-US" w:eastAsia="zh-CN"/>
        </w:rPr>
        <w:t>模组由具备CMA或CNAS资质的第三方检测机构出具的有效产品委托实验报告，报告需明确载明组件检测合格且符合本次招标要求。</w:t>
      </w:r>
    </w:p>
    <w:bookmarkEnd w:id="395"/>
    <w:bookmarkEnd w:id="396"/>
    <w:p>
      <w:pPr>
        <w:spacing w:line="360" w:lineRule="auto"/>
        <w:outlineLvl w:val="0"/>
        <w:rPr>
          <w:rFonts w:eastAsia="黑体"/>
          <w:color w:val="auto"/>
          <w:sz w:val="28"/>
          <w:szCs w:val="28"/>
          <w:highlight w:val="none"/>
        </w:rPr>
      </w:pPr>
      <w:bookmarkStart w:id="397" w:name="_Toc21089"/>
      <w:bookmarkStart w:id="398" w:name="_Toc16730"/>
      <w:bookmarkStart w:id="399" w:name="_Toc10574"/>
      <w:bookmarkStart w:id="400" w:name="_Toc2054"/>
      <w:bookmarkStart w:id="401" w:name="_Toc11765"/>
      <w:bookmarkStart w:id="402" w:name="_Toc10207"/>
      <w:bookmarkStart w:id="403" w:name="_Toc17945"/>
      <w:bookmarkStart w:id="404" w:name="_Toc168869426"/>
      <w:bookmarkStart w:id="405" w:name="_Toc14493"/>
      <w:bookmarkStart w:id="406" w:name="_Toc30581"/>
      <w:bookmarkStart w:id="407" w:name="_Toc15226"/>
      <w:bookmarkStart w:id="408" w:name="_Toc13269"/>
      <w:r>
        <w:rPr>
          <w:rFonts w:eastAsia="黑体"/>
          <w:color w:val="auto"/>
          <w:sz w:val="28"/>
          <w:szCs w:val="28"/>
          <w:highlight w:val="none"/>
        </w:rPr>
        <w:t>7 检验规则</w:t>
      </w:r>
      <w:bookmarkEnd w:id="390"/>
      <w:bookmarkEnd w:id="391"/>
      <w:bookmarkEnd w:id="392"/>
      <w:bookmarkEnd w:id="393"/>
      <w:bookmarkEnd w:id="394"/>
      <w:bookmarkEnd w:id="397"/>
      <w:bookmarkEnd w:id="398"/>
      <w:bookmarkEnd w:id="399"/>
      <w:bookmarkEnd w:id="400"/>
      <w:bookmarkEnd w:id="401"/>
      <w:bookmarkEnd w:id="402"/>
      <w:bookmarkEnd w:id="403"/>
      <w:bookmarkEnd w:id="404"/>
      <w:bookmarkEnd w:id="405"/>
      <w:bookmarkEnd w:id="406"/>
      <w:bookmarkEnd w:id="407"/>
      <w:bookmarkEnd w:id="408"/>
    </w:p>
    <w:p>
      <w:pPr>
        <w:pStyle w:val="97"/>
        <w:spacing w:line="360" w:lineRule="auto"/>
        <w:ind w:firstLine="420" w:firstLineChars="200"/>
        <w:rPr>
          <w:rFonts w:eastAsia="黑体"/>
          <w:color w:val="auto"/>
          <w:sz w:val="28"/>
          <w:szCs w:val="28"/>
          <w:highlight w:val="none"/>
        </w:rPr>
      </w:pPr>
      <w:r>
        <w:rPr>
          <w:color w:val="auto"/>
          <w:highlight w:val="none"/>
        </w:rPr>
        <w:t>装置检验分为</w:t>
      </w:r>
      <w:r>
        <w:rPr>
          <w:rFonts w:hint="eastAsia"/>
          <w:color w:val="auto"/>
          <w:highlight w:val="none"/>
          <w:lang w:val="en-US" w:eastAsia="zh-CN"/>
        </w:rPr>
        <w:t>委托</w:t>
      </w:r>
      <w:r>
        <w:rPr>
          <w:color w:val="auto"/>
          <w:highlight w:val="none"/>
        </w:rPr>
        <w:t>试验、出厂检验、送样检测、到货抽检、交接试验试验五类、试验项目按表2所列规定执行，检验报告应具有试验方法、试验过程数据和试验结论。</w:t>
      </w:r>
    </w:p>
    <w:p>
      <w:pPr>
        <w:spacing w:line="360" w:lineRule="auto"/>
        <w:jc w:val="center"/>
        <w:rPr>
          <w:rFonts w:eastAsia="黑体"/>
          <w:color w:val="auto"/>
          <w:sz w:val="28"/>
          <w:szCs w:val="28"/>
          <w:highlight w:val="none"/>
        </w:rPr>
      </w:pPr>
      <w:r>
        <w:rPr>
          <w:rStyle w:val="98"/>
          <w:color w:val="auto"/>
          <w:szCs w:val="21"/>
          <w:highlight w:val="none"/>
        </w:rPr>
        <w:t xml:space="preserve">表2 </w:t>
      </w:r>
      <w:r>
        <w:rPr>
          <w:rStyle w:val="98"/>
          <w:rFonts w:hint="eastAsia"/>
          <w:color w:val="auto"/>
          <w:szCs w:val="21"/>
          <w:highlight w:val="none"/>
          <w:lang w:eastAsia="zh-CN"/>
        </w:rPr>
        <w:t>图像视频核心感知</w:t>
      </w:r>
      <w:r>
        <w:rPr>
          <w:rStyle w:val="98"/>
          <w:rFonts w:hint="eastAsia"/>
          <w:color w:val="auto"/>
          <w:szCs w:val="21"/>
          <w:highlight w:val="none"/>
          <w:lang w:val="en-US" w:eastAsia="zh-CN"/>
        </w:rPr>
        <w:t>模组</w:t>
      </w:r>
      <w:r>
        <w:rPr>
          <w:rStyle w:val="98"/>
          <w:rFonts w:hint="eastAsia"/>
          <w:color w:val="auto"/>
          <w:szCs w:val="21"/>
          <w:highlight w:val="none"/>
          <w:lang w:eastAsia="zh-CN"/>
        </w:rPr>
        <w:t>与传输单元</w:t>
      </w:r>
      <w:r>
        <w:rPr>
          <w:rStyle w:val="98"/>
          <w:rFonts w:hint="eastAsia"/>
          <w:color w:val="auto"/>
          <w:szCs w:val="21"/>
          <w:highlight w:val="none"/>
          <w:lang w:val="en-US" w:eastAsia="zh-CN"/>
        </w:rPr>
        <w:t>模组技术</w:t>
      </w:r>
      <w:r>
        <w:rPr>
          <w:rStyle w:val="98"/>
          <w:color w:val="auto"/>
          <w:szCs w:val="21"/>
          <w:highlight w:val="none"/>
        </w:rPr>
        <w:t>检验项目</w:t>
      </w:r>
    </w:p>
    <w:tbl>
      <w:tblPr>
        <w:tblStyle w:val="57"/>
        <w:tblW w:w="9276" w:type="dxa"/>
        <w:tblInd w:w="0" w:type="dxa"/>
        <w:tblLayout w:type="fixed"/>
        <w:tblCellMar>
          <w:top w:w="0" w:type="dxa"/>
          <w:left w:w="108" w:type="dxa"/>
          <w:bottom w:w="0" w:type="dxa"/>
          <w:right w:w="108" w:type="dxa"/>
        </w:tblCellMar>
      </w:tblPr>
      <w:tblGrid>
        <w:gridCol w:w="686"/>
        <w:gridCol w:w="1369"/>
        <w:gridCol w:w="3128"/>
        <w:gridCol w:w="788"/>
        <w:gridCol w:w="659"/>
        <w:gridCol w:w="659"/>
        <w:gridCol w:w="659"/>
        <w:gridCol w:w="659"/>
        <w:gridCol w:w="669"/>
      </w:tblGrid>
      <w:tr>
        <w:tblPrEx>
          <w:tblCellMar>
            <w:top w:w="0" w:type="dxa"/>
            <w:left w:w="108" w:type="dxa"/>
            <w:bottom w:w="0" w:type="dxa"/>
            <w:right w:w="108" w:type="dxa"/>
          </w:tblCellMar>
        </w:tblPrEx>
        <w:trPr>
          <w:trHeight w:val="312"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bookmarkStart w:id="409" w:name="_Toc265313594"/>
            <w:r>
              <w:rPr>
                <w:color w:val="auto"/>
                <w:kern w:val="0"/>
                <w:sz w:val="18"/>
                <w:szCs w:val="18"/>
                <w:highlight w:val="none"/>
                <w:lang w:bidi="ar"/>
              </w:rPr>
              <w:t>序号</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试验项目分类</w:t>
            </w:r>
          </w:p>
        </w:tc>
        <w:tc>
          <w:tcPr>
            <w:tcW w:w="31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检验项目</w:t>
            </w: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依据条款</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rFonts w:hint="eastAsia"/>
                <w:color w:val="auto"/>
                <w:kern w:val="0"/>
                <w:sz w:val="18"/>
                <w:szCs w:val="18"/>
                <w:highlight w:val="none"/>
                <w:lang w:val="en-US" w:eastAsia="zh-CN" w:bidi="ar"/>
              </w:rPr>
              <w:t>委托</w:t>
            </w:r>
            <w:r>
              <w:rPr>
                <w:color w:val="auto"/>
                <w:kern w:val="0"/>
                <w:sz w:val="18"/>
                <w:szCs w:val="18"/>
                <w:highlight w:val="none"/>
                <w:lang w:bidi="ar"/>
              </w:rPr>
              <w:t>试验</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出厂试验</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送样检测</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到货抽检</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交接试验</w:t>
            </w:r>
          </w:p>
        </w:tc>
      </w:tr>
      <w:tr>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r>
      <w:tr>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r>
      <w:tr>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sz w:val="18"/>
                <w:szCs w:val="18"/>
                <w:highlight w:val="none"/>
                <w:lang w:val="en-US" w:eastAsia="zh-CN"/>
              </w:rPr>
              <w:t>1</w:t>
            </w:r>
          </w:p>
        </w:tc>
        <w:tc>
          <w:tcPr>
            <w:tcW w:w="1369"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电磁兼容试验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静电放电抗扰度试验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6.</w:t>
            </w:r>
            <w:r>
              <w:rPr>
                <w:rFonts w:hint="eastAsia"/>
                <w:color w:val="auto"/>
                <w:kern w:val="0"/>
                <w:sz w:val="18"/>
                <w:szCs w:val="18"/>
                <w:highlight w:val="none"/>
                <w:lang w:val="en-US" w:eastAsia="zh-CN" w:bidi="ar"/>
              </w:rPr>
              <w:t>3</w:t>
            </w:r>
            <w:r>
              <w:rPr>
                <w:color w:val="auto"/>
                <w:kern w:val="0"/>
                <w:sz w:val="18"/>
                <w:szCs w:val="18"/>
                <w:highlight w:val="none"/>
                <w:lang w:bidi="ar"/>
              </w:rPr>
              <w:t>.1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sz w:val="18"/>
                <w:szCs w:val="18"/>
                <w:highlight w:val="none"/>
                <w:lang w:val="en-US" w:eastAsia="zh-CN"/>
              </w:rPr>
              <w:t>2</w:t>
            </w:r>
          </w:p>
        </w:tc>
        <w:tc>
          <w:tcPr>
            <w:tcW w:w="1369" w:type="dxa"/>
            <w:vMerge w:val="continue"/>
            <w:tcBorders>
              <w:left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射频电磁场辐射抗扰度试验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color w:val="auto"/>
                <w:sz w:val="18"/>
                <w:szCs w:val="18"/>
                <w:highlight w:val="none"/>
              </w:rPr>
            </w:pPr>
            <w:r>
              <w:rPr>
                <w:color w:val="auto"/>
                <w:kern w:val="0"/>
                <w:sz w:val="18"/>
                <w:szCs w:val="18"/>
                <w:highlight w:val="none"/>
                <w:lang w:bidi="ar"/>
              </w:rPr>
              <w:t>6.</w:t>
            </w:r>
            <w:r>
              <w:rPr>
                <w:rFonts w:hint="eastAsia"/>
                <w:color w:val="auto"/>
                <w:kern w:val="0"/>
                <w:sz w:val="18"/>
                <w:szCs w:val="18"/>
                <w:highlight w:val="none"/>
                <w:lang w:val="en-US" w:eastAsia="zh-CN" w:bidi="ar"/>
              </w:rPr>
              <w:t>3</w:t>
            </w:r>
            <w:r>
              <w:rPr>
                <w:color w:val="auto"/>
                <w:kern w:val="0"/>
                <w:sz w:val="18"/>
                <w:szCs w:val="18"/>
                <w:highlight w:val="none"/>
                <w:lang w:bidi="ar"/>
              </w:rPr>
              <w:t>.2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sz w:val="18"/>
                <w:szCs w:val="18"/>
                <w:highlight w:val="none"/>
                <w:lang w:val="en-US" w:eastAsia="zh-CN"/>
              </w:rPr>
              <w:t>3</w:t>
            </w:r>
          </w:p>
        </w:tc>
        <w:tc>
          <w:tcPr>
            <w:tcW w:w="1369" w:type="dxa"/>
            <w:vMerge w:val="continue"/>
            <w:tcBorders>
              <w:left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电快速瞬变脉冲群抗扰度试验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color w:val="auto"/>
                <w:sz w:val="18"/>
                <w:szCs w:val="18"/>
                <w:highlight w:val="none"/>
              </w:rPr>
            </w:pPr>
            <w:r>
              <w:rPr>
                <w:color w:val="auto"/>
                <w:kern w:val="0"/>
                <w:sz w:val="18"/>
                <w:szCs w:val="18"/>
                <w:highlight w:val="none"/>
                <w:lang w:bidi="ar"/>
              </w:rPr>
              <w:t>6.</w:t>
            </w:r>
            <w:r>
              <w:rPr>
                <w:rFonts w:hint="eastAsia"/>
                <w:color w:val="auto"/>
                <w:kern w:val="0"/>
                <w:sz w:val="18"/>
                <w:szCs w:val="18"/>
                <w:highlight w:val="none"/>
                <w:lang w:val="en-US" w:eastAsia="zh-CN" w:bidi="ar"/>
              </w:rPr>
              <w:t>3</w:t>
            </w:r>
            <w:r>
              <w:rPr>
                <w:color w:val="auto"/>
                <w:kern w:val="0"/>
                <w:sz w:val="18"/>
                <w:szCs w:val="18"/>
                <w:highlight w:val="none"/>
                <w:lang w:bidi="ar"/>
              </w:rPr>
              <w:t>.3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sz w:val="18"/>
                <w:szCs w:val="18"/>
                <w:highlight w:val="none"/>
                <w:lang w:val="en-US" w:eastAsia="zh-CN"/>
              </w:rPr>
              <w:t>4</w:t>
            </w:r>
          </w:p>
        </w:tc>
        <w:tc>
          <w:tcPr>
            <w:tcW w:w="1369" w:type="dxa"/>
            <w:vMerge w:val="continue"/>
            <w:tcBorders>
              <w:left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浪涌（冲击）抗扰度试验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color w:val="auto"/>
                <w:sz w:val="18"/>
                <w:szCs w:val="18"/>
                <w:highlight w:val="none"/>
              </w:rPr>
            </w:pPr>
            <w:r>
              <w:rPr>
                <w:color w:val="auto"/>
                <w:kern w:val="0"/>
                <w:sz w:val="18"/>
                <w:szCs w:val="18"/>
                <w:highlight w:val="none"/>
                <w:lang w:bidi="ar"/>
              </w:rPr>
              <w:t>6.</w:t>
            </w:r>
            <w:r>
              <w:rPr>
                <w:rFonts w:hint="eastAsia"/>
                <w:color w:val="auto"/>
                <w:kern w:val="0"/>
                <w:sz w:val="18"/>
                <w:szCs w:val="18"/>
                <w:highlight w:val="none"/>
                <w:lang w:val="en-US" w:eastAsia="zh-CN" w:bidi="ar"/>
              </w:rPr>
              <w:t>3</w:t>
            </w:r>
            <w:r>
              <w:rPr>
                <w:color w:val="auto"/>
                <w:kern w:val="0"/>
                <w:sz w:val="18"/>
                <w:szCs w:val="18"/>
                <w:highlight w:val="none"/>
                <w:lang w:bidi="ar"/>
              </w:rPr>
              <w:t>.4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kern w:val="0"/>
                <w:sz w:val="18"/>
                <w:szCs w:val="18"/>
                <w:highlight w:val="none"/>
                <w:lang w:val="en-US" w:eastAsia="zh-CN" w:bidi="ar"/>
              </w:rPr>
              <w:t>5</w:t>
            </w:r>
          </w:p>
        </w:tc>
        <w:tc>
          <w:tcPr>
            <w:tcW w:w="1369" w:type="dxa"/>
            <w:vMerge w:val="continue"/>
            <w:tcBorders>
              <w:left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工频磁场抗扰度试验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color w:val="auto"/>
                <w:sz w:val="18"/>
                <w:szCs w:val="18"/>
                <w:highlight w:val="none"/>
              </w:rPr>
            </w:pPr>
            <w:r>
              <w:rPr>
                <w:color w:val="auto"/>
                <w:kern w:val="0"/>
                <w:sz w:val="18"/>
                <w:szCs w:val="18"/>
                <w:highlight w:val="none"/>
                <w:lang w:bidi="ar"/>
              </w:rPr>
              <w:t>6.</w:t>
            </w:r>
            <w:r>
              <w:rPr>
                <w:rFonts w:hint="eastAsia"/>
                <w:color w:val="auto"/>
                <w:kern w:val="0"/>
                <w:sz w:val="18"/>
                <w:szCs w:val="18"/>
                <w:highlight w:val="none"/>
                <w:lang w:val="en-US" w:eastAsia="zh-CN" w:bidi="ar"/>
              </w:rPr>
              <w:t>3</w:t>
            </w:r>
            <w:r>
              <w:rPr>
                <w:color w:val="auto"/>
                <w:kern w:val="0"/>
                <w:sz w:val="18"/>
                <w:szCs w:val="18"/>
                <w:highlight w:val="none"/>
                <w:lang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kern w:val="0"/>
                <w:sz w:val="18"/>
                <w:szCs w:val="18"/>
                <w:highlight w:val="none"/>
                <w:lang w:val="en-US" w:eastAsia="zh-CN" w:bidi="ar"/>
              </w:rPr>
              <w:t>6</w:t>
            </w:r>
          </w:p>
        </w:tc>
        <w:tc>
          <w:tcPr>
            <w:tcW w:w="1369" w:type="dxa"/>
            <w:vMerge w:val="continue"/>
            <w:tcBorders>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脉冲磁场抗扰度试验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6.</w:t>
            </w:r>
            <w:r>
              <w:rPr>
                <w:rFonts w:hint="eastAsia"/>
                <w:color w:val="auto"/>
                <w:kern w:val="0"/>
                <w:sz w:val="18"/>
                <w:szCs w:val="18"/>
                <w:highlight w:val="none"/>
                <w:lang w:val="en-US" w:eastAsia="zh-CN" w:bidi="ar"/>
              </w:rPr>
              <w:t>3</w:t>
            </w:r>
            <w:r>
              <w:rPr>
                <w:color w:val="auto"/>
                <w:kern w:val="0"/>
                <w:sz w:val="18"/>
                <w:szCs w:val="18"/>
                <w:highlight w:val="none"/>
                <w:lang w:bidi="ar"/>
              </w:rPr>
              <w:t>.6</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kern w:val="0"/>
                <w:sz w:val="18"/>
                <w:szCs w:val="18"/>
                <w:highlight w:val="none"/>
                <w:lang w:val="en-US" w:eastAsia="zh-CN" w:bidi="ar"/>
              </w:rPr>
              <w:t>7</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环境试验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低温试验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color w:val="auto"/>
                <w:sz w:val="18"/>
                <w:szCs w:val="18"/>
                <w:highlight w:val="none"/>
              </w:rPr>
            </w:pPr>
            <w:r>
              <w:rPr>
                <w:color w:val="auto"/>
                <w:kern w:val="0"/>
                <w:sz w:val="18"/>
                <w:szCs w:val="18"/>
                <w:highlight w:val="none"/>
                <w:lang w:bidi="ar"/>
              </w:rPr>
              <w:t>6.</w:t>
            </w:r>
            <w:r>
              <w:rPr>
                <w:rFonts w:hint="eastAsia"/>
                <w:color w:val="auto"/>
                <w:kern w:val="0"/>
                <w:sz w:val="18"/>
                <w:szCs w:val="18"/>
                <w:highlight w:val="none"/>
                <w:lang w:val="en-US" w:eastAsia="zh-CN" w:bidi="ar"/>
              </w:rPr>
              <w:t>4</w:t>
            </w:r>
            <w:r>
              <w:rPr>
                <w:color w:val="auto"/>
                <w:kern w:val="0"/>
                <w:sz w:val="18"/>
                <w:szCs w:val="18"/>
                <w:highlight w:val="none"/>
                <w:lang w:bidi="ar"/>
              </w:rPr>
              <w:t>.1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kern w:val="0"/>
                <w:sz w:val="18"/>
                <w:szCs w:val="18"/>
                <w:highlight w:val="none"/>
                <w:lang w:val="en-US" w:eastAsia="zh-CN" w:bidi="ar"/>
              </w:rPr>
              <w:t>8</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高温试验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color w:val="auto"/>
                <w:sz w:val="18"/>
                <w:szCs w:val="18"/>
                <w:highlight w:val="none"/>
              </w:rPr>
            </w:pPr>
            <w:r>
              <w:rPr>
                <w:color w:val="auto"/>
                <w:kern w:val="0"/>
                <w:sz w:val="18"/>
                <w:szCs w:val="18"/>
                <w:highlight w:val="none"/>
                <w:lang w:bidi="ar"/>
              </w:rPr>
              <w:t>6.</w:t>
            </w:r>
            <w:r>
              <w:rPr>
                <w:rFonts w:hint="eastAsia"/>
                <w:color w:val="auto"/>
                <w:kern w:val="0"/>
                <w:sz w:val="18"/>
                <w:szCs w:val="18"/>
                <w:highlight w:val="none"/>
                <w:lang w:val="en-US" w:eastAsia="zh-CN" w:bidi="ar"/>
              </w:rPr>
              <w:t>4</w:t>
            </w:r>
            <w:r>
              <w:rPr>
                <w:color w:val="auto"/>
                <w:kern w:val="0"/>
                <w:sz w:val="18"/>
                <w:szCs w:val="18"/>
                <w:highlight w:val="none"/>
                <w:lang w:bidi="ar"/>
              </w:rPr>
              <w:t>.2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sz w:val="18"/>
                <w:szCs w:val="18"/>
                <w:highlight w:val="none"/>
                <w:lang w:val="en-US" w:eastAsia="zh-CN"/>
              </w:rPr>
            </w:pPr>
            <w:r>
              <w:rPr>
                <w:rFonts w:hint="eastAsia"/>
                <w:color w:val="auto"/>
                <w:kern w:val="0"/>
                <w:sz w:val="18"/>
                <w:szCs w:val="18"/>
                <w:highlight w:val="none"/>
                <w:lang w:val="en-US" w:eastAsia="zh-CN" w:bidi="ar"/>
              </w:rPr>
              <w:t>9</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交变湿热试验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color w:val="auto"/>
                <w:sz w:val="18"/>
                <w:szCs w:val="18"/>
                <w:highlight w:val="none"/>
              </w:rPr>
            </w:pPr>
            <w:r>
              <w:rPr>
                <w:color w:val="auto"/>
                <w:kern w:val="0"/>
                <w:sz w:val="18"/>
                <w:szCs w:val="18"/>
                <w:highlight w:val="none"/>
                <w:lang w:bidi="ar"/>
              </w:rPr>
              <w:t>6.</w:t>
            </w:r>
            <w:r>
              <w:rPr>
                <w:rFonts w:hint="eastAsia"/>
                <w:color w:val="auto"/>
                <w:kern w:val="0"/>
                <w:sz w:val="18"/>
                <w:szCs w:val="18"/>
                <w:highlight w:val="none"/>
                <w:lang w:val="en-US" w:eastAsia="zh-CN" w:bidi="ar"/>
              </w:rPr>
              <w:t>4</w:t>
            </w:r>
            <w:r>
              <w:rPr>
                <w:color w:val="auto"/>
                <w:kern w:val="0"/>
                <w:sz w:val="18"/>
                <w:szCs w:val="18"/>
                <w:highlight w:val="none"/>
                <w:lang w:bidi="ar"/>
              </w:rPr>
              <w:t>.3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sz w:val="18"/>
                <w:szCs w:val="18"/>
                <w:highlight w:val="none"/>
                <w:lang w:val="en-US" w:eastAsia="zh-CN"/>
              </w:rPr>
            </w:pPr>
            <w:r>
              <w:rPr>
                <w:rFonts w:hint="eastAsia"/>
                <w:color w:val="auto"/>
                <w:kern w:val="0"/>
                <w:sz w:val="18"/>
                <w:szCs w:val="18"/>
                <w:highlight w:val="none"/>
                <w:lang w:val="en-US" w:eastAsia="zh-CN" w:bidi="ar"/>
              </w:rPr>
              <w:t>10</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低温覆冰试验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color w:val="auto"/>
                <w:sz w:val="18"/>
                <w:szCs w:val="18"/>
                <w:highlight w:val="none"/>
              </w:rPr>
            </w:pPr>
            <w:r>
              <w:rPr>
                <w:color w:val="auto"/>
                <w:kern w:val="0"/>
                <w:sz w:val="18"/>
                <w:szCs w:val="18"/>
                <w:highlight w:val="none"/>
                <w:lang w:bidi="ar"/>
              </w:rPr>
              <w:t>6.</w:t>
            </w:r>
            <w:r>
              <w:rPr>
                <w:rFonts w:hint="eastAsia"/>
                <w:color w:val="auto"/>
                <w:kern w:val="0"/>
                <w:sz w:val="18"/>
                <w:szCs w:val="18"/>
                <w:highlight w:val="none"/>
                <w:lang w:val="en-US" w:eastAsia="zh-CN" w:bidi="ar"/>
              </w:rPr>
              <w:t>4</w:t>
            </w:r>
            <w:r>
              <w:rPr>
                <w:color w:val="auto"/>
                <w:kern w:val="0"/>
                <w:sz w:val="18"/>
                <w:szCs w:val="18"/>
                <w:highlight w:val="none"/>
                <w:lang w:bidi="ar"/>
              </w:rPr>
              <w:t>.4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sz w:val="18"/>
                <w:szCs w:val="18"/>
                <w:highlight w:val="none"/>
                <w:lang w:val="en-US" w:eastAsia="zh-CN"/>
              </w:rPr>
            </w:pPr>
            <w:r>
              <w:rPr>
                <w:rFonts w:hint="eastAsia"/>
                <w:color w:val="auto"/>
                <w:kern w:val="0"/>
                <w:sz w:val="18"/>
                <w:szCs w:val="18"/>
                <w:highlight w:val="none"/>
                <w:lang w:val="en-US" w:eastAsia="zh-CN" w:bidi="ar"/>
              </w:rPr>
              <w:t>11</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机械性能试验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振动试验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color w:val="auto"/>
                <w:sz w:val="18"/>
                <w:szCs w:val="18"/>
                <w:highlight w:val="none"/>
              </w:rPr>
            </w:pPr>
            <w:r>
              <w:rPr>
                <w:color w:val="auto"/>
                <w:kern w:val="0"/>
                <w:sz w:val="18"/>
                <w:szCs w:val="18"/>
                <w:highlight w:val="none"/>
                <w:lang w:bidi="ar"/>
              </w:rPr>
              <w:t>6.</w:t>
            </w:r>
            <w:r>
              <w:rPr>
                <w:rFonts w:hint="eastAsia"/>
                <w:color w:val="auto"/>
                <w:kern w:val="0"/>
                <w:sz w:val="18"/>
                <w:szCs w:val="18"/>
                <w:highlight w:val="none"/>
                <w:lang w:val="en-US" w:eastAsia="zh-CN" w:bidi="ar"/>
              </w:rPr>
              <w:t>5</w:t>
            </w:r>
            <w:r>
              <w:rPr>
                <w:color w:val="auto"/>
                <w:kern w:val="0"/>
                <w:sz w:val="18"/>
                <w:szCs w:val="18"/>
                <w:highlight w:val="none"/>
                <w:lang w:bidi="ar"/>
              </w:rPr>
              <w:t>.1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color w:val="auto"/>
                <w:kern w:val="0"/>
                <w:sz w:val="18"/>
                <w:szCs w:val="18"/>
                <w:highlight w:val="none"/>
                <w:lang w:bidi="ar"/>
              </w:rPr>
              <w:t>1</w:t>
            </w:r>
            <w:r>
              <w:rPr>
                <w:rFonts w:hint="eastAsia"/>
                <w:color w:val="auto"/>
                <w:kern w:val="0"/>
                <w:sz w:val="18"/>
                <w:szCs w:val="18"/>
                <w:highlight w:val="none"/>
                <w:lang w:val="en-US" w:eastAsia="zh-CN" w:bidi="ar"/>
              </w:rPr>
              <w:t>2</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碰撞试验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color w:val="auto"/>
                <w:sz w:val="18"/>
                <w:szCs w:val="18"/>
                <w:highlight w:val="none"/>
              </w:rPr>
            </w:pPr>
            <w:r>
              <w:rPr>
                <w:color w:val="auto"/>
                <w:kern w:val="0"/>
                <w:sz w:val="18"/>
                <w:szCs w:val="18"/>
                <w:highlight w:val="none"/>
                <w:lang w:bidi="ar"/>
              </w:rPr>
              <w:t>6.</w:t>
            </w:r>
            <w:r>
              <w:rPr>
                <w:rFonts w:hint="eastAsia"/>
                <w:color w:val="auto"/>
                <w:kern w:val="0"/>
                <w:sz w:val="18"/>
                <w:szCs w:val="18"/>
                <w:highlight w:val="none"/>
                <w:lang w:val="en-US" w:eastAsia="zh-CN" w:bidi="ar"/>
              </w:rPr>
              <w:t>5</w:t>
            </w:r>
            <w:r>
              <w:rPr>
                <w:color w:val="auto"/>
                <w:kern w:val="0"/>
                <w:sz w:val="18"/>
                <w:szCs w:val="18"/>
                <w:highlight w:val="none"/>
                <w:lang w:bidi="ar"/>
              </w:rPr>
              <w:t>.2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90"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color w:val="auto"/>
                <w:kern w:val="0"/>
                <w:sz w:val="18"/>
                <w:szCs w:val="18"/>
                <w:highlight w:val="none"/>
                <w:lang w:val="en-US" w:eastAsia="zh-CN" w:bidi="ar"/>
              </w:rPr>
            </w:pPr>
            <w:r>
              <w:rPr>
                <w:rFonts w:hint="eastAsia"/>
                <w:color w:val="auto"/>
                <w:kern w:val="0"/>
                <w:sz w:val="18"/>
                <w:szCs w:val="18"/>
                <w:highlight w:val="none"/>
                <w:lang w:val="en-US" w:eastAsia="zh-CN" w:bidi="ar"/>
              </w:rPr>
              <w:t>13</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性能及功耗试验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性能及功耗试验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color w:val="auto"/>
                <w:kern w:val="0"/>
                <w:sz w:val="18"/>
                <w:szCs w:val="18"/>
                <w:highlight w:val="none"/>
                <w:lang w:val="en-US" w:eastAsia="zh-CN" w:bidi="ar"/>
              </w:rPr>
            </w:pPr>
            <w:r>
              <w:rPr>
                <w:rFonts w:hint="eastAsia"/>
                <w:color w:val="auto"/>
                <w:kern w:val="0"/>
                <w:sz w:val="18"/>
                <w:szCs w:val="18"/>
                <w:highlight w:val="none"/>
                <w:lang w:val="en-US" w:eastAsia="zh-CN" w:bidi="ar"/>
              </w:rPr>
              <w:t>6.6</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r>
      <w:tr>
        <w:tblPrEx>
          <w:tblCellMar>
            <w:top w:w="0" w:type="dxa"/>
            <w:left w:w="108" w:type="dxa"/>
            <w:bottom w:w="0" w:type="dxa"/>
            <w:right w:w="108" w:type="dxa"/>
          </w:tblCellMar>
        </w:tblPrEx>
        <w:trPr>
          <w:trHeight w:val="90" w:hRule="atLeast"/>
        </w:trPr>
        <w:tc>
          <w:tcPr>
            <w:tcW w:w="686" w:type="dxa"/>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kern w:val="0"/>
                <w:sz w:val="18"/>
                <w:szCs w:val="18"/>
                <w:highlight w:val="none"/>
                <w:lang w:val="en-US" w:eastAsia="zh-CN" w:bidi="ar"/>
              </w:rPr>
            </w:pPr>
            <w:r>
              <w:rPr>
                <w:rFonts w:hint="eastAsia"/>
                <w:color w:val="auto"/>
                <w:kern w:val="0"/>
                <w:sz w:val="18"/>
                <w:szCs w:val="18"/>
                <w:highlight w:val="none"/>
                <w:lang w:val="en-US" w:eastAsia="zh-CN" w:bidi="ar"/>
              </w:rPr>
              <w:t>15</w:t>
            </w:r>
          </w:p>
        </w:tc>
        <w:tc>
          <w:tcPr>
            <w:tcW w:w="1369" w:type="dxa"/>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rFonts w:hint="eastAsia" w:cs="Times New Roman"/>
                <w:color w:val="auto"/>
                <w:kern w:val="0"/>
                <w:sz w:val="18"/>
                <w:szCs w:val="18"/>
                <w:highlight w:val="none"/>
                <w:lang w:val="en-US" w:eastAsia="zh-CN" w:bidi="ar"/>
              </w:rPr>
              <w:t>测量有效性试验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可见光相机功能及性能试验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kern w:val="0"/>
                <w:sz w:val="18"/>
                <w:szCs w:val="18"/>
                <w:highlight w:val="none"/>
                <w:lang w:val="en-US" w:eastAsia="zh-CN" w:bidi="ar"/>
              </w:rPr>
            </w:pPr>
            <w:r>
              <w:rPr>
                <w:color w:val="auto"/>
                <w:kern w:val="0"/>
                <w:sz w:val="18"/>
                <w:szCs w:val="18"/>
                <w:highlight w:val="none"/>
                <w:lang w:bidi="ar"/>
              </w:rPr>
              <w:t>6.</w:t>
            </w:r>
            <w:r>
              <w:rPr>
                <w:rFonts w:hint="eastAsia"/>
                <w:color w:val="auto"/>
                <w:kern w:val="0"/>
                <w:sz w:val="18"/>
                <w:szCs w:val="18"/>
                <w:highlight w:val="none"/>
                <w:lang w:val="en-US" w:eastAsia="zh-CN" w:bidi="ar"/>
              </w:rPr>
              <w:t>7</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tblPrEx>
          <w:tblCellMar>
            <w:top w:w="0" w:type="dxa"/>
            <w:left w:w="108" w:type="dxa"/>
            <w:bottom w:w="0" w:type="dxa"/>
            <w:right w:w="108" w:type="dxa"/>
          </w:tblCellMar>
        </w:tblPrEx>
        <w:trPr>
          <w:trHeight w:val="90" w:hRule="atLeast"/>
        </w:trPr>
        <w:tc>
          <w:tcPr>
            <w:tcW w:w="686" w:type="dxa"/>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color w:val="auto"/>
                <w:kern w:val="0"/>
                <w:sz w:val="18"/>
                <w:szCs w:val="18"/>
                <w:highlight w:val="none"/>
                <w:lang w:val="en-US" w:eastAsia="zh-CN" w:bidi="ar"/>
              </w:rPr>
            </w:pPr>
            <w:r>
              <w:rPr>
                <w:rFonts w:hint="eastAsia"/>
                <w:color w:val="auto"/>
                <w:kern w:val="0"/>
                <w:sz w:val="18"/>
                <w:szCs w:val="18"/>
                <w:highlight w:val="none"/>
                <w:lang w:val="en-US" w:eastAsia="zh-CN" w:bidi="ar"/>
              </w:rPr>
              <w:t>16</w:t>
            </w:r>
          </w:p>
        </w:tc>
        <w:tc>
          <w:tcPr>
            <w:tcW w:w="1369" w:type="dxa"/>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cs="Times New Roman"/>
                <w:color w:val="auto"/>
                <w:kern w:val="0"/>
                <w:sz w:val="18"/>
                <w:szCs w:val="18"/>
                <w:highlight w:val="none"/>
                <w:lang w:val="en-US" w:eastAsia="zh-CN" w:bidi="ar"/>
              </w:rPr>
            </w:pPr>
            <w:r>
              <w:rPr>
                <w:rFonts w:hint="eastAsia" w:cs="Times New Roman"/>
                <w:color w:val="auto"/>
                <w:kern w:val="0"/>
                <w:sz w:val="18"/>
                <w:szCs w:val="18"/>
                <w:highlight w:val="none"/>
                <w:lang w:val="en-US" w:eastAsia="zh-CN" w:bidi="ar"/>
              </w:rPr>
              <w:t>检测报告</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kern w:val="0"/>
                <w:sz w:val="18"/>
                <w:szCs w:val="18"/>
                <w:highlight w:val="none"/>
                <w:lang w:val="en-US" w:eastAsia="zh-CN" w:bidi="ar"/>
              </w:rPr>
            </w:pPr>
            <w:r>
              <w:rPr>
                <w:rFonts w:hint="eastAsia"/>
                <w:color w:val="auto"/>
                <w:kern w:val="0"/>
                <w:sz w:val="18"/>
                <w:szCs w:val="18"/>
                <w:highlight w:val="none"/>
                <w:lang w:val="en-US" w:eastAsia="zh-CN" w:bidi="ar"/>
              </w:rPr>
              <w:t>提供对应模组检测报告</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kern w:val="0"/>
                <w:sz w:val="18"/>
                <w:szCs w:val="18"/>
                <w:highlight w:val="none"/>
                <w:lang w:val="en-US" w:eastAsia="zh-CN" w:bidi="ar"/>
              </w:rPr>
            </w:pPr>
            <w:r>
              <w:rPr>
                <w:rFonts w:hint="eastAsia"/>
                <w:color w:val="auto"/>
                <w:kern w:val="0"/>
                <w:sz w:val="18"/>
                <w:szCs w:val="18"/>
                <w:highlight w:val="none"/>
                <w:lang w:val="en-US" w:eastAsia="zh-CN" w:bidi="ar"/>
              </w:rPr>
              <w:t>6.8</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auto"/>
                <w:kern w:val="0"/>
                <w:sz w:val="18"/>
                <w:szCs w:val="18"/>
                <w:highlight w:val="none"/>
                <w:lang w:val="en-US" w:eastAsia="zh-CN"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auto"/>
                <w:kern w:val="0"/>
                <w:sz w:val="18"/>
                <w:szCs w:val="18"/>
                <w:highlight w:val="none"/>
                <w:lang w:val="en-US" w:eastAsia="zh-CN"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rFonts w:ascii="Times New Roman" w:hAnsi="Times New Roman" w:eastAsia="宋体" w:cs="Times New Roman"/>
                <w:color w:val="auto"/>
                <w:kern w:val="0"/>
                <w:sz w:val="18"/>
                <w:szCs w:val="18"/>
                <w:highlight w:val="none"/>
                <w:lang w:val="en-US" w:eastAsia="zh-CN"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rFonts w:ascii="Times New Roman" w:hAnsi="Times New Roman" w:eastAsia="宋体" w:cs="Times New Roman"/>
                <w:color w:val="auto"/>
                <w:kern w:val="0"/>
                <w:sz w:val="18"/>
                <w:szCs w:val="18"/>
                <w:highlight w:val="none"/>
                <w:lang w:val="en-US" w:eastAsia="zh-CN"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rFonts w:ascii="Times New Roman" w:hAnsi="Times New Roman" w:eastAsia="宋体" w:cs="Times New Roman"/>
                <w:color w:val="auto"/>
                <w:kern w:val="0"/>
                <w:sz w:val="18"/>
                <w:szCs w:val="18"/>
                <w:highlight w:val="none"/>
                <w:lang w:val="en-US" w:eastAsia="zh-CN" w:bidi="ar"/>
              </w:rPr>
            </w:pPr>
            <w:r>
              <w:rPr>
                <w:color w:val="auto"/>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9276" w:type="dxa"/>
            <w:gridSpan w:val="9"/>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color w:val="auto"/>
                <w:kern w:val="0"/>
                <w:sz w:val="18"/>
                <w:szCs w:val="18"/>
                <w:highlight w:val="none"/>
                <w:lang w:bidi="ar"/>
              </w:rPr>
            </w:pPr>
            <w:r>
              <w:rPr>
                <w:color w:val="auto"/>
                <w:kern w:val="0"/>
                <w:sz w:val="18"/>
                <w:szCs w:val="18"/>
                <w:highlight w:val="none"/>
                <w:lang w:bidi="ar"/>
              </w:rPr>
              <w:t>注1：●表示必须做的项目，○表示可选做的项目，—表示不做的项目；</w:t>
            </w:r>
          </w:p>
          <w:p>
            <w:pPr>
              <w:widowControl/>
              <w:jc w:val="left"/>
              <w:textAlignment w:val="top"/>
              <w:rPr>
                <w:color w:val="auto"/>
                <w:kern w:val="0"/>
                <w:sz w:val="18"/>
                <w:szCs w:val="18"/>
                <w:highlight w:val="none"/>
                <w:lang w:bidi="ar"/>
              </w:rPr>
            </w:pPr>
            <w:r>
              <w:rPr>
                <w:color w:val="auto"/>
                <w:kern w:val="0"/>
                <w:sz w:val="18"/>
                <w:szCs w:val="18"/>
                <w:highlight w:val="none"/>
                <w:lang w:bidi="ar"/>
              </w:rPr>
              <w:t>注2：电源性能试验涉及蓄电池额定容量/能量试验、低温能量保持率试验、荷电保持及能量恢复能力试验、过电流保护试验、电源供电时间等效试验的</w:t>
            </w:r>
            <w:r>
              <w:rPr>
                <w:rFonts w:hint="eastAsia"/>
                <w:color w:val="auto"/>
                <w:kern w:val="0"/>
                <w:sz w:val="18"/>
                <w:szCs w:val="18"/>
                <w:highlight w:val="none"/>
                <w:lang w:eastAsia="zh-CN" w:bidi="ar"/>
              </w:rPr>
              <w:t>委托</w:t>
            </w:r>
            <w:r>
              <w:rPr>
                <w:color w:val="auto"/>
                <w:kern w:val="0"/>
                <w:sz w:val="18"/>
                <w:szCs w:val="18"/>
                <w:highlight w:val="none"/>
                <w:lang w:bidi="ar"/>
              </w:rPr>
              <w:t>试验报告可由承诺供货的电池生产厂家的第三方（具备CNAS/CMA资质）检测报告替代。</w:t>
            </w:r>
          </w:p>
        </w:tc>
      </w:tr>
    </w:tbl>
    <w:p>
      <w:pPr>
        <w:bidi w:val="0"/>
      </w:pPr>
      <w:bookmarkStart w:id="410" w:name="_Toc500920863"/>
      <w:bookmarkStart w:id="411" w:name="_Toc1775"/>
      <w:bookmarkStart w:id="412" w:name="_Toc12096"/>
      <w:bookmarkStart w:id="413" w:name="_Toc12089"/>
      <w:bookmarkStart w:id="414" w:name="_Toc17805"/>
      <w:bookmarkStart w:id="415" w:name="_Toc22043"/>
      <w:bookmarkStart w:id="416" w:name="_Toc11022"/>
      <w:bookmarkStart w:id="417" w:name="_Toc26260"/>
      <w:bookmarkStart w:id="418" w:name="_Toc168869427"/>
      <w:bookmarkStart w:id="419" w:name="_Toc27498"/>
      <w:bookmarkStart w:id="420" w:name="_Toc14480"/>
      <w:bookmarkStart w:id="421" w:name="_Toc167"/>
      <w:bookmarkStart w:id="422" w:name="_Toc6743"/>
    </w:p>
    <w:p>
      <w:pPr>
        <w:pStyle w:val="3"/>
        <w:spacing w:before="0" w:after="0" w:line="360" w:lineRule="auto"/>
        <w:rPr>
          <w:rFonts w:ascii="Times New Roman" w:hAnsi="Times New Roman" w:eastAsia="黑体"/>
          <w:b w:val="0"/>
          <w:bCs/>
          <w:color w:val="auto"/>
          <w:sz w:val="24"/>
          <w:szCs w:val="24"/>
          <w:highlight w:val="yellow"/>
        </w:rPr>
      </w:pPr>
      <w:bookmarkStart w:id="423" w:name="_Toc4692"/>
      <w:r>
        <w:rPr>
          <w:rFonts w:ascii="Times New Roman" w:hAnsi="Times New Roman" w:eastAsia="黑体"/>
          <w:b w:val="0"/>
          <w:bCs/>
          <w:color w:val="auto"/>
          <w:sz w:val="24"/>
          <w:szCs w:val="24"/>
          <w:highlight w:val="none"/>
        </w:rPr>
        <w:t xml:space="preserve">7.1 </w:t>
      </w:r>
      <w:r>
        <w:rPr>
          <w:rFonts w:hint="eastAsia" w:ascii="Times New Roman" w:hAnsi="Times New Roman" w:eastAsia="黑体"/>
          <w:b w:val="0"/>
          <w:bCs/>
          <w:color w:val="auto"/>
          <w:sz w:val="24"/>
          <w:szCs w:val="24"/>
          <w:highlight w:val="none"/>
          <w:lang w:val="en-US" w:eastAsia="zh-CN"/>
        </w:rPr>
        <w:t>委托</w:t>
      </w:r>
      <w:r>
        <w:rPr>
          <w:rFonts w:ascii="Times New Roman" w:hAnsi="Times New Roman" w:eastAsia="黑体"/>
          <w:b w:val="0"/>
          <w:bCs/>
          <w:color w:val="auto"/>
          <w:sz w:val="24"/>
          <w:szCs w:val="24"/>
          <w:highlight w:val="none"/>
        </w:rPr>
        <w:t>试验</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pPr>
        <w:pStyle w:val="97"/>
        <w:spacing w:line="360" w:lineRule="auto"/>
        <w:ind w:firstLine="420" w:firstLineChars="200"/>
        <w:rPr>
          <w:color w:val="auto"/>
          <w:highlight w:val="none"/>
        </w:rPr>
      </w:pPr>
      <w:r>
        <w:rPr>
          <w:rFonts w:hint="eastAsia"/>
          <w:color w:val="auto"/>
          <w:highlight w:val="none"/>
          <w:lang w:eastAsia="zh-CN"/>
        </w:rPr>
        <w:t>委托</w:t>
      </w:r>
      <w:r>
        <w:rPr>
          <w:color w:val="auto"/>
          <w:highlight w:val="none"/>
        </w:rPr>
        <w:t>试验应该是制造厂家将装置送交具有资质的检测单位，由检测单位依据试验条目完成检验，并出具</w:t>
      </w:r>
      <w:r>
        <w:rPr>
          <w:rFonts w:hint="eastAsia"/>
          <w:color w:val="auto"/>
          <w:highlight w:val="none"/>
          <w:lang w:eastAsia="zh-CN"/>
        </w:rPr>
        <w:t>委托</w:t>
      </w:r>
      <w:r>
        <w:rPr>
          <w:color w:val="auto"/>
          <w:highlight w:val="none"/>
        </w:rPr>
        <w:t>检验报告。当出现下列情况之一时，应进行</w:t>
      </w:r>
      <w:r>
        <w:rPr>
          <w:rFonts w:hint="eastAsia"/>
          <w:color w:val="auto"/>
          <w:highlight w:val="none"/>
          <w:lang w:eastAsia="zh-CN"/>
        </w:rPr>
        <w:t>委托</w:t>
      </w:r>
      <w:r>
        <w:rPr>
          <w:color w:val="auto"/>
          <w:highlight w:val="none"/>
        </w:rPr>
        <w:t>试验：</w:t>
      </w:r>
    </w:p>
    <w:p>
      <w:pPr>
        <w:pStyle w:val="97"/>
        <w:spacing w:line="360" w:lineRule="auto"/>
        <w:ind w:firstLine="420" w:firstLineChars="200"/>
        <w:rPr>
          <w:color w:val="auto"/>
          <w:highlight w:val="none"/>
        </w:rPr>
      </w:pPr>
      <w:r>
        <w:rPr>
          <w:color w:val="auto"/>
          <w:highlight w:val="none"/>
        </w:rPr>
        <w:t>a） 新产品定型，投运前；</w:t>
      </w:r>
    </w:p>
    <w:p>
      <w:pPr>
        <w:pStyle w:val="97"/>
        <w:spacing w:line="360" w:lineRule="auto"/>
        <w:ind w:firstLine="420" w:firstLineChars="200"/>
        <w:rPr>
          <w:color w:val="auto"/>
          <w:highlight w:val="none"/>
        </w:rPr>
      </w:pPr>
      <w:r>
        <w:rPr>
          <w:color w:val="auto"/>
          <w:highlight w:val="none"/>
        </w:rPr>
        <w:t>b） 连续批量生产的装置每四年一次；</w:t>
      </w:r>
    </w:p>
    <w:p>
      <w:pPr>
        <w:pStyle w:val="97"/>
        <w:spacing w:line="360" w:lineRule="auto"/>
        <w:ind w:firstLine="420" w:firstLineChars="200"/>
        <w:rPr>
          <w:color w:val="auto"/>
          <w:highlight w:val="none"/>
        </w:rPr>
      </w:pPr>
      <w:r>
        <w:rPr>
          <w:color w:val="auto"/>
          <w:highlight w:val="none"/>
        </w:rPr>
        <w:t>c） 正式投产后，如设计、工艺材料、元器件有较大改变，可能影响产品性能时；</w:t>
      </w:r>
    </w:p>
    <w:p>
      <w:pPr>
        <w:pStyle w:val="97"/>
        <w:spacing w:line="360" w:lineRule="auto"/>
        <w:ind w:firstLine="420" w:firstLineChars="200"/>
        <w:rPr>
          <w:color w:val="auto"/>
          <w:highlight w:val="none"/>
        </w:rPr>
      </w:pPr>
      <w:r>
        <w:rPr>
          <w:color w:val="auto"/>
          <w:highlight w:val="none"/>
        </w:rPr>
        <w:t>d） 产品停产一年以上又重新恢复生产时；</w:t>
      </w:r>
    </w:p>
    <w:p>
      <w:pPr>
        <w:pStyle w:val="97"/>
        <w:spacing w:line="360" w:lineRule="auto"/>
        <w:ind w:firstLine="420" w:firstLineChars="200"/>
        <w:rPr>
          <w:color w:val="auto"/>
          <w:highlight w:val="none"/>
        </w:rPr>
      </w:pPr>
      <w:r>
        <w:rPr>
          <w:color w:val="auto"/>
          <w:highlight w:val="none"/>
        </w:rPr>
        <w:t>e） 出厂试验结果与</w:t>
      </w:r>
      <w:r>
        <w:rPr>
          <w:rFonts w:hint="eastAsia"/>
          <w:color w:val="auto"/>
          <w:highlight w:val="none"/>
          <w:lang w:eastAsia="zh-CN"/>
        </w:rPr>
        <w:t>委托</w:t>
      </w:r>
      <w:r>
        <w:rPr>
          <w:color w:val="auto"/>
          <w:highlight w:val="none"/>
        </w:rPr>
        <w:t>试验有较大差异时；</w:t>
      </w:r>
    </w:p>
    <w:p>
      <w:pPr>
        <w:pStyle w:val="97"/>
        <w:spacing w:line="360" w:lineRule="auto"/>
        <w:ind w:firstLine="420" w:firstLineChars="200"/>
        <w:rPr>
          <w:color w:val="auto"/>
          <w:highlight w:val="none"/>
        </w:rPr>
      </w:pPr>
      <w:r>
        <w:rPr>
          <w:color w:val="auto"/>
          <w:highlight w:val="none"/>
        </w:rPr>
        <w:t>f） 国家技术监督机构或受其委托的技术检验部门提出</w:t>
      </w:r>
      <w:r>
        <w:rPr>
          <w:rFonts w:hint="eastAsia"/>
          <w:color w:val="auto"/>
          <w:highlight w:val="none"/>
          <w:lang w:eastAsia="zh-CN"/>
        </w:rPr>
        <w:t>委托</w:t>
      </w:r>
      <w:r>
        <w:rPr>
          <w:color w:val="auto"/>
          <w:highlight w:val="none"/>
        </w:rPr>
        <w:t>试验要求时；</w:t>
      </w:r>
    </w:p>
    <w:p>
      <w:pPr>
        <w:pStyle w:val="97"/>
        <w:spacing w:line="360" w:lineRule="auto"/>
        <w:ind w:firstLine="420" w:firstLineChars="200"/>
        <w:rPr>
          <w:rFonts w:eastAsia="黑体"/>
          <w:bCs/>
          <w:color w:val="auto"/>
          <w:sz w:val="24"/>
          <w:szCs w:val="24"/>
          <w:highlight w:val="none"/>
        </w:rPr>
      </w:pPr>
      <w:r>
        <w:rPr>
          <w:color w:val="auto"/>
          <w:highlight w:val="none"/>
        </w:rPr>
        <w:t>g） 合同规定进行</w:t>
      </w:r>
      <w:r>
        <w:rPr>
          <w:rFonts w:hint="eastAsia"/>
          <w:color w:val="auto"/>
          <w:highlight w:val="none"/>
          <w:lang w:eastAsia="zh-CN"/>
        </w:rPr>
        <w:t>委托</w:t>
      </w:r>
      <w:r>
        <w:rPr>
          <w:color w:val="auto"/>
          <w:highlight w:val="none"/>
        </w:rPr>
        <w:t>试验时。</w:t>
      </w:r>
      <w:bookmarkStart w:id="424" w:name="_Toc265313595"/>
      <w:bookmarkStart w:id="425" w:name="_Toc500920864"/>
    </w:p>
    <w:p>
      <w:pPr>
        <w:pStyle w:val="3"/>
        <w:spacing w:before="0" w:after="0" w:line="360" w:lineRule="auto"/>
        <w:rPr>
          <w:rFonts w:ascii="Times New Roman" w:hAnsi="Times New Roman" w:eastAsia="黑体"/>
          <w:b w:val="0"/>
          <w:bCs/>
          <w:color w:val="auto"/>
          <w:sz w:val="24"/>
          <w:szCs w:val="24"/>
          <w:highlight w:val="none"/>
        </w:rPr>
      </w:pPr>
      <w:bookmarkStart w:id="426" w:name="_Toc31526"/>
      <w:bookmarkStart w:id="427" w:name="_Toc27250"/>
      <w:bookmarkStart w:id="428" w:name="_Toc27715"/>
      <w:bookmarkStart w:id="429" w:name="_Toc8610"/>
      <w:bookmarkStart w:id="430" w:name="_Toc13157"/>
      <w:bookmarkStart w:id="431" w:name="_Toc7584"/>
      <w:bookmarkStart w:id="432" w:name="_Toc9782"/>
      <w:bookmarkStart w:id="433" w:name="_Toc11725"/>
      <w:bookmarkStart w:id="434" w:name="_Toc12209"/>
      <w:bookmarkStart w:id="435" w:name="_Toc30422"/>
      <w:bookmarkStart w:id="436" w:name="_Toc168869428"/>
      <w:bookmarkStart w:id="437" w:name="_Toc5668"/>
      <w:bookmarkStart w:id="438" w:name="_Toc15824"/>
      <w:r>
        <w:rPr>
          <w:rFonts w:ascii="Times New Roman" w:hAnsi="Times New Roman" w:eastAsia="黑体"/>
          <w:b w:val="0"/>
          <w:bCs/>
          <w:color w:val="auto"/>
          <w:sz w:val="24"/>
          <w:szCs w:val="24"/>
          <w:highlight w:val="none"/>
        </w:rPr>
        <w:t>7.2 出厂</w:t>
      </w:r>
      <w:bookmarkEnd w:id="424"/>
      <w:r>
        <w:rPr>
          <w:rFonts w:ascii="Times New Roman" w:hAnsi="Times New Roman" w:eastAsia="黑体"/>
          <w:b w:val="0"/>
          <w:bCs/>
          <w:color w:val="auto"/>
          <w:sz w:val="24"/>
          <w:szCs w:val="24"/>
          <w:highlight w:val="none"/>
        </w:rPr>
        <w:t>检验</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pPr>
        <w:pStyle w:val="97"/>
        <w:spacing w:line="360" w:lineRule="auto"/>
        <w:ind w:firstLine="420" w:firstLineChars="200"/>
        <w:rPr>
          <w:color w:val="auto"/>
          <w:highlight w:val="none"/>
        </w:rPr>
      </w:pPr>
      <w:r>
        <w:rPr>
          <w:color w:val="auto"/>
          <w:highlight w:val="none"/>
        </w:rPr>
        <w:t>每台装置出厂前在正常试验条件下逐个按规定进行例行检验，检验合格后，附有合格证，方可允许出厂。</w:t>
      </w:r>
    </w:p>
    <w:p>
      <w:pPr>
        <w:pStyle w:val="3"/>
        <w:spacing w:before="0" w:after="0" w:line="360" w:lineRule="auto"/>
        <w:rPr>
          <w:rFonts w:ascii="Times New Roman" w:hAnsi="Times New Roman" w:eastAsia="黑体"/>
          <w:b w:val="0"/>
          <w:bCs/>
          <w:color w:val="auto"/>
          <w:sz w:val="24"/>
          <w:szCs w:val="24"/>
          <w:highlight w:val="none"/>
        </w:rPr>
      </w:pPr>
      <w:bookmarkStart w:id="439" w:name="_Toc265313596"/>
      <w:bookmarkStart w:id="440" w:name="_Toc500920865"/>
      <w:bookmarkStart w:id="441" w:name="_Toc18027"/>
      <w:bookmarkStart w:id="442" w:name="_Toc168869429"/>
      <w:bookmarkStart w:id="443" w:name="_Toc2706"/>
      <w:bookmarkStart w:id="444" w:name="_Toc11556"/>
      <w:bookmarkStart w:id="445" w:name="_Toc14653"/>
      <w:bookmarkStart w:id="446" w:name="_Toc23342"/>
      <w:bookmarkStart w:id="447" w:name="_Toc1001"/>
      <w:bookmarkStart w:id="448" w:name="_Toc26220"/>
      <w:bookmarkStart w:id="449" w:name="_Toc13856"/>
      <w:bookmarkStart w:id="450" w:name="_Toc28381"/>
      <w:bookmarkStart w:id="451" w:name="_Toc20994"/>
      <w:bookmarkStart w:id="452" w:name="_Toc8872"/>
      <w:bookmarkStart w:id="453" w:name="_Toc21410"/>
      <w:bookmarkStart w:id="454" w:name="_Toc4683"/>
      <w:bookmarkStart w:id="455" w:name="_Toc11136"/>
      <w:bookmarkStart w:id="456" w:name="_Toc8245"/>
      <w:bookmarkStart w:id="457" w:name="_Toc23674"/>
      <w:bookmarkStart w:id="458" w:name="_Toc24481"/>
      <w:bookmarkStart w:id="459" w:name="_Toc168869430"/>
      <w:bookmarkStart w:id="460" w:name="_Toc4770"/>
      <w:bookmarkStart w:id="461" w:name="_Toc19186"/>
      <w:bookmarkStart w:id="462" w:name="_Toc6738"/>
      <w:bookmarkStart w:id="463" w:name="_Toc2253"/>
      <w:bookmarkStart w:id="464" w:name="_Toc16604"/>
      <w:bookmarkStart w:id="465" w:name="_Toc18244"/>
      <w:bookmarkStart w:id="466" w:name="_Toc500920866"/>
      <w:r>
        <w:rPr>
          <w:rFonts w:ascii="Times New Roman" w:hAnsi="Times New Roman" w:eastAsia="黑体"/>
          <w:b w:val="0"/>
          <w:bCs/>
          <w:color w:val="auto"/>
          <w:sz w:val="24"/>
          <w:szCs w:val="24"/>
          <w:highlight w:val="none"/>
        </w:rPr>
        <w:t xml:space="preserve">7.3 </w:t>
      </w:r>
      <w:bookmarkEnd w:id="439"/>
      <w:bookmarkEnd w:id="440"/>
      <w:bookmarkEnd w:id="441"/>
      <w:r>
        <w:rPr>
          <w:rFonts w:ascii="Times New Roman" w:hAnsi="Times New Roman" w:eastAsia="黑体"/>
          <w:b w:val="0"/>
          <w:bCs/>
          <w:color w:val="auto"/>
          <w:sz w:val="24"/>
          <w:szCs w:val="24"/>
          <w:highlight w:val="none"/>
        </w:rPr>
        <w:t>送样检测</w:t>
      </w:r>
      <w:bookmarkEnd w:id="442"/>
      <w:bookmarkEnd w:id="443"/>
      <w:bookmarkEnd w:id="444"/>
      <w:bookmarkEnd w:id="445"/>
      <w:bookmarkEnd w:id="446"/>
      <w:bookmarkEnd w:id="447"/>
      <w:bookmarkEnd w:id="448"/>
      <w:bookmarkEnd w:id="449"/>
      <w:bookmarkEnd w:id="450"/>
      <w:bookmarkEnd w:id="451"/>
      <w:bookmarkEnd w:id="452"/>
      <w:bookmarkEnd w:id="453"/>
    </w:p>
    <w:p>
      <w:pPr>
        <w:spacing w:line="360" w:lineRule="auto"/>
        <w:ind w:firstLine="420" w:firstLineChars="200"/>
        <w:rPr>
          <w:color w:val="auto"/>
          <w:szCs w:val="21"/>
          <w:highlight w:val="none"/>
        </w:rPr>
      </w:pPr>
      <w:r>
        <w:rPr>
          <w:color w:val="auto"/>
          <w:szCs w:val="21"/>
          <w:highlight w:val="none"/>
        </w:rPr>
        <w:t>由南方电网公司组织开展，供应商自愿报名送样开展检测，结果用于供应商产品质量评价，试验项目缺陷等级分为A、B、C三类，其中A类不合格权值为1.0，B 类不合格权值为0.6，C 类不合格权值为0.2，一个样本检测出现多个不合格项目时权值累加，当出现A类项目不合格或其他类项目不合格权值累计大于或等于1.0时，该样本检测结果判为不合格，送样检测开展周期要求与</w:t>
      </w:r>
      <w:r>
        <w:rPr>
          <w:rFonts w:hint="eastAsia"/>
          <w:color w:val="auto"/>
          <w:szCs w:val="21"/>
          <w:highlight w:val="none"/>
          <w:lang w:eastAsia="zh-CN"/>
        </w:rPr>
        <w:t>光储一体供电模块、解析处理模块与设备防护外壳组件</w:t>
      </w:r>
      <w:r>
        <w:rPr>
          <w:color w:val="auto"/>
          <w:szCs w:val="21"/>
          <w:highlight w:val="none"/>
        </w:rPr>
        <w:t>试验一致。缺陷分类如下：</w:t>
      </w:r>
    </w:p>
    <w:p>
      <w:pPr>
        <w:spacing w:line="360" w:lineRule="auto"/>
        <w:ind w:firstLine="420" w:firstLineChars="200"/>
        <w:rPr>
          <w:color w:val="auto"/>
          <w:szCs w:val="21"/>
          <w:highlight w:val="none"/>
        </w:rPr>
      </w:pPr>
      <w:r>
        <w:rPr>
          <w:color w:val="auto"/>
          <w:szCs w:val="21"/>
          <w:highlight w:val="none"/>
        </w:rPr>
        <w:t>A类</w:t>
      </w:r>
      <w:r>
        <w:rPr>
          <w:rFonts w:hint="eastAsia"/>
          <w:color w:val="auto"/>
          <w:szCs w:val="21"/>
          <w:highlight w:val="none"/>
          <w:lang w:eastAsia="zh-CN"/>
        </w:rPr>
        <w:t>（</w:t>
      </w:r>
      <w:r>
        <w:rPr>
          <w:rFonts w:hint="eastAsia"/>
          <w:color w:val="auto"/>
          <w:szCs w:val="21"/>
          <w:highlight w:val="none"/>
          <w:lang w:val="en-US" w:eastAsia="zh-CN"/>
        </w:rPr>
        <w:t>现场随机2项</w:t>
      </w:r>
      <w:r>
        <w:rPr>
          <w:rFonts w:hint="eastAsia"/>
          <w:color w:val="auto"/>
          <w:szCs w:val="21"/>
          <w:highlight w:val="none"/>
          <w:lang w:eastAsia="zh-CN"/>
        </w:rPr>
        <w:t>）</w:t>
      </w:r>
      <w:r>
        <w:rPr>
          <w:color w:val="auto"/>
          <w:szCs w:val="21"/>
          <w:highlight w:val="none"/>
        </w:rPr>
        <w:t>：通信规约试验、物联网平台接入试验</w:t>
      </w:r>
      <w:r>
        <w:rPr>
          <w:rFonts w:hint="eastAsia"/>
          <w:color w:val="auto"/>
          <w:szCs w:val="21"/>
          <w:highlight w:val="none"/>
          <w:lang w:val="en-US" w:eastAsia="zh-CN"/>
        </w:rPr>
        <w:t>、</w:t>
      </w:r>
      <w:r>
        <w:rPr>
          <w:color w:val="auto"/>
          <w:szCs w:val="21"/>
          <w:highlight w:val="none"/>
        </w:rPr>
        <w:t>连续运行试验（</w:t>
      </w:r>
      <w:r>
        <w:rPr>
          <w:rFonts w:hint="eastAsia"/>
          <w:color w:val="auto"/>
          <w:szCs w:val="21"/>
          <w:highlight w:val="none"/>
          <w:lang w:val="en-US" w:eastAsia="zh-CN"/>
        </w:rPr>
        <w:t>168</w:t>
      </w:r>
      <w:r>
        <w:rPr>
          <w:color w:val="auto"/>
          <w:szCs w:val="21"/>
          <w:highlight w:val="none"/>
        </w:rPr>
        <w:t>h）、交变湿热试验、覆冰试验、静电放电抗扰度试验、射频电磁场辐射抗扰度试验、电快速瞬变脉冲群抗扰度试验、浪涌(冲击)抗扰度试验、工频磁场抗扰度试验、脉冲磁场抗扰度试验、算法兼容性试验、</w:t>
      </w:r>
      <w:r>
        <w:rPr>
          <w:rFonts w:hint="eastAsia"/>
          <w:color w:val="auto"/>
          <w:szCs w:val="21"/>
          <w:highlight w:val="none"/>
        </w:rPr>
        <w:t>BDS</w:t>
      </w:r>
      <w:r>
        <w:rPr>
          <w:color w:val="auto"/>
          <w:szCs w:val="21"/>
          <w:highlight w:val="none"/>
        </w:rPr>
        <w:t>试验；</w:t>
      </w:r>
    </w:p>
    <w:p>
      <w:pPr>
        <w:spacing w:line="360" w:lineRule="auto"/>
        <w:ind w:firstLine="420" w:firstLineChars="200"/>
        <w:rPr>
          <w:color w:val="auto"/>
          <w:szCs w:val="21"/>
          <w:highlight w:val="none"/>
        </w:rPr>
      </w:pPr>
      <w:r>
        <w:rPr>
          <w:color w:val="auto"/>
          <w:szCs w:val="21"/>
          <w:highlight w:val="none"/>
        </w:rPr>
        <w:t>B类</w:t>
      </w:r>
      <w:r>
        <w:rPr>
          <w:rFonts w:hint="eastAsia"/>
          <w:color w:val="auto"/>
          <w:szCs w:val="21"/>
          <w:highlight w:val="none"/>
          <w:lang w:eastAsia="zh-CN"/>
        </w:rPr>
        <w:t>（</w:t>
      </w:r>
      <w:r>
        <w:rPr>
          <w:rFonts w:hint="eastAsia"/>
          <w:color w:val="auto"/>
          <w:szCs w:val="21"/>
          <w:highlight w:val="none"/>
          <w:lang w:val="en-US" w:eastAsia="zh-CN"/>
        </w:rPr>
        <w:t>现场随机2项</w:t>
      </w:r>
      <w:r>
        <w:rPr>
          <w:rFonts w:hint="eastAsia"/>
          <w:color w:val="auto"/>
          <w:szCs w:val="21"/>
          <w:highlight w:val="none"/>
          <w:lang w:eastAsia="zh-CN"/>
        </w:rPr>
        <w:t>）</w:t>
      </w:r>
      <w:r>
        <w:rPr>
          <w:color w:val="auto"/>
          <w:szCs w:val="21"/>
          <w:highlight w:val="none"/>
        </w:rPr>
        <w:t>：功耗试验、防尘试验、防水试验、高温试验、低温试验、总像素、信噪比、动态范围、码流及帧率设置功能、2D/3D降噪功能、增益控制功能、自动白平衡功能、背光补偿功能、强光抑制功能、摄像机日夜模式切换功能、摄像机聚焦模式切换功能、最低照度、可设预置位数量、气温传感器准确度、相对湿度传感器准确度、风速传感器准确度、风向传感器准确度；</w:t>
      </w:r>
    </w:p>
    <w:p>
      <w:pPr>
        <w:pStyle w:val="43"/>
        <w:spacing w:line="360" w:lineRule="auto"/>
        <w:ind w:firstLine="420"/>
        <w:rPr>
          <w:rFonts w:ascii="Times New Roman"/>
          <w:color w:val="auto"/>
          <w:highlight w:val="none"/>
        </w:rPr>
      </w:pPr>
      <w:r>
        <w:rPr>
          <w:rFonts w:ascii="Times New Roman"/>
          <w:color w:val="auto"/>
          <w:szCs w:val="21"/>
          <w:highlight w:val="none"/>
        </w:rPr>
        <w:t>C类：结构外观、质量检查试验。</w:t>
      </w:r>
    </w:p>
    <w:p>
      <w:pPr>
        <w:pStyle w:val="3"/>
        <w:spacing w:before="0" w:after="0" w:line="360" w:lineRule="auto"/>
        <w:rPr>
          <w:rFonts w:ascii="Times New Roman" w:hAnsi="Times New Roman" w:eastAsia="黑体"/>
          <w:b w:val="0"/>
          <w:bCs/>
          <w:color w:val="auto"/>
          <w:sz w:val="24"/>
          <w:szCs w:val="24"/>
          <w:highlight w:val="none"/>
        </w:rPr>
      </w:pPr>
      <w:bookmarkStart w:id="467" w:name="_Toc16850"/>
      <w:r>
        <w:rPr>
          <w:rFonts w:ascii="Times New Roman" w:hAnsi="Times New Roman" w:eastAsia="黑体"/>
          <w:b w:val="0"/>
          <w:bCs/>
          <w:color w:val="auto"/>
          <w:sz w:val="24"/>
          <w:szCs w:val="24"/>
          <w:highlight w:val="none"/>
        </w:rPr>
        <w:t>7.4 到货抽检</w:t>
      </w:r>
      <w:bookmarkEnd w:id="467"/>
    </w:p>
    <w:p>
      <w:pPr>
        <w:pStyle w:val="4"/>
        <w:spacing w:line="360" w:lineRule="auto"/>
        <w:rPr>
          <w:color w:val="auto"/>
          <w:szCs w:val="21"/>
          <w:highlight w:val="none"/>
        </w:rPr>
      </w:pPr>
      <w:r>
        <w:rPr>
          <w:color w:val="auto"/>
          <w:szCs w:val="21"/>
          <w:highlight w:val="none"/>
        </w:rPr>
        <w:t>由运行单位组织开展，在供货阶段，对供应商送达指定地点的货物进行抽样检测，通过后方可收货。</w:t>
      </w:r>
    </w:p>
    <w:p>
      <w:pPr>
        <w:pStyle w:val="3"/>
        <w:spacing w:before="0" w:after="0" w:line="360" w:lineRule="auto"/>
        <w:rPr>
          <w:rFonts w:ascii="Times New Roman" w:hAnsi="Times New Roman" w:eastAsia="黑体"/>
          <w:b w:val="0"/>
          <w:bCs/>
          <w:color w:val="auto"/>
          <w:sz w:val="24"/>
          <w:szCs w:val="24"/>
          <w:highlight w:val="none"/>
        </w:rPr>
      </w:pPr>
      <w:bookmarkStart w:id="468" w:name="_Toc16128"/>
      <w:r>
        <w:rPr>
          <w:rFonts w:ascii="Times New Roman" w:hAnsi="Times New Roman" w:eastAsia="黑体"/>
          <w:b w:val="0"/>
          <w:bCs/>
          <w:color w:val="auto"/>
          <w:sz w:val="24"/>
          <w:szCs w:val="24"/>
          <w:highlight w:val="none"/>
        </w:rPr>
        <w:t>7.5 交接试验</w:t>
      </w:r>
      <w:bookmarkEnd w:id="468"/>
    </w:p>
    <w:p>
      <w:pPr>
        <w:pStyle w:val="4"/>
        <w:spacing w:line="360" w:lineRule="auto"/>
        <w:rPr>
          <w:color w:val="auto"/>
          <w:szCs w:val="21"/>
          <w:highlight w:val="none"/>
        </w:rPr>
      </w:pPr>
      <w:r>
        <w:rPr>
          <w:color w:val="auto"/>
          <w:szCs w:val="21"/>
          <w:highlight w:val="none"/>
        </w:rPr>
        <w:t>由运行单位组织开展，在设备交接验收阶段对到货设备逐套开展检测，合格后方可投运。</w:t>
      </w:r>
    </w:p>
    <w:bookmarkEnd w:id="454"/>
    <w:bookmarkEnd w:id="455"/>
    <w:bookmarkEnd w:id="456"/>
    <w:bookmarkEnd w:id="457"/>
    <w:bookmarkEnd w:id="458"/>
    <w:bookmarkEnd w:id="459"/>
    <w:bookmarkEnd w:id="460"/>
    <w:bookmarkEnd w:id="461"/>
    <w:bookmarkEnd w:id="462"/>
    <w:bookmarkEnd w:id="463"/>
    <w:bookmarkEnd w:id="464"/>
    <w:bookmarkEnd w:id="465"/>
    <w:p>
      <w:pPr>
        <w:spacing w:line="360" w:lineRule="auto"/>
        <w:outlineLvl w:val="0"/>
        <w:rPr>
          <w:rFonts w:eastAsia="黑体"/>
          <w:color w:val="auto"/>
          <w:sz w:val="28"/>
          <w:szCs w:val="28"/>
          <w:highlight w:val="none"/>
        </w:rPr>
      </w:pPr>
      <w:bookmarkStart w:id="469" w:name="_Toc28887"/>
      <w:bookmarkStart w:id="470" w:name="_Toc25717"/>
      <w:bookmarkStart w:id="471" w:name="_Toc27802"/>
      <w:bookmarkStart w:id="472" w:name="_Toc19075"/>
      <w:bookmarkStart w:id="473" w:name="_Toc17471"/>
      <w:bookmarkStart w:id="474" w:name="_Toc168869432"/>
      <w:bookmarkStart w:id="475" w:name="_Toc9225"/>
      <w:bookmarkStart w:id="476" w:name="_Toc20266"/>
      <w:bookmarkStart w:id="477" w:name="_Toc15653"/>
      <w:bookmarkStart w:id="478" w:name="_Toc12652"/>
      <w:bookmarkStart w:id="479" w:name="_Toc25537"/>
      <w:bookmarkStart w:id="480" w:name="_Toc20457"/>
      <w:bookmarkStart w:id="481" w:name="_Toc11306"/>
      <w:r>
        <w:rPr>
          <w:rFonts w:eastAsia="黑体"/>
          <w:color w:val="auto"/>
          <w:sz w:val="28"/>
          <w:szCs w:val="28"/>
          <w:highlight w:val="none"/>
        </w:rPr>
        <w:t>8 技术联络、技术培训及售后服务</w:t>
      </w:r>
      <w:bookmarkEnd w:id="466"/>
      <w:bookmarkEnd w:id="469"/>
      <w:bookmarkEnd w:id="470"/>
      <w:bookmarkEnd w:id="471"/>
      <w:bookmarkEnd w:id="472"/>
      <w:bookmarkEnd w:id="473"/>
      <w:bookmarkEnd w:id="474"/>
      <w:bookmarkEnd w:id="475"/>
      <w:bookmarkEnd w:id="476"/>
      <w:bookmarkEnd w:id="477"/>
      <w:bookmarkEnd w:id="478"/>
      <w:bookmarkEnd w:id="479"/>
      <w:bookmarkEnd w:id="480"/>
      <w:bookmarkEnd w:id="481"/>
    </w:p>
    <w:p>
      <w:pPr>
        <w:pStyle w:val="3"/>
        <w:spacing w:before="0" w:after="0" w:line="360" w:lineRule="auto"/>
        <w:rPr>
          <w:rFonts w:ascii="Times New Roman" w:hAnsi="Times New Roman" w:eastAsia="黑体"/>
          <w:b w:val="0"/>
          <w:bCs/>
          <w:color w:val="auto"/>
          <w:sz w:val="24"/>
          <w:szCs w:val="24"/>
          <w:highlight w:val="none"/>
        </w:rPr>
      </w:pPr>
      <w:bookmarkStart w:id="482" w:name="_Toc22883"/>
      <w:bookmarkStart w:id="483" w:name="_Toc10404"/>
      <w:bookmarkStart w:id="484" w:name="_Toc31896"/>
      <w:bookmarkStart w:id="485" w:name="_Toc14934"/>
      <w:bookmarkStart w:id="486" w:name="_Toc8547"/>
      <w:bookmarkStart w:id="487" w:name="_Toc168869433"/>
      <w:bookmarkStart w:id="488" w:name="_Toc31154"/>
      <w:bookmarkStart w:id="489" w:name="_Toc23700"/>
      <w:bookmarkStart w:id="490" w:name="_Toc24936"/>
      <w:bookmarkStart w:id="491" w:name="_Toc22247"/>
      <w:bookmarkStart w:id="492" w:name="_Toc27063"/>
      <w:bookmarkStart w:id="493" w:name="_Toc500920867"/>
      <w:bookmarkStart w:id="494" w:name="_Toc25747"/>
      <w:bookmarkStart w:id="495" w:name="_Toc17083"/>
      <w:r>
        <w:rPr>
          <w:rFonts w:ascii="Times New Roman" w:hAnsi="Times New Roman" w:eastAsia="黑体"/>
          <w:b w:val="0"/>
          <w:bCs/>
          <w:color w:val="auto"/>
          <w:sz w:val="24"/>
          <w:szCs w:val="24"/>
          <w:highlight w:val="none"/>
        </w:rPr>
        <w:t>8.1 技术联络</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tabs>
          <w:tab w:val="left" w:pos="1514"/>
          <w:tab w:val="left" w:pos="1694"/>
        </w:tabs>
        <w:spacing w:line="360" w:lineRule="auto"/>
        <w:ind w:left="-21" w:leftChars="-10" w:firstLine="420"/>
        <w:jc w:val="left"/>
        <w:rPr>
          <w:color w:val="auto"/>
          <w:szCs w:val="21"/>
          <w:highlight w:val="none"/>
        </w:rPr>
      </w:pPr>
      <w:r>
        <w:rPr>
          <w:color w:val="auto"/>
          <w:spacing w:val="10"/>
          <w:szCs w:val="21"/>
          <w:highlight w:val="none"/>
        </w:rPr>
        <w:t>投标方应负责</w:t>
      </w:r>
      <w:r>
        <w:rPr>
          <w:color w:val="auto"/>
          <w:szCs w:val="21"/>
          <w:highlight w:val="none"/>
        </w:rPr>
        <w:t>合同</w:t>
      </w:r>
      <w:r>
        <w:rPr>
          <w:color w:val="auto"/>
          <w:spacing w:val="10"/>
          <w:szCs w:val="21"/>
          <w:highlight w:val="none"/>
        </w:rPr>
        <w:t>设备的设计和协调工作，承担全部技术责任，并做好与招标方的设计联络工作。</w:t>
      </w:r>
      <w:r>
        <w:rPr>
          <w:color w:val="auto"/>
          <w:szCs w:val="21"/>
          <w:highlight w:val="none"/>
        </w:rPr>
        <w:t>积极配合招标方进行全域</w:t>
      </w:r>
      <w:r>
        <w:rPr>
          <w:color w:val="auto"/>
          <w:highlight w:val="none"/>
        </w:rPr>
        <w:t>物联网平台</w:t>
      </w:r>
      <w:r>
        <w:rPr>
          <w:color w:val="auto"/>
          <w:szCs w:val="21"/>
          <w:highlight w:val="none"/>
        </w:rPr>
        <w:t>的数据接入和有关抽检试验工作。</w:t>
      </w:r>
    </w:p>
    <w:p>
      <w:pPr>
        <w:pStyle w:val="3"/>
        <w:spacing w:before="0" w:after="0" w:line="360" w:lineRule="auto"/>
        <w:rPr>
          <w:rFonts w:ascii="Times New Roman" w:hAnsi="Times New Roman" w:eastAsia="黑体"/>
          <w:b w:val="0"/>
          <w:bCs/>
          <w:color w:val="auto"/>
          <w:sz w:val="24"/>
          <w:szCs w:val="24"/>
          <w:highlight w:val="none"/>
        </w:rPr>
      </w:pPr>
      <w:bookmarkStart w:id="496" w:name="_Toc4695"/>
      <w:bookmarkStart w:id="497" w:name="_Toc9487"/>
      <w:bookmarkStart w:id="498" w:name="_Toc1941"/>
      <w:bookmarkStart w:id="499" w:name="_Toc135"/>
      <w:bookmarkStart w:id="500" w:name="_Toc6797"/>
      <w:bookmarkStart w:id="501" w:name="_Toc168869434"/>
      <w:bookmarkStart w:id="502" w:name="_Toc13318"/>
      <w:bookmarkStart w:id="503" w:name="_Toc11534"/>
      <w:bookmarkStart w:id="504" w:name="_Toc4722"/>
      <w:bookmarkStart w:id="505" w:name="_Toc17602"/>
      <w:bookmarkStart w:id="506" w:name="_Toc19825"/>
      <w:bookmarkStart w:id="507" w:name="_Toc500920868"/>
      <w:bookmarkStart w:id="508" w:name="_Toc3823"/>
      <w:bookmarkStart w:id="509" w:name="_Toc74"/>
      <w:r>
        <w:rPr>
          <w:rFonts w:ascii="Times New Roman" w:hAnsi="Times New Roman" w:eastAsia="黑体"/>
          <w:b w:val="0"/>
          <w:bCs/>
          <w:color w:val="auto"/>
          <w:sz w:val="24"/>
          <w:szCs w:val="24"/>
          <w:highlight w:val="none"/>
        </w:rPr>
        <w:t>8.2 技术培训</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pPr>
        <w:tabs>
          <w:tab w:val="left" w:pos="1514"/>
          <w:tab w:val="left" w:pos="1694"/>
        </w:tabs>
        <w:spacing w:line="360" w:lineRule="auto"/>
        <w:ind w:left="-235" w:leftChars="-112" w:firstLine="630" w:firstLineChars="300"/>
        <w:jc w:val="left"/>
        <w:rPr>
          <w:color w:val="auto"/>
          <w:szCs w:val="21"/>
          <w:highlight w:val="none"/>
        </w:rPr>
      </w:pPr>
      <w:r>
        <w:rPr>
          <w:color w:val="auto"/>
          <w:szCs w:val="21"/>
          <w:highlight w:val="none"/>
        </w:rPr>
        <w:t>投标方对招标方相关人员应免费提供培训，并提供相应的培训资料，对每套装置不少于2人/次。</w:t>
      </w:r>
    </w:p>
    <w:p>
      <w:pPr>
        <w:pStyle w:val="3"/>
        <w:spacing w:before="0" w:after="0" w:line="360" w:lineRule="auto"/>
        <w:rPr>
          <w:rFonts w:ascii="Times New Roman" w:hAnsi="Times New Roman" w:eastAsia="黑体"/>
          <w:b w:val="0"/>
          <w:bCs/>
          <w:color w:val="auto"/>
          <w:sz w:val="24"/>
          <w:szCs w:val="24"/>
          <w:highlight w:val="none"/>
        </w:rPr>
      </w:pPr>
      <w:bookmarkStart w:id="510" w:name="_Toc16152"/>
      <w:bookmarkStart w:id="511" w:name="_Toc500920869"/>
      <w:bookmarkStart w:id="512" w:name="_Toc21031"/>
      <w:bookmarkStart w:id="513" w:name="_Toc22098"/>
      <w:bookmarkStart w:id="514" w:name="_Toc1281"/>
      <w:bookmarkStart w:id="515" w:name="_Toc3765"/>
      <w:bookmarkStart w:id="516" w:name="_Toc17416"/>
      <w:bookmarkStart w:id="517" w:name="_Toc16201"/>
      <w:bookmarkStart w:id="518" w:name="_Toc29939"/>
      <w:bookmarkStart w:id="519" w:name="_Toc25469"/>
      <w:bookmarkStart w:id="520" w:name="_Toc168869435"/>
      <w:bookmarkStart w:id="521" w:name="_Toc9077"/>
      <w:bookmarkStart w:id="522" w:name="_Toc16149"/>
      <w:bookmarkStart w:id="523" w:name="_Toc12685"/>
      <w:r>
        <w:rPr>
          <w:rFonts w:ascii="Times New Roman" w:hAnsi="Times New Roman" w:eastAsia="黑体"/>
          <w:b w:val="0"/>
          <w:bCs/>
          <w:color w:val="auto"/>
          <w:sz w:val="24"/>
          <w:szCs w:val="24"/>
          <w:highlight w:val="none"/>
        </w:rPr>
        <w:t>8.3 售后服务</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pPr>
        <w:pStyle w:val="102"/>
        <w:numPr>
          <w:ilvl w:val="1"/>
          <w:numId w:val="4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按照全生命周期管理要求，装置的质保期应不低于5年，质保期内供货商免费更换所有配件、耗材，并承担维护费用，确保其产品能正常运行。装置应保证在连续测量的使用条件下，蓄电池质保5年。质保期之后发生设备损坏，如招标单位需进行设备修理，投标方应按最近的投标价提供维修部件及维修服务。</w:t>
      </w:r>
    </w:p>
    <w:p>
      <w:pPr>
        <w:pStyle w:val="102"/>
        <w:numPr>
          <w:ilvl w:val="1"/>
          <w:numId w:val="4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装置5年内免费维修，设备发生的所有非不可抗力因素造成的缺陷或故障由生产厂家免费进行维修或更换，包括所需人力和所需更换材料。</w:t>
      </w:r>
    </w:p>
    <w:p>
      <w:pPr>
        <w:pStyle w:val="102"/>
        <w:numPr>
          <w:ilvl w:val="1"/>
          <w:numId w:val="4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系统软件终身免费升级。</w:t>
      </w:r>
    </w:p>
    <w:p>
      <w:pPr>
        <w:pStyle w:val="102"/>
        <w:numPr>
          <w:ilvl w:val="1"/>
          <w:numId w:val="4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投标方对售后服务的需求必须在24小时答复，在48小时内提供技术服务。</w:t>
      </w:r>
    </w:p>
    <w:p>
      <w:pPr>
        <w:pStyle w:val="102"/>
        <w:numPr>
          <w:ilvl w:val="1"/>
          <w:numId w:val="4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投标方长期为招标方提供备件采购和供应服务。</w:t>
      </w:r>
    </w:p>
    <w:p>
      <w:pPr>
        <w:pStyle w:val="102"/>
        <w:numPr>
          <w:ilvl w:val="1"/>
          <w:numId w:val="4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当运行中装置不能满足5.8中可靠性要求时，投标方应免费对装置进行维护工作。在连续三次维护无法解决问题的情况下，投标方应免费更换装置。</w:t>
      </w:r>
    </w:p>
    <w:p>
      <w:pPr>
        <w:spacing w:line="360" w:lineRule="auto"/>
        <w:outlineLvl w:val="0"/>
        <w:rPr>
          <w:rFonts w:eastAsia="黑体"/>
          <w:color w:val="auto"/>
          <w:sz w:val="28"/>
          <w:szCs w:val="28"/>
          <w:highlight w:val="none"/>
        </w:rPr>
      </w:pPr>
      <w:bookmarkStart w:id="524" w:name="_Toc16353"/>
      <w:bookmarkStart w:id="525" w:name="_Toc2580"/>
      <w:bookmarkStart w:id="526" w:name="_Toc13259"/>
      <w:bookmarkStart w:id="527" w:name="_Toc25143"/>
      <w:bookmarkStart w:id="528" w:name="_Toc356999080"/>
      <w:bookmarkStart w:id="529" w:name="_Toc25349"/>
      <w:bookmarkStart w:id="530" w:name="_Toc168869436"/>
      <w:bookmarkStart w:id="531" w:name="_Toc12138"/>
      <w:bookmarkStart w:id="532" w:name="_Toc21394"/>
      <w:bookmarkStart w:id="533" w:name="_Toc24271"/>
      <w:bookmarkStart w:id="534" w:name="_Toc29344"/>
      <w:bookmarkStart w:id="535" w:name="_Toc500920870"/>
      <w:bookmarkStart w:id="536" w:name="_Toc347154882"/>
      <w:bookmarkStart w:id="537" w:name="_Toc26849"/>
      <w:bookmarkStart w:id="538" w:name="_Toc19636"/>
      <w:bookmarkStart w:id="539" w:name="_Toc22242"/>
      <w:bookmarkStart w:id="540" w:name="_Toc265313600"/>
      <w:r>
        <w:rPr>
          <w:rFonts w:eastAsia="黑体"/>
          <w:color w:val="auto"/>
          <w:sz w:val="28"/>
          <w:szCs w:val="28"/>
          <w:highlight w:val="none"/>
        </w:rPr>
        <w:t>9 标志、包装、运输、贮存</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pStyle w:val="3"/>
        <w:spacing w:before="0" w:after="0" w:line="360" w:lineRule="auto"/>
        <w:rPr>
          <w:rFonts w:ascii="Times New Roman" w:hAnsi="Times New Roman" w:eastAsia="黑体"/>
          <w:b w:val="0"/>
          <w:bCs/>
          <w:color w:val="auto"/>
          <w:sz w:val="24"/>
          <w:szCs w:val="24"/>
          <w:highlight w:val="none"/>
        </w:rPr>
      </w:pPr>
      <w:bookmarkStart w:id="541" w:name="_Toc8301"/>
      <w:bookmarkStart w:id="542" w:name="_Toc18742"/>
      <w:bookmarkStart w:id="543" w:name="_Toc168869437"/>
      <w:bookmarkStart w:id="544" w:name="_Toc2979"/>
      <w:bookmarkStart w:id="545" w:name="_Toc27825"/>
      <w:bookmarkStart w:id="546" w:name="_Toc228"/>
      <w:bookmarkStart w:id="547" w:name="_Toc31747"/>
      <w:bookmarkStart w:id="548" w:name="_Toc32265"/>
      <w:bookmarkStart w:id="549" w:name="_Toc30869"/>
      <w:bookmarkStart w:id="550" w:name="_Toc25224"/>
      <w:bookmarkStart w:id="551" w:name="_Toc12863"/>
      <w:bookmarkStart w:id="552" w:name="_Toc27888"/>
      <w:bookmarkStart w:id="553" w:name="_Toc500920871"/>
      <w:bookmarkStart w:id="554" w:name="_Toc5819"/>
      <w:r>
        <w:rPr>
          <w:rFonts w:ascii="Times New Roman" w:hAnsi="Times New Roman" w:eastAsia="黑体"/>
          <w:b w:val="0"/>
          <w:bCs/>
          <w:color w:val="auto"/>
          <w:sz w:val="24"/>
          <w:szCs w:val="24"/>
          <w:highlight w:val="none"/>
        </w:rPr>
        <w:t>9.1 标志</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pPr>
        <w:tabs>
          <w:tab w:val="left" w:pos="709"/>
        </w:tabs>
        <w:spacing w:line="360" w:lineRule="auto"/>
        <w:ind w:left="709" w:hanging="709"/>
        <w:outlineLvl w:val="2"/>
        <w:rPr>
          <w:color w:val="auto"/>
          <w:highlight w:val="none"/>
        </w:rPr>
      </w:pPr>
      <w:r>
        <w:rPr>
          <w:color w:val="auto"/>
          <w:highlight w:val="none"/>
        </w:rPr>
        <w:t>9.1.1铭牌</w:t>
      </w:r>
    </w:p>
    <w:p>
      <w:pPr>
        <w:pStyle w:val="97"/>
        <w:spacing w:line="360" w:lineRule="auto"/>
        <w:ind w:firstLine="420" w:firstLineChars="200"/>
        <w:rPr>
          <w:color w:val="auto"/>
          <w:highlight w:val="none"/>
        </w:rPr>
      </w:pPr>
      <w:r>
        <w:rPr>
          <w:color w:val="auto"/>
          <w:highlight w:val="none"/>
        </w:rPr>
        <w:t>每台装置及主要部件应有明晰的铭牌，铭牌内容如下：</w:t>
      </w:r>
    </w:p>
    <w:p>
      <w:pPr>
        <w:pStyle w:val="97"/>
        <w:spacing w:line="360" w:lineRule="auto"/>
        <w:ind w:firstLine="420" w:firstLineChars="200"/>
        <w:rPr>
          <w:color w:val="auto"/>
          <w:highlight w:val="none"/>
        </w:rPr>
      </w:pPr>
      <w:r>
        <w:rPr>
          <w:color w:val="auto"/>
          <w:highlight w:val="none"/>
        </w:rPr>
        <w:t xml:space="preserve">a）  装置型号； </w:t>
      </w:r>
    </w:p>
    <w:p>
      <w:pPr>
        <w:pStyle w:val="97"/>
        <w:spacing w:line="360" w:lineRule="auto"/>
        <w:ind w:firstLine="420" w:firstLineChars="200"/>
        <w:rPr>
          <w:color w:val="auto"/>
          <w:highlight w:val="none"/>
        </w:rPr>
      </w:pPr>
      <w:r>
        <w:rPr>
          <w:color w:val="auto"/>
          <w:highlight w:val="none"/>
        </w:rPr>
        <w:t>b）</w:t>
      </w:r>
      <w:r>
        <w:rPr>
          <w:color w:val="auto"/>
          <w:highlight w:val="none"/>
        </w:rPr>
        <w:tab/>
      </w:r>
      <w:r>
        <w:rPr>
          <w:color w:val="auto"/>
          <w:highlight w:val="none"/>
        </w:rPr>
        <w:t>产品（装置及部件）全称；</w:t>
      </w:r>
    </w:p>
    <w:p>
      <w:pPr>
        <w:pStyle w:val="97"/>
        <w:spacing w:line="360" w:lineRule="auto"/>
        <w:ind w:firstLine="420" w:firstLineChars="200"/>
        <w:rPr>
          <w:color w:val="auto"/>
          <w:highlight w:val="none"/>
        </w:rPr>
      </w:pPr>
      <w:r>
        <w:rPr>
          <w:color w:val="auto"/>
          <w:highlight w:val="none"/>
        </w:rPr>
        <w:t>c）</w:t>
      </w:r>
      <w:r>
        <w:rPr>
          <w:color w:val="auto"/>
          <w:highlight w:val="none"/>
        </w:rPr>
        <w:tab/>
      </w:r>
      <w:r>
        <w:rPr>
          <w:color w:val="auto"/>
          <w:highlight w:val="none"/>
        </w:rPr>
        <w:t>制造厂全称及商标；</w:t>
      </w:r>
    </w:p>
    <w:p>
      <w:pPr>
        <w:pStyle w:val="97"/>
        <w:spacing w:line="360" w:lineRule="auto"/>
        <w:ind w:firstLine="420" w:firstLineChars="200"/>
        <w:rPr>
          <w:color w:val="auto"/>
          <w:highlight w:val="none"/>
        </w:rPr>
      </w:pPr>
      <w:r>
        <w:rPr>
          <w:color w:val="auto"/>
          <w:highlight w:val="none"/>
        </w:rPr>
        <w:t>d）</w:t>
      </w:r>
      <w:r>
        <w:rPr>
          <w:color w:val="auto"/>
          <w:highlight w:val="none"/>
        </w:rPr>
        <w:tab/>
      </w:r>
      <w:r>
        <w:rPr>
          <w:color w:val="auto"/>
          <w:highlight w:val="none"/>
        </w:rPr>
        <w:t>额定参数；</w:t>
      </w:r>
    </w:p>
    <w:p>
      <w:pPr>
        <w:pStyle w:val="97"/>
        <w:spacing w:line="360" w:lineRule="auto"/>
        <w:ind w:firstLine="420" w:firstLineChars="200"/>
        <w:rPr>
          <w:color w:val="auto"/>
          <w:highlight w:val="none"/>
        </w:rPr>
      </w:pPr>
      <w:r>
        <w:rPr>
          <w:color w:val="auto"/>
          <w:highlight w:val="none"/>
        </w:rPr>
        <w:t>e）</w:t>
      </w:r>
      <w:r>
        <w:rPr>
          <w:color w:val="auto"/>
          <w:highlight w:val="none"/>
        </w:rPr>
        <w:tab/>
      </w:r>
      <w:r>
        <w:rPr>
          <w:color w:val="auto"/>
          <w:highlight w:val="none"/>
        </w:rPr>
        <w:t>出厂日期；</w:t>
      </w:r>
    </w:p>
    <w:p>
      <w:pPr>
        <w:pStyle w:val="97"/>
        <w:spacing w:line="360" w:lineRule="auto"/>
        <w:ind w:firstLine="420" w:firstLineChars="200"/>
        <w:rPr>
          <w:color w:val="auto"/>
          <w:highlight w:val="none"/>
        </w:rPr>
      </w:pPr>
      <w:r>
        <w:rPr>
          <w:color w:val="auto"/>
          <w:highlight w:val="none"/>
        </w:rPr>
        <w:t>f）</w:t>
      </w:r>
      <w:r>
        <w:rPr>
          <w:color w:val="auto"/>
          <w:highlight w:val="none"/>
        </w:rPr>
        <w:tab/>
      </w:r>
      <w:r>
        <w:rPr>
          <w:color w:val="auto"/>
          <w:highlight w:val="none"/>
        </w:rPr>
        <w:t>出厂编号。</w:t>
      </w:r>
    </w:p>
    <w:p>
      <w:pPr>
        <w:tabs>
          <w:tab w:val="left" w:pos="709"/>
        </w:tabs>
        <w:spacing w:line="360" w:lineRule="auto"/>
        <w:ind w:left="709" w:hanging="709"/>
        <w:outlineLvl w:val="2"/>
        <w:rPr>
          <w:color w:val="auto"/>
          <w:highlight w:val="none"/>
        </w:rPr>
      </w:pPr>
      <w:r>
        <w:rPr>
          <w:color w:val="auto"/>
          <w:highlight w:val="none"/>
        </w:rPr>
        <w:t>9.1.2 包装标志</w:t>
      </w:r>
    </w:p>
    <w:p>
      <w:pPr>
        <w:pStyle w:val="97"/>
        <w:spacing w:line="360" w:lineRule="auto"/>
        <w:ind w:firstLine="420" w:firstLineChars="200"/>
        <w:rPr>
          <w:color w:val="auto"/>
          <w:highlight w:val="none"/>
        </w:rPr>
      </w:pPr>
      <w:r>
        <w:rPr>
          <w:color w:val="auto"/>
          <w:highlight w:val="none"/>
        </w:rPr>
        <w:t>在包装箱的适当位置，应标有显著、牢固的包装标志，内容包括：</w:t>
      </w:r>
    </w:p>
    <w:p>
      <w:pPr>
        <w:pStyle w:val="97"/>
        <w:numPr>
          <w:ilvl w:val="1"/>
          <w:numId w:val="45"/>
        </w:numPr>
        <w:spacing w:line="360" w:lineRule="auto"/>
        <w:ind w:left="420" w:leftChars="200" w:firstLine="0"/>
        <w:rPr>
          <w:color w:val="auto"/>
          <w:highlight w:val="none"/>
        </w:rPr>
      </w:pPr>
      <w:r>
        <w:rPr>
          <w:color w:val="auto"/>
          <w:highlight w:val="none"/>
        </w:rPr>
        <w:t>生产企业名称、地址；</w:t>
      </w:r>
    </w:p>
    <w:p>
      <w:pPr>
        <w:pStyle w:val="97"/>
        <w:numPr>
          <w:ilvl w:val="1"/>
          <w:numId w:val="45"/>
        </w:numPr>
        <w:spacing w:line="360" w:lineRule="auto"/>
        <w:ind w:left="420" w:leftChars="200" w:firstLine="0"/>
        <w:rPr>
          <w:color w:val="auto"/>
          <w:highlight w:val="none"/>
        </w:rPr>
      </w:pPr>
      <w:r>
        <w:rPr>
          <w:color w:val="auto"/>
          <w:highlight w:val="none"/>
        </w:rPr>
        <w:t>监测装置名称、型号；</w:t>
      </w:r>
    </w:p>
    <w:p>
      <w:pPr>
        <w:pStyle w:val="97"/>
        <w:numPr>
          <w:ilvl w:val="1"/>
          <w:numId w:val="45"/>
        </w:numPr>
        <w:spacing w:line="360" w:lineRule="auto"/>
        <w:ind w:left="420" w:leftChars="200" w:firstLine="0"/>
        <w:rPr>
          <w:color w:val="auto"/>
          <w:highlight w:val="none"/>
        </w:rPr>
      </w:pPr>
      <w:r>
        <w:rPr>
          <w:color w:val="auto"/>
          <w:highlight w:val="none"/>
        </w:rPr>
        <w:t>装置数量；</w:t>
      </w:r>
    </w:p>
    <w:p>
      <w:pPr>
        <w:pStyle w:val="97"/>
        <w:numPr>
          <w:ilvl w:val="1"/>
          <w:numId w:val="45"/>
        </w:numPr>
        <w:spacing w:line="360" w:lineRule="auto"/>
        <w:ind w:left="420" w:leftChars="200" w:firstLine="0"/>
        <w:rPr>
          <w:color w:val="auto"/>
          <w:highlight w:val="none"/>
        </w:rPr>
      </w:pPr>
      <w:r>
        <w:rPr>
          <w:color w:val="auto"/>
          <w:highlight w:val="none"/>
        </w:rPr>
        <w:t>包装箱外形尺寸；</w:t>
      </w:r>
    </w:p>
    <w:p>
      <w:pPr>
        <w:pStyle w:val="97"/>
        <w:numPr>
          <w:ilvl w:val="1"/>
          <w:numId w:val="45"/>
        </w:numPr>
        <w:spacing w:line="360" w:lineRule="auto"/>
        <w:ind w:left="420" w:leftChars="200" w:firstLine="0"/>
        <w:rPr>
          <w:color w:val="auto"/>
          <w:highlight w:val="none"/>
        </w:rPr>
      </w:pPr>
      <w:r>
        <w:rPr>
          <w:color w:val="auto"/>
          <w:highlight w:val="none"/>
        </w:rPr>
        <w:t>净重或毛重（kg）；</w:t>
      </w:r>
    </w:p>
    <w:p>
      <w:pPr>
        <w:pStyle w:val="97"/>
        <w:numPr>
          <w:ilvl w:val="1"/>
          <w:numId w:val="45"/>
        </w:numPr>
        <w:spacing w:line="360" w:lineRule="auto"/>
        <w:ind w:left="420" w:leftChars="200" w:firstLine="0"/>
        <w:rPr>
          <w:color w:val="auto"/>
          <w:highlight w:val="none"/>
        </w:rPr>
      </w:pPr>
      <w:r>
        <w:rPr>
          <w:color w:val="auto"/>
          <w:highlight w:val="none"/>
        </w:rPr>
        <w:t>包装箱外面书写"防潮"、"小心轻放"、"不可倒置"等字样；</w:t>
      </w:r>
    </w:p>
    <w:p>
      <w:pPr>
        <w:pStyle w:val="97"/>
        <w:numPr>
          <w:ilvl w:val="1"/>
          <w:numId w:val="45"/>
        </w:numPr>
        <w:spacing w:line="360" w:lineRule="auto"/>
        <w:ind w:left="420" w:leftChars="200" w:firstLine="0"/>
        <w:rPr>
          <w:color w:val="auto"/>
          <w:highlight w:val="none"/>
        </w:rPr>
      </w:pPr>
      <w:r>
        <w:rPr>
          <w:color w:val="auto"/>
          <w:highlight w:val="none"/>
        </w:rPr>
        <w:t>到站（港）及收货单位；</w:t>
      </w:r>
    </w:p>
    <w:p>
      <w:pPr>
        <w:pStyle w:val="97"/>
        <w:numPr>
          <w:ilvl w:val="1"/>
          <w:numId w:val="45"/>
        </w:numPr>
        <w:spacing w:line="360" w:lineRule="auto"/>
        <w:ind w:left="420" w:leftChars="200" w:firstLine="0"/>
        <w:rPr>
          <w:color w:val="auto"/>
          <w:highlight w:val="none"/>
        </w:rPr>
      </w:pPr>
      <w:r>
        <w:rPr>
          <w:color w:val="auto"/>
          <w:highlight w:val="none"/>
        </w:rPr>
        <w:t>发站（港）及发货单位；</w:t>
      </w:r>
    </w:p>
    <w:p>
      <w:pPr>
        <w:pStyle w:val="97"/>
        <w:numPr>
          <w:ilvl w:val="1"/>
          <w:numId w:val="45"/>
        </w:numPr>
        <w:spacing w:line="360" w:lineRule="auto"/>
        <w:ind w:left="420" w:leftChars="200" w:firstLine="0"/>
        <w:rPr>
          <w:color w:val="auto"/>
          <w:highlight w:val="none"/>
        </w:rPr>
      </w:pPr>
      <w:r>
        <w:rPr>
          <w:color w:val="auto"/>
          <w:highlight w:val="none"/>
        </w:rPr>
        <w:t>工程项目名称。</w:t>
      </w:r>
    </w:p>
    <w:p>
      <w:pPr>
        <w:tabs>
          <w:tab w:val="left" w:pos="709"/>
        </w:tabs>
        <w:spacing w:line="360" w:lineRule="auto"/>
        <w:ind w:left="709" w:hanging="709"/>
        <w:outlineLvl w:val="2"/>
        <w:rPr>
          <w:color w:val="auto"/>
          <w:highlight w:val="none"/>
        </w:rPr>
      </w:pPr>
      <w:r>
        <w:rPr>
          <w:color w:val="auto"/>
          <w:highlight w:val="none"/>
        </w:rPr>
        <w:t>9.1.3 储运图示和收发货标志</w:t>
      </w:r>
    </w:p>
    <w:p>
      <w:pPr>
        <w:spacing w:line="360" w:lineRule="auto"/>
        <w:ind w:firstLine="420"/>
        <w:rPr>
          <w:color w:val="auto"/>
          <w:highlight w:val="none"/>
        </w:rPr>
      </w:pPr>
      <w:r>
        <w:rPr>
          <w:color w:val="auto"/>
          <w:highlight w:val="none"/>
        </w:rPr>
        <w:t>在</w:t>
      </w:r>
      <w:r>
        <w:rPr>
          <w:color w:val="auto"/>
          <w:szCs w:val="21"/>
          <w:highlight w:val="none"/>
        </w:rPr>
        <w:t>包装储运图示和收发货标志应根据被包装监测装置的特点，按GB/T 191和GB 6388的有关规定正确选用。</w:t>
      </w:r>
    </w:p>
    <w:p>
      <w:pPr>
        <w:pStyle w:val="3"/>
        <w:spacing w:before="0" w:after="0" w:line="360" w:lineRule="auto"/>
        <w:rPr>
          <w:rFonts w:ascii="Times New Roman" w:hAnsi="Times New Roman" w:eastAsia="黑体"/>
          <w:b w:val="0"/>
          <w:bCs/>
          <w:color w:val="auto"/>
          <w:sz w:val="24"/>
          <w:szCs w:val="24"/>
          <w:highlight w:val="none"/>
        </w:rPr>
      </w:pPr>
      <w:bookmarkStart w:id="555" w:name="_Toc3571"/>
      <w:bookmarkStart w:id="556" w:name="_Toc6315"/>
      <w:bookmarkStart w:id="557" w:name="_Toc30447"/>
      <w:bookmarkStart w:id="558" w:name="_Toc791"/>
      <w:bookmarkStart w:id="559" w:name="_Toc168869438"/>
      <w:bookmarkStart w:id="560" w:name="_Toc10165"/>
      <w:bookmarkStart w:id="561" w:name="_Toc7909"/>
      <w:bookmarkStart w:id="562" w:name="_Toc6596"/>
      <w:bookmarkStart w:id="563" w:name="_Toc30651"/>
      <w:bookmarkStart w:id="564" w:name="_Toc5895"/>
      <w:bookmarkStart w:id="565" w:name="_Toc28124"/>
      <w:bookmarkStart w:id="566" w:name="_Toc500920872"/>
      <w:bookmarkStart w:id="567" w:name="_Toc9761"/>
      <w:bookmarkStart w:id="568" w:name="_Toc30228"/>
      <w:r>
        <w:rPr>
          <w:rFonts w:ascii="Times New Roman" w:hAnsi="Times New Roman" w:eastAsia="黑体"/>
          <w:b w:val="0"/>
          <w:bCs/>
          <w:color w:val="auto"/>
          <w:sz w:val="24"/>
          <w:szCs w:val="24"/>
          <w:highlight w:val="none"/>
        </w:rPr>
        <w:t>9.2 包装</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pPr>
        <w:tabs>
          <w:tab w:val="left" w:pos="709"/>
        </w:tabs>
        <w:spacing w:line="360" w:lineRule="auto"/>
        <w:ind w:left="709" w:hanging="709"/>
        <w:outlineLvl w:val="2"/>
        <w:rPr>
          <w:color w:val="auto"/>
          <w:highlight w:val="none"/>
        </w:rPr>
      </w:pPr>
      <w:r>
        <w:rPr>
          <w:color w:val="auto"/>
          <w:highlight w:val="none"/>
        </w:rPr>
        <w:t>9.2.1 基本要求</w:t>
      </w:r>
    </w:p>
    <w:p>
      <w:pPr>
        <w:pStyle w:val="97"/>
        <w:spacing w:line="360" w:lineRule="auto"/>
        <w:ind w:firstLine="420" w:firstLineChars="200"/>
        <w:rPr>
          <w:color w:val="auto"/>
          <w:highlight w:val="none"/>
        </w:rPr>
      </w:pPr>
      <w:r>
        <w:rPr>
          <w:color w:val="auto"/>
          <w:highlight w:val="none"/>
        </w:rPr>
        <w:t>监测装置的包装应满足GB/T 13384，符合牢固、美观和经济的要求，做到结构合理、紧凑、防护可靠，在正常储运、装卸条件下，保证监测装置不致因包装不善而引起设备损坏、散失、锈蚀、长霉和降低准确度等；</w:t>
      </w:r>
    </w:p>
    <w:p>
      <w:pPr>
        <w:tabs>
          <w:tab w:val="left" w:pos="709"/>
        </w:tabs>
        <w:spacing w:line="360" w:lineRule="auto"/>
        <w:ind w:left="709" w:hanging="709"/>
        <w:outlineLvl w:val="2"/>
        <w:rPr>
          <w:color w:val="auto"/>
          <w:highlight w:val="none"/>
        </w:rPr>
      </w:pPr>
      <w:r>
        <w:rPr>
          <w:color w:val="auto"/>
          <w:highlight w:val="none"/>
        </w:rPr>
        <w:t>9.2.2 包装环境要求</w:t>
      </w:r>
    </w:p>
    <w:p>
      <w:pPr>
        <w:pStyle w:val="97"/>
        <w:spacing w:line="360" w:lineRule="auto"/>
        <w:ind w:firstLine="420" w:firstLineChars="200"/>
        <w:rPr>
          <w:color w:val="auto"/>
          <w:highlight w:val="none"/>
        </w:rPr>
      </w:pPr>
      <w:r>
        <w:rPr>
          <w:color w:val="auto"/>
          <w:highlight w:val="none"/>
        </w:rPr>
        <w:t>监测装置包装时，周围环境及包装箱内应清洁、干燥，无有害气体、无异物。</w:t>
      </w:r>
    </w:p>
    <w:p>
      <w:pPr>
        <w:tabs>
          <w:tab w:val="left" w:pos="709"/>
        </w:tabs>
        <w:spacing w:line="360" w:lineRule="auto"/>
        <w:ind w:left="709" w:hanging="709"/>
        <w:outlineLvl w:val="2"/>
        <w:rPr>
          <w:color w:val="auto"/>
          <w:highlight w:val="none"/>
        </w:rPr>
      </w:pPr>
      <w:r>
        <w:rPr>
          <w:color w:val="auto"/>
          <w:highlight w:val="none"/>
        </w:rPr>
        <w:t>9.2.3 装箱要求</w:t>
      </w:r>
    </w:p>
    <w:p>
      <w:pPr>
        <w:pStyle w:val="97"/>
        <w:spacing w:line="360" w:lineRule="auto"/>
        <w:ind w:firstLine="420" w:firstLineChars="200"/>
        <w:rPr>
          <w:color w:val="auto"/>
          <w:highlight w:val="none"/>
        </w:rPr>
      </w:pPr>
      <w:r>
        <w:rPr>
          <w:color w:val="auto"/>
          <w:highlight w:val="none"/>
        </w:rPr>
        <w:t>监测装置包装后，其包装件中心应尽量靠下且居中。监测装置装在箱内应予以支撑、垫平、卡紧，监测装置可移动的部分应移至使监测装置具有最小外形尺寸，并加以固定。</w:t>
      </w:r>
    </w:p>
    <w:p>
      <w:pPr>
        <w:tabs>
          <w:tab w:val="left" w:pos="709"/>
        </w:tabs>
        <w:spacing w:line="360" w:lineRule="auto"/>
        <w:ind w:left="709" w:hanging="709"/>
        <w:outlineLvl w:val="2"/>
        <w:rPr>
          <w:color w:val="auto"/>
          <w:highlight w:val="none"/>
        </w:rPr>
      </w:pPr>
      <w:r>
        <w:rPr>
          <w:color w:val="auto"/>
          <w:highlight w:val="none"/>
        </w:rPr>
        <w:t>9.2.4 分体包装要求</w:t>
      </w:r>
    </w:p>
    <w:p>
      <w:pPr>
        <w:pStyle w:val="97"/>
        <w:spacing w:line="360" w:lineRule="auto"/>
        <w:ind w:firstLine="420" w:firstLineChars="200"/>
        <w:rPr>
          <w:color w:val="auto"/>
          <w:highlight w:val="none"/>
        </w:rPr>
      </w:pPr>
      <w:r>
        <w:rPr>
          <w:color w:val="auto"/>
          <w:highlight w:val="none"/>
        </w:rPr>
        <w:t>监测装置如有突出部分，在不影响其性能的条件下，应拆卸包装，以缩小包装件体积。</w:t>
      </w:r>
    </w:p>
    <w:p>
      <w:pPr>
        <w:tabs>
          <w:tab w:val="left" w:pos="709"/>
        </w:tabs>
        <w:spacing w:line="360" w:lineRule="auto"/>
        <w:ind w:left="709" w:hanging="709"/>
        <w:outlineLvl w:val="2"/>
        <w:rPr>
          <w:color w:val="auto"/>
          <w:highlight w:val="none"/>
        </w:rPr>
      </w:pPr>
      <w:r>
        <w:rPr>
          <w:color w:val="auto"/>
          <w:highlight w:val="none"/>
        </w:rPr>
        <w:t>9.2.5 产品防护</w:t>
      </w:r>
    </w:p>
    <w:p>
      <w:pPr>
        <w:pStyle w:val="97"/>
        <w:spacing w:line="360" w:lineRule="auto"/>
        <w:ind w:firstLine="420" w:firstLineChars="200"/>
        <w:rPr>
          <w:color w:val="auto"/>
          <w:highlight w:val="none"/>
        </w:rPr>
      </w:pPr>
      <w:r>
        <w:rPr>
          <w:color w:val="auto"/>
          <w:highlight w:val="none"/>
        </w:rPr>
        <w:t>监测装置的防振、防潮、防尘等防护包装按GB/T 13384中的有关规定进行。</w:t>
      </w:r>
    </w:p>
    <w:p>
      <w:pPr>
        <w:tabs>
          <w:tab w:val="left" w:pos="709"/>
        </w:tabs>
        <w:spacing w:line="360" w:lineRule="auto"/>
        <w:ind w:left="709" w:hanging="709"/>
        <w:outlineLvl w:val="2"/>
        <w:rPr>
          <w:color w:val="auto"/>
          <w:highlight w:val="none"/>
        </w:rPr>
      </w:pPr>
      <w:r>
        <w:rPr>
          <w:color w:val="auto"/>
          <w:highlight w:val="none"/>
        </w:rPr>
        <w:t>9.2.6 随机文件清单</w:t>
      </w:r>
    </w:p>
    <w:p>
      <w:pPr>
        <w:pStyle w:val="97"/>
        <w:spacing w:line="360" w:lineRule="auto"/>
        <w:ind w:firstLine="420" w:firstLineChars="200"/>
        <w:rPr>
          <w:color w:val="auto"/>
          <w:highlight w:val="none"/>
        </w:rPr>
      </w:pPr>
      <w:r>
        <w:rPr>
          <w:color w:val="auto"/>
          <w:highlight w:val="none"/>
        </w:rPr>
        <w:t>随机文件应齐全，文件清单至少包含：</w:t>
      </w:r>
    </w:p>
    <w:p>
      <w:pPr>
        <w:pStyle w:val="97"/>
        <w:spacing w:line="360" w:lineRule="auto"/>
        <w:ind w:firstLine="420" w:firstLineChars="200"/>
        <w:rPr>
          <w:color w:val="auto"/>
          <w:highlight w:val="none"/>
        </w:rPr>
      </w:pPr>
      <w:r>
        <w:rPr>
          <w:color w:val="auto"/>
          <w:highlight w:val="none"/>
        </w:rPr>
        <w:t>a）</w:t>
      </w:r>
      <w:r>
        <w:rPr>
          <w:color w:val="auto"/>
          <w:highlight w:val="none"/>
        </w:rPr>
        <w:tab/>
      </w:r>
      <w:r>
        <w:rPr>
          <w:color w:val="auto"/>
          <w:highlight w:val="none"/>
        </w:rPr>
        <w:t>装箱清单表；</w:t>
      </w:r>
    </w:p>
    <w:p>
      <w:pPr>
        <w:pStyle w:val="97"/>
        <w:spacing w:line="360" w:lineRule="auto"/>
        <w:ind w:firstLine="420" w:firstLineChars="200"/>
        <w:rPr>
          <w:color w:val="auto"/>
          <w:highlight w:val="none"/>
        </w:rPr>
      </w:pPr>
      <w:r>
        <w:rPr>
          <w:color w:val="auto"/>
          <w:highlight w:val="none"/>
        </w:rPr>
        <w:t>b）</w:t>
      </w:r>
      <w:r>
        <w:rPr>
          <w:color w:val="auto"/>
          <w:highlight w:val="none"/>
        </w:rPr>
        <w:tab/>
      </w:r>
      <w:r>
        <w:rPr>
          <w:color w:val="auto"/>
          <w:highlight w:val="none"/>
        </w:rPr>
        <w:t>使用说明书，应包含蓄电池充电方法；</w:t>
      </w:r>
    </w:p>
    <w:p>
      <w:pPr>
        <w:pStyle w:val="97"/>
        <w:spacing w:line="360" w:lineRule="auto"/>
        <w:ind w:firstLine="420" w:firstLineChars="200"/>
        <w:rPr>
          <w:color w:val="auto"/>
          <w:highlight w:val="none"/>
        </w:rPr>
      </w:pPr>
      <w:r>
        <w:rPr>
          <w:color w:val="auto"/>
          <w:highlight w:val="none"/>
        </w:rPr>
        <w:t>c）</w:t>
      </w:r>
      <w:r>
        <w:rPr>
          <w:color w:val="auto"/>
          <w:highlight w:val="none"/>
        </w:rPr>
        <w:tab/>
      </w:r>
      <w:r>
        <w:rPr>
          <w:color w:val="auto"/>
          <w:highlight w:val="none"/>
        </w:rPr>
        <w:t>出厂合格证；</w:t>
      </w:r>
    </w:p>
    <w:p>
      <w:pPr>
        <w:pStyle w:val="97"/>
        <w:spacing w:line="360" w:lineRule="auto"/>
        <w:ind w:firstLine="420" w:firstLineChars="200"/>
        <w:rPr>
          <w:color w:val="auto"/>
          <w:highlight w:val="none"/>
        </w:rPr>
      </w:pPr>
      <w:r>
        <w:rPr>
          <w:color w:val="auto"/>
          <w:highlight w:val="none"/>
        </w:rPr>
        <w:t>d）</w:t>
      </w:r>
      <w:r>
        <w:rPr>
          <w:color w:val="auto"/>
          <w:highlight w:val="none"/>
        </w:rPr>
        <w:tab/>
      </w:r>
      <w:r>
        <w:rPr>
          <w:color w:val="auto"/>
          <w:highlight w:val="none"/>
        </w:rPr>
        <w:t>出厂检验报告。</w:t>
      </w:r>
    </w:p>
    <w:p>
      <w:pPr>
        <w:tabs>
          <w:tab w:val="left" w:pos="709"/>
        </w:tabs>
        <w:spacing w:line="360" w:lineRule="auto"/>
        <w:ind w:left="709" w:hanging="709"/>
        <w:outlineLvl w:val="2"/>
        <w:rPr>
          <w:color w:val="auto"/>
          <w:highlight w:val="none"/>
        </w:rPr>
      </w:pPr>
      <w:r>
        <w:rPr>
          <w:color w:val="auto"/>
          <w:highlight w:val="none"/>
        </w:rPr>
        <w:t>9.2.7 随机文件包装</w:t>
      </w:r>
    </w:p>
    <w:p>
      <w:pPr>
        <w:pStyle w:val="97"/>
        <w:spacing w:line="360" w:lineRule="auto"/>
        <w:ind w:firstLine="420" w:firstLineChars="200"/>
        <w:rPr>
          <w:color w:val="auto"/>
          <w:highlight w:val="none"/>
        </w:rPr>
      </w:pPr>
      <w:r>
        <w:rPr>
          <w:color w:val="auto"/>
          <w:highlight w:val="none"/>
        </w:rPr>
        <w:t>随机文件应装入塑料袋中，并放置在包装箱内；若整套监测装置分装数箱，则随机文件应放在主机箱内。</w:t>
      </w:r>
    </w:p>
    <w:p>
      <w:pPr>
        <w:pStyle w:val="3"/>
        <w:spacing w:before="0" w:after="0" w:line="360" w:lineRule="auto"/>
        <w:rPr>
          <w:rFonts w:ascii="Times New Roman" w:hAnsi="Times New Roman" w:eastAsia="黑体"/>
          <w:b w:val="0"/>
          <w:bCs/>
          <w:color w:val="auto"/>
          <w:sz w:val="24"/>
          <w:szCs w:val="24"/>
          <w:highlight w:val="none"/>
        </w:rPr>
      </w:pPr>
      <w:bookmarkStart w:id="569" w:name="_Toc500920873"/>
      <w:bookmarkStart w:id="570" w:name="_Toc21847"/>
      <w:bookmarkStart w:id="571" w:name="_Toc8223"/>
      <w:bookmarkStart w:id="572" w:name="_Toc605"/>
      <w:bookmarkStart w:id="573" w:name="_Toc5162"/>
      <w:bookmarkStart w:id="574" w:name="_Toc25557"/>
      <w:bookmarkStart w:id="575" w:name="_Toc20353"/>
      <w:bookmarkStart w:id="576" w:name="_Toc168869439"/>
      <w:bookmarkStart w:id="577" w:name="_Toc16884"/>
      <w:bookmarkStart w:id="578" w:name="_Toc1364"/>
      <w:bookmarkStart w:id="579" w:name="_Toc4147"/>
      <w:bookmarkStart w:id="580" w:name="_Toc23242"/>
      <w:bookmarkStart w:id="581" w:name="_Toc8504"/>
      <w:bookmarkStart w:id="582" w:name="_Toc12299"/>
      <w:r>
        <w:rPr>
          <w:rFonts w:ascii="Times New Roman" w:hAnsi="Times New Roman" w:eastAsia="黑体"/>
          <w:b w:val="0"/>
          <w:bCs/>
          <w:color w:val="auto"/>
          <w:sz w:val="24"/>
          <w:szCs w:val="24"/>
          <w:highlight w:val="none"/>
        </w:rPr>
        <w:t>9.3 运输</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pPr>
        <w:pStyle w:val="97"/>
        <w:spacing w:line="360" w:lineRule="auto"/>
        <w:ind w:firstLine="420" w:firstLineChars="200"/>
        <w:rPr>
          <w:color w:val="auto"/>
          <w:highlight w:val="none"/>
        </w:rPr>
      </w:pPr>
      <w:r>
        <w:rPr>
          <w:color w:val="auto"/>
          <w:highlight w:val="none"/>
        </w:rPr>
        <w:t>包装完整的监测装置在运输过程中应避免雨、雪的直接淋袭，并防止受到剧烈的撞击和振动。</w:t>
      </w:r>
    </w:p>
    <w:p>
      <w:pPr>
        <w:pStyle w:val="3"/>
        <w:spacing w:before="0" w:after="0" w:line="360" w:lineRule="auto"/>
        <w:rPr>
          <w:rFonts w:ascii="Times New Roman" w:hAnsi="Times New Roman" w:eastAsia="黑体"/>
          <w:b w:val="0"/>
          <w:bCs/>
          <w:color w:val="auto"/>
          <w:sz w:val="24"/>
          <w:szCs w:val="24"/>
          <w:highlight w:val="none"/>
        </w:rPr>
      </w:pPr>
      <w:bookmarkStart w:id="583" w:name="_Toc2559"/>
      <w:bookmarkStart w:id="584" w:name="_Toc168869440"/>
      <w:bookmarkStart w:id="585" w:name="_Toc18245"/>
      <w:bookmarkStart w:id="586" w:name="_Toc17881"/>
      <w:bookmarkStart w:id="587" w:name="_Toc25099"/>
      <w:bookmarkStart w:id="588" w:name="_Toc19120"/>
      <w:bookmarkStart w:id="589" w:name="_Toc138"/>
      <w:bookmarkStart w:id="590" w:name="_Toc12582"/>
      <w:bookmarkStart w:id="591" w:name="_Toc21036"/>
      <w:bookmarkStart w:id="592" w:name="_Toc29288"/>
      <w:bookmarkStart w:id="593" w:name="_Toc500920874"/>
      <w:bookmarkStart w:id="594" w:name="_Toc23109"/>
      <w:bookmarkStart w:id="595" w:name="_Toc12313"/>
      <w:bookmarkStart w:id="596" w:name="_Toc7190"/>
      <w:r>
        <w:rPr>
          <w:rFonts w:ascii="Times New Roman" w:hAnsi="Times New Roman" w:eastAsia="黑体"/>
          <w:b w:val="0"/>
          <w:bCs/>
          <w:color w:val="auto"/>
          <w:sz w:val="24"/>
          <w:szCs w:val="24"/>
          <w:highlight w:val="none"/>
        </w:rPr>
        <w:t>9.4 贮存</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pPr>
        <w:pStyle w:val="97"/>
        <w:numPr>
          <w:ilvl w:val="0"/>
          <w:numId w:val="46"/>
        </w:numPr>
        <w:spacing w:line="360" w:lineRule="auto"/>
        <w:rPr>
          <w:color w:val="auto"/>
          <w:highlight w:val="none"/>
        </w:rPr>
      </w:pPr>
      <w:r>
        <w:rPr>
          <w:color w:val="auto"/>
          <w:highlight w:val="none"/>
        </w:rPr>
        <w:t>包装好的监测装置应贮存在环境温度-25℃～+45℃、相对湿度小于80%的室内，且周围无腐蚀性挥发物，无强电磁场作用；</w:t>
      </w:r>
    </w:p>
    <w:p>
      <w:pPr>
        <w:pStyle w:val="97"/>
        <w:numPr>
          <w:ilvl w:val="0"/>
          <w:numId w:val="46"/>
        </w:numPr>
        <w:spacing w:line="360" w:lineRule="auto"/>
        <w:rPr>
          <w:color w:val="auto"/>
          <w:highlight w:val="none"/>
        </w:rPr>
      </w:pPr>
      <w:r>
        <w:rPr>
          <w:color w:val="auto"/>
          <w:highlight w:val="none"/>
        </w:rPr>
        <w:t>从设备出厂之日起，贮存时间超过12个月，使用前应按照制造厂家方法对蓄电池补充电。</w:t>
      </w:r>
      <w:bookmarkEnd w:id="540"/>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sectPr>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长城仿宋">
    <w:altName w:val="仿宋"/>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2000009F" w:csb1="DFD7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2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pPr>
      <w:pStyle w:val="3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3</w:t>
    </w:r>
    <w:r>
      <w:rPr>
        <w:rStyle w:val="62"/>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pPr>
          <w:pStyle w:val="37"/>
          <w:jc w:val="center"/>
        </w:pPr>
        <w:r>
          <w:fldChar w:fldCharType="begin"/>
        </w:r>
        <w:r>
          <w:instrText xml:space="preserve">PAGE   \* MERGEFORMAT</w:instrText>
        </w:r>
        <w:r>
          <w:fldChar w:fldCharType="separate"/>
        </w:r>
        <w:r>
          <w:rPr>
            <w:lang w:val="zh-CN"/>
          </w:rPr>
          <w:t>8</w:t>
        </w:r>
        <w:r>
          <w:fldChar w:fldCharType="end"/>
        </w:r>
      </w:p>
    </w:sdtContent>
  </w:sdt>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Ansi="宋体"/>
        <w:bCs/>
        <w:szCs w:val="21"/>
      </w:rPr>
      <w:t>Q/GD1 1130.12-2009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59DDBD"/>
    <w:multiLevelType w:val="singleLevel"/>
    <w:tmpl w:val="FD59DDBD"/>
    <w:lvl w:ilvl="0" w:tentative="0">
      <w:start w:val="1"/>
      <w:numFmt w:val="lowerLetter"/>
      <w:lvlText w:val="%1)"/>
      <w:lvlJc w:val="left"/>
    </w:lvl>
  </w:abstractNum>
  <w:abstractNum w:abstractNumId="1">
    <w:nsid w:val="FFFFFF7F"/>
    <w:multiLevelType w:val="singleLevel"/>
    <w:tmpl w:val="FFFFFF7F"/>
    <w:lvl w:ilvl="0" w:tentative="0">
      <w:start w:val="1"/>
      <w:numFmt w:val="decimal"/>
      <w:pStyle w:val="13"/>
      <w:lvlText w:val="%1."/>
      <w:lvlJc w:val="left"/>
      <w:pPr>
        <w:tabs>
          <w:tab w:val="left" w:pos="780"/>
        </w:tabs>
        <w:ind w:left="780" w:leftChars="200" w:hanging="360" w:hangingChars="200"/>
      </w:pPr>
    </w:lvl>
  </w:abstractNum>
  <w:abstractNum w:abstractNumId="2">
    <w:nsid w:val="FFFFFF88"/>
    <w:multiLevelType w:val="singleLevel"/>
    <w:tmpl w:val="FFFFFF88"/>
    <w:lvl w:ilvl="0" w:tentative="0">
      <w:start w:val="1"/>
      <w:numFmt w:val="decimal"/>
      <w:pStyle w:val="16"/>
      <w:lvlText w:val="%1."/>
      <w:lvlJc w:val="left"/>
      <w:pPr>
        <w:tabs>
          <w:tab w:val="left" w:pos="3763"/>
        </w:tabs>
        <w:ind w:left="3763" w:hanging="360" w:hangingChars="200"/>
      </w:pPr>
    </w:lvl>
  </w:abstractNum>
  <w:abstractNum w:abstractNumId="3">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4">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6">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0A825CA4"/>
    <w:multiLevelType w:val="multilevel"/>
    <w:tmpl w:val="0A825CA4"/>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0FE921B5"/>
    <w:multiLevelType w:val="multilevel"/>
    <w:tmpl w:val="0FE921B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1072D540"/>
    <w:multiLevelType w:val="singleLevel"/>
    <w:tmpl w:val="1072D540"/>
    <w:lvl w:ilvl="0" w:tentative="0">
      <w:start w:val="1"/>
      <w:numFmt w:val="decimal"/>
      <w:suff w:val="nothing"/>
      <w:lvlText w:val="（%1）"/>
      <w:lvlJc w:val="left"/>
    </w:lvl>
  </w:abstractNum>
  <w:abstractNum w:abstractNumId="13">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4">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5">
    <w:nsid w:val="1C7B4DAA"/>
    <w:multiLevelType w:val="multilevel"/>
    <w:tmpl w:val="1C7B4DA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1C940092"/>
    <w:multiLevelType w:val="multilevel"/>
    <w:tmpl w:val="1C94009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8">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9">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27CC06AB"/>
    <w:multiLevelType w:val="multilevel"/>
    <w:tmpl w:val="27CC06AB"/>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284F1908"/>
    <w:multiLevelType w:val="multilevel"/>
    <w:tmpl w:val="284F1908"/>
    <w:lvl w:ilvl="0" w:tentative="0">
      <w:start w:val="1"/>
      <w:numFmt w:val="lowerLetter"/>
      <w:lvlText w:val="%1)"/>
      <w:lvlJc w:val="left"/>
      <w:pPr>
        <w:ind w:left="1259" w:hanging="420"/>
      </w:pPr>
    </w:lvl>
    <w:lvl w:ilvl="1" w:tentative="0">
      <w:start w:val="1"/>
      <w:numFmt w:val="decimal"/>
      <w:lvlText w:val="%2）"/>
      <w:lvlJc w:val="left"/>
      <w:pPr>
        <w:ind w:left="1619" w:hanging="360"/>
      </w:pPr>
      <w:rPr>
        <w:rFonts w:hint="default"/>
      </w:rPr>
    </w:lvl>
    <w:lvl w:ilvl="2" w:tentative="0">
      <w:start w:val="1"/>
      <w:numFmt w:val="lowerRoman"/>
      <w:lvlText w:val="%3."/>
      <w:lvlJc w:val="right"/>
      <w:pPr>
        <w:ind w:left="2099" w:hanging="420"/>
      </w:pPr>
    </w:lvl>
    <w:lvl w:ilvl="3" w:tentative="0">
      <w:start w:val="1"/>
      <w:numFmt w:val="decimal"/>
      <w:lvlText w:val="%4."/>
      <w:lvlJc w:val="left"/>
      <w:pPr>
        <w:ind w:left="2519" w:hanging="420"/>
      </w:pPr>
    </w:lvl>
    <w:lvl w:ilvl="4" w:tentative="0">
      <w:start w:val="1"/>
      <w:numFmt w:val="lowerLetter"/>
      <w:lvlText w:val="%5)"/>
      <w:lvlJc w:val="left"/>
      <w:pPr>
        <w:ind w:left="2939" w:hanging="420"/>
      </w:pPr>
    </w:lvl>
    <w:lvl w:ilvl="5" w:tentative="0">
      <w:start w:val="1"/>
      <w:numFmt w:val="lowerRoman"/>
      <w:lvlText w:val="%6."/>
      <w:lvlJc w:val="right"/>
      <w:pPr>
        <w:ind w:left="3359" w:hanging="420"/>
      </w:pPr>
    </w:lvl>
    <w:lvl w:ilvl="6" w:tentative="0">
      <w:start w:val="1"/>
      <w:numFmt w:val="decimal"/>
      <w:lvlText w:val="%7."/>
      <w:lvlJc w:val="left"/>
      <w:pPr>
        <w:ind w:left="3779" w:hanging="420"/>
      </w:pPr>
    </w:lvl>
    <w:lvl w:ilvl="7" w:tentative="0">
      <w:start w:val="1"/>
      <w:numFmt w:val="lowerLetter"/>
      <w:lvlText w:val="%8)"/>
      <w:lvlJc w:val="left"/>
      <w:pPr>
        <w:ind w:left="4199" w:hanging="420"/>
      </w:pPr>
    </w:lvl>
    <w:lvl w:ilvl="8" w:tentative="0">
      <w:start w:val="1"/>
      <w:numFmt w:val="lowerRoman"/>
      <w:lvlText w:val="%9."/>
      <w:lvlJc w:val="right"/>
      <w:pPr>
        <w:ind w:left="4619" w:hanging="420"/>
      </w:pPr>
    </w:lvl>
  </w:abstractNum>
  <w:abstractNum w:abstractNumId="22">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3">
    <w:nsid w:val="2BF76F6B"/>
    <w:multiLevelType w:val="singleLevel"/>
    <w:tmpl w:val="2BF76F6B"/>
    <w:lvl w:ilvl="0" w:tentative="0">
      <w:start w:val="1"/>
      <w:numFmt w:val="decimal"/>
      <w:suff w:val="nothing"/>
      <w:lvlText w:val="%1）"/>
      <w:lvlJc w:val="left"/>
    </w:lvl>
  </w:abstractNum>
  <w:abstractNum w:abstractNumId="24">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5">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6">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3A1155F9"/>
    <w:multiLevelType w:val="multilevel"/>
    <w:tmpl w:val="3A1155F9"/>
    <w:lvl w:ilvl="0" w:tentative="0">
      <w:start w:val="1"/>
      <w:numFmt w:val="lowerLetter"/>
      <w:lvlText w:val="%1)"/>
      <w:lvlJc w:val="left"/>
      <w:pPr>
        <w:ind w:left="840" w:hanging="420"/>
      </w:pPr>
    </w:lvl>
    <w:lvl w:ilvl="1" w:tentative="0">
      <w:start w:val="2"/>
      <w:numFmt w:val="bullet"/>
      <w:lvlText w:val="—"/>
      <w:lvlJc w:val="left"/>
      <w:pPr>
        <w:ind w:left="1200" w:hanging="360"/>
      </w:pPr>
      <w:rPr>
        <w:rFonts w:hint="default" w:ascii="Times New Roman" w:hAnsi="Times New Roman" w:eastAsia="宋体" w:cs="Times New Roman"/>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3D733618"/>
    <w:multiLevelType w:val="multilevel"/>
    <w:tmpl w:val="3D733618"/>
    <w:lvl w:ilvl="0" w:tentative="0">
      <w:start w:val="1"/>
      <w:numFmt w:val="decimal"/>
      <w:pStyle w:val="4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9">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0">
    <w:nsid w:val="42255D38"/>
    <w:multiLevelType w:val="singleLevel"/>
    <w:tmpl w:val="42255D38"/>
    <w:lvl w:ilvl="0" w:tentative="0">
      <w:start w:val="1"/>
      <w:numFmt w:val="decimal"/>
      <w:suff w:val="nothing"/>
      <w:lvlText w:val="%1）"/>
      <w:lvlJc w:val="left"/>
    </w:lvl>
  </w:abstractNum>
  <w:abstractNum w:abstractNumId="31">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2">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34">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5">
    <w:nsid w:val="5F772376"/>
    <w:multiLevelType w:val="multilevel"/>
    <w:tmpl w:val="5F772376"/>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6">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7">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8">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9">
    <w:nsid w:val="6702C8A1"/>
    <w:multiLevelType w:val="singleLevel"/>
    <w:tmpl w:val="6702C8A1"/>
    <w:lvl w:ilvl="0" w:tentative="0">
      <w:start w:val="1"/>
      <w:numFmt w:val="decimal"/>
      <w:suff w:val="nothing"/>
      <w:lvlText w:val="%1"/>
      <w:lvlJc w:val="center"/>
      <w:pPr>
        <w:ind w:left="0" w:firstLine="397"/>
      </w:pPr>
      <w:rPr>
        <w:rFonts w:hint="default"/>
      </w:rPr>
    </w:lvl>
  </w:abstractNum>
  <w:abstractNum w:abstractNumId="40">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41">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42">
    <w:nsid w:val="78065427"/>
    <w:multiLevelType w:val="multilevel"/>
    <w:tmpl w:val="7806542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3">
    <w:nsid w:val="7C9E0AF9"/>
    <w:multiLevelType w:val="multilevel"/>
    <w:tmpl w:val="7C9E0AF9"/>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4">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6"/>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44"/>
  </w:num>
  <w:num w:numId="2">
    <w:abstractNumId w:val="1"/>
  </w:num>
  <w:num w:numId="3">
    <w:abstractNumId w:val="2"/>
  </w:num>
  <w:num w:numId="4">
    <w:abstractNumId w:val="3"/>
  </w:num>
  <w:num w:numId="5">
    <w:abstractNumId w:val="28"/>
  </w:num>
  <w:num w:numId="6">
    <w:abstractNumId w:val="24"/>
  </w:num>
  <w:num w:numId="7">
    <w:abstractNumId w:val="10"/>
  </w:num>
  <w:num w:numId="8">
    <w:abstractNumId w:val="7"/>
  </w:num>
  <w:num w:numId="9">
    <w:abstractNumId w:val="32"/>
  </w:num>
  <w:num w:numId="10">
    <w:abstractNumId w:val="19"/>
  </w:num>
  <w:num w:numId="11">
    <w:abstractNumId w:val="17"/>
  </w:num>
  <w:num w:numId="12">
    <w:abstractNumId w:val="38"/>
  </w:num>
  <w:num w:numId="13">
    <w:abstractNumId w:val="36"/>
  </w:num>
  <w:num w:numId="14">
    <w:abstractNumId w:val="41"/>
  </w:num>
  <w:num w:numId="15">
    <w:abstractNumId w:val="22"/>
  </w:num>
  <w:num w:numId="16">
    <w:abstractNumId w:val="34"/>
  </w:num>
  <w:num w:numId="17">
    <w:abstractNumId w:val="8"/>
  </w:num>
  <w:num w:numId="18">
    <w:abstractNumId w:val="31"/>
  </w:num>
  <w:num w:numId="19">
    <w:abstractNumId w:val="37"/>
  </w:num>
  <w:num w:numId="20">
    <w:abstractNumId w:val="40"/>
  </w:num>
  <w:num w:numId="21">
    <w:abstractNumId w:val="33"/>
  </w:num>
  <w:num w:numId="22">
    <w:abstractNumId w:val="5"/>
  </w:num>
  <w:num w:numId="23">
    <w:abstractNumId w:val="14"/>
  </w:num>
  <w:num w:numId="24">
    <w:abstractNumId w:val="6"/>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4"/>
  </w:num>
  <w:num w:numId="31">
    <w:abstractNumId w:val="39"/>
  </w:num>
  <w:num w:numId="32">
    <w:abstractNumId w:val="30"/>
  </w:num>
  <w:num w:numId="33">
    <w:abstractNumId w:val="42"/>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27"/>
  </w:num>
  <w:num w:numId="37">
    <w:abstractNumId w:val="35"/>
  </w:num>
  <w:num w:numId="38">
    <w:abstractNumId w:val="43"/>
  </w:num>
  <w:num w:numId="39">
    <w:abstractNumId w:val="9"/>
  </w:num>
  <w:num w:numId="40">
    <w:abstractNumId w:val="20"/>
  </w:num>
  <w:num w:numId="41">
    <w:abstractNumId w:val="0"/>
  </w:num>
  <w:num w:numId="42">
    <w:abstractNumId w:val="23"/>
  </w:num>
  <w:num w:numId="43">
    <w:abstractNumId w:val="12"/>
  </w:num>
  <w:num w:numId="44">
    <w:abstractNumId w:val="15"/>
  </w:num>
  <w:num w:numId="45">
    <w:abstractNumId w:val="16"/>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I1NGQ4MDY4NjMxYWVlMzc3ODM2NDE0MmU1ODUxYzYifQ=="/>
  </w:docVars>
  <w:rsids>
    <w:rsidRoot w:val="001014E1"/>
    <w:rsid w:val="00004757"/>
    <w:rsid w:val="0001141F"/>
    <w:rsid w:val="00022BC9"/>
    <w:rsid w:val="000254D8"/>
    <w:rsid w:val="00036675"/>
    <w:rsid w:val="00037D61"/>
    <w:rsid w:val="000437BB"/>
    <w:rsid w:val="00044880"/>
    <w:rsid w:val="000454E9"/>
    <w:rsid w:val="0005317E"/>
    <w:rsid w:val="00062943"/>
    <w:rsid w:val="0006624D"/>
    <w:rsid w:val="0007012F"/>
    <w:rsid w:val="00073D69"/>
    <w:rsid w:val="00075B71"/>
    <w:rsid w:val="00083BA3"/>
    <w:rsid w:val="0009630E"/>
    <w:rsid w:val="000A435C"/>
    <w:rsid w:val="000B3B04"/>
    <w:rsid w:val="000C1749"/>
    <w:rsid w:val="000C7FF6"/>
    <w:rsid w:val="000D07D9"/>
    <w:rsid w:val="000D65CB"/>
    <w:rsid w:val="000E0721"/>
    <w:rsid w:val="000E0F43"/>
    <w:rsid w:val="000E120E"/>
    <w:rsid w:val="000E4733"/>
    <w:rsid w:val="000E53A3"/>
    <w:rsid w:val="000F0E79"/>
    <w:rsid w:val="000F72FB"/>
    <w:rsid w:val="001014E1"/>
    <w:rsid w:val="00106C86"/>
    <w:rsid w:val="00110C50"/>
    <w:rsid w:val="001125A2"/>
    <w:rsid w:val="00114F96"/>
    <w:rsid w:val="001222A4"/>
    <w:rsid w:val="00124C73"/>
    <w:rsid w:val="00142497"/>
    <w:rsid w:val="0014399F"/>
    <w:rsid w:val="00161E1B"/>
    <w:rsid w:val="00172E57"/>
    <w:rsid w:val="00180986"/>
    <w:rsid w:val="00187C7F"/>
    <w:rsid w:val="001901EA"/>
    <w:rsid w:val="00192EF9"/>
    <w:rsid w:val="001946A1"/>
    <w:rsid w:val="001F71EB"/>
    <w:rsid w:val="002027D6"/>
    <w:rsid w:val="002044C9"/>
    <w:rsid w:val="00207852"/>
    <w:rsid w:val="00232EF0"/>
    <w:rsid w:val="00235C57"/>
    <w:rsid w:val="00237181"/>
    <w:rsid w:val="00246C26"/>
    <w:rsid w:val="00252B17"/>
    <w:rsid w:val="002650A9"/>
    <w:rsid w:val="0029334C"/>
    <w:rsid w:val="002A2EE9"/>
    <w:rsid w:val="002B6C4E"/>
    <w:rsid w:val="002C784E"/>
    <w:rsid w:val="002E3D23"/>
    <w:rsid w:val="002E646C"/>
    <w:rsid w:val="002E7690"/>
    <w:rsid w:val="002F1A5C"/>
    <w:rsid w:val="002F34E6"/>
    <w:rsid w:val="00300A42"/>
    <w:rsid w:val="00304806"/>
    <w:rsid w:val="00310E29"/>
    <w:rsid w:val="00316AD4"/>
    <w:rsid w:val="00316BDC"/>
    <w:rsid w:val="0032178E"/>
    <w:rsid w:val="00324E79"/>
    <w:rsid w:val="00333EC9"/>
    <w:rsid w:val="00342AA0"/>
    <w:rsid w:val="00354281"/>
    <w:rsid w:val="00366D72"/>
    <w:rsid w:val="0038584C"/>
    <w:rsid w:val="003A277C"/>
    <w:rsid w:val="003A686D"/>
    <w:rsid w:val="003B7C3F"/>
    <w:rsid w:val="003C59B0"/>
    <w:rsid w:val="003D79DF"/>
    <w:rsid w:val="00405A29"/>
    <w:rsid w:val="00415327"/>
    <w:rsid w:val="00422D55"/>
    <w:rsid w:val="00435272"/>
    <w:rsid w:val="00440743"/>
    <w:rsid w:val="00442F97"/>
    <w:rsid w:val="004451B7"/>
    <w:rsid w:val="00455882"/>
    <w:rsid w:val="00457FB0"/>
    <w:rsid w:val="00460F88"/>
    <w:rsid w:val="00466526"/>
    <w:rsid w:val="00474240"/>
    <w:rsid w:val="004A5565"/>
    <w:rsid w:val="004A6C03"/>
    <w:rsid w:val="004B1EFC"/>
    <w:rsid w:val="004B3196"/>
    <w:rsid w:val="004B3F99"/>
    <w:rsid w:val="004C7FB9"/>
    <w:rsid w:val="004E44E7"/>
    <w:rsid w:val="004F6BA4"/>
    <w:rsid w:val="0050274F"/>
    <w:rsid w:val="005111F0"/>
    <w:rsid w:val="00513947"/>
    <w:rsid w:val="00524C30"/>
    <w:rsid w:val="00551BB5"/>
    <w:rsid w:val="005522CA"/>
    <w:rsid w:val="00552812"/>
    <w:rsid w:val="005550B8"/>
    <w:rsid w:val="00556EB6"/>
    <w:rsid w:val="00573A1E"/>
    <w:rsid w:val="00576D0D"/>
    <w:rsid w:val="00581BFB"/>
    <w:rsid w:val="00583D17"/>
    <w:rsid w:val="00590CDB"/>
    <w:rsid w:val="005917FC"/>
    <w:rsid w:val="005A2A06"/>
    <w:rsid w:val="005A402F"/>
    <w:rsid w:val="005A7D2E"/>
    <w:rsid w:val="005B5A84"/>
    <w:rsid w:val="005C61CC"/>
    <w:rsid w:val="005C7E69"/>
    <w:rsid w:val="005D0610"/>
    <w:rsid w:val="005D0FB4"/>
    <w:rsid w:val="005D12C6"/>
    <w:rsid w:val="005D77CC"/>
    <w:rsid w:val="005E33BF"/>
    <w:rsid w:val="005E4648"/>
    <w:rsid w:val="005F1287"/>
    <w:rsid w:val="005F7CCC"/>
    <w:rsid w:val="00607930"/>
    <w:rsid w:val="00607B7D"/>
    <w:rsid w:val="006148CE"/>
    <w:rsid w:val="00635A9A"/>
    <w:rsid w:val="00654C99"/>
    <w:rsid w:val="00662FB2"/>
    <w:rsid w:val="0067034B"/>
    <w:rsid w:val="006911F9"/>
    <w:rsid w:val="006936DB"/>
    <w:rsid w:val="00696E4F"/>
    <w:rsid w:val="006A41EF"/>
    <w:rsid w:val="006A648D"/>
    <w:rsid w:val="006B2EBB"/>
    <w:rsid w:val="006B566B"/>
    <w:rsid w:val="006B761E"/>
    <w:rsid w:val="006D30EB"/>
    <w:rsid w:val="006D4D03"/>
    <w:rsid w:val="006D5F55"/>
    <w:rsid w:val="006D7964"/>
    <w:rsid w:val="006F1C9B"/>
    <w:rsid w:val="006F4C5E"/>
    <w:rsid w:val="006F63B3"/>
    <w:rsid w:val="00700A7D"/>
    <w:rsid w:val="00702C55"/>
    <w:rsid w:val="00704336"/>
    <w:rsid w:val="00725082"/>
    <w:rsid w:val="00732E12"/>
    <w:rsid w:val="00742382"/>
    <w:rsid w:val="0074278E"/>
    <w:rsid w:val="00767196"/>
    <w:rsid w:val="007741D2"/>
    <w:rsid w:val="00795748"/>
    <w:rsid w:val="007B3122"/>
    <w:rsid w:val="007C1493"/>
    <w:rsid w:val="007C2D44"/>
    <w:rsid w:val="007C569B"/>
    <w:rsid w:val="007D424B"/>
    <w:rsid w:val="007E6F66"/>
    <w:rsid w:val="007F6693"/>
    <w:rsid w:val="008176EF"/>
    <w:rsid w:val="00826C56"/>
    <w:rsid w:val="00835C83"/>
    <w:rsid w:val="00843848"/>
    <w:rsid w:val="0084452F"/>
    <w:rsid w:val="00847F5E"/>
    <w:rsid w:val="00887145"/>
    <w:rsid w:val="00891C6F"/>
    <w:rsid w:val="008A050F"/>
    <w:rsid w:val="008A3860"/>
    <w:rsid w:val="008B7582"/>
    <w:rsid w:val="008E1FD9"/>
    <w:rsid w:val="008E316A"/>
    <w:rsid w:val="008E4620"/>
    <w:rsid w:val="008F38AE"/>
    <w:rsid w:val="008F68EC"/>
    <w:rsid w:val="009039B0"/>
    <w:rsid w:val="009047A9"/>
    <w:rsid w:val="00907262"/>
    <w:rsid w:val="00907444"/>
    <w:rsid w:val="0090759A"/>
    <w:rsid w:val="00911C44"/>
    <w:rsid w:val="00927867"/>
    <w:rsid w:val="009279E5"/>
    <w:rsid w:val="00930053"/>
    <w:rsid w:val="0093077A"/>
    <w:rsid w:val="009345DB"/>
    <w:rsid w:val="00942BD5"/>
    <w:rsid w:val="00976C50"/>
    <w:rsid w:val="00981BA3"/>
    <w:rsid w:val="0099125D"/>
    <w:rsid w:val="00994E41"/>
    <w:rsid w:val="00997986"/>
    <w:rsid w:val="009A066D"/>
    <w:rsid w:val="009A5174"/>
    <w:rsid w:val="009D0A63"/>
    <w:rsid w:val="009D1D21"/>
    <w:rsid w:val="009E0653"/>
    <w:rsid w:val="009E78CC"/>
    <w:rsid w:val="009E7C82"/>
    <w:rsid w:val="009F18AD"/>
    <w:rsid w:val="009F2FD1"/>
    <w:rsid w:val="00A15F72"/>
    <w:rsid w:val="00A163F6"/>
    <w:rsid w:val="00A2671A"/>
    <w:rsid w:val="00A26C58"/>
    <w:rsid w:val="00A3191C"/>
    <w:rsid w:val="00A42682"/>
    <w:rsid w:val="00A53839"/>
    <w:rsid w:val="00A60A65"/>
    <w:rsid w:val="00A65481"/>
    <w:rsid w:val="00A7143E"/>
    <w:rsid w:val="00A72901"/>
    <w:rsid w:val="00A74544"/>
    <w:rsid w:val="00A77A18"/>
    <w:rsid w:val="00AA0029"/>
    <w:rsid w:val="00AA0F83"/>
    <w:rsid w:val="00AA1C07"/>
    <w:rsid w:val="00AA23E7"/>
    <w:rsid w:val="00AA6BF7"/>
    <w:rsid w:val="00AB3975"/>
    <w:rsid w:val="00AB509E"/>
    <w:rsid w:val="00AB7B5C"/>
    <w:rsid w:val="00AC2D5F"/>
    <w:rsid w:val="00AC49A8"/>
    <w:rsid w:val="00AC4AB0"/>
    <w:rsid w:val="00AD6374"/>
    <w:rsid w:val="00AD6BDC"/>
    <w:rsid w:val="00AE2D2E"/>
    <w:rsid w:val="00AF68AB"/>
    <w:rsid w:val="00AF72E2"/>
    <w:rsid w:val="00B00C6E"/>
    <w:rsid w:val="00B038A8"/>
    <w:rsid w:val="00B15B81"/>
    <w:rsid w:val="00B2784C"/>
    <w:rsid w:val="00B32474"/>
    <w:rsid w:val="00B44B9B"/>
    <w:rsid w:val="00B44C0C"/>
    <w:rsid w:val="00B45194"/>
    <w:rsid w:val="00B551EC"/>
    <w:rsid w:val="00B559E2"/>
    <w:rsid w:val="00B55B88"/>
    <w:rsid w:val="00B56656"/>
    <w:rsid w:val="00B60AA5"/>
    <w:rsid w:val="00B62162"/>
    <w:rsid w:val="00B73A7B"/>
    <w:rsid w:val="00B7618A"/>
    <w:rsid w:val="00B87403"/>
    <w:rsid w:val="00B9260F"/>
    <w:rsid w:val="00B94A17"/>
    <w:rsid w:val="00BB06AF"/>
    <w:rsid w:val="00BB6896"/>
    <w:rsid w:val="00BC35B8"/>
    <w:rsid w:val="00BE1BB8"/>
    <w:rsid w:val="00BE25DB"/>
    <w:rsid w:val="00BF0409"/>
    <w:rsid w:val="00BF2D4C"/>
    <w:rsid w:val="00BF6FF2"/>
    <w:rsid w:val="00C05007"/>
    <w:rsid w:val="00C14A16"/>
    <w:rsid w:val="00C14D36"/>
    <w:rsid w:val="00C31AC8"/>
    <w:rsid w:val="00C37748"/>
    <w:rsid w:val="00C4167F"/>
    <w:rsid w:val="00C419D7"/>
    <w:rsid w:val="00C425EA"/>
    <w:rsid w:val="00C43A3C"/>
    <w:rsid w:val="00C51F28"/>
    <w:rsid w:val="00C738B0"/>
    <w:rsid w:val="00C77D22"/>
    <w:rsid w:val="00C82F59"/>
    <w:rsid w:val="00C91C66"/>
    <w:rsid w:val="00C95A65"/>
    <w:rsid w:val="00CA2C59"/>
    <w:rsid w:val="00CA5895"/>
    <w:rsid w:val="00CA5C7B"/>
    <w:rsid w:val="00CB2ED6"/>
    <w:rsid w:val="00CD4712"/>
    <w:rsid w:val="00CF095F"/>
    <w:rsid w:val="00CF1575"/>
    <w:rsid w:val="00CF4C22"/>
    <w:rsid w:val="00D00FAF"/>
    <w:rsid w:val="00D03786"/>
    <w:rsid w:val="00D121F6"/>
    <w:rsid w:val="00D13237"/>
    <w:rsid w:val="00D214B5"/>
    <w:rsid w:val="00D2153D"/>
    <w:rsid w:val="00D2157E"/>
    <w:rsid w:val="00D26C2B"/>
    <w:rsid w:val="00D431DD"/>
    <w:rsid w:val="00D44141"/>
    <w:rsid w:val="00D54D31"/>
    <w:rsid w:val="00D66299"/>
    <w:rsid w:val="00D70503"/>
    <w:rsid w:val="00D76F40"/>
    <w:rsid w:val="00D81C65"/>
    <w:rsid w:val="00D85F8D"/>
    <w:rsid w:val="00D9108D"/>
    <w:rsid w:val="00D926A1"/>
    <w:rsid w:val="00D92FF6"/>
    <w:rsid w:val="00D933D1"/>
    <w:rsid w:val="00D9703F"/>
    <w:rsid w:val="00D97644"/>
    <w:rsid w:val="00DA266B"/>
    <w:rsid w:val="00DB463E"/>
    <w:rsid w:val="00DC1097"/>
    <w:rsid w:val="00DC42C4"/>
    <w:rsid w:val="00DD12D1"/>
    <w:rsid w:val="00DE3CBA"/>
    <w:rsid w:val="00DE4FA6"/>
    <w:rsid w:val="00DE614A"/>
    <w:rsid w:val="00DF0266"/>
    <w:rsid w:val="00DF143F"/>
    <w:rsid w:val="00DF7D20"/>
    <w:rsid w:val="00E12837"/>
    <w:rsid w:val="00E170E8"/>
    <w:rsid w:val="00E5249C"/>
    <w:rsid w:val="00E60D7D"/>
    <w:rsid w:val="00E6130B"/>
    <w:rsid w:val="00E77542"/>
    <w:rsid w:val="00EA1969"/>
    <w:rsid w:val="00EA1CCF"/>
    <w:rsid w:val="00EB715D"/>
    <w:rsid w:val="00ED0D22"/>
    <w:rsid w:val="00EE72E1"/>
    <w:rsid w:val="00F124B1"/>
    <w:rsid w:val="00F209E3"/>
    <w:rsid w:val="00F227EB"/>
    <w:rsid w:val="00F23D57"/>
    <w:rsid w:val="00F30954"/>
    <w:rsid w:val="00F44F67"/>
    <w:rsid w:val="00F63748"/>
    <w:rsid w:val="00F715D6"/>
    <w:rsid w:val="00F76805"/>
    <w:rsid w:val="00F80315"/>
    <w:rsid w:val="00F8487D"/>
    <w:rsid w:val="00F860FB"/>
    <w:rsid w:val="00F87738"/>
    <w:rsid w:val="00F92C8A"/>
    <w:rsid w:val="00F93775"/>
    <w:rsid w:val="00F95BE4"/>
    <w:rsid w:val="00FA1F0E"/>
    <w:rsid w:val="00FB6D46"/>
    <w:rsid w:val="00FC21BC"/>
    <w:rsid w:val="00FC3E04"/>
    <w:rsid w:val="00FC7952"/>
    <w:rsid w:val="00FD323B"/>
    <w:rsid w:val="00FE1759"/>
    <w:rsid w:val="00FF044D"/>
    <w:rsid w:val="00FF430C"/>
    <w:rsid w:val="01177414"/>
    <w:rsid w:val="014B08FF"/>
    <w:rsid w:val="015C2B0C"/>
    <w:rsid w:val="016415A0"/>
    <w:rsid w:val="016814B1"/>
    <w:rsid w:val="01691DFF"/>
    <w:rsid w:val="016F6403"/>
    <w:rsid w:val="0173400A"/>
    <w:rsid w:val="01842F42"/>
    <w:rsid w:val="01B23438"/>
    <w:rsid w:val="01C012ED"/>
    <w:rsid w:val="01EF3980"/>
    <w:rsid w:val="01FF0067"/>
    <w:rsid w:val="020B6A0C"/>
    <w:rsid w:val="021A6C4F"/>
    <w:rsid w:val="02343416"/>
    <w:rsid w:val="02380E83"/>
    <w:rsid w:val="023F0464"/>
    <w:rsid w:val="024535A0"/>
    <w:rsid w:val="0245478F"/>
    <w:rsid w:val="02535CBD"/>
    <w:rsid w:val="026A770D"/>
    <w:rsid w:val="02750329"/>
    <w:rsid w:val="027D71DE"/>
    <w:rsid w:val="029F53A6"/>
    <w:rsid w:val="02B36CEF"/>
    <w:rsid w:val="02C22179"/>
    <w:rsid w:val="02CD353E"/>
    <w:rsid w:val="02CE17E8"/>
    <w:rsid w:val="02D212D8"/>
    <w:rsid w:val="02DA4630"/>
    <w:rsid w:val="02E334E5"/>
    <w:rsid w:val="030A5780"/>
    <w:rsid w:val="030D2310"/>
    <w:rsid w:val="03157416"/>
    <w:rsid w:val="03305FFE"/>
    <w:rsid w:val="03561F09"/>
    <w:rsid w:val="03793EC1"/>
    <w:rsid w:val="03836A76"/>
    <w:rsid w:val="0385634A"/>
    <w:rsid w:val="03936CB9"/>
    <w:rsid w:val="039C4697"/>
    <w:rsid w:val="03A32C74"/>
    <w:rsid w:val="03A367D0"/>
    <w:rsid w:val="03D96696"/>
    <w:rsid w:val="03F823CA"/>
    <w:rsid w:val="0402799B"/>
    <w:rsid w:val="04073203"/>
    <w:rsid w:val="04090D29"/>
    <w:rsid w:val="040D00EE"/>
    <w:rsid w:val="0449381C"/>
    <w:rsid w:val="04581CB1"/>
    <w:rsid w:val="0461414E"/>
    <w:rsid w:val="04722D72"/>
    <w:rsid w:val="04784101"/>
    <w:rsid w:val="04844854"/>
    <w:rsid w:val="048730AF"/>
    <w:rsid w:val="04CD7FA9"/>
    <w:rsid w:val="04DD6928"/>
    <w:rsid w:val="04ED23F9"/>
    <w:rsid w:val="05130419"/>
    <w:rsid w:val="052D6C99"/>
    <w:rsid w:val="05377B18"/>
    <w:rsid w:val="054B3811"/>
    <w:rsid w:val="05504736"/>
    <w:rsid w:val="05682277"/>
    <w:rsid w:val="056B569E"/>
    <w:rsid w:val="05751619"/>
    <w:rsid w:val="05812B41"/>
    <w:rsid w:val="058B39C0"/>
    <w:rsid w:val="0598292F"/>
    <w:rsid w:val="05DD06BF"/>
    <w:rsid w:val="05DE0C95"/>
    <w:rsid w:val="05ED423B"/>
    <w:rsid w:val="05F652DD"/>
    <w:rsid w:val="06155949"/>
    <w:rsid w:val="061A034B"/>
    <w:rsid w:val="061E7174"/>
    <w:rsid w:val="06954AF6"/>
    <w:rsid w:val="06B12ED0"/>
    <w:rsid w:val="06C26280"/>
    <w:rsid w:val="06C61153"/>
    <w:rsid w:val="06EC2172"/>
    <w:rsid w:val="06ED4932"/>
    <w:rsid w:val="07027CB2"/>
    <w:rsid w:val="07141CA5"/>
    <w:rsid w:val="07294629"/>
    <w:rsid w:val="073F0F06"/>
    <w:rsid w:val="075B76E3"/>
    <w:rsid w:val="07666493"/>
    <w:rsid w:val="076D15CF"/>
    <w:rsid w:val="076E5A69"/>
    <w:rsid w:val="079015C2"/>
    <w:rsid w:val="07B2792A"/>
    <w:rsid w:val="07C5140B"/>
    <w:rsid w:val="07CB2BCC"/>
    <w:rsid w:val="07D71065"/>
    <w:rsid w:val="07E11450"/>
    <w:rsid w:val="07FB4E2D"/>
    <w:rsid w:val="080C4025"/>
    <w:rsid w:val="081B727D"/>
    <w:rsid w:val="08346591"/>
    <w:rsid w:val="085B3B1D"/>
    <w:rsid w:val="08634780"/>
    <w:rsid w:val="087D5842"/>
    <w:rsid w:val="08872B64"/>
    <w:rsid w:val="0889068B"/>
    <w:rsid w:val="08A76D63"/>
    <w:rsid w:val="08B06605"/>
    <w:rsid w:val="08B82D1E"/>
    <w:rsid w:val="08CC1E2A"/>
    <w:rsid w:val="08CC741F"/>
    <w:rsid w:val="08CF1E16"/>
    <w:rsid w:val="08D86F1C"/>
    <w:rsid w:val="08F17FDE"/>
    <w:rsid w:val="08F94022"/>
    <w:rsid w:val="08FD63E0"/>
    <w:rsid w:val="092403B3"/>
    <w:rsid w:val="093D3223"/>
    <w:rsid w:val="09416DE2"/>
    <w:rsid w:val="09652EA6"/>
    <w:rsid w:val="09722ECD"/>
    <w:rsid w:val="09734E97"/>
    <w:rsid w:val="097F3179"/>
    <w:rsid w:val="098D5F59"/>
    <w:rsid w:val="09B2776D"/>
    <w:rsid w:val="09B90AFC"/>
    <w:rsid w:val="09C03134"/>
    <w:rsid w:val="09C57AF1"/>
    <w:rsid w:val="09DB3168"/>
    <w:rsid w:val="0A0124A3"/>
    <w:rsid w:val="0A057771"/>
    <w:rsid w:val="0A09495C"/>
    <w:rsid w:val="0A4D7496"/>
    <w:rsid w:val="0A740EC6"/>
    <w:rsid w:val="0A8729A8"/>
    <w:rsid w:val="0A99092D"/>
    <w:rsid w:val="0A9E5F43"/>
    <w:rsid w:val="0AA03A6A"/>
    <w:rsid w:val="0AA07F0D"/>
    <w:rsid w:val="0AB87005"/>
    <w:rsid w:val="0AC37758"/>
    <w:rsid w:val="0AC43BFC"/>
    <w:rsid w:val="0AC53F6C"/>
    <w:rsid w:val="0AC65A1C"/>
    <w:rsid w:val="0AFA5870"/>
    <w:rsid w:val="0AFE3B07"/>
    <w:rsid w:val="0B04224A"/>
    <w:rsid w:val="0B06527C"/>
    <w:rsid w:val="0B136BEC"/>
    <w:rsid w:val="0B384C08"/>
    <w:rsid w:val="0B3C19E4"/>
    <w:rsid w:val="0B5036E2"/>
    <w:rsid w:val="0B5B2DA7"/>
    <w:rsid w:val="0B6158EF"/>
    <w:rsid w:val="0B830515"/>
    <w:rsid w:val="0B930071"/>
    <w:rsid w:val="0B996E37"/>
    <w:rsid w:val="0B9E1294"/>
    <w:rsid w:val="0BA94BA0"/>
    <w:rsid w:val="0BCA279B"/>
    <w:rsid w:val="0BCB2D68"/>
    <w:rsid w:val="0BDE0CED"/>
    <w:rsid w:val="0C063DA0"/>
    <w:rsid w:val="0C2427A8"/>
    <w:rsid w:val="0C2F779B"/>
    <w:rsid w:val="0C3C3C66"/>
    <w:rsid w:val="0C460641"/>
    <w:rsid w:val="0C632FA1"/>
    <w:rsid w:val="0C6F224C"/>
    <w:rsid w:val="0C7F0EF5"/>
    <w:rsid w:val="0C870762"/>
    <w:rsid w:val="0C886EAB"/>
    <w:rsid w:val="0C8A49D1"/>
    <w:rsid w:val="0C9E73F4"/>
    <w:rsid w:val="0C9F1B35"/>
    <w:rsid w:val="0CAA2E9C"/>
    <w:rsid w:val="0CAF268A"/>
    <w:rsid w:val="0CE2480D"/>
    <w:rsid w:val="0CE265BB"/>
    <w:rsid w:val="0CEB00DB"/>
    <w:rsid w:val="0CF602B9"/>
    <w:rsid w:val="0CF85DDF"/>
    <w:rsid w:val="0D342013"/>
    <w:rsid w:val="0D444B80"/>
    <w:rsid w:val="0D5D3C56"/>
    <w:rsid w:val="0D610521"/>
    <w:rsid w:val="0D613984"/>
    <w:rsid w:val="0DB461AA"/>
    <w:rsid w:val="0DBA12E6"/>
    <w:rsid w:val="0DC3019B"/>
    <w:rsid w:val="0DD405FA"/>
    <w:rsid w:val="0DD51C7C"/>
    <w:rsid w:val="0DEB76F2"/>
    <w:rsid w:val="0DF45AE2"/>
    <w:rsid w:val="0E26697C"/>
    <w:rsid w:val="0E3E08ED"/>
    <w:rsid w:val="0E4B1EA5"/>
    <w:rsid w:val="0E5E1C72"/>
    <w:rsid w:val="0E693B70"/>
    <w:rsid w:val="0E725A04"/>
    <w:rsid w:val="0E74516F"/>
    <w:rsid w:val="0E762F7F"/>
    <w:rsid w:val="0E8042DE"/>
    <w:rsid w:val="0E811E04"/>
    <w:rsid w:val="0E87566C"/>
    <w:rsid w:val="0E8A6F0A"/>
    <w:rsid w:val="0E9E773D"/>
    <w:rsid w:val="0ED168E7"/>
    <w:rsid w:val="0ED75F13"/>
    <w:rsid w:val="0EF600FC"/>
    <w:rsid w:val="0F0A3BA7"/>
    <w:rsid w:val="0F0C3DC3"/>
    <w:rsid w:val="0F1D1B2D"/>
    <w:rsid w:val="0F205E02"/>
    <w:rsid w:val="0F346E76"/>
    <w:rsid w:val="0F380D55"/>
    <w:rsid w:val="0F3D1F58"/>
    <w:rsid w:val="0F414075"/>
    <w:rsid w:val="0F503CB0"/>
    <w:rsid w:val="0F5F3EF3"/>
    <w:rsid w:val="0FBF2BE4"/>
    <w:rsid w:val="0FCB3337"/>
    <w:rsid w:val="0FCF19C3"/>
    <w:rsid w:val="0FD4631E"/>
    <w:rsid w:val="0FD65F31"/>
    <w:rsid w:val="0FE644C3"/>
    <w:rsid w:val="0FE97B2F"/>
    <w:rsid w:val="0FF10D36"/>
    <w:rsid w:val="10190546"/>
    <w:rsid w:val="103A226A"/>
    <w:rsid w:val="104430E9"/>
    <w:rsid w:val="105C48D7"/>
    <w:rsid w:val="10627A0F"/>
    <w:rsid w:val="107240FA"/>
    <w:rsid w:val="10765998"/>
    <w:rsid w:val="10A23C96"/>
    <w:rsid w:val="10E548CC"/>
    <w:rsid w:val="110F7B9B"/>
    <w:rsid w:val="11140D0D"/>
    <w:rsid w:val="111451B1"/>
    <w:rsid w:val="11233511"/>
    <w:rsid w:val="11252F1A"/>
    <w:rsid w:val="11335637"/>
    <w:rsid w:val="11403A00"/>
    <w:rsid w:val="116E48C1"/>
    <w:rsid w:val="117441C7"/>
    <w:rsid w:val="117F6ACF"/>
    <w:rsid w:val="118F5D66"/>
    <w:rsid w:val="11951E4E"/>
    <w:rsid w:val="11B12A00"/>
    <w:rsid w:val="11B36778"/>
    <w:rsid w:val="11BA3663"/>
    <w:rsid w:val="11BA3AE3"/>
    <w:rsid w:val="11DD1A47"/>
    <w:rsid w:val="11E64458"/>
    <w:rsid w:val="12296A3A"/>
    <w:rsid w:val="12394ECF"/>
    <w:rsid w:val="12437AFC"/>
    <w:rsid w:val="124D097B"/>
    <w:rsid w:val="12604832"/>
    <w:rsid w:val="12D54D38"/>
    <w:rsid w:val="12E60488"/>
    <w:rsid w:val="12E82452"/>
    <w:rsid w:val="12E84200"/>
    <w:rsid w:val="12FB2185"/>
    <w:rsid w:val="13037AFF"/>
    <w:rsid w:val="13042394"/>
    <w:rsid w:val="130A23C8"/>
    <w:rsid w:val="130A686C"/>
    <w:rsid w:val="13135EB3"/>
    <w:rsid w:val="132711CC"/>
    <w:rsid w:val="13386F35"/>
    <w:rsid w:val="13685340"/>
    <w:rsid w:val="137B2FBA"/>
    <w:rsid w:val="137E6912"/>
    <w:rsid w:val="13A10F7E"/>
    <w:rsid w:val="13E63AE2"/>
    <w:rsid w:val="13ED6813"/>
    <w:rsid w:val="140C03C2"/>
    <w:rsid w:val="14237BE5"/>
    <w:rsid w:val="14293E20"/>
    <w:rsid w:val="142B4CEC"/>
    <w:rsid w:val="14531B4D"/>
    <w:rsid w:val="14644A36"/>
    <w:rsid w:val="1468384A"/>
    <w:rsid w:val="147541B9"/>
    <w:rsid w:val="147C10A3"/>
    <w:rsid w:val="148B5FB3"/>
    <w:rsid w:val="149634DA"/>
    <w:rsid w:val="14A16D5C"/>
    <w:rsid w:val="14D81917"/>
    <w:rsid w:val="14E32ED1"/>
    <w:rsid w:val="150D619F"/>
    <w:rsid w:val="15194B44"/>
    <w:rsid w:val="151F1551"/>
    <w:rsid w:val="1525101E"/>
    <w:rsid w:val="152A4FA3"/>
    <w:rsid w:val="154047C7"/>
    <w:rsid w:val="1558797F"/>
    <w:rsid w:val="15711180"/>
    <w:rsid w:val="15B21208"/>
    <w:rsid w:val="15CF128C"/>
    <w:rsid w:val="15D849FF"/>
    <w:rsid w:val="16105F47"/>
    <w:rsid w:val="163F66C1"/>
    <w:rsid w:val="164125A5"/>
    <w:rsid w:val="16430654"/>
    <w:rsid w:val="164D0F49"/>
    <w:rsid w:val="1651030E"/>
    <w:rsid w:val="165322D8"/>
    <w:rsid w:val="16610D1A"/>
    <w:rsid w:val="16612C47"/>
    <w:rsid w:val="16646293"/>
    <w:rsid w:val="166F6039"/>
    <w:rsid w:val="16783269"/>
    <w:rsid w:val="167D7355"/>
    <w:rsid w:val="16AE750E"/>
    <w:rsid w:val="16BC1C2B"/>
    <w:rsid w:val="16D65D7F"/>
    <w:rsid w:val="16F00B99"/>
    <w:rsid w:val="16F413C5"/>
    <w:rsid w:val="17173305"/>
    <w:rsid w:val="17187C92"/>
    <w:rsid w:val="171B2EB2"/>
    <w:rsid w:val="173E4D36"/>
    <w:rsid w:val="174C7453"/>
    <w:rsid w:val="176A78D9"/>
    <w:rsid w:val="177B7D38"/>
    <w:rsid w:val="178C784F"/>
    <w:rsid w:val="17946704"/>
    <w:rsid w:val="17BA0860"/>
    <w:rsid w:val="17C214C3"/>
    <w:rsid w:val="17D905BB"/>
    <w:rsid w:val="17E458DD"/>
    <w:rsid w:val="18185587"/>
    <w:rsid w:val="18396DA7"/>
    <w:rsid w:val="18616F2E"/>
    <w:rsid w:val="186A78A6"/>
    <w:rsid w:val="189F7A56"/>
    <w:rsid w:val="18CB084B"/>
    <w:rsid w:val="18CD54ED"/>
    <w:rsid w:val="18D21BDA"/>
    <w:rsid w:val="18DA0A8E"/>
    <w:rsid w:val="18FE29CF"/>
    <w:rsid w:val="191C4423"/>
    <w:rsid w:val="19265A82"/>
    <w:rsid w:val="193D2E73"/>
    <w:rsid w:val="193F00C3"/>
    <w:rsid w:val="194A0A34"/>
    <w:rsid w:val="195C14A3"/>
    <w:rsid w:val="196071E6"/>
    <w:rsid w:val="199C7AF2"/>
    <w:rsid w:val="19A5109C"/>
    <w:rsid w:val="19AF6752"/>
    <w:rsid w:val="19B47531"/>
    <w:rsid w:val="19CA0B03"/>
    <w:rsid w:val="19F7294F"/>
    <w:rsid w:val="1A187AC0"/>
    <w:rsid w:val="1A5A1E87"/>
    <w:rsid w:val="1A6052D4"/>
    <w:rsid w:val="1A755EE0"/>
    <w:rsid w:val="1AC00D64"/>
    <w:rsid w:val="1B256925"/>
    <w:rsid w:val="1B26620D"/>
    <w:rsid w:val="1B3B1CB8"/>
    <w:rsid w:val="1B4B7A22"/>
    <w:rsid w:val="1B762547"/>
    <w:rsid w:val="1B770FA2"/>
    <w:rsid w:val="1B79633D"/>
    <w:rsid w:val="1BBC26CD"/>
    <w:rsid w:val="1BE539D2"/>
    <w:rsid w:val="1BE8727C"/>
    <w:rsid w:val="1BF400B9"/>
    <w:rsid w:val="1C321D87"/>
    <w:rsid w:val="1C324211"/>
    <w:rsid w:val="1C7134B8"/>
    <w:rsid w:val="1CA4563B"/>
    <w:rsid w:val="1CB25FAA"/>
    <w:rsid w:val="1CC934A5"/>
    <w:rsid w:val="1D047E88"/>
    <w:rsid w:val="1D13456F"/>
    <w:rsid w:val="1D1647B8"/>
    <w:rsid w:val="1D197DF8"/>
    <w:rsid w:val="1D216C8C"/>
    <w:rsid w:val="1D2503BC"/>
    <w:rsid w:val="1D49004A"/>
    <w:rsid w:val="1D5C5773"/>
    <w:rsid w:val="1D5E2DC9"/>
    <w:rsid w:val="1D71305C"/>
    <w:rsid w:val="1DA46519"/>
    <w:rsid w:val="1DAC3860"/>
    <w:rsid w:val="1DC87B0B"/>
    <w:rsid w:val="1DD43CFE"/>
    <w:rsid w:val="1DD51824"/>
    <w:rsid w:val="1DED4DC0"/>
    <w:rsid w:val="1DF75C3F"/>
    <w:rsid w:val="1E0345E3"/>
    <w:rsid w:val="1E2F362A"/>
    <w:rsid w:val="1E322872"/>
    <w:rsid w:val="1E447051"/>
    <w:rsid w:val="1E450758"/>
    <w:rsid w:val="1E470974"/>
    <w:rsid w:val="1E4A3FC0"/>
    <w:rsid w:val="1E562965"/>
    <w:rsid w:val="1E636E30"/>
    <w:rsid w:val="1E6F3876"/>
    <w:rsid w:val="1E731769"/>
    <w:rsid w:val="1E752EFC"/>
    <w:rsid w:val="1E761259"/>
    <w:rsid w:val="1E9B0CC0"/>
    <w:rsid w:val="1E9F255E"/>
    <w:rsid w:val="1F0E3240"/>
    <w:rsid w:val="1F170346"/>
    <w:rsid w:val="1F332CA6"/>
    <w:rsid w:val="1F5113DB"/>
    <w:rsid w:val="1F51280E"/>
    <w:rsid w:val="1F6D440A"/>
    <w:rsid w:val="1F980D5B"/>
    <w:rsid w:val="1F994F2D"/>
    <w:rsid w:val="1F9C101C"/>
    <w:rsid w:val="1FA83694"/>
    <w:rsid w:val="1FA871F0"/>
    <w:rsid w:val="1FAC0C99"/>
    <w:rsid w:val="1FAF67D1"/>
    <w:rsid w:val="1FB11C6B"/>
    <w:rsid w:val="1FBB4BD6"/>
    <w:rsid w:val="1FBC2C9C"/>
    <w:rsid w:val="1FC2556B"/>
    <w:rsid w:val="1FD652A3"/>
    <w:rsid w:val="1FE02E2E"/>
    <w:rsid w:val="1FE346CD"/>
    <w:rsid w:val="1FFB37C4"/>
    <w:rsid w:val="200621A4"/>
    <w:rsid w:val="20166850"/>
    <w:rsid w:val="203B6042"/>
    <w:rsid w:val="2080016D"/>
    <w:rsid w:val="20896A9A"/>
    <w:rsid w:val="20A41CB3"/>
    <w:rsid w:val="20BD4F1E"/>
    <w:rsid w:val="20BD6E14"/>
    <w:rsid w:val="20BF1FD7"/>
    <w:rsid w:val="211663DC"/>
    <w:rsid w:val="213276BA"/>
    <w:rsid w:val="21366A7E"/>
    <w:rsid w:val="215C64E4"/>
    <w:rsid w:val="216054E6"/>
    <w:rsid w:val="216B497A"/>
    <w:rsid w:val="21771570"/>
    <w:rsid w:val="21793C80"/>
    <w:rsid w:val="218E2416"/>
    <w:rsid w:val="21BF4CC5"/>
    <w:rsid w:val="21D51E77"/>
    <w:rsid w:val="21FF60F6"/>
    <w:rsid w:val="22145011"/>
    <w:rsid w:val="222A0391"/>
    <w:rsid w:val="22580AB5"/>
    <w:rsid w:val="225F4543"/>
    <w:rsid w:val="226333FC"/>
    <w:rsid w:val="226E080D"/>
    <w:rsid w:val="227076D9"/>
    <w:rsid w:val="228A0E2F"/>
    <w:rsid w:val="2298179E"/>
    <w:rsid w:val="22A16179"/>
    <w:rsid w:val="22AE0FC2"/>
    <w:rsid w:val="22C02AA3"/>
    <w:rsid w:val="22CC769A"/>
    <w:rsid w:val="22E222A1"/>
    <w:rsid w:val="23156267"/>
    <w:rsid w:val="2318643B"/>
    <w:rsid w:val="231B70C9"/>
    <w:rsid w:val="232738AA"/>
    <w:rsid w:val="233F3CC9"/>
    <w:rsid w:val="23563407"/>
    <w:rsid w:val="23A67EEB"/>
    <w:rsid w:val="23AF41F1"/>
    <w:rsid w:val="23B24AE2"/>
    <w:rsid w:val="23B5012E"/>
    <w:rsid w:val="23CD191B"/>
    <w:rsid w:val="23D74548"/>
    <w:rsid w:val="23E26A49"/>
    <w:rsid w:val="23FF584D"/>
    <w:rsid w:val="24314C44"/>
    <w:rsid w:val="24337CEA"/>
    <w:rsid w:val="246459B9"/>
    <w:rsid w:val="247E6772"/>
    <w:rsid w:val="248C7599"/>
    <w:rsid w:val="249D12EE"/>
    <w:rsid w:val="24AF0A1C"/>
    <w:rsid w:val="24D453CC"/>
    <w:rsid w:val="24D46CDA"/>
    <w:rsid w:val="24E30CCB"/>
    <w:rsid w:val="24E66316"/>
    <w:rsid w:val="24F66C50"/>
    <w:rsid w:val="24F86524"/>
    <w:rsid w:val="250A6257"/>
    <w:rsid w:val="254104D0"/>
    <w:rsid w:val="25506360"/>
    <w:rsid w:val="255E0351"/>
    <w:rsid w:val="258C1362"/>
    <w:rsid w:val="25BD2FF0"/>
    <w:rsid w:val="25C46C05"/>
    <w:rsid w:val="25C6511C"/>
    <w:rsid w:val="260447C1"/>
    <w:rsid w:val="262D48F3"/>
    <w:rsid w:val="2637307C"/>
    <w:rsid w:val="263A2B6C"/>
    <w:rsid w:val="265729B3"/>
    <w:rsid w:val="266876DA"/>
    <w:rsid w:val="266B71CA"/>
    <w:rsid w:val="267A740D"/>
    <w:rsid w:val="26CF3E66"/>
    <w:rsid w:val="26CF7759"/>
    <w:rsid w:val="26F471BF"/>
    <w:rsid w:val="27046DB7"/>
    <w:rsid w:val="271138CD"/>
    <w:rsid w:val="27181100"/>
    <w:rsid w:val="27217912"/>
    <w:rsid w:val="27247AA4"/>
    <w:rsid w:val="273870AC"/>
    <w:rsid w:val="273E03D7"/>
    <w:rsid w:val="27457A1B"/>
    <w:rsid w:val="276A7481"/>
    <w:rsid w:val="27936903"/>
    <w:rsid w:val="27982240"/>
    <w:rsid w:val="27B150B0"/>
    <w:rsid w:val="27C44DE4"/>
    <w:rsid w:val="27C84BBE"/>
    <w:rsid w:val="27C9064C"/>
    <w:rsid w:val="27CC1EEA"/>
    <w:rsid w:val="280220F1"/>
    <w:rsid w:val="280451E0"/>
    <w:rsid w:val="280B2A12"/>
    <w:rsid w:val="28173165"/>
    <w:rsid w:val="281F2450"/>
    <w:rsid w:val="28321D4D"/>
    <w:rsid w:val="286E4D4F"/>
    <w:rsid w:val="28724840"/>
    <w:rsid w:val="28884063"/>
    <w:rsid w:val="28941188"/>
    <w:rsid w:val="2895052E"/>
    <w:rsid w:val="28BC4F32"/>
    <w:rsid w:val="28CB3F50"/>
    <w:rsid w:val="28DC615D"/>
    <w:rsid w:val="29023E15"/>
    <w:rsid w:val="290B478D"/>
    <w:rsid w:val="29107040"/>
    <w:rsid w:val="29325D7D"/>
    <w:rsid w:val="294855A0"/>
    <w:rsid w:val="295977AD"/>
    <w:rsid w:val="29910CF5"/>
    <w:rsid w:val="29AA17C4"/>
    <w:rsid w:val="29E51041"/>
    <w:rsid w:val="29E569BD"/>
    <w:rsid w:val="29F01EC0"/>
    <w:rsid w:val="2A0716FD"/>
    <w:rsid w:val="2A257690"/>
    <w:rsid w:val="2A443393"/>
    <w:rsid w:val="2A4F2695"/>
    <w:rsid w:val="2A7264D8"/>
    <w:rsid w:val="2A750617"/>
    <w:rsid w:val="2A763948"/>
    <w:rsid w:val="2A895E70"/>
    <w:rsid w:val="2A905641"/>
    <w:rsid w:val="2A9F38E6"/>
    <w:rsid w:val="2AC05D36"/>
    <w:rsid w:val="2ACD79D6"/>
    <w:rsid w:val="2B0100FD"/>
    <w:rsid w:val="2B05199B"/>
    <w:rsid w:val="2B0A6FB1"/>
    <w:rsid w:val="2B0B2D29"/>
    <w:rsid w:val="2B0F6376"/>
    <w:rsid w:val="2B1E0CAF"/>
    <w:rsid w:val="2B2D0EF2"/>
    <w:rsid w:val="2B4F0E68"/>
    <w:rsid w:val="2B4F70BA"/>
    <w:rsid w:val="2B722141"/>
    <w:rsid w:val="2B724B56"/>
    <w:rsid w:val="2B73789A"/>
    <w:rsid w:val="2B762899"/>
    <w:rsid w:val="2BB4516F"/>
    <w:rsid w:val="2BCD52EE"/>
    <w:rsid w:val="2BD57428"/>
    <w:rsid w:val="2BEE242F"/>
    <w:rsid w:val="2C025EDA"/>
    <w:rsid w:val="2C0B2FE1"/>
    <w:rsid w:val="2C174586"/>
    <w:rsid w:val="2C1874AC"/>
    <w:rsid w:val="2C1D0F66"/>
    <w:rsid w:val="2C22032B"/>
    <w:rsid w:val="2C3167C0"/>
    <w:rsid w:val="2C422922"/>
    <w:rsid w:val="2C520C10"/>
    <w:rsid w:val="2C831597"/>
    <w:rsid w:val="2C9A25B7"/>
    <w:rsid w:val="2CA40D8B"/>
    <w:rsid w:val="2CA93206"/>
    <w:rsid w:val="2CAE1BBE"/>
    <w:rsid w:val="2CEA0209"/>
    <w:rsid w:val="2CEE7FE8"/>
    <w:rsid w:val="2D012636"/>
    <w:rsid w:val="2D043C9C"/>
    <w:rsid w:val="2D214A86"/>
    <w:rsid w:val="2D355E3C"/>
    <w:rsid w:val="2D3F1672"/>
    <w:rsid w:val="2D72425D"/>
    <w:rsid w:val="2D744BB6"/>
    <w:rsid w:val="2D937732"/>
    <w:rsid w:val="2E207DE1"/>
    <w:rsid w:val="2E291E44"/>
    <w:rsid w:val="2E3507E9"/>
    <w:rsid w:val="2E3508AE"/>
    <w:rsid w:val="2E582BA8"/>
    <w:rsid w:val="2E5F5866"/>
    <w:rsid w:val="2E9574DA"/>
    <w:rsid w:val="2EA25753"/>
    <w:rsid w:val="2EC4391B"/>
    <w:rsid w:val="2ECD6CA9"/>
    <w:rsid w:val="2EF53AD4"/>
    <w:rsid w:val="2EFC4824"/>
    <w:rsid w:val="2EFE507F"/>
    <w:rsid w:val="2F397E65"/>
    <w:rsid w:val="2F430CE4"/>
    <w:rsid w:val="2F4A3E20"/>
    <w:rsid w:val="2F7E1D1C"/>
    <w:rsid w:val="2F8D01B1"/>
    <w:rsid w:val="2F9C6646"/>
    <w:rsid w:val="2FA31D65"/>
    <w:rsid w:val="2FA572A9"/>
    <w:rsid w:val="2FA84FEB"/>
    <w:rsid w:val="2FAA2B11"/>
    <w:rsid w:val="2FAD0853"/>
    <w:rsid w:val="2FD53CC6"/>
    <w:rsid w:val="30004E27"/>
    <w:rsid w:val="300541EB"/>
    <w:rsid w:val="300A7A53"/>
    <w:rsid w:val="30297EDA"/>
    <w:rsid w:val="3038011D"/>
    <w:rsid w:val="303D1BD7"/>
    <w:rsid w:val="304A60A2"/>
    <w:rsid w:val="30586A11"/>
    <w:rsid w:val="305F3C0A"/>
    <w:rsid w:val="30703D5A"/>
    <w:rsid w:val="30803872"/>
    <w:rsid w:val="308643D8"/>
    <w:rsid w:val="30D2231F"/>
    <w:rsid w:val="30D836AE"/>
    <w:rsid w:val="30E5403D"/>
    <w:rsid w:val="30FD142E"/>
    <w:rsid w:val="31102E48"/>
    <w:rsid w:val="31307046"/>
    <w:rsid w:val="315E0057"/>
    <w:rsid w:val="317C5CA4"/>
    <w:rsid w:val="319B6BB5"/>
    <w:rsid w:val="31AA329C"/>
    <w:rsid w:val="31EC7411"/>
    <w:rsid w:val="31F2079F"/>
    <w:rsid w:val="31F42769"/>
    <w:rsid w:val="32024E86"/>
    <w:rsid w:val="32170A9E"/>
    <w:rsid w:val="32195D2C"/>
    <w:rsid w:val="322477A4"/>
    <w:rsid w:val="32584AA6"/>
    <w:rsid w:val="325B4596"/>
    <w:rsid w:val="32674CE9"/>
    <w:rsid w:val="32967A40"/>
    <w:rsid w:val="329F4483"/>
    <w:rsid w:val="32AA7F5D"/>
    <w:rsid w:val="32AC550F"/>
    <w:rsid w:val="32B1171B"/>
    <w:rsid w:val="32C043F9"/>
    <w:rsid w:val="32DC7485"/>
    <w:rsid w:val="3301513E"/>
    <w:rsid w:val="331002C3"/>
    <w:rsid w:val="333C43C8"/>
    <w:rsid w:val="33723946"/>
    <w:rsid w:val="33751688"/>
    <w:rsid w:val="33BA3A4B"/>
    <w:rsid w:val="33C00B55"/>
    <w:rsid w:val="33CA3782"/>
    <w:rsid w:val="33D463AE"/>
    <w:rsid w:val="33D93F7F"/>
    <w:rsid w:val="33E82B95"/>
    <w:rsid w:val="340058BF"/>
    <w:rsid w:val="3411315F"/>
    <w:rsid w:val="34362B77"/>
    <w:rsid w:val="34403A44"/>
    <w:rsid w:val="344828F8"/>
    <w:rsid w:val="34515C51"/>
    <w:rsid w:val="345F7775"/>
    <w:rsid w:val="34645984"/>
    <w:rsid w:val="34727975"/>
    <w:rsid w:val="347436ED"/>
    <w:rsid w:val="34777CBA"/>
    <w:rsid w:val="348833B9"/>
    <w:rsid w:val="348F0727"/>
    <w:rsid w:val="348F6779"/>
    <w:rsid w:val="349D49F2"/>
    <w:rsid w:val="349E076A"/>
    <w:rsid w:val="34AE30A3"/>
    <w:rsid w:val="34E02B31"/>
    <w:rsid w:val="34E40873"/>
    <w:rsid w:val="34F14D3E"/>
    <w:rsid w:val="34FD7B87"/>
    <w:rsid w:val="35627607"/>
    <w:rsid w:val="3584322F"/>
    <w:rsid w:val="359009FB"/>
    <w:rsid w:val="35A0095E"/>
    <w:rsid w:val="35B20971"/>
    <w:rsid w:val="35CB38CA"/>
    <w:rsid w:val="35EB1149"/>
    <w:rsid w:val="35F26DE7"/>
    <w:rsid w:val="360D5BA8"/>
    <w:rsid w:val="36676D36"/>
    <w:rsid w:val="367C4ADB"/>
    <w:rsid w:val="3684230E"/>
    <w:rsid w:val="368D6CE8"/>
    <w:rsid w:val="36E45939"/>
    <w:rsid w:val="36F0611D"/>
    <w:rsid w:val="36F9612C"/>
    <w:rsid w:val="370C5E5F"/>
    <w:rsid w:val="371F2036"/>
    <w:rsid w:val="372A4537"/>
    <w:rsid w:val="3733163E"/>
    <w:rsid w:val="3736112E"/>
    <w:rsid w:val="3747333B"/>
    <w:rsid w:val="374D654E"/>
    <w:rsid w:val="375A4E1C"/>
    <w:rsid w:val="37657A50"/>
    <w:rsid w:val="377B3C87"/>
    <w:rsid w:val="37976071"/>
    <w:rsid w:val="37BD77A9"/>
    <w:rsid w:val="37F76B0F"/>
    <w:rsid w:val="38003C16"/>
    <w:rsid w:val="380F5C07"/>
    <w:rsid w:val="381C0324"/>
    <w:rsid w:val="38286CC9"/>
    <w:rsid w:val="382E6ADC"/>
    <w:rsid w:val="387E2D8D"/>
    <w:rsid w:val="3885411B"/>
    <w:rsid w:val="388A6412"/>
    <w:rsid w:val="38936601"/>
    <w:rsid w:val="38997BC6"/>
    <w:rsid w:val="38AE3672"/>
    <w:rsid w:val="38BA4935"/>
    <w:rsid w:val="38BC5498"/>
    <w:rsid w:val="38BD1B07"/>
    <w:rsid w:val="38C444E1"/>
    <w:rsid w:val="38CA7D80"/>
    <w:rsid w:val="38D330D8"/>
    <w:rsid w:val="38F17A02"/>
    <w:rsid w:val="38F92413"/>
    <w:rsid w:val="390D09A0"/>
    <w:rsid w:val="39203BE1"/>
    <w:rsid w:val="39203E44"/>
    <w:rsid w:val="39253208"/>
    <w:rsid w:val="393022D9"/>
    <w:rsid w:val="393F251C"/>
    <w:rsid w:val="394538AA"/>
    <w:rsid w:val="394F0285"/>
    <w:rsid w:val="396106E4"/>
    <w:rsid w:val="396C52DB"/>
    <w:rsid w:val="397330FD"/>
    <w:rsid w:val="397A3554"/>
    <w:rsid w:val="39826E4C"/>
    <w:rsid w:val="398919E9"/>
    <w:rsid w:val="39A405D1"/>
    <w:rsid w:val="39A84565"/>
    <w:rsid w:val="39A95BE7"/>
    <w:rsid w:val="39BB3F82"/>
    <w:rsid w:val="39D215E2"/>
    <w:rsid w:val="39E906DA"/>
    <w:rsid w:val="39EE5CF0"/>
    <w:rsid w:val="3A1A6AE5"/>
    <w:rsid w:val="3A1B1B27"/>
    <w:rsid w:val="3A2A4F7A"/>
    <w:rsid w:val="3A2B0CF2"/>
    <w:rsid w:val="3A43428E"/>
    <w:rsid w:val="3A59585F"/>
    <w:rsid w:val="3A72247D"/>
    <w:rsid w:val="3A7E6F20"/>
    <w:rsid w:val="3A91362A"/>
    <w:rsid w:val="3AC56A51"/>
    <w:rsid w:val="3AEB4EC6"/>
    <w:rsid w:val="3AED7D56"/>
    <w:rsid w:val="3B014AAC"/>
    <w:rsid w:val="3B070E17"/>
    <w:rsid w:val="3B2220F5"/>
    <w:rsid w:val="3B2B3F51"/>
    <w:rsid w:val="3B2C4D22"/>
    <w:rsid w:val="3B31058A"/>
    <w:rsid w:val="3B47390A"/>
    <w:rsid w:val="3B6E533A"/>
    <w:rsid w:val="3B781D15"/>
    <w:rsid w:val="3B7829EF"/>
    <w:rsid w:val="3B7D377F"/>
    <w:rsid w:val="3B9E7FA4"/>
    <w:rsid w:val="3B9F72A2"/>
    <w:rsid w:val="3BAB0D0E"/>
    <w:rsid w:val="3BBA40DC"/>
    <w:rsid w:val="3BD3488A"/>
    <w:rsid w:val="3BD61A4B"/>
    <w:rsid w:val="3BE253E0"/>
    <w:rsid w:val="3BFF41E4"/>
    <w:rsid w:val="3C1001A0"/>
    <w:rsid w:val="3C2679C3"/>
    <w:rsid w:val="3C295771"/>
    <w:rsid w:val="3C3245BA"/>
    <w:rsid w:val="3C616C4D"/>
    <w:rsid w:val="3C7F7A11"/>
    <w:rsid w:val="3C8B5A78"/>
    <w:rsid w:val="3C9C5ED7"/>
    <w:rsid w:val="3CA50ACD"/>
    <w:rsid w:val="3CC12BF5"/>
    <w:rsid w:val="3CCA4CD8"/>
    <w:rsid w:val="3CD15B81"/>
    <w:rsid w:val="3CF278A5"/>
    <w:rsid w:val="3CF4361D"/>
    <w:rsid w:val="3D0C4E0B"/>
    <w:rsid w:val="3D2049A8"/>
    <w:rsid w:val="3D2A6670"/>
    <w:rsid w:val="3D842BF3"/>
    <w:rsid w:val="3DA66804"/>
    <w:rsid w:val="3DAB4624"/>
    <w:rsid w:val="3DBD0841"/>
    <w:rsid w:val="3DC1595C"/>
    <w:rsid w:val="3DEC65C0"/>
    <w:rsid w:val="3DED66A5"/>
    <w:rsid w:val="3E0B6E71"/>
    <w:rsid w:val="3E1976E9"/>
    <w:rsid w:val="3E2919ED"/>
    <w:rsid w:val="3E5B0DDA"/>
    <w:rsid w:val="3E7A3FF6"/>
    <w:rsid w:val="3E8545AC"/>
    <w:rsid w:val="3E8653C2"/>
    <w:rsid w:val="3E927592"/>
    <w:rsid w:val="3E9C5D1B"/>
    <w:rsid w:val="3ECF2510"/>
    <w:rsid w:val="3ED71449"/>
    <w:rsid w:val="3EFF31D0"/>
    <w:rsid w:val="3F406FEE"/>
    <w:rsid w:val="3F4B28F7"/>
    <w:rsid w:val="3F8E1B07"/>
    <w:rsid w:val="3FA806EF"/>
    <w:rsid w:val="3FBD063E"/>
    <w:rsid w:val="3FBD419A"/>
    <w:rsid w:val="3FC6325C"/>
    <w:rsid w:val="3FE03D4A"/>
    <w:rsid w:val="400224F5"/>
    <w:rsid w:val="40046874"/>
    <w:rsid w:val="40055B41"/>
    <w:rsid w:val="400C205E"/>
    <w:rsid w:val="40123B62"/>
    <w:rsid w:val="4013200C"/>
    <w:rsid w:val="402C1320"/>
    <w:rsid w:val="405A5E8D"/>
    <w:rsid w:val="405E3BCF"/>
    <w:rsid w:val="406759D2"/>
    <w:rsid w:val="406B3BF6"/>
    <w:rsid w:val="407050F1"/>
    <w:rsid w:val="40776A3F"/>
    <w:rsid w:val="40A4535A"/>
    <w:rsid w:val="40D1172A"/>
    <w:rsid w:val="41036525"/>
    <w:rsid w:val="415B3C6B"/>
    <w:rsid w:val="41911D83"/>
    <w:rsid w:val="419E7FFC"/>
    <w:rsid w:val="41AA4BF2"/>
    <w:rsid w:val="41C357CD"/>
    <w:rsid w:val="41C4209F"/>
    <w:rsid w:val="41C757A4"/>
    <w:rsid w:val="41D659E7"/>
    <w:rsid w:val="41D81760"/>
    <w:rsid w:val="41DD0B24"/>
    <w:rsid w:val="41F67E38"/>
    <w:rsid w:val="41FD11C6"/>
    <w:rsid w:val="42154762"/>
    <w:rsid w:val="4216476E"/>
    <w:rsid w:val="422F6EA6"/>
    <w:rsid w:val="424010B3"/>
    <w:rsid w:val="42583BB1"/>
    <w:rsid w:val="425D08DC"/>
    <w:rsid w:val="426E5C20"/>
    <w:rsid w:val="42864D18"/>
    <w:rsid w:val="4289374E"/>
    <w:rsid w:val="42A00721"/>
    <w:rsid w:val="42B51AA1"/>
    <w:rsid w:val="42CF2B62"/>
    <w:rsid w:val="42D83F6B"/>
    <w:rsid w:val="42F81F50"/>
    <w:rsid w:val="43036368"/>
    <w:rsid w:val="43052E27"/>
    <w:rsid w:val="430B16C1"/>
    <w:rsid w:val="431063F7"/>
    <w:rsid w:val="43185480"/>
    <w:rsid w:val="431E31A2"/>
    <w:rsid w:val="434D3A87"/>
    <w:rsid w:val="437E7F53"/>
    <w:rsid w:val="438020AF"/>
    <w:rsid w:val="43805C0B"/>
    <w:rsid w:val="4397759D"/>
    <w:rsid w:val="439873F8"/>
    <w:rsid w:val="439C056B"/>
    <w:rsid w:val="43AE5AF3"/>
    <w:rsid w:val="43B65AD0"/>
    <w:rsid w:val="43B810A1"/>
    <w:rsid w:val="43EC76D5"/>
    <w:rsid w:val="43F959BD"/>
    <w:rsid w:val="4413082D"/>
    <w:rsid w:val="443E51B4"/>
    <w:rsid w:val="44421112"/>
    <w:rsid w:val="44680DB6"/>
    <w:rsid w:val="44AC627A"/>
    <w:rsid w:val="44AF0313"/>
    <w:rsid w:val="44BA15F0"/>
    <w:rsid w:val="44BF2B01"/>
    <w:rsid w:val="44C56A0A"/>
    <w:rsid w:val="44D51F86"/>
    <w:rsid w:val="44F3065E"/>
    <w:rsid w:val="44F543D6"/>
    <w:rsid w:val="44F71462"/>
    <w:rsid w:val="45010FCD"/>
    <w:rsid w:val="450D1720"/>
    <w:rsid w:val="45140D01"/>
    <w:rsid w:val="4517259F"/>
    <w:rsid w:val="453943D6"/>
    <w:rsid w:val="453B44DF"/>
    <w:rsid w:val="45486BFC"/>
    <w:rsid w:val="456450B8"/>
    <w:rsid w:val="456B28EB"/>
    <w:rsid w:val="457E2AE7"/>
    <w:rsid w:val="45B92B8E"/>
    <w:rsid w:val="45C37886"/>
    <w:rsid w:val="45C51FFB"/>
    <w:rsid w:val="46144D30"/>
    <w:rsid w:val="46172491"/>
    <w:rsid w:val="46401681"/>
    <w:rsid w:val="464C6278"/>
    <w:rsid w:val="46503FBA"/>
    <w:rsid w:val="46617916"/>
    <w:rsid w:val="466B4895"/>
    <w:rsid w:val="466D4DB5"/>
    <w:rsid w:val="46830173"/>
    <w:rsid w:val="469A1132"/>
    <w:rsid w:val="46DF0E9A"/>
    <w:rsid w:val="46F81F5C"/>
    <w:rsid w:val="470E1780"/>
    <w:rsid w:val="47136D96"/>
    <w:rsid w:val="47215957"/>
    <w:rsid w:val="47376F28"/>
    <w:rsid w:val="473F5DDD"/>
    <w:rsid w:val="47655843"/>
    <w:rsid w:val="47855EE6"/>
    <w:rsid w:val="47863A0C"/>
    <w:rsid w:val="47A210F4"/>
    <w:rsid w:val="47C307BC"/>
    <w:rsid w:val="47D06A35"/>
    <w:rsid w:val="47D6123E"/>
    <w:rsid w:val="47D91D8D"/>
    <w:rsid w:val="47D95053"/>
    <w:rsid w:val="47F664DA"/>
    <w:rsid w:val="48091567"/>
    <w:rsid w:val="480E5EDB"/>
    <w:rsid w:val="483376F0"/>
    <w:rsid w:val="483E56B0"/>
    <w:rsid w:val="484614F2"/>
    <w:rsid w:val="488A3088"/>
    <w:rsid w:val="489B28AD"/>
    <w:rsid w:val="489E56C9"/>
    <w:rsid w:val="48AE321A"/>
    <w:rsid w:val="48BD16AF"/>
    <w:rsid w:val="48C06AA9"/>
    <w:rsid w:val="48CA69A6"/>
    <w:rsid w:val="48D04F3E"/>
    <w:rsid w:val="490A46B7"/>
    <w:rsid w:val="49105C83"/>
    <w:rsid w:val="4913415F"/>
    <w:rsid w:val="493432B5"/>
    <w:rsid w:val="49402865"/>
    <w:rsid w:val="494616A5"/>
    <w:rsid w:val="4953791E"/>
    <w:rsid w:val="495D254A"/>
    <w:rsid w:val="49971F00"/>
    <w:rsid w:val="49A11E2F"/>
    <w:rsid w:val="49C32CF5"/>
    <w:rsid w:val="49E3404B"/>
    <w:rsid w:val="49E35145"/>
    <w:rsid w:val="49FC60E5"/>
    <w:rsid w:val="4A0C54F3"/>
    <w:rsid w:val="4A197B2F"/>
    <w:rsid w:val="4A4B10E6"/>
    <w:rsid w:val="4A513E5D"/>
    <w:rsid w:val="4A595408"/>
    <w:rsid w:val="4A5B2F2E"/>
    <w:rsid w:val="4A8E0642"/>
    <w:rsid w:val="4A8E50B1"/>
    <w:rsid w:val="4A993603"/>
    <w:rsid w:val="4AAF5028"/>
    <w:rsid w:val="4AAF6DD6"/>
    <w:rsid w:val="4AB634FC"/>
    <w:rsid w:val="4ACF3D72"/>
    <w:rsid w:val="4AD625B4"/>
    <w:rsid w:val="4AE747C1"/>
    <w:rsid w:val="4B074E64"/>
    <w:rsid w:val="4B245A16"/>
    <w:rsid w:val="4B2F057F"/>
    <w:rsid w:val="4B616322"/>
    <w:rsid w:val="4B683B54"/>
    <w:rsid w:val="4B6C4CC7"/>
    <w:rsid w:val="4BB26B7D"/>
    <w:rsid w:val="4BB95C9D"/>
    <w:rsid w:val="4BBA0128"/>
    <w:rsid w:val="4BCE14DD"/>
    <w:rsid w:val="4BE17463"/>
    <w:rsid w:val="4C037F0A"/>
    <w:rsid w:val="4C485734"/>
    <w:rsid w:val="4C4B1A23"/>
    <w:rsid w:val="4C4F0870"/>
    <w:rsid w:val="4C6007E8"/>
    <w:rsid w:val="4C7E4CB1"/>
    <w:rsid w:val="4C887C3B"/>
    <w:rsid w:val="4C8D3147"/>
    <w:rsid w:val="4CA134EA"/>
    <w:rsid w:val="4CA961D2"/>
    <w:rsid w:val="4CB15087"/>
    <w:rsid w:val="4CB701C3"/>
    <w:rsid w:val="4CC22CBF"/>
    <w:rsid w:val="4CC90623"/>
    <w:rsid w:val="4CDB65A8"/>
    <w:rsid w:val="4CE23492"/>
    <w:rsid w:val="4CE94821"/>
    <w:rsid w:val="4D106251"/>
    <w:rsid w:val="4D325898"/>
    <w:rsid w:val="4D471547"/>
    <w:rsid w:val="4D484E3F"/>
    <w:rsid w:val="4D4A14E4"/>
    <w:rsid w:val="4D8F78CD"/>
    <w:rsid w:val="4D924EB8"/>
    <w:rsid w:val="4DA2555E"/>
    <w:rsid w:val="4DB27309"/>
    <w:rsid w:val="4DBF5582"/>
    <w:rsid w:val="4DC00BC1"/>
    <w:rsid w:val="4DC86B2C"/>
    <w:rsid w:val="4DE56558"/>
    <w:rsid w:val="4DE66FB2"/>
    <w:rsid w:val="4DF571F5"/>
    <w:rsid w:val="4DF711BF"/>
    <w:rsid w:val="4E195E0B"/>
    <w:rsid w:val="4E1D1707"/>
    <w:rsid w:val="4E3E294A"/>
    <w:rsid w:val="4E4C69ED"/>
    <w:rsid w:val="4E6A373F"/>
    <w:rsid w:val="4E9C0547"/>
    <w:rsid w:val="4EA64FA6"/>
    <w:rsid w:val="4EEC627F"/>
    <w:rsid w:val="4EF15C0F"/>
    <w:rsid w:val="4F0B3174"/>
    <w:rsid w:val="4F173FD6"/>
    <w:rsid w:val="4F1B02BF"/>
    <w:rsid w:val="4F1D5652"/>
    <w:rsid w:val="4F263F8D"/>
    <w:rsid w:val="4F2C382C"/>
    <w:rsid w:val="4F3D0E54"/>
    <w:rsid w:val="4F4C72E9"/>
    <w:rsid w:val="4F6B3C13"/>
    <w:rsid w:val="4F8627FB"/>
    <w:rsid w:val="4F9842DC"/>
    <w:rsid w:val="4FB74119"/>
    <w:rsid w:val="4FBB7FCB"/>
    <w:rsid w:val="4FBC446F"/>
    <w:rsid w:val="4FBD1F95"/>
    <w:rsid w:val="4FBE1F01"/>
    <w:rsid w:val="4FD55530"/>
    <w:rsid w:val="4FD74E04"/>
    <w:rsid w:val="50062FA5"/>
    <w:rsid w:val="501E0C85"/>
    <w:rsid w:val="50426222"/>
    <w:rsid w:val="5052092F"/>
    <w:rsid w:val="506218BC"/>
    <w:rsid w:val="50650662"/>
    <w:rsid w:val="50690C81"/>
    <w:rsid w:val="507408A5"/>
    <w:rsid w:val="50D13F4A"/>
    <w:rsid w:val="50D47596"/>
    <w:rsid w:val="50E35A2B"/>
    <w:rsid w:val="50E46660"/>
    <w:rsid w:val="50F9524E"/>
    <w:rsid w:val="511D0F3D"/>
    <w:rsid w:val="511E6A63"/>
    <w:rsid w:val="5160707C"/>
    <w:rsid w:val="51612CB2"/>
    <w:rsid w:val="51654692"/>
    <w:rsid w:val="51714DE5"/>
    <w:rsid w:val="517232E1"/>
    <w:rsid w:val="51786173"/>
    <w:rsid w:val="517D7C2E"/>
    <w:rsid w:val="51894824"/>
    <w:rsid w:val="51984A67"/>
    <w:rsid w:val="51B64EEE"/>
    <w:rsid w:val="51BF1FF4"/>
    <w:rsid w:val="51E23F34"/>
    <w:rsid w:val="522462FB"/>
    <w:rsid w:val="52505342"/>
    <w:rsid w:val="52592449"/>
    <w:rsid w:val="525F5585"/>
    <w:rsid w:val="526606C2"/>
    <w:rsid w:val="526F57C8"/>
    <w:rsid w:val="527C1C93"/>
    <w:rsid w:val="52840D7D"/>
    <w:rsid w:val="5285323E"/>
    <w:rsid w:val="52857403"/>
    <w:rsid w:val="52952D55"/>
    <w:rsid w:val="52BD5A19"/>
    <w:rsid w:val="52C33D66"/>
    <w:rsid w:val="52DB2E5E"/>
    <w:rsid w:val="5306762F"/>
    <w:rsid w:val="53190DEA"/>
    <w:rsid w:val="532B7CFC"/>
    <w:rsid w:val="533E5572"/>
    <w:rsid w:val="534E3B3B"/>
    <w:rsid w:val="537806AC"/>
    <w:rsid w:val="538C5F06"/>
    <w:rsid w:val="539F1A5B"/>
    <w:rsid w:val="53A5346C"/>
    <w:rsid w:val="53A92F5C"/>
    <w:rsid w:val="53AE0572"/>
    <w:rsid w:val="53CA7A87"/>
    <w:rsid w:val="53D14261"/>
    <w:rsid w:val="53E8310D"/>
    <w:rsid w:val="53FD4E3D"/>
    <w:rsid w:val="54136627"/>
    <w:rsid w:val="542919A7"/>
    <w:rsid w:val="54493DF7"/>
    <w:rsid w:val="5455279C"/>
    <w:rsid w:val="546D21DB"/>
    <w:rsid w:val="54C94F38"/>
    <w:rsid w:val="54CA318A"/>
    <w:rsid w:val="54D758A7"/>
    <w:rsid w:val="54EF2BF0"/>
    <w:rsid w:val="54F14BBA"/>
    <w:rsid w:val="54FB1595"/>
    <w:rsid w:val="551D59AF"/>
    <w:rsid w:val="552A7BB3"/>
    <w:rsid w:val="5540240B"/>
    <w:rsid w:val="554F45F8"/>
    <w:rsid w:val="55675113"/>
    <w:rsid w:val="556A671B"/>
    <w:rsid w:val="55A27C63"/>
    <w:rsid w:val="55BD4A9D"/>
    <w:rsid w:val="55C67DF5"/>
    <w:rsid w:val="55CB4C07"/>
    <w:rsid w:val="55E24503"/>
    <w:rsid w:val="55E624BA"/>
    <w:rsid w:val="55E85926"/>
    <w:rsid w:val="55F42B3F"/>
    <w:rsid w:val="56203F03"/>
    <w:rsid w:val="56233AB1"/>
    <w:rsid w:val="56494582"/>
    <w:rsid w:val="565C2507"/>
    <w:rsid w:val="565F67E1"/>
    <w:rsid w:val="56680EAC"/>
    <w:rsid w:val="567315FF"/>
    <w:rsid w:val="569A3030"/>
    <w:rsid w:val="56C9244C"/>
    <w:rsid w:val="56E9366F"/>
    <w:rsid w:val="56F40992"/>
    <w:rsid w:val="56F91D2C"/>
    <w:rsid w:val="56FE536D"/>
    <w:rsid w:val="57050BEC"/>
    <w:rsid w:val="57087F99"/>
    <w:rsid w:val="571B1016"/>
    <w:rsid w:val="574A05B2"/>
    <w:rsid w:val="57517B92"/>
    <w:rsid w:val="57631674"/>
    <w:rsid w:val="576378C6"/>
    <w:rsid w:val="57803FD4"/>
    <w:rsid w:val="57B878DE"/>
    <w:rsid w:val="57EC3417"/>
    <w:rsid w:val="580E1553"/>
    <w:rsid w:val="58254B7B"/>
    <w:rsid w:val="583C439E"/>
    <w:rsid w:val="58613A9E"/>
    <w:rsid w:val="5866766D"/>
    <w:rsid w:val="58694A68"/>
    <w:rsid w:val="58713534"/>
    <w:rsid w:val="58764C3F"/>
    <w:rsid w:val="587F428B"/>
    <w:rsid w:val="588D4BFA"/>
    <w:rsid w:val="58A61818"/>
    <w:rsid w:val="58AB5080"/>
    <w:rsid w:val="58C36F05"/>
    <w:rsid w:val="58CE3A73"/>
    <w:rsid w:val="58D26AB1"/>
    <w:rsid w:val="58EB6A4D"/>
    <w:rsid w:val="58F2730B"/>
    <w:rsid w:val="5915699E"/>
    <w:rsid w:val="591A2206"/>
    <w:rsid w:val="59367040"/>
    <w:rsid w:val="59682F71"/>
    <w:rsid w:val="59691515"/>
    <w:rsid w:val="596A6CE9"/>
    <w:rsid w:val="596D0588"/>
    <w:rsid w:val="59701E26"/>
    <w:rsid w:val="59921C7D"/>
    <w:rsid w:val="599F0649"/>
    <w:rsid w:val="59A3392E"/>
    <w:rsid w:val="59AC10B0"/>
    <w:rsid w:val="59DA7BF0"/>
    <w:rsid w:val="59E20F76"/>
    <w:rsid w:val="59F82547"/>
    <w:rsid w:val="59FB5B93"/>
    <w:rsid w:val="5A1B7853"/>
    <w:rsid w:val="5A2024D6"/>
    <w:rsid w:val="5A3D1234"/>
    <w:rsid w:val="5A3D43FE"/>
    <w:rsid w:val="5A3D52A7"/>
    <w:rsid w:val="5A5D23AA"/>
    <w:rsid w:val="5A6E0A5B"/>
    <w:rsid w:val="5A7B457F"/>
    <w:rsid w:val="5A84202D"/>
    <w:rsid w:val="5A90452E"/>
    <w:rsid w:val="5A9C7376"/>
    <w:rsid w:val="5A9E7B8E"/>
    <w:rsid w:val="5AA75D1B"/>
    <w:rsid w:val="5AAB5404"/>
    <w:rsid w:val="5AE44879"/>
    <w:rsid w:val="5AE5677D"/>
    <w:rsid w:val="5AF80325"/>
    <w:rsid w:val="5B01542B"/>
    <w:rsid w:val="5B02505E"/>
    <w:rsid w:val="5B0B0058"/>
    <w:rsid w:val="5B1B7B31"/>
    <w:rsid w:val="5B3C6463"/>
    <w:rsid w:val="5B7462E7"/>
    <w:rsid w:val="5B7C71A8"/>
    <w:rsid w:val="5B88001D"/>
    <w:rsid w:val="5BAB0EC1"/>
    <w:rsid w:val="5BB40370"/>
    <w:rsid w:val="5BBA6107"/>
    <w:rsid w:val="5BCD7B77"/>
    <w:rsid w:val="5BDC37A3"/>
    <w:rsid w:val="5BDE12B9"/>
    <w:rsid w:val="5BEF34D6"/>
    <w:rsid w:val="5BF21F68"/>
    <w:rsid w:val="5BFB631F"/>
    <w:rsid w:val="5BFC5BF3"/>
    <w:rsid w:val="5C0C22DA"/>
    <w:rsid w:val="5C186ED1"/>
    <w:rsid w:val="5C341831"/>
    <w:rsid w:val="5C376DA7"/>
    <w:rsid w:val="5C6C4D5A"/>
    <w:rsid w:val="5C763BF7"/>
    <w:rsid w:val="5C98591B"/>
    <w:rsid w:val="5CAE15E3"/>
    <w:rsid w:val="5CB409EC"/>
    <w:rsid w:val="5CBA7F88"/>
    <w:rsid w:val="5CD64696"/>
    <w:rsid w:val="5CF25D4C"/>
    <w:rsid w:val="5D0C35F6"/>
    <w:rsid w:val="5D1C02FB"/>
    <w:rsid w:val="5D485594"/>
    <w:rsid w:val="5D4E7539"/>
    <w:rsid w:val="5D504448"/>
    <w:rsid w:val="5D5C103F"/>
    <w:rsid w:val="5D7A51C0"/>
    <w:rsid w:val="5D7F0889"/>
    <w:rsid w:val="5D804D95"/>
    <w:rsid w:val="5DAF73C1"/>
    <w:rsid w:val="5DD46E27"/>
    <w:rsid w:val="5DDC3F2E"/>
    <w:rsid w:val="5DF9688E"/>
    <w:rsid w:val="5E0019CA"/>
    <w:rsid w:val="5E047F45"/>
    <w:rsid w:val="5E162F9C"/>
    <w:rsid w:val="5E4915C3"/>
    <w:rsid w:val="5E4C22DD"/>
    <w:rsid w:val="5E8A37CA"/>
    <w:rsid w:val="5EA66A16"/>
    <w:rsid w:val="5EC44B06"/>
    <w:rsid w:val="5ECC5D50"/>
    <w:rsid w:val="5EF534F9"/>
    <w:rsid w:val="5F1A6ABC"/>
    <w:rsid w:val="5F1C1048"/>
    <w:rsid w:val="5F312F3C"/>
    <w:rsid w:val="5F447FDD"/>
    <w:rsid w:val="5F5875E4"/>
    <w:rsid w:val="5F681F1D"/>
    <w:rsid w:val="5F6E6E08"/>
    <w:rsid w:val="5F814D8D"/>
    <w:rsid w:val="5F886C07"/>
    <w:rsid w:val="5F9C1BC7"/>
    <w:rsid w:val="5F9E76ED"/>
    <w:rsid w:val="5FA665A1"/>
    <w:rsid w:val="5FBF1411"/>
    <w:rsid w:val="5FC8476A"/>
    <w:rsid w:val="5FD44EBD"/>
    <w:rsid w:val="5FE64BF0"/>
    <w:rsid w:val="5FEC643A"/>
    <w:rsid w:val="60023233"/>
    <w:rsid w:val="600D5942"/>
    <w:rsid w:val="600F2399"/>
    <w:rsid w:val="60193217"/>
    <w:rsid w:val="60316A41"/>
    <w:rsid w:val="603C2CD5"/>
    <w:rsid w:val="60430294"/>
    <w:rsid w:val="60634492"/>
    <w:rsid w:val="608C39E9"/>
    <w:rsid w:val="608E6ADA"/>
    <w:rsid w:val="60DA29A7"/>
    <w:rsid w:val="60E6759D"/>
    <w:rsid w:val="61021EFD"/>
    <w:rsid w:val="610E43FE"/>
    <w:rsid w:val="6110461A"/>
    <w:rsid w:val="613A3445"/>
    <w:rsid w:val="6155027F"/>
    <w:rsid w:val="61691F7C"/>
    <w:rsid w:val="619758AD"/>
    <w:rsid w:val="61A43811"/>
    <w:rsid w:val="61A92379"/>
    <w:rsid w:val="61CB5D83"/>
    <w:rsid w:val="61DE64C6"/>
    <w:rsid w:val="61E810F3"/>
    <w:rsid w:val="61EE3E41"/>
    <w:rsid w:val="620B6B90"/>
    <w:rsid w:val="621A6DD3"/>
    <w:rsid w:val="621C6FEF"/>
    <w:rsid w:val="62343E90"/>
    <w:rsid w:val="623600B0"/>
    <w:rsid w:val="6241391E"/>
    <w:rsid w:val="626540F2"/>
    <w:rsid w:val="628506F0"/>
    <w:rsid w:val="62886542"/>
    <w:rsid w:val="62A97B90"/>
    <w:rsid w:val="62AF39BF"/>
    <w:rsid w:val="62DE329C"/>
    <w:rsid w:val="62DF24F6"/>
    <w:rsid w:val="62EA68CA"/>
    <w:rsid w:val="63185372"/>
    <w:rsid w:val="63185A08"/>
    <w:rsid w:val="63212B0F"/>
    <w:rsid w:val="632C5010"/>
    <w:rsid w:val="632D218D"/>
    <w:rsid w:val="633A18B9"/>
    <w:rsid w:val="63500CFE"/>
    <w:rsid w:val="63626C83"/>
    <w:rsid w:val="63640C4D"/>
    <w:rsid w:val="63696264"/>
    <w:rsid w:val="636C365E"/>
    <w:rsid w:val="637471D4"/>
    <w:rsid w:val="6390652C"/>
    <w:rsid w:val="639E0F5A"/>
    <w:rsid w:val="63A4729C"/>
    <w:rsid w:val="63AC5899"/>
    <w:rsid w:val="63CB0F1D"/>
    <w:rsid w:val="63DB6879"/>
    <w:rsid w:val="63E34042"/>
    <w:rsid w:val="63EF49BB"/>
    <w:rsid w:val="63FC0E86"/>
    <w:rsid w:val="641A130C"/>
    <w:rsid w:val="641F6D1B"/>
    <w:rsid w:val="6449150B"/>
    <w:rsid w:val="64563131"/>
    <w:rsid w:val="645C36D2"/>
    <w:rsid w:val="645D483B"/>
    <w:rsid w:val="646B1B68"/>
    <w:rsid w:val="6477675E"/>
    <w:rsid w:val="648D5F82"/>
    <w:rsid w:val="64A137DB"/>
    <w:rsid w:val="64D30102"/>
    <w:rsid w:val="64D92F75"/>
    <w:rsid w:val="64DD2A65"/>
    <w:rsid w:val="64E773F1"/>
    <w:rsid w:val="64FB113D"/>
    <w:rsid w:val="64FB4C44"/>
    <w:rsid w:val="65197815"/>
    <w:rsid w:val="6525440C"/>
    <w:rsid w:val="65302232"/>
    <w:rsid w:val="65570C07"/>
    <w:rsid w:val="655A5E64"/>
    <w:rsid w:val="655D5954"/>
    <w:rsid w:val="65622F6B"/>
    <w:rsid w:val="658E1FB1"/>
    <w:rsid w:val="65B34C10"/>
    <w:rsid w:val="65C21C5B"/>
    <w:rsid w:val="65CB6D62"/>
    <w:rsid w:val="65DD5ECC"/>
    <w:rsid w:val="65E25E59"/>
    <w:rsid w:val="65E41BD1"/>
    <w:rsid w:val="65F22540"/>
    <w:rsid w:val="65F52BD1"/>
    <w:rsid w:val="65FA5A06"/>
    <w:rsid w:val="660A37E8"/>
    <w:rsid w:val="661D6348"/>
    <w:rsid w:val="662925FC"/>
    <w:rsid w:val="66303069"/>
    <w:rsid w:val="66410DD2"/>
    <w:rsid w:val="66C043ED"/>
    <w:rsid w:val="66CA69B9"/>
    <w:rsid w:val="66CD4D5B"/>
    <w:rsid w:val="66D460EA"/>
    <w:rsid w:val="66EF082E"/>
    <w:rsid w:val="67050B0A"/>
    <w:rsid w:val="670C5884"/>
    <w:rsid w:val="670F7122"/>
    <w:rsid w:val="67256946"/>
    <w:rsid w:val="673D77EB"/>
    <w:rsid w:val="67544B35"/>
    <w:rsid w:val="67564D51"/>
    <w:rsid w:val="679B2764"/>
    <w:rsid w:val="679D64DC"/>
    <w:rsid w:val="679F2254"/>
    <w:rsid w:val="67A21D44"/>
    <w:rsid w:val="67B13D35"/>
    <w:rsid w:val="67B359E4"/>
    <w:rsid w:val="67B37AAD"/>
    <w:rsid w:val="67BA708E"/>
    <w:rsid w:val="67E81E4D"/>
    <w:rsid w:val="67F105D6"/>
    <w:rsid w:val="68012F0F"/>
    <w:rsid w:val="6811043A"/>
    <w:rsid w:val="681D761D"/>
    <w:rsid w:val="6828049B"/>
    <w:rsid w:val="683F3A37"/>
    <w:rsid w:val="68466B73"/>
    <w:rsid w:val="685904C3"/>
    <w:rsid w:val="68611995"/>
    <w:rsid w:val="68815DFE"/>
    <w:rsid w:val="688558EE"/>
    <w:rsid w:val="68AB33CC"/>
    <w:rsid w:val="68D730DA"/>
    <w:rsid w:val="68D91796"/>
    <w:rsid w:val="68ED6FEF"/>
    <w:rsid w:val="68F16ADF"/>
    <w:rsid w:val="68F760C0"/>
    <w:rsid w:val="690A7BA1"/>
    <w:rsid w:val="691051D7"/>
    <w:rsid w:val="692F1F37"/>
    <w:rsid w:val="6942558D"/>
    <w:rsid w:val="69513A22"/>
    <w:rsid w:val="69794D27"/>
    <w:rsid w:val="697D65C5"/>
    <w:rsid w:val="69847953"/>
    <w:rsid w:val="698A0CE2"/>
    <w:rsid w:val="6997250D"/>
    <w:rsid w:val="69B1626F"/>
    <w:rsid w:val="69CA7330"/>
    <w:rsid w:val="69E75B33"/>
    <w:rsid w:val="69F377DA"/>
    <w:rsid w:val="69F5427C"/>
    <w:rsid w:val="69FA7C16"/>
    <w:rsid w:val="6A793747"/>
    <w:rsid w:val="6A9E2C97"/>
    <w:rsid w:val="6AB47482"/>
    <w:rsid w:val="6AB7180B"/>
    <w:rsid w:val="6ACD532A"/>
    <w:rsid w:val="6B250CC2"/>
    <w:rsid w:val="6B252A70"/>
    <w:rsid w:val="6B3D60C8"/>
    <w:rsid w:val="6B4317F5"/>
    <w:rsid w:val="6B4849B1"/>
    <w:rsid w:val="6B4D1688"/>
    <w:rsid w:val="6B505123"/>
    <w:rsid w:val="6B517D09"/>
    <w:rsid w:val="6B841E8D"/>
    <w:rsid w:val="6B8A321B"/>
    <w:rsid w:val="6B8E5234"/>
    <w:rsid w:val="6BBF1117"/>
    <w:rsid w:val="6BC36E39"/>
    <w:rsid w:val="6BDB3A77"/>
    <w:rsid w:val="6BE96194"/>
    <w:rsid w:val="6BFA6EC3"/>
    <w:rsid w:val="6C052304"/>
    <w:rsid w:val="6C07661A"/>
    <w:rsid w:val="6C184383"/>
    <w:rsid w:val="6C3669A9"/>
    <w:rsid w:val="6C5D3DA6"/>
    <w:rsid w:val="6C7F4402"/>
    <w:rsid w:val="6C88775B"/>
    <w:rsid w:val="6C89702F"/>
    <w:rsid w:val="6CA83959"/>
    <w:rsid w:val="6CCC5A7A"/>
    <w:rsid w:val="6CE07597"/>
    <w:rsid w:val="6CF21835"/>
    <w:rsid w:val="6D203AB1"/>
    <w:rsid w:val="6D592EA5"/>
    <w:rsid w:val="6D5C4743"/>
    <w:rsid w:val="6D635E9B"/>
    <w:rsid w:val="6D6365A9"/>
    <w:rsid w:val="6D6F091A"/>
    <w:rsid w:val="6D7F1C74"/>
    <w:rsid w:val="6D8048D6"/>
    <w:rsid w:val="6D8E6FF3"/>
    <w:rsid w:val="6DAC56CB"/>
    <w:rsid w:val="6DBD1686"/>
    <w:rsid w:val="6DD15131"/>
    <w:rsid w:val="6DEB2F33"/>
    <w:rsid w:val="6E003BA0"/>
    <w:rsid w:val="6E184B0E"/>
    <w:rsid w:val="6E1D3ED3"/>
    <w:rsid w:val="6E1F5E9D"/>
    <w:rsid w:val="6E25722B"/>
    <w:rsid w:val="6E495B00"/>
    <w:rsid w:val="6E58315D"/>
    <w:rsid w:val="6E7004A6"/>
    <w:rsid w:val="6E753D0F"/>
    <w:rsid w:val="6E9028F6"/>
    <w:rsid w:val="6E9E14B7"/>
    <w:rsid w:val="6EAF5BF8"/>
    <w:rsid w:val="6EC45E38"/>
    <w:rsid w:val="6ECE0957"/>
    <w:rsid w:val="6EE669BA"/>
    <w:rsid w:val="6EE844E0"/>
    <w:rsid w:val="6F1F1ECC"/>
    <w:rsid w:val="6F4436E1"/>
    <w:rsid w:val="6F651FD5"/>
    <w:rsid w:val="6F791FDF"/>
    <w:rsid w:val="6F7C731F"/>
    <w:rsid w:val="6F8B1310"/>
    <w:rsid w:val="6F977CB5"/>
    <w:rsid w:val="6F9D176F"/>
    <w:rsid w:val="6FAF14A2"/>
    <w:rsid w:val="6FFA66D3"/>
    <w:rsid w:val="703457D6"/>
    <w:rsid w:val="7053007F"/>
    <w:rsid w:val="70812E3F"/>
    <w:rsid w:val="709A1175"/>
    <w:rsid w:val="70A36369"/>
    <w:rsid w:val="70AD3C34"/>
    <w:rsid w:val="70C04FE9"/>
    <w:rsid w:val="70E064F2"/>
    <w:rsid w:val="71074776"/>
    <w:rsid w:val="710E21F8"/>
    <w:rsid w:val="7113780F"/>
    <w:rsid w:val="713752AB"/>
    <w:rsid w:val="714B5FE1"/>
    <w:rsid w:val="71517CC3"/>
    <w:rsid w:val="715220E5"/>
    <w:rsid w:val="71600CA6"/>
    <w:rsid w:val="71660F39"/>
    <w:rsid w:val="716910A1"/>
    <w:rsid w:val="71825343"/>
    <w:rsid w:val="71826358"/>
    <w:rsid w:val="719276F1"/>
    <w:rsid w:val="719B7F30"/>
    <w:rsid w:val="71B2264E"/>
    <w:rsid w:val="71F633B8"/>
    <w:rsid w:val="71F96A05"/>
    <w:rsid w:val="720F0D8B"/>
    <w:rsid w:val="723502D1"/>
    <w:rsid w:val="724A3704"/>
    <w:rsid w:val="725325B9"/>
    <w:rsid w:val="72691514"/>
    <w:rsid w:val="72750781"/>
    <w:rsid w:val="728657A3"/>
    <w:rsid w:val="728A3B01"/>
    <w:rsid w:val="72AE77EF"/>
    <w:rsid w:val="72CC236B"/>
    <w:rsid w:val="72DA00D0"/>
    <w:rsid w:val="72F330D4"/>
    <w:rsid w:val="72F63C8A"/>
    <w:rsid w:val="72FA75F8"/>
    <w:rsid w:val="72FD0776"/>
    <w:rsid w:val="732950C8"/>
    <w:rsid w:val="73375A36"/>
    <w:rsid w:val="734737A0"/>
    <w:rsid w:val="735D2FC3"/>
    <w:rsid w:val="736F0AAB"/>
    <w:rsid w:val="73836ECE"/>
    <w:rsid w:val="73974727"/>
    <w:rsid w:val="73A34E7A"/>
    <w:rsid w:val="73C80D84"/>
    <w:rsid w:val="742A3E24"/>
    <w:rsid w:val="74404DBF"/>
    <w:rsid w:val="744321B9"/>
    <w:rsid w:val="744877CF"/>
    <w:rsid w:val="745B39A7"/>
    <w:rsid w:val="745E6FF3"/>
    <w:rsid w:val="74620891"/>
    <w:rsid w:val="74967ECF"/>
    <w:rsid w:val="74994F4C"/>
    <w:rsid w:val="74A0760B"/>
    <w:rsid w:val="74B97933"/>
    <w:rsid w:val="74BB4445"/>
    <w:rsid w:val="74C4779E"/>
    <w:rsid w:val="74EE481B"/>
    <w:rsid w:val="74FF2584"/>
    <w:rsid w:val="75160C40"/>
    <w:rsid w:val="75295853"/>
    <w:rsid w:val="75330480"/>
    <w:rsid w:val="753B38CC"/>
    <w:rsid w:val="755503F6"/>
    <w:rsid w:val="75693EA1"/>
    <w:rsid w:val="757F1917"/>
    <w:rsid w:val="7589009F"/>
    <w:rsid w:val="759C7DD3"/>
    <w:rsid w:val="75A153E9"/>
    <w:rsid w:val="75B23A83"/>
    <w:rsid w:val="75EC5C91"/>
    <w:rsid w:val="760419F5"/>
    <w:rsid w:val="760F2C9B"/>
    <w:rsid w:val="76361FD5"/>
    <w:rsid w:val="76381E61"/>
    <w:rsid w:val="764D37C3"/>
    <w:rsid w:val="76593F16"/>
    <w:rsid w:val="76612DCA"/>
    <w:rsid w:val="76684159"/>
    <w:rsid w:val="76856450"/>
    <w:rsid w:val="768865A9"/>
    <w:rsid w:val="76962A74"/>
    <w:rsid w:val="76A011BA"/>
    <w:rsid w:val="76A01B45"/>
    <w:rsid w:val="76BA0E58"/>
    <w:rsid w:val="76BF021D"/>
    <w:rsid w:val="76EA1012"/>
    <w:rsid w:val="76F854DD"/>
    <w:rsid w:val="76FF2D0F"/>
    <w:rsid w:val="7702635B"/>
    <w:rsid w:val="77334767"/>
    <w:rsid w:val="7750363F"/>
    <w:rsid w:val="777F7B31"/>
    <w:rsid w:val="778F6BD1"/>
    <w:rsid w:val="77950F7E"/>
    <w:rsid w:val="77955421"/>
    <w:rsid w:val="779A6594"/>
    <w:rsid w:val="77AF12AD"/>
    <w:rsid w:val="77C90C27"/>
    <w:rsid w:val="77DC6BAC"/>
    <w:rsid w:val="78276A7B"/>
    <w:rsid w:val="783B1B25"/>
    <w:rsid w:val="7857029C"/>
    <w:rsid w:val="785726D7"/>
    <w:rsid w:val="785C583F"/>
    <w:rsid w:val="78624DE2"/>
    <w:rsid w:val="7866291A"/>
    <w:rsid w:val="789631FF"/>
    <w:rsid w:val="789E3E62"/>
    <w:rsid w:val="78A771BA"/>
    <w:rsid w:val="78CA4C57"/>
    <w:rsid w:val="78D802CB"/>
    <w:rsid w:val="78F341AE"/>
    <w:rsid w:val="78FB3306"/>
    <w:rsid w:val="793A002E"/>
    <w:rsid w:val="796055BB"/>
    <w:rsid w:val="7971600F"/>
    <w:rsid w:val="79724727"/>
    <w:rsid w:val="797A4DE2"/>
    <w:rsid w:val="798B088A"/>
    <w:rsid w:val="799C2A97"/>
    <w:rsid w:val="79A436FA"/>
    <w:rsid w:val="79B37DE1"/>
    <w:rsid w:val="79B55907"/>
    <w:rsid w:val="79B7167F"/>
    <w:rsid w:val="79C332C8"/>
    <w:rsid w:val="79D33FDF"/>
    <w:rsid w:val="79DF2984"/>
    <w:rsid w:val="79DF4732"/>
    <w:rsid w:val="79F0182B"/>
    <w:rsid w:val="79FA156C"/>
    <w:rsid w:val="79FA5A10"/>
    <w:rsid w:val="79FF50E5"/>
    <w:rsid w:val="7A122D59"/>
    <w:rsid w:val="7A1F0FD2"/>
    <w:rsid w:val="7A356A48"/>
    <w:rsid w:val="7A3E58FC"/>
    <w:rsid w:val="7A666C01"/>
    <w:rsid w:val="7A9674E6"/>
    <w:rsid w:val="7AAF2356"/>
    <w:rsid w:val="7AC04563"/>
    <w:rsid w:val="7AC7377C"/>
    <w:rsid w:val="7ACE4ED2"/>
    <w:rsid w:val="7AE06894"/>
    <w:rsid w:val="7AE2097E"/>
    <w:rsid w:val="7AF4420D"/>
    <w:rsid w:val="7AFB1A3F"/>
    <w:rsid w:val="7AFE32DE"/>
    <w:rsid w:val="7B0C77A9"/>
    <w:rsid w:val="7B1B7767"/>
    <w:rsid w:val="7B2014A6"/>
    <w:rsid w:val="7B575128"/>
    <w:rsid w:val="7B6616C1"/>
    <w:rsid w:val="7B960E8A"/>
    <w:rsid w:val="7B9F061D"/>
    <w:rsid w:val="7BB2023F"/>
    <w:rsid w:val="7BDC2C34"/>
    <w:rsid w:val="7BDD1145"/>
    <w:rsid w:val="7BFA17C6"/>
    <w:rsid w:val="7C372603"/>
    <w:rsid w:val="7C4F69CB"/>
    <w:rsid w:val="7C5A2796"/>
    <w:rsid w:val="7C5E4034"/>
    <w:rsid w:val="7C8D481D"/>
    <w:rsid w:val="7C975798"/>
    <w:rsid w:val="7CB24E19"/>
    <w:rsid w:val="7CDC31AB"/>
    <w:rsid w:val="7CDE5175"/>
    <w:rsid w:val="7CE7227B"/>
    <w:rsid w:val="7CED32C2"/>
    <w:rsid w:val="7CF44998"/>
    <w:rsid w:val="7D005E02"/>
    <w:rsid w:val="7D07647A"/>
    <w:rsid w:val="7D346391"/>
    <w:rsid w:val="7D496A92"/>
    <w:rsid w:val="7D7A30EF"/>
    <w:rsid w:val="7D883202"/>
    <w:rsid w:val="7DBF0B02"/>
    <w:rsid w:val="7DC05154"/>
    <w:rsid w:val="7DC25594"/>
    <w:rsid w:val="7E022AA9"/>
    <w:rsid w:val="7E0E3838"/>
    <w:rsid w:val="7E17093E"/>
    <w:rsid w:val="7E215319"/>
    <w:rsid w:val="7E5C15E1"/>
    <w:rsid w:val="7E601CD3"/>
    <w:rsid w:val="7E655B4E"/>
    <w:rsid w:val="7E9F37B9"/>
    <w:rsid w:val="7EA63BDC"/>
    <w:rsid w:val="7EC860DC"/>
    <w:rsid w:val="7EDB7BBE"/>
    <w:rsid w:val="7EEE354F"/>
    <w:rsid w:val="7EF90044"/>
    <w:rsid w:val="7F037115"/>
    <w:rsid w:val="7F0C5FC9"/>
    <w:rsid w:val="7F203525"/>
    <w:rsid w:val="7F3567E5"/>
    <w:rsid w:val="7F3D2627"/>
    <w:rsid w:val="7F4219EB"/>
    <w:rsid w:val="7F750754"/>
    <w:rsid w:val="7F8527B8"/>
    <w:rsid w:val="7F855D7C"/>
    <w:rsid w:val="7F8C00D9"/>
    <w:rsid w:val="7F9C33D4"/>
    <w:rsid w:val="7F9F1847"/>
    <w:rsid w:val="7FA2248A"/>
    <w:rsid w:val="7FBA7192"/>
    <w:rsid w:val="7FC44FB7"/>
    <w:rsid w:val="7FC93EBA"/>
    <w:rsid w:val="7FCC7507"/>
    <w:rsid w:val="7FD0349B"/>
    <w:rsid w:val="7FDB18A6"/>
    <w:rsid w:val="7FF64583"/>
    <w:rsid w:val="F94F4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keepLines/>
      <w:autoSpaceDE w:val="0"/>
      <w:autoSpaceDN w:val="0"/>
      <w:adjustRightInd w:val="0"/>
      <w:spacing w:before="340" w:after="330" w:line="578" w:lineRule="atLeast"/>
      <w:jc w:val="left"/>
      <w:textAlignment w:val="baseline"/>
      <w:outlineLvl w:val="0"/>
    </w:pPr>
    <w:rPr>
      <w:b/>
      <w:kern w:val="0"/>
      <w:sz w:val="44"/>
      <w:szCs w:val="20"/>
    </w:rPr>
  </w:style>
  <w:style w:type="paragraph" w:styleId="3">
    <w:name w:val="heading 2"/>
    <w:basedOn w:val="1"/>
    <w:next w:val="4"/>
    <w:link w:val="72"/>
    <w:qFormat/>
    <w:uiPriority w:val="9"/>
    <w:pPr>
      <w:keepNext/>
      <w:keepLines/>
      <w:spacing w:before="260" w:after="260"/>
      <w:outlineLvl w:val="1"/>
    </w:pPr>
    <w:rPr>
      <w:rFonts w:ascii="Arial" w:hAnsi="Arial"/>
      <w:b/>
      <w:szCs w:val="20"/>
    </w:rPr>
  </w:style>
  <w:style w:type="paragraph" w:styleId="5">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6">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7">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8">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9">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10">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71"/>
    <w:qFormat/>
    <w:uiPriority w:val="0"/>
    <w:pPr>
      <w:ind w:firstLine="420"/>
    </w:pPr>
    <w:rPr>
      <w:szCs w:val="20"/>
    </w:rPr>
  </w:style>
  <w:style w:type="paragraph" w:styleId="12">
    <w:name w:val="toc 7"/>
    <w:basedOn w:val="1"/>
    <w:next w:val="1"/>
    <w:qFormat/>
    <w:uiPriority w:val="39"/>
    <w:pPr>
      <w:tabs>
        <w:tab w:val="right" w:leader="dot" w:pos="9241"/>
      </w:tabs>
      <w:ind w:firstLine="505" w:firstLineChars="500"/>
      <w:jc w:val="left"/>
    </w:pPr>
    <w:rPr>
      <w:rFonts w:ascii="宋体"/>
      <w:szCs w:val="21"/>
    </w:rPr>
  </w:style>
  <w:style w:type="paragraph" w:styleId="13">
    <w:name w:val="List Number 2"/>
    <w:basedOn w:val="1"/>
    <w:qFormat/>
    <w:uiPriority w:val="0"/>
    <w:pPr>
      <w:numPr>
        <w:ilvl w:val="0"/>
        <w:numId w:val="2"/>
      </w:numPr>
    </w:pPr>
  </w:style>
  <w:style w:type="paragraph" w:styleId="14">
    <w:name w:val="List Bullet 4"/>
    <w:basedOn w:val="1"/>
    <w:qFormat/>
    <w:uiPriority w:val="0"/>
    <w:pPr>
      <w:tabs>
        <w:tab w:val="left" w:pos="420"/>
      </w:tabs>
      <w:ind w:left="420" w:hanging="420"/>
    </w:pPr>
    <w:rPr>
      <w:szCs w:val="20"/>
    </w:rPr>
  </w:style>
  <w:style w:type="paragraph" w:styleId="15">
    <w:name w:val="index 8"/>
    <w:basedOn w:val="1"/>
    <w:next w:val="1"/>
    <w:qFormat/>
    <w:uiPriority w:val="0"/>
    <w:pPr>
      <w:ind w:left="1680" w:hanging="210"/>
      <w:jc w:val="left"/>
    </w:pPr>
    <w:rPr>
      <w:rFonts w:ascii="Calibri" w:hAnsi="Calibri"/>
      <w:sz w:val="20"/>
      <w:szCs w:val="20"/>
    </w:rPr>
  </w:style>
  <w:style w:type="paragraph" w:styleId="16">
    <w:name w:val="List Number"/>
    <w:basedOn w:val="1"/>
    <w:qFormat/>
    <w:uiPriority w:val="0"/>
    <w:pPr>
      <w:numPr>
        <w:ilvl w:val="0"/>
        <w:numId w:val="3"/>
      </w:numPr>
    </w:p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24"/>
    <w:next w:val="24"/>
    <w:link w:val="83"/>
    <w:qFormat/>
    <w:uiPriority w:val="0"/>
    <w:pPr>
      <w:spacing w:after="120"/>
    </w:pPr>
    <w:rPr>
      <w:szCs w:val="20"/>
    </w:rPr>
  </w:style>
  <w:style w:type="paragraph" w:styleId="24">
    <w:name w:val="Title"/>
    <w:basedOn w:val="1"/>
    <w:next w:val="1"/>
    <w:link w:val="385"/>
    <w:qFormat/>
    <w:uiPriority w:val="0"/>
    <w:pPr>
      <w:spacing w:before="240" w:after="60"/>
      <w:jc w:val="center"/>
      <w:outlineLvl w:val="0"/>
    </w:pPr>
    <w:rPr>
      <w:rFonts w:ascii="Cambria" w:hAnsi="Cambria"/>
      <w:b/>
      <w:sz w:val="32"/>
      <w:szCs w:val="21"/>
    </w:rPr>
  </w:style>
  <w:style w:type="paragraph" w:styleId="25">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6">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7">
    <w:name w:val="index 4"/>
    <w:basedOn w:val="1"/>
    <w:next w:val="1"/>
    <w:qFormat/>
    <w:uiPriority w:val="0"/>
    <w:pPr>
      <w:ind w:left="840" w:hanging="210"/>
      <w:jc w:val="left"/>
    </w:pPr>
    <w:rPr>
      <w:rFonts w:ascii="Calibri" w:hAnsi="Calibri"/>
      <w:sz w:val="20"/>
      <w:szCs w:val="20"/>
    </w:rPr>
  </w:style>
  <w:style w:type="paragraph" w:styleId="28">
    <w:name w:val="toc 5"/>
    <w:basedOn w:val="1"/>
    <w:next w:val="1"/>
    <w:qFormat/>
    <w:uiPriority w:val="39"/>
    <w:pPr>
      <w:tabs>
        <w:tab w:val="right" w:leader="dot" w:pos="9241"/>
      </w:tabs>
      <w:ind w:firstLine="300" w:firstLineChars="300"/>
      <w:jc w:val="left"/>
    </w:pPr>
    <w:rPr>
      <w:rFonts w:ascii="宋体"/>
      <w:szCs w:val="21"/>
    </w:rPr>
  </w:style>
  <w:style w:type="paragraph" w:styleId="29">
    <w:name w:val="toc 3"/>
    <w:basedOn w:val="1"/>
    <w:next w:val="1"/>
    <w:qFormat/>
    <w:uiPriority w:val="39"/>
    <w:pPr>
      <w:ind w:left="840" w:leftChars="400"/>
    </w:pPr>
  </w:style>
  <w:style w:type="paragraph" w:styleId="30">
    <w:name w:val="Plain Text"/>
    <w:basedOn w:val="1"/>
    <w:link w:val="79"/>
    <w:qFormat/>
    <w:uiPriority w:val="99"/>
    <w:rPr>
      <w:rFonts w:ascii="宋体" w:hAnsi="Courier New"/>
      <w:szCs w:val="20"/>
    </w:rPr>
  </w:style>
  <w:style w:type="paragraph" w:styleId="31">
    <w:name w:val="toc 8"/>
    <w:basedOn w:val="1"/>
    <w:next w:val="1"/>
    <w:qFormat/>
    <w:uiPriority w:val="39"/>
    <w:pPr>
      <w:tabs>
        <w:tab w:val="right" w:leader="dot" w:pos="9241"/>
      </w:tabs>
      <w:ind w:firstLine="607" w:firstLineChars="600"/>
      <w:jc w:val="left"/>
    </w:pPr>
    <w:rPr>
      <w:rFonts w:ascii="宋体"/>
      <w:szCs w:val="21"/>
    </w:rPr>
  </w:style>
  <w:style w:type="paragraph" w:styleId="32">
    <w:name w:val="index 3"/>
    <w:basedOn w:val="1"/>
    <w:next w:val="1"/>
    <w:qFormat/>
    <w:uiPriority w:val="0"/>
    <w:pPr>
      <w:ind w:left="630" w:hanging="210"/>
      <w:jc w:val="left"/>
    </w:pPr>
    <w:rPr>
      <w:rFonts w:ascii="Calibri" w:hAnsi="Calibri"/>
      <w:sz w:val="20"/>
      <w:szCs w:val="20"/>
    </w:rPr>
  </w:style>
  <w:style w:type="paragraph" w:styleId="33">
    <w:name w:val="Date"/>
    <w:basedOn w:val="1"/>
    <w:next w:val="1"/>
    <w:link w:val="78"/>
    <w:qFormat/>
    <w:uiPriority w:val="0"/>
    <w:pPr>
      <w:ind w:left="100" w:leftChars="2500"/>
    </w:pPr>
    <w:rPr>
      <w:rFonts w:ascii="宋体" w:hAnsi="宋体"/>
      <w:b/>
      <w:color w:val="FF0000"/>
      <w:sz w:val="36"/>
      <w:szCs w:val="30"/>
    </w:rPr>
  </w:style>
  <w:style w:type="paragraph" w:styleId="34">
    <w:name w:val="Body Text Indent 2"/>
    <w:basedOn w:val="1"/>
    <w:link w:val="82"/>
    <w:qFormat/>
    <w:uiPriority w:val="0"/>
    <w:pPr>
      <w:spacing w:after="120" w:line="480" w:lineRule="auto"/>
      <w:ind w:left="420" w:leftChars="200"/>
    </w:pPr>
    <w:rPr>
      <w:szCs w:val="20"/>
    </w:rPr>
  </w:style>
  <w:style w:type="paragraph" w:styleId="35">
    <w:name w:val="endnote text"/>
    <w:basedOn w:val="1"/>
    <w:link w:val="216"/>
    <w:semiHidden/>
    <w:qFormat/>
    <w:uiPriority w:val="0"/>
    <w:pPr>
      <w:snapToGrid w:val="0"/>
      <w:jc w:val="left"/>
    </w:pPr>
  </w:style>
  <w:style w:type="paragraph" w:styleId="36">
    <w:name w:val="Balloon Text"/>
    <w:basedOn w:val="1"/>
    <w:link w:val="85"/>
    <w:qFormat/>
    <w:uiPriority w:val="0"/>
    <w:rPr>
      <w:sz w:val="18"/>
      <w:szCs w:val="18"/>
    </w:rPr>
  </w:style>
  <w:style w:type="paragraph" w:styleId="37">
    <w:name w:val="footer"/>
    <w:basedOn w:val="1"/>
    <w:link w:val="86"/>
    <w:qFormat/>
    <w:uiPriority w:val="99"/>
    <w:pPr>
      <w:tabs>
        <w:tab w:val="center" w:pos="4153"/>
        <w:tab w:val="right" w:pos="8306"/>
      </w:tabs>
      <w:snapToGrid w:val="0"/>
      <w:jc w:val="left"/>
    </w:pPr>
    <w:rPr>
      <w:sz w:val="18"/>
      <w:szCs w:val="18"/>
    </w:rPr>
  </w:style>
  <w:style w:type="paragraph" w:styleId="38">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style>
  <w:style w:type="paragraph" w:styleId="40">
    <w:name w:val="toc 4"/>
    <w:basedOn w:val="1"/>
    <w:next w:val="1"/>
    <w:qFormat/>
    <w:uiPriority w:val="39"/>
    <w:pPr>
      <w:tabs>
        <w:tab w:val="right" w:leader="dot" w:pos="9241"/>
      </w:tabs>
      <w:ind w:firstLine="198"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4">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5">
    <w:name w:val="footnote text"/>
    <w:basedOn w:val="1"/>
    <w:link w:val="199"/>
    <w:qFormat/>
    <w:uiPriority w:val="0"/>
    <w:pPr>
      <w:numPr>
        <w:ilvl w:val="0"/>
        <w:numId w:val="5"/>
      </w:numPr>
      <w:snapToGrid w:val="0"/>
      <w:jc w:val="left"/>
    </w:pPr>
    <w:rPr>
      <w:rFonts w:ascii="宋体"/>
      <w:sz w:val="18"/>
      <w:szCs w:val="18"/>
    </w:rPr>
  </w:style>
  <w:style w:type="paragraph" w:styleId="46">
    <w:name w:val="toc 6"/>
    <w:basedOn w:val="1"/>
    <w:next w:val="1"/>
    <w:qFormat/>
    <w:uiPriority w:val="39"/>
    <w:pPr>
      <w:tabs>
        <w:tab w:val="right" w:leader="dot" w:pos="9241"/>
      </w:tabs>
      <w:ind w:firstLine="403" w:firstLineChars="400"/>
      <w:jc w:val="left"/>
    </w:pPr>
    <w:rPr>
      <w:rFonts w:ascii="宋体"/>
      <w:szCs w:val="21"/>
    </w:rPr>
  </w:style>
  <w:style w:type="paragraph" w:styleId="47">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oc 2"/>
    <w:basedOn w:val="1"/>
    <w:next w:val="1"/>
    <w:qFormat/>
    <w:uiPriority w:val="39"/>
    <w:pPr>
      <w:ind w:left="420" w:leftChars="200"/>
    </w:pPr>
  </w:style>
  <w:style w:type="paragraph" w:styleId="51">
    <w:name w:val="toc 9"/>
    <w:basedOn w:val="1"/>
    <w:next w:val="1"/>
    <w:qFormat/>
    <w:uiPriority w:val="39"/>
    <w:pPr>
      <w:ind w:left="1470"/>
      <w:jc w:val="left"/>
    </w:pPr>
    <w:rPr>
      <w:sz w:val="20"/>
      <w:szCs w:val="20"/>
    </w:rPr>
  </w:style>
  <w:style w:type="paragraph" w:styleId="52">
    <w:name w:val="Normal (Web)"/>
    <w:basedOn w:val="1"/>
    <w:qFormat/>
    <w:uiPriority w:val="0"/>
    <w:rPr>
      <w:sz w:val="24"/>
    </w:rPr>
  </w:style>
  <w:style w:type="paragraph" w:styleId="53">
    <w:name w:val="index 2"/>
    <w:basedOn w:val="1"/>
    <w:next w:val="1"/>
    <w:qFormat/>
    <w:uiPriority w:val="0"/>
    <w:pPr>
      <w:ind w:left="420" w:hanging="210"/>
      <w:jc w:val="left"/>
    </w:pPr>
    <w:rPr>
      <w:rFonts w:ascii="Calibri" w:hAnsi="Calibri"/>
      <w:sz w:val="20"/>
      <w:szCs w:val="20"/>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5"/>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semiHidden/>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4"/>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5"/>
    <w:qFormat/>
    <w:uiPriority w:val="9"/>
    <w:rPr>
      <w:rFonts w:cs="Times New Roman"/>
      <w:b/>
      <w:kern w:val="0"/>
      <w:sz w:val="32"/>
      <w:szCs w:val="20"/>
    </w:rPr>
  </w:style>
  <w:style w:type="character" w:customStyle="1" w:styleId="74">
    <w:name w:val="标题 4 字符1"/>
    <w:link w:val="6"/>
    <w:qFormat/>
    <w:uiPriority w:val="0"/>
    <w:rPr>
      <w:rFonts w:cs="Times New Roman"/>
      <w:b/>
      <w:bCs/>
      <w:szCs w:val="24"/>
      <w:lang w:val="sv-SE"/>
    </w:rPr>
  </w:style>
  <w:style w:type="character" w:customStyle="1" w:styleId="75">
    <w:name w:val="标题 8 字符1"/>
    <w:link w:val="10"/>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3"/>
    <w:qFormat/>
    <w:uiPriority w:val="0"/>
    <w:rPr>
      <w:rFonts w:ascii="宋体" w:hAnsi="宋体" w:cs="Times New Roman"/>
      <w:b/>
      <w:color w:val="FF0000"/>
      <w:sz w:val="36"/>
      <w:szCs w:val="30"/>
    </w:rPr>
  </w:style>
  <w:style w:type="character" w:customStyle="1" w:styleId="79">
    <w:name w:val="纯文本 字符1"/>
    <w:link w:val="30"/>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4"/>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6"/>
    <w:qFormat/>
    <w:uiPriority w:val="0"/>
    <w:rPr>
      <w:rFonts w:cs="Times New Roman"/>
      <w:sz w:val="18"/>
      <w:szCs w:val="18"/>
    </w:rPr>
  </w:style>
  <w:style w:type="character" w:customStyle="1" w:styleId="86">
    <w:name w:val="页脚 字符1"/>
    <w:link w:val="37"/>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8"/>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styleId="102">
    <w:name w:val="List Paragraph"/>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3"/>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3"/>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3"/>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3"/>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7"/>
    <w:qFormat/>
    <w:uiPriority w:val="9"/>
    <w:rPr>
      <w:rFonts w:ascii="宋体" w:hAnsi="宋体" w:cs="Times New Roman"/>
      <w:bCs/>
      <w:szCs w:val="24"/>
    </w:rPr>
  </w:style>
  <w:style w:type="character" w:customStyle="1" w:styleId="139">
    <w:name w:val="标题 6 字符1"/>
    <w:link w:val="8"/>
    <w:qFormat/>
    <w:uiPriority w:val="0"/>
    <w:rPr>
      <w:rFonts w:ascii="Arial" w:hAnsi="Arial" w:eastAsia="黑体" w:cs="Times New Roman"/>
      <w:b/>
      <w:kern w:val="0"/>
      <w:szCs w:val="21"/>
    </w:rPr>
  </w:style>
  <w:style w:type="character" w:customStyle="1" w:styleId="140">
    <w:name w:val="标题 7 字符1"/>
    <w:link w:val="9"/>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1"/>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3"/>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3"/>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3"/>
    <w:qFormat/>
    <w:uiPriority w:val="0"/>
    <w:pPr>
      <w:outlineLvl w:val="5"/>
    </w:pPr>
  </w:style>
  <w:style w:type="paragraph" w:customStyle="1" w:styleId="152">
    <w:name w:val="五级条标题"/>
    <w:basedOn w:val="151"/>
    <w:next w:val="43"/>
    <w:qFormat/>
    <w:uiPriority w:val="0"/>
    <w:pPr>
      <w:outlineLvl w:val="6"/>
    </w:pPr>
  </w:style>
  <w:style w:type="paragraph" w:customStyle="1" w:styleId="153">
    <w:name w:val="注："/>
    <w:next w:val="43"/>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3"/>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3"/>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3"/>
    <w:next w:val="43"/>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3"/>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3"/>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3"/>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3"/>
    <w:next w:val="43"/>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3"/>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3"/>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3"/>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3"/>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3"/>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3"/>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5"/>
    <w:qFormat/>
    <w:uiPriority w:val="0"/>
    <w:rPr>
      <w:rFonts w:ascii="宋体" w:cs="Times New Roman"/>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3"/>
    <w:next w:val="43"/>
    <w:qFormat/>
    <w:uiPriority w:val="0"/>
    <w:pPr>
      <w:tabs>
        <w:tab w:val="center" w:pos="4201"/>
        <w:tab w:val="right" w:leader="dot" w:pos="9298"/>
      </w:tabs>
      <w:autoSpaceDE w:val="0"/>
      <w:autoSpaceDN w:val="0"/>
      <w:ind w:firstLine="360"/>
    </w:pPr>
    <w:rPr>
      <w:sz w:val="18"/>
    </w:rPr>
  </w:style>
  <w:style w:type="paragraph" w:customStyle="1" w:styleId="208">
    <w:name w:val="首示例"/>
    <w:next w:val="43"/>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cs="Times New Roman"/>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5"/>
    <w:qFormat/>
    <w:uiPriority w:val="0"/>
    <w:pPr>
      <w:numPr>
        <w:numId w:val="0"/>
      </w:numPr>
      <w:jc w:val="both"/>
    </w:pPr>
  </w:style>
  <w:style w:type="paragraph" w:customStyle="1" w:styleId="212">
    <w:name w:val="图标脚注说明"/>
    <w:basedOn w:val="43"/>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5"/>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3"/>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3"/>
    <w:next w:val="43"/>
    <w:qFormat/>
    <w:uiPriority w:val="0"/>
    <w:pPr>
      <w:tabs>
        <w:tab w:val="center" w:pos="4201"/>
        <w:tab w:val="right" w:leader="dot" w:pos="9298"/>
      </w:tabs>
      <w:autoSpaceDE w:val="0"/>
      <w:autoSpaceDN w:val="0"/>
      <w:ind w:firstLine="0" w:firstLineChars="0"/>
    </w:pPr>
  </w:style>
  <w:style w:type="paragraph" w:customStyle="1" w:styleId="223">
    <w:name w:val="正文图标题"/>
    <w:next w:val="43"/>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2"/>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3"/>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4"/>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首行缩进 字符1"/>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首行缩进 2 字符1"/>
    <w:link w:val="56"/>
    <w:qFormat/>
    <w:uiPriority w:val="0"/>
    <w:rPr>
      <w:rFonts w:ascii="宋体" w:hAnsi="宋体" w:cs="Times New Roman"/>
      <w:szCs w:val="21"/>
    </w:rPr>
  </w:style>
  <w:style w:type="character" w:customStyle="1" w:styleId="285">
    <w:name w:val="正文文本缩进 字符1"/>
    <w:link w:val="25"/>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7"/>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3"/>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5"/>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3"/>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5"/>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9"/>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24"/>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3"/>
    <w:qFormat/>
    <w:uiPriority w:val="0"/>
    <w:pPr>
      <w:ind w:firstLine="0" w:firstLineChars="0"/>
    </w:pPr>
    <w:rPr>
      <w:rFonts w:eastAsia="仿宋_GB2312" w:cs="宋体"/>
      <w:sz w:val="32"/>
    </w:rPr>
  </w:style>
  <w:style w:type="paragraph" w:customStyle="1" w:styleId="413">
    <w:name w:val="术语定义条标题"/>
    <w:basedOn w:val="115"/>
    <w:next w:val="43"/>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30"/>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cs="Times New Roman"/>
      <w:kern w:val="0"/>
      <w:sz w:val="21"/>
      <w:szCs w:val="20"/>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styleId="446">
    <w:name w:val="Placeholder Text"/>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3"/>
    <w:qFormat/>
    <w:uiPriority w:val="0"/>
    <w:pPr>
      <w:widowControl/>
      <w:numPr>
        <w:ilvl w:val="0"/>
        <w:numId w:val="30"/>
      </w:numPr>
      <w:spacing w:beforeLines="0" w:afterLines="0" w:line="360" w:lineRule="auto"/>
      <w:textAlignment w:val="baseline"/>
    </w:pPr>
    <w:rPr>
      <w:rFonts w:ascii="宋体" w:eastAsia="宋体"/>
      <w:kern w:val="21"/>
      <w:szCs w:val="20"/>
    </w:rPr>
  </w:style>
  <w:style w:type="paragraph" w:customStyle="1" w:styleId="449">
    <w:name w:val="ZHR正文"/>
    <w:basedOn w:val="1"/>
    <w:qFormat/>
    <w:uiPriority w:val="0"/>
    <w:pPr>
      <w:adjustRightInd w:val="0"/>
      <w:snapToGrid w:val="0"/>
      <w:spacing w:line="360" w:lineRule="auto"/>
      <w:ind w:firstLine="200" w:firstLineChars="200"/>
    </w:pPr>
  </w:style>
  <w:style w:type="paragraph" w:customStyle="1" w:styleId="450">
    <w:name w:val="列出段落2"/>
    <w:basedOn w:val="1"/>
    <w:qFormat/>
    <w:uiPriority w:val="99"/>
    <w:pPr>
      <w:ind w:firstLine="420" w:firstLineChars="200"/>
    </w:p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453">
    <w:name w:val="Bg"/>
    <w:basedOn w:val="1"/>
    <w:qFormat/>
    <w:uiPriority w:val="0"/>
    <w:pPr>
      <w:topLinePunct/>
      <w:snapToGrid w:val="0"/>
      <w:spacing w:before="60" w:beforeLines="0" w:beforeAutospacing="0" w:after="60" w:afterLines="0" w:afterAutospacing="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1165</Words>
  <Characters>1292</Characters>
  <Lines>245</Lines>
  <Paragraphs>69</Paragraphs>
  <TotalTime>5</TotalTime>
  <ScaleCrop>false</ScaleCrop>
  <LinksUpToDate>false</LinksUpToDate>
  <CharactersWithSpaces>1384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2024-06-09T23:48:00Z</dcterms:created>
  <dc:creator>魏瑞增</dc:creator>
  <cp:lastModifiedBy>王福雄</cp:lastModifiedBy>
  <cp:lastPrinted>2024-06-26T22:46:00Z</cp:lastPrinted>
  <dcterms:modified xsi:type="dcterms:W3CDTF">2026-06-02T02:16:45Z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DC85D1733A834E3FA43D63E8B0F8D66C_13</vt:lpwstr>
  </property>
  <property fmtid="{D5CDD505-2E9C-101B-9397-08002B2CF9AE}" pid="4" name="KSOTemplateDocerSaveRecord">
    <vt:lpwstr>eyJoZGlkIjoiY2FiOGU3NjcxYjgwMTJiZmQ5ZDU5ZGJkOWIyMDI0YTQiLCJ1c2VySWQiOiIxMjA5MDE3NjE1In0=</vt:lpwstr>
  </property>
</Properties>
</file>