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bidi w:val="0"/>
      </w:pPr>
      <w:bookmarkStart w:id="0" w:name="_Toc224469826"/>
      <w:bookmarkStart w:id="1" w:name="_Toc224470066"/>
      <w:bookmarkStart w:id="2" w:name="_Toc224531918"/>
      <w:r>
        <w:drawing>
          <wp:anchor distT="0" distB="0" distL="114300" distR="114300" simplePos="0" relativeHeight="251659264" behindDoc="0" locked="0" layoutInCell="1" allowOverlap="1">
            <wp:simplePos x="0" y="0"/>
            <wp:positionH relativeFrom="column">
              <wp:posOffset>-975360</wp:posOffset>
            </wp:positionH>
            <wp:positionV relativeFrom="paragraph">
              <wp:posOffset>-781050</wp:posOffset>
            </wp:positionV>
            <wp:extent cx="7578090" cy="2736850"/>
            <wp:effectExtent l="0" t="0" r="3810" b="6350"/>
            <wp:wrapSquare wrapText="bothSides"/>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578090" cy="2736850"/>
                    </a:xfrm>
                    <a:prstGeom prst="rect">
                      <a:avLst/>
                    </a:prstGeom>
                    <a:noFill/>
                    <a:ln>
                      <a:noFill/>
                    </a:ln>
                  </pic:spPr>
                </pic:pic>
              </a:graphicData>
            </a:graphic>
          </wp:anchor>
        </w:drawing>
      </w:r>
    </w:p>
    <w:p>
      <w:pPr>
        <w:spacing w:before="480" w:beforeLines="200" w:line="360" w:lineRule="auto"/>
        <w:ind w:left="420" w:hanging="420"/>
        <w:jc w:val="center"/>
        <w:rPr>
          <w:rFonts w:hint="eastAsia" w:ascii="Times New Roman" w:hAnsi="Times New Roman" w:eastAsia="黑体" w:cs="Times New Roman"/>
          <w:b/>
          <w:color w:val="auto"/>
          <w:sz w:val="52"/>
          <w:highlight w:val="none"/>
          <w:lang w:val="en-US" w:eastAsia="zh-CN"/>
        </w:rPr>
      </w:pPr>
      <w:r>
        <w:rPr>
          <w:rFonts w:hint="eastAsia" w:ascii="Times New Roman" w:hAnsi="Times New Roman" w:eastAsia="黑体" w:cs="Times New Roman"/>
          <w:b/>
          <w:color w:val="auto"/>
          <w:sz w:val="52"/>
          <w:highlight w:val="none"/>
          <w:lang w:val="en-US" w:eastAsia="zh-CN"/>
        </w:rPr>
        <w:t>新型高分子封堵材料技术规范书</w:t>
      </w:r>
    </w:p>
    <w:p>
      <w:pPr>
        <w:spacing w:before="480" w:beforeLines="200" w:line="360" w:lineRule="auto"/>
        <w:ind w:left="420" w:hanging="420"/>
        <w:jc w:val="center"/>
        <w:rPr>
          <w:rFonts w:hint="eastAsia" w:eastAsia="黑体"/>
          <w:b/>
          <w:color w:val="auto"/>
          <w:sz w:val="36"/>
          <w:highlight w:val="none"/>
        </w:rPr>
      </w:pPr>
    </w:p>
    <w:p>
      <w:pPr>
        <w:spacing w:before="480" w:beforeLines="200" w:line="360" w:lineRule="auto"/>
        <w:ind w:left="420" w:hanging="420"/>
        <w:jc w:val="center"/>
        <w:rPr>
          <w:rFonts w:eastAsia="黑体"/>
          <w:b/>
          <w:color w:val="auto"/>
          <w:sz w:val="36"/>
          <w:highlight w:val="none"/>
        </w:rPr>
      </w:pPr>
      <w:r>
        <w:rPr>
          <w:rFonts w:hint="eastAsia" w:eastAsia="黑体"/>
          <w:b/>
          <w:color w:val="auto"/>
          <w:sz w:val="36"/>
          <w:highlight w:val="none"/>
        </w:rPr>
        <w:t>版本号：</w:t>
      </w:r>
      <w:r>
        <w:rPr>
          <w:rFonts w:eastAsia="黑体"/>
          <w:b/>
          <w:color w:val="auto"/>
          <w:sz w:val="36"/>
          <w:highlight w:val="none"/>
        </w:rPr>
        <w:t>20</w:t>
      </w:r>
      <w:r>
        <w:rPr>
          <w:rFonts w:hint="eastAsia" w:eastAsia="黑体"/>
          <w:b/>
          <w:color w:val="auto"/>
          <w:sz w:val="36"/>
          <w:highlight w:val="none"/>
        </w:rPr>
        <w:t>2</w:t>
      </w:r>
      <w:r>
        <w:rPr>
          <w:rFonts w:hint="eastAsia" w:eastAsia="黑体"/>
          <w:b/>
          <w:color w:val="auto"/>
          <w:sz w:val="36"/>
          <w:highlight w:val="none"/>
          <w:lang w:val="en-US" w:eastAsia="zh-CN"/>
        </w:rPr>
        <w:t>6</w:t>
      </w:r>
      <w:r>
        <w:rPr>
          <w:rFonts w:hint="eastAsia" w:eastAsia="黑体"/>
          <w:b/>
          <w:color w:val="auto"/>
          <w:sz w:val="36"/>
          <w:highlight w:val="none"/>
        </w:rPr>
        <w:t>版</w:t>
      </w:r>
      <w:r>
        <w:rPr>
          <w:rFonts w:eastAsia="黑体"/>
          <w:b/>
          <w:color w:val="auto"/>
          <w:sz w:val="36"/>
          <w:highlight w:val="none"/>
        </w:rPr>
        <w:t>V</w:t>
      </w:r>
      <w:r>
        <w:rPr>
          <w:rFonts w:hint="eastAsia" w:eastAsia="黑体"/>
          <w:b/>
          <w:color w:val="auto"/>
          <w:sz w:val="36"/>
          <w:highlight w:val="none"/>
          <w:lang w:val="en-US" w:eastAsia="zh-CN"/>
        </w:rPr>
        <w:t>1</w:t>
      </w:r>
      <w:r>
        <w:rPr>
          <w:rFonts w:eastAsia="黑体"/>
          <w:b/>
          <w:color w:val="auto"/>
          <w:sz w:val="36"/>
          <w:highlight w:val="none"/>
        </w:rPr>
        <w:t>.0</w:t>
      </w:r>
    </w:p>
    <w:p>
      <w:pPr>
        <w:spacing w:line="360" w:lineRule="auto"/>
        <w:ind w:left="2520" w:firstLine="315"/>
        <w:rPr>
          <w:rFonts w:eastAsia="黑体"/>
          <w:b/>
          <w:color w:val="auto"/>
          <w:sz w:val="36"/>
          <w:highlight w:val="none"/>
        </w:rPr>
      </w:pPr>
      <w:r>
        <w:rPr>
          <w:rFonts w:hint="eastAsia" w:eastAsia="黑体"/>
          <w:b/>
          <w:color w:val="auto"/>
          <w:sz w:val="36"/>
          <w:highlight w:val="none"/>
        </w:rPr>
        <w:t>编号：</w:t>
      </w:r>
      <w:r>
        <w:rPr>
          <w:rFonts w:eastAsia="黑体"/>
          <w:b/>
          <w:color w:val="auto"/>
          <w:sz w:val="36"/>
          <w:highlight w:val="none"/>
        </w:rPr>
        <w:tab/>
      </w:r>
    </w:p>
    <w:p>
      <w:pPr>
        <w:spacing w:before="480" w:beforeLines="200" w:line="360" w:lineRule="auto"/>
        <w:ind w:left="420" w:firstLine="2873" w:firstLineChars="795"/>
        <w:jc w:val="left"/>
        <w:rPr>
          <w:rFonts w:eastAsia="黑体"/>
          <w:b/>
          <w:color w:val="auto"/>
          <w:sz w:val="36"/>
          <w:highlight w:val="none"/>
        </w:rPr>
      </w:pPr>
    </w:p>
    <w:p>
      <w:pPr>
        <w:spacing w:before="480" w:beforeLines="200" w:line="360" w:lineRule="auto"/>
        <w:jc w:val="left"/>
        <w:rPr>
          <w:rFonts w:eastAsia="黑体"/>
          <w:b/>
          <w:color w:val="auto"/>
          <w:sz w:val="36"/>
          <w:highlight w:val="none"/>
        </w:rPr>
      </w:pPr>
    </w:p>
    <w:p>
      <w:pPr>
        <w:spacing w:before="480" w:beforeLines="200"/>
        <w:ind w:left="418" w:hanging="415" w:hangingChars="93"/>
        <w:jc w:val="center"/>
        <w:rPr>
          <w:rFonts w:hint="eastAsia" w:ascii="黑体" w:eastAsia="黑体"/>
          <w:b/>
          <w:color w:val="auto"/>
          <w:spacing w:val="20"/>
          <w:w w:val="135"/>
          <w:sz w:val="30"/>
          <w:highlight w:val="none"/>
        </w:rPr>
      </w:pPr>
      <w:r>
        <w:rPr>
          <w:rFonts w:hint="eastAsia" w:ascii="黑体" w:eastAsia="黑体"/>
          <w:b/>
          <w:color w:val="auto"/>
          <w:spacing w:val="20"/>
          <w:w w:val="135"/>
          <w:sz w:val="30"/>
          <w:highlight w:val="none"/>
        </w:rPr>
        <w:t>海南电力产业发展有限责任公司</w:t>
      </w:r>
    </w:p>
    <w:p>
      <w:pPr>
        <w:jc w:val="center"/>
        <w:rPr>
          <w:rFonts w:eastAsia="黑体"/>
          <w:b/>
          <w:color w:val="auto"/>
          <w:szCs w:val="28"/>
          <w:highlight w:val="none"/>
        </w:rPr>
        <w:sectPr>
          <w:footerReference r:id="rId5" w:type="first"/>
          <w:footerReference r:id="rId4" w:type="default"/>
          <w:headerReference r:id="rId3" w:type="even"/>
          <w:pgSz w:w="11907" w:h="16840"/>
          <w:pgMar w:top="1440" w:right="1616" w:bottom="1440" w:left="1576" w:header="720" w:footer="720" w:gutter="0"/>
          <w:pgNumType w:fmt="decimal" w:start="0"/>
          <w:cols w:space="720" w:num="1"/>
          <w:titlePg/>
          <w:docGrid w:linePitch="326" w:charSpace="0"/>
        </w:sectPr>
      </w:pPr>
      <w:r>
        <w:rPr>
          <w:rFonts w:hint="eastAsia" w:ascii="黑体" w:eastAsia="黑体"/>
          <w:b/>
          <w:color w:val="auto"/>
          <w:spacing w:val="20"/>
          <w:w w:val="135"/>
          <w:sz w:val="30"/>
          <w:highlight w:val="none"/>
        </w:rPr>
        <w:t>202</w:t>
      </w:r>
      <w:r>
        <w:rPr>
          <w:rFonts w:hint="eastAsia" w:ascii="黑体" w:eastAsia="黑体"/>
          <w:b/>
          <w:color w:val="auto"/>
          <w:spacing w:val="20"/>
          <w:w w:val="135"/>
          <w:sz w:val="30"/>
          <w:highlight w:val="none"/>
          <w:lang w:val="en-US" w:eastAsia="zh-CN"/>
        </w:rPr>
        <w:t>6</w:t>
      </w:r>
      <w:r>
        <w:rPr>
          <w:rFonts w:hint="eastAsia" w:ascii="黑体" w:eastAsia="黑体"/>
          <w:b/>
          <w:color w:val="auto"/>
          <w:spacing w:val="20"/>
          <w:w w:val="135"/>
          <w:sz w:val="30"/>
          <w:highlight w:val="none"/>
        </w:rPr>
        <w:t>年</w:t>
      </w:r>
      <w:r>
        <w:rPr>
          <w:rFonts w:hint="eastAsia" w:ascii="黑体" w:eastAsia="黑体"/>
          <w:b/>
          <w:color w:val="auto"/>
          <w:spacing w:val="20"/>
          <w:w w:val="135"/>
          <w:sz w:val="30"/>
          <w:highlight w:val="none"/>
          <w:lang w:val="en-US" w:eastAsia="zh-CN"/>
        </w:rPr>
        <w:t>5</w:t>
      </w:r>
      <w:r>
        <w:rPr>
          <w:rFonts w:hint="eastAsia" w:ascii="黑体" w:eastAsia="黑体"/>
          <w:b/>
          <w:color w:val="auto"/>
          <w:spacing w:val="20"/>
          <w:w w:val="135"/>
          <w:sz w:val="30"/>
          <w:highlight w:val="none"/>
        </w:rPr>
        <w:t>月</w:t>
      </w:r>
    </w:p>
    <w:p>
      <w:pPr>
        <w:snapToGrid w:val="0"/>
        <w:jc w:val="center"/>
        <w:rPr>
          <w:rFonts w:eastAsia="黑体"/>
          <w:color w:val="auto"/>
          <w:sz w:val="32"/>
          <w:szCs w:val="28"/>
          <w:highlight w:val="none"/>
        </w:rPr>
      </w:pPr>
      <w:r>
        <w:rPr>
          <w:rFonts w:hint="eastAsia" w:eastAsia="黑体"/>
          <w:color w:val="auto"/>
          <w:sz w:val="32"/>
          <w:szCs w:val="28"/>
          <w:highlight w:val="none"/>
        </w:rPr>
        <w:t>本技术规范书对应的</w:t>
      </w:r>
      <w:r>
        <w:rPr>
          <w:rFonts w:hint="eastAsia" w:eastAsia="黑体"/>
          <w:color w:val="auto"/>
          <w:sz w:val="32"/>
          <w:szCs w:val="28"/>
          <w:highlight w:val="none"/>
          <w:lang w:val="en-US" w:eastAsia="zh-CN"/>
        </w:rPr>
        <w:t>通</w:t>
      </w:r>
      <w:r>
        <w:rPr>
          <w:rFonts w:hint="eastAsia" w:eastAsia="黑体"/>
          <w:color w:val="auto"/>
          <w:sz w:val="32"/>
          <w:szCs w:val="28"/>
          <w:highlight w:val="none"/>
        </w:rPr>
        <w:t>用部分目录</w:t>
      </w:r>
    </w:p>
    <w:tbl>
      <w:tblPr>
        <w:tblStyle w:val="57"/>
        <w:tblW w:w="893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21"/>
        <w:gridCol w:w="27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tcPr>
          <w:p>
            <w:pPr>
              <w:snapToGrid w:val="0"/>
              <w:jc w:val="center"/>
              <w:rPr>
                <w:color w:val="auto"/>
                <w:szCs w:val="21"/>
                <w:highlight w:val="none"/>
              </w:rPr>
            </w:pPr>
            <w:r>
              <w:rPr>
                <w:rFonts w:hint="eastAsia"/>
                <w:color w:val="auto"/>
                <w:szCs w:val="21"/>
                <w:highlight w:val="none"/>
              </w:rPr>
              <w:t>序号</w:t>
            </w:r>
          </w:p>
        </w:tc>
        <w:tc>
          <w:tcPr>
            <w:tcW w:w="5121" w:type="dxa"/>
          </w:tcPr>
          <w:p>
            <w:pPr>
              <w:snapToGrid w:val="0"/>
              <w:jc w:val="center"/>
              <w:rPr>
                <w:color w:val="auto"/>
                <w:szCs w:val="21"/>
                <w:highlight w:val="none"/>
              </w:rPr>
            </w:pPr>
            <w:r>
              <w:rPr>
                <w:rFonts w:hint="eastAsia"/>
                <w:color w:val="auto"/>
                <w:szCs w:val="21"/>
                <w:highlight w:val="none"/>
              </w:rPr>
              <w:t>名称</w:t>
            </w:r>
          </w:p>
        </w:tc>
        <w:tc>
          <w:tcPr>
            <w:tcW w:w="2709" w:type="dxa"/>
          </w:tcPr>
          <w:p>
            <w:pPr>
              <w:snapToGrid w:val="0"/>
              <w:jc w:val="center"/>
              <w:rPr>
                <w:color w:val="auto"/>
                <w:szCs w:val="21"/>
                <w:highlight w:val="none"/>
              </w:rPr>
            </w:pPr>
            <w:r>
              <w:rPr>
                <w:rFonts w:hint="eastAsia" w:hAnsi="宋体"/>
                <w:color w:val="auto"/>
                <w:sz w:val="24"/>
                <w:highlight w:val="none"/>
              </w:rPr>
              <w:t>品类优化清单对应型号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pPr>
              <w:snapToGrid w:val="0"/>
              <w:jc w:val="center"/>
              <w:rPr>
                <w:color w:val="auto"/>
                <w:szCs w:val="21"/>
                <w:highlight w:val="none"/>
              </w:rPr>
            </w:pPr>
            <w:r>
              <w:rPr>
                <w:color w:val="auto"/>
                <w:szCs w:val="21"/>
                <w:highlight w:val="none"/>
              </w:rPr>
              <w:t>1</w:t>
            </w:r>
          </w:p>
        </w:tc>
        <w:tc>
          <w:tcPr>
            <w:tcW w:w="5121" w:type="dxa"/>
          </w:tcPr>
          <w:p>
            <w:pPr>
              <w:rPr>
                <w:color w:val="auto"/>
                <w:highlight w:val="none"/>
              </w:rPr>
            </w:pPr>
            <w:bookmarkStart w:id="3" w:name="_Toc15077"/>
            <w:bookmarkStart w:id="4" w:name="_Toc17324"/>
            <w:bookmarkStart w:id="5" w:name="_Toc30421"/>
            <w:r>
              <w:rPr>
                <w:rFonts w:hint="eastAsia" w:ascii="Times New Roman" w:hAnsi="Times New Roman" w:eastAsia="宋体" w:cs="Times New Roman"/>
                <w:color w:val="auto"/>
                <w:highlight w:val="none"/>
                <w:lang w:val="en-US" w:eastAsia="zh-CN"/>
              </w:rPr>
              <w:t>新型高分子封堵材料</w:t>
            </w:r>
            <w:r>
              <w:rPr>
                <w:rFonts w:hint="eastAsia" w:ascii="Times New Roman" w:hAnsi="Times New Roman" w:eastAsia="宋体" w:cs="Times New Roman"/>
                <w:color w:val="auto"/>
                <w:highlight w:val="none"/>
              </w:rPr>
              <w:t>技术规范书</w:t>
            </w:r>
            <w:bookmarkEnd w:id="3"/>
            <w:bookmarkEnd w:id="4"/>
            <w:bookmarkEnd w:id="5"/>
          </w:p>
        </w:tc>
        <w:tc>
          <w:tcPr>
            <w:tcW w:w="2709" w:type="dxa"/>
          </w:tcPr>
          <w:p>
            <w:pPr>
              <w:snapToGrid w:val="0"/>
              <w:jc w:val="center"/>
              <w:rPr>
                <w:rFonts w:hint="eastAsia" w:eastAsia="宋体"/>
                <w:color w:val="auto"/>
                <w:szCs w:val="21"/>
                <w:highlight w:val="none"/>
                <w:lang w:eastAsia="zh-CN"/>
              </w:rPr>
            </w:pPr>
          </w:p>
        </w:tc>
      </w:tr>
    </w:tbl>
    <w:p>
      <w:pPr>
        <w:spacing w:line="360" w:lineRule="auto"/>
        <w:jc w:val="center"/>
        <w:rPr>
          <w:rFonts w:eastAsia="黑体"/>
          <w:color w:val="auto"/>
          <w:sz w:val="32"/>
          <w:szCs w:val="20"/>
          <w:highlight w:val="none"/>
        </w:rPr>
        <w:sectPr>
          <w:footerReference r:id="rId6" w:type="default"/>
          <w:footerReference r:id="rId7" w:type="even"/>
          <w:pgSz w:w="11906" w:h="16838"/>
          <w:pgMar w:top="1418" w:right="1418" w:bottom="1418" w:left="1365" w:header="851" w:footer="992" w:gutter="0"/>
          <w:pgNumType w:fmt="decimal"/>
          <w:cols w:space="425" w:num="1"/>
          <w:titlePg/>
          <w:docGrid w:type="lines" w:linePitch="312" w:charSpace="0"/>
        </w:sectPr>
      </w:pPr>
    </w:p>
    <w:p>
      <w:pPr>
        <w:spacing w:line="360" w:lineRule="auto"/>
        <w:jc w:val="center"/>
        <w:rPr>
          <w:b/>
          <w:color w:val="auto"/>
          <w:highlight w:val="none"/>
        </w:rPr>
      </w:pPr>
      <w:r>
        <w:rPr>
          <w:rFonts w:hint="eastAsia"/>
          <w:b/>
          <w:color w:val="auto"/>
          <w:highlight w:val="none"/>
        </w:rPr>
        <w:t>目</w:t>
      </w:r>
      <w:r>
        <w:rPr>
          <w:b/>
          <w:color w:val="auto"/>
          <w:highlight w:val="none"/>
        </w:rPr>
        <w:t xml:space="preserve">    </w:t>
      </w:r>
      <w:r>
        <w:rPr>
          <w:rFonts w:hint="eastAsia"/>
          <w:b/>
          <w:color w:val="auto"/>
          <w:highlight w:val="none"/>
        </w:rPr>
        <w:t>录</w:t>
      </w:r>
      <w:bookmarkEnd w:id="0"/>
      <w:bookmarkEnd w:id="1"/>
      <w:bookmarkEnd w:id="2"/>
    </w:p>
    <w:p>
      <w:pPr>
        <w:pStyle w:val="30"/>
        <w:spacing w:line="360" w:lineRule="auto"/>
        <w:rPr>
          <w:rFonts w:ascii="Times New Roman" w:hAnsi="Times New Roman"/>
          <w:color w:val="auto"/>
          <w:szCs w:val="21"/>
          <w:highlight w:val="none"/>
        </w:rPr>
      </w:pPr>
    </w:p>
    <w:sdt>
      <w:sdtPr>
        <w:rPr>
          <w:rFonts w:ascii="宋体" w:hAnsi="宋体" w:eastAsia="宋体" w:cs="Times New Roman"/>
          <w:kern w:val="2"/>
          <w:sz w:val="21"/>
          <w:szCs w:val="24"/>
          <w:lang w:val="en-US" w:eastAsia="zh-CN" w:bidi="ar-SA"/>
        </w:rPr>
        <w:id w:val="147470586"/>
        <w15:color w:val="DBDBDB"/>
        <w:docPartObj>
          <w:docPartGallery w:val="Table of Contents"/>
          <w:docPartUnique/>
        </w:docPartObj>
      </w:sdtPr>
      <w:sdtEndPr>
        <w:rPr>
          <w:rFonts w:ascii="Times New Roman" w:hAnsi="Times New Roman" w:eastAsia="宋体" w:cs="Times New Roman"/>
          <w:color w:val="auto"/>
          <w:kern w:val="2"/>
          <w:sz w:val="21"/>
          <w:szCs w:val="21"/>
          <w:highlight w:val="none"/>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39"/>
            <w:tabs>
              <w:tab w:val="right" w:leader="dot" w:pos="9123"/>
            </w:tabs>
          </w:pPr>
          <w:r>
            <w:rPr>
              <w:color w:val="auto"/>
              <w:szCs w:val="21"/>
              <w:highlight w:val="none"/>
            </w:rPr>
            <w:fldChar w:fldCharType="begin"/>
          </w:r>
          <w:r>
            <w:rPr>
              <w:color w:val="auto"/>
              <w:szCs w:val="21"/>
              <w:highlight w:val="none"/>
            </w:rPr>
            <w:instrText xml:space="preserve">TOC \o "1-3" \h \u </w:instrText>
          </w:r>
          <w:r>
            <w:rPr>
              <w:color w:val="auto"/>
              <w:szCs w:val="21"/>
              <w:highlight w:val="none"/>
            </w:rPr>
            <w:fldChar w:fldCharType="separate"/>
          </w:r>
          <w:r>
            <w:rPr>
              <w:color w:val="auto"/>
              <w:szCs w:val="21"/>
              <w:highlight w:val="none"/>
            </w:rPr>
            <w:fldChar w:fldCharType="begin"/>
          </w:r>
          <w:r>
            <w:rPr>
              <w:szCs w:val="21"/>
              <w:highlight w:val="none"/>
            </w:rPr>
            <w:instrText xml:space="preserve"> HYPERLINK \l _Toc11364 </w:instrText>
          </w:r>
          <w:r>
            <w:rPr>
              <w:szCs w:val="21"/>
              <w:highlight w:val="none"/>
            </w:rPr>
            <w:fldChar w:fldCharType="separate"/>
          </w:r>
          <w:r>
            <w:rPr>
              <w:rFonts w:eastAsia="黑体"/>
              <w:szCs w:val="28"/>
              <w:highlight w:val="none"/>
            </w:rPr>
            <w:t>1 总则</w:t>
          </w:r>
          <w:r>
            <w:tab/>
          </w:r>
          <w:r>
            <w:fldChar w:fldCharType="begin"/>
          </w:r>
          <w:r>
            <w:instrText xml:space="preserve"> PAGEREF _Toc11364 \h </w:instrText>
          </w:r>
          <w:r>
            <w:fldChar w:fldCharType="separate"/>
          </w:r>
          <w:r>
            <w:t>1</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_Toc26764 </w:instrText>
          </w:r>
          <w:r>
            <w:rPr>
              <w:szCs w:val="21"/>
              <w:highlight w:val="none"/>
            </w:rPr>
            <w:fldChar w:fldCharType="separate"/>
          </w:r>
          <w:r>
            <w:rPr>
              <w:rFonts w:eastAsia="黑体"/>
              <w:szCs w:val="28"/>
              <w:highlight w:val="none"/>
            </w:rPr>
            <w:t>2 工作范围</w:t>
          </w:r>
          <w:r>
            <w:tab/>
          </w:r>
          <w:r>
            <w:fldChar w:fldCharType="begin"/>
          </w:r>
          <w:r>
            <w:instrText xml:space="preserve"> PAGEREF _Toc26764 \h </w:instrText>
          </w:r>
          <w:r>
            <w:fldChar w:fldCharType="separate"/>
          </w:r>
          <w:r>
            <w:t>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_Toc17660 </w:instrText>
          </w:r>
          <w:r>
            <w:rPr>
              <w:szCs w:val="21"/>
              <w:highlight w:val="none"/>
            </w:rPr>
            <w:fldChar w:fldCharType="separate"/>
          </w:r>
          <w:r>
            <w:rPr>
              <w:rFonts w:ascii="Times New Roman" w:hAnsi="Times New Roman" w:eastAsia="黑体"/>
              <w:bCs/>
              <w:szCs w:val="24"/>
              <w:highlight w:val="none"/>
            </w:rPr>
            <w:t>2.1 供货范围</w:t>
          </w:r>
          <w:r>
            <w:tab/>
          </w:r>
          <w:r>
            <w:fldChar w:fldCharType="begin"/>
          </w:r>
          <w:r>
            <w:instrText xml:space="preserve"> PAGEREF _Toc17660 \h </w:instrText>
          </w:r>
          <w:r>
            <w:fldChar w:fldCharType="separate"/>
          </w:r>
          <w:r>
            <w:t>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_Toc17445 </w:instrText>
          </w:r>
          <w:r>
            <w:rPr>
              <w:szCs w:val="21"/>
              <w:highlight w:val="none"/>
            </w:rPr>
            <w:fldChar w:fldCharType="separate"/>
          </w:r>
          <w:r>
            <w:rPr>
              <w:szCs w:val="21"/>
              <w:highlight w:val="none"/>
            </w:rPr>
            <w:t>合同供货范围为</w:t>
          </w:r>
          <w:r>
            <w:rPr>
              <w:rFonts w:hint="eastAsia"/>
              <w:highlight w:val="none"/>
            </w:rPr>
            <w:t>新型高分子封堵材料</w:t>
          </w:r>
          <w:r>
            <w:rPr>
              <w:szCs w:val="21"/>
              <w:highlight w:val="none"/>
            </w:rPr>
            <w:t>。</w:t>
          </w:r>
          <w:r>
            <w:tab/>
          </w:r>
          <w:r>
            <w:fldChar w:fldCharType="begin"/>
          </w:r>
          <w:r>
            <w:instrText xml:space="preserve"> PAGEREF _Toc17445 \h </w:instrText>
          </w:r>
          <w:r>
            <w:fldChar w:fldCharType="separate"/>
          </w:r>
          <w:r>
            <w:t>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_Toc29618 </w:instrText>
          </w:r>
          <w:r>
            <w:rPr>
              <w:szCs w:val="21"/>
              <w:highlight w:val="none"/>
            </w:rPr>
            <w:fldChar w:fldCharType="separate"/>
          </w:r>
          <w:r>
            <w:rPr>
              <w:rFonts w:ascii="Times New Roman" w:hAnsi="Times New Roman" w:eastAsia="黑体"/>
              <w:bCs/>
              <w:szCs w:val="24"/>
              <w:highlight w:val="none"/>
            </w:rPr>
            <w:t>2.2 服务界限</w:t>
          </w:r>
          <w:r>
            <w:tab/>
          </w:r>
          <w:r>
            <w:fldChar w:fldCharType="begin"/>
          </w:r>
          <w:r>
            <w:instrText xml:space="preserve"> PAGEREF _Toc29618 \h </w:instrText>
          </w:r>
          <w:r>
            <w:fldChar w:fldCharType="separate"/>
          </w:r>
          <w:r>
            <w:t>1</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_Toc24224 </w:instrText>
          </w:r>
          <w:r>
            <w:rPr>
              <w:szCs w:val="21"/>
              <w:highlight w:val="none"/>
            </w:rPr>
            <w:fldChar w:fldCharType="separate"/>
          </w:r>
          <w:r>
            <w:rPr>
              <w:rFonts w:ascii="Times New Roman" w:hAnsi="Times New Roman" w:eastAsia="黑体"/>
              <w:bCs/>
              <w:szCs w:val="24"/>
              <w:highlight w:val="none"/>
            </w:rPr>
            <w:t>2.3 技术文件</w:t>
          </w:r>
          <w:r>
            <w:tab/>
          </w:r>
          <w:r>
            <w:fldChar w:fldCharType="begin"/>
          </w:r>
          <w:r>
            <w:instrText xml:space="preserve"> PAGEREF _Toc24224 \h </w:instrText>
          </w:r>
          <w:r>
            <w:fldChar w:fldCharType="separate"/>
          </w:r>
          <w:r>
            <w:t>1</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_Toc28418 </w:instrText>
          </w:r>
          <w:r>
            <w:rPr>
              <w:szCs w:val="21"/>
              <w:highlight w:val="none"/>
            </w:rPr>
            <w:fldChar w:fldCharType="separate"/>
          </w:r>
          <w:r>
            <w:rPr>
              <w:rFonts w:eastAsia="黑体"/>
              <w:szCs w:val="28"/>
              <w:highlight w:val="none"/>
            </w:rPr>
            <w:t>3 应遵循的主要标准</w:t>
          </w:r>
          <w:r>
            <w:tab/>
          </w:r>
          <w:r>
            <w:fldChar w:fldCharType="begin"/>
          </w:r>
          <w:r>
            <w:instrText xml:space="preserve"> PAGEREF _Toc28418 \h </w:instrText>
          </w:r>
          <w:r>
            <w:fldChar w:fldCharType="separate"/>
          </w:r>
          <w:r>
            <w:t>1</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_Toc20616 </w:instrText>
          </w:r>
          <w:r>
            <w:rPr>
              <w:szCs w:val="21"/>
              <w:highlight w:val="none"/>
            </w:rPr>
            <w:fldChar w:fldCharType="separate"/>
          </w:r>
          <w:r>
            <w:rPr>
              <w:rFonts w:eastAsia="黑体"/>
              <w:szCs w:val="28"/>
              <w:highlight w:val="none"/>
            </w:rPr>
            <w:t>4 使用条件</w:t>
          </w:r>
          <w:r>
            <w:tab/>
          </w:r>
          <w:r>
            <w:fldChar w:fldCharType="begin"/>
          </w:r>
          <w:r>
            <w:instrText xml:space="preserve"> PAGEREF _Toc20616 \h </w:instrText>
          </w:r>
          <w:r>
            <w:fldChar w:fldCharType="separate"/>
          </w:r>
          <w:r>
            <w:t>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_Toc8544 </w:instrText>
          </w:r>
          <w:r>
            <w:rPr>
              <w:szCs w:val="21"/>
              <w:highlight w:val="none"/>
            </w:rPr>
            <w:fldChar w:fldCharType="separate"/>
          </w:r>
          <w:r>
            <w:rPr>
              <w:rFonts w:ascii="Times New Roman" w:hAnsi="Times New Roman" w:eastAsia="黑体"/>
              <w:bCs/>
              <w:szCs w:val="24"/>
              <w:highlight w:val="none"/>
            </w:rPr>
            <w:t>4.1正常工作条件</w:t>
          </w:r>
          <w:r>
            <w:tab/>
          </w:r>
          <w:r>
            <w:fldChar w:fldCharType="begin"/>
          </w:r>
          <w:r>
            <w:instrText xml:space="preserve"> PAGEREF _Toc8544 \h </w:instrText>
          </w:r>
          <w:r>
            <w:fldChar w:fldCharType="separate"/>
          </w:r>
          <w:r>
            <w:t>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_Toc1610 </w:instrText>
          </w:r>
          <w:r>
            <w:rPr>
              <w:szCs w:val="21"/>
              <w:highlight w:val="none"/>
            </w:rPr>
            <w:fldChar w:fldCharType="separate"/>
          </w:r>
          <w:r>
            <w:rPr>
              <w:rFonts w:ascii="Times New Roman" w:hAnsi="Times New Roman" w:eastAsia="黑体"/>
              <w:bCs/>
              <w:szCs w:val="24"/>
              <w:highlight w:val="none"/>
            </w:rPr>
            <w:t>4.2特殊工作条件</w:t>
          </w:r>
          <w:r>
            <w:tab/>
          </w:r>
          <w:r>
            <w:fldChar w:fldCharType="begin"/>
          </w:r>
          <w:r>
            <w:instrText xml:space="preserve"> PAGEREF _Toc1610 \h </w:instrText>
          </w:r>
          <w:r>
            <w:fldChar w:fldCharType="separate"/>
          </w:r>
          <w:r>
            <w:t>2</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_Toc27176 </w:instrText>
          </w:r>
          <w:r>
            <w:rPr>
              <w:szCs w:val="21"/>
              <w:highlight w:val="none"/>
            </w:rPr>
            <w:fldChar w:fldCharType="separate"/>
          </w:r>
          <w:r>
            <w:rPr>
              <w:rFonts w:ascii="Times New Roman" w:hAnsi="Times New Roman" w:eastAsia="黑体"/>
              <w:bCs/>
              <w:szCs w:val="24"/>
              <w:highlight w:val="none"/>
            </w:rPr>
            <w:t>4.3 安全性要求</w:t>
          </w:r>
          <w:r>
            <w:tab/>
          </w:r>
          <w:r>
            <w:fldChar w:fldCharType="begin"/>
          </w:r>
          <w:r>
            <w:instrText xml:space="preserve"> PAGEREF _Toc27176 \h </w:instrText>
          </w:r>
          <w:r>
            <w:fldChar w:fldCharType="separate"/>
          </w:r>
          <w:r>
            <w:t>2</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_Toc31724 </w:instrText>
          </w:r>
          <w:r>
            <w:rPr>
              <w:szCs w:val="21"/>
              <w:highlight w:val="none"/>
            </w:rPr>
            <w:fldChar w:fldCharType="separate"/>
          </w:r>
          <w:r>
            <w:rPr>
              <w:rFonts w:eastAsia="黑体"/>
              <w:szCs w:val="28"/>
              <w:highlight w:val="none"/>
            </w:rPr>
            <w:t>5 技术要求</w:t>
          </w:r>
          <w:r>
            <w:tab/>
          </w:r>
          <w:r>
            <w:fldChar w:fldCharType="begin"/>
          </w:r>
          <w:r>
            <w:instrText xml:space="preserve"> PAGEREF _Toc31724 \h </w:instrText>
          </w:r>
          <w:r>
            <w:fldChar w:fldCharType="separate"/>
          </w:r>
          <w:r>
            <w:t>3</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_Toc28407 </w:instrText>
          </w:r>
          <w:r>
            <w:rPr>
              <w:szCs w:val="21"/>
              <w:highlight w:val="none"/>
            </w:rPr>
            <w:fldChar w:fldCharType="separate"/>
          </w:r>
          <w:r>
            <w:rPr>
              <w:rFonts w:ascii="Times New Roman" w:hAnsi="Times New Roman" w:eastAsia="黑体" w:cs="Times New Roman"/>
              <w:bCs/>
              <w:kern w:val="2"/>
              <w:szCs w:val="24"/>
              <w:highlight w:val="none"/>
              <w:lang w:val="en-US" w:eastAsia="zh-CN" w:bidi="ar-SA"/>
            </w:rPr>
            <w:t>5.1 基本功能要求</w:t>
          </w:r>
          <w:r>
            <w:tab/>
          </w:r>
          <w:r>
            <w:fldChar w:fldCharType="begin"/>
          </w:r>
          <w:r>
            <w:instrText xml:space="preserve"> PAGEREF _Toc28407 \h </w:instrText>
          </w:r>
          <w:r>
            <w:fldChar w:fldCharType="separate"/>
          </w:r>
          <w:r>
            <w:t>3</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_Toc15232 </w:instrText>
          </w:r>
          <w:r>
            <w:rPr>
              <w:szCs w:val="21"/>
              <w:highlight w:val="none"/>
            </w:rPr>
            <w:fldChar w:fldCharType="separate"/>
          </w:r>
          <w:r>
            <w:rPr>
              <w:rFonts w:hint="eastAsia" w:ascii="Times New Roman" w:hAnsi="Times New Roman" w:eastAsia="黑体" w:cs="Times New Roman"/>
              <w:bCs/>
              <w:kern w:val="2"/>
              <w:szCs w:val="24"/>
              <w:highlight w:val="none"/>
              <w:lang w:val="en-US" w:eastAsia="zh-CN" w:bidi="ar-SA"/>
            </w:rPr>
            <w:t>5.2材料施工交付技术要求</w:t>
          </w:r>
          <w:r>
            <w:tab/>
          </w:r>
          <w:r>
            <w:fldChar w:fldCharType="begin"/>
          </w:r>
          <w:r>
            <w:instrText xml:space="preserve"> PAGEREF _Toc15232 \h </w:instrText>
          </w:r>
          <w:r>
            <w:fldChar w:fldCharType="separate"/>
          </w:r>
          <w:r>
            <w:t>3</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_Toc18652 </w:instrText>
          </w:r>
          <w:r>
            <w:rPr>
              <w:szCs w:val="21"/>
              <w:highlight w:val="none"/>
            </w:rPr>
            <w:fldChar w:fldCharType="separate"/>
          </w:r>
          <w:r>
            <w:rPr>
              <w:rFonts w:eastAsia="黑体"/>
              <w:szCs w:val="28"/>
              <w:highlight w:val="none"/>
            </w:rPr>
            <w:t>6 试验项目及要求</w:t>
          </w:r>
          <w:r>
            <w:tab/>
          </w:r>
          <w:r>
            <w:fldChar w:fldCharType="begin"/>
          </w:r>
          <w:r>
            <w:instrText xml:space="preserve"> PAGEREF _Toc18652 \h </w:instrText>
          </w:r>
          <w:r>
            <w:fldChar w:fldCharType="separate"/>
          </w:r>
          <w:r>
            <w:t>4</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_Toc23568 </w:instrText>
          </w:r>
          <w:r>
            <w:rPr>
              <w:szCs w:val="21"/>
              <w:highlight w:val="none"/>
            </w:rPr>
            <w:fldChar w:fldCharType="separate"/>
          </w:r>
          <w:r>
            <w:rPr>
              <w:rFonts w:ascii="Times New Roman" w:hAnsi="Times New Roman" w:eastAsia="黑体"/>
              <w:bCs/>
              <w:szCs w:val="24"/>
              <w:highlight w:val="none"/>
            </w:rPr>
            <w:t>6.1 试验环境</w:t>
          </w:r>
          <w:r>
            <w:tab/>
          </w:r>
          <w:r>
            <w:fldChar w:fldCharType="begin"/>
          </w:r>
          <w:r>
            <w:instrText xml:space="preserve"> PAGEREF _Toc23568 \h </w:instrText>
          </w:r>
          <w:r>
            <w:fldChar w:fldCharType="separate"/>
          </w:r>
          <w:r>
            <w:t>4</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_Toc29702 </w:instrText>
          </w:r>
          <w:r>
            <w:rPr>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2</w:t>
          </w:r>
          <w:r>
            <w:rPr>
              <w:rFonts w:ascii="Times New Roman" w:hAnsi="Times New Roman" w:eastAsia="黑体"/>
              <w:bCs/>
              <w:szCs w:val="24"/>
              <w:highlight w:val="none"/>
            </w:rPr>
            <w:t xml:space="preserve"> 防护等级试验</w:t>
          </w:r>
          <w:r>
            <w:tab/>
          </w:r>
          <w:r>
            <w:fldChar w:fldCharType="begin"/>
          </w:r>
          <w:r>
            <w:instrText xml:space="preserve"> PAGEREF _Toc29702 \h </w:instrText>
          </w:r>
          <w:r>
            <w:fldChar w:fldCharType="separate"/>
          </w:r>
          <w:r>
            <w:t>4</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_Toc27936 </w:instrText>
          </w:r>
          <w:r>
            <w:rPr>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 xml:space="preserve">3 </w:t>
          </w:r>
          <w:r>
            <w:rPr>
              <w:rFonts w:ascii="Times New Roman" w:hAnsi="Times New Roman" w:eastAsia="黑体"/>
              <w:bCs/>
              <w:szCs w:val="24"/>
              <w:highlight w:val="none"/>
            </w:rPr>
            <w:t>质量检查</w:t>
          </w:r>
          <w:r>
            <w:tab/>
          </w:r>
          <w:r>
            <w:fldChar w:fldCharType="begin"/>
          </w:r>
          <w:r>
            <w:instrText xml:space="preserve"> PAGEREF _Toc27936 \h </w:instrText>
          </w:r>
          <w:r>
            <w:fldChar w:fldCharType="separate"/>
          </w:r>
          <w:r>
            <w:t>4</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_Toc24017 </w:instrText>
          </w:r>
          <w:r>
            <w:rPr>
              <w:szCs w:val="21"/>
              <w:highlight w:val="none"/>
            </w:rPr>
            <w:fldChar w:fldCharType="separate"/>
          </w:r>
          <w:r>
            <w:rPr>
              <w:rFonts w:ascii="Times New Roman" w:hAnsi="Times New Roman" w:eastAsia="黑体"/>
              <w:bCs/>
              <w:szCs w:val="24"/>
              <w:highlight w:val="none"/>
            </w:rPr>
            <w:t>6.</w:t>
          </w:r>
          <w:r>
            <w:rPr>
              <w:rFonts w:hint="eastAsia" w:ascii="Times New Roman" w:hAnsi="Times New Roman" w:eastAsia="黑体"/>
              <w:bCs/>
              <w:szCs w:val="24"/>
              <w:highlight w:val="none"/>
              <w:lang w:val="en-US" w:eastAsia="zh-CN"/>
            </w:rPr>
            <w:t>4</w:t>
          </w:r>
          <w:r>
            <w:rPr>
              <w:rFonts w:ascii="Times New Roman" w:hAnsi="Times New Roman" w:eastAsia="黑体"/>
              <w:bCs/>
              <w:szCs w:val="24"/>
              <w:highlight w:val="none"/>
            </w:rPr>
            <w:t xml:space="preserve"> 结构和外观检查</w:t>
          </w:r>
          <w:r>
            <w:tab/>
          </w:r>
          <w:r>
            <w:fldChar w:fldCharType="begin"/>
          </w:r>
          <w:r>
            <w:instrText xml:space="preserve"> PAGEREF _Toc24017 \h </w:instrText>
          </w:r>
          <w:r>
            <w:fldChar w:fldCharType="separate"/>
          </w:r>
          <w:r>
            <w:t>5</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_Toc23281 </w:instrText>
          </w:r>
          <w:r>
            <w:rPr>
              <w:szCs w:val="21"/>
              <w:highlight w:val="none"/>
            </w:rPr>
            <w:fldChar w:fldCharType="separate"/>
          </w:r>
          <w:r>
            <w:rPr>
              <w:highlight w:val="none"/>
            </w:rPr>
            <w:t>应满足本技术规范书中5.10规定的相关技术要求。</w:t>
          </w:r>
          <w:r>
            <w:tab/>
          </w:r>
          <w:r>
            <w:fldChar w:fldCharType="begin"/>
          </w:r>
          <w:r>
            <w:instrText xml:space="preserve"> PAGEREF _Toc23281 \h </w:instrText>
          </w:r>
          <w:r>
            <w:fldChar w:fldCharType="separate"/>
          </w:r>
          <w:r>
            <w:t>5</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_Toc31273 </w:instrText>
          </w:r>
          <w:r>
            <w:rPr>
              <w:szCs w:val="21"/>
              <w:highlight w:val="none"/>
            </w:rPr>
            <w:fldChar w:fldCharType="separate"/>
          </w:r>
          <w:r>
            <w:rPr>
              <w:rFonts w:hint="eastAsia" w:ascii="Times New Roman" w:hAnsi="Times New Roman" w:eastAsia="黑体"/>
              <w:bCs/>
              <w:szCs w:val="24"/>
              <w:highlight w:val="none"/>
              <w:lang w:val="en-US" w:eastAsia="zh-CN"/>
            </w:rPr>
            <w:t>6.5 检测报告</w:t>
          </w:r>
          <w:r>
            <w:tab/>
          </w:r>
          <w:r>
            <w:fldChar w:fldCharType="begin"/>
          </w:r>
          <w:r>
            <w:instrText xml:space="preserve"> PAGEREF _Toc31273 \h </w:instrText>
          </w:r>
          <w:r>
            <w:fldChar w:fldCharType="separate"/>
          </w:r>
          <w:r>
            <w:t>5</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_Toc29789 </w:instrText>
          </w:r>
          <w:r>
            <w:rPr>
              <w:szCs w:val="21"/>
              <w:highlight w:val="none"/>
            </w:rPr>
            <w:fldChar w:fldCharType="separate"/>
          </w:r>
          <w:r>
            <w:rPr>
              <w:rFonts w:eastAsia="黑体"/>
              <w:szCs w:val="28"/>
              <w:highlight w:val="none"/>
            </w:rPr>
            <w:t>7 检验规则</w:t>
          </w:r>
          <w:r>
            <w:tab/>
          </w:r>
          <w:r>
            <w:fldChar w:fldCharType="begin"/>
          </w:r>
          <w:r>
            <w:instrText xml:space="preserve"> PAGEREF _Toc29789 \h </w:instrText>
          </w:r>
          <w:r>
            <w:fldChar w:fldCharType="separate"/>
          </w:r>
          <w:r>
            <w:t>5</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_Toc7578 </w:instrText>
          </w:r>
          <w:r>
            <w:rPr>
              <w:szCs w:val="21"/>
              <w:highlight w:val="none"/>
            </w:rPr>
            <w:fldChar w:fldCharType="separate"/>
          </w:r>
          <w:r>
            <w:rPr>
              <w:rFonts w:ascii="Times New Roman" w:hAnsi="Times New Roman" w:eastAsia="黑体"/>
              <w:bCs/>
              <w:szCs w:val="24"/>
              <w:highlight w:val="none"/>
            </w:rPr>
            <w:t xml:space="preserve">7.1 </w:t>
          </w:r>
          <w:r>
            <w:rPr>
              <w:rFonts w:hint="eastAsia" w:ascii="Times New Roman" w:hAnsi="Times New Roman" w:eastAsia="黑体"/>
              <w:bCs/>
              <w:szCs w:val="24"/>
              <w:highlight w:val="none"/>
              <w:lang w:val="en-US" w:eastAsia="zh-CN"/>
            </w:rPr>
            <w:t>委托</w:t>
          </w:r>
          <w:r>
            <w:rPr>
              <w:rFonts w:ascii="Times New Roman" w:hAnsi="Times New Roman" w:eastAsia="黑体"/>
              <w:bCs/>
              <w:szCs w:val="24"/>
              <w:highlight w:val="none"/>
            </w:rPr>
            <w:t>试验</w:t>
          </w:r>
          <w:r>
            <w:tab/>
          </w:r>
          <w:r>
            <w:fldChar w:fldCharType="begin"/>
          </w:r>
          <w:r>
            <w:instrText xml:space="preserve"> PAGEREF _Toc7578 \h </w:instrText>
          </w:r>
          <w:r>
            <w:fldChar w:fldCharType="separate"/>
          </w:r>
          <w:r>
            <w:t>5</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_Toc29643 </w:instrText>
          </w:r>
          <w:r>
            <w:rPr>
              <w:szCs w:val="21"/>
              <w:highlight w:val="none"/>
            </w:rPr>
            <w:fldChar w:fldCharType="separate"/>
          </w:r>
          <w:r>
            <w:rPr>
              <w:rFonts w:ascii="Times New Roman" w:hAnsi="Times New Roman" w:eastAsia="黑体"/>
              <w:bCs/>
              <w:szCs w:val="24"/>
              <w:highlight w:val="none"/>
            </w:rPr>
            <w:t>7.2 出厂检验</w:t>
          </w:r>
          <w:r>
            <w:tab/>
          </w:r>
          <w:r>
            <w:fldChar w:fldCharType="begin"/>
          </w:r>
          <w:r>
            <w:instrText xml:space="preserve"> PAGEREF _Toc29643 \h </w:instrText>
          </w:r>
          <w:r>
            <w:fldChar w:fldCharType="separate"/>
          </w:r>
          <w:r>
            <w:t>6</w:t>
          </w:r>
          <w:r>
            <w:fldChar w:fldCharType="end"/>
          </w:r>
          <w:r>
            <w:rPr>
              <w:color w:val="auto"/>
              <w:szCs w:val="21"/>
              <w:highlight w:val="none"/>
            </w:rPr>
            <w:fldChar w:fldCharType="end"/>
          </w:r>
        </w:p>
        <w:p>
          <w:pPr>
            <w:pStyle w:val="50"/>
            <w:tabs>
              <w:tab w:val="right" w:leader="dot" w:pos="9123"/>
            </w:tabs>
            <w:rPr>
              <w:highlight w:val="none"/>
            </w:rPr>
          </w:pPr>
          <w:r>
            <w:rPr>
              <w:color w:val="auto"/>
              <w:szCs w:val="21"/>
              <w:highlight w:val="none"/>
            </w:rPr>
            <w:fldChar w:fldCharType="begin"/>
          </w:r>
          <w:r>
            <w:rPr>
              <w:szCs w:val="21"/>
              <w:highlight w:val="none"/>
            </w:rPr>
            <w:instrText xml:space="preserve"> HYPERLINK \l _Toc28459 </w:instrText>
          </w:r>
          <w:r>
            <w:rPr>
              <w:szCs w:val="21"/>
              <w:highlight w:val="none"/>
            </w:rPr>
            <w:fldChar w:fldCharType="separate"/>
          </w:r>
          <w:r>
            <w:rPr>
              <w:rFonts w:ascii="Times New Roman" w:hAnsi="Times New Roman" w:eastAsia="黑体"/>
              <w:bCs/>
              <w:szCs w:val="24"/>
              <w:highlight w:val="none"/>
            </w:rPr>
            <w:t>7.3 送样检测</w:t>
          </w:r>
          <w:r>
            <w:rPr>
              <w:highlight w:val="none"/>
            </w:rPr>
            <w:tab/>
          </w:r>
          <w:r>
            <w:rPr>
              <w:highlight w:val="none"/>
            </w:rPr>
            <w:fldChar w:fldCharType="begin"/>
          </w:r>
          <w:r>
            <w:rPr>
              <w:highlight w:val="none"/>
            </w:rPr>
            <w:instrText xml:space="preserve"> PAGEREF _Toc28459 \h </w:instrText>
          </w:r>
          <w:r>
            <w:rPr>
              <w:highlight w:val="none"/>
            </w:rPr>
            <w:fldChar w:fldCharType="separate"/>
          </w:r>
          <w:r>
            <w:rPr>
              <w:highlight w:val="none"/>
            </w:rPr>
            <w:t>6</w:t>
          </w:r>
          <w:r>
            <w:rPr>
              <w:highlight w:val="none"/>
            </w:rPr>
            <w:fldChar w:fldCharType="end"/>
          </w:r>
          <w:r>
            <w:rPr>
              <w:color w:val="auto"/>
              <w:szCs w:val="21"/>
              <w:highlight w:val="none"/>
            </w:rPr>
            <w:fldChar w:fldCharType="end"/>
          </w:r>
        </w:p>
        <w:p>
          <w:pPr>
            <w:pStyle w:val="50"/>
            <w:tabs>
              <w:tab w:val="right" w:leader="dot" w:pos="9123"/>
            </w:tabs>
            <w:rPr>
              <w:highlight w:val="none"/>
            </w:rPr>
          </w:pPr>
          <w:r>
            <w:rPr>
              <w:color w:val="auto"/>
              <w:szCs w:val="21"/>
              <w:highlight w:val="none"/>
            </w:rPr>
            <w:fldChar w:fldCharType="begin"/>
          </w:r>
          <w:r>
            <w:rPr>
              <w:szCs w:val="21"/>
              <w:highlight w:val="none"/>
            </w:rPr>
            <w:instrText xml:space="preserve"> HYPERLINK \l _Toc26655 </w:instrText>
          </w:r>
          <w:r>
            <w:rPr>
              <w:szCs w:val="21"/>
              <w:highlight w:val="none"/>
            </w:rPr>
            <w:fldChar w:fldCharType="separate"/>
          </w:r>
          <w:r>
            <w:rPr>
              <w:rFonts w:ascii="Times New Roman" w:hAnsi="Times New Roman" w:eastAsia="黑体"/>
              <w:bCs/>
              <w:szCs w:val="24"/>
              <w:highlight w:val="none"/>
            </w:rPr>
            <w:t>7.4 到货抽检</w:t>
          </w:r>
          <w:r>
            <w:rPr>
              <w:highlight w:val="none"/>
            </w:rPr>
            <w:tab/>
          </w:r>
          <w:r>
            <w:rPr>
              <w:highlight w:val="none"/>
            </w:rPr>
            <w:fldChar w:fldCharType="begin"/>
          </w:r>
          <w:r>
            <w:rPr>
              <w:highlight w:val="none"/>
            </w:rPr>
            <w:instrText xml:space="preserve"> PAGEREF _Toc26655 \h </w:instrText>
          </w:r>
          <w:r>
            <w:rPr>
              <w:highlight w:val="none"/>
            </w:rPr>
            <w:fldChar w:fldCharType="separate"/>
          </w:r>
          <w:r>
            <w:rPr>
              <w:highlight w:val="none"/>
            </w:rPr>
            <w:t>6</w:t>
          </w:r>
          <w:r>
            <w:rPr>
              <w:highlight w:val="none"/>
            </w:rP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_Toc19772 </w:instrText>
          </w:r>
          <w:r>
            <w:rPr>
              <w:szCs w:val="21"/>
              <w:highlight w:val="none"/>
            </w:rPr>
            <w:fldChar w:fldCharType="separate"/>
          </w:r>
          <w:r>
            <w:rPr>
              <w:rFonts w:ascii="Times New Roman" w:hAnsi="Times New Roman" w:eastAsia="黑体"/>
              <w:bCs/>
              <w:szCs w:val="24"/>
              <w:highlight w:val="none"/>
            </w:rPr>
            <w:t>7.5 交接试验</w:t>
          </w:r>
          <w:r>
            <w:rPr>
              <w:highlight w:val="none"/>
            </w:rPr>
            <w:tab/>
          </w:r>
          <w:r>
            <w:rPr>
              <w:highlight w:val="none"/>
            </w:rPr>
            <w:fldChar w:fldCharType="begin"/>
          </w:r>
          <w:r>
            <w:rPr>
              <w:highlight w:val="none"/>
            </w:rPr>
            <w:instrText xml:space="preserve"> PAGEREF _Toc19772 \h </w:instrText>
          </w:r>
          <w:r>
            <w:rPr>
              <w:highlight w:val="none"/>
            </w:rPr>
            <w:fldChar w:fldCharType="separate"/>
          </w:r>
          <w:r>
            <w:rPr>
              <w:highlight w:val="none"/>
            </w:rPr>
            <w:t>6</w:t>
          </w:r>
          <w:r>
            <w:rPr>
              <w:highlight w:val="none"/>
            </w:rP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_Toc14954 </w:instrText>
          </w:r>
          <w:r>
            <w:rPr>
              <w:szCs w:val="21"/>
              <w:highlight w:val="none"/>
            </w:rPr>
            <w:fldChar w:fldCharType="separate"/>
          </w:r>
          <w:r>
            <w:rPr>
              <w:rFonts w:eastAsia="黑体"/>
              <w:szCs w:val="28"/>
              <w:highlight w:val="none"/>
            </w:rPr>
            <w:t>8 技术联络、技术培训及售后服务</w:t>
          </w:r>
          <w:r>
            <w:tab/>
          </w:r>
          <w:r>
            <w:fldChar w:fldCharType="begin"/>
          </w:r>
          <w:r>
            <w:instrText xml:space="preserve"> PAGEREF _Toc14954 \h </w:instrText>
          </w:r>
          <w:r>
            <w:fldChar w:fldCharType="separate"/>
          </w:r>
          <w:r>
            <w:t>6</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_Toc14332 </w:instrText>
          </w:r>
          <w:r>
            <w:rPr>
              <w:szCs w:val="21"/>
              <w:highlight w:val="none"/>
            </w:rPr>
            <w:fldChar w:fldCharType="separate"/>
          </w:r>
          <w:r>
            <w:rPr>
              <w:rFonts w:ascii="Times New Roman" w:hAnsi="Times New Roman" w:eastAsia="黑体"/>
              <w:bCs/>
              <w:szCs w:val="24"/>
              <w:highlight w:val="none"/>
            </w:rPr>
            <w:t>8.1 技术联络</w:t>
          </w:r>
          <w:r>
            <w:tab/>
          </w:r>
          <w:r>
            <w:fldChar w:fldCharType="begin"/>
          </w:r>
          <w:r>
            <w:instrText xml:space="preserve"> PAGEREF _Toc14332 \h </w:instrText>
          </w:r>
          <w:r>
            <w:fldChar w:fldCharType="separate"/>
          </w:r>
          <w:r>
            <w:t>7</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_Toc24548 </w:instrText>
          </w:r>
          <w:r>
            <w:rPr>
              <w:szCs w:val="21"/>
              <w:highlight w:val="none"/>
            </w:rPr>
            <w:fldChar w:fldCharType="separate"/>
          </w:r>
          <w:r>
            <w:rPr>
              <w:rFonts w:ascii="Times New Roman" w:hAnsi="Times New Roman" w:eastAsia="黑体"/>
              <w:bCs/>
              <w:szCs w:val="24"/>
              <w:highlight w:val="none"/>
            </w:rPr>
            <w:t>8.2 技术培训</w:t>
          </w:r>
          <w:r>
            <w:tab/>
          </w:r>
          <w:r>
            <w:fldChar w:fldCharType="begin"/>
          </w:r>
          <w:r>
            <w:instrText xml:space="preserve"> PAGEREF _Toc24548 \h </w:instrText>
          </w:r>
          <w:r>
            <w:fldChar w:fldCharType="separate"/>
          </w:r>
          <w:r>
            <w:t>7</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_Toc30337 </w:instrText>
          </w:r>
          <w:r>
            <w:rPr>
              <w:szCs w:val="21"/>
              <w:highlight w:val="none"/>
            </w:rPr>
            <w:fldChar w:fldCharType="separate"/>
          </w:r>
          <w:r>
            <w:rPr>
              <w:rFonts w:ascii="Times New Roman" w:hAnsi="Times New Roman" w:eastAsia="黑体"/>
              <w:bCs/>
              <w:szCs w:val="24"/>
              <w:highlight w:val="none"/>
            </w:rPr>
            <w:t>8.3 售后服务</w:t>
          </w:r>
          <w:r>
            <w:tab/>
          </w:r>
          <w:r>
            <w:fldChar w:fldCharType="begin"/>
          </w:r>
          <w:r>
            <w:instrText xml:space="preserve"> PAGEREF _Toc30337 \h </w:instrText>
          </w:r>
          <w:r>
            <w:fldChar w:fldCharType="separate"/>
          </w:r>
          <w:r>
            <w:t>7</w:t>
          </w:r>
          <w:r>
            <w:fldChar w:fldCharType="end"/>
          </w:r>
          <w:r>
            <w:rPr>
              <w:color w:val="auto"/>
              <w:szCs w:val="21"/>
              <w:highlight w:val="none"/>
            </w:rPr>
            <w:fldChar w:fldCharType="end"/>
          </w:r>
        </w:p>
        <w:p>
          <w:pPr>
            <w:pStyle w:val="39"/>
            <w:tabs>
              <w:tab w:val="right" w:leader="dot" w:pos="9123"/>
            </w:tabs>
          </w:pPr>
          <w:r>
            <w:rPr>
              <w:color w:val="auto"/>
              <w:szCs w:val="21"/>
              <w:highlight w:val="none"/>
            </w:rPr>
            <w:fldChar w:fldCharType="begin"/>
          </w:r>
          <w:r>
            <w:rPr>
              <w:szCs w:val="21"/>
              <w:highlight w:val="none"/>
            </w:rPr>
            <w:instrText xml:space="preserve"> HYPERLINK \l _Toc30490 </w:instrText>
          </w:r>
          <w:r>
            <w:rPr>
              <w:szCs w:val="21"/>
              <w:highlight w:val="none"/>
            </w:rPr>
            <w:fldChar w:fldCharType="separate"/>
          </w:r>
          <w:r>
            <w:rPr>
              <w:rFonts w:eastAsia="黑体"/>
              <w:szCs w:val="28"/>
              <w:highlight w:val="none"/>
            </w:rPr>
            <w:t>9 标志、包装、运输、贮存</w:t>
          </w:r>
          <w:r>
            <w:tab/>
          </w:r>
          <w:r>
            <w:fldChar w:fldCharType="begin"/>
          </w:r>
          <w:r>
            <w:instrText xml:space="preserve"> PAGEREF _Toc30490 \h </w:instrText>
          </w:r>
          <w:r>
            <w:fldChar w:fldCharType="separate"/>
          </w:r>
          <w:r>
            <w:t>7</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_Toc6573 </w:instrText>
          </w:r>
          <w:r>
            <w:rPr>
              <w:szCs w:val="21"/>
              <w:highlight w:val="none"/>
            </w:rPr>
            <w:fldChar w:fldCharType="separate"/>
          </w:r>
          <w:r>
            <w:rPr>
              <w:rFonts w:ascii="Times New Roman" w:hAnsi="Times New Roman" w:eastAsia="黑体"/>
              <w:bCs/>
              <w:szCs w:val="24"/>
              <w:highlight w:val="none"/>
            </w:rPr>
            <w:t>9.1 标志</w:t>
          </w:r>
          <w:r>
            <w:tab/>
          </w:r>
          <w:r>
            <w:fldChar w:fldCharType="begin"/>
          </w:r>
          <w:r>
            <w:instrText xml:space="preserve"> PAGEREF _Toc6573 \h </w:instrText>
          </w:r>
          <w:r>
            <w:fldChar w:fldCharType="separate"/>
          </w:r>
          <w:r>
            <w:t>7</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_Toc12235 </w:instrText>
          </w:r>
          <w:r>
            <w:rPr>
              <w:szCs w:val="21"/>
              <w:highlight w:val="none"/>
            </w:rPr>
            <w:fldChar w:fldCharType="separate"/>
          </w:r>
          <w:r>
            <w:rPr>
              <w:highlight w:val="none"/>
            </w:rPr>
            <w:t>9.1.1铭牌</w:t>
          </w:r>
          <w:r>
            <w:tab/>
          </w:r>
          <w:r>
            <w:fldChar w:fldCharType="begin"/>
          </w:r>
          <w:r>
            <w:instrText xml:space="preserve"> PAGEREF _Toc12235 \h </w:instrText>
          </w:r>
          <w:r>
            <w:fldChar w:fldCharType="separate"/>
          </w:r>
          <w:r>
            <w:t>7</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_Toc29470 </w:instrText>
          </w:r>
          <w:r>
            <w:rPr>
              <w:szCs w:val="21"/>
              <w:highlight w:val="none"/>
            </w:rPr>
            <w:fldChar w:fldCharType="separate"/>
          </w:r>
          <w:r>
            <w:rPr>
              <w:highlight w:val="none"/>
            </w:rPr>
            <w:t>9.1.2 包装标志</w:t>
          </w:r>
          <w:r>
            <w:tab/>
          </w:r>
          <w:r>
            <w:fldChar w:fldCharType="begin"/>
          </w:r>
          <w:r>
            <w:instrText xml:space="preserve"> PAGEREF _Toc29470 \h </w:instrText>
          </w:r>
          <w:r>
            <w:fldChar w:fldCharType="separate"/>
          </w:r>
          <w:r>
            <w:t>7</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_Toc23181 </w:instrText>
          </w:r>
          <w:r>
            <w:rPr>
              <w:szCs w:val="21"/>
              <w:highlight w:val="none"/>
            </w:rPr>
            <w:fldChar w:fldCharType="separate"/>
          </w:r>
          <w:r>
            <w:rPr>
              <w:highlight w:val="none"/>
            </w:rPr>
            <w:t>9.1.3 储运图示和收发货标志</w:t>
          </w:r>
          <w:r>
            <w:tab/>
          </w:r>
          <w:r>
            <w:fldChar w:fldCharType="begin"/>
          </w:r>
          <w:r>
            <w:instrText xml:space="preserve"> PAGEREF _Toc23181 \h </w:instrText>
          </w:r>
          <w:r>
            <w:fldChar w:fldCharType="separate"/>
          </w:r>
          <w:r>
            <w:t>8</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_Toc2236 </w:instrText>
          </w:r>
          <w:r>
            <w:rPr>
              <w:szCs w:val="21"/>
              <w:highlight w:val="none"/>
            </w:rPr>
            <w:fldChar w:fldCharType="separate"/>
          </w:r>
          <w:r>
            <w:rPr>
              <w:rFonts w:ascii="Times New Roman" w:hAnsi="Times New Roman" w:eastAsia="黑体"/>
              <w:bCs/>
              <w:szCs w:val="24"/>
              <w:highlight w:val="none"/>
            </w:rPr>
            <w:t>9.2 包装</w:t>
          </w:r>
          <w:r>
            <w:tab/>
          </w:r>
          <w:r>
            <w:fldChar w:fldCharType="begin"/>
          </w:r>
          <w:r>
            <w:instrText xml:space="preserve"> PAGEREF _Toc2236 \h </w:instrText>
          </w:r>
          <w:r>
            <w:fldChar w:fldCharType="separate"/>
          </w:r>
          <w:r>
            <w:t>8</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_Toc9896 </w:instrText>
          </w:r>
          <w:r>
            <w:rPr>
              <w:szCs w:val="21"/>
              <w:highlight w:val="none"/>
            </w:rPr>
            <w:fldChar w:fldCharType="separate"/>
          </w:r>
          <w:r>
            <w:rPr>
              <w:highlight w:val="none"/>
            </w:rPr>
            <w:t>9.2.1 基本要求</w:t>
          </w:r>
          <w:r>
            <w:tab/>
          </w:r>
          <w:r>
            <w:fldChar w:fldCharType="begin"/>
          </w:r>
          <w:r>
            <w:instrText xml:space="preserve"> PAGEREF _Toc9896 \h </w:instrText>
          </w:r>
          <w:r>
            <w:fldChar w:fldCharType="separate"/>
          </w:r>
          <w:r>
            <w:t>8</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_Toc4520 </w:instrText>
          </w:r>
          <w:r>
            <w:rPr>
              <w:szCs w:val="21"/>
              <w:highlight w:val="none"/>
            </w:rPr>
            <w:fldChar w:fldCharType="separate"/>
          </w:r>
          <w:r>
            <w:rPr>
              <w:highlight w:val="none"/>
            </w:rPr>
            <w:t>9.2.2 包装环境要求</w:t>
          </w:r>
          <w:r>
            <w:tab/>
          </w:r>
          <w:r>
            <w:fldChar w:fldCharType="begin"/>
          </w:r>
          <w:r>
            <w:instrText xml:space="preserve"> PAGEREF _Toc4520 \h </w:instrText>
          </w:r>
          <w:r>
            <w:fldChar w:fldCharType="separate"/>
          </w:r>
          <w:r>
            <w:t>8</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_Toc2001 </w:instrText>
          </w:r>
          <w:r>
            <w:rPr>
              <w:szCs w:val="21"/>
              <w:highlight w:val="none"/>
            </w:rPr>
            <w:fldChar w:fldCharType="separate"/>
          </w:r>
          <w:r>
            <w:rPr>
              <w:highlight w:val="none"/>
            </w:rPr>
            <w:t>9.2.3 装箱要求</w:t>
          </w:r>
          <w:r>
            <w:tab/>
          </w:r>
          <w:r>
            <w:fldChar w:fldCharType="begin"/>
          </w:r>
          <w:r>
            <w:instrText xml:space="preserve"> PAGEREF _Toc2001 \h </w:instrText>
          </w:r>
          <w:r>
            <w:fldChar w:fldCharType="separate"/>
          </w:r>
          <w:r>
            <w:t>8</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_Toc12171 </w:instrText>
          </w:r>
          <w:r>
            <w:rPr>
              <w:szCs w:val="21"/>
              <w:highlight w:val="none"/>
            </w:rPr>
            <w:fldChar w:fldCharType="separate"/>
          </w:r>
          <w:r>
            <w:rPr>
              <w:highlight w:val="none"/>
            </w:rPr>
            <w:t>9.2.4 分体包装要求</w:t>
          </w:r>
          <w:r>
            <w:tab/>
          </w:r>
          <w:r>
            <w:fldChar w:fldCharType="begin"/>
          </w:r>
          <w:r>
            <w:instrText xml:space="preserve"> PAGEREF _Toc12171 \h </w:instrText>
          </w:r>
          <w:r>
            <w:fldChar w:fldCharType="separate"/>
          </w:r>
          <w:r>
            <w:t>8</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_Toc19111 </w:instrText>
          </w:r>
          <w:r>
            <w:rPr>
              <w:szCs w:val="21"/>
              <w:highlight w:val="none"/>
            </w:rPr>
            <w:fldChar w:fldCharType="separate"/>
          </w:r>
          <w:r>
            <w:rPr>
              <w:highlight w:val="none"/>
            </w:rPr>
            <w:t>9.2.5 产品防护</w:t>
          </w:r>
          <w:r>
            <w:tab/>
          </w:r>
          <w:r>
            <w:fldChar w:fldCharType="begin"/>
          </w:r>
          <w:r>
            <w:instrText xml:space="preserve"> PAGEREF _Toc19111 \h </w:instrText>
          </w:r>
          <w:r>
            <w:fldChar w:fldCharType="separate"/>
          </w:r>
          <w:r>
            <w:t>8</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_Toc28584 </w:instrText>
          </w:r>
          <w:r>
            <w:rPr>
              <w:szCs w:val="21"/>
              <w:highlight w:val="none"/>
            </w:rPr>
            <w:fldChar w:fldCharType="separate"/>
          </w:r>
          <w:r>
            <w:rPr>
              <w:highlight w:val="none"/>
            </w:rPr>
            <w:t>9.2.6 随机文件清单</w:t>
          </w:r>
          <w:r>
            <w:tab/>
          </w:r>
          <w:r>
            <w:fldChar w:fldCharType="begin"/>
          </w:r>
          <w:r>
            <w:instrText xml:space="preserve"> PAGEREF _Toc28584 \h </w:instrText>
          </w:r>
          <w:r>
            <w:fldChar w:fldCharType="separate"/>
          </w:r>
          <w:r>
            <w:t>8</w:t>
          </w:r>
          <w:r>
            <w:fldChar w:fldCharType="end"/>
          </w:r>
          <w:r>
            <w:rPr>
              <w:color w:val="auto"/>
              <w:szCs w:val="21"/>
              <w:highlight w:val="none"/>
            </w:rPr>
            <w:fldChar w:fldCharType="end"/>
          </w:r>
        </w:p>
        <w:p>
          <w:pPr>
            <w:pStyle w:val="29"/>
            <w:tabs>
              <w:tab w:val="right" w:leader="dot" w:pos="9123"/>
            </w:tabs>
          </w:pPr>
          <w:r>
            <w:rPr>
              <w:color w:val="auto"/>
              <w:szCs w:val="21"/>
              <w:highlight w:val="none"/>
            </w:rPr>
            <w:fldChar w:fldCharType="begin"/>
          </w:r>
          <w:r>
            <w:rPr>
              <w:szCs w:val="21"/>
              <w:highlight w:val="none"/>
            </w:rPr>
            <w:instrText xml:space="preserve"> HYPERLINK \l _Toc22042 </w:instrText>
          </w:r>
          <w:r>
            <w:rPr>
              <w:szCs w:val="21"/>
              <w:highlight w:val="none"/>
            </w:rPr>
            <w:fldChar w:fldCharType="separate"/>
          </w:r>
          <w:r>
            <w:rPr>
              <w:highlight w:val="none"/>
            </w:rPr>
            <w:t>9.2.7 随机文件包装</w:t>
          </w:r>
          <w:r>
            <w:tab/>
          </w:r>
          <w:r>
            <w:fldChar w:fldCharType="begin"/>
          </w:r>
          <w:r>
            <w:instrText xml:space="preserve"> PAGEREF _Toc22042 \h </w:instrText>
          </w:r>
          <w:r>
            <w:fldChar w:fldCharType="separate"/>
          </w:r>
          <w:r>
            <w:t>9</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_Toc14609 </w:instrText>
          </w:r>
          <w:r>
            <w:rPr>
              <w:szCs w:val="21"/>
              <w:highlight w:val="none"/>
            </w:rPr>
            <w:fldChar w:fldCharType="separate"/>
          </w:r>
          <w:r>
            <w:rPr>
              <w:rFonts w:ascii="Times New Roman" w:hAnsi="Times New Roman" w:eastAsia="黑体"/>
              <w:bCs/>
              <w:szCs w:val="24"/>
              <w:highlight w:val="none"/>
            </w:rPr>
            <w:t>9.3 运输</w:t>
          </w:r>
          <w:r>
            <w:tab/>
          </w:r>
          <w:r>
            <w:fldChar w:fldCharType="begin"/>
          </w:r>
          <w:r>
            <w:instrText xml:space="preserve"> PAGEREF _Toc14609 \h </w:instrText>
          </w:r>
          <w:r>
            <w:fldChar w:fldCharType="separate"/>
          </w:r>
          <w:r>
            <w:t>9</w:t>
          </w:r>
          <w:r>
            <w:fldChar w:fldCharType="end"/>
          </w:r>
          <w:r>
            <w:rPr>
              <w:color w:val="auto"/>
              <w:szCs w:val="21"/>
              <w:highlight w:val="none"/>
            </w:rPr>
            <w:fldChar w:fldCharType="end"/>
          </w:r>
        </w:p>
        <w:p>
          <w:pPr>
            <w:pStyle w:val="50"/>
            <w:tabs>
              <w:tab w:val="right" w:leader="dot" w:pos="9123"/>
            </w:tabs>
          </w:pPr>
          <w:r>
            <w:rPr>
              <w:color w:val="auto"/>
              <w:szCs w:val="21"/>
              <w:highlight w:val="none"/>
            </w:rPr>
            <w:fldChar w:fldCharType="begin"/>
          </w:r>
          <w:r>
            <w:rPr>
              <w:szCs w:val="21"/>
              <w:highlight w:val="none"/>
            </w:rPr>
            <w:instrText xml:space="preserve"> HYPERLINK \l _Toc18738 </w:instrText>
          </w:r>
          <w:r>
            <w:rPr>
              <w:szCs w:val="21"/>
              <w:highlight w:val="none"/>
            </w:rPr>
            <w:fldChar w:fldCharType="separate"/>
          </w:r>
          <w:r>
            <w:rPr>
              <w:rFonts w:ascii="Times New Roman" w:hAnsi="Times New Roman" w:eastAsia="黑体"/>
              <w:bCs/>
              <w:szCs w:val="24"/>
              <w:highlight w:val="none"/>
            </w:rPr>
            <w:t>9.4 贮存</w:t>
          </w:r>
          <w:r>
            <w:tab/>
          </w:r>
          <w:r>
            <w:fldChar w:fldCharType="begin"/>
          </w:r>
          <w:r>
            <w:instrText xml:space="preserve"> PAGEREF _Toc18738 \h </w:instrText>
          </w:r>
          <w:r>
            <w:fldChar w:fldCharType="separate"/>
          </w:r>
          <w:r>
            <w:t>9</w:t>
          </w:r>
          <w:r>
            <w:fldChar w:fldCharType="end"/>
          </w:r>
          <w:r>
            <w:rPr>
              <w:color w:val="auto"/>
              <w:szCs w:val="21"/>
              <w:highlight w:val="none"/>
            </w:rPr>
            <w:fldChar w:fldCharType="end"/>
          </w:r>
        </w:p>
        <w:p>
          <w:pPr>
            <w:snapToGrid w:val="0"/>
            <w:spacing w:line="360" w:lineRule="auto"/>
            <w:ind w:firstLine="560"/>
            <w:outlineLvl w:val="0"/>
            <w:rPr>
              <w:rFonts w:ascii="Times New Roman" w:hAnsi="Times New Roman" w:eastAsia="宋体" w:cs="Times New Roman"/>
              <w:color w:val="auto"/>
              <w:kern w:val="2"/>
              <w:sz w:val="21"/>
              <w:szCs w:val="21"/>
              <w:highlight w:val="none"/>
              <w:lang w:val="en-US" w:eastAsia="zh-CN" w:bidi="ar-SA"/>
            </w:rPr>
          </w:pPr>
          <w:r>
            <w:rPr>
              <w:color w:val="auto"/>
              <w:szCs w:val="21"/>
              <w:highlight w:val="none"/>
            </w:rPr>
            <w:fldChar w:fldCharType="end"/>
          </w:r>
        </w:p>
      </w:sdtContent>
    </w:sdt>
    <w:p>
      <w:pPr>
        <w:snapToGrid w:val="0"/>
        <w:spacing w:line="360" w:lineRule="auto"/>
        <w:ind w:firstLine="560"/>
        <w:outlineLvl w:val="0"/>
        <w:rPr>
          <w:rFonts w:ascii="Times New Roman" w:hAnsi="Times New Roman" w:eastAsia="宋体" w:cs="Times New Roman"/>
          <w:color w:val="auto"/>
          <w:kern w:val="2"/>
          <w:sz w:val="21"/>
          <w:szCs w:val="21"/>
          <w:highlight w:val="none"/>
          <w:lang w:val="en-US" w:eastAsia="zh-CN" w:bidi="ar-SA"/>
        </w:rPr>
        <w:sectPr>
          <w:footerReference r:id="rId9" w:type="first"/>
          <w:footerReference r:id="rId8" w:type="default"/>
          <w:pgSz w:w="11906" w:h="16838"/>
          <w:pgMar w:top="1418" w:right="1418" w:bottom="1418" w:left="1365" w:header="851" w:footer="992" w:gutter="0"/>
          <w:pgNumType w:fmt="decimal"/>
          <w:cols w:space="425" w:num="1"/>
          <w:titlePg/>
          <w:docGrid w:type="lines" w:linePitch="312" w:charSpace="0"/>
        </w:sectPr>
      </w:pPr>
    </w:p>
    <w:p>
      <w:pPr>
        <w:spacing w:line="360" w:lineRule="auto"/>
        <w:outlineLvl w:val="0"/>
        <w:rPr>
          <w:rFonts w:eastAsia="黑体"/>
          <w:color w:val="auto"/>
          <w:sz w:val="28"/>
          <w:szCs w:val="28"/>
          <w:highlight w:val="none"/>
        </w:rPr>
      </w:pPr>
      <w:bookmarkStart w:id="6" w:name="_Toc168869391"/>
      <w:bookmarkStart w:id="7" w:name="_Toc22406"/>
      <w:bookmarkStart w:id="8" w:name="_Toc224274558"/>
      <w:bookmarkStart w:id="9" w:name="_Toc500920831"/>
      <w:bookmarkStart w:id="10" w:name="_Toc18481"/>
      <w:bookmarkStart w:id="11" w:name="_Toc31464"/>
      <w:bookmarkStart w:id="12" w:name="_Toc16539"/>
      <w:bookmarkStart w:id="13" w:name="_Toc28819"/>
      <w:bookmarkStart w:id="14" w:name="_Toc2655"/>
      <w:bookmarkStart w:id="15" w:name="_Toc11364"/>
      <w:bookmarkStart w:id="16" w:name="_Toc15296"/>
      <w:bookmarkStart w:id="17" w:name="_Toc29230"/>
      <w:bookmarkStart w:id="18" w:name="_Toc20321"/>
      <w:bookmarkStart w:id="19" w:name="_Toc29809"/>
      <w:bookmarkStart w:id="20" w:name="_Toc12266"/>
      <w:bookmarkStart w:id="21" w:name="_Toc224531919"/>
      <w:bookmarkStart w:id="22" w:name="_Toc30445"/>
      <w:r>
        <w:rPr>
          <w:rFonts w:eastAsia="黑体"/>
          <w:color w:val="auto"/>
          <w:sz w:val="28"/>
          <w:szCs w:val="28"/>
          <w:highlight w:val="none"/>
        </w:rPr>
        <w:t>1 总则</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1.1本技术规范书适用于中国南方电网公司电网设备采购的</w:t>
      </w:r>
      <w:r>
        <w:rPr>
          <w:rFonts w:hint="eastAsia"/>
          <w:highlight w:val="none"/>
        </w:rPr>
        <w:t>新型高分子封堵材料</w:t>
      </w:r>
      <w:r>
        <w:rPr>
          <w:rFonts w:ascii="Times New Roman" w:hAnsi="Times New Roman"/>
          <w:color w:val="auto"/>
          <w:kern w:val="0"/>
          <w:szCs w:val="21"/>
          <w:highlight w:val="none"/>
        </w:rPr>
        <w:t>，提出了该类</w:t>
      </w:r>
      <w:r>
        <w:rPr>
          <w:rFonts w:hint="eastAsia" w:ascii="Times New Roman" w:hAnsi="Times New Roman"/>
          <w:color w:val="auto"/>
          <w:kern w:val="0"/>
          <w:szCs w:val="21"/>
          <w:highlight w:val="none"/>
          <w:lang w:val="en-US" w:eastAsia="zh-CN"/>
        </w:rPr>
        <w:t>材料</w:t>
      </w:r>
      <w:r>
        <w:rPr>
          <w:rFonts w:ascii="Times New Roman" w:hAnsi="Times New Roman"/>
          <w:color w:val="auto"/>
          <w:kern w:val="0"/>
          <w:szCs w:val="21"/>
          <w:highlight w:val="none"/>
        </w:rPr>
        <w:t>的功能设计、结构、性能、安装和试验等方面的技术要求。</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1.2本技术条件提出的是最低限度的技术要求。凡本技术条件中未规定，但在相关设备的国家标准或IEC标准中有规定的规范条文，投标方应按相应标准的条文进行设备设计、制造、试验和安装。对国家有关安全、环保等强制性标准，必须满足其要求。</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1.3如果投标方没有以书面形式对本规范书的条文提出异议，则意味着投标方提供的设备完全符合本规范书的要求。如有异议，不管多么微小，都应在报价书中以“对规范书的意见和同规范书的差异”为标题的专门章节中加以详细描述。</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1.4本技术规范书所使用的标准如遇与投标方所执行的标准不一致时，按较高标准执行。</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1.5本技术规范书经招标方、投标方确认后作为订货合同的技术附件，与合同正文具有同等的法律效力。</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1.6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1.7投标方应在应标技术部分按本技术条件的要求如实详细的填写应标设备的标准配置表，并在应标商务部分按此标准配置进行报价，如发现二者有矛盾之处，将对评标工作有不同程度的影响。</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1.8投标方应充分理解本技术条件并按本技术条件的具体条款、格式要求填写应标的技术文件，如发现应标的技术文件条款、格式不符合本技术条件的要求，则认为应标不严肃，在评标时将有不同程度的扣分。</w:t>
      </w:r>
    </w:p>
    <w:p>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1.9本技术规范书未尽事宜，由招标方、投标方协商确定。</w:t>
      </w:r>
    </w:p>
    <w:p>
      <w:pPr>
        <w:pStyle w:val="30"/>
        <w:spacing w:line="360" w:lineRule="auto"/>
        <w:rPr>
          <w:rFonts w:ascii="Times New Roman" w:hAnsi="Times New Roman"/>
          <w:color w:val="auto"/>
          <w:szCs w:val="21"/>
          <w:highlight w:val="none"/>
        </w:rPr>
      </w:pPr>
      <w:r>
        <w:rPr>
          <w:rFonts w:ascii="Times New Roman" w:hAnsi="Times New Roman"/>
          <w:color w:val="auto"/>
          <w:kern w:val="0"/>
          <w:szCs w:val="21"/>
          <w:highlight w:val="none"/>
        </w:rPr>
        <w:t>1.10投标方应提供不少于5年的产品质量保证期。</w:t>
      </w:r>
    </w:p>
    <w:p>
      <w:pPr>
        <w:rPr>
          <w:rFonts w:eastAsia="黑体"/>
          <w:color w:val="auto"/>
          <w:sz w:val="28"/>
          <w:szCs w:val="28"/>
          <w:highlight w:val="none"/>
        </w:rPr>
      </w:pPr>
      <w:bookmarkStart w:id="23" w:name="_Toc500920832"/>
      <w:bookmarkStart w:id="24" w:name="_Toc26308"/>
      <w:bookmarkStart w:id="25" w:name="_Toc26745"/>
      <w:r>
        <w:rPr>
          <w:rFonts w:eastAsia="黑体"/>
          <w:color w:val="auto"/>
          <w:sz w:val="28"/>
          <w:szCs w:val="28"/>
          <w:highlight w:val="none"/>
        </w:rPr>
        <w:br w:type="page"/>
      </w:r>
    </w:p>
    <w:p>
      <w:pPr>
        <w:spacing w:line="360" w:lineRule="auto"/>
        <w:outlineLvl w:val="0"/>
        <w:rPr>
          <w:rFonts w:eastAsia="黑体"/>
          <w:color w:val="auto"/>
          <w:sz w:val="28"/>
          <w:szCs w:val="28"/>
          <w:highlight w:val="none"/>
        </w:rPr>
      </w:pPr>
      <w:bookmarkStart w:id="26" w:name="_Toc23046"/>
      <w:bookmarkStart w:id="27" w:name="_Toc20655"/>
      <w:bookmarkStart w:id="28" w:name="_Toc31268"/>
      <w:bookmarkStart w:id="29" w:name="_Toc7208"/>
      <w:bookmarkStart w:id="30" w:name="_Toc6740"/>
      <w:bookmarkStart w:id="31" w:name="_Toc26764"/>
      <w:bookmarkStart w:id="32" w:name="_Toc31891"/>
      <w:bookmarkStart w:id="33" w:name="_Toc25464"/>
      <w:bookmarkStart w:id="34" w:name="_Toc18198"/>
      <w:bookmarkStart w:id="35" w:name="_Toc168869392"/>
      <w:bookmarkStart w:id="36" w:name="_Toc26097"/>
      <w:bookmarkStart w:id="37" w:name="_Toc24727"/>
      <w:r>
        <w:rPr>
          <w:rFonts w:eastAsia="黑体"/>
          <w:color w:val="auto"/>
          <w:sz w:val="28"/>
          <w:szCs w:val="28"/>
          <w:highlight w:val="none"/>
        </w:rPr>
        <w:t>2 工作范围</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pStyle w:val="3"/>
        <w:spacing w:before="0" w:after="0" w:line="360" w:lineRule="auto"/>
        <w:rPr>
          <w:rFonts w:ascii="Times New Roman" w:hAnsi="Times New Roman" w:eastAsia="黑体"/>
          <w:b w:val="0"/>
          <w:bCs/>
          <w:color w:val="auto"/>
          <w:sz w:val="24"/>
          <w:szCs w:val="24"/>
          <w:highlight w:val="none"/>
        </w:rPr>
      </w:pPr>
      <w:bookmarkStart w:id="38" w:name="_Toc14240"/>
      <w:bookmarkStart w:id="39" w:name="_Toc500920833"/>
      <w:bookmarkStart w:id="40" w:name="_Toc18536"/>
      <w:bookmarkStart w:id="41" w:name="_Toc168869393"/>
      <w:bookmarkStart w:id="42" w:name="_Toc17660"/>
      <w:bookmarkStart w:id="43" w:name="_Toc28871"/>
      <w:bookmarkStart w:id="44" w:name="_Toc12139"/>
      <w:bookmarkStart w:id="45" w:name="_Toc12897"/>
      <w:bookmarkStart w:id="46" w:name="_Toc11129"/>
      <w:bookmarkStart w:id="47" w:name="_Toc7768"/>
      <w:bookmarkStart w:id="48" w:name="_Toc145"/>
      <w:bookmarkStart w:id="49" w:name="_Toc26595"/>
      <w:bookmarkStart w:id="50" w:name="_Toc8546"/>
      <w:bookmarkStart w:id="51" w:name="_Toc26"/>
      <w:bookmarkStart w:id="52" w:name="_Toc19420"/>
      <w:r>
        <w:rPr>
          <w:rFonts w:ascii="Times New Roman" w:hAnsi="Times New Roman" w:eastAsia="黑体"/>
          <w:b w:val="0"/>
          <w:bCs/>
          <w:color w:val="auto"/>
          <w:sz w:val="24"/>
          <w:szCs w:val="24"/>
          <w:highlight w:val="none"/>
        </w:rPr>
        <w:t>2.1 供货范围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pStyle w:val="3"/>
        <w:spacing w:before="0" w:after="0" w:line="360" w:lineRule="auto"/>
        <w:rPr>
          <w:color w:val="auto"/>
          <w:szCs w:val="21"/>
          <w:highlight w:val="none"/>
        </w:rPr>
      </w:pPr>
      <w:bookmarkStart w:id="53" w:name="_Toc17445"/>
      <w:r>
        <w:rPr>
          <w:color w:val="auto"/>
          <w:szCs w:val="21"/>
          <w:highlight w:val="none"/>
        </w:rPr>
        <w:t>合同供货范围为</w:t>
      </w:r>
      <w:r>
        <w:rPr>
          <w:rFonts w:hint="eastAsia"/>
          <w:highlight w:val="none"/>
        </w:rPr>
        <w:t>新型高分子封堵材料</w:t>
      </w:r>
      <w:r>
        <w:rPr>
          <w:color w:val="auto"/>
          <w:szCs w:val="21"/>
          <w:highlight w:val="none"/>
        </w:rPr>
        <w:t>。</w:t>
      </w:r>
      <w:bookmarkEnd w:id="53"/>
    </w:p>
    <w:p>
      <w:pPr>
        <w:numPr>
          <w:ilvl w:val="255"/>
          <w:numId w:val="0"/>
        </w:numPr>
        <w:spacing w:line="360" w:lineRule="auto"/>
        <w:rPr>
          <w:color w:val="auto"/>
          <w:szCs w:val="21"/>
          <w:highlight w:val="none"/>
        </w:rPr>
      </w:pPr>
      <w:r>
        <w:rPr>
          <w:rFonts w:hint="eastAsia"/>
          <w:highlight w:val="none"/>
        </w:rPr>
        <w:t>新型高分子封堵材料</w:t>
      </w:r>
      <w:r>
        <w:rPr>
          <w:rFonts w:hint="eastAsia" w:ascii="Times New Roman" w:hAnsi="Times New Roman" w:eastAsia="宋体" w:cs="Times New Roman"/>
          <w:color w:val="auto"/>
          <w:highlight w:val="none"/>
        </w:rPr>
        <w:t>技术规范书</w:t>
      </w:r>
      <w:r>
        <w:rPr>
          <w:rFonts w:hint="eastAsia" w:ascii="宋体" w:hAnsi="宋体"/>
          <w:szCs w:val="21"/>
          <w:highlight w:val="none"/>
        </w:rPr>
        <w:t>技术参数特性见表1。</w:t>
      </w:r>
    </w:p>
    <w:p>
      <w:pPr>
        <w:pStyle w:val="238"/>
        <w:spacing w:line="240" w:lineRule="auto"/>
        <w:rPr>
          <w:highlight w:val="none"/>
        </w:rPr>
      </w:pPr>
      <w:r>
        <w:rPr>
          <w:rFonts w:hint="eastAsia"/>
          <w:highlight w:val="none"/>
        </w:rPr>
        <w:t>表1　</w:t>
      </w:r>
      <w:r>
        <w:rPr>
          <w:rFonts w:hint="eastAsia"/>
          <w:spacing w:val="30"/>
          <w:highlight w:val="none"/>
        </w:rPr>
        <w:t>技术参数特性</w:t>
      </w:r>
      <w:r>
        <w:rPr>
          <w:rFonts w:hint="eastAsia"/>
          <w:highlight w:val="none"/>
        </w:rPr>
        <w:t>表</w:t>
      </w:r>
    </w:p>
    <w:tbl>
      <w:tblPr>
        <w:tblStyle w:val="57"/>
        <w:tblW w:w="90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78"/>
        <w:gridCol w:w="2106"/>
        <w:gridCol w:w="2387"/>
        <w:gridCol w:w="1056"/>
        <w:gridCol w:w="29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2" w:hRule="atLeast"/>
          <w:tblHeader/>
          <w:jc w:val="center"/>
        </w:trPr>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eastAsia="宋体"/>
                <w:b/>
                <w:highlight w:val="none"/>
                <w:lang w:val="en-US" w:eastAsia="zh-CN"/>
              </w:rPr>
            </w:pPr>
            <w:r>
              <w:rPr>
                <w:rFonts w:hint="eastAsia"/>
                <w:b/>
                <w:highlight w:val="none"/>
                <w:lang w:val="en-US" w:eastAsia="zh-CN"/>
              </w:rPr>
              <w:t>序号</w:t>
            </w: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b/>
                <w:highlight w:val="none"/>
                <w:lang w:val="en-US" w:eastAsia="zh-CN"/>
              </w:rPr>
            </w:pP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b/>
                <w:highlight w:val="none"/>
              </w:rPr>
            </w:pPr>
            <w:r>
              <w:rPr>
                <w:rFonts w:hint="eastAsia"/>
                <w:b/>
                <w:highlight w:val="none"/>
              </w:rPr>
              <w:t>名称</w:t>
            </w: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rFonts w:hint="eastAsia" w:eastAsia="宋体"/>
                <w:b/>
                <w:highlight w:val="none"/>
                <w:lang w:val="en-US" w:eastAsia="zh-CN"/>
              </w:rPr>
            </w:pPr>
            <w:r>
              <w:rPr>
                <w:rFonts w:hint="eastAsia"/>
                <w:b/>
                <w:highlight w:val="none"/>
                <w:lang w:val="en-US" w:eastAsia="zh-CN"/>
              </w:rPr>
              <w:t>单位</w:t>
            </w:r>
          </w:p>
        </w:tc>
        <w:tc>
          <w:tcPr>
            <w:tcW w:w="0" w:type="auto"/>
            <w:tcBorders>
              <w:top w:val="single" w:color="auto" w:sz="4" w:space="0"/>
              <w:left w:val="single" w:color="000000" w:sz="4" w:space="0"/>
              <w:bottom w:val="single" w:color="000000" w:sz="4" w:space="0"/>
              <w:right w:val="single" w:color="000000" w:sz="4" w:space="0"/>
            </w:tcBorders>
            <w:noWrap w:val="0"/>
            <w:vAlign w:val="center"/>
          </w:tcPr>
          <w:p>
            <w:pPr>
              <w:pStyle w:val="453"/>
              <w:spacing w:before="50" w:beforeLines="0" w:after="50" w:afterLines="0"/>
              <w:rPr>
                <w:b/>
                <w:highlight w:val="none"/>
              </w:rPr>
            </w:pPr>
            <w:r>
              <w:rPr>
                <w:rFonts w:hint="eastAsia" w:ascii="宋体" w:hAnsi="宋体"/>
                <w:szCs w:val="21"/>
                <w:highlight w:val="none"/>
              </w:rPr>
              <w:t>标准参数</w:t>
            </w:r>
            <w:r>
              <w:rPr>
                <w:rFonts w:ascii="宋体" w:hAnsi="宋体"/>
                <w:szCs w:val="21"/>
                <w:highlight w:val="none"/>
              </w:rPr>
              <w:t>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jc w:val="center"/>
        </w:trPr>
        <w:tc>
          <w:tcPr>
            <w:tcW w:w="0" w:type="auto"/>
            <w:vMerge w:val="restart"/>
            <w:tcBorders>
              <w:top w:val="single" w:color="000000" w:sz="4" w:space="0"/>
              <w:left w:val="single" w:color="000000" w:sz="4" w:space="0"/>
              <w:right w:val="single" w:color="000000" w:sz="4" w:space="0"/>
            </w:tcBorders>
            <w:noWrap w:val="0"/>
            <w:vAlign w:val="center"/>
          </w:tcPr>
          <w:p>
            <w:pPr>
              <w:keepNext w:val="0"/>
              <w:keepLines w:val="0"/>
              <w:pageBreakBefore w:val="0"/>
              <w:numPr>
                <w:ilvl w:val="0"/>
                <w:numId w:val="31"/>
              </w:numPr>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numPr>
                <w:ilvl w:val="0"/>
                <w:numId w:val="0"/>
              </w:numPr>
              <w:kinsoku/>
              <w:wordWrap/>
              <w:overflowPunct/>
              <w:topLinePunct/>
              <w:autoSpaceDE/>
              <w:autoSpaceDN/>
              <w:bidi w:val="0"/>
              <w:adjustRightInd/>
              <w:ind w:leftChars="0"/>
              <w:jc w:val="center"/>
              <w:textAlignment w:val="auto"/>
              <w:rPr>
                <w:rFonts w:hint="eastAsia" w:ascii="Times New Roman" w:hAnsi="Times New Roman"/>
                <w:sz w:val="18"/>
                <w:szCs w:val="18"/>
                <w:highlight w:val="none"/>
              </w:rPr>
            </w:pPr>
            <w:r>
              <w:rPr>
                <w:rFonts w:hint="eastAsia"/>
                <w:highlight w:val="none"/>
              </w:rPr>
              <w:t>新型高分子封堵材料</w:t>
            </w: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sz w:val="18"/>
                <w:szCs w:val="18"/>
                <w:highlight w:val="none"/>
              </w:rPr>
            </w:pPr>
            <w:r>
              <w:rPr>
                <w:rFonts w:hint="eastAsia" w:ascii="宋体" w:hAnsi="宋体" w:eastAsia="宋体" w:cs="宋体"/>
                <w:color w:val="000000"/>
                <w:szCs w:val="21"/>
                <w:highlight w:val="none"/>
              </w:rPr>
              <w:t>耐火性能</w:t>
            </w:r>
            <w:r>
              <w:rPr>
                <w:rFonts w:ascii="宋体" w:hAnsi="宋体" w:eastAsia="宋体" w:cs="宋体"/>
                <w:color w:val="000000"/>
                <w:szCs w:val="21"/>
                <w:highlight w:val="none"/>
              </w:rPr>
              <w:t>(耐</w:t>
            </w:r>
            <w:r>
              <w:rPr>
                <w:rFonts w:hint="eastAsia" w:ascii="宋体" w:hAnsi="宋体" w:eastAsia="宋体" w:cs="宋体"/>
                <w:color w:val="000000"/>
                <w:szCs w:val="21"/>
                <w:highlight w:val="none"/>
              </w:rPr>
              <w:t>火完整性</w:t>
            </w:r>
            <w:r>
              <w:rPr>
                <w:rFonts w:ascii="宋体" w:hAnsi="宋体" w:eastAsia="宋体" w:cs="宋体"/>
                <w:color w:val="000000"/>
                <w:szCs w:val="21"/>
                <w:highlight w:val="none"/>
              </w:rPr>
              <w:t>)</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szCs w:val="18"/>
                <w:highlight w:val="none"/>
              </w:rPr>
            </w:pP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szCs w:val="18"/>
                <w:highlight w:val="none"/>
              </w:rPr>
            </w:pPr>
            <w:r>
              <w:rPr>
                <w:rFonts w:ascii="宋体" w:hAnsi="宋体" w:eastAsia="宋体" w:cs="宋体"/>
                <w:color w:val="000000"/>
                <w:szCs w:val="21"/>
                <w:highlight w:val="none"/>
              </w:rPr>
              <w:t>A2级≥2.00h</w:t>
            </w:r>
            <w:r>
              <w:rPr>
                <w:rFonts w:hint="eastAsia" w:ascii="宋体" w:hAnsi="宋体" w:eastAsia="宋体" w:cs="宋体"/>
                <w:color w:val="000000"/>
                <w:szCs w:val="21"/>
                <w:highlight w:val="none"/>
              </w:rPr>
              <w:t>，</w:t>
            </w:r>
            <w:r>
              <w:rPr>
                <w:rFonts w:ascii="宋体" w:hAnsi="宋体" w:eastAsia="宋体" w:cs="宋体"/>
                <w:color w:val="000000"/>
                <w:szCs w:val="21"/>
                <w:highlight w:val="none"/>
              </w:rPr>
              <w:t>试件背火面</w:t>
            </w:r>
            <w:r>
              <w:rPr>
                <w:rFonts w:hint="eastAsia" w:ascii="宋体" w:hAnsi="宋体" w:eastAsia="宋体" w:cs="宋体"/>
                <w:color w:val="000000"/>
                <w:szCs w:val="21"/>
                <w:highlight w:val="none"/>
              </w:rPr>
              <w:t>未出现</w:t>
            </w:r>
            <w:r>
              <w:rPr>
                <w:rFonts w:ascii="宋体" w:hAnsi="宋体" w:eastAsia="宋体" w:cs="宋体"/>
                <w:color w:val="000000"/>
                <w:szCs w:val="21"/>
                <w:highlight w:val="none"/>
              </w:rPr>
              <w:t>火焰</w:t>
            </w:r>
            <w:r>
              <w:rPr>
                <w:rFonts w:hint="eastAsia" w:ascii="宋体" w:hAnsi="宋体" w:eastAsia="宋体" w:cs="宋体"/>
                <w:color w:val="000000"/>
                <w:szCs w:val="21"/>
                <w:highlight w:val="none"/>
              </w:rPr>
              <w:t>，未点燃</w:t>
            </w:r>
            <w:r>
              <w:rPr>
                <w:rFonts w:ascii="宋体" w:hAnsi="宋体" w:eastAsia="宋体" w:cs="宋体"/>
                <w:color w:val="000000"/>
                <w:szCs w:val="21"/>
                <w:highlight w:val="none"/>
              </w:rPr>
              <w:t>棉垫。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sz w:val="18"/>
                <w:szCs w:val="18"/>
                <w:highlight w:val="none"/>
              </w:rPr>
            </w:pPr>
            <w:r>
              <w:rPr>
                <w:rFonts w:hint="eastAsia" w:ascii="宋体" w:hAnsi="宋体" w:eastAsia="宋体" w:cs="宋体"/>
                <w:color w:val="000000"/>
                <w:szCs w:val="21"/>
                <w:highlight w:val="none"/>
              </w:rPr>
              <w:t>耐火性能</w:t>
            </w:r>
            <w:r>
              <w:rPr>
                <w:rFonts w:ascii="宋体" w:hAnsi="宋体" w:eastAsia="宋体" w:cs="宋体"/>
                <w:color w:val="000000"/>
                <w:szCs w:val="21"/>
                <w:highlight w:val="none"/>
              </w:rPr>
              <w:t>(耐</w:t>
            </w:r>
            <w:r>
              <w:rPr>
                <w:rFonts w:hint="eastAsia" w:ascii="宋体" w:hAnsi="宋体" w:eastAsia="宋体" w:cs="宋体"/>
                <w:color w:val="000000"/>
                <w:szCs w:val="21"/>
                <w:highlight w:val="none"/>
              </w:rPr>
              <w:t>火隔热性</w:t>
            </w:r>
            <w:r>
              <w:rPr>
                <w:rFonts w:ascii="宋体" w:hAnsi="宋体" w:eastAsia="宋体" w:cs="宋体"/>
                <w:color w:val="000000"/>
                <w:szCs w:val="21"/>
                <w:highlight w:val="none"/>
              </w:rPr>
              <w:t>)</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highlight w:val="none"/>
              </w:rPr>
            </w:pPr>
          </w:p>
        </w:tc>
        <w:tc>
          <w:tcPr>
            <w:tcW w:w="2946" w:type="dxa"/>
            <w:tcBorders>
              <w:top w:val="single" w:color="000000" w:sz="4" w:space="0"/>
              <w:left w:val="single" w:color="000000" w:sz="4" w:space="0"/>
              <w:bottom w:val="single" w:color="000000" w:sz="4" w:space="0"/>
              <w:right w:val="single" w:color="000000" w:sz="4" w:space="0"/>
            </w:tcBorders>
            <w:noWrap w:val="0"/>
            <w:vAlign w:val="top"/>
          </w:tcPr>
          <w:p>
            <w:pPr>
              <w:widowControl/>
              <w:spacing w:line="240" w:lineRule="auto"/>
              <w:jc w:val="center"/>
              <w:rPr>
                <w:highlight w:val="none"/>
              </w:rPr>
            </w:pPr>
            <w:r>
              <w:rPr>
                <w:rFonts w:ascii="宋体" w:hAnsi="宋体" w:eastAsia="宋体" w:cs="宋体"/>
                <w:color w:val="000000"/>
                <w:szCs w:val="21"/>
                <w:highlight w:val="none"/>
              </w:rPr>
              <w:t>A2级≥2.00h</w:t>
            </w:r>
            <w:r>
              <w:rPr>
                <w:rFonts w:hint="eastAsia" w:ascii="宋体" w:hAnsi="宋体" w:eastAsia="宋体" w:cs="宋体"/>
                <w:color w:val="000000"/>
                <w:szCs w:val="21"/>
                <w:highlight w:val="none"/>
              </w:rPr>
              <w:t>，</w:t>
            </w:r>
            <w:r>
              <w:rPr>
                <w:rFonts w:ascii="宋体" w:hAnsi="宋体" w:eastAsia="宋体" w:cs="宋体"/>
                <w:color w:val="000000"/>
                <w:szCs w:val="21"/>
                <w:highlight w:val="none"/>
              </w:rPr>
              <w:t>被检测样背火面任</w:t>
            </w:r>
            <w:r>
              <w:rPr>
                <w:rFonts w:hint="eastAsia" w:ascii="宋体" w:hAnsi="宋体" w:eastAsia="宋体" w:cs="宋体"/>
                <w:color w:val="000000"/>
                <w:szCs w:val="21"/>
                <w:highlight w:val="none"/>
              </w:rPr>
              <w:t>何一点温升＜</w:t>
            </w:r>
            <w:r>
              <w:rPr>
                <w:rFonts w:ascii="宋体" w:hAnsi="宋体" w:eastAsia="宋体" w:cs="宋体"/>
                <w:color w:val="000000"/>
                <w:szCs w:val="21"/>
                <w:highlight w:val="none"/>
              </w:rPr>
              <w:t>180℃</w:t>
            </w:r>
            <w:r>
              <w:rPr>
                <w:rFonts w:hint="eastAsia" w:ascii="宋体" w:hAnsi="宋体" w:eastAsia="宋体" w:cs="宋体"/>
                <w:color w:val="000000"/>
                <w:szCs w:val="21"/>
                <w:highlight w:val="none"/>
              </w:rPr>
              <w:t>，</w:t>
            </w:r>
            <w:r>
              <w:rPr>
                <w:rFonts w:ascii="宋体" w:hAnsi="宋体" w:eastAsia="宋体" w:cs="宋体"/>
                <w:color w:val="000000"/>
                <w:szCs w:val="21"/>
                <w:highlight w:val="none"/>
              </w:rPr>
              <w:t>任何贯穿物背火端距</w:t>
            </w:r>
            <w:r>
              <w:rPr>
                <w:rFonts w:hint="eastAsia" w:ascii="宋体" w:hAnsi="宋体" w:eastAsia="宋体" w:cs="宋体"/>
                <w:color w:val="000000"/>
                <w:szCs w:val="21"/>
                <w:highlight w:val="none"/>
              </w:rPr>
              <w:t>封堵材料</w:t>
            </w:r>
            <w:r>
              <w:rPr>
                <w:rFonts w:ascii="宋体" w:hAnsi="宋体" w:eastAsia="宋体" w:cs="宋体"/>
                <w:color w:val="000000"/>
                <w:szCs w:val="21"/>
                <w:highlight w:val="none"/>
              </w:rPr>
              <w:t>25mm处表面温升</w:t>
            </w:r>
            <w:r>
              <w:rPr>
                <w:rFonts w:hint="eastAsia" w:ascii="宋体" w:hAnsi="宋体" w:eastAsia="宋体" w:cs="宋体"/>
                <w:color w:val="000000"/>
                <w:szCs w:val="21"/>
                <w:highlight w:val="none"/>
              </w:rPr>
              <w:t>＜</w:t>
            </w:r>
            <w:r>
              <w:rPr>
                <w:rFonts w:ascii="宋体" w:hAnsi="宋体" w:eastAsia="宋体" w:cs="宋体"/>
                <w:color w:val="000000"/>
                <w:szCs w:val="21"/>
                <w:highlight w:val="none"/>
              </w:rPr>
              <w:t>180℃,背火面</w:t>
            </w:r>
            <w:r>
              <w:rPr>
                <w:rFonts w:hint="eastAsia" w:ascii="宋体" w:hAnsi="宋体" w:eastAsia="宋体" w:cs="宋体"/>
                <w:color w:val="000000"/>
                <w:szCs w:val="21"/>
                <w:highlight w:val="none"/>
              </w:rPr>
              <w:t>框架表面任何一点温升</w:t>
            </w:r>
            <w:r>
              <w:rPr>
                <w:rFonts w:ascii="宋体" w:hAnsi="宋体" w:eastAsia="宋体" w:cs="宋体"/>
                <w:color w:val="000000"/>
                <w:szCs w:val="21"/>
                <w:highlight w:val="none"/>
              </w:rPr>
              <w:t>:</w:t>
            </w:r>
            <w:r>
              <w:rPr>
                <w:rFonts w:hint="eastAsia" w:ascii="宋体" w:hAnsi="宋体" w:eastAsia="宋体" w:cs="宋体"/>
                <w:color w:val="000000"/>
                <w:szCs w:val="21"/>
                <w:highlight w:val="none"/>
              </w:rPr>
              <w:t xml:space="preserve"> ＜</w:t>
            </w:r>
            <w:r>
              <w:rPr>
                <w:rFonts w:ascii="宋体" w:hAnsi="宋体" w:eastAsia="宋体" w:cs="宋体"/>
                <w:color w:val="000000"/>
                <w:szCs w:val="21"/>
                <w:highlight w:val="none"/>
              </w:rPr>
              <w:t>180℃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sz w:val="18"/>
                <w:szCs w:val="18"/>
                <w:highlight w:val="none"/>
              </w:rPr>
            </w:pPr>
            <w:r>
              <w:rPr>
                <w:rFonts w:hint="eastAsia" w:ascii="宋体" w:hAnsi="宋体" w:eastAsia="宋体" w:cs="宋体"/>
                <w:color w:val="000000"/>
                <w:szCs w:val="21"/>
                <w:highlight w:val="none"/>
              </w:rPr>
              <w:t>燃烧性能</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highlight w:val="none"/>
              </w:rPr>
            </w:pPr>
          </w:p>
        </w:tc>
        <w:tc>
          <w:tcPr>
            <w:tcW w:w="2946" w:type="dxa"/>
            <w:tcBorders>
              <w:top w:val="single" w:color="000000" w:sz="4" w:space="0"/>
              <w:left w:val="single" w:color="000000" w:sz="4" w:space="0"/>
              <w:bottom w:val="single" w:color="000000" w:sz="4" w:space="0"/>
              <w:right w:val="single" w:color="000000" w:sz="4" w:space="0"/>
            </w:tcBorders>
            <w:noWrap w:val="0"/>
            <w:vAlign w:val="top"/>
          </w:tcPr>
          <w:p>
            <w:pPr>
              <w:widowControl/>
              <w:spacing w:line="240" w:lineRule="auto"/>
              <w:jc w:val="center"/>
              <w:rPr>
                <w:rFonts w:hint="eastAsia"/>
                <w:highlight w:val="none"/>
              </w:rPr>
            </w:pPr>
            <w:r>
              <w:rPr>
                <w:rFonts w:ascii="宋体" w:hAnsi="宋体" w:eastAsia="宋体" w:cs="宋体"/>
                <w:color w:val="000000"/>
                <w:szCs w:val="21"/>
                <w:highlight w:val="none"/>
              </w:rPr>
              <w:t>UL94-2013</w:t>
            </w:r>
            <w:r>
              <w:rPr>
                <w:rFonts w:hint="eastAsia" w:ascii="宋体" w:hAnsi="宋体" w:eastAsia="宋体" w:cs="宋体"/>
                <w:color w:val="000000"/>
                <w:szCs w:val="21"/>
                <w:highlight w:val="none"/>
              </w:rPr>
              <w:t>标准检测等级：</w:t>
            </w:r>
            <w:r>
              <w:rPr>
                <w:rFonts w:ascii="宋体" w:hAnsi="宋体" w:eastAsia="宋体" w:cs="宋体"/>
                <w:color w:val="000000"/>
                <w:szCs w:val="21"/>
                <w:highlight w:val="none"/>
              </w:rPr>
              <w:t>5VA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sz w:val="18"/>
                <w:szCs w:val="18"/>
                <w:highlight w:val="none"/>
              </w:rPr>
            </w:pPr>
            <w:r>
              <w:rPr>
                <w:rFonts w:hint="eastAsia" w:ascii="宋体" w:hAnsi="宋体"/>
                <w:szCs w:val="21"/>
                <w:highlight w:val="none"/>
              </w:rPr>
              <w:t>氧指数</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highlight w:val="none"/>
              </w:rPr>
            </w:pPr>
            <w:r>
              <w:rPr>
                <w:rFonts w:hint="eastAsia" w:ascii="宋体" w:hAnsi="宋体"/>
                <w:szCs w:val="21"/>
                <w:highlight w:val="none"/>
              </w:rPr>
              <w:t>%</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highlight w:val="none"/>
              </w:rPr>
            </w:pPr>
            <w:r>
              <w:rPr>
                <w:rFonts w:ascii="宋体" w:hAnsi="宋体" w:eastAsia="宋体" w:cs="宋体"/>
                <w:color w:val="000000"/>
                <w:szCs w:val="21"/>
                <w:highlight w:val="none"/>
              </w:rPr>
              <w:t>≥</w:t>
            </w:r>
            <w:r>
              <w:rPr>
                <w:rFonts w:ascii="宋体" w:hAnsi="宋体"/>
                <w:szCs w:val="21"/>
                <w:highlight w:val="none"/>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sz w:val="18"/>
                <w:szCs w:val="18"/>
                <w:highlight w:val="none"/>
              </w:rPr>
            </w:pPr>
            <w:r>
              <w:rPr>
                <w:rFonts w:hint="eastAsia" w:ascii="宋体" w:hAnsi="宋体"/>
                <w:szCs w:val="21"/>
                <w:highlight w:val="none"/>
              </w:rPr>
              <w:t>导热系数（2</w:t>
            </w:r>
            <w:r>
              <w:rPr>
                <w:rFonts w:ascii="宋体" w:hAnsi="宋体"/>
                <w:szCs w:val="21"/>
                <w:highlight w:val="none"/>
              </w:rPr>
              <w:t>5</w:t>
            </w:r>
            <w:r>
              <w:rPr>
                <w:rFonts w:hint="eastAsia" w:ascii="宋体" w:hAnsi="宋体"/>
                <w:szCs w:val="21"/>
                <w:highlight w:val="none"/>
              </w:rPr>
              <w:t>℃）</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highlight w:val="none"/>
              </w:rPr>
            </w:pPr>
            <w:r>
              <w:rPr>
                <w:rFonts w:hint="eastAsia" w:ascii="宋体" w:hAnsi="宋体"/>
                <w:szCs w:val="21"/>
                <w:highlight w:val="none"/>
              </w:rPr>
              <w:t>W</w:t>
            </w:r>
            <w:r>
              <w:rPr>
                <w:rFonts w:ascii="宋体" w:hAnsi="宋体"/>
                <w:szCs w:val="21"/>
                <w:highlight w:val="none"/>
              </w:rPr>
              <w:t>/(m</w:t>
            </w:r>
            <w:r>
              <w:rPr>
                <w:rFonts w:hint="eastAsia" w:ascii="宋体" w:hAnsi="宋体"/>
                <w:szCs w:val="21"/>
                <w:highlight w:val="none"/>
              </w:rPr>
              <w:t>·</w:t>
            </w:r>
            <w:r>
              <w:rPr>
                <w:rFonts w:ascii="宋体" w:hAnsi="宋体"/>
                <w:szCs w:val="21"/>
                <w:highlight w:val="none"/>
              </w:rPr>
              <w:t>k)</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highlight w:val="none"/>
              </w:rPr>
            </w:pPr>
            <w:r>
              <w:rPr>
                <w:rFonts w:hint="eastAsia" w:ascii="宋体" w:hAnsi="宋体" w:eastAsia="宋体" w:cs="宋体"/>
                <w:color w:val="000000"/>
                <w:szCs w:val="21"/>
                <w:highlight w:val="none"/>
              </w:rPr>
              <w:t>≤1</w:t>
            </w:r>
            <w:r>
              <w:rPr>
                <w:rFonts w:ascii="宋体" w:hAnsi="宋体" w:eastAsia="宋体" w:cs="宋体"/>
                <w:color w:val="000000"/>
                <w:szCs w:val="21"/>
                <w:highlight w:val="none"/>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sz w:val="18"/>
                <w:szCs w:val="18"/>
                <w:highlight w:val="none"/>
              </w:rPr>
            </w:pPr>
            <w:r>
              <w:rPr>
                <w:rFonts w:hint="eastAsia" w:ascii="宋体" w:hAnsi="宋体"/>
                <w:szCs w:val="21"/>
                <w:highlight w:val="none"/>
              </w:rPr>
              <w:t>粘接强度</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highlight w:val="none"/>
              </w:rPr>
            </w:pPr>
            <w:r>
              <w:rPr>
                <w:rFonts w:hint="eastAsia" w:ascii="宋体" w:hAnsi="宋体"/>
                <w:szCs w:val="21"/>
                <w:highlight w:val="none"/>
              </w:rPr>
              <w:t>MPa</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highlight w:val="none"/>
              </w:rPr>
            </w:pPr>
            <w:r>
              <w:rPr>
                <w:rFonts w:ascii="宋体" w:hAnsi="宋体" w:eastAsia="宋体" w:cs="宋体"/>
                <w:color w:val="000000"/>
                <w:szCs w:val="21"/>
                <w:highlight w:val="none"/>
              </w:rPr>
              <w:t>≥</w:t>
            </w:r>
            <w:r>
              <w:rPr>
                <w:rFonts w:hint="eastAsia" w:ascii="宋体" w:hAnsi="宋体"/>
                <w:szCs w:val="21"/>
                <w:highlight w:val="none"/>
              </w:rPr>
              <w:t>0</w:t>
            </w:r>
            <w:r>
              <w:rPr>
                <w:rFonts w:ascii="宋体" w:hAnsi="宋体"/>
                <w:szCs w:val="21"/>
                <w:highlight w:val="none"/>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sz w:val="18"/>
                <w:szCs w:val="18"/>
                <w:highlight w:val="none"/>
              </w:rPr>
            </w:pPr>
            <w:r>
              <w:rPr>
                <w:rFonts w:hint="eastAsia" w:ascii="宋体" w:hAnsi="宋体" w:eastAsia="宋体" w:cs="宋体"/>
                <w:color w:val="000000"/>
                <w:szCs w:val="21"/>
                <w:highlight w:val="none"/>
              </w:rPr>
              <w:t>初凝时间</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highlight w:val="none"/>
              </w:rPr>
            </w:pPr>
            <w:r>
              <w:rPr>
                <w:rFonts w:ascii="宋体" w:hAnsi="宋体" w:eastAsia="宋体" w:cs="宋体"/>
                <w:color w:val="000000"/>
                <w:szCs w:val="21"/>
                <w:highlight w:val="none"/>
              </w:rPr>
              <w:t>min</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highlight w:val="none"/>
              </w:rPr>
            </w:pPr>
            <w:r>
              <w:rPr>
                <w:rFonts w:ascii="宋体" w:hAnsi="宋体" w:eastAsia="宋体" w:cs="宋体"/>
                <w:color w:val="000000"/>
                <w:szCs w:val="21"/>
                <w:highlight w:val="none"/>
              </w:rPr>
              <w:t>20-40 min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膨胀性能</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000000"/>
                <w:szCs w:val="21"/>
                <w:highlight w:val="none"/>
              </w:rPr>
              <w:t>≥</w:t>
            </w:r>
            <w:r>
              <w:rPr>
                <w:rFonts w:ascii="宋体" w:hAnsi="宋体"/>
                <w:szCs w:val="21"/>
                <w:highlight w:val="none"/>
              </w:rPr>
              <w:t>250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耐腐蚀性</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d</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000000"/>
                <w:szCs w:val="21"/>
                <w:highlight w:val="none"/>
              </w:rPr>
              <w:t>≥7d,不应出现锈蚀、腐蚀现</w:t>
            </w:r>
            <w:r>
              <w:rPr>
                <w:rFonts w:hint="eastAsia" w:ascii="宋体" w:hAnsi="宋体" w:eastAsia="宋体" w:cs="宋体"/>
                <w:color w:val="000000"/>
                <w:szCs w:val="21"/>
                <w:highlight w:val="none"/>
              </w:rPr>
              <w:t>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szCs w:val="21"/>
                <w:highlight w:val="none"/>
              </w:rPr>
              <w:t>耐水性</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szCs w:val="21"/>
                <w:highlight w:val="none"/>
              </w:rPr>
              <w:t>d</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szCs w:val="21"/>
                <w:highlight w:val="none"/>
              </w:rPr>
              <w:t>将三个试样浸泡于20℃自来水中3d,不溶胀、不开裂。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szCs w:val="21"/>
                <w:highlight w:val="none"/>
              </w:rPr>
              <w:t>耐油性</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szCs w:val="21"/>
                <w:highlight w:val="none"/>
              </w:rPr>
              <w:t>d</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szCs w:val="21"/>
                <w:highlight w:val="none"/>
              </w:rPr>
              <w:t>将三个试样浸泡于20℃变压器油</w:t>
            </w:r>
            <w:r>
              <w:rPr>
                <w:rFonts w:hint="eastAsia" w:ascii="宋体" w:hAnsi="宋体" w:eastAsia="宋体" w:cs="宋体"/>
                <w:szCs w:val="21"/>
                <w:highlight w:val="none"/>
              </w:rPr>
              <w:t>中</w:t>
            </w:r>
            <w:r>
              <w:rPr>
                <w:rFonts w:ascii="宋体" w:hAnsi="宋体" w:eastAsia="宋体" w:cs="宋体"/>
                <w:szCs w:val="21"/>
                <w:highlight w:val="none"/>
              </w:rPr>
              <w:t>3d,不溶胀、不开裂。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auto"/>
                <w:szCs w:val="21"/>
                <w:highlight w:val="none"/>
              </w:rPr>
              <w:t>耐湿热性</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auto"/>
                <w:szCs w:val="21"/>
                <w:highlight w:val="none"/>
              </w:rPr>
              <w:t>d</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auto"/>
                <w:szCs w:val="21"/>
                <w:highlight w:val="none"/>
              </w:rPr>
              <w:t>将三个试样放置在45℃、相对湿</w:t>
            </w:r>
            <w:r>
              <w:rPr>
                <w:rFonts w:hint="eastAsia" w:ascii="宋体" w:hAnsi="宋体" w:eastAsia="宋体" w:cs="宋体"/>
                <w:color w:val="auto"/>
                <w:szCs w:val="21"/>
                <w:highlight w:val="none"/>
              </w:rPr>
              <w:t>度</w:t>
            </w:r>
            <w:r>
              <w:rPr>
                <w:rFonts w:ascii="宋体" w:hAnsi="宋体" w:eastAsia="宋体" w:cs="宋体"/>
                <w:color w:val="auto"/>
                <w:szCs w:val="21"/>
                <w:highlight w:val="none"/>
              </w:rPr>
              <w:t>90%的试验箱中120h,不溶胀、不粉化。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auto"/>
                <w:szCs w:val="21"/>
                <w:highlight w:val="none"/>
              </w:rPr>
              <w:t>耐冻融循环</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auto"/>
                <w:szCs w:val="21"/>
                <w:highlight w:val="none"/>
              </w:rPr>
              <w:t>---</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auto"/>
                <w:szCs w:val="21"/>
                <w:highlight w:val="none"/>
              </w:rPr>
              <w:t>将三个试件置于23℃水中浸泡18h,-20℃冷冻3h,50℃恒温3h,为一次完整</w:t>
            </w:r>
            <w:r>
              <w:rPr>
                <w:rFonts w:hint="eastAsia" w:ascii="宋体" w:hAnsi="宋体" w:eastAsia="宋体" w:cs="宋体"/>
                <w:color w:val="auto"/>
                <w:szCs w:val="21"/>
                <w:highlight w:val="none"/>
              </w:rPr>
              <w:t>循环。</w:t>
            </w:r>
            <w:r>
              <w:rPr>
                <w:rFonts w:ascii="宋体" w:hAnsi="宋体" w:eastAsia="宋体" w:cs="宋体"/>
                <w:color w:val="auto"/>
                <w:szCs w:val="21"/>
                <w:highlight w:val="none"/>
              </w:rPr>
              <w:t>15次循环后不开裂,不粉化。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szCs w:val="21"/>
                <w:highlight w:val="none"/>
              </w:rPr>
              <w:t>耐碱性</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szCs w:val="21"/>
                <w:highlight w:val="none"/>
              </w:rPr>
              <w:t>d</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szCs w:val="21"/>
                <w:highlight w:val="none"/>
              </w:rPr>
              <w:t>将三个试样浸泡于</w:t>
            </w:r>
            <w:r>
              <w:rPr>
                <w:rFonts w:ascii="宋体" w:hAnsi="宋体" w:eastAsia="宋体" w:cs="宋体"/>
                <w:szCs w:val="21"/>
                <w:highlight w:val="none"/>
              </w:rPr>
              <w:t>20℃,3%的氨水溶液中3d,不溶胀、不开裂。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szCs w:val="21"/>
                <w:highlight w:val="none"/>
              </w:rPr>
              <w:t>耐酸性</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szCs w:val="21"/>
                <w:highlight w:val="none"/>
              </w:rPr>
              <w:t>d</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szCs w:val="21"/>
                <w:highlight w:val="none"/>
              </w:rPr>
              <w:t>将三个试样浸泡于</w:t>
            </w:r>
            <w:r>
              <w:rPr>
                <w:rFonts w:ascii="宋体" w:hAnsi="宋体" w:eastAsia="宋体" w:cs="宋体"/>
                <w:szCs w:val="21"/>
                <w:highlight w:val="none"/>
              </w:rPr>
              <w:t>20℃,3%的盐酸溶液中3d,不溶胀、不开裂。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auto"/>
                <w:szCs w:val="21"/>
                <w:highlight w:val="none"/>
              </w:rPr>
              <w:t>抗压强度</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auto"/>
                <w:szCs w:val="21"/>
                <w:highlight w:val="none"/>
              </w:rPr>
              <w:t>MPa</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auto"/>
                <w:szCs w:val="21"/>
                <w:highlight w:val="none"/>
              </w:rPr>
              <w:t>≥</w:t>
            </w:r>
            <w:r>
              <w:rPr>
                <w:rFonts w:ascii="宋体" w:hAnsi="宋体"/>
                <w:color w:val="auto"/>
                <w:szCs w:val="21"/>
                <w:highlight w:val="none"/>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auto"/>
                <w:szCs w:val="21"/>
                <w:highlight w:val="none"/>
              </w:rPr>
              <w:t>弯曲强度</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auto"/>
                <w:szCs w:val="21"/>
                <w:highlight w:val="none"/>
              </w:rPr>
              <w:t>MPa</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auto"/>
                <w:szCs w:val="21"/>
                <w:highlight w:val="none"/>
              </w:rPr>
              <w:t>0~0.65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auto"/>
                <w:szCs w:val="21"/>
                <w:highlight w:val="none"/>
              </w:rPr>
              <w:t>抗张强度</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auto"/>
                <w:szCs w:val="21"/>
                <w:highlight w:val="none"/>
              </w:rPr>
              <w:t>M</w:t>
            </w:r>
            <w:r>
              <w:rPr>
                <w:rFonts w:ascii="宋体" w:hAnsi="宋体" w:eastAsia="宋体" w:cs="宋体"/>
                <w:color w:val="auto"/>
                <w:szCs w:val="21"/>
                <w:highlight w:val="none"/>
              </w:rPr>
              <w:t>p</w:t>
            </w:r>
            <w:r>
              <w:rPr>
                <w:rFonts w:hint="eastAsia" w:ascii="宋体" w:hAnsi="宋体" w:eastAsia="宋体" w:cs="宋体"/>
                <w:color w:val="auto"/>
                <w:szCs w:val="21"/>
                <w:highlight w:val="none"/>
              </w:rPr>
              <w:t>a</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auto"/>
                <w:szCs w:val="21"/>
                <w:highlight w:val="none"/>
              </w:rPr>
              <w:t>0~1.87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auto"/>
                <w:szCs w:val="21"/>
                <w:highlight w:val="none"/>
              </w:rPr>
              <w:t>冲击强度</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auto"/>
                <w:szCs w:val="21"/>
                <w:highlight w:val="none"/>
              </w:rPr>
              <w:t>kJ</w:t>
            </w:r>
            <w:r>
              <w:rPr>
                <w:rFonts w:ascii="宋体" w:hAnsi="宋体" w:eastAsia="宋体" w:cs="宋体"/>
                <w:color w:val="auto"/>
                <w:szCs w:val="21"/>
                <w:highlight w:val="none"/>
              </w:rPr>
              <w:t>/</w:t>
            </w:r>
            <w:r>
              <w:rPr>
                <w:rFonts w:hint="eastAsia" w:ascii="宋体" w:hAnsi="宋体" w:eastAsia="宋体" w:cs="宋体"/>
                <w:color w:val="auto"/>
                <w:szCs w:val="21"/>
                <w:highlight w:val="none"/>
              </w:rPr>
              <w:t>m</w:t>
            </w:r>
            <w:r>
              <w:rPr>
                <w:rFonts w:ascii="宋体" w:hAnsi="宋体" w:eastAsia="宋体" w:cs="宋体"/>
                <w:color w:val="auto"/>
                <w:szCs w:val="21"/>
                <w:highlight w:val="none"/>
                <w:vertAlign w:val="superscript"/>
              </w:rPr>
              <w:t>2</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auto"/>
                <w:szCs w:val="21"/>
                <w:highlight w:val="none"/>
              </w:rPr>
              <w:t>0~2.57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color w:val="auto"/>
                <w:szCs w:val="21"/>
                <w:highlight w:val="none"/>
              </w:rPr>
              <w:t>表面电阻（电压：2</w:t>
            </w:r>
            <w:r>
              <w:rPr>
                <w:rFonts w:ascii="宋体" w:hAnsi="宋体"/>
                <w:color w:val="auto"/>
                <w:szCs w:val="21"/>
                <w:highlight w:val="none"/>
              </w:rPr>
              <w:t>50</w:t>
            </w:r>
            <w:r>
              <w:rPr>
                <w:rFonts w:hint="eastAsia" w:ascii="宋体" w:hAnsi="宋体"/>
                <w:color w:val="auto"/>
                <w:szCs w:val="21"/>
                <w:highlight w:val="none"/>
              </w:rPr>
              <w:t>V）</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color w:val="auto"/>
                <w:szCs w:val="21"/>
                <w:highlight w:val="none"/>
              </w:rPr>
              <w:t>Ω</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.0×10</w:t>
            </w:r>
            <w:r>
              <w:rPr>
                <w:rFonts w:ascii="宋体" w:hAnsi="宋体"/>
                <w:color w:val="auto"/>
                <w:szCs w:val="21"/>
                <w:highlight w:val="none"/>
                <w:vertAlign w:val="superscript"/>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color w:val="auto"/>
                <w:szCs w:val="21"/>
                <w:highlight w:val="none"/>
              </w:rPr>
              <w:t>体积电阻（电压：2</w:t>
            </w:r>
            <w:r>
              <w:rPr>
                <w:rFonts w:ascii="宋体" w:hAnsi="宋体"/>
                <w:color w:val="auto"/>
                <w:szCs w:val="21"/>
                <w:highlight w:val="none"/>
              </w:rPr>
              <w:t>50</w:t>
            </w:r>
            <w:r>
              <w:rPr>
                <w:rFonts w:hint="eastAsia" w:ascii="宋体" w:hAnsi="宋体"/>
                <w:color w:val="auto"/>
                <w:szCs w:val="21"/>
                <w:highlight w:val="none"/>
              </w:rPr>
              <w:t>V）</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color w:val="auto"/>
                <w:szCs w:val="21"/>
                <w:highlight w:val="none"/>
              </w:rPr>
              <w:t>Ω</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.0×10</w:t>
            </w:r>
            <w:r>
              <w:rPr>
                <w:rFonts w:ascii="宋体" w:hAnsi="宋体"/>
                <w:color w:val="auto"/>
                <w:szCs w:val="21"/>
                <w:highlight w:val="none"/>
                <w:vertAlign w:val="superscript"/>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color w:val="auto"/>
                <w:szCs w:val="21"/>
                <w:highlight w:val="none"/>
              </w:rPr>
              <w:t>邵氏硬度</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color w:val="auto"/>
                <w:szCs w:val="21"/>
                <w:highlight w:val="none"/>
              </w:rPr>
              <w:t>---</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color w:val="auto"/>
                <w:szCs w:val="21"/>
                <w:highlight w:val="none"/>
              </w:rPr>
              <w:t>A/1:45-65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吸水率</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color w:val="auto"/>
                <w:szCs w:val="21"/>
                <w:highlight w:val="none"/>
              </w:rPr>
              <w:t>%</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auto"/>
                <w:szCs w:val="21"/>
                <w:highlight w:val="none"/>
              </w:rPr>
              <w:t>≤</w:t>
            </w:r>
            <w:r>
              <w:rPr>
                <w:rFonts w:hint="eastAsia" w:ascii="宋体" w:hAnsi="宋体"/>
                <w:color w:val="auto"/>
                <w:szCs w:val="21"/>
                <w:highlight w:val="none"/>
              </w:rPr>
              <w:t>0</w:t>
            </w:r>
            <w:r>
              <w:rPr>
                <w:rFonts w:ascii="宋体" w:hAnsi="宋体"/>
                <w:color w:val="auto"/>
                <w:szCs w:val="21"/>
                <w:highlight w:val="non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auto"/>
                <w:szCs w:val="21"/>
                <w:highlight w:val="none"/>
              </w:rPr>
              <w:t>施工温升</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auto"/>
                <w:szCs w:val="21"/>
                <w:highlight w:val="none"/>
              </w:rPr>
              <w:t>℃</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auto"/>
                <w:szCs w:val="21"/>
                <w:highlight w:val="none"/>
              </w:rPr>
              <w:t>≤</w:t>
            </w:r>
            <w:r>
              <w:rPr>
                <w:rFonts w:ascii="宋体" w:hAnsi="宋体" w:eastAsia="宋体" w:cs="宋体"/>
                <w:color w:val="auto"/>
                <w:szCs w:val="21"/>
                <w:highlight w:val="non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auto"/>
                <w:szCs w:val="21"/>
                <w:highlight w:val="none"/>
              </w:rPr>
              <w:t>耐电压</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auto"/>
                <w:szCs w:val="21"/>
                <w:highlight w:val="none"/>
              </w:rPr>
              <w:t>----</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auto"/>
                <w:szCs w:val="21"/>
                <w:highlight w:val="none"/>
              </w:rPr>
              <w:t>应能经受交流18kV,历时1min,</w:t>
            </w:r>
            <w:r>
              <w:rPr>
                <w:rFonts w:hint="eastAsia" w:ascii="宋体" w:hAnsi="宋体" w:eastAsia="宋体" w:cs="宋体"/>
                <w:color w:val="auto"/>
                <w:szCs w:val="21"/>
                <w:highlight w:val="none"/>
              </w:rPr>
              <w:t>不击穿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auto"/>
                <w:szCs w:val="21"/>
                <w:highlight w:val="none"/>
              </w:rPr>
              <w:t>电气强度</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auto"/>
                <w:szCs w:val="21"/>
                <w:highlight w:val="none"/>
              </w:rPr>
              <w:t>MV</w:t>
            </w:r>
            <w:r>
              <w:rPr>
                <w:rFonts w:ascii="宋体" w:hAnsi="宋体" w:eastAsia="宋体" w:cs="宋体"/>
                <w:color w:val="auto"/>
                <w:szCs w:val="21"/>
                <w:highlight w:val="none"/>
              </w:rPr>
              <w:t>/</w:t>
            </w:r>
            <w:r>
              <w:rPr>
                <w:rFonts w:hint="eastAsia" w:ascii="宋体" w:hAnsi="宋体" w:eastAsia="宋体" w:cs="宋体"/>
                <w:color w:val="auto"/>
                <w:szCs w:val="21"/>
                <w:highlight w:val="none"/>
              </w:rPr>
              <w:t>m</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auto"/>
                <w:szCs w:val="21"/>
                <w:highlight w:val="none"/>
              </w:rPr>
              <w:t>8</w:t>
            </w:r>
            <w:r>
              <w:rPr>
                <w:rFonts w:ascii="宋体" w:hAnsi="宋体" w:eastAsia="宋体" w:cs="宋体"/>
                <w:color w:val="auto"/>
                <w:szCs w:val="21"/>
                <w:highlight w:val="none"/>
              </w:rPr>
              <w:t>.9</w:t>
            </w:r>
            <m:oMath>
              <m:r>
                <m:rPr/>
                <w:rPr>
                  <w:rFonts w:hint="default" w:ascii="Cambria Math" w:hAnsi="Cambria Math" w:eastAsia="宋体" w:cs="宋体"/>
                  <w:szCs w:val="21"/>
                </w:rPr>
                <m:t>±</m:t>
              </m:r>
            </m:oMath>
            <w:r>
              <w:rPr>
                <w:rFonts w:hint="eastAsia" w:ascii="宋体" w:hAnsi="宋体" w:eastAsia="宋体" w:cs="宋体"/>
                <w:color w:val="auto"/>
                <w:szCs w:val="21"/>
                <w:highlight w:val="none"/>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auto"/>
                <w:szCs w:val="21"/>
                <w:highlight w:val="none"/>
              </w:rPr>
              <w:t>耐温</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auto"/>
                <w:szCs w:val="21"/>
                <w:highlight w:val="none"/>
              </w:rPr>
              <w:t>----</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auto"/>
                <w:szCs w:val="21"/>
                <w:highlight w:val="none"/>
              </w:rPr>
              <w:t>155℃,24h试样无变形、裂痕、脆断等现</w:t>
            </w:r>
            <w:r>
              <w:rPr>
                <w:rFonts w:hint="eastAsia" w:ascii="宋体" w:hAnsi="宋体" w:eastAsia="宋体" w:cs="宋体"/>
                <w:color w:val="auto"/>
                <w:szCs w:val="21"/>
                <w:highlight w:val="none"/>
              </w:rPr>
              <w:t>象</w:t>
            </w:r>
            <w:r>
              <w:rPr>
                <w:rFonts w:ascii="宋体" w:hAnsi="宋体" w:eastAsia="宋体" w:cs="宋体"/>
                <w:color w:val="auto"/>
                <w:szCs w:val="21"/>
                <w:highlight w:val="none"/>
              </w:rPr>
              <w:t>,颜色无明显变化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耐火性能</w:t>
            </w:r>
            <w:r>
              <w:rPr>
                <w:rFonts w:ascii="宋体" w:hAnsi="宋体" w:eastAsia="宋体" w:cs="宋体"/>
                <w:color w:val="000000"/>
                <w:szCs w:val="21"/>
                <w:highlight w:val="none"/>
              </w:rPr>
              <w:t>(耐</w:t>
            </w:r>
            <w:r>
              <w:rPr>
                <w:rFonts w:hint="eastAsia" w:ascii="宋体" w:hAnsi="宋体" w:eastAsia="宋体" w:cs="宋体"/>
                <w:color w:val="000000"/>
                <w:szCs w:val="21"/>
                <w:highlight w:val="none"/>
              </w:rPr>
              <w:t>火完整性</w:t>
            </w:r>
            <w:r>
              <w:rPr>
                <w:rFonts w:ascii="宋体" w:hAnsi="宋体" w:eastAsia="宋体" w:cs="宋体"/>
                <w:color w:val="000000"/>
                <w:szCs w:val="21"/>
                <w:highlight w:val="none"/>
              </w:rPr>
              <w:t>)</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ascii="宋体" w:hAnsi="宋体" w:eastAsia="宋体" w:cs="宋体"/>
                <w:color w:val="000000"/>
                <w:szCs w:val="21"/>
                <w:highlight w:val="none"/>
              </w:rPr>
            </w:pP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ascii="宋体" w:hAnsi="宋体" w:eastAsia="宋体" w:cs="宋体"/>
                <w:color w:val="000000"/>
                <w:szCs w:val="21"/>
                <w:highlight w:val="none"/>
              </w:rPr>
            </w:pPr>
            <w:r>
              <w:rPr>
                <w:rFonts w:ascii="宋体" w:hAnsi="宋体" w:eastAsia="宋体" w:cs="宋体"/>
                <w:color w:val="000000"/>
                <w:szCs w:val="21"/>
                <w:highlight w:val="none"/>
              </w:rPr>
              <w:t>A2级≥2.00h</w:t>
            </w:r>
            <w:r>
              <w:rPr>
                <w:rFonts w:hint="eastAsia" w:ascii="宋体" w:hAnsi="宋体" w:eastAsia="宋体" w:cs="宋体"/>
                <w:color w:val="000000"/>
                <w:szCs w:val="21"/>
                <w:highlight w:val="none"/>
              </w:rPr>
              <w:t>，</w:t>
            </w:r>
            <w:r>
              <w:rPr>
                <w:rFonts w:ascii="宋体" w:hAnsi="宋体" w:eastAsia="宋体" w:cs="宋体"/>
                <w:color w:val="000000"/>
                <w:szCs w:val="21"/>
                <w:highlight w:val="none"/>
              </w:rPr>
              <w:t>试件背火面</w:t>
            </w:r>
            <w:r>
              <w:rPr>
                <w:rFonts w:hint="eastAsia" w:ascii="宋体" w:hAnsi="宋体" w:eastAsia="宋体" w:cs="宋体"/>
                <w:color w:val="000000"/>
                <w:szCs w:val="21"/>
                <w:highlight w:val="none"/>
              </w:rPr>
              <w:t>未出现</w:t>
            </w:r>
            <w:r>
              <w:rPr>
                <w:rFonts w:ascii="宋体" w:hAnsi="宋体" w:eastAsia="宋体" w:cs="宋体"/>
                <w:color w:val="000000"/>
                <w:szCs w:val="21"/>
                <w:highlight w:val="none"/>
              </w:rPr>
              <w:t>火焰</w:t>
            </w:r>
            <w:r>
              <w:rPr>
                <w:rFonts w:hint="eastAsia" w:ascii="宋体" w:hAnsi="宋体" w:eastAsia="宋体" w:cs="宋体"/>
                <w:color w:val="000000"/>
                <w:szCs w:val="21"/>
                <w:highlight w:val="none"/>
              </w:rPr>
              <w:t>，未点燃</w:t>
            </w:r>
            <w:r>
              <w:rPr>
                <w:rFonts w:ascii="宋体" w:hAnsi="宋体" w:eastAsia="宋体" w:cs="宋体"/>
                <w:color w:val="000000"/>
                <w:szCs w:val="21"/>
                <w:highlight w:val="none"/>
              </w:rPr>
              <w:t>棉垫。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耐火性能</w:t>
            </w:r>
            <w:r>
              <w:rPr>
                <w:rFonts w:ascii="宋体" w:hAnsi="宋体" w:eastAsia="宋体" w:cs="宋体"/>
                <w:color w:val="000000"/>
                <w:szCs w:val="21"/>
                <w:highlight w:val="none"/>
              </w:rPr>
              <w:t>(耐</w:t>
            </w:r>
            <w:r>
              <w:rPr>
                <w:rFonts w:hint="eastAsia" w:ascii="宋体" w:hAnsi="宋体" w:eastAsia="宋体" w:cs="宋体"/>
                <w:color w:val="000000"/>
                <w:szCs w:val="21"/>
                <w:highlight w:val="none"/>
              </w:rPr>
              <w:t>火隔热性</w:t>
            </w:r>
            <w:r>
              <w:rPr>
                <w:rFonts w:ascii="宋体" w:hAnsi="宋体" w:eastAsia="宋体" w:cs="宋体"/>
                <w:color w:val="000000"/>
                <w:szCs w:val="21"/>
                <w:highlight w:val="none"/>
              </w:rPr>
              <w:t>)</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ascii="宋体" w:hAnsi="宋体" w:eastAsia="宋体" w:cs="宋体"/>
                <w:color w:val="000000"/>
                <w:szCs w:val="21"/>
                <w:highlight w:val="none"/>
              </w:rPr>
            </w:pPr>
          </w:p>
        </w:tc>
        <w:tc>
          <w:tcPr>
            <w:tcW w:w="2946" w:type="dxa"/>
            <w:tcBorders>
              <w:top w:val="single" w:color="000000" w:sz="4" w:space="0"/>
              <w:left w:val="single" w:color="000000" w:sz="4" w:space="0"/>
              <w:bottom w:val="single" w:color="000000" w:sz="4" w:space="0"/>
              <w:right w:val="single" w:color="000000" w:sz="4" w:space="0"/>
            </w:tcBorders>
            <w:noWrap w:val="0"/>
            <w:vAlign w:val="top"/>
          </w:tcPr>
          <w:p>
            <w:pPr>
              <w:widowControl/>
              <w:spacing w:line="240" w:lineRule="auto"/>
              <w:jc w:val="center"/>
              <w:rPr>
                <w:rFonts w:ascii="宋体" w:hAnsi="宋体" w:eastAsia="宋体" w:cs="宋体"/>
                <w:color w:val="000000"/>
                <w:szCs w:val="21"/>
                <w:highlight w:val="none"/>
              </w:rPr>
            </w:pPr>
            <w:r>
              <w:rPr>
                <w:rFonts w:ascii="宋体" w:hAnsi="宋体" w:eastAsia="宋体" w:cs="宋体"/>
                <w:color w:val="000000"/>
                <w:szCs w:val="21"/>
                <w:highlight w:val="none"/>
              </w:rPr>
              <w:t>A2级≥2.00h</w:t>
            </w:r>
            <w:r>
              <w:rPr>
                <w:rFonts w:hint="eastAsia" w:ascii="宋体" w:hAnsi="宋体" w:eastAsia="宋体" w:cs="宋体"/>
                <w:color w:val="000000"/>
                <w:szCs w:val="21"/>
                <w:highlight w:val="none"/>
              </w:rPr>
              <w:t>，</w:t>
            </w:r>
            <w:r>
              <w:rPr>
                <w:rFonts w:ascii="宋体" w:hAnsi="宋体" w:eastAsia="宋体" w:cs="宋体"/>
                <w:color w:val="000000"/>
                <w:szCs w:val="21"/>
                <w:highlight w:val="none"/>
              </w:rPr>
              <w:t>被检测样背火面任</w:t>
            </w:r>
            <w:r>
              <w:rPr>
                <w:rFonts w:hint="eastAsia" w:ascii="宋体" w:hAnsi="宋体" w:eastAsia="宋体" w:cs="宋体"/>
                <w:color w:val="000000"/>
                <w:szCs w:val="21"/>
                <w:highlight w:val="none"/>
              </w:rPr>
              <w:t>何一点温升＜</w:t>
            </w:r>
            <w:r>
              <w:rPr>
                <w:rFonts w:ascii="宋体" w:hAnsi="宋体" w:eastAsia="宋体" w:cs="宋体"/>
                <w:color w:val="000000"/>
                <w:szCs w:val="21"/>
                <w:highlight w:val="none"/>
              </w:rPr>
              <w:t>180℃</w:t>
            </w:r>
            <w:r>
              <w:rPr>
                <w:rFonts w:hint="eastAsia" w:ascii="宋体" w:hAnsi="宋体" w:eastAsia="宋体" w:cs="宋体"/>
                <w:color w:val="000000"/>
                <w:szCs w:val="21"/>
                <w:highlight w:val="none"/>
              </w:rPr>
              <w:t>，</w:t>
            </w:r>
            <w:r>
              <w:rPr>
                <w:rFonts w:ascii="宋体" w:hAnsi="宋体" w:eastAsia="宋体" w:cs="宋体"/>
                <w:color w:val="000000"/>
                <w:szCs w:val="21"/>
                <w:highlight w:val="none"/>
              </w:rPr>
              <w:t>任何贯穿物背火端距</w:t>
            </w:r>
            <w:r>
              <w:rPr>
                <w:rFonts w:hint="eastAsia" w:ascii="宋体" w:hAnsi="宋体" w:eastAsia="宋体" w:cs="宋体"/>
                <w:color w:val="000000"/>
                <w:szCs w:val="21"/>
                <w:highlight w:val="none"/>
              </w:rPr>
              <w:t>封堵材料</w:t>
            </w:r>
            <w:r>
              <w:rPr>
                <w:rFonts w:ascii="宋体" w:hAnsi="宋体" w:eastAsia="宋体" w:cs="宋体"/>
                <w:color w:val="000000"/>
                <w:szCs w:val="21"/>
                <w:highlight w:val="none"/>
              </w:rPr>
              <w:t>25mm处表面温升</w:t>
            </w:r>
            <w:r>
              <w:rPr>
                <w:rFonts w:hint="eastAsia" w:ascii="宋体" w:hAnsi="宋体" w:eastAsia="宋体" w:cs="宋体"/>
                <w:color w:val="000000"/>
                <w:szCs w:val="21"/>
                <w:highlight w:val="none"/>
              </w:rPr>
              <w:t>＜</w:t>
            </w:r>
            <w:r>
              <w:rPr>
                <w:rFonts w:ascii="宋体" w:hAnsi="宋体" w:eastAsia="宋体" w:cs="宋体"/>
                <w:color w:val="000000"/>
                <w:szCs w:val="21"/>
                <w:highlight w:val="none"/>
              </w:rPr>
              <w:t>180℃,背火面</w:t>
            </w:r>
            <w:r>
              <w:rPr>
                <w:rFonts w:hint="eastAsia" w:ascii="宋体" w:hAnsi="宋体" w:eastAsia="宋体" w:cs="宋体"/>
                <w:color w:val="000000"/>
                <w:szCs w:val="21"/>
                <w:highlight w:val="none"/>
              </w:rPr>
              <w:t>框架表面任何一点温升</w:t>
            </w:r>
            <w:r>
              <w:rPr>
                <w:rFonts w:ascii="宋体" w:hAnsi="宋体" w:eastAsia="宋体" w:cs="宋体"/>
                <w:color w:val="000000"/>
                <w:szCs w:val="21"/>
                <w:highlight w:val="none"/>
              </w:rPr>
              <w:t>:</w:t>
            </w:r>
            <w:r>
              <w:rPr>
                <w:rFonts w:hint="eastAsia" w:ascii="宋体" w:hAnsi="宋体" w:eastAsia="宋体" w:cs="宋体"/>
                <w:color w:val="000000"/>
                <w:szCs w:val="21"/>
                <w:highlight w:val="none"/>
              </w:rPr>
              <w:t xml:space="preserve"> ＜</w:t>
            </w:r>
            <w:r>
              <w:rPr>
                <w:rFonts w:ascii="宋体" w:hAnsi="宋体" w:eastAsia="宋体" w:cs="宋体"/>
                <w:color w:val="000000"/>
                <w:szCs w:val="21"/>
                <w:highlight w:val="none"/>
              </w:rPr>
              <w:t>180℃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燃烧性能</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240" w:lineRule="auto"/>
              <w:jc w:val="center"/>
              <w:rPr>
                <w:rFonts w:ascii="宋体" w:hAnsi="宋体" w:eastAsia="宋体" w:cs="宋体"/>
                <w:color w:val="000000"/>
                <w:szCs w:val="21"/>
                <w:highlight w:val="none"/>
              </w:rPr>
            </w:pPr>
          </w:p>
        </w:tc>
        <w:tc>
          <w:tcPr>
            <w:tcW w:w="2946" w:type="dxa"/>
            <w:tcBorders>
              <w:top w:val="single" w:color="000000" w:sz="4" w:space="0"/>
              <w:left w:val="single" w:color="000000" w:sz="4" w:space="0"/>
              <w:bottom w:val="single" w:color="000000" w:sz="4" w:space="0"/>
              <w:right w:val="single" w:color="000000" w:sz="4" w:space="0"/>
            </w:tcBorders>
            <w:noWrap w:val="0"/>
            <w:vAlign w:val="top"/>
          </w:tcPr>
          <w:p>
            <w:pPr>
              <w:widowControl/>
              <w:spacing w:line="240" w:lineRule="auto"/>
              <w:jc w:val="center"/>
              <w:rPr>
                <w:rFonts w:ascii="宋体" w:hAnsi="宋体" w:eastAsia="宋体" w:cs="宋体"/>
                <w:color w:val="000000"/>
                <w:szCs w:val="21"/>
                <w:highlight w:val="none"/>
              </w:rPr>
            </w:pPr>
            <w:r>
              <w:rPr>
                <w:rFonts w:ascii="宋体" w:hAnsi="宋体" w:eastAsia="宋体" w:cs="宋体"/>
                <w:color w:val="000000"/>
                <w:szCs w:val="21"/>
                <w:highlight w:val="none"/>
              </w:rPr>
              <w:t>UL94-2013</w:t>
            </w:r>
            <w:r>
              <w:rPr>
                <w:rFonts w:hint="eastAsia" w:ascii="宋体" w:hAnsi="宋体" w:eastAsia="宋体" w:cs="宋体"/>
                <w:color w:val="000000"/>
                <w:szCs w:val="21"/>
                <w:highlight w:val="none"/>
              </w:rPr>
              <w:t>标准检测等级：</w:t>
            </w:r>
            <w:r>
              <w:rPr>
                <w:rFonts w:ascii="宋体" w:hAnsi="宋体" w:eastAsia="宋体" w:cs="宋体"/>
                <w:color w:val="000000"/>
                <w:szCs w:val="21"/>
                <w:highlight w:val="none"/>
              </w:rPr>
              <w:t>5VA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szCs w:val="21"/>
                <w:highlight w:val="none"/>
              </w:rPr>
              <w:t>氧指数</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szCs w:val="21"/>
                <w:highlight w:val="none"/>
              </w:rPr>
              <w:t>%</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000000"/>
                <w:szCs w:val="21"/>
                <w:highlight w:val="none"/>
              </w:rPr>
              <w:t>≥</w:t>
            </w:r>
            <w:r>
              <w:rPr>
                <w:rFonts w:ascii="宋体" w:hAnsi="宋体"/>
                <w:szCs w:val="21"/>
                <w:highlight w:val="none"/>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szCs w:val="21"/>
                <w:highlight w:val="none"/>
              </w:rPr>
              <w:t>导热系数（2</w:t>
            </w:r>
            <w:r>
              <w:rPr>
                <w:rFonts w:ascii="宋体" w:hAnsi="宋体"/>
                <w:szCs w:val="21"/>
                <w:highlight w:val="none"/>
              </w:rPr>
              <w:t>5</w:t>
            </w:r>
            <w:r>
              <w:rPr>
                <w:rFonts w:hint="eastAsia" w:ascii="宋体" w:hAnsi="宋体"/>
                <w:szCs w:val="21"/>
                <w:highlight w:val="none"/>
              </w:rPr>
              <w:t>℃）</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szCs w:val="21"/>
                <w:highlight w:val="none"/>
              </w:rPr>
              <w:t>W</w:t>
            </w:r>
            <w:r>
              <w:rPr>
                <w:rFonts w:ascii="宋体" w:hAnsi="宋体"/>
                <w:szCs w:val="21"/>
                <w:highlight w:val="none"/>
              </w:rPr>
              <w:t>/(m</w:t>
            </w:r>
            <w:r>
              <w:rPr>
                <w:rFonts w:hint="eastAsia" w:ascii="宋体" w:hAnsi="宋体"/>
                <w:szCs w:val="21"/>
                <w:highlight w:val="none"/>
              </w:rPr>
              <w:t>·</w:t>
            </w:r>
            <w:r>
              <w:rPr>
                <w:rFonts w:ascii="宋体" w:hAnsi="宋体"/>
                <w:szCs w:val="21"/>
                <w:highlight w:val="none"/>
              </w:rPr>
              <w:t>k)</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≤1</w:t>
            </w:r>
            <w:r>
              <w:rPr>
                <w:rFonts w:ascii="宋体" w:hAnsi="宋体" w:eastAsia="宋体" w:cs="宋体"/>
                <w:color w:val="000000"/>
                <w:szCs w:val="21"/>
                <w:highlight w:val="none"/>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szCs w:val="21"/>
                <w:highlight w:val="none"/>
              </w:rPr>
              <w:t>粘接强度</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szCs w:val="21"/>
                <w:highlight w:val="none"/>
              </w:rPr>
              <w:t>MPa</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000000"/>
                <w:szCs w:val="21"/>
                <w:highlight w:val="none"/>
              </w:rPr>
              <w:t>≥</w:t>
            </w:r>
            <w:r>
              <w:rPr>
                <w:rFonts w:hint="eastAsia" w:ascii="宋体" w:hAnsi="宋体"/>
                <w:szCs w:val="21"/>
                <w:highlight w:val="none"/>
              </w:rPr>
              <w:t>0</w:t>
            </w:r>
            <w:r>
              <w:rPr>
                <w:rFonts w:ascii="宋体" w:hAnsi="宋体"/>
                <w:szCs w:val="21"/>
                <w:highlight w:val="none"/>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初凝时间</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000000"/>
                <w:szCs w:val="21"/>
                <w:highlight w:val="none"/>
              </w:rPr>
              <w:t>min</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000000"/>
                <w:szCs w:val="21"/>
                <w:highlight w:val="none"/>
              </w:rPr>
              <w:t>20-40 min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膨胀性能</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000000"/>
                <w:szCs w:val="21"/>
                <w:highlight w:val="none"/>
              </w:rPr>
              <w:t>≥</w:t>
            </w:r>
            <w:r>
              <w:rPr>
                <w:rFonts w:ascii="宋体" w:hAnsi="宋体"/>
                <w:szCs w:val="21"/>
                <w:highlight w:val="none"/>
              </w:rPr>
              <w:t>250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耐腐蚀性</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hint="eastAsia" w:ascii="宋体" w:hAnsi="宋体" w:eastAsia="宋体" w:cs="宋体"/>
                <w:color w:val="000000"/>
                <w:szCs w:val="21"/>
                <w:highlight w:val="none"/>
              </w:rPr>
              <w:t>d</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000000"/>
                <w:szCs w:val="21"/>
                <w:highlight w:val="none"/>
              </w:rPr>
              <w:t>≥7d,不应出现锈蚀、腐蚀现</w:t>
            </w:r>
            <w:r>
              <w:rPr>
                <w:rFonts w:hint="eastAsia" w:ascii="宋体" w:hAnsi="宋体" w:eastAsia="宋体" w:cs="宋体"/>
                <w:color w:val="000000"/>
                <w:szCs w:val="21"/>
                <w:highlight w:val="none"/>
              </w:rPr>
              <w:t>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szCs w:val="21"/>
                <w:highlight w:val="none"/>
              </w:rPr>
              <w:t>耐水性</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szCs w:val="21"/>
                <w:highlight w:val="none"/>
              </w:rPr>
              <w:t>d</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szCs w:val="21"/>
                <w:highlight w:val="none"/>
              </w:rPr>
              <w:t>将三个试样浸泡于20℃自来水中3d,不溶胀、不开裂。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szCs w:val="21"/>
                <w:highlight w:val="none"/>
              </w:rPr>
              <w:t>耐油性</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szCs w:val="21"/>
                <w:highlight w:val="none"/>
              </w:rPr>
              <w:t>d</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szCs w:val="21"/>
                <w:highlight w:val="none"/>
              </w:rPr>
              <w:t>将三个试样浸泡于20℃变压器油</w:t>
            </w:r>
            <w:r>
              <w:rPr>
                <w:rFonts w:hint="eastAsia" w:ascii="宋体" w:hAnsi="宋体" w:eastAsia="宋体" w:cs="宋体"/>
                <w:szCs w:val="21"/>
                <w:highlight w:val="none"/>
              </w:rPr>
              <w:t>中</w:t>
            </w:r>
            <w:r>
              <w:rPr>
                <w:rFonts w:ascii="宋体" w:hAnsi="宋体" w:eastAsia="宋体" w:cs="宋体"/>
                <w:szCs w:val="21"/>
                <w:highlight w:val="none"/>
              </w:rPr>
              <w:t>3d,不溶胀、不开裂。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000000"/>
                <w:szCs w:val="21"/>
                <w:highlight w:val="none"/>
              </w:rPr>
            </w:pPr>
            <w:r>
              <w:rPr>
                <w:rFonts w:hint="eastAsia" w:ascii="宋体" w:hAnsi="宋体" w:eastAsia="宋体" w:cs="宋体"/>
                <w:color w:val="auto"/>
                <w:szCs w:val="21"/>
                <w:highlight w:val="none"/>
              </w:rPr>
              <w:t>耐湿热性</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auto"/>
                <w:szCs w:val="21"/>
                <w:highlight w:val="none"/>
              </w:rPr>
              <w:t>d</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000000"/>
                <w:szCs w:val="21"/>
                <w:highlight w:val="none"/>
              </w:rPr>
            </w:pPr>
            <w:r>
              <w:rPr>
                <w:rFonts w:ascii="宋体" w:hAnsi="宋体" w:eastAsia="宋体" w:cs="宋体"/>
                <w:color w:val="auto"/>
                <w:szCs w:val="21"/>
                <w:highlight w:val="none"/>
              </w:rPr>
              <w:t>将三个试样放置在45℃、相对湿</w:t>
            </w:r>
            <w:r>
              <w:rPr>
                <w:rFonts w:hint="eastAsia" w:ascii="宋体" w:hAnsi="宋体" w:eastAsia="宋体" w:cs="宋体"/>
                <w:color w:val="auto"/>
                <w:szCs w:val="21"/>
                <w:highlight w:val="none"/>
              </w:rPr>
              <w:t>度</w:t>
            </w:r>
            <w:r>
              <w:rPr>
                <w:rFonts w:ascii="宋体" w:hAnsi="宋体" w:eastAsia="宋体" w:cs="宋体"/>
                <w:color w:val="auto"/>
                <w:szCs w:val="21"/>
                <w:highlight w:val="none"/>
              </w:rPr>
              <w:t>90%的试验箱中120h,不溶胀、不粉化。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耐冻融循环</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auto"/>
                <w:szCs w:val="21"/>
                <w:highlight w:val="none"/>
              </w:rPr>
            </w:pPr>
            <w:r>
              <w:rPr>
                <w:rFonts w:ascii="宋体" w:hAnsi="宋体" w:eastAsia="宋体" w:cs="宋体"/>
                <w:color w:val="auto"/>
                <w:szCs w:val="21"/>
                <w:highlight w:val="none"/>
              </w:rPr>
              <w:t>将三个试件置于23℃水中浸泡18h,-20℃冷冻3h,50℃恒温3h,为一次完整</w:t>
            </w:r>
            <w:r>
              <w:rPr>
                <w:rFonts w:hint="eastAsia" w:ascii="宋体" w:hAnsi="宋体" w:eastAsia="宋体" w:cs="宋体"/>
                <w:color w:val="auto"/>
                <w:szCs w:val="21"/>
                <w:highlight w:val="none"/>
              </w:rPr>
              <w:t>循环。</w:t>
            </w:r>
            <w:r>
              <w:rPr>
                <w:rFonts w:ascii="宋体" w:hAnsi="宋体" w:eastAsia="宋体" w:cs="宋体"/>
                <w:color w:val="auto"/>
                <w:szCs w:val="21"/>
                <w:highlight w:val="none"/>
              </w:rPr>
              <w:t>15次循环后不开裂,不粉化。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auto"/>
                <w:szCs w:val="21"/>
                <w:highlight w:val="none"/>
              </w:rPr>
            </w:pPr>
            <w:r>
              <w:rPr>
                <w:rFonts w:hint="eastAsia" w:ascii="宋体" w:hAnsi="宋体" w:eastAsia="宋体" w:cs="宋体"/>
                <w:szCs w:val="21"/>
                <w:highlight w:val="none"/>
              </w:rPr>
              <w:t>耐碱性</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auto"/>
                <w:szCs w:val="21"/>
                <w:highlight w:val="none"/>
              </w:rPr>
            </w:pPr>
            <w:r>
              <w:rPr>
                <w:rFonts w:ascii="宋体" w:hAnsi="宋体" w:eastAsia="宋体" w:cs="宋体"/>
                <w:szCs w:val="21"/>
                <w:highlight w:val="none"/>
              </w:rPr>
              <w:t>d</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auto"/>
                <w:szCs w:val="21"/>
                <w:highlight w:val="none"/>
              </w:rPr>
            </w:pPr>
            <w:r>
              <w:rPr>
                <w:rFonts w:hint="eastAsia" w:ascii="宋体" w:hAnsi="宋体" w:eastAsia="宋体" w:cs="宋体"/>
                <w:szCs w:val="21"/>
                <w:highlight w:val="none"/>
              </w:rPr>
              <w:t>将三个试样浸泡于</w:t>
            </w:r>
            <w:r>
              <w:rPr>
                <w:rFonts w:ascii="宋体" w:hAnsi="宋体" w:eastAsia="宋体" w:cs="宋体"/>
                <w:szCs w:val="21"/>
                <w:highlight w:val="none"/>
              </w:rPr>
              <w:t>20℃,3%的氨水溶液中3d,不溶胀、不开裂。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auto"/>
                <w:szCs w:val="21"/>
                <w:highlight w:val="none"/>
              </w:rPr>
            </w:pPr>
            <w:r>
              <w:rPr>
                <w:rFonts w:hint="eastAsia" w:ascii="宋体" w:hAnsi="宋体" w:eastAsia="宋体" w:cs="宋体"/>
                <w:szCs w:val="21"/>
                <w:highlight w:val="none"/>
              </w:rPr>
              <w:t>耐酸性</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auto"/>
                <w:szCs w:val="21"/>
                <w:highlight w:val="none"/>
              </w:rPr>
            </w:pPr>
            <w:r>
              <w:rPr>
                <w:rFonts w:ascii="宋体" w:hAnsi="宋体" w:eastAsia="宋体" w:cs="宋体"/>
                <w:szCs w:val="21"/>
                <w:highlight w:val="none"/>
              </w:rPr>
              <w:t>d</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auto"/>
                <w:szCs w:val="21"/>
                <w:highlight w:val="none"/>
              </w:rPr>
            </w:pPr>
            <w:r>
              <w:rPr>
                <w:rFonts w:hint="eastAsia" w:ascii="宋体" w:hAnsi="宋体" w:eastAsia="宋体" w:cs="宋体"/>
                <w:szCs w:val="21"/>
                <w:highlight w:val="none"/>
              </w:rPr>
              <w:t>将三个试样浸泡于</w:t>
            </w:r>
            <w:r>
              <w:rPr>
                <w:rFonts w:ascii="宋体" w:hAnsi="宋体" w:eastAsia="宋体" w:cs="宋体"/>
                <w:szCs w:val="21"/>
                <w:highlight w:val="none"/>
              </w:rPr>
              <w:t>20℃,3%的盐酸溶液中3d,不溶胀、不开裂。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抗压强度</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MPa</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auto"/>
                <w:szCs w:val="21"/>
                <w:highlight w:val="none"/>
              </w:rPr>
            </w:pPr>
            <w:r>
              <w:rPr>
                <w:rFonts w:ascii="宋体" w:hAnsi="宋体" w:eastAsia="宋体" w:cs="宋体"/>
                <w:color w:val="auto"/>
                <w:szCs w:val="21"/>
                <w:highlight w:val="none"/>
              </w:rPr>
              <w:t>≥</w:t>
            </w:r>
            <w:r>
              <w:rPr>
                <w:rFonts w:ascii="宋体" w:hAnsi="宋体"/>
                <w:color w:val="auto"/>
                <w:szCs w:val="21"/>
                <w:highlight w:val="none"/>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弯曲强度</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MPa</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auto"/>
                <w:szCs w:val="21"/>
                <w:highlight w:val="none"/>
              </w:rPr>
            </w:pPr>
            <w:r>
              <w:rPr>
                <w:rFonts w:ascii="宋体" w:hAnsi="宋体" w:eastAsia="宋体" w:cs="宋体"/>
                <w:color w:val="auto"/>
                <w:szCs w:val="21"/>
                <w:highlight w:val="none"/>
              </w:rPr>
              <w:t>0~0.65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106"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autoSpaceDE/>
              <w:autoSpaceDN/>
              <w:bidi w:val="0"/>
              <w:adjustRightInd/>
              <w:ind w:left="0" w:leftChars="0" w:firstLine="0" w:firstLineChars="0"/>
              <w:jc w:val="center"/>
              <w:textAlignment w:val="auto"/>
              <w:rPr>
                <w:rFonts w:hint="eastAsia" w:ascii="Times New Roman" w:hAnsi="Times New Roman"/>
                <w:sz w:val="18"/>
                <w:szCs w:val="18"/>
                <w:highlight w:val="none"/>
              </w:rPr>
            </w:pPr>
          </w:p>
        </w:tc>
        <w:tc>
          <w:tcPr>
            <w:tcW w:w="2387"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抗张强度</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auto"/>
                <w:szCs w:val="21"/>
                <w:highlight w:val="none"/>
              </w:rPr>
            </w:pPr>
            <w:r>
              <w:rPr>
                <w:rFonts w:hint="eastAsia" w:ascii="宋体" w:hAnsi="宋体" w:eastAsia="宋体" w:cs="宋体"/>
                <w:color w:val="auto"/>
                <w:szCs w:val="21"/>
                <w:highlight w:val="none"/>
              </w:rPr>
              <w:t>M</w:t>
            </w:r>
            <w:r>
              <w:rPr>
                <w:rFonts w:ascii="宋体" w:hAnsi="宋体" w:eastAsia="宋体" w:cs="宋体"/>
                <w:color w:val="auto"/>
                <w:szCs w:val="21"/>
                <w:highlight w:val="none"/>
              </w:rPr>
              <w:t>p</w:t>
            </w:r>
            <w:r>
              <w:rPr>
                <w:rFonts w:hint="eastAsia" w:ascii="宋体" w:hAnsi="宋体" w:eastAsia="宋体" w:cs="宋体"/>
                <w:color w:val="auto"/>
                <w:szCs w:val="21"/>
                <w:highlight w:val="none"/>
              </w:rPr>
              <w:t>a</w:t>
            </w:r>
          </w:p>
        </w:tc>
        <w:tc>
          <w:tcPr>
            <w:tcW w:w="2946"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center"/>
              <w:rPr>
                <w:rFonts w:ascii="宋体" w:hAnsi="宋体" w:eastAsia="宋体" w:cs="宋体"/>
                <w:color w:val="auto"/>
                <w:szCs w:val="21"/>
                <w:highlight w:val="none"/>
              </w:rPr>
            </w:pPr>
            <w:r>
              <w:rPr>
                <w:rFonts w:ascii="宋体" w:hAnsi="宋体" w:eastAsia="宋体" w:cs="宋体"/>
                <w:color w:val="auto"/>
                <w:szCs w:val="21"/>
                <w:highlight w:val="none"/>
              </w:rPr>
              <w:t>0~1.87</w:t>
            </w:r>
          </w:p>
        </w:tc>
      </w:tr>
    </w:tbl>
    <w:p>
      <w:pPr>
        <w:numPr>
          <w:ilvl w:val="255"/>
          <w:numId w:val="0"/>
        </w:numPr>
        <w:spacing w:line="360" w:lineRule="auto"/>
        <w:rPr>
          <w:color w:val="auto"/>
          <w:szCs w:val="21"/>
          <w:highlight w:val="none"/>
        </w:rPr>
        <w:sectPr>
          <w:footerReference r:id="rId10" w:type="default"/>
          <w:pgSz w:w="11906" w:h="16838"/>
          <w:pgMar w:top="1418" w:right="1418" w:bottom="1418" w:left="1418" w:header="851" w:footer="992" w:gutter="0"/>
          <w:pgNumType w:fmt="decimal" w:start="1"/>
          <w:cols w:space="720" w:num="1"/>
          <w:docGrid w:type="lines" w:linePitch="312" w:charSpace="0"/>
        </w:sectPr>
      </w:pPr>
    </w:p>
    <w:p>
      <w:pPr>
        <w:pStyle w:val="3"/>
        <w:spacing w:before="0" w:after="0" w:line="360" w:lineRule="auto"/>
        <w:rPr>
          <w:rFonts w:ascii="Times New Roman" w:hAnsi="Times New Roman" w:eastAsia="黑体"/>
          <w:b w:val="0"/>
          <w:bCs/>
          <w:color w:val="auto"/>
          <w:sz w:val="24"/>
          <w:szCs w:val="24"/>
          <w:highlight w:val="none"/>
        </w:rPr>
      </w:pPr>
      <w:bookmarkStart w:id="54" w:name="_Toc19021"/>
      <w:bookmarkStart w:id="55" w:name="_Toc168869394"/>
      <w:bookmarkStart w:id="56" w:name="_Toc6984"/>
      <w:bookmarkStart w:id="57" w:name="_Toc24476"/>
      <w:bookmarkStart w:id="58" w:name="_Toc25704"/>
      <w:bookmarkStart w:id="59" w:name="_Toc10296"/>
      <w:bookmarkStart w:id="60" w:name="_Toc17954"/>
      <w:bookmarkStart w:id="61" w:name="_Toc29590"/>
      <w:bookmarkStart w:id="62" w:name="_Toc11214"/>
      <w:bookmarkStart w:id="63" w:name="_Toc10795"/>
      <w:bookmarkStart w:id="64" w:name="_Toc10510"/>
      <w:bookmarkStart w:id="65" w:name="_Toc940"/>
      <w:bookmarkStart w:id="66" w:name="_Toc500920834"/>
      <w:bookmarkStart w:id="67" w:name="_Toc29618"/>
      <w:bookmarkStart w:id="68" w:name="_Toc31907"/>
      <w:r>
        <w:rPr>
          <w:rFonts w:ascii="Times New Roman" w:hAnsi="Times New Roman" w:eastAsia="黑体"/>
          <w:b w:val="0"/>
          <w:bCs/>
          <w:color w:val="auto"/>
          <w:sz w:val="24"/>
          <w:szCs w:val="24"/>
          <w:highlight w:val="none"/>
        </w:rPr>
        <w:t>2.2 服务界限</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spacing w:line="360" w:lineRule="auto"/>
        <w:rPr>
          <w:color w:val="auto"/>
          <w:szCs w:val="21"/>
          <w:highlight w:val="none"/>
        </w:rPr>
      </w:pPr>
      <w:r>
        <w:rPr>
          <w:color w:val="auto"/>
          <w:szCs w:val="21"/>
          <w:highlight w:val="none"/>
        </w:rPr>
        <w:t>2.2.1</w:t>
      </w:r>
      <w:r>
        <w:rPr>
          <w:rFonts w:hint="eastAsia"/>
          <w:highlight w:val="none"/>
        </w:rPr>
        <w:t>新型高分子封堵材料</w:t>
      </w:r>
      <w:r>
        <w:rPr>
          <w:rFonts w:hint="eastAsia"/>
          <w:color w:val="auto"/>
          <w:szCs w:val="21"/>
          <w:highlight w:val="none"/>
        </w:rPr>
        <w:t>从生产厂家到安装位置的运输全部由投标方完成，现场调试</w:t>
      </w:r>
      <w:r>
        <w:rPr>
          <w:rFonts w:hint="eastAsia"/>
          <w:color w:val="auto"/>
          <w:szCs w:val="21"/>
          <w:highlight w:val="none"/>
          <w:lang w:val="en-US" w:eastAsia="zh-CN"/>
        </w:rPr>
        <w:t>和安装</w:t>
      </w:r>
      <w:r>
        <w:rPr>
          <w:rFonts w:hint="eastAsia"/>
          <w:color w:val="auto"/>
          <w:szCs w:val="21"/>
          <w:highlight w:val="none"/>
        </w:rPr>
        <w:t>在招标方指导下由投标方完成</w:t>
      </w:r>
      <w:r>
        <w:rPr>
          <w:color w:val="auto"/>
          <w:highlight w:val="none"/>
        </w:rPr>
        <w:t>。</w:t>
      </w:r>
    </w:p>
    <w:p>
      <w:pPr>
        <w:spacing w:line="360" w:lineRule="auto"/>
        <w:rPr>
          <w:color w:val="auto"/>
          <w:szCs w:val="21"/>
          <w:highlight w:val="none"/>
        </w:rPr>
      </w:pPr>
      <w:r>
        <w:rPr>
          <w:color w:val="auto"/>
          <w:szCs w:val="21"/>
          <w:highlight w:val="none"/>
        </w:rPr>
        <w:t>2.2.2</w:t>
      </w:r>
      <w:r>
        <w:rPr>
          <w:rFonts w:hint="eastAsia"/>
          <w:highlight w:val="none"/>
        </w:rPr>
        <w:t>新型高分子封堵材料</w:t>
      </w:r>
      <w:r>
        <w:rPr>
          <w:color w:val="auto"/>
          <w:szCs w:val="21"/>
          <w:highlight w:val="none"/>
        </w:rPr>
        <w:t>现场安装和试验在招标方的技术指导和监督下由投标方完成，招标方协助投标方按标准检查安装质量，处理调试投运过程中出现的问题。通讯材料等所有材料由投标方提供，通讯布线及接线在招标方技术指导和监督下由投标方完成。</w:t>
      </w:r>
    </w:p>
    <w:p>
      <w:pPr>
        <w:spacing w:line="360" w:lineRule="auto"/>
        <w:rPr>
          <w:rFonts w:hint="default" w:eastAsia="宋体"/>
          <w:color w:val="auto"/>
          <w:szCs w:val="21"/>
          <w:highlight w:val="none"/>
          <w:lang w:val="en-US" w:eastAsia="zh-CN"/>
        </w:rPr>
      </w:pPr>
      <w:r>
        <w:rPr>
          <w:color w:val="auto"/>
          <w:szCs w:val="21"/>
          <w:highlight w:val="none"/>
        </w:rPr>
        <w:t>2.2.</w:t>
      </w:r>
      <w:r>
        <w:rPr>
          <w:rFonts w:hint="eastAsia"/>
          <w:color w:val="auto"/>
          <w:szCs w:val="21"/>
          <w:highlight w:val="none"/>
          <w:lang w:val="en-US" w:eastAsia="zh-CN"/>
        </w:rPr>
        <w:t>3材料</w:t>
      </w:r>
      <w:r>
        <w:rPr>
          <w:color w:val="auto"/>
          <w:szCs w:val="21"/>
          <w:highlight w:val="none"/>
        </w:rPr>
        <w:t>安装、调试合格后方可投运。</w:t>
      </w:r>
      <w:r>
        <w:rPr>
          <w:rFonts w:hint="eastAsia"/>
          <w:color w:val="auto"/>
          <w:szCs w:val="21"/>
          <w:highlight w:val="none"/>
          <w:lang w:val="en-US" w:eastAsia="zh-CN"/>
        </w:rPr>
        <w:t>材料</w:t>
      </w:r>
      <w:r>
        <w:rPr>
          <w:color w:val="auto"/>
          <w:szCs w:val="21"/>
          <w:highlight w:val="none"/>
        </w:rPr>
        <w:t>投运并稳定运行后，投标方和招标方（业主）双方应根据相关法律、法规和公司管理制度签署合同设备的验收证明书。该证明书共两份，双方各执一份。</w:t>
      </w:r>
    </w:p>
    <w:p>
      <w:pPr>
        <w:pStyle w:val="3"/>
        <w:spacing w:before="0" w:after="0" w:line="360" w:lineRule="auto"/>
        <w:rPr>
          <w:rFonts w:ascii="Times New Roman" w:hAnsi="Times New Roman" w:eastAsia="黑体"/>
          <w:b w:val="0"/>
          <w:bCs/>
          <w:color w:val="auto"/>
          <w:sz w:val="24"/>
          <w:szCs w:val="24"/>
          <w:highlight w:val="none"/>
        </w:rPr>
      </w:pPr>
      <w:bookmarkStart w:id="69" w:name="_Toc24224"/>
      <w:bookmarkStart w:id="70" w:name="_Toc500920835"/>
      <w:bookmarkStart w:id="71" w:name="_Toc8835"/>
      <w:bookmarkStart w:id="72" w:name="_Toc23745"/>
      <w:bookmarkStart w:id="73" w:name="_Toc31751"/>
      <w:bookmarkStart w:id="74" w:name="_Toc168869395"/>
      <w:bookmarkStart w:id="75" w:name="_Toc24242"/>
      <w:bookmarkStart w:id="76" w:name="_Toc10577"/>
      <w:bookmarkStart w:id="77" w:name="_Toc31427"/>
      <w:bookmarkStart w:id="78" w:name="_Toc5909"/>
      <w:bookmarkStart w:id="79" w:name="_Toc27274"/>
      <w:bookmarkStart w:id="80" w:name="_Toc21623"/>
      <w:bookmarkStart w:id="81" w:name="_Toc28351"/>
      <w:bookmarkStart w:id="82" w:name="_Toc1949"/>
      <w:bookmarkStart w:id="83" w:name="_Toc1345"/>
      <w:r>
        <w:rPr>
          <w:rFonts w:ascii="Times New Roman" w:hAnsi="Times New Roman" w:eastAsia="黑体"/>
          <w:b w:val="0"/>
          <w:bCs/>
          <w:color w:val="auto"/>
          <w:sz w:val="24"/>
          <w:szCs w:val="24"/>
          <w:highlight w:val="none"/>
        </w:rPr>
        <w:t>2.3 技术文件</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spacing w:line="360" w:lineRule="auto"/>
        <w:rPr>
          <w:color w:val="auto"/>
          <w:szCs w:val="21"/>
          <w:highlight w:val="none"/>
        </w:rPr>
      </w:pPr>
      <w:r>
        <w:rPr>
          <w:color w:val="auto"/>
          <w:szCs w:val="21"/>
          <w:highlight w:val="none"/>
        </w:rPr>
        <w:t>2.3.1 在订货前，投标方应向招标方提供一般性资料，如</w:t>
      </w:r>
      <w:r>
        <w:rPr>
          <w:rFonts w:hint="eastAsia"/>
          <w:highlight w:val="none"/>
        </w:rPr>
        <w:t>新型高分子封堵材料</w:t>
      </w:r>
      <w:r>
        <w:rPr>
          <w:color w:val="auto"/>
          <w:szCs w:val="21"/>
          <w:highlight w:val="none"/>
        </w:rPr>
        <w:t>报价书、典型说明书和主要技术参数。</w:t>
      </w:r>
    </w:p>
    <w:p>
      <w:pPr>
        <w:spacing w:line="360" w:lineRule="auto"/>
        <w:rPr>
          <w:color w:val="auto"/>
          <w:szCs w:val="21"/>
          <w:highlight w:val="none"/>
        </w:rPr>
      </w:pPr>
      <w:r>
        <w:rPr>
          <w:color w:val="auto"/>
          <w:szCs w:val="21"/>
          <w:highlight w:val="none"/>
        </w:rPr>
        <w:t>2.3.2 在技术协议签订10天内，投标方向招标方提供下列图纸资料。</w:t>
      </w:r>
    </w:p>
    <w:p>
      <w:pPr>
        <w:spacing w:line="360" w:lineRule="auto"/>
        <w:ind w:left="210" w:firstLine="210"/>
        <w:rPr>
          <w:color w:val="auto"/>
          <w:szCs w:val="21"/>
          <w:highlight w:val="none"/>
        </w:rPr>
      </w:pPr>
      <w:r>
        <w:rPr>
          <w:color w:val="auto"/>
          <w:szCs w:val="21"/>
          <w:highlight w:val="none"/>
        </w:rPr>
        <w:t>（a）外形图、安装尺寸基础图；</w:t>
      </w:r>
    </w:p>
    <w:p>
      <w:pPr>
        <w:spacing w:line="360" w:lineRule="auto"/>
        <w:ind w:left="210" w:firstLine="210"/>
        <w:rPr>
          <w:color w:val="auto"/>
          <w:szCs w:val="21"/>
          <w:highlight w:val="none"/>
        </w:rPr>
      </w:pPr>
      <w:r>
        <w:rPr>
          <w:color w:val="auto"/>
          <w:szCs w:val="21"/>
          <w:highlight w:val="none"/>
        </w:rPr>
        <w:t>（b）</w:t>
      </w:r>
      <w:r>
        <w:rPr>
          <w:rFonts w:hint="eastAsia"/>
          <w:color w:val="auto"/>
          <w:szCs w:val="21"/>
          <w:highlight w:val="none"/>
          <w:lang w:val="en-US" w:eastAsia="zh-CN"/>
        </w:rPr>
        <w:t>材料</w:t>
      </w:r>
      <w:r>
        <w:rPr>
          <w:color w:val="auto"/>
          <w:szCs w:val="21"/>
          <w:highlight w:val="none"/>
        </w:rPr>
        <w:t>使用说明书。</w:t>
      </w:r>
    </w:p>
    <w:p>
      <w:pPr>
        <w:spacing w:line="360" w:lineRule="auto"/>
        <w:rPr>
          <w:color w:val="auto"/>
          <w:szCs w:val="21"/>
          <w:highlight w:val="none"/>
        </w:rPr>
      </w:pPr>
      <w:bookmarkStart w:id="84" w:name="_Toc240364367"/>
      <w:bookmarkStart w:id="85" w:name="_Toc240363364"/>
      <w:bookmarkStart w:id="86" w:name="_Toc240363504"/>
      <w:r>
        <w:rPr>
          <w:color w:val="auto"/>
          <w:szCs w:val="21"/>
          <w:highlight w:val="none"/>
        </w:rPr>
        <w:t xml:space="preserve">2.3.3 </w:t>
      </w:r>
      <w:r>
        <w:rPr>
          <w:rFonts w:hint="eastAsia"/>
          <w:color w:val="auto"/>
          <w:szCs w:val="21"/>
          <w:highlight w:val="none"/>
          <w:lang w:val="en-US" w:eastAsia="zh-CN"/>
        </w:rPr>
        <w:t>材料</w:t>
      </w:r>
      <w:r>
        <w:rPr>
          <w:color w:val="auto"/>
          <w:szCs w:val="21"/>
          <w:highlight w:val="none"/>
        </w:rPr>
        <w:t xml:space="preserve">供货时提供下列资料： </w:t>
      </w:r>
      <w:r>
        <w:rPr>
          <w:rFonts w:hint="eastAsia"/>
          <w:color w:val="auto"/>
          <w:szCs w:val="21"/>
          <w:highlight w:val="none"/>
          <w:lang w:val="en-US" w:eastAsia="zh-CN"/>
        </w:rPr>
        <w:t>材料</w:t>
      </w:r>
      <w:r>
        <w:rPr>
          <w:color w:val="auto"/>
          <w:szCs w:val="21"/>
          <w:highlight w:val="none"/>
        </w:rPr>
        <w:t>的开箱资料除了2.3.2条所述图纸资料外，还应包括安装、维护、修理说明书，部件清单，易损件的清单，出厂试验报告，产品合格证等。</w:t>
      </w:r>
      <w:bookmarkEnd w:id="84"/>
      <w:bookmarkEnd w:id="85"/>
      <w:bookmarkEnd w:id="86"/>
    </w:p>
    <w:p>
      <w:pPr>
        <w:spacing w:line="360" w:lineRule="auto"/>
        <w:rPr>
          <w:color w:val="auto"/>
          <w:szCs w:val="21"/>
          <w:highlight w:val="none"/>
        </w:rPr>
      </w:pPr>
      <w:r>
        <w:rPr>
          <w:color w:val="auto"/>
          <w:szCs w:val="21"/>
          <w:highlight w:val="none"/>
        </w:rPr>
        <w:t>2.3.4 投标方应提供上述资料的电子版本2份。</w:t>
      </w:r>
    </w:p>
    <w:p>
      <w:pPr>
        <w:spacing w:line="360" w:lineRule="auto"/>
        <w:outlineLvl w:val="0"/>
        <w:rPr>
          <w:rFonts w:eastAsia="黑体"/>
          <w:color w:val="auto"/>
          <w:sz w:val="28"/>
          <w:szCs w:val="28"/>
          <w:highlight w:val="none"/>
        </w:rPr>
      </w:pPr>
      <w:bookmarkStart w:id="87" w:name="_Toc28418"/>
      <w:bookmarkStart w:id="88" w:name="_Toc6706"/>
      <w:bookmarkStart w:id="89" w:name="_Toc12070"/>
      <w:bookmarkStart w:id="90" w:name="_Toc30616"/>
      <w:bookmarkStart w:id="91" w:name="_Toc23785"/>
      <w:bookmarkStart w:id="92" w:name="_Toc2566"/>
      <w:bookmarkStart w:id="93" w:name="_Toc19004"/>
      <w:bookmarkStart w:id="94" w:name="_Toc168869396"/>
      <w:bookmarkStart w:id="95" w:name="_Toc24497"/>
      <w:bookmarkStart w:id="96" w:name="_Toc500920836"/>
      <w:bookmarkStart w:id="97" w:name="_Toc9151"/>
      <w:bookmarkStart w:id="98" w:name="_Toc19989"/>
      <w:bookmarkStart w:id="99" w:name="_Toc15344"/>
      <w:bookmarkStart w:id="100" w:name="_Toc82140158"/>
      <w:bookmarkStart w:id="101" w:name="_Toc81989605"/>
      <w:bookmarkStart w:id="102" w:name="_Toc24132"/>
      <w:bookmarkStart w:id="103" w:name="_Toc28269"/>
      <w:r>
        <w:rPr>
          <w:rFonts w:eastAsia="黑体"/>
          <w:color w:val="auto"/>
          <w:sz w:val="28"/>
          <w:szCs w:val="28"/>
          <w:highlight w:val="none"/>
        </w:rPr>
        <w:t>3 应遵循的主要标准</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spacing w:line="360" w:lineRule="auto"/>
        <w:ind w:firstLine="420" w:firstLineChars="200"/>
        <w:rPr>
          <w:rFonts w:hint="eastAsia" w:ascii="宋体" w:hAnsi="宋体" w:cs="宋体"/>
          <w:color w:val="000000"/>
          <w:szCs w:val="21"/>
          <w:highlight w:val="none"/>
        </w:rPr>
      </w:pPr>
      <w:bookmarkStart w:id="104" w:name="_Toc500920837"/>
      <w:bookmarkStart w:id="105" w:name="_Toc4351"/>
      <w:bookmarkStart w:id="106" w:name="_Toc25591"/>
      <w:bookmarkStart w:id="107" w:name="_Toc2733"/>
      <w:bookmarkStart w:id="108" w:name="_Toc26855"/>
      <w:bookmarkStart w:id="109" w:name="_Toc1827"/>
      <w:bookmarkStart w:id="110" w:name="_Toc9870"/>
      <w:bookmarkStart w:id="111" w:name="_Toc311"/>
      <w:bookmarkStart w:id="112" w:name="_Toc3436"/>
      <w:bookmarkStart w:id="113" w:name="_Toc31705"/>
      <w:bookmarkStart w:id="114" w:name="_Toc30043"/>
      <w:bookmarkStart w:id="115" w:name="_Toc30689"/>
      <w:bookmarkStart w:id="116" w:name="_Toc16"/>
      <w:bookmarkStart w:id="117" w:name="_Toc168869397"/>
      <w:r>
        <w:rPr>
          <w:rFonts w:hint="eastAsia"/>
          <w:highlight w:val="none"/>
        </w:rPr>
        <w:t>新型高分子封堵材料</w:t>
      </w:r>
      <w:r>
        <w:rPr>
          <w:rFonts w:hint="eastAsia" w:ascii="宋体" w:hAnsi="宋体" w:cs="宋体"/>
          <w:color w:val="000000"/>
          <w:szCs w:val="21"/>
          <w:highlight w:val="none"/>
        </w:rPr>
        <w:t>应符合相关国家标准、行业标准和技术规范，且采用的标准和技术规范应为最新版本。本协议所使用的标准如与卖方所执行的标准发生矛盾时，按较高标准执行，此外还应遵守其他应遵守的国家规范（现行版本）的相关条款。</w:t>
      </w:r>
    </w:p>
    <w:tbl>
      <w:tblPr>
        <w:tblStyle w:val="57"/>
        <w:tblW w:w="82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00"/>
        <w:gridCol w:w="2400"/>
        <w:gridCol w:w="4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0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highlight w:val="none"/>
                <w:u w:val="none"/>
              </w:rPr>
            </w:pPr>
            <w:r>
              <w:rPr>
                <w:rStyle w:val="454"/>
                <w:rFonts w:hint="default" w:ascii="Times New Roman" w:hAnsi="Times New Roman" w:cs="Times New Roman"/>
                <w:sz w:val="21"/>
                <w:szCs w:val="21"/>
                <w:highlight w:val="none"/>
                <w:lang w:val="en-US" w:eastAsia="zh-CN" w:bidi="ar"/>
              </w:rPr>
              <w:t>序号</w:t>
            </w:r>
          </w:p>
        </w:tc>
        <w:tc>
          <w:tcPr>
            <w:tcW w:w="2400"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highlight w:val="none"/>
                <w:u w:val="none"/>
              </w:rPr>
            </w:pPr>
            <w:r>
              <w:rPr>
                <w:rStyle w:val="454"/>
                <w:rFonts w:hint="default" w:ascii="Times New Roman" w:hAnsi="Times New Roman" w:cs="Times New Roman"/>
                <w:sz w:val="21"/>
                <w:szCs w:val="21"/>
                <w:highlight w:val="none"/>
                <w:lang w:val="en-US" w:eastAsia="zh-CN" w:bidi="ar"/>
              </w:rPr>
              <w:t>标准号</w:t>
            </w:r>
          </w:p>
        </w:tc>
        <w:tc>
          <w:tcPr>
            <w:tcW w:w="4966" w:type="dxa"/>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highlight w:val="none"/>
                <w:u w:val="none"/>
              </w:rPr>
            </w:pPr>
            <w:r>
              <w:rPr>
                <w:rStyle w:val="454"/>
                <w:rFonts w:hint="default" w:ascii="Times New Roman" w:hAnsi="Times New Roman" w:cs="Times New Roman"/>
                <w:sz w:val="21"/>
                <w:szCs w:val="21"/>
                <w:highlight w:val="none"/>
                <w:lang w:val="en-US" w:eastAsia="zh-CN" w:bidi="ar"/>
              </w:rPr>
              <w:t>标准名称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1</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ascii="宋体" w:hAnsi="宋体" w:eastAsia="宋体"/>
                <w:color w:val="000000"/>
                <w:sz w:val="21"/>
                <w:szCs w:val="21"/>
                <w:highlight w:val="none"/>
              </w:rPr>
              <w:t>GB 50168—1992</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ascii="宋体" w:hAnsi="宋体" w:eastAsia="宋体"/>
                <w:color w:val="000000"/>
                <w:sz w:val="21"/>
                <w:szCs w:val="21"/>
                <w:highlight w:val="none"/>
              </w:rPr>
              <w:t>电气装置安装工程电缆线路施工及验收规范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0"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2</w:t>
            </w:r>
          </w:p>
        </w:tc>
        <w:tc>
          <w:tcPr>
            <w:tcW w:w="2400" w:type="dxa"/>
            <w:tcBorders>
              <w:top w:val="single" w:color="000000" w:sz="8" w:space="0"/>
              <w:left w:val="single" w:color="000000" w:sz="8" w:space="0"/>
              <w:bottom w:val="single" w:color="000000" w:sz="8" w:space="0"/>
              <w:right w:val="single" w:color="000000" w:sz="8" w:space="0"/>
            </w:tcBorders>
            <w:noWrap/>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ascii="宋体" w:hAnsi="宋体" w:eastAsia="宋体"/>
                <w:color w:val="000000"/>
                <w:sz w:val="21"/>
                <w:szCs w:val="21"/>
                <w:highlight w:val="none"/>
              </w:rPr>
              <w:t>DL5027—1993</w:t>
            </w:r>
          </w:p>
        </w:tc>
        <w:tc>
          <w:tcPr>
            <w:tcW w:w="4966"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ascii="宋体" w:hAnsi="宋体" w:eastAsia="宋体"/>
                <w:color w:val="000000"/>
                <w:sz w:val="21"/>
                <w:szCs w:val="21"/>
                <w:highlight w:val="none"/>
              </w:rPr>
              <w:t>电力设备典型消防规程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3</w:t>
            </w:r>
          </w:p>
        </w:tc>
        <w:tc>
          <w:tcPr>
            <w:tcW w:w="240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ascii="宋体" w:hAnsi="宋体" w:eastAsia="宋体"/>
                <w:color w:val="000000"/>
                <w:sz w:val="21"/>
                <w:szCs w:val="21"/>
                <w:highlight w:val="none"/>
              </w:rPr>
              <w:t>DL5009.3-1997</w:t>
            </w:r>
          </w:p>
        </w:tc>
        <w:tc>
          <w:tcPr>
            <w:tcW w:w="4966"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ascii="宋体" w:hAnsi="宋体" w:eastAsia="宋体"/>
                <w:color w:val="000000"/>
                <w:sz w:val="21"/>
                <w:szCs w:val="21"/>
                <w:highlight w:val="none"/>
              </w:rPr>
              <w:t>电力建设安全工作规程（变电所部分）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4</w:t>
            </w:r>
          </w:p>
        </w:tc>
        <w:tc>
          <w:tcPr>
            <w:tcW w:w="240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ascii="宋体" w:hAnsi="宋体" w:eastAsia="宋体"/>
                <w:color w:val="000000"/>
                <w:sz w:val="21"/>
                <w:szCs w:val="21"/>
                <w:highlight w:val="none"/>
              </w:rPr>
              <w:t>DL 408-91</w:t>
            </w:r>
          </w:p>
        </w:tc>
        <w:tc>
          <w:tcPr>
            <w:tcW w:w="4966"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ascii="宋体" w:hAnsi="宋体" w:eastAsia="宋体"/>
                <w:color w:val="000000"/>
                <w:sz w:val="21"/>
                <w:szCs w:val="21"/>
                <w:highlight w:val="none"/>
              </w:rPr>
              <w:t>电业安全工作规程（发电厂和变电所电气部分）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5</w:t>
            </w:r>
          </w:p>
        </w:tc>
        <w:tc>
          <w:tcPr>
            <w:tcW w:w="240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eastAsia="宋体"/>
                <w:color w:val="000000"/>
                <w:sz w:val="21"/>
                <w:szCs w:val="21"/>
                <w:highlight w:val="none"/>
              </w:rPr>
              <w:t>Q/CSG10017.2-2007</w:t>
            </w:r>
          </w:p>
        </w:tc>
        <w:tc>
          <w:tcPr>
            <w:tcW w:w="4966"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eastAsia="宋体"/>
                <w:color w:val="000000"/>
                <w:sz w:val="21"/>
                <w:szCs w:val="21"/>
                <w:highlight w:val="none"/>
              </w:rPr>
              <w:t>110kV～500kV送变电工程质量检验及评定标准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6</w:t>
            </w:r>
          </w:p>
        </w:tc>
        <w:tc>
          <w:tcPr>
            <w:tcW w:w="240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eastAsia="宋体"/>
                <w:color w:val="000000"/>
                <w:sz w:val="21"/>
                <w:szCs w:val="21"/>
                <w:highlight w:val="none"/>
              </w:rPr>
              <w:t>Q/CSG1001-2004</w:t>
            </w:r>
          </w:p>
        </w:tc>
        <w:tc>
          <w:tcPr>
            <w:tcW w:w="4966"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eastAsia="宋体"/>
                <w:color w:val="000000"/>
                <w:sz w:val="21"/>
                <w:szCs w:val="21"/>
                <w:highlight w:val="none"/>
              </w:rPr>
              <w:t>变电站安健环设施标准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7</w:t>
            </w:r>
          </w:p>
        </w:tc>
        <w:tc>
          <w:tcPr>
            <w:tcW w:w="240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GB50229-2006</w:t>
            </w:r>
          </w:p>
        </w:tc>
        <w:tc>
          <w:tcPr>
            <w:tcW w:w="4966"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both"/>
              <w:textAlignment w:val="center"/>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《火力发电厂与变电所设计防火规范》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8</w:t>
            </w:r>
          </w:p>
        </w:tc>
        <w:tc>
          <w:tcPr>
            <w:tcW w:w="2400" w:type="dxa"/>
            <w:tcBorders>
              <w:top w:val="single" w:color="000000" w:sz="8" w:space="0"/>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宋体" w:hAnsi="宋体" w:cs="宋体"/>
                <w:color w:val="000000"/>
                <w:kern w:val="0"/>
                <w:sz w:val="21"/>
                <w:szCs w:val="21"/>
                <w:highlight w:val="none"/>
                <w:lang w:val="en-US" w:eastAsia="zh-CN" w:bidi="ar-SA"/>
              </w:rPr>
            </w:pPr>
            <w:r>
              <w:rPr>
                <w:rFonts w:hint="eastAsia" w:ascii="宋体" w:hAnsi="宋体" w:cs="宋体"/>
                <w:color w:val="000000"/>
                <w:kern w:val="0"/>
                <w:szCs w:val="21"/>
                <w:highlight w:val="none"/>
              </w:rPr>
              <w:t>GB50217-2007</w:t>
            </w:r>
          </w:p>
        </w:tc>
        <w:tc>
          <w:tcPr>
            <w:tcW w:w="4966" w:type="dxa"/>
            <w:tcBorders>
              <w:top w:val="single" w:color="000000" w:sz="8" w:space="0"/>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宋体" w:hAnsi="宋体" w:cs="宋体"/>
                <w:color w:val="000000"/>
                <w:kern w:val="0"/>
                <w:sz w:val="21"/>
                <w:szCs w:val="21"/>
                <w:highlight w:val="none"/>
                <w:lang w:val="en-US" w:eastAsia="zh-CN" w:bidi="ar-SA"/>
              </w:rPr>
            </w:pPr>
            <w:r>
              <w:rPr>
                <w:rFonts w:hint="eastAsia" w:ascii="宋体" w:hAnsi="宋体" w:cs="宋体"/>
                <w:color w:val="000000"/>
                <w:kern w:val="0"/>
                <w:szCs w:val="21"/>
                <w:highlight w:val="none"/>
              </w:rPr>
              <w:t>《电力工程电缆设计规范》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9</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GA 161—1997</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《防火封堵材料的性能要求和实验方法》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10</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TD-DL92-3001</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《电缆防火阻燃通用设计》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11</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DLGJ154-2000</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《电缆防火措施设计和施工验收标准》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12</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 xml:space="preserve">GB50168-92   </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《电气设置安装工程电缆线路施工及验收规范》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13</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SDJ278</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《水利水电工程设计防火规范》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14</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CECS 154:2003</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《建筑防火封堵应用技术规程》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15</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GB 23864-2009</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《防火封堵材料》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16</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GB/T 1408.1-2006</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《绝缘材料电气强度试验方法》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17</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GB/T 2411-2008</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《塑料邵氏硬度试验方法》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18</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 xml:space="preserve">GB/T 1409-2006   </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ind w:left="210" w:leftChars="0" w:hanging="210" w:hangingChars="100"/>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《测量电气绝缘材料在工频、音频、高频(包括米波波长在内) 下电容率和介质损耗因数的推荐方法》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19</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GB/T 1041-2008</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《塑料_压缩性能的测定》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20</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GB/T 9341-2008</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《塑料 弯曲性能的测定》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21</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GB/T 1040.2-2006</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《塑料 拉伸性能的测定》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22</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GB/T 1043.1-2008</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《塑料简支梁冲击性能的测定》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23</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GB/T 1410-2006</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《材料体积电阻率和表面电阻率试验方法》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24</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GB</w:t>
            </w:r>
            <w:r>
              <w:rPr>
                <w:rFonts w:ascii="宋体" w:hAnsi="宋体" w:cs="宋体"/>
                <w:color w:val="000000"/>
                <w:kern w:val="0"/>
                <w:szCs w:val="21"/>
                <w:highlight w:val="none"/>
              </w:rPr>
              <w:t xml:space="preserve"> 14907-2018</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《钢结构防火涂料》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25</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w:t>
            </w:r>
            <w:r>
              <w:rPr>
                <w:rFonts w:ascii="宋体" w:hAnsi="宋体" w:cs="宋体"/>
                <w:color w:val="000000"/>
                <w:kern w:val="0"/>
                <w:szCs w:val="21"/>
                <w:highlight w:val="none"/>
              </w:rPr>
              <w:t>B/T 10295-2008</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《绝热材料稳态热阻及有关特性的测定 热流计法》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900" w:type="dxa"/>
            <w:tcBorders>
              <w:top w:val="nil"/>
              <w:left w:val="single" w:color="000000" w:sz="8" w:space="0"/>
              <w:bottom w:val="single" w:color="000000" w:sz="8" w:space="0"/>
              <w:right w:val="single" w:color="000000" w:sz="8" w:space="0"/>
            </w:tcBorders>
            <w:noWrap w:val="0"/>
            <w:tcMar>
              <w:top w:w="15" w:type="dxa"/>
              <w:left w:w="15" w:type="dxa"/>
              <w:right w:w="15" w:type="dxa"/>
            </w:tcMar>
            <w:vAlign w:val="top"/>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highlight w:val="none"/>
                <w:u w:val="none"/>
                <w:lang w:val="en-US" w:eastAsia="zh-CN" w:bidi="ar"/>
              </w:rPr>
            </w:pPr>
            <w:r>
              <w:rPr>
                <w:rFonts w:hint="default" w:ascii="Times New Roman" w:hAnsi="Times New Roman" w:eastAsia="宋体" w:cs="Times New Roman"/>
                <w:i w:val="0"/>
                <w:color w:val="000000"/>
                <w:kern w:val="0"/>
                <w:sz w:val="21"/>
                <w:szCs w:val="21"/>
                <w:highlight w:val="none"/>
                <w:u w:val="none"/>
                <w:lang w:val="en-US" w:eastAsia="zh-CN" w:bidi="ar"/>
              </w:rPr>
              <w:t>26</w:t>
            </w:r>
          </w:p>
        </w:tc>
        <w:tc>
          <w:tcPr>
            <w:tcW w:w="2400"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G</w:t>
            </w:r>
            <w:r>
              <w:rPr>
                <w:rFonts w:ascii="宋体" w:hAnsi="宋体" w:cs="宋体"/>
                <w:color w:val="000000"/>
                <w:kern w:val="0"/>
                <w:szCs w:val="21"/>
                <w:highlight w:val="none"/>
              </w:rPr>
              <w:t>B/T 2406.2-2009</w:t>
            </w:r>
          </w:p>
        </w:tc>
        <w:tc>
          <w:tcPr>
            <w:tcW w:w="4966" w:type="dxa"/>
            <w:tcBorders>
              <w:top w:val="nil"/>
              <w:left w:val="nil"/>
              <w:bottom w:val="single" w:color="000000" w:sz="8" w:space="0"/>
              <w:right w:val="single" w:color="000000" w:sz="8" w:space="0"/>
            </w:tcBorders>
            <w:noWrap w:val="0"/>
            <w:tcMar>
              <w:top w:w="15" w:type="dxa"/>
              <w:left w:w="15" w:type="dxa"/>
              <w:right w:w="15" w:type="dxa"/>
            </w:tcMar>
            <w:vAlign w:val="top"/>
          </w:tcPr>
          <w:p>
            <w:pPr>
              <w:adjustRightInd w:val="0"/>
              <w:snapToGrid w:val="0"/>
              <w:spacing w:line="288" w:lineRule="auto"/>
              <w:jc w:val="left"/>
              <w:rPr>
                <w:rFonts w:hint="default" w:ascii="Times New Roman" w:hAnsi="Times New Roman" w:eastAsia="宋体" w:cs="Times New Roman"/>
                <w:i w:val="0"/>
                <w:color w:val="FF0000"/>
                <w:kern w:val="0"/>
                <w:sz w:val="21"/>
                <w:szCs w:val="21"/>
                <w:highlight w:val="none"/>
                <w:u w:val="none"/>
                <w:lang w:val="en-US" w:eastAsia="zh-CN" w:bidi="ar"/>
              </w:rPr>
            </w:pPr>
            <w:r>
              <w:rPr>
                <w:rFonts w:hint="eastAsia" w:ascii="宋体" w:hAnsi="宋体" w:cs="宋体"/>
                <w:color w:val="000000"/>
                <w:kern w:val="0"/>
                <w:szCs w:val="21"/>
                <w:highlight w:val="none"/>
              </w:rPr>
              <w:t>《塑料 用氧指数法测定燃烧行为 第2部分：室温试验》</w:t>
            </w:r>
          </w:p>
        </w:tc>
      </w:tr>
    </w:tbl>
    <w:p>
      <w:pPr>
        <w:spacing w:line="360" w:lineRule="auto"/>
        <w:outlineLvl w:val="0"/>
        <w:rPr>
          <w:rFonts w:eastAsia="黑体"/>
          <w:color w:val="auto"/>
          <w:sz w:val="28"/>
          <w:szCs w:val="28"/>
          <w:highlight w:val="none"/>
        </w:rPr>
      </w:pPr>
      <w:bookmarkStart w:id="118" w:name="_Toc20616"/>
      <w:r>
        <w:rPr>
          <w:rFonts w:eastAsia="黑体"/>
          <w:color w:val="auto"/>
          <w:sz w:val="28"/>
          <w:szCs w:val="28"/>
          <w:highlight w:val="none"/>
        </w:rPr>
        <w:t>4 使用条件</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pStyle w:val="3"/>
        <w:spacing w:before="0" w:after="0" w:line="360" w:lineRule="auto"/>
        <w:rPr>
          <w:rFonts w:ascii="Times New Roman" w:hAnsi="Times New Roman" w:eastAsia="黑体"/>
          <w:b w:val="0"/>
          <w:bCs/>
          <w:color w:val="auto"/>
          <w:sz w:val="24"/>
          <w:szCs w:val="24"/>
          <w:highlight w:val="none"/>
        </w:rPr>
      </w:pPr>
      <w:bookmarkStart w:id="119" w:name="_Toc9797"/>
      <w:bookmarkStart w:id="120" w:name="_Toc500920838"/>
      <w:bookmarkStart w:id="121" w:name="_Toc31415"/>
      <w:bookmarkStart w:id="122" w:name="_Toc861"/>
      <w:bookmarkStart w:id="123" w:name="_Toc18095"/>
      <w:bookmarkStart w:id="124" w:name="_Toc8544"/>
      <w:bookmarkStart w:id="125" w:name="_Toc8510"/>
      <w:bookmarkStart w:id="126" w:name="_Toc7583"/>
      <w:bookmarkStart w:id="127" w:name="_Toc9028"/>
      <w:bookmarkStart w:id="128" w:name="_Toc9702"/>
      <w:bookmarkStart w:id="129" w:name="_Toc6796"/>
      <w:bookmarkStart w:id="130" w:name="_Toc6903"/>
      <w:bookmarkStart w:id="131" w:name="_Toc23033"/>
      <w:bookmarkStart w:id="132" w:name="_Toc168869398"/>
      <w:bookmarkStart w:id="133" w:name="_Toc22101"/>
      <w:r>
        <w:rPr>
          <w:rFonts w:ascii="Times New Roman" w:hAnsi="Times New Roman" w:eastAsia="黑体"/>
          <w:b w:val="0"/>
          <w:bCs/>
          <w:color w:val="auto"/>
          <w:sz w:val="24"/>
          <w:szCs w:val="24"/>
          <w:highlight w:val="none"/>
        </w:rPr>
        <w:t>4.1正常工作条件</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pStyle w:val="102"/>
        <w:numPr>
          <w:ilvl w:val="0"/>
          <w:numId w:val="26"/>
        </w:numPr>
        <w:spacing w:line="360" w:lineRule="auto"/>
        <w:ind w:left="420" w:firstLine="0" w:firstLineChars="0"/>
        <w:rPr>
          <w:rFonts w:ascii="Times New Roman" w:hAnsi="Times New Roman" w:eastAsia="宋体"/>
          <w:color w:val="auto"/>
          <w:szCs w:val="21"/>
          <w:highlight w:val="none"/>
        </w:rPr>
      </w:pPr>
      <w:bookmarkStart w:id="134" w:name="_Toc14404"/>
      <w:bookmarkStart w:id="135" w:name="_Toc6979"/>
      <w:bookmarkStart w:id="136" w:name="_Toc18892"/>
      <w:bookmarkStart w:id="137" w:name="_Toc19520"/>
      <w:bookmarkStart w:id="138" w:name="_Toc349050787"/>
      <w:bookmarkStart w:id="139" w:name="_Toc168869399"/>
      <w:bookmarkStart w:id="140" w:name="_Toc13264"/>
      <w:bookmarkStart w:id="141" w:name="_Toc7733"/>
      <w:bookmarkStart w:id="142" w:name="_Toc1440"/>
      <w:bookmarkStart w:id="143" w:name="_Toc349051966"/>
      <w:bookmarkStart w:id="144" w:name="_Toc500920839"/>
      <w:bookmarkStart w:id="145" w:name="_Toc30007"/>
      <w:bookmarkStart w:id="146" w:name="_Toc7607"/>
      <w:bookmarkStart w:id="147" w:name="_Toc3857"/>
      <w:bookmarkStart w:id="148" w:name="_Toc30513"/>
      <w:bookmarkStart w:id="149" w:name="_Toc19505"/>
      <w:r>
        <w:rPr>
          <w:rFonts w:hint="eastAsia" w:ascii="Times New Roman" w:hAnsi="Times New Roman" w:eastAsia="宋体"/>
          <w:color w:val="auto"/>
          <w:szCs w:val="21"/>
          <w:highlight w:val="none"/>
        </w:rPr>
        <w:t>环境温度：-40℃～+120℃；</w:t>
      </w:r>
    </w:p>
    <w:p>
      <w:pPr>
        <w:pStyle w:val="102"/>
        <w:numPr>
          <w:ilvl w:val="0"/>
          <w:numId w:val="26"/>
        </w:numPr>
        <w:spacing w:line="360" w:lineRule="auto"/>
        <w:ind w:left="420" w:firstLine="0" w:firstLineChars="0"/>
        <w:rPr>
          <w:rFonts w:ascii="Times New Roman" w:hAnsi="Times New Roman" w:eastAsia="宋体"/>
          <w:color w:val="auto"/>
          <w:szCs w:val="21"/>
          <w:highlight w:val="none"/>
        </w:rPr>
      </w:pPr>
      <w:r>
        <w:rPr>
          <w:rFonts w:hint="eastAsia" w:ascii="Times New Roman" w:hAnsi="Times New Roman" w:eastAsia="宋体"/>
          <w:color w:val="auto"/>
          <w:szCs w:val="21"/>
          <w:highlight w:val="none"/>
        </w:rPr>
        <w:t>相对湿度：1%RH～99%RH；</w:t>
      </w:r>
    </w:p>
    <w:p>
      <w:pPr>
        <w:pStyle w:val="102"/>
        <w:numPr>
          <w:ilvl w:val="0"/>
          <w:numId w:val="26"/>
        </w:numPr>
        <w:spacing w:line="360" w:lineRule="auto"/>
        <w:ind w:left="420" w:firstLine="0" w:firstLineChars="0"/>
        <w:rPr>
          <w:rFonts w:ascii="Times New Roman" w:hAnsi="Times New Roman" w:eastAsia="宋体"/>
          <w:color w:val="auto"/>
          <w:szCs w:val="21"/>
          <w:highlight w:val="none"/>
        </w:rPr>
      </w:pPr>
      <w:r>
        <w:rPr>
          <w:rFonts w:hint="eastAsia" w:ascii="Times New Roman" w:hAnsi="Times New Roman" w:eastAsia="宋体"/>
          <w:color w:val="auto"/>
          <w:szCs w:val="21"/>
          <w:highlight w:val="none"/>
          <w:lang w:val="en-US" w:eastAsia="zh-CN"/>
        </w:rPr>
        <w:t>海拔高度</w:t>
      </w:r>
      <w:r>
        <w:rPr>
          <w:rFonts w:ascii="Times New Roman" w:hAnsi="Times New Roman" w:eastAsia="宋体"/>
          <w:color w:val="auto"/>
          <w:szCs w:val="21"/>
          <w:highlight w:val="none"/>
        </w:rPr>
        <w:t>：</w:t>
      </w:r>
      <w:r>
        <w:rPr>
          <w:rFonts w:hint="eastAsia" w:ascii="Times New Roman" w:hAnsi="Times New Roman" w:eastAsia="宋体"/>
          <w:color w:val="auto"/>
          <w:szCs w:val="21"/>
          <w:highlight w:val="none"/>
          <w:lang w:val="en-US" w:eastAsia="zh-CN"/>
        </w:rPr>
        <w:t>3000m</w:t>
      </w:r>
      <w:r>
        <w:rPr>
          <w:rFonts w:ascii="Times New Roman" w:hAnsi="Times New Roman" w:eastAsia="宋体"/>
          <w:color w:val="auto"/>
          <w:szCs w:val="21"/>
          <w:highlight w:val="none"/>
        </w:rPr>
        <w:t>；</w:t>
      </w:r>
    </w:p>
    <w:p>
      <w:pPr>
        <w:pStyle w:val="102"/>
        <w:numPr>
          <w:ilvl w:val="0"/>
          <w:numId w:val="26"/>
        </w:numPr>
        <w:spacing w:line="360" w:lineRule="auto"/>
        <w:ind w:left="420" w:firstLine="0" w:firstLineChars="0"/>
        <w:rPr>
          <w:rFonts w:ascii="Times New Roman" w:hAnsi="Times New Roman" w:eastAsia="宋体"/>
          <w:color w:val="auto"/>
          <w:szCs w:val="21"/>
          <w:highlight w:val="none"/>
        </w:rPr>
      </w:pPr>
      <w:r>
        <w:rPr>
          <w:rFonts w:hint="eastAsia" w:ascii="Times New Roman" w:hAnsi="Times New Roman" w:eastAsia="宋体"/>
          <w:color w:val="auto"/>
          <w:szCs w:val="21"/>
          <w:highlight w:val="none"/>
        </w:rPr>
        <w:t>抗震能力：7度</w:t>
      </w:r>
      <w:r>
        <w:rPr>
          <w:rFonts w:ascii="Times New Roman" w:hAnsi="Times New Roman" w:eastAsia="宋体"/>
          <w:color w:val="auto"/>
          <w:szCs w:val="21"/>
          <w:highlight w:val="none"/>
        </w:rPr>
        <w:t>；</w:t>
      </w:r>
      <w:r>
        <w:rPr>
          <w:rFonts w:hint="eastAsia" w:ascii="Times New Roman" w:hAnsi="Times New Roman" w:eastAsia="宋体"/>
          <w:color w:val="auto"/>
          <w:szCs w:val="21"/>
          <w:highlight w:val="none"/>
        </w:rPr>
        <w:t>耐受地震能力：承受三相正强度，水平和垂直加速度同时作用；</w:t>
      </w:r>
    </w:p>
    <w:p>
      <w:pPr>
        <w:pStyle w:val="102"/>
        <w:numPr>
          <w:ilvl w:val="0"/>
          <w:numId w:val="26"/>
        </w:numPr>
        <w:spacing w:line="360" w:lineRule="auto"/>
        <w:ind w:left="420" w:firstLine="0" w:firstLineChars="0"/>
        <w:rPr>
          <w:rFonts w:ascii="Times New Roman" w:hAnsi="Times New Roman" w:eastAsia="宋体"/>
          <w:color w:val="auto"/>
          <w:szCs w:val="21"/>
          <w:highlight w:val="none"/>
        </w:rPr>
      </w:pPr>
      <w:r>
        <w:rPr>
          <w:rFonts w:hint="eastAsia" w:ascii="Times New Roman" w:hAnsi="Times New Roman" w:eastAsia="宋体"/>
          <w:color w:val="auto"/>
          <w:szCs w:val="21"/>
          <w:highlight w:val="none"/>
        </w:rPr>
        <w:t>水平：0.25g；</w:t>
      </w:r>
    </w:p>
    <w:p>
      <w:pPr>
        <w:pStyle w:val="102"/>
        <w:numPr>
          <w:ilvl w:val="0"/>
          <w:numId w:val="26"/>
        </w:numPr>
        <w:spacing w:line="360" w:lineRule="auto"/>
        <w:ind w:left="420" w:firstLine="0" w:firstLineChars="0"/>
        <w:rPr>
          <w:rFonts w:ascii="Times New Roman" w:hAnsi="Times New Roman" w:eastAsia="宋体"/>
          <w:color w:val="auto"/>
          <w:szCs w:val="21"/>
          <w:highlight w:val="none"/>
        </w:rPr>
      </w:pPr>
      <w:r>
        <w:rPr>
          <w:rFonts w:hint="eastAsia" w:ascii="Times New Roman" w:hAnsi="Times New Roman" w:eastAsia="宋体"/>
          <w:color w:val="auto"/>
          <w:szCs w:val="21"/>
          <w:highlight w:val="none"/>
        </w:rPr>
        <w:t>垂直：0.15g；</w:t>
      </w:r>
    </w:p>
    <w:p>
      <w:pPr>
        <w:pStyle w:val="102"/>
        <w:numPr>
          <w:ilvl w:val="0"/>
          <w:numId w:val="26"/>
        </w:numPr>
        <w:spacing w:line="360" w:lineRule="auto"/>
        <w:ind w:left="420" w:firstLine="0" w:firstLineChars="0"/>
        <w:rPr>
          <w:rFonts w:ascii="Times New Roman" w:hAnsi="Times New Roman" w:eastAsia="宋体"/>
          <w:color w:val="auto"/>
          <w:szCs w:val="21"/>
          <w:highlight w:val="none"/>
        </w:rPr>
      </w:pPr>
      <w:r>
        <w:rPr>
          <w:rFonts w:hint="eastAsia" w:ascii="Times New Roman" w:hAnsi="Times New Roman" w:eastAsia="宋体"/>
          <w:color w:val="auto"/>
          <w:szCs w:val="21"/>
          <w:highlight w:val="none"/>
        </w:rPr>
        <w:t>正强波持续时间：3周波；</w:t>
      </w:r>
    </w:p>
    <w:p>
      <w:pPr>
        <w:pStyle w:val="102"/>
        <w:numPr>
          <w:ilvl w:val="0"/>
          <w:numId w:val="0"/>
        </w:numPr>
        <w:tabs>
          <w:tab w:val="left" w:pos="851"/>
        </w:tabs>
        <w:spacing w:line="360" w:lineRule="auto"/>
        <w:ind w:leftChars="200"/>
        <w:rPr>
          <w:rFonts w:ascii="Times New Roman" w:hAnsi="Times New Roman"/>
          <w:color w:val="auto"/>
          <w:szCs w:val="21"/>
          <w:highlight w:val="none"/>
        </w:rPr>
      </w:pPr>
    </w:p>
    <w:p>
      <w:pPr>
        <w:pStyle w:val="3"/>
        <w:spacing w:before="0" w:after="0" w:line="360" w:lineRule="auto"/>
        <w:rPr>
          <w:rFonts w:ascii="Times New Roman" w:hAnsi="Times New Roman" w:eastAsia="黑体"/>
          <w:b w:val="0"/>
          <w:bCs/>
          <w:color w:val="auto"/>
          <w:sz w:val="24"/>
          <w:szCs w:val="24"/>
          <w:highlight w:val="none"/>
        </w:rPr>
      </w:pPr>
      <w:bookmarkStart w:id="150" w:name="_Toc1610"/>
      <w:r>
        <w:rPr>
          <w:rFonts w:ascii="Times New Roman" w:hAnsi="Times New Roman" w:eastAsia="黑体"/>
          <w:b w:val="0"/>
          <w:bCs/>
          <w:color w:val="auto"/>
          <w:sz w:val="24"/>
          <w:szCs w:val="24"/>
          <w:highlight w:val="none"/>
        </w:rPr>
        <w:t>4.2特殊工作条件</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tabs>
          <w:tab w:val="left" w:pos="1985"/>
        </w:tabs>
        <w:spacing w:line="360" w:lineRule="auto"/>
        <w:ind w:firstLine="420"/>
        <w:rPr>
          <w:color w:val="auto"/>
          <w:szCs w:val="21"/>
          <w:highlight w:val="none"/>
        </w:rPr>
      </w:pPr>
      <w:r>
        <w:rPr>
          <w:color w:val="auto"/>
          <w:szCs w:val="21"/>
          <w:highlight w:val="none"/>
        </w:rPr>
        <w:t>针对具体工程，用户根据实际需求提出特殊工作条件。当超出正常与特殊工作条件时，由用户与供应商协商确定。</w:t>
      </w:r>
    </w:p>
    <w:p>
      <w:pPr>
        <w:pStyle w:val="3"/>
        <w:spacing w:before="0" w:after="0" w:line="360" w:lineRule="auto"/>
        <w:rPr>
          <w:rFonts w:ascii="Times New Roman" w:hAnsi="Times New Roman" w:eastAsia="黑体"/>
          <w:b w:val="0"/>
          <w:bCs/>
          <w:color w:val="auto"/>
          <w:sz w:val="24"/>
          <w:szCs w:val="24"/>
          <w:highlight w:val="none"/>
        </w:rPr>
      </w:pPr>
      <w:bookmarkStart w:id="151" w:name="_Toc349050789"/>
      <w:bookmarkStart w:id="152" w:name="_Toc349051968"/>
      <w:bookmarkStart w:id="153" w:name="_Toc17553"/>
      <w:bookmarkStart w:id="154" w:name="_Toc6542"/>
      <w:bookmarkStart w:id="155" w:name="_Toc31492"/>
      <w:bookmarkStart w:id="156" w:name="_Toc12423"/>
      <w:bookmarkStart w:id="157" w:name="_Toc30413"/>
      <w:bookmarkStart w:id="158" w:name="_Toc28014"/>
      <w:bookmarkStart w:id="159" w:name="_Toc168869400"/>
      <w:bookmarkStart w:id="160" w:name="_Toc500920840"/>
      <w:bookmarkStart w:id="161" w:name="_Toc14533"/>
      <w:bookmarkStart w:id="162" w:name="_Toc27176"/>
      <w:bookmarkStart w:id="163" w:name="_Toc8528"/>
      <w:bookmarkStart w:id="164" w:name="_Toc1897"/>
      <w:bookmarkStart w:id="165" w:name="_Toc30483"/>
      <w:bookmarkStart w:id="166" w:name="_Toc3313"/>
      <w:bookmarkStart w:id="167" w:name="_Toc17140"/>
      <w:r>
        <w:rPr>
          <w:rFonts w:ascii="Times New Roman" w:hAnsi="Times New Roman" w:eastAsia="黑体"/>
          <w:b w:val="0"/>
          <w:bCs/>
          <w:color w:val="auto"/>
          <w:sz w:val="24"/>
          <w:szCs w:val="24"/>
          <w:highlight w:val="none"/>
        </w:rPr>
        <w:t>4.3 安全性</w:t>
      </w:r>
      <w:bookmarkEnd w:id="151"/>
      <w:bookmarkEnd w:id="152"/>
      <w:r>
        <w:rPr>
          <w:rFonts w:ascii="Times New Roman" w:hAnsi="Times New Roman" w:eastAsia="黑体"/>
          <w:b w:val="0"/>
          <w:bCs/>
          <w:color w:val="auto"/>
          <w:sz w:val="24"/>
          <w:szCs w:val="24"/>
          <w:highlight w:val="none"/>
        </w:rPr>
        <w:t>要求</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numPr>
          <w:ilvl w:val="255"/>
          <w:numId w:val="0"/>
        </w:numPr>
        <w:tabs>
          <w:tab w:val="left" w:pos="851"/>
        </w:tabs>
        <w:adjustRightInd w:val="0"/>
        <w:spacing w:line="360" w:lineRule="auto"/>
        <w:ind w:firstLine="420" w:firstLineChars="200"/>
        <w:rPr>
          <w:color w:val="auto"/>
          <w:szCs w:val="21"/>
          <w:highlight w:val="none"/>
        </w:rPr>
      </w:pPr>
      <w:r>
        <w:rPr>
          <w:color w:val="auto"/>
          <w:szCs w:val="21"/>
          <w:highlight w:val="none"/>
        </w:rPr>
        <w:t>1）</w:t>
      </w:r>
      <w:r>
        <w:rPr>
          <w:rFonts w:eastAsia="宋体"/>
          <w:color w:val="auto"/>
          <w:szCs w:val="21"/>
          <w:highlight w:val="none"/>
        </w:rPr>
        <w:t>材料需具备高介电强度、低介电损耗及高体积电阻率，防止漏电或击穿</w:t>
      </w:r>
      <w:r>
        <w:rPr>
          <w:color w:val="auto"/>
          <w:szCs w:val="21"/>
          <w:highlight w:val="none"/>
        </w:rPr>
        <w:t>；</w:t>
      </w:r>
    </w:p>
    <w:p>
      <w:pPr>
        <w:numPr>
          <w:ilvl w:val="255"/>
          <w:numId w:val="0"/>
        </w:numPr>
        <w:tabs>
          <w:tab w:val="left" w:pos="851"/>
        </w:tabs>
        <w:adjustRightInd w:val="0"/>
        <w:spacing w:line="360" w:lineRule="auto"/>
        <w:ind w:firstLine="420" w:firstLineChars="200"/>
        <w:rPr>
          <w:color w:val="auto"/>
          <w:szCs w:val="21"/>
          <w:highlight w:val="none"/>
        </w:rPr>
      </w:pPr>
    </w:p>
    <w:p>
      <w:pPr>
        <w:numPr>
          <w:ilvl w:val="255"/>
          <w:numId w:val="0"/>
        </w:numPr>
        <w:tabs>
          <w:tab w:val="left" w:pos="840"/>
        </w:tabs>
        <w:adjustRightIn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2）适应电网设备运行温度范围（-40℃至+70℃或更高），高温不流淌、不分解，低温不开裂；</w:t>
      </w:r>
    </w:p>
    <w:p>
      <w:pPr>
        <w:numPr>
          <w:ilvl w:val="255"/>
          <w:numId w:val="0"/>
        </w:numPr>
        <w:tabs>
          <w:tab w:val="left" w:pos="840"/>
        </w:tabs>
        <w:adjustRightIn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3）耐油、耐酸碱、耐腐蚀性气体（如H₂S、SO₂），防止与电缆护套或其他设备发生反应；</w:t>
      </w:r>
    </w:p>
    <w:p>
      <w:pPr>
        <w:numPr>
          <w:ilvl w:val="255"/>
          <w:numId w:val="0"/>
        </w:numPr>
        <w:tabs>
          <w:tab w:val="left" w:pos="840"/>
        </w:tabs>
        <w:adjustRightIn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4）具备一定弹性与韧性，适应设备振动、地基沉降等形变，保持密封完整性；</w:t>
      </w:r>
    </w:p>
    <w:p>
      <w:pPr>
        <w:numPr>
          <w:ilvl w:val="255"/>
          <w:numId w:val="0"/>
        </w:numPr>
        <w:tabs>
          <w:tab w:val="left" w:pos="840"/>
        </w:tabs>
        <w:adjustRightInd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5）符合GB/T 2408、UL 94等标准，至少达到V-0级（垂直燃烧自熄）</w:t>
      </w:r>
      <w:r>
        <w:rPr>
          <w:rFonts w:hint="eastAsia" w:ascii="宋体" w:hAnsi="宋体" w:eastAsia="宋体" w:cs="宋体"/>
          <w:color w:val="auto"/>
          <w:szCs w:val="21"/>
          <w:highlight w:val="none"/>
          <w:lang w:eastAsia="zh-CN"/>
        </w:rPr>
        <w:t>；</w:t>
      </w:r>
    </w:p>
    <w:p>
      <w:pPr>
        <w:numPr>
          <w:ilvl w:val="255"/>
          <w:numId w:val="0"/>
        </w:numPr>
        <w:tabs>
          <w:tab w:val="left" w:pos="840"/>
        </w:tabs>
        <w:adjustRightInd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材料无毒无害，符合RoHS、REACH等环保法规，不污染土壤或地下水</w:t>
      </w:r>
      <w:r>
        <w:rPr>
          <w:rFonts w:hint="eastAsia" w:ascii="宋体" w:hAnsi="宋体" w:eastAsia="宋体" w:cs="宋体"/>
          <w:color w:val="auto"/>
          <w:szCs w:val="21"/>
          <w:highlight w:val="none"/>
          <w:lang w:eastAsia="zh-CN"/>
        </w:rPr>
        <w:t>；</w:t>
      </w:r>
    </w:p>
    <w:p>
      <w:pPr>
        <w:numPr>
          <w:ilvl w:val="255"/>
          <w:numId w:val="0"/>
        </w:numPr>
        <w:tabs>
          <w:tab w:val="left" w:pos="840"/>
        </w:tabs>
        <w:adjustRightInd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施工过程无挥发性有毒气体（低VOC），保障操作人员健康</w:t>
      </w:r>
      <w:r>
        <w:rPr>
          <w:rFonts w:hint="eastAsia" w:ascii="宋体" w:hAnsi="宋体" w:eastAsia="宋体" w:cs="宋体"/>
          <w:color w:val="auto"/>
          <w:szCs w:val="21"/>
          <w:highlight w:val="none"/>
          <w:lang w:eastAsia="zh-CN"/>
        </w:rPr>
        <w:t>；</w:t>
      </w:r>
    </w:p>
    <w:p>
      <w:pPr>
        <w:numPr>
          <w:ilvl w:val="255"/>
          <w:numId w:val="0"/>
        </w:numPr>
        <w:tabs>
          <w:tab w:val="left" w:pos="840"/>
        </w:tabs>
        <w:adjustRightInd w:val="0"/>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固化过程无剧烈放热或收缩，避免损伤电缆或设备</w:t>
      </w:r>
      <w:r>
        <w:rPr>
          <w:rFonts w:hint="eastAsia" w:ascii="宋体" w:hAnsi="宋体" w:eastAsia="宋体" w:cs="宋体"/>
          <w:color w:val="auto"/>
          <w:szCs w:val="21"/>
          <w:highlight w:val="none"/>
          <w:lang w:eastAsia="zh-CN"/>
        </w:rPr>
        <w:t>。</w:t>
      </w:r>
    </w:p>
    <w:p>
      <w:pPr>
        <w:numPr>
          <w:ilvl w:val="255"/>
          <w:numId w:val="0"/>
        </w:numPr>
        <w:tabs>
          <w:tab w:val="left" w:pos="840"/>
        </w:tabs>
        <w:adjustRightInd w:val="0"/>
        <w:spacing w:line="360" w:lineRule="auto"/>
        <w:rPr>
          <w:color w:val="auto"/>
          <w:szCs w:val="21"/>
          <w:highlight w:val="none"/>
        </w:rPr>
      </w:pPr>
    </w:p>
    <w:p>
      <w:pPr>
        <w:spacing w:line="360" w:lineRule="auto"/>
        <w:outlineLvl w:val="0"/>
        <w:rPr>
          <w:rFonts w:eastAsia="黑体"/>
          <w:color w:val="auto"/>
          <w:sz w:val="28"/>
          <w:szCs w:val="28"/>
          <w:highlight w:val="none"/>
        </w:rPr>
      </w:pPr>
      <w:bookmarkStart w:id="168" w:name="_Toc11433"/>
      <w:bookmarkStart w:id="169" w:name="_Toc31724"/>
      <w:bookmarkStart w:id="170" w:name="_Toc500920841"/>
      <w:bookmarkStart w:id="171" w:name="_Toc15664"/>
      <w:bookmarkStart w:id="172" w:name="_Toc20158"/>
      <w:bookmarkStart w:id="173" w:name="_Toc21899"/>
      <w:bookmarkStart w:id="174" w:name="_Toc168869401"/>
      <w:bookmarkStart w:id="175" w:name="_Toc697"/>
      <w:bookmarkStart w:id="176" w:name="_Toc14338"/>
      <w:bookmarkStart w:id="177" w:name="_Toc21534"/>
      <w:bookmarkStart w:id="178" w:name="_Toc7763"/>
      <w:bookmarkStart w:id="179" w:name="_Toc14923"/>
      <w:bookmarkStart w:id="180" w:name="_Toc25616"/>
      <w:bookmarkStart w:id="181" w:name="_Toc3111"/>
      <w:bookmarkStart w:id="182" w:name="_Toc11064"/>
      <w:r>
        <w:rPr>
          <w:rFonts w:eastAsia="黑体"/>
          <w:color w:val="auto"/>
          <w:sz w:val="28"/>
          <w:szCs w:val="28"/>
          <w:highlight w:val="none"/>
        </w:rPr>
        <w:t>5 技术要求</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spacing w:line="360" w:lineRule="auto"/>
        <w:outlineLvl w:val="0"/>
        <w:rPr>
          <w:rFonts w:ascii="Times New Roman" w:hAnsi="Times New Roman" w:eastAsia="黑体" w:cs="Times New Roman"/>
          <w:b w:val="0"/>
          <w:bCs/>
          <w:color w:val="auto"/>
          <w:kern w:val="2"/>
          <w:sz w:val="24"/>
          <w:szCs w:val="24"/>
          <w:highlight w:val="none"/>
          <w:lang w:val="en-US" w:eastAsia="zh-CN" w:bidi="ar-SA"/>
        </w:rPr>
      </w:pPr>
      <w:bookmarkStart w:id="183" w:name="_Toc29077"/>
      <w:bookmarkStart w:id="184" w:name="_Toc26741"/>
      <w:bookmarkStart w:id="185" w:name="_Toc168869402"/>
      <w:bookmarkStart w:id="186" w:name="_Toc2115"/>
      <w:bookmarkStart w:id="187" w:name="_Toc12452"/>
      <w:bookmarkStart w:id="188" w:name="_Toc11697"/>
      <w:bookmarkStart w:id="189" w:name="_Toc2460"/>
      <w:bookmarkStart w:id="190" w:name="_Toc12648"/>
      <w:bookmarkStart w:id="191" w:name="_Toc28054"/>
      <w:bookmarkStart w:id="192" w:name="_Toc31223"/>
      <w:bookmarkStart w:id="193" w:name="_Toc28407"/>
      <w:bookmarkStart w:id="194" w:name="_Toc500920842"/>
      <w:bookmarkStart w:id="195" w:name="_Toc22763"/>
      <w:bookmarkStart w:id="196" w:name="_Toc3604"/>
      <w:bookmarkStart w:id="197" w:name="_Toc31399"/>
      <w:r>
        <w:rPr>
          <w:rFonts w:ascii="Times New Roman" w:hAnsi="Times New Roman" w:eastAsia="黑体" w:cs="Times New Roman"/>
          <w:b w:val="0"/>
          <w:bCs/>
          <w:color w:val="auto"/>
          <w:kern w:val="2"/>
          <w:sz w:val="24"/>
          <w:szCs w:val="24"/>
          <w:highlight w:val="none"/>
          <w:lang w:val="en-US" w:eastAsia="zh-CN" w:bidi="ar-SA"/>
        </w:rPr>
        <w:t>5.1 基本功能要求</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pStyle w:val="126"/>
        <w:widowControl/>
        <w:numPr>
          <w:ilvl w:val="0"/>
          <w:numId w:val="32"/>
        </w:numPr>
        <w:spacing w:line="360" w:lineRule="auto"/>
        <w:ind w:firstLineChars="0"/>
        <w:rPr>
          <w:rFonts w:hint="eastAsia" w:ascii="宋体" w:hAnsi="宋体" w:eastAsia="宋体" w:cs="宋体"/>
          <w:b w:val="0"/>
          <w:bCs/>
          <w:kern w:val="2"/>
          <w:sz w:val="21"/>
          <w:szCs w:val="21"/>
          <w:highlight w:val="none"/>
          <w:lang w:val="en-US" w:eastAsia="zh-CN" w:bidi="ar-SA"/>
        </w:rPr>
      </w:pPr>
      <w:bookmarkStart w:id="198" w:name="_Toc25473"/>
      <w:bookmarkStart w:id="199" w:name="_Toc500920851"/>
      <w:bookmarkStart w:id="200" w:name="_Toc16773"/>
      <w:bookmarkStart w:id="201" w:name="_Toc15609"/>
      <w:bookmarkStart w:id="202" w:name="_Toc21021"/>
      <w:bookmarkStart w:id="203" w:name="_Toc31293"/>
      <w:bookmarkStart w:id="204" w:name="_Toc8298"/>
      <w:bookmarkStart w:id="205" w:name="_Toc168869412"/>
      <w:bookmarkStart w:id="206" w:name="_Toc6397"/>
      <w:bookmarkStart w:id="207" w:name="_Toc23284"/>
      <w:bookmarkStart w:id="208" w:name="_Toc32685"/>
      <w:bookmarkStart w:id="209" w:name="_Toc20793"/>
      <w:bookmarkStart w:id="210" w:name="_Toc30655"/>
      <w:bookmarkStart w:id="211" w:name="_Toc14646"/>
      <w:r>
        <w:rPr>
          <w:rFonts w:hint="eastAsia" w:ascii="宋体" w:hAnsi="宋体" w:eastAsia="宋体" w:cs="宋体"/>
          <w:b w:val="0"/>
          <w:bCs/>
          <w:kern w:val="2"/>
          <w:sz w:val="21"/>
          <w:szCs w:val="21"/>
          <w:highlight w:val="none"/>
          <w:lang w:val="en-US" w:eastAsia="zh-CN" w:bidi="ar-SA"/>
        </w:rPr>
        <w:t>高分子防火防潮封堵剂应防水、防潮、防尘、防止小动物侵袭，无毒环保、抗腐蚀，可耐受各种恶劣环境；</w:t>
      </w:r>
    </w:p>
    <w:p>
      <w:pPr>
        <w:pStyle w:val="126"/>
        <w:widowControl/>
        <w:numPr>
          <w:ilvl w:val="0"/>
          <w:numId w:val="32"/>
        </w:numPr>
        <w:spacing w:line="360" w:lineRule="auto"/>
        <w:ind w:left="0" w:leftChars="0" w:firstLine="420" w:firstLineChars="0"/>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高分子防火防潮封堵剂应采用高分子聚合物混合技术，封堵材料具有在凝固前能充分流动并自动找平、容易渗透等功能；</w:t>
      </w:r>
    </w:p>
    <w:p>
      <w:pPr>
        <w:pStyle w:val="126"/>
        <w:widowControl/>
        <w:numPr>
          <w:ilvl w:val="0"/>
          <w:numId w:val="32"/>
        </w:numPr>
        <w:spacing w:line="360" w:lineRule="auto"/>
        <w:ind w:left="0" w:leftChars="0" w:firstLine="420" w:firstLineChars="0"/>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高分子防火防潮封堵剂固化后应不变形、不变质、不开裂，效果持久，使用寿命至少保用20年以上；</w:t>
      </w:r>
    </w:p>
    <w:p>
      <w:pPr>
        <w:pStyle w:val="126"/>
        <w:widowControl/>
        <w:numPr>
          <w:ilvl w:val="0"/>
          <w:numId w:val="32"/>
        </w:numPr>
        <w:spacing w:line="360" w:lineRule="auto"/>
        <w:ind w:left="0" w:leftChars="0" w:firstLine="420" w:firstLineChars="0"/>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施工操作简便，无需辅助（电、火和水等）；</w:t>
      </w:r>
    </w:p>
    <w:p>
      <w:pPr>
        <w:pStyle w:val="126"/>
        <w:widowControl/>
        <w:numPr>
          <w:ilvl w:val="0"/>
          <w:numId w:val="32"/>
        </w:numPr>
        <w:spacing w:line="360" w:lineRule="auto"/>
        <w:ind w:left="0" w:leftChars="0" w:firstLine="420" w:firstLineChars="0"/>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高分子防火防潮封堵剂罐体采用一体化设计，材料配方固定，现场开启即用，不允许在作业现场进行任何方式的调配，以保证产品的一致性和可靠性；</w:t>
      </w:r>
    </w:p>
    <w:p>
      <w:pPr>
        <w:pStyle w:val="126"/>
        <w:widowControl/>
        <w:spacing w:line="360" w:lineRule="auto"/>
        <w:ind w:firstLineChars="0"/>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6）投标方使用的材料必须达到国家标准或行业标准、施工验收规范以及设计技术要求。不论是否经过招标方代表检验，均由投标方对其质量负责。如发现投标方将不合格产品、设备用于该工程，招标方有权要求投标方更换并承担全部费用。</w:t>
      </w:r>
    </w:p>
    <w:p>
      <w:pPr>
        <w:pStyle w:val="126"/>
        <w:widowControl/>
        <w:spacing w:line="360" w:lineRule="auto"/>
        <w:ind w:firstLineChars="0"/>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（7）投标方使用的材料必须有完整的产品合格证、材质证明书并于开工前向招标方提供复印件，如果不符合质量要求，招标方有权拒绝投标方在工程中使用。</w:t>
      </w:r>
    </w:p>
    <w:p>
      <w:pPr>
        <w:spacing w:line="360" w:lineRule="auto"/>
        <w:outlineLvl w:val="0"/>
        <w:rPr>
          <w:rFonts w:hint="eastAsia" w:ascii="Times New Roman" w:hAnsi="Times New Roman" w:eastAsia="黑体" w:cs="Times New Roman"/>
          <w:b w:val="0"/>
          <w:bCs/>
          <w:color w:val="auto"/>
          <w:kern w:val="2"/>
          <w:sz w:val="24"/>
          <w:szCs w:val="24"/>
          <w:highlight w:val="none"/>
          <w:lang w:val="en-US" w:eastAsia="zh-CN" w:bidi="ar-SA"/>
        </w:rPr>
      </w:pPr>
      <w:bookmarkStart w:id="212" w:name="_Toc15232"/>
      <w:r>
        <w:rPr>
          <w:rFonts w:hint="eastAsia" w:ascii="Times New Roman" w:hAnsi="Times New Roman" w:eastAsia="黑体" w:cs="Times New Roman"/>
          <w:b w:val="0"/>
          <w:bCs/>
          <w:color w:val="auto"/>
          <w:kern w:val="2"/>
          <w:sz w:val="24"/>
          <w:szCs w:val="24"/>
          <w:highlight w:val="none"/>
          <w:lang w:val="en-US" w:eastAsia="zh-CN" w:bidi="ar-SA"/>
        </w:rPr>
        <w:t>5.2材料施工交付技术要求</w:t>
      </w:r>
      <w:bookmarkEnd w:id="212"/>
    </w:p>
    <w:p>
      <w:pPr>
        <w:pStyle w:val="126"/>
        <w:widowControl/>
        <w:spacing w:line="360" w:lineRule="auto"/>
        <w:ind w:firstLineChars="0"/>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投标方完工后的产品应满足招标文件材料的技术要求。材料在现场安装时，投标方施工技术人员施工前需将电箱的防火防潮封堵情况拍照，施工后的电箱防火防潮封堵情况拍照，并将前后照片收编，向招标方提供完整的材料竣工验收报告，正式递交招标方，并保证安装后的材料与招标要求相符。</w:t>
      </w:r>
    </w:p>
    <w:p>
      <w:pPr>
        <w:pStyle w:val="126"/>
        <w:widowControl/>
        <w:spacing w:line="360" w:lineRule="auto"/>
        <w:ind w:firstLineChars="0"/>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 xml:space="preserve">5.2.1资料提交的基本要求  </w:t>
      </w:r>
    </w:p>
    <w:p>
      <w:pPr>
        <w:pStyle w:val="126"/>
        <w:widowControl/>
        <w:spacing w:line="360" w:lineRule="auto"/>
        <w:ind w:firstLineChars="0"/>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投标方至少提供下列图纸、资料、技术文件：</w:t>
      </w:r>
    </w:p>
    <w:p>
      <w:pPr>
        <w:pStyle w:val="126"/>
        <w:widowControl/>
        <w:numPr>
          <w:ilvl w:val="0"/>
          <w:numId w:val="33"/>
        </w:numPr>
        <w:spacing w:line="360" w:lineRule="auto"/>
        <w:ind w:firstLineChars="0"/>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高分子防火防潮封堵剂产品说明书及主要技术参数；</w:t>
      </w:r>
    </w:p>
    <w:p>
      <w:pPr>
        <w:pStyle w:val="126"/>
        <w:widowControl/>
        <w:spacing w:line="360" w:lineRule="auto"/>
        <w:ind w:firstLineChars="0"/>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(2) 变电站电箱防火防潮封堵施工方案书；</w:t>
      </w:r>
    </w:p>
    <w:p>
      <w:pPr>
        <w:pStyle w:val="126"/>
        <w:widowControl/>
        <w:spacing w:line="360" w:lineRule="auto"/>
        <w:ind w:firstLineChars="0"/>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 w:val="0"/>
          <w:bCs/>
          <w:kern w:val="2"/>
          <w:sz w:val="21"/>
          <w:szCs w:val="21"/>
          <w:highlight w:val="none"/>
          <w:lang w:val="en-US" w:eastAsia="zh-CN" w:bidi="ar-SA"/>
        </w:rPr>
        <w:t>(3) 提供本次高分子防火防潮封堵剂施工安装的辅材清单</w:t>
      </w:r>
    </w:p>
    <w:p>
      <w:pPr>
        <w:spacing w:line="360" w:lineRule="auto"/>
        <w:outlineLvl w:val="0"/>
        <w:rPr>
          <w:rFonts w:eastAsia="黑体"/>
          <w:color w:val="auto"/>
          <w:sz w:val="28"/>
          <w:szCs w:val="28"/>
          <w:highlight w:val="none"/>
        </w:rPr>
      </w:pPr>
      <w:bookmarkStart w:id="213" w:name="_Toc18652"/>
      <w:r>
        <w:rPr>
          <w:rFonts w:eastAsia="黑体"/>
          <w:color w:val="auto"/>
          <w:sz w:val="28"/>
          <w:szCs w:val="28"/>
          <w:highlight w:val="none"/>
        </w:rPr>
        <w:t>6 试验项目及要求</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3"/>
    </w:p>
    <w:p>
      <w:pPr>
        <w:pStyle w:val="3"/>
        <w:spacing w:before="0" w:after="0" w:line="360" w:lineRule="auto"/>
        <w:rPr>
          <w:rFonts w:ascii="Times New Roman" w:hAnsi="Times New Roman" w:eastAsia="黑体"/>
          <w:b w:val="0"/>
          <w:bCs/>
          <w:color w:val="auto"/>
          <w:sz w:val="24"/>
          <w:szCs w:val="24"/>
          <w:highlight w:val="none"/>
        </w:rPr>
      </w:pPr>
      <w:bookmarkStart w:id="214" w:name="_Toc23568"/>
      <w:bookmarkStart w:id="215" w:name="_Toc28278"/>
      <w:bookmarkStart w:id="216" w:name="_Toc29173"/>
      <w:bookmarkStart w:id="217" w:name="_Toc21980"/>
      <w:bookmarkStart w:id="218" w:name="_Toc20764"/>
      <w:bookmarkStart w:id="219" w:name="_Toc168869413"/>
      <w:bookmarkStart w:id="220" w:name="_Toc15000"/>
      <w:bookmarkStart w:id="221" w:name="_Toc500920852"/>
      <w:bookmarkStart w:id="222" w:name="_Toc25886"/>
      <w:bookmarkStart w:id="223" w:name="_Toc6457"/>
      <w:bookmarkStart w:id="224" w:name="_Toc18220"/>
      <w:bookmarkStart w:id="225" w:name="_Toc11031"/>
      <w:bookmarkStart w:id="226" w:name="_Toc13042"/>
      <w:bookmarkStart w:id="227" w:name="_Toc16347"/>
      <w:bookmarkStart w:id="228" w:name="_Toc265313591"/>
      <w:bookmarkStart w:id="229" w:name="_Toc22517"/>
      <w:bookmarkStart w:id="230" w:name="_Toc130279636"/>
      <w:bookmarkStart w:id="231" w:name="_Toc88045606"/>
      <w:bookmarkStart w:id="232" w:name="_Toc130279890"/>
      <w:bookmarkStart w:id="233" w:name="_Toc132512177"/>
      <w:bookmarkStart w:id="234" w:name="_Ref68083963"/>
      <w:bookmarkStart w:id="235" w:name="_Toc121821370"/>
      <w:r>
        <w:rPr>
          <w:rFonts w:ascii="Times New Roman" w:hAnsi="Times New Roman" w:eastAsia="黑体"/>
          <w:b w:val="0"/>
          <w:bCs/>
          <w:color w:val="auto"/>
          <w:sz w:val="24"/>
          <w:szCs w:val="24"/>
          <w:highlight w:val="none"/>
        </w:rPr>
        <w:t>6.1 试验环境</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spacing w:line="360" w:lineRule="auto"/>
        <w:ind w:firstLine="420" w:firstLineChars="200"/>
        <w:rPr>
          <w:color w:val="auto"/>
          <w:szCs w:val="21"/>
          <w:highlight w:val="none"/>
        </w:rPr>
      </w:pPr>
      <w:r>
        <w:rPr>
          <w:color w:val="auto"/>
          <w:szCs w:val="21"/>
          <w:highlight w:val="none"/>
        </w:rPr>
        <w:t>除环境影响试验及运行中试验之外，其它试验项目应在如下试验环境中进行。</w:t>
      </w:r>
    </w:p>
    <w:p>
      <w:pPr>
        <w:pStyle w:val="102"/>
        <w:numPr>
          <w:ilvl w:val="0"/>
          <w:numId w:val="0"/>
        </w:numPr>
        <w:spacing w:line="360" w:lineRule="auto"/>
        <w:ind w:left="420" w:leftChars="0"/>
        <w:rPr>
          <w:rFonts w:ascii="Times New Roman" w:hAnsi="Times New Roman" w:eastAsia="宋体"/>
          <w:color w:val="auto"/>
          <w:szCs w:val="21"/>
          <w:highlight w:val="none"/>
        </w:rPr>
      </w:pPr>
      <w:r>
        <w:rPr>
          <w:rFonts w:hint="eastAsia" w:ascii="Times New Roman" w:hAnsi="Times New Roman" w:eastAsia="宋体"/>
          <w:color w:val="auto"/>
          <w:szCs w:val="21"/>
          <w:highlight w:val="none"/>
          <w:lang w:val="en-US" w:eastAsia="zh-CN"/>
        </w:rPr>
        <w:t>a）</w:t>
      </w:r>
      <w:r>
        <w:rPr>
          <w:rFonts w:hint="eastAsia" w:ascii="Times New Roman" w:hAnsi="Times New Roman" w:eastAsia="宋体"/>
          <w:color w:val="auto"/>
          <w:szCs w:val="21"/>
          <w:highlight w:val="none"/>
        </w:rPr>
        <w:t>环境温度：-40℃～+120℃；</w:t>
      </w:r>
    </w:p>
    <w:p>
      <w:pPr>
        <w:pStyle w:val="102"/>
        <w:numPr>
          <w:ilvl w:val="0"/>
          <w:numId w:val="0"/>
        </w:numPr>
        <w:spacing w:line="360" w:lineRule="auto"/>
        <w:ind w:left="420" w:leftChars="0"/>
        <w:rPr>
          <w:rFonts w:ascii="Times New Roman" w:hAnsi="Times New Roman" w:eastAsia="宋体"/>
          <w:color w:val="auto"/>
          <w:szCs w:val="21"/>
          <w:highlight w:val="none"/>
        </w:rPr>
      </w:pPr>
      <w:r>
        <w:rPr>
          <w:rFonts w:hint="eastAsia" w:ascii="Times New Roman" w:hAnsi="Times New Roman" w:eastAsia="宋体"/>
          <w:color w:val="auto"/>
          <w:szCs w:val="21"/>
          <w:highlight w:val="none"/>
          <w:lang w:val="en-US" w:eastAsia="zh-CN"/>
        </w:rPr>
        <w:t>b）</w:t>
      </w:r>
      <w:r>
        <w:rPr>
          <w:rFonts w:hint="eastAsia" w:ascii="Times New Roman" w:hAnsi="Times New Roman" w:eastAsia="宋体"/>
          <w:color w:val="auto"/>
          <w:szCs w:val="21"/>
          <w:highlight w:val="none"/>
        </w:rPr>
        <w:t>相对湿度：1%RH～99%RH；</w:t>
      </w:r>
    </w:p>
    <w:p>
      <w:pPr>
        <w:pStyle w:val="3"/>
        <w:spacing w:before="0" w:after="0" w:line="360" w:lineRule="auto"/>
        <w:rPr>
          <w:rFonts w:ascii="Times New Roman" w:hAnsi="Times New Roman" w:eastAsia="黑体"/>
          <w:b w:val="0"/>
          <w:bCs/>
          <w:color w:val="auto"/>
          <w:sz w:val="24"/>
          <w:szCs w:val="24"/>
          <w:highlight w:val="none"/>
        </w:rPr>
      </w:pPr>
      <w:bookmarkStart w:id="236" w:name="_Toc17359"/>
      <w:bookmarkStart w:id="237" w:name="_Toc29461"/>
      <w:bookmarkStart w:id="238" w:name="_Toc27699"/>
      <w:bookmarkStart w:id="239" w:name="_Toc23762"/>
      <w:bookmarkStart w:id="240" w:name="_Toc11485"/>
      <w:bookmarkStart w:id="241" w:name="_Toc14683"/>
      <w:bookmarkStart w:id="242" w:name="_Toc2552"/>
      <w:bookmarkStart w:id="243" w:name="_Toc5171"/>
      <w:bookmarkStart w:id="244" w:name="_Toc500920859"/>
      <w:bookmarkStart w:id="245" w:name="_Toc168869420"/>
      <w:bookmarkStart w:id="246" w:name="_Toc29702"/>
      <w:bookmarkStart w:id="247" w:name="_Toc28302"/>
      <w:bookmarkStart w:id="248" w:name="_Toc32128"/>
      <w:bookmarkStart w:id="249" w:name="_Toc6680"/>
      <w:bookmarkStart w:id="250" w:name="_Toc22743"/>
      <w:r>
        <w:rPr>
          <w:rFonts w:ascii="Times New Roman" w:hAnsi="Times New Roman" w:eastAsia="黑体"/>
          <w:b w:val="0"/>
          <w:bCs/>
          <w:color w:val="auto"/>
          <w:sz w:val="24"/>
          <w:szCs w:val="24"/>
          <w:highlight w:val="none"/>
        </w:rPr>
        <w:t>6.</w:t>
      </w:r>
      <w:r>
        <w:rPr>
          <w:rFonts w:hint="eastAsia" w:ascii="Times New Roman" w:hAnsi="Times New Roman" w:eastAsia="黑体"/>
          <w:b w:val="0"/>
          <w:bCs/>
          <w:color w:val="auto"/>
          <w:sz w:val="24"/>
          <w:szCs w:val="24"/>
          <w:highlight w:val="none"/>
          <w:lang w:val="en-US" w:eastAsia="zh-CN"/>
        </w:rPr>
        <w:t>2</w:t>
      </w:r>
      <w:r>
        <w:rPr>
          <w:rFonts w:ascii="Times New Roman" w:hAnsi="Times New Roman" w:eastAsia="黑体"/>
          <w:b w:val="0"/>
          <w:bCs/>
          <w:color w:val="auto"/>
          <w:sz w:val="24"/>
          <w:szCs w:val="24"/>
          <w:highlight w:val="none"/>
        </w:rPr>
        <w:t xml:space="preserve"> 防护等级试验</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pPr>
        <w:spacing w:line="360" w:lineRule="auto"/>
        <w:rPr>
          <w:color w:val="auto"/>
          <w:highlight w:val="none"/>
        </w:rPr>
      </w:pPr>
      <w:r>
        <w:rPr>
          <w:color w:val="auto"/>
          <w:highlight w:val="none"/>
        </w:rPr>
        <w:t>（1）试验方法</w:t>
      </w:r>
    </w:p>
    <w:p>
      <w:pPr>
        <w:spacing w:line="360" w:lineRule="auto"/>
        <w:ind w:firstLine="420"/>
        <w:rPr>
          <w:color w:val="auto"/>
          <w:highlight w:val="none"/>
        </w:rPr>
      </w:pPr>
      <w:r>
        <w:rPr>
          <w:color w:val="auto"/>
          <w:highlight w:val="none"/>
        </w:rPr>
        <w:t>依据GB 4208中规定的试验要求和方法进行检验。</w:t>
      </w:r>
    </w:p>
    <w:p>
      <w:pPr>
        <w:spacing w:line="360" w:lineRule="auto"/>
        <w:rPr>
          <w:color w:val="auto"/>
          <w:highlight w:val="none"/>
        </w:rPr>
      </w:pPr>
      <w:r>
        <w:rPr>
          <w:color w:val="auto"/>
          <w:highlight w:val="none"/>
        </w:rPr>
        <w:t>（2）判定准则</w:t>
      </w:r>
    </w:p>
    <w:p>
      <w:pPr>
        <w:spacing w:line="360" w:lineRule="auto"/>
        <w:ind w:firstLine="420"/>
        <w:rPr>
          <w:color w:val="auto"/>
          <w:highlight w:val="none"/>
        </w:rPr>
      </w:pPr>
      <w:r>
        <w:rPr>
          <w:color w:val="auto"/>
          <w:highlight w:val="none"/>
        </w:rPr>
        <w:t>应满足本技术规范书中规定的相关技术要求。</w:t>
      </w:r>
    </w:p>
    <w:bookmarkEnd w:id="230"/>
    <w:bookmarkEnd w:id="231"/>
    <w:bookmarkEnd w:id="232"/>
    <w:bookmarkEnd w:id="233"/>
    <w:bookmarkEnd w:id="234"/>
    <w:bookmarkEnd w:id="235"/>
    <w:p>
      <w:pPr>
        <w:pStyle w:val="3"/>
        <w:spacing w:before="0" w:after="0" w:line="360" w:lineRule="auto"/>
        <w:rPr>
          <w:rFonts w:ascii="Times New Roman" w:hAnsi="Times New Roman" w:eastAsia="黑体"/>
          <w:b w:val="0"/>
          <w:bCs/>
          <w:color w:val="auto"/>
          <w:sz w:val="24"/>
          <w:szCs w:val="24"/>
          <w:highlight w:val="none"/>
        </w:rPr>
      </w:pPr>
      <w:bookmarkStart w:id="251" w:name="_Toc349050854"/>
      <w:bookmarkStart w:id="252" w:name="_Toc349052033"/>
      <w:bookmarkStart w:id="253" w:name="_Toc168869421"/>
      <w:bookmarkStart w:id="254" w:name="_Toc26771"/>
      <w:bookmarkStart w:id="255" w:name="_Toc1458"/>
      <w:bookmarkStart w:id="256" w:name="_Toc27936"/>
      <w:bookmarkStart w:id="257" w:name="_Toc19762"/>
      <w:bookmarkStart w:id="258" w:name="_Toc19279"/>
      <w:bookmarkStart w:id="259" w:name="_Toc4034"/>
      <w:bookmarkStart w:id="260" w:name="_Toc22936"/>
      <w:bookmarkStart w:id="261" w:name="_Toc5452"/>
      <w:bookmarkStart w:id="262" w:name="_Toc32485"/>
      <w:bookmarkStart w:id="263" w:name="_Toc20076"/>
      <w:bookmarkStart w:id="264" w:name="_Toc10561"/>
      <w:bookmarkStart w:id="265" w:name="_Toc25154"/>
      <w:bookmarkStart w:id="266" w:name="_Toc16853"/>
      <w:bookmarkStart w:id="267" w:name="_Toc500920860"/>
      <w:bookmarkStart w:id="268" w:name="_Toc2054"/>
      <w:bookmarkStart w:id="269" w:name="_Toc16730"/>
      <w:bookmarkStart w:id="270" w:name="_Toc10207"/>
      <w:bookmarkStart w:id="271" w:name="_Toc21089"/>
      <w:bookmarkStart w:id="272" w:name="_Toc10574"/>
      <w:bookmarkStart w:id="273" w:name="_Toc15226"/>
      <w:bookmarkStart w:id="274" w:name="_Toc17945"/>
      <w:bookmarkStart w:id="275" w:name="_Toc356999079"/>
      <w:bookmarkStart w:id="276" w:name="_Toc168869426"/>
      <w:bookmarkStart w:id="277" w:name="_Toc20751"/>
      <w:bookmarkStart w:id="278" w:name="_Toc500920862"/>
      <w:bookmarkStart w:id="279" w:name="_Toc30581"/>
      <w:bookmarkStart w:id="280" w:name="_Toc347154881"/>
      <w:bookmarkStart w:id="281" w:name="_Toc20335"/>
      <w:bookmarkStart w:id="282" w:name="_Toc265313593"/>
      <w:bookmarkStart w:id="283" w:name="_Toc14493"/>
      <w:bookmarkStart w:id="284" w:name="_Toc11765"/>
      <w:r>
        <w:rPr>
          <w:rFonts w:ascii="Times New Roman" w:hAnsi="Times New Roman" w:eastAsia="黑体"/>
          <w:b w:val="0"/>
          <w:bCs/>
          <w:color w:val="auto"/>
          <w:sz w:val="24"/>
          <w:szCs w:val="24"/>
          <w:highlight w:val="none"/>
        </w:rPr>
        <w:t>6.</w:t>
      </w:r>
      <w:bookmarkEnd w:id="251"/>
      <w:bookmarkEnd w:id="252"/>
      <w:r>
        <w:rPr>
          <w:rFonts w:hint="eastAsia" w:ascii="Times New Roman" w:hAnsi="Times New Roman" w:eastAsia="黑体"/>
          <w:b w:val="0"/>
          <w:bCs/>
          <w:color w:val="auto"/>
          <w:sz w:val="24"/>
          <w:szCs w:val="24"/>
          <w:highlight w:val="none"/>
          <w:lang w:val="en-US" w:eastAsia="zh-CN"/>
        </w:rPr>
        <w:t xml:space="preserve">3 </w:t>
      </w:r>
      <w:r>
        <w:rPr>
          <w:rFonts w:ascii="Times New Roman" w:hAnsi="Times New Roman" w:eastAsia="黑体"/>
          <w:b w:val="0"/>
          <w:bCs/>
          <w:color w:val="auto"/>
          <w:sz w:val="24"/>
          <w:szCs w:val="24"/>
          <w:highlight w:val="none"/>
        </w:rPr>
        <w:t>质量检查</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spacing w:line="360" w:lineRule="auto"/>
        <w:rPr>
          <w:color w:val="auto"/>
          <w:highlight w:val="none"/>
        </w:rPr>
      </w:pPr>
      <w:r>
        <w:rPr>
          <w:color w:val="auto"/>
          <w:highlight w:val="none"/>
        </w:rPr>
        <w:t>（1）试验方法</w:t>
      </w:r>
    </w:p>
    <w:p>
      <w:pPr>
        <w:pStyle w:val="126"/>
        <w:widowControl/>
        <w:spacing w:line="360" w:lineRule="auto"/>
        <w:ind w:firstLine="0" w:firstLineChars="0"/>
        <w:jc w:val="left"/>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6.3.1外观：目视检查</w:t>
      </w:r>
    </w:p>
    <w:p>
      <w:pPr>
        <w:pStyle w:val="126"/>
        <w:widowControl/>
        <w:spacing w:line="360" w:lineRule="auto"/>
        <w:ind w:firstLine="0" w:firstLineChars="0"/>
        <w:jc w:val="left"/>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6.3.2密度：按照GB/T4472-2011《化工产品密度、相对密度的测定》进行测定。</w:t>
      </w:r>
    </w:p>
    <w:p>
      <w:pPr>
        <w:pStyle w:val="126"/>
        <w:widowControl/>
        <w:spacing w:line="360" w:lineRule="auto"/>
        <w:ind w:firstLine="0" w:firstLineChars="0"/>
        <w:jc w:val="left"/>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粘度：使用旋转粘度计，按照GB/T 2794-2013《胶粘剂粘度的测定单圆筒旋转粘度计法》进行测定。</w:t>
      </w:r>
    </w:p>
    <w:p>
      <w:pPr>
        <w:pStyle w:val="126"/>
        <w:widowControl/>
        <w:spacing w:line="360" w:lineRule="auto"/>
        <w:ind w:firstLine="0" w:firstLineChars="0"/>
        <w:jc w:val="left"/>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6.3.3防火性能：按照UL94《设备和器具部件用塑料材料的可燃性试验》和GB/T 9978-2008《建筑构件耐火试验方法》进行测试。</w:t>
      </w:r>
    </w:p>
    <w:p>
      <w:pPr>
        <w:pStyle w:val="126"/>
        <w:widowControl/>
        <w:spacing w:line="360" w:lineRule="auto"/>
        <w:ind w:firstLine="0" w:firstLineChars="0"/>
        <w:jc w:val="left"/>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6.3.4防潮性能：按照GB/T 1037-1988《塑料薄膜和片材透水蒸气性试验方法 杯式法》和GB/T 1690-2010《硫化橡胶或热塑性橡胶耐液体试验方法》进行测试。</w:t>
      </w:r>
    </w:p>
    <w:p>
      <w:pPr>
        <w:pStyle w:val="126"/>
        <w:widowControl/>
        <w:spacing w:line="360" w:lineRule="auto"/>
        <w:ind w:firstLine="0" w:firstLineChars="0"/>
        <w:jc w:val="left"/>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6.3.5气密性能：按照GB/T 7755-2003《硫化橡胶或热塑性橡胶透气性的测定》进行测试。</w:t>
      </w:r>
    </w:p>
    <w:p>
      <w:pPr>
        <w:pStyle w:val="126"/>
        <w:widowControl/>
        <w:spacing w:line="360" w:lineRule="auto"/>
        <w:ind w:firstLine="0" w:firstLineChars="0"/>
        <w:jc w:val="left"/>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⑥耐候性能：按照GB/T 1865-2009《色漆和清漆人工气候老化和人工辐射曝露 滤过的氙弧辐射》进行测试。</w:t>
      </w:r>
    </w:p>
    <w:p>
      <w:pPr>
        <w:pStyle w:val="126"/>
        <w:widowControl/>
        <w:spacing w:line="360" w:lineRule="auto"/>
        <w:ind w:firstLine="0" w:firstLineChars="0"/>
        <w:jc w:val="left"/>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SA"/>
        </w:rPr>
        <w:t>6.3.6施工性能：按照实际施工操作进行评估。</w:t>
      </w:r>
    </w:p>
    <w:p>
      <w:pPr>
        <w:spacing w:line="360" w:lineRule="auto"/>
        <w:rPr>
          <w:color w:val="auto"/>
          <w:highlight w:val="none"/>
        </w:rPr>
      </w:pPr>
      <w:r>
        <w:rPr>
          <w:color w:val="auto"/>
          <w:highlight w:val="none"/>
        </w:rPr>
        <w:t>（2）判定准则</w:t>
      </w:r>
    </w:p>
    <w:p>
      <w:pPr>
        <w:pStyle w:val="126"/>
        <w:widowControl/>
        <w:spacing w:line="360" w:lineRule="auto"/>
        <w:ind w:firstLine="0" w:firstLineChars="0"/>
        <w:jc w:val="left"/>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①产品应符合本技术规格书的所有要求，检验项目中如有一项不合格，则判定该批产品不合格。</w:t>
      </w:r>
    </w:p>
    <w:p>
      <w:pPr>
        <w:pStyle w:val="126"/>
        <w:widowControl/>
        <w:spacing w:line="360" w:lineRule="auto"/>
        <w:ind w:firstLine="0" w:firstLineChars="0"/>
        <w:jc w:val="left"/>
        <w:rPr>
          <w:color w:val="auto"/>
          <w:highlight w:val="none"/>
        </w:rPr>
      </w:pPr>
      <w:r>
        <w:rPr>
          <w:rFonts w:hint="eastAsia" w:ascii="宋体" w:hAnsi="宋体" w:eastAsia="宋体" w:cs="宋体"/>
          <w:color w:val="auto"/>
          <w:kern w:val="2"/>
          <w:sz w:val="21"/>
          <w:szCs w:val="24"/>
          <w:highlight w:val="none"/>
          <w:lang w:val="en-US" w:eastAsia="zh-CN" w:bidi="ar-SA"/>
        </w:rPr>
        <w:t>②施工后的封堵效果应满足防火、防潮、气密等要求，外观平整、光滑，无裂缝、孔洞等缺陷。</w:t>
      </w:r>
    </w:p>
    <w:p>
      <w:pPr>
        <w:pStyle w:val="3"/>
        <w:spacing w:before="0" w:after="0" w:line="360" w:lineRule="auto"/>
        <w:rPr>
          <w:rFonts w:ascii="Times New Roman" w:hAnsi="Times New Roman" w:eastAsia="黑体"/>
          <w:b w:val="0"/>
          <w:bCs/>
          <w:color w:val="auto"/>
          <w:sz w:val="24"/>
          <w:szCs w:val="24"/>
          <w:highlight w:val="none"/>
        </w:rPr>
      </w:pPr>
      <w:bookmarkStart w:id="285" w:name="_Toc24810"/>
      <w:bookmarkStart w:id="286" w:name="_Toc24017"/>
      <w:r>
        <w:rPr>
          <w:rFonts w:ascii="Times New Roman" w:hAnsi="Times New Roman" w:eastAsia="黑体"/>
          <w:b w:val="0"/>
          <w:bCs/>
          <w:color w:val="auto"/>
          <w:sz w:val="24"/>
          <w:szCs w:val="24"/>
          <w:highlight w:val="none"/>
        </w:rPr>
        <w:t>6.</w:t>
      </w:r>
      <w:r>
        <w:rPr>
          <w:rFonts w:hint="eastAsia" w:ascii="Times New Roman" w:hAnsi="Times New Roman" w:eastAsia="黑体"/>
          <w:b w:val="0"/>
          <w:bCs/>
          <w:color w:val="auto"/>
          <w:sz w:val="24"/>
          <w:szCs w:val="24"/>
          <w:highlight w:val="none"/>
          <w:lang w:val="en-US" w:eastAsia="zh-CN"/>
        </w:rPr>
        <w:t>4</w:t>
      </w:r>
      <w:r>
        <w:rPr>
          <w:rFonts w:ascii="Times New Roman" w:hAnsi="Times New Roman" w:eastAsia="黑体"/>
          <w:b w:val="0"/>
          <w:bCs/>
          <w:color w:val="auto"/>
          <w:sz w:val="24"/>
          <w:szCs w:val="24"/>
          <w:highlight w:val="none"/>
        </w:rPr>
        <w:t xml:space="preserve"> 结构和外观检查</w:t>
      </w:r>
      <w:bookmarkEnd w:id="285"/>
      <w:bookmarkEnd w:id="286"/>
    </w:p>
    <w:p>
      <w:pPr>
        <w:spacing w:line="360" w:lineRule="auto"/>
        <w:rPr>
          <w:color w:val="auto"/>
          <w:highlight w:val="none"/>
        </w:rPr>
      </w:pPr>
      <w:r>
        <w:rPr>
          <w:color w:val="auto"/>
          <w:highlight w:val="none"/>
        </w:rPr>
        <w:t>（1）试验方法</w:t>
      </w:r>
    </w:p>
    <w:p>
      <w:pPr>
        <w:spacing w:line="360" w:lineRule="auto"/>
        <w:ind w:firstLine="420"/>
        <w:rPr>
          <w:color w:val="auto"/>
          <w:highlight w:val="none"/>
        </w:rPr>
      </w:pPr>
      <w:r>
        <w:rPr>
          <w:color w:val="auto"/>
          <w:highlight w:val="none"/>
        </w:rPr>
        <w:t>通过目测对</w:t>
      </w:r>
      <w:r>
        <w:rPr>
          <w:rFonts w:hint="eastAsia"/>
          <w:color w:val="auto"/>
          <w:highlight w:val="none"/>
          <w:lang w:val="en-US" w:eastAsia="zh-CN"/>
        </w:rPr>
        <w:t>材料</w:t>
      </w:r>
      <w:r>
        <w:rPr>
          <w:color w:val="auto"/>
          <w:highlight w:val="none"/>
        </w:rPr>
        <w:t>进行外观和结构方面的检查。</w:t>
      </w:r>
    </w:p>
    <w:p>
      <w:pPr>
        <w:spacing w:line="360" w:lineRule="auto"/>
        <w:rPr>
          <w:color w:val="auto"/>
          <w:highlight w:val="none"/>
        </w:rPr>
      </w:pPr>
      <w:r>
        <w:rPr>
          <w:color w:val="auto"/>
          <w:highlight w:val="none"/>
        </w:rPr>
        <w:t>（2）判定准则</w:t>
      </w:r>
    </w:p>
    <w:p>
      <w:pPr>
        <w:spacing w:line="360" w:lineRule="auto"/>
        <w:outlineLvl w:val="0"/>
        <w:rPr>
          <w:color w:val="auto"/>
          <w:highlight w:val="none"/>
        </w:rPr>
      </w:pPr>
      <w:bookmarkStart w:id="287" w:name="_Toc23281"/>
      <w:r>
        <w:rPr>
          <w:color w:val="auto"/>
          <w:highlight w:val="none"/>
        </w:rPr>
        <w:t>应满足本技术规范书中5.10规定的相关技术要求。</w:t>
      </w:r>
      <w:bookmarkEnd w:id="287"/>
    </w:p>
    <w:p>
      <w:pPr>
        <w:pStyle w:val="3"/>
        <w:spacing w:before="0" w:after="0" w:line="360" w:lineRule="auto"/>
        <w:rPr>
          <w:rFonts w:hint="eastAsia" w:ascii="Times New Roman" w:hAnsi="Times New Roman" w:eastAsia="黑体"/>
          <w:b w:val="0"/>
          <w:bCs/>
          <w:color w:val="auto"/>
          <w:sz w:val="24"/>
          <w:szCs w:val="24"/>
          <w:highlight w:val="none"/>
          <w:lang w:val="en-US" w:eastAsia="zh-CN"/>
        </w:rPr>
      </w:pPr>
      <w:bookmarkStart w:id="288" w:name="_Toc31273"/>
      <w:r>
        <w:rPr>
          <w:rFonts w:hint="eastAsia" w:ascii="Times New Roman" w:hAnsi="Times New Roman" w:eastAsia="黑体"/>
          <w:b w:val="0"/>
          <w:bCs/>
          <w:color w:val="auto"/>
          <w:sz w:val="24"/>
          <w:szCs w:val="24"/>
          <w:highlight w:val="none"/>
          <w:lang w:val="en-US" w:eastAsia="zh-CN"/>
        </w:rPr>
        <w:t>6.5 检测报告</w:t>
      </w:r>
      <w:bookmarkEnd w:id="288"/>
    </w:p>
    <w:p>
      <w:pPr>
        <w:spacing w:line="360" w:lineRule="auto"/>
        <w:ind w:firstLine="420"/>
        <w:rPr>
          <w:rFonts w:eastAsia="宋体"/>
          <w:color w:val="auto"/>
          <w:highlight w:val="none"/>
        </w:rPr>
      </w:pPr>
      <w:r>
        <w:rPr>
          <w:rFonts w:eastAsia="宋体"/>
          <w:color w:val="auto"/>
          <w:highlight w:val="none"/>
          <w:lang w:val="en-US" w:eastAsia="zh-CN"/>
        </w:rPr>
        <w:t>投标方须提供本次招标所涉</w:t>
      </w:r>
      <w:r>
        <w:rPr>
          <w:rFonts w:hint="eastAsia" w:eastAsia="宋体"/>
          <w:color w:val="auto"/>
          <w:highlight w:val="none"/>
          <w:lang w:eastAsia="zh-CN"/>
        </w:rPr>
        <w:t>图像视频核心感知与传输单元</w:t>
      </w:r>
      <w:r>
        <w:rPr>
          <w:rFonts w:eastAsia="宋体"/>
          <w:color w:val="auto"/>
          <w:highlight w:val="none"/>
          <w:lang w:val="en-US" w:eastAsia="zh-CN"/>
        </w:rPr>
        <w:t>组件由具备CMA或CNAS资质的第三方检测机构出具的有效产品委托实验报告，报告需明确载明组件检测合格且符合本次招标要求。</w:t>
      </w:r>
    </w:p>
    <w:p>
      <w:pPr>
        <w:spacing w:line="360" w:lineRule="auto"/>
        <w:outlineLvl w:val="0"/>
        <w:rPr>
          <w:rFonts w:eastAsia="黑体"/>
          <w:color w:val="auto"/>
          <w:sz w:val="28"/>
          <w:szCs w:val="28"/>
          <w:highlight w:val="none"/>
        </w:rPr>
      </w:pPr>
      <w:bookmarkStart w:id="289" w:name="_Toc29789"/>
      <w:r>
        <w:rPr>
          <w:rFonts w:eastAsia="黑体"/>
          <w:color w:val="auto"/>
          <w:sz w:val="28"/>
          <w:szCs w:val="28"/>
          <w:highlight w:val="none"/>
        </w:rPr>
        <w:t>7 检验规则</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9"/>
    </w:p>
    <w:p>
      <w:pPr>
        <w:pStyle w:val="97"/>
        <w:spacing w:line="360" w:lineRule="auto"/>
        <w:ind w:firstLine="420" w:firstLineChars="200"/>
        <w:rPr>
          <w:rFonts w:eastAsia="黑体"/>
          <w:color w:val="auto"/>
          <w:sz w:val="28"/>
          <w:szCs w:val="28"/>
          <w:highlight w:val="none"/>
        </w:rPr>
      </w:pPr>
      <w:r>
        <w:rPr>
          <w:rFonts w:hint="eastAsia"/>
          <w:color w:val="auto"/>
          <w:highlight w:val="none"/>
          <w:lang w:val="en-US" w:eastAsia="zh-CN"/>
        </w:rPr>
        <w:t>材料</w:t>
      </w:r>
      <w:r>
        <w:rPr>
          <w:color w:val="auto"/>
          <w:highlight w:val="none"/>
        </w:rPr>
        <w:t>检验分为</w:t>
      </w:r>
      <w:r>
        <w:rPr>
          <w:rFonts w:hint="eastAsia"/>
          <w:color w:val="auto"/>
          <w:highlight w:val="none"/>
          <w:lang w:val="en-US" w:eastAsia="zh-CN"/>
        </w:rPr>
        <w:t>委托试验</w:t>
      </w:r>
      <w:r>
        <w:rPr>
          <w:color w:val="auto"/>
          <w:highlight w:val="none"/>
        </w:rPr>
        <w:t>、出厂检验、送样检测、到货抽检、交接试验试验五类、试验项目按表2所列规定执行，检验报告应具有试验方法、试验过程数据和试验结论。</w:t>
      </w:r>
    </w:p>
    <w:p>
      <w:pPr>
        <w:spacing w:line="360" w:lineRule="auto"/>
        <w:jc w:val="center"/>
        <w:rPr>
          <w:rFonts w:eastAsia="黑体"/>
          <w:color w:val="auto"/>
          <w:sz w:val="28"/>
          <w:szCs w:val="28"/>
          <w:highlight w:val="none"/>
        </w:rPr>
      </w:pPr>
      <w:r>
        <w:rPr>
          <w:rStyle w:val="98"/>
          <w:color w:val="auto"/>
          <w:szCs w:val="21"/>
          <w:highlight w:val="none"/>
        </w:rPr>
        <w:t xml:space="preserve">表2 </w:t>
      </w:r>
      <w:r>
        <w:rPr>
          <w:rStyle w:val="98"/>
          <w:rFonts w:hint="eastAsia" w:eastAsia="黑体"/>
          <w:color w:val="auto"/>
          <w:szCs w:val="21"/>
          <w:highlight w:val="none"/>
          <w:lang w:val="en-US" w:eastAsia="zh-CN"/>
        </w:rPr>
        <w:t>新型高分子封堵材料</w:t>
      </w:r>
      <w:r>
        <w:rPr>
          <w:rStyle w:val="98"/>
          <w:color w:val="auto"/>
          <w:szCs w:val="21"/>
          <w:highlight w:val="none"/>
        </w:rPr>
        <w:t>检验项目</w:t>
      </w:r>
    </w:p>
    <w:tbl>
      <w:tblPr>
        <w:tblStyle w:val="57"/>
        <w:tblW w:w="9276" w:type="dxa"/>
        <w:tblInd w:w="0" w:type="dxa"/>
        <w:tblLayout w:type="fixed"/>
        <w:tblCellMar>
          <w:top w:w="0" w:type="dxa"/>
          <w:left w:w="108" w:type="dxa"/>
          <w:bottom w:w="0" w:type="dxa"/>
          <w:right w:w="108" w:type="dxa"/>
        </w:tblCellMar>
      </w:tblPr>
      <w:tblGrid>
        <w:gridCol w:w="686"/>
        <w:gridCol w:w="1369"/>
        <w:gridCol w:w="3128"/>
        <w:gridCol w:w="788"/>
        <w:gridCol w:w="659"/>
        <w:gridCol w:w="659"/>
        <w:gridCol w:w="659"/>
        <w:gridCol w:w="659"/>
        <w:gridCol w:w="669"/>
      </w:tblGrid>
      <w:tr>
        <w:tblPrEx>
          <w:tblCellMar>
            <w:top w:w="0" w:type="dxa"/>
            <w:left w:w="108" w:type="dxa"/>
            <w:bottom w:w="0" w:type="dxa"/>
            <w:right w:w="108" w:type="dxa"/>
          </w:tblCellMar>
        </w:tblPrEx>
        <w:trPr>
          <w:trHeight w:val="312"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bookmarkStart w:id="290" w:name="_Toc265313594"/>
            <w:r>
              <w:rPr>
                <w:color w:val="auto"/>
                <w:kern w:val="0"/>
                <w:sz w:val="18"/>
                <w:szCs w:val="18"/>
                <w:highlight w:val="none"/>
                <w:lang w:bidi="ar"/>
              </w:rPr>
              <w:t>序号</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试验项目分类</w:t>
            </w:r>
          </w:p>
        </w:tc>
        <w:tc>
          <w:tcPr>
            <w:tcW w:w="31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检验项目</w:t>
            </w: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依据条款</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rFonts w:hint="eastAsia"/>
                <w:color w:val="auto"/>
                <w:kern w:val="0"/>
                <w:sz w:val="18"/>
                <w:szCs w:val="18"/>
                <w:highlight w:val="none"/>
                <w:lang w:val="en-US" w:eastAsia="zh-CN" w:bidi="ar"/>
              </w:rPr>
              <w:t>委托</w:t>
            </w:r>
            <w:r>
              <w:rPr>
                <w:color w:val="auto"/>
                <w:kern w:val="0"/>
                <w:sz w:val="18"/>
                <w:szCs w:val="18"/>
                <w:highlight w:val="none"/>
                <w:lang w:bidi="ar"/>
              </w:rPr>
              <w:t>试验</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出厂试验</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送样检测</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到货抽检</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交接试验</w:t>
            </w:r>
          </w:p>
        </w:tc>
      </w:tr>
      <w:tr>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r>
      <w:tr>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3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sz w:val="18"/>
                <w:szCs w:val="18"/>
                <w:highlight w:val="none"/>
              </w:rPr>
            </w:pP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1</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宋体"/>
                <w:color w:val="auto"/>
                <w:kern w:val="0"/>
                <w:sz w:val="18"/>
                <w:szCs w:val="18"/>
                <w:highlight w:val="none"/>
                <w:lang w:bidi="ar"/>
              </w:rPr>
            </w:pPr>
            <w:r>
              <w:rPr>
                <w:rFonts w:eastAsia="宋体"/>
                <w:color w:val="auto"/>
                <w:kern w:val="0"/>
                <w:sz w:val="18"/>
                <w:szCs w:val="18"/>
                <w:highlight w:val="none"/>
                <w:lang w:bidi="ar"/>
              </w:rPr>
              <w:t>防火性能</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静电放电抗扰度试验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rFonts w:hint="default"/>
                <w:color w:val="auto"/>
                <w:sz w:val="18"/>
                <w:szCs w:val="18"/>
                <w:highlight w:val="none"/>
                <w:lang w:val="en-US"/>
              </w:rPr>
            </w:pPr>
            <w:r>
              <w:rPr>
                <w:color w:val="auto"/>
                <w:kern w:val="0"/>
                <w:sz w:val="18"/>
                <w:szCs w:val="18"/>
                <w:highlight w:val="none"/>
                <w:lang w:bidi="ar"/>
              </w:rPr>
              <w:t>6.</w:t>
            </w:r>
            <w:r>
              <w:rPr>
                <w:rFonts w:hint="eastAsia"/>
                <w:color w:val="auto"/>
                <w:kern w:val="0"/>
                <w:sz w:val="18"/>
                <w:szCs w:val="18"/>
                <w:highlight w:val="none"/>
                <w:lang w:val="en-US" w:eastAsia="zh-CN" w:bidi="ar"/>
              </w:rPr>
              <w:t>3.3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sz w:val="18"/>
                <w:szCs w:val="18"/>
                <w:highlight w:val="none"/>
                <w:lang w:val="en-US" w:eastAsia="zh-CN"/>
              </w:rPr>
            </w:pPr>
            <w:r>
              <w:rPr>
                <w:rFonts w:hint="eastAsia"/>
                <w:color w:val="auto"/>
                <w:sz w:val="18"/>
                <w:szCs w:val="18"/>
                <w:highlight w:val="none"/>
                <w:lang w:val="en-US" w:eastAsia="zh-CN"/>
              </w:rPr>
              <w:t>2</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宋体"/>
                <w:color w:val="auto"/>
                <w:kern w:val="0"/>
                <w:sz w:val="18"/>
                <w:szCs w:val="18"/>
                <w:highlight w:val="none"/>
                <w:lang w:bidi="ar"/>
              </w:rPr>
            </w:pPr>
            <w:r>
              <w:rPr>
                <w:rFonts w:eastAsia="宋体"/>
                <w:color w:val="auto"/>
                <w:kern w:val="0"/>
                <w:sz w:val="18"/>
                <w:szCs w:val="18"/>
                <w:highlight w:val="none"/>
                <w:lang w:bidi="ar"/>
              </w:rPr>
              <w:t>防潮性能</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低温试验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rFonts w:hint="default"/>
                <w:color w:val="auto"/>
                <w:sz w:val="18"/>
                <w:szCs w:val="18"/>
                <w:highlight w:val="none"/>
                <w:lang w:val="en-US"/>
              </w:rPr>
            </w:pPr>
            <w:r>
              <w:rPr>
                <w:color w:val="auto"/>
                <w:kern w:val="0"/>
                <w:sz w:val="18"/>
                <w:szCs w:val="18"/>
                <w:highlight w:val="none"/>
                <w:lang w:bidi="ar"/>
              </w:rPr>
              <w:t>6.</w:t>
            </w:r>
            <w:r>
              <w:rPr>
                <w:rFonts w:hint="eastAsia"/>
                <w:color w:val="auto"/>
                <w:kern w:val="0"/>
                <w:sz w:val="18"/>
                <w:szCs w:val="18"/>
                <w:highlight w:val="none"/>
                <w:lang w:val="en-US" w:eastAsia="zh-CN" w:bidi="ar"/>
              </w:rPr>
              <w:t>3.4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sz w:val="18"/>
                <w:szCs w:val="18"/>
                <w:highlight w:val="none"/>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kern w:val="0"/>
                <w:sz w:val="18"/>
                <w:szCs w:val="18"/>
                <w:highlight w:val="none"/>
                <w:lang w:val="en-US" w:eastAsia="zh-CN" w:bidi="ar"/>
              </w:rPr>
            </w:pPr>
            <w:bookmarkStart w:id="291" w:name="_Toc167"/>
            <w:bookmarkStart w:id="292" w:name="_Toc1775"/>
            <w:bookmarkStart w:id="293" w:name="_Toc12089"/>
            <w:bookmarkStart w:id="294" w:name="_Toc14480"/>
            <w:bookmarkStart w:id="295" w:name="_Toc22886"/>
            <w:bookmarkStart w:id="296" w:name="_Toc6743"/>
            <w:bookmarkStart w:id="297" w:name="_Toc500920863"/>
            <w:bookmarkStart w:id="298" w:name="_Toc168869427"/>
            <w:bookmarkStart w:id="299" w:name="_Toc11022"/>
            <w:bookmarkStart w:id="300" w:name="_Toc17805"/>
            <w:bookmarkStart w:id="301" w:name="_Toc12096"/>
            <w:bookmarkStart w:id="302" w:name="_Toc26260"/>
            <w:bookmarkStart w:id="303" w:name="_Toc22043"/>
            <w:bookmarkStart w:id="304" w:name="_Toc27498"/>
            <w:r>
              <w:rPr>
                <w:rFonts w:hint="eastAsia"/>
                <w:color w:val="auto"/>
                <w:kern w:val="0"/>
                <w:sz w:val="18"/>
                <w:szCs w:val="18"/>
                <w:highlight w:val="none"/>
                <w:lang w:val="en-US" w:eastAsia="zh-CN" w:bidi="ar"/>
              </w:rPr>
              <w:t>3</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宋体"/>
                <w:color w:val="auto"/>
                <w:kern w:val="0"/>
                <w:sz w:val="18"/>
                <w:szCs w:val="18"/>
                <w:highlight w:val="none"/>
                <w:lang w:bidi="ar"/>
              </w:rPr>
            </w:pPr>
            <w:r>
              <w:rPr>
                <w:rFonts w:eastAsia="宋体"/>
                <w:color w:val="auto"/>
                <w:kern w:val="0"/>
                <w:sz w:val="18"/>
                <w:szCs w:val="18"/>
                <w:highlight w:val="none"/>
                <w:lang w:bidi="ar"/>
              </w:rPr>
              <w:t>气密性能</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振动试验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rFonts w:hint="default"/>
                <w:color w:val="auto"/>
                <w:kern w:val="0"/>
                <w:sz w:val="18"/>
                <w:szCs w:val="18"/>
                <w:highlight w:val="none"/>
                <w:lang w:val="en-US" w:bidi="ar"/>
              </w:rPr>
            </w:pPr>
            <w:r>
              <w:rPr>
                <w:color w:val="auto"/>
                <w:kern w:val="0"/>
                <w:sz w:val="18"/>
                <w:szCs w:val="18"/>
                <w:highlight w:val="none"/>
                <w:lang w:bidi="ar"/>
              </w:rPr>
              <w:t>6.</w:t>
            </w:r>
            <w:r>
              <w:rPr>
                <w:rFonts w:hint="eastAsia"/>
                <w:color w:val="auto"/>
                <w:kern w:val="0"/>
                <w:sz w:val="18"/>
                <w:szCs w:val="18"/>
                <w:highlight w:val="none"/>
                <w:lang w:val="en-US" w:eastAsia="zh-CN" w:bidi="ar"/>
              </w:rPr>
              <w:t>3.5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color w:val="auto"/>
                <w:kern w:val="0"/>
                <w:sz w:val="18"/>
                <w:szCs w:val="18"/>
                <w:highlight w:val="none"/>
                <w:lang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kern w:val="0"/>
                <w:sz w:val="18"/>
                <w:szCs w:val="18"/>
                <w:highlight w:val="none"/>
                <w:lang w:val="en-US" w:eastAsia="zh-CN" w:bidi="ar"/>
              </w:rPr>
            </w:pPr>
            <w:r>
              <w:rPr>
                <w:rFonts w:hint="eastAsia"/>
                <w:color w:val="auto"/>
                <w:kern w:val="0"/>
                <w:sz w:val="18"/>
                <w:szCs w:val="18"/>
                <w:highlight w:val="none"/>
                <w:lang w:val="en-US" w:eastAsia="zh-CN" w:bidi="ar"/>
              </w:rPr>
              <w:t>4</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宋体"/>
                <w:color w:val="auto"/>
                <w:kern w:val="0"/>
                <w:sz w:val="18"/>
                <w:szCs w:val="18"/>
                <w:highlight w:val="none"/>
                <w:lang w:bidi="ar"/>
              </w:rPr>
            </w:pPr>
            <w:r>
              <w:rPr>
                <w:rFonts w:hint="eastAsia" w:eastAsia="宋体"/>
                <w:color w:val="auto"/>
                <w:kern w:val="0"/>
                <w:sz w:val="18"/>
                <w:szCs w:val="18"/>
                <w:highlight w:val="none"/>
                <w:lang w:bidi="ar"/>
              </w:rPr>
              <w:t>密度</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防护等级试验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rFonts w:hint="default" w:eastAsia="宋体"/>
                <w:color w:val="auto"/>
                <w:kern w:val="0"/>
                <w:sz w:val="18"/>
                <w:szCs w:val="18"/>
                <w:highlight w:val="none"/>
                <w:lang w:val="en-US" w:eastAsia="zh-CN" w:bidi="ar"/>
              </w:rPr>
            </w:pPr>
            <w:r>
              <w:rPr>
                <w:color w:val="auto"/>
                <w:kern w:val="0"/>
                <w:sz w:val="18"/>
                <w:szCs w:val="18"/>
                <w:highlight w:val="none"/>
                <w:lang w:bidi="ar"/>
              </w:rPr>
              <w:t>6.</w:t>
            </w:r>
            <w:r>
              <w:rPr>
                <w:rFonts w:hint="eastAsia"/>
                <w:color w:val="auto"/>
                <w:kern w:val="0"/>
                <w:sz w:val="18"/>
                <w:szCs w:val="18"/>
                <w:highlight w:val="none"/>
                <w:lang w:val="en-US" w:eastAsia="zh-CN" w:bidi="ar"/>
              </w:rPr>
              <w:t>3.2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color w:val="auto"/>
                <w:kern w:val="0"/>
                <w:sz w:val="18"/>
                <w:szCs w:val="18"/>
                <w:highlight w:val="none"/>
                <w:lang w:val="en-US" w:eastAsia="zh-CN" w:bidi="ar"/>
              </w:rPr>
            </w:pPr>
            <w:r>
              <w:rPr>
                <w:rFonts w:hint="eastAsia"/>
                <w:color w:val="auto"/>
                <w:kern w:val="0"/>
                <w:sz w:val="18"/>
                <w:szCs w:val="18"/>
                <w:highlight w:val="none"/>
                <w:lang w:val="en-US" w:eastAsia="zh-CN" w:bidi="ar"/>
              </w:rPr>
              <w:t>5</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eastAsia="宋体"/>
                <w:color w:val="auto"/>
                <w:kern w:val="0"/>
                <w:sz w:val="18"/>
                <w:szCs w:val="18"/>
                <w:highlight w:val="none"/>
                <w:lang w:val="en-US" w:eastAsia="zh-CN" w:bidi="ar"/>
              </w:rPr>
            </w:pPr>
            <w:r>
              <w:rPr>
                <w:color w:val="auto"/>
                <w:kern w:val="0"/>
                <w:sz w:val="18"/>
                <w:szCs w:val="18"/>
                <w:highlight w:val="none"/>
                <w:lang w:bidi="ar"/>
              </w:rPr>
              <w:t>质量检查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质量检查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textAlignment w:val="top"/>
              <w:rPr>
                <w:color w:val="auto"/>
                <w:kern w:val="0"/>
                <w:sz w:val="18"/>
                <w:szCs w:val="18"/>
                <w:highlight w:val="none"/>
                <w:lang w:bidi="ar"/>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tblPrEx>
          <w:tblCellMar>
            <w:top w:w="0" w:type="dxa"/>
            <w:left w:w="108" w:type="dxa"/>
            <w:bottom w:w="0" w:type="dxa"/>
            <w:right w:w="108" w:type="dxa"/>
          </w:tblCellMar>
        </w:tblPrEx>
        <w:trPr>
          <w:trHeight w:val="36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eastAsia="宋体"/>
                <w:color w:val="auto"/>
                <w:kern w:val="0"/>
                <w:sz w:val="18"/>
                <w:szCs w:val="18"/>
                <w:highlight w:val="none"/>
                <w:lang w:val="en-US" w:eastAsia="zh-CN" w:bidi="ar"/>
              </w:rPr>
            </w:pPr>
            <w:r>
              <w:rPr>
                <w:rFonts w:hint="eastAsia"/>
                <w:color w:val="auto"/>
                <w:kern w:val="0"/>
                <w:sz w:val="18"/>
                <w:szCs w:val="18"/>
                <w:highlight w:val="none"/>
                <w:lang w:val="en-US" w:eastAsia="zh-CN" w:bidi="ar"/>
              </w:rPr>
              <w:t>6</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结构和外观检查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结构和外观检查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top"/>
              <w:rPr>
                <w:rFonts w:hint="default" w:eastAsia="宋体"/>
                <w:color w:val="auto"/>
                <w:kern w:val="0"/>
                <w:sz w:val="18"/>
                <w:szCs w:val="18"/>
                <w:highlight w:val="none"/>
                <w:lang w:val="en-US" w:eastAsia="zh-CN" w:bidi="ar"/>
              </w:rPr>
            </w:pPr>
            <w:r>
              <w:rPr>
                <w:color w:val="auto"/>
                <w:kern w:val="0"/>
                <w:sz w:val="18"/>
                <w:szCs w:val="18"/>
                <w:highlight w:val="none"/>
                <w:lang w:bidi="ar"/>
              </w:rPr>
              <w:t>6.</w:t>
            </w:r>
            <w:r>
              <w:rPr>
                <w:rFonts w:hint="eastAsia"/>
                <w:color w:val="auto"/>
                <w:kern w:val="0"/>
                <w:sz w:val="18"/>
                <w:szCs w:val="18"/>
                <w:highlight w:val="none"/>
                <w:lang w:val="en-US" w:eastAsia="zh-CN" w:bidi="ar"/>
              </w:rPr>
              <w:t>3.1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bl>
    <w:p>
      <w:pPr>
        <w:pStyle w:val="3"/>
        <w:spacing w:before="0" w:after="0" w:line="360" w:lineRule="auto"/>
        <w:rPr>
          <w:rFonts w:ascii="Times New Roman" w:hAnsi="Times New Roman" w:eastAsia="黑体"/>
          <w:b w:val="0"/>
          <w:bCs/>
          <w:color w:val="auto"/>
          <w:sz w:val="24"/>
          <w:szCs w:val="24"/>
          <w:highlight w:val="none"/>
        </w:rPr>
      </w:pPr>
      <w:bookmarkStart w:id="305" w:name="_Toc7578"/>
      <w:r>
        <w:rPr>
          <w:rFonts w:ascii="Times New Roman" w:hAnsi="Times New Roman" w:eastAsia="黑体"/>
          <w:b w:val="0"/>
          <w:bCs/>
          <w:color w:val="auto"/>
          <w:sz w:val="24"/>
          <w:szCs w:val="24"/>
          <w:highlight w:val="none"/>
        </w:rPr>
        <w:t xml:space="preserve">7.1 </w:t>
      </w:r>
      <w:r>
        <w:rPr>
          <w:rFonts w:hint="eastAsia" w:ascii="Times New Roman" w:hAnsi="Times New Roman" w:eastAsia="黑体"/>
          <w:b w:val="0"/>
          <w:bCs/>
          <w:color w:val="auto"/>
          <w:sz w:val="24"/>
          <w:szCs w:val="24"/>
          <w:highlight w:val="none"/>
          <w:lang w:val="en-US" w:eastAsia="zh-CN"/>
        </w:rPr>
        <w:t>委托</w:t>
      </w:r>
      <w:r>
        <w:rPr>
          <w:rFonts w:ascii="Times New Roman" w:hAnsi="Times New Roman" w:eastAsia="黑体"/>
          <w:b w:val="0"/>
          <w:bCs/>
          <w:color w:val="auto"/>
          <w:sz w:val="24"/>
          <w:szCs w:val="24"/>
          <w:highlight w:val="none"/>
        </w:rPr>
        <w:t>试验</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pPr>
        <w:pStyle w:val="97"/>
        <w:spacing w:line="360" w:lineRule="auto"/>
        <w:ind w:firstLine="420" w:firstLineChars="200"/>
        <w:rPr>
          <w:color w:val="auto"/>
          <w:highlight w:val="none"/>
        </w:rPr>
      </w:pPr>
      <w:r>
        <w:rPr>
          <w:rFonts w:hint="eastAsia"/>
          <w:color w:val="auto"/>
          <w:highlight w:val="none"/>
          <w:lang w:val="en-US" w:eastAsia="zh-CN"/>
        </w:rPr>
        <w:t>委托</w:t>
      </w:r>
      <w:r>
        <w:rPr>
          <w:color w:val="auto"/>
          <w:highlight w:val="none"/>
        </w:rPr>
        <w:t>试验应该是制造厂家将</w:t>
      </w:r>
      <w:r>
        <w:rPr>
          <w:rFonts w:hint="eastAsia"/>
          <w:color w:val="auto"/>
          <w:highlight w:val="none"/>
          <w:lang w:val="en-US" w:eastAsia="zh-CN"/>
        </w:rPr>
        <w:t>材料</w:t>
      </w:r>
      <w:r>
        <w:rPr>
          <w:color w:val="auto"/>
          <w:highlight w:val="none"/>
        </w:rPr>
        <w:t>送交具有资质的检测单位，由检测单位依据试验条目完成检验，并出具</w:t>
      </w:r>
      <w:r>
        <w:rPr>
          <w:rFonts w:hint="eastAsia"/>
          <w:color w:val="auto"/>
          <w:highlight w:val="none"/>
          <w:lang w:val="en-US" w:eastAsia="zh-CN"/>
        </w:rPr>
        <w:t>委托</w:t>
      </w:r>
      <w:r>
        <w:rPr>
          <w:color w:val="auto"/>
          <w:highlight w:val="none"/>
        </w:rPr>
        <w:t>检验报告。当出现下列情况之一时，应进行</w:t>
      </w:r>
      <w:r>
        <w:rPr>
          <w:rFonts w:hint="eastAsia"/>
          <w:color w:val="auto"/>
          <w:highlight w:val="none"/>
          <w:lang w:val="en-US" w:eastAsia="zh-CN"/>
        </w:rPr>
        <w:t>委托</w:t>
      </w:r>
      <w:r>
        <w:rPr>
          <w:color w:val="auto"/>
          <w:highlight w:val="none"/>
        </w:rPr>
        <w:t>试验：</w:t>
      </w:r>
    </w:p>
    <w:p>
      <w:pPr>
        <w:pStyle w:val="97"/>
        <w:spacing w:line="360" w:lineRule="auto"/>
        <w:ind w:firstLine="420" w:firstLineChars="200"/>
        <w:rPr>
          <w:color w:val="auto"/>
          <w:highlight w:val="none"/>
        </w:rPr>
      </w:pPr>
      <w:r>
        <w:rPr>
          <w:color w:val="auto"/>
          <w:highlight w:val="none"/>
        </w:rPr>
        <w:t>a） 新产品定型，投运前；</w:t>
      </w:r>
    </w:p>
    <w:p>
      <w:pPr>
        <w:pStyle w:val="97"/>
        <w:spacing w:line="360" w:lineRule="auto"/>
        <w:ind w:firstLine="420" w:firstLineChars="200"/>
        <w:rPr>
          <w:color w:val="auto"/>
          <w:highlight w:val="none"/>
        </w:rPr>
      </w:pPr>
      <w:r>
        <w:rPr>
          <w:color w:val="auto"/>
          <w:highlight w:val="none"/>
        </w:rPr>
        <w:t>b） 连续批量生产的</w:t>
      </w:r>
      <w:r>
        <w:rPr>
          <w:rFonts w:hint="eastAsia"/>
          <w:color w:val="auto"/>
          <w:highlight w:val="none"/>
          <w:lang w:val="en-US" w:eastAsia="zh-CN"/>
        </w:rPr>
        <w:t>材料</w:t>
      </w:r>
      <w:r>
        <w:rPr>
          <w:color w:val="auto"/>
          <w:highlight w:val="none"/>
        </w:rPr>
        <w:t>每四年一次；</w:t>
      </w:r>
    </w:p>
    <w:p>
      <w:pPr>
        <w:pStyle w:val="97"/>
        <w:spacing w:line="360" w:lineRule="auto"/>
        <w:ind w:firstLine="420" w:firstLineChars="200"/>
        <w:rPr>
          <w:color w:val="auto"/>
          <w:highlight w:val="none"/>
        </w:rPr>
      </w:pPr>
      <w:r>
        <w:rPr>
          <w:color w:val="auto"/>
          <w:highlight w:val="none"/>
        </w:rPr>
        <w:t>c） 正式投产后，如设计、工艺材料、元器件有较大改变，可能影响产品性能时；</w:t>
      </w:r>
    </w:p>
    <w:p>
      <w:pPr>
        <w:pStyle w:val="97"/>
        <w:spacing w:line="360" w:lineRule="auto"/>
        <w:ind w:firstLine="420" w:firstLineChars="200"/>
        <w:rPr>
          <w:color w:val="auto"/>
          <w:highlight w:val="none"/>
        </w:rPr>
      </w:pPr>
      <w:r>
        <w:rPr>
          <w:color w:val="auto"/>
          <w:highlight w:val="none"/>
        </w:rPr>
        <w:t>d） 产品停产一年以上又重新恢复生产时；</w:t>
      </w:r>
    </w:p>
    <w:p>
      <w:pPr>
        <w:pStyle w:val="97"/>
        <w:spacing w:line="360" w:lineRule="auto"/>
        <w:ind w:firstLine="420" w:firstLineChars="200"/>
        <w:rPr>
          <w:color w:val="auto"/>
          <w:highlight w:val="none"/>
        </w:rPr>
      </w:pPr>
      <w:r>
        <w:rPr>
          <w:color w:val="auto"/>
          <w:highlight w:val="none"/>
        </w:rPr>
        <w:t>e） 出厂试验结果与</w:t>
      </w:r>
      <w:r>
        <w:rPr>
          <w:rFonts w:hint="eastAsia"/>
          <w:color w:val="auto"/>
          <w:highlight w:val="none"/>
          <w:lang w:eastAsia="zh-CN"/>
        </w:rPr>
        <w:t>光储一体供电模块、解析处理模块与设备防护外壳组件</w:t>
      </w:r>
      <w:r>
        <w:rPr>
          <w:color w:val="auto"/>
          <w:highlight w:val="none"/>
        </w:rPr>
        <w:t>试验有较大差异时；</w:t>
      </w:r>
    </w:p>
    <w:p>
      <w:pPr>
        <w:pStyle w:val="97"/>
        <w:spacing w:line="360" w:lineRule="auto"/>
        <w:ind w:firstLine="420" w:firstLineChars="200"/>
        <w:rPr>
          <w:color w:val="auto"/>
          <w:highlight w:val="none"/>
        </w:rPr>
      </w:pPr>
      <w:r>
        <w:rPr>
          <w:color w:val="auto"/>
          <w:highlight w:val="none"/>
        </w:rPr>
        <w:t>f） 国家技术监督机构或受其委托的技术检验部门提出</w:t>
      </w:r>
      <w:r>
        <w:rPr>
          <w:rFonts w:hint="eastAsia"/>
          <w:color w:val="auto"/>
          <w:highlight w:val="none"/>
          <w:lang w:eastAsia="zh-CN"/>
        </w:rPr>
        <w:t>光储一体供电模块、解析处理模块与设备防护外壳组件</w:t>
      </w:r>
      <w:r>
        <w:rPr>
          <w:color w:val="auto"/>
          <w:highlight w:val="none"/>
        </w:rPr>
        <w:t>试验要求时；</w:t>
      </w:r>
    </w:p>
    <w:p>
      <w:pPr>
        <w:pStyle w:val="97"/>
        <w:spacing w:line="360" w:lineRule="auto"/>
        <w:ind w:firstLine="420" w:firstLineChars="200"/>
        <w:rPr>
          <w:rFonts w:eastAsia="黑体"/>
          <w:bCs/>
          <w:color w:val="auto"/>
          <w:sz w:val="24"/>
          <w:szCs w:val="24"/>
          <w:highlight w:val="none"/>
        </w:rPr>
      </w:pPr>
      <w:r>
        <w:rPr>
          <w:color w:val="auto"/>
          <w:highlight w:val="none"/>
        </w:rPr>
        <w:t>g） 合同规定进行</w:t>
      </w:r>
      <w:r>
        <w:rPr>
          <w:rFonts w:hint="eastAsia"/>
          <w:color w:val="auto"/>
          <w:highlight w:val="none"/>
          <w:lang w:eastAsia="zh-CN"/>
        </w:rPr>
        <w:t>光储一体供电模块、解析处理模块与设备防护外壳组件</w:t>
      </w:r>
      <w:r>
        <w:rPr>
          <w:color w:val="auto"/>
          <w:highlight w:val="none"/>
        </w:rPr>
        <w:t>试验时。</w:t>
      </w:r>
      <w:bookmarkStart w:id="306" w:name="_Toc265313595"/>
      <w:bookmarkStart w:id="307" w:name="_Toc500920864"/>
    </w:p>
    <w:p>
      <w:pPr>
        <w:pStyle w:val="3"/>
        <w:spacing w:before="0" w:after="0" w:line="360" w:lineRule="auto"/>
        <w:rPr>
          <w:rFonts w:ascii="Times New Roman" w:hAnsi="Times New Roman" w:eastAsia="黑体"/>
          <w:b w:val="0"/>
          <w:bCs/>
          <w:color w:val="auto"/>
          <w:sz w:val="24"/>
          <w:szCs w:val="24"/>
          <w:highlight w:val="none"/>
        </w:rPr>
      </w:pPr>
      <w:bookmarkStart w:id="308" w:name="_Toc168869428"/>
      <w:bookmarkStart w:id="309" w:name="_Toc5668"/>
      <w:bookmarkStart w:id="310" w:name="_Toc9782"/>
      <w:bookmarkStart w:id="311" w:name="_Toc27715"/>
      <w:bookmarkStart w:id="312" w:name="_Toc31526"/>
      <w:bookmarkStart w:id="313" w:name="_Toc11725"/>
      <w:bookmarkStart w:id="314" w:name="_Toc7584"/>
      <w:bookmarkStart w:id="315" w:name="_Toc16538"/>
      <w:bookmarkStart w:id="316" w:name="_Toc30422"/>
      <w:bookmarkStart w:id="317" w:name="_Toc29643"/>
      <w:bookmarkStart w:id="318" w:name="_Toc13157"/>
      <w:bookmarkStart w:id="319" w:name="_Toc27250"/>
      <w:bookmarkStart w:id="320" w:name="_Toc8610"/>
      <w:bookmarkStart w:id="321" w:name="_Toc12209"/>
      <w:r>
        <w:rPr>
          <w:rFonts w:ascii="Times New Roman" w:hAnsi="Times New Roman" w:eastAsia="黑体"/>
          <w:b w:val="0"/>
          <w:bCs/>
          <w:color w:val="auto"/>
          <w:sz w:val="24"/>
          <w:szCs w:val="24"/>
          <w:highlight w:val="none"/>
        </w:rPr>
        <w:t>7.2 出厂</w:t>
      </w:r>
      <w:bookmarkEnd w:id="306"/>
      <w:r>
        <w:rPr>
          <w:rFonts w:ascii="Times New Roman" w:hAnsi="Times New Roman" w:eastAsia="黑体"/>
          <w:b w:val="0"/>
          <w:bCs/>
          <w:color w:val="auto"/>
          <w:sz w:val="24"/>
          <w:szCs w:val="24"/>
          <w:highlight w:val="none"/>
        </w:rPr>
        <w:t>检验</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pPr>
        <w:pStyle w:val="97"/>
        <w:spacing w:line="360" w:lineRule="auto"/>
        <w:ind w:firstLine="420" w:firstLineChars="200"/>
        <w:rPr>
          <w:color w:val="auto"/>
          <w:highlight w:val="none"/>
        </w:rPr>
      </w:pPr>
      <w:r>
        <w:rPr>
          <w:color w:val="auto"/>
          <w:highlight w:val="none"/>
        </w:rPr>
        <w:t>每</w:t>
      </w:r>
      <w:r>
        <w:rPr>
          <w:rFonts w:hint="eastAsia"/>
          <w:color w:val="auto"/>
          <w:highlight w:val="none"/>
          <w:lang w:val="en-US" w:eastAsia="zh-CN"/>
        </w:rPr>
        <w:t>套材料</w:t>
      </w:r>
      <w:r>
        <w:rPr>
          <w:color w:val="auto"/>
          <w:highlight w:val="none"/>
        </w:rPr>
        <w:t>出厂前在正常试验条件下逐个按规定进行例行检验，检验合格后，附有合格证，方可允许出厂。</w:t>
      </w:r>
    </w:p>
    <w:p>
      <w:pPr>
        <w:pStyle w:val="3"/>
        <w:spacing w:before="0" w:after="0" w:line="360" w:lineRule="auto"/>
        <w:rPr>
          <w:rFonts w:ascii="Times New Roman" w:hAnsi="Times New Roman" w:eastAsia="黑体"/>
          <w:b w:val="0"/>
          <w:bCs/>
          <w:color w:val="auto"/>
          <w:sz w:val="24"/>
          <w:szCs w:val="24"/>
          <w:highlight w:val="none"/>
        </w:rPr>
      </w:pPr>
      <w:bookmarkStart w:id="322" w:name="_Toc18027"/>
      <w:bookmarkStart w:id="323" w:name="_Toc265313596"/>
      <w:bookmarkStart w:id="324" w:name="_Toc500920865"/>
      <w:bookmarkStart w:id="325" w:name="_Toc2706"/>
      <w:bookmarkStart w:id="326" w:name="_Toc11556"/>
      <w:bookmarkStart w:id="327" w:name="_Toc23342"/>
      <w:bookmarkStart w:id="328" w:name="_Toc14653"/>
      <w:bookmarkStart w:id="329" w:name="_Toc26220"/>
      <w:bookmarkStart w:id="330" w:name="_Toc28459"/>
      <w:bookmarkStart w:id="331" w:name="_Toc1001"/>
      <w:bookmarkStart w:id="332" w:name="_Toc20994"/>
      <w:bookmarkStart w:id="333" w:name="_Toc8872"/>
      <w:bookmarkStart w:id="334" w:name="_Toc168869429"/>
      <w:bookmarkStart w:id="335" w:name="_Toc678"/>
      <w:bookmarkStart w:id="336" w:name="_Toc13856"/>
      <w:bookmarkStart w:id="337" w:name="_Toc28381"/>
      <w:bookmarkStart w:id="338" w:name="_Toc19075"/>
      <w:bookmarkStart w:id="339" w:name="_Toc28887"/>
      <w:bookmarkStart w:id="340" w:name="_Toc25717"/>
      <w:bookmarkStart w:id="341" w:name="_Toc27802"/>
      <w:bookmarkStart w:id="342" w:name="_Toc25537"/>
      <w:bookmarkStart w:id="343" w:name="_Toc9225"/>
      <w:bookmarkStart w:id="344" w:name="_Toc12652"/>
      <w:bookmarkStart w:id="345" w:name="_Toc168869432"/>
      <w:bookmarkStart w:id="346" w:name="_Toc500920866"/>
      <w:bookmarkStart w:id="347" w:name="_Toc20457"/>
      <w:bookmarkStart w:id="348" w:name="_Toc20266"/>
      <w:bookmarkStart w:id="349" w:name="_Toc17471"/>
      <w:bookmarkStart w:id="350" w:name="_Toc15653"/>
      <w:bookmarkStart w:id="351" w:name="_Toc16489"/>
      <w:r>
        <w:rPr>
          <w:rFonts w:ascii="Times New Roman" w:hAnsi="Times New Roman" w:eastAsia="黑体"/>
          <w:b w:val="0"/>
          <w:bCs/>
          <w:color w:val="auto"/>
          <w:sz w:val="24"/>
          <w:szCs w:val="24"/>
          <w:highlight w:val="none"/>
        </w:rPr>
        <w:t xml:space="preserve">7.3 </w:t>
      </w:r>
      <w:bookmarkEnd w:id="322"/>
      <w:bookmarkEnd w:id="323"/>
      <w:bookmarkEnd w:id="324"/>
      <w:r>
        <w:rPr>
          <w:rFonts w:ascii="Times New Roman" w:hAnsi="Times New Roman" w:eastAsia="黑体"/>
          <w:b w:val="0"/>
          <w:bCs/>
          <w:color w:val="auto"/>
          <w:sz w:val="24"/>
          <w:szCs w:val="24"/>
          <w:highlight w:val="none"/>
        </w:rPr>
        <w:t>送样检测</w:t>
      </w:r>
      <w:bookmarkEnd w:id="325"/>
      <w:bookmarkEnd w:id="326"/>
      <w:bookmarkEnd w:id="327"/>
      <w:bookmarkEnd w:id="328"/>
      <w:bookmarkEnd w:id="329"/>
      <w:bookmarkEnd w:id="330"/>
      <w:bookmarkEnd w:id="331"/>
      <w:bookmarkEnd w:id="332"/>
      <w:bookmarkEnd w:id="333"/>
      <w:bookmarkEnd w:id="334"/>
      <w:bookmarkEnd w:id="335"/>
      <w:bookmarkEnd w:id="336"/>
      <w:bookmarkEnd w:id="337"/>
    </w:p>
    <w:p>
      <w:pPr>
        <w:spacing w:line="360" w:lineRule="auto"/>
        <w:ind w:firstLine="420" w:firstLineChars="200"/>
        <w:rPr>
          <w:color w:val="auto"/>
          <w:szCs w:val="21"/>
          <w:highlight w:val="none"/>
        </w:rPr>
      </w:pPr>
      <w:bookmarkStart w:id="352" w:name="_Toc4683"/>
      <w:bookmarkStart w:id="353" w:name="_Toc8245"/>
      <w:bookmarkStart w:id="354" w:name="_Toc19186"/>
      <w:bookmarkStart w:id="355" w:name="_Toc11136"/>
      <w:bookmarkStart w:id="356" w:name="_Toc23674"/>
      <w:bookmarkStart w:id="357" w:name="_Toc2253"/>
      <w:bookmarkStart w:id="358" w:name="_Toc168869430"/>
      <w:bookmarkStart w:id="359" w:name="_Toc24481"/>
      <w:bookmarkStart w:id="360" w:name="_Toc18244"/>
      <w:bookmarkStart w:id="361" w:name="_Toc16604"/>
      <w:bookmarkStart w:id="362" w:name="_Toc6738"/>
      <w:bookmarkStart w:id="363" w:name="_Toc4770"/>
      <w:r>
        <w:rPr>
          <w:color w:val="auto"/>
          <w:szCs w:val="21"/>
          <w:highlight w:val="none"/>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w:t>
      </w:r>
      <w:r>
        <w:rPr>
          <w:rFonts w:hint="eastAsia"/>
          <w:color w:val="auto"/>
          <w:szCs w:val="21"/>
          <w:highlight w:val="none"/>
          <w:lang w:eastAsia="zh-CN"/>
        </w:rPr>
        <w:t>光储一体供电模块、解析处理模块与设备防护外壳组件</w:t>
      </w:r>
      <w:r>
        <w:rPr>
          <w:color w:val="auto"/>
          <w:szCs w:val="21"/>
          <w:highlight w:val="none"/>
        </w:rPr>
        <w:t>试验一致。缺陷分类如下：</w:t>
      </w:r>
    </w:p>
    <w:p>
      <w:pPr>
        <w:spacing w:line="360" w:lineRule="auto"/>
        <w:ind w:firstLine="420" w:firstLineChars="200"/>
        <w:rPr>
          <w:color w:val="auto"/>
          <w:szCs w:val="21"/>
          <w:highlight w:val="none"/>
        </w:rPr>
      </w:pPr>
      <w:r>
        <w:rPr>
          <w:color w:val="auto"/>
          <w:szCs w:val="21"/>
          <w:highlight w:val="none"/>
        </w:rPr>
        <w:t>A类</w:t>
      </w:r>
      <w:r>
        <w:rPr>
          <w:rFonts w:hint="eastAsia"/>
          <w:color w:val="auto"/>
          <w:szCs w:val="21"/>
          <w:highlight w:val="none"/>
          <w:lang w:eastAsia="zh-CN"/>
        </w:rPr>
        <w:t>（</w:t>
      </w:r>
      <w:r>
        <w:rPr>
          <w:rFonts w:hint="eastAsia"/>
          <w:color w:val="auto"/>
          <w:szCs w:val="21"/>
          <w:highlight w:val="none"/>
          <w:lang w:val="en-US" w:eastAsia="zh-CN"/>
        </w:rPr>
        <w:t>现场随机2项</w:t>
      </w:r>
      <w:r>
        <w:rPr>
          <w:rFonts w:hint="eastAsia"/>
          <w:color w:val="auto"/>
          <w:szCs w:val="21"/>
          <w:highlight w:val="none"/>
          <w:lang w:eastAsia="zh-CN"/>
        </w:rPr>
        <w:t>）</w:t>
      </w:r>
      <w:r>
        <w:rPr>
          <w:color w:val="auto"/>
          <w:szCs w:val="21"/>
          <w:highlight w:val="none"/>
        </w:rPr>
        <w:t>：通信规约试验、物联网平台接入试验</w:t>
      </w:r>
      <w:r>
        <w:rPr>
          <w:rFonts w:hint="eastAsia"/>
          <w:color w:val="auto"/>
          <w:szCs w:val="21"/>
          <w:highlight w:val="none"/>
          <w:lang w:val="en-US" w:eastAsia="zh-CN"/>
        </w:rPr>
        <w:t>、</w:t>
      </w:r>
      <w:r>
        <w:rPr>
          <w:color w:val="auto"/>
          <w:szCs w:val="21"/>
          <w:highlight w:val="none"/>
        </w:rPr>
        <w:t>连续运行试验（</w:t>
      </w:r>
      <w:r>
        <w:rPr>
          <w:rFonts w:hint="eastAsia"/>
          <w:color w:val="auto"/>
          <w:szCs w:val="21"/>
          <w:highlight w:val="none"/>
          <w:lang w:val="en-US" w:eastAsia="zh-CN"/>
        </w:rPr>
        <w:t>168</w:t>
      </w:r>
      <w:r>
        <w:rPr>
          <w:color w:val="auto"/>
          <w:szCs w:val="21"/>
          <w:highlight w:val="none"/>
        </w:rPr>
        <w:t>h）</w:t>
      </w:r>
      <w:bookmarkStart w:id="515" w:name="_GoBack"/>
      <w:bookmarkEnd w:id="515"/>
      <w:r>
        <w:rPr>
          <w:color w:val="auto"/>
          <w:szCs w:val="21"/>
          <w:highlight w:val="none"/>
        </w:rPr>
        <w:t>、交变湿热试验、覆冰试验、静电放电抗扰度试验、射频电磁场辐射抗扰度试验、电快速瞬变脉冲群抗扰度试验、浪涌(冲击)抗扰度试验、工频磁场抗扰度试验、脉冲磁场抗扰度试验、算法兼容性试验、</w:t>
      </w:r>
      <w:r>
        <w:rPr>
          <w:rFonts w:hint="eastAsia"/>
          <w:color w:val="FF0000"/>
          <w:szCs w:val="21"/>
          <w:highlight w:val="none"/>
          <w:lang w:val="en-US" w:eastAsia="zh-CN"/>
        </w:rPr>
        <w:t>点云成像</w:t>
      </w:r>
      <w:r>
        <w:rPr>
          <w:color w:val="FF0000"/>
          <w:szCs w:val="21"/>
          <w:highlight w:val="none"/>
        </w:rPr>
        <w:t>试验、</w:t>
      </w:r>
      <w:r>
        <w:rPr>
          <w:rFonts w:hint="eastAsia"/>
          <w:color w:val="auto"/>
          <w:szCs w:val="21"/>
          <w:highlight w:val="none"/>
        </w:rPr>
        <w:t>BDS</w:t>
      </w:r>
      <w:r>
        <w:rPr>
          <w:color w:val="auto"/>
          <w:szCs w:val="21"/>
          <w:highlight w:val="none"/>
        </w:rPr>
        <w:t>试验；</w:t>
      </w:r>
    </w:p>
    <w:p>
      <w:pPr>
        <w:spacing w:line="360" w:lineRule="auto"/>
        <w:ind w:firstLine="420" w:firstLineChars="200"/>
        <w:rPr>
          <w:color w:val="auto"/>
          <w:szCs w:val="21"/>
          <w:highlight w:val="none"/>
        </w:rPr>
      </w:pPr>
      <w:r>
        <w:rPr>
          <w:color w:val="auto"/>
          <w:szCs w:val="21"/>
          <w:highlight w:val="none"/>
        </w:rPr>
        <w:t>B类</w:t>
      </w:r>
      <w:r>
        <w:rPr>
          <w:rFonts w:hint="eastAsia"/>
          <w:color w:val="auto"/>
          <w:szCs w:val="21"/>
          <w:highlight w:val="none"/>
          <w:lang w:eastAsia="zh-CN"/>
        </w:rPr>
        <w:t>（</w:t>
      </w:r>
      <w:r>
        <w:rPr>
          <w:rFonts w:hint="eastAsia"/>
          <w:color w:val="auto"/>
          <w:szCs w:val="21"/>
          <w:highlight w:val="none"/>
          <w:lang w:val="en-US" w:eastAsia="zh-CN"/>
        </w:rPr>
        <w:t>现场随机2项</w:t>
      </w:r>
      <w:r>
        <w:rPr>
          <w:rFonts w:hint="eastAsia"/>
          <w:color w:val="auto"/>
          <w:szCs w:val="21"/>
          <w:highlight w:val="none"/>
          <w:lang w:eastAsia="zh-CN"/>
        </w:rPr>
        <w:t>）</w:t>
      </w:r>
      <w:r>
        <w:rPr>
          <w:color w:val="auto"/>
          <w:szCs w:val="21"/>
          <w:highlight w:val="none"/>
        </w:rPr>
        <w:t>：功耗试验、防尘试验、防水试验、高温试验、低温试验、总像素、信噪比、动态范围、码流及帧率设置功能、2D/3D降噪功能、增益控制功能、自动白平衡功能、背光补偿功能、强光抑制功能、摄像机日夜模式切换功能、摄像机聚焦模式切换功能、最低照度、可设预置位数量、气温传感器准确度、相对湿度传感器准确度、风速传感器准确度、风向传感器准确度；</w:t>
      </w:r>
    </w:p>
    <w:p>
      <w:pPr>
        <w:pStyle w:val="43"/>
        <w:spacing w:line="360" w:lineRule="auto"/>
        <w:ind w:firstLine="420"/>
        <w:rPr>
          <w:rFonts w:ascii="Times New Roman"/>
          <w:color w:val="auto"/>
          <w:highlight w:val="none"/>
        </w:rPr>
      </w:pPr>
      <w:r>
        <w:rPr>
          <w:rFonts w:ascii="Times New Roman"/>
          <w:color w:val="auto"/>
          <w:szCs w:val="21"/>
          <w:highlight w:val="none"/>
        </w:rPr>
        <w:t>C类：结构外观、质量检查试验。</w:t>
      </w:r>
    </w:p>
    <w:p>
      <w:pPr>
        <w:pStyle w:val="3"/>
        <w:spacing w:before="0" w:after="0" w:line="360" w:lineRule="auto"/>
        <w:rPr>
          <w:rFonts w:ascii="Times New Roman" w:hAnsi="Times New Roman" w:eastAsia="黑体"/>
          <w:b w:val="0"/>
          <w:bCs/>
          <w:color w:val="auto"/>
          <w:sz w:val="24"/>
          <w:szCs w:val="24"/>
          <w:highlight w:val="none"/>
        </w:rPr>
      </w:pPr>
      <w:bookmarkStart w:id="364" w:name="_Toc20419"/>
      <w:bookmarkStart w:id="365" w:name="_Toc26655"/>
      <w:r>
        <w:rPr>
          <w:rFonts w:ascii="Times New Roman" w:hAnsi="Times New Roman" w:eastAsia="黑体"/>
          <w:b w:val="0"/>
          <w:bCs/>
          <w:color w:val="auto"/>
          <w:sz w:val="24"/>
          <w:szCs w:val="24"/>
          <w:highlight w:val="none"/>
        </w:rPr>
        <w:t>7.4 到货</w:t>
      </w:r>
      <w:bookmarkEnd w:id="352"/>
      <w:r>
        <w:rPr>
          <w:rFonts w:ascii="Times New Roman" w:hAnsi="Times New Roman" w:eastAsia="黑体"/>
          <w:b w:val="0"/>
          <w:bCs/>
          <w:color w:val="auto"/>
          <w:sz w:val="24"/>
          <w:szCs w:val="24"/>
          <w:highlight w:val="none"/>
        </w:rPr>
        <w:t>抽检</w:t>
      </w:r>
      <w:bookmarkEnd w:id="353"/>
      <w:bookmarkEnd w:id="354"/>
      <w:bookmarkEnd w:id="355"/>
      <w:bookmarkEnd w:id="356"/>
      <w:bookmarkEnd w:id="357"/>
      <w:bookmarkEnd w:id="358"/>
      <w:bookmarkEnd w:id="359"/>
      <w:bookmarkEnd w:id="360"/>
      <w:bookmarkEnd w:id="361"/>
      <w:bookmarkEnd w:id="362"/>
      <w:bookmarkEnd w:id="363"/>
      <w:bookmarkEnd w:id="364"/>
      <w:bookmarkEnd w:id="365"/>
    </w:p>
    <w:p>
      <w:pPr>
        <w:pStyle w:val="4"/>
        <w:spacing w:line="360" w:lineRule="auto"/>
        <w:rPr>
          <w:color w:val="auto"/>
          <w:szCs w:val="21"/>
          <w:highlight w:val="none"/>
        </w:rPr>
      </w:pPr>
      <w:r>
        <w:rPr>
          <w:color w:val="auto"/>
          <w:szCs w:val="21"/>
          <w:highlight w:val="none"/>
        </w:rPr>
        <w:t>由运行单位组织开展，在供货阶段，对供应商送达指定地点的货物进行抽样检测，通过后方可收货。</w:t>
      </w:r>
    </w:p>
    <w:p>
      <w:pPr>
        <w:pStyle w:val="3"/>
        <w:spacing w:before="0" w:after="0" w:line="360" w:lineRule="auto"/>
        <w:rPr>
          <w:rFonts w:ascii="Times New Roman" w:hAnsi="Times New Roman" w:eastAsia="黑体"/>
          <w:b w:val="0"/>
          <w:bCs/>
          <w:color w:val="auto"/>
          <w:sz w:val="24"/>
          <w:szCs w:val="24"/>
          <w:highlight w:val="none"/>
        </w:rPr>
      </w:pPr>
      <w:bookmarkStart w:id="366" w:name="_Toc3376"/>
      <w:bookmarkStart w:id="367" w:name="_Toc18178"/>
      <w:bookmarkStart w:id="368" w:name="_Toc3007"/>
      <w:bookmarkStart w:id="369" w:name="_Toc14460"/>
      <w:bookmarkStart w:id="370" w:name="_Toc19502"/>
      <w:bookmarkStart w:id="371" w:name="_Toc4321"/>
      <w:bookmarkStart w:id="372" w:name="_Toc5829"/>
      <w:bookmarkStart w:id="373" w:name="_Toc23681"/>
      <w:bookmarkStart w:id="374" w:name="_Toc4461"/>
      <w:bookmarkStart w:id="375" w:name="_Toc3177"/>
      <w:bookmarkStart w:id="376" w:name="_Toc5925"/>
      <w:bookmarkStart w:id="377" w:name="_Toc19772"/>
      <w:bookmarkStart w:id="378" w:name="_Toc12145"/>
      <w:bookmarkStart w:id="379" w:name="_Toc168869431"/>
      <w:r>
        <w:rPr>
          <w:rFonts w:ascii="Times New Roman" w:hAnsi="Times New Roman" w:eastAsia="黑体"/>
          <w:b w:val="0"/>
          <w:bCs/>
          <w:color w:val="auto"/>
          <w:sz w:val="24"/>
          <w:szCs w:val="24"/>
          <w:highlight w:val="none"/>
        </w:rPr>
        <w:t>7.5 交接试验</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pPr>
        <w:pStyle w:val="4"/>
        <w:spacing w:line="360" w:lineRule="auto"/>
        <w:rPr>
          <w:color w:val="auto"/>
          <w:szCs w:val="21"/>
          <w:highlight w:val="none"/>
        </w:rPr>
      </w:pPr>
      <w:bookmarkStart w:id="380" w:name="_Toc8534"/>
      <w:r>
        <w:rPr>
          <w:color w:val="auto"/>
          <w:szCs w:val="21"/>
          <w:highlight w:val="none"/>
        </w:rPr>
        <w:t>由运行单位组织开展，在设备交接验收阶段对到货设备逐套开展检测，合格后方可投运。</w:t>
      </w:r>
      <w:bookmarkEnd w:id="380"/>
    </w:p>
    <w:p>
      <w:pPr>
        <w:spacing w:line="360" w:lineRule="auto"/>
        <w:outlineLvl w:val="0"/>
        <w:rPr>
          <w:rFonts w:eastAsia="黑体"/>
          <w:color w:val="auto"/>
          <w:sz w:val="28"/>
          <w:szCs w:val="28"/>
          <w:highlight w:val="none"/>
        </w:rPr>
      </w:pPr>
      <w:bookmarkStart w:id="381" w:name="_Toc14954"/>
      <w:r>
        <w:rPr>
          <w:rFonts w:eastAsia="黑体"/>
          <w:color w:val="auto"/>
          <w:sz w:val="28"/>
          <w:szCs w:val="28"/>
          <w:highlight w:val="none"/>
        </w:rPr>
        <w:t>8 技术联络、技术培训及售后服务</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81"/>
    </w:p>
    <w:p>
      <w:pPr>
        <w:pStyle w:val="3"/>
        <w:spacing w:before="0" w:after="0" w:line="360" w:lineRule="auto"/>
        <w:rPr>
          <w:rFonts w:ascii="Times New Roman" w:hAnsi="Times New Roman" w:eastAsia="黑体"/>
          <w:b w:val="0"/>
          <w:bCs/>
          <w:color w:val="auto"/>
          <w:sz w:val="24"/>
          <w:szCs w:val="24"/>
          <w:highlight w:val="none"/>
        </w:rPr>
      </w:pPr>
      <w:bookmarkStart w:id="382" w:name="_Toc14934"/>
      <w:bookmarkStart w:id="383" w:name="_Toc25747"/>
      <w:bookmarkStart w:id="384" w:name="_Toc22883"/>
      <w:bookmarkStart w:id="385" w:name="_Toc10404"/>
      <w:bookmarkStart w:id="386" w:name="_Toc31896"/>
      <w:bookmarkStart w:id="387" w:name="_Toc27063"/>
      <w:bookmarkStart w:id="388" w:name="_Toc14332"/>
      <w:bookmarkStart w:id="389" w:name="_Toc23700"/>
      <w:bookmarkStart w:id="390" w:name="_Toc24936"/>
      <w:bookmarkStart w:id="391" w:name="_Toc620"/>
      <w:bookmarkStart w:id="392" w:name="_Toc22247"/>
      <w:bookmarkStart w:id="393" w:name="_Toc500920867"/>
      <w:bookmarkStart w:id="394" w:name="_Toc168869433"/>
      <w:bookmarkStart w:id="395" w:name="_Toc31154"/>
      <w:bookmarkStart w:id="396" w:name="_Toc8547"/>
      <w:r>
        <w:rPr>
          <w:rFonts w:ascii="Times New Roman" w:hAnsi="Times New Roman" w:eastAsia="黑体"/>
          <w:b w:val="0"/>
          <w:bCs/>
          <w:color w:val="auto"/>
          <w:sz w:val="24"/>
          <w:szCs w:val="24"/>
          <w:highlight w:val="none"/>
        </w:rPr>
        <w:t>8.1 技术联络</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pPr>
        <w:tabs>
          <w:tab w:val="left" w:pos="1514"/>
          <w:tab w:val="left" w:pos="1694"/>
        </w:tabs>
        <w:spacing w:line="360" w:lineRule="auto"/>
        <w:ind w:left="-21" w:leftChars="-10" w:firstLine="420"/>
        <w:jc w:val="left"/>
        <w:rPr>
          <w:color w:val="auto"/>
          <w:szCs w:val="21"/>
          <w:highlight w:val="none"/>
        </w:rPr>
      </w:pPr>
      <w:r>
        <w:rPr>
          <w:color w:val="auto"/>
          <w:spacing w:val="10"/>
          <w:szCs w:val="21"/>
          <w:highlight w:val="none"/>
        </w:rPr>
        <w:t>投标方应负责</w:t>
      </w:r>
      <w:r>
        <w:rPr>
          <w:color w:val="auto"/>
          <w:szCs w:val="21"/>
          <w:highlight w:val="none"/>
        </w:rPr>
        <w:t>合同</w:t>
      </w:r>
      <w:r>
        <w:rPr>
          <w:color w:val="auto"/>
          <w:spacing w:val="10"/>
          <w:szCs w:val="21"/>
          <w:highlight w:val="none"/>
        </w:rPr>
        <w:t>设备的设计和协调工作，承担全部技术责任，并做好与招标方的设计联络工作。</w:t>
      </w:r>
      <w:r>
        <w:rPr>
          <w:color w:val="auto"/>
          <w:szCs w:val="21"/>
          <w:highlight w:val="none"/>
        </w:rPr>
        <w:t>积极配合招标方进行全域</w:t>
      </w:r>
      <w:r>
        <w:rPr>
          <w:color w:val="auto"/>
          <w:highlight w:val="none"/>
        </w:rPr>
        <w:t>物联网平台</w:t>
      </w:r>
      <w:r>
        <w:rPr>
          <w:color w:val="auto"/>
          <w:szCs w:val="21"/>
          <w:highlight w:val="none"/>
        </w:rPr>
        <w:t>的数据接入和有关抽检试验工作。</w:t>
      </w:r>
    </w:p>
    <w:p>
      <w:pPr>
        <w:pStyle w:val="3"/>
        <w:spacing w:before="0" w:after="0" w:line="360" w:lineRule="auto"/>
        <w:rPr>
          <w:rFonts w:ascii="Times New Roman" w:hAnsi="Times New Roman" w:eastAsia="黑体"/>
          <w:b w:val="0"/>
          <w:bCs/>
          <w:color w:val="auto"/>
          <w:sz w:val="24"/>
          <w:szCs w:val="24"/>
          <w:highlight w:val="none"/>
        </w:rPr>
      </w:pPr>
      <w:bookmarkStart w:id="397" w:name="_Toc168869434"/>
      <w:bookmarkStart w:id="398" w:name="_Toc24548"/>
      <w:bookmarkStart w:id="399" w:name="_Toc9487"/>
      <w:bookmarkStart w:id="400" w:name="_Toc13318"/>
      <w:bookmarkStart w:id="401" w:name="_Toc19825"/>
      <w:bookmarkStart w:id="402" w:name="_Toc6797"/>
      <w:bookmarkStart w:id="403" w:name="_Toc500920868"/>
      <w:bookmarkStart w:id="404" w:name="_Toc135"/>
      <w:bookmarkStart w:id="405" w:name="_Toc4695"/>
      <w:bookmarkStart w:id="406" w:name="_Toc4722"/>
      <w:bookmarkStart w:id="407" w:name="_Toc1941"/>
      <w:bookmarkStart w:id="408" w:name="_Toc5676"/>
      <w:bookmarkStart w:id="409" w:name="_Toc11534"/>
      <w:bookmarkStart w:id="410" w:name="_Toc3823"/>
      <w:bookmarkStart w:id="411" w:name="_Toc17602"/>
      <w:r>
        <w:rPr>
          <w:rFonts w:ascii="Times New Roman" w:hAnsi="Times New Roman" w:eastAsia="黑体"/>
          <w:b w:val="0"/>
          <w:bCs/>
          <w:color w:val="auto"/>
          <w:sz w:val="24"/>
          <w:szCs w:val="24"/>
          <w:highlight w:val="none"/>
        </w:rPr>
        <w:t>8.2 技术培训</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pPr>
        <w:tabs>
          <w:tab w:val="left" w:pos="1514"/>
          <w:tab w:val="left" w:pos="1694"/>
        </w:tabs>
        <w:spacing w:line="360" w:lineRule="auto"/>
        <w:ind w:left="-235" w:leftChars="-112" w:firstLine="630" w:firstLineChars="300"/>
        <w:jc w:val="left"/>
        <w:rPr>
          <w:color w:val="auto"/>
          <w:szCs w:val="21"/>
          <w:highlight w:val="none"/>
        </w:rPr>
      </w:pPr>
      <w:r>
        <w:rPr>
          <w:color w:val="auto"/>
          <w:szCs w:val="21"/>
          <w:highlight w:val="none"/>
        </w:rPr>
        <w:t>投标方对招标方相关人员应免费提供培训，并提供相应的培训资料，</w:t>
      </w:r>
      <w:r>
        <w:rPr>
          <w:rFonts w:hint="eastAsia"/>
          <w:color w:val="auto"/>
          <w:szCs w:val="21"/>
          <w:highlight w:val="none"/>
          <w:lang w:val="en-US" w:eastAsia="zh-CN"/>
        </w:rPr>
        <w:t>培训</w:t>
      </w:r>
      <w:r>
        <w:rPr>
          <w:color w:val="auto"/>
          <w:szCs w:val="21"/>
          <w:highlight w:val="none"/>
        </w:rPr>
        <w:t>不少于2人/次。</w:t>
      </w:r>
    </w:p>
    <w:p>
      <w:pPr>
        <w:pStyle w:val="3"/>
        <w:spacing w:before="0" w:after="0" w:line="360" w:lineRule="auto"/>
        <w:rPr>
          <w:rFonts w:ascii="Times New Roman" w:hAnsi="Times New Roman" w:eastAsia="黑体"/>
          <w:b w:val="0"/>
          <w:bCs/>
          <w:color w:val="auto"/>
          <w:sz w:val="24"/>
          <w:szCs w:val="24"/>
          <w:highlight w:val="none"/>
        </w:rPr>
      </w:pPr>
      <w:bookmarkStart w:id="412" w:name="_Toc16201"/>
      <w:bookmarkStart w:id="413" w:name="_Toc168869435"/>
      <w:bookmarkStart w:id="414" w:name="_Toc21031"/>
      <w:bookmarkStart w:id="415" w:name="_Toc25469"/>
      <w:bookmarkStart w:id="416" w:name="_Toc9077"/>
      <w:bookmarkStart w:id="417" w:name="_Toc16149"/>
      <w:bookmarkStart w:id="418" w:name="_Toc500920869"/>
      <w:bookmarkStart w:id="419" w:name="_Toc16152"/>
      <w:bookmarkStart w:id="420" w:name="_Toc4672"/>
      <w:bookmarkStart w:id="421" w:name="_Toc1281"/>
      <w:bookmarkStart w:id="422" w:name="_Toc22098"/>
      <w:bookmarkStart w:id="423" w:name="_Toc29939"/>
      <w:bookmarkStart w:id="424" w:name="_Toc3765"/>
      <w:bookmarkStart w:id="425" w:name="_Toc17416"/>
      <w:bookmarkStart w:id="426" w:name="_Toc30337"/>
      <w:r>
        <w:rPr>
          <w:rFonts w:ascii="Times New Roman" w:hAnsi="Times New Roman" w:eastAsia="黑体"/>
          <w:b w:val="0"/>
          <w:bCs/>
          <w:color w:val="auto"/>
          <w:sz w:val="24"/>
          <w:szCs w:val="24"/>
          <w:highlight w:val="none"/>
        </w:rPr>
        <w:t>8.3 售后服务</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pPr>
        <w:pStyle w:val="102"/>
        <w:numPr>
          <w:ilvl w:val="1"/>
          <w:numId w:val="3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按照管理要求，</w:t>
      </w:r>
      <w:r>
        <w:rPr>
          <w:rFonts w:hint="eastAsia" w:ascii="Times New Roman" w:hAnsi="Times New Roman"/>
          <w:color w:val="auto"/>
          <w:szCs w:val="21"/>
          <w:highlight w:val="none"/>
          <w:lang w:val="en-US" w:eastAsia="zh-CN"/>
        </w:rPr>
        <w:t>材料</w:t>
      </w:r>
      <w:r>
        <w:rPr>
          <w:rFonts w:ascii="Times New Roman" w:hAnsi="Times New Roman"/>
          <w:color w:val="auto"/>
          <w:szCs w:val="21"/>
          <w:highlight w:val="none"/>
        </w:rPr>
        <w:t>质保期应不低于</w:t>
      </w:r>
      <w:r>
        <w:rPr>
          <w:rFonts w:hint="eastAsia" w:ascii="Times New Roman" w:hAnsi="Times New Roman"/>
          <w:color w:val="auto"/>
          <w:szCs w:val="21"/>
          <w:highlight w:val="none"/>
          <w:lang w:val="en-US" w:eastAsia="zh-CN"/>
        </w:rPr>
        <w:t>3</w:t>
      </w:r>
      <w:r>
        <w:rPr>
          <w:rFonts w:ascii="Times New Roman" w:hAnsi="Times New Roman"/>
          <w:color w:val="auto"/>
          <w:szCs w:val="21"/>
          <w:highlight w:val="none"/>
        </w:rPr>
        <w:t>年，质保期内供货商免费更换所有配件、耗材，并承担维护费用，确保其产品能正常运行。如招标单位需进行设备修理，投标方应按最近的投标价提供维修部件及维修服务。</w:t>
      </w:r>
    </w:p>
    <w:p>
      <w:pPr>
        <w:pStyle w:val="102"/>
        <w:numPr>
          <w:ilvl w:val="1"/>
          <w:numId w:val="34"/>
        </w:numPr>
        <w:spacing w:line="360" w:lineRule="auto"/>
        <w:ind w:left="0" w:firstLine="420"/>
        <w:textAlignment w:val="bottom"/>
        <w:rPr>
          <w:rFonts w:ascii="Times New Roman" w:hAnsi="Times New Roman"/>
          <w:color w:val="auto"/>
          <w:szCs w:val="21"/>
          <w:highlight w:val="none"/>
        </w:rPr>
      </w:pPr>
      <w:r>
        <w:rPr>
          <w:rFonts w:hint="eastAsia" w:ascii="Times New Roman" w:hAnsi="Times New Roman"/>
          <w:color w:val="auto"/>
          <w:szCs w:val="21"/>
          <w:highlight w:val="none"/>
          <w:lang w:val="en-US" w:eastAsia="zh-CN"/>
        </w:rPr>
        <w:t>材料3</w:t>
      </w:r>
      <w:r>
        <w:rPr>
          <w:rFonts w:ascii="Times New Roman" w:hAnsi="Times New Roman"/>
          <w:color w:val="auto"/>
          <w:szCs w:val="21"/>
          <w:highlight w:val="none"/>
        </w:rPr>
        <w:t>年内免费维修，设备发生的所有非不可抗力因素造成的缺陷或故障由生产厂家免费进行维修或更换，包括所需人力和所需更换材料。</w:t>
      </w:r>
    </w:p>
    <w:p>
      <w:pPr>
        <w:pStyle w:val="102"/>
        <w:numPr>
          <w:ilvl w:val="1"/>
          <w:numId w:val="3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投标方对售后服务的需求必须在24小时答复，在48小时内提供技术服务。</w:t>
      </w:r>
    </w:p>
    <w:p>
      <w:pPr>
        <w:pStyle w:val="102"/>
        <w:numPr>
          <w:ilvl w:val="1"/>
          <w:numId w:val="3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投标方长期为招标方提供备件采购和供应服务。</w:t>
      </w:r>
    </w:p>
    <w:p>
      <w:pPr>
        <w:pStyle w:val="102"/>
        <w:numPr>
          <w:ilvl w:val="1"/>
          <w:numId w:val="3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当运行中</w:t>
      </w:r>
      <w:r>
        <w:rPr>
          <w:rFonts w:hint="eastAsia" w:ascii="Times New Roman" w:hAnsi="Times New Roman"/>
          <w:color w:val="auto"/>
          <w:szCs w:val="21"/>
          <w:highlight w:val="none"/>
          <w:lang w:val="en-US" w:eastAsia="zh-CN"/>
        </w:rPr>
        <w:t>材料</w:t>
      </w:r>
      <w:r>
        <w:rPr>
          <w:rFonts w:ascii="Times New Roman" w:hAnsi="Times New Roman"/>
          <w:color w:val="auto"/>
          <w:szCs w:val="21"/>
          <w:highlight w:val="none"/>
        </w:rPr>
        <w:t>不能满足可靠性要求时，投标方应免费对</w:t>
      </w:r>
      <w:r>
        <w:rPr>
          <w:rFonts w:hint="eastAsia" w:ascii="Times New Roman" w:hAnsi="Times New Roman"/>
          <w:color w:val="auto"/>
          <w:szCs w:val="21"/>
          <w:highlight w:val="none"/>
          <w:lang w:val="en-US" w:eastAsia="zh-CN"/>
        </w:rPr>
        <w:t>材料</w:t>
      </w:r>
      <w:r>
        <w:rPr>
          <w:rFonts w:ascii="Times New Roman" w:hAnsi="Times New Roman"/>
          <w:color w:val="auto"/>
          <w:szCs w:val="21"/>
          <w:highlight w:val="none"/>
        </w:rPr>
        <w:t>进行维护工作。在连续三次维护无法解决问题的情况下，投标方应免费更换</w:t>
      </w:r>
      <w:r>
        <w:rPr>
          <w:rFonts w:hint="eastAsia" w:ascii="Times New Roman" w:hAnsi="Times New Roman"/>
          <w:color w:val="auto"/>
          <w:szCs w:val="21"/>
          <w:highlight w:val="none"/>
          <w:lang w:val="en-US" w:eastAsia="zh-CN"/>
        </w:rPr>
        <w:t>材料</w:t>
      </w:r>
      <w:r>
        <w:rPr>
          <w:rFonts w:ascii="Times New Roman" w:hAnsi="Times New Roman"/>
          <w:color w:val="auto"/>
          <w:szCs w:val="21"/>
          <w:highlight w:val="none"/>
        </w:rPr>
        <w:t>。</w:t>
      </w:r>
    </w:p>
    <w:p>
      <w:pPr>
        <w:spacing w:line="360" w:lineRule="auto"/>
        <w:outlineLvl w:val="0"/>
        <w:rPr>
          <w:rFonts w:eastAsia="黑体"/>
          <w:color w:val="auto"/>
          <w:sz w:val="28"/>
          <w:szCs w:val="28"/>
          <w:highlight w:val="none"/>
        </w:rPr>
      </w:pPr>
      <w:bookmarkStart w:id="427" w:name="_Toc168869436"/>
      <w:bookmarkStart w:id="428" w:name="_Toc12138"/>
      <w:bookmarkStart w:id="429" w:name="_Toc16353"/>
      <w:bookmarkStart w:id="430" w:name="_Toc2580"/>
      <w:bookmarkStart w:id="431" w:name="_Toc347154882"/>
      <w:bookmarkStart w:id="432" w:name="_Toc27129"/>
      <w:bookmarkStart w:id="433" w:name="_Toc13259"/>
      <w:bookmarkStart w:id="434" w:name="_Toc25143"/>
      <w:bookmarkStart w:id="435" w:name="_Toc21394"/>
      <w:bookmarkStart w:id="436" w:name="_Toc25349"/>
      <w:bookmarkStart w:id="437" w:name="_Toc29344"/>
      <w:bookmarkStart w:id="438" w:name="_Toc356999080"/>
      <w:bookmarkStart w:id="439" w:name="_Toc24271"/>
      <w:bookmarkStart w:id="440" w:name="_Toc26849"/>
      <w:bookmarkStart w:id="441" w:name="_Toc19636"/>
      <w:bookmarkStart w:id="442" w:name="_Toc30490"/>
      <w:bookmarkStart w:id="443" w:name="_Toc500920870"/>
      <w:bookmarkStart w:id="444" w:name="_Toc265313600"/>
      <w:r>
        <w:rPr>
          <w:rFonts w:eastAsia="黑体"/>
          <w:color w:val="auto"/>
          <w:sz w:val="28"/>
          <w:szCs w:val="28"/>
          <w:highlight w:val="none"/>
        </w:rPr>
        <w:t>9 标志、包装、运输、贮存</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pPr>
        <w:pStyle w:val="3"/>
        <w:spacing w:before="0" w:after="0" w:line="360" w:lineRule="auto"/>
        <w:rPr>
          <w:rFonts w:ascii="Times New Roman" w:hAnsi="Times New Roman" w:eastAsia="黑体"/>
          <w:b w:val="0"/>
          <w:bCs/>
          <w:color w:val="auto"/>
          <w:sz w:val="24"/>
          <w:szCs w:val="24"/>
          <w:highlight w:val="none"/>
        </w:rPr>
      </w:pPr>
      <w:bookmarkStart w:id="445" w:name="_Toc25224"/>
      <w:bookmarkStart w:id="446" w:name="_Toc12863"/>
      <w:bookmarkStart w:id="447" w:name="_Toc2979"/>
      <w:bookmarkStart w:id="448" w:name="_Toc31747"/>
      <w:bookmarkStart w:id="449" w:name="_Toc30869"/>
      <w:bookmarkStart w:id="450" w:name="_Toc228"/>
      <w:bookmarkStart w:id="451" w:name="_Toc26912"/>
      <w:bookmarkStart w:id="452" w:name="_Toc168869437"/>
      <w:bookmarkStart w:id="453" w:name="_Toc500920871"/>
      <w:bookmarkStart w:id="454" w:name="_Toc6573"/>
      <w:bookmarkStart w:id="455" w:name="_Toc27825"/>
      <w:bookmarkStart w:id="456" w:name="_Toc32265"/>
      <w:bookmarkStart w:id="457" w:name="_Toc18742"/>
      <w:bookmarkStart w:id="458" w:name="_Toc8301"/>
      <w:bookmarkStart w:id="459" w:name="_Toc27888"/>
      <w:r>
        <w:rPr>
          <w:rFonts w:ascii="Times New Roman" w:hAnsi="Times New Roman" w:eastAsia="黑体"/>
          <w:b w:val="0"/>
          <w:bCs/>
          <w:color w:val="auto"/>
          <w:sz w:val="24"/>
          <w:szCs w:val="24"/>
          <w:highlight w:val="none"/>
        </w:rPr>
        <w:t>9.1 标志</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tabs>
          <w:tab w:val="left" w:pos="709"/>
        </w:tabs>
        <w:spacing w:line="360" w:lineRule="auto"/>
        <w:ind w:left="709" w:hanging="709"/>
        <w:outlineLvl w:val="2"/>
        <w:rPr>
          <w:color w:val="auto"/>
          <w:highlight w:val="none"/>
        </w:rPr>
      </w:pPr>
      <w:bookmarkStart w:id="460" w:name="_Toc12235"/>
      <w:r>
        <w:rPr>
          <w:color w:val="auto"/>
          <w:highlight w:val="none"/>
        </w:rPr>
        <w:t>9.1.1铭牌</w:t>
      </w:r>
      <w:bookmarkEnd w:id="460"/>
    </w:p>
    <w:p>
      <w:pPr>
        <w:pStyle w:val="97"/>
        <w:spacing w:line="360" w:lineRule="auto"/>
        <w:ind w:firstLine="420" w:firstLineChars="200"/>
        <w:rPr>
          <w:color w:val="auto"/>
          <w:highlight w:val="none"/>
        </w:rPr>
      </w:pPr>
      <w:r>
        <w:rPr>
          <w:color w:val="auto"/>
          <w:highlight w:val="none"/>
        </w:rPr>
        <w:t>每</w:t>
      </w:r>
      <w:r>
        <w:rPr>
          <w:rFonts w:hint="eastAsia"/>
          <w:color w:val="auto"/>
          <w:highlight w:val="none"/>
          <w:lang w:val="en-US" w:eastAsia="zh-CN"/>
        </w:rPr>
        <w:t>套材料</w:t>
      </w:r>
      <w:r>
        <w:rPr>
          <w:color w:val="auto"/>
          <w:highlight w:val="none"/>
        </w:rPr>
        <w:t>应有明晰的铭牌，铭牌内容如下：</w:t>
      </w:r>
    </w:p>
    <w:p>
      <w:pPr>
        <w:pStyle w:val="97"/>
        <w:spacing w:line="360" w:lineRule="auto"/>
        <w:ind w:firstLine="420" w:firstLineChars="200"/>
        <w:rPr>
          <w:color w:val="auto"/>
          <w:highlight w:val="none"/>
        </w:rPr>
      </w:pPr>
      <w:r>
        <w:rPr>
          <w:color w:val="auto"/>
          <w:highlight w:val="none"/>
        </w:rPr>
        <w:t xml:space="preserve">a）  </w:t>
      </w:r>
      <w:r>
        <w:rPr>
          <w:rFonts w:hint="eastAsia"/>
          <w:color w:val="auto"/>
          <w:highlight w:val="none"/>
          <w:lang w:val="en-US" w:eastAsia="zh-CN"/>
        </w:rPr>
        <w:t>材料</w:t>
      </w:r>
      <w:r>
        <w:rPr>
          <w:color w:val="auto"/>
          <w:highlight w:val="none"/>
        </w:rPr>
        <w:t xml:space="preserve">型号； </w:t>
      </w:r>
    </w:p>
    <w:p>
      <w:pPr>
        <w:pStyle w:val="97"/>
        <w:spacing w:line="360" w:lineRule="auto"/>
        <w:ind w:firstLine="420" w:firstLineChars="200"/>
        <w:rPr>
          <w:color w:val="auto"/>
          <w:highlight w:val="none"/>
        </w:rPr>
      </w:pPr>
      <w:r>
        <w:rPr>
          <w:color w:val="auto"/>
          <w:highlight w:val="none"/>
        </w:rPr>
        <w:t>b）</w:t>
      </w:r>
      <w:r>
        <w:rPr>
          <w:color w:val="auto"/>
          <w:highlight w:val="none"/>
        </w:rPr>
        <w:tab/>
      </w:r>
      <w:r>
        <w:rPr>
          <w:color w:val="auto"/>
          <w:highlight w:val="none"/>
        </w:rPr>
        <w:t>产品全称；</w:t>
      </w:r>
    </w:p>
    <w:p>
      <w:pPr>
        <w:pStyle w:val="97"/>
        <w:spacing w:line="360" w:lineRule="auto"/>
        <w:ind w:firstLine="420" w:firstLineChars="200"/>
        <w:rPr>
          <w:color w:val="auto"/>
          <w:highlight w:val="none"/>
        </w:rPr>
      </w:pPr>
      <w:r>
        <w:rPr>
          <w:color w:val="auto"/>
          <w:highlight w:val="none"/>
        </w:rPr>
        <w:t>c）</w:t>
      </w:r>
      <w:r>
        <w:rPr>
          <w:color w:val="auto"/>
          <w:highlight w:val="none"/>
        </w:rPr>
        <w:tab/>
      </w:r>
      <w:r>
        <w:rPr>
          <w:color w:val="auto"/>
          <w:highlight w:val="none"/>
        </w:rPr>
        <w:t>制造厂全称及商标；</w:t>
      </w:r>
    </w:p>
    <w:p>
      <w:pPr>
        <w:pStyle w:val="97"/>
        <w:spacing w:line="360" w:lineRule="auto"/>
        <w:ind w:firstLine="420" w:firstLineChars="200"/>
        <w:rPr>
          <w:color w:val="auto"/>
          <w:highlight w:val="none"/>
        </w:rPr>
      </w:pPr>
      <w:r>
        <w:rPr>
          <w:color w:val="auto"/>
          <w:highlight w:val="none"/>
        </w:rPr>
        <w:t>d）</w:t>
      </w:r>
      <w:r>
        <w:rPr>
          <w:color w:val="auto"/>
          <w:highlight w:val="none"/>
        </w:rPr>
        <w:tab/>
      </w:r>
      <w:r>
        <w:rPr>
          <w:color w:val="auto"/>
          <w:highlight w:val="none"/>
        </w:rPr>
        <w:t>额定参数；</w:t>
      </w:r>
    </w:p>
    <w:p>
      <w:pPr>
        <w:pStyle w:val="97"/>
        <w:spacing w:line="360" w:lineRule="auto"/>
        <w:ind w:firstLine="420" w:firstLineChars="200"/>
        <w:rPr>
          <w:color w:val="auto"/>
          <w:highlight w:val="none"/>
        </w:rPr>
      </w:pPr>
      <w:r>
        <w:rPr>
          <w:color w:val="auto"/>
          <w:highlight w:val="none"/>
        </w:rPr>
        <w:t>e）</w:t>
      </w:r>
      <w:r>
        <w:rPr>
          <w:color w:val="auto"/>
          <w:highlight w:val="none"/>
        </w:rPr>
        <w:tab/>
      </w:r>
      <w:r>
        <w:rPr>
          <w:color w:val="auto"/>
          <w:highlight w:val="none"/>
        </w:rPr>
        <w:t>出厂日期；</w:t>
      </w:r>
    </w:p>
    <w:p>
      <w:pPr>
        <w:pStyle w:val="97"/>
        <w:spacing w:line="360" w:lineRule="auto"/>
        <w:ind w:firstLine="420" w:firstLineChars="200"/>
        <w:rPr>
          <w:color w:val="auto"/>
          <w:highlight w:val="none"/>
        </w:rPr>
      </w:pPr>
      <w:r>
        <w:rPr>
          <w:color w:val="auto"/>
          <w:highlight w:val="none"/>
        </w:rPr>
        <w:t>f）</w:t>
      </w:r>
      <w:r>
        <w:rPr>
          <w:color w:val="auto"/>
          <w:highlight w:val="none"/>
        </w:rPr>
        <w:tab/>
      </w:r>
      <w:r>
        <w:rPr>
          <w:color w:val="auto"/>
          <w:highlight w:val="none"/>
        </w:rPr>
        <w:t>出厂编号。</w:t>
      </w:r>
    </w:p>
    <w:p>
      <w:pPr>
        <w:tabs>
          <w:tab w:val="left" w:pos="709"/>
        </w:tabs>
        <w:spacing w:line="360" w:lineRule="auto"/>
        <w:ind w:left="709" w:hanging="709"/>
        <w:outlineLvl w:val="2"/>
        <w:rPr>
          <w:color w:val="auto"/>
          <w:highlight w:val="none"/>
        </w:rPr>
      </w:pPr>
      <w:bookmarkStart w:id="461" w:name="_Toc29470"/>
      <w:r>
        <w:rPr>
          <w:color w:val="auto"/>
          <w:highlight w:val="none"/>
        </w:rPr>
        <w:t>9.1.2 包装标志</w:t>
      </w:r>
      <w:bookmarkEnd w:id="461"/>
    </w:p>
    <w:p>
      <w:pPr>
        <w:pStyle w:val="97"/>
        <w:spacing w:line="360" w:lineRule="auto"/>
        <w:ind w:firstLine="420" w:firstLineChars="200"/>
        <w:rPr>
          <w:color w:val="auto"/>
          <w:highlight w:val="none"/>
        </w:rPr>
      </w:pPr>
      <w:r>
        <w:rPr>
          <w:color w:val="auto"/>
          <w:highlight w:val="none"/>
        </w:rPr>
        <w:t>在包装箱的适当位置，应标有显著、牢固的包装标志，内容包括：</w:t>
      </w:r>
    </w:p>
    <w:p>
      <w:pPr>
        <w:pStyle w:val="97"/>
        <w:numPr>
          <w:ilvl w:val="1"/>
          <w:numId w:val="35"/>
        </w:numPr>
        <w:spacing w:line="360" w:lineRule="auto"/>
        <w:ind w:left="420" w:leftChars="200" w:firstLine="0"/>
        <w:rPr>
          <w:color w:val="auto"/>
          <w:highlight w:val="none"/>
        </w:rPr>
      </w:pPr>
      <w:r>
        <w:rPr>
          <w:color w:val="auto"/>
          <w:highlight w:val="none"/>
        </w:rPr>
        <w:t>生产企业名称、地址；</w:t>
      </w:r>
    </w:p>
    <w:p>
      <w:pPr>
        <w:pStyle w:val="97"/>
        <w:numPr>
          <w:ilvl w:val="1"/>
          <w:numId w:val="35"/>
        </w:numPr>
        <w:spacing w:line="360" w:lineRule="auto"/>
        <w:ind w:left="420" w:leftChars="200" w:firstLine="0"/>
        <w:rPr>
          <w:color w:val="auto"/>
          <w:highlight w:val="none"/>
        </w:rPr>
      </w:pPr>
      <w:r>
        <w:rPr>
          <w:rFonts w:hint="eastAsia"/>
          <w:color w:val="auto"/>
          <w:highlight w:val="none"/>
          <w:lang w:val="en-US" w:eastAsia="zh-CN"/>
        </w:rPr>
        <w:t>材料</w:t>
      </w:r>
      <w:r>
        <w:rPr>
          <w:color w:val="auto"/>
          <w:highlight w:val="none"/>
        </w:rPr>
        <w:t>名称、型号；</w:t>
      </w:r>
    </w:p>
    <w:p>
      <w:pPr>
        <w:pStyle w:val="97"/>
        <w:numPr>
          <w:ilvl w:val="1"/>
          <w:numId w:val="35"/>
        </w:numPr>
        <w:spacing w:line="360" w:lineRule="auto"/>
        <w:ind w:left="420" w:leftChars="200" w:firstLine="0"/>
        <w:rPr>
          <w:color w:val="auto"/>
          <w:highlight w:val="none"/>
        </w:rPr>
      </w:pPr>
      <w:r>
        <w:rPr>
          <w:rFonts w:hint="eastAsia"/>
          <w:color w:val="auto"/>
          <w:highlight w:val="none"/>
          <w:lang w:val="en-US" w:eastAsia="zh-CN"/>
        </w:rPr>
        <w:t>材料</w:t>
      </w:r>
      <w:r>
        <w:rPr>
          <w:color w:val="auto"/>
          <w:highlight w:val="none"/>
        </w:rPr>
        <w:t>数量；</w:t>
      </w:r>
    </w:p>
    <w:p>
      <w:pPr>
        <w:pStyle w:val="97"/>
        <w:numPr>
          <w:ilvl w:val="1"/>
          <w:numId w:val="35"/>
        </w:numPr>
        <w:spacing w:line="360" w:lineRule="auto"/>
        <w:ind w:left="420" w:leftChars="200" w:firstLine="0"/>
        <w:rPr>
          <w:color w:val="auto"/>
          <w:highlight w:val="none"/>
        </w:rPr>
      </w:pPr>
      <w:r>
        <w:rPr>
          <w:color w:val="auto"/>
          <w:highlight w:val="none"/>
        </w:rPr>
        <w:t>包装箱外形尺寸；</w:t>
      </w:r>
    </w:p>
    <w:p>
      <w:pPr>
        <w:pStyle w:val="97"/>
        <w:numPr>
          <w:ilvl w:val="1"/>
          <w:numId w:val="35"/>
        </w:numPr>
        <w:spacing w:line="360" w:lineRule="auto"/>
        <w:ind w:left="420" w:leftChars="200" w:firstLine="0"/>
        <w:rPr>
          <w:color w:val="auto"/>
          <w:highlight w:val="none"/>
        </w:rPr>
      </w:pPr>
      <w:r>
        <w:rPr>
          <w:color w:val="auto"/>
          <w:highlight w:val="none"/>
        </w:rPr>
        <w:t>净重或毛重（kg）；</w:t>
      </w:r>
    </w:p>
    <w:p>
      <w:pPr>
        <w:pStyle w:val="97"/>
        <w:numPr>
          <w:ilvl w:val="1"/>
          <w:numId w:val="35"/>
        </w:numPr>
        <w:spacing w:line="360" w:lineRule="auto"/>
        <w:ind w:left="420" w:leftChars="200" w:firstLine="0"/>
        <w:rPr>
          <w:color w:val="auto"/>
          <w:highlight w:val="none"/>
        </w:rPr>
      </w:pPr>
      <w:r>
        <w:rPr>
          <w:color w:val="auto"/>
          <w:highlight w:val="none"/>
        </w:rPr>
        <w:t>包装箱外面书写"防潮"、"小心轻放"、"不可倒置"等字样；</w:t>
      </w:r>
    </w:p>
    <w:p>
      <w:pPr>
        <w:pStyle w:val="97"/>
        <w:numPr>
          <w:ilvl w:val="1"/>
          <w:numId w:val="35"/>
        </w:numPr>
        <w:spacing w:line="360" w:lineRule="auto"/>
        <w:ind w:left="420" w:leftChars="200" w:firstLine="0"/>
        <w:rPr>
          <w:color w:val="auto"/>
          <w:highlight w:val="none"/>
        </w:rPr>
      </w:pPr>
      <w:r>
        <w:rPr>
          <w:color w:val="auto"/>
          <w:highlight w:val="none"/>
        </w:rPr>
        <w:t>到站（港）及收货单位；</w:t>
      </w:r>
    </w:p>
    <w:p>
      <w:pPr>
        <w:pStyle w:val="97"/>
        <w:numPr>
          <w:ilvl w:val="1"/>
          <w:numId w:val="35"/>
        </w:numPr>
        <w:spacing w:line="360" w:lineRule="auto"/>
        <w:ind w:left="420" w:leftChars="200" w:firstLine="0"/>
        <w:rPr>
          <w:color w:val="auto"/>
          <w:highlight w:val="none"/>
        </w:rPr>
      </w:pPr>
      <w:r>
        <w:rPr>
          <w:color w:val="auto"/>
          <w:highlight w:val="none"/>
        </w:rPr>
        <w:t>发站（港）及发货单位；</w:t>
      </w:r>
    </w:p>
    <w:p>
      <w:pPr>
        <w:tabs>
          <w:tab w:val="left" w:pos="709"/>
        </w:tabs>
        <w:spacing w:line="360" w:lineRule="auto"/>
        <w:ind w:left="709" w:hanging="709"/>
        <w:outlineLvl w:val="2"/>
        <w:rPr>
          <w:color w:val="auto"/>
          <w:highlight w:val="none"/>
        </w:rPr>
      </w:pPr>
      <w:bookmarkStart w:id="462" w:name="_Toc23181"/>
      <w:r>
        <w:rPr>
          <w:color w:val="auto"/>
          <w:highlight w:val="none"/>
        </w:rPr>
        <w:t>9.1.3 储运图示和收发货标志</w:t>
      </w:r>
      <w:bookmarkEnd w:id="462"/>
    </w:p>
    <w:p>
      <w:pPr>
        <w:spacing w:line="360" w:lineRule="auto"/>
        <w:ind w:firstLine="420"/>
        <w:rPr>
          <w:color w:val="auto"/>
          <w:highlight w:val="none"/>
        </w:rPr>
      </w:pPr>
      <w:r>
        <w:rPr>
          <w:color w:val="auto"/>
          <w:highlight w:val="none"/>
        </w:rPr>
        <w:t>在</w:t>
      </w:r>
      <w:r>
        <w:rPr>
          <w:color w:val="auto"/>
          <w:szCs w:val="21"/>
          <w:highlight w:val="none"/>
        </w:rPr>
        <w:t>包装储运图示和收发货标志应根据被包装</w:t>
      </w:r>
      <w:r>
        <w:rPr>
          <w:rFonts w:hint="eastAsia"/>
          <w:color w:val="auto"/>
          <w:szCs w:val="21"/>
          <w:highlight w:val="none"/>
          <w:lang w:val="en-US" w:eastAsia="zh-CN"/>
        </w:rPr>
        <w:t>材料</w:t>
      </w:r>
      <w:r>
        <w:rPr>
          <w:color w:val="auto"/>
          <w:szCs w:val="21"/>
          <w:highlight w:val="none"/>
        </w:rPr>
        <w:t>的特点，按GB/T 191和GB 6388的有关规定正确选用。</w:t>
      </w:r>
    </w:p>
    <w:p>
      <w:pPr>
        <w:pStyle w:val="3"/>
        <w:spacing w:before="0" w:after="0" w:line="360" w:lineRule="auto"/>
        <w:rPr>
          <w:rFonts w:ascii="Times New Roman" w:hAnsi="Times New Roman" w:eastAsia="黑体"/>
          <w:b w:val="0"/>
          <w:bCs/>
          <w:color w:val="auto"/>
          <w:sz w:val="24"/>
          <w:szCs w:val="24"/>
          <w:highlight w:val="none"/>
        </w:rPr>
      </w:pPr>
      <w:bookmarkStart w:id="463" w:name="_Toc9761"/>
      <w:bookmarkStart w:id="464" w:name="_Toc5895"/>
      <w:bookmarkStart w:id="465" w:name="_Toc168869438"/>
      <w:bookmarkStart w:id="466" w:name="_Toc7909"/>
      <w:bookmarkStart w:id="467" w:name="_Toc30447"/>
      <w:bookmarkStart w:id="468" w:name="_Toc791"/>
      <w:bookmarkStart w:id="469" w:name="_Toc3571"/>
      <w:bookmarkStart w:id="470" w:name="_Toc500920872"/>
      <w:bookmarkStart w:id="471" w:name="_Toc28124"/>
      <w:bookmarkStart w:id="472" w:name="_Toc10165"/>
      <w:bookmarkStart w:id="473" w:name="_Toc23078"/>
      <w:bookmarkStart w:id="474" w:name="_Toc30651"/>
      <w:bookmarkStart w:id="475" w:name="_Toc6596"/>
      <w:bookmarkStart w:id="476" w:name="_Toc2236"/>
      <w:bookmarkStart w:id="477" w:name="_Toc6315"/>
      <w:r>
        <w:rPr>
          <w:rFonts w:ascii="Times New Roman" w:hAnsi="Times New Roman" w:eastAsia="黑体"/>
          <w:b w:val="0"/>
          <w:bCs/>
          <w:color w:val="auto"/>
          <w:sz w:val="24"/>
          <w:szCs w:val="24"/>
          <w:highlight w:val="none"/>
        </w:rPr>
        <w:t>9.2 包装</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tabs>
          <w:tab w:val="left" w:pos="709"/>
        </w:tabs>
        <w:spacing w:line="360" w:lineRule="auto"/>
        <w:ind w:left="709" w:hanging="709"/>
        <w:outlineLvl w:val="2"/>
        <w:rPr>
          <w:color w:val="auto"/>
          <w:highlight w:val="none"/>
        </w:rPr>
      </w:pPr>
      <w:bookmarkStart w:id="478" w:name="_Toc9896"/>
      <w:r>
        <w:rPr>
          <w:color w:val="auto"/>
          <w:highlight w:val="none"/>
        </w:rPr>
        <w:t>9.2.1 基本要求</w:t>
      </w:r>
      <w:bookmarkEnd w:id="478"/>
    </w:p>
    <w:p>
      <w:pPr>
        <w:pStyle w:val="97"/>
        <w:spacing w:line="360" w:lineRule="auto"/>
        <w:ind w:firstLine="420" w:firstLineChars="200"/>
        <w:rPr>
          <w:color w:val="auto"/>
          <w:highlight w:val="none"/>
        </w:rPr>
      </w:pPr>
      <w:r>
        <w:rPr>
          <w:rFonts w:hint="eastAsia"/>
          <w:color w:val="auto"/>
          <w:highlight w:val="none"/>
          <w:lang w:val="en-US" w:eastAsia="zh-CN"/>
        </w:rPr>
        <w:t>新型高分子封堵材料</w:t>
      </w:r>
      <w:r>
        <w:rPr>
          <w:color w:val="auto"/>
          <w:highlight w:val="none"/>
        </w:rPr>
        <w:t>包装应满足GB/T 13384，符合牢固、美观和经济的要求，做到结构合理、紧凑、防护可靠，在正常储运、装卸条件下，保证</w:t>
      </w:r>
      <w:r>
        <w:rPr>
          <w:rFonts w:hint="eastAsia"/>
          <w:color w:val="auto"/>
          <w:highlight w:val="none"/>
          <w:lang w:val="en-US" w:eastAsia="zh-CN"/>
        </w:rPr>
        <w:t>材料</w:t>
      </w:r>
      <w:r>
        <w:rPr>
          <w:color w:val="auto"/>
          <w:highlight w:val="none"/>
        </w:rPr>
        <w:t>不致因包装不善而引起设备损坏、散失、锈蚀、长霉和降低准确度等；</w:t>
      </w:r>
    </w:p>
    <w:p>
      <w:pPr>
        <w:tabs>
          <w:tab w:val="left" w:pos="709"/>
        </w:tabs>
        <w:spacing w:line="360" w:lineRule="auto"/>
        <w:ind w:left="709" w:hanging="709"/>
        <w:outlineLvl w:val="2"/>
        <w:rPr>
          <w:color w:val="auto"/>
          <w:highlight w:val="none"/>
        </w:rPr>
      </w:pPr>
      <w:bookmarkStart w:id="479" w:name="_Toc4520"/>
      <w:r>
        <w:rPr>
          <w:color w:val="auto"/>
          <w:highlight w:val="none"/>
        </w:rPr>
        <w:t>9.2.2 包装环境要求</w:t>
      </w:r>
      <w:bookmarkEnd w:id="479"/>
    </w:p>
    <w:p>
      <w:pPr>
        <w:pStyle w:val="97"/>
        <w:spacing w:line="360" w:lineRule="auto"/>
        <w:ind w:firstLine="420" w:firstLineChars="200"/>
        <w:rPr>
          <w:color w:val="auto"/>
          <w:highlight w:val="none"/>
        </w:rPr>
      </w:pPr>
      <w:r>
        <w:rPr>
          <w:rFonts w:hint="eastAsia"/>
          <w:color w:val="auto"/>
          <w:highlight w:val="none"/>
          <w:lang w:val="en-US" w:eastAsia="zh-CN"/>
        </w:rPr>
        <w:t>新型高分子封堵材料</w:t>
      </w:r>
      <w:r>
        <w:rPr>
          <w:color w:val="auto"/>
          <w:highlight w:val="none"/>
        </w:rPr>
        <w:t>包装时，周围环境及包装箱内应清洁、干燥，无有害气体、无异物。</w:t>
      </w:r>
    </w:p>
    <w:p>
      <w:pPr>
        <w:tabs>
          <w:tab w:val="left" w:pos="709"/>
        </w:tabs>
        <w:spacing w:line="360" w:lineRule="auto"/>
        <w:ind w:left="709" w:hanging="709"/>
        <w:outlineLvl w:val="2"/>
        <w:rPr>
          <w:color w:val="auto"/>
          <w:highlight w:val="none"/>
        </w:rPr>
      </w:pPr>
      <w:bookmarkStart w:id="480" w:name="_Toc2001"/>
      <w:r>
        <w:rPr>
          <w:color w:val="auto"/>
          <w:highlight w:val="none"/>
        </w:rPr>
        <w:t>9.2.3 装箱要求</w:t>
      </w:r>
      <w:bookmarkEnd w:id="480"/>
    </w:p>
    <w:p>
      <w:pPr>
        <w:pStyle w:val="97"/>
        <w:spacing w:line="360" w:lineRule="auto"/>
        <w:ind w:firstLine="420" w:firstLineChars="200"/>
        <w:rPr>
          <w:color w:val="auto"/>
          <w:highlight w:val="none"/>
        </w:rPr>
      </w:pPr>
      <w:r>
        <w:rPr>
          <w:rFonts w:hint="eastAsia"/>
          <w:color w:val="auto"/>
          <w:highlight w:val="none"/>
          <w:lang w:val="en-US" w:eastAsia="zh-CN"/>
        </w:rPr>
        <w:t>新型高分子封堵材料</w:t>
      </w:r>
      <w:r>
        <w:rPr>
          <w:color w:val="auto"/>
          <w:highlight w:val="none"/>
        </w:rPr>
        <w:t>包装后，其包装件中心应尽量靠下且居中。</w:t>
      </w:r>
      <w:r>
        <w:rPr>
          <w:rFonts w:hint="eastAsia"/>
          <w:color w:val="auto"/>
          <w:highlight w:val="none"/>
          <w:lang w:val="en-US" w:eastAsia="zh-CN"/>
        </w:rPr>
        <w:t>材料</w:t>
      </w:r>
      <w:r>
        <w:rPr>
          <w:color w:val="auto"/>
          <w:highlight w:val="none"/>
        </w:rPr>
        <w:t>装在箱内应予以支撑、垫平、卡紧，</w:t>
      </w:r>
      <w:r>
        <w:rPr>
          <w:rFonts w:hint="eastAsia"/>
          <w:color w:val="auto"/>
          <w:highlight w:val="none"/>
          <w:lang w:val="en-US" w:eastAsia="zh-CN"/>
        </w:rPr>
        <w:t>材料</w:t>
      </w:r>
      <w:r>
        <w:rPr>
          <w:color w:val="auto"/>
          <w:highlight w:val="none"/>
        </w:rPr>
        <w:t>可移动的部分应移至使</w:t>
      </w:r>
      <w:r>
        <w:rPr>
          <w:rFonts w:hint="eastAsia"/>
          <w:color w:val="auto"/>
          <w:highlight w:val="none"/>
          <w:lang w:val="en-US" w:eastAsia="zh-CN"/>
        </w:rPr>
        <w:t>封堵材料</w:t>
      </w:r>
      <w:r>
        <w:rPr>
          <w:color w:val="auto"/>
          <w:highlight w:val="none"/>
        </w:rPr>
        <w:t>具有最小外形尺寸，并加以固定。</w:t>
      </w:r>
    </w:p>
    <w:p>
      <w:pPr>
        <w:tabs>
          <w:tab w:val="left" w:pos="709"/>
        </w:tabs>
        <w:spacing w:line="360" w:lineRule="auto"/>
        <w:ind w:left="709" w:hanging="709"/>
        <w:outlineLvl w:val="2"/>
        <w:rPr>
          <w:color w:val="auto"/>
          <w:highlight w:val="none"/>
        </w:rPr>
      </w:pPr>
      <w:bookmarkStart w:id="481" w:name="_Toc12171"/>
      <w:r>
        <w:rPr>
          <w:color w:val="auto"/>
          <w:highlight w:val="none"/>
        </w:rPr>
        <w:t>9.2.4 分体包装要求</w:t>
      </w:r>
      <w:bookmarkEnd w:id="481"/>
    </w:p>
    <w:p>
      <w:pPr>
        <w:pStyle w:val="97"/>
        <w:spacing w:line="360" w:lineRule="auto"/>
        <w:ind w:firstLine="420" w:firstLineChars="200"/>
        <w:rPr>
          <w:color w:val="auto"/>
          <w:highlight w:val="none"/>
        </w:rPr>
      </w:pPr>
      <w:r>
        <w:rPr>
          <w:rFonts w:hint="eastAsia"/>
          <w:color w:val="auto"/>
          <w:highlight w:val="none"/>
          <w:lang w:val="en-US" w:eastAsia="zh-CN"/>
        </w:rPr>
        <w:t>新型高分子封堵材料</w:t>
      </w:r>
      <w:r>
        <w:rPr>
          <w:color w:val="auto"/>
          <w:highlight w:val="none"/>
        </w:rPr>
        <w:t>如有突出部分，在不影响其性能的条件下，应拆卸包装，以缩小包装件体积。</w:t>
      </w:r>
    </w:p>
    <w:p>
      <w:pPr>
        <w:tabs>
          <w:tab w:val="left" w:pos="709"/>
        </w:tabs>
        <w:spacing w:line="360" w:lineRule="auto"/>
        <w:ind w:left="709" w:hanging="709"/>
        <w:outlineLvl w:val="2"/>
        <w:rPr>
          <w:color w:val="auto"/>
          <w:highlight w:val="none"/>
        </w:rPr>
      </w:pPr>
      <w:bookmarkStart w:id="482" w:name="_Toc19111"/>
      <w:r>
        <w:rPr>
          <w:color w:val="auto"/>
          <w:highlight w:val="none"/>
        </w:rPr>
        <w:t>9.2.5 产品防护</w:t>
      </w:r>
      <w:bookmarkEnd w:id="482"/>
    </w:p>
    <w:p>
      <w:pPr>
        <w:pStyle w:val="97"/>
        <w:spacing w:line="360" w:lineRule="auto"/>
        <w:ind w:firstLine="420" w:firstLineChars="200"/>
        <w:rPr>
          <w:color w:val="auto"/>
          <w:highlight w:val="none"/>
        </w:rPr>
      </w:pPr>
      <w:r>
        <w:rPr>
          <w:rFonts w:hint="eastAsia"/>
          <w:color w:val="auto"/>
          <w:highlight w:val="none"/>
          <w:lang w:val="en-US" w:eastAsia="zh-CN"/>
        </w:rPr>
        <w:t>新型高分子封堵材料</w:t>
      </w:r>
      <w:r>
        <w:rPr>
          <w:color w:val="auto"/>
          <w:highlight w:val="none"/>
        </w:rPr>
        <w:t>的防</w:t>
      </w:r>
      <w:r>
        <w:rPr>
          <w:rFonts w:hint="eastAsia"/>
          <w:color w:val="auto"/>
          <w:highlight w:val="none"/>
          <w:lang w:val="en-US" w:eastAsia="zh-CN"/>
        </w:rPr>
        <w:t>火</w:t>
      </w:r>
      <w:r>
        <w:rPr>
          <w:color w:val="auto"/>
          <w:highlight w:val="none"/>
        </w:rPr>
        <w:t>、防潮、防尘等防护包装按GB/T 13384中的有关规定进行。</w:t>
      </w:r>
    </w:p>
    <w:p>
      <w:pPr>
        <w:tabs>
          <w:tab w:val="left" w:pos="709"/>
        </w:tabs>
        <w:spacing w:line="360" w:lineRule="auto"/>
        <w:ind w:left="709" w:hanging="709"/>
        <w:outlineLvl w:val="2"/>
        <w:rPr>
          <w:color w:val="auto"/>
          <w:highlight w:val="none"/>
        </w:rPr>
      </w:pPr>
      <w:bookmarkStart w:id="483" w:name="_Toc28584"/>
      <w:r>
        <w:rPr>
          <w:color w:val="auto"/>
          <w:highlight w:val="none"/>
        </w:rPr>
        <w:t>9.2.6 随机文件清单</w:t>
      </w:r>
      <w:bookmarkEnd w:id="483"/>
    </w:p>
    <w:p>
      <w:pPr>
        <w:pStyle w:val="97"/>
        <w:spacing w:line="360" w:lineRule="auto"/>
        <w:ind w:firstLine="420" w:firstLineChars="200"/>
        <w:rPr>
          <w:color w:val="auto"/>
          <w:highlight w:val="none"/>
        </w:rPr>
      </w:pPr>
      <w:r>
        <w:rPr>
          <w:color w:val="auto"/>
          <w:highlight w:val="none"/>
        </w:rPr>
        <w:t>随机文件应齐全，文件清单至少包含：</w:t>
      </w:r>
    </w:p>
    <w:p>
      <w:pPr>
        <w:spacing w:line="360" w:lineRule="auto"/>
        <w:rPr>
          <w:rFonts w:hint="default" w:ascii="宋体" w:hAnsi="宋体" w:eastAsia="宋体" w:cs="宋体"/>
          <w:szCs w:val="21"/>
          <w:highlight w:val="none"/>
        </w:rPr>
      </w:pPr>
      <w:r>
        <w:rPr>
          <w:rFonts w:hint="default" w:ascii="宋体" w:hAnsi="宋体" w:eastAsia="宋体" w:cs="宋体"/>
          <w:szCs w:val="21"/>
          <w:highlight w:val="none"/>
        </w:rPr>
        <w:t>（1）正确完整的产品（包括进口产品）中文技术手册或使用说明书；</w:t>
      </w:r>
    </w:p>
    <w:p>
      <w:pPr>
        <w:spacing w:line="360" w:lineRule="auto"/>
        <w:rPr>
          <w:rFonts w:hint="default" w:ascii="宋体" w:hAnsi="宋体" w:eastAsia="宋体" w:cs="宋体"/>
          <w:szCs w:val="21"/>
          <w:highlight w:val="none"/>
        </w:rPr>
      </w:pPr>
      <w:r>
        <w:rPr>
          <w:rFonts w:hint="default" w:ascii="宋体" w:hAnsi="宋体" w:eastAsia="宋体" w:cs="宋体"/>
          <w:szCs w:val="21"/>
          <w:highlight w:val="none"/>
        </w:rPr>
        <w:t>（2）出厂</w:t>
      </w:r>
      <w:r>
        <w:rPr>
          <w:rFonts w:hint="eastAsia" w:ascii="宋体" w:hAnsi="宋体" w:eastAsia="宋体" w:cs="宋体"/>
          <w:szCs w:val="21"/>
          <w:highlight w:val="none"/>
          <w:lang w:val="en-US" w:eastAsia="zh-CN"/>
        </w:rPr>
        <w:t>测试</w:t>
      </w:r>
      <w:r>
        <w:rPr>
          <w:rFonts w:hint="default" w:ascii="宋体" w:hAnsi="宋体" w:eastAsia="宋体" w:cs="宋体"/>
          <w:szCs w:val="21"/>
          <w:highlight w:val="none"/>
        </w:rPr>
        <w:t>报告；</w:t>
      </w:r>
    </w:p>
    <w:p>
      <w:pPr>
        <w:spacing w:line="360" w:lineRule="auto"/>
        <w:rPr>
          <w:rFonts w:hint="default" w:ascii="宋体" w:hAnsi="宋体" w:eastAsia="宋体" w:cs="宋体"/>
          <w:szCs w:val="21"/>
          <w:highlight w:val="none"/>
        </w:rPr>
      </w:pPr>
      <w:r>
        <w:rPr>
          <w:rFonts w:hint="default" w:ascii="宋体" w:hAnsi="宋体" w:eastAsia="宋体" w:cs="宋体"/>
          <w:szCs w:val="21"/>
          <w:highlight w:val="none"/>
        </w:rPr>
        <w:t>（3）产品合格证；</w:t>
      </w:r>
    </w:p>
    <w:p>
      <w:pPr>
        <w:spacing w:line="360" w:lineRule="auto"/>
        <w:rPr>
          <w:rFonts w:hint="default" w:ascii="宋体" w:hAnsi="宋体" w:eastAsia="宋体" w:cs="宋体"/>
          <w:szCs w:val="21"/>
          <w:highlight w:val="none"/>
        </w:rPr>
      </w:pPr>
      <w:r>
        <w:rPr>
          <w:rFonts w:hint="default" w:ascii="宋体" w:hAnsi="宋体" w:eastAsia="宋体" w:cs="宋体"/>
          <w:szCs w:val="21"/>
          <w:highlight w:val="none"/>
        </w:rPr>
        <w:t>（</w:t>
      </w:r>
      <w:r>
        <w:rPr>
          <w:rFonts w:hint="eastAsia" w:ascii="宋体" w:hAnsi="宋体" w:eastAsia="宋体" w:cs="宋体"/>
          <w:szCs w:val="21"/>
          <w:highlight w:val="none"/>
          <w:lang w:val="en-US" w:eastAsia="zh-CN"/>
        </w:rPr>
        <w:t>4</w:t>
      </w:r>
      <w:r>
        <w:rPr>
          <w:rFonts w:hint="default" w:ascii="宋体" w:hAnsi="宋体" w:eastAsia="宋体" w:cs="宋体"/>
          <w:szCs w:val="21"/>
          <w:highlight w:val="none"/>
        </w:rPr>
        <w:t>）</w:t>
      </w:r>
      <w:r>
        <w:rPr>
          <w:rFonts w:hint="eastAsia" w:ascii="宋体" w:hAnsi="宋体" w:eastAsia="宋体" w:cs="宋体"/>
          <w:szCs w:val="21"/>
          <w:highlight w:val="none"/>
          <w:lang w:val="en-US" w:eastAsia="zh-CN"/>
        </w:rPr>
        <w:t>货物配送</w:t>
      </w:r>
      <w:r>
        <w:rPr>
          <w:rFonts w:hint="default" w:ascii="宋体" w:hAnsi="宋体" w:eastAsia="宋体" w:cs="宋体"/>
          <w:szCs w:val="21"/>
          <w:highlight w:val="none"/>
        </w:rPr>
        <w:t>清单。</w:t>
      </w:r>
    </w:p>
    <w:p>
      <w:pPr>
        <w:spacing w:line="360" w:lineRule="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（5）到货验收单</w:t>
      </w:r>
    </w:p>
    <w:p>
      <w:pPr>
        <w:tabs>
          <w:tab w:val="left" w:pos="709"/>
        </w:tabs>
        <w:spacing w:line="360" w:lineRule="auto"/>
        <w:ind w:left="709" w:hanging="709"/>
        <w:outlineLvl w:val="2"/>
        <w:rPr>
          <w:color w:val="auto"/>
          <w:highlight w:val="none"/>
        </w:rPr>
      </w:pPr>
      <w:bookmarkStart w:id="484" w:name="_Toc22042"/>
      <w:r>
        <w:rPr>
          <w:color w:val="auto"/>
          <w:highlight w:val="none"/>
        </w:rPr>
        <w:t>9.2.7 随机文件包装</w:t>
      </w:r>
      <w:bookmarkEnd w:id="484"/>
    </w:p>
    <w:p>
      <w:pPr>
        <w:pStyle w:val="97"/>
        <w:spacing w:line="360" w:lineRule="auto"/>
        <w:ind w:firstLine="420" w:firstLineChars="200"/>
        <w:rPr>
          <w:rFonts w:hint="eastAsia" w:eastAsia="宋体"/>
          <w:color w:val="auto"/>
          <w:highlight w:val="none"/>
          <w:lang w:eastAsia="zh-CN"/>
        </w:rPr>
      </w:pPr>
      <w:r>
        <w:rPr>
          <w:color w:val="auto"/>
          <w:highlight w:val="none"/>
        </w:rPr>
        <w:t>随机文件应装入塑料袋中，并放置在包装箱内</w:t>
      </w:r>
      <w:r>
        <w:rPr>
          <w:rFonts w:hint="eastAsia"/>
          <w:color w:val="auto"/>
          <w:highlight w:val="none"/>
          <w:lang w:eastAsia="zh-CN"/>
        </w:rPr>
        <w:t>。</w:t>
      </w:r>
    </w:p>
    <w:p>
      <w:pPr>
        <w:pStyle w:val="3"/>
        <w:spacing w:before="0" w:after="0" w:line="360" w:lineRule="auto"/>
        <w:rPr>
          <w:rFonts w:ascii="Times New Roman" w:hAnsi="Times New Roman" w:eastAsia="黑体"/>
          <w:b w:val="0"/>
          <w:bCs/>
          <w:color w:val="auto"/>
          <w:sz w:val="24"/>
          <w:szCs w:val="24"/>
          <w:highlight w:val="none"/>
        </w:rPr>
      </w:pPr>
      <w:bookmarkStart w:id="485" w:name="_Toc5162"/>
      <w:bookmarkStart w:id="486" w:name="_Toc500920873"/>
      <w:bookmarkStart w:id="487" w:name="_Toc605"/>
      <w:bookmarkStart w:id="488" w:name="_Toc30547"/>
      <w:bookmarkStart w:id="489" w:name="_Toc23242"/>
      <w:bookmarkStart w:id="490" w:name="_Toc14609"/>
      <w:bookmarkStart w:id="491" w:name="_Toc8504"/>
      <w:bookmarkStart w:id="492" w:name="_Toc25557"/>
      <w:bookmarkStart w:id="493" w:name="_Toc1364"/>
      <w:bookmarkStart w:id="494" w:name="_Toc8223"/>
      <w:bookmarkStart w:id="495" w:name="_Toc16884"/>
      <w:bookmarkStart w:id="496" w:name="_Toc168869439"/>
      <w:bookmarkStart w:id="497" w:name="_Toc21847"/>
      <w:bookmarkStart w:id="498" w:name="_Toc20353"/>
      <w:bookmarkStart w:id="499" w:name="_Toc4147"/>
      <w:r>
        <w:rPr>
          <w:rFonts w:ascii="Times New Roman" w:hAnsi="Times New Roman" w:eastAsia="黑体"/>
          <w:b w:val="0"/>
          <w:bCs/>
          <w:color w:val="auto"/>
          <w:sz w:val="24"/>
          <w:szCs w:val="24"/>
          <w:highlight w:val="none"/>
        </w:rPr>
        <w:t>9.3 运输</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pPr>
        <w:pStyle w:val="97"/>
        <w:spacing w:line="360" w:lineRule="auto"/>
        <w:ind w:firstLine="420" w:firstLineChars="200"/>
        <w:rPr>
          <w:color w:val="auto"/>
          <w:highlight w:val="none"/>
        </w:rPr>
      </w:pPr>
      <w:r>
        <w:rPr>
          <w:color w:val="auto"/>
          <w:highlight w:val="none"/>
        </w:rPr>
        <w:t>包装完整的</w:t>
      </w:r>
      <w:r>
        <w:rPr>
          <w:rFonts w:hint="eastAsia"/>
          <w:color w:val="auto"/>
          <w:highlight w:val="none"/>
          <w:lang w:val="en-US" w:eastAsia="zh-CN"/>
        </w:rPr>
        <w:t>材料</w:t>
      </w:r>
      <w:r>
        <w:rPr>
          <w:color w:val="auto"/>
          <w:highlight w:val="none"/>
        </w:rPr>
        <w:t>在运输过程中应避免雨、雪的直接淋袭，并防止受到剧烈的撞击和振动。</w:t>
      </w:r>
    </w:p>
    <w:p>
      <w:pPr>
        <w:pStyle w:val="3"/>
        <w:spacing w:before="0" w:after="0" w:line="360" w:lineRule="auto"/>
        <w:rPr>
          <w:rFonts w:ascii="Times New Roman" w:hAnsi="Times New Roman" w:eastAsia="黑体"/>
          <w:b w:val="0"/>
          <w:bCs/>
          <w:color w:val="auto"/>
          <w:sz w:val="24"/>
          <w:szCs w:val="24"/>
          <w:highlight w:val="none"/>
        </w:rPr>
      </w:pPr>
      <w:bookmarkStart w:id="500" w:name="_Toc25099"/>
      <w:bookmarkStart w:id="501" w:name="_Toc138"/>
      <w:bookmarkStart w:id="502" w:name="_Toc12313"/>
      <w:bookmarkStart w:id="503" w:name="_Toc23109"/>
      <w:bookmarkStart w:id="504" w:name="_Toc29288"/>
      <w:bookmarkStart w:id="505" w:name="_Toc18245"/>
      <w:bookmarkStart w:id="506" w:name="_Toc23551"/>
      <w:bookmarkStart w:id="507" w:name="_Toc17881"/>
      <w:bookmarkStart w:id="508" w:name="_Toc18738"/>
      <w:bookmarkStart w:id="509" w:name="_Toc2559"/>
      <w:bookmarkStart w:id="510" w:name="_Toc500920874"/>
      <w:bookmarkStart w:id="511" w:name="_Toc19120"/>
      <w:bookmarkStart w:id="512" w:name="_Toc168869440"/>
      <w:bookmarkStart w:id="513" w:name="_Toc21036"/>
      <w:bookmarkStart w:id="514" w:name="_Toc12582"/>
      <w:r>
        <w:rPr>
          <w:rFonts w:ascii="Times New Roman" w:hAnsi="Times New Roman" w:eastAsia="黑体"/>
          <w:b w:val="0"/>
          <w:bCs/>
          <w:color w:val="auto"/>
          <w:sz w:val="24"/>
          <w:szCs w:val="24"/>
          <w:highlight w:val="none"/>
        </w:rPr>
        <w:t>9.4 贮存</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pPr>
        <w:pStyle w:val="97"/>
        <w:numPr>
          <w:ilvl w:val="0"/>
          <w:numId w:val="36"/>
        </w:numPr>
        <w:spacing w:line="360" w:lineRule="auto"/>
        <w:rPr>
          <w:color w:val="auto"/>
          <w:highlight w:val="none"/>
        </w:rPr>
      </w:pPr>
      <w:r>
        <w:rPr>
          <w:color w:val="auto"/>
          <w:highlight w:val="none"/>
        </w:rPr>
        <w:t>包装好的</w:t>
      </w:r>
      <w:r>
        <w:rPr>
          <w:rFonts w:hint="eastAsia"/>
          <w:color w:val="auto"/>
          <w:highlight w:val="none"/>
          <w:lang w:val="en-US" w:eastAsia="zh-CN"/>
        </w:rPr>
        <w:t>材料</w:t>
      </w:r>
      <w:r>
        <w:rPr>
          <w:color w:val="auto"/>
          <w:highlight w:val="none"/>
        </w:rPr>
        <w:t>应贮存在环境温度-25℃～+45℃、相对湿度小于80%的室内，且周围无腐蚀性挥发物，无强电磁场作用；</w:t>
      </w:r>
    </w:p>
    <w:p>
      <w:pPr>
        <w:pStyle w:val="97"/>
        <w:numPr>
          <w:ilvl w:val="0"/>
          <w:numId w:val="36"/>
        </w:numPr>
        <w:spacing w:line="360" w:lineRule="auto"/>
        <w:rPr>
          <w:color w:val="auto"/>
          <w:highlight w:val="none"/>
        </w:rPr>
      </w:pPr>
      <w:r>
        <w:rPr>
          <w:color w:val="auto"/>
          <w:highlight w:val="none"/>
        </w:rPr>
        <w:t>从设备出厂之日起，贮存时间超过12个月，使用前应按照制造厂家方法对蓄电池补充电。</w:t>
      </w:r>
      <w:bookmarkEnd w:id="444"/>
    </w:p>
    <w:sectPr>
      <w:pgSz w:w="11906" w:h="16838"/>
      <w:pgMar w:top="1418" w:right="1418" w:bottom="1418" w:left="1418"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长城仿宋">
    <w:altName w:val="仿宋"/>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2000009F" w:csb1="DFD7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2000000000000000000"/>
    <w:charset w:val="86"/>
    <w:family w:val="auto"/>
    <w:pitch w:val="default"/>
    <w:sig w:usb0="00000000" w:usb1="00000000" w:usb2="00000012" w:usb3="00000000" w:csb0="00040001" w:csb1="00000000"/>
  </w:font>
  <w:font w:name="Cambria Math">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rFonts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7"/>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7"/>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txbxContent>
              </v:textbox>
            </v:shape>
          </w:pict>
        </mc:Fallback>
      </mc:AlternateContent>
    </w:r>
  </w:p>
  <w:p>
    <w:pPr>
      <w:pStyle w:val="3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7"/>
                          </w:pPr>
                          <w:r>
                            <w:fldChar w:fldCharType="begin"/>
                          </w:r>
                          <w:r>
                            <w:instrText xml:space="preserve"> PAGE  \* MERGEFORMAT </w:instrText>
                          </w:r>
                          <w:r>
                            <w:fldChar w:fldCharType="separate"/>
                          </w:r>
                          <w:r>
                            <w:t>０</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7"/>
                    </w:pPr>
                    <w:r>
                      <w:fldChar w:fldCharType="begin"/>
                    </w:r>
                    <w:r>
                      <w:instrText xml:space="preserve"> PAGE  \* MERGEFORMAT </w:instrText>
                    </w:r>
                    <w:r>
                      <w:fldChar w:fldCharType="separate"/>
                    </w:r>
                    <w:r>
                      <w:t>０</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7"/>
                            <w:rPr>
                              <w:rStyle w:val="62"/>
                            </w:rPr>
                          </w:pPr>
                          <w:r>
                            <w:rPr>
                              <w:rStyle w:val="62"/>
                            </w:rPr>
                            <w:fldChar w:fldCharType="begin"/>
                          </w:r>
                          <w:r>
                            <w:rPr>
                              <w:rStyle w:val="62"/>
                            </w:rPr>
                            <w:instrText xml:space="preserve">PAGE  </w:instrText>
                          </w:r>
                          <w:r>
                            <w:rPr>
                              <w:rStyle w:val="62"/>
                            </w:rPr>
                            <w:fldChar w:fldCharType="separate"/>
                          </w:r>
                          <w:r>
                            <w:rPr>
                              <w:rStyle w:val="62"/>
                            </w:rPr>
                            <w:t>3</w:t>
                          </w:r>
                          <w:r>
                            <w:rPr>
                              <w:rStyle w:val="6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7"/>
                      <w:rPr>
                        <w:rStyle w:val="62"/>
                      </w:rPr>
                    </w:pPr>
                    <w:r>
                      <w:rPr>
                        <w:rStyle w:val="62"/>
                      </w:rPr>
                      <w:fldChar w:fldCharType="begin"/>
                    </w:r>
                    <w:r>
                      <w:rPr>
                        <w:rStyle w:val="62"/>
                      </w:rPr>
                      <w:instrText xml:space="preserve">PAGE  </w:instrText>
                    </w:r>
                    <w:r>
                      <w:rPr>
                        <w:rStyle w:val="62"/>
                      </w:rPr>
                      <w:fldChar w:fldCharType="separate"/>
                    </w:r>
                    <w:r>
                      <w:rPr>
                        <w:rStyle w:val="62"/>
                      </w:rPr>
                      <w:t>3</w:t>
                    </w:r>
                    <w:r>
                      <w:rPr>
                        <w:rStyle w:val="62"/>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7"/>
                          </w:pPr>
                          <w:r>
                            <w:fldChar w:fldCharType="begin"/>
                          </w:r>
                          <w:r>
                            <w:instrText xml:space="preserve"> PAGE  \* MERGEFORMAT </w:instrText>
                          </w:r>
                          <w:r>
                            <w:fldChar w:fldCharType="separate"/>
                          </w:r>
                          <w:r>
                            <w:t>３</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7"/>
                    </w:pPr>
                    <w:r>
                      <w:fldChar w:fldCharType="begin"/>
                    </w:r>
                    <w:r>
                      <w:instrText xml:space="preserve"> PAGE  \* MERGEFORMAT </w:instrText>
                    </w:r>
                    <w:r>
                      <w:fldChar w:fldCharType="separate"/>
                    </w:r>
                    <w:r>
                      <w:t>３</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7"/>
                          </w:pPr>
                          <w:r>
                            <w:fldChar w:fldCharType="begin"/>
                          </w:r>
                          <w:r>
                            <w:instrText xml:space="preserve"> PAGE  \* MERGEFORMAT </w:instrText>
                          </w:r>
                          <w:r>
                            <w:fldChar w:fldCharType="separate"/>
                          </w:r>
                          <w:r>
                            <w:t>２</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7"/>
                    </w:pPr>
                    <w:r>
                      <w:fldChar w:fldCharType="begin"/>
                    </w:r>
                    <w:r>
                      <w:instrText xml:space="preserve"> PAGE  \* MERGEFORMAT </w:instrText>
                    </w:r>
                    <w:r>
                      <w:fldChar w:fldCharType="separate"/>
                    </w:r>
                    <w:r>
                      <w:t>２</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2525"/>
                          </w:sdtPr>
                          <w:sdtContent>
                            <w:p>
                              <w:pPr>
                                <w:pStyle w:val="37"/>
                                <w:jc w:val="center"/>
                              </w:pPr>
                              <w:r>
                                <w:fldChar w:fldCharType="begin"/>
                              </w:r>
                              <w:r>
                                <w:instrText xml:space="preserve">PAGE   \* MERGEFORMAT</w:instrText>
                              </w:r>
                              <w:r>
                                <w:fldChar w:fldCharType="separate"/>
                              </w:r>
                              <w:r>
                                <w:rPr>
                                  <w:lang w:val="zh-CN"/>
                                </w:rPr>
                                <w:t>8</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sdt>
                    <w:sdtPr>
                      <w:id w:val="147482525"/>
                    </w:sdtPr>
                    <w:sdtContent>
                      <w:p>
                        <w:pPr>
                          <w:pStyle w:val="37"/>
                          <w:jc w:val="center"/>
                        </w:pPr>
                        <w:r>
                          <w:fldChar w:fldCharType="begin"/>
                        </w:r>
                        <w:r>
                          <w:instrText xml:space="preserve">PAGE   \* MERGEFORMAT</w:instrText>
                        </w:r>
                        <w:r>
                          <w:fldChar w:fldCharType="separate"/>
                        </w:r>
                        <w:r>
                          <w:rPr>
                            <w:lang w:val="zh-CN"/>
                          </w:rPr>
                          <w:t>8</w:t>
                        </w:r>
                        <w:r>
                          <w:fldChar w:fldCharType="end"/>
                        </w:r>
                      </w:p>
                    </w:sdtContent>
                  </w:sdt>
                  <w:p/>
                </w:txbxContent>
              </v:textbox>
            </v:shape>
          </w:pict>
        </mc:Fallback>
      </mc:AlternateContent>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Ansi="宋体"/>
        <w:bCs/>
        <w:szCs w:val="21"/>
      </w:rPr>
      <w:t>Q/GD1 1130.12-2009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7C0315"/>
    <w:multiLevelType w:val="singleLevel"/>
    <w:tmpl w:val="D77C0315"/>
    <w:lvl w:ilvl="0" w:tentative="0">
      <w:start w:val="1"/>
      <w:numFmt w:val="decimal"/>
      <w:suff w:val="space"/>
      <w:lvlText w:val="(%1)"/>
      <w:lvlJc w:val="left"/>
    </w:lvl>
  </w:abstractNum>
  <w:abstractNum w:abstractNumId="1">
    <w:nsid w:val="FFFFFF7F"/>
    <w:multiLevelType w:val="singleLevel"/>
    <w:tmpl w:val="FFFFFF7F"/>
    <w:lvl w:ilvl="0" w:tentative="0">
      <w:start w:val="1"/>
      <w:numFmt w:val="decimal"/>
      <w:pStyle w:val="13"/>
      <w:lvlText w:val="%1."/>
      <w:lvlJc w:val="left"/>
      <w:pPr>
        <w:tabs>
          <w:tab w:val="left" w:pos="780"/>
        </w:tabs>
        <w:ind w:left="780" w:leftChars="200" w:hanging="360" w:hangingChars="200"/>
      </w:pPr>
    </w:lvl>
  </w:abstractNum>
  <w:abstractNum w:abstractNumId="2">
    <w:nsid w:val="FFFFFF88"/>
    <w:multiLevelType w:val="singleLevel"/>
    <w:tmpl w:val="FFFFFF88"/>
    <w:lvl w:ilvl="0" w:tentative="0">
      <w:start w:val="1"/>
      <w:numFmt w:val="decimal"/>
      <w:pStyle w:val="16"/>
      <w:lvlText w:val="%1."/>
      <w:lvlJc w:val="left"/>
      <w:pPr>
        <w:tabs>
          <w:tab w:val="left" w:pos="3763"/>
        </w:tabs>
        <w:ind w:left="3763" w:hanging="360" w:hangingChars="20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4">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6">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0FE921B5"/>
    <w:multiLevelType w:val="multilevel"/>
    <w:tmpl w:val="0FE921B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3">
    <w:nsid w:val="1C7B4DAA"/>
    <w:multiLevelType w:val="multilevel"/>
    <w:tmpl w:val="1C7B4DA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1C940092"/>
    <w:multiLevelType w:val="multilevel"/>
    <w:tmpl w:val="1C94009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6">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7">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9">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0">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1">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3D733618"/>
    <w:multiLevelType w:val="multilevel"/>
    <w:tmpl w:val="3D733618"/>
    <w:lvl w:ilvl="0" w:tentative="0">
      <w:start w:val="1"/>
      <w:numFmt w:val="decimal"/>
      <w:pStyle w:val="4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3">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5">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7">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8">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9">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5DE9560"/>
    <w:multiLevelType w:val="singleLevel"/>
    <w:tmpl w:val="65DE9560"/>
    <w:lvl w:ilvl="0" w:tentative="0">
      <w:start w:val="1"/>
      <w:numFmt w:val="decimal"/>
      <w:suff w:val="space"/>
      <w:lvlText w:val="(%1)"/>
      <w:lvlJc w:val="left"/>
    </w:lvl>
  </w:abstractNum>
  <w:abstractNum w:abstractNumId="32">
    <w:nsid w:val="6702C8A1"/>
    <w:multiLevelType w:val="singleLevel"/>
    <w:tmpl w:val="6702C8A1"/>
    <w:lvl w:ilvl="0" w:tentative="0">
      <w:start w:val="1"/>
      <w:numFmt w:val="decimal"/>
      <w:suff w:val="nothing"/>
      <w:lvlText w:val="%1"/>
      <w:lvlJc w:val="center"/>
      <w:pPr>
        <w:ind w:left="0" w:firstLine="397"/>
      </w:pPr>
      <w:rPr>
        <w:rFonts w:hint="default"/>
      </w:rPr>
    </w:lvl>
  </w:abstractNum>
  <w:abstractNum w:abstractNumId="33">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4">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5">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6"/>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5"/>
  </w:num>
  <w:num w:numId="2">
    <w:abstractNumId w:val="1"/>
  </w:num>
  <w:num w:numId="3">
    <w:abstractNumId w:val="2"/>
  </w:num>
  <w:num w:numId="4">
    <w:abstractNumId w:val="3"/>
  </w:num>
  <w:num w:numId="5">
    <w:abstractNumId w:val="22"/>
  </w:num>
  <w:num w:numId="6">
    <w:abstractNumId w:val="19"/>
  </w:num>
  <w:num w:numId="7">
    <w:abstractNumId w:val="9"/>
  </w:num>
  <w:num w:numId="8">
    <w:abstractNumId w:val="7"/>
  </w:num>
  <w:num w:numId="9">
    <w:abstractNumId w:val="25"/>
  </w:num>
  <w:num w:numId="10">
    <w:abstractNumId w:val="17"/>
  </w:num>
  <w:num w:numId="11">
    <w:abstractNumId w:val="15"/>
  </w:num>
  <w:num w:numId="12">
    <w:abstractNumId w:val="30"/>
  </w:num>
  <w:num w:numId="13">
    <w:abstractNumId w:val="28"/>
  </w:num>
  <w:num w:numId="14">
    <w:abstractNumId w:val="34"/>
  </w:num>
  <w:num w:numId="15">
    <w:abstractNumId w:val="18"/>
  </w:num>
  <w:num w:numId="16">
    <w:abstractNumId w:val="27"/>
  </w:num>
  <w:num w:numId="17">
    <w:abstractNumId w:val="8"/>
  </w:num>
  <w:num w:numId="18">
    <w:abstractNumId w:val="24"/>
  </w:num>
  <w:num w:numId="19">
    <w:abstractNumId w:val="29"/>
  </w:num>
  <w:num w:numId="20">
    <w:abstractNumId w:val="33"/>
  </w:num>
  <w:num w:numId="21">
    <w:abstractNumId w:val="26"/>
  </w:num>
  <w:num w:numId="22">
    <w:abstractNumId w:val="5"/>
  </w:num>
  <w:num w:numId="23">
    <w:abstractNumId w:val="12"/>
  </w:num>
  <w:num w:numId="24">
    <w:abstractNumId w:val="6"/>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4"/>
  </w:num>
  <w:num w:numId="31">
    <w:abstractNumId w:val="32"/>
  </w:num>
  <w:num w:numId="32">
    <w:abstractNumId w:val="0"/>
  </w:num>
  <w:num w:numId="33">
    <w:abstractNumId w:val="31"/>
  </w:num>
  <w:num w:numId="34">
    <w:abstractNumId w:val="13"/>
  </w:num>
  <w:num w:numId="35">
    <w:abstractNumId w:val="14"/>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1NGQ4MDY4NjMxYWVlMzc3ODM2NDE0MmU1ODUxYzYifQ=="/>
  </w:docVars>
  <w:rsids>
    <w:rsidRoot w:val="001014E1"/>
    <w:rsid w:val="00004757"/>
    <w:rsid w:val="0001141F"/>
    <w:rsid w:val="00022BC9"/>
    <w:rsid w:val="000254D8"/>
    <w:rsid w:val="00036675"/>
    <w:rsid w:val="00037D61"/>
    <w:rsid w:val="000437BB"/>
    <w:rsid w:val="00044880"/>
    <w:rsid w:val="000454E9"/>
    <w:rsid w:val="0005317E"/>
    <w:rsid w:val="00062943"/>
    <w:rsid w:val="0006624D"/>
    <w:rsid w:val="0007012F"/>
    <w:rsid w:val="00073D69"/>
    <w:rsid w:val="00075B71"/>
    <w:rsid w:val="00083BA3"/>
    <w:rsid w:val="0009630E"/>
    <w:rsid w:val="000A435C"/>
    <w:rsid w:val="000B3B04"/>
    <w:rsid w:val="000C1749"/>
    <w:rsid w:val="000C7FF6"/>
    <w:rsid w:val="000D07D9"/>
    <w:rsid w:val="000D65CB"/>
    <w:rsid w:val="000E0721"/>
    <w:rsid w:val="000E0F43"/>
    <w:rsid w:val="000E120E"/>
    <w:rsid w:val="000E4733"/>
    <w:rsid w:val="000E53A3"/>
    <w:rsid w:val="000F0E79"/>
    <w:rsid w:val="000F72FB"/>
    <w:rsid w:val="001014E1"/>
    <w:rsid w:val="00106C86"/>
    <w:rsid w:val="00110C50"/>
    <w:rsid w:val="001125A2"/>
    <w:rsid w:val="00114F96"/>
    <w:rsid w:val="001222A4"/>
    <w:rsid w:val="00124C73"/>
    <w:rsid w:val="00142497"/>
    <w:rsid w:val="0014399F"/>
    <w:rsid w:val="00161E1B"/>
    <w:rsid w:val="00172E57"/>
    <w:rsid w:val="00180986"/>
    <w:rsid w:val="00187C7F"/>
    <w:rsid w:val="001901EA"/>
    <w:rsid w:val="00192EF9"/>
    <w:rsid w:val="001946A1"/>
    <w:rsid w:val="001F71EB"/>
    <w:rsid w:val="002027D6"/>
    <w:rsid w:val="002044C9"/>
    <w:rsid w:val="00207852"/>
    <w:rsid w:val="00232EF0"/>
    <w:rsid w:val="00235C57"/>
    <w:rsid w:val="00246C26"/>
    <w:rsid w:val="00252B17"/>
    <w:rsid w:val="002650A9"/>
    <w:rsid w:val="0029334C"/>
    <w:rsid w:val="002A2EE9"/>
    <w:rsid w:val="002B6C4E"/>
    <w:rsid w:val="002C784E"/>
    <w:rsid w:val="002E3D23"/>
    <w:rsid w:val="002E646C"/>
    <w:rsid w:val="002E7690"/>
    <w:rsid w:val="002F1A5C"/>
    <w:rsid w:val="002F34E6"/>
    <w:rsid w:val="00300A42"/>
    <w:rsid w:val="00304806"/>
    <w:rsid w:val="00310E29"/>
    <w:rsid w:val="00316AD4"/>
    <w:rsid w:val="00316BDC"/>
    <w:rsid w:val="0032178E"/>
    <w:rsid w:val="00324E79"/>
    <w:rsid w:val="00333EC9"/>
    <w:rsid w:val="00342AA0"/>
    <w:rsid w:val="00354281"/>
    <w:rsid w:val="00366D72"/>
    <w:rsid w:val="0038584C"/>
    <w:rsid w:val="003A277C"/>
    <w:rsid w:val="003A686D"/>
    <w:rsid w:val="003B7C3F"/>
    <w:rsid w:val="003C59B0"/>
    <w:rsid w:val="003D79DF"/>
    <w:rsid w:val="00405A29"/>
    <w:rsid w:val="00415327"/>
    <w:rsid w:val="00422D55"/>
    <w:rsid w:val="00435272"/>
    <w:rsid w:val="00440743"/>
    <w:rsid w:val="00442F97"/>
    <w:rsid w:val="004451B7"/>
    <w:rsid w:val="00455882"/>
    <w:rsid w:val="00457FB0"/>
    <w:rsid w:val="00460F88"/>
    <w:rsid w:val="00466526"/>
    <w:rsid w:val="00474240"/>
    <w:rsid w:val="004A5565"/>
    <w:rsid w:val="004A6C03"/>
    <w:rsid w:val="004B1EFC"/>
    <w:rsid w:val="004B3196"/>
    <w:rsid w:val="004B3F99"/>
    <w:rsid w:val="004C7FB9"/>
    <w:rsid w:val="004E44E7"/>
    <w:rsid w:val="004F6BA4"/>
    <w:rsid w:val="0050274F"/>
    <w:rsid w:val="005111F0"/>
    <w:rsid w:val="00513947"/>
    <w:rsid w:val="00524C30"/>
    <w:rsid w:val="00551BB5"/>
    <w:rsid w:val="005522CA"/>
    <w:rsid w:val="00552812"/>
    <w:rsid w:val="005550B8"/>
    <w:rsid w:val="00556EB6"/>
    <w:rsid w:val="00573A1E"/>
    <w:rsid w:val="00576D0D"/>
    <w:rsid w:val="00581BFB"/>
    <w:rsid w:val="00583D17"/>
    <w:rsid w:val="00590CDB"/>
    <w:rsid w:val="005917FC"/>
    <w:rsid w:val="005A2A06"/>
    <w:rsid w:val="005A402F"/>
    <w:rsid w:val="005A7D2E"/>
    <w:rsid w:val="005B5A84"/>
    <w:rsid w:val="005C61CC"/>
    <w:rsid w:val="005C7E69"/>
    <w:rsid w:val="005D0610"/>
    <w:rsid w:val="005D0FB4"/>
    <w:rsid w:val="005D12C6"/>
    <w:rsid w:val="005D77CC"/>
    <w:rsid w:val="005E33BF"/>
    <w:rsid w:val="005E4648"/>
    <w:rsid w:val="005F1287"/>
    <w:rsid w:val="005F7CCC"/>
    <w:rsid w:val="00607930"/>
    <w:rsid w:val="00607B7D"/>
    <w:rsid w:val="006148CE"/>
    <w:rsid w:val="00635A9A"/>
    <w:rsid w:val="00654C99"/>
    <w:rsid w:val="00662FB2"/>
    <w:rsid w:val="0067034B"/>
    <w:rsid w:val="006911F9"/>
    <w:rsid w:val="006936DB"/>
    <w:rsid w:val="00696E4F"/>
    <w:rsid w:val="006A41EF"/>
    <w:rsid w:val="006A648D"/>
    <w:rsid w:val="006B2EBB"/>
    <w:rsid w:val="006B566B"/>
    <w:rsid w:val="006B761E"/>
    <w:rsid w:val="006D30EB"/>
    <w:rsid w:val="006D4D03"/>
    <w:rsid w:val="006D5F55"/>
    <w:rsid w:val="006D7964"/>
    <w:rsid w:val="006F1C9B"/>
    <w:rsid w:val="006F4C5E"/>
    <w:rsid w:val="006F63B3"/>
    <w:rsid w:val="00700A7D"/>
    <w:rsid w:val="00702C55"/>
    <w:rsid w:val="00704336"/>
    <w:rsid w:val="00725082"/>
    <w:rsid w:val="00732E12"/>
    <w:rsid w:val="00742382"/>
    <w:rsid w:val="0074278E"/>
    <w:rsid w:val="00767196"/>
    <w:rsid w:val="007741D2"/>
    <w:rsid w:val="00795748"/>
    <w:rsid w:val="007B3122"/>
    <w:rsid w:val="007C1493"/>
    <w:rsid w:val="007C2D44"/>
    <w:rsid w:val="007C569B"/>
    <w:rsid w:val="007D424B"/>
    <w:rsid w:val="007E6F66"/>
    <w:rsid w:val="007F6693"/>
    <w:rsid w:val="008176EF"/>
    <w:rsid w:val="00826C56"/>
    <w:rsid w:val="00835C83"/>
    <w:rsid w:val="00843848"/>
    <w:rsid w:val="0084452F"/>
    <w:rsid w:val="00847F5E"/>
    <w:rsid w:val="00887145"/>
    <w:rsid w:val="00891C6F"/>
    <w:rsid w:val="008A050F"/>
    <w:rsid w:val="008A3860"/>
    <w:rsid w:val="008B7582"/>
    <w:rsid w:val="008E1FD9"/>
    <w:rsid w:val="008E316A"/>
    <w:rsid w:val="008E4620"/>
    <w:rsid w:val="008F38AE"/>
    <w:rsid w:val="008F68EC"/>
    <w:rsid w:val="009039B0"/>
    <w:rsid w:val="009047A9"/>
    <w:rsid w:val="00907262"/>
    <w:rsid w:val="00907444"/>
    <w:rsid w:val="0090759A"/>
    <w:rsid w:val="00911C44"/>
    <w:rsid w:val="00927867"/>
    <w:rsid w:val="009279E5"/>
    <w:rsid w:val="00930053"/>
    <w:rsid w:val="0093077A"/>
    <w:rsid w:val="009345DB"/>
    <w:rsid w:val="00942BD5"/>
    <w:rsid w:val="00976C50"/>
    <w:rsid w:val="00981BA3"/>
    <w:rsid w:val="0099125D"/>
    <w:rsid w:val="00994E41"/>
    <w:rsid w:val="00997986"/>
    <w:rsid w:val="009A066D"/>
    <w:rsid w:val="009A5174"/>
    <w:rsid w:val="009D0A63"/>
    <w:rsid w:val="009D1D21"/>
    <w:rsid w:val="009E0653"/>
    <w:rsid w:val="009E78CC"/>
    <w:rsid w:val="009E7C82"/>
    <w:rsid w:val="009F18AD"/>
    <w:rsid w:val="009F2FD1"/>
    <w:rsid w:val="00A15F72"/>
    <w:rsid w:val="00A163F6"/>
    <w:rsid w:val="00A2671A"/>
    <w:rsid w:val="00A26C58"/>
    <w:rsid w:val="00A3191C"/>
    <w:rsid w:val="00A42682"/>
    <w:rsid w:val="00A53839"/>
    <w:rsid w:val="00A60A65"/>
    <w:rsid w:val="00A65481"/>
    <w:rsid w:val="00A7143E"/>
    <w:rsid w:val="00A72901"/>
    <w:rsid w:val="00A74544"/>
    <w:rsid w:val="00A77A18"/>
    <w:rsid w:val="00AA0029"/>
    <w:rsid w:val="00AA0F83"/>
    <w:rsid w:val="00AA1C07"/>
    <w:rsid w:val="00AA23E7"/>
    <w:rsid w:val="00AA6BF7"/>
    <w:rsid w:val="00AB3975"/>
    <w:rsid w:val="00AB509E"/>
    <w:rsid w:val="00AB7B5C"/>
    <w:rsid w:val="00AC2D5F"/>
    <w:rsid w:val="00AC49A8"/>
    <w:rsid w:val="00AC4AB0"/>
    <w:rsid w:val="00AD6374"/>
    <w:rsid w:val="00AD6BDC"/>
    <w:rsid w:val="00AE2D2E"/>
    <w:rsid w:val="00AF68AB"/>
    <w:rsid w:val="00AF72E2"/>
    <w:rsid w:val="00B00C6E"/>
    <w:rsid w:val="00B038A8"/>
    <w:rsid w:val="00B15B81"/>
    <w:rsid w:val="00B2784C"/>
    <w:rsid w:val="00B32474"/>
    <w:rsid w:val="00B44B9B"/>
    <w:rsid w:val="00B44C0C"/>
    <w:rsid w:val="00B45194"/>
    <w:rsid w:val="00B551EC"/>
    <w:rsid w:val="00B559E2"/>
    <w:rsid w:val="00B55B88"/>
    <w:rsid w:val="00B56656"/>
    <w:rsid w:val="00B60AA5"/>
    <w:rsid w:val="00B62162"/>
    <w:rsid w:val="00B73A7B"/>
    <w:rsid w:val="00B7618A"/>
    <w:rsid w:val="00B87403"/>
    <w:rsid w:val="00B9260F"/>
    <w:rsid w:val="00B94A17"/>
    <w:rsid w:val="00BB06AF"/>
    <w:rsid w:val="00BB6896"/>
    <w:rsid w:val="00BC35B8"/>
    <w:rsid w:val="00BE1BB8"/>
    <w:rsid w:val="00BE25DB"/>
    <w:rsid w:val="00BF0409"/>
    <w:rsid w:val="00BF2D4C"/>
    <w:rsid w:val="00BF6FF2"/>
    <w:rsid w:val="00C05007"/>
    <w:rsid w:val="00C14A16"/>
    <w:rsid w:val="00C14D36"/>
    <w:rsid w:val="00C31AC8"/>
    <w:rsid w:val="00C37748"/>
    <w:rsid w:val="00C4167F"/>
    <w:rsid w:val="00C419D7"/>
    <w:rsid w:val="00C425EA"/>
    <w:rsid w:val="00C43A3C"/>
    <w:rsid w:val="00C51F28"/>
    <w:rsid w:val="00C738B0"/>
    <w:rsid w:val="00C77D22"/>
    <w:rsid w:val="00C82F59"/>
    <w:rsid w:val="00C91C66"/>
    <w:rsid w:val="00C95A65"/>
    <w:rsid w:val="00CA2C59"/>
    <w:rsid w:val="00CA5895"/>
    <w:rsid w:val="00CA5C7B"/>
    <w:rsid w:val="00CB2ED6"/>
    <w:rsid w:val="00CD4712"/>
    <w:rsid w:val="00CF095F"/>
    <w:rsid w:val="00CF1575"/>
    <w:rsid w:val="00CF4C22"/>
    <w:rsid w:val="00D00FAF"/>
    <w:rsid w:val="00D03786"/>
    <w:rsid w:val="00D121F6"/>
    <w:rsid w:val="00D13237"/>
    <w:rsid w:val="00D214B5"/>
    <w:rsid w:val="00D2153D"/>
    <w:rsid w:val="00D2157E"/>
    <w:rsid w:val="00D26C2B"/>
    <w:rsid w:val="00D431DD"/>
    <w:rsid w:val="00D44141"/>
    <w:rsid w:val="00D54D31"/>
    <w:rsid w:val="00D66299"/>
    <w:rsid w:val="00D70503"/>
    <w:rsid w:val="00D76F40"/>
    <w:rsid w:val="00D81C65"/>
    <w:rsid w:val="00D85F8D"/>
    <w:rsid w:val="00D9108D"/>
    <w:rsid w:val="00D926A1"/>
    <w:rsid w:val="00D92FF6"/>
    <w:rsid w:val="00D933D1"/>
    <w:rsid w:val="00D9703F"/>
    <w:rsid w:val="00D97644"/>
    <w:rsid w:val="00DA266B"/>
    <w:rsid w:val="00DB463E"/>
    <w:rsid w:val="00DC1097"/>
    <w:rsid w:val="00DC42C4"/>
    <w:rsid w:val="00DD12D1"/>
    <w:rsid w:val="00DE3CBA"/>
    <w:rsid w:val="00DE4FA6"/>
    <w:rsid w:val="00DE614A"/>
    <w:rsid w:val="00DF0266"/>
    <w:rsid w:val="00DF143F"/>
    <w:rsid w:val="00DF7D20"/>
    <w:rsid w:val="00E12837"/>
    <w:rsid w:val="00E170E8"/>
    <w:rsid w:val="00E5249C"/>
    <w:rsid w:val="00E60D7D"/>
    <w:rsid w:val="00E6130B"/>
    <w:rsid w:val="00E77542"/>
    <w:rsid w:val="00EA1969"/>
    <w:rsid w:val="00EA1CCF"/>
    <w:rsid w:val="00EB715D"/>
    <w:rsid w:val="00ED0D22"/>
    <w:rsid w:val="00EE72E1"/>
    <w:rsid w:val="00F124B1"/>
    <w:rsid w:val="00F209E3"/>
    <w:rsid w:val="00F227EB"/>
    <w:rsid w:val="00F23D57"/>
    <w:rsid w:val="00F30954"/>
    <w:rsid w:val="00F44F67"/>
    <w:rsid w:val="00F63748"/>
    <w:rsid w:val="00F715D6"/>
    <w:rsid w:val="00F76805"/>
    <w:rsid w:val="00F80315"/>
    <w:rsid w:val="00F8487D"/>
    <w:rsid w:val="00F860FB"/>
    <w:rsid w:val="00F87738"/>
    <w:rsid w:val="00F92C8A"/>
    <w:rsid w:val="00F93775"/>
    <w:rsid w:val="00F95BE4"/>
    <w:rsid w:val="00FA1F0E"/>
    <w:rsid w:val="00FB6D46"/>
    <w:rsid w:val="00FC21BC"/>
    <w:rsid w:val="00FC3E04"/>
    <w:rsid w:val="00FC7952"/>
    <w:rsid w:val="00FD323B"/>
    <w:rsid w:val="00FE1759"/>
    <w:rsid w:val="00FF044D"/>
    <w:rsid w:val="00FF430C"/>
    <w:rsid w:val="01177414"/>
    <w:rsid w:val="014B08FF"/>
    <w:rsid w:val="015C2B0C"/>
    <w:rsid w:val="016415A0"/>
    <w:rsid w:val="016814B1"/>
    <w:rsid w:val="01691DFF"/>
    <w:rsid w:val="016F6403"/>
    <w:rsid w:val="0173400A"/>
    <w:rsid w:val="01842F42"/>
    <w:rsid w:val="01B23438"/>
    <w:rsid w:val="01C012ED"/>
    <w:rsid w:val="01EF3980"/>
    <w:rsid w:val="01FF0067"/>
    <w:rsid w:val="020B6A0C"/>
    <w:rsid w:val="021A6C4F"/>
    <w:rsid w:val="02343416"/>
    <w:rsid w:val="02380E83"/>
    <w:rsid w:val="023F0464"/>
    <w:rsid w:val="024535A0"/>
    <w:rsid w:val="0245478F"/>
    <w:rsid w:val="02535CBD"/>
    <w:rsid w:val="026A770D"/>
    <w:rsid w:val="02750329"/>
    <w:rsid w:val="027D71DE"/>
    <w:rsid w:val="029F53A6"/>
    <w:rsid w:val="02B36CEF"/>
    <w:rsid w:val="02C22179"/>
    <w:rsid w:val="02CE17E8"/>
    <w:rsid w:val="02D212D8"/>
    <w:rsid w:val="02D77F8F"/>
    <w:rsid w:val="02DA4630"/>
    <w:rsid w:val="02E334E5"/>
    <w:rsid w:val="030A5780"/>
    <w:rsid w:val="030D2310"/>
    <w:rsid w:val="03157416"/>
    <w:rsid w:val="03305FFE"/>
    <w:rsid w:val="03561F09"/>
    <w:rsid w:val="03836A76"/>
    <w:rsid w:val="0385634A"/>
    <w:rsid w:val="03936CB9"/>
    <w:rsid w:val="039C4697"/>
    <w:rsid w:val="03A32C74"/>
    <w:rsid w:val="03A367D0"/>
    <w:rsid w:val="03D96696"/>
    <w:rsid w:val="03F823CA"/>
    <w:rsid w:val="0402799B"/>
    <w:rsid w:val="04073203"/>
    <w:rsid w:val="04090D29"/>
    <w:rsid w:val="040D00EE"/>
    <w:rsid w:val="0449381C"/>
    <w:rsid w:val="04581CB1"/>
    <w:rsid w:val="0461414E"/>
    <w:rsid w:val="04722D72"/>
    <w:rsid w:val="04784101"/>
    <w:rsid w:val="04844854"/>
    <w:rsid w:val="048730AF"/>
    <w:rsid w:val="04CD7FA9"/>
    <w:rsid w:val="04DD6928"/>
    <w:rsid w:val="04ED23F9"/>
    <w:rsid w:val="052D6C99"/>
    <w:rsid w:val="05377B18"/>
    <w:rsid w:val="05504736"/>
    <w:rsid w:val="05682277"/>
    <w:rsid w:val="056B569E"/>
    <w:rsid w:val="05751619"/>
    <w:rsid w:val="05812B41"/>
    <w:rsid w:val="058B39C0"/>
    <w:rsid w:val="05926AFC"/>
    <w:rsid w:val="0598292F"/>
    <w:rsid w:val="05DD06BF"/>
    <w:rsid w:val="05ED423B"/>
    <w:rsid w:val="05F652DD"/>
    <w:rsid w:val="06155949"/>
    <w:rsid w:val="061A034B"/>
    <w:rsid w:val="061E7174"/>
    <w:rsid w:val="06696D6A"/>
    <w:rsid w:val="06954AF6"/>
    <w:rsid w:val="06B12ED0"/>
    <w:rsid w:val="06C26280"/>
    <w:rsid w:val="06C61153"/>
    <w:rsid w:val="06ED4932"/>
    <w:rsid w:val="07027CB2"/>
    <w:rsid w:val="07141CA5"/>
    <w:rsid w:val="07294629"/>
    <w:rsid w:val="073F0F06"/>
    <w:rsid w:val="075B76E3"/>
    <w:rsid w:val="07666493"/>
    <w:rsid w:val="076D15CF"/>
    <w:rsid w:val="076E5A69"/>
    <w:rsid w:val="079015C2"/>
    <w:rsid w:val="07B2792A"/>
    <w:rsid w:val="07C5140B"/>
    <w:rsid w:val="07CB2BCC"/>
    <w:rsid w:val="07D71065"/>
    <w:rsid w:val="07E11450"/>
    <w:rsid w:val="07FB4E2D"/>
    <w:rsid w:val="080C4025"/>
    <w:rsid w:val="081B727D"/>
    <w:rsid w:val="08346591"/>
    <w:rsid w:val="085B3B1D"/>
    <w:rsid w:val="08634780"/>
    <w:rsid w:val="08764C5A"/>
    <w:rsid w:val="087D5842"/>
    <w:rsid w:val="08872B64"/>
    <w:rsid w:val="0889068B"/>
    <w:rsid w:val="08A76D63"/>
    <w:rsid w:val="08B06605"/>
    <w:rsid w:val="08B82D1E"/>
    <w:rsid w:val="08CC1E2A"/>
    <w:rsid w:val="08CC741F"/>
    <w:rsid w:val="08CF1E16"/>
    <w:rsid w:val="08F17FDE"/>
    <w:rsid w:val="08F94022"/>
    <w:rsid w:val="08FD63E0"/>
    <w:rsid w:val="092403B3"/>
    <w:rsid w:val="093D3223"/>
    <w:rsid w:val="09416DE2"/>
    <w:rsid w:val="09652EA6"/>
    <w:rsid w:val="09722ECD"/>
    <w:rsid w:val="09734E97"/>
    <w:rsid w:val="097F3179"/>
    <w:rsid w:val="098D5F59"/>
    <w:rsid w:val="09B90AFC"/>
    <w:rsid w:val="09C03134"/>
    <w:rsid w:val="09C57AF1"/>
    <w:rsid w:val="09DB3168"/>
    <w:rsid w:val="0A0124A3"/>
    <w:rsid w:val="0A057771"/>
    <w:rsid w:val="0A09495C"/>
    <w:rsid w:val="0A4D7496"/>
    <w:rsid w:val="0A740EC6"/>
    <w:rsid w:val="0A8729A8"/>
    <w:rsid w:val="0A99092D"/>
    <w:rsid w:val="0A9E5F43"/>
    <w:rsid w:val="0AA03A6A"/>
    <w:rsid w:val="0AA07F0D"/>
    <w:rsid w:val="0AA90B70"/>
    <w:rsid w:val="0AB87005"/>
    <w:rsid w:val="0AC37758"/>
    <w:rsid w:val="0AC43BFC"/>
    <w:rsid w:val="0AC53F6C"/>
    <w:rsid w:val="0AC65A1C"/>
    <w:rsid w:val="0AFA5870"/>
    <w:rsid w:val="0B04224A"/>
    <w:rsid w:val="0B06527C"/>
    <w:rsid w:val="0B136BEC"/>
    <w:rsid w:val="0B384C08"/>
    <w:rsid w:val="0B3C19E4"/>
    <w:rsid w:val="0B5036E2"/>
    <w:rsid w:val="0B5B2DA7"/>
    <w:rsid w:val="0B6158EF"/>
    <w:rsid w:val="0B830515"/>
    <w:rsid w:val="0B930071"/>
    <w:rsid w:val="0B996E37"/>
    <w:rsid w:val="0BCA279B"/>
    <w:rsid w:val="0BCB2D68"/>
    <w:rsid w:val="0BDE0CED"/>
    <w:rsid w:val="0C063DA0"/>
    <w:rsid w:val="0C2427A8"/>
    <w:rsid w:val="0C2F779B"/>
    <w:rsid w:val="0C3C3C66"/>
    <w:rsid w:val="0C460641"/>
    <w:rsid w:val="0C632FA1"/>
    <w:rsid w:val="0C6F224C"/>
    <w:rsid w:val="0C7F0EF5"/>
    <w:rsid w:val="0C870762"/>
    <w:rsid w:val="0C886EAB"/>
    <w:rsid w:val="0C8A49D1"/>
    <w:rsid w:val="0C9F1B35"/>
    <w:rsid w:val="0CAA2E9C"/>
    <w:rsid w:val="0CAF268A"/>
    <w:rsid w:val="0CE2480D"/>
    <w:rsid w:val="0CE265BB"/>
    <w:rsid w:val="0CEB00DB"/>
    <w:rsid w:val="0CF602B9"/>
    <w:rsid w:val="0CF85DDF"/>
    <w:rsid w:val="0D342013"/>
    <w:rsid w:val="0D444B80"/>
    <w:rsid w:val="0D5D3C56"/>
    <w:rsid w:val="0D610521"/>
    <w:rsid w:val="0D613984"/>
    <w:rsid w:val="0DB461AA"/>
    <w:rsid w:val="0DBA12E6"/>
    <w:rsid w:val="0DC3019B"/>
    <w:rsid w:val="0DD405FA"/>
    <w:rsid w:val="0DD51C7C"/>
    <w:rsid w:val="0DEB76F2"/>
    <w:rsid w:val="0DF45AE2"/>
    <w:rsid w:val="0E26697C"/>
    <w:rsid w:val="0E415563"/>
    <w:rsid w:val="0E4B1EA5"/>
    <w:rsid w:val="0E5E1C72"/>
    <w:rsid w:val="0E725A04"/>
    <w:rsid w:val="0E74516F"/>
    <w:rsid w:val="0E762F7F"/>
    <w:rsid w:val="0E8042DE"/>
    <w:rsid w:val="0E811E04"/>
    <w:rsid w:val="0E87566C"/>
    <w:rsid w:val="0E8A6F0A"/>
    <w:rsid w:val="0E9E773D"/>
    <w:rsid w:val="0ED168E7"/>
    <w:rsid w:val="0EF600FC"/>
    <w:rsid w:val="0F0C3DC3"/>
    <w:rsid w:val="0F1D1B2D"/>
    <w:rsid w:val="0F205E02"/>
    <w:rsid w:val="0F346E76"/>
    <w:rsid w:val="0F3D1F58"/>
    <w:rsid w:val="0F414075"/>
    <w:rsid w:val="0F503CB0"/>
    <w:rsid w:val="0F5F3EF3"/>
    <w:rsid w:val="0FBF2BE4"/>
    <w:rsid w:val="0FCB3337"/>
    <w:rsid w:val="0FCF19C3"/>
    <w:rsid w:val="0FD4631E"/>
    <w:rsid w:val="0FD65F31"/>
    <w:rsid w:val="0FE644C3"/>
    <w:rsid w:val="0FE97B2F"/>
    <w:rsid w:val="0FF10D36"/>
    <w:rsid w:val="10190546"/>
    <w:rsid w:val="103A226A"/>
    <w:rsid w:val="10437470"/>
    <w:rsid w:val="104430E9"/>
    <w:rsid w:val="105C48D7"/>
    <w:rsid w:val="10627A0F"/>
    <w:rsid w:val="107240FA"/>
    <w:rsid w:val="10765998"/>
    <w:rsid w:val="10A23C96"/>
    <w:rsid w:val="10E548CC"/>
    <w:rsid w:val="110F7B9B"/>
    <w:rsid w:val="111451B1"/>
    <w:rsid w:val="11233511"/>
    <w:rsid w:val="11252F1A"/>
    <w:rsid w:val="11335637"/>
    <w:rsid w:val="11403A00"/>
    <w:rsid w:val="116E48C1"/>
    <w:rsid w:val="117441C7"/>
    <w:rsid w:val="117F6ACF"/>
    <w:rsid w:val="118F5D66"/>
    <w:rsid w:val="11951E4E"/>
    <w:rsid w:val="11B12A00"/>
    <w:rsid w:val="11B36778"/>
    <w:rsid w:val="11BA3663"/>
    <w:rsid w:val="11BA3AE3"/>
    <w:rsid w:val="11DD1A47"/>
    <w:rsid w:val="11E64458"/>
    <w:rsid w:val="12296A3A"/>
    <w:rsid w:val="12394ECF"/>
    <w:rsid w:val="12437AFC"/>
    <w:rsid w:val="124D097B"/>
    <w:rsid w:val="12604832"/>
    <w:rsid w:val="12D54D38"/>
    <w:rsid w:val="12E60488"/>
    <w:rsid w:val="12E82452"/>
    <w:rsid w:val="12E84200"/>
    <w:rsid w:val="12FB2185"/>
    <w:rsid w:val="13037AFF"/>
    <w:rsid w:val="13042394"/>
    <w:rsid w:val="130A23C8"/>
    <w:rsid w:val="130A686C"/>
    <w:rsid w:val="13135EB3"/>
    <w:rsid w:val="132711CC"/>
    <w:rsid w:val="13386F35"/>
    <w:rsid w:val="13685340"/>
    <w:rsid w:val="137B2FBA"/>
    <w:rsid w:val="137E6912"/>
    <w:rsid w:val="13A10F7E"/>
    <w:rsid w:val="13E63AE2"/>
    <w:rsid w:val="13ED6813"/>
    <w:rsid w:val="140C03C2"/>
    <w:rsid w:val="14237BE5"/>
    <w:rsid w:val="14293E20"/>
    <w:rsid w:val="142B4CEC"/>
    <w:rsid w:val="14531B4D"/>
    <w:rsid w:val="14644A36"/>
    <w:rsid w:val="1468384A"/>
    <w:rsid w:val="147541B9"/>
    <w:rsid w:val="147C10A3"/>
    <w:rsid w:val="148B5FB3"/>
    <w:rsid w:val="14A16D5C"/>
    <w:rsid w:val="14D81917"/>
    <w:rsid w:val="14E32ED1"/>
    <w:rsid w:val="150D619F"/>
    <w:rsid w:val="15194B44"/>
    <w:rsid w:val="151F1551"/>
    <w:rsid w:val="1525101E"/>
    <w:rsid w:val="152A4FA3"/>
    <w:rsid w:val="154047C7"/>
    <w:rsid w:val="1558797F"/>
    <w:rsid w:val="15711180"/>
    <w:rsid w:val="15B21208"/>
    <w:rsid w:val="15CF128C"/>
    <w:rsid w:val="15D849FF"/>
    <w:rsid w:val="15FA45DC"/>
    <w:rsid w:val="15FF1F8C"/>
    <w:rsid w:val="16105F47"/>
    <w:rsid w:val="163F66C1"/>
    <w:rsid w:val="164125A5"/>
    <w:rsid w:val="16430654"/>
    <w:rsid w:val="164D0F49"/>
    <w:rsid w:val="1651030E"/>
    <w:rsid w:val="165322D8"/>
    <w:rsid w:val="16610D1A"/>
    <w:rsid w:val="16612C47"/>
    <w:rsid w:val="16646293"/>
    <w:rsid w:val="166F6039"/>
    <w:rsid w:val="16783269"/>
    <w:rsid w:val="167D7355"/>
    <w:rsid w:val="16AE750E"/>
    <w:rsid w:val="16BC1C2B"/>
    <w:rsid w:val="16D65D7F"/>
    <w:rsid w:val="16F00B99"/>
    <w:rsid w:val="16F413C5"/>
    <w:rsid w:val="17173305"/>
    <w:rsid w:val="17187C92"/>
    <w:rsid w:val="171B2EB2"/>
    <w:rsid w:val="173E4D36"/>
    <w:rsid w:val="174C7453"/>
    <w:rsid w:val="176A78D9"/>
    <w:rsid w:val="177B7D38"/>
    <w:rsid w:val="178C784F"/>
    <w:rsid w:val="17946704"/>
    <w:rsid w:val="17BA0860"/>
    <w:rsid w:val="17C214C3"/>
    <w:rsid w:val="17D905BB"/>
    <w:rsid w:val="17E458DD"/>
    <w:rsid w:val="18185587"/>
    <w:rsid w:val="18396DA7"/>
    <w:rsid w:val="18616F2E"/>
    <w:rsid w:val="186A78A6"/>
    <w:rsid w:val="189F7A56"/>
    <w:rsid w:val="18CB084B"/>
    <w:rsid w:val="18CD54ED"/>
    <w:rsid w:val="18D21BDA"/>
    <w:rsid w:val="18D25C87"/>
    <w:rsid w:val="18DA0A8E"/>
    <w:rsid w:val="18FE29CF"/>
    <w:rsid w:val="191C4423"/>
    <w:rsid w:val="193D2E73"/>
    <w:rsid w:val="193F00C3"/>
    <w:rsid w:val="194A0A34"/>
    <w:rsid w:val="195C14A3"/>
    <w:rsid w:val="196071E6"/>
    <w:rsid w:val="199C7AF2"/>
    <w:rsid w:val="19A5109C"/>
    <w:rsid w:val="19AF6752"/>
    <w:rsid w:val="19B47531"/>
    <w:rsid w:val="19CA0B03"/>
    <w:rsid w:val="19F7294F"/>
    <w:rsid w:val="1A187AC0"/>
    <w:rsid w:val="1A5A1E87"/>
    <w:rsid w:val="1A6052D4"/>
    <w:rsid w:val="1A755EE0"/>
    <w:rsid w:val="1AC00D64"/>
    <w:rsid w:val="1B256925"/>
    <w:rsid w:val="1B26620D"/>
    <w:rsid w:val="1B3B1CB8"/>
    <w:rsid w:val="1B46240B"/>
    <w:rsid w:val="1B4B7A22"/>
    <w:rsid w:val="1B762547"/>
    <w:rsid w:val="1B770FA2"/>
    <w:rsid w:val="1B79633D"/>
    <w:rsid w:val="1BBC26CD"/>
    <w:rsid w:val="1BE539D2"/>
    <w:rsid w:val="1BE8727C"/>
    <w:rsid w:val="1BF400B9"/>
    <w:rsid w:val="1C321D87"/>
    <w:rsid w:val="1C324211"/>
    <w:rsid w:val="1C7134B8"/>
    <w:rsid w:val="1CA4563B"/>
    <w:rsid w:val="1CB25FAA"/>
    <w:rsid w:val="1CC934A5"/>
    <w:rsid w:val="1D047E88"/>
    <w:rsid w:val="1D13456F"/>
    <w:rsid w:val="1D1647B8"/>
    <w:rsid w:val="1D197DF8"/>
    <w:rsid w:val="1D216C8C"/>
    <w:rsid w:val="1D2503BC"/>
    <w:rsid w:val="1D49004A"/>
    <w:rsid w:val="1D5C5773"/>
    <w:rsid w:val="1D5E2DC9"/>
    <w:rsid w:val="1D71305C"/>
    <w:rsid w:val="1DA46519"/>
    <w:rsid w:val="1DAC3860"/>
    <w:rsid w:val="1DC87B0B"/>
    <w:rsid w:val="1DD43CFE"/>
    <w:rsid w:val="1DD51824"/>
    <w:rsid w:val="1DED4DC0"/>
    <w:rsid w:val="1DF75C3F"/>
    <w:rsid w:val="1E0345E3"/>
    <w:rsid w:val="1E2F362A"/>
    <w:rsid w:val="1E322872"/>
    <w:rsid w:val="1E447051"/>
    <w:rsid w:val="1E450758"/>
    <w:rsid w:val="1E4569AA"/>
    <w:rsid w:val="1E470974"/>
    <w:rsid w:val="1E4A3FC0"/>
    <w:rsid w:val="1E562965"/>
    <w:rsid w:val="1E636E30"/>
    <w:rsid w:val="1E6F3876"/>
    <w:rsid w:val="1E731769"/>
    <w:rsid w:val="1E752EFC"/>
    <w:rsid w:val="1E761259"/>
    <w:rsid w:val="1E9B0CC0"/>
    <w:rsid w:val="1E9F255E"/>
    <w:rsid w:val="1EA25BAA"/>
    <w:rsid w:val="1F0E3240"/>
    <w:rsid w:val="1F170346"/>
    <w:rsid w:val="1F332CA6"/>
    <w:rsid w:val="1F5113DB"/>
    <w:rsid w:val="1F51280E"/>
    <w:rsid w:val="1F6D440A"/>
    <w:rsid w:val="1F994F2D"/>
    <w:rsid w:val="1F9C101C"/>
    <w:rsid w:val="1FA83694"/>
    <w:rsid w:val="1FA871F0"/>
    <w:rsid w:val="1FAF67D1"/>
    <w:rsid w:val="1FB11C6B"/>
    <w:rsid w:val="1FBB4BD6"/>
    <w:rsid w:val="1FBC2C9C"/>
    <w:rsid w:val="1FD652A3"/>
    <w:rsid w:val="1FE02E2E"/>
    <w:rsid w:val="1FE346CD"/>
    <w:rsid w:val="1FE3647B"/>
    <w:rsid w:val="1FFB37C4"/>
    <w:rsid w:val="200621A4"/>
    <w:rsid w:val="20166850"/>
    <w:rsid w:val="203B6042"/>
    <w:rsid w:val="2080016D"/>
    <w:rsid w:val="20896A9A"/>
    <w:rsid w:val="20A41CB3"/>
    <w:rsid w:val="20BD4F1E"/>
    <w:rsid w:val="20BD6E14"/>
    <w:rsid w:val="20BF1FD7"/>
    <w:rsid w:val="211663DC"/>
    <w:rsid w:val="213276BA"/>
    <w:rsid w:val="21366A7E"/>
    <w:rsid w:val="215C64E4"/>
    <w:rsid w:val="216054E6"/>
    <w:rsid w:val="216B497A"/>
    <w:rsid w:val="21771570"/>
    <w:rsid w:val="21793C80"/>
    <w:rsid w:val="218E2416"/>
    <w:rsid w:val="21BF4CC5"/>
    <w:rsid w:val="21C3213B"/>
    <w:rsid w:val="21D51E77"/>
    <w:rsid w:val="21FF60F6"/>
    <w:rsid w:val="22145011"/>
    <w:rsid w:val="222A0391"/>
    <w:rsid w:val="22580AB5"/>
    <w:rsid w:val="225F4543"/>
    <w:rsid w:val="226333FC"/>
    <w:rsid w:val="226E080D"/>
    <w:rsid w:val="227076D9"/>
    <w:rsid w:val="228A0E2F"/>
    <w:rsid w:val="2298179E"/>
    <w:rsid w:val="22A16179"/>
    <w:rsid w:val="22AE0FC2"/>
    <w:rsid w:val="22C02AA3"/>
    <w:rsid w:val="22CC769A"/>
    <w:rsid w:val="22E222A1"/>
    <w:rsid w:val="230B6414"/>
    <w:rsid w:val="23156267"/>
    <w:rsid w:val="2318643B"/>
    <w:rsid w:val="231B70C9"/>
    <w:rsid w:val="232738AA"/>
    <w:rsid w:val="233F3CC9"/>
    <w:rsid w:val="23563407"/>
    <w:rsid w:val="23A67EEB"/>
    <w:rsid w:val="23AF41F1"/>
    <w:rsid w:val="23B24AE2"/>
    <w:rsid w:val="23B5012E"/>
    <w:rsid w:val="23CD191B"/>
    <w:rsid w:val="23D74548"/>
    <w:rsid w:val="23E26A49"/>
    <w:rsid w:val="23FF584D"/>
    <w:rsid w:val="24337CEA"/>
    <w:rsid w:val="246459B9"/>
    <w:rsid w:val="247E6772"/>
    <w:rsid w:val="248C7599"/>
    <w:rsid w:val="249D12EE"/>
    <w:rsid w:val="24AF0A1C"/>
    <w:rsid w:val="24D453CC"/>
    <w:rsid w:val="24D46CDA"/>
    <w:rsid w:val="24E30CCB"/>
    <w:rsid w:val="24E66316"/>
    <w:rsid w:val="24F66C50"/>
    <w:rsid w:val="24F86524"/>
    <w:rsid w:val="250A6257"/>
    <w:rsid w:val="254104D0"/>
    <w:rsid w:val="25506360"/>
    <w:rsid w:val="255E0351"/>
    <w:rsid w:val="258C1362"/>
    <w:rsid w:val="25BD2FF0"/>
    <w:rsid w:val="25C46C05"/>
    <w:rsid w:val="25C6511C"/>
    <w:rsid w:val="260447C1"/>
    <w:rsid w:val="262D48F3"/>
    <w:rsid w:val="2637307C"/>
    <w:rsid w:val="263A2B6C"/>
    <w:rsid w:val="265729B3"/>
    <w:rsid w:val="266876DA"/>
    <w:rsid w:val="266B71CA"/>
    <w:rsid w:val="267A740D"/>
    <w:rsid w:val="26CF3E66"/>
    <w:rsid w:val="26CF7759"/>
    <w:rsid w:val="26EC58B1"/>
    <w:rsid w:val="26F471BF"/>
    <w:rsid w:val="27046DB7"/>
    <w:rsid w:val="271138CD"/>
    <w:rsid w:val="27181100"/>
    <w:rsid w:val="27217912"/>
    <w:rsid w:val="27247AA4"/>
    <w:rsid w:val="273E03D7"/>
    <w:rsid w:val="27457A1B"/>
    <w:rsid w:val="276A7481"/>
    <w:rsid w:val="27936903"/>
    <w:rsid w:val="27982240"/>
    <w:rsid w:val="27B150B0"/>
    <w:rsid w:val="27C44DE4"/>
    <w:rsid w:val="27C84BBE"/>
    <w:rsid w:val="27C9064C"/>
    <w:rsid w:val="27CC1EEA"/>
    <w:rsid w:val="280220F1"/>
    <w:rsid w:val="280B2A12"/>
    <w:rsid w:val="28173165"/>
    <w:rsid w:val="281F2450"/>
    <w:rsid w:val="28321D4D"/>
    <w:rsid w:val="286E4D4F"/>
    <w:rsid w:val="28724840"/>
    <w:rsid w:val="28884063"/>
    <w:rsid w:val="28941188"/>
    <w:rsid w:val="2895052E"/>
    <w:rsid w:val="28BC4F32"/>
    <w:rsid w:val="28CB3F50"/>
    <w:rsid w:val="28DC615D"/>
    <w:rsid w:val="29023E15"/>
    <w:rsid w:val="290B478D"/>
    <w:rsid w:val="29107040"/>
    <w:rsid w:val="29325D7D"/>
    <w:rsid w:val="294855A0"/>
    <w:rsid w:val="295977AD"/>
    <w:rsid w:val="296A3500"/>
    <w:rsid w:val="29910CF5"/>
    <w:rsid w:val="29AA17C4"/>
    <w:rsid w:val="29E51041"/>
    <w:rsid w:val="29E569BD"/>
    <w:rsid w:val="29F01EC0"/>
    <w:rsid w:val="2A0716FD"/>
    <w:rsid w:val="2A257690"/>
    <w:rsid w:val="2A443393"/>
    <w:rsid w:val="2A474E0F"/>
    <w:rsid w:val="2A4F2695"/>
    <w:rsid w:val="2A7264D8"/>
    <w:rsid w:val="2A750617"/>
    <w:rsid w:val="2A763948"/>
    <w:rsid w:val="2A895E70"/>
    <w:rsid w:val="2A905641"/>
    <w:rsid w:val="2A9F38E6"/>
    <w:rsid w:val="2AC05D36"/>
    <w:rsid w:val="2AC31382"/>
    <w:rsid w:val="2ACD79D6"/>
    <w:rsid w:val="2B0100FD"/>
    <w:rsid w:val="2B05199B"/>
    <w:rsid w:val="2B0A6FB1"/>
    <w:rsid w:val="2B0B2D29"/>
    <w:rsid w:val="2B0F6376"/>
    <w:rsid w:val="2B1E0CAF"/>
    <w:rsid w:val="2B2D0EF2"/>
    <w:rsid w:val="2B4F0E68"/>
    <w:rsid w:val="2B722141"/>
    <w:rsid w:val="2B724B56"/>
    <w:rsid w:val="2B73789A"/>
    <w:rsid w:val="2B762899"/>
    <w:rsid w:val="2BB4516F"/>
    <w:rsid w:val="2BCD52EE"/>
    <w:rsid w:val="2BD57428"/>
    <w:rsid w:val="2BEE242F"/>
    <w:rsid w:val="2C025EDA"/>
    <w:rsid w:val="2C0B2FE1"/>
    <w:rsid w:val="2C174586"/>
    <w:rsid w:val="2C1874AC"/>
    <w:rsid w:val="2C1D0F66"/>
    <w:rsid w:val="2C22032B"/>
    <w:rsid w:val="2C3167C0"/>
    <w:rsid w:val="2C422922"/>
    <w:rsid w:val="2C520C10"/>
    <w:rsid w:val="2C831597"/>
    <w:rsid w:val="2C9A25B7"/>
    <w:rsid w:val="2CA40D8B"/>
    <w:rsid w:val="2CA93206"/>
    <w:rsid w:val="2CAE1BBE"/>
    <w:rsid w:val="2CEA0209"/>
    <w:rsid w:val="2CEE7FE8"/>
    <w:rsid w:val="2CF56AF6"/>
    <w:rsid w:val="2D012636"/>
    <w:rsid w:val="2D043C9C"/>
    <w:rsid w:val="2D214A86"/>
    <w:rsid w:val="2D355E3C"/>
    <w:rsid w:val="2D3F1672"/>
    <w:rsid w:val="2D72425D"/>
    <w:rsid w:val="2D744BB6"/>
    <w:rsid w:val="2D937732"/>
    <w:rsid w:val="2E207DE1"/>
    <w:rsid w:val="2E291E44"/>
    <w:rsid w:val="2E3507E9"/>
    <w:rsid w:val="2E3508AE"/>
    <w:rsid w:val="2E582BA8"/>
    <w:rsid w:val="2E5F5866"/>
    <w:rsid w:val="2E9574DA"/>
    <w:rsid w:val="2EA25753"/>
    <w:rsid w:val="2EC4391B"/>
    <w:rsid w:val="2ECD6CA9"/>
    <w:rsid w:val="2EF53AD4"/>
    <w:rsid w:val="2EFC4824"/>
    <w:rsid w:val="2EFE507F"/>
    <w:rsid w:val="2F397E65"/>
    <w:rsid w:val="2F430CE4"/>
    <w:rsid w:val="2F7E1D1C"/>
    <w:rsid w:val="2F8D01B1"/>
    <w:rsid w:val="2F9C6646"/>
    <w:rsid w:val="2FA31D65"/>
    <w:rsid w:val="2FA572A9"/>
    <w:rsid w:val="2FA84FEB"/>
    <w:rsid w:val="2FAA2B11"/>
    <w:rsid w:val="2FAD0853"/>
    <w:rsid w:val="2FD53CC6"/>
    <w:rsid w:val="30004E27"/>
    <w:rsid w:val="300541EB"/>
    <w:rsid w:val="300A7A53"/>
    <w:rsid w:val="30297EDA"/>
    <w:rsid w:val="303D1BD7"/>
    <w:rsid w:val="304A60A2"/>
    <w:rsid w:val="30586A11"/>
    <w:rsid w:val="305F3C0A"/>
    <w:rsid w:val="30703D5A"/>
    <w:rsid w:val="30803872"/>
    <w:rsid w:val="308643D8"/>
    <w:rsid w:val="30D2231F"/>
    <w:rsid w:val="30D836AE"/>
    <w:rsid w:val="30E5403D"/>
    <w:rsid w:val="30FD142E"/>
    <w:rsid w:val="31102E48"/>
    <w:rsid w:val="31307046"/>
    <w:rsid w:val="315E0057"/>
    <w:rsid w:val="317C5CA4"/>
    <w:rsid w:val="319B6BB5"/>
    <w:rsid w:val="31AA329C"/>
    <w:rsid w:val="31EC7411"/>
    <w:rsid w:val="31F2079F"/>
    <w:rsid w:val="31F42769"/>
    <w:rsid w:val="32024E86"/>
    <w:rsid w:val="32170A9E"/>
    <w:rsid w:val="32195D2C"/>
    <w:rsid w:val="322477A4"/>
    <w:rsid w:val="32584AA6"/>
    <w:rsid w:val="325B4596"/>
    <w:rsid w:val="32674CE9"/>
    <w:rsid w:val="32967A40"/>
    <w:rsid w:val="329F4483"/>
    <w:rsid w:val="32AA7F5D"/>
    <w:rsid w:val="32AC550F"/>
    <w:rsid w:val="32B1171B"/>
    <w:rsid w:val="32C043F9"/>
    <w:rsid w:val="32DC7485"/>
    <w:rsid w:val="3301513E"/>
    <w:rsid w:val="331002C3"/>
    <w:rsid w:val="333C43C8"/>
    <w:rsid w:val="33723946"/>
    <w:rsid w:val="33751688"/>
    <w:rsid w:val="33B43F5E"/>
    <w:rsid w:val="33BA3A4B"/>
    <w:rsid w:val="33C00B55"/>
    <w:rsid w:val="33CA3782"/>
    <w:rsid w:val="33D463AE"/>
    <w:rsid w:val="33E82B95"/>
    <w:rsid w:val="340058BF"/>
    <w:rsid w:val="3411315F"/>
    <w:rsid w:val="34362B77"/>
    <w:rsid w:val="34403A44"/>
    <w:rsid w:val="344828F8"/>
    <w:rsid w:val="344918B1"/>
    <w:rsid w:val="34515C51"/>
    <w:rsid w:val="345F7775"/>
    <w:rsid w:val="34645984"/>
    <w:rsid w:val="34727975"/>
    <w:rsid w:val="348833B9"/>
    <w:rsid w:val="348F0727"/>
    <w:rsid w:val="348F6779"/>
    <w:rsid w:val="349D49F2"/>
    <w:rsid w:val="349E076A"/>
    <w:rsid w:val="34AE30A3"/>
    <w:rsid w:val="34E02B31"/>
    <w:rsid w:val="34E40873"/>
    <w:rsid w:val="34F14D3E"/>
    <w:rsid w:val="34FD7B87"/>
    <w:rsid w:val="35627607"/>
    <w:rsid w:val="3584322F"/>
    <w:rsid w:val="359009FB"/>
    <w:rsid w:val="35B20971"/>
    <w:rsid w:val="35CB38CA"/>
    <w:rsid w:val="35EB1149"/>
    <w:rsid w:val="35F26DE7"/>
    <w:rsid w:val="360D5BA8"/>
    <w:rsid w:val="3660217B"/>
    <w:rsid w:val="36676D36"/>
    <w:rsid w:val="367C4ADB"/>
    <w:rsid w:val="3684230E"/>
    <w:rsid w:val="368D6CE8"/>
    <w:rsid w:val="36E45939"/>
    <w:rsid w:val="36F0611D"/>
    <w:rsid w:val="36F9612C"/>
    <w:rsid w:val="370C5E5F"/>
    <w:rsid w:val="371F2036"/>
    <w:rsid w:val="372A4537"/>
    <w:rsid w:val="3733163E"/>
    <w:rsid w:val="3736112E"/>
    <w:rsid w:val="3747333B"/>
    <w:rsid w:val="375A4E1C"/>
    <w:rsid w:val="37657A50"/>
    <w:rsid w:val="377B3C87"/>
    <w:rsid w:val="37976071"/>
    <w:rsid w:val="37BD77A9"/>
    <w:rsid w:val="37F76B0F"/>
    <w:rsid w:val="38003C16"/>
    <w:rsid w:val="380B4369"/>
    <w:rsid w:val="380F5C07"/>
    <w:rsid w:val="381C0324"/>
    <w:rsid w:val="38286CC9"/>
    <w:rsid w:val="382E6ADC"/>
    <w:rsid w:val="387E2D8D"/>
    <w:rsid w:val="3885411B"/>
    <w:rsid w:val="388A6412"/>
    <w:rsid w:val="38936601"/>
    <w:rsid w:val="38997BC6"/>
    <w:rsid w:val="38AE3672"/>
    <w:rsid w:val="38BA4935"/>
    <w:rsid w:val="38BC5498"/>
    <w:rsid w:val="38BD1B07"/>
    <w:rsid w:val="38C444E1"/>
    <w:rsid w:val="38CA7D80"/>
    <w:rsid w:val="38D330D8"/>
    <w:rsid w:val="38F17A02"/>
    <w:rsid w:val="38F92413"/>
    <w:rsid w:val="390D09A0"/>
    <w:rsid w:val="391F56E3"/>
    <w:rsid w:val="39203BE1"/>
    <w:rsid w:val="39203E44"/>
    <w:rsid w:val="39253208"/>
    <w:rsid w:val="393022D9"/>
    <w:rsid w:val="393F251C"/>
    <w:rsid w:val="394538AA"/>
    <w:rsid w:val="394F0285"/>
    <w:rsid w:val="396106E4"/>
    <w:rsid w:val="39641F82"/>
    <w:rsid w:val="396C52DB"/>
    <w:rsid w:val="397330FD"/>
    <w:rsid w:val="397A3554"/>
    <w:rsid w:val="39826E4C"/>
    <w:rsid w:val="398919E9"/>
    <w:rsid w:val="39A405D1"/>
    <w:rsid w:val="39A84565"/>
    <w:rsid w:val="39A95BE7"/>
    <w:rsid w:val="39BB3F82"/>
    <w:rsid w:val="39D215E2"/>
    <w:rsid w:val="39E906DA"/>
    <w:rsid w:val="39EE5CF0"/>
    <w:rsid w:val="3A1A6AE5"/>
    <w:rsid w:val="3A1B1B27"/>
    <w:rsid w:val="3A2A4F7A"/>
    <w:rsid w:val="3A2B0CF2"/>
    <w:rsid w:val="3A43428E"/>
    <w:rsid w:val="3A59585F"/>
    <w:rsid w:val="3A72247D"/>
    <w:rsid w:val="3A7E6F20"/>
    <w:rsid w:val="3A91362A"/>
    <w:rsid w:val="3AEB4EC6"/>
    <w:rsid w:val="3AED7D56"/>
    <w:rsid w:val="3B014AAC"/>
    <w:rsid w:val="3B070E17"/>
    <w:rsid w:val="3B2220F5"/>
    <w:rsid w:val="3B2B3F51"/>
    <w:rsid w:val="3B2C4D22"/>
    <w:rsid w:val="3B31058A"/>
    <w:rsid w:val="3B47390A"/>
    <w:rsid w:val="3B6E533A"/>
    <w:rsid w:val="3B781D15"/>
    <w:rsid w:val="3B7829EF"/>
    <w:rsid w:val="3B7D377F"/>
    <w:rsid w:val="3B9E7FA4"/>
    <w:rsid w:val="3B9F72A2"/>
    <w:rsid w:val="3BAB0D0E"/>
    <w:rsid w:val="3BBA40DC"/>
    <w:rsid w:val="3BD3488A"/>
    <w:rsid w:val="3BD61A4B"/>
    <w:rsid w:val="3BE253E0"/>
    <w:rsid w:val="3BFF41E4"/>
    <w:rsid w:val="3C1001A0"/>
    <w:rsid w:val="3C2679C3"/>
    <w:rsid w:val="3C295771"/>
    <w:rsid w:val="3C3245BA"/>
    <w:rsid w:val="3C616C4D"/>
    <w:rsid w:val="3C65728E"/>
    <w:rsid w:val="3C7F7A11"/>
    <w:rsid w:val="3C8B5A78"/>
    <w:rsid w:val="3C9C5ED7"/>
    <w:rsid w:val="3CA50ACD"/>
    <w:rsid w:val="3CC12BF5"/>
    <w:rsid w:val="3CCA4CD8"/>
    <w:rsid w:val="3CD15B81"/>
    <w:rsid w:val="3CF278A5"/>
    <w:rsid w:val="3CF4361D"/>
    <w:rsid w:val="3D0C4E0B"/>
    <w:rsid w:val="3D2049A8"/>
    <w:rsid w:val="3D2A6670"/>
    <w:rsid w:val="3D842BF3"/>
    <w:rsid w:val="3DA66804"/>
    <w:rsid w:val="3DAB4624"/>
    <w:rsid w:val="3DBD0841"/>
    <w:rsid w:val="3DC1595C"/>
    <w:rsid w:val="3DEC65C0"/>
    <w:rsid w:val="3DED66A5"/>
    <w:rsid w:val="3E0B6E71"/>
    <w:rsid w:val="3E1976E9"/>
    <w:rsid w:val="3E2609B2"/>
    <w:rsid w:val="3E2919ED"/>
    <w:rsid w:val="3E5B0DDA"/>
    <w:rsid w:val="3E6037FF"/>
    <w:rsid w:val="3E7A3FF6"/>
    <w:rsid w:val="3E8653C2"/>
    <w:rsid w:val="3E927592"/>
    <w:rsid w:val="3E9C5D1B"/>
    <w:rsid w:val="3ECF2510"/>
    <w:rsid w:val="3ED71449"/>
    <w:rsid w:val="3EFF31D0"/>
    <w:rsid w:val="3F2065FB"/>
    <w:rsid w:val="3F406FEE"/>
    <w:rsid w:val="3F4B28F7"/>
    <w:rsid w:val="3F8E1B07"/>
    <w:rsid w:val="3FA806EF"/>
    <w:rsid w:val="3FBD063E"/>
    <w:rsid w:val="3FBD419A"/>
    <w:rsid w:val="3FC6325C"/>
    <w:rsid w:val="400224F5"/>
    <w:rsid w:val="40046874"/>
    <w:rsid w:val="40055B41"/>
    <w:rsid w:val="400C205E"/>
    <w:rsid w:val="40123B62"/>
    <w:rsid w:val="4013200C"/>
    <w:rsid w:val="402C1320"/>
    <w:rsid w:val="405A5E8D"/>
    <w:rsid w:val="405E3BCF"/>
    <w:rsid w:val="406759D2"/>
    <w:rsid w:val="406B3BF6"/>
    <w:rsid w:val="407050F1"/>
    <w:rsid w:val="40776A3F"/>
    <w:rsid w:val="40A4535A"/>
    <w:rsid w:val="40D1172A"/>
    <w:rsid w:val="41036525"/>
    <w:rsid w:val="415B3C6B"/>
    <w:rsid w:val="41911D83"/>
    <w:rsid w:val="419E7FFC"/>
    <w:rsid w:val="41AA4BF2"/>
    <w:rsid w:val="41C357CD"/>
    <w:rsid w:val="41C4209F"/>
    <w:rsid w:val="41C757A4"/>
    <w:rsid w:val="41CC7DDB"/>
    <w:rsid w:val="41D659E7"/>
    <w:rsid w:val="41D81760"/>
    <w:rsid w:val="41DD0B24"/>
    <w:rsid w:val="41F67E38"/>
    <w:rsid w:val="41FD11C6"/>
    <w:rsid w:val="42154762"/>
    <w:rsid w:val="4216476E"/>
    <w:rsid w:val="422F6EA6"/>
    <w:rsid w:val="424010B3"/>
    <w:rsid w:val="42583BB1"/>
    <w:rsid w:val="425D08DC"/>
    <w:rsid w:val="426E5C20"/>
    <w:rsid w:val="42864D18"/>
    <w:rsid w:val="4289374E"/>
    <w:rsid w:val="42A00721"/>
    <w:rsid w:val="42B51AA1"/>
    <w:rsid w:val="42CF2B62"/>
    <w:rsid w:val="42D83F6B"/>
    <w:rsid w:val="42F81F50"/>
    <w:rsid w:val="43036368"/>
    <w:rsid w:val="43052E27"/>
    <w:rsid w:val="430B16C1"/>
    <w:rsid w:val="431063F7"/>
    <w:rsid w:val="431E31A2"/>
    <w:rsid w:val="434D3A87"/>
    <w:rsid w:val="437E7F53"/>
    <w:rsid w:val="438020AF"/>
    <w:rsid w:val="4397759D"/>
    <w:rsid w:val="439873F8"/>
    <w:rsid w:val="439C056B"/>
    <w:rsid w:val="43AE5AF3"/>
    <w:rsid w:val="43B65AD0"/>
    <w:rsid w:val="43B810A1"/>
    <w:rsid w:val="43EC76D5"/>
    <w:rsid w:val="43F959BD"/>
    <w:rsid w:val="4413082D"/>
    <w:rsid w:val="443E51B4"/>
    <w:rsid w:val="44421112"/>
    <w:rsid w:val="44680DB6"/>
    <w:rsid w:val="44AC627A"/>
    <w:rsid w:val="44AF0313"/>
    <w:rsid w:val="44BA15F0"/>
    <w:rsid w:val="44BF2B01"/>
    <w:rsid w:val="44C56A0A"/>
    <w:rsid w:val="44D51F86"/>
    <w:rsid w:val="44F3065E"/>
    <w:rsid w:val="44F543D6"/>
    <w:rsid w:val="45010FCD"/>
    <w:rsid w:val="450D1720"/>
    <w:rsid w:val="45140D01"/>
    <w:rsid w:val="4517259F"/>
    <w:rsid w:val="453943D6"/>
    <w:rsid w:val="453B44DF"/>
    <w:rsid w:val="45486BFC"/>
    <w:rsid w:val="456450B8"/>
    <w:rsid w:val="456B28EB"/>
    <w:rsid w:val="457E2AE7"/>
    <w:rsid w:val="45B92B8E"/>
    <w:rsid w:val="45C37886"/>
    <w:rsid w:val="45C51FFB"/>
    <w:rsid w:val="46144D30"/>
    <w:rsid w:val="46172491"/>
    <w:rsid w:val="46401681"/>
    <w:rsid w:val="464C6278"/>
    <w:rsid w:val="46503FBA"/>
    <w:rsid w:val="46617916"/>
    <w:rsid w:val="466B4895"/>
    <w:rsid w:val="466D4DB5"/>
    <w:rsid w:val="46830173"/>
    <w:rsid w:val="469A1132"/>
    <w:rsid w:val="46F81F5C"/>
    <w:rsid w:val="470E1780"/>
    <w:rsid w:val="47136D96"/>
    <w:rsid w:val="47215957"/>
    <w:rsid w:val="473070C1"/>
    <w:rsid w:val="47311E14"/>
    <w:rsid w:val="47376F28"/>
    <w:rsid w:val="473F5DDD"/>
    <w:rsid w:val="4745621E"/>
    <w:rsid w:val="47655843"/>
    <w:rsid w:val="47855EE6"/>
    <w:rsid w:val="47863A0C"/>
    <w:rsid w:val="47A210F4"/>
    <w:rsid w:val="47C307BC"/>
    <w:rsid w:val="47D06A35"/>
    <w:rsid w:val="47D6123E"/>
    <w:rsid w:val="47D91D8D"/>
    <w:rsid w:val="47D95053"/>
    <w:rsid w:val="47F664DA"/>
    <w:rsid w:val="48084421"/>
    <w:rsid w:val="48091567"/>
    <w:rsid w:val="480E5EDB"/>
    <w:rsid w:val="483376F0"/>
    <w:rsid w:val="483E56B0"/>
    <w:rsid w:val="484614F2"/>
    <w:rsid w:val="488A3088"/>
    <w:rsid w:val="489B28AD"/>
    <w:rsid w:val="489E56C9"/>
    <w:rsid w:val="48AE321A"/>
    <w:rsid w:val="48BD16AF"/>
    <w:rsid w:val="48C06AA9"/>
    <w:rsid w:val="48CA69A6"/>
    <w:rsid w:val="48D04F3E"/>
    <w:rsid w:val="490A46B7"/>
    <w:rsid w:val="49105C83"/>
    <w:rsid w:val="493432B5"/>
    <w:rsid w:val="49402865"/>
    <w:rsid w:val="494616A5"/>
    <w:rsid w:val="4953791E"/>
    <w:rsid w:val="495D254A"/>
    <w:rsid w:val="49971F00"/>
    <w:rsid w:val="49A11E2F"/>
    <w:rsid w:val="49BA799D"/>
    <w:rsid w:val="49C32CF5"/>
    <w:rsid w:val="49E3404B"/>
    <w:rsid w:val="49E35145"/>
    <w:rsid w:val="49FC60E5"/>
    <w:rsid w:val="4A0C54F3"/>
    <w:rsid w:val="4A197B2F"/>
    <w:rsid w:val="4A4B10E6"/>
    <w:rsid w:val="4A513E5D"/>
    <w:rsid w:val="4A595408"/>
    <w:rsid w:val="4A5B2F2E"/>
    <w:rsid w:val="4A7E44BB"/>
    <w:rsid w:val="4A8E50B1"/>
    <w:rsid w:val="4A993603"/>
    <w:rsid w:val="4AAF5028"/>
    <w:rsid w:val="4AAF6DD6"/>
    <w:rsid w:val="4ACF3D72"/>
    <w:rsid w:val="4AD625B4"/>
    <w:rsid w:val="4ADA20A4"/>
    <w:rsid w:val="4AE747C1"/>
    <w:rsid w:val="4B074E64"/>
    <w:rsid w:val="4B245A16"/>
    <w:rsid w:val="4B2F057F"/>
    <w:rsid w:val="4B616322"/>
    <w:rsid w:val="4B683B54"/>
    <w:rsid w:val="4B6C4CC7"/>
    <w:rsid w:val="4BAD1567"/>
    <w:rsid w:val="4BB26B7D"/>
    <w:rsid w:val="4BB95C9D"/>
    <w:rsid w:val="4BBA0128"/>
    <w:rsid w:val="4BCE14DD"/>
    <w:rsid w:val="4BE17463"/>
    <w:rsid w:val="4C037F0A"/>
    <w:rsid w:val="4C485734"/>
    <w:rsid w:val="4C4B1A23"/>
    <w:rsid w:val="4C4F0870"/>
    <w:rsid w:val="4C6007E8"/>
    <w:rsid w:val="4C7E4CB1"/>
    <w:rsid w:val="4C887C3B"/>
    <w:rsid w:val="4C8D3147"/>
    <w:rsid w:val="4CA134EA"/>
    <w:rsid w:val="4CA961D2"/>
    <w:rsid w:val="4CB15087"/>
    <w:rsid w:val="4CB701C3"/>
    <w:rsid w:val="4CC22CBF"/>
    <w:rsid w:val="4CC90623"/>
    <w:rsid w:val="4CDB65A8"/>
    <w:rsid w:val="4CE23492"/>
    <w:rsid w:val="4CE94821"/>
    <w:rsid w:val="4D106251"/>
    <w:rsid w:val="4D325898"/>
    <w:rsid w:val="4D471547"/>
    <w:rsid w:val="4D484E3F"/>
    <w:rsid w:val="4D8F78CD"/>
    <w:rsid w:val="4D924EB8"/>
    <w:rsid w:val="4DA2555E"/>
    <w:rsid w:val="4DB27309"/>
    <w:rsid w:val="4DBF5582"/>
    <w:rsid w:val="4DC00BC1"/>
    <w:rsid w:val="4DC86B2C"/>
    <w:rsid w:val="4DE56558"/>
    <w:rsid w:val="4DE66FB2"/>
    <w:rsid w:val="4DF571F5"/>
    <w:rsid w:val="4DF711BF"/>
    <w:rsid w:val="4E195E0B"/>
    <w:rsid w:val="4E1D1707"/>
    <w:rsid w:val="4E3E294A"/>
    <w:rsid w:val="4E4C69ED"/>
    <w:rsid w:val="4E9C0547"/>
    <w:rsid w:val="4EA64FA6"/>
    <w:rsid w:val="4EEC627F"/>
    <w:rsid w:val="4EF15C0F"/>
    <w:rsid w:val="4F0B3174"/>
    <w:rsid w:val="4F173FD6"/>
    <w:rsid w:val="4F1B02BF"/>
    <w:rsid w:val="4F1D5652"/>
    <w:rsid w:val="4F263F8D"/>
    <w:rsid w:val="4F2C382C"/>
    <w:rsid w:val="4F3D0E54"/>
    <w:rsid w:val="4F4C72E9"/>
    <w:rsid w:val="4F6B3C13"/>
    <w:rsid w:val="4F8627FB"/>
    <w:rsid w:val="4F9842DC"/>
    <w:rsid w:val="4FB74119"/>
    <w:rsid w:val="4FBB7FCB"/>
    <w:rsid w:val="4FBC446F"/>
    <w:rsid w:val="4FBD1F95"/>
    <w:rsid w:val="4FBE1F01"/>
    <w:rsid w:val="4FC05C3C"/>
    <w:rsid w:val="4FC46AED"/>
    <w:rsid w:val="4FD55530"/>
    <w:rsid w:val="4FD74E04"/>
    <w:rsid w:val="50062FA5"/>
    <w:rsid w:val="501E0C85"/>
    <w:rsid w:val="50426222"/>
    <w:rsid w:val="50504BB7"/>
    <w:rsid w:val="5052092F"/>
    <w:rsid w:val="506218BC"/>
    <w:rsid w:val="50650662"/>
    <w:rsid w:val="50690C81"/>
    <w:rsid w:val="507408A5"/>
    <w:rsid w:val="50780DDF"/>
    <w:rsid w:val="50C35389"/>
    <w:rsid w:val="50D13F4A"/>
    <w:rsid w:val="50D47596"/>
    <w:rsid w:val="50E35A2B"/>
    <w:rsid w:val="50E46660"/>
    <w:rsid w:val="50F9524E"/>
    <w:rsid w:val="511D0F3D"/>
    <w:rsid w:val="511E6A63"/>
    <w:rsid w:val="5160707C"/>
    <w:rsid w:val="51612CB2"/>
    <w:rsid w:val="51654692"/>
    <w:rsid w:val="51714DE5"/>
    <w:rsid w:val="517232E1"/>
    <w:rsid w:val="51786173"/>
    <w:rsid w:val="517D7C2E"/>
    <w:rsid w:val="51894824"/>
    <w:rsid w:val="51984A67"/>
    <w:rsid w:val="51B64EEE"/>
    <w:rsid w:val="51BF1FF4"/>
    <w:rsid w:val="51D05FAF"/>
    <w:rsid w:val="51E23F34"/>
    <w:rsid w:val="522462FB"/>
    <w:rsid w:val="52505342"/>
    <w:rsid w:val="52592449"/>
    <w:rsid w:val="525F5585"/>
    <w:rsid w:val="526606C2"/>
    <w:rsid w:val="52691C3E"/>
    <w:rsid w:val="526F57C8"/>
    <w:rsid w:val="527C1C93"/>
    <w:rsid w:val="52840D7D"/>
    <w:rsid w:val="5285323E"/>
    <w:rsid w:val="52857403"/>
    <w:rsid w:val="52952D55"/>
    <w:rsid w:val="52BD5A19"/>
    <w:rsid w:val="52C33D66"/>
    <w:rsid w:val="52DB2E5E"/>
    <w:rsid w:val="5306762F"/>
    <w:rsid w:val="53190DEA"/>
    <w:rsid w:val="532B7CFC"/>
    <w:rsid w:val="533E5572"/>
    <w:rsid w:val="534E3B3B"/>
    <w:rsid w:val="537806AC"/>
    <w:rsid w:val="538C5F06"/>
    <w:rsid w:val="539F1A5B"/>
    <w:rsid w:val="53A5346C"/>
    <w:rsid w:val="53A92F5C"/>
    <w:rsid w:val="53AE0572"/>
    <w:rsid w:val="53CA7A87"/>
    <w:rsid w:val="53D14261"/>
    <w:rsid w:val="53E8310D"/>
    <w:rsid w:val="53FD4E3D"/>
    <w:rsid w:val="54136627"/>
    <w:rsid w:val="542919A7"/>
    <w:rsid w:val="54493DF7"/>
    <w:rsid w:val="5455279C"/>
    <w:rsid w:val="546D21DB"/>
    <w:rsid w:val="54C94F38"/>
    <w:rsid w:val="54CA318A"/>
    <w:rsid w:val="54D758A7"/>
    <w:rsid w:val="54EF2BF0"/>
    <w:rsid w:val="54F14BBA"/>
    <w:rsid w:val="54F41A80"/>
    <w:rsid w:val="54FB1595"/>
    <w:rsid w:val="551D59AF"/>
    <w:rsid w:val="552A7BB3"/>
    <w:rsid w:val="5540240B"/>
    <w:rsid w:val="554064E9"/>
    <w:rsid w:val="554F45F8"/>
    <w:rsid w:val="55675113"/>
    <w:rsid w:val="556A671B"/>
    <w:rsid w:val="55914C9C"/>
    <w:rsid w:val="55A27C63"/>
    <w:rsid w:val="55BD4A9D"/>
    <w:rsid w:val="55C67DF5"/>
    <w:rsid w:val="55CB4C07"/>
    <w:rsid w:val="55E24503"/>
    <w:rsid w:val="55E624BA"/>
    <w:rsid w:val="55E85926"/>
    <w:rsid w:val="55F42B3F"/>
    <w:rsid w:val="56203F03"/>
    <w:rsid w:val="56233AB1"/>
    <w:rsid w:val="56494582"/>
    <w:rsid w:val="565C2507"/>
    <w:rsid w:val="565F67E1"/>
    <w:rsid w:val="56680EAC"/>
    <w:rsid w:val="567315FF"/>
    <w:rsid w:val="569A3030"/>
    <w:rsid w:val="56C9244C"/>
    <w:rsid w:val="56E9366F"/>
    <w:rsid w:val="56F40992"/>
    <w:rsid w:val="56F91D2C"/>
    <w:rsid w:val="56FE536D"/>
    <w:rsid w:val="57050BEC"/>
    <w:rsid w:val="57087F99"/>
    <w:rsid w:val="571B1016"/>
    <w:rsid w:val="574A05B2"/>
    <w:rsid w:val="57517B92"/>
    <w:rsid w:val="575E66AD"/>
    <w:rsid w:val="57631674"/>
    <w:rsid w:val="576378C6"/>
    <w:rsid w:val="57803FD4"/>
    <w:rsid w:val="57B878DE"/>
    <w:rsid w:val="580E1553"/>
    <w:rsid w:val="58254B7B"/>
    <w:rsid w:val="583C439E"/>
    <w:rsid w:val="58613A9E"/>
    <w:rsid w:val="5866766D"/>
    <w:rsid w:val="58694A68"/>
    <w:rsid w:val="58713534"/>
    <w:rsid w:val="58764C3F"/>
    <w:rsid w:val="587F428B"/>
    <w:rsid w:val="588D4BFA"/>
    <w:rsid w:val="58A61818"/>
    <w:rsid w:val="58AB5080"/>
    <w:rsid w:val="58C36F05"/>
    <w:rsid w:val="58CE3A73"/>
    <w:rsid w:val="58D106E5"/>
    <w:rsid w:val="58D26AB1"/>
    <w:rsid w:val="58EB6A4D"/>
    <w:rsid w:val="58F2730B"/>
    <w:rsid w:val="5915699E"/>
    <w:rsid w:val="591A2206"/>
    <w:rsid w:val="59367040"/>
    <w:rsid w:val="59682F71"/>
    <w:rsid w:val="59691515"/>
    <w:rsid w:val="596A6CE9"/>
    <w:rsid w:val="596D0588"/>
    <w:rsid w:val="59701E26"/>
    <w:rsid w:val="59724E17"/>
    <w:rsid w:val="59921C7D"/>
    <w:rsid w:val="599F0649"/>
    <w:rsid w:val="59A3392E"/>
    <w:rsid w:val="59DA7BF0"/>
    <w:rsid w:val="59E20F76"/>
    <w:rsid w:val="59F82547"/>
    <w:rsid w:val="59FB5B93"/>
    <w:rsid w:val="5A1B7853"/>
    <w:rsid w:val="5A2024D6"/>
    <w:rsid w:val="5A3D43FE"/>
    <w:rsid w:val="5A3D52A7"/>
    <w:rsid w:val="5A5D23AA"/>
    <w:rsid w:val="5A6E0A5B"/>
    <w:rsid w:val="5A7B457F"/>
    <w:rsid w:val="5A90452E"/>
    <w:rsid w:val="5A9C7376"/>
    <w:rsid w:val="5AA75D1B"/>
    <w:rsid w:val="5AAB5404"/>
    <w:rsid w:val="5AE44879"/>
    <w:rsid w:val="5AE5677D"/>
    <w:rsid w:val="5AF80325"/>
    <w:rsid w:val="5B01542B"/>
    <w:rsid w:val="5B02505E"/>
    <w:rsid w:val="5B0B0058"/>
    <w:rsid w:val="5B1B7B31"/>
    <w:rsid w:val="5B3C6463"/>
    <w:rsid w:val="5B7462E7"/>
    <w:rsid w:val="5B7C71A8"/>
    <w:rsid w:val="5B88001D"/>
    <w:rsid w:val="5BAB0EC1"/>
    <w:rsid w:val="5BBA6107"/>
    <w:rsid w:val="5BCD7B77"/>
    <w:rsid w:val="5BDC37A3"/>
    <w:rsid w:val="5BDE12B9"/>
    <w:rsid w:val="5BEF34D6"/>
    <w:rsid w:val="5BF21F68"/>
    <w:rsid w:val="5BFB631F"/>
    <w:rsid w:val="5BFC5BF3"/>
    <w:rsid w:val="5C0C22DA"/>
    <w:rsid w:val="5C186ED1"/>
    <w:rsid w:val="5C341831"/>
    <w:rsid w:val="5C376DA7"/>
    <w:rsid w:val="5C6C4D5A"/>
    <w:rsid w:val="5C763BF7"/>
    <w:rsid w:val="5C98591B"/>
    <w:rsid w:val="5CAE15E3"/>
    <w:rsid w:val="5CB409EC"/>
    <w:rsid w:val="5CBA7F88"/>
    <w:rsid w:val="5CD64696"/>
    <w:rsid w:val="5CF25D4C"/>
    <w:rsid w:val="5D0C35F6"/>
    <w:rsid w:val="5D1C02FB"/>
    <w:rsid w:val="5D485594"/>
    <w:rsid w:val="5D4E7539"/>
    <w:rsid w:val="5D504448"/>
    <w:rsid w:val="5D535CE6"/>
    <w:rsid w:val="5D5C103F"/>
    <w:rsid w:val="5D7A51C0"/>
    <w:rsid w:val="5D7F0889"/>
    <w:rsid w:val="5D804D95"/>
    <w:rsid w:val="5DAF73C1"/>
    <w:rsid w:val="5DD46E27"/>
    <w:rsid w:val="5DDC3F2E"/>
    <w:rsid w:val="5DF9688E"/>
    <w:rsid w:val="5E0019CA"/>
    <w:rsid w:val="5E047F45"/>
    <w:rsid w:val="5E162F9C"/>
    <w:rsid w:val="5E4915C3"/>
    <w:rsid w:val="5E4C22DD"/>
    <w:rsid w:val="5E8A37CA"/>
    <w:rsid w:val="5EA66A16"/>
    <w:rsid w:val="5EC44B06"/>
    <w:rsid w:val="5ECC5D50"/>
    <w:rsid w:val="5EF534F9"/>
    <w:rsid w:val="5F1836AC"/>
    <w:rsid w:val="5F1A6ABC"/>
    <w:rsid w:val="5F1C1048"/>
    <w:rsid w:val="5F447FDD"/>
    <w:rsid w:val="5F5875E4"/>
    <w:rsid w:val="5F681F1D"/>
    <w:rsid w:val="5F6E6E08"/>
    <w:rsid w:val="5F814D8D"/>
    <w:rsid w:val="5F886C07"/>
    <w:rsid w:val="5F9C1BC7"/>
    <w:rsid w:val="5F9E76ED"/>
    <w:rsid w:val="5FA665A1"/>
    <w:rsid w:val="5FBF1411"/>
    <w:rsid w:val="5FC8476A"/>
    <w:rsid w:val="5FD44EBD"/>
    <w:rsid w:val="5FE64BF0"/>
    <w:rsid w:val="5FEC643A"/>
    <w:rsid w:val="60023233"/>
    <w:rsid w:val="600D5942"/>
    <w:rsid w:val="600F2399"/>
    <w:rsid w:val="60193217"/>
    <w:rsid w:val="60316A41"/>
    <w:rsid w:val="603C2CD5"/>
    <w:rsid w:val="60430294"/>
    <w:rsid w:val="60634492"/>
    <w:rsid w:val="608C39E9"/>
    <w:rsid w:val="608E6ADA"/>
    <w:rsid w:val="60BA34E0"/>
    <w:rsid w:val="60DA29A7"/>
    <w:rsid w:val="60E6759D"/>
    <w:rsid w:val="61021EFD"/>
    <w:rsid w:val="610E43FE"/>
    <w:rsid w:val="6110461A"/>
    <w:rsid w:val="613A3445"/>
    <w:rsid w:val="6155027F"/>
    <w:rsid w:val="61691F7C"/>
    <w:rsid w:val="619758AD"/>
    <w:rsid w:val="61A43811"/>
    <w:rsid w:val="61A92379"/>
    <w:rsid w:val="61CB5D83"/>
    <w:rsid w:val="61DE64C6"/>
    <w:rsid w:val="61E810F3"/>
    <w:rsid w:val="61EE3E41"/>
    <w:rsid w:val="620B6B90"/>
    <w:rsid w:val="621A6DD3"/>
    <w:rsid w:val="621C6FEF"/>
    <w:rsid w:val="62343E90"/>
    <w:rsid w:val="623600B0"/>
    <w:rsid w:val="6241391E"/>
    <w:rsid w:val="624D3512"/>
    <w:rsid w:val="626540F2"/>
    <w:rsid w:val="628506F0"/>
    <w:rsid w:val="62886542"/>
    <w:rsid w:val="62A97B90"/>
    <w:rsid w:val="62AF39BF"/>
    <w:rsid w:val="62DE329C"/>
    <w:rsid w:val="62DF24F6"/>
    <w:rsid w:val="62EA68CA"/>
    <w:rsid w:val="63185372"/>
    <w:rsid w:val="63185A08"/>
    <w:rsid w:val="63212B0F"/>
    <w:rsid w:val="632C5010"/>
    <w:rsid w:val="632D218D"/>
    <w:rsid w:val="633A18B9"/>
    <w:rsid w:val="63500CFE"/>
    <w:rsid w:val="63626C83"/>
    <w:rsid w:val="63640C4D"/>
    <w:rsid w:val="63696264"/>
    <w:rsid w:val="636C365E"/>
    <w:rsid w:val="637471D4"/>
    <w:rsid w:val="6390652C"/>
    <w:rsid w:val="63A4729C"/>
    <w:rsid w:val="63CB0F1D"/>
    <w:rsid w:val="63DB6879"/>
    <w:rsid w:val="63E34042"/>
    <w:rsid w:val="63EF49BB"/>
    <w:rsid w:val="63FC0E86"/>
    <w:rsid w:val="641A130C"/>
    <w:rsid w:val="641F6D1B"/>
    <w:rsid w:val="64563131"/>
    <w:rsid w:val="645C36D2"/>
    <w:rsid w:val="645D483B"/>
    <w:rsid w:val="646B1B68"/>
    <w:rsid w:val="6477675E"/>
    <w:rsid w:val="648D5F82"/>
    <w:rsid w:val="64A137DB"/>
    <w:rsid w:val="64A5673A"/>
    <w:rsid w:val="64BF3020"/>
    <w:rsid w:val="64D30102"/>
    <w:rsid w:val="64D92F75"/>
    <w:rsid w:val="64DD2A65"/>
    <w:rsid w:val="64E773F1"/>
    <w:rsid w:val="64FB113D"/>
    <w:rsid w:val="64FB4C44"/>
    <w:rsid w:val="65197815"/>
    <w:rsid w:val="6525440C"/>
    <w:rsid w:val="65302232"/>
    <w:rsid w:val="65570C07"/>
    <w:rsid w:val="655A5E64"/>
    <w:rsid w:val="655D5954"/>
    <w:rsid w:val="65622F6B"/>
    <w:rsid w:val="658E1FB1"/>
    <w:rsid w:val="65B34C10"/>
    <w:rsid w:val="65C21C5B"/>
    <w:rsid w:val="65CB6D62"/>
    <w:rsid w:val="65DD5ECC"/>
    <w:rsid w:val="65F22540"/>
    <w:rsid w:val="65F52BD1"/>
    <w:rsid w:val="65FA5A06"/>
    <w:rsid w:val="660A37E8"/>
    <w:rsid w:val="661D6348"/>
    <w:rsid w:val="66303069"/>
    <w:rsid w:val="66410DD2"/>
    <w:rsid w:val="66C043ED"/>
    <w:rsid w:val="66CA69B9"/>
    <w:rsid w:val="66CD4D5B"/>
    <w:rsid w:val="66D460EA"/>
    <w:rsid w:val="66EF082E"/>
    <w:rsid w:val="67050B0A"/>
    <w:rsid w:val="670C5884"/>
    <w:rsid w:val="670F7122"/>
    <w:rsid w:val="67256946"/>
    <w:rsid w:val="673D77EB"/>
    <w:rsid w:val="67544B35"/>
    <w:rsid w:val="67564D51"/>
    <w:rsid w:val="679B2764"/>
    <w:rsid w:val="679D64DC"/>
    <w:rsid w:val="679F2254"/>
    <w:rsid w:val="67A21D44"/>
    <w:rsid w:val="67B13D35"/>
    <w:rsid w:val="67B359E4"/>
    <w:rsid w:val="67B37AAD"/>
    <w:rsid w:val="67BA708E"/>
    <w:rsid w:val="67E81E4D"/>
    <w:rsid w:val="67F105D6"/>
    <w:rsid w:val="68012F0F"/>
    <w:rsid w:val="6811043A"/>
    <w:rsid w:val="681D761D"/>
    <w:rsid w:val="6828049B"/>
    <w:rsid w:val="683F3A37"/>
    <w:rsid w:val="68466B73"/>
    <w:rsid w:val="685904C3"/>
    <w:rsid w:val="68611995"/>
    <w:rsid w:val="68815DFE"/>
    <w:rsid w:val="688558EE"/>
    <w:rsid w:val="68AB33CC"/>
    <w:rsid w:val="68D730DA"/>
    <w:rsid w:val="68D91796"/>
    <w:rsid w:val="68ED6FEF"/>
    <w:rsid w:val="68F16ADF"/>
    <w:rsid w:val="68F760C0"/>
    <w:rsid w:val="690A7BA1"/>
    <w:rsid w:val="691051D7"/>
    <w:rsid w:val="692F1F37"/>
    <w:rsid w:val="6942558D"/>
    <w:rsid w:val="69513A22"/>
    <w:rsid w:val="69794D27"/>
    <w:rsid w:val="697D65C5"/>
    <w:rsid w:val="69847953"/>
    <w:rsid w:val="698A0CE2"/>
    <w:rsid w:val="6997250D"/>
    <w:rsid w:val="69CA7330"/>
    <w:rsid w:val="69E75B33"/>
    <w:rsid w:val="69F377DA"/>
    <w:rsid w:val="69F5427C"/>
    <w:rsid w:val="69FA7C16"/>
    <w:rsid w:val="6A793747"/>
    <w:rsid w:val="6A9E2C97"/>
    <w:rsid w:val="6AB47482"/>
    <w:rsid w:val="6AB7180B"/>
    <w:rsid w:val="6ACD532A"/>
    <w:rsid w:val="6B250CC2"/>
    <w:rsid w:val="6B252A70"/>
    <w:rsid w:val="6B3D60C8"/>
    <w:rsid w:val="6B4317F5"/>
    <w:rsid w:val="6B4849B1"/>
    <w:rsid w:val="6B4D1688"/>
    <w:rsid w:val="6B505123"/>
    <w:rsid w:val="6B517D09"/>
    <w:rsid w:val="6B841E8D"/>
    <w:rsid w:val="6B8A321B"/>
    <w:rsid w:val="6B8E5234"/>
    <w:rsid w:val="6BBF1117"/>
    <w:rsid w:val="6BC36E39"/>
    <w:rsid w:val="6BDB3A77"/>
    <w:rsid w:val="6BE96194"/>
    <w:rsid w:val="6BFA6EC3"/>
    <w:rsid w:val="6C052304"/>
    <w:rsid w:val="6C07661A"/>
    <w:rsid w:val="6C184383"/>
    <w:rsid w:val="6C3669A9"/>
    <w:rsid w:val="6C5D3DA6"/>
    <w:rsid w:val="6C7F4402"/>
    <w:rsid w:val="6C88775B"/>
    <w:rsid w:val="6C89702F"/>
    <w:rsid w:val="6CA83959"/>
    <w:rsid w:val="6CBF0CA2"/>
    <w:rsid w:val="6CCC5A7A"/>
    <w:rsid w:val="6CCD4B4B"/>
    <w:rsid w:val="6CE07597"/>
    <w:rsid w:val="6D203AB1"/>
    <w:rsid w:val="6D592EA5"/>
    <w:rsid w:val="6D5C4743"/>
    <w:rsid w:val="6D635E9B"/>
    <w:rsid w:val="6D6365A9"/>
    <w:rsid w:val="6D6F091A"/>
    <w:rsid w:val="6D8048D6"/>
    <w:rsid w:val="6D8E6FF3"/>
    <w:rsid w:val="6DAC56CB"/>
    <w:rsid w:val="6DBD1686"/>
    <w:rsid w:val="6DD15131"/>
    <w:rsid w:val="6DE22E9A"/>
    <w:rsid w:val="6DEB2F33"/>
    <w:rsid w:val="6E003BA0"/>
    <w:rsid w:val="6E184B0E"/>
    <w:rsid w:val="6E1D3ED3"/>
    <w:rsid w:val="6E1F5E9D"/>
    <w:rsid w:val="6E25722B"/>
    <w:rsid w:val="6E495B00"/>
    <w:rsid w:val="6E753D0F"/>
    <w:rsid w:val="6E9E14B7"/>
    <w:rsid w:val="6EAF5BF8"/>
    <w:rsid w:val="6EC45E38"/>
    <w:rsid w:val="6EE669BA"/>
    <w:rsid w:val="6EE844E0"/>
    <w:rsid w:val="6F1F1ECC"/>
    <w:rsid w:val="6F4436E1"/>
    <w:rsid w:val="6F651FD5"/>
    <w:rsid w:val="6F791FDF"/>
    <w:rsid w:val="6F7C731F"/>
    <w:rsid w:val="6F8B1310"/>
    <w:rsid w:val="6F9D176F"/>
    <w:rsid w:val="6FAF14A2"/>
    <w:rsid w:val="6FFA66D3"/>
    <w:rsid w:val="703457D6"/>
    <w:rsid w:val="7053007F"/>
    <w:rsid w:val="70812E3F"/>
    <w:rsid w:val="709A1175"/>
    <w:rsid w:val="70A36369"/>
    <w:rsid w:val="70AD3C34"/>
    <w:rsid w:val="70C04FE9"/>
    <w:rsid w:val="70E064F2"/>
    <w:rsid w:val="71074776"/>
    <w:rsid w:val="710E21F8"/>
    <w:rsid w:val="7113780F"/>
    <w:rsid w:val="713752AB"/>
    <w:rsid w:val="714B5FE1"/>
    <w:rsid w:val="71517CC3"/>
    <w:rsid w:val="715220E5"/>
    <w:rsid w:val="71600CA6"/>
    <w:rsid w:val="71660F39"/>
    <w:rsid w:val="716910A1"/>
    <w:rsid w:val="71825343"/>
    <w:rsid w:val="71826358"/>
    <w:rsid w:val="719276F1"/>
    <w:rsid w:val="719B7F30"/>
    <w:rsid w:val="71B2264E"/>
    <w:rsid w:val="71E2240E"/>
    <w:rsid w:val="71F633B8"/>
    <w:rsid w:val="71F96A05"/>
    <w:rsid w:val="720F0D8B"/>
    <w:rsid w:val="723502D1"/>
    <w:rsid w:val="724A3704"/>
    <w:rsid w:val="725325B9"/>
    <w:rsid w:val="72691514"/>
    <w:rsid w:val="72750781"/>
    <w:rsid w:val="728657A3"/>
    <w:rsid w:val="728A3B01"/>
    <w:rsid w:val="72AE77EF"/>
    <w:rsid w:val="72CC236B"/>
    <w:rsid w:val="72DA00D0"/>
    <w:rsid w:val="72F330D4"/>
    <w:rsid w:val="72F63C8A"/>
    <w:rsid w:val="72FA75F8"/>
    <w:rsid w:val="72FD0776"/>
    <w:rsid w:val="732950C8"/>
    <w:rsid w:val="73375A36"/>
    <w:rsid w:val="734737A0"/>
    <w:rsid w:val="735D2FC3"/>
    <w:rsid w:val="736F0AAB"/>
    <w:rsid w:val="73836ECE"/>
    <w:rsid w:val="73974727"/>
    <w:rsid w:val="73A34E7A"/>
    <w:rsid w:val="73C80D84"/>
    <w:rsid w:val="742A3E24"/>
    <w:rsid w:val="74404DBF"/>
    <w:rsid w:val="744321B9"/>
    <w:rsid w:val="744877CF"/>
    <w:rsid w:val="745B39A7"/>
    <w:rsid w:val="74620891"/>
    <w:rsid w:val="74967ECF"/>
    <w:rsid w:val="74994F4C"/>
    <w:rsid w:val="74A0760B"/>
    <w:rsid w:val="74B97933"/>
    <w:rsid w:val="74BB4445"/>
    <w:rsid w:val="74C4779E"/>
    <w:rsid w:val="74EE481B"/>
    <w:rsid w:val="74F94421"/>
    <w:rsid w:val="74FF2584"/>
    <w:rsid w:val="75160C40"/>
    <w:rsid w:val="75295853"/>
    <w:rsid w:val="75330480"/>
    <w:rsid w:val="753B38CC"/>
    <w:rsid w:val="755503F6"/>
    <w:rsid w:val="75693EA1"/>
    <w:rsid w:val="757F1917"/>
    <w:rsid w:val="7589009F"/>
    <w:rsid w:val="759C7DD3"/>
    <w:rsid w:val="75A153E9"/>
    <w:rsid w:val="75B23A83"/>
    <w:rsid w:val="75EC5C91"/>
    <w:rsid w:val="760419F5"/>
    <w:rsid w:val="760F2C9B"/>
    <w:rsid w:val="76361FD5"/>
    <w:rsid w:val="76381E61"/>
    <w:rsid w:val="764D37C3"/>
    <w:rsid w:val="76593F16"/>
    <w:rsid w:val="76612DCA"/>
    <w:rsid w:val="76684159"/>
    <w:rsid w:val="76856450"/>
    <w:rsid w:val="768865A9"/>
    <w:rsid w:val="76962A74"/>
    <w:rsid w:val="769D3E02"/>
    <w:rsid w:val="76A011BA"/>
    <w:rsid w:val="76A01B45"/>
    <w:rsid w:val="76BA0E58"/>
    <w:rsid w:val="76BF021D"/>
    <w:rsid w:val="76EA1012"/>
    <w:rsid w:val="76F854DD"/>
    <w:rsid w:val="76FF2D0F"/>
    <w:rsid w:val="7702635B"/>
    <w:rsid w:val="77334767"/>
    <w:rsid w:val="7750363F"/>
    <w:rsid w:val="777F7B31"/>
    <w:rsid w:val="778F6BD1"/>
    <w:rsid w:val="77950F7E"/>
    <w:rsid w:val="77955421"/>
    <w:rsid w:val="779A6594"/>
    <w:rsid w:val="77AF12AD"/>
    <w:rsid w:val="77C90C27"/>
    <w:rsid w:val="77DC6BAC"/>
    <w:rsid w:val="78276A7B"/>
    <w:rsid w:val="783B1B25"/>
    <w:rsid w:val="7857029C"/>
    <w:rsid w:val="785726D7"/>
    <w:rsid w:val="785C583F"/>
    <w:rsid w:val="78624DE2"/>
    <w:rsid w:val="7866291A"/>
    <w:rsid w:val="789631FF"/>
    <w:rsid w:val="789E3E62"/>
    <w:rsid w:val="78A771BA"/>
    <w:rsid w:val="78CA4C57"/>
    <w:rsid w:val="78D802CB"/>
    <w:rsid w:val="78F341AE"/>
    <w:rsid w:val="78FB3306"/>
    <w:rsid w:val="793A002E"/>
    <w:rsid w:val="796055BB"/>
    <w:rsid w:val="7971600F"/>
    <w:rsid w:val="79724727"/>
    <w:rsid w:val="797A4DE2"/>
    <w:rsid w:val="79825F6B"/>
    <w:rsid w:val="798B088A"/>
    <w:rsid w:val="799C2A97"/>
    <w:rsid w:val="79A436FA"/>
    <w:rsid w:val="79B37DE1"/>
    <w:rsid w:val="79B55907"/>
    <w:rsid w:val="79B7167F"/>
    <w:rsid w:val="79C332C8"/>
    <w:rsid w:val="79D33FDF"/>
    <w:rsid w:val="79DF2984"/>
    <w:rsid w:val="79DF4732"/>
    <w:rsid w:val="79FA156C"/>
    <w:rsid w:val="79FA5A10"/>
    <w:rsid w:val="79FF50E5"/>
    <w:rsid w:val="7A122D59"/>
    <w:rsid w:val="7A1F0FD2"/>
    <w:rsid w:val="7A356A48"/>
    <w:rsid w:val="7A3E58FC"/>
    <w:rsid w:val="7A666C01"/>
    <w:rsid w:val="7A9674E6"/>
    <w:rsid w:val="7AAF2356"/>
    <w:rsid w:val="7AC04563"/>
    <w:rsid w:val="7AC7377C"/>
    <w:rsid w:val="7ACE4ED2"/>
    <w:rsid w:val="7AE06894"/>
    <w:rsid w:val="7AE2097E"/>
    <w:rsid w:val="7AF4420D"/>
    <w:rsid w:val="7AFB1A3F"/>
    <w:rsid w:val="7AFE32DE"/>
    <w:rsid w:val="7B0C77A9"/>
    <w:rsid w:val="7B1B7767"/>
    <w:rsid w:val="7B2014A6"/>
    <w:rsid w:val="7B575128"/>
    <w:rsid w:val="7B6616C1"/>
    <w:rsid w:val="7B9F061D"/>
    <w:rsid w:val="7BB2023F"/>
    <w:rsid w:val="7BDC2C34"/>
    <w:rsid w:val="7BDD1145"/>
    <w:rsid w:val="7BEE5100"/>
    <w:rsid w:val="7BFA17C6"/>
    <w:rsid w:val="7C372603"/>
    <w:rsid w:val="7C4F69CB"/>
    <w:rsid w:val="7C5A2796"/>
    <w:rsid w:val="7C5E4034"/>
    <w:rsid w:val="7C8D481D"/>
    <w:rsid w:val="7C975798"/>
    <w:rsid w:val="7CB24E19"/>
    <w:rsid w:val="7CC145C3"/>
    <w:rsid w:val="7CDC31AB"/>
    <w:rsid w:val="7CE7227B"/>
    <w:rsid w:val="7CED32C2"/>
    <w:rsid w:val="7CF44998"/>
    <w:rsid w:val="7D005E02"/>
    <w:rsid w:val="7D07647A"/>
    <w:rsid w:val="7D346391"/>
    <w:rsid w:val="7D496A92"/>
    <w:rsid w:val="7D7A30EF"/>
    <w:rsid w:val="7D883202"/>
    <w:rsid w:val="7DBF0B02"/>
    <w:rsid w:val="7DC05154"/>
    <w:rsid w:val="7DC25594"/>
    <w:rsid w:val="7E022AA9"/>
    <w:rsid w:val="7E0E3838"/>
    <w:rsid w:val="7E17093E"/>
    <w:rsid w:val="7E215319"/>
    <w:rsid w:val="7E490CE0"/>
    <w:rsid w:val="7E5C15E1"/>
    <w:rsid w:val="7E655B4E"/>
    <w:rsid w:val="7E9F37B9"/>
    <w:rsid w:val="7EA63BDC"/>
    <w:rsid w:val="7EC860DC"/>
    <w:rsid w:val="7EDB7BBE"/>
    <w:rsid w:val="7EEE354F"/>
    <w:rsid w:val="7EF90044"/>
    <w:rsid w:val="7F037115"/>
    <w:rsid w:val="7F0C5FC9"/>
    <w:rsid w:val="7F203525"/>
    <w:rsid w:val="7F2C21C7"/>
    <w:rsid w:val="7F3567E5"/>
    <w:rsid w:val="7F4219EB"/>
    <w:rsid w:val="7F750754"/>
    <w:rsid w:val="7F855D7C"/>
    <w:rsid w:val="7F8C00D9"/>
    <w:rsid w:val="7F9C33D4"/>
    <w:rsid w:val="7F9F1847"/>
    <w:rsid w:val="7FA2248A"/>
    <w:rsid w:val="7FBA7192"/>
    <w:rsid w:val="7FC44FB7"/>
    <w:rsid w:val="7FC93EBA"/>
    <w:rsid w:val="7FCC7507"/>
    <w:rsid w:val="7FD0349B"/>
    <w:rsid w:val="7FDB18A6"/>
    <w:rsid w:val="7FF64583"/>
    <w:rsid w:val="F94F4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keepLines/>
      <w:autoSpaceDE w:val="0"/>
      <w:autoSpaceDN w:val="0"/>
      <w:adjustRightInd w:val="0"/>
      <w:spacing w:before="340" w:after="330" w:line="578" w:lineRule="atLeast"/>
      <w:jc w:val="left"/>
      <w:textAlignment w:val="baseline"/>
      <w:outlineLvl w:val="0"/>
    </w:pPr>
    <w:rPr>
      <w:b/>
      <w:kern w:val="0"/>
      <w:sz w:val="44"/>
      <w:szCs w:val="20"/>
    </w:rPr>
  </w:style>
  <w:style w:type="paragraph" w:styleId="3">
    <w:name w:val="heading 2"/>
    <w:basedOn w:val="1"/>
    <w:next w:val="4"/>
    <w:link w:val="72"/>
    <w:qFormat/>
    <w:uiPriority w:val="9"/>
    <w:pPr>
      <w:keepNext/>
      <w:keepLines/>
      <w:spacing w:before="260" w:after="260"/>
      <w:outlineLvl w:val="1"/>
    </w:pPr>
    <w:rPr>
      <w:rFonts w:ascii="Arial" w:hAnsi="Arial"/>
      <w:b/>
      <w:szCs w:val="20"/>
    </w:rPr>
  </w:style>
  <w:style w:type="paragraph" w:styleId="5">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6">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7">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8">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9">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10">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71"/>
    <w:qFormat/>
    <w:uiPriority w:val="0"/>
    <w:pPr>
      <w:ind w:firstLine="420"/>
    </w:pPr>
    <w:rPr>
      <w:szCs w:val="20"/>
    </w:rPr>
  </w:style>
  <w:style w:type="paragraph" w:styleId="12">
    <w:name w:val="toc 7"/>
    <w:basedOn w:val="1"/>
    <w:next w:val="1"/>
    <w:qFormat/>
    <w:uiPriority w:val="39"/>
    <w:pPr>
      <w:tabs>
        <w:tab w:val="right" w:leader="dot" w:pos="9241"/>
      </w:tabs>
      <w:ind w:firstLine="505" w:firstLineChars="500"/>
      <w:jc w:val="left"/>
    </w:pPr>
    <w:rPr>
      <w:rFonts w:ascii="宋体"/>
      <w:szCs w:val="21"/>
    </w:rPr>
  </w:style>
  <w:style w:type="paragraph" w:styleId="13">
    <w:name w:val="List Number 2"/>
    <w:basedOn w:val="1"/>
    <w:qFormat/>
    <w:uiPriority w:val="0"/>
    <w:pPr>
      <w:numPr>
        <w:ilvl w:val="0"/>
        <w:numId w:val="2"/>
      </w:numPr>
    </w:pPr>
  </w:style>
  <w:style w:type="paragraph" w:styleId="14">
    <w:name w:val="List Bullet 4"/>
    <w:basedOn w:val="1"/>
    <w:qFormat/>
    <w:uiPriority w:val="0"/>
    <w:pPr>
      <w:tabs>
        <w:tab w:val="left" w:pos="420"/>
      </w:tabs>
      <w:ind w:left="420" w:hanging="420"/>
    </w:pPr>
    <w:rPr>
      <w:szCs w:val="20"/>
    </w:rPr>
  </w:style>
  <w:style w:type="paragraph" w:styleId="15">
    <w:name w:val="index 8"/>
    <w:basedOn w:val="1"/>
    <w:next w:val="1"/>
    <w:qFormat/>
    <w:uiPriority w:val="0"/>
    <w:pPr>
      <w:ind w:left="1680" w:hanging="210"/>
      <w:jc w:val="left"/>
    </w:pPr>
    <w:rPr>
      <w:rFonts w:ascii="Calibri" w:hAnsi="Calibri"/>
      <w:sz w:val="20"/>
      <w:szCs w:val="20"/>
    </w:rPr>
  </w:style>
  <w:style w:type="paragraph" w:styleId="16">
    <w:name w:val="List Number"/>
    <w:basedOn w:val="1"/>
    <w:qFormat/>
    <w:uiPriority w:val="0"/>
    <w:pPr>
      <w:numPr>
        <w:ilvl w:val="0"/>
        <w:numId w:val="3"/>
      </w:numPr>
    </w:p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24"/>
    <w:next w:val="24"/>
    <w:link w:val="83"/>
    <w:qFormat/>
    <w:uiPriority w:val="0"/>
    <w:pPr>
      <w:spacing w:after="120"/>
    </w:pPr>
    <w:rPr>
      <w:szCs w:val="20"/>
    </w:rPr>
  </w:style>
  <w:style w:type="paragraph" w:styleId="24">
    <w:name w:val="Title"/>
    <w:basedOn w:val="1"/>
    <w:next w:val="1"/>
    <w:link w:val="385"/>
    <w:qFormat/>
    <w:uiPriority w:val="0"/>
    <w:pPr>
      <w:spacing w:before="240" w:after="60"/>
      <w:jc w:val="center"/>
      <w:outlineLvl w:val="0"/>
    </w:pPr>
    <w:rPr>
      <w:rFonts w:ascii="Cambria" w:hAnsi="Cambria"/>
      <w:b/>
      <w:sz w:val="32"/>
      <w:szCs w:val="21"/>
    </w:rPr>
  </w:style>
  <w:style w:type="paragraph" w:styleId="25">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6">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7">
    <w:name w:val="index 4"/>
    <w:basedOn w:val="1"/>
    <w:next w:val="1"/>
    <w:qFormat/>
    <w:uiPriority w:val="0"/>
    <w:pPr>
      <w:ind w:left="840" w:hanging="210"/>
      <w:jc w:val="left"/>
    </w:pPr>
    <w:rPr>
      <w:rFonts w:ascii="Calibri" w:hAnsi="Calibri"/>
      <w:sz w:val="20"/>
      <w:szCs w:val="20"/>
    </w:rPr>
  </w:style>
  <w:style w:type="paragraph" w:styleId="28">
    <w:name w:val="toc 5"/>
    <w:basedOn w:val="1"/>
    <w:next w:val="1"/>
    <w:qFormat/>
    <w:uiPriority w:val="39"/>
    <w:pPr>
      <w:tabs>
        <w:tab w:val="right" w:leader="dot" w:pos="9241"/>
      </w:tabs>
      <w:ind w:firstLine="300" w:firstLineChars="300"/>
      <w:jc w:val="left"/>
    </w:pPr>
    <w:rPr>
      <w:rFonts w:ascii="宋体"/>
      <w:szCs w:val="21"/>
    </w:rPr>
  </w:style>
  <w:style w:type="paragraph" w:styleId="29">
    <w:name w:val="toc 3"/>
    <w:basedOn w:val="1"/>
    <w:next w:val="1"/>
    <w:qFormat/>
    <w:uiPriority w:val="39"/>
    <w:pPr>
      <w:ind w:left="840" w:leftChars="400"/>
    </w:pPr>
  </w:style>
  <w:style w:type="paragraph" w:styleId="30">
    <w:name w:val="Plain Text"/>
    <w:basedOn w:val="1"/>
    <w:link w:val="79"/>
    <w:qFormat/>
    <w:uiPriority w:val="99"/>
    <w:rPr>
      <w:rFonts w:ascii="宋体" w:hAnsi="Courier New"/>
      <w:szCs w:val="20"/>
    </w:rPr>
  </w:style>
  <w:style w:type="paragraph" w:styleId="31">
    <w:name w:val="toc 8"/>
    <w:basedOn w:val="1"/>
    <w:next w:val="1"/>
    <w:qFormat/>
    <w:uiPriority w:val="39"/>
    <w:pPr>
      <w:tabs>
        <w:tab w:val="right" w:leader="dot" w:pos="9241"/>
      </w:tabs>
      <w:ind w:firstLine="607" w:firstLineChars="600"/>
      <w:jc w:val="left"/>
    </w:pPr>
    <w:rPr>
      <w:rFonts w:ascii="宋体"/>
      <w:szCs w:val="21"/>
    </w:rPr>
  </w:style>
  <w:style w:type="paragraph" w:styleId="32">
    <w:name w:val="index 3"/>
    <w:basedOn w:val="1"/>
    <w:next w:val="1"/>
    <w:qFormat/>
    <w:uiPriority w:val="0"/>
    <w:pPr>
      <w:ind w:left="630" w:hanging="210"/>
      <w:jc w:val="left"/>
    </w:pPr>
    <w:rPr>
      <w:rFonts w:ascii="Calibri" w:hAnsi="Calibri"/>
      <w:sz w:val="20"/>
      <w:szCs w:val="20"/>
    </w:rPr>
  </w:style>
  <w:style w:type="paragraph" w:styleId="33">
    <w:name w:val="Date"/>
    <w:basedOn w:val="1"/>
    <w:next w:val="1"/>
    <w:link w:val="78"/>
    <w:qFormat/>
    <w:uiPriority w:val="0"/>
    <w:pPr>
      <w:ind w:left="100" w:leftChars="2500"/>
    </w:pPr>
    <w:rPr>
      <w:rFonts w:ascii="宋体" w:hAnsi="宋体"/>
      <w:b/>
      <w:color w:val="FF0000"/>
      <w:sz w:val="36"/>
      <w:szCs w:val="30"/>
    </w:rPr>
  </w:style>
  <w:style w:type="paragraph" w:styleId="34">
    <w:name w:val="Body Text Indent 2"/>
    <w:basedOn w:val="1"/>
    <w:link w:val="82"/>
    <w:qFormat/>
    <w:uiPriority w:val="0"/>
    <w:pPr>
      <w:spacing w:after="120" w:line="480" w:lineRule="auto"/>
      <w:ind w:left="420" w:leftChars="200"/>
    </w:pPr>
    <w:rPr>
      <w:szCs w:val="20"/>
    </w:rPr>
  </w:style>
  <w:style w:type="paragraph" w:styleId="35">
    <w:name w:val="endnote text"/>
    <w:basedOn w:val="1"/>
    <w:link w:val="216"/>
    <w:semiHidden/>
    <w:qFormat/>
    <w:uiPriority w:val="0"/>
    <w:pPr>
      <w:snapToGrid w:val="0"/>
      <w:jc w:val="left"/>
    </w:pPr>
  </w:style>
  <w:style w:type="paragraph" w:styleId="36">
    <w:name w:val="Balloon Text"/>
    <w:basedOn w:val="1"/>
    <w:link w:val="85"/>
    <w:qFormat/>
    <w:uiPriority w:val="0"/>
    <w:rPr>
      <w:sz w:val="18"/>
      <w:szCs w:val="18"/>
    </w:rPr>
  </w:style>
  <w:style w:type="paragraph" w:styleId="37">
    <w:name w:val="footer"/>
    <w:basedOn w:val="1"/>
    <w:link w:val="86"/>
    <w:qFormat/>
    <w:uiPriority w:val="99"/>
    <w:pPr>
      <w:tabs>
        <w:tab w:val="center" w:pos="4153"/>
        <w:tab w:val="right" w:pos="8306"/>
      </w:tabs>
      <w:snapToGrid w:val="0"/>
      <w:jc w:val="left"/>
    </w:pPr>
    <w:rPr>
      <w:sz w:val="18"/>
      <w:szCs w:val="18"/>
    </w:rPr>
  </w:style>
  <w:style w:type="paragraph" w:styleId="38">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style>
  <w:style w:type="paragraph" w:styleId="40">
    <w:name w:val="toc 4"/>
    <w:basedOn w:val="1"/>
    <w:next w:val="1"/>
    <w:qFormat/>
    <w:uiPriority w:val="39"/>
    <w:pPr>
      <w:tabs>
        <w:tab w:val="right" w:leader="dot" w:pos="9241"/>
      </w:tabs>
      <w:ind w:firstLine="198"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4">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5">
    <w:name w:val="footnote text"/>
    <w:basedOn w:val="1"/>
    <w:link w:val="199"/>
    <w:qFormat/>
    <w:uiPriority w:val="0"/>
    <w:pPr>
      <w:numPr>
        <w:ilvl w:val="0"/>
        <w:numId w:val="5"/>
      </w:numPr>
      <w:snapToGrid w:val="0"/>
      <w:jc w:val="left"/>
    </w:pPr>
    <w:rPr>
      <w:rFonts w:ascii="宋体"/>
      <w:sz w:val="18"/>
      <w:szCs w:val="18"/>
    </w:rPr>
  </w:style>
  <w:style w:type="paragraph" w:styleId="46">
    <w:name w:val="toc 6"/>
    <w:basedOn w:val="1"/>
    <w:next w:val="1"/>
    <w:qFormat/>
    <w:uiPriority w:val="39"/>
    <w:pPr>
      <w:tabs>
        <w:tab w:val="right" w:leader="dot" w:pos="9241"/>
      </w:tabs>
      <w:ind w:firstLine="403" w:firstLineChars="400"/>
      <w:jc w:val="left"/>
    </w:pPr>
    <w:rPr>
      <w:rFonts w:ascii="宋体"/>
      <w:szCs w:val="21"/>
    </w:rPr>
  </w:style>
  <w:style w:type="paragraph" w:styleId="47">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oc 2"/>
    <w:basedOn w:val="1"/>
    <w:next w:val="1"/>
    <w:qFormat/>
    <w:uiPriority w:val="39"/>
    <w:pPr>
      <w:ind w:left="420" w:leftChars="200"/>
    </w:pPr>
  </w:style>
  <w:style w:type="paragraph" w:styleId="51">
    <w:name w:val="toc 9"/>
    <w:basedOn w:val="1"/>
    <w:next w:val="1"/>
    <w:qFormat/>
    <w:uiPriority w:val="39"/>
    <w:pPr>
      <w:ind w:left="1470"/>
      <w:jc w:val="left"/>
    </w:pPr>
    <w:rPr>
      <w:sz w:val="20"/>
      <w:szCs w:val="20"/>
    </w:rPr>
  </w:style>
  <w:style w:type="paragraph" w:styleId="52">
    <w:name w:val="Normal (Web)"/>
    <w:basedOn w:val="1"/>
    <w:qFormat/>
    <w:uiPriority w:val="0"/>
    <w:rPr>
      <w:sz w:val="24"/>
    </w:rPr>
  </w:style>
  <w:style w:type="paragraph" w:styleId="53">
    <w:name w:val="index 2"/>
    <w:basedOn w:val="1"/>
    <w:next w:val="1"/>
    <w:qFormat/>
    <w:uiPriority w:val="0"/>
    <w:pPr>
      <w:ind w:left="420" w:hanging="210"/>
      <w:jc w:val="left"/>
    </w:pPr>
    <w:rPr>
      <w:rFonts w:ascii="Calibri" w:hAnsi="Calibri"/>
      <w:sz w:val="20"/>
      <w:szCs w:val="20"/>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5"/>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semiHidden/>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4"/>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5"/>
    <w:qFormat/>
    <w:uiPriority w:val="9"/>
    <w:rPr>
      <w:rFonts w:cs="Times New Roman"/>
      <w:b/>
      <w:kern w:val="0"/>
      <w:sz w:val="32"/>
      <w:szCs w:val="20"/>
    </w:rPr>
  </w:style>
  <w:style w:type="character" w:customStyle="1" w:styleId="74">
    <w:name w:val="标题 4 字符1"/>
    <w:link w:val="6"/>
    <w:qFormat/>
    <w:uiPriority w:val="0"/>
    <w:rPr>
      <w:rFonts w:cs="Times New Roman"/>
      <w:b/>
      <w:bCs/>
      <w:szCs w:val="24"/>
      <w:lang w:val="sv-SE"/>
    </w:rPr>
  </w:style>
  <w:style w:type="character" w:customStyle="1" w:styleId="75">
    <w:name w:val="标题 8 字符1"/>
    <w:link w:val="10"/>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3"/>
    <w:qFormat/>
    <w:uiPriority w:val="0"/>
    <w:rPr>
      <w:rFonts w:ascii="宋体" w:hAnsi="宋体" w:cs="Times New Roman"/>
      <w:b/>
      <w:color w:val="FF0000"/>
      <w:sz w:val="36"/>
      <w:szCs w:val="30"/>
    </w:rPr>
  </w:style>
  <w:style w:type="character" w:customStyle="1" w:styleId="79">
    <w:name w:val="纯文本 字符1"/>
    <w:link w:val="30"/>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4"/>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6"/>
    <w:qFormat/>
    <w:uiPriority w:val="0"/>
    <w:rPr>
      <w:rFonts w:cs="Times New Roman"/>
      <w:sz w:val="18"/>
      <w:szCs w:val="18"/>
    </w:rPr>
  </w:style>
  <w:style w:type="character" w:customStyle="1" w:styleId="86">
    <w:name w:val="页脚 字符1"/>
    <w:link w:val="37"/>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8"/>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styleId="102">
    <w:name w:val="List Paragraph"/>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3"/>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3"/>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3"/>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3"/>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7"/>
    <w:qFormat/>
    <w:uiPriority w:val="9"/>
    <w:rPr>
      <w:rFonts w:ascii="宋体" w:hAnsi="宋体" w:cs="Times New Roman"/>
      <w:bCs/>
      <w:szCs w:val="24"/>
    </w:rPr>
  </w:style>
  <w:style w:type="character" w:customStyle="1" w:styleId="139">
    <w:name w:val="标题 6 字符1"/>
    <w:link w:val="8"/>
    <w:qFormat/>
    <w:uiPriority w:val="0"/>
    <w:rPr>
      <w:rFonts w:ascii="Arial" w:hAnsi="Arial" w:eastAsia="黑体" w:cs="Times New Roman"/>
      <w:b/>
      <w:kern w:val="0"/>
      <w:szCs w:val="21"/>
    </w:rPr>
  </w:style>
  <w:style w:type="character" w:customStyle="1" w:styleId="140">
    <w:name w:val="标题 7 字符1"/>
    <w:link w:val="9"/>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1"/>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3"/>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3"/>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3"/>
    <w:qFormat/>
    <w:uiPriority w:val="0"/>
    <w:pPr>
      <w:outlineLvl w:val="5"/>
    </w:pPr>
  </w:style>
  <w:style w:type="paragraph" w:customStyle="1" w:styleId="152">
    <w:name w:val="五级条标题"/>
    <w:basedOn w:val="151"/>
    <w:next w:val="43"/>
    <w:qFormat/>
    <w:uiPriority w:val="0"/>
    <w:pPr>
      <w:outlineLvl w:val="6"/>
    </w:pPr>
  </w:style>
  <w:style w:type="paragraph" w:customStyle="1" w:styleId="153">
    <w:name w:val="注："/>
    <w:next w:val="43"/>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3"/>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3"/>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3"/>
    <w:next w:val="43"/>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3"/>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3"/>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3"/>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3"/>
    <w:next w:val="43"/>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3"/>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3"/>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3"/>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3"/>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3"/>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3"/>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5"/>
    <w:qFormat/>
    <w:uiPriority w:val="0"/>
    <w:rPr>
      <w:rFonts w:ascii="宋体" w:cs="Times New Roman"/>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3"/>
    <w:next w:val="43"/>
    <w:qFormat/>
    <w:uiPriority w:val="0"/>
    <w:pPr>
      <w:tabs>
        <w:tab w:val="center" w:pos="4201"/>
        <w:tab w:val="right" w:leader="dot" w:pos="9298"/>
      </w:tabs>
      <w:autoSpaceDE w:val="0"/>
      <w:autoSpaceDN w:val="0"/>
      <w:ind w:firstLine="360"/>
    </w:pPr>
    <w:rPr>
      <w:sz w:val="18"/>
    </w:rPr>
  </w:style>
  <w:style w:type="paragraph" w:customStyle="1" w:styleId="208">
    <w:name w:val="首示例"/>
    <w:next w:val="43"/>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cs="Times New Roman"/>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5"/>
    <w:qFormat/>
    <w:uiPriority w:val="0"/>
    <w:pPr>
      <w:numPr>
        <w:numId w:val="0"/>
      </w:numPr>
      <w:jc w:val="both"/>
    </w:pPr>
  </w:style>
  <w:style w:type="paragraph" w:customStyle="1" w:styleId="212">
    <w:name w:val="图标脚注说明"/>
    <w:basedOn w:val="43"/>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5"/>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3"/>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3"/>
    <w:next w:val="43"/>
    <w:qFormat/>
    <w:uiPriority w:val="0"/>
    <w:pPr>
      <w:tabs>
        <w:tab w:val="center" w:pos="4201"/>
        <w:tab w:val="right" w:leader="dot" w:pos="9298"/>
      </w:tabs>
      <w:autoSpaceDE w:val="0"/>
      <w:autoSpaceDN w:val="0"/>
      <w:ind w:firstLine="0" w:firstLineChars="0"/>
    </w:pPr>
  </w:style>
  <w:style w:type="paragraph" w:customStyle="1" w:styleId="223">
    <w:name w:val="正文图标题"/>
    <w:next w:val="43"/>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2"/>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3"/>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4"/>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首行缩进 字符1"/>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首行缩进 2 字符1"/>
    <w:link w:val="56"/>
    <w:qFormat/>
    <w:uiPriority w:val="0"/>
    <w:rPr>
      <w:rFonts w:ascii="宋体" w:hAnsi="宋体" w:cs="Times New Roman"/>
      <w:szCs w:val="21"/>
    </w:rPr>
  </w:style>
  <w:style w:type="character" w:customStyle="1" w:styleId="285">
    <w:name w:val="正文文本缩进 字符1"/>
    <w:link w:val="25"/>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7"/>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uiPriority w:val="0"/>
    <w:rPr>
      <w:rFonts w:ascii="Arial" w:hAnsi="Arial" w:cs="Times New Roman"/>
      <w:kern w:val="0"/>
      <w:sz w:val="18"/>
      <w:szCs w:val="18"/>
    </w:rPr>
  </w:style>
  <w:style w:type="paragraph" w:customStyle="1" w:styleId="291">
    <w:name w:val="术语定义二级条标题"/>
    <w:basedOn w:val="1"/>
    <w:next w:val="43"/>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5"/>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3"/>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5"/>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9"/>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uiPriority w:val="0"/>
    <w:rPr>
      <w:rFonts w:ascii="宋体" w:hAnsi="宋体"/>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24"/>
    <w:qFormat/>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3"/>
    <w:qFormat/>
    <w:uiPriority w:val="0"/>
    <w:pPr>
      <w:ind w:firstLine="0" w:firstLineChars="0"/>
    </w:pPr>
    <w:rPr>
      <w:rFonts w:eastAsia="仿宋_GB2312" w:cs="宋体"/>
      <w:sz w:val="32"/>
    </w:rPr>
  </w:style>
  <w:style w:type="paragraph" w:customStyle="1" w:styleId="413">
    <w:name w:val="术语定义条标题"/>
    <w:basedOn w:val="115"/>
    <w:next w:val="43"/>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30"/>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cs="Times New Roman"/>
      <w:kern w:val="0"/>
      <w:sz w:val="21"/>
      <w:szCs w:val="20"/>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styleId="446">
    <w:name w:val="Placeholder Text"/>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3"/>
    <w:qFormat/>
    <w:uiPriority w:val="0"/>
    <w:pPr>
      <w:widowControl/>
      <w:numPr>
        <w:ilvl w:val="0"/>
        <w:numId w:val="30"/>
      </w:numPr>
      <w:spacing w:beforeLines="0" w:afterLines="0" w:line="360" w:lineRule="auto"/>
      <w:textAlignment w:val="baseline"/>
    </w:pPr>
    <w:rPr>
      <w:rFonts w:ascii="宋体" w:eastAsia="宋体"/>
      <w:kern w:val="21"/>
      <w:szCs w:val="20"/>
    </w:rPr>
  </w:style>
  <w:style w:type="paragraph" w:customStyle="1" w:styleId="449">
    <w:name w:val="ZHR正文"/>
    <w:basedOn w:val="1"/>
    <w:qFormat/>
    <w:uiPriority w:val="0"/>
    <w:pPr>
      <w:adjustRightInd w:val="0"/>
      <w:snapToGrid w:val="0"/>
      <w:spacing w:line="360" w:lineRule="auto"/>
      <w:ind w:firstLine="200" w:firstLineChars="200"/>
    </w:pPr>
  </w:style>
  <w:style w:type="paragraph" w:customStyle="1" w:styleId="450">
    <w:name w:val="列出段落2"/>
    <w:basedOn w:val="1"/>
    <w:qFormat/>
    <w:uiPriority w:val="99"/>
    <w:pPr>
      <w:ind w:firstLine="420" w:firstLineChars="200"/>
    </w:p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453">
    <w:name w:val="Bg"/>
    <w:basedOn w:val="1"/>
    <w:qFormat/>
    <w:uiPriority w:val="0"/>
    <w:pPr>
      <w:topLinePunct/>
      <w:snapToGrid w:val="0"/>
      <w:spacing w:before="60" w:beforeLines="0" w:beforeAutospacing="0" w:after="60" w:afterLines="0" w:afterAutospacing="0"/>
      <w:jc w:val="center"/>
    </w:pPr>
    <w:rPr>
      <w:sz w:val="18"/>
    </w:rPr>
  </w:style>
  <w:style w:type="character" w:customStyle="1" w:styleId="454">
    <w:name w:val="font31"/>
    <w:basedOn w:val="60"/>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4602</Words>
  <Characters>5510</Characters>
  <Lines>245</Lines>
  <Paragraphs>69</Paragraphs>
  <TotalTime>5</TotalTime>
  <ScaleCrop>false</ScaleCrop>
  <LinksUpToDate>false</LinksUpToDate>
  <CharactersWithSpaces>5665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2024-06-09T23:48:00Z</dcterms:created>
  <dc:creator>魏瑞增</dc:creator>
  <cp:lastModifiedBy>王福雄</cp:lastModifiedBy>
  <cp:lastPrinted>2024-06-26T22:46:00Z</cp:lastPrinted>
  <dcterms:modified xsi:type="dcterms:W3CDTF">2026-05-29T02:36:57Z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1C4692770E794BFE8EBB38DEDE0FC4C0_13</vt:lpwstr>
  </property>
  <property fmtid="{D5CDD505-2E9C-101B-9397-08002B2CF9AE}" pid="4" name="KSOTemplateDocerSaveRecord">
    <vt:lpwstr>eyJoZGlkIjoiZjAwMjA1NWVkMzQxNGUwYjdiNzY1NzU3OGJmY2U4ZmMiLCJ1c2VySWQiOiIyNjc5NTMxMTkifQ==</vt:lpwstr>
  </property>
</Properties>
</file>